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670"/>
        </w:tabs>
        <w:autoSpaceDE w:val="0"/>
        <w:autoSpaceDN w:val="0"/>
        <w:adjustRightInd w:val="0"/>
        <w:spacing w:line="360" w:lineRule="auto"/>
        <w:rPr>
          <w:rFonts w:hint="eastAsia" w:ascii="仿宋" w:hAnsi="仿宋" w:eastAsia="仿宋" w:cs="仿宋"/>
          <w:b/>
          <w:bCs/>
          <w:color w:val="auto"/>
          <w:sz w:val="30"/>
          <w:szCs w:val="30"/>
          <w:lang w:val="zh-CN"/>
        </w:rPr>
      </w:pPr>
      <w:bookmarkStart w:id="0" w:name="_Toc475451789"/>
      <w:bookmarkStart w:id="1" w:name="_Toc475451542"/>
    </w:p>
    <w:p>
      <w:pPr>
        <w:tabs>
          <w:tab w:val="left" w:pos="5670"/>
        </w:tabs>
        <w:autoSpaceDE w:val="0"/>
        <w:autoSpaceDN w:val="0"/>
        <w:adjustRightInd w:val="0"/>
        <w:spacing w:line="360" w:lineRule="auto"/>
        <w:ind w:firstLine="300"/>
        <w:rPr>
          <w:rFonts w:ascii="仿宋" w:hAnsi="仿宋" w:eastAsia="仿宋" w:cs="仿宋"/>
          <w:b/>
          <w:bCs/>
          <w:color w:val="auto"/>
          <w:sz w:val="30"/>
          <w:szCs w:val="30"/>
          <w:lang w:val="zh-CN"/>
        </w:rPr>
      </w:pPr>
      <w:r>
        <w:rPr>
          <w:rFonts w:hint="eastAsia" w:ascii="仿宋" w:hAnsi="仿宋" w:eastAsia="仿宋" w:cs="仿宋"/>
          <w:b/>
          <w:bCs/>
          <w:color w:val="auto"/>
          <w:sz w:val="30"/>
          <w:szCs w:val="30"/>
          <w:lang w:val="zh-CN"/>
        </w:rPr>
        <w:t>政府采购项目</w:t>
      </w:r>
      <w:bookmarkEnd w:id="0"/>
      <w:bookmarkEnd w:id="1"/>
    </w:p>
    <w:p>
      <w:pPr>
        <w:tabs>
          <w:tab w:val="left" w:pos="5670"/>
        </w:tabs>
        <w:autoSpaceDE w:val="0"/>
        <w:autoSpaceDN w:val="0"/>
        <w:adjustRightInd w:val="0"/>
        <w:spacing w:line="360" w:lineRule="auto"/>
        <w:ind w:firstLine="300"/>
        <w:rPr>
          <w:rFonts w:ascii="仿宋" w:hAnsi="仿宋" w:eastAsia="仿宋" w:cs="仿宋"/>
          <w:b/>
          <w:bCs/>
          <w:color w:val="auto"/>
          <w:sz w:val="30"/>
          <w:szCs w:val="30"/>
        </w:rPr>
      </w:pPr>
      <w:r>
        <w:rPr>
          <w:rFonts w:hint="eastAsia" w:ascii="仿宋" w:hAnsi="仿宋" w:eastAsia="仿宋" w:cs="仿宋"/>
          <w:b/>
          <w:bCs/>
          <w:color w:val="auto"/>
          <w:sz w:val="30"/>
          <w:szCs w:val="30"/>
          <w:lang w:val="zh-CN"/>
        </w:rPr>
        <w:t>计划编号：ZCBN-省本级-2022-08241</w:t>
      </w:r>
    </w:p>
    <w:p>
      <w:pPr>
        <w:tabs>
          <w:tab w:val="left" w:pos="5670"/>
        </w:tabs>
        <w:autoSpaceDE w:val="0"/>
        <w:autoSpaceDN w:val="0"/>
        <w:adjustRightInd w:val="0"/>
        <w:spacing w:line="360" w:lineRule="auto"/>
        <w:ind w:firstLine="300"/>
        <w:rPr>
          <w:rFonts w:ascii="仿宋" w:hAnsi="仿宋" w:eastAsia="仿宋" w:cs="仿宋"/>
          <w:b/>
          <w:bCs/>
          <w:color w:val="auto"/>
          <w:sz w:val="30"/>
          <w:szCs w:val="30"/>
        </w:rPr>
      </w:pPr>
      <w:r>
        <w:rPr>
          <w:rFonts w:hint="eastAsia" w:ascii="仿宋" w:hAnsi="仿宋" w:eastAsia="仿宋" w:cs="仿宋"/>
          <w:b/>
          <w:bCs/>
          <w:color w:val="auto"/>
          <w:sz w:val="30"/>
          <w:szCs w:val="30"/>
          <w:lang w:val="zh-CN"/>
        </w:rPr>
        <w:t>项目编号：DX2022--262</w:t>
      </w:r>
    </w:p>
    <w:p>
      <w:pPr>
        <w:tabs>
          <w:tab w:val="left" w:pos="5670"/>
        </w:tabs>
        <w:autoSpaceDE w:val="0"/>
        <w:autoSpaceDN w:val="0"/>
        <w:adjustRightInd w:val="0"/>
        <w:spacing w:line="360" w:lineRule="auto"/>
        <w:ind w:firstLine="300"/>
        <w:rPr>
          <w:rFonts w:ascii="仿宋" w:hAnsi="仿宋" w:eastAsia="仿宋" w:cs="仿宋"/>
          <w:b/>
          <w:color w:val="auto"/>
          <w:sz w:val="32"/>
          <w:szCs w:val="32"/>
        </w:rPr>
      </w:pPr>
    </w:p>
    <w:p>
      <w:pPr>
        <w:tabs>
          <w:tab w:val="left" w:pos="5670"/>
        </w:tabs>
        <w:autoSpaceDE w:val="0"/>
        <w:autoSpaceDN w:val="0"/>
        <w:adjustRightInd w:val="0"/>
        <w:spacing w:line="360" w:lineRule="auto"/>
        <w:jc w:val="center"/>
        <w:rPr>
          <w:rFonts w:ascii="仿宋" w:hAnsi="仿宋" w:eastAsia="仿宋" w:cs="仿宋"/>
          <w:b/>
          <w:bCs/>
          <w:color w:val="auto"/>
          <w:sz w:val="44"/>
          <w:szCs w:val="44"/>
          <w:lang w:val="zh-CN"/>
        </w:rPr>
      </w:pPr>
    </w:p>
    <w:p>
      <w:pPr>
        <w:tabs>
          <w:tab w:val="left" w:pos="5670"/>
        </w:tabs>
        <w:autoSpaceDE w:val="0"/>
        <w:autoSpaceDN w:val="0"/>
        <w:adjustRightInd w:val="0"/>
        <w:spacing w:line="360" w:lineRule="auto"/>
        <w:jc w:val="center"/>
        <w:rPr>
          <w:rFonts w:ascii="仿宋" w:hAnsi="仿宋" w:eastAsia="仿宋" w:cs="仿宋"/>
          <w:b/>
          <w:bCs/>
          <w:color w:val="auto"/>
          <w:sz w:val="44"/>
          <w:szCs w:val="44"/>
        </w:rPr>
      </w:pPr>
    </w:p>
    <w:p>
      <w:pPr>
        <w:tabs>
          <w:tab w:val="left" w:pos="5670"/>
        </w:tabs>
        <w:autoSpaceDE w:val="0"/>
        <w:autoSpaceDN w:val="0"/>
        <w:adjustRightInd w:val="0"/>
        <w:spacing w:line="360" w:lineRule="auto"/>
        <w:jc w:val="center"/>
        <w:rPr>
          <w:rFonts w:ascii="仿宋" w:hAnsi="仿宋" w:eastAsia="仿宋" w:cs="仿宋"/>
          <w:b/>
          <w:bCs/>
          <w:color w:val="auto"/>
          <w:sz w:val="40"/>
          <w:szCs w:val="36"/>
          <w:lang w:val="zh-CN"/>
        </w:rPr>
      </w:pPr>
      <w:r>
        <w:rPr>
          <w:rFonts w:hint="eastAsia" w:ascii="仿宋" w:hAnsi="仿宋" w:eastAsia="仿宋" w:cs="仿宋"/>
          <w:b/>
          <w:bCs/>
          <w:color w:val="auto"/>
          <w:sz w:val="40"/>
          <w:szCs w:val="36"/>
          <w:lang w:val="zh-CN"/>
        </w:rPr>
        <w:t>秦岭国家植物园生物多样性保护项目</w:t>
      </w:r>
    </w:p>
    <w:p>
      <w:pPr>
        <w:rPr>
          <w:rFonts w:ascii="仿宋" w:hAnsi="仿宋" w:eastAsia="仿宋" w:cs="仿宋"/>
          <w:color w:val="auto"/>
          <w:lang w:val="zh-CN"/>
        </w:rPr>
      </w:pPr>
    </w:p>
    <w:p>
      <w:pPr>
        <w:rPr>
          <w:rFonts w:ascii="仿宋" w:hAnsi="仿宋" w:eastAsia="仿宋" w:cs="仿宋"/>
          <w:color w:val="auto"/>
          <w:lang w:val="zh-CN"/>
        </w:rPr>
      </w:pPr>
    </w:p>
    <w:p>
      <w:pPr>
        <w:pStyle w:val="2"/>
        <w:rPr>
          <w:lang w:val="zh-CN"/>
        </w:rPr>
      </w:pPr>
    </w:p>
    <w:p>
      <w:pPr>
        <w:pStyle w:val="2"/>
        <w:rPr>
          <w:lang w:val="zh-CN"/>
        </w:rPr>
      </w:pPr>
    </w:p>
    <w:p>
      <w:pPr>
        <w:pStyle w:val="2"/>
        <w:rPr>
          <w:lang w:val="zh-CN"/>
        </w:rPr>
      </w:pPr>
    </w:p>
    <w:p>
      <w:pPr>
        <w:rPr>
          <w:rFonts w:ascii="仿宋" w:hAnsi="仿宋" w:eastAsia="仿宋" w:cs="仿宋"/>
          <w:color w:val="auto"/>
          <w:lang w:val="zh-CN"/>
        </w:rPr>
      </w:pPr>
    </w:p>
    <w:p>
      <w:pPr>
        <w:tabs>
          <w:tab w:val="left" w:pos="5670"/>
        </w:tabs>
        <w:autoSpaceDE w:val="0"/>
        <w:autoSpaceDN w:val="0"/>
        <w:adjustRightInd w:val="0"/>
        <w:spacing w:line="360" w:lineRule="auto"/>
        <w:jc w:val="center"/>
        <w:rPr>
          <w:rFonts w:ascii="仿宋" w:hAnsi="仿宋" w:eastAsia="仿宋" w:cs="仿宋"/>
          <w:color w:val="auto"/>
          <w:sz w:val="44"/>
          <w:szCs w:val="44"/>
        </w:rPr>
      </w:pPr>
      <w:r>
        <w:rPr>
          <w:rFonts w:hint="eastAsia" w:ascii="仿宋" w:hAnsi="仿宋" w:eastAsia="仿宋" w:cs="仿宋"/>
          <w:b/>
          <w:bCs/>
          <w:color w:val="auto"/>
          <w:sz w:val="44"/>
          <w:szCs w:val="44"/>
        </w:rPr>
        <w:t>招</w:t>
      </w:r>
      <w:r>
        <w:rPr>
          <w:rFonts w:hint="eastAsia" w:ascii="仿宋" w:hAnsi="仿宋" w:eastAsia="仿宋" w:cs="仿宋"/>
          <w:b/>
          <w:bCs/>
          <w:color w:val="auto"/>
          <w:sz w:val="44"/>
          <w:szCs w:val="44"/>
          <w:lang w:val="zh-CN"/>
        </w:rPr>
        <w:t>标文件</w:t>
      </w:r>
    </w:p>
    <w:p>
      <w:pPr>
        <w:tabs>
          <w:tab w:val="left" w:pos="5670"/>
        </w:tabs>
        <w:autoSpaceDE w:val="0"/>
        <w:autoSpaceDN w:val="0"/>
        <w:adjustRightInd w:val="0"/>
        <w:spacing w:line="360" w:lineRule="auto"/>
        <w:rPr>
          <w:rFonts w:ascii="仿宋" w:hAnsi="仿宋" w:eastAsia="仿宋" w:cs="仿宋"/>
          <w:b/>
          <w:bCs/>
          <w:color w:val="auto"/>
          <w:sz w:val="32"/>
          <w:szCs w:val="32"/>
          <w:lang w:val="zh-CN"/>
        </w:rPr>
      </w:pPr>
    </w:p>
    <w:p>
      <w:pPr>
        <w:tabs>
          <w:tab w:val="left" w:pos="5670"/>
        </w:tabs>
        <w:autoSpaceDE w:val="0"/>
        <w:autoSpaceDN w:val="0"/>
        <w:adjustRightInd w:val="0"/>
        <w:spacing w:line="360" w:lineRule="auto"/>
        <w:jc w:val="center"/>
        <w:rPr>
          <w:rFonts w:ascii="仿宋" w:hAnsi="仿宋" w:eastAsia="仿宋" w:cs="仿宋"/>
          <w:b/>
          <w:bCs/>
          <w:color w:val="auto"/>
          <w:sz w:val="32"/>
          <w:szCs w:val="32"/>
          <w:lang w:val="zh-CN"/>
        </w:rPr>
      </w:pPr>
    </w:p>
    <w:p>
      <w:pPr>
        <w:rPr>
          <w:rFonts w:ascii="仿宋" w:hAnsi="仿宋" w:eastAsia="仿宋" w:cs="仿宋"/>
          <w:color w:val="auto"/>
          <w:lang w:val="zh-CN"/>
        </w:rPr>
      </w:pPr>
    </w:p>
    <w:p>
      <w:pPr>
        <w:tabs>
          <w:tab w:val="left" w:pos="5670"/>
        </w:tabs>
        <w:autoSpaceDE w:val="0"/>
        <w:autoSpaceDN w:val="0"/>
        <w:adjustRightInd w:val="0"/>
        <w:spacing w:line="360" w:lineRule="auto"/>
        <w:rPr>
          <w:rFonts w:ascii="仿宋" w:hAnsi="仿宋" w:eastAsia="仿宋" w:cs="仿宋"/>
          <w:b/>
          <w:bCs/>
          <w:color w:val="auto"/>
          <w:sz w:val="32"/>
          <w:szCs w:val="32"/>
          <w:lang w:val="zh-CN"/>
        </w:rPr>
      </w:pPr>
    </w:p>
    <w:p>
      <w:pPr>
        <w:pStyle w:val="27"/>
        <w:ind w:firstLine="321"/>
        <w:rPr>
          <w:rFonts w:ascii="仿宋" w:hAnsi="仿宋" w:eastAsia="仿宋" w:cs="仿宋"/>
          <w:b/>
          <w:bCs/>
          <w:color w:val="auto"/>
          <w:sz w:val="32"/>
          <w:szCs w:val="32"/>
          <w:lang w:val="zh-CN"/>
        </w:rPr>
      </w:pPr>
    </w:p>
    <w:p>
      <w:pPr>
        <w:autoSpaceDE w:val="0"/>
        <w:autoSpaceDN w:val="0"/>
        <w:adjustRightInd w:val="0"/>
        <w:snapToGrid w:val="0"/>
        <w:spacing w:line="360" w:lineRule="auto"/>
        <w:ind w:firstLine="1687" w:firstLineChars="525"/>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采购人：秦岭国家植物园</w:t>
      </w:r>
    </w:p>
    <w:p>
      <w:pPr>
        <w:autoSpaceDE w:val="0"/>
        <w:autoSpaceDN w:val="0"/>
        <w:adjustRightInd w:val="0"/>
        <w:snapToGrid w:val="0"/>
        <w:spacing w:line="360" w:lineRule="auto"/>
        <w:ind w:firstLine="1687" w:firstLineChars="525"/>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采购代理机构：陕西笃信招标有限公司</w:t>
      </w:r>
    </w:p>
    <w:p>
      <w:pPr>
        <w:autoSpaceDE w:val="0"/>
        <w:autoSpaceDN w:val="0"/>
        <w:adjustRightInd w:val="0"/>
        <w:snapToGrid w:val="0"/>
        <w:spacing w:line="360" w:lineRule="auto"/>
        <w:jc w:val="center"/>
        <w:rPr>
          <w:rFonts w:ascii="仿宋" w:hAnsi="仿宋" w:eastAsia="仿宋" w:cs="仿宋"/>
          <w:b/>
          <w:bCs/>
          <w:color w:val="auto"/>
          <w:sz w:val="32"/>
          <w:szCs w:val="32"/>
        </w:rPr>
      </w:pPr>
    </w:p>
    <w:p>
      <w:pPr>
        <w:tabs>
          <w:tab w:val="left" w:pos="5460"/>
        </w:tabs>
        <w:autoSpaceDE w:val="0"/>
        <w:autoSpaceDN w:val="0"/>
        <w:adjustRightInd w:val="0"/>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二零二二年</w:t>
      </w:r>
      <w:r>
        <w:rPr>
          <w:rFonts w:hint="eastAsia" w:ascii="仿宋" w:hAnsi="仿宋" w:eastAsia="仿宋" w:cs="仿宋"/>
          <w:b/>
          <w:bCs/>
          <w:color w:val="auto"/>
          <w:sz w:val="32"/>
          <w:szCs w:val="32"/>
          <w:lang w:val="en-US" w:eastAsia="zh-CN"/>
        </w:rPr>
        <w:t>十一</w:t>
      </w:r>
      <w:r>
        <w:rPr>
          <w:rFonts w:hint="eastAsia" w:ascii="仿宋" w:hAnsi="仿宋" w:eastAsia="仿宋" w:cs="仿宋"/>
          <w:b/>
          <w:bCs/>
          <w:color w:val="auto"/>
          <w:sz w:val="32"/>
          <w:szCs w:val="32"/>
        </w:rPr>
        <w:t>月</w:t>
      </w:r>
    </w:p>
    <w:p>
      <w:pPr>
        <w:pStyle w:val="21"/>
        <w:pageBreakBefore/>
        <w:tabs>
          <w:tab w:val="right" w:leader="dot" w:pos="8504"/>
          <w:tab w:val="clear" w:pos="9060"/>
        </w:tabs>
        <w:jc w:val="center"/>
        <w:rPr>
          <w:rFonts w:ascii="仿宋" w:hAnsi="仿宋" w:eastAsia="仿宋" w:cs="仿宋"/>
          <w:b/>
          <w:bCs/>
          <w:color w:val="auto"/>
          <w:sz w:val="32"/>
          <w:szCs w:val="32"/>
        </w:rPr>
      </w:pPr>
      <w:bookmarkStart w:id="2" w:name="_Toc6076"/>
      <w:bookmarkStart w:id="3" w:name="_Toc20047"/>
      <w:bookmarkStart w:id="4" w:name="_Toc475451543"/>
      <w:r>
        <w:rPr>
          <w:rFonts w:hint="eastAsia" w:ascii="仿宋" w:hAnsi="仿宋" w:eastAsia="仿宋" w:cs="仿宋"/>
          <w:b/>
          <w:bCs/>
          <w:color w:val="auto"/>
          <w:sz w:val="32"/>
          <w:szCs w:val="32"/>
        </w:rPr>
        <w:t>目  录</w:t>
      </w:r>
    </w:p>
    <w:p>
      <w:pPr>
        <w:pStyle w:val="21"/>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TOC \o "1-2" \h \u </w:instrText>
      </w:r>
      <w:r>
        <w:rPr>
          <w:rFonts w:hint="eastAsia" w:ascii="仿宋" w:hAnsi="仿宋" w:eastAsia="仿宋" w:cs="仿宋"/>
          <w:color w:val="auto"/>
          <w:sz w:val="21"/>
          <w:szCs w:val="21"/>
        </w:rPr>
        <w:fldChar w:fldCharType="separate"/>
      </w: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_Toc408 </w:instrText>
      </w:r>
      <w:r>
        <w:rPr>
          <w:rFonts w:hint="eastAsia" w:ascii="仿宋" w:hAnsi="仿宋" w:eastAsia="仿宋" w:cs="仿宋"/>
          <w:szCs w:val="21"/>
        </w:rPr>
        <w:fldChar w:fldCharType="separate"/>
      </w:r>
      <w:r>
        <w:rPr>
          <w:rFonts w:hint="eastAsia" w:ascii="仿宋" w:hAnsi="仿宋" w:eastAsia="仿宋" w:cs="仿宋"/>
          <w:szCs w:val="32"/>
          <w:lang w:val="zh-CN"/>
        </w:rPr>
        <w:t>第一部分  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_Toc408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_Toc18630 </w:instrText>
      </w:r>
      <w:r>
        <w:rPr>
          <w:rFonts w:hint="eastAsia" w:ascii="仿宋" w:hAnsi="仿宋" w:eastAsia="仿宋" w:cs="仿宋"/>
          <w:szCs w:val="21"/>
        </w:rPr>
        <w:fldChar w:fldCharType="separate"/>
      </w:r>
      <w:r>
        <w:rPr>
          <w:rFonts w:hint="eastAsia" w:ascii="仿宋" w:hAnsi="仿宋" w:eastAsia="仿宋" w:cs="仿宋"/>
          <w:szCs w:val="32"/>
          <w:lang w:val="zh-CN"/>
        </w:rPr>
        <w:t>第二部分</w:t>
      </w:r>
      <w:r>
        <w:rPr>
          <w:rFonts w:hint="eastAsia" w:ascii="仿宋" w:hAnsi="仿宋" w:eastAsia="仿宋" w:cs="仿宋"/>
          <w:szCs w:val="32"/>
          <w:lang w:val="en-US" w:eastAsia="zh-CN"/>
        </w:rPr>
        <w:t xml:space="preserve">  </w:t>
      </w:r>
      <w:r>
        <w:rPr>
          <w:rFonts w:hint="eastAsia" w:ascii="仿宋" w:hAnsi="仿宋" w:eastAsia="仿宋" w:cs="仿宋"/>
          <w:szCs w:val="32"/>
          <w:lang w:val="zh-CN"/>
        </w:rPr>
        <w:t>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_Toc18630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_Toc25772 </w:instrText>
      </w:r>
      <w:r>
        <w:rPr>
          <w:rFonts w:hint="eastAsia" w:ascii="仿宋" w:hAnsi="仿宋" w:eastAsia="仿宋" w:cs="仿宋"/>
          <w:szCs w:val="21"/>
        </w:rPr>
        <w:fldChar w:fldCharType="separate"/>
      </w:r>
      <w:r>
        <w:rPr>
          <w:rFonts w:hint="eastAsia" w:ascii="仿宋" w:hAnsi="仿宋" w:eastAsia="仿宋" w:cs="仿宋"/>
          <w:bCs/>
          <w:szCs w:val="24"/>
          <w:lang w:val="zh-CN"/>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_Toc25772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_Toc1119 </w:instrText>
      </w:r>
      <w:r>
        <w:rPr>
          <w:rFonts w:hint="eastAsia" w:ascii="仿宋" w:hAnsi="仿宋" w:eastAsia="仿宋" w:cs="仿宋"/>
          <w:szCs w:val="21"/>
        </w:rPr>
        <w:fldChar w:fldCharType="separate"/>
      </w:r>
      <w:r>
        <w:rPr>
          <w:rFonts w:hint="eastAsia" w:ascii="仿宋" w:hAnsi="仿宋" w:eastAsia="仿宋" w:cs="仿宋"/>
          <w:bCs/>
          <w:szCs w:val="24"/>
          <w:lang w:val="zh-CN"/>
        </w:rPr>
        <w:t>二、招标文件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_Toc1119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_Toc13318 </w:instrText>
      </w:r>
      <w:r>
        <w:rPr>
          <w:rFonts w:hint="eastAsia" w:ascii="仿宋" w:hAnsi="仿宋" w:eastAsia="仿宋" w:cs="仿宋"/>
          <w:szCs w:val="21"/>
        </w:rPr>
        <w:fldChar w:fldCharType="separate"/>
      </w:r>
      <w:r>
        <w:rPr>
          <w:rFonts w:hint="eastAsia" w:ascii="仿宋" w:hAnsi="仿宋" w:eastAsia="仿宋" w:cs="仿宋"/>
          <w:szCs w:val="24"/>
          <w:lang w:val="zh-CN"/>
        </w:rPr>
        <w:t>三、投标要求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_Toc13318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_Toc32257 </w:instrText>
      </w:r>
      <w:r>
        <w:rPr>
          <w:rFonts w:hint="eastAsia" w:ascii="仿宋" w:hAnsi="仿宋" w:eastAsia="仿宋" w:cs="仿宋"/>
          <w:szCs w:val="21"/>
        </w:rPr>
        <w:fldChar w:fldCharType="separate"/>
      </w:r>
      <w:r>
        <w:rPr>
          <w:rFonts w:hint="eastAsia" w:ascii="仿宋" w:hAnsi="仿宋" w:eastAsia="仿宋" w:cs="仿宋"/>
          <w:szCs w:val="24"/>
          <w:lang w:val="zh-CN"/>
        </w:rPr>
        <w:t>四、开标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_Toc32257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_Toc17836 </w:instrText>
      </w:r>
      <w:r>
        <w:rPr>
          <w:rFonts w:hint="eastAsia" w:ascii="仿宋" w:hAnsi="仿宋" w:eastAsia="仿宋" w:cs="仿宋"/>
          <w:szCs w:val="21"/>
        </w:rPr>
        <w:fldChar w:fldCharType="separate"/>
      </w:r>
      <w:r>
        <w:rPr>
          <w:rFonts w:hint="eastAsia" w:ascii="仿宋" w:hAnsi="仿宋" w:eastAsia="仿宋" w:cs="仿宋"/>
          <w:szCs w:val="24"/>
          <w:highlight w:val="none"/>
          <w:lang w:val="zh-CN"/>
        </w:rPr>
        <w:t>五、评标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_Toc17836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_Toc11399 </w:instrText>
      </w:r>
      <w:r>
        <w:rPr>
          <w:rFonts w:hint="eastAsia" w:ascii="仿宋" w:hAnsi="仿宋" w:eastAsia="仿宋" w:cs="仿宋"/>
          <w:szCs w:val="21"/>
        </w:rPr>
        <w:fldChar w:fldCharType="separate"/>
      </w:r>
      <w:r>
        <w:rPr>
          <w:rFonts w:hint="eastAsia" w:ascii="仿宋" w:hAnsi="仿宋" w:eastAsia="仿宋" w:cs="仿宋"/>
          <w:szCs w:val="24"/>
          <w:highlight w:val="none"/>
          <w:lang w:val="zh-CN"/>
        </w:rPr>
        <w:t>六、评标程序及评标办法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_Toc11399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_Toc29264 </w:instrText>
      </w:r>
      <w:r>
        <w:rPr>
          <w:rFonts w:hint="eastAsia" w:ascii="仿宋" w:hAnsi="仿宋" w:eastAsia="仿宋" w:cs="仿宋"/>
          <w:szCs w:val="21"/>
        </w:rPr>
        <w:fldChar w:fldCharType="separate"/>
      </w:r>
      <w:r>
        <w:rPr>
          <w:rFonts w:hint="eastAsia" w:ascii="仿宋" w:hAnsi="仿宋" w:eastAsia="仿宋" w:cs="仿宋"/>
          <w:szCs w:val="24"/>
          <w:lang w:val="zh-CN"/>
        </w:rPr>
        <w:t>七、确定中标供应商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_Toc29264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_Toc22035 </w:instrText>
      </w:r>
      <w:r>
        <w:rPr>
          <w:rFonts w:hint="eastAsia" w:ascii="仿宋" w:hAnsi="仿宋" w:eastAsia="仿宋" w:cs="仿宋"/>
          <w:szCs w:val="21"/>
        </w:rPr>
        <w:fldChar w:fldCharType="separate"/>
      </w:r>
      <w:r>
        <w:rPr>
          <w:rFonts w:hint="eastAsia" w:ascii="仿宋" w:hAnsi="仿宋" w:eastAsia="仿宋" w:cs="仿宋"/>
          <w:szCs w:val="24"/>
          <w:lang w:val="zh-CN"/>
        </w:rPr>
        <w:t>八、合同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_Toc22035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_Toc24288 </w:instrText>
      </w:r>
      <w:r>
        <w:rPr>
          <w:rFonts w:hint="eastAsia" w:ascii="仿宋" w:hAnsi="仿宋" w:eastAsia="仿宋" w:cs="仿宋"/>
          <w:szCs w:val="21"/>
        </w:rPr>
        <w:fldChar w:fldCharType="separate"/>
      </w:r>
      <w:r>
        <w:rPr>
          <w:rFonts w:hint="eastAsia" w:ascii="仿宋" w:hAnsi="仿宋" w:eastAsia="仿宋" w:cs="仿宋"/>
          <w:szCs w:val="24"/>
          <w:lang w:val="zh-CN"/>
        </w:rPr>
        <w:t>九、中标服务费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_Toc24288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_Toc28136 </w:instrText>
      </w:r>
      <w:r>
        <w:rPr>
          <w:rFonts w:hint="eastAsia" w:ascii="仿宋" w:hAnsi="仿宋" w:eastAsia="仿宋" w:cs="仿宋"/>
          <w:szCs w:val="21"/>
        </w:rPr>
        <w:fldChar w:fldCharType="separate"/>
      </w:r>
      <w:r>
        <w:rPr>
          <w:rFonts w:hint="eastAsia" w:ascii="仿宋" w:hAnsi="仿宋" w:eastAsia="仿宋" w:cs="仿宋"/>
          <w:szCs w:val="24"/>
          <w:highlight w:val="none"/>
          <w:lang w:val="zh-CN"/>
        </w:rPr>
        <w:t>十、废标或者采购方式的变更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_Toc28136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_Toc13173 </w:instrText>
      </w:r>
      <w:r>
        <w:rPr>
          <w:rFonts w:hint="eastAsia" w:ascii="仿宋" w:hAnsi="仿宋" w:eastAsia="仿宋" w:cs="仿宋"/>
          <w:szCs w:val="21"/>
        </w:rPr>
        <w:fldChar w:fldCharType="separate"/>
      </w:r>
      <w:r>
        <w:rPr>
          <w:rFonts w:hint="eastAsia" w:ascii="仿宋" w:hAnsi="仿宋" w:eastAsia="仿宋" w:cs="仿宋"/>
          <w:szCs w:val="24"/>
          <w:lang w:val="zh-CN"/>
        </w:rPr>
        <w:t>十一、需要落实的政府采购政策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_Toc13173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_Toc32277 </w:instrText>
      </w:r>
      <w:r>
        <w:rPr>
          <w:rFonts w:hint="eastAsia" w:ascii="仿宋" w:hAnsi="仿宋" w:eastAsia="仿宋" w:cs="仿宋"/>
          <w:szCs w:val="21"/>
        </w:rPr>
        <w:fldChar w:fldCharType="separate"/>
      </w:r>
      <w:r>
        <w:rPr>
          <w:rFonts w:hint="eastAsia" w:ascii="仿宋" w:hAnsi="仿宋" w:eastAsia="仿宋" w:cs="仿宋"/>
          <w:szCs w:val="24"/>
          <w:lang w:val="zh-CN"/>
        </w:rPr>
        <w:t>十二、质疑与投诉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_Toc32277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_Toc13009 </w:instrText>
      </w:r>
      <w:r>
        <w:rPr>
          <w:rFonts w:hint="eastAsia" w:ascii="仿宋" w:hAnsi="仿宋" w:eastAsia="仿宋" w:cs="仿宋"/>
          <w:szCs w:val="21"/>
        </w:rPr>
        <w:fldChar w:fldCharType="separate"/>
      </w:r>
      <w:r>
        <w:rPr>
          <w:rFonts w:hint="eastAsia" w:ascii="仿宋" w:hAnsi="仿宋" w:eastAsia="仿宋" w:cs="仿宋"/>
          <w:szCs w:val="32"/>
          <w:lang w:val="zh-CN"/>
        </w:rPr>
        <w:t xml:space="preserve">第三部分 </w:t>
      </w:r>
      <w:r>
        <w:rPr>
          <w:rFonts w:hint="eastAsia" w:ascii="仿宋" w:hAnsi="仿宋" w:eastAsia="仿宋" w:cs="仿宋"/>
          <w:szCs w:val="32"/>
          <w:lang w:val="en-US" w:eastAsia="zh-CN"/>
        </w:rPr>
        <w:t xml:space="preserve"> </w:t>
      </w:r>
      <w:r>
        <w:rPr>
          <w:rFonts w:hint="eastAsia" w:ascii="仿宋" w:hAnsi="仿宋" w:eastAsia="仿宋" w:cs="仿宋"/>
          <w:szCs w:val="32"/>
          <w:lang w:val="zh-CN"/>
        </w:rPr>
        <w:t>招标内容及要求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_Toc13009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_Toc25466 </w:instrText>
      </w:r>
      <w:r>
        <w:rPr>
          <w:rFonts w:hint="eastAsia" w:ascii="仿宋" w:hAnsi="仿宋" w:eastAsia="仿宋" w:cs="仿宋"/>
          <w:szCs w:val="21"/>
        </w:rPr>
        <w:fldChar w:fldCharType="separate"/>
      </w:r>
      <w:r>
        <w:rPr>
          <w:rFonts w:hint="eastAsia" w:ascii="仿宋" w:hAnsi="仿宋" w:eastAsia="仿宋" w:cs="仿宋"/>
          <w:szCs w:val="32"/>
          <w:lang w:val="zh-CN"/>
        </w:rPr>
        <w:t>第四部分  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_Toc25466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1"/>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_Toc32470 </w:instrText>
      </w:r>
      <w:r>
        <w:rPr>
          <w:rFonts w:hint="eastAsia" w:ascii="仿宋" w:hAnsi="仿宋" w:eastAsia="仿宋" w:cs="仿宋"/>
          <w:szCs w:val="21"/>
        </w:rPr>
        <w:fldChar w:fldCharType="separate"/>
      </w:r>
      <w:r>
        <w:rPr>
          <w:rFonts w:hint="eastAsia" w:ascii="仿宋" w:hAnsi="仿宋" w:eastAsia="仿宋" w:cs="仿宋"/>
          <w:bCs/>
          <w:szCs w:val="32"/>
          <w:lang w:val="zh-CN"/>
        </w:rPr>
        <w:t>第五部分</w:t>
      </w:r>
      <w:r>
        <w:rPr>
          <w:rFonts w:hint="eastAsia" w:ascii="仿宋" w:hAnsi="仿宋" w:eastAsia="仿宋" w:cs="仿宋"/>
          <w:bCs/>
          <w:szCs w:val="32"/>
          <w:lang w:val="en-US" w:eastAsia="zh-CN"/>
        </w:rPr>
        <w:t xml:space="preserve">  </w:t>
      </w:r>
      <w:r>
        <w:rPr>
          <w:rFonts w:hint="eastAsia" w:ascii="仿宋" w:hAnsi="仿宋" w:eastAsia="仿宋" w:cs="仿宋"/>
          <w:bCs/>
          <w:szCs w:val="32"/>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_Toc32470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_Toc5869 </w:instrText>
      </w:r>
      <w:r>
        <w:rPr>
          <w:rFonts w:hint="eastAsia" w:ascii="仿宋" w:hAnsi="仿宋" w:eastAsia="仿宋" w:cs="仿宋"/>
          <w:szCs w:val="21"/>
        </w:rPr>
        <w:fldChar w:fldCharType="separate"/>
      </w:r>
      <w:r>
        <w:rPr>
          <w:rFonts w:hint="eastAsia" w:ascii="仿宋" w:hAnsi="仿宋" w:eastAsia="仿宋" w:cs="仿宋"/>
          <w:bCs/>
          <w:szCs w:val="15"/>
          <w:lang w:val="zh-CN"/>
        </w:rPr>
        <w:t>一、投标函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_Toc5869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_Toc31124 </w:instrText>
      </w:r>
      <w:r>
        <w:rPr>
          <w:rFonts w:hint="eastAsia" w:ascii="仿宋" w:hAnsi="仿宋" w:eastAsia="仿宋" w:cs="仿宋"/>
          <w:szCs w:val="21"/>
        </w:rPr>
        <w:fldChar w:fldCharType="separate"/>
      </w:r>
      <w:r>
        <w:rPr>
          <w:rFonts w:hint="eastAsia" w:ascii="仿宋" w:hAnsi="仿宋" w:eastAsia="仿宋" w:cs="仿宋"/>
          <w:bCs/>
          <w:szCs w:val="15"/>
          <w:lang w:val="zh-CN"/>
        </w:rPr>
        <w:t>二、开标一览表（唱标报告）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_Toc31124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_Toc21641 </w:instrText>
      </w:r>
      <w:r>
        <w:rPr>
          <w:rFonts w:hint="eastAsia" w:ascii="仿宋" w:hAnsi="仿宋" w:eastAsia="仿宋" w:cs="仿宋"/>
          <w:szCs w:val="21"/>
        </w:rPr>
        <w:fldChar w:fldCharType="separate"/>
      </w:r>
      <w:r>
        <w:rPr>
          <w:rFonts w:hint="eastAsia" w:ascii="仿宋" w:hAnsi="仿宋" w:eastAsia="仿宋" w:cs="仿宋"/>
          <w:bCs/>
          <w:szCs w:val="15"/>
          <w:lang w:val="zh-CN"/>
        </w:rPr>
        <w:t>四、供应商资格证明文件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_Toc21641 \h </w:instrText>
      </w:r>
      <w:r>
        <w:rPr>
          <w:rFonts w:hint="eastAsia" w:ascii="仿宋" w:hAnsi="仿宋" w:eastAsia="仿宋" w:cs="仿宋"/>
        </w:rPr>
        <w:fldChar w:fldCharType="separate"/>
      </w:r>
      <w:r>
        <w:rPr>
          <w:rFonts w:hint="eastAsia" w:ascii="仿宋" w:hAnsi="仿宋" w:eastAsia="仿宋" w:cs="仿宋"/>
        </w:rPr>
        <w:t>60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_Toc28639 </w:instrText>
      </w:r>
      <w:r>
        <w:rPr>
          <w:rFonts w:hint="eastAsia" w:ascii="仿宋" w:hAnsi="仿宋" w:eastAsia="仿宋" w:cs="仿宋"/>
          <w:szCs w:val="21"/>
        </w:rPr>
        <w:fldChar w:fldCharType="separate"/>
      </w:r>
      <w:r>
        <w:rPr>
          <w:rFonts w:hint="eastAsia" w:ascii="仿宋" w:hAnsi="仿宋" w:eastAsia="仿宋" w:cs="仿宋"/>
          <w:bCs/>
          <w:szCs w:val="15"/>
          <w:lang w:val="zh-CN"/>
        </w:rPr>
        <w:t>五、（</w:t>
      </w:r>
      <w:r>
        <w:rPr>
          <w:rFonts w:hint="eastAsia" w:ascii="仿宋" w:hAnsi="仿宋" w:eastAsia="仿宋" w:cs="仿宋"/>
          <w:bCs/>
          <w:szCs w:val="15"/>
        </w:rPr>
        <w:t>商务）</w:t>
      </w:r>
      <w:r>
        <w:rPr>
          <w:rFonts w:hint="eastAsia" w:ascii="仿宋" w:hAnsi="仿宋" w:eastAsia="仿宋" w:cs="仿宋"/>
          <w:bCs/>
          <w:szCs w:val="15"/>
          <w:lang w:val="zh-CN"/>
        </w:rPr>
        <w:t>合同主要条款偏离表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_Toc28639 \h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_Toc14954 </w:instrText>
      </w:r>
      <w:r>
        <w:rPr>
          <w:rFonts w:hint="eastAsia" w:ascii="仿宋" w:hAnsi="仿宋" w:eastAsia="仿宋" w:cs="仿宋"/>
          <w:szCs w:val="21"/>
        </w:rPr>
        <w:fldChar w:fldCharType="separate"/>
      </w:r>
      <w:r>
        <w:rPr>
          <w:rFonts w:hint="eastAsia" w:ascii="仿宋" w:hAnsi="仿宋" w:eastAsia="仿宋" w:cs="仿宋"/>
          <w:szCs w:val="21"/>
          <w:highlight w:val="none"/>
          <w:lang w:val="en-US" w:eastAsia="zh-CN"/>
        </w:rPr>
        <w:t>六</w:t>
      </w:r>
      <w:r>
        <w:rPr>
          <w:rFonts w:hint="eastAsia" w:ascii="仿宋" w:hAnsi="仿宋" w:eastAsia="仿宋" w:cs="仿宋"/>
          <w:szCs w:val="21"/>
          <w:highlight w:val="none"/>
          <w:lang w:val="zh-CN"/>
        </w:rPr>
        <w:t>、</w:t>
      </w:r>
      <w:r>
        <w:rPr>
          <w:rFonts w:hint="eastAsia" w:ascii="仿宋" w:hAnsi="仿宋" w:eastAsia="仿宋" w:cs="仿宋"/>
          <w:szCs w:val="21"/>
          <w:lang w:val="zh-CN"/>
        </w:rPr>
        <w:t>技术规格</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_Toc14954 \h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_Toc24979 </w:instrText>
      </w:r>
      <w:r>
        <w:rPr>
          <w:rFonts w:hint="eastAsia" w:ascii="仿宋" w:hAnsi="仿宋" w:eastAsia="仿宋" w:cs="仿宋"/>
          <w:szCs w:val="21"/>
        </w:rPr>
        <w:fldChar w:fldCharType="separate"/>
      </w:r>
      <w:r>
        <w:rPr>
          <w:rFonts w:hint="eastAsia" w:ascii="仿宋" w:hAnsi="仿宋" w:eastAsia="仿宋" w:cs="仿宋"/>
          <w:bCs/>
          <w:kern w:val="2"/>
          <w:szCs w:val="15"/>
          <w:lang w:val="zh-CN"/>
        </w:rPr>
        <w:t>七、产品合法来源渠道</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_Toc24979 \h </w:instrText>
      </w:r>
      <w:r>
        <w:rPr>
          <w:rFonts w:hint="eastAsia" w:ascii="仿宋" w:hAnsi="仿宋" w:eastAsia="仿宋" w:cs="仿宋"/>
        </w:rPr>
        <w:fldChar w:fldCharType="separate"/>
      </w:r>
      <w:r>
        <w:rPr>
          <w:rFonts w:hint="eastAsia" w:ascii="仿宋" w:hAnsi="仿宋" w:eastAsia="仿宋" w:cs="仿宋"/>
        </w:rPr>
        <w:t>79</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_Toc617 </w:instrText>
      </w:r>
      <w:r>
        <w:rPr>
          <w:rFonts w:hint="eastAsia" w:ascii="仿宋" w:hAnsi="仿宋" w:eastAsia="仿宋" w:cs="仿宋"/>
          <w:szCs w:val="21"/>
        </w:rPr>
        <w:fldChar w:fldCharType="separate"/>
      </w:r>
      <w:r>
        <w:rPr>
          <w:rFonts w:hint="eastAsia" w:ascii="仿宋" w:hAnsi="仿宋" w:eastAsia="仿宋" w:cs="仿宋"/>
          <w:bCs/>
          <w:szCs w:val="15"/>
          <w:lang w:val="en-US" w:eastAsia="zh-CN"/>
        </w:rPr>
        <w:t>八、</w:t>
      </w:r>
      <w:r>
        <w:rPr>
          <w:rFonts w:hint="eastAsia" w:ascii="仿宋" w:hAnsi="仿宋" w:eastAsia="仿宋" w:cs="仿宋"/>
          <w:bCs/>
          <w:szCs w:val="15"/>
          <w:lang w:val="zh-CN"/>
        </w:rPr>
        <w:t>产品设备先进性，稳定性</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_Toc617 \h </w:instrText>
      </w:r>
      <w:r>
        <w:rPr>
          <w:rFonts w:hint="eastAsia" w:ascii="仿宋" w:hAnsi="仿宋" w:eastAsia="仿宋" w:cs="仿宋"/>
        </w:rPr>
        <w:fldChar w:fldCharType="separate"/>
      </w:r>
      <w:r>
        <w:rPr>
          <w:rFonts w:hint="eastAsia" w:ascii="仿宋" w:hAnsi="仿宋" w:eastAsia="仿宋" w:cs="仿宋"/>
        </w:rPr>
        <w:t>80</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_Toc7401 </w:instrText>
      </w:r>
      <w:r>
        <w:rPr>
          <w:rFonts w:hint="eastAsia" w:ascii="仿宋" w:hAnsi="仿宋" w:eastAsia="仿宋" w:cs="仿宋"/>
          <w:szCs w:val="21"/>
        </w:rPr>
        <w:fldChar w:fldCharType="separate"/>
      </w:r>
      <w:r>
        <w:rPr>
          <w:rFonts w:hint="eastAsia" w:ascii="仿宋" w:hAnsi="仿宋" w:eastAsia="仿宋" w:cs="仿宋"/>
          <w:bCs/>
          <w:szCs w:val="15"/>
          <w:lang w:val="en-US" w:eastAsia="zh-CN"/>
        </w:rPr>
        <w:t>九、质量保障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_Toc7401 \h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_Toc22161 </w:instrText>
      </w:r>
      <w:r>
        <w:rPr>
          <w:rFonts w:hint="eastAsia" w:ascii="仿宋" w:hAnsi="仿宋" w:eastAsia="仿宋" w:cs="仿宋"/>
          <w:szCs w:val="21"/>
        </w:rPr>
        <w:fldChar w:fldCharType="separate"/>
      </w:r>
      <w:r>
        <w:rPr>
          <w:rFonts w:hint="eastAsia" w:ascii="仿宋" w:hAnsi="仿宋" w:eastAsia="仿宋" w:cs="仿宋"/>
          <w:bCs/>
          <w:kern w:val="2"/>
          <w:szCs w:val="15"/>
          <w:lang w:val="en-US" w:eastAsia="zh-CN" w:bidi="ar-SA"/>
        </w:rPr>
        <w:t>十、实施方案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_Toc22161 \h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_Toc19856 </w:instrText>
      </w:r>
      <w:r>
        <w:rPr>
          <w:rFonts w:hint="eastAsia" w:ascii="仿宋" w:hAnsi="仿宋" w:eastAsia="仿宋" w:cs="仿宋"/>
          <w:szCs w:val="21"/>
        </w:rPr>
        <w:fldChar w:fldCharType="separate"/>
      </w:r>
      <w:r>
        <w:rPr>
          <w:rFonts w:hint="eastAsia" w:ascii="仿宋" w:hAnsi="仿宋" w:eastAsia="仿宋" w:cs="仿宋"/>
          <w:bCs/>
          <w:kern w:val="2"/>
          <w:szCs w:val="15"/>
          <w:lang w:val="en-US" w:eastAsia="zh-CN" w:bidi="ar-SA"/>
        </w:rPr>
        <w:t>十一、售后服务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_Toc19856 \h </w:instrText>
      </w:r>
      <w:r>
        <w:rPr>
          <w:rFonts w:hint="eastAsia" w:ascii="仿宋" w:hAnsi="仿宋" w:eastAsia="仿宋" w:cs="仿宋"/>
        </w:rPr>
        <w:fldChar w:fldCharType="separate"/>
      </w:r>
      <w:r>
        <w:rPr>
          <w:rFonts w:hint="eastAsia" w:ascii="仿宋" w:hAnsi="仿宋" w:eastAsia="仿宋" w:cs="仿宋"/>
        </w:rPr>
        <w:t>83</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_Toc32357 </w:instrText>
      </w:r>
      <w:r>
        <w:rPr>
          <w:rFonts w:hint="eastAsia" w:ascii="仿宋" w:hAnsi="仿宋" w:eastAsia="仿宋" w:cs="仿宋"/>
          <w:szCs w:val="21"/>
        </w:rPr>
        <w:fldChar w:fldCharType="separate"/>
      </w:r>
      <w:r>
        <w:rPr>
          <w:rFonts w:hint="eastAsia" w:ascii="仿宋" w:hAnsi="仿宋" w:eastAsia="仿宋" w:cs="仿宋"/>
          <w:bCs/>
          <w:kern w:val="2"/>
          <w:szCs w:val="15"/>
          <w:lang w:val="zh-CN"/>
        </w:rPr>
        <w:t>十</w:t>
      </w:r>
      <w:r>
        <w:rPr>
          <w:rFonts w:hint="eastAsia" w:ascii="仿宋" w:hAnsi="仿宋" w:eastAsia="仿宋" w:cs="仿宋"/>
          <w:bCs/>
          <w:kern w:val="2"/>
          <w:szCs w:val="15"/>
          <w:lang w:val="en-US" w:eastAsia="zh-CN"/>
        </w:rPr>
        <w:t>二</w:t>
      </w:r>
      <w:r>
        <w:rPr>
          <w:rFonts w:hint="eastAsia" w:ascii="仿宋" w:hAnsi="仿宋" w:eastAsia="仿宋" w:cs="仿宋"/>
          <w:bCs/>
          <w:kern w:val="2"/>
          <w:szCs w:val="15"/>
          <w:lang w:val="zh-CN"/>
        </w:rPr>
        <w:t>、供应商企业关系关联承诺书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_Toc32357 \h </w:instrText>
      </w:r>
      <w:r>
        <w:rPr>
          <w:rFonts w:hint="eastAsia" w:ascii="仿宋" w:hAnsi="仿宋" w:eastAsia="仿宋" w:cs="仿宋"/>
        </w:rPr>
        <w:fldChar w:fldCharType="separate"/>
      </w:r>
      <w:r>
        <w:rPr>
          <w:rFonts w:hint="eastAsia" w:ascii="仿宋" w:hAnsi="仿宋" w:eastAsia="仿宋" w:cs="仿宋"/>
        </w:rPr>
        <w:t>84</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_Toc25951 </w:instrText>
      </w:r>
      <w:r>
        <w:rPr>
          <w:rFonts w:hint="eastAsia" w:ascii="仿宋" w:hAnsi="仿宋" w:eastAsia="仿宋" w:cs="仿宋"/>
          <w:szCs w:val="21"/>
        </w:rPr>
        <w:fldChar w:fldCharType="separate"/>
      </w:r>
      <w:r>
        <w:rPr>
          <w:rFonts w:hint="eastAsia" w:ascii="仿宋" w:hAnsi="仿宋" w:eastAsia="仿宋" w:cs="仿宋"/>
          <w:bCs/>
          <w:szCs w:val="15"/>
          <w:lang w:val="zh-CN"/>
        </w:rPr>
        <w:t>十</w:t>
      </w:r>
      <w:r>
        <w:rPr>
          <w:rFonts w:hint="eastAsia" w:ascii="仿宋" w:hAnsi="仿宋" w:eastAsia="仿宋" w:cs="仿宋"/>
          <w:bCs/>
          <w:szCs w:val="15"/>
          <w:lang w:val="en-US" w:eastAsia="zh-CN"/>
        </w:rPr>
        <w:t>三</w:t>
      </w:r>
      <w:r>
        <w:rPr>
          <w:rFonts w:hint="eastAsia" w:ascii="仿宋" w:hAnsi="仿宋" w:eastAsia="仿宋" w:cs="仿宋"/>
          <w:bCs/>
          <w:szCs w:val="15"/>
          <w:lang w:val="zh-CN"/>
        </w:rPr>
        <w:t>、供应商廉洁自律承诺书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_Toc25951 \h </w:instrText>
      </w:r>
      <w:r>
        <w:rPr>
          <w:rFonts w:hint="eastAsia" w:ascii="仿宋" w:hAnsi="仿宋" w:eastAsia="仿宋" w:cs="仿宋"/>
        </w:rPr>
        <w:fldChar w:fldCharType="separate"/>
      </w:r>
      <w:r>
        <w:rPr>
          <w:rFonts w:hint="eastAsia" w:ascii="仿宋" w:hAnsi="仿宋" w:eastAsia="仿宋" w:cs="仿宋"/>
        </w:rPr>
        <w:t>85</w:t>
      </w:r>
      <w:r>
        <w:rPr>
          <w:rFonts w:hint="eastAsia" w:ascii="仿宋" w:hAnsi="仿宋" w:eastAsia="仿宋" w:cs="仿宋"/>
        </w:rPr>
        <w:fldChar w:fldCharType="end"/>
      </w:r>
      <w:r>
        <w:rPr>
          <w:rFonts w:hint="eastAsia" w:ascii="仿宋" w:hAnsi="仿宋" w:eastAsia="仿宋" w:cs="仿宋"/>
          <w:color w:val="auto"/>
          <w:szCs w:val="21"/>
        </w:rPr>
        <w:fldChar w:fldCharType="end"/>
      </w:r>
    </w:p>
    <w:p>
      <w:pPr>
        <w:pStyle w:val="23"/>
        <w:keepNext w:val="0"/>
        <w:keepLines w:val="0"/>
        <w:widowControl w:val="0"/>
        <w:tabs>
          <w:tab w:val="right" w:leader="dot" w:pos="9072"/>
          <w:tab w:val="clear" w:pos="9060"/>
        </w:tabs>
        <w:kinsoku/>
        <w:wordWrap/>
        <w:overflowPunct/>
        <w:topLinePunct w:val="0"/>
        <w:autoSpaceDE/>
        <w:autoSpaceDN/>
        <w:bidi w:val="0"/>
        <w:adjustRightInd/>
        <w:snapToGrid/>
        <w:spacing w:line="440" w:lineRule="exact"/>
        <w:textAlignment w:val="auto"/>
        <w:rPr>
          <w:rFonts w:hint="eastAsia" w:ascii="仿宋" w:hAnsi="仿宋" w:eastAsia="仿宋" w:cs="仿宋"/>
        </w:rPr>
      </w:pPr>
      <w:r>
        <w:rPr>
          <w:rFonts w:hint="eastAsia" w:ascii="仿宋" w:hAnsi="仿宋" w:eastAsia="仿宋" w:cs="仿宋"/>
          <w:color w:val="auto"/>
          <w:szCs w:val="21"/>
        </w:rPr>
        <w:fldChar w:fldCharType="begin"/>
      </w:r>
      <w:r>
        <w:rPr>
          <w:rFonts w:hint="eastAsia" w:ascii="仿宋" w:hAnsi="仿宋" w:eastAsia="仿宋" w:cs="仿宋"/>
          <w:szCs w:val="21"/>
        </w:rPr>
        <w:instrText xml:space="preserve"> HYPERLINK \l _Toc21297 </w:instrText>
      </w:r>
      <w:r>
        <w:rPr>
          <w:rFonts w:hint="eastAsia" w:ascii="仿宋" w:hAnsi="仿宋" w:eastAsia="仿宋" w:cs="仿宋"/>
          <w:szCs w:val="21"/>
        </w:rPr>
        <w:fldChar w:fldCharType="separate"/>
      </w:r>
      <w:r>
        <w:rPr>
          <w:rFonts w:hint="eastAsia" w:ascii="仿宋" w:hAnsi="仿宋" w:eastAsia="仿宋" w:cs="仿宋"/>
          <w:bCs/>
          <w:szCs w:val="15"/>
          <w:lang w:val="zh-CN"/>
        </w:rPr>
        <w:t>十四、供应商认为有必要补充说明的事项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_Toc21297 \h </w:instrText>
      </w:r>
      <w:r>
        <w:rPr>
          <w:rFonts w:hint="eastAsia" w:ascii="仿宋" w:hAnsi="仿宋" w:eastAsia="仿宋" w:cs="仿宋"/>
        </w:rPr>
        <w:fldChar w:fldCharType="separate"/>
      </w:r>
      <w:r>
        <w:rPr>
          <w:rFonts w:hint="eastAsia" w:ascii="仿宋" w:hAnsi="仿宋" w:eastAsia="仿宋" w:cs="仿宋"/>
        </w:rPr>
        <w:t>86</w:t>
      </w:r>
      <w:r>
        <w:rPr>
          <w:rFonts w:hint="eastAsia" w:ascii="仿宋" w:hAnsi="仿宋" w:eastAsia="仿宋" w:cs="仿宋"/>
        </w:rPr>
        <w:fldChar w:fldCharType="end"/>
      </w:r>
      <w:r>
        <w:rPr>
          <w:rFonts w:hint="eastAsia" w:ascii="仿宋" w:hAnsi="仿宋" w:eastAsia="仿宋" w:cs="仿宋"/>
          <w:color w:val="auto"/>
          <w:szCs w:val="21"/>
        </w:rPr>
        <w:fldChar w:fldCharType="end"/>
      </w:r>
    </w:p>
    <w:p>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color w:val="auto"/>
          <w:szCs w:val="21"/>
        </w:rPr>
        <w:sectPr>
          <w:headerReference r:id="rId3" w:type="default"/>
          <w:footerReference r:id="rId4" w:type="default"/>
          <w:pgSz w:w="11906" w:h="16838"/>
          <w:pgMar w:top="1417" w:right="1417" w:bottom="1417" w:left="1417" w:header="851" w:footer="992" w:gutter="0"/>
          <w:pgNumType w:fmt="decimal" w:start="1"/>
          <w:cols w:space="0" w:num="1"/>
          <w:rtlGutter w:val="0"/>
          <w:docGrid w:type="lines" w:linePitch="312" w:charSpace="0"/>
        </w:sectPr>
      </w:pPr>
    </w:p>
    <w:p>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0"/>
        <w:rPr>
          <w:rStyle w:val="46"/>
          <w:rFonts w:ascii="仿宋" w:hAnsi="仿宋" w:eastAsia="仿宋" w:cs="仿宋"/>
          <w:color w:val="auto"/>
          <w:lang w:val="zh-CN"/>
        </w:rPr>
      </w:pPr>
      <w:r>
        <w:rPr>
          <w:rFonts w:hint="eastAsia" w:ascii="仿宋" w:hAnsi="仿宋" w:eastAsia="仿宋" w:cs="仿宋"/>
          <w:color w:val="auto"/>
          <w:szCs w:val="21"/>
        </w:rPr>
        <w:fldChar w:fldCharType="end"/>
      </w:r>
      <w:bookmarkStart w:id="5" w:name="_Toc21796"/>
      <w:bookmarkStart w:id="6" w:name="_Toc174"/>
      <w:bookmarkStart w:id="7" w:name="_Toc25835"/>
      <w:bookmarkStart w:id="8" w:name="_Toc20135"/>
      <w:bookmarkStart w:id="9" w:name="_Toc408"/>
      <w:bookmarkStart w:id="10" w:name="_Toc21487"/>
      <w:r>
        <w:rPr>
          <w:rFonts w:hint="eastAsia" w:ascii="仿宋" w:hAnsi="仿宋" w:eastAsia="仿宋" w:cs="仿宋"/>
          <w:b/>
          <w:color w:val="auto"/>
          <w:sz w:val="32"/>
          <w:szCs w:val="32"/>
          <w:lang w:val="zh-CN"/>
        </w:rPr>
        <w:t>第一部分  招标公告</w:t>
      </w:r>
      <w:bookmarkEnd w:id="2"/>
      <w:bookmarkEnd w:id="3"/>
      <w:bookmarkEnd w:id="4"/>
      <w:bookmarkEnd w:id="5"/>
      <w:bookmarkEnd w:id="6"/>
      <w:bookmarkEnd w:id="7"/>
      <w:bookmarkEnd w:id="8"/>
      <w:bookmarkEnd w:id="9"/>
      <w:bookmarkEnd w:id="10"/>
    </w:p>
    <w:p>
      <w:pPr>
        <w:spacing w:line="360" w:lineRule="auto"/>
        <w:ind w:firstLine="480" w:firstLineChars="200"/>
        <w:rPr>
          <w:rFonts w:ascii="仿宋" w:hAnsi="仿宋" w:eastAsia="仿宋" w:cs="仿宋"/>
          <w:color w:val="auto"/>
          <w:sz w:val="24"/>
          <w:szCs w:val="24"/>
        </w:rPr>
      </w:pPr>
      <w:bookmarkStart w:id="11" w:name="_Toc26996"/>
      <w:bookmarkStart w:id="12" w:name="_Toc16458"/>
      <w:bookmarkStart w:id="13" w:name="_Toc28355"/>
      <w:bookmarkStart w:id="14" w:name="_Toc21248"/>
      <w:bookmarkStart w:id="15" w:name="_Toc14010"/>
      <w:bookmarkStart w:id="16" w:name="_Toc28539"/>
      <w:bookmarkStart w:id="17" w:name="_Toc24495"/>
      <w:bookmarkStart w:id="18" w:name="_Toc786"/>
      <w:bookmarkStart w:id="19" w:name="_Toc475451544"/>
      <w:r>
        <w:rPr>
          <w:rFonts w:hint="eastAsia" w:ascii="仿宋" w:hAnsi="仿宋" w:eastAsia="仿宋" w:cs="仿宋"/>
          <w:color w:val="auto"/>
          <w:sz w:val="24"/>
          <w:szCs w:val="24"/>
        </w:rPr>
        <w:t>项目概况</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bCs/>
          <w:color w:val="auto"/>
          <w:sz w:val="24"/>
          <w:szCs w:val="24"/>
          <w:shd w:val="clear" w:color="auto" w:fill="FFFFFF"/>
          <w:lang w:eastAsia="zh-CN"/>
        </w:rPr>
        <w:t>秦岭国家植物园生物多样性保护项目</w:t>
      </w:r>
      <w:r>
        <w:rPr>
          <w:rFonts w:hint="eastAsia" w:ascii="仿宋" w:hAnsi="仿宋" w:eastAsia="仿宋" w:cs="仿宋"/>
          <w:color w:val="auto"/>
          <w:sz w:val="24"/>
          <w:szCs w:val="24"/>
        </w:rPr>
        <w:t>潜在的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应在西安经济技术开发区凤城十一路与文景路十字文景商务广场B座8层获取招标文件，并于2022年</w:t>
      </w:r>
      <w:r>
        <w:rPr>
          <w:rFonts w:hint="eastAsia" w:ascii="仿宋" w:hAnsi="仿宋" w:eastAsia="仿宋" w:cs="仿宋"/>
          <w:color w:val="auto"/>
          <w:sz w:val="24"/>
          <w:szCs w:val="24"/>
          <w:lang w:val="en-US" w:eastAsia="zh-CN"/>
        </w:rPr>
        <w:t>12月12日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14:30</w:t>
      </w:r>
      <w:r>
        <w:rPr>
          <w:rFonts w:hint="eastAsia" w:ascii="仿宋" w:hAnsi="仿宋" w:eastAsia="仿宋" w:cs="仿宋"/>
          <w:color w:val="auto"/>
          <w:sz w:val="24"/>
          <w:szCs w:val="24"/>
        </w:rPr>
        <w:t>:00（北京时间）前递交投标文件。</w:t>
      </w:r>
    </w:p>
    <w:p>
      <w:pPr>
        <w:spacing w:line="360" w:lineRule="auto"/>
        <w:rPr>
          <w:rFonts w:ascii="仿宋" w:hAnsi="仿宋" w:eastAsia="仿宋" w:cs="仿宋"/>
          <w:color w:val="auto"/>
          <w:sz w:val="24"/>
          <w:szCs w:val="24"/>
        </w:rPr>
      </w:pPr>
      <w:r>
        <w:rPr>
          <w:rFonts w:hint="eastAsia" w:ascii="仿宋" w:hAnsi="仿宋" w:eastAsia="仿宋" w:cs="仿宋"/>
          <w:b/>
          <w:bCs/>
          <w:color w:val="auto"/>
          <w:sz w:val="24"/>
          <w:szCs w:val="24"/>
        </w:rPr>
        <w:t>一、项目基本情况</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eastAsia="zh-CN"/>
        </w:rPr>
        <w:t>DX2022--262</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bCs/>
          <w:color w:val="auto"/>
          <w:sz w:val="24"/>
          <w:szCs w:val="24"/>
          <w:shd w:val="clear" w:color="auto" w:fill="FFFFFF"/>
          <w:lang w:eastAsia="zh-CN"/>
        </w:rPr>
        <w:t>秦岭国家植物园生物多样性保护项目</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采购方式：公开招标</w:t>
      </w:r>
    </w:p>
    <w:p>
      <w:pPr>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eastAsia="zh-CN"/>
        </w:rPr>
        <w:t>3950000.00</w:t>
      </w:r>
      <w:r>
        <w:rPr>
          <w:rFonts w:hint="eastAsia" w:ascii="仿宋" w:hAnsi="仿宋" w:eastAsia="仿宋" w:cs="仿宋"/>
          <w:color w:val="auto"/>
          <w:sz w:val="24"/>
          <w:szCs w:val="24"/>
          <w:lang w:val="en-US" w:eastAsia="zh-CN"/>
        </w:rPr>
        <w:t>元</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采购需求：</w:t>
      </w:r>
    </w:p>
    <w:tbl>
      <w:tblPr>
        <w:tblStyle w:val="29"/>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38"/>
        <w:gridCol w:w="2212"/>
        <w:gridCol w:w="919"/>
        <w:gridCol w:w="1102"/>
        <w:gridCol w:w="174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96" w:type="dxa"/>
            <w:vAlign w:val="center"/>
          </w:tcPr>
          <w:p>
            <w:pPr>
              <w:widowControl/>
              <w:wordWrap w:val="0"/>
              <w:spacing w:line="360" w:lineRule="atLeast"/>
              <w:jc w:val="center"/>
              <w:textAlignment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品目号</w:t>
            </w:r>
          </w:p>
        </w:tc>
        <w:tc>
          <w:tcPr>
            <w:tcW w:w="1238" w:type="dxa"/>
            <w:vAlign w:val="center"/>
          </w:tcPr>
          <w:p>
            <w:pPr>
              <w:widowControl/>
              <w:wordWrap w:val="0"/>
              <w:spacing w:line="360" w:lineRule="atLeast"/>
              <w:jc w:val="center"/>
              <w:textAlignment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品目名称</w:t>
            </w:r>
          </w:p>
        </w:tc>
        <w:tc>
          <w:tcPr>
            <w:tcW w:w="2212" w:type="dxa"/>
            <w:vAlign w:val="center"/>
          </w:tcPr>
          <w:p>
            <w:pPr>
              <w:widowControl/>
              <w:wordWrap w:val="0"/>
              <w:spacing w:line="360" w:lineRule="atLeast"/>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kern w:val="0"/>
                <w:sz w:val="24"/>
                <w:szCs w:val="24"/>
                <w:lang w:val="en-US" w:eastAsia="zh-CN"/>
              </w:rPr>
              <w:t>采购标的</w:t>
            </w:r>
          </w:p>
        </w:tc>
        <w:tc>
          <w:tcPr>
            <w:tcW w:w="919" w:type="dxa"/>
            <w:vAlign w:val="center"/>
          </w:tcPr>
          <w:p>
            <w:pPr>
              <w:widowControl/>
              <w:wordWrap w:val="0"/>
              <w:spacing w:line="360" w:lineRule="atLeast"/>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rPr>
              <w:t>数量（单位）</w:t>
            </w:r>
          </w:p>
        </w:tc>
        <w:tc>
          <w:tcPr>
            <w:tcW w:w="1102" w:type="dxa"/>
            <w:vAlign w:val="center"/>
          </w:tcPr>
          <w:p>
            <w:pPr>
              <w:widowControl/>
              <w:wordWrap w:val="0"/>
              <w:spacing w:line="360" w:lineRule="atLeast"/>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rPr>
              <w:t>技术规格、参数及要求</w:t>
            </w:r>
          </w:p>
        </w:tc>
        <w:tc>
          <w:tcPr>
            <w:tcW w:w="1744" w:type="dxa"/>
            <w:vAlign w:val="center"/>
          </w:tcPr>
          <w:p>
            <w:pPr>
              <w:widowControl/>
              <w:wordWrap w:val="0"/>
              <w:spacing w:line="360" w:lineRule="atLeast"/>
              <w:jc w:val="center"/>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rPr>
              <w:t>品目预算(元)</w:t>
            </w:r>
          </w:p>
        </w:tc>
        <w:tc>
          <w:tcPr>
            <w:tcW w:w="1326" w:type="dxa"/>
            <w:vAlign w:val="center"/>
          </w:tcPr>
          <w:p>
            <w:pPr>
              <w:widowControl/>
              <w:wordWrap w:val="0"/>
              <w:spacing w:line="360" w:lineRule="atLeast"/>
              <w:jc w:val="center"/>
              <w:textAlignment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96" w:type="dxa"/>
            <w:vAlign w:val="center"/>
          </w:tcPr>
          <w:p>
            <w:pPr>
              <w:widowControl/>
              <w:wordWrap w:val="0"/>
              <w:spacing w:line="360" w:lineRule="atLeas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238" w:type="dxa"/>
            <w:vAlign w:val="center"/>
          </w:tcPr>
          <w:p>
            <w:pPr>
              <w:widowControl/>
              <w:wordWrap w:val="0"/>
              <w:spacing w:line="360" w:lineRule="atLeas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其他分析仪器</w:t>
            </w:r>
          </w:p>
        </w:tc>
        <w:tc>
          <w:tcPr>
            <w:tcW w:w="2212" w:type="dxa"/>
            <w:vAlign w:val="center"/>
          </w:tcPr>
          <w:p>
            <w:pPr>
              <w:widowControl/>
              <w:wordWrap w:val="0"/>
              <w:spacing w:line="360" w:lineRule="atLeas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秦岭国家植物园生物多样性保护项目</w:t>
            </w:r>
          </w:p>
        </w:tc>
        <w:tc>
          <w:tcPr>
            <w:tcW w:w="919" w:type="dxa"/>
            <w:vAlign w:val="center"/>
          </w:tcPr>
          <w:p>
            <w:pPr>
              <w:widowControl/>
              <w:wordWrap w:val="0"/>
              <w:spacing w:line="360" w:lineRule="atLeas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1102" w:type="dxa"/>
            <w:vAlign w:val="center"/>
          </w:tcPr>
          <w:p>
            <w:pPr>
              <w:widowControl/>
              <w:wordWrap w:val="0"/>
              <w:spacing w:line="360" w:lineRule="atLeas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详见采购需求</w:t>
            </w:r>
          </w:p>
        </w:tc>
        <w:tc>
          <w:tcPr>
            <w:tcW w:w="1744" w:type="dxa"/>
            <w:vAlign w:val="center"/>
          </w:tcPr>
          <w:p>
            <w:pPr>
              <w:widowControl/>
              <w:wordWrap w:val="0"/>
              <w:spacing w:line="360" w:lineRule="atLeast"/>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3,950,000.00</w:t>
            </w:r>
          </w:p>
        </w:tc>
        <w:tc>
          <w:tcPr>
            <w:tcW w:w="1326" w:type="dxa"/>
            <w:vAlign w:val="center"/>
          </w:tcPr>
          <w:p>
            <w:pPr>
              <w:widowControl/>
              <w:wordWrap w:val="0"/>
              <w:spacing w:line="360" w:lineRule="atLeast"/>
              <w:jc w:val="right"/>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bl>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二、申请人的资格要求：</w:t>
      </w:r>
    </w:p>
    <w:p>
      <w:pPr>
        <w:pStyle w:val="25"/>
        <w:spacing w:before="0" w:beforeAutospacing="0" w:after="0" w:afterAutospacing="0" w:line="360" w:lineRule="auto"/>
        <w:ind w:firstLine="480" w:firstLineChars="200"/>
        <w:jc w:val="both"/>
        <w:textAlignment w:val="baseline"/>
        <w:rPr>
          <w:rFonts w:ascii="仿宋" w:hAnsi="仿宋" w:eastAsia="仿宋" w:cs="仿宋"/>
          <w:color w:val="auto"/>
          <w:shd w:val="clear" w:color="auto" w:fill="FFFFFF"/>
        </w:rPr>
      </w:pPr>
      <w:r>
        <w:rPr>
          <w:rFonts w:hint="eastAsia" w:ascii="仿宋" w:hAnsi="仿宋" w:eastAsia="仿宋" w:cs="仿宋"/>
          <w:color w:val="auto"/>
          <w:shd w:val="clear" w:color="auto" w:fill="FFFFFF"/>
        </w:rPr>
        <w:t>1.满足《中华人民共和国政府釆购法》第二十二条规定;</w:t>
      </w:r>
    </w:p>
    <w:p>
      <w:pPr>
        <w:pStyle w:val="25"/>
        <w:spacing w:before="0" w:beforeAutospacing="0" w:after="0" w:afterAutospacing="0" w:line="360" w:lineRule="auto"/>
        <w:ind w:firstLine="480" w:firstLineChars="200"/>
        <w:jc w:val="both"/>
        <w:textAlignment w:val="baseline"/>
        <w:rPr>
          <w:rFonts w:ascii="仿宋" w:hAnsi="仿宋" w:eastAsia="仿宋" w:cs="仿宋"/>
          <w:b/>
          <w:bCs/>
          <w:color w:val="auto"/>
          <w:sz w:val="24"/>
          <w:szCs w:val="24"/>
          <w:shd w:val="clear" w:color="auto" w:fill="FFFFFF"/>
        </w:rPr>
      </w:pPr>
      <w:r>
        <w:rPr>
          <w:rFonts w:hint="eastAsia" w:ascii="仿宋" w:hAnsi="仿宋" w:eastAsia="仿宋" w:cs="仿宋"/>
          <w:color w:val="auto"/>
          <w:shd w:val="clear" w:color="auto" w:fill="FFFFFF"/>
        </w:rPr>
        <w:t>2.落实政府采购政策需满足的资格要求：</w:t>
      </w:r>
      <w:r>
        <w:rPr>
          <w:rFonts w:hint="eastAsia" w:ascii="仿宋" w:hAnsi="仿宋" w:eastAsia="仿宋" w:cs="仿宋"/>
          <w:b/>
          <w:bCs/>
          <w:color w:val="auto"/>
          <w:sz w:val="24"/>
          <w:szCs w:val="24"/>
          <w:shd w:val="clear" w:color="auto" w:fill="FFFFFF"/>
        </w:rPr>
        <w:t>本项目非专门面向中小企业采购</w:t>
      </w:r>
    </w:p>
    <w:p>
      <w:pPr>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3.本项目的特定资格要求：</w:t>
      </w:r>
    </w:p>
    <w:p>
      <w:pPr>
        <w:pStyle w:val="25"/>
        <w:spacing w:before="0" w:beforeAutospacing="0" w:after="0" w:afterAutospacing="0" w:line="360" w:lineRule="auto"/>
        <w:ind w:firstLine="480" w:firstLineChars="200"/>
        <w:jc w:val="both"/>
        <w:textAlignment w:val="baseline"/>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合同包1(</w:t>
      </w:r>
      <w:r>
        <w:rPr>
          <w:rFonts w:hint="eastAsia" w:ascii="仿宋" w:hAnsi="仿宋" w:eastAsia="仿宋" w:cs="仿宋"/>
          <w:color w:val="auto"/>
          <w:shd w:val="clear" w:color="auto" w:fill="FFFFFF"/>
          <w:lang w:eastAsia="zh-CN"/>
        </w:rPr>
        <w:t>秦岭国家植物园生物多样性保护项目</w:t>
      </w:r>
      <w:r>
        <w:rPr>
          <w:rFonts w:hint="eastAsia" w:ascii="仿宋" w:hAnsi="仿宋" w:eastAsia="仿宋" w:cs="仿宋"/>
          <w:color w:val="auto"/>
          <w:shd w:val="clear" w:color="auto" w:fill="FFFFFF"/>
        </w:rPr>
        <w:t>)特定资格要求如下:</w:t>
      </w:r>
    </w:p>
    <w:p>
      <w:pPr>
        <w:pStyle w:val="25"/>
        <w:spacing w:before="0" w:beforeAutospacing="0" w:after="0" w:afterAutospacing="0" w:line="360" w:lineRule="auto"/>
        <w:ind w:firstLine="480" w:firstLineChars="200"/>
        <w:jc w:val="both"/>
        <w:textAlignment w:val="baseline"/>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rPr>
        <w:t>1、法定代表人授权书及被授权人身份证，并且提供有效的劳动合同或开标截止前六个月内任意一个月养老保险缴纳证明（法人参加只需提供法定代表人身份证明）；</w:t>
      </w:r>
    </w:p>
    <w:p>
      <w:pPr>
        <w:pStyle w:val="25"/>
        <w:spacing w:before="0" w:beforeAutospacing="0" w:after="0" w:afterAutospacing="0" w:line="360" w:lineRule="auto"/>
        <w:ind w:firstLine="480" w:firstLineChars="200"/>
        <w:jc w:val="both"/>
        <w:textAlignment w:val="baseline"/>
        <w:rPr>
          <w:rFonts w:hint="eastAsia" w:ascii="仿宋" w:hAnsi="仿宋" w:eastAsia="仿宋" w:cs="仿宋"/>
          <w:b/>
          <w:bCs/>
          <w:color w:val="auto"/>
          <w:sz w:val="24"/>
          <w:szCs w:val="24"/>
        </w:rPr>
      </w:pPr>
      <w:r>
        <w:rPr>
          <w:rFonts w:hint="eastAsia" w:ascii="仿宋" w:hAnsi="仿宋" w:eastAsia="仿宋" w:cs="仿宋"/>
          <w:color w:val="auto"/>
          <w:shd w:val="clear" w:color="auto" w:fill="FFFFFF"/>
        </w:rPr>
        <w:t> 2、符合《财政部关于在政府采购活动中查询及使用信用记录有关问题的通知》（财</w:t>
      </w:r>
      <w:r>
        <w:rPr>
          <w:rFonts w:hint="eastAsia" w:ascii="仿宋" w:hAnsi="仿宋" w:eastAsia="仿宋" w:cs="仿宋"/>
          <w:color w:val="auto"/>
          <w:sz w:val="24"/>
          <w:szCs w:val="24"/>
          <w:shd w:val="clear" w:color="auto" w:fill="FFFFFF"/>
        </w:rPr>
        <w:t>库【2016】125号）文件中信用查询的要求（此项由采购人与采购代理单位在开标时查询，以现场查询为准）；</w:t>
      </w: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三、 获取招标文件</w:t>
      </w:r>
    </w:p>
    <w:p>
      <w:pPr>
        <w:spacing w:line="360"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时间：2022年11月21日至2022年11月28日，每天上午09:00:00至12:00:00，下午14:00:00至17:00:00（北京时间）</w:t>
      </w:r>
    </w:p>
    <w:p>
      <w:pPr>
        <w:spacing w:line="360" w:lineRule="auto"/>
        <w:ind w:firstLine="480" w:firstLineChars="200"/>
        <w:rPr>
          <w:rFonts w:hint="eastAsia" w:ascii="仿宋" w:hAnsi="仿宋" w:eastAsia="仿宋" w:cs="仿宋"/>
          <w:color w:val="auto"/>
          <w:sz w:val="24"/>
          <w:szCs w:val="24"/>
          <w:highlight w:val="none"/>
          <w:shd w:val="clear" w:color="auto" w:fill="FFFFFF"/>
        </w:rPr>
      </w:pPr>
    </w:p>
    <w:p>
      <w:pPr>
        <w:spacing w:line="360"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途径：西安经济技术开发区凤城十一路与文景路十字文景商务广场B座8层</w:t>
      </w:r>
    </w:p>
    <w:p>
      <w:pPr>
        <w:spacing w:line="360"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方式：现场获取</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shd w:val="clear" w:color="auto" w:fill="FFFFFF"/>
        </w:rPr>
        <w:t>售价：</w:t>
      </w:r>
      <w:bookmarkStart w:id="510" w:name="_GoBack"/>
      <w:bookmarkEnd w:id="510"/>
      <w:r>
        <w:rPr>
          <w:rFonts w:hint="eastAsia" w:ascii="仿宋" w:hAnsi="仿宋" w:eastAsia="仿宋" w:cs="仿宋"/>
          <w:color w:val="auto"/>
          <w:sz w:val="24"/>
          <w:szCs w:val="24"/>
          <w:highlight w:val="none"/>
          <w:shd w:val="clear" w:color="auto" w:fill="FFFFFF"/>
        </w:rPr>
        <w:t>500元</w:t>
      </w:r>
    </w:p>
    <w:p>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四、提交投标文件截止时间、开标时间和地点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截止时间：2022年</w:t>
      </w:r>
      <w:r>
        <w:rPr>
          <w:rFonts w:hint="eastAsia" w:ascii="仿宋" w:hAnsi="仿宋" w:eastAsia="仿宋" w:cs="仿宋"/>
          <w:color w:val="auto"/>
          <w:sz w:val="24"/>
          <w:szCs w:val="24"/>
          <w:highlight w:val="none"/>
          <w:lang w:val="en-US" w:eastAsia="zh-CN"/>
        </w:rPr>
        <w:t>12月12日</w:t>
      </w:r>
      <w:r>
        <w:rPr>
          <w:rFonts w:hint="eastAsia" w:ascii="仿宋" w:hAnsi="仿宋" w:eastAsia="仿宋" w:cs="仿宋"/>
          <w:color w:val="auto"/>
          <w:sz w:val="24"/>
          <w:szCs w:val="24"/>
          <w:highlight w:val="none"/>
          <w:lang w:eastAsia="zh-CN"/>
        </w:rPr>
        <w:t>14:30</w:t>
      </w:r>
      <w:r>
        <w:rPr>
          <w:rFonts w:hint="eastAsia" w:ascii="仿宋" w:hAnsi="仿宋" w:eastAsia="仿宋" w:cs="仿宋"/>
          <w:color w:val="auto"/>
          <w:sz w:val="24"/>
          <w:szCs w:val="24"/>
          <w:highlight w:val="none"/>
        </w:rPr>
        <w:t>:00（北京时间）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提交投标文件地点：西安经济技术开发区凤城十一路与文景路十字文景商务广场B座8层</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highlight w:val="none"/>
        </w:rPr>
        <w:t>开标地点：西安经济技术开发区凤城十一路与文景路十字文景商务广场B座8层</w:t>
      </w:r>
    </w:p>
    <w:p>
      <w:pPr>
        <w:spacing w:line="360" w:lineRule="auto"/>
        <w:rPr>
          <w:rFonts w:ascii="仿宋" w:hAnsi="仿宋" w:eastAsia="仿宋" w:cs="仿宋"/>
          <w:color w:val="auto"/>
          <w:sz w:val="24"/>
          <w:szCs w:val="24"/>
        </w:rPr>
      </w:pPr>
      <w:r>
        <w:rPr>
          <w:rFonts w:hint="eastAsia" w:ascii="仿宋" w:hAnsi="仿宋" w:eastAsia="仿宋" w:cs="仿宋"/>
          <w:b/>
          <w:bCs/>
          <w:color w:val="auto"/>
          <w:sz w:val="24"/>
          <w:szCs w:val="24"/>
        </w:rPr>
        <w:t>五、公告期限</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六、其他补充事宜</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1、领取招标文件时请携带单位介绍信原件、经办人身份证原件及复印件（以上资料加盖单位鲜章）。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2、请各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获取招标文件后，按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陕西省财政厅《关于政府采购</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注册登记有关事项的通知》要求，通过陕西省政府采购网注册登记加入陕西省政府采购</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库。</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3、执行的其他政府采购政策：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（2）《财政部 司法部关于政府采购支持监狱企业发展有关问题的通知》财库[2014]68号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（3）《财政部 发展改革委 生态环境部 市场监管总局关于调整优化节能产品、环境标志产品政府采购执行机制的通知》（财库〔2019〕9号）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（4）《财政部 国家发展改革委关于印发〈节能产品政府采购实施意见〉的通知》（财库[2004]185号）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（5）《财政部环保总局关于环境标志产品政府采购实施的意见》财库[2006]90号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（6）《三部门联合发布关于促进残疾人就业政府采购政策的通知》（财库[2017]141号）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（7）《陕西省中小企业政府采购信用融资办法》（陕财办采〔2018〕23号）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（8）《国务院办公厅关于建立政府强制采购节能产品制度的通知》（国办发〔2007〕51号）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（9）《财政部 国务院扶贫办关于运用政府采购政策支持脱贫攻坚的通知》（财库〔2019〕27号）</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4、投标文件中凡是需要法定代表人盖章之处，非法人单位的负责人均参</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执行。</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5、分支机构参与投标时，投标文件中应附法人出具的授权书。法人只能授权一家分支机构参与投标，且不能与分支机构同时参与投标。分支机构须提供自己的资格要求证明文件。</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如不参与项目投标，需在递交文件截止时间前一日以书面形式告知项目联系人（邮箱号：2059407584@qq.com),否则采购代理机构将向财政局反映，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一年内累计出现三次该情形，将被监管部门记录为失信被执行人。</w:t>
      </w:r>
    </w:p>
    <w:p>
      <w:pPr>
        <w:spacing w:line="360" w:lineRule="auto"/>
        <w:rPr>
          <w:rFonts w:ascii="仿宋" w:hAnsi="仿宋" w:eastAsia="仿宋" w:cs="仿宋"/>
          <w:color w:val="auto"/>
          <w:sz w:val="24"/>
          <w:szCs w:val="24"/>
        </w:rPr>
      </w:pPr>
      <w:r>
        <w:rPr>
          <w:rFonts w:hint="eastAsia" w:ascii="仿宋" w:hAnsi="仿宋" w:eastAsia="仿宋" w:cs="仿宋"/>
          <w:b/>
          <w:bCs/>
          <w:color w:val="auto"/>
          <w:sz w:val="24"/>
          <w:szCs w:val="24"/>
        </w:rPr>
        <w:t>七、对本次采购提出询问，请按以下方式联系</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1、采购人名称：</w:t>
      </w:r>
      <w:r>
        <w:rPr>
          <w:rFonts w:hint="eastAsia" w:ascii="仿宋" w:hAnsi="仿宋" w:eastAsia="仿宋" w:cs="仿宋"/>
          <w:color w:val="auto"/>
          <w:sz w:val="24"/>
          <w:szCs w:val="24"/>
          <w:lang w:eastAsia="zh-CN"/>
        </w:rPr>
        <w:t>秦岭国家植物园</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陕西省西安市周至县聚财道2号</w:t>
      </w:r>
      <w:r>
        <w:rPr>
          <w:rFonts w:hint="eastAsia" w:ascii="仿宋" w:hAnsi="仿宋" w:eastAsia="仿宋" w:cs="仿宋"/>
          <w:color w:val="auto"/>
          <w:sz w:val="24"/>
          <w:szCs w:val="24"/>
        </w:rPr>
        <w:t xml:space="preserve">  </w:t>
      </w:r>
    </w:p>
    <w:p>
      <w:pPr>
        <w:spacing w:line="360" w:lineRule="auto"/>
        <w:ind w:firstLine="480" w:firstLineChars="200"/>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rPr>
        <w:t>联系</w:t>
      </w:r>
      <w:r>
        <w:rPr>
          <w:rFonts w:hint="eastAsia" w:ascii="仿宋" w:hAnsi="仿宋" w:eastAsia="仿宋" w:cs="仿宋"/>
          <w:color w:val="auto"/>
          <w:sz w:val="24"/>
          <w:szCs w:val="24"/>
          <w:lang w:val="en-US" w:eastAsia="zh-CN"/>
        </w:rPr>
        <w:t>方式</w:t>
      </w:r>
      <w:r>
        <w:rPr>
          <w:rFonts w:hint="eastAsia" w:ascii="仿宋" w:hAnsi="仿宋" w:eastAsia="仿宋" w:cs="仿宋"/>
          <w:color w:val="auto"/>
          <w:sz w:val="24"/>
          <w:szCs w:val="24"/>
        </w:rPr>
        <w:t>：(029) 8517 8155</w:t>
      </w:r>
    </w:p>
    <w:p>
      <w:pPr>
        <w:spacing w:line="360" w:lineRule="auto"/>
        <w:ind w:firstLine="480" w:firstLineChars="200"/>
        <w:rPr>
          <w:rFonts w:ascii="仿宋" w:hAnsi="仿宋" w:eastAsia="仿宋" w:cs="仿宋"/>
          <w:color w:val="auto"/>
        </w:rPr>
      </w:pPr>
      <w:r>
        <w:rPr>
          <w:rFonts w:hint="eastAsia" w:ascii="仿宋" w:hAnsi="仿宋" w:eastAsia="仿宋" w:cs="仿宋"/>
          <w:color w:val="auto"/>
          <w:sz w:val="24"/>
          <w:szCs w:val="24"/>
        </w:rPr>
        <w:t>2、釆购代理机构信息</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名称：陕西笃信招标有限公司</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地址：西安经济技术开发区凤城十一路与文景路十字文景商务广场B座8层</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联系方式：029-86253389</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3、项目联系方式</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项目联系人：李纪旋、</w:t>
      </w:r>
      <w:r>
        <w:rPr>
          <w:rFonts w:hint="eastAsia" w:ascii="仿宋" w:hAnsi="仿宋" w:eastAsia="仿宋" w:cs="仿宋"/>
          <w:color w:val="auto"/>
          <w:sz w:val="24"/>
          <w:szCs w:val="24"/>
          <w:lang w:eastAsia="zh-CN"/>
        </w:rPr>
        <w:t>黄安舒</w:t>
      </w:r>
    </w:p>
    <w:p>
      <w:pPr>
        <w:spacing w:line="360" w:lineRule="auto"/>
        <w:ind w:firstLine="480" w:firstLineChars="200"/>
        <w:rPr>
          <w:rFonts w:ascii="仿宋" w:hAnsi="仿宋" w:eastAsia="仿宋" w:cs="仿宋"/>
          <w:color w:val="auto"/>
          <w:sz w:val="24"/>
          <w:szCs w:val="24"/>
          <w:lang w:val="zh-CN"/>
        </w:rPr>
        <w:sectPr>
          <w:footerReference r:id="rId5" w:type="default"/>
          <w:pgSz w:w="11906" w:h="16838"/>
          <w:pgMar w:top="1417" w:right="1417" w:bottom="1417" w:left="1417" w:header="851" w:footer="992" w:gutter="0"/>
          <w:pgNumType w:fmt="decimal" w:start="1"/>
          <w:cols w:space="0" w:num="1"/>
          <w:rtlGutter w:val="0"/>
          <w:docGrid w:type="lines" w:linePitch="312" w:charSpace="0"/>
        </w:sectPr>
      </w:pPr>
      <w:r>
        <w:rPr>
          <w:rFonts w:hint="eastAsia" w:ascii="仿宋" w:hAnsi="仿宋" w:eastAsia="仿宋" w:cs="仿宋"/>
          <w:color w:val="auto"/>
          <w:sz w:val="24"/>
          <w:szCs w:val="24"/>
        </w:rPr>
        <w:t>电话：029-86253389</w:t>
      </w:r>
    </w:p>
    <w:p>
      <w:pPr>
        <w:pStyle w:val="3"/>
        <w:spacing w:line="360" w:lineRule="auto"/>
        <w:rPr>
          <w:rFonts w:ascii="仿宋" w:hAnsi="仿宋" w:eastAsia="仿宋" w:cs="仿宋"/>
          <w:color w:val="auto"/>
          <w:szCs w:val="44"/>
          <w:lang w:val="zh-CN"/>
        </w:rPr>
      </w:pPr>
      <w:bookmarkStart w:id="20" w:name="_Toc18630"/>
      <w:r>
        <w:rPr>
          <w:rFonts w:hint="eastAsia" w:ascii="仿宋" w:hAnsi="仿宋" w:eastAsia="仿宋" w:cs="仿宋"/>
          <w:color w:val="auto"/>
          <w:sz w:val="32"/>
          <w:szCs w:val="32"/>
          <w:lang w:val="zh-CN"/>
        </w:rPr>
        <w:t>第二部分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供应商须知</w:t>
      </w:r>
      <w:bookmarkEnd w:id="11"/>
      <w:bookmarkEnd w:id="12"/>
      <w:bookmarkEnd w:id="13"/>
      <w:bookmarkEnd w:id="14"/>
      <w:bookmarkEnd w:id="15"/>
      <w:bookmarkEnd w:id="16"/>
      <w:bookmarkEnd w:id="17"/>
      <w:bookmarkEnd w:id="18"/>
      <w:bookmarkEnd w:id="20"/>
    </w:p>
    <w:p>
      <w:pPr>
        <w:jc w:val="center"/>
        <w:rPr>
          <w:rFonts w:ascii="仿宋" w:hAnsi="仿宋" w:eastAsia="仿宋" w:cs="仿宋"/>
          <w:b/>
          <w:bCs/>
          <w:color w:val="auto"/>
          <w:sz w:val="36"/>
          <w:szCs w:val="36"/>
          <w:lang w:val="zh-CN"/>
        </w:rPr>
      </w:pPr>
      <w:bookmarkStart w:id="21" w:name="_Toc11232"/>
      <w:r>
        <w:rPr>
          <w:rFonts w:hint="eastAsia" w:ascii="仿宋" w:hAnsi="仿宋" w:eastAsia="仿宋" w:cs="仿宋"/>
          <w:b/>
          <w:bCs/>
          <w:color w:val="auto"/>
          <w:sz w:val="32"/>
          <w:szCs w:val="32"/>
          <w:lang w:val="zh-CN"/>
        </w:rPr>
        <w:t>供应商须知前附表</w:t>
      </w:r>
      <w:bookmarkEnd w:id="21"/>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153"/>
        <w:gridCol w:w="6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sz w:val="24"/>
                <w:szCs w:val="24"/>
              </w:rPr>
            </w:pPr>
            <w:bookmarkStart w:id="22" w:name="_Toc8779"/>
            <w:bookmarkStart w:id="23" w:name="_Toc26858"/>
            <w:r>
              <w:rPr>
                <w:rFonts w:hint="eastAsia" w:ascii="仿宋" w:hAnsi="仿宋" w:eastAsia="仿宋" w:cs="仿宋"/>
                <w:color w:val="auto"/>
                <w:sz w:val="24"/>
                <w:szCs w:val="24"/>
              </w:rPr>
              <w:t>条款</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条款名称</w:t>
            </w:r>
          </w:p>
        </w:tc>
        <w:tc>
          <w:tcPr>
            <w:tcW w:w="6062"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84"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采购人</w:t>
            </w:r>
          </w:p>
        </w:tc>
        <w:tc>
          <w:tcPr>
            <w:tcW w:w="6062" w:type="dxa"/>
            <w:noWrap/>
            <w:vAlign w:val="center"/>
          </w:tcPr>
          <w:p>
            <w:pPr>
              <w:pStyle w:val="25"/>
              <w:spacing w:before="0" w:beforeAutospacing="0" w:after="0" w:afterAutospacing="0" w:line="360" w:lineRule="auto"/>
              <w:jc w:val="both"/>
              <w:textAlignment w:val="baseline"/>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rPr>
              <w:t>名称：</w:t>
            </w:r>
            <w:r>
              <w:rPr>
                <w:rFonts w:hint="eastAsia" w:ascii="仿宋" w:hAnsi="仿宋" w:eastAsia="仿宋" w:cs="仿宋"/>
                <w:color w:val="auto"/>
                <w:shd w:val="clear" w:color="auto" w:fill="FFFFFF"/>
                <w:lang w:eastAsia="zh-CN"/>
              </w:rPr>
              <w:t>秦岭国家植物园</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shd w:val="clear" w:color="auto" w:fill="FFFFFF"/>
              </w:rPr>
              <w:t>地址：陕西省</w:t>
            </w:r>
            <w:r>
              <w:rPr>
                <w:rFonts w:hint="eastAsia" w:ascii="仿宋" w:hAnsi="仿宋" w:eastAsia="仿宋" w:cs="仿宋"/>
                <w:color w:val="auto"/>
                <w:sz w:val="24"/>
                <w:szCs w:val="24"/>
                <w:shd w:val="clear" w:color="auto" w:fill="FFFFFF"/>
                <w:lang w:eastAsia="zh-CN"/>
              </w:rPr>
              <w:t>陕西省西安市周至县聚财道2号</w:t>
            </w:r>
          </w:p>
          <w:p>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联</w:t>
            </w:r>
            <w:r>
              <w:rPr>
                <w:rFonts w:hint="eastAsia" w:ascii="仿宋" w:hAnsi="仿宋" w:eastAsia="仿宋" w:cs="仿宋"/>
                <w:color w:val="auto"/>
                <w:sz w:val="24"/>
                <w:szCs w:val="24"/>
                <w:highlight w:val="none"/>
              </w:rPr>
              <w:t>系人：</w:t>
            </w:r>
            <w:r>
              <w:rPr>
                <w:rFonts w:hint="eastAsia" w:ascii="仿宋" w:hAnsi="仿宋" w:eastAsia="仿宋" w:cs="仿宋"/>
                <w:color w:val="auto"/>
                <w:sz w:val="24"/>
                <w:szCs w:val="24"/>
                <w:highlight w:val="none"/>
                <w:lang w:val="en-US" w:eastAsia="zh-CN"/>
              </w:rPr>
              <w:t>朱老师</w:t>
            </w:r>
          </w:p>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联系电话：(029) 8517 8155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84"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名称：陕西笃信招标有限公司</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地址：西安经济技术开发区凤城十一路与文景路十字文景商务广场B座8层</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联系人：李纪旋、</w:t>
            </w:r>
            <w:r>
              <w:rPr>
                <w:rFonts w:hint="eastAsia" w:ascii="仿宋" w:hAnsi="仿宋" w:eastAsia="仿宋" w:cs="仿宋"/>
                <w:color w:val="auto"/>
                <w:sz w:val="24"/>
                <w:szCs w:val="24"/>
                <w:lang w:eastAsia="zh-CN"/>
              </w:rPr>
              <w:t>黄安舒</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062" w:type="dxa"/>
            <w:noWrap/>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bCs/>
                <w:color w:val="auto"/>
                <w:sz w:val="24"/>
                <w:szCs w:val="24"/>
                <w:shd w:val="clear" w:color="auto" w:fill="FFFFFF"/>
                <w:lang w:eastAsia="zh-CN"/>
              </w:rPr>
              <w:t>秦岭国家植物园生物多样性保护项目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4"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2153" w:type="dxa"/>
            <w:noWrap/>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招标文件发售时间</w:t>
            </w:r>
          </w:p>
        </w:tc>
        <w:tc>
          <w:tcPr>
            <w:tcW w:w="6062" w:type="dxa"/>
            <w:noWrap/>
            <w:vAlign w:val="center"/>
          </w:tcPr>
          <w:p>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2022年11月21日至2022年11月28日，每天上午09:00:00至12:00:00，下午14:00:00至17:00:00（北京时间）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资金来源</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采购预算</w:t>
            </w:r>
          </w:p>
        </w:tc>
        <w:tc>
          <w:tcPr>
            <w:tcW w:w="6062" w:type="dxa"/>
            <w:noWrap/>
            <w:vAlign w:val="center"/>
          </w:tcPr>
          <w:p>
            <w:pPr>
              <w:spacing w:line="360" w:lineRule="auto"/>
              <w:jc w:val="left"/>
              <w:rPr>
                <w:rFonts w:ascii="仿宋" w:hAnsi="仿宋" w:eastAsia="仿宋" w:cs="仿宋"/>
                <w:color w:val="auto"/>
              </w:rPr>
            </w:pPr>
            <w:r>
              <w:rPr>
                <w:rFonts w:hint="eastAsia" w:ascii="仿宋" w:hAnsi="仿宋" w:eastAsia="仿宋" w:cs="仿宋"/>
                <w:color w:val="auto"/>
                <w:sz w:val="24"/>
                <w:szCs w:val="24"/>
              </w:rPr>
              <w:t>人民币</w:t>
            </w:r>
            <w:r>
              <w:rPr>
                <w:rFonts w:hint="eastAsia" w:ascii="仿宋" w:hAnsi="仿宋" w:eastAsia="仿宋" w:cs="仿宋"/>
                <w:color w:val="auto"/>
                <w:sz w:val="24"/>
                <w:szCs w:val="24"/>
                <w:lang w:eastAsia="zh-CN"/>
              </w:rPr>
              <w:t>3950000.00</w:t>
            </w:r>
            <w:r>
              <w:rPr>
                <w:rFonts w:hint="eastAsia" w:ascii="仿宋" w:hAnsi="仿宋" w:eastAsia="仿宋" w:cs="仿宋"/>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4" w:type="dxa"/>
            <w:noWrap/>
            <w:vAlign w:val="center"/>
          </w:tcPr>
          <w:p>
            <w:pPr>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7</w:t>
            </w:r>
          </w:p>
        </w:tc>
        <w:tc>
          <w:tcPr>
            <w:tcW w:w="2153" w:type="dxa"/>
            <w:noWrap/>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是否允许采购进口产品</w:t>
            </w:r>
          </w:p>
        </w:tc>
        <w:tc>
          <w:tcPr>
            <w:tcW w:w="6062" w:type="dxa"/>
            <w:noWrap/>
            <w:vAlign w:val="center"/>
          </w:tcPr>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w:t>
            </w:r>
          </w:p>
        </w:tc>
        <w:tc>
          <w:tcPr>
            <w:tcW w:w="2153" w:type="dxa"/>
            <w:noWrap/>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交货期</w:t>
            </w:r>
          </w:p>
        </w:tc>
        <w:tc>
          <w:tcPr>
            <w:tcW w:w="6062" w:type="dxa"/>
            <w:noWrap/>
            <w:vAlign w:val="center"/>
          </w:tcPr>
          <w:p>
            <w:pPr>
              <w:snapToGrid w:val="0"/>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shd w:val="clear" w:color="auto" w:fill="FFFFFF"/>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9</w:t>
            </w:r>
          </w:p>
        </w:tc>
        <w:tc>
          <w:tcPr>
            <w:tcW w:w="2153" w:type="dxa"/>
            <w:noWrap/>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062" w:type="dxa"/>
            <w:noWrap/>
            <w:vAlign w:val="center"/>
          </w:tcPr>
          <w:p>
            <w:pPr>
              <w:snapToGrid w:val="0"/>
              <w:spacing w:line="360" w:lineRule="auto"/>
              <w:jc w:val="left"/>
              <w:rPr>
                <w:rFonts w:hint="default" w:ascii="仿宋" w:hAnsi="仿宋" w:eastAsia="仿宋" w:cs="仿宋"/>
                <w:bCs/>
                <w:color w:val="auto"/>
                <w:sz w:val="24"/>
                <w:szCs w:val="24"/>
                <w:highlight w:val="none"/>
                <w:shd w:val="clear" w:color="auto" w:fill="FFFFFF"/>
                <w:lang w:val="en-US" w:eastAsia="zh-CN"/>
              </w:rPr>
            </w:pPr>
            <w:r>
              <w:rPr>
                <w:rFonts w:hint="eastAsia" w:ascii="仿宋" w:hAnsi="仿宋" w:eastAsia="仿宋" w:cs="仿宋"/>
                <w:bCs/>
                <w:color w:val="auto"/>
                <w:sz w:val="24"/>
                <w:szCs w:val="24"/>
                <w:highlight w:val="none"/>
                <w:shd w:val="clear" w:color="auto" w:fill="FFFFFF"/>
                <w:lang w:val="en-US" w:eastAsia="zh-CN"/>
              </w:rPr>
              <w:t>仪器仪表：2年；农业和农林机械、电气设备：1年。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10</w:t>
            </w:r>
          </w:p>
        </w:tc>
        <w:tc>
          <w:tcPr>
            <w:tcW w:w="2153" w:type="dxa"/>
            <w:noWrap/>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交货地点</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11</w:t>
            </w:r>
          </w:p>
        </w:tc>
        <w:tc>
          <w:tcPr>
            <w:tcW w:w="2153" w:type="dxa"/>
            <w:noWrap/>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w:t>
            </w:r>
          </w:p>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p>
        </w:tc>
        <w:tc>
          <w:tcPr>
            <w:tcW w:w="6062" w:type="dxa"/>
            <w:noWrap/>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2022年</w:t>
            </w:r>
            <w:r>
              <w:rPr>
                <w:rFonts w:hint="eastAsia" w:ascii="仿宋" w:hAnsi="仿宋" w:eastAsia="仿宋" w:cs="仿宋"/>
                <w:color w:val="auto"/>
                <w:sz w:val="24"/>
                <w:szCs w:val="24"/>
                <w:highlight w:val="none"/>
                <w:lang w:val="en-US" w:eastAsia="zh-CN"/>
              </w:rPr>
              <w:t>12月12日</w:t>
            </w:r>
            <w:r>
              <w:rPr>
                <w:rFonts w:hint="eastAsia" w:ascii="仿宋" w:hAnsi="仿宋" w:eastAsia="仿宋" w:cs="仿宋"/>
                <w:color w:val="auto"/>
                <w:sz w:val="24"/>
                <w:szCs w:val="24"/>
                <w:highlight w:val="none"/>
                <w:lang w:eastAsia="zh-CN"/>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12</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递交投标文件地点</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13</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资格要求</w:t>
            </w:r>
          </w:p>
        </w:tc>
        <w:tc>
          <w:tcPr>
            <w:tcW w:w="6062" w:type="dxa"/>
            <w:noWrap/>
            <w:vAlign w:val="center"/>
          </w:tcPr>
          <w:p>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资质要求同招标公告。</w:t>
            </w:r>
          </w:p>
          <w:p>
            <w:pPr>
              <w:spacing w:line="360" w:lineRule="auto"/>
              <w:jc w:val="left"/>
              <w:rPr>
                <w:rFonts w:ascii="仿宋" w:hAnsi="仿宋" w:eastAsia="仿宋" w:cs="仿宋"/>
                <w:color w:val="auto"/>
                <w:sz w:val="24"/>
                <w:szCs w:val="24"/>
              </w:rPr>
            </w:pPr>
            <w:r>
              <w:rPr>
                <w:rFonts w:hint="eastAsia" w:ascii="仿宋" w:hAnsi="仿宋" w:eastAsia="仿宋" w:cs="仿宋"/>
                <w:bCs/>
                <w:color w:val="auto"/>
                <w:sz w:val="24"/>
                <w:szCs w:val="24"/>
              </w:rPr>
              <w:t>必备资质中</w:t>
            </w:r>
            <w:r>
              <w:rPr>
                <w:rFonts w:hint="eastAsia" w:ascii="仿宋" w:hAnsi="仿宋" w:eastAsia="仿宋" w:cs="仿宋"/>
                <w:bCs/>
                <w:color w:val="auto"/>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14</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投标保证金</w:t>
            </w:r>
          </w:p>
        </w:tc>
        <w:tc>
          <w:tcPr>
            <w:tcW w:w="6062" w:type="dxa"/>
            <w:noWrap/>
            <w:vAlign w:val="center"/>
          </w:tcPr>
          <w:p>
            <w:pPr>
              <w:spacing w:line="360" w:lineRule="auto"/>
              <w:rPr>
                <w:rFonts w:ascii="仿宋" w:hAnsi="仿宋" w:eastAsia="仿宋" w:cs="仿宋"/>
                <w:color w:val="auto"/>
                <w:sz w:val="24"/>
                <w:szCs w:val="24"/>
                <w:lang w:val="zh-CN"/>
              </w:rPr>
            </w:pPr>
            <w:r>
              <w:rPr>
                <w:rFonts w:hint="eastAsia" w:ascii="仿宋" w:hAnsi="仿宋" w:eastAsia="仿宋" w:cs="仿宋"/>
                <w:color w:val="auto"/>
                <w:sz w:val="24"/>
                <w:szCs w:val="24"/>
                <w:lang w:val="zh-CN"/>
              </w:rPr>
              <w:t>在投标截止前到账。</w:t>
            </w:r>
          </w:p>
          <w:p>
            <w:pPr>
              <w:spacing w:line="360" w:lineRule="auto"/>
              <w:rPr>
                <w:rFonts w:hint="eastAsia" w:ascii="仿宋" w:hAnsi="仿宋" w:eastAsia="仿宋" w:cs="仿宋"/>
                <w:color w:val="auto"/>
              </w:rPr>
            </w:pPr>
            <w:r>
              <w:rPr>
                <w:rFonts w:hint="eastAsia" w:ascii="仿宋" w:hAnsi="仿宋" w:eastAsia="仿宋" w:cs="仿宋"/>
                <w:color w:val="auto"/>
                <w:sz w:val="24"/>
                <w:szCs w:val="24"/>
              </w:rPr>
              <w:t>投标保证金的金额：</w:t>
            </w:r>
            <w:r>
              <w:rPr>
                <w:rFonts w:hint="eastAsia" w:ascii="仿宋" w:hAnsi="仿宋" w:eastAsia="仿宋" w:cs="仿宋"/>
                <w:color w:val="auto"/>
                <w:sz w:val="24"/>
                <w:szCs w:val="24"/>
                <w:lang w:eastAsia="zh-CN"/>
              </w:rPr>
              <w:t>人民币柒万元整</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70000.00</w:t>
            </w:r>
            <w:r>
              <w:rPr>
                <w:rFonts w:hint="eastAsia" w:ascii="仿宋" w:hAnsi="仿宋" w:eastAsia="仿宋" w:cs="仿宋"/>
                <w:color w:val="auto"/>
                <w:sz w:val="24"/>
                <w:szCs w:val="24"/>
              </w:rPr>
              <w:t>元）</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开户名称：</w:t>
            </w:r>
            <w:r>
              <w:rPr>
                <w:rFonts w:hint="eastAsia" w:ascii="仿宋" w:hAnsi="仿宋" w:eastAsia="仿宋" w:cs="仿宋"/>
                <w:color w:val="auto"/>
                <w:kern w:val="0"/>
                <w:sz w:val="24"/>
                <w:szCs w:val="24"/>
              </w:rPr>
              <w:t>陕西笃信招标有限公司</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kern w:val="0"/>
                <w:sz w:val="24"/>
                <w:szCs w:val="24"/>
              </w:rPr>
              <w:t>中国建设银行股份有限公司西安劳动北路支行</w:t>
            </w:r>
          </w:p>
          <w:p>
            <w:pPr>
              <w:tabs>
                <w:tab w:val="left" w:pos="9030"/>
              </w:tabs>
              <w:snapToGrid w:val="0"/>
              <w:spacing w:line="360" w:lineRule="auto"/>
              <w:ind w:right="-65"/>
              <w:rPr>
                <w:rFonts w:hint="eastAsia" w:ascii="仿宋" w:hAnsi="仿宋" w:eastAsia="仿宋" w:cs="仿宋"/>
                <w:color w:val="auto"/>
                <w:sz w:val="24"/>
                <w:szCs w:val="24"/>
              </w:rPr>
            </w:pPr>
            <w:r>
              <w:rPr>
                <w:rFonts w:hint="eastAsia" w:ascii="仿宋" w:hAnsi="仿宋" w:eastAsia="仿宋" w:cs="仿宋"/>
                <w:color w:val="auto"/>
                <w:sz w:val="24"/>
                <w:szCs w:val="24"/>
              </w:rPr>
              <w:t>账 号：</w:t>
            </w:r>
            <w:r>
              <w:rPr>
                <w:rFonts w:hint="eastAsia" w:ascii="仿宋" w:hAnsi="仿宋" w:eastAsia="仿宋" w:cs="仿宋"/>
                <w:color w:val="auto"/>
                <w:kern w:val="0"/>
                <w:sz w:val="24"/>
                <w:szCs w:val="24"/>
              </w:rPr>
              <w:t>61050174390000000193</w:t>
            </w:r>
          </w:p>
          <w:p>
            <w:pPr>
              <w:spacing w:line="360" w:lineRule="auto"/>
              <w:jc w:val="left"/>
              <w:rPr>
                <w:rFonts w:ascii="仿宋" w:hAnsi="仿宋" w:eastAsia="仿宋" w:cs="仿宋"/>
                <w:bCs/>
                <w:color w:val="auto"/>
                <w:sz w:val="24"/>
                <w:szCs w:val="24"/>
              </w:rPr>
            </w:pPr>
            <w:r>
              <w:rPr>
                <w:rFonts w:hint="eastAsia" w:ascii="仿宋" w:hAnsi="仿宋" w:eastAsia="仿宋" w:cs="仿宋"/>
                <w:color w:val="auto"/>
                <w:sz w:val="24"/>
                <w:szCs w:val="24"/>
              </w:rPr>
              <w:t>投标保证金缴纳后将投标保证金缴纳凭证附在响应文件中。投标保证金缴纳凭证作为投标保证金缴纳的唯一证据，否则投标按无效响应处理。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15</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062" w:type="dxa"/>
            <w:noWrap/>
            <w:vAlign w:val="center"/>
          </w:tcPr>
          <w:p>
            <w:pPr>
              <w:spacing w:line="360" w:lineRule="auto"/>
              <w:jc w:val="left"/>
              <w:rPr>
                <w:rFonts w:ascii="仿宋" w:hAnsi="仿宋" w:eastAsia="仿宋" w:cs="仿宋"/>
                <w:bCs/>
                <w:color w:val="auto"/>
                <w:sz w:val="24"/>
                <w:szCs w:val="24"/>
              </w:rPr>
            </w:pPr>
            <w:r>
              <w:rPr>
                <w:rFonts w:hint="eastAsia" w:ascii="仿宋" w:hAnsi="仿宋" w:eastAsia="仿宋" w:cs="仿宋"/>
                <w:bCs/>
                <w:color w:val="auto"/>
                <w:sz w:val="24"/>
                <w:szCs w:val="24"/>
              </w:rPr>
              <w:t>正本1份，副本3份，电子版1份（PDF和word文档格式，正版U盘存储，如因U盘问题导致文件无法打开，责任自负）</w:t>
            </w:r>
          </w:p>
          <w:p>
            <w:pPr>
              <w:spacing w:line="360" w:lineRule="auto"/>
              <w:jc w:val="left"/>
              <w:rPr>
                <w:rFonts w:ascii="仿宋" w:hAnsi="仿宋" w:eastAsia="仿宋" w:cs="仿宋"/>
                <w:bCs/>
                <w:color w:val="auto"/>
                <w:sz w:val="24"/>
                <w:szCs w:val="24"/>
              </w:rPr>
            </w:pPr>
            <w:r>
              <w:rPr>
                <w:rFonts w:hint="eastAsia" w:ascii="仿宋" w:hAnsi="仿宋" w:eastAsia="仿宋" w:cs="仿宋"/>
                <w:bCs/>
                <w:color w:val="auto"/>
                <w:sz w:val="24"/>
                <w:szCs w:val="24"/>
              </w:rPr>
              <w:t>注：</w:t>
            </w:r>
          </w:p>
          <w:p>
            <w:pPr>
              <w:spacing w:line="360" w:lineRule="auto"/>
              <w:jc w:val="left"/>
              <w:rPr>
                <w:rFonts w:ascii="仿宋" w:hAnsi="仿宋" w:eastAsia="仿宋" w:cs="仿宋"/>
                <w:bCs/>
                <w:color w:val="auto"/>
                <w:sz w:val="24"/>
                <w:szCs w:val="24"/>
              </w:rPr>
            </w:pPr>
            <w:r>
              <w:rPr>
                <w:rFonts w:hint="eastAsia" w:ascii="仿宋" w:hAnsi="仿宋" w:eastAsia="仿宋" w:cs="仿宋"/>
                <w:bCs/>
                <w:color w:val="auto"/>
                <w:sz w:val="24"/>
                <w:szCs w:val="24"/>
              </w:rPr>
              <w:t>1.招标文件中“第五部分四、</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资格证明文件”单独胶装成册1本，与投标文件正本一同密封。</w:t>
            </w:r>
          </w:p>
          <w:p>
            <w:pPr>
              <w:spacing w:line="360" w:lineRule="auto"/>
              <w:jc w:val="left"/>
              <w:rPr>
                <w:rFonts w:ascii="仿宋" w:hAnsi="仿宋" w:eastAsia="仿宋" w:cs="仿宋"/>
                <w:bCs/>
                <w:color w:val="auto"/>
                <w:sz w:val="24"/>
                <w:szCs w:val="24"/>
              </w:rPr>
            </w:pPr>
            <w:r>
              <w:rPr>
                <w:rFonts w:hint="eastAsia" w:ascii="仿宋" w:hAnsi="仿宋" w:eastAsia="仿宋" w:cs="仿宋"/>
                <w:bCs/>
                <w:color w:val="auto"/>
                <w:sz w:val="24"/>
                <w:szCs w:val="24"/>
              </w:rPr>
              <w:t>2.单独胶装的</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资格证明文件与投标文件正本中资格不一致时，以投标文件正本为准。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16</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对招标文件提出质疑的截止时间</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lang w:val="zh-CN"/>
              </w:rPr>
              <w:t>供应商在招标文件、开标过程、中标结果使自己的权益受到损害的</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可以在知道或者应知其权益受到损害之日起七个工作日内</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以书面形式向采购代理机构提出</w:t>
            </w:r>
            <w:r>
              <w:rPr>
                <w:rFonts w:hint="eastAsia" w:ascii="仿宋" w:hAnsi="仿宋" w:eastAsia="仿宋" w:cs="仿宋"/>
                <w:color w:val="auto"/>
                <w:sz w:val="24"/>
                <w:szCs w:val="24"/>
              </w:rPr>
              <w:t>（同时须将此书面文件电子版一份发送至采购代理机构电子邮箱，电子邮件：2059407584@qq.com），</w:t>
            </w:r>
            <w:r>
              <w:rPr>
                <w:rFonts w:hint="eastAsia" w:ascii="仿宋" w:hAnsi="仿宋" w:eastAsia="仿宋" w:cs="仿宋"/>
                <w:color w:val="auto"/>
                <w:sz w:val="24"/>
                <w:szCs w:val="24"/>
                <w:lang w:val="zh-CN"/>
              </w:rPr>
              <w:t>采购代理机构将予以答复</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以书面形式发给所有购买招标文件的供应商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17</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确认收到澄清或者修改的时间</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18</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投标有效期</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19</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是否接受</w:t>
            </w:r>
          </w:p>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联合体投标</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答疑会</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21</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投标文件装订要求</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投标文件建议双面打印，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22</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投标文件的签署要求</w:t>
            </w:r>
          </w:p>
        </w:tc>
        <w:tc>
          <w:tcPr>
            <w:tcW w:w="6062" w:type="dxa"/>
            <w:noWrap/>
            <w:vAlign w:val="center"/>
          </w:tcPr>
          <w:p>
            <w:pPr>
              <w:spacing w:line="360" w:lineRule="auto"/>
              <w:rPr>
                <w:rFonts w:ascii="仿宋" w:hAnsi="仿宋" w:eastAsia="仿宋" w:cs="仿宋"/>
                <w:bCs/>
                <w:color w:val="auto"/>
                <w:sz w:val="24"/>
                <w:szCs w:val="24"/>
              </w:rPr>
            </w:pPr>
            <w:r>
              <w:rPr>
                <w:rFonts w:hint="eastAsia" w:ascii="仿宋" w:hAnsi="仿宋" w:eastAsia="仿宋" w:cs="仿宋"/>
                <w:color w:val="auto"/>
                <w:sz w:val="24"/>
                <w:szCs w:val="24"/>
                <w:lang w:val="zh-CN"/>
              </w:rPr>
              <w:t>投标文件应加盖供应商红色公章</w:t>
            </w:r>
            <w:r>
              <w:rPr>
                <w:rFonts w:hint="eastAsia" w:ascii="仿宋" w:hAnsi="仿宋" w:eastAsia="仿宋" w:cs="仿宋"/>
                <w:bCs/>
                <w:color w:val="auto"/>
                <w:sz w:val="24"/>
                <w:szCs w:val="24"/>
              </w:rPr>
              <w:t>并按</w:t>
            </w:r>
            <w:r>
              <w:rPr>
                <w:rFonts w:hint="eastAsia" w:ascii="仿宋" w:hAnsi="仿宋" w:eastAsia="仿宋" w:cs="仿宋"/>
                <w:bCs/>
                <w:color w:val="auto"/>
                <w:sz w:val="24"/>
                <w:szCs w:val="24"/>
                <w:lang w:eastAsia="zh-CN"/>
              </w:rPr>
              <w:t>照</w:t>
            </w:r>
            <w:r>
              <w:rPr>
                <w:rFonts w:hint="eastAsia" w:ascii="仿宋" w:hAnsi="仿宋" w:eastAsia="仿宋" w:cs="仿宋"/>
                <w:bCs/>
                <w:color w:val="auto"/>
                <w:sz w:val="24"/>
                <w:szCs w:val="24"/>
              </w:rPr>
              <w:t>招标文件要求由法定代表人（或授权代表人）签字。</w:t>
            </w:r>
          </w:p>
          <w:p>
            <w:pPr>
              <w:spacing w:line="360" w:lineRule="auto"/>
              <w:rPr>
                <w:rFonts w:ascii="仿宋" w:hAnsi="仿宋" w:eastAsia="仿宋" w:cs="仿宋"/>
                <w:color w:val="auto"/>
                <w:sz w:val="24"/>
                <w:szCs w:val="24"/>
              </w:rPr>
            </w:pPr>
            <w:r>
              <w:rPr>
                <w:rFonts w:hint="eastAsia" w:ascii="仿宋" w:hAnsi="仿宋" w:eastAsia="仿宋" w:cs="仿宋"/>
                <w:bCs/>
                <w:color w:val="auto"/>
                <w:sz w:val="24"/>
                <w:szCs w:val="24"/>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884" w:type="dxa"/>
            <w:noWrap/>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23</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投标文件密封</w:t>
            </w:r>
          </w:p>
        </w:tc>
        <w:tc>
          <w:tcPr>
            <w:tcW w:w="6062" w:type="dxa"/>
            <w:noWrap/>
            <w:vAlign w:val="center"/>
          </w:tcPr>
          <w:p>
            <w:pPr>
              <w:tabs>
                <w:tab w:val="left" w:pos="9030"/>
              </w:tabs>
              <w:snapToGrid w:val="0"/>
              <w:spacing w:line="360" w:lineRule="auto"/>
              <w:ind w:right="-65"/>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）供应商应将投标文件分为</w:t>
            </w:r>
            <w:r>
              <w:rPr>
                <w:rFonts w:hint="eastAsia" w:ascii="仿宋" w:hAnsi="仿宋" w:eastAsia="仿宋" w:cs="仿宋"/>
                <w:color w:val="auto"/>
                <w:sz w:val="24"/>
                <w:szCs w:val="24"/>
              </w:rPr>
              <w:t>3个包装袋。</w:t>
            </w:r>
            <w:r>
              <w:rPr>
                <w:rFonts w:hint="eastAsia" w:ascii="仿宋" w:hAnsi="仿宋" w:eastAsia="仿宋" w:cs="仿宋"/>
                <w:color w:val="auto"/>
                <w:sz w:val="24"/>
                <w:szCs w:val="24"/>
                <w:lang w:val="zh-CN"/>
              </w:rPr>
              <w:t>正本单独密封、所有副本密封，投标文件电子版单独密封且在外层包装上标明字样。</w:t>
            </w:r>
          </w:p>
          <w:p>
            <w:pPr>
              <w:tabs>
                <w:tab w:val="left" w:pos="9030"/>
              </w:tabs>
              <w:snapToGrid w:val="0"/>
              <w:spacing w:line="360" w:lineRule="auto"/>
              <w:ind w:right="-65"/>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外层包装应加封条密封，在封线处加盖公章（骑缝章），标明项目编号、项目名称</w:t>
            </w:r>
            <w:r>
              <w:rPr>
                <w:rFonts w:hint="eastAsia" w:ascii="仿宋" w:hAnsi="仿宋" w:eastAsia="仿宋" w:cs="仿宋"/>
                <w:color w:val="auto"/>
                <w:sz w:val="24"/>
                <w:szCs w:val="24"/>
              </w:rPr>
              <w:t>及标段名称</w:t>
            </w:r>
            <w:r>
              <w:rPr>
                <w:rFonts w:hint="eastAsia" w:ascii="仿宋" w:hAnsi="仿宋" w:eastAsia="仿宋" w:cs="仿宋"/>
                <w:color w:val="auto"/>
                <w:sz w:val="24"/>
                <w:szCs w:val="24"/>
                <w:lang w:val="zh-CN"/>
              </w:rPr>
              <w:t>，供应商全称（公章）、在</w:t>
            </w:r>
            <w:r>
              <w:rPr>
                <w:rFonts w:hint="eastAsia" w:ascii="仿宋" w:hAnsi="仿宋" w:eastAsia="仿宋" w:cs="仿宋"/>
                <w:color w:val="auto"/>
                <w:sz w:val="24"/>
                <w:szCs w:val="24"/>
              </w:rPr>
              <w:t>XXXX年XX月XX日XX：XX前不得启封</w:t>
            </w:r>
            <w:r>
              <w:rPr>
                <w:rFonts w:hint="eastAsia" w:ascii="仿宋" w:hAnsi="仿宋" w:eastAsia="仿宋" w:cs="仿宋"/>
                <w:color w:val="auto"/>
                <w:sz w:val="24"/>
                <w:szCs w:val="24"/>
                <w:lang w:val="zh-CN"/>
              </w:rPr>
              <w:t>等内容。</w:t>
            </w:r>
          </w:p>
          <w:p>
            <w:pPr>
              <w:tabs>
                <w:tab w:val="left" w:pos="9030"/>
              </w:tabs>
              <w:snapToGrid w:val="0"/>
              <w:spacing w:line="360" w:lineRule="auto"/>
              <w:rPr>
                <w:rFonts w:ascii="仿宋" w:hAnsi="仿宋" w:eastAsia="仿宋" w:cs="仿宋"/>
                <w:color w:val="auto"/>
                <w:sz w:val="24"/>
                <w:szCs w:val="24"/>
              </w:rPr>
            </w:pPr>
            <w:r>
              <w:rPr>
                <w:rFonts w:hint="eastAsia" w:ascii="仿宋" w:hAnsi="仿宋" w:eastAsia="仿宋" w:cs="仿宋"/>
                <w:b/>
                <w:bCs/>
                <w:color w:val="auto"/>
                <w:sz w:val="24"/>
                <w:szCs w:val="24"/>
              </w:rPr>
              <w:t>注：如果投标文件未按要求密封和加写标记，采购代理机构将不予接受。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84"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24</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中标公告公示媒体</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884" w:type="dxa"/>
            <w:noWrap/>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2153" w:type="dxa"/>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中标服务费</w:t>
            </w:r>
          </w:p>
        </w:tc>
        <w:tc>
          <w:tcPr>
            <w:tcW w:w="6062" w:type="dxa"/>
            <w:noWrap/>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采购代理服务费依据《国家计委关于印发招标代理服务收费管理暂行办法的通知》（计价格【2002】1980号）和国家发改委办公厅颁发的《关于招标代理服务收费有关问题的通知》（发改办价格【2003】857号）文件规定标准收取。</w:t>
            </w:r>
          </w:p>
        </w:tc>
      </w:tr>
    </w:tbl>
    <w:p>
      <w:pPr>
        <w:keepNext w:val="0"/>
        <w:keepLines w:val="0"/>
        <w:pageBreakBefore/>
        <w:kinsoku/>
        <w:wordWrap/>
        <w:overflowPunct/>
        <w:topLinePunct w:val="0"/>
        <w:bidi w:val="0"/>
        <w:spacing w:line="360" w:lineRule="auto"/>
        <w:ind w:right="0" w:firstLine="482" w:firstLineChars="200"/>
        <w:textAlignment w:val="auto"/>
        <w:outlineLvl w:val="1"/>
        <w:rPr>
          <w:rFonts w:ascii="仿宋" w:hAnsi="仿宋" w:eastAsia="仿宋" w:cs="仿宋"/>
          <w:b/>
          <w:bCs/>
          <w:color w:val="auto"/>
          <w:sz w:val="24"/>
          <w:szCs w:val="24"/>
          <w:lang w:val="zh-CN"/>
        </w:rPr>
      </w:pPr>
      <w:bookmarkStart w:id="24" w:name="_Toc15159"/>
      <w:bookmarkStart w:id="25" w:name="_Toc17277"/>
      <w:bookmarkStart w:id="26" w:name="_Toc24650"/>
      <w:bookmarkStart w:id="27" w:name="_Toc25772"/>
      <w:bookmarkStart w:id="28" w:name="_Toc32757"/>
      <w:bookmarkStart w:id="29" w:name="_Toc4994"/>
      <w:bookmarkStart w:id="30" w:name="_Toc31912"/>
      <w:r>
        <w:rPr>
          <w:rFonts w:hint="eastAsia" w:ascii="仿宋" w:hAnsi="仿宋" w:eastAsia="仿宋" w:cs="仿宋"/>
          <w:b/>
          <w:bCs/>
          <w:color w:val="auto"/>
          <w:sz w:val="24"/>
          <w:szCs w:val="24"/>
          <w:lang w:val="zh-CN"/>
        </w:rPr>
        <w:t>一、总则</w:t>
      </w:r>
      <w:bookmarkEnd w:id="22"/>
      <w:bookmarkEnd w:id="23"/>
      <w:bookmarkEnd w:id="24"/>
      <w:bookmarkEnd w:id="25"/>
      <w:bookmarkEnd w:id="26"/>
      <w:bookmarkEnd w:id="27"/>
      <w:bookmarkEnd w:id="28"/>
      <w:bookmarkEnd w:id="29"/>
      <w:bookmarkEnd w:id="30"/>
    </w:p>
    <w:p>
      <w:pPr>
        <w:keepNext w:val="0"/>
        <w:keepLines w:val="0"/>
        <w:kinsoku/>
        <w:wordWrap/>
        <w:overflowPunct/>
        <w:topLinePunct w:val="0"/>
        <w:bidi w:val="0"/>
        <w:spacing w:line="360" w:lineRule="auto"/>
        <w:ind w:right="0" w:firstLine="482" w:firstLineChars="200"/>
        <w:textAlignment w:val="auto"/>
        <w:outlineLvl w:val="2"/>
        <w:rPr>
          <w:rFonts w:ascii="仿宋" w:hAnsi="仿宋" w:eastAsia="仿宋" w:cs="仿宋"/>
          <w:color w:val="auto"/>
          <w:sz w:val="24"/>
          <w:szCs w:val="24"/>
          <w:lang w:val="zh-CN"/>
        </w:rPr>
      </w:pPr>
      <w:bookmarkStart w:id="31" w:name="_Toc7648"/>
      <w:bookmarkStart w:id="32" w:name="_Toc8124"/>
      <w:bookmarkStart w:id="33" w:name="_Toc19812"/>
      <w:bookmarkStart w:id="34" w:name="_Toc14386"/>
      <w:bookmarkStart w:id="35" w:name="_Toc6093"/>
      <w:bookmarkStart w:id="36" w:name="_Toc6337"/>
      <w:bookmarkStart w:id="37" w:name="_Toc8357"/>
      <w:bookmarkStart w:id="38" w:name="_Toc29110"/>
      <w:bookmarkStart w:id="39" w:name="_Toc346"/>
      <w:r>
        <w:rPr>
          <w:rFonts w:hint="eastAsia" w:ascii="仿宋" w:hAnsi="仿宋" w:eastAsia="仿宋" w:cs="仿宋"/>
          <w:b/>
          <w:bCs/>
          <w:color w:val="auto"/>
          <w:sz w:val="24"/>
          <w:szCs w:val="24"/>
          <w:lang w:val="zh-CN"/>
        </w:rPr>
        <w:t>（一）适用范围</w:t>
      </w:r>
      <w:bookmarkEnd w:id="31"/>
      <w:bookmarkEnd w:id="32"/>
      <w:bookmarkEnd w:id="33"/>
      <w:bookmarkEnd w:id="34"/>
      <w:bookmarkEnd w:id="35"/>
      <w:bookmarkEnd w:id="36"/>
      <w:bookmarkEnd w:id="37"/>
      <w:bookmarkEnd w:id="38"/>
      <w:bookmarkEnd w:id="39"/>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1、本招标文件仅适用于本次招标所述的</w:t>
      </w:r>
      <w:r>
        <w:rPr>
          <w:rFonts w:hint="eastAsia" w:ascii="仿宋" w:hAnsi="仿宋" w:eastAsia="仿宋" w:cs="仿宋"/>
          <w:bCs/>
          <w:color w:val="auto"/>
          <w:sz w:val="24"/>
          <w:szCs w:val="24"/>
          <w:shd w:val="clear" w:color="auto" w:fill="FFFFFF"/>
          <w:lang w:eastAsia="zh-CN"/>
        </w:rPr>
        <w:t>秦岭国家植物园生物多样性保护项目</w:t>
      </w:r>
      <w:r>
        <w:rPr>
          <w:rFonts w:hint="eastAsia" w:ascii="仿宋" w:hAnsi="仿宋" w:eastAsia="仿宋" w:cs="仿宋"/>
          <w:color w:val="auto"/>
          <w:sz w:val="24"/>
          <w:szCs w:val="24"/>
        </w:rPr>
        <w:t>。</w:t>
      </w:r>
    </w:p>
    <w:bookmarkEnd w:id="19"/>
    <w:p>
      <w:pPr>
        <w:keepNext w:val="0"/>
        <w:keepLines w:val="0"/>
        <w:kinsoku/>
        <w:wordWrap/>
        <w:overflowPunct/>
        <w:topLinePunct w:val="0"/>
        <w:bidi w:val="0"/>
        <w:spacing w:line="360" w:lineRule="auto"/>
        <w:ind w:right="0" w:firstLine="482" w:firstLineChars="200"/>
        <w:textAlignment w:val="auto"/>
        <w:outlineLvl w:val="2"/>
        <w:rPr>
          <w:rFonts w:ascii="仿宋" w:hAnsi="仿宋" w:eastAsia="仿宋" w:cs="仿宋"/>
          <w:color w:val="auto"/>
          <w:sz w:val="24"/>
          <w:szCs w:val="24"/>
          <w:lang w:val="zh-CN"/>
        </w:rPr>
      </w:pPr>
      <w:bookmarkStart w:id="40" w:name="_Toc25233"/>
      <w:bookmarkStart w:id="41" w:name="_Toc97"/>
      <w:bookmarkStart w:id="42" w:name="_Toc28813"/>
      <w:bookmarkStart w:id="43" w:name="_Toc23118"/>
      <w:bookmarkStart w:id="44" w:name="_Toc11334"/>
      <w:bookmarkStart w:id="45" w:name="_Toc5174"/>
      <w:bookmarkStart w:id="46" w:name="_Toc26769"/>
      <w:bookmarkStart w:id="47" w:name="_Toc16802"/>
      <w:bookmarkStart w:id="48" w:name="_Toc29314"/>
      <w:r>
        <w:rPr>
          <w:rFonts w:hint="eastAsia" w:ascii="仿宋" w:hAnsi="仿宋" w:eastAsia="仿宋" w:cs="仿宋"/>
          <w:b/>
          <w:bCs/>
          <w:color w:val="auto"/>
          <w:sz w:val="24"/>
          <w:szCs w:val="24"/>
          <w:lang w:val="zh-CN"/>
        </w:rPr>
        <w:t>（二）名词解释</w:t>
      </w:r>
      <w:bookmarkEnd w:id="40"/>
      <w:bookmarkEnd w:id="41"/>
      <w:bookmarkEnd w:id="42"/>
      <w:bookmarkEnd w:id="43"/>
      <w:bookmarkEnd w:id="44"/>
      <w:bookmarkEnd w:id="45"/>
      <w:bookmarkEnd w:id="46"/>
      <w:bookmarkEnd w:id="47"/>
      <w:bookmarkEnd w:id="48"/>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bookmarkStart w:id="49" w:name="_Toc18136"/>
      <w:bookmarkStart w:id="50" w:name="_Toc13475"/>
      <w:bookmarkStart w:id="51" w:name="_Toc7846"/>
      <w:bookmarkStart w:id="52" w:name="_Toc2044"/>
      <w:bookmarkStart w:id="53" w:name="_Toc30999"/>
      <w:bookmarkStart w:id="54" w:name="_Toc24956"/>
      <w:bookmarkStart w:id="55" w:name="_Toc5691"/>
      <w:bookmarkStart w:id="56" w:name="_Toc2076"/>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采 购 人：秦岭国家植物园</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2、监督机构：</w:t>
      </w:r>
      <w:r>
        <w:rPr>
          <w:rFonts w:hint="eastAsia" w:ascii="仿宋" w:hAnsi="仿宋" w:eastAsia="仿宋" w:cs="仿宋"/>
          <w:color w:val="auto"/>
          <w:sz w:val="24"/>
          <w:szCs w:val="24"/>
        </w:rPr>
        <w:t>陕西省财政厅</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采购代理机构：陕西笃信招标有限公司</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应</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商：响应招标、参加投标竞争的法人、其他组织或者自然人。</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招标文件：含澄清、修改内容的书面资料和招标文件格式的统称。</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bCs/>
          <w:color w:val="auto"/>
          <w:sz w:val="24"/>
          <w:szCs w:val="24"/>
          <w:lang w:val="zh-CN"/>
        </w:rPr>
      </w:pPr>
      <w:bookmarkStart w:id="57" w:name="_Toc1119"/>
      <w:r>
        <w:rPr>
          <w:rFonts w:hint="eastAsia" w:ascii="仿宋" w:hAnsi="仿宋" w:eastAsia="仿宋" w:cs="仿宋"/>
          <w:b/>
          <w:bCs/>
          <w:color w:val="auto"/>
          <w:sz w:val="24"/>
          <w:szCs w:val="24"/>
          <w:lang w:val="zh-CN"/>
        </w:rPr>
        <w:t>二、招标文件</w:t>
      </w:r>
      <w:bookmarkEnd w:id="49"/>
      <w:bookmarkEnd w:id="50"/>
      <w:bookmarkEnd w:id="51"/>
      <w:bookmarkEnd w:id="52"/>
      <w:bookmarkEnd w:id="53"/>
      <w:bookmarkEnd w:id="54"/>
      <w:bookmarkEnd w:id="55"/>
      <w:bookmarkEnd w:id="56"/>
      <w:bookmarkEnd w:id="57"/>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b/>
          <w:color w:val="auto"/>
          <w:sz w:val="24"/>
          <w:szCs w:val="24"/>
          <w:lang w:val="zh-CN"/>
        </w:rPr>
      </w:pPr>
      <w:bookmarkStart w:id="58" w:name="_Toc24239"/>
      <w:bookmarkStart w:id="59" w:name="_Toc22798"/>
      <w:bookmarkStart w:id="60" w:name="_Toc1837"/>
      <w:bookmarkStart w:id="61" w:name="_Toc7194"/>
      <w:bookmarkStart w:id="62" w:name="_Toc236"/>
      <w:bookmarkStart w:id="63" w:name="_Toc12476"/>
      <w:bookmarkStart w:id="64" w:name="_Toc13189"/>
      <w:bookmarkStart w:id="65" w:name="_Toc16573"/>
      <w:bookmarkStart w:id="66" w:name="_Toc27613"/>
      <w:r>
        <w:rPr>
          <w:rFonts w:hint="eastAsia" w:ascii="仿宋" w:hAnsi="仿宋" w:eastAsia="仿宋" w:cs="仿宋"/>
          <w:b/>
          <w:color w:val="auto"/>
          <w:sz w:val="24"/>
          <w:szCs w:val="24"/>
          <w:lang w:val="zh-CN"/>
        </w:rPr>
        <w:t>（一）招标文件</w:t>
      </w:r>
      <w:bookmarkEnd w:id="58"/>
      <w:bookmarkEnd w:id="59"/>
      <w:bookmarkEnd w:id="60"/>
      <w:r>
        <w:rPr>
          <w:rFonts w:hint="eastAsia" w:ascii="仿宋" w:hAnsi="仿宋" w:eastAsia="仿宋" w:cs="仿宋"/>
          <w:b/>
          <w:color w:val="auto"/>
          <w:sz w:val="24"/>
          <w:szCs w:val="24"/>
          <w:lang w:val="zh-CN"/>
        </w:rPr>
        <w:t>的组成</w:t>
      </w:r>
      <w:bookmarkEnd w:id="61"/>
      <w:bookmarkEnd w:id="62"/>
      <w:bookmarkEnd w:id="63"/>
      <w:bookmarkEnd w:id="64"/>
      <w:bookmarkEnd w:id="65"/>
      <w:bookmarkEnd w:id="66"/>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招标文件以中文编制，招标文件包括</w:t>
      </w:r>
      <w:r>
        <w:rPr>
          <w:rFonts w:hint="eastAsia" w:ascii="仿宋" w:hAnsi="仿宋" w:eastAsia="仿宋" w:cs="仿宋"/>
          <w:color w:val="auto"/>
          <w:sz w:val="24"/>
          <w:szCs w:val="24"/>
        </w:rPr>
        <w:t>五</w:t>
      </w:r>
      <w:r>
        <w:rPr>
          <w:rFonts w:hint="eastAsia" w:ascii="仿宋" w:hAnsi="仿宋" w:eastAsia="仿宋" w:cs="仿宋"/>
          <w:color w:val="auto"/>
          <w:sz w:val="24"/>
          <w:szCs w:val="24"/>
          <w:lang w:val="zh-CN"/>
        </w:rPr>
        <w:t>部分，各供应商应根据招标文件中的所有内容及要求提交全部资料。</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招标文件是根据本项目的特点和需求编制，包括以下内容：</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招标公告</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供应商须知</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招标内容及要求</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合同主要条款及格式</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（5）投标文件格式</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color w:val="auto"/>
          <w:sz w:val="24"/>
          <w:szCs w:val="24"/>
          <w:lang w:val="zh-CN"/>
        </w:rPr>
      </w:pPr>
      <w:bookmarkStart w:id="67" w:name="_Toc15799"/>
      <w:bookmarkStart w:id="68" w:name="_Toc21971"/>
      <w:bookmarkStart w:id="69" w:name="_Toc257"/>
      <w:bookmarkStart w:id="70" w:name="_Toc6936"/>
      <w:bookmarkStart w:id="71" w:name="_Toc14375"/>
      <w:bookmarkStart w:id="72" w:name="_Toc6742"/>
      <w:bookmarkStart w:id="73" w:name="_Toc26386"/>
      <w:bookmarkStart w:id="74" w:name="_Toc16787"/>
      <w:bookmarkStart w:id="75" w:name="_Toc1308"/>
      <w:r>
        <w:rPr>
          <w:rFonts w:hint="eastAsia" w:ascii="仿宋" w:hAnsi="仿宋" w:eastAsia="仿宋" w:cs="仿宋"/>
          <w:b/>
          <w:bCs/>
          <w:color w:val="auto"/>
          <w:sz w:val="24"/>
          <w:szCs w:val="24"/>
        </w:rPr>
        <w:t>（二）</w:t>
      </w:r>
      <w:r>
        <w:rPr>
          <w:rFonts w:hint="eastAsia" w:ascii="仿宋" w:hAnsi="仿宋" w:eastAsia="仿宋" w:cs="仿宋"/>
          <w:b/>
          <w:bCs/>
          <w:color w:val="auto"/>
          <w:sz w:val="24"/>
          <w:szCs w:val="24"/>
          <w:lang w:val="zh-CN"/>
        </w:rPr>
        <w:t>招标文件的修改或澄清</w:t>
      </w:r>
      <w:bookmarkEnd w:id="67"/>
      <w:bookmarkEnd w:id="68"/>
      <w:bookmarkEnd w:id="69"/>
      <w:bookmarkEnd w:id="70"/>
      <w:bookmarkEnd w:id="71"/>
      <w:bookmarkEnd w:id="72"/>
      <w:bookmarkEnd w:id="73"/>
      <w:bookmarkEnd w:id="74"/>
      <w:bookmarkEnd w:id="75"/>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如果招标文件进行必要的澄清或者修改，将在发布招标公告的财政部门指定媒体上由采购代理机构发布更正公告，并以书面形式通知所有购买招标文件的单位。澄清或者修改的内容可能影响投标文件编制的，不足</w:t>
      </w:r>
      <w:r>
        <w:rPr>
          <w:rFonts w:hint="eastAsia" w:ascii="仿宋" w:hAnsi="仿宋" w:eastAsia="仿宋" w:cs="仿宋"/>
          <w:color w:val="auto"/>
          <w:sz w:val="24"/>
          <w:szCs w:val="24"/>
        </w:rPr>
        <w:t>15日</w:t>
      </w:r>
      <w:r>
        <w:rPr>
          <w:rFonts w:hint="eastAsia" w:ascii="仿宋" w:hAnsi="仿宋" w:eastAsia="仿宋" w:cs="仿宋"/>
          <w:color w:val="auto"/>
          <w:sz w:val="24"/>
          <w:szCs w:val="24"/>
          <w:lang w:val="zh-CN"/>
        </w:rPr>
        <w:t>的，采购代理机构将顺延提交投标文件的截止时间。澄清或者修改的内容为招标文件的组成部分。</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供应商在收到澄清或修改文件后，应在一个工作日内以书面形式（加盖公章）向采购代理机构予以确认。</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color w:val="auto"/>
          <w:sz w:val="24"/>
          <w:szCs w:val="24"/>
          <w:lang w:val="zh-CN"/>
        </w:rPr>
      </w:pPr>
      <w:bookmarkStart w:id="76" w:name="_Toc31779"/>
      <w:bookmarkStart w:id="77" w:name="_Toc1550"/>
      <w:bookmarkStart w:id="78" w:name="_Toc24184"/>
      <w:bookmarkStart w:id="79" w:name="_Toc2929"/>
      <w:bookmarkStart w:id="80" w:name="_Toc17894"/>
      <w:bookmarkStart w:id="81" w:name="_Toc12617"/>
      <w:bookmarkStart w:id="82" w:name="_Toc18646"/>
      <w:bookmarkStart w:id="83" w:name="_Toc26034"/>
      <w:bookmarkStart w:id="84" w:name="_Toc12729"/>
      <w:r>
        <w:rPr>
          <w:rFonts w:hint="eastAsia" w:ascii="仿宋" w:hAnsi="仿宋" w:eastAsia="仿宋" w:cs="仿宋"/>
          <w:b/>
          <w:bCs/>
          <w:color w:val="auto"/>
          <w:sz w:val="24"/>
          <w:szCs w:val="24"/>
        </w:rPr>
        <w:t>（三）</w:t>
      </w:r>
      <w:r>
        <w:rPr>
          <w:rFonts w:hint="eastAsia" w:ascii="仿宋" w:hAnsi="仿宋" w:eastAsia="仿宋" w:cs="仿宋"/>
          <w:b/>
          <w:bCs/>
          <w:color w:val="auto"/>
          <w:sz w:val="24"/>
          <w:szCs w:val="24"/>
          <w:lang w:val="zh-CN"/>
        </w:rPr>
        <w:t>招标文件的询问、质疑及答复</w:t>
      </w:r>
      <w:bookmarkEnd w:id="76"/>
      <w:bookmarkEnd w:id="77"/>
      <w:bookmarkEnd w:id="78"/>
      <w:bookmarkEnd w:id="79"/>
      <w:bookmarkEnd w:id="80"/>
      <w:bookmarkEnd w:id="81"/>
      <w:bookmarkEnd w:id="82"/>
      <w:bookmarkEnd w:id="83"/>
      <w:bookmarkEnd w:id="84"/>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供应商应仔细阅读和检查招标文件的全部内容。如发现缺页或附件不全，应及时向采购代理机构提出，以便补齐。</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供应商认为招标文件、招标过程、中标或者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5"/>
        <w:keepNext w:val="0"/>
        <w:keepLines w:val="0"/>
        <w:kinsoku/>
        <w:wordWrap/>
        <w:overflowPunct/>
        <w:topLinePunct w:val="0"/>
        <w:bidi w:val="0"/>
        <w:spacing w:before="0" w:beforeAutospacing="0" w:after="0" w:afterAutospacing="0" w:line="360" w:lineRule="auto"/>
        <w:ind w:right="0" w:firstLine="480" w:firstLineChars="200"/>
        <w:jc w:val="both"/>
        <w:textAlignment w:val="auto"/>
        <w:rPr>
          <w:rFonts w:ascii="仿宋" w:hAnsi="仿宋" w:eastAsia="仿宋" w:cs="仿宋"/>
          <w:color w:val="auto"/>
          <w:lang w:val="zh-CN"/>
        </w:rPr>
      </w:pPr>
      <w:r>
        <w:rPr>
          <w:rFonts w:hint="eastAsia" w:ascii="仿宋" w:hAnsi="仿宋" w:eastAsia="仿宋" w:cs="仿宋"/>
          <w:color w:val="auto"/>
        </w:rPr>
        <w:t>3、</w:t>
      </w:r>
      <w:r>
        <w:rPr>
          <w:rFonts w:hint="eastAsia" w:ascii="仿宋" w:hAnsi="仿宋" w:eastAsia="仿宋" w:cs="仿宋"/>
          <w:color w:val="auto"/>
          <w:lang w:val="zh-CN"/>
        </w:rPr>
        <w:t>供应商提出质疑应当有明确的请求和必要的证明材料。</w:t>
      </w:r>
    </w:p>
    <w:p>
      <w:pPr>
        <w:pStyle w:val="25"/>
        <w:keepNext w:val="0"/>
        <w:keepLines w:val="0"/>
        <w:kinsoku/>
        <w:wordWrap/>
        <w:overflowPunct/>
        <w:topLinePunct w:val="0"/>
        <w:bidi w:val="0"/>
        <w:spacing w:before="0" w:beforeAutospacing="0" w:after="0" w:afterAutospacing="0" w:line="360" w:lineRule="auto"/>
        <w:ind w:right="0" w:firstLine="480" w:firstLineChars="200"/>
        <w:jc w:val="both"/>
        <w:textAlignment w:val="auto"/>
        <w:rPr>
          <w:rFonts w:ascii="仿宋" w:hAnsi="仿宋" w:eastAsia="仿宋" w:cs="仿宋"/>
          <w:color w:val="auto"/>
          <w:lang w:val="zh-CN"/>
        </w:rPr>
      </w:pPr>
      <w:r>
        <w:rPr>
          <w:rFonts w:hint="eastAsia" w:ascii="仿宋" w:hAnsi="仿宋" w:eastAsia="仿宋" w:cs="仿宋"/>
          <w:color w:val="auto"/>
        </w:rPr>
        <w:t>4、</w:t>
      </w:r>
      <w:r>
        <w:rPr>
          <w:rFonts w:hint="eastAsia" w:ascii="仿宋" w:hAnsi="仿宋" w:eastAsia="仿宋" w:cs="仿宋"/>
          <w:color w:val="auto"/>
          <w:lang w:val="zh-CN"/>
        </w:rPr>
        <w:t>对于在规定时间内收到的供应商依法提出的询问或者质疑，采购代理机构将按程序在三个工作日内答复询问，七个工作日内答复质疑。</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供应商在收到答复后，应在两个工作日内以书面形式（加盖公章）向采购代理机构予以确认。</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color w:val="auto"/>
          <w:sz w:val="24"/>
          <w:szCs w:val="24"/>
          <w:lang w:val="zh-CN"/>
        </w:rPr>
      </w:pPr>
      <w:bookmarkStart w:id="85" w:name="_Toc17969"/>
      <w:bookmarkStart w:id="86" w:name="_Toc30411"/>
      <w:bookmarkStart w:id="87" w:name="_Toc18525"/>
      <w:bookmarkStart w:id="88" w:name="_Toc16954"/>
      <w:bookmarkStart w:id="89" w:name="_Toc27651"/>
      <w:bookmarkStart w:id="90" w:name="_Toc16614"/>
      <w:bookmarkStart w:id="91" w:name="_Toc30701"/>
      <w:bookmarkStart w:id="92" w:name="_Toc5426"/>
      <w:bookmarkStart w:id="93" w:name="_Toc28965"/>
      <w:r>
        <w:rPr>
          <w:rFonts w:hint="eastAsia" w:ascii="仿宋" w:hAnsi="仿宋" w:eastAsia="仿宋" w:cs="仿宋"/>
          <w:b/>
          <w:bCs/>
          <w:color w:val="auto"/>
          <w:sz w:val="24"/>
          <w:szCs w:val="24"/>
          <w:lang w:val="zh-CN"/>
        </w:rPr>
        <w:t>（四）招标文件的解释权</w:t>
      </w:r>
      <w:bookmarkEnd w:id="85"/>
      <w:bookmarkEnd w:id="86"/>
      <w:bookmarkEnd w:id="87"/>
      <w:bookmarkEnd w:id="88"/>
      <w:bookmarkEnd w:id="89"/>
      <w:bookmarkEnd w:id="90"/>
      <w:bookmarkEnd w:id="91"/>
      <w:bookmarkEnd w:id="92"/>
      <w:bookmarkEnd w:id="93"/>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供应商必须从采购代理机构</w:t>
      </w:r>
      <w:r>
        <w:rPr>
          <w:rFonts w:hint="eastAsia" w:ascii="仿宋" w:hAnsi="仿宋" w:eastAsia="仿宋" w:cs="仿宋"/>
          <w:color w:val="auto"/>
          <w:sz w:val="24"/>
          <w:szCs w:val="24"/>
        </w:rPr>
        <w:t>获取</w:t>
      </w:r>
      <w:r>
        <w:rPr>
          <w:rFonts w:hint="eastAsia" w:ascii="仿宋" w:hAnsi="仿宋" w:eastAsia="仿宋" w:cs="仿宋"/>
          <w:color w:val="auto"/>
          <w:sz w:val="24"/>
          <w:szCs w:val="24"/>
          <w:lang w:val="zh-CN"/>
        </w:rPr>
        <w:t>招标文件，供应商自行转让或复制招标文件视为无效。</w:t>
      </w:r>
    </w:p>
    <w:p>
      <w:pPr>
        <w:keepNext w:val="0"/>
        <w:keepLines w:val="0"/>
        <w:kinsoku/>
        <w:wordWrap/>
        <w:overflowPunct/>
        <w:topLinePunct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招标文件的解释权归采购代理机构。</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color w:val="auto"/>
          <w:sz w:val="24"/>
          <w:szCs w:val="24"/>
          <w:lang w:val="zh-CN"/>
        </w:rPr>
      </w:pPr>
      <w:bookmarkStart w:id="94" w:name="_Toc25911"/>
      <w:bookmarkStart w:id="95" w:name="_Toc12572"/>
      <w:bookmarkStart w:id="96" w:name="_Toc8593"/>
      <w:bookmarkStart w:id="97" w:name="_Toc18715"/>
      <w:bookmarkStart w:id="98" w:name="_Toc16073"/>
      <w:bookmarkStart w:id="99" w:name="_Toc14706"/>
      <w:bookmarkStart w:id="100" w:name="_Toc895"/>
      <w:bookmarkStart w:id="101" w:name="_Toc13318"/>
      <w:bookmarkStart w:id="102" w:name="_Toc5590"/>
      <w:r>
        <w:rPr>
          <w:rFonts w:hint="eastAsia" w:ascii="仿宋" w:hAnsi="仿宋" w:eastAsia="仿宋" w:cs="仿宋"/>
          <w:b/>
          <w:color w:val="auto"/>
          <w:sz w:val="24"/>
          <w:szCs w:val="24"/>
          <w:lang w:val="zh-CN"/>
        </w:rPr>
        <w:t>三、投标要求</w:t>
      </w:r>
      <w:bookmarkEnd w:id="94"/>
      <w:bookmarkEnd w:id="95"/>
      <w:bookmarkEnd w:id="96"/>
      <w:bookmarkEnd w:id="97"/>
      <w:bookmarkEnd w:id="98"/>
      <w:bookmarkEnd w:id="99"/>
      <w:bookmarkEnd w:id="100"/>
      <w:bookmarkEnd w:id="101"/>
      <w:bookmarkEnd w:id="102"/>
    </w:p>
    <w:p>
      <w:pPr>
        <w:keepNext w:val="0"/>
        <w:keepLines w:val="0"/>
        <w:kinsoku/>
        <w:wordWrap/>
        <w:overflowPunct/>
        <w:topLinePunct w:val="0"/>
        <w:bidi w:val="0"/>
        <w:snapToGrid w:val="0"/>
        <w:spacing w:line="360" w:lineRule="auto"/>
        <w:ind w:right="0" w:firstLine="482" w:firstLineChars="200"/>
        <w:textAlignment w:val="auto"/>
        <w:outlineLvl w:val="2"/>
        <w:rPr>
          <w:rFonts w:ascii="仿宋" w:hAnsi="仿宋" w:eastAsia="仿宋" w:cs="仿宋"/>
          <w:color w:val="auto"/>
          <w:sz w:val="24"/>
          <w:szCs w:val="24"/>
        </w:rPr>
      </w:pPr>
      <w:bookmarkStart w:id="103" w:name="_Toc9714"/>
      <w:bookmarkStart w:id="104" w:name="_Toc29863"/>
      <w:bookmarkStart w:id="105" w:name="_Toc11999"/>
      <w:bookmarkStart w:id="106" w:name="_Toc26583"/>
      <w:bookmarkStart w:id="107" w:name="_Toc7693"/>
      <w:bookmarkStart w:id="108" w:name="_Toc9226"/>
      <w:bookmarkStart w:id="109" w:name="_Toc6311"/>
      <w:bookmarkStart w:id="110" w:name="_Toc95"/>
      <w:bookmarkStart w:id="111" w:name="_Toc4313"/>
      <w:r>
        <w:rPr>
          <w:rFonts w:hint="eastAsia" w:ascii="仿宋" w:hAnsi="仿宋" w:eastAsia="仿宋" w:cs="仿宋"/>
          <w:b/>
          <w:bCs/>
          <w:color w:val="auto"/>
          <w:sz w:val="24"/>
          <w:szCs w:val="24"/>
        </w:rPr>
        <w:t>（一）投标内容</w:t>
      </w:r>
      <w:bookmarkEnd w:id="103"/>
      <w:bookmarkEnd w:id="104"/>
      <w:bookmarkEnd w:id="105"/>
      <w:bookmarkEnd w:id="106"/>
      <w:bookmarkEnd w:id="107"/>
      <w:bookmarkEnd w:id="108"/>
      <w:bookmarkEnd w:id="109"/>
      <w:bookmarkEnd w:id="110"/>
      <w:bookmarkEnd w:id="111"/>
    </w:p>
    <w:p>
      <w:pPr>
        <w:keepNext w:val="0"/>
        <w:keepLines w:val="0"/>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本次招标内容为</w:t>
      </w:r>
      <w:r>
        <w:rPr>
          <w:rFonts w:hint="eastAsia" w:ascii="仿宋" w:hAnsi="仿宋" w:eastAsia="仿宋" w:cs="仿宋"/>
          <w:bCs/>
          <w:color w:val="auto"/>
          <w:sz w:val="24"/>
          <w:szCs w:val="24"/>
          <w:shd w:val="clear" w:color="auto" w:fill="FFFFFF"/>
          <w:lang w:eastAsia="zh-CN"/>
        </w:rPr>
        <w:t>秦岭国家植物园生物多样性保护项目</w:t>
      </w:r>
      <w:r>
        <w:rPr>
          <w:rFonts w:hint="eastAsia" w:ascii="仿宋" w:hAnsi="仿宋" w:eastAsia="仿宋" w:cs="仿宋"/>
          <w:color w:val="auto"/>
          <w:sz w:val="24"/>
          <w:szCs w:val="24"/>
        </w:rPr>
        <w:t>，</w:t>
      </w:r>
      <w:r>
        <w:rPr>
          <w:rFonts w:hint="eastAsia" w:ascii="仿宋" w:hAnsi="仿宋" w:eastAsia="仿宋" w:cs="仿宋"/>
          <w:bCs/>
          <w:color w:val="auto"/>
          <w:sz w:val="24"/>
          <w:szCs w:val="24"/>
        </w:rPr>
        <w:t>各</w:t>
      </w:r>
      <w:r>
        <w:rPr>
          <w:rFonts w:hint="eastAsia" w:ascii="仿宋" w:hAnsi="仿宋" w:eastAsia="仿宋" w:cs="仿宋"/>
          <w:bCs/>
          <w:color w:val="auto"/>
          <w:sz w:val="24"/>
          <w:szCs w:val="24"/>
          <w:lang w:eastAsia="zh-CN"/>
        </w:rPr>
        <w:t>供应商</w:t>
      </w:r>
      <w:r>
        <w:rPr>
          <w:rFonts w:hint="eastAsia" w:ascii="仿宋" w:hAnsi="仿宋" w:eastAsia="仿宋" w:cs="仿宋"/>
          <w:color w:val="auto"/>
          <w:sz w:val="24"/>
          <w:szCs w:val="24"/>
        </w:rPr>
        <w:t>应仔细阅读招标文件中的所有事项、格式、条款和要求，对招标文件的全部</w:t>
      </w:r>
      <w:r>
        <w:rPr>
          <w:rFonts w:hint="eastAsia" w:ascii="仿宋" w:hAnsi="仿宋" w:eastAsia="仿宋" w:cs="仿宋"/>
          <w:bCs/>
          <w:color w:val="auto"/>
          <w:sz w:val="24"/>
          <w:szCs w:val="24"/>
        </w:rPr>
        <w:t>内容及要求做出实质性响应，提交相应资料。不得在其中选项投标或将其中内容再行分解，否则投标无效。</w:t>
      </w:r>
    </w:p>
    <w:p>
      <w:pPr>
        <w:keepNext w:val="0"/>
        <w:keepLines w:val="0"/>
        <w:kinsoku/>
        <w:wordWrap/>
        <w:overflowPunct/>
        <w:topLinePunct w:val="0"/>
        <w:bidi w:val="0"/>
        <w:snapToGrid w:val="0"/>
        <w:spacing w:line="360" w:lineRule="auto"/>
        <w:ind w:right="0" w:firstLine="482" w:firstLineChars="200"/>
        <w:textAlignment w:val="auto"/>
        <w:outlineLvl w:val="2"/>
        <w:rPr>
          <w:rFonts w:ascii="仿宋" w:hAnsi="仿宋" w:eastAsia="仿宋" w:cs="仿宋"/>
          <w:b/>
          <w:bCs/>
          <w:color w:val="auto"/>
          <w:sz w:val="24"/>
          <w:szCs w:val="24"/>
          <w:lang w:val="zh-CN"/>
        </w:rPr>
      </w:pPr>
      <w:bookmarkStart w:id="112" w:name="_Toc13972"/>
      <w:bookmarkStart w:id="113" w:name="_Toc6567"/>
      <w:bookmarkStart w:id="114" w:name="_Toc16899"/>
      <w:bookmarkStart w:id="115" w:name="_Toc27262"/>
      <w:bookmarkStart w:id="116" w:name="_Toc12463"/>
      <w:bookmarkStart w:id="117" w:name="_Toc16292"/>
      <w:bookmarkStart w:id="118" w:name="_Toc7503"/>
      <w:bookmarkStart w:id="119" w:name="_Toc15084"/>
      <w:bookmarkStart w:id="120" w:name="_Toc10463"/>
      <w:r>
        <w:rPr>
          <w:rFonts w:hint="eastAsia" w:ascii="仿宋" w:hAnsi="仿宋" w:eastAsia="仿宋" w:cs="仿宋"/>
          <w:b/>
          <w:bCs/>
          <w:color w:val="auto"/>
          <w:sz w:val="24"/>
          <w:szCs w:val="24"/>
        </w:rPr>
        <w:t>（二）</w:t>
      </w:r>
      <w:r>
        <w:rPr>
          <w:rFonts w:hint="eastAsia" w:ascii="仿宋" w:hAnsi="仿宋" w:eastAsia="仿宋" w:cs="仿宋"/>
          <w:b/>
          <w:bCs/>
          <w:color w:val="auto"/>
          <w:sz w:val="24"/>
          <w:szCs w:val="24"/>
          <w:lang w:val="zh-CN"/>
        </w:rPr>
        <w:t>合格的供应商要求</w:t>
      </w:r>
      <w:bookmarkEnd w:id="112"/>
      <w:bookmarkEnd w:id="113"/>
      <w:bookmarkEnd w:id="114"/>
      <w:bookmarkEnd w:id="115"/>
      <w:bookmarkEnd w:id="116"/>
      <w:bookmarkEnd w:id="117"/>
      <w:bookmarkEnd w:id="118"/>
      <w:bookmarkEnd w:id="119"/>
      <w:bookmarkEnd w:id="120"/>
    </w:p>
    <w:p>
      <w:pPr>
        <w:keepNext w:val="0"/>
        <w:keepLines w:val="0"/>
        <w:kinsoku/>
        <w:wordWrap/>
        <w:overflowPunct/>
        <w:topLinePunct w:val="0"/>
        <w:bidi w:val="0"/>
        <w:spacing w:line="360" w:lineRule="auto"/>
        <w:ind w:right="0" w:firstLine="482"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（1）基本资格条件：符合《中华人民共和国政府采购法》第二十二条的规定；</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1、提供统一社会信用代码的营业执</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 xml:space="preserve">或其他组织经营的合法凭证或自然人的提供身份证明文件； </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2、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 </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3、税收缴纳证明：</w:t>
      </w:r>
      <w:r>
        <w:rPr>
          <w:rFonts w:hint="eastAsia" w:ascii="仿宋" w:hAnsi="仿宋" w:eastAsia="仿宋" w:cs="仿宋"/>
          <w:color w:val="auto"/>
          <w:sz w:val="24"/>
          <w:szCs w:val="24"/>
          <w:lang w:eastAsia="zh-CN"/>
        </w:rPr>
        <w:t>提供已缴纳的开标截止日前连续6个月的纳税证明或完税证明</w:t>
      </w:r>
      <w:r>
        <w:rPr>
          <w:rFonts w:hint="eastAsia" w:ascii="仿宋" w:hAnsi="仿宋" w:eastAsia="仿宋" w:cs="仿宋"/>
          <w:color w:val="auto"/>
          <w:sz w:val="24"/>
          <w:szCs w:val="24"/>
        </w:rPr>
        <w:t>，纳税证明或完税证明上应有代收机构或税务机关的公章或业务专用章。依法免税的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应提供相关文件证明； </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4、社会保障资金缴纳证明：提供已缴存的</w:t>
      </w:r>
      <w:r>
        <w:rPr>
          <w:rFonts w:hint="eastAsia" w:ascii="仿宋" w:hAnsi="仿宋" w:eastAsia="仿宋" w:cs="仿宋"/>
          <w:color w:val="auto"/>
          <w:sz w:val="24"/>
          <w:szCs w:val="24"/>
          <w:lang w:eastAsia="zh-CN"/>
        </w:rPr>
        <w:t>开标截止日前连续6个月的</w:t>
      </w:r>
      <w:r>
        <w:rPr>
          <w:rFonts w:hint="eastAsia" w:ascii="仿宋" w:hAnsi="仿宋" w:eastAsia="仿宋" w:cs="仿宋"/>
          <w:color w:val="auto"/>
          <w:sz w:val="24"/>
          <w:szCs w:val="24"/>
        </w:rPr>
        <w:t>社会保障资金缴存单据或社保机构开具的社会保险参保缴费情况证明。成立时间至提交投标文件截止时间不足一个月或依法不需要缴纳社会保障资金的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应提供相关文件证明；</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5、出具履行合同所必需的设备和专业技术能力的书面声明； </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6、出具参加本次政府采购活动的书面声明； </w:t>
      </w:r>
    </w:p>
    <w:p>
      <w:pPr>
        <w:keepNext w:val="0"/>
        <w:keepLines w:val="0"/>
        <w:kinsoku/>
        <w:wordWrap/>
        <w:overflowPunct/>
        <w:topLinePunct w:val="0"/>
        <w:bidi w:val="0"/>
        <w:spacing w:line="360" w:lineRule="auto"/>
        <w:ind w:right="0" w:firstLine="482"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 xml:space="preserve">（2）特定资格条件： </w:t>
      </w:r>
    </w:p>
    <w:p>
      <w:pPr>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color w:val="auto"/>
          <w:sz w:val="24"/>
          <w:szCs w:val="24"/>
        </w:rPr>
        <w:t>；</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2、符合《财政部关于在政府采购活动中查询及使用信用记录有关问题的通知》（财库【2016】125号）文件中信用查询的要求（此项由采购人与采购代理单位在开标时查询，以现场查询为准）；</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b/>
          <w:bCs/>
          <w:color w:val="auto"/>
          <w:sz w:val="24"/>
          <w:szCs w:val="24"/>
          <w:lang w:val="zh-CN" w:eastAsia="zh-CN"/>
        </w:rPr>
      </w:pPr>
      <w:r>
        <w:rPr>
          <w:rFonts w:hint="eastAsia" w:ascii="仿宋" w:hAnsi="仿宋" w:eastAsia="仿宋" w:cs="仿宋"/>
          <w:color w:val="auto"/>
          <w:sz w:val="24"/>
          <w:szCs w:val="24"/>
          <w:lang w:val="en-US" w:eastAsia="zh-CN"/>
        </w:rPr>
        <w:t>3、投标</w:t>
      </w:r>
      <w:r>
        <w:rPr>
          <w:rFonts w:hint="eastAsia" w:ascii="仿宋" w:hAnsi="仿宋" w:eastAsia="仿宋" w:cs="仿宋"/>
          <w:color w:val="auto"/>
          <w:sz w:val="24"/>
          <w:szCs w:val="24"/>
        </w:rPr>
        <w:t>保证金转账凭证（复印件/扫描件加盖供应商红色公章）附在</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w:t>
      </w:r>
    </w:p>
    <w:p>
      <w:pPr>
        <w:keepNext w:val="0"/>
        <w:keepLines w:val="0"/>
        <w:kinsoku/>
        <w:wordWrap/>
        <w:overflowPunct/>
        <w:topLinePunct w:val="0"/>
        <w:autoSpaceDE w:val="0"/>
        <w:autoSpaceDN w:val="0"/>
        <w:bidi w:val="0"/>
        <w:adjustRightInd w:val="0"/>
        <w:spacing w:line="360" w:lineRule="auto"/>
        <w:ind w:right="0" w:firstLine="482" w:firstLineChars="200"/>
        <w:textAlignment w:val="auto"/>
        <w:outlineLvl w:val="2"/>
        <w:rPr>
          <w:rFonts w:ascii="仿宋" w:hAnsi="仿宋" w:eastAsia="仿宋" w:cs="仿宋"/>
          <w:b/>
          <w:bCs/>
          <w:color w:val="auto"/>
          <w:sz w:val="24"/>
          <w:szCs w:val="24"/>
        </w:rPr>
      </w:pPr>
      <w:bookmarkStart w:id="121" w:name="_Toc31732"/>
      <w:bookmarkStart w:id="122" w:name="_Toc15017"/>
      <w:bookmarkStart w:id="123" w:name="_Toc3918"/>
      <w:bookmarkStart w:id="124" w:name="_Toc12028"/>
      <w:bookmarkStart w:id="125" w:name="_Toc15273"/>
      <w:bookmarkStart w:id="126" w:name="_Toc20800"/>
      <w:bookmarkStart w:id="127" w:name="_Toc22506"/>
      <w:bookmarkStart w:id="128" w:name="_Toc28737"/>
      <w:bookmarkStart w:id="129" w:name="_Toc11454"/>
      <w:r>
        <w:rPr>
          <w:rFonts w:hint="eastAsia" w:ascii="仿宋" w:hAnsi="仿宋" w:eastAsia="仿宋" w:cs="仿宋"/>
          <w:b/>
          <w:bCs/>
          <w:color w:val="auto"/>
          <w:sz w:val="24"/>
          <w:szCs w:val="24"/>
        </w:rPr>
        <w:t>（三）</w:t>
      </w:r>
      <w:r>
        <w:rPr>
          <w:rFonts w:hint="eastAsia" w:ascii="仿宋" w:hAnsi="仿宋" w:eastAsia="仿宋" w:cs="仿宋"/>
          <w:b/>
          <w:bCs/>
          <w:color w:val="auto"/>
          <w:sz w:val="24"/>
          <w:szCs w:val="24"/>
          <w:lang w:val="zh-CN"/>
        </w:rPr>
        <w:t>限制投标要求</w:t>
      </w:r>
      <w:bookmarkEnd w:id="121"/>
      <w:bookmarkEnd w:id="122"/>
      <w:bookmarkEnd w:id="123"/>
      <w:bookmarkEnd w:id="124"/>
      <w:bookmarkEnd w:id="125"/>
      <w:bookmarkEnd w:id="126"/>
      <w:bookmarkEnd w:id="127"/>
      <w:bookmarkEnd w:id="128"/>
      <w:bookmarkEnd w:id="129"/>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供应商单位负责人为同一人或者存在直接控股、管理关系的不同供应商，不得参加同一项目或同一标段的政府采购活动。</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除单一来源采购项目外，为采购项目提供过整体设计、规范编制或者项目管理、监理、检测等服务的供应商，不得再参加同一项目的其他采购活动。</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zh-CN"/>
        </w:rPr>
        <w:t>对列入失信被执行人、重大税收违法失信主体名单、政府采购严重违法失信行为记录名单及其他不符合《中华人民共和国政府采购法》第二十二条规定条件的供应商，采购代理机构将拒绝其参与政府采购活动。</w:t>
      </w:r>
    </w:p>
    <w:p>
      <w:pPr>
        <w:keepNext w:val="0"/>
        <w:keepLines w:val="0"/>
        <w:kinsoku/>
        <w:wordWrap/>
        <w:overflowPunct/>
        <w:topLinePunct w:val="0"/>
        <w:autoSpaceDE w:val="0"/>
        <w:autoSpaceDN w:val="0"/>
        <w:bidi w:val="0"/>
        <w:adjustRightInd w:val="0"/>
        <w:spacing w:line="360" w:lineRule="auto"/>
        <w:ind w:right="0" w:firstLine="482" w:firstLineChars="200"/>
        <w:textAlignment w:val="auto"/>
        <w:rPr>
          <w:rFonts w:ascii="仿宋" w:hAnsi="仿宋" w:eastAsia="仿宋" w:cs="仿宋"/>
          <w:bCs/>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zh-CN"/>
        </w:rPr>
        <w:t>本次招标项目不接受联合体招标</w:t>
      </w:r>
      <w:r>
        <w:rPr>
          <w:rFonts w:hint="eastAsia" w:ascii="仿宋" w:hAnsi="仿宋" w:eastAsia="仿宋" w:cs="仿宋"/>
          <w:bCs/>
          <w:color w:val="auto"/>
          <w:sz w:val="24"/>
          <w:szCs w:val="24"/>
          <w:lang w:val="zh-CN"/>
        </w:rPr>
        <w:t>。</w:t>
      </w:r>
    </w:p>
    <w:p>
      <w:pPr>
        <w:keepNext w:val="0"/>
        <w:keepLines w:val="0"/>
        <w:tabs>
          <w:tab w:val="left" w:pos="9030"/>
        </w:tabs>
        <w:kinsoku/>
        <w:wordWrap/>
        <w:overflowPunct/>
        <w:topLinePunct w:val="0"/>
        <w:bidi w:val="0"/>
        <w:snapToGrid w:val="0"/>
        <w:spacing w:line="360" w:lineRule="auto"/>
        <w:ind w:right="0" w:firstLine="482" w:firstLineChars="200"/>
        <w:textAlignment w:val="auto"/>
        <w:outlineLvl w:val="2"/>
        <w:rPr>
          <w:rFonts w:ascii="仿宋" w:hAnsi="仿宋" w:eastAsia="仿宋" w:cs="仿宋"/>
          <w:b/>
          <w:bCs/>
          <w:color w:val="auto"/>
          <w:sz w:val="24"/>
          <w:szCs w:val="24"/>
          <w:lang w:val="zh-CN"/>
        </w:rPr>
      </w:pPr>
      <w:bookmarkStart w:id="130" w:name="_Toc25794"/>
      <w:bookmarkStart w:id="131" w:name="_Toc12838"/>
      <w:bookmarkStart w:id="132" w:name="_Toc13491"/>
      <w:bookmarkStart w:id="133" w:name="_Toc29714"/>
      <w:bookmarkStart w:id="134" w:name="_Toc2643"/>
      <w:bookmarkStart w:id="135" w:name="_Toc22410"/>
      <w:bookmarkStart w:id="136" w:name="_Toc9097"/>
      <w:bookmarkStart w:id="137" w:name="_Toc9223"/>
      <w:bookmarkStart w:id="138" w:name="_Toc1281"/>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val="zh-CN"/>
        </w:rPr>
        <w:t>投标文件有效期</w:t>
      </w:r>
      <w:bookmarkEnd w:id="130"/>
      <w:bookmarkEnd w:id="131"/>
      <w:bookmarkEnd w:id="132"/>
      <w:bookmarkEnd w:id="133"/>
      <w:bookmarkEnd w:id="134"/>
      <w:bookmarkEnd w:id="135"/>
      <w:bookmarkEnd w:id="136"/>
      <w:bookmarkEnd w:id="137"/>
      <w:bookmarkEnd w:id="138"/>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bCs/>
          <w:color w:val="auto"/>
          <w:sz w:val="24"/>
          <w:szCs w:val="24"/>
          <w:lang w:val="zh-CN"/>
        </w:rPr>
      </w:pPr>
      <w:r>
        <w:rPr>
          <w:rFonts w:hint="eastAsia" w:ascii="仿宋" w:hAnsi="仿宋" w:eastAsia="仿宋" w:cs="仿宋"/>
          <w:color w:val="auto"/>
          <w:sz w:val="24"/>
          <w:szCs w:val="24"/>
          <w:lang w:val="zh-CN"/>
        </w:rPr>
        <w:t>投标文件有效期为自开标之日起90个日历日，在有效期内投标文件对供应商具有法律约束力，以保证采购人完成评标、定标以及合同签订事项。中标供应商的投标文件有效期自动延长至合同执行完毕。</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b/>
          <w:color w:val="auto"/>
          <w:sz w:val="24"/>
          <w:szCs w:val="24"/>
          <w:lang w:val="zh-CN"/>
        </w:rPr>
      </w:pPr>
      <w:bookmarkStart w:id="139" w:name="_Toc10986"/>
      <w:bookmarkStart w:id="140" w:name="_Toc8253"/>
      <w:bookmarkStart w:id="141" w:name="_Toc32370"/>
      <w:bookmarkStart w:id="142" w:name="_Toc9574"/>
      <w:bookmarkStart w:id="143" w:name="_Toc15898"/>
      <w:bookmarkStart w:id="144" w:name="_Toc13087"/>
      <w:bookmarkStart w:id="145" w:name="_Toc21738"/>
      <w:bookmarkStart w:id="146" w:name="_Toc10948"/>
      <w:bookmarkStart w:id="147" w:name="_Toc19443"/>
      <w:r>
        <w:rPr>
          <w:rFonts w:hint="eastAsia" w:ascii="仿宋" w:hAnsi="仿宋" w:eastAsia="仿宋" w:cs="仿宋"/>
          <w:b/>
          <w:color w:val="auto"/>
          <w:sz w:val="24"/>
          <w:szCs w:val="24"/>
          <w:lang w:val="zh-CN"/>
        </w:rPr>
        <w:t>（五）投标文件的编写要求</w:t>
      </w:r>
      <w:bookmarkEnd w:id="139"/>
      <w:bookmarkEnd w:id="140"/>
      <w:bookmarkEnd w:id="141"/>
      <w:bookmarkEnd w:id="142"/>
      <w:bookmarkEnd w:id="143"/>
      <w:bookmarkEnd w:id="144"/>
      <w:bookmarkEnd w:id="145"/>
      <w:bookmarkEnd w:id="146"/>
      <w:bookmarkEnd w:id="147"/>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未从采购代理机构处直接购买招标文件的供应商，谢绝报价。投标文件必须根据采购代理机构发售的投标文件格式编写，各供应商对招标文件做出实质性响应。具体内容包括：</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对投标函中内容的响应；</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开标一览表（报价表）和</w:t>
      </w:r>
      <w:r>
        <w:rPr>
          <w:rFonts w:hint="eastAsia" w:ascii="仿宋" w:hAnsi="仿宋" w:eastAsia="仿宋" w:cs="仿宋"/>
          <w:color w:val="auto"/>
          <w:kern w:val="0"/>
          <w:sz w:val="24"/>
          <w:szCs w:val="24"/>
        </w:rPr>
        <w:t>分项报价表</w:t>
      </w:r>
      <w:r>
        <w:rPr>
          <w:rFonts w:hint="eastAsia" w:ascii="仿宋" w:hAnsi="仿宋" w:eastAsia="仿宋" w:cs="仿宋"/>
          <w:color w:val="auto"/>
          <w:sz w:val="24"/>
          <w:szCs w:val="24"/>
          <w:lang w:val="zh-CN"/>
        </w:rPr>
        <w:t>。</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供应商须出具的合格供应商要求文件，证明参加供应商是响应本项目招标的合格供应商。</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供应商为本次招标活动编制的实施方案，具有履行合同所必须的人员和专业技术能力，配备了相应的商务和技术人员，项目在组织实施、服务承诺等方面具体做法和保障措施。</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供应商提供相应业绩，证明其供应经验及能力，以及为招标活动提供的合理化建议。</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供应商根据招标文件载明采购活动的实际情况，拟在中标后将中标项目非主体、非关键性工作交由他人完成的，应当在投标文件中注明，并提供交由完成企业的营业执照、相应资质等内容，且其允许的资质范围包含本项目招标的内容。</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投标文件的编写:</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bCs/>
          <w:color w:val="auto"/>
          <w:sz w:val="24"/>
          <w:szCs w:val="24"/>
          <w:highlight w:val="none"/>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供应商需按招标文件的“第五部分”编写投标文件，</w:t>
      </w:r>
      <w:r>
        <w:rPr>
          <w:rFonts w:hint="eastAsia" w:ascii="仿宋" w:hAnsi="仿宋" w:eastAsia="仿宋" w:cs="仿宋"/>
          <w:bCs/>
          <w:color w:val="auto"/>
          <w:sz w:val="24"/>
          <w:szCs w:val="24"/>
        </w:rPr>
        <w:t>如有必要，可以增加附页，作为投标文件的组成部分。</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（2）投标文件编写说明:</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①供应商提交的投标文件以及供应商与采购代理机构就有关投标的所有来往通知、函件和文件均应使用简体中文。</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②除技术性能另有规定外，投标文件所使用的度量衡单位，均须采用国家法定计量单位。</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③供应商应仔细阅读招标文件，充分理解招标文件的要求。凡与招标文件的规定有重大不符合的投标文件，投标被拒绝。</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④凡没有按投标文件格式和内容编写、投标文件组成不全的供应商，投标被拒绝。</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⑤供应商必须对招标文件的所有规定和要求作出实质性响应，否则投标被拒绝。</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⑥供应商应仔细阅读招标文件的所有内容，按招标文件的要求提供投标文件，并保证所提供的全部资料的真实性，否则投标被拒绝。</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b/>
          <w:color w:val="auto"/>
          <w:sz w:val="24"/>
          <w:szCs w:val="24"/>
          <w:highlight w:val="none"/>
          <w:lang w:val="zh-CN"/>
        </w:rPr>
      </w:pPr>
      <w:bookmarkStart w:id="148" w:name="_Toc30294"/>
      <w:bookmarkStart w:id="149" w:name="_Toc2115"/>
      <w:bookmarkStart w:id="150" w:name="_Toc1222"/>
      <w:bookmarkStart w:id="151" w:name="_Toc20008"/>
      <w:bookmarkStart w:id="152" w:name="_Toc841"/>
      <w:bookmarkStart w:id="153" w:name="_Toc26915"/>
      <w:bookmarkStart w:id="154" w:name="_Toc11902"/>
      <w:bookmarkStart w:id="155" w:name="_Toc1681"/>
      <w:bookmarkStart w:id="156" w:name="_Toc14561"/>
      <w:r>
        <w:rPr>
          <w:rFonts w:hint="eastAsia" w:ascii="仿宋" w:hAnsi="仿宋" w:eastAsia="仿宋" w:cs="仿宋"/>
          <w:b/>
          <w:color w:val="auto"/>
          <w:sz w:val="24"/>
          <w:szCs w:val="24"/>
          <w:highlight w:val="none"/>
          <w:lang w:val="zh-CN"/>
        </w:rPr>
        <w:t>（六）投标报价要求</w:t>
      </w:r>
      <w:bookmarkEnd w:id="148"/>
      <w:bookmarkEnd w:id="149"/>
      <w:bookmarkEnd w:id="150"/>
      <w:bookmarkEnd w:id="151"/>
      <w:bookmarkEnd w:id="152"/>
      <w:bookmarkEnd w:id="153"/>
      <w:bookmarkEnd w:id="154"/>
      <w:bookmarkEnd w:id="155"/>
      <w:bookmarkEnd w:id="156"/>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rPr>
      </w:pPr>
      <w:bookmarkStart w:id="157" w:name="_Toc10555"/>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应在投标文件中的投标报价一览表上标明投标总报价</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eastAsia="zh-CN"/>
        </w:rPr>
        <w:t>交货期</w:t>
      </w:r>
      <w:r>
        <w:rPr>
          <w:rFonts w:hint="eastAsia" w:ascii="仿宋" w:hAnsi="仿宋" w:eastAsia="仿宋" w:cs="仿宋"/>
          <w:color w:val="auto"/>
          <w:sz w:val="24"/>
          <w:szCs w:val="24"/>
          <w:highlight w:val="none"/>
          <w:lang w:val="zh-CN"/>
        </w:rPr>
        <w:t>等，投标总报价</w:t>
      </w:r>
      <w:r>
        <w:rPr>
          <w:rFonts w:hint="eastAsia" w:ascii="仿宋" w:hAnsi="仿宋" w:eastAsia="仿宋" w:cs="仿宋"/>
          <w:color w:val="auto"/>
          <w:sz w:val="24"/>
          <w:szCs w:val="24"/>
          <w:highlight w:val="none"/>
        </w:rPr>
        <w:t>只能提交唯一报价，任何有选择的报价采购代理机构将不予接受，其投标文件视为无效文件。</w:t>
      </w:r>
    </w:p>
    <w:p>
      <w:pPr>
        <w:keepNext w:val="0"/>
        <w:keepLines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2、投标总价包括但不限于货物费、包装、生产、运输、装卸、安装调试费、检测验收费、保险、验收、税金等一切费用。</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凡因供应商对招标文件阅读不深、理解不透、误解、疏漏、或因市场行情了解不清造成的后果和风险均由供应商自行负责。</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供应商不得以低于成本的报价参与投标。当评标委员会认为，某供应商的报价或者部分分项报价存在明显不合理的低于成本的报价，有可能影响服务质量和不能诚信履约的，可要求该供应商在规定期限内，提供必要的书面文件予以解释和说明并附带相关证明材料；否则，评标委员会认定该供应商以低于成本价竞价，其投标文件作无效文件处理。</w:t>
      </w:r>
    </w:p>
    <w:p>
      <w:pPr>
        <w:pStyle w:val="90"/>
        <w:keepNext w:val="0"/>
        <w:keepLines w:val="0"/>
        <w:kinsoku/>
        <w:wordWrap/>
        <w:overflowPunct/>
        <w:topLinePunct w:val="0"/>
        <w:bidi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最低报价不是中标的唯一依据，投标过程中所产生的一切费用由供应商自行承担。</w:t>
      </w:r>
    </w:p>
    <w:bookmarkEnd w:id="157"/>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hint="eastAsia" w:ascii="仿宋" w:hAnsi="仿宋" w:eastAsia="仿宋" w:cs="仿宋"/>
          <w:b/>
          <w:color w:val="auto"/>
          <w:sz w:val="24"/>
          <w:szCs w:val="24"/>
          <w:lang w:val="zh-CN"/>
        </w:rPr>
      </w:pPr>
      <w:bookmarkStart w:id="158" w:name="_Toc25485"/>
      <w:bookmarkStart w:id="159" w:name="_Toc15088"/>
      <w:bookmarkStart w:id="160" w:name="_Toc30102"/>
      <w:bookmarkStart w:id="161" w:name="_Toc1393"/>
      <w:bookmarkStart w:id="162" w:name="_Toc29615"/>
      <w:bookmarkStart w:id="163" w:name="_Toc10101"/>
      <w:bookmarkStart w:id="164" w:name="_Toc1841"/>
      <w:bookmarkStart w:id="165" w:name="_Toc22665"/>
      <w:bookmarkStart w:id="166" w:name="_Toc31895"/>
      <w:bookmarkStart w:id="167" w:name="_Toc26728"/>
      <w:bookmarkStart w:id="168" w:name="_Toc9238"/>
      <w:bookmarkStart w:id="169" w:name="_Toc30010"/>
      <w:bookmarkStart w:id="170" w:name="_Toc21181"/>
      <w:bookmarkStart w:id="171" w:name="_Toc1719"/>
      <w:bookmarkStart w:id="172" w:name="_Toc24197"/>
      <w:bookmarkStart w:id="173" w:name="_Toc26261"/>
      <w:bookmarkStart w:id="174" w:name="_Toc3341"/>
      <w:bookmarkStart w:id="175" w:name="_Toc18340"/>
      <w:bookmarkStart w:id="176" w:name="_Toc10701"/>
      <w:bookmarkStart w:id="177" w:name="_Toc1086"/>
      <w:bookmarkStart w:id="178" w:name="_Toc14485"/>
      <w:bookmarkStart w:id="179" w:name="_Toc11741"/>
      <w:r>
        <w:rPr>
          <w:rFonts w:hint="eastAsia" w:ascii="仿宋" w:hAnsi="仿宋" w:eastAsia="仿宋" w:cs="仿宋"/>
          <w:b/>
          <w:color w:val="auto"/>
          <w:sz w:val="24"/>
          <w:szCs w:val="24"/>
          <w:lang w:val="zh-CN"/>
        </w:rPr>
        <w:t>（七）投标保证金</w:t>
      </w:r>
      <w:bookmarkEnd w:id="158"/>
      <w:bookmarkEnd w:id="159"/>
      <w:bookmarkEnd w:id="160"/>
      <w:bookmarkEnd w:id="161"/>
      <w:bookmarkEnd w:id="162"/>
      <w:bookmarkEnd w:id="163"/>
      <w:bookmarkEnd w:id="164"/>
      <w:bookmarkEnd w:id="165"/>
      <w:bookmarkEnd w:id="166"/>
      <w:bookmarkEnd w:id="167"/>
      <w:bookmarkEnd w:id="168"/>
      <w:bookmarkEnd w:id="169"/>
      <w:bookmarkEnd w:id="170"/>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1、为了确保投标活动顺利进行，各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须向代理机构递交投标保证金，投标保证金应当以支票、汇票、本票或者担保机构出具的保函等非现金方式提交。以电汇、转账等形式缴纳保证金应从</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账户转出，必须写明项目编号、项目名称（简称）也可和投标保证金字样，便于财务部查询登记，</w:t>
      </w:r>
      <w:r>
        <w:rPr>
          <w:rFonts w:hint="eastAsia" w:ascii="仿宋" w:hAnsi="仿宋" w:eastAsia="仿宋" w:cs="仿宋"/>
          <w:color w:val="auto"/>
          <w:sz w:val="24"/>
          <w:szCs w:val="24"/>
          <w:lang w:val="zh-CN"/>
        </w:rPr>
        <w:t>须在投标截止一个工作日前到账。</w:t>
      </w:r>
      <w:r>
        <w:rPr>
          <w:rFonts w:hint="eastAsia" w:ascii="仿宋" w:hAnsi="仿宋" w:eastAsia="仿宋" w:cs="仿宋"/>
          <w:color w:val="auto"/>
          <w:sz w:val="24"/>
          <w:szCs w:val="24"/>
        </w:rPr>
        <w:t>凡投标文件中未附保证金缴纳凭证（复印件加盖公章）的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，视为非响应性投标，其投标无效。</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保证金：</w:t>
      </w:r>
      <w:r>
        <w:rPr>
          <w:rFonts w:hint="eastAsia" w:ascii="仿宋" w:hAnsi="仿宋" w:eastAsia="仿宋" w:cs="仿宋"/>
          <w:color w:val="auto"/>
          <w:sz w:val="24"/>
          <w:szCs w:val="24"/>
          <w:highlight w:val="none"/>
          <w:lang w:eastAsia="zh-CN"/>
        </w:rPr>
        <w:t>人民币柒万元整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70000.00</w:t>
      </w:r>
      <w:r>
        <w:rPr>
          <w:rFonts w:hint="eastAsia" w:ascii="仿宋" w:hAnsi="仿宋" w:eastAsia="仿宋" w:cs="仿宋"/>
          <w:color w:val="auto"/>
          <w:sz w:val="24"/>
          <w:szCs w:val="24"/>
          <w:highlight w:val="none"/>
        </w:rPr>
        <w:t>元）</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保证金缴纳信息</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收取保证金单位名称：陕西</w:t>
      </w:r>
      <w:r>
        <w:rPr>
          <w:rFonts w:hint="eastAsia" w:ascii="仿宋" w:hAnsi="仿宋" w:eastAsia="仿宋" w:cs="仿宋"/>
          <w:color w:val="auto"/>
          <w:sz w:val="24"/>
          <w:szCs w:val="24"/>
          <w:lang w:eastAsia="zh-CN"/>
        </w:rPr>
        <w:t>笃信</w:t>
      </w:r>
      <w:r>
        <w:rPr>
          <w:rFonts w:hint="eastAsia" w:ascii="仿宋" w:hAnsi="仿宋" w:eastAsia="仿宋" w:cs="仿宋"/>
          <w:color w:val="auto"/>
          <w:sz w:val="24"/>
          <w:szCs w:val="24"/>
        </w:rPr>
        <w:t>招标有限公司</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lang w:eastAsia="zh-CN"/>
        </w:rPr>
        <w:t>中国建设银行股份有限公司西安劳动北路支行</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账   号：</w:t>
      </w:r>
      <w:r>
        <w:rPr>
          <w:rFonts w:hint="eastAsia" w:ascii="仿宋" w:hAnsi="仿宋" w:eastAsia="仿宋" w:cs="仿宋"/>
          <w:color w:val="auto"/>
          <w:sz w:val="24"/>
          <w:szCs w:val="24"/>
          <w:lang w:val="en-US" w:eastAsia="zh-CN"/>
        </w:rPr>
        <w:t>61050174390000000193</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未中标供应商的投标保证金，在中标通知书发出之日起五日内退还；中标供应商的投标保证金在合同签订之日五日内退还（</w:t>
      </w:r>
      <w:r>
        <w:rPr>
          <w:rFonts w:hint="eastAsia" w:ascii="仿宋" w:hAnsi="仿宋" w:eastAsia="仿宋" w:cs="仿宋"/>
          <w:b/>
          <w:bCs/>
          <w:color w:val="auto"/>
          <w:sz w:val="24"/>
          <w:szCs w:val="24"/>
          <w:lang w:val="zh-CN"/>
        </w:rPr>
        <w:t>需提供与采购人签订的合同复印件</w:t>
      </w:r>
      <w:r>
        <w:rPr>
          <w:rFonts w:hint="eastAsia" w:ascii="仿宋" w:hAnsi="仿宋" w:eastAsia="仿宋" w:cs="仿宋"/>
          <w:color w:val="auto"/>
          <w:sz w:val="24"/>
          <w:szCs w:val="24"/>
          <w:lang w:val="zh-CN"/>
        </w:rPr>
        <w:t>）。由供应商自身原因导致未及时退还的，由供应商自行负责。</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下列情况发生，保证金将不予退还：</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供应商在提交投标文件截止时间后撤回投标文件的；</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供应商在投标文件中提供虚假材料的；</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除因不可抗力或招标文件认可的情形以外，中标供应商不与采购人签订合同的；</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lang w:val="zh-CN"/>
        </w:rPr>
        <w:t>相互串通投标或者与采购人串通投标的，向采购人或者评标委员会成员行贿谋取中标的，以他人名义投标或者以其他方式弄虚作假骗取中标的；</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hint="eastAsia" w:ascii="仿宋" w:hAnsi="仿宋" w:eastAsia="仿宋" w:cs="仿宋"/>
          <w:b/>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中标供应商未能按规定交纳代理服务费的。</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b/>
          <w:color w:val="auto"/>
          <w:sz w:val="24"/>
          <w:szCs w:val="24"/>
          <w:lang w:val="zh-CN"/>
        </w:rPr>
      </w:pPr>
      <w:r>
        <w:rPr>
          <w:rFonts w:hint="eastAsia" w:ascii="仿宋" w:hAnsi="仿宋" w:eastAsia="仿宋" w:cs="仿宋"/>
          <w:b/>
          <w:color w:val="auto"/>
          <w:sz w:val="24"/>
          <w:szCs w:val="24"/>
          <w:lang w:val="zh-CN"/>
        </w:rPr>
        <w:t>（八）投标文件的式样和签署</w:t>
      </w:r>
      <w:bookmarkEnd w:id="171"/>
      <w:bookmarkEnd w:id="172"/>
      <w:bookmarkEnd w:id="173"/>
      <w:bookmarkEnd w:id="174"/>
      <w:bookmarkEnd w:id="175"/>
      <w:bookmarkEnd w:id="176"/>
      <w:bookmarkEnd w:id="177"/>
      <w:bookmarkEnd w:id="178"/>
      <w:bookmarkEnd w:id="179"/>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供应商应按照招标文件格式，准备正本一份、副本三份和投标文件电子版一份（提供与纸质投标文件一致的PDF格式和</w:t>
      </w:r>
      <w:r>
        <w:rPr>
          <w:rFonts w:hint="eastAsia" w:ascii="仿宋" w:hAnsi="仿宋" w:eastAsia="仿宋" w:cs="仿宋"/>
          <w:color w:val="auto"/>
          <w:sz w:val="24"/>
          <w:szCs w:val="24"/>
        </w:rPr>
        <w:t>word格式</w:t>
      </w:r>
      <w:r>
        <w:rPr>
          <w:rFonts w:hint="eastAsia" w:ascii="仿宋" w:hAnsi="仿宋" w:eastAsia="仿宋" w:cs="仿宋"/>
          <w:color w:val="auto"/>
          <w:sz w:val="24"/>
          <w:szCs w:val="24"/>
          <w:lang w:val="zh-CN"/>
        </w:rPr>
        <w:t>，U盘存储），投标文件的封面上应清楚地标记“正本”、“副本”、“电子版”字样。招标文件中“第五部分 四、供应商资格证明文件”单独胶装成册1本，与投标文件正本一同密封。</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pacing w:val="-6"/>
          <w:sz w:val="24"/>
          <w:szCs w:val="24"/>
        </w:rPr>
      </w:pPr>
      <w:r>
        <w:rPr>
          <w:rFonts w:hint="eastAsia" w:ascii="仿宋" w:hAnsi="仿宋" w:eastAsia="仿宋" w:cs="仿宋"/>
          <w:color w:val="auto"/>
          <w:sz w:val="24"/>
          <w:szCs w:val="24"/>
        </w:rPr>
        <w:t>2、投标文件的正本和所有的副本建议双面打印印并用不褪色蓝（黑）墨水（汁）书写，统一装订、标码，在每一页的正下方清楚标明页码等字样。</w:t>
      </w:r>
      <w:r>
        <w:rPr>
          <w:rFonts w:hint="eastAsia" w:ascii="仿宋" w:hAnsi="仿宋" w:eastAsia="仿宋" w:cs="仿宋"/>
          <w:color w:val="auto"/>
          <w:spacing w:val="-6"/>
          <w:sz w:val="24"/>
          <w:szCs w:val="24"/>
        </w:rPr>
        <w:t>因字迹不清、表达不准或不按给定的投标文件格式编制的投标文件，所引起的不利后果由</w:t>
      </w:r>
      <w:r>
        <w:rPr>
          <w:rFonts w:hint="eastAsia" w:ascii="仿宋" w:hAnsi="仿宋" w:eastAsia="仿宋" w:cs="仿宋"/>
          <w:color w:val="auto"/>
          <w:spacing w:val="-6"/>
          <w:sz w:val="24"/>
          <w:szCs w:val="24"/>
          <w:lang w:eastAsia="zh-CN"/>
        </w:rPr>
        <w:t>供应商</w:t>
      </w:r>
      <w:r>
        <w:rPr>
          <w:rFonts w:hint="eastAsia" w:ascii="仿宋" w:hAnsi="仿宋" w:eastAsia="仿宋" w:cs="仿宋"/>
          <w:color w:val="auto"/>
          <w:spacing w:val="-6"/>
          <w:sz w:val="24"/>
          <w:szCs w:val="24"/>
        </w:rPr>
        <w:t>自负。</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bCs/>
          <w:color w:val="auto"/>
          <w:sz w:val="24"/>
          <w:szCs w:val="24"/>
        </w:rPr>
      </w:pPr>
      <w:r>
        <w:rPr>
          <w:rFonts w:hint="eastAsia" w:ascii="仿宋" w:hAnsi="仿宋" w:eastAsia="仿宋" w:cs="仿宋"/>
          <w:color w:val="auto"/>
          <w:sz w:val="24"/>
          <w:szCs w:val="24"/>
        </w:rPr>
        <w:t>3、</w:t>
      </w:r>
      <w:r>
        <w:rPr>
          <w:rFonts w:hint="eastAsia" w:ascii="仿宋" w:hAnsi="仿宋" w:eastAsia="仿宋" w:cs="仿宋"/>
          <w:bCs/>
          <w:color w:val="auto"/>
          <w:sz w:val="24"/>
          <w:szCs w:val="24"/>
        </w:rPr>
        <w:t>投标文件必须加盖</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公章并按</w:t>
      </w:r>
      <w:r>
        <w:rPr>
          <w:rFonts w:hint="eastAsia" w:ascii="仿宋" w:hAnsi="仿宋" w:eastAsia="仿宋" w:cs="仿宋"/>
          <w:bCs/>
          <w:color w:val="auto"/>
          <w:sz w:val="24"/>
          <w:szCs w:val="24"/>
          <w:lang w:eastAsia="zh-CN"/>
        </w:rPr>
        <w:t>照</w:t>
      </w:r>
      <w:r>
        <w:rPr>
          <w:rFonts w:hint="eastAsia" w:ascii="仿宋" w:hAnsi="仿宋" w:eastAsia="仿宋" w:cs="仿宋"/>
          <w:bCs/>
          <w:color w:val="auto"/>
          <w:sz w:val="24"/>
          <w:szCs w:val="24"/>
        </w:rPr>
        <w:t>招标文件要求由法定代表人（或授权代表人）签字。若未按</w:t>
      </w:r>
      <w:r>
        <w:rPr>
          <w:rFonts w:hint="eastAsia" w:ascii="仿宋" w:hAnsi="仿宋" w:eastAsia="仿宋" w:cs="仿宋"/>
          <w:bCs/>
          <w:color w:val="auto"/>
          <w:sz w:val="24"/>
          <w:szCs w:val="24"/>
          <w:lang w:eastAsia="zh-CN"/>
        </w:rPr>
        <w:t>照</w:t>
      </w:r>
      <w:r>
        <w:rPr>
          <w:rFonts w:hint="eastAsia" w:ascii="仿宋" w:hAnsi="仿宋" w:eastAsia="仿宋" w:cs="仿宋"/>
          <w:bCs/>
          <w:color w:val="auto"/>
          <w:sz w:val="24"/>
          <w:szCs w:val="24"/>
        </w:rPr>
        <w:t>要求签署的，按无效文件处理。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4、投标文件的打印应清楚工整，统一采用A4纸编制（如部分附表需要用其他规格的复印纸编写，则应按A4复印纸折叠）。</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pacing w:val="2"/>
          <w:sz w:val="24"/>
          <w:szCs w:val="24"/>
          <w:lang w:val="zh-CN"/>
        </w:rPr>
        <w:t>除供应商对错处做必要修改外，投标文件不得行间插字、涂改和增删，如有修改错漏处，必须由供应商法定代表人或其授权人代表签字并加盖供应商公章。</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6、投标文件应牢固装订成册，不可插页抽页。牢固装订成册是指用适当的办法,书脊涂有胶粘剂以保证投标文件不至于散开或用简单办法不能将任何一页在没有任何损坏的情况下取出或插入。各种用活页夹、文件夹、塑料方便式书脊（插入式或穿孔式）装订均不认为是牢固装订。</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2"/>
        <w:rPr>
          <w:rFonts w:ascii="仿宋" w:hAnsi="仿宋" w:eastAsia="仿宋" w:cs="仿宋"/>
          <w:b/>
          <w:color w:val="auto"/>
          <w:sz w:val="24"/>
          <w:szCs w:val="24"/>
          <w:lang w:val="zh-CN"/>
        </w:rPr>
      </w:pPr>
      <w:bookmarkStart w:id="180" w:name="_Toc19200"/>
      <w:bookmarkStart w:id="181" w:name="_Toc14013"/>
      <w:bookmarkStart w:id="182" w:name="_Toc12544"/>
      <w:bookmarkStart w:id="183" w:name="_Toc22503"/>
      <w:bookmarkStart w:id="184" w:name="_Toc1531"/>
      <w:bookmarkStart w:id="185" w:name="_Toc5650"/>
      <w:bookmarkStart w:id="186" w:name="_Toc12685"/>
      <w:bookmarkStart w:id="187" w:name="_Toc32210"/>
      <w:bookmarkStart w:id="188" w:name="_Toc7086"/>
      <w:r>
        <w:rPr>
          <w:rFonts w:hint="eastAsia" w:ascii="仿宋" w:hAnsi="仿宋" w:eastAsia="仿宋" w:cs="仿宋"/>
          <w:b/>
          <w:color w:val="auto"/>
          <w:sz w:val="24"/>
          <w:szCs w:val="24"/>
          <w:lang w:val="zh-CN"/>
        </w:rPr>
        <w:t>（九）投标文件的密封和提交</w:t>
      </w:r>
      <w:bookmarkEnd w:id="180"/>
      <w:bookmarkEnd w:id="181"/>
      <w:bookmarkEnd w:id="182"/>
      <w:bookmarkEnd w:id="183"/>
      <w:bookmarkEnd w:id="184"/>
      <w:bookmarkEnd w:id="185"/>
      <w:bookmarkEnd w:id="186"/>
      <w:bookmarkEnd w:id="187"/>
      <w:bookmarkEnd w:id="188"/>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投标文件密封</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供应商应将投标文件分为</w:t>
      </w:r>
      <w:r>
        <w:rPr>
          <w:rFonts w:hint="eastAsia" w:ascii="仿宋" w:hAnsi="仿宋" w:eastAsia="仿宋" w:cs="仿宋"/>
          <w:color w:val="auto"/>
          <w:sz w:val="24"/>
          <w:szCs w:val="24"/>
        </w:rPr>
        <w:t>3个包装袋。</w:t>
      </w:r>
      <w:r>
        <w:rPr>
          <w:rFonts w:hint="eastAsia" w:ascii="仿宋" w:hAnsi="仿宋" w:eastAsia="仿宋" w:cs="仿宋"/>
          <w:color w:val="auto"/>
          <w:sz w:val="24"/>
          <w:szCs w:val="24"/>
          <w:lang w:val="zh-CN"/>
        </w:rPr>
        <w:t>正本单独密封、所有副本密封，投标文件电子版单独密封且在外层包装上标明字样。</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外层包装应加封条密封，在封线处加盖公章（骑缝章），标明项目编号、项目名称，供应商全称（公章）、在</w:t>
      </w:r>
      <w:r>
        <w:rPr>
          <w:rFonts w:hint="eastAsia" w:ascii="仿宋" w:hAnsi="仿宋" w:eastAsia="仿宋" w:cs="仿宋"/>
          <w:color w:val="auto"/>
          <w:sz w:val="24"/>
          <w:szCs w:val="24"/>
        </w:rPr>
        <w:t>XXXX年XX月XX日XX：XX前不得启封</w:t>
      </w:r>
      <w:r>
        <w:rPr>
          <w:rFonts w:hint="eastAsia" w:ascii="仿宋" w:hAnsi="仿宋" w:eastAsia="仿宋" w:cs="仿宋"/>
          <w:color w:val="auto"/>
          <w:sz w:val="24"/>
          <w:szCs w:val="24"/>
          <w:lang w:val="zh-CN"/>
        </w:rPr>
        <w:t>等内容。</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投标文件的递交</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在招标文件要求提交投标文件的截止时间前将投标文件密封送达投标地点，递交并办理签收手续，采购代理机构在收到投标文件后记载投标文件送达时间及密封情况，签收保存，并向供应商出具签收回执。</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对于要求提供合格供应商必备资格文件和业绩原件等相关资料的采购项目，供应商应将其内容与投标文件一起递交，并标明所提供资料原件的明细表（若文件未要求原件可不提供）。</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在招标文件要求提交投标文件的截止时间之后送达的投标文件和相关资料原件，为无效文件，采购代理机构拒绝接收。</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采购代理机构在招标文件规定的投标文件递交截止时间前，只负责投标文件和其相关资料原件的接收、登记和组织工作，对其投标文件和相关资料原件的有效性不负任何责任。</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投标文件递送后，在投标截止期前，供应商可以补充、修改或撤回其投标文件，并书面通知采购代理机构。补充、修改的内容应按招标文件的要求签署、盖章，密封后，作为投标文件的组成部分。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投标截止时间后，供应商不得对其投标文件做任何修改。</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color w:val="auto"/>
          <w:sz w:val="24"/>
          <w:szCs w:val="24"/>
          <w:lang w:val="zh-CN"/>
        </w:rPr>
      </w:pPr>
      <w:bookmarkStart w:id="189" w:name="_Toc14306"/>
      <w:bookmarkStart w:id="190" w:name="_Toc25855"/>
      <w:bookmarkStart w:id="191" w:name="_Toc17873"/>
      <w:bookmarkStart w:id="192" w:name="_Toc32257"/>
      <w:bookmarkStart w:id="193" w:name="_Toc27743"/>
      <w:bookmarkStart w:id="194" w:name="_Toc23613"/>
      <w:bookmarkStart w:id="195" w:name="_Toc21515"/>
      <w:bookmarkStart w:id="196" w:name="_Toc3457"/>
      <w:bookmarkStart w:id="197" w:name="_Toc8737"/>
      <w:r>
        <w:rPr>
          <w:rFonts w:hint="eastAsia" w:ascii="仿宋" w:hAnsi="仿宋" w:eastAsia="仿宋" w:cs="仿宋"/>
          <w:b/>
          <w:color w:val="auto"/>
          <w:sz w:val="24"/>
          <w:szCs w:val="24"/>
          <w:lang w:val="zh-CN"/>
        </w:rPr>
        <w:t>四、开标</w:t>
      </w:r>
      <w:bookmarkEnd w:id="189"/>
      <w:bookmarkEnd w:id="190"/>
      <w:bookmarkEnd w:id="191"/>
      <w:bookmarkEnd w:id="192"/>
      <w:bookmarkEnd w:id="193"/>
      <w:bookmarkEnd w:id="194"/>
      <w:bookmarkEnd w:id="195"/>
      <w:bookmarkEnd w:id="196"/>
      <w:bookmarkEnd w:id="197"/>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（一）采购代理机构在规定的时间和地点组织公开开标并对开标、评标现场活动进行全程录音录像。</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（二）开标由采购代理机构主持，采购人、供应商和有关方面代表参加，签名报到以证明其出席。</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（三）开标截止时间后供应商不足三家的，不进行开标。</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（四）开标时，由供应商或者其推选的代表检查投标文件的密封情况，以确认各供应商的投标文件密封情况是否与递交时一致，没有被提前启封等异常情况。</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五）对投标文件的密封确认无误后，由采购代理机构工作人员当众拆封投标文件，以公开唱标的形式宣布供应商名称、投标价格以及采购代理机构认为合适的其他内容，无异议后，由供应商法定代表人（或被授权代表人）和监标人签字确认。</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（六）在开标时没有拆封和宣读的投标文件将原封退回给供应商。</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（七）以邮寄方式递交投标文件的为无效投标，不予启封。</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（八）供应商未参加开标的，视同认可开标结果。</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（九）开标过程由采购代理机构指定专人记录，参加开标的各供应商代表和相关工作人员签字确认后随采购文件一并存档。</w:t>
      </w:r>
    </w:p>
    <w:p>
      <w:pPr>
        <w:keepNext w:val="0"/>
        <w:keepLines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lang w:val="zh-CN"/>
        </w:rPr>
        <w:t>（十）供应商代表对开标过程和开标记录有疑义，以及认为采购人、采购代理机构相关工作人员有需要回避的情形的，应当场提出询问或者回避申请。采购代理</w:t>
      </w:r>
      <w:r>
        <w:rPr>
          <w:rFonts w:hint="eastAsia" w:ascii="仿宋" w:hAnsi="仿宋" w:eastAsia="仿宋" w:cs="仿宋"/>
          <w:color w:val="auto"/>
          <w:sz w:val="24"/>
          <w:szCs w:val="24"/>
          <w:highlight w:val="none"/>
          <w:lang w:val="zh-CN"/>
        </w:rPr>
        <w:t>机构对供应商代表提出的询问或者回避申请应当及时处理。</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color w:val="auto"/>
          <w:sz w:val="24"/>
          <w:szCs w:val="24"/>
          <w:highlight w:val="none"/>
          <w:lang w:val="zh-CN"/>
        </w:rPr>
      </w:pPr>
      <w:bookmarkStart w:id="198" w:name="_Toc22028"/>
      <w:bookmarkStart w:id="199" w:name="_Toc13967"/>
      <w:bookmarkStart w:id="200" w:name="_Toc11023"/>
      <w:bookmarkStart w:id="201" w:name="_Toc21519"/>
      <w:bookmarkStart w:id="202" w:name="_Toc11628"/>
      <w:bookmarkStart w:id="203" w:name="_Toc8012"/>
      <w:bookmarkStart w:id="204" w:name="_Toc3139"/>
      <w:bookmarkStart w:id="205" w:name="_Toc17836"/>
      <w:bookmarkStart w:id="206" w:name="_Toc16283"/>
      <w:r>
        <w:rPr>
          <w:rFonts w:hint="eastAsia" w:ascii="仿宋" w:hAnsi="仿宋" w:eastAsia="仿宋" w:cs="仿宋"/>
          <w:b/>
          <w:color w:val="auto"/>
          <w:sz w:val="24"/>
          <w:szCs w:val="24"/>
          <w:highlight w:val="none"/>
          <w:lang w:val="zh-CN"/>
        </w:rPr>
        <w:t>五、评标</w:t>
      </w:r>
      <w:bookmarkEnd w:id="198"/>
      <w:bookmarkEnd w:id="199"/>
      <w:bookmarkEnd w:id="200"/>
      <w:bookmarkEnd w:id="201"/>
      <w:bookmarkEnd w:id="202"/>
      <w:bookmarkEnd w:id="203"/>
      <w:bookmarkEnd w:id="204"/>
      <w:bookmarkEnd w:id="205"/>
      <w:bookmarkEnd w:id="206"/>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按照《中华人民共和国政府采购法》、《中华人民共和国政府采购法实施条例》和《政府采购货物和服务招标投标管理办法》</w:t>
      </w:r>
      <w:r>
        <w:rPr>
          <w:rFonts w:hint="eastAsia" w:ascii="仿宋" w:hAnsi="仿宋" w:eastAsia="仿宋" w:cs="仿宋"/>
          <w:color w:val="auto"/>
          <w:sz w:val="24"/>
          <w:szCs w:val="24"/>
          <w:highlight w:val="none"/>
        </w:rPr>
        <w:t>87号令</w:t>
      </w:r>
      <w:r>
        <w:rPr>
          <w:rFonts w:hint="eastAsia" w:ascii="仿宋" w:hAnsi="仿宋" w:eastAsia="仿宋" w:cs="仿宋"/>
          <w:color w:val="auto"/>
          <w:sz w:val="24"/>
          <w:szCs w:val="24"/>
          <w:highlight w:val="none"/>
          <w:lang w:val="zh-CN"/>
        </w:rPr>
        <w:t>的规定，依法组建评标委员会。</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评标委员会的组成</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本项目评标委员会为</w:t>
      </w:r>
      <w:r>
        <w:rPr>
          <w:rFonts w:hint="eastAsia" w:ascii="仿宋" w:hAnsi="仿宋" w:eastAsia="仿宋" w:cs="仿宋"/>
          <w:color w:val="auto"/>
          <w:sz w:val="24"/>
          <w:szCs w:val="24"/>
          <w:highlight w:val="none"/>
        </w:rPr>
        <w:t>7人或以上单数，</w:t>
      </w:r>
      <w:r>
        <w:rPr>
          <w:rFonts w:hint="eastAsia" w:ascii="仿宋" w:hAnsi="仿宋" w:eastAsia="仿宋" w:cs="仿宋"/>
          <w:color w:val="auto"/>
          <w:sz w:val="24"/>
          <w:szCs w:val="24"/>
          <w:highlight w:val="none"/>
          <w:lang w:val="zh-CN"/>
        </w:rPr>
        <w:t>评审专家在省级以上财政部门设立的政府采购评审专家库中随机抽取，其中评审专家不得少于成员总数的三分之二，评标委员会成员与供应商有利害关系的应当回避。</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评标委员会的职责</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审查、评价投标文件是否符合招标文件的商务、技术等实质性要求；</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要求供应商对投标文件有关事项作出澄清或者说明；</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对投标文件进行比较和评价；</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确定中标候选人名单，以及根据采购人委托直接确定中标供应商；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向采购人、采购代理机构或者有关部门报告评标中发现的违法行为；</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配合采购代理机构答复供应商提出的质疑；</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zh-CN"/>
        </w:rPr>
        <w:t>配合财政部门的投诉处理工作。</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评标委员会有权对整个招标过程中出现的一切问题，</w:t>
      </w:r>
      <w:r>
        <w:rPr>
          <w:rFonts w:hint="eastAsia" w:ascii="仿宋" w:hAnsi="仿宋" w:eastAsia="仿宋" w:cs="仿宋"/>
          <w:color w:val="auto"/>
          <w:sz w:val="24"/>
          <w:szCs w:val="24"/>
          <w:highlight w:val="none"/>
        </w:rPr>
        <w:t>根据《中华人民共和国政府采购法》、《中华人民共和国政府采购实施条例》和《政府采购货物和服务招标投标管理办法》的精神，本着公开、公平、公正的原则，进行处理。</w:t>
      </w:r>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（五）公开开标后，直到向</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授予合同为止，凡与审查、澄清、评价和比较投标的有关资料及授标意见等内容，评标委员会成员均不得向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及与评标无关的其他人透露。</w:t>
      </w:r>
    </w:p>
    <w:p>
      <w:pPr>
        <w:keepNext w:val="0"/>
        <w:keepLines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color w:val="auto"/>
          <w:sz w:val="24"/>
          <w:szCs w:val="24"/>
          <w:highlight w:val="none"/>
          <w:lang w:val="zh-CN"/>
        </w:rPr>
      </w:pPr>
      <w:bookmarkStart w:id="207" w:name="_Toc6520"/>
      <w:bookmarkStart w:id="208" w:name="_Toc14292"/>
      <w:bookmarkStart w:id="209" w:name="_Toc25890"/>
      <w:bookmarkStart w:id="210" w:name="_Toc28415"/>
      <w:bookmarkStart w:id="211" w:name="_Toc13836"/>
      <w:bookmarkStart w:id="212" w:name="_Toc11399"/>
      <w:bookmarkStart w:id="213" w:name="_Toc14620"/>
      <w:bookmarkStart w:id="214" w:name="_Toc18147"/>
      <w:bookmarkStart w:id="215" w:name="_Toc25493"/>
      <w:r>
        <w:rPr>
          <w:rFonts w:hint="eastAsia" w:ascii="仿宋" w:hAnsi="仿宋" w:eastAsia="仿宋" w:cs="仿宋"/>
          <w:b/>
          <w:color w:val="auto"/>
          <w:sz w:val="24"/>
          <w:szCs w:val="24"/>
          <w:highlight w:val="none"/>
          <w:lang w:val="zh-CN"/>
        </w:rPr>
        <w:t>六、</w:t>
      </w:r>
      <w:bookmarkStart w:id="216" w:name="_Toc495671240"/>
      <w:r>
        <w:rPr>
          <w:rFonts w:hint="eastAsia" w:ascii="仿宋" w:hAnsi="仿宋" w:eastAsia="仿宋" w:cs="仿宋"/>
          <w:b/>
          <w:color w:val="auto"/>
          <w:sz w:val="24"/>
          <w:szCs w:val="24"/>
          <w:highlight w:val="none"/>
          <w:lang w:val="zh-CN"/>
        </w:rPr>
        <w:t>评标程序及评标办法</w:t>
      </w:r>
      <w:bookmarkEnd w:id="207"/>
      <w:bookmarkEnd w:id="208"/>
      <w:bookmarkEnd w:id="209"/>
      <w:bookmarkEnd w:id="210"/>
      <w:bookmarkEnd w:id="211"/>
      <w:bookmarkEnd w:id="212"/>
      <w:bookmarkEnd w:id="213"/>
      <w:bookmarkEnd w:id="214"/>
      <w:bookmarkEnd w:id="215"/>
      <w:bookmarkEnd w:id="216"/>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照</w:t>
      </w:r>
      <w:r>
        <w:rPr>
          <w:rFonts w:hint="eastAsia" w:ascii="仿宋" w:hAnsi="仿宋" w:eastAsia="仿宋" w:cs="仿宋"/>
          <w:color w:val="auto"/>
          <w:sz w:val="24"/>
          <w:szCs w:val="24"/>
          <w:highlight w:val="none"/>
        </w:rPr>
        <w:t>投标文件初审、澄清有关问题、比较与评价、推荐中标候选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名单的工作程序进行评标。</w:t>
      </w:r>
    </w:p>
    <w:p>
      <w:pPr>
        <w:keepNext w:val="0"/>
        <w:keepLines w:val="0"/>
        <w:tabs>
          <w:tab w:val="left" w:pos="9030"/>
        </w:tabs>
        <w:kinsoku/>
        <w:wordWrap/>
        <w:overflowPunct/>
        <w:topLinePunct w:val="0"/>
        <w:bidi w:val="0"/>
        <w:snapToGrid w:val="0"/>
        <w:spacing w:line="360" w:lineRule="auto"/>
        <w:ind w:right="0" w:firstLine="480" w:firstLineChars="200"/>
        <w:textAlignment w:val="auto"/>
        <w:outlineLvl w:val="2"/>
        <w:rPr>
          <w:rFonts w:ascii="仿宋" w:hAnsi="仿宋" w:eastAsia="仿宋" w:cs="仿宋"/>
          <w:color w:val="auto"/>
          <w:sz w:val="24"/>
          <w:szCs w:val="24"/>
          <w:highlight w:val="none"/>
        </w:rPr>
      </w:pPr>
      <w:bookmarkStart w:id="217" w:name="_Toc26"/>
      <w:bookmarkStart w:id="218" w:name="_Toc1543"/>
      <w:bookmarkStart w:id="219" w:name="_Toc19431"/>
      <w:bookmarkStart w:id="220" w:name="_Toc19538"/>
      <w:bookmarkStart w:id="221" w:name="_Toc14882"/>
      <w:bookmarkStart w:id="222" w:name="_Toc12552"/>
      <w:bookmarkStart w:id="223" w:name="_Toc21585"/>
      <w:bookmarkStart w:id="224" w:name="_Toc12600"/>
      <w:bookmarkStart w:id="225" w:name="_Toc14549"/>
      <w:r>
        <w:rPr>
          <w:rFonts w:hint="eastAsia" w:ascii="仿宋" w:hAnsi="仿宋" w:eastAsia="仿宋" w:cs="仿宋"/>
          <w:color w:val="auto"/>
          <w:sz w:val="24"/>
          <w:szCs w:val="24"/>
          <w:highlight w:val="none"/>
        </w:rPr>
        <w:t>（一）投标文件初审</w:t>
      </w:r>
      <w:bookmarkEnd w:id="217"/>
      <w:bookmarkEnd w:id="218"/>
      <w:bookmarkEnd w:id="219"/>
      <w:bookmarkEnd w:id="220"/>
      <w:bookmarkEnd w:id="221"/>
      <w:bookmarkEnd w:id="222"/>
      <w:bookmarkEnd w:id="223"/>
      <w:bookmarkEnd w:id="224"/>
      <w:bookmarkEnd w:id="225"/>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初审分为资格性检查和符合性检查。分别按</w:t>
      </w:r>
      <w:r>
        <w:rPr>
          <w:rFonts w:hint="eastAsia" w:ascii="仿宋" w:hAnsi="仿宋" w:eastAsia="仿宋" w:cs="仿宋"/>
          <w:color w:val="auto"/>
          <w:sz w:val="24"/>
          <w:szCs w:val="24"/>
          <w:highlight w:val="none"/>
          <w:lang w:eastAsia="zh-CN"/>
        </w:rPr>
        <w:t>照</w:t>
      </w:r>
      <w:r>
        <w:rPr>
          <w:rFonts w:hint="eastAsia" w:ascii="仿宋" w:hAnsi="仿宋" w:eastAsia="仿宋" w:cs="仿宋"/>
          <w:color w:val="auto"/>
          <w:sz w:val="24"/>
          <w:szCs w:val="24"/>
          <w:highlight w:val="none"/>
        </w:rPr>
        <w:t>以下内容对投标文件进行检查，一项不合格即按</w:t>
      </w:r>
      <w:r>
        <w:rPr>
          <w:rFonts w:hint="eastAsia" w:ascii="仿宋" w:hAnsi="仿宋" w:eastAsia="仿宋" w:cs="仿宋"/>
          <w:color w:val="auto"/>
          <w:sz w:val="24"/>
          <w:szCs w:val="24"/>
          <w:highlight w:val="none"/>
          <w:lang w:eastAsia="zh-CN"/>
        </w:rPr>
        <w:t>照</w:t>
      </w:r>
      <w:r>
        <w:rPr>
          <w:rFonts w:hint="eastAsia" w:ascii="仿宋" w:hAnsi="仿宋" w:eastAsia="仿宋" w:cs="仿宋"/>
          <w:color w:val="auto"/>
          <w:sz w:val="24"/>
          <w:szCs w:val="24"/>
          <w:highlight w:val="none"/>
        </w:rPr>
        <w:t>无效投标处理。</w:t>
      </w:r>
    </w:p>
    <w:p>
      <w:pPr>
        <w:keepNext w:val="0"/>
        <w:keepLines w:val="0"/>
        <w:tabs>
          <w:tab w:val="left" w:pos="9030"/>
        </w:tabs>
        <w:kinsoku/>
        <w:wordWrap/>
        <w:overflowPunct/>
        <w:topLinePunct w:val="0"/>
        <w:bidi w:val="0"/>
        <w:snapToGrid w:val="0"/>
        <w:spacing w:line="360" w:lineRule="auto"/>
        <w:ind w:right="0" w:firstLine="480" w:firstLineChars="200"/>
        <w:textAlignment w:val="auto"/>
        <w:outlineLvl w:val="2"/>
        <w:rPr>
          <w:rFonts w:ascii="仿宋" w:hAnsi="仿宋" w:eastAsia="仿宋" w:cs="仿宋"/>
          <w:color w:val="auto"/>
          <w:sz w:val="24"/>
          <w:szCs w:val="24"/>
          <w:highlight w:val="none"/>
        </w:rPr>
      </w:pPr>
      <w:bookmarkStart w:id="226" w:name="_Toc11994"/>
      <w:bookmarkStart w:id="227" w:name="_Toc2042"/>
      <w:bookmarkStart w:id="228" w:name="_Toc2630"/>
      <w:bookmarkStart w:id="229" w:name="_Toc16065"/>
      <w:r>
        <w:rPr>
          <w:rFonts w:hint="eastAsia" w:ascii="仿宋" w:hAnsi="仿宋" w:eastAsia="仿宋" w:cs="仿宋"/>
          <w:color w:val="auto"/>
          <w:sz w:val="24"/>
          <w:szCs w:val="24"/>
          <w:highlight w:val="none"/>
        </w:rPr>
        <w:t>（二）投标文件初审</w:t>
      </w:r>
      <w:bookmarkEnd w:id="226"/>
      <w:bookmarkEnd w:id="227"/>
      <w:bookmarkEnd w:id="228"/>
      <w:bookmarkEnd w:id="229"/>
    </w:p>
    <w:p>
      <w:pPr>
        <w:keepNext w:val="0"/>
        <w:keepLines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初审分为资格性检查和符合性检查。分别按</w:t>
      </w:r>
      <w:r>
        <w:rPr>
          <w:rFonts w:hint="eastAsia" w:ascii="仿宋" w:hAnsi="仿宋" w:eastAsia="仿宋" w:cs="仿宋"/>
          <w:color w:val="auto"/>
          <w:sz w:val="24"/>
          <w:szCs w:val="24"/>
          <w:highlight w:val="none"/>
          <w:lang w:eastAsia="zh-CN"/>
        </w:rPr>
        <w:t>照</w:t>
      </w:r>
      <w:r>
        <w:rPr>
          <w:rFonts w:hint="eastAsia" w:ascii="仿宋" w:hAnsi="仿宋" w:eastAsia="仿宋" w:cs="仿宋"/>
          <w:color w:val="auto"/>
          <w:sz w:val="24"/>
          <w:szCs w:val="24"/>
          <w:highlight w:val="none"/>
        </w:rPr>
        <w:t>以下内容对投标文件进行检查，一项不合格即按</w:t>
      </w:r>
      <w:r>
        <w:rPr>
          <w:rFonts w:hint="eastAsia" w:ascii="仿宋" w:hAnsi="仿宋" w:eastAsia="仿宋" w:cs="仿宋"/>
          <w:color w:val="auto"/>
          <w:sz w:val="24"/>
          <w:szCs w:val="24"/>
          <w:highlight w:val="none"/>
          <w:lang w:eastAsia="zh-CN"/>
        </w:rPr>
        <w:t>照</w:t>
      </w:r>
      <w:r>
        <w:rPr>
          <w:rFonts w:hint="eastAsia" w:ascii="仿宋" w:hAnsi="仿宋" w:eastAsia="仿宋" w:cs="仿宋"/>
          <w:color w:val="auto"/>
          <w:sz w:val="24"/>
          <w:szCs w:val="24"/>
          <w:highlight w:val="none"/>
        </w:rPr>
        <w:t>无效投标处理。</w:t>
      </w:r>
    </w:p>
    <w:p>
      <w:pPr>
        <w:keepNext w:val="0"/>
        <w:keepLines w:val="0"/>
        <w:tabs>
          <w:tab w:val="left" w:pos="9030"/>
        </w:tabs>
        <w:kinsoku/>
        <w:wordWrap/>
        <w:overflowPunct/>
        <w:topLinePunct w:val="0"/>
        <w:bidi w:val="0"/>
        <w:snapToGrid w:val="0"/>
        <w:spacing w:line="360" w:lineRule="auto"/>
        <w:ind w:right="0"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1、投标文件的资格性审查：依据法律法规和招标文件的规定，采购代理机构对投标文件中的资格证明文件等进行审查，审查内容为公告中所列的</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资格条件。</w:t>
      </w:r>
    </w:p>
    <w:tbl>
      <w:tblPr>
        <w:tblStyle w:val="29"/>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65"/>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资格审查项</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w:t>
            </w:r>
            <w:r>
              <w:rPr>
                <w:rFonts w:hint="eastAsia" w:ascii="仿宋" w:hAnsi="仿宋" w:eastAsia="仿宋" w:cs="仿宋"/>
                <w:color w:val="auto"/>
                <w:sz w:val="24"/>
                <w:szCs w:val="24"/>
                <w:highlight w:val="none"/>
                <w:lang w:eastAsia="zh-CN"/>
              </w:rPr>
              <w:t>照</w:t>
            </w:r>
            <w:r>
              <w:rPr>
                <w:rFonts w:hint="eastAsia" w:ascii="仿宋" w:hAnsi="仿宋" w:eastAsia="仿宋" w:cs="仿宋"/>
                <w:color w:val="auto"/>
                <w:sz w:val="24"/>
                <w:szCs w:val="24"/>
                <w:highlight w:val="none"/>
              </w:rPr>
              <w:t>等主体资格证明文件</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提供统一社会信用代码的营业执</w:t>
            </w:r>
            <w:r>
              <w:rPr>
                <w:rFonts w:hint="eastAsia" w:ascii="仿宋" w:hAnsi="仿宋" w:eastAsia="仿宋" w:cs="仿宋"/>
                <w:color w:val="auto"/>
                <w:sz w:val="24"/>
                <w:szCs w:val="24"/>
                <w:highlight w:val="none"/>
                <w:lang w:eastAsia="zh-CN"/>
              </w:rPr>
              <w:t>照</w:t>
            </w:r>
            <w:r>
              <w:rPr>
                <w:rFonts w:hint="eastAsia" w:ascii="仿宋" w:hAnsi="仿宋" w:eastAsia="仿宋" w:cs="仿宋"/>
                <w:color w:val="auto"/>
                <w:sz w:val="24"/>
                <w:szCs w:val="24"/>
                <w:highlight w:val="none"/>
              </w:rPr>
              <w:t>或其他组织经营的合法凭证或自然人的提供身份证明文件。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财务状况报告</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税收缴纳证明</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提供已缴纳的开标截止日前连续6个月的纳税证明或完税证明</w:t>
            </w:r>
            <w:r>
              <w:rPr>
                <w:rFonts w:hint="eastAsia" w:ascii="仿宋" w:hAnsi="仿宋" w:eastAsia="仿宋" w:cs="仿宋"/>
                <w:color w:val="auto"/>
                <w:sz w:val="24"/>
                <w:szCs w:val="24"/>
                <w:highlight w:val="none"/>
              </w:rPr>
              <w:t>，纳税证明或完税证明上应有代收机构或税务机关的公章或业务专用章。依法免税的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社保缴纳证明</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提供已缴存的</w:t>
            </w:r>
            <w:r>
              <w:rPr>
                <w:rFonts w:hint="eastAsia" w:ascii="仿宋" w:hAnsi="仿宋" w:eastAsia="仿宋" w:cs="仿宋"/>
                <w:color w:val="auto"/>
                <w:sz w:val="24"/>
                <w:szCs w:val="24"/>
                <w:highlight w:val="none"/>
                <w:lang w:eastAsia="zh-CN"/>
              </w:rPr>
              <w:t>开标截止日前连续6个月的</w:t>
            </w:r>
            <w:r>
              <w:rPr>
                <w:rFonts w:hint="eastAsia" w:ascii="仿宋" w:hAnsi="仿宋" w:eastAsia="仿宋" w:cs="仿宋"/>
                <w:color w:val="auto"/>
                <w:sz w:val="24"/>
                <w:szCs w:val="24"/>
                <w:highlight w:val="none"/>
              </w:rPr>
              <w:t>社会保障资金缴存单据或社保机构开具的社会保险参保缴费情况证明。成立时间至提交投标文件截止时间不足一个月或依法不需要缴纳社会保障资金的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书面声明</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1.出具履行合同所必需的设备和专业技术能力的书面声明； </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信用记录</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经查询，</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未被列 入“信用中国”网站记录的“失信被执行人”或“重大税收违法失信主体”名单； 不处于“中国政府采购网”记录的“政府采购严重违法失信行为记录名单 ”中的禁止参加政府采购活动期间。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法定代表人授权委托书</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参加投标的，须提供法定代表人身份证明；法定代表人授权他人参加投标的，应提供法定代表人授权书及被授权人身份证，并且提供有效的劳动合同或开标截止前六个月内任意一个月养老保险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0"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265"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tc>
        <w:tc>
          <w:tcPr>
            <w:tcW w:w="598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保证金转账凭证（复印件/扫描件加盖供应商红色公章）附在</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w:t>
            </w:r>
          </w:p>
        </w:tc>
      </w:tr>
    </w:tbl>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482"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2、投标文件符合性审查：依据招标文件的规定，评标委员会从投标文件的有效性、完整性和对招标文件的响应程度进行审查，以确定是否对招标文件的实质性内容作出响应。</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826"/>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26"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符合性审查项</w:t>
            </w:r>
          </w:p>
        </w:tc>
        <w:tc>
          <w:tcPr>
            <w:tcW w:w="5329"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826"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投标文件语言及有效期</w:t>
            </w:r>
          </w:p>
        </w:tc>
        <w:tc>
          <w:tcPr>
            <w:tcW w:w="5329"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投标文件语言及有效期符合招标文件要求。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2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826"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投标文件的投标函以及法定代表人授权委托书</w:t>
            </w:r>
          </w:p>
        </w:tc>
        <w:tc>
          <w:tcPr>
            <w:tcW w:w="5329"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二处均无遗漏，且所投项目名称、标段应与实际参与项目一致。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2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826"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开标一览表</w:t>
            </w:r>
          </w:p>
        </w:tc>
        <w:tc>
          <w:tcPr>
            <w:tcW w:w="5329"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（1）报价符合唯一性要求：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（2）报价表填写符合要求；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（3）计量单位、报价货币均符合招标文件要求；</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826"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承诺书</w:t>
            </w:r>
          </w:p>
        </w:tc>
        <w:tc>
          <w:tcPr>
            <w:tcW w:w="5329"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w:t>
            </w:r>
            <w:r>
              <w:rPr>
                <w:rFonts w:hint="eastAsia" w:ascii="仿宋" w:hAnsi="仿宋" w:eastAsia="仿宋" w:cs="仿宋"/>
                <w:color w:val="auto"/>
                <w:sz w:val="24"/>
                <w:szCs w:val="24"/>
                <w:highlight w:val="none"/>
                <w:lang w:val="zh-CN"/>
              </w:rPr>
              <w:t>供应商企业关系关联承诺书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供应商廉洁自律承诺书</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723"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826"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无其他招标文件或法</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规明确规定响应无效</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的事项</w:t>
            </w:r>
          </w:p>
        </w:tc>
        <w:tc>
          <w:tcPr>
            <w:tcW w:w="5329" w:type="dxa"/>
            <w:noWrap/>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没有不符合招标文件规定的被视为无效响应的其他条款。 </w:t>
            </w:r>
          </w:p>
        </w:tc>
      </w:tr>
    </w:tbl>
    <w:p>
      <w:pPr>
        <w:keepNext w:val="0"/>
        <w:keepLines w:val="0"/>
        <w:pageBreakBefore w:val="0"/>
        <w:widowControl w:val="0"/>
        <w:tabs>
          <w:tab w:val="left" w:pos="9030"/>
        </w:tabs>
        <w:kinsoku/>
        <w:wordWrap/>
        <w:overflowPunct/>
        <w:topLinePunct w:val="0"/>
        <w:bidi w:val="0"/>
        <w:snapToGrid w:val="0"/>
        <w:spacing w:line="360" w:lineRule="auto"/>
        <w:ind w:right="0" w:firstLine="482"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说明：符合性审查结束后，评标委员会当对审查结果进行签字确认。若</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符合性审查未通过，注明未通过原因并告知其</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，符合性审查不合格的</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，不得进入下一评标环节。</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存在下列情况之一的，投标无效：</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没有经过正常渠道获取招标文件或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的名称与登记领取招标文件单位的名称不符；</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（2）不具备招标文件中规定的资格要求的或提供的资格要求文件不符合招标文件要求的；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（3）投标文件投标有效期不符合招标文件要求的；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（4）投标文件递交份数不符合招标文件要求的；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（5）投标文件含有采购人不能接受的附加条件的;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串通投标的，出现以下情形之一的：①不同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的投标文件由同一单位或者个人编制；②不同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委托同一单位或者个人办理投标事宜；③不同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的投标文件载明的项目管理成员或者联系人员为同一人；④不同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的投标文件异常一致或者投标报价呈规律性差异；⑤不同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的投标文件相互混装；</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出现多份报价，出现选择性报价的；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（8）投标报价与市场价偏离较大，低于成本，形成不正当竞争；</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（9）提供虚假证明，开具虚假资质，出现虚假应答，除按无效标处理外，还进行相应的处罚；</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（10）报价超过招标文件中规定的预算金额或者最高限价的；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（11）提交的电子版文件无效或不完整的</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未按照招标文件的规定提交投标保证金的。</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2"/>
        <w:rPr>
          <w:rFonts w:ascii="仿宋" w:hAnsi="仿宋" w:eastAsia="仿宋" w:cs="仿宋"/>
          <w:color w:val="auto"/>
          <w:sz w:val="24"/>
          <w:szCs w:val="24"/>
          <w:lang w:val="zh-CN"/>
        </w:rPr>
      </w:pPr>
      <w:bookmarkStart w:id="230" w:name="_Toc876"/>
      <w:bookmarkStart w:id="231" w:name="_Toc4608"/>
      <w:bookmarkStart w:id="232" w:name="_Toc8286"/>
      <w:bookmarkStart w:id="233" w:name="_Toc27332"/>
      <w:bookmarkStart w:id="234" w:name="_Toc13137"/>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三</w:t>
      </w:r>
      <w:r>
        <w:rPr>
          <w:rFonts w:hint="eastAsia" w:ascii="仿宋" w:hAnsi="仿宋" w:eastAsia="仿宋" w:cs="仿宋"/>
          <w:color w:val="auto"/>
          <w:sz w:val="24"/>
          <w:szCs w:val="24"/>
          <w:lang w:val="zh-CN"/>
        </w:rPr>
        <w:t>）投标文件的澄清、说明或者补正</w:t>
      </w:r>
      <w:bookmarkEnd w:id="230"/>
      <w:bookmarkEnd w:id="231"/>
      <w:bookmarkEnd w:id="232"/>
      <w:bookmarkEnd w:id="233"/>
      <w:bookmarkEnd w:id="234"/>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1、对于投标文件中含义不明确、同类问题表述不一致或者有明显文字和计算错误的内容，评标委员会应当以书面形式要求供应商作出必要的澄清、说明或者补正。供应商的澄清、说明或者补正应当采用书面形式，并加盖供应商公章或者由法定代表人或其授权的代表签字。供应商的澄清、说明或者补正不得超出投标文件的范围或者改变投标文件的实质性内容。</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2、报价出现前后不一致的，按照下列规定修正：</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投标文件中开标一览表（报价表）内容与投标文件中相应内容不一致的，以开标一览表（报价表）为准；</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大写金额和小写金额不一致的，以大写金额为准；</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单价金额小数点或者百分比有明显错位的，以开标一览表的总价为准，并修改单价；</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总价金额与按单价汇总金额不一致的，以单价金额计算结果为准。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rPr>
          <w:rFonts w:ascii="仿宋" w:hAnsi="仿宋" w:eastAsia="仿宋" w:cs="仿宋"/>
          <w:b/>
          <w:bCs/>
          <w:color w:val="auto"/>
          <w:sz w:val="24"/>
          <w:szCs w:val="24"/>
          <w:lang w:val="zh-CN"/>
        </w:rPr>
      </w:pPr>
      <w:r>
        <w:rPr>
          <w:rFonts w:hint="eastAsia" w:ascii="仿宋" w:hAnsi="仿宋" w:eastAsia="仿宋" w:cs="仿宋"/>
          <w:b/>
          <w:bCs/>
          <w:color w:val="auto"/>
          <w:sz w:val="24"/>
          <w:szCs w:val="24"/>
          <w:lang w:val="zh-CN"/>
        </w:rPr>
        <w:t>同时出现两种以上不一致的，按照前款规定的顺序修正。修正后的报价经供应商书面确认后产生约束力，供应商不确认的，其投标无效。</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2"/>
        <w:rPr>
          <w:rFonts w:ascii="仿宋" w:hAnsi="仿宋" w:eastAsia="仿宋" w:cs="仿宋"/>
          <w:color w:val="auto"/>
          <w:sz w:val="24"/>
          <w:szCs w:val="24"/>
          <w:lang w:val="zh-CN"/>
        </w:rPr>
      </w:pPr>
      <w:bookmarkStart w:id="235" w:name="_Toc17700"/>
      <w:bookmarkStart w:id="236" w:name="_Toc5204"/>
      <w:bookmarkStart w:id="237" w:name="_Toc31002"/>
      <w:bookmarkStart w:id="238" w:name="_Toc20653"/>
      <w:bookmarkStart w:id="239" w:name="_Toc2488"/>
      <w:bookmarkStart w:id="240" w:name="_Toc1611"/>
      <w:bookmarkStart w:id="241" w:name="_Toc23493"/>
      <w:bookmarkStart w:id="242" w:name="_Toc17503"/>
      <w:bookmarkStart w:id="243" w:name="_Toc1537"/>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四</w:t>
      </w:r>
      <w:r>
        <w:rPr>
          <w:rFonts w:hint="eastAsia" w:ascii="仿宋" w:hAnsi="仿宋" w:eastAsia="仿宋" w:cs="仿宋"/>
          <w:color w:val="auto"/>
          <w:sz w:val="24"/>
          <w:szCs w:val="24"/>
          <w:lang w:val="zh-CN"/>
        </w:rPr>
        <w:t>）比较与评价</w:t>
      </w:r>
      <w:bookmarkEnd w:id="235"/>
      <w:bookmarkEnd w:id="236"/>
      <w:bookmarkEnd w:id="237"/>
      <w:bookmarkEnd w:id="238"/>
      <w:bookmarkEnd w:id="239"/>
      <w:bookmarkEnd w:id="240"/>
      <w:bookmarkEnd w:id="241"/>
      <w:bookmarkEnd w:id="242"/>
      <w:bookmarkEnd w:id="243"/>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按照招标文件规定的评标方法和标准，对资格性审查和符合性审查合格的文件进行评审，综合比较和评价。</w:t>
      </w:r>
    </w:p>
    <w:p>
      <w:pPr>
        <w:keepNext w:val="0"/>
        <w:keepLines w:val="0"/>
        <w:pageBreakBefore w:val="0"/>
        <w:widowControl w:val="0"/>
        <w:numPr>
          <w:ilvl w:val="0"/>
          <w:numId w:val="1"/>
        </w:numPr>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评标方法:综合评分法，指投标文件满足招标文件全部实质性要求，且按照评审因素的量化指标评审得分最高的供应商为中标候选人的评标方法。</w:t>
      </w:r>
    </w:p>
    <w:p>
      <w:pPr>
        <w:tabs>
          <w:tab w:val="left" w:pos="9030"/>
        </w:tabs>
        <w:snapToGrid w:val="0"/>
        <w:spacing w:line="360" w:lineRule="auto"/>
        <w:ind w:right="-65"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2、评标因素及权重分解表（总计100分）</w:t>
      </w:r>
    </w:p>
    <w:tbl>
      <w:tblPr>
        <w:tblStyle w:val="29"/>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79"/>
        <w:gridCol w:w="615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23" w:type="dxa"/>
            <w:gridSpan w:val="2"/>
            <w:noWrap w:val="0"/>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w:t>
            </w:r>
            <w:r>
              <w:rPr>
                <w:rFonts w:hint="eastAsia" w:ascii="仿宋" w:hAnsi="仿宋" w:eastAsia="仿宋" w:cs="仿宋"/>
                <w:b/>
                <w:sz w:val="24"/>
                <w:szCs w:val="24"/>
                <w:lang w:val="en-US" w:eastAsia="zh-CN"/>
              </w:rPr>
              <w:t>审</w:t>
            </w:r>
            <w:r>
              <w:rPr>
                <w:rFonts w:hint="eastAsia" w:ascii="仿宋" w:hAnsi="仿宋" w:eastAsia="仿宋" w:cs="仿宋"/>
                <w:b/>
                <w:sz w:val="24"/>
                <w:szCs w:val="24"/>
              </w:rPr>
              <w:t>因素</w:t>
            </w:r>
          </w:p>
        </w:tc>
        <w:tc>
          <w:tcPr>
            <w:tcW w:w="6151"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内     容</w:t>
            </w:r>
          </w:p>
        </w:tc>
        <w:tc>
          <w:tcPr>
            <w:tcW w:w="1018" w:type="dxa"/>
            <w:noWrap w:val="0"/>
            <w:vAlign w:val="center"/>
          </w:tcPr>
          <w:p>
            <w:pPr>
              <w:spacing w:line="360" w:lineRule="auto"/>
              <w:jc w:val="center"/>
              <w:rPr>
                <w:rFonts w:ascii="仿宋" w:hAnsi="仿宋" w:eastAsia="仿宋" w:cs="仿宋"/>
                <w:b/>
                <w:sz w:val="24"/>
                <w:szCs w:val="24"/>
              </w:rPr>
            </w:pPr>
            <w:r>
              <w:rPr>
                <w:rFonts w:hint="eastAsia" w:ascii="仿宋" w:hAnsi="仿宋" w:eastAsia="仿宋" w:cs="仿宋"/>
                <w:b/>
                <w:sz w:val="24"/>
                <w:szCs w:val="24"/>
              </w:rPr>
              <w:t>权值</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44" w:type="dxa"/>
            <w:vMerge w:val="restart"/>
            <w:noWrap w:val="0"/>
            <w:vAlign w:val="center"/>
          </w:tcPr>
          <w:p>
            <w:pPr>
              <w:tabs>
                <w:tab w:val="left" w:pos="420"/>
                <w:tab w:val="center" w:pos="4153"/>
                <w:tab w:val="right" w:pos="8306"/>
              </w:tabs>
              <w:adjustRightInd w:val="0"/>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商务</w:t>
            </w:r>
            <w:r>
              <w:rPr>
                <w:rFonts w:hint="eastAsia" w:ascii="仿宋" w:hAnsi="仿宋" w:eastAsia="仿宋" w:cs="仿宋"/>
                <w:kern w:val="0"/>
                <w:sz w:val="24"/>
                <w:szCs w:val="24"/>
                <w:lang w:eastAsia="zh-CN"/>
              </w:rPr>
              <w:t>评审</w:t>
            </w:r>
          </w:p>
          <w:p>
            <w:pPr>
              <w:tabs>
                <w:tab w:val="left" w:pos="420"/>
                <w:tab w:val="center" w:pos="4153"/>
                <w:tab w:val="right" w:pos="8306"/>
              </w:tabs>
              <w:adjustRightIn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35</w:t>
            </w:r>
            <w:r>
              <w:rPr>
                <w:rFonts w:hint="eastAsia" w:ascii="仿宋" w:hAnsi="仿宋" w:eastAsia="仿宋" w:cs="仿宋"/>
                <w:kern w:val="0"/>
                <w:sz w:val="24"/>
                <w:szCs w:val="24"/>
              </w:rPr>
              <w:t>分）</w:t>
            </w:r>
          </w:p>
          <w:p>
            <w:pPr>
              <w:tabs>
                <w:tab w:val="left" w:pos="420"/>
                <w:tab w:val="center" w:pos="4153"/>
                <w:tab w:val="right" w:pos="8306"/>
              </w:tabs>
              <w:adjustRightInd w:val="0"/>
              <w:spacing w:line="360" w:lineRule="auto"/>
              <w:jc w:val="center"/>
              <w:rPr>
                <w:rFonts w:ascii="仿宋" w:hAnsi="仿宋" w:eastAsia="仿宋" w:cs="仿宋"/>
                <w:kern w:val="0"/>
                <w:sz w:val="24"/>
                <w:szCs w:val="24"/>
              </w:rPr>
            </w:pPr>
          </w:p>
        </w:tc>
        <w:tc>
          <w:tcPr>
            <w:tcW w:w="1179" w:type="dxa"/>
            <w:noWrap w:val="0"/>
            <w:vAlign w:val="center"/>
          </w:tcPr>
          <w:p>
            <w:pPr>
              <w:tabs>
                <w:tab w:val="left" w:pos="420"/>
                <w:tab w:val="center" w:pos="4153"/>
                <w:tab w:val="right" w:pos="8306"/>
              </w:tabs>
              <w:adjustRightInd w:val="0"/>
              <w:spacing w:line="360" w:lineRule="auto"/>
              <w:jc w:val="center"/>
              <w:rPr>
                <w:rFonts w:hint="eastAsia" w:ascii="仿宋" w:hAnsi="仿宋" w:eastAsia="仿宋" w:cs="仿宋"/>
                <w:sz w:val="24"/>
                <w:szCs w:val="24"/>
                <w:lang w:eastAsia="zh-CN"/>
              </w:rPr>
            </w:pPr>
            <w:r>
              <w:rPr>
                <w:rFonts w:hint="eastAsia" w:ascii="仿宋" w:hAnsi="仿宋" w:eastAsia="仿宋" w:cs="仿宋"/>
                <w:kern w:val="0"/>
                <w:sz w:val="24"/>
                <w:szCs w:val="24"/>
                <w:lang w:eastAsia="zh-CN"/>
              </w:rPr>
              <w:t>投标报价</w:t>
            </w:r>
          </w:p>
        </w:tc>
        <w:tc>
          <w:tcPr>
            <w:tcW w:w="6151" w:type="dxa"/>
            <w:noWrap w:val="0"/>
            <w:vAlign w:val="center"/>
          </w:tcPr>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满足</w:t>
            </w:r>
            <w:r>
              <w:rPr>
                <w:rFonts w:hint="eastAsia" w:ascii="仿宋" w:hAnsi="仿宋" w:eastAsia="仿宋" w:cs="仿宋"/>
                <w:sz w:val="24"/>
                <w:szCs w:val="24"/>
                <w:lang w:eastAsia="zh-CN"/>
              </w:rPr>
              <w:t>招标文件</w:t>
            </w:r>
            <w:r>
              <w:rPr>
                <w:rFonts w:hint="eastAsia" w:ascii="仿宋" w:hAnsi="仿宋" w:eastAsia="仿宋" w:cs="仿宋"/>
                <w:sz w:val="24"/>
                <w:szCs w:val="24"/>
              </w:rPr>
              <w:t>要求且</w:t>
            </w:r>
            <w:r>
              <w:rPr>
                <w:rFonts w:hint="eastAsia" w:ascii="仿宋" w:hAnsi="仿宋" w:eastAsia="仿宋" w:cs="仿宋"/>
                <w:sz w:val="24"/>
                <w:szCs w:val="24"/>
                <w:lang w:eastAsia="zh-CN"/>
              </w:rPr>
              <w:t>投标报价</w:t>
            </w:r>
            <w:r>
              <w:rPr>
                <w:rFonts w:hint="eastAsia" w:ascii="仿宋" w:hAnsi="仿宋" w:eastAsia="仿宋" w:cs="仿宋"/>
                <w:sz w:val="24"/>
                <w:szCs w:val="24"/>
              </w:rPr>
              <w:t>最低的报价为</w:t>
            </w:r>
            <w:r>
              <w:rPr>
                <w:rFonts w:hint="eastAsia" w:ascii="仿宋" w:hAnsi="仿宋" w:eastAsia="仿宋" w:cs="仿宋"/>
                <w:sz w:val="24"/>
                <w:szCs w:val="24"/>
                <w:lang w:eastAsia="zh-CN"/>
              </w:rPr>
              <w:t>评标</w:t>
            </w:r>
            <w:r>
              <w:rPr>
                <w:rFonts w:hint="eastAsia" w:ascii="仿宋" w:hAnsi="仿宋" w:eastAsia="仿宋" w:cs="仿宋"/>
                <w:sz w:val="24"/>
                <w:szCs w:val="24"/>
              </w:rPr>
              <w:t>基准价，其价格分为满分。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投标报价</w:t>
            </w:r>
            <w:r>
              <w:rPr>
                <w:rFonts w:hint="eastAsia" w:ascii="仿宋" w:hAnsi="仿宋" w:eastAsia="仿宋" w:cs="仿宋"/>
                <w:sz w:val="24"/>
                <w:szCs w:val="24"/>
              </w:rPr>
              <w:t>得分=（</w:t>
            </w:r>
            <w:r>
              <w:rPr>
                <w:rFonts w:hint="eastAsia" w:ascii="仿宋" w:hAnsi="仿宋" w:eastAsia="仿宋" w:cs="仿宋"/>
                <w:sz w:val="24"/>
                <w:szCs w:val="24"/>
                <w:lang w:eastAsia="zh-CN"/>
              </w:rPr>
              <w:t>评标</w:t>
            </w:r>
            <w:r>
              <w:rPr>
                <w:rFonts w:hint="eastAsia" w:ascii="仿宋" w:hAnsi="仿宋" w:eastAsia="仿宋" w:cs="仿宋"/>
                <w:sz w:val="24"/>
                <w:szCs w:val="24"/>
              </w:rPr>
              <w:t>基准价／</w:t>
            </w:r>
            <w:r>
              <w:rPr>
                <w:rFonts w:hint="eastAsia" w:ascii="仿宋" w:hAnsi="仿宋" w:eastAsia="仿宋" w:cs="仿宋"/>
                <w:sz w:val="24"/>
                <w:szCs w:val="24"/>
                <w:lang w:eastAsia="zh-CN"/>
              </w:rPr>
              <w:t>投标报价</w:t>
            </w:r>
            <w:r>
              <w:rPr>
                <w:rFonts w:hint="eastAsia" w:ascii="仿宋" w:hAnsi="仿宋" w:eastAsia="仿宋" w:cs="仿宋"/>
                <w:sz w:val="24"/>
                <w:szCs w:val="24"/>
              </w:rPr>
              <w:t>）×价格权值×100。</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符合</w:t>
            </w:r>
            <w:r>
              <w:rPr>
                <w:rFonts w:hint="eastAsia" w:ascii="仿宋" w:hAnsi="仿宋" w:eastAsia="仿宋" w:cs="仿宋"/>
                <w:sz w:val="24"/>
                <w:szCs w:val="24"/>
                <w:lang w:eastAsia="zh-CN"/>
              </w:rPr>
              <w:t>招标文件</w:t>
            </w:r>
            <w:r>
              <w:rPr>
                <w:rFonts w:hint="eastAsia" w:ascii="仿宋" w:hAnsi="仿宋" w:eastAsia="仿宋" w:cs="仿宋"/>
                <w:sz w:val="24"/>
                <w:szCs w:val="24"/>
              </w:rPr>
              <w:t>规定的小微企业、监狱企业、残疾人福利性单位优惠条件的</w:t>
            </w:r>
            <w:r>
              <w:rPr>
                <w:rFonts w:hint="eastAsia" w:ascii="仿宋" w:hAnsi="仿宋" w:eastAsia="仿宋" w:cs="仿宋"/>
                <w:sz w:val="24"/>
                <w:szCs w:val="24"/>
                <w:lang w:eastAsia="zh-CN"/>
              </w:rPr>
              <w:t>供应商</w:t>
            </w:r>
            <w:r>
              <w:rPr>
                <w:rFonts w:hint="eastAsia" w:ascii="仿宋" w:hAnsi="仿宋" w:eastAsia="仿宋" w:cs="仿宋"/>
                <w:sz w:val="24"/>
                <w:szCs w:val="24"/>
              </w:rPr>
              <w:t>，价格给予10%的扣除，用扣除后的价格参与</w:t>
            </w:r>
            <w:r>
              <w:rPr>
                <w:rFonts w:hint="eastAsia" w:ascii="仿宋" w:hAnsi="仿宋" w:eastAsia="仿宋" w:cs="仿宋"/>
                <w:sz w:val="24"/>
                <w:szCs w:val="24"/>
                <w:lang w:eastAsia="zh-CN"/>
              </w:rPr>
              <w:t>评标</w:t>
            </w:r>
            <w:r>
              <w:rPr>
                <w:rFonts w:hint="eastAsia" w:ascii="仿宋" w:hAnsi="仿宋" w:eastAsia="仿宋" w:cs="仿宋"/>
                <w:sz w:val="24"/>
                <w:szCs w:val="24"/>
              </w:rPr>
              <w:t>。</w:t>
            </w:r>
          </w:p>
        </w:tc>
        <w:tc>
          <w:tcPr>
            <w:tcW w:w="1018" w:type="dxa"/>
            <w:noWrap w:val="0"/>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44" w:type="dxa"/>
            <w:vMerge w:val="continue"/>
            <w:noWrap w:val="0"/>
            <w:vAlign w:val="center"/>
          </w:tcPr>
          <w:p>
            <w:pPr>
              <w:snapToGrid w:val="0"/>
              <w:spacing w:line="360" w:lineRule="auto"/>
              <w:jc w:val="center"/>
              <w:rPr>
                <w:rFonts w:ascii="仿宋" w:hAnsi="仿宋" w:eastAsia="仿宋" w:cs="仿宋"/>
                <w:sz w:val="24"/>
                <w:szCs w:val="24"/>
              </w:rPr>
            </w:pPr>
          </w:p>
        </w:tc>
        <w:tc>
          <w:tcPr>
            <w:tcW w:w="1179" w:type="dxa"/>
            <w:noWrap w:val="0"/>
            <w:vAlign w:val="center"/>
          </w:tcPr>
          <w:p>
            <w:pPr>
              <w:tabs>
                <w:tab w:val="left" w:pos="420"/>
                <w:tab w:val="center" w:pos="4153"/>
                <w:tab w:val="right" w:pos="8306"/>
              </w:tabs>
              <w:adjustRightInd w:val="0"/>
              <w:jc w:val="center"/>
              <w:rPr>
                <w:rFonts w:hint="eastAsia" w:ascii="仿宋" w:hAnsi="仿宋" w:eastAsia="仿宋" w:cs="仿宋"/>
                <w:bCs/>
                <w:sz w:val="24"/>
                <w:szCs w:val="24"/>
              </w:rPr>
            </w:pPr>
            <w:r>
              <w:rPr>
                <w:rFonts w:hint="eastAsia" w:ascii="仿宋" w:hAnsi="仿宋" w:eastAsia="仿宋" w:cs="仿宋"/>
                <w:bCs/>
                <w:sz w:val="24"/>
                <w:szCs w:val="24"/>
              </w:rPr>
              <w:t>节能环保</w:t>
            </w:r>
          </w:p>
          <w:p>
            <w:pPr>
              <w:tabs>
                <w:tab w:val="left" w:pos="420"/>
                <w:tab w:val="center" w:pos="4153"/>
                <w:tab w:val="right" w:pos="8306"/>
              </w:tabs>
              <w:adjustRightInd w:val="0"/>
              <w:jc w:val="center"/>
              <w:rPr>
                <w:rFonts w:hint="eastAsia" w:ascii="仿宋" w:hAnsi="仿宋" w:eastAsia="仿宋" w:cs="仿宋"/>
                <w:bCs/>
                <w:sz w:val="24"/>
                <w:szCs w:val="24"/>
              </w:rPr>
            </w:pPr>
            <w:r>
              <w:rPr>
                <w:rFonts w:hint="eastAsia" w:ascii="仿宋" w:hAnsi="仿宋" w:eastAsia="仿宋" w:cs="仿宋"/>
                <w:bCs/>
                <w:sz w:val="24"/>
                <w:szCs w:val="24"/>
              </w:rPr>
              <w:t>环境标志</w:t>
            </w:r>
          </w:p>
          <w:p>
            <w:pPr>
              <w:tabs>
                <w:tab w:val="left" w:pos="420"/>
                <w:tab w:val="center" w:pos="4153"/>
                <w:tab w:val="right" w:pos="8306"/>
              </w:tabs>
              <w:adjustRightInd w:val="0"/>
              <w:jc w:val="center"/>
              <w:rPr>
                <w:rFonts w:hint="eastAsia" w:ascii="仿宋" w:hAnsi="仿宋" w:eastAsia="仿宋" w:cs="仿宋"/>
                <w:sz w:val="24"/>
                <w:szCs w:val="24"/>
              </w:rPr>
            </w:pPr>
            <w:r>
              <w:rPr>
                <w:rFonts w:hint="eastAsia" w:ascii="仿宋" w:hAnsi="仿宋" w:eastAsia="仿宋" w:cs="仿宋"/>
                <w:bCs/>
                <w:sz w:val="24"/>
                <w:szCs w:val="24"/>
              </w:rPr>
              <w:t>产品</w:t>
            </w:r>
          </w:p>
        </w:tc>
        <w:tc>
          <w:tcPr>
            <w:tcW w:w="6151" w:type="dxa"/>
            <w:noWrap w:val="0"/>
            <w:vAlign w:val="center"/>
          </w:tcPr>
          <w:p>
            <w:pPr>
              <w:snapToGrid w:val="0"/>
              <w:spacing w:line="360" w:lineRule="auto"/>
              <w:ind w:firstLine="480" w:firstLineChars="200"/>
              <w:rPr>
                <w:rFonts w:hint="eastAsia" w:ascii="仿宋" w:hAnsi="仿宋" w:eastAsia="仿宋" w:cs="仿宋"/>
                <w:sz w:val="24"/>
                <w:szCs w:val="24"/>
                <w:lang w:val="zh-CN" w:eastAsia="zh-CN"/>
              </w:rPr>
            </w:pPr>
            <w:r>
              <w:rPr>
                <w:rFonts w:hint="eastAsia" w:ascii="仿宋" w:hAnsi="仿宋" w:eastAsia="仿宋" w:cs="仿宋"/>
                <w:sz w:val="24"/>
                <w:szCs w:val="24"/>
              </w:rPr>
              <w:t>投标产品为节能、环保、环境标志的产品，满足行业现行规范及各项法规要求,符合招标文件要求的，可优先采购并根据其占投标报价总金额的百分比计算得分，计算公式为：得分=（节能、环保、环境标志产品清单中的产品报价/投标报价）×2</w:t>
            </w:r>
            <w:r>
              <w:rPr>
                <w:rFonts w:hint="eastAsia" w:ascii="仿宋" w:hAnsi="仿宋" w:eastAsia="仿宋" w:cs="仿宋"/>
                <w:sz w:val="24"/>
                <w:szCs w:val="24"/>
                <w:lang w:eastAsia="zh-CN"/>
              </w:rPr>
              <w:t>。</w:t>
            </w:r>
          </w:p>
        </w:tc>
        <w:tc>
          <w:tcPr>
            <w:tcW w:w="101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44" w:type="dxa"/>
            <w:vMerge w:val="continue"/>
            <w:noWrap w:val="0"/>
            <w:vAlign w:val="center"/>
          </w:tcPr>
          <w:p>
            <w:pPr>
              <w:snapToGrid w:val="0"/>
              <w:spacing w:line="360" w:lineRule="auto"/>
              <w:jc w:val="center"/>
              <w:rPr>
                <w:rFonts w:ascii="仿宋" w:hAnsi="仿宋" w:eastAsia="仿宋" w:cs="仿宋"/>
                <w:sz w:val="24"/>
                <w:szCs w:val="24"/>
              </w:rPr>
            </w:pPr>
          </w:p>
        </w:tc>
        <w:tc>
          <w:tcPr>
            <w:tcW w:w="1179" w:type="dxa"/>
            <w:noWrap w:val="0"/>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商务条款</w:t>
            </w:r>
          </w:p>
          <w:p>
            <w:pPr>
              <w:snapToGrid w:val="0"/>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rPr>
              <w:t>响应程度</w:t>
            </w:r>
          </w:p>
        </w:tc>
        <w:tc>
          <w:tcPr>
            <w:tcW w:w="6151" w:type="dxa"/>
            <w:noWrap w:val="0"/>
            <w:vAlign w:val="center"/>
          </w:tcPr>
          <w:p>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zh-CN"/>
              </w:rPr>
              <w:t>投标文件对付款、</w:t>
            </w:r>
            <w:r>
              <w:rPr>
                <w:rFonts w:hint="eastAsia" w:ascii="仿宋" w:hAnsi="仿宋" w:eastAsia="仿宋" w:cs="仿宋"/>
                <w:sz w:val="24"/>
                <w:szCs w:val="24"/>
              </w:rPr>
              <w:t>交货期</w:t>
            </w:r>
            <w:r>
              <w:rPr>
                <w:rFonts w:hint="eastAsia" w:ascii="仿宋" w:hAnsi="仿宋" w:eastAsia="仿宋" w:cs="仿宋"/>
                <w:sz w:val="24"/>
                <w:szCs w:val="24"/>
                <w:lang w:val="zh-CN"/>
              </w:rPr>
              <w:t>、</w:t>
            </w:r>
            <w:r>
              <w:rPr>
                <w:rFonts w:hint="eastAsia" w:ascii="仿宋" w:hAnsi="仿宋" w:eastAsia="仿宋" w:cs="仿宋"/>
                <w:sz w:val="24"/>
                <w:szCs w:val="24"/>
              </w:rPr>
              <w:t>质量保障</w:t>
            </w:r>
            <w:r>
              <w:rPr>
                <w:rFonts w:hint="eastAsia" w:ascii="仿宋" w:hAnsi="仿宋" w:eastAsia="仿宋" w:cs="仿宋"/>
                <w:sz w:val="24"/>
                <w:szCs w:val="24"/>
                <w:lang w:val="zh-CN"/>
              </w:rPr>
              <w:t>等商务要求进行响应说明，根据响应程度计0-</w:t>
            </w:r>
            <w:r>
              <w:rPr>
                <w:rFonts w:hint="eastAsia" w:ascii="仿宋" w:hAnsi="仿宋" w:eastAsia="仿宋" w:cs="仿宋"/>
                <w:sz w:val="24"/>
                <w:szCs w:val="24"/>
              </w:rPr>
              <w:t>3</w:t>
            </w:r>
            <w:r>
              <w:rPr>
                <w:rFonts w:hint="eastAsia" w:ascii="仿宋" w:hAnsi="仿宋" w:eastAsia="仿宋" w:cs="仿宋"/>
                <w:sz w:val="24"/>
                <w:szCs w:val="24"/>
                <w:lang w:val="zh-CN"/>
              </w:rPr>
              <w:t>分，无响应说明不计分。</w:t>
            </w:r>
          </w:p>
        </w:tc>
        <w:tc>
          <w:tcPr>
            <w:tcW w:w="1018"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4" w:type="dxa"/>
            <w:vMerge w:val="restart"/>
            <w:noWrap w:val="0"/>
            <w:vAlign w:val="center"/>
          </w:tcPr>
          <w:p>
            <w:pPr>
              <w:tabs>
                <w:tab w:val="left" w:pos="420"/>
                <w:tab w:val="center" w:pos="4153"/>
                <w:tab w:val="right" w:pos="8306"/>
              </w:tabs>
              <w:adjustRightInd w:val="0"/>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技术</w:t>
            </w:r>
            <w:r>
              <w:rPr>
                <w:rFonts w:hint="eastAsia" w:ascii="仿宋" w:hAnsi="仿宋" w:eastAsia="仿宋" w:cs="仿宋"/>
                <w:kern w:val="0"/>
                <w:sz w:val="24"/>
                <w:szCs w:val="24"/>
                <w:lang w:eastAsia="zh-CN"/>
              </w:rPr>
              <w:t>评审</w:t>
            </w:r>
          </w:p>
          <w:p>
            <w:pPr>
              <w:tabs>
                <w:tab w:val="left" w:pos="420"/>
                <w:tab w:val="center" w:pos="4153"/>
                <w:tab w:val="right" w:pos="8306"/>
              </w:tabs>
              <w:adjustRightIn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65</w:t>
            </w:r>
            <w:r>
              <w:rPr>
                <w:rFonts w:hint="eastAsia" w:ascii="仿宋" w:hAnsi="仿宋" w:eastAsia="仿宋" w:cs="仿宋"/>
                <w:kern w:val="0"/>
                <w:sz w:val="24"/>
                <w:szCs w:val="24"/>
              </w:rPr>
              <w:t>分）</w:t>
            </w:r>
          </w:p>
        </w:tc>
        <w:tc>
          <w:tcPr>
            <w:tcW w:w="1179" w:type="dxa"/>
            <w:noWrap w:val="0"/>
            <w:vAlign w:val="center"/>
          </w:tcPr>
          <w:p>
            <w:pPr>
              <w:tabs>
                <w:tab w:val="left" w:pos="420"/>
                <w:tab w:val="center" w:pos="4153"/>
                <w:tab w:val="right" w:pos="8306"/>
              </w:tabs>
              <w:adjustRightIn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技术参数</w:t>
            </w:r>
          </w:p>
        </w:tc>
        <w:tc>
          <w:tcPr>
            <w:tcW w:w="6151" w:type="dxa"/>
            <w:noWrap w:val="0"/>
            <w:vAlign w:val="center"/>
          </w:tcPr>
          <w:p>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带“▲”技术指标、参数为重要技术指标、参数。</w:t>
            </w:r>
          </w:p>
          <w:p>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投标技术参数和配置完全满足或高于招标文件要求的得3</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分。带“▲</w:t>
            </w:r>
            <w:r>
              <w:rPr>
                <w:rFonts w:hint="eastAsia" w:ascii="仿宋" w:hAnsi="仿宋" w:eastAsia="仿宋" w:cs="仿宋"/>
                <w:sz w:val="24"/>
                <w:szCs w:val="24"/>
                <w:highlight w:val="none"/>
                <w:lang w:val="zh-CN"/>
              </w:rPr>
              <w:t>”的参数每有一项负偏离扣2分，不带“▲”的参数每有一项负偏离扣1分，扣完该项得分为止。（带“▲”技术指标和参数，均需提供可做证明的产品彩页或检验报告并加盖公章，</w:t>
            </w:r>
            <w:r>
              <w:rPr>
                <w:rFonts w:hint="eastAsia" w:ascii="仿宋" w:hAnsi="仿宋" w:eastAsia="仿宋" w:cs="仿宋"/>
                <w:sz w:val="24"/>
                <w:szCs w:val="24"/>
                <w:highlight w:val="none"/>
                <w:lang w:val="en-US" w:eastAsia="zh-CN"/>
              </w:rPr>
              <w:t>未提供视为负偏离</w:t>
            </w:r>
            <w:r>
              <w:rPr>
                <w:rFonts w:hint="eastAsia" w:ascii="仿宋" w:hAnsi="仿宋" w:eastAsia="仿宋" w:cs="仿宋"/>
                <w:sz w:val="24"/>
                <w:szCs w:val="24"/>
                <w:highlight w:val="none"/>
                <w:lang w:val="zh-CN"/>
              </w:rPr>
              <w:t>）</w:t>
            </w:r>
          </w:p>
        </w:tc>
        <w:tc>
          <w:tcPr>
            <w:tcW w:w="1018" w:type="dxa"/>
            <w:noWrap w:val="0"/>
            <w:vAlign w:val="center"/>
          </w:tcPr>
          <w:p>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4" w:type="dxa"/>
            <w:vMerge w:val="continue"/>
            <w:noWrap w:val="0"/>
            <w:vAlign w:val="center"/>
          </w:tcPr>
          <w:p>
            <w:pPr>
              <w:tabs>
                <w:tab w:val="left" w:pos="420"/>
                <w:tab w:val="center" w:pos="4153"/>
                <w:tab w:val="right" w:pos="8306"/>
              </w:tabs>
              <w:adjustRightInd w:val="0"/>
              <w:spacing w:line="360" w:lineRule="auto"/>
              <w:jc w:val="center"/>
              <w:rPr>
                <w:rFonts w:hint="eastAsia" w:ascii="仿宋" w:hAnsi="仿宋" w:eastAsia="仿宋" w:cs="仿宋"/>
                <w:kern w:val="0"/>
                <w:sz w:val="24"/>
                <w:szCs w:val="24"/>
              </w:rPr>
            </w:pPr>
          </w:p>
        </w:tc>
        <w:tc>
          <w:tcPr>
            <w:tcW w:w="1179" w:type="dxa"/>
            <w:noWrap w:val="0"/>
            <w:vAlign w:val="center"/>
          </w:tcPr>
          <w:p>
            <w:pPr>
              <w:autoSpaceDE w:val="0"/>
              <w:autoSpaceDN w:val="0"/>
              <w:adjustRightInd w:val="0"/>
              <w:spacing w:line="360" w:lineRule="auto"/>
              <w:jc w:val="center"/>
              <w:rPr>
                <w:rFonts w:ascii="仿宋" w:hAnsi="仿宋" w:eastAsia="仿宋" w:cs="仿宋"/>
                <w:bCs/>
                <w:sz w:val="24"/>
                <w:szCs w:val="24"/>
              </w:rPr>
            </w:pPr>
            <w:r>
              <w:rPr>
                <w:rFonts w:hint="eastAsia" w:ascii="仿宋" w:hAnsi="仿宋" w:eastAsia="仿宋" w:cs="仿宋"/>
                <w:bCs/>
                <w:sz w:val="24"/>
                <w:szCs w:val="24"/>
              </w:rPr>
              <w:t>产品合法来源渠道</w:t>
            </w:r>
          </w:p>
        </w:tc>
        <w:tc>
          <w:tcPr>
            <w:tcW w:w="6151" w:type="dxa"/>
            <w:noWrap w:val="0"/>
            <w:vAlign w:val="center"/>
          </w:tcPr>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zh-CN"/>
              </w:rPr>
              <w:t>带▲设备需提供产品合法来源渠道证明文件扫描件（包括但不限于产品制造商授权、销售协议或代理协议等）及厂家售后服务书，每提供一个计 0.5分，最高计</w:t>
            </w:r>
            <w:r>
              <w:rPr>
                <w:rFonts w:hint="eastAsia" w:ascii="仿宋" w:hAnsi="仿宋" w:eastAsia="仿宋" w:cs="仿宋"/>
                <w:sz w:val="24"/>
                <w:szCs w:val="24"/>
                <w:lang w:val="en-US" w:eastAsia="zh-CN"/>
              </w:rPr>
              <w:t>6</w:t>
            </w:r>
            <w:r>
              <w:rPr>
                <w:rFonts w:hint="eastAsia" w:ascii="仿宋" w:hAnsi="仿宋" w:eastAsia="仿宋" w:cs="仿宋"/>
                <w:sz w:val="24"/>
                <w:szCs w:val="24"/>
                <w:lang w:val="zh-CN"/>
              </w:rPr>
              <w:t>分。</w:t>
            </w:r>
          </w:p>
        </w:tc>
        <w:tc>
          <w:tcPr>
            <w:tcW w:w="1018" w:type="dxa"/>
            <w:noWrap w:val="0"/>
            <w:vAlign w:val="center"/>
          </w:tcPr>
          <w:p>
            <w:pPr>
              <w:snapToGrid w:val="0"/>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44" w:type="dxa"/>
            <w:vMerge w:val="continue"/>
            <w:noWrap w:val="0"/>
            <w:vAlign w:val="center"/>
          </w:tcPr>
          <w:p>
            <w:pPr>
              <w:widowControl/>
              <w:spacing w:line="360" w:lineRule="auto"/>
              <w:jc w:val="center"/>
              <w:rPr>
                <w:rFonts w:ascii="仿宋" w:hAnsi="仿宋" w:eastAsia="仿宋" w:cs="仿宋"/>
                <w:sz w:val="24"/>
                <w:szCs w:val="24"/>
              </w:rPr>
            </w:pPr>
          </w:p>
        </w:tc>
        <w:tc>
          <w:tcPr>
            <w:tcW w:w="1179" w:type="dxa"/>
            <w:noWrap w:val="0"/>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产品设备先进性，稳定性</w:t>
            </w:r>
          </w:p>
        </w:tc>
        <w:tc>
          <w:tcPr>
            <w:tcW w:w="6151" w:type="dxa"/>
            <w:noWrap w:val="0"/>
            <w:vAlign w:val="center"/>
          </w:tcPr>
          <w:p>
            <w:pPr>
              <w:pStyle w:val="19"/>
              <w:spacing w:line="360" w:lineRule="auto"/>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投标产品选型合理，性能稳定，具有较好的使用效果。为市场上广泛使用的主导产品，并提供备品备件。优于招标文件要求得</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4-</w:t>
            </w:r>
            <w:r>
              <w:rPr>
                <w:rFonts w:hint="eastAsia" w:ascii="仿宋" w:hAnsi="仿宋" w:eastAsia="仿宋" w:cs="仿宋"/>
                <w:kern w:val="2"/>
                <w:sz w:val="24"/>
                <w:szCs w:val="24"/>
                <w:lang w:val="en-US" w:eastAsia="zh-CN" w:bidi="ar-SA"/>
              </w:rPr>
              <w:t>6]</w:t>
            </w:r>
            <w:r>
              <w:rPr>
                <w:rFonts w:hint="eastAsia" w:ascii="仿宋" w:hAnsi="仿宋" w:eastAsia="仿宋" w:cs="仿宋"/>
                <w:kern w:val="2"/>
                <w:sz w:val="24"/>
                <w:szCs w:val="24"/>
                <w:lang w:val="zh-CN" w:eastAsia="zh-CN" w:bidi="ar-SA"/>
              </w:rPr>
              <w:t>分；产品选型合理，性能稳定，使用效果一般，得</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2-</w:t>
            </w: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zh-CN" w:eastAsia="zh-CN" w:bidi="ar-SA"/>
              </w:rPr>
              <w:t>分，产品选型、性能一般，得</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0-</w:t>
            </w: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CN" w:eastAsia="zh-CN" w:bidi="ar-SA"/>
              </w:rPr>
              <w:t>分。</w:t>
            </w:r>
          </w:p>
        </w:tc>
        <w:tc>
          <w:tcPr>
            <w:tcW w:w="1018" w:type="dxa"/>
            <w:noWrap w:val="0"/>
            <w:vAlign w:val="center"/>
          </w:tcPr>
          <w:p>
            <w:pPr>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44" w:type="dxa"/>
            <w:vMerge w:val="continue"/>
            <w:noWrap w:val="0"/>
            <w:vAlign w:val="center"/>
          </w:tcPr>
          <w:p>
            <w:pPr>
              <w:widowControl/>
              <w:spacing w:line="360" w:lineRule="auto"/>
              <w:jc w:val="center"/>
              <w:rPr>
                <w:rFonts w:ascii="仿宋" w:hAnsi="仿宋" w:eastAsia="仿宋" w:cs="仿宋"/>
                <w:sz w:val="24"/>
                <w:szCs w:val="24"/>
              </w:rPr>
            </w:pPr>
          </w:p>
        </w:tc>
        <w:tc>
          <w:tcPr>
            <w:tcW w:w="1179" w:type="dxa"/>
            <w:noWrap w:val="0"/>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质量保障</w:t>
            </w:r>
          </w:p>
        </w:tc>
        <w:tc>
          <w:tcPr>
            <w:tcW w:w="6151" w:type="dxa"/>
            <w:noWrap w:val="0"/>
            <w:vAlign w:val="center"/>
          </w:tcPr>
          <w:p>
            <w:pPr>
              <w:pStyle w:val="19"/>
              <w:spacing w:line="360" w:lineRule="auto"/>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所投产品制造厂家有可靠、完善的管理制度；有足够的设计、工艺、加工、检验能力；所投产品符合国际、国内相关标准，有具体可行的质量保证承诺及质量保证措施，能够保证使用单位正常使用，经横向比较，综合赋分 0</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lang w:val="en-US" w:eastAsia="zh-CN"/>
              </w:rPr>
              <w:t>6</w:t>
            </w:r>
            <w:r>
              <w:rPr>
                <w:rFonts w:hint="eastAsia" w:ascii="仿宋" w:hAnsi="仿宋" w:eastAsia="仿宋" w:cs="仿宋"/>
                <w:kern w:val="2"/>
                <w:sz w:val="24"/>
                <w:szCs w:val="24"/>
                <w:lang w:val="zh-CN" w:eastAsia="zh-CN" w:bidi="ar-SA"/>
              </w:rPr>
              <w:t>分。</w:t>
            </w:r>
          </w:p>
        </w:tc>
        <w:tc>
          <w:tcPr>
            <w:tcW w:w="1018" w:type="dxa"/>
            <w:noWrap w:val="0"/>
            <w:vAlign w:val="center"/>
          </w:tcPr>
          <w:p>
            <w:pPr>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4" w:type="dxa"/>
            <w:vMerge w:val="continue"/>
            <w:noWrap w:val="0"/>
            <w:vAlign w:val="center"/>
          </w:tcPr>
          <w:p>
            <w:pPr>
              <w:widowControl/>
              <w:spacing w:line="360" w:lineRule="auto"/>
              <w:jc w:val="center"/>
              <w:rPr>
                <w:rFonts w:ascii="仿宋" w:hAnsi="仿宋" w:eastAsia="仿宋" w:cs="仿宋"/>
                <w:sz w:val="24"/>
                <w:szCs w:val="24"/>
              </w:rPr>
            </w:pPr>
          </w:p>
        </w:tc>
        <w:tc>
          <w:tcPr>
            <w:tcW w:w="1179" w:type="dxa"/>
            <w:noWrap w:val="0"/>
            <w:vAlign w:val="center"/>
          </w:tcPr>
          <w:p>
            <w:pPr>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CN" w:eastAsia="zh-CN" w:bidi="ar-SA"/>
              </w:rPr>
              <w:t>实施方案</w:t>
            </w:r>
          </w:p>
        </w:tc>
        <w:tc>
          <w:tcPr>
            <w:tcW w:w="6151" w:type="dxa"/>
            <w:noWrap w:val="0"/>
            <w:vAlign w:val="center"/>
          </w:tcPr>
          <w:p>
            <w:pPr>
              <w:pStyle w:val="19"/>
              <w:spacing w:line="360" w:lineRule="auto"/>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项目实施方案包含备货、供货进度及保证措施，拟投入本项目的人员安排及责任制度、安全保障措施、应急处理措施等，从以上方面对方案的完整性、内容的全面性、措施的详细程度及可操作性，综合赋分0</w:t>
            </w:r>
            <w:r>
              <w:rPr>
                <w:rFonts w:hint="eastAsia" w:ascii="仿宋" w:hAnsi="仿宋" w:eastAsia="仿宋" w:cs="仿宋"/>
                <w:kern w:val="2"/>
                <w:sz w:val="24"/>
                <w:szCs w:val="24"/>
                <w:lang w:val="en-US" w:eastAsia="zh-CN" w:bidi="ar-SA"/>
              </w:rPr>
              <w:t>-</w:t>
            </w:r>
            <w:r>
              <w:rPr>
                <w:rFonts w:hint="eastAsia" w:ascii="仿宋" w:hAnsi="仿宋" w:eastAsia="仿宋" w:cs="仿宋"/>
                <w:sz w:val="24"/>
                <w:szCs w:val="24"/>
                <w:lang w:val="en-US" w:eastAsia="zh-CN"/>
              </w:rPr>
              <w:t>6</w:t>
            </w:r>
            <w:r>
              <w:rPr>
                <w:rFonts w:hint="eastAsia" w:ascii="仿宋" w:hAnsi="仿宋" w:eastAsia="仿宋" w:cs="仿宋"/>
                <w:kern w:val="2"/>
                <w:sz w:val="24"/>
                <w:szCs w:val="24"/>
                <w:lang w:val="zh-CN" w:eastAsia="zh-CN" w:bidi="ar-SA"/>
              </w:rPr>
              <w:t>分。</w:t>
            </w:r>
          </w:p>
        </w:tc>
        <w:tc>
          <w:tcPr>
            <w:tcW w:w="1018" w:type="dxa"/>
            <w:noWrap w:val="0"/>
            <w:vAlign w:val="center"/>
          </w:tcPr>
          <w:p>
            <w:pPr>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4" w:type="dxa"/>
            <w:vMerge w:val="continue"/>
            <w:noWrap w:val="0"/>
            <w:vAlign w:val="center"/>
          </w:tcPr>
          <w:p>
            <w:pPr>
              <w:widowControl/>
              <w:spacing w:line="360" w:lineRule="auto"/>
              <w:jc w:val="center"/>
              <w:rPr>
                <w:rFonts w:ascii="仿宋" w:hAnsi="仿宋" w:eastAsia="仿宋" w:cs="仿宋"/>
                <w:sz w:val="24"/>
                <w:szCs w:val="24"/>
              </w:rPr>
            </w:pPr>
          </w:p>
        </w:tc>
        <w:tc>
          <w:tcPr>
            <w:tcW w:w="1179" w:type="dxa"/>
            <w:noWrap w:val="0"/>
            <w:vAlign w:val="center"/>
          </w:tcPr>
          <w:p>
            <w:pPr>
              <w:ind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zh-CN" w:eastAsia="zh-CN" w:bidi="ar-SA"/>
              </w:rPr>
              <w:t>售后服务</w:t>
            </w:r>
          </w:p>
        </w:tc>
        <w:tc>
          <w:tcPr>
            <w:tcW w:w="6151" w:type="dxa"/>
            <w:noWrap w:val="0"/>
            <w:vAlign w:val="center"/>
          </w:tcPr>
          <w:p>
            <w:pPr>
              <w:pStyle w:val="19"/>
              <w:spacing w:line="360" w:lineRule="auto"/>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供应商针对本项目提供本地化售后服务，售后服务机构健全。具有完善可行的服务承诺及方案。按响应程度赋0-2分。能够完整的提供售后服务人员联系方式及社保证明（或劳动合同），得2分，不提供不得分。</w:t>
            </w:r>
          </w:p>
          <w:p>
            <w:pPr>
              <w:pStyle w:val="19"/>
              <w:spacing w:line="360" w:lineRule="auto"/>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2.培训服务：供应商提供的培训方案全面、完整、可行、有针对性。培训内容有层次，培训方式适当，能够保障使用单位能熟练操作维护和正常使用，根据培训方案的优劣情况赋0-2分。</w:t>
            </w:r>
          </w:p>
        </w:tc>
        <w:tc>
          <w:tcPr>
            <w:tcW w:w="1018" w:type="dxa"/>
            <w:noWrap w:val="0"/>
            <w:vAlign w:val="center"/>
          </w:tcPr>
          <w:p>
            <w:pPr>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r>
    </w:tbl>
    <w:p>
      <w:pPr>
        <w:pStyle w:val="28"/>
        <w:rPr>
          <w:rFonts w:hint="eastAsia"/>
          <w:lang w:val="zh-CN"/>
        </w:rPr>
        <w:sectPr>
          <w:headerReference r:id="rId6" w:type="default"/>
          <w:footerReference r:id="rId7" w:type="default"/>
          <w:pgSz w:w="11906" w:h="16838"/>
          <w:pgMar w:top="1417" w:right="1417" w:bottom="1417" w:left="1417" w:header="851" w:footer="992" w:gutter="0"/>
          <w:pgNumType w:fmt="decimal"/>
          <w:cols w:space="0" w:num="1"/>
          <w:rtlGutter w:val="0"/>
          <w:docGrid w:type="lines" w:linePitch="312" w:charSpace="0"/>
        </w:sectPr>
      </w:pP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3、其他事项说明</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（1）因落实政府采购政策进行价格调整的，以调整后的价格计算评标基准价和投标报价。</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（2）评标时，评标委员会根据以上内容进行综合比较，自主打分，分数四舍五入保留两位小数，独立对每个供应商的投标文件进行评价，并汇总每个供应商的得分。</w:t>
      </w:r>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outlineLvl w:val="2"/>
        <w:rPr>
          <w:rFonts w:ascii="仿宋" w:hAnsi="仿宋" w:eastAsia="仿宋" w:cs="仿宋"/>
          <w:color w:val="auto"/>
          <w:sz w:val="24"/>
          <w:szCs w:val="24"/>
          <w:lang w:val="zh-CN"/>
        </w:rPr>
      </w:pPr>
      <w:bookmarkStart w:id="244" w:name="_Toc16649"/>
      <w:bookmarkStart w:id="245" w:name="_Toc768"/>
      <w:bookmarkStart w:id="246" w:name="_Toc3128"/>
      <w:bookmarkStart w:id="247" w:name="_Toc17060"/>
      <w:bookmarkStart w:id="248" w:name="_Toc22005"/>
      <w:bookmarkStart w:id="249" w:name="_Toc10499"/>
      <w:bookmarkStart w:id="250" w:name="_Toc30211"/>
      <w:bookmarkStart w:id="251" w:name="_Toc6371"/>
      <w:bookmarkStart w:id="252" w:name="_Toc9209"/>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五</w:t>
      </w:r>
      <w:r>
        <w:rPr>
          <w:rFonts w:hint="eastAsia" w:ascii="仿宋" w:hAnsi="仿宋" w:eastAsia="仿宋" w:cs="仿宋"/>
          <w:color w:val="auto"/>
          <w:sz w:val="24"/>
          <w:szCs w:val="24"/>
          <w:lang w:val="zh-CN"/>
        </w:rPr>
        <w:t>）推荐中标候选人名单</w:t>
      </w:r>
      <w:bookmarkEnd w:id="244"/>
      <w:bookmarkEnd w:id="245"/>
      <w:bookmarkEnd w:id="246"/>
      <w:bookmarkEnd w:id="247"/>
      <w:bookmarkEnd w:id="248"/>
      <w:bookmarkEnd w:id="249"/>
      <w:bookmarkEnd w:id="250"/>
      <w:bookmarkEnd w:id="251"/>
      <w:bookmarkEnd w:id="252"/>
    </w:p>
    <w:p>
      <w:pPr>
        <w:keepNext w:val="0"/>
        <w:keepLines w:val="0"/>
        <w:pageBreakBefore w:val="0"/>
        <w:widowControl w:val="0"/>
        <w:tabs>
          <w:tab w:val="left" w:pos="9030"/>
        </w:tabs>
        <w:kinsoku/>
        <w:wordWrap/>
        <w:overflowPunct/>
        <w:topLinePunct w:val="0"/>
        <w:bidi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评标结果按评审后得分由高到低顺序排列，推荐三名以上中标候选人。投标文件满足招标文件全部实质性要求，且按照评审因素的量化指标评审得分。按照排序推荐入围候选人。</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color w:val="auto"/>
          <w:sz w:val="24"/>
          <w:szCs w:val="24"/>
          <w:lang w:val="zh-CN"/>
        </w:rPr>
      </w:pPr>
      <w:bookmarkStart w:id="253" w:name="_Toc22251"/>
      <w:bookmarkStart w:id="254" w:name="_Toc18208"/>
      <w:bookmarkStart w:id="255" w:name="_Toc13328"/>
      <w:bookmarkStart w:id="256" w:name="_Toc18731"/>
      <w:bookmarkStart w:id="257" w:name="_Toc2662"/>
      <w:bookmarkStart w:id="258" w:name="_Toc7227"/>
      <w:bookmarkStart w:id="259" w:name="_Toc16371"/>
      <w:bookmarkStart w:id="260" w:name="_Toc11442"/>
      <w:bookmarkStart w:id="261" w:name="_Toc29264"/>
      <w:r>
        <w:rPr>
          <w:rFonts w:hint="eastAsia" w:ascii="仿宋" w:hAnsi="仿宋" w:eastAsia="仿宋" w:cs="仿宋"/>
          <w:b/>
          <w:color w:val="auto"/>
          <w:sz w:val="24"/>
          <w:szCs w:val="24"/>
          <w:lang w:val="zh-CN"/>
        </w:rPr>
        <w:t>七、确定</w:t>
      </w:r>
      <w:bookmarkEnd w:id="253"/>
      <w:bookmarkEnd w:id="254"/>
      <w:bookmarkEnd w:id="255"/>
      <w:bookmarkEnd w:id="256"/>
      <w:bookmarkEnd w:id="257"/>
      <w:bookmarkEnd w:id="258"/>
      <w:bookmarkEnd w:id="259"/>
      <w:bookmarkEnd w:id="260"/>
      <w:r>
        <w:rPr>
          <w:rFonts w:hint="eastAsia" w:ascii="仿宋" w:hAnsi="仿宋" w:eastAsia="仿宋" w:cs="仿宋"/>
          <w:b/>
          <w:color w:val="auto"/>
          <w:sz w:val="24"/>
          <w:szCs w:val="24"/>
          <w:lang w:val="zh-CN"/>
        </w:rPr>
        <w:t>中标供应商</w:t>
      </w:r>
      <w:bookmarkEnd w:id="261"/>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（一）采购代理机构应当在评标结束后2个工作日内将评标报告送采购人。</w:t>
      </w:r>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二）采购人应当自收到评标报告之日起5个工作日内，在评标报告确定的中标候选人名单中按顺序确定中标供应商，复函采购代理机构。采购人在收到评标报告5个工作日内未按评标报告推荐的中标候选人顺序确定中标供应商，又不能说明合法理由的，视同按评标报告推荐的顺序确定排名第一的中标候选人为中标供应商。</w:t>
      </w:r>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（三）采购代理机构当自中标供应商确定之日起2个工作日内，在省级以上财政部门指定的媒体上公告中标结果，公告期限为1个工作日，并向中标供应商发“中标通知书”。</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四）供应商对中标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color w:val="auto"/>
          <w:sz w:val="24"/>
          <w:szCs w:val="24"/>
          <w:lang w:val="zh-CN"/>
        </w:rPr>
      </w:pPr>
      <w:bookmarkStart w:id="262" w:name="_Toc22035"/>
      <w:bookmarkStart w:id="263" w:name="_Toc8695"/>
      <w:bookmarkStart w:id="264" w:name="_Toc26684"/>
      <w:bookmarkStart w:id="265" w:name="_Toc27317"/>
      <w:bookmarkStart w:id="266" w:name="_Toc15275"/>
      <w:bookmarkStart w:id="267" w:name="_Toc21655"/>
      <w:bookmarkStart w:id="268" w:name="_Toc19938"/>
      <w:bookmarkStart w:id="269" w:name="_Toc204"/>
      <w:bookmarkStart w:id="270" w:name="_Toc10140"/>
      <w:r>
        <w:rPr>
          <w:rFonts w:hint="eastAsia" w:ascii="仿宋" w:hAnsi="仿宋" w:eastAsia="仿宋" w:cs="仿宋"/>
          <w:b/>
          <w:color w:val="auto"/>
          <w:sz w:val="24"/>
          <w:szCs w:val="24"/>
          <w:lang w:val="zh-CN"/>
        </w:rPr>
        <w:t>八、合同</w:t>
      </w:r>
      <w:bookmarkEnd w:id="262"/>
      <w:bookmarkEnd w:id="263"/>
      <w:bookmarkEnd w:id="264"/>
      <w:bookmarkEnd w:id="265"/>
      <w:bookmarkEnd w:id="266"/>
      <w:bookmarkEnd w:id="267"/>
      <w:bookmarkEnd w:id="268"/>
      <w:bookmarkEnd w:id="269"/>
      <w:bookmarkEnd w:id="270"/>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（一）采购人在自中标通知书发出之日起三十日内，按照招标文件和中标供应商投标文件的约定，采购人与中标供应商洽谈合同条款，并签订合同。招标文件及中标供应商的投标文件均作为合同的组成部分。</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二）定标后，中标供应商无正当理由拖延或拒签合同，监督机构有权取消其中标资格，并按评标结果顺序重新确定中标供应商。同时报请监督机构通报，取消其进入政府采购市场的资格，按规定予以处罚，并没收其投标保证金。</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（三）政府采购合同的履行、违约责任和解决争议的方法等适用《中华人民共和国</w:t>
      </w:r>
      <w:r>
        <w:rPr>
          <w:rFonts w:hint="eastAsia" w:ascii="仿宋" w:hAnsi="仿宋" w:eastAsia="仿宋" w:cs="仿宋"/>
          <w:color w:val="auto"/>
          <w:sz w:val="24"/>
          <w:szCs w:val="24"/>
        </w:rPr>
        <w:t>民法典</w:t>
      </w:r>
      <w:r>
        <w:rPr>
          <w:rFonts w:hint="eastAsia" w:ascii="仿宋" w:hAnsi="仿宋" w:eastAsia="仿宋" w:cs="仿宋"/>
          <w:color w:val="auto"/>
          <w:sz w:val="24"/>
          <w:szCs w:val="24"/>
          <w:lang w:val="zh-CN"/>
        </w:rPr>
        <w:t>》，采购人按照政府采购合同规定的技术、服务、安全标准组织对供应商履约情况进行验收，并出具验收书。</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2" w:firstLineChars="200"/>
        <w:textAlignment w:val="auto"/>
        <w:outlineLvl w:val="1"/>
        <w:rPr>
          <w:rFonts w:ascii="仿宋" w:hAnsi="仿宋" w:eastAsia="仿宋" w:cs="仿宋"/>
          <w:b/>
          <w:color w:val="auto"/>
          <w:sz w:val="24"/>
          <w:szCs w:val="24"/>
          <w:lang w:val="zh-CN"/>
        </w:rPr>
      </w:pPr>
      <w:bookmarkStart w:id="271" w:name="_Toc15593"/>
      <w:bookmarkStart w:id="272" w:name="_Toc28649"/>
      <w:bookmarkStart w:id="273" w:name="_Toc22015"/>
      <w:bookmarkStart w:id="274" w:name="_Toc27949"/>
      <w:bookmarkStart w:id="275" w:name="_Toc24288"/>
      <w:bookmarkStart w:id="276" w:name="_Toc5984"/>
      <w:bookmarkStart w:id="277" w:name="_Toc14348"/>
      <w:bookmarkStart w:id="278" w:name="_Toc21976"/>
      <w:bookmarkStart w:id="279" w:name="_Toc12445"/>
      <w:r>
        <w:rPr>
          <w:rFonts w:hint="eastAsia" w:ascii="仿宋" w:hAnsi="仿宋" w:eastAsia="仿宋" w:cs="仿宋"/>
          <w:b/>
          <w:color w:val="auto"/>
          <w:sz w:val="24"/>
          <w:szCs w:val="24"/>
          <w:lang w:val="zh-CN"/>
        </w:rPr>
        <w:t>九、中标服务费</w:t>
      </w:r>
      <w:bookmarkEnd w:id="271"/>
      <w:bookmarkEnd w:id="272"/>
      <w:bookmarkEnd w:id="273"/>
      <w:bookmarkEnd w:id="274"/>
      <w:bookmarkEnd w:id="275"/>
      <w:bookmarkEnd w:id="276"/>
      <w:bookmarkEnd w:id="277"/>
      <w:bookmarkEnd w:id="278"/>
      <w:bookmarkEnd w:id="279"/>
    </w:p>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right="0" w:firstLine="480" w:firstLineChars="200"/>
        <w:textAlignment w:val="auto"/>
        <w:rPr>
          <w:rFonts w:ascii="仿宋" w:hAnsi="仿宋" w:eastAsia="仿宋" w:cs="仿宋"/>
          <w:color w:val="auto"/>
          <w:sz w:val="24"/>
          <w:szCs w:val="24"/>
          <w:lang w:val="zh-CN"/>
        </w:rPr>
      </w:pPr>
      <w:bookmarkStart w:id="280" w:name="_Toc29526"/>
      <w:bookmarkStart w:id="281" w:name="_Toc495671245"/>
      <w:r>
        <w:rPr>
          <w:rFonts w:hint="eastAsia" w:ascii="仿宋" w:hAnsi="仿宋" w:eastAsia="仿宋" w:cs="仿宋"/>
          <w:color w:val="auto"/>
          <w:sz w:val="24"/>
          <w:szCs w:val="24"/>
          <w:lang w:val="zh-CN"/>
        </w:rPr>
        <w:t>（一）</w:t>
      </w:r>
      <w:r>
        <w:rPr>
          <w:rFonts w:hint="eastAsia" w:ascii="仿宋" w:hAnsi="仿宋" w:eastAsia="仿宋" w:cs="仿宋"/>
          <w:color w:val="auto"/>
          <w:sz w:val="24"/>
          <w:szCs w:val="24"/>
        </w:rPr>
        <w:t>本项目招标代理服务费由</w:t>
      </w:r>
      <w:r>
        <w:rPr>
          <w:rFonts w:hint="eastAsia" w:ascii="仿宋" w:hAnsi="仿宋" w:eastAsia="仿宋" w:cs="仿宋"/>
          <w:color w:val="auto"/>
          <w:sz w:val="24"/>
          <w:szCs w:val="24"/>
          <w:lang w:eastAsia="zh-CN"/>
        </w:rPr>
        <w:t>中标供应商</w:t>
      </w:r>
      <w:r>
        <w:rPr>
          <w:rFonts w:hint="eastAsia" w:ascii="仿宋" w:hAnsi="仿宋" w:eastAsia="仿宋" w:cs="仿宋"/>
          <w:color w:val="auto"/>
          <w:sz w:val="24"/>
          <w:szCs w:val="24"/>
        </w:rPr>
        <w:t>在中标结果公示期满后三个工作日内按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标准支付给招标代理机构。</w:t>
      </w:r>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zh-CN"/>
        </w:rPr>
        <w:t>（二）</w:t>
      </w:r>
      <w:r>
        <w:rPr>
          <w:rFonts w:hint="eastAsia" w:ascii="仿宋" w:hAnsi="仿宋" w:eastAsia="仿宋" w:cs="仿宋"/>
          <w:color w:val="auto"/>
          <w:sz w:val="24"/>
          <w:szCs w:val="24"/>
        </w:rPr>
        <w:t>采购代理服务费依据《国家计委关于印发招标代理服务收费管理暂行办法的通知》（计价格【2002】1980号）和国家发改委办公厅颁发的《关于招标代理服务收费有关问题的通</w:t>
      </w:r>
      <w:r>
        <w:rPr>
          <w:rFonts w:hint="eastAsia" w:ascii="仿宋" w:hAnsi="仿宋" w:eastAsia="仿宋" w:cs="仿宋"/>
          <w:color w:val="auto"/>
          <w:sz w:val="24"/>
          <w:szCs w:val="24"/>
          <w:highlight w:val="none"/>
        </w:rPr>
        <w:t>知》（发改办价格【2003】857号）文件规定标准收取。</w:t>
      </w:r>
    </w:p>
    <w:p>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单位：万元</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noWrap/>
          </w:tcPr>
          <w:p>
            <w:pPr>
              <w:spacing w:line="360" w:lineRule="auto"/>
              <w:ind w:firstLine="960" w:firstLineChars="400"/>
              <w:rPr>
                <w:rFonts w:ascii="仿宋" w:hAnsi="仿宋" w:eastAsia="仿宋" w:cs="仿宋"/>
                <w:b/>
                <w:color w:val="auto"/>
                <w:sz w:val="24"/>
                <w:szCs w:val="24"/>
                <w:highlight w:val="none"/>
              </w:rPr>
            </w:pPr>
            <w:r>
              <w:rPr>
                <w:rFonts w:ascii="仿宋" w:hAnsi="仿宋" w:eastAsia="仿宋" w:cs="仿宋"/>
                <w:color w:val="auto"/>
                <w:sz w:val="24"/>
                <w:szCs w:val="24"/>
                <w:highlight w:val="none"/>
              </w:rPr>
              <w:pict>
                <v:shape id="直接连接符 1" o:spid="_x0000_s2050" o:spt="32" type="#_x0000_t32" style="position:absolute;left:0pt;margin-left:-3pt;margin-top:2.5pt;height:43.4pt;width:116.8pt;z-index:251662336;mso-width-relative:page;mso-height-relative:page;" filled="f" coordsize="21600,21600" o:gfxdata="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wLrf1wAAAAcBAAAPAAAAAAAAAAEAIAAAACIAAABkcnMvZG93bnJldi54&#10;bWxQSwECFAAUAAAACACHTuJAwO7RLvsBAADrAwAADgAAAAAAAAABACAAAAAmAQAAZHJzL2Uyb0Rv&#10;Yy54bWxQSwUGAAAAAAYABgBZAQAAkwUAAAAA&#10;">
                  <v:path arrowok="t"/>
                  <v:fill on="f" focussize="0,0"/>
                  <v:stroke/>
                  <v:imagedata o:title=""/>
                  <o:lock v:ext="edit"/>
                </v:shape>
              </w:pict>
            </w:r>
            <w:r>
              <w:rPr>
                <w:rFonts w:hint="eastAsia" w:ascii="仿宋" w:hAnsi="仿宋" w:eastAsia="仿宋" w:cs="仿宋"/>
                <w:b/>
                <w:color w:val="auto"/>
                <w:sz w:val="24"/>
                <w:szCs w:val="24"/>
                <w:highlight w:val="none"/>
              </w:rPr>
              <w:t>采购类型</w:t>
            </w:r>
          </w:p>
          <w:p>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中标金额</w:t>
            </w:r>
          </w:p>
        </w:tc>
        <w:tc>
          <w:tcPr>
            <w:tcW w:w="1980" w:type="dxa"/>
            <w:noWrap/>
            <w:vAlign w:val="center"/>
          </w:tcPr>
          <w:p>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货物招标</w:t>
            </w:r>
          </w:p>
        </w:tc>
        <w:tc>
          <w:tcPr>
            <w:tcW w:w="1980" w:type="dxa"/>
            <w:noWrap/>
            <w:vAlign w:val="center"/>
          </w:tcPr>
          <w:p>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服务招标</w:t>
            </w:r>
          </w:p>
        </w:tc>
        <w:tc>
          <w:tcPr>
            <w:tcW w:w="1980" w:type="dxa"/>
            <w:noWrap/>
            <w:vAlign w:val="center"/>
          </w:tcPr>
          <w:p>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10000-100000</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1000000以上</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c>
          <w:tcPr>
            <w:tcW w:w="1980" w:type="dxa"/>
            <w:noWrap/>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0.01%</w:t>
            </w:r>
          </w:p>
        </w:tc>
      </w:tr>
    </w:tbl>
    <w:p>
      <w:pPr>
        <w:keepNext w:val="0"/>
        <w:keepLines w:val="0"/>
        <w:pageBreakBefore w:val="0"/>
        <w:widowControl w:val="0"/>
        <w:tabs>
          <w:tab w:val="left" w:pos="0"/>
        </w:tabs>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（三）中标供应商服务费交纳信息：</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采购代理机构开户名称：陕西笃信招标有限公司</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开户银行：中国建设银行股份有限公司西安劳动北路支行</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   号：61050174390000000193</w:t>
      </w:r>
    </w:p>
    <w:p>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both"/>
        <w:textAlignment w:val="auto"/>
        <w:outlineLvl w:val="1"/>
        <w:rPr>
          <w:rFonts w:ascii="仿宋" w:hAnsi="仿宋" w:eastAsia="仿宋" w:cs="仿宋"/>
          <w:b/>
          <w:color w:val="auto"/>
          <w:sz w:val="24"/>
          <w:szCs w:val="24"/>
          <w:highlight w:val="none"/>
          <w:lang w:val="zh-CN"/>
        </w:rPr>
      </w:pPr>
      <w:bookmarkStart w:id="282" w:name="_Toc750"/>
      <w:bookmarkStart w:id="283" w:name="_Toc19614"/>
      <w:bookmarkStart w:id="284" w:name="_Toc30031"/>
      <w:bookmarkStart w:id="285" w:name="_Toc2882"/>
      <w:bookmarkStart w:id="286" w:name="_Toc11240"/>
      <w:bookmarkStart w:id="287" w:name="_Toc28136"/>
      <w:bookmarkStart w:id="288" w:name="_Toc18347"/>
      <w:bookmarkStart w:id="289" w:name="_Toc22638"/>
      <w:r>
        <w:rPr>
          <w:rFonts w:hint="eastAsia" w:ascii="仿宋" w:hAnsi="仿宋" w:eastAsia="仿宋" w:cs="仿宋"/>
          <w:b/>
          <w:color w:val="auto"/>
          <w:sz w:val="24"/>
          <w:szCs w:val="24"/>
          <w:highlight w:val="none"/>
          <w:lang w:val="zh-CN"/>
        </w:rPr>
        <w:t>十、废标或者采购方式的变更</w:t>
      </w:r>
      <w:bookmarkEnd w:id="280"/>
      <w:bookmarkEnd w:id="281"/>
      <w:bookmarkEnd w:id="282"/>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2"/>
        <w:rPr>
          <w:rFonts w:ascii="仿宋" w:hAnsi="仿宋" w:eastAsia="仿宋" w:cs="仿宋"/>
          <w:color w:val="auto"/>
          <w:sz w:val="24"/>
          <w:szCs w:val="24"/>
          <w:highlight w:val="none"/>
          <w:lang w:val="zh-CN"/>
        </w:rPr>
      </w:pPr>
      <w:bookmarkStart w:id="290" w:name="_Toc19552"/>
      <w:bookmarkStart w:id="291" w:name="_Toc5288"/>
      <w:bookmarkStart w:id="292" w:name="_Toc12765"/>
      <w:bookmarkStart w:id="293" w:name="_Toc3534"/>
      <w:bookmarkStart w:id="294" w:name="_Toc15850"/>
      <w:bookmarkStart w:id="295" w:name="_Toc7901"/>
      <w:r>
        <w:rPr>
          <w:rFonts w:hint="eastAsia" w:ascii="仿宋" w:hAnsi="仿宋" w:eastAsia="仿宋" w:cs="仿宋"/>
          <w:color w:val="auto"/>
          <w:sz w:val="24"/>
          <w:szCs w:val="24"/>
          <w:highlight w:val="none"/>
          <w:lang w:val="zh-CN"/>
        </w:rPr>
        <w:t>（一）废标</w:t>
      </w:r>
      <w:bookmarkEnd w:id="290"/>
      <w:bookmarkEnd w:id="291"/>
      <w:bookmarkEnd w:id="292"/>
      <w:bookmarkEnd w:id="293"/>
      <w:bookmarkEnd w:id="294"/>
      <w:bookmarkEnd w:id="295"/>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在招标过程中，提交投标文件或者通过资格审查或符合性审查的供应商只有1家时，按废标处理，重新开展采购活动。</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outlineLvl w:val="2"/>
        <w:rPr>
          <w:rFonts w:ascii="仿宋" w:hAnsi="仿宋" w:eastAsia="仿宋" w:cs="仿宋"/>
          <w:color w:val="auto"/>
          <w:sz w:val="24"/>
          <w:szCs w:val="24"/>
          <w:highlight w:val="none"/>
          <w:lang w:val="zh-CN"/>
        </w:rPr>
      </w:pPr>
      <w:bookmarkStart w:id="296" w:name="_Toc18780"/>
      <w:bookmarkStart w:id="297" w:name="_Toc25928"/>
      <w:bookmarkStart w:id="298" w:name="_Toc9798"/>
      <w:bookmarkStart w:id="299" w:name="_Toc4528"/>
      <w:bookmarkStart w:id="300" w:name="_Toc2017"/>
      <w:bookmarkStart w:id="301" w:name="_Toc897"/>
      <w:r>
        <w:rPr>
          <w:rFonts w:hint="eastAsia" w:ascii="仿宋" w:hAnsi="仿宋" w:eastAsia="仿宋" w:cs="仿宋"/>
          <w:color w:val="auto"/>
          <w:sz w:val="24"/>
          <w:szCs w:val="24"/>
          <w:highlight w:val="none"/>
          <w:lang w:val="zh-CN"/>
        </w:rPr>
        <w:t>（二）采购方式的变更</w:t>
      </w:r>
      <w:bookmarkEnd w:id="296"/>
      <w:bookmarkEnd w:id="297"/>
      <w:bookmarkEnd w:id="298"/>
      <w:bookmarkEnd w:id="299"/>
      <w:bookmarkEnd w:id="300"/>
      <w:bookmarkEnd w:id="301"/>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highlight w:val="none"/>
          <w:lang w:val="zh-CN"/>
        </w:rPr>
        <w:t>根据《政府采购货物和服务招标投标管理办法》第四十三条，公开招标的</w:t>
      </w:r>
      <w:r>
        <w:rPr>
          <w:rFonts w:hint="eastAsia" w:ascii="仿宋" w:hAnsi="仿宋" w:eastAsia="仿宋" w:cs="仿宋"/>
          <w:color w:val="auto"/>
          <w:sz w:val="24"/>
          <w:szCs w:val="24"/>
          <w:lang w:val="zh-CN"/>
        </w:rPr>
        <w:t>货物、服务类项目，投标截止后供应商不足三家或者通过资格审查或符合性审查的供应商不足三家的，除采购任务取消情形外，按照以下方式处理：</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1.招标文件存在不合理条款或者招标程序不符合规定的，采购人、采购代理机构改正后依法重新招标；</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2.招标文件没有不合理条款、招标程序符合规定，需要采用其他采购方式采购的，采购人应当依法报财政部门批准：</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①在招标过程中，提交投标文件或者通过资格审查或符合性审查的供应商只有2家时，根据2013年第74号部长令--《政府采购非招标采购方式管理办法》第二十七条和陕西省财政厅陕财办采资（2016）53号文件第七条的规定，经采购人书面请示政府采购管理机构同意后，可以现场转为竞争性谈判继续采购。</w:t>
      </w:r>
    </w:p>
    <w:p>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②如果转为竞争性谈判方式，则原招标文件转为竞争性谈判文件，原供应商即为报价人，原投标文件报价作为竞争性谈判的第一次报价，评审方法按照竞争性谈判的评审原则，在质量和服务均能满足招标文件实质性要求的基础上，按照最后报价由低到高的顺序，确定成交候选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outlineLvl w:val="1"/>
        <w:rPr>
          <w:rFonts w:ascii="仿宋" w:hAnsi="仿宋" w:eastAsia="仿宋" w:cs="仿宋"/>
          <w:b/>
          <w:color w:val="auto"/>
          <w:sz w:val="24"/>
          <w:szCs w:val="24"/>
          <w:lang w:val="zh-CN"/>
        </w:rPr>
      </w:pPr>
      <w:bookmarkStart w:id="302" w:name="_Toc5755"/>
      <w:bookmarkStart w:id="303" w:name="_Toc13173"/>
      <w:bookmarkStart w:id="304" w:name="_Toc206"/>
      <w:bookmarkStart w:id="305" w:name="_Toc19640"/>
      <w:bookmarkStart w:id="306" w:name="_Toc29960"/>
      <w:bookmarkStart w:id="307" w:name="_Toc21416"/>
      <w:bookmarkStart w:id="308" w:name="_Toc16329"/>
      <w:bookmarkStart w:id="309" w:name="_Toc22403"/>
      <w:bookmarkStart w:id="310" w:name="_Toc12871"/>
      <w:bookmarkStart w:id="311" w:name="_Toc495671239"/>
      <w:bookmarkStart w:id="312" w:name="_Toc475451545"/>
      <w:bookmarkStart w:id="313" w:name="_Toc10487"/>
      <w:bookmarkStart w:id="314" w:name="_Toc92"/>
      <w:bookmarkStart w:id="315" w:name="_Toc2506"/>
      <w:bookmarkStart w:id="316" w:name="_Toc23714"/>
      <w:bookmarkStart w:id="317" w:name="_Toc19653"/>
      <w:bookmarkStart w:id="318" w:name="_Toc12818"/>
      <w:r>
        <w:rPr>
          <w:rFonts w:hint="eastAsia" w:ascii="仿宋" w:hAnsi="仿宋" w:eastAsia="仿宋" w:cs="仿宋"/>
          <w:b/>
          <w:color w:val="auto"/>
          <w:sz w:val="24"/>
          <w:szCs w:val="24"/>
          <w:lang w:val="zh-CN"/>
        </w:rPr>
        <w:t>十一、需要落实的政府采购政策</w:t>
      </w:r>
      <w:bookmarkEnd w:id="302"/>
      <w:bookmarkEnd w:id="303"/>
      <w:bookmarkEnd w:id="304"/>
      <w:bookmarkEnd w:id="305"/>
      <w:bookmarkEnd w:id="306"/>
      <w:bookmarkEnd w:id="307"/>
      <w:bookmarkEnd w:id="308"/>
      <w:bookmarkEnd w:id="309"/>
      <w:bookmarkEnd w:id="310"/>
      <w:bookmarkEnd w:id="311"/>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bookmarkStart w:id="319" w:name="_Toc13861"/>
      <w:bookmarkStart w:id="320" w:name="_Toc19879"/>
      <w:bookmarkStart w:id="321" w:name="_Toc5903"/>
      <w:bookmarkStart w:id="322" w:name="_Toc6204"/>
      <w:bookmarkStart w:id="323" w:name="_Toc26022"/>
      <w:bookmarkStart w:id="324" w:name="_Toc19661"/>
      <w:bookmarkStart w:id="325" w:name="_Toc31691"/>
      <w:r>
        <w:rPr>
          <w:rFonts w:hint="eastAsia" w:ascii="仿宋" w:hAnsi="仿宋" w:eastAsia="仿宋" w:cs="仿宋"/>
          <w:color w:val="auto"/>
          <w:sz w:val="24"/>
          <w:szCs w:val="24"/>
        </w:rPr>
        <w:t>（一）落实促进支持中小企业、监狱企业、残疾人福利性单位发展、脱贫攻坚工作的政策(如为专门面向中小企业的采购项目（或采购包），不执行1、2、3条款。)</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1、《政府采购促进中小企业发展管理办法》（财库〔2020〕46号）及《关于进一步加大政府采购支持中小企业力度的通知》（财库〔2022〕19号）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在政府采购活动中，</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提供的货物、工程或者服务符合下列情形的，享受《办法》规定的中小企业扶持政策: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(1)在货物采购项目中，货物由中小企业制造，即货物由中小企业生产且使用该中小企业商号或者注册商标；</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(2)在工程采购项目中，工程由中小企业承建，即工程施工单位为中小企业；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(3)在服务采购项目中，服务由中小企业承接，即提供服务的人员为中小企业依</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《中华人民共和国劳动民法典》订立劳动合同的从业人员。</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在货物采购项目中，</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提供的货物既有中小企业制造货物，也有大型企业制造货物的，不享受《办法》规定的中小企业扶持政策。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根据《政府采购促进中小企业发展管理办法》的通知（财库〔2020〕46号）规定，参加政府采购活动的中小企业应当提供《中小企业声明函》。</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提供的《中小企业声明函》原件必须真实，否则，按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有关规定予以处理。</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根据《政府采购促进中小企业发展管理办法》及《</w:t>
      </w:r>
      <w:r>
        <w:rPr>
          <w:rFonts w:hint="eastAsia" w:ascii="仿宋" w:hAnsi="仿宋" w:eastAsia="仿宋" w:cs="仿宋"/>
          <w:color w:val="auto"/>
          <w:sz w:val="24"/>
          <w:szCs w:val="24"/>
          <w:lang w:eastAsia="zh-CN"/>
        </w:rPr>
        <w:t>陕西省财政厅</w:t>
      </w:r>
      <w:r>
        <w:rPr>
          <w:rFonts w:hint="eastAsia" w:ascii="仿宋" w:hAnsi="仿宋" w:eastAsia="仿宋" w:cs="仿宋"/>
          <w:color w:val="auto"/>
          <w:sz w:val="24"/>
          <w:szCs w:val="24"/>
        </w:rPr>
        <w:t>关于进一步加大政府采购支持中小企业力度的通知》市财函〔2022〕867号的相关规定，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2、《财政部 司法部关于政府采购支持监狱企业发展有关问题的通知》（财库〔2014〕68号）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3、《三部门联合发布关于促进残疾人就业政府采购政策的通知》（财库〔2017〕141号）；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（二）落实优先采购节能、环保产品的政策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2、《财政部 司法部关于政府采购支持监狱企业发展有关问题的通知》（财库〔2014〕68号）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3、《三部门联合发布关于促进残疾人就业政府采购政策的通知》（财库〔2017〕141号）；</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（三）政府采购信用融资政策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有融资需求的，可以自由按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财政部门的规定，在“陕西政府采购信用融资平台（含各市分平台）”查询并按信用融资办法的相关程序申请办理。</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（四）陕西省中小企业政府采购信用担保政策</w:t>
      </w:r>
    </w:p>
    <w:p>
      <w:pPr>
        <w:keepNext w:val="0"/>
        <w:keepLines w:val="0"/>
        <w:pageBreakBefore w:val="0"/>
        <w:widowControl w:val="0"/>
        <w:kinsoku/>
        <w:wordWrap/>
        <w:overflowPunct/>
        <w:topLinePunct w:val="0"/>
        <w:bidi w:val="0"/>
        <w:snapToGrid w:val="0"/>
        <w:spacing w:line="360" w:lineRule="auto"/>
        <w:ind w:firstLine="480" w:firstLineChars="200"/>
        <w:jc w:val="both"/>
        <w:textAlignment w:val="auto"/>
        <w:rPr>
          <w:rFonts w:ascii="仿宋" w:hAnsi="仿宋" w:eastAsia="仿宋" w:cs="仿宋"/>
          <w:color w:val="auto"/>
        </w:rPr>
      </w:pPr>
      <w:r>
        <w:rPr>
          <w:rFonts w:hint="eastAsia" w:ascii="仿宋" w:hAnsi="仿宋" w:eastAsia="仿宋" w:cs="仿宋"/>
          <w:color w:val="auto"/>
          <w:sz w:val="24"/>
          <w:szCs w:val="24"/>
        </w:rPr>
        <w:t>如属于政府采购信用担保范围内，中小型企业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可以自由按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财政部门的规定，采用履约担保和融资担保。</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outlineLvl w:val="1"/>
        <w:rPr>
          <w:rFonts w:ascii="仿宋" w:hAnsi="仿宋" w:eastAsia="仿宋" w:cs="仿宋"/>
          <w:b/>
          <w:color w:val="auto"/>
          <w:sz w:val="24"/>
          <w:szCs w:val="24"/>
          <w:lang w:val="zh-CN"/>
        </w:rPr>
      </w:pPr>
      <w:bookmarkStart w:id="326" w:name="_Toc6895"/>
      <w:bookmarkStart w:id="327" w:name="_Toc3946"/>
      <w:bookmarkStart w:id="328" w:name="_Toc32277"/>
      <w:r>
        <w:rPr>
          <w:rFonts w:hint="eastAsia" w:ascii="仿宋" w:hAnsi="仿宋" w:eastAsia="仿宋" w:cs="仿宋"/>
          <w:b/>
          <w:color w:val="auto"/>
          <w:sz w:val="24"/>
          <w:szCs w:val="24"/>
          <w:lang w:val="zh-CN"/>
        </w:rPr>
        <w:t>十二、质疑与投诉</w:t>
      </w:r>
      <w:bookmarkEnd w:id="319"/>
      <w:bookmarkEnd w:id="320"/>
      <w:bookmarkEnd w:id="321"/>
      <w:bookmarkEnd w:id="322"/>
      <w:bookmarkEnd w:id="323"/>
      <w:bookmarkEnd w:id="324"/>
      <w:bookmarkEnd w:id="325"/>
      <w:bookmarkEnd w:id="326"/>
      <w:bookmarkEnd w:id="327"/>
      <w:bookmarkEnd w:id="32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2"/>
        <w:rPr>
          <w:rFonts w:ascii="仿宋" w:hAnsi="仿宋" w:eastAsia="仿宋" w:cs="仿宋"/>
          <w:bCs/>
          <w:color w:val="auto"/>
          <w:sz w:val="24"/>
          <w:szCs w:val="24"/>
          <w:lang w:val="zh-CN"/>
        </w:rPr>
      </w:pPr>
      <w:bookmarkStart w:id="329" w:name="_Toc23643"/>
      <w:bookmarkStart w:id="330" w:name="_Toc8990"/>
      <w:bookmarkStart w:id="331" w:name="_Toc2942"/>
      <w:bookmarkStart w:id="332" w:name="_Toc5806"/>
      <w:bookmarkStart w:id="333" w:name="_Toc31018"/>
      <w:bookmarkStart w:id="334" w:name="_Toc6295"/>
      <w:bookmarkStart w:id="335" w:name="_Toc6521"/>
      <w:r>
        <w:rPr>
          <w:rFonts w:hint="eastAsia" w:ascii="仿宋" w:hAnsi="仿宋" w:eastAsia="仿宋" w:cs="仿宋"/>
          <w:bCs/>
          <w:color w:val="auto"/>
          <w:sz w:val="24"/>
          <w:szCs w:val="24"/>
          <w:lang w:val="zh-CN"/>
        </w:rPr>
        <w:t>（一）质疑</w:t>
      </w:r>
      <w:bookmarkEnd w:id="329"/>
      <w:bookmarkEnd w:id="330"/>
      <w:bookmarkEnd w:id="331"/>
      <w:bookmarkEnd w:id="332"/>
      <w:bookmarkEnd w:id="333"/>
      <w:bookmarkEnd w:id="334"/>
      <w:bookmarkEnd w:id="335"/>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1、供应商认为招标文件、招标过程或中标结果使自身的合法权益受到损害，可以在法定期限内，以书面形式向采购代理机构或采购人提出质疑。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（1）提出质疑应当提交质疑函和必要的证明材料，质疑函应当包括以下主要内容：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（2）质疑函应当由法定代表人签字并加盖公章，公章不得以合同章或其他印章代替。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（3）质疑人可以委托代理人办理质疑事项，代理人办理质疑事项时，除提交质疑函外，还应当提交法人授权委托书及代理人的有效身份证明，授权委托书应当载明委托代理的具体权限和事项。</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（4）有下列情形之一的，属于无效质疑：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①质疑人不是参与本次政府采购项目的供应商或潜在供应商；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②质疑人与质疑事项不存在利害关系的；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③未在法定期限内提出质疑的；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④质疑未以书面形式提出，或质疑函主要内容构成不完整的；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⑤质疑函没有合法有效的签字、盖章或授权的；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⑥以非法手段取得证据、材料的；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⑦质疑答复后，同一质疑人就同一事项再次提出质疑的；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⑧不符合法律、法规、规章和政府采购监管机构规定的其他条件的。</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2、符合要求的质疑，采购代理机构将予以受理并答复，具体联系方式如下：</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zh-CN"/>
        </w:rPr>
        <w:t>联系人：李纪旋、</w:t>
      </w:r>
      <w:r>
        <w:rPr>
          <w:rFonts w:hint="eastAsia" w:ascii="仿宋" w:hAnsi="仿宋" w:eastAsia="仿宋" w:cs="仿宋"/>
          <w:bCs/>
          <w:color w:val="auto"/>
          <w:sz w:val="24"/>
          <w:szCs w:val="24"/>
          <w:lang w:eastAsia="zh-CN"/>
        </w:rPr>
        <w:t>黄安舒</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rPr>
      </w:pPr>
      <w:r>
        <w:rPr>
          <w:rFonts w:hint="eastAsia" w:ascii="仿宋" w:hAnsi="仿宋" w:eastAsia="仿宋" w:cs="仿宋"/>
          <w:bCs/>
          <w:color w:val="auto"/>
          <w:sz w:val="24"/>
          <w:szCs w:val="24"/>
          <w:lang w:val="zh-CN"/>
        </w:rPr>
        <w:t>联系电话</w:t>
      </w:r>
      <w:r>
        <w:rPr>
          <w:rFonts w:hint="eastAsia" w:ascii="仿宋" w:hAnsi="仿宋" w:eastAsia="仿宋" w:cs="仿宋"/>
          <w:bCs/>
          <w:color w:val="auto"/>
          <w:sz w:val="24"/>
          <w:szCs w:val="24"/>
        </w:rPr>
        <w:t>：029-86253389、17782840194</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rPr>
      </w:pPr>
      <w:r>
        <w:rPr>
          <w:rFonts w:hint="eastAsia" w:ascii="仿宋" w:hAnsi="仿宋" w:eastAsia="仿宋" w:cs="仿宋"/>
          <w:bCs/>
          <w:color w:val="auto"/>
          <w:sz w:val="24"/>
          <w:szCs w:val="24"/>
        </w:rPr>
        <w:t>邮箱：2059407584@qq.com</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rPr>
      </w:pPr>
      <w:r>
        <w:rPr>
          <w:rFonts w:hint="eastAsia" w:ascii="仿宋" w:hAnsi="仿宋" w:eastAsia="仿宋" w:cs="仿宋"/>
          <w:bCs/>
          <w:color w:val="auto"/>
          <w:sz w:val="24"/>
          <w:szCs w:val="24"/>
          <w:lang w:val="zh-CN"/>
        </w:rPr>
        <w:t>地址</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zh-CN"/>
        </w:rPr>
        <w:t>西安市经济技术开发区凤城十一路与文景路十字文景商务广场</w:t>
      </w:r>
      <w:r>
        <w:rPr>
          <w:rFonts w:hint="eastAsia" w:ascii="仿宋" w:hAnsi="仿宋" w:eastAsia="仿宋" w:cs="仿宋"/>
          <w:bCs/>
          <w:color w:val="auto"/>
          <w:sz w:val="24"/>
          <w:szCs w:val="24"/>
        </w:rPr>
        <w:t>B</w:t>
      </w:r>
      <w:r>
        <w:rPr>
          <w:rFonts w:hint="eastAsia" w:ascii="仿宋" w:hAnsi="仿宋" w:eastAsia="仿宋" w:cs="仿宋"/>
          <w:bCs/>
          <w:color w:val="auto"/>
          <w:sz w:val="24"/>
          <w:szCs w:val="24"/>
          <w:lang w:val="zh-CN"/>
        </w:rPr>
        <w:t>座</w:t>
      </w:r>
      <w:r>
        <w:rPr>
          <w:rFonts w:hint="eastAsia" w:ascii="仿宋" w:hAnsi="仿宋" w:eastAsia="仿宋" w:cs="仿宋"/>
          <w:bCs/>
          <w:color w:val="auto"/>
          <w:sz w:val="24"/>
          <w:szCs w:val="24"/>
        </w:rPr>
        <w:t>8</w:t>
      </w:r>
      <w:r>
        <w:rPr>
          <w:rFonts w:hint="eastAsia" w:ascii="仿宋" w:hAnsi="仿宋" w:eastAsia="仿宋" w:cs="仿宋"/>
          <w:bCs/>
          <w:color w:val="auto"/>
          <w:sz w:val="24"/>
          <w:szCs w:val="24"/>
          <w:lang w:val="zh-CN"/>
        </w:rPr>
        <w:t>层陕西笃信招标有限公司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采购代理机构或采购人将在收到书面质疑后7个工作日内做出答复，并以书面形式通知质疑人和其他有关供应商。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outlineLvl w:val="2"/>
        <w:rPr>
          <w:rFonts w:ascii="仿宋" w:hAnsi="仿宋" w:eastAsia="仿宋" w:cs="仿宋"/>
          <w:bCs/>
          <w:color w:val="auto"/>
          <w:sz w:val="24"/>
          <w:szCs w:val="24"/>
          <w:lang w:val="zh-CN"/>
        </w:rPr>
      </w:pPr>
      <w:bookmarkStart w:id="336" w:name="_Toc27095"/>
      <w:bookmarkStart w:id="337" w:name="_Toc32713"/>
      <w:bookmarkStart w:id="338" w:name="_Toc17782"/>
      <w:bookmarkStart w:id="339" w:name="_Toc18625"/>
      <w:bookmarkStart w:id="340" w:name="_Toc26510"/>
      <w:bookmarkStart w:id="341" w:name="_Toc11431"/>
      <w:bookmarkStart w:id="342" w:name="_Toc5958"/>
      <w:r>
        <w:rPr>
          <w:rFonts w:hint="eastAsia" w:ascii="仿宋" w:hAnsi="仿宋" w:eastAsia="仿宋" w:cs="仿宋"/>
          <w:bCs/>
          <w:color w:val="auto"/>
          <w:sz w:val="24"/>
          <w:szCs w:val="24"/>
          <w:lang w:val="zh-CN"/>
        </w:rPr>
        <w:t>（二）投诉</w:t>
      </w:r>
      <w:bookmarkEnd w:id="336"/>
      <w:bookmarkEnd w:id="337"/>
      <w:bookmarkEnd w:id="338"/>
      <w:bookmarkEnd w:id="339"/>
      <w:bookmarkEnd w:id="340"/>
      <w:bookmarkEnd w:id="341"/>
      <w:bookmarkEnd w:id="342"/>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1、质疑人对采购代理机构或采购人的答复不满意，以及采购代理机构或采购人未在规定时间内做出答复的，可以在答复期满后15个工作日内向政府采购监管机构提出投诉。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ascii="仿宋" w:hAnsi="仿宋" w:eastAsia="仿宋" w:cs="仿宋"/>
          <w:color w:val="auto"/>
          <w:lang w:val="zh-CN"/>
        </w:rPr>
      </w:pPr>
      <w:r>
        <w:rPr>
          <w:rFonts w:hint="eastAsia" w:ascii="仿宋" w:hAnsi="仿宋" w:eastAsia="仿宋" w:cs="仿宋"/>
          <w:bCs/>
          <w:color w:val="auto"/>
          <w:sz w:val="24"/>
          <w:szCs w:val="24"/>
          <w:lang w:val="zh-CN"/>
        </w:rPr>
        <w:t>2、投诉的事项不得超出已质疑事项的范围。</w:t>
      </w:r>
    </w:p>
    <w:p>
      <w:pPr>
        <w:pageBreakBefore/>
        <w:adjustRightInd w:val="0"/>
        <w:snapToGrid w:val="0"/>
        <w:spacing w:line="360" w:lineRule="auto"/>
        <w:jc w:val="center"/>
        <w:outlineLvl w:val="0"/>
        <w:rPr>
          <w:rFonts w:hint="eastAsia" w:ascii="仿宋" w:hAnsi="仿宋" w:eastAsia="仿宋" w:cs="仿宋"/>
          <w:b/>
          <w:color w:val="auto"/>
          <w:sz w:val="32"/>
          <w:szCs w:val="32"/>
          <w:lang w:val="zh-CN"/>
        </w:rPr>
      </w:pPr>
      <w:bookmarkStart w:id="343" w:name="_Toc13009"/>
      <w:r>
        <w:rPr>
          <w:rFonts w:hint="eastAsia" w:ascii="仿宋" w:hAnsi="仿宋" w:eastAsia="仿宋" w:cs="仿宋"/>
          <w:b/>
          <w:color w:val="auto"/>
          <w:sz w:val="32"/>
          <w:szCs w:val="32"/>
          <w:lang w:val="zh-CN"/>
        </w:rPr>
        <w:t xml:space="preserve">第三部分 </w:t>
      </w:r>
      <w:bookmarkStart w:id="344" w:name="_Toc4818"/>
      <w:bookmarkStart w:id="345" w:name="_Toc4051"/>
      <w:r>
        <w:rPr>
          <w:rFonts w:hint="eastAsia" w:ascii="仿宋" w:hAnsi="仿宋" w:eastAsia="仿宋" w:cs="仿宋"/>
          <w:b/>
          <w:color w:val="auto"/>
          <w:sz w:val="32"/>
          <w:szCs w:val="32"/>
          <w:lang w:val="en-US" w:eastAsia="zh-CN"/>
        </w:rPr>
        <w:t xml:space="preserve"> </w:t>
      </w:r>
      <w:bookmarkEnd w:id="312"/>
      <w:bookmarkEnd w:id="313"/>
      <w:bookmarkEnd w:id="314"/>
      <w:bookmarkEnd w:id="315"/>
      <w:bookmarkEnd w:id="316"/>
      <w:bookmarkEnd w:id="317"/>
      <w:bookmarkEnd w:id="318"/>
      <w:bookmarkEnd w:id="344"/>
      <w:bookmarkEnd w:id="345"/>
      <w:r>
        <w:rPr>
          <w:rFonts w:hint="eastAsia" w:ascii="仿宋" w:hAnsi="仿宋" w:eastAsia="仿宋" w:cs="仿宋"/>
          <w:b/>
          <w:color w:val="auto"/>
          <w:sz w:val="32"/>
          <w:szCs w:val="32"/>
          <w:lang w:val="zh-CN"/>
        </w:rPr>
        <w:t>招标内容及要求</w:t>
      </w:r>
      <w:bookmarkEnd w:id="343"/>
    </w:p>
    <w:tbl>
      <w:tblPr>
        <w:tblStyle w:val="2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43"/>
        <w:gridCol w:w="743"/>
        <w:gridCol w:w="5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采购内容</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数量</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荧光酶标仪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1、荧光性能：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探测器：光电倍增管（PMT）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▲激发波长范围：190nm~1000nm；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▲发射波长范围：270nm~850nm；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波长分辨率：1nm；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波长带宽：10、20nm可选；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波长准确度：&lt;0.2nm；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▲荧光灵敏度：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顶读＜0.5fmol（FITC/孔→384板）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底读＜5fmol（FITC/孔→384板）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检测数量级：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顶读＞6个数量级（FITC/孔→384板）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底读＞5.5个数量级（FITC/孔→384板）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读数方式：顶读+底读</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2、化学发光性能：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检测器：光子计数型光电倍增管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▲波长范围：300nm~650nm，扫描模式270~850nm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灵敏度：＜7amolATP/孔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＞7decades，flashATP反应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孔间干扰：＜0.2%（</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色板）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快速注射检测：选配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3、光吸收性能：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检测器：光电池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▲波长范围：190nm~1000nm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波长准确度：±1.0nm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波长重复性：&lt;0.2nm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线性范围：0~4Abs（96孔，450nm），±2%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整板重复性：极值＜0.006</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4、加液器功能（选配）：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数量：1或2个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加液体积：10~1000μL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5、常规特性：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光源：氙灯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温度控制：室温+2 ℃至65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振荡方式：线性、十字、圆周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振荡幅度：高、中、低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板型：96、384孔（其它孔位可定制）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rPr>
              <w:t>荧光定量PCR检测仪</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核心产品</w:t>
            </w:r>
            <w:r>
              <w:rPr>
                <w:rFonts w:hint="eastAsia" w:ascii="仿宋" w:hAnsi="仿宋" w:eastAsia="仿宋" w:cs="仿宋"/>
                <w:b/>
                <w:bCs/>
                <w:sz w:val="24"/>
                <w:szCs w:val="24"/>
                <w:highlight w:val="none"/>
                <w:lang w:eastAsia="zh-CN"/>
              </w:rPr>
              <w:t>）</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1、采用半导体升降温技术，最快变温速率可达5℃/s。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2、半导体芯片使用寿命可达100万次循环。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▲3、采用顶部检测技术，使用白管可屏蔽背景干扰，提高荧光信号灵敏度和信噪比。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▲4、屏幕角度可90度调节，适合不同视角使用。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5、可检测96个样品，同一通道荧光同步检测，减少延时误差。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6、仪器自带高清真彩全触控屏≥10”，可实时查看荧光定量PCR反应过程。无需电脑连接，也可运行实时定量PCR和普通PCR程序。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▲7、短光程静态荧光CCD成像技术，荧光信号更稳定，灵敏度更高。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8、抽屉式样品台设计，取放样品更方便。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9、可完成绝对定量，熔解曲线，相对定量、基因分型和阴阳性判定等分析。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10、样品台容量：可适用0.1ml白色单管，0.1ml*8联排管和0.1ml*96孔板。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11、四个荧光检测通道，可检测的荧光素基染料：通道1：FAM、SYBRGreen；通道2：VIC、HEX、TET,JOE,CY3,NED；通道3：ROX,TEXAS-RED，TAMARA；通道4：CY5,Quasar670。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、荧光激发波长：300~800nm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、荧光检测波长：500~800nm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14、厂家需提供省级以上计量检测研究院出具的第三方检测报告、有效期内的医疗器械生产许可证</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PCR仪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1、≥7”TFT高清真彩全触摸屏，曲线图形实时显示程序。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▲2、可选配多功能样品台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96孔*0.2ml+77孔*0.5ml加原位载盘，另有多种规格样品台可更换。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▲3、最大变温速度：4.</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4、采用热盖开合技术，有防过压的声音提示功能，热盖自动关闭功能，热盖温度30°C~110°C可调。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5、前进风后出风的风道设计，仪器之间可紧贴摆放，节约空间。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6、原位功能：可做原位PCR实验。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、样品台温度范围0℃~105℃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、样品台温度均匀性≤±0.2℃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9、样品台温度准确性≤±0.1℃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10、温度显示分辨率0.1℃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11、控温方式模拟管＋样品台模式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12、变温速度可调 0.1~4.0℃/分钟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13、样品台温度均匀性：≤±0.2°C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14、梯度温度准确性：≤±0.1°C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15、梯度温度均勻性：≤±0.2°C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16、梯度范围：30°C~105°C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17、温差范围：最大30°C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18、梯度温度点分布：≥12列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19、具有医疗器械生产许可证</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超微量分光光度计</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1、7寸电容触摸屏,每次检测需0.5～2μl样品。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2、样品直接加于样检测平台，无需稀释，2-6s可完成检测显示结果，结果直接输出为样品浓度。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3、氙闪光灯，寿命为10</w:t>
            </w:r>
            <w:r>
              <w:rPr>
                <w:rFonts w:hint="eastAsia" w:ascii="仿宋" w:hAnsi="仿宋" w:eastAsia="仿宋" w:cs="仿宋"/>
                <w:sz w:val="24"/>
                <w:szCs w:val="24"/>
                <w:highlight w:val="none"/>
                <w:vertAlign w:val="superscript"/>
              </w:rPr>
              <w:t>9</w:t>
            </w:r>
            <w:r>
              <w:rPr>
                <w:rFonts w:hint="eastAsia" w:ascii="仿宋" w:hAnsi="仿宋" w:eastAsia="仿宋" w:cs="仿宋"/>
                <w:sz w:val="24"/>
                <w:szCs w:val="24"/>
                <w:highlight w:val="none"/>
              </w:rPr>
              <w:t>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4、仪器不需电脑联机,单机可完成样品检测和数据的存储。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5、波长范围：200～800nm；比色皿模式(OD600测量)：600±8nm。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6、测试时间：≤6S。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7、核酸检测范围：2～15000ng/ul(dsDNA)。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8、蛋</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浓度检测范围A280400mg/ml；BSA600mg/ml；IgG290mg/ml；Lysozyme150mg/ml。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移液器</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支</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量程范围：0.1-2ul/0.5-10ul/2-20ul/10-100ul/20-200ul./100-1000ul./500-5000ul/1-10ml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冷冻研磨仪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1、功能粉碎、研磨、混和、均化</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2、样品类型硬性、软性、脆性、弹性、含水、纤维质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3、进料尺寸：≤8mm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4、MIN出料尺寸：约5-10um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5、批次处理量：≤2x20ml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6、常规研磨时间：1-3min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7、研磨方式干磨、湿磨、低温研磨、高通量研磨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8、研磨罐数量：≥2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9、研磨罐类型旋盖罐（多种材质选择）、多孔板（PTFE）</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10、振动速度：60-1800r/min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11、频率：1-30Hz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12、研磨时间：1s-99min59s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13、功率：≥2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液氮罐</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1、几何容积≥50L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2、静态液氮蒸发量≤0.50L/</w:t>
            </w:r>
            <w:r>
              <w:rPr>
                <w:rFonts w:hint="eastAsia" w:ascii="仿宋" w:hAnsi="仿宋" w:eastAsia="仿宋" w:cs="仿宋"/>
                <w:sz w:val="24"/>
                <w:szCs w:val="24"/>
                <w:highlight w:val="none"/>
                <w:lang w:val="en-US" w:eastAsia="zh-CN"/>
              </w:rPr>
              <w:t>d</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3、静态液氮保存期限≥110天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4、提桶数量：≥6个。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5、提桶</w:t>
            </w:r>
            <w:r>
              <w:rPr>
                <w:rFonts w:hint="eastAsia" w:ascii="仿宋" w:hAnsi="仿宋" w:eastAsia="仿宋" w:cs="仿宋"/>
                <w:sz w:val="24"/>
                <w:szCs w:val="24"/>
                <w:highlight w:val="none"/>
                <w:lang w:val="en-US" w:eastAsia="zh-CN"/>
              </w:rPr>
              <w:t>层数</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层</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6、2ml冻存管数量：≥900个。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、真空绝热性能：绝热性能优越，具备极高的温度均匀性，当罐内液氮≤5cm时，所有样本贮存温度仍能保持在-180℃以下。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、配置清单：液氮罐1个、25格冻存盒36个、盖塞1个、锁盖1套、皮套1个。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恒温震荡金属浴</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1、加热混匀</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2、温度范围：最低：高于室温5℃最高：100℃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3、温度设定范围：15℃~100℃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4、控温精度在[20℃-45℃]：±0.5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5、温度均一性在[20℃-45℃]：Max±0.5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6、最大升温速率：5.5℃/s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7、震荡速率200-1500rpm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8、周转直径3mm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9、屏幕显示LCD</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程序：6段9个程序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时间设置范围：1min~99h59min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梯度PCR仪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1、样品台规格：6个16孔.x0.2ml独立样品台组成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2、适用管型：适合0.2mlPCR管及8联管、96孔板材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3、升降温技术：最新一代半导体热泵技术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4、液晶显示：≥7”TFT高清真彩全触摸液晶屏，曲线图形实时显示程序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5、语言：中英文双语</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6、U盘功能：通过U盘无限量下我程序、升级系統软件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7、通讯接口：2个USB2.0及1个LAN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▲8、风道设计：前进风后出风设计，仪器之间可紧贴摆放</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9、样品台温度范围：0°C~105°C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▲10、最大升温速度：5.5°C/S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11、最大降温速度：4.5°C/S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12、样品台温度均匀性：±0.15°C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15、样品台温度准确性：±0.10°C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14、温度显示分辨率：0.1°C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15、控温方式：模拟管和样品台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16、温速度可调：是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17、梯度溫度均匀性：≤±0.2°C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18、梯度温度准确性：≤±0.15°C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19、独立样品台梯度范围：0°C~105°C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▲20、最大温差范围：相邻独立样品台的温差不超过25°C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21、梯度温度点分布：六个独立样品台可设置各自的温度，提供比传统梯度更优越的梯度性能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22、热盖高度：无级可微调热盖，适合各种管材和板材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23、可选配多功能样品台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96孔*0.2ml+77孔*0.5 ml，加原位载盘，384模块。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24、热盖温度：30°C~110°C可调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25、程序储存数：仪器内最多可存储≥15000个程序，下载无限量程序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26、最大循环数：标准循环100个（如在二重嵌套循环下可达10000个)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27、实吋控温曲线记录：记录显示运行中的热盖和样品温度变化曲线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28、程序运行报告记录详细记录程序运行的全过程，为实验结果分析提供准确的数据支持</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384孔的</w:t>
            </w:r>
            <w:r>
              <w:rPr>
                <w:rFonts w:hint="eastAsia" w:ascii="仿宋" w:hAnsi="仿宋" w:eastAsia="仿宋" w:cs="仿宋"/>
                <w:sz w:val="24"/>
                <w:szCs w:val="24"/>
                <w:highlight w:val="none"/>
                <w:lang w:val="en-US" w:eastAsia="zh-CN"/>
              </w:rPr>
              <w:t>PCR</w:t>
            </w:r>
            <w:r>
              <w:rPr>
                <w:rFonts w:hint="eastAsia" w:ascii="仿宋" w:hAnsi="仿宋" w:eastAsia="仿宋" w:cs="仿宋"/>
                <w:sz w:val="24"/>
                <w:szCs w:val="24"/>
                <w:highlight w:val="none"/>
              </w:rPr>
              <w:t>仪器</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1、≥7”TFT高清真彩全触摸屏，曲线图形实时显示程序。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▲2、可选配多功能模块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96孔*0.2ml+77孔*0.5 ml，加原位载盘，或384模块，一机三用，可做常规、梯度和原位PCR。</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▲3、最大升温速度：6℃/秒；最大降温速度：5℃/秒。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4、中英文双语可选界面。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5、样品台温度范围：0℃～100℃；梯度温度范围：30℃～99.9℃；梯度温度均匀性：≤±0.2℃；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6、采用热盖开合技术，有防过压的声音提示功能，热盖自动关闭功能。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7、主机可储存15,000个以上PCR标准程序,可通过U盘无限量下载程序或升级软件；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8、前进风后出风的风道设计，仪器之间可紧贴摆放。</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9、多用户登录并有密码保护，有TM计算器，有程序向导功能。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必须提供PCR仪第三方检测报告。</w:t>
            </w:r>
            <w:r>
              <w:rPr>
                <w:rFonts w:hint="eastAsia" w:ascii="仿宋" w:hAnsi="仿宋" w:eastAsia="仿宋" w:cs="仿宋"/>
                <w:sz w:val="24"/>
                <w:szCs w:val="24"/>
                <w:highlight w:val="none"/>
                <w:lang w:val="en-US" w:eastAsia="zh-CN"/>
              </w:rPr>
              <w:t>具有医疗器械生产许可证</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化学发光系统</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▲1、摄像头：高分辨科研级制冷型CCD相机，像素不低于600万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▲2、冷却温度：≤-68℃</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3、读出噪声：&lt;3e-（1MHz）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4、量子效率：CCD芯片光电转换效率≥75%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5、像素位深：≥15bit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▲6、像素合并：满足1*1/2*2//3*3/4*4/5*5/6*6像素合并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7、镜头：大光圈电动定焦镜头, 具有自动聚焦功能，可自动对所拍摄样品对焦。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8、样品台：双层样品台，可满足不同尺寸样品的拍摄，并带有自动感应和对焦功能。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光反射灯：LED</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光反射，无影灯设计。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10、模块控制：可通过智能拍摄软件实现对电动镜头及反射光源的全自动模块化控制。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11、软件功能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智能拍摄软件：模块化的拍摄流程，具有自动、手动、积分、自定义等多种拍摄功能。可自动拍摄发光样品、Marker图像后并自动合成任意类型图像，可保存任意设定的参数下次直接选择使用。具有过曝提示预警及软件自动断电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（2）分析软件不受限制免费从官网下载并免费升级。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凝胶成像</w:t>
            </w:r>
            <w:r>
              <w:rPr>
                <w:rFonts w:hint="eastAsia" w:ascii="仿宋" w:hAnsi="仿宋" w:eastAsia="仿宋" w:cs="仿宋"/>
                <w:sz w:val="24"/>
                <w:szCs w:val="24"/>
                <w:highlight w:val="none"/>
                <w:lang w:eastAsia="zh-CN"/>
              </w:rPr>
              <w:t>系统</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1、冷却方式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致冷CCD</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原装进口三级半导体制冷高分辨率低</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度数码制冷CCD芯片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2、冷却温度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低于环境温度65℃（绝对温度-45℃，动态可调实时显示CCD制冷温度）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3、有效像素：</w:t>
            </w:r>
            <w:r>
              <w:rPr>
                <w:rFonts w:hint="eastAsia" w:ascii="仿宋" w:hAnsi="仿宋" w:eastAsia="仿宋" w:cs="仿宋"/>
                <w:highlight w:val="none"/>
              </w:rPr>
              <w:t>≥</w:t>
            </w:r>
            <w:r>
              <w:rPr>
                <w:rFonts w:hint="eastAsia" w:ascii="仿宋" w:hAnsi="仿宋" w:eastAsia="仿宋" w:cs="仿宋"/>
                <w:sz w:val="24"/>
                <w:szCs w:val="24"/>
                <w:highlight w:val="none"/>
              </w:rPr>
              <w:t>2750（H）×2200（V）分辨率：</w:t>
            </w:r>
            <w:r>
              <w:rPr>
                <w:rFonts w:hint="eastAsia" w:ascii="仿宋" w:hAnsi="仿宋" w:eastAsia="仿宋" w:cs="仿宋"/>
                <w:highlight w:val="none"/>
              </w:rPr>
              <w:t>≥</w:t>
            </w:r>
            <w:r>
              <w:rPr>
                <w:rFonts w:hint="eastAsia" w:ascii="仿宋" w:hAnsi="仿宋" w:eastAsia="仿宋" w:cs="仿宋"/>
                <w:sz w:val="24"/>
                <w:szCs w:val="24"/>
                <w:highlight w:val="none"/>
              </w:rPr>
              <w:t>60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万</w:t>
            </w:r>
            <w:r>
              <w:rPr>
                <w:rFonts w:hint="eastAsia" w:ascii="仿宋" w:hAnsi="仿宋" w:eastAsia="仿宋" w:cs="仿宋"/>
                <w:sz w:val="24"/>
                <w:szCs w:val="24"/>
                <w:highlight w:val="none"/>
                <w:lang w:val="en-US" w:eastAsia="zh-CN"/>
              </w:rPr>
              <w:t>像素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4、像素合并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1×1，2×2，3×3,4×4，6×6，8×8</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5、镜头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高清晰大口径高通透定焦镜头，可通过计算机对焦距电动调整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6、数据位数</w:t>
            </w:r>
            <w:r>
              <w:rPr>
                <w:rFonts w:hint="eastAsia" w:ascii="仿宋" w:hAnsi="仿宋" w:eastAsia="仿宋" w:cs="仿宋"/>
                <w:sz w:val="24"/>
                <w:szCs w:val="24"/>
                <w:highlight w:val="none"/>
                <w:lang w:eastAsia="zh-CN"/>
              </w:rPr>
              <w:t>：</w:t>
            </w:r>
            <w:r>
              <w:rPr>
                <w:rFonts w:hint="eastAsia" w:ascii="仿宋" w:hAnsi="仿宋" w:eastAsia="仿宋" w:cs="仿宋"/>
                <w:highlight w:val="none"/>
              </w:rPr>
              <w:t>≥</w:t>
            </w:r>
            <w:r>
              <w:rPr>
                <w:rFonts w:hint="eastAsia" w:ascii="仿宋" w:hAnsi="仿宋" w:eastAsia="仿宋" w:cs="仿宋"/>
                <w:sz w:val="24"/>
                <w:szCs w:val="24"/>
                <w:highlight w:val="none"/>
              </w:rPr>
              <w:t>16bit（65536灰阶）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▲7、像素点大小</w:t>
            </w:r>
            <w:r>
              <w:rPr>
                <w:rFonts w:hint="eastAsia" w:ascii="仿宋" w:hAnsi="仿宋" w:eastAsia="仿宋" w:cs="仿宋"/>
                <w:sz w:val="24"/>
                <w:szCs w:val="24"/>
                <w:highlight w:val="none"/>
                <w:lang w:eastAsia="zh-CN"/>
              </w:rPr>
              <w:t>：</w:t>
            </w:r>
            <w:r>
              <w:rPr>
                <w:rFonts w:hint="eastAsia" w:ascii="仿宋" w:hAnsi="仿宋" w:eastAsia="仿宋" w:cs="仿宋"/>
                <w:highlight w:val="none"/>
              </w:rPr>
              <w:t>≥</w:t>
            </w:r>
            <w:r>
              <w:rPr>
                <w:rFonts w:hint="eastAsia" w:ascii="仿宋" w:hAnsi="仿宋" w:eastAsia="仿宋" w:cs="仿宋"/>
                <w:sz w:val="24"/>
                <w:szCs w:val="24"/>
                <w:highlight w:val="none"/>
              </w:rPr>
              <w:t>5.4×5.4um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8、动态范围</w:t>
            </w:r>
            <w:r>
              <w:rPr>
                <w:rFonts w:hint="eastAsia" w:ascii="仿宋" w:hAnsi="仿宋" w:eastAsia="仿宋" w:cs="仿宋"/>
                <w:sz w:val="24"/>
                <w:szCs w:val="24"/>
                <w:highlight w:val="none"/>
                <w:lang w:eastAsia="zh-CN"/>
              </w:rPr>
              <w:t>：</w:t>
            </w:r>
            <w:r>
              <w:rPr>
                <w:rFonts w:hint="eastAsia" w:ascii="仿宋" w:hAnsi="仿宋" w:eastAsia="仿宋" w:cs="仿宋"/>
                <w:highlight w:val="none"/>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个数量级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9、变焦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标配抽屉式双位载物对焦平台，可兼容拍摄各种厚度的样品，自动对焦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10、拍摄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一次拍摄即可将marker图像与化学发光图像自动或手动叠加，并且自动生成三种不同效果的化学发光图像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11、一键拍摄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可一键完成wester</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blot结果成像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紫外样品台：紫外样品台：超薄紫外透照台,无灯影设计，透射面积≥20cm x 25cm, 波长300nm±5nm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、滤光片位置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5位电脑控制自动定位滤光片轮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、定时关机：1-60分钟定时关机功能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15、检测范围包括：化学发光、荧光(紫外、红、绿、蓝)和</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光成像；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16、图像调整：提供几种不同灰阶范围的显示效果，且能手动调整,如在调整条带亮度时，背景不会产生变化，只增加条带的亮度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图像格式：拍摄完成后自动生成TIF文件格式,并能自定义文件格式，文件格式包含原始数据信息（如：曝光时间、拍摄日期、拍摄时间等）不可修改,所拍摄的所有图像，采集界面以窗口形式显示，方便查找、浏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18、软件：专业凝胶图像采集分析处理软件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▲19、凝胶成像软件需提供至少1个以上的计算机软件著作权。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全自动核酸提取仪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性能指标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▲1.处理体积：20~200μL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2.样品通量：1~32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3.磁珠回收效率：&gt;95%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4.板类型：96孔板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5.加热温度：裂解加热（室温至+80℃）、洗脱加热（室温至+80℃）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6.震荡混合：多模式多档可调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7.磁珠大小：&gt;1μm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8.试剂种类：磁珠法开放式平台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9.操作界面：彩色液晶触摸屏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10.内部程序：可储存&gt;500组程序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11.紫外</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射：有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12.操作时间：30~60min/次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迷你垂直电泳槽</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1、采用原位制胶技术，玻板安装轻松入位。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2、胶室面积国际通用基础规格，兼容主流品牌产品。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3、采用定制的蓝冰冰盒冷却，可辅助以转子进行磁力搅拌，散热更均匀。</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4、产品全部采用聚碳酸酯材料模具注塑成型，耐腐蚀，槽体透明度高，产品稳定可靠。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5、产品人性化设计，易于操作与维护。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6、1mm不碎胶室玻板。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7、电极采用耐电解腐蚀、耐高温，纯度≥99.95%贵金属纯铂丝Φ0.3毫米。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8、凝胶板规格（L×W）：83×73mm，±5mm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9、试样格：10齿，15齿，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10、缓冲液总容量：上槽容积120ml，下槽：下槽容积2000ml，下槽最大工作容积1100ml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通用电泳仪电源</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1、并联输出：≥4组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2输出范围（显示分辨率）：6-600V(1V)4-600mA(1mA)1-300W(1W)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3、外形尺寸（W×D×H）：≤2</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×360×80mm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4、微电脑智能控制，操作界面更加方便、快捷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5、工作状态中，可以实时微调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6、大屏幕LCD，同时显示电压、电流、功率和定时时间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7、具有存储记忆功能（10组3步程序）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8、参数可以连续设定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9、可单步或分步工作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10、具有来电恢复功能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11、适宜于普通蛋</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、核酸电泳，并适宜一机多槽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4块胶迷你转印槽</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1、适用实验中将凝胶电泳的蛋</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质分子转印到硝酸纤维素等薄膜上。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2、可以同时转印四块蛋</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凝胶。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3、高透明度聚酸脂注塑成型。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4、采用定制蓝冰冰盒冷却。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5、颜色区别的转印夹，确保正确定向。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6、转移时间45-90分钟。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7、参考外形尺寸：（LxWxH）200x175x175mm，±15mm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8、缓冲液总容量：1400ml，±100ml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9、转移孔板规格：（LxW）：100x93mm，±10mm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半干式快速转印系统</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▲1、样品容量最多同时转印6块7.0×8.5cm的凝胶或3块8.7*13.5cm的凝胶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2、尺寸约：(长x宽x高)31x19x12cm，±2cm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3、转印时间：3-10min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4、转印原理：半干式转印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▲5、主副机拓展可单独使用主机或拓展1-2台副机进行转印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6、运行环境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可在15-31ºC的环境温度和0-95%的相对湿度条件下运行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7、操作模式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全触屏操作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8、转印条件上限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电压上限为26V，电流上限为2.6A。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9、电压参数范围0-26V，最小增量1V。电流参数范围0-2.6A，最小增量0.1A。时间参数范围0-30000s，最小增量1s。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多用途水平电泳仪器</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1、参考外形尺寸（L×W×H）：310 ×150 ×120mm，±20mm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2、凝胶板规格（L×W）：大胶120×120mm；宽胶60×120mm；长胶120×60mm；小胶60×60mm，±1,0mm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3、试样格：2/3齿（2.0mm厚），6/13齿，8/18齿（1.5mm厚），11/25齿（1.0mm厚）可用排枪加样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4、缓冲液总容量：650ml，±30ml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全自动印迹处理系统</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1、可完成Northernblot、Southernblot、Westernblot等膜的孵育，考马斯亮蓝染色、银染等凝胶的染色；</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2、具有至少三种不同规格的样品盘，包括可同时处理1~6张小号膜（88×28.5mm）或（88×58mm）的小号样品盒；可同时处理1~6张中号膜的（88×88mm）的中号样品盒；可同时处理1~2张大号膜的（150×88mm）的大号样品盒；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3、样品盒有避光、防尘、防挥发设计；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▲4、有6个独立通道，分别含有6个封闭液、清洗液、废液、一抗和二抗的独立路径，可同时分别使用6种不同的封闭液、清洗液、一抗和二抗；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5、加样体积：1-20mL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6、孵育时间：1min-96h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7、加样精度≥90%；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8、仪器内置抗体回收程序，通过独立的路径回收抗体，不存在交叉污染；</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▲9、4℃制冷，满足实验所需温度，可实现一抗的长时间孵育，试剂保存等。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10、抗体回收效率高，可达到95%；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11、内置标准操作方案，可以直接点击使用，亦可自定义方案，每个方案可设置最少7个步骤，仪器中可以存储至少9个不同的操作方案；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12、设备断电时，系统自动保存当前实验进度，避免断电对实验的影响；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13、振荡速度可设置为低速、中速、高速，三种不同的速度；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14、振荡时间在1min-96h内连续可调，可进行长时间运行；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15、具有路径清洗功能，可保持样管道和样品盒的清洁，保证路径通畅无污染；</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16、实验程序运行结束后，自动蜂鸣提示；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17、实验程序运行结束后，最后一次的缓冲液会保留在样品盘中，以防止膜或凝胶脱水；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18、全触控屏操作，屏幕尺寸不小于7英寸，电容触摸屏，屏幕分辨率≥1200×600。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LCD数控圆周摇</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1、最大载重量≥7.5kg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2、双LCD屏显示速度和时间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3、无刷直流电机驱动，免维护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4、具有安全转速保护功能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5、通过RS232接口连接电脑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6、周转直径10mm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7、外壳防护等级IP21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8、运行方式：线性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9、速度范围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100-350rpm（线性）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生物显微镜</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1.光学系统：无限远光学系统。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2.观察头：铰链式观察头，30°倾斜。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3.目镜：SW10×，视场≤22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4.物镜：无限远平场物镜。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4X               NA≥0.10   WD≥20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10X              NA≥0.25   WD≥18</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40X（弹簧）      NA≥0.65   WD≥1.5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100X（弹簧、油） NA≥1.25   WD≥0.1（油镜）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5.物镜编码转换器：内向式五孔转换器。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6.粗微调焦机构：粗微同轴，齿杆齿条传动，采用导轨滚柱交叉导向机构。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7.精密同步带传动载物台:同步带传动, 防割伤设计，无突出齿条结构的载物台。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8.聚光镜：插入式阿贝聚光镜（含空插板）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9.照明系统：SLED照明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10.镜体采用一体化结构，提升刚性及防震性能。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11.提供国家光学质量监督检验中心出具的检测报告。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医用冰箱立式低温保存箱</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1.样式：立式。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2.容积：≥250L。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3.额定功率：≥180W。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.耗电量：≤2kW.h/24h。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5.噪音值：≤46dB。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6.气候类型：SN/N。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7.制冷方式：直冷。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.温度范围：-10℃～-25℃。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9.抽屉：数量不少于6个，材质为PS。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.脚轮：具备2个万向脚轮带琐止设计，可根据需要移动箱体。</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.压缩机：国际主流品牌压缩机。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.制冷剂：采用绿色无氟制冷剂，节能环保。</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.制冷系统：采用国际主流品牌压缩机、冷凝风机，内藏式盘管式蒸发器，丝管式冷凝器。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.显示方式：LED数码显示屏，可显示箱内温度及各种报警信息。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.温度控制：采用微电脑控制系统；电子温度控制及显示，精度达到0.1℃。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.报警系统：</w:t>
            </w:r>
            <w:r>
              <w:rPr>
                <w:rFonts w:hint="eastAsia" w:ascii="仿宋" w:hAnsi="仿宋" w:eastAsia="仿宋" w:cs="仿宋"/>
                <w:sz w:val="24"/>
                <w:szCs w:val="24"/>
                <w:highlight w:val="none"/>
                <w:lang w:val="en-US" w:eastAsia="zh-CN"/>
              </w:rPr>
              <w:t>具备</w:t>
            </w:r>
            <w:r>
              <w:rPr>
                <w:rFonts w:hint="eastAsia" w:ascii="仿宋" w:hAnsi="仿宋" w:eastAsia="仿宋" w:cs="仿宋"/>
                <w:sz w:val="24"/>
                <w:szCs w:val="24"/>
                <w:highlight w:val="none"/>
              </w:rPr>
              <w:t>高低温报警、传感器故障报警、开门异常报警。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.报警方式：具备声音蜂鸣和灯光闪烁报警。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18.具有医疗器械生产许可证</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智能光</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培养箱</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1、容积：≥600L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2、温度范围：有光</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10-50℃/无光</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5-55℃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3、温度分辨率：0.1℃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4、温度均匀性：±1℃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5、温度波动：0.5℃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6、光</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度：0~12000LX可调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7、控制方式：智能微电脑控制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8、功率：≤1600W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9、载物托架：≥3块</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10、定时范围：1~9999min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碳硫仪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1、仪器结构：模块式结构，由高频感应炉主机、计算机、打印机、电子天平、氧化铜催化炉、吸尘器等模块组成。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2、分析范围：低碳：1ppm～100%，硫：1ppm～100%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▲3、分析精度：低碳：RSD≤1%</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高碳：RSD≤0.5%</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低硫：RSD≤1.5%</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高硫：RSD≤2%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4、灵敏度：0.01ppm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5、分析时间：30秒～40秒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6、样品称重：推荐范围0.1g～0.5g，可根据样品含量改变称样量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7、高频感应炉：高频炉燃烧室每次分析过程可实现自动清扫，易于日常维护。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8、红外检测系统：采用热释电固态红外检测器，整个气室进行恒温控制，确保测量精度；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9、流量控制：分析气流量采用高精度电子流量控制技术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▲10、环保措施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尾气处理：实验过程中产生的一氧化碳通过氧化铜催化炉完全转化成二氧化碳，最后经碱石棉完全吸收。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粉尘处理：每次实验前仪器自动反吹粉尘过滤器，实验后仪器立刻自动吸尘。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11、仪器自检功能</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高频炉开关炉自动监测并报警；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高频炉内清扫装置复位自动监测并报警；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软件提供分步自检功能（红外信号的监测和调整，气路各阀的动作检查）；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仪器可以通过软件实现分段检漏。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12、软件功能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Windows环境下的软件，操作方便，使用灵活，界面友好。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快速显示分析的结果和分析曲线；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分析结果自动存储；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动态释放曲线的绘制与存储；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自动读取样品重量、助熔剂重量，并自动完成去皮功能；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高低碳通道自动切换和高低硫通道自动切换；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数据处理：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可对存储的数据进行多模式查询，如按日期或样品编号查询；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可对数据进行筛选；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对数据进行统计处理（平均、标准偏差、相对偏差）；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对分析结果的释放曲线进行信号比对；</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参数设置：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可根据具体样品对冲洗时间、分析时间、助熔剂空</w:t>
            </w:r>
            <w:r>
              <w:rPr>
                <w:rFonts w:hint="eastAsia" w:ascii="仿宋" w:hAnsi="仿宋" w:eastAsia="仿宋" w:cs="仿宋"/>
                <w:sz w:val="24"/>
                <w:szCs w:val="24"/>
                <w:highlight w:val="none"/>
                <w:lang w:eastAsia="zh-CN"/>
              </w:rPr>
              <w:t>白</w:t>
            </w:r>
            <w:r>
              <w:rPr>
                <w:rFonts w:hint="eastAsia" w:ascii="仿宋" w:hAnsi="仿宋" w:eastAsia="仿宋" w:cs="仿宋"/>
                <w:sz w:val="24"/>
                <w:szCs w:val="24"/>
                <w:highlight w:val="none"/>
              </w:rPr>
              <w:t>等分析参数进行灵活调整；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对不同种类样品可以分别建立相应的校准方法及参数，并存储到数据库，分析方法数量不受限制；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超声波细胞粉碎机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1、超声功率：1.5-150W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2、工作频率：20-25KHZ自动追踪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3、处理量：0.1-150ml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4、定时：0-99H59M59S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5、单次超声/间隙时间：0.1-99.9s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6、报警功能：故障、超温、时间、过载、空载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7、控制方式：TFT触摸屏控制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8、存储数据：≥20组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调速多用振荡器</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1、无极调速：40-300次/分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2、摆阵幅度：20mm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3、振荡方式：回旋式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紫外可见分光光度计</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1、测光方式：单光束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2、单色器：自准直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3、焦距：160mm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4、光栅：1200线/mm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5、检测器：进口光电池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6、光谱带宽：≤2nm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7、波长设定：触控屏输入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8、波长范围：190~1100nm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9、波长准确度：±1nm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10、波长重复性：≤0.5nm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11、波长扫描速度：快、中、慢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12、光源切换波长：340nm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13、杂散光：≤0.1%(T)(在220nm处，以Nal测定)(在360nm处，以NaNO2测定)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14、光度范围：0.0~200.0%T-0.301~4.000A0.000~9999C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15、光度准确度：±0.5%T±0.004Abs（0~0.5A）±0.008Abs（0.5~1A）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16、光度重复性：≤0.2%T0.002Abs（0~0.5A）0.004Abs（0.5~1A）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17、基线平直度：≤±0.002A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18、噪声：100%(T)≤0.2%(T)0%(T)≤0.1%(T)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19、基线漂移：0.004Abs/0.5h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火焰光度计</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1、曲线标定：折线法、直线法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2、稳定性：15s内仪器示值的相对最大变化量≤3%</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3、仪器示值的相对最大变化量≤15%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4、重复性：≤3%</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5、响应时间：≤8s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6、样品吸喷量＜6ml/min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7、检测限：K≤0.004mmol/LNA≤0.008mmol/LCA≤0.005mmol/L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8、线性误差：K≤0.005mmol/LNA≤0.03mmol/LCA≤0.075mmol/L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石墨消煮炉</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1、消化能力：20个样品；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2、加热方式：红外辐射石墨传导；</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3、控温方式：PID 控温；嵌入式软件控温；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4、控温范围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室温+5℃～450℃（从室温到400℃≤25 分钟）；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5、升温计时方式：消解开始计时或达至设定温度计时两种可选；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6、显示系统：彩色液晶显示；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7、隔热方式：陶瓷及风道隔热；</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8、控温精度：±1℃；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9、消化管：300mL，±20mL；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10、表面外壳需喷涂特氟龙涂层，防止消解过程中产生的酸气或酸液对仪器的腐蚀；</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11、自动检测加热单元工作故障并可判断出故障模块，便于维护；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12、具备过压、过流、过热、超温报警、故障自动报警；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13、具备导流槽结构，防止酸液腐蚀仪器；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14、加热模块整合了红外加热和电热管加热多项优点设计，能耗降低、立体环绕加热升温更加均匀；</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15、整机无保温材料外露，环保安全，而且避免了酸液、酸气对保温材料的腐蚀影响保温效果；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16、石墨加热块采用气相沉积抗氧化处理，解决高温加热后掉粉、脱粒等缺陷，延长使用寿命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凯氏定氮仪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1、采用国际通用的凯氏定氮法对含氮样品进行自动蒸馏。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2、完备的安全系统充分体现了人性化智慧。对所需试剂自动定量加液，全过程无人值守，各种状态智能检测。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3、额定功率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4、自动蒸馏、自动冷凝、自动淋洗系统使测量精度进一步提高。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5、碱管路冲洗功能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6、校准功能：稀释水校准、碱溶液校准、硼酸溶液校准、淋洗水校准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7、实验过程中防护门、消化管、冷凝水工作状态实时显示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8、内置调试模式，用于检测仪器各部件是否正常工作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9、测定范围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0.1mg～240mg氮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10、回收率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≥99.5%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11、测定样品重量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固体≤6g，液体≤16mL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12、蒸馏速度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3～6min/样品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13、蒸馏时间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可任意设置（1小时内）</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14、冷凝水消耗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1.5L/min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15、操作模式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自动/手动双模式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16、显示方式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＞4英寸高分辨率彩色液晶显示屏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数显恒温油浴锅</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1、额定功率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00W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2、控温范围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RT-300℃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3、温度液动度：±0.5℃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4、工作室容积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0×300㎜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5、仪表精确度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光合作用测定仪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1、测量项目：非扩散式红外CO2分析、叶片温度、光合有效辐射（PAR）、叶室温度、叶片湿度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2、光合作用测定仪分析计算：叶片光合速率(Pn)、叶片蒸腾速率(Tr)、气孔导度(Gs)、细胞间CO2浓度(Ci)、水分利用率(WUE)、可增加呼吸速率测量（Rd）</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3、CO2分析：加入了温度调节的双波长红外二氧化碳分析器， 测量范围：0-3000ppm，分辨率：0.1ppm； 精度3ppm。二氧化碳测量不受温度变化影响，具有稳定、精度高，反映灵敏，1秒钟之内就可以完成二氧化碳差值采集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4、叶室温度：高精度数字温度传感器，测量范围：-20-80℃，分辨率：0.1℃，误差±0.2℃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5、叶片温度：铂电阻，测量范围：-20-60℃，分辨率：0.1℃，误差±0.2℃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6、叶片湿度：高精度数字湿度传感器：测量范围0-85%，分辨率：0.1%，误差≤ 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7、光合有效辐射（PAR）：带有修正滤光片的硅光电池，测量范围：0-3000µmolm ㎡/秒 ,精度&lt;1µmolm ㎡/秒. 响应波长范围：400～700nm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8、流量测量：玻璃转子流量计，流量在0-1.5L范围内任意设定， 气流稳定。误 差：1%，在0.2～1L/ min范围内&lt;±0.2%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9、叶室尺寸：标配尺寸55×20mm，尺寸根据客户需求定做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10、操作环境：温度-20℃—60℃，相对湿度：0-85%（没有水汽凝结）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11、电源：大容量DC8.4V锂电池，一次充电可连续工作15时（不连接外置光源）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12、数据存储：内存16G，可扩展为32G。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13、数据传输：USB连接电脑可直接导出数据。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14、显示：≥3.5"TFT真彩液晶屏彩色显示器，分辨率≥ 800×480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野外被动式红外触发数码相机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1、图像传感器：800万像素CMOS；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2、镜头规格：F1.6；可视范围≥70度；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照片</w:t>
            </w:r>
            <w:r>
              <w:rPr>
                <w:rFonts w:hint="eastAsia" w:ascii="仿宋" w:hAnsi="仿宋" w:eastAsia="仿宋" w:cs="仿宋"/>
                <w:sz w:val="24"/>
                <w:szCs w:val="24"/>
                <w:highlight w:val="none"/>
              </w:rPr>
              <w:t>规格：2560x1440（400万像素），3840x2160（800万像素），4608x2592（1200万像素），5920*3330（2000万像素）；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4、视频规格：1920x1080（60fps/30fps），2560x1440（2K）（60/30fps），3840*2160（4K）（30fps）；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速连拍：“拍</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+录像”模式下，</w:t>
            </w:r>
            <w:r>
              <w:rPr>
                <w:rFonts w:hint="eastAsia" w:ascii="仿宋" w:hAnsi="仿宋" w:eastAsia="仿宋" w:cs="仿宋"/>
                <w:sz w:val="24"/>
                <w:szCs w:val="24"/>
                <w:highlight w:val="none"/>
                <w:lang w:val="en-US" w:eastAsia="zh-CN"/>
              </w:rPr>
              <w:t>照片</w:t>
            </w:r>
            <w:r>
              <w:rPr>
                <w:rFonts w:hint="eastAsia" w:ascii="仿宋" w:hAnsi="仿宋" w:eastAsia="仿宋" w:cs="仿宋"/>
                <w:sz w:val="24"/>
                <w:szCs w:val="24"/>
                <w:highlight w:val="none"/>
              </w:rPr>
              <w:t>与视频之间的时间间隔不超过2秒；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6、PIR激发速度：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约0.5秒；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7、补光灯：LED</w:t>
            </w:r>
            <w:r>
              <w:rPr>
                <w:rFonts w:hint="eastAsia" w:ascii="仿宋" w:hAnsi="仿宋" w:eastAsia="仿宋" w:cs="仿宋"/>
                <w:sz w:val="24"/>
                <w:szCs w:val="24"/>
                <w:highlight w:val="none"/>
                <w:lang w:val="en-US" w:eastAsia="zh-CN"/>
              </w:rPr>
              <w:t>白</w:t>
            </w:r>
            <w:r>
              <w:rPr>
                <w:rFonts w:hint="eastAsia" w:ascii="仿宋" w:hAnsi="仿宋" w:eastAsia="仿宋" w:cs="仿宋"/>
                <w:sz w:val="24"/>
                <w:szCs w:val="24"/>
                <w:highlight w:val="none"/>
              </w:rPr>
              <w:t>光，夜间拍摄</w:t>
            </w:r>
            <w:r>
              <w:rPr>
                <w:rFonts w:hint="eastAsia" w:ascii="仿宋" w:hAnsi="仿宋" w:eastAsia="仿宋" w:cs="仿宋"/>
                <w:sz w:val="24"/>
                <w:szCs w:val="24"/>
                <w:highlight w:val="none"/>
                <w:lang w:val="en-US" w:eastAsia="zh-CN"/>
              </w:rPr>
              <w:t>彩色照片</w:t>
            </w:r>
            <w:r>
              <w:rPr>
                <w:rFonts w:hint="eastAsia" w:ascii="仿宋" w:hAnsi="仿宋" w:eastAsia="仿宋" w:cs="仿宋"/>
                <w:sz w:val="24"/>
                <w:szCs w:val="24"/>
                <w:highlight w:val="none"/>
              </w:rPr>
              <w:t>或视频；有效距离不低于20</w:t>
            </w:r>
            <w:r>
              <w:rPr>
                <w:rFonts w:hint="eastAsia" w:ascii="仿宋" w:hAnsi="仿宋" w:eastAsia="仿宋" w:cs="仿宋"/>
                <w:sz w:val="24"/>
                <w:szCs w:val="24"/>
                <w:highlight w:val="none"/>
                <w:lang w:eastAsia="zh-CN"/>
              </w:rPr>
              <w:t>米</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8、液晶显示：TFT屏，≥ 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⼨,1600万</w:t>
            </w:r>
            <w:r>
              <w:rPr>
                <w:rFonts w:hint="eastAsia" w:ascii="仿宋" w:hAnsi="仿宋" w:eastAsia="仿宋" w:cs="仿宋"/>
                <w:sz w:val="24"/>
                <w:szCs w:val="24"/>
                <w:highlight w:val="none"/>
                <w:lang w:val="en-US" w:eastAsia="zh-CN"/>
              </w:rPr>
              <w:t>色</w:t>
            </w:r>
            <w:r>
              <w:rPr>
                <w:rFonts w:hint="eastAsia" w:ascii="仿宋" w:hAnsi="仿宋" w:eastAsia="仿宋" w:cs="仿宋"/>
                <w:sz w:val="24"/>
                <w:szCs w:val="24"/>
                <w:highlight w:val="none"/>
              </w:rPr>
              <w:t>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9、SD卡规格：</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标准规格SD卡，</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容量</w:t>
            </w:r>
            <w:r>
              <w:rPr>
                <w:rFonts w:hint="eastAsia" w:ascii="仿宋" w:hAnsi="仿宋" w:eastAsia="仿宋" w:cs="仿宋"/>
                <w:sz w:val="24"/>
                <w:szCs w:val="24"/>
                <w:highlight w:val="none"/>
                <w:lang w:eastAsia="zh-CN"/>
              </w:rPr>
              <w:t>大</w:t>
            </w:r>
            <w:r>
              <w:rPr>
                <w:rFonts w:hint="eastAsia" w:ascii="仿宋" w:hAnsi="仿宋" w:eastAsia="仿宋" w:cs="仿宋"/>
                <w:sz w:val="24"/>
                <w:szCs w:val="24"/>
                <w:highlight w:val="none"/>
              </w:rPr>
              <w:t>于32GB；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10、编码设置：监测仪可以设置不少于5位编码（数字0～9和字</w:t>
            </w:r>
            <w:r>
              <w:rPr>
                <w:rFonts w:hint="eastAsia" w:ascii="仿宋" w:hAnsi="仿宋" w:eastAsia="仿宋" w:cs="仿宋"/>
                <w:sz w:val="24"/>
                <w:szCs w:val="24"/>
                <w:highlight w:val="none"/>
                <w:lang w:eastAsia="zh-CN"/>
              </w:rPr>
              <w:t>母</w:t>
            </w:r>
            <w:r>
              <w:rPr>
                <w:rFonts w:hint="eastAsia" w:ascii="仿宋" w:hAnsi="仿宋" w:eastAsia="仿宋" w:cs="仿宋"/>
                <w:sz w:val="24"/>
                <w:szCs w:val="24"/>
                <w:highlight w:val="none"/>
              </w:rPr>
              <w:t>A～Z可选），此编码可以显示在监测仪拍摄的</w:t>
            </w:r>
            <w:r>
              <w:rPr>
                <w:rFonts w:hint="eastAsia" w:ascii="仿宋" w:hAnsi="仿宋" w:eastAsia="仿宋" w:cs="仿宋"/>
                <w:sz w:val="24"/>
                <w:szCs w:val="24"/>
                <w:highlight w:val="none"/>
                <w:lang w:eastAsia="zh-CN"/>
              </w:rPr>
              <w:t>照片</w:t>
            </w:r>
            <w:r>
              <w:rPr>
                <w:rFonts w:hint="eastAsia" w:ascii="仿宋" w:hAnsi="仿宋" w:eastAsia="仿宋" w:cs="仿宋"/>
                <w:sz w:val="24"/>
                <w:szCs w:val="24"/>
                <w:highlight w:val="none"/>
              </w:rPr>
              <w:t>中，且同时可以显示在SD卡中的⽂件夹名称中，实现“机—卡”</w:t>
            </w:r>
            <w:r>
              <w:rPr>
                <w:rFonts w:hint="eastAsia" w:ascii="仿宋" w:hAnsi="仿宋" w:eastAsia="仿宋" w:cs="仿宋"/>
                <w:sz w:val="24"/>
                <w:szCs w:val="24"/>
                <w:highlight w:val="none"/>
                <w:lang w:eastAsia="zh-CN"/>
              </w:rPr>
              <w:t>自</w:t>
            </w:r>
            <w:r>
              <w:rPr>
                <w:rFonts w:hint="eastAsia" w:ascii="仿宋" w:hAnsi="仿宋" w:eastAsia="仿宋" w:cs="仿宋"/>
                <w:sz w:val="24"/>
                <w:szCs w:val="24"/>
                <w:highlight w:val="none"/>
              </w:rPr>
              <w:t>动对应；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11、时间戳：含编码、</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期、时间、温度、</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rPr>
              <w:t>相、GPS（经度/纬度/海拔</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度）等；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12、GPS：监测仪可设置GPS信息，包括经度/纬度/海拔</w:t>
            </w:r>
            <w:r>
              <w:rPr>
                <w:rFonts w:hint="eastAsia" w:ascii="仿宋" w:hAnsi="仿宋" w:eastAsia="仿宋" w:cs="仿宋"/>
                <w:sz w:val="24"/>
                <w:szCs w:val="24"/>
                <w:highlight w:val="none"/>
                <w:lang w:eastAsia="zh-CN"/>
              </w:rPr>
              <w:t>高</w:t>
            </w:r>
            <w:r>
              <w:rPr>
                <w:rFonts w:hint="eastAsia" w:ascii="仿宋" w:hAnsi="仿宋" w:eastAsia="仿宋" w:cs="仿宋"/>
                <w:sz w:val="24"/>
                <w:szCs w:val="24"/>
                <w:highlight w:val="none"/>
              </w:rPr>
              <w:t>度信息，可选择⼗进制或度分秒格式；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eastAsia="zh-CN"/>
              </w:rPr>
              <w:t>生</w:t>
            </w:r>
            <w:r>
              <w:rPr>
                <w:rFonts w:hint="eastAsia" w:ascii="仿宋" w:hAnsi="仿宋" w:eastAsia="仿宋" w:cs="仿宋"/>
                <w:sz w:val="24"/>
                <w:szCs w:val="24"/>
                <w:highlight w:val="none"/>
              </w:rPr>
              <w:t>境参数：监测仪可设置</w:t>
            </w:r>
            <w:r>
              <w:rPr>
                <w:rFonts w:hint="eastAsia" w:ascii="仿宋" w:hAnsi="仿宋" w:eastAsia="仿宋" w:cs="仿宋"/>
                <w:sz w:val="24"/>
                <w:szCs w:val="24"/>
                <w:highlight w:val="none"/>
                <w:lang w:eastAsia="zh-CN"/>
              </w:rPr>
              <w:t>生</w:t>
            </w:r>
            <w:r>
              <w:rPr>
                <w:rFonts w:hint="eastAsia" w:ascii="仿宋" w:hAnsi="仿宋" w:eastAsia="仿宋" w:cs="仿宋"/>
                <w:sz w:val="24"/>
                <w:szCs w:val="24"/>
                <w:highlight w:val="none"/>
              </w:rPr>
              <w:t>境参数，包括省份编号，保护区编号，</w:t>
            </w:r>
            <w:r>
              <w:rPr>
                <w:rFonts w:hint="eastAsia" w:ascii="仿宋" w:hAnsi="仿宋" w:eastAsia="仿宋" w:cs="仿宋"/>
                <w:sz w:val="24"/>
                <w:szCs w:val="24"/>
                <w:highlight w:val="none"/>
                <w:lang w:eastAsia="zh-CN"/>
              </w:rPr>
              <w:t>网</w:t>
            </w:r>
            <w:r>
              <w:rPr>
                <w:rFonts w:hint="eastAsia" w:ascii="仿宋" w:hAnsi="仿宋" w:eastAsia="仿宋" w:cs="仿宋"/>
                <w:sz w:val="24"/>
                <w:szCs w:val="24"/>
                <w:highlight w:val="none"/>
              </w:rPr>
              <w:t>格编号，放置</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t>期，植被类型，森林起源，</w:t>
            </w:r>
            <w:r>
              <w:rPr>
                <w:rFonts w:hint="eastAsia" w:ascii="仿宋" w:hAnsi="仿宋" w:eastAsia="仿宋" w:cs="仿宋"/>
                <w:sz w:val="24"/>
                <w:szCs w:val="24"/>
                <w:highlight w:val="none"/>
                <w:lang w:eastAsia="zh-CN"/>
              </w:rPr>
              <w:t>小生</w:t>
            </w:r>
            <w:r>
              <w:rPr>
                <w:rFonts w:hint="eastAsia" w:ascii="仿宋" w:hAnsi="仿宋" w:eastAsia="仿宋" w:cs="仿宋"/>
                <w:sz w:val="24"/>
                <w:szCs w:val="24"/>
                <w:highlight w:val="none"/>
              </w:rPr>
              <w:t>境，</w:t>
            </w:r>
            <w:r>
              <w:rPr>
                <w:rFonts w:hint="eastAsia" w:ascii="仿宋" w:hAnsi="仿宋" w:eastAsia="仿宋" w:cs="仿宋"/>
                <w:sz w:val="24"/>
                <w:szCs w:val="24"/>
                <w:highlight w:val="none"/>
                <w:lang w:eastAsia="zh-CN"/>
              </w:rPr>
              <w:t>干</w:t>
            </w:r>
            <w:r>
              <w:rPr>
                <w:rFonts w:hint="eastAsia" w:ascii="仿宋" w:hAnsi="仿宋" w:eastAsia="仿宋" w:cs="仿宋"/>
                <w:sz w:val="24"/>
                <w:szCs w:val="24"/>
                <w:highlight w:val="none"/>
              </w:rPr>
              <w:t>扰类型，</w:t>
            </w:r>
            <w:r>
              <w:rPr>
                <w:rFonts w:hint="eastAsia" w:ascii="仿宋" w:hAnsi="仿宋" w:eastAsia="仿宋" w:cs="仿宋"/>
                <w:sz w:val="24"/>
                <w:szCs w:val="24"/>
                <w:highlight w:val="none"/>
                <w:lang w:eastAsia="zh-CN"/>
              </w:rPr>
              <w:t>干</w:t>
            </w:r>
            <w:r>
              <w:rPr>
                <w:rFonts w:hint="eastAsia" w:ascii="仿宋" w:hAnsi="仿宋" w:eastAsia="仿宋" w:cs="仿宋"/>
                <w:sz w:val="24"/>
                <w:szCs w:val="24"/>
                <w:highlight w:val="none"/>
              </w:rPr>
              <w:t>扰强度等；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14、防护等级：IP68及以上，进</w:t>
            </w:r>
            <w:r>
              <w:rPr>
                <w:rFonts w:hint="eastAsia" w:ascii="仿宋" w:hAnsi="仿宋" w:eastAsia="仿宋" w:cs="仿宋"/>
                <w:sz w:val="24"/>
                <w:szCs w:val="24"/>
                <w:highlight w:val="none"/>
                <w:lang w:eastAsia="zh-CN"/>
              </w:rPr>
              <w:t>行</w:t>
            </w:r>
            <w:r>
              <w:rPr>
                <w:rFonts w:hint="eastAsia" w:ascii="仿宋" w:hAnsi="仿宋" w:eastAsia="仿宋" w:cs="仿宋"/>
                <w:sz w:val="24"/>
                <w:szCs w:val="24"/>
                <w:highlight w:val="none"/>
              </w:rPr>
              <w:t>浸</w:t>
            </w:r>
            <w:r>
              <w:rPr>
                <w:rFonts w:hint="eastAsia" w:ascii="仿宋" w:hAnsi="仿宋" w:eastAsia="仿宋" w:cs="仿宋"/>
                <w:sz w:val="24"/>
                <w:szCs w:val="24"/>
                <w:highlight w:val="none"/>
                <w:lang w:eastAsia="zh-CN"/>
              </w:rPr>
              <w:t>水</w:t>
            </w:r>
            <w:r>
              <w:rPr>
                <w:rFonts w:hint="eastAsia" w:ascii="仿宋" w:hAnsi="仿宋" w:eastAsia="仿宋" w:cs="仿宋"/>
                <w:sz w:val="24"/>
                <w:szCs w:val="24"/>
                <w:highlight w:val="none"/>
              </w:rPr>
              <w:t>检测时，监测仪应在</w:t>
            </w:r>
            <w:r>
              <w:rPr>
                <w:rFonts w:hint="eastAsia" w:ascii="仿宋" w:hAnsi="仿宋" w:eastAsia="仿宋" w:cs="仿宋"/>
                <w:sz w:val="24"/>
                <w:szCs w:val="24"/>
                <w:highlight w:val="none"/>
                <w:lang w:eastAsia="zh-CN"/>
              </w:rPr>
              <w:t>水</w:t>
            </w:r>
            <w:r>
              <w:rPr>
                <w:rFonts w:hint="eastAsia" w:ascii="仿宋" w:hAnsi="仿宋" w:eastAsia="仿宋" w:cs="仿宋"/>
                <w:sz w:val="24"/>
                <w:szCs w:val="24"/>
                <w:highlight w:val="none"/>
              </w:rPr>
              <w:t>中浸泡（浸泡深度不</w:t>
            </w:r>
            <w:r>
              <w:rPr>
                <w:rFonts w:hint="eastAsia" w:ascii="仿宋" w:hAnsi="仿宋" w:eastAsia="仿宋" w:cs="仿宋"/>
                <w:sz w:val="24"/>
                <w:szCs w:val="24"/>
                <w:highlight w:val="none"/>
                <w:lang w:eastAsia="zh-CN"/>
              </w:rPr>
              <w:t>小</w:t>
            </w:r>
            <w:r>
              <w:rPr>
                <w:rFonts w:hint="eastAsia" w:ascii="仿宋" w:hAnsi="仿宋" w:eastAsia="仿宋" w:cs="仿宋"/>
                <w:sz w:val="24"/>
                <w:szCs w:val="24"/>
                <w:highlight w:val="none"/>
              </w:rPr>
              <w:t>于30厘</w:t>
            </w:r>
            <w:r>
              <w:rPr>
                <w:rFonts w:hint="eastAsia" w:ascii="仿宋" w:hAnsi="仿宋" w:eastAsia="仿宋" w:cs="仿宋"/>
                <w:sz w:val="24"/>
                <w:szCs w:val="24"/>
                <w:highlight w:val="none"/>
                <w:lang w:eastAsia="zh-CN"/>
              </w:rPr>
              <w:t>米</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至</w:t>
            </w:r>
            <w:r>
              <w:rPr>
                <w:rFonts w:hint="eastAsia" w:ascii="仿宋" w:hAnsi="仿宋" w:eastAsia="仿宋" w:cs="仿宋"/>
                <w:sz w:val="24"/>
                <w:szCs w:val="24"/>
                <w:highlight w:val="none"/>
              </w:rPr>
              <w:t>少30分钟，监测仪不应进</w:t>
            </w:r>
            <w:r>
              <w:rPr>
                <w:rFonts w:hint="eastAsia" w:ascii="仿宋" w:hAnsi="仿宋" w:eastAsia="仿宋" w:cs="仿宋"/>
                <w:sz w:val="24"/>
                <w:szCs w:val="24"/>
                <w:highlight w:val="none"/>
                <w:lang w:eastAsia="zh-CN"/>
              </w:rPr>
              <w:t>水</w:t>
            </w:r>
            <w:r>
              <w:rPr>
                <w:rFonts w:hint="eastAsia" w:ascii="仿宋" w:hAnsi="仿宋" w:eastAsia="仿宋" w:cs="仿宋"/>
                <w:sz w:val="24"/>
                <w:szCs w:val="24"/>
                <w:highlight w:val="none"/>
              </w:rPr>
              <w:t>，监测仪应正常⼯作；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▲15、管理系统：配套提供数据管理系统，实现“监测仪扫描</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维码批量设置”、“数据处理”、“空</w:t>
            </w:r>
            <w:r>
              <w:rPr>
                <w:rFonts w:hint="eastAsia" w:ascii="仿宋" w:hAnsi="仿宋" w:eastAsia="仿宋" w:cs="仿宋"/>
                <w:sz w:val="24"/>
                <w:szCs w:val="24"/>
                <w:highlight w:val="none"/>
                <w:lang w:eastAsia="zh-CN"/>
              </w:rPr>
              <w:t>照片</w:t>
            </w:r>
            <w:r>
              <w:rPr>
                <w:rFonts w:hint="eastAsia" w:ascii="仿宋" w:hAnsi="仿宋" w:eastAsia="仿宋" w:cs="仿宋"/>
                <w:sz w:val="24"/>
                <w:szCs w:val="24"/>
                <w:highlight w:val="none"/>
              </w:rPr>
              <w:t>筛选”、</w:t>
            </w:r>
            <w:r>
              <w:rPr>
                <w:rFonts w:hint="eastAsia" w:ascii="仿宋" w:hAnsi="仿宋" w:eastAsia="仿宋" w:cs="仿宋"/>
                <w:sz w:val="24"/>
                <w:szCs w:val="24"/>
                <w:highlight w:val="none"/>
                <w:lang w:eastAsia="zh-CN"/>
              </w:rPr>
              <w:t>自</w:t>
            </w:r>
            <w:r>
              <w:rPr>
                <w:rFonts w:hint="eastAsia" w:ascii="仿宋" w:hAnsi="仿宋" w:eastAsia="仿宋" w:cs="仿宋"/>
                <w:sz w:val="24"/>
                <w:szCs w:val="24"/>
                <w:highlight w:val="none"/>
              </w:rPr>
              <w:t>动提取数据中含有的温度、</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rPr>
              <w:t>相、经纬度、海拔、</w:t>
            </w:r>
            <w:r>
              <w:rPr>
                <w:rFonts w:hint="eastAsia" w:ascii="仿宋" w:hAnsi="仿宋" w:eastAsia="仿宋" w:cs="仿宋"/>
                <w:sz w:val="24"/>
                <w:szCs w:val="24"/>
                <w:highlight w:val="none"/>
                <w:lang w:eastAsia="zh-CN"/>
              </w:rPr>
              <w:t>生</w:t>
            </w:r>
            <w:r>
              <w:rPr>
                <w:rFonts w:hint="eastAsia" w:ascii="仿宋" w:hAnsi="仿宋" w:eastAsia="仿宋" w:cs="仿宋"/>
                <w:sz w:val="24"/>
                <w:szCs w:val="24"/>
                <w:highlight w:val="none"/>
              </w:rPr>
              <w:t>境参数等信息；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▲16、重量：监测仪采用轻量化设计，相机净重不超过300克，装满电池和SD卡后，总重量不超过500克；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17、体积：监测仪采</w:t>
            </w:r>
            <w:r>
              <w:rPr>
                <w:rFonts w:hint="eastAsia" w:ascii="仿宋" w:hAnsi="仿宋" w:eastAsia="仿宋" w:cs="仿宋"/>
                <w:sz w:val="24"/>
                <w:szCs w:val="24"/>
                <w:highlight w:val="none"/>
                <w:lang w:eastAsia="zh-CN"/>
              </w:rPr>
              <w:t>用小</w:t>
            </w:r>
            <w:r>
              <w:rPr>
                <w:rFonts w:hint="eastAsia" w:ascii="仿宋" w:hAnsi="仿宋" w:eastAsia="仿宋" w:cs="仿宋"/>
                <w:sz w:val="24"/>
                <w:szCs w:val="24"/>
                <w:highlight w:val="none"/>
              </w:rPr>
              <w:t>型化设计，总体积不超过1000</w:t>
            </w:r>
            <w:r>
              <w:rPr>
                <w:rFonts w:hint="eastAsia" w:ascii="仿宋" w:hAnsi="仿宋" w:eastAsia="仿宋" w:cs="仿宋"/>
                <w:sz w:val="24"/>
                <w:szCs w:val="24"/>
                <w:highlight w:val="none"/>
                <w:lang w:eastAsia="zh-CN"/>
              </w:rPr>
              <w:t>立方厘米。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手持GPS</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部</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1、定位类型：支持BDS、GPS、GLONASS、Galileo、SBAS卫星星座，支持使用单BDS定位；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2、定位精度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单点2-5米，SBAS1-3米；更新频率1Hz；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3、屏幕：≥3.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英寸高亮阳光屏幕，支持手套和湿手操作，支持触屏及按键两种操作模式；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4、天线类型：四螺旋天线；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5、处理器：高通4核处理器；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6、电源：≥4000mAh锂电池，工作时间可达到16小时</w:t>
            </w:r>
            <w:r>
              <w:rPr>
                <w:rFonts w:hint="eastAsia" w:ascii="仿宋" w:hAnsi="仿宋" w:eastAsia="仿宋" w:cs="仿宋"/>
                <w:sz w:val="24"/>
                <w:szCs w:val="24"/>
                <w:highlight w:val="none"/>
                <w:lang w:eastAsia="zh-CN"/>
              </w:rPr>
              <w:t>，电池可拆缷，支持充电宝</w:t>
            </w:r>
            <w:r>
              <w:rPr>
                <w:rFonts w:hint="eastAsia" w:ascii="仿宋" w:hAnsi="仿宋" w:eastAsia="仿宋" w:cs="仿宋"/>
                <w:sz w:val="24"/>
                <w:szCs w:val="24"/>
                <w:highlight w:val="none"/>
                <w:lang w:val="en-US" w:eastAsia="zh-CN"/>
              </w:rPr>
              <w:t>充电</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7、防护及环境特性：不低于IP68工业三防等级，抗1.8米跌落至硬质地面并提供专业机构检测报告。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8、数据通讯：Wi-Fi、蓝牙；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9、数据存储：RAM 1G，ROM 8G，支持TF卡扩展，满足海量数据存储需求；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10、扩展功能：高清摄像头不低于800万像素，双闪光灯，自动对焦；内置高精度电子罗盘、支持气压测高；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11、接口：设备采用了USBType-C接口设计，支持正反方向任意插拔，支持NMEA数据输出；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12、软件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内置三种属性库，点采集器,线采集器,面采集器,可与电脑互传调查表格，调查数据格式与电脑无逢对接，可对属性进行编辑和修改；支持采集对象关联多张拍</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图片，支持在</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片上以像素直接标注坐标，特征名称，采集时间；支持坐标系统的转换，并可以输入7参数等转换参数,软件直接支持SHP矢量数据导出,支持GNSS定位、手绘、和坐标输入等多种坐标采集模式，支持线放样功能；支持航迹存储；支持百度在线、离线地图加载；能够在设备上将GIS数据导出为shp、KML等数据格式,与GIS软件无缝对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13、投标产品必须为国产，需提供产品的3C强制认证证书；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14、制造商需具备北斗导航民用服务资质</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15、制造商须保障机载软件和桌面端软件需具备完备的知识产权，需提供相应软件产品的著作权证明文档，以防盗版纠纷。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人工气候箱（700升)</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1、控温范围：0°～65℃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2、温度分辨率：0.1℃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3、温度波动度：±0.5℃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4、控湿范围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30-95%RH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5、湿度分辨率：0.1%RH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6、湿度波动度：±5%RH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7、光</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度：0-40000LX</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8、光</w:t>
            </w:r>
            <w:r>
              <w:rPr>
                <w:rFonts w:hint="eastAsia" w:ascii="仿宋" w:hAnsi="仿宋" w:eastAsia="仿宋" w:cs="仿宋"/>
                <w:sz w:val="24"/>
                <w:szCs w:val="24"/>
                <w:highlight w:val="none"/>
                <w:lang w:eastAsia="zh-CN"/>
              </w:rPr>
              <w:t>照</w:t>
            </w:r>
            <w:r>
              <w:rPr>
                <w:rFonts w:hint="eastAsia" w:ascii="仿宋" w:hAnsi="仿宋" w:eastAsia="仿宋" w:cs="仿宋"/>
                <w:sz w:val="24"/>
                <w:szCs w:val="24"/>
                <w:highlight w:val="none"/>
              </w:rPr>
              <w:t>等级：无极可调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9、制冷功率：190W-480W（型号不同，功率不同）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10、工作环境：0-30℃，湿度85%RH以下，无腐蚀性气体</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11、压缩机动延时间保护时间：3分钟。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12、工作方式：连续运行（压缩机间歇工作）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13、噪音：</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70db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14、容积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≥700L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红外消化炉</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1、控制方式：单片机PID控制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2、加热方式：真空石英电加热管，加热采用密闭真空石英管辐射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3、炉孔数量：≥10孔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4、控温范围：室温-550℃温度可以任意设定，且有自动无级升温、定时功能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5、升温速度：</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20分钟（室温-400℃空载）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6、温度波动：±1℃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7、排污罩：</w:t>
            </w:r>
            <w:r>
              <w:rPr>
                <w:rFonts w:hint="eastAsia" w:ascii="仿宋" w:hAnsi="仿宋" w:eastAsia="仿宋" w:cs="仿宋"/>
                <w:sz w:val="24"/>
                <w:szCs w:val="24"/>
                <w:highlight w:val="none"/>
                <w:lang w:val="en-US" w:eastAsia="zh-CN"/>
              </w:rPr>
              <w:t>具有</w:t>
            </w:r>
            <w:r>
              <w:rPr>
                <w:rFonts w:hint="eastAsia" w:ascii="仿宋" w:hAnsi="仿宋" w:eastAsia="仿宋" w:cs="仿宋"/>
                <w:sz w:val="24"/>
                <w:szCs w:val="24"/>
                <w:highlight w:val="none"/>
              </w:rPr>
              <w:t>不锈钢排污罩，使消化管内逸出的有害气体，通过排污管经抽吸泵从水中排入下水道，可另配废气收集器。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超纯水机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1、适用范围：用于实验器皿冲洗、微生物培养基制备、化学与生物化学试剂配制、缓冲液配制等。原子吸收(AAS)；原子发射(AES)；离子色谱(IC)；等离子发射光谱(ICP)；高效液相色谱(HPLC)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2、进水水源：城市自来水或地下水(TDS＜1000ppm)，水压0.1-0.4MPa，水温5-45℃；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3、制水量：≥15L/小时；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4、RO出水水质：RO纯水电导率：1-5μS/cm(在线监测)；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5、UP出水水质：电阻率≥18MΩ.cm（在线监测),重金属离子≤0.1ppb,微颗粒物≤1个/ml；微生物≤1cfu/ml；RO纯水出水流速为≥2.0升/分钟（水箱龙头出水），UP超纯水出水流速为≥1.0-1.5升/分钟；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6、PLC控制系统，全彩触摸显示屏≥4.0英寸；</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7、RO纯水电导率在线监测，UP超纯水电阻率在线监测；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8、系统具备开机自检，RO反渗透膜自动冲洗，UP超纯水系统内循环功能；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9、具“黑匣子”功能，通过USB下载机内历史数据；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10、仪表状态的智能诊断功能：可查询控水系统、水箱系统、取水系统等故障问题；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一键快速定量取水功能；可设定一次性最大限量取水（防止接水容器满水后可能造成溢水破坏损失），RO水可定量取水，UP水可定质定量取水；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11、用户管理功能（可设置</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个</w:t>
            </w:r>
            <w:r>
              <w:rPr>
                <w:rFonts w:hint="eastAsia" w:ascii="仿宋" w:hAnsi="仿宋" w:eastAsia="仿宋" w:cs="仿宋"/>
                <w:sz w:val="24"/>
                <w:szCs w:val="24"/>
                <w:highlight w:val="none"/>
                <w:lang w:val="en-US" w:eastAsia="zh-CN"/>
              </w:rPr>
              <w:t>以上</w:t>
            </w:r>
            <w:r>
              <w:rPr>
                <w:rFonts w:hint="eastAsia" w:ascii="仿宋" w:hAnsi="仿宋" w:eastAsia="仿宋" w:cs="仿宋"/>
                <w:sz w:val="24"/>
                <w:szCs w:val="24"/>
                <w:highlight w:val="none"/>
              </w:rPr>
              <w:t>授权用户使用设备）；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12、图文显示系统诊断结果，结合警示音，确保用水更安全；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历史数据查询功能：历次取水时间、取水量、取水水质，历次故障记录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立式双层小容量全温振荡器</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1、超温声光报警功能，电机过热，温度失控，异常超温仪器自动切断各自供电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2、控制加速的线路确保摇床缓缓启动，平稳加速，包装实验样品的安全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3、控制方式：P.I.D(微电脑环境扫描微处理芯片）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4、显示方式：LCD(液晶显示屏）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5、对流方式：强制对流式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6、振荡方式：回旋式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7、驱动方式：多维驱动式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8、环境温度要求：5~35℃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9、温度控制范围：4~60℃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10、温度分辨率精度：0.1℃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11、温度波动度：±0.1℃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12、温度均匀度：≤±1℃（37℃）</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13、转速范围：30~300r/min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14、转速精度：±1r/min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15、摇板振荡幅度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16、定时范围：0~9999min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17、安全功能：上、下限超温报警；上、下限超速报警；独立式超温保护器；开门停机保护；漏电保护；制冷机超荷保护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18、摇板尺寸：500*350mm，±20mm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19、最大装瓶量</w:t>
            </w:r>
            <w:r>
              <w:rPr>
                <w:rFonts w:hint="eastAsia" w:ascii="仿宋" w:hAnsi="仿宋" w:eastAsia="仿宋" w:cs="仿宋"/>
                <w:sz w:val="24"/>
                <w:szCs w:val="24"/>
                <w:highlight w:val="none"/>
                <w:lang w:val="en-US" w:eastAsia="zh-CN"/>
              </w:rPr>
              <w:t>不少于</w:t>
            </w:r>
            <w:r>
              <w:rPr>
                <w:rFonts w:hint="eastAsia" w:ascii="仿宋" w:hAnsi="仿宋" w:eastAsia="仿宋" w:cs="仿宋"/>
                <w:sz w:val="24"/>
                <w:szCs w:val="24"/>
                <w:highlight w:val="none"/>
              </w:rPr>
              <w:t>：50ml*7</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支,或100ml*5</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支,或250ml*3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支,或500ml*2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支，或750ml*1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立式超低温冰箱</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1.样式：立式。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2.容积：≥</w:t>
            </w:r>
            <w:r>
              <w:rPr>
                <w:rFonts w:hint="eastAsia" w:ascii="仿宋" w:hAnsi="仿宋" w:eastAsia="仿宋" w:cs="仿宋"/>
                <w:sz w:val="24"/>
                <w:szCs w:val="24"/>
                <w:highlight w:val="none"/>
                <w:lang w:val="en-US" w:eastAsia="zh-CN"/>
              </w:rPr>
              <w:t>550</w:t>
            </w:r>
            <w:r>
              <w:rPr>
                <w:rFonts w:hint="eastAsia" w:ascii="仿宋" w:hAnsi="仿宋" w:eastAsia="仿宋" w:cs="仿宋"/>
                <w:sz w:val="24"/>
                <w:szCs w:val="24"/>
                <w:highlight w:val="none"/>
              </w:rPr>
              <w:t>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3.运行功率：≤1500W。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4.耗电量：≤18kW.h/24h。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5.制冷方式：直冷。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6.温度范围：-40℃～-86℃。</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7.噪音值：≤</w:t>
            </w:r>
            <w:r>
              <w:rPr>
                <w:rFonts w:hint="eastAsia" w:ascii="仿宋" w:hAnsi="仿宋" w:eastAsia="仿宋" w:cs="仿宋"/>
                <w:sz w:val="24"/>
                <w:szCs w:val="24"/>
                <w:highlight w:val="none"/>
                <w:lang w:val="en-US" w:eastAsia="zh-CN"/>
              </w:rPr>
              <w:t>55</w:t>
            </w:r>
            <w:r>
              <w:rPr>
                <w:rFonts w:hint="eastAsia" w:ascii="仿宋" w:hAnsi="仿宋" w:eastAsia="仿宋" w:cs="仿宋"/>
                <w:sz w:val="24"/>
                <w:szCs w:val="24"/>
                <w:highlight w:val="none"/>
              </w:rPr>
              <w:t>dB。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8.减噪：在每个可能产生噪音的部件间需装有减震材料。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9.外门：1扇。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10.外门隔热层：无CFC高密度聚氨酯发泡。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11.内门：2扇。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12.内门隔热层及箱体隔热层：无CFC高密度聚氨酯发泡。</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13.检测孔：1个，方便用户选配温度记录仪。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14.门封条：整机共设计门封条数量</w:t>
            </w:r>
            <w:r>
              <w:rPr>
                <w:rFonts w:hint="eastAsia" w:ascii="仿宋" w:hAnsi="仿宋" w:eastAsia="仿宋" w:cs="仿宋"/>
                <w:sz w:val="24"/>
                <w:szCs w:val="24"/>
                <w:highlight w:val="none"/>
                <w:lang w:val="en-US" w:eastAsia="zh-CN"/>
              </w:rPr>
              <w:t>不少于</w:t>
            </w:r>
            <w:r>
              <w:rPr>
                <w:rFonts w:hint="eastAsia" w:ascii="仿宋" w:hAnsi="仿宋" w:eastAsia="仿宋" w:cs="仿宋"/>
                <w:sz w:val="24"/>
                <w:szCs w:val="24"/>
                <w:highlight w:val="none"/>
              </w:rPr>
              <w:t>4层，可耐受-8</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℃环境温度。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15.压缩机：数量</w:t>
            </w:r>
            <w:r>
              <w:rPr>
                <w:rFonts w:hint="eastAsia" w:ascii="仿宋" w:hAnsi="仿宋" w:eastAsia="仿宋" w:cs="仿宋"/>
                <w:sz w:val="24"/>
                <w:szCs w:val="24"/>
                <w:highlight w:val="none"/>
                <w:lang w:val="en-US" w:eastAsia="zh-CN"/>
              </w:rPr>
              <w:t>不少于</w:t>
            </w:r>
            <w:r>
              <w:rPr>
                <w:rFonts w:hint="eastAsia" w:ascii="仿宋" w:hAnsi="仿宋" w:eastAsia="仿宋" w:cs="仿宋"/>
                <w:sz w:val="24"/>
                <w:szCs w:val="24"/>
                <w:highlight w:val="none"/>
              </w:rPr>
              <w:t>2个。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.制冷系统：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（1）双系统技术：采用两套相互独立的制冷系统；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（2）双重保障：其中一套制冷系统出现故障时，另外一套制冷系统也可维持-70℃以下的温度；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（3）快速降温：两套制冷系统同时工作能够实现快速降温。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.显示面板：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（1）屏幕尺寸为≥</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英寸液晶触摸屏，可直观的进行操作及显示各种与设备相关的信息；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（2）屏幕显示信息包括：箱内温度、环境温度、输入电压、显示消音、设备运行模式、日期时间、屏幕状态（是否锁屏）、设备运行状态（是否正常）；</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.报警系统：具备高低温报警、传感器故障报警、冷凝器脏堵报警、环温异常报警、电压异常报警、断电报警、门开报警、电池电量低报警、远程报警接口，所有的报警信息以及历史记录可在液晶屏查询。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发动机排量：≤8</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cc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功率：≥25hp</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油箱容量：≥10L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启动方式：电启动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前进速度：0-10km/h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后腿速度：0-5km/h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切割宽度：≥10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cm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刀片数量：≥2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切割高度：25-90mm/12档调节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排草方式：后排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刀片</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离合器</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起动机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前轮胎</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后轮胎</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割草车刀盘总成</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割草车配套使用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割草机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30</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排量：≤4</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cc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最大功率：≥1.8kw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油箱容量：≥0.48L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打草直径：≥4</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燃油混合比：≤25：1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拖拉机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发动机云内国二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额定功率(kw)≥2</w:t>
            </w:r>
            <w:r>
              <w:rPr>
                <w:rFonts w:hint="eastAsia" w:ascii="仿宋" w:hAnsi="仿宋" w:eastAsia="仿宋" w:cs="仿宋"/>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变速箱</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离合器</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单作用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液压系统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后悬挂提升装置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提升器普通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悬挂后置三点悬挂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包含旋耕机，3铧平犁。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绿篱机1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排量：≤</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cc2冲程风冷发动机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功率：≥0.7KW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燃油箱容积：≥0.6L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刀片长度：≥550mm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自动离合器系统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绿篱机2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排量：≤2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cm³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功率：≥0.7kw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切割长度：≥60cm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刀片长度：≥600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声压等级：＜95d</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空转转速≤3000r/min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高枝头油锯</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排量：≤35cc混合四冲程发动机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功率：≥1.4kw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怠速：≤2800rpm/min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长度：2700-3900mm可调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汽油三摩</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发动机排量≥200cc水冷发动机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发动机功率≥10kw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轴距≥22</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额定载重：≥5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转向行驶：方向把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升降机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平台最大高度≥9米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平台最大作业高度≥10米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额定荷载：≥200KG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功率≥1.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电动搬运车</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额定荷载能力：≥1500KG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自重：≤200KG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轮子：聚氨酯PU</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提升高度：≥</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货叉最低高度：≤85mm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货叉外宽：≤5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最小离地间隙：≤3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转弯半径：≤1</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驱动电机功率：≥0.45kw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行驶速度：≥4.</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km/h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提升电机功率：≥0.8kw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提升速度：≥0.05km/h,下架速度≥0.04km/h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微耕机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启动方式：手摇/手拉/电启动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油箱容积：≥5.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机油容积：≥1.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额定功率：≥8KW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旋耕宽度：≥70CM旋耕深度：10-20CM可调节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开沟宽度：30-40CM可调开沟深度：10-30CM可调节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熔纤机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马达：4马达</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工程里数：≤50KM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熔接次数≥240芯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电池容量：≥5200ma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熔接时间：≥6秒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加热时间：≥18秒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显示：</w:t>
            </w:r>
            <w:r>
              <w:rPr>
                <w:rFonts w:hint="eastAsia" w:ascii="仿宋" w:hAnsi="仿宋" w:eastAsia="仿宋" w:cs="仿宋"/>
                <w:sz w:val="24"/>
                <w:szCs w:val="24"/>
                <w:highlight w:val="none"/>
                <w:lang w:val="en-US" w:eastAsia="zh-CN"/>
              </w:rPr>
              <w:t>不小于4.0</w:t>
            </w:r>
            <w:r>
              <w:rPr>
                <w:rFonts w:hint="eastAsia" w:ascii="仿宋" w:hAnsi="仿宋" w:eastAsia="仿宋" w:cs="仿宋"/>
                <w:sz w:val="24"/>
                <w:szCs w:val="24"/>
                <w:highlight w:val="none"/>
              </w:rPr>
              <w:t>寸触摸显示屏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光纤故障检测仪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波长：在线式单波长1550波长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光源功率：＞-5dBm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带光测试最大允许功率：1270nm/1490nm/1310nm小于10db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动态范围：20dB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显示器：</w:t>
            </w:r>
            <w:r>
              <w:rPr>
                <w:rFonts w:hint="eastAsia" w:ascii="仿宋" w:hAnsi="仿宋" w:eastAsia="仿宋" w:cs="仿宋"/>
                <w:sz w:val="24"/>
                <w:szCs w:val="24"/>
                <w:highlight w:val="none"/>
                <w:lang w:val="en-US" w:eastAsia="zh-CN"/>
              </w:rPr>
              <w:t>不小于</w:t>
            </w:r>
            <w:r>
              <w:rPr>
                <w:rFonts w:hint="eastAsia" w:ascii="仿宋" w:hAnsi="仿宋" w:eastAsia="仿宋" w:cs="仿宋"/>
                <w:sz w:val="24"/>
                <w:szCs w:val="24"/>
                <w:highlight w:val="none"/>
              </w:rPr>
              <w:t>3.5英寸彩屏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测试范围：0.1-80KM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脉冲宽度：5ns-20us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测量时间：5-180m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衰减盲区：7m事件盲区1.2m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VFL</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波长650nm±20nm，输出功率10mW闪烁频率2Hz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OPM：功率范围-50-26dBm响应波长700-1700nm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高压绝缘电阻测试仪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直流电压测量：0-1000V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交流电压测量：0-750V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精度：±1.5%rdg±3dgt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分辨率：0.1V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额定电压：250/500/1000/2500/5000V/10KV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绝缘电阻量程：0.01MΩ-1000GΩ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绝缘电阻分辨率：0.01MΩ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数据存储：500组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发电机1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柴油发电机组：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功率KVA/KW≥260/200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接线方式：三相四线制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额定电压V：400/230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额定电流A：≥3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额定频率Hz</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电压调整率%：≤1(稳态)+20∽-15(瞬态)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电压稳定时间S：≤1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电压波动率%：≤±0.5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频率调整率%：≤1(稳态)±10~-7(瞬态)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频率稳定时间S：≤1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频率波动率%：≤1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波形失真%≤5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发电机组的设计、生产和测试完全符合GB/T2820.3极，ISO8528/3G3要求，产品通过持续为10秒的三相短路实验。优异的电机启动性能和快捷的电压恢复功能。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柴油机：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输出功率(KW)：≥265KW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转速(r/min)≤1500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转速调节：电子调速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起动方式：电启动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冷却方式：散热器闭式水冷却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燃油消耗率(g/KW.h)：≥200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发电机：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额定功率：≥200KW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型式：无刷、自励、AVR自动调节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含静音箱、电缆、配件等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发电机2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柴油发电机组：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柴油发电机组：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功率KVA/KW≥390/200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接线方式：三相四线制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额定电压V：400/230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额定电流A：≥5</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额定频率Hz</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电压调整率%：≤1(稳态)+20∽-15(瞬态)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电压稳定时间S：≤1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电压波动率%：≤±0.5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频率调整率%：≤1(稳态)±10~-7(瞬态)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频率稳定时间S：≤1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频率波动率%：≤1</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波形失真%≤5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发电机组的设计、生产和测试完全符合GB/T2820.3极，ISO8528/3G3要求，产品通过持续为10秒的三相短路实验。优异的电机启动性能和快捷的电压恢复功能。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柴油机：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输出功率(KW)：≥3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转速(r/min)≤1500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转速调节：电子调速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起动方式：电启动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冷却方式：散热器闭式水冷却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燃油消耗率(g/KW.h)：≥200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发电机：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额定功率：≥300KW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型式：无刷、自励、AVR自动调节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含拖车箱、电缆、配件。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升举车</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额定载重：≥500KG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起升高度：≥10M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作业高度：≥11.6M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护栏高度：≥1000mm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通电电压：220V/380V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焊机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输入电压：220V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焊丝容量：1KG/5KG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焊丝规格：0.8实芯、0.8-1.0药芯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焊枪长度：≥</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焊接厚度：0.8-5mm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双数显屏，数字一元化调节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可四用：气保焊、无气焊、手工焊、氩弧焊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电缆故障检测仪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套</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电缆故障测距主机：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测试方法：低压脉冲法、高压闪络法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冲击高压：低于35KV电力电缆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数据采样速率：100MHZ、50MHZ、25MHZ、12.5MHZ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测试距离：＞6</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KM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读数分辨率：小于1M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系统测试精度：小于50CM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测试电缆脉宽设有：0.05、0.1、0.2、0.5、1、2、8微秒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具有测试波形储存功能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内置电源：充满电后仪器可连续工作3小时以上，也可外接电源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电缆路径探测仪：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发射机：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输出信号：低频交流、高频交流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输出功率：恒功率输出，50%、100%两档</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输出模式：直连法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阻抗显示：100kΩ以内</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负载匹配：1-2.5kΩ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接收机：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工作频率：低频、高频、工频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工作模式：波峰法、波谷法、外输入法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天线模式：一个水平线圈、一个垂直线圈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声音指示：随信号强度变化的调频音调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定点仪：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可同步接受故障点放电时产生的声波和电磁波，经CPU处理并由液晶屏显示出探头测试点到故障点的距离及声波和电磁波的具体情况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显示距离：0.1米</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22.0米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声放大量：≥120db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磁放大量：≥90db</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定点误差：≤0.2m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超轻型高频高压信号发生器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高输出电压≤36KV负直流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工作电压：220V±10%</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50Hz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大输出电流：≤40mA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放电能量：≤1200J/5S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小放电周期：3秒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大功率：＜1.5KVA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手推式打草机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割草高度≥1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档</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行走方式：三档调节/自走式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草袋容量：≥70升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割草幅度≥5</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刀片最高转速≥3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00r/min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发动机排量：≥160CC单缸四冲程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饮水机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额定电压：220V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额定功率：≥2500W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内胆材质：304不锈钢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内胆容量：≥15L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额定开水量：≥35L/H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滤芯配置：PP棉+活性炭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微单镜头</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部</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镜头定位 全画幅</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镜头类型 变焦镜头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镜头用途 标准镜头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应用类型 微单镜头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镜头结构 14组17片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光圈叶片数 ≥9片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最大光圈 F4</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最小光圈 F22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最近对焦距离 ≤0.4米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焦距范围 25-105mm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等效焦距 36-150mm(APS-C画幅下的35mm规格)</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最大放大倍率 ≥0.3倍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滤镜直径 ≥75mm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视角 约60-15度，约85-25度(35mm等值)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冰箱</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额定电压：220V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气候类型：4</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有效容积：≥1300L（冷藏＞650L，冷冻＞600L）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冷藏温度：-1~10℃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冷冻温度：≤-15℃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耗电量：≤7.</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kwh/24h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平板冷藏、冷冻</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气候类型：4型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有效容积：≥420L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冷藏温度：-1~7℃</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冷冻温度：≤-15℃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耗电量：≤4.</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kwh/24h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展柜</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额定电压：220V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门体：双层钢化玻璃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有效容积：≥6</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0L</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耗电量：≤2.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kWh/24h</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柜内温度：0-10℃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内灯：≥2个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灯箱灯：≥2个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制冷方式：风冷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温控方式：机械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能效等级：1级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蒸箱</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蒸饭时间：≤50min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蒸盘间隔：≥80mm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额定电压：380V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产品功率：≥12KW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蒸汽输入压力：≥0.015MPa</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每盘最大装载：≥3.5kg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大烤箱</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类型：三层六盘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额定电压：380V</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额定功率：≥1.8KW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温度范围：50-350℃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控温方式：电脑控温，上下独立控温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定时范围：0-99min</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总容量：≥360L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大型低音和面机</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面水重量：25KG±5KG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kw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低音型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电缆故障测试仪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脉冲反射测试法：最大测量范围2KM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测试分辨率：1M，测试盲区：0M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脉冲宽度：80NS-10MS自动调节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测试电缆地埋深度：≤3米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测试精度：±5CM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最大测试电压：10KV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漏水检测仪</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个</w:t>
            </w:r>
          </w:p>
        </w:tc>
        <w:tc>
          <w:tcPr>
            <w:tcW w:w="5951"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配置：方形传感器、三角传感器、中号传感器、大号传感器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频率：1HZ-10000HZ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增益：10级可调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音量：10级可调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工作环境温度：－20℃～＋50℃</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充电时间：7-8小时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待机时间：15小时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功率：≈2W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充电器：5V</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2A</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USB充电</w:t>
            </w:r>
          </w:p>
        </w:tc>
      </w:tr>
    </w:tbl>
    <w:p>
      <w:pPr>
        <w:pStyle w:val="2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注：本项目不允许采购进口产品，如供应商所投产品为进口产品，其投标将被认定为投标无效。</w:t>
      </w:r>
    </w:p>
    <w:p>
      <w:pPr>
        <w:pStyle w:val="3"/>
        <w:pageBreakBefore/>
        <w:spacing w:line="360" w:lineRule="auto"/>
        <w:rPr>
          <w:rFonts w:hint="eastAsia" w:ascii="仿宋" w:hAnsi="仿宋" w:eastAsia="仿宋" w:cs="仿宋"/>
          <w:color w:val="auto"/>
          <w:sz w:val="32"/>
          <w:szCs w:val="32"/>
          <w:lang w:val="zh-CN"/>
        </w:rPr>
      </w:pPr>
      <w:bookmarkStart w:id="346" w:name="_Toc25466"/>
      <w:bookmarkStart w:id="347" w:name="_Toc11796"/>
      <w:bookmarkStart w:id="348" w:name="_Toc12173"/>
      <w:bookmarkStart w:id="349" w:name="_Toc19495"/>
      <w:bookmarkStart w:id="350" w:name="_Toc17211"/>
      <w:bookmarkStart w:id="351" w:name="_Toc878"/>
      <w:bookmarkStart w:id="352" w:name="_Toc9770"/>
      <w:bookmarkStart w:id="353" w:name="_Toc18036"/>
      <w:bookmarkStart w:id="354" w:name="_Toc23592"/>
      <w:bookmarkStart w:id="355" w:name="_Toc28776"/>
      <w:r>
        <w:rPr>
          <w:rFonts w:hint="eastAsia" w:ascii="仿宋" w:hAnsi="仿宋" w:eastAsia="仿宋" w:cs="仿宋"/>
          <w:color w:val="auto"/>
          <w:sz w:val="32"/>
          <w:szCs w:val="32"/>
          <w:lang w:val="zh-CN"/>
        </w:rPr>
        <w:t>第四部分  合同条款及格式</w:t>
      </w:r>
      <w:bookmarkEnd w:id="346"/>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甲方（采购人）： </w:t>
      </w:r>
      <w:r>
        <w:rPr>
          <w:rFonts w:hint="eastAsia" w:ascii="仿宋" w:hAnsi="仿宋" w:eastAsia="仿宋" w:cs="仿宋"/>
          <w:b w:val="0"/>
          <w:bCs w:val="0"/>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乙方（中标供应商）：</w:t>
      </w:r>
      <w:r>
        <w:rPr>
          <w:rFonts w:hint="eastAsia" w:ascii="仿宋" w:hAnsi="仿宋" w:eastAsia="仿宋" w:cs="仿宋"/>
          <w:b w:val="0"/>
          <w:bCs w:val="0"/>
          <w:color w:val="000000"/>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秦岭国家植物园生物多样性保护项目由陕西笃信招标有限公司组织公开招标，选定</w:t>
      </w:r>
      <w:r>
        <w:rPr>
          <w:rFonts w:hint="eastAsia" w:ascii="仿宋" w:hAnsi="仿宋" w:eastAsia="仿宋" w:cs="仿宋"/>
          <w:b w:val="0"/>
          <w:bCs w:val="0"/>
          <w:color w:val="000000"/>
          <w:kern w:val="0"/>
          <w:sz w:val="24"/>
          <w:szCs w:val="24"/>
          <w:u w:val="single"/>
          <w:lang w:val="en-US" w:eastAsia="zh-CN" w:bidi="ar"/>
        </w:rPr>
        <w:t xml:space="preserve">             </w:t>
      </w:r>
      <w:r>
        <w:rPr>
          <w:rFonts w:hint="eastAsia" w:ascii="仿宋" w:hAnsi="仿宋" w:eastAsia="仿宋" w:cs="仿宋"/>
          <w:b w:val="0"/>
          <w:bCs w:val="0"/>
          <w:color w:val="000000"/>
          <w:kern w:val="0"/>
          <w:sz w:val="24"/>
          <w:szCs w:val="24"/>
          <w:lang w:val="en-US" w:eastAsia="zh-CN" w:bidi="ar"/>
        </w:rPr>
        <w:t>(以下简称乙方）为该项目中标供应商。依据《中华人民共和国民法典》和《中华人民共和国政府采购法》，经甲、乙双方共同协商，按下述条款和条件签署本合同。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一、合同内容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bCs w:val="0"/>
          <w:color w:val="000000"/>
          <w:kern w:val="0"/>
          <w:sz w:val="24"/>
          <w:szCs w:val="24"/>
          <w:lang w:val="en-US" w:eastAsia="zh-CN" w:bidi="ar"/>
        </w:rPr>
        <w:t>乙方负责按照合同确定的设备名称、规格型号、数量、产地、配置内容及技术标准组织供货（具体采购项目见本合同），按时运到甲方指定的交货地点；负责设备到货后的安装及系统调试；确保系统所有设备各项指标达到要求；负责操作和管理人员的培训工作，保证甲方能够正常操作和维护，同时乙方根据设备的使用特性做好售后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二、合同价款、结算与支付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1.总价款为：大写：人民币</w:t>
      </w:r>
      <w:r>
        <w:rPr>
          <w:rFonts w:hint="eastAsia" w:ascii="仿宋" w:hAnsi="仿宋" w:eastAsia="仿宋" w:cs="仿宋"/>
          <w:b w:val="0"/>
          <w:bCs w:val="0"/>
          <w:color w:val="000000"/>
          <w:kern w:val="0"/>
          <w:sz w:val="24"/>
          <w:szCs w:val="24"/>
          <w:u w:val="single"/>
          <w:lang w:val="en-US" w:eastAsia="zh-CN" w:bidi="ar"/>
        </w:rPr>
        <w:t xml:space="preserve">             </w:t>
      </w:r>
      <w:r>
        <w:rPr>
          <w:rFonts w:hint="eastAsia" w:ascii="仿宋" w:hAnsi="仿宋" w:eastAsia="仿宋" w:cs="仿宋"/>
          <w:b w:val="0"/>
          <w:bCs w:val="0"/>
          <w:color w:val="000000"/>
          <w:kern w:val="0"/>
          <w:sz w:val="24"/>
          <w:szCs w:val="24"/>
          <w:u w:val="none"/>
          <w:lang w:val="en-US" w:eastAsia="zh-CN" w:bidi="ar"/>
        </w:rPr>
        <w:t>（</w:t>
      </w:r>
      <w:r>
        <w:rPr>
          <w:rFonts w:hint="eastAsia" w:ascii="仿宋" w:hAnsi="仿宋" w:eastAsia="仿宋" w:cs="仿宋"/>
          <w:color w:val="000000"/>
          <w:kern w:val="0"/>
          <w:sz w:val="24"/>
          <w:szCs w:val="24"/>
          <w:lang w:val="en-US" w:eastAsia="zh-CN" w:bidi="ar"/>
        </w:rPr>
        <w:t>小写：￥</w:t>
      </w:r>
      <w:r>
        <w:rPr>
          <w:rFonts w:hint="eastAsia" w:ascii="仿宋" w:hAnsi="仿宋" w:eastAsia="仿宋" w:cs="仿宋"/>
          <w:b w:val="0"/>
          <w:bCs w:val="0"/>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（1）合同总价包含设备费、设备到达</w:t>
      </w:r>
      <w:r>
        <w:rPr>
          <w:rFonts w:hint="eastAsia" w:ascii="仿宋" w:hAnsi="仿宋" w:eastAsia="仿宋" w:cs="仿宋"/>
          <w:color w:val="000000"/>
          <w:kern w:val="0"/>
          <w:sz w:val="24"/>
          <w:szCs w:val="24"/>
          <w:u w:val="single"/>
          <w:lang w:val="en-US" w:eastAsia="zh-CN" w:bidi="ar"/>
        </w:rPr>
        <w:t xml:space="preserve">  甲方指定  </w:t>
      </w:r>
      <w:r>
        <w:rPr>
          <w:rFonts w:hint="eastAsia" w:ascii="仿宋" w:hAnsi="仿宋" w:eastAsia="仿宋" w:cs="仿宋"/>
          <w:color w:val="000000"/>
          <w:kern w:val="0"/>
          <w:sz w:val="24"/>
          <w:szCs w:val="24"/>
          <w:lang w:val="en-US" w:eastAsia="zh-CN" w:bidi="ar"/>
        </w:rPr>
        <w:t>交货地点的运杂费（含保险）、备品备件、专用工具、安装调试检验、培训、技术服务及其他。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（2）合同总价一次包死，不受市场价格变化的影响，并作为结算的唯一依据。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yellow"/>
          <w:lang w:val="en-US" w:eastAsia="zh-CN" w:bidi="ar"/>
        </w:rPr>
        <w:t>2.付款及结算方式：合同正式签订后预付合同总价的50%，验收合格后一次性付清。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 支付方式：银行转账。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lang w:val="en-US" w:eastAsia="zh-CN" w:bidi="ar"/>
        </w:rPr>
        <w:t>三</w:t>
      </w:r>
      <w:r>
        <w:rPr>
          <w:rFonts w:hint="eastAsia" w:ascii="仿宋" w:hAnsi="仿宋" w:eastAsia="仿宋" w:cs="仿宋"/>
          <w:b/>
          <w:bCs/>
          <w:color w:val="000000"/>
          <w:kern w:val="0"/>
          <w:sz w:val="24"/>
          <w:szCs w:val="24"/>
          <w:highlight w:val="none"/>
          <w:lang w:val="en-US" w:eastAsia="zh-CN" w:bidi="ar"/>
        </w:rPr>
        <w:t>、交货期及交货地点：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交货期：3个月；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交货地点：采购人指定地点。</w:t>
      </w:r>
    </w:p>
    <w:p>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000000"/>
          <w:kern w:val="0"/>
          <w:sz w:val="24"/>
          <w:szCs w:val="24"/>
          <w:highlight w:val="none"/>
          <w:lang w:val="en-US" w:eastAsia="zh-CN" w:bidi="ar"/>
        </w:rPr>
        <w:t>质保期：</w:t>
      </w:r>
      <w:r>
        <w:rPr>
          <w:rFonts w:hint="eastAsia" w:ascii="仿宋" w:hAnsi="仿宋" w:eastAsia="仿宋" w:cs="仿宋"/>
          <w:bCs/>
          <w:color w:val="auto"/>
          <w:sz w:val="24"/>
          <w:szCs w:val="24"/>
          <w:highlight w:val="none"/>
          <w:shd w:val="clear" w:color="auto" w:fill="FFFFFF"/>
          <w:lang w:val="en-US" w:eastAsia="zh-CN"/>
        </w:rPr>
        <w:t>仪器仪表：2年；农业和农林机械、电气设备：1年。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四、货物清单：（后附）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五、运输</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（一）运输由乙方负责，运杂费已包含在合同总价内，包括从货物供应地点所含的运输费、装卸费、仓储费、保险费等。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（二）运输方式由乙方自行选择，但必须保证按期交货。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000000"/>
          <w:kern w:val="0"/>
          <w:sz w:val="24"/>
          <w:szCs w:val="24"/>
          <w:lang w:val="en-US" w:eastAsia="zh-CN" w:bidi="ar"/>
        </w:rPr>
        <w:t>（三）因运输产生的一切风险及质量问题均由乙方承担。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六、货物验收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1.在发货前，乙方应对货物的质量、规格、数量等进行准确而全面的检验，并出具产品生产产地证明材料 (加盖公章)。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2.甲方将在供货单位交货现场可组织验收，如果货物达不到国家的质量及企业标准或与投标时封存样品不符，甲方有权拒绝接收。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3.验收时未能出具甲方要求的证明材料的（包含但不限于产品能说明书、合格证等），甲方有权拒绝接收。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4.需要安装调试的，必须在经过货物质量初验后进行安装和调试。安装调试时应当按照甲方相关要求进行。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七、权利与义务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（一）甲方的权利与义务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1.甲方有权要求乙方供货的项目内容符合国家相关规范，符合国家验收标准，能够通过国家验收。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2.甲方有权要求乙方配合甲方完成所采购项目内容的预验收工作以及正式验收工作。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3.甲方有权要求乙方提供的产品所涉及的第三方权利进行免责。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4.甲方有义务保证按合同所规定的内容及时间支付乙方相关费用。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5.协调乙方供货时与其他单位的关系。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6.乙方不能按甲方要求及时供货，甲方有单方解除合同的权利。解除合同的同时，甲方有权利与评标报告中排名第二的供应商签订新的供货合同。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7.因乙方原因供货延误，给甲方造成损失或被第三方要求索赔的，乙方应全额承担。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（二）乙方的权利与义务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1.乙方应按本合同的规定供货，并保证产品质量。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2.乙方有义务配合甲方参与项目的预验收、正式竣工验收工作，并确保所供货物符合本项目国家现行标准。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3.乙方产品进场时应充分了解甲方的现场各项管理标准文件，并在进场后全面服从甲方的管理制度、管理细则等。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4.遵守产品安装作业的有关规定，做好作业现场安全管理；协助甲方做好作业现场的安全保卫、防火防盗工作，确保作业顺利进行；接受甲方现场管理人员的监督和检查，保证作业质量和安全文明作业。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5.按甲方指定地点将货物码放整齐，及时清运过程中产生的垃圾，保持现场整洁。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6.在货物验收时，向买方提供《货物合格证》、《货物使用说明书》等技术文件。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7.项目中所涉及的所有相关政府部门审批手续全部由乙方协调办理，且支付相关费用，甲方不再办理其相关手续及支付相关费用。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8.质量保证期内发生质量问题的，应当免费及时进行更换或维修。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八、违约责任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1.交货期（含安装、调试）推迟的，每延迟1日，应按合同总价款的1%向甲方支付违约金，因不可抗力或经甲方同意除外。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2.如乙方产品质量不符合国家标准或未达到本企业内控标准，甲方有权退货，并且乙方应承担甲方合同总价款的20％的违约金并赔偿其他损失。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3.质量保证期内因产品质量问题，乙方未按合同规定及时进行维修、更换，甲方可自行组织人员进行维修、更换，因此造成的相关责任、费用由乙方承担。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4.乙方对材料不按招标文件要求，擅自更换，除恢复原招标产品外，应承担更换部分价款50%的违约金。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5.乙方如对材料以次充好，除全部按要求恢复外，应承担此部分价款50%的违约金。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6.如由于产品质量原因，不能通过验收，乙方除按规定无偿更换外，应承担所涉及产品总价款的 50％违约金。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7.乙方负责现场作业人员及其他人员安全。如因乙方原因造成人员伤亡或财产损失，由乙方负责并承担一切赔偿责任。甲方有权追究乙方的违约责任。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九、争议解决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合同各方应本着诚信的态度及共同合作的精神，通过协商及谈判来努力解决 由本合同而产生的或与本合同有关（包括本合同项下某一特定货物买卖合同）的任何争议及不同意见。协商、谈判不能解决的，如任何一方通过诉讼解决由甲方所在地人民法院管辖。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十、协议期限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1.合同经甲乙双方法定代表人或者代表人签字并加盖公章(或合同章)即行生效。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2.合同签订后双方即直接产生权利与义务的关系，合同执行过程中出现的问题应按照合同法等有关规定办理。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3.合同在执行过程中出现的未尽事宜，双方在不违背本合同和招标文件的原则下协商解决，协商结果以“纪要”形式盖章记录在案，作为本合同的附件。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十一、通知和合同修改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本合同一方给另一方的通知，都应以书面的形式（信函、传真）发送至对方，对本合同条款进行任何改动，均须由甲乙双方签署书面合同修改签证，方为有效。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十二、其他</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szCs w:val="24"/>
          <w:highlight w:val="none"/>
          <w:u w:val="none"/>
        </w:rPr>
        <w:t>（一）本合同经双方签字盖章后生效。</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szCs w:val="24"/>
          <w:highlight w:val="none"/>
          <w:u w:val="none"/>
        </w:rPr>
        <w:t>（二）本合同须经甲、乙双方的法定代表人（授权代理人）在合同书上签字并加盖本单位公章后正式生效。</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szCs w:val="24"/>
          <w:highlight w:val="none"/>
          <w:u w:val="none"/>
        </w:rPr>
        <w:t>（三）合同生效后，甲、乙双方须严格执行本合同条款的规定，全面履行合同，违者按《中华人民共和国民法典》的有关规定承担相应责任。</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szCs w:val="24"/>
          <w:highlight w:val="none"/>
          <w:u w:val="none"/>
        </w:rPr>
        <w:t>（四）本合同一式</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none"/>
        </w:rPr>
        <w:t>份，甲方</w:t>
      </w:r>
      <w:r>
        <w:rPr>
          <w:rFonts w:hint="eastAsia" w:ascii="仿宋" w:hAnsi="仿宋" w:eastAsia="仿宋" w:cs="仿宋"/>
          <w:b w:val="0"/>
          <w:bCs/>
          <w:color w:val="auto"/>
          <w:sz w:val="24"/>
          <w:szCs w:val="24"/>
          <w:highlight w:val="none"/>
          <w:u w:val="none"/>
          <w:lang w:val="en-US" w:eastAsia="zh-CN"/>
        </w:rPr>
        <w:t>执</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none"/>
        </w:rPr>
        <w:t>份，乙方</w:t>
      </w:r>
      <w:r>
        <w:rPr>
          <w:rFonts w:hint="eastAsia" w:ascii="仿宋" w:hAnsi="仿宋" w:eastAsia="仿宋" w:cs="仿宋"/>
          <w:b w:val="0"/>
          <w:bCs/>
          <w:color w:val="auto"/>
          <w:sz w:val="24"/>
          <w:szCs w:val="24"/>
          <w:highlight w:val="none"/>
          <w:u w:val="none"/>
          <w:lang w:val="en-US" w:eastAsia="zh-CN"/>
        </w:rPr>
        <w:t>执</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none"/>
        </w:rPr>
        <w:t>份。</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b w:val="0"/>
          <w:bCs/>
          <w:snapToGrid w:val="0"/>
          <w:color w:val="auto"/>
          <w:kern w:val="0"/>
          <w:sz w:val="24"/>
          <w:szCs w:val="24"/>
          <w:highlight w:val="none"/>
        </w:rPr>
      </w:pPr>
      <w:r>
        <w:rPr>
          <w:rFonts w:hint="eastAsia" w:ascii="仿宋" w:hAnsi="仿宋" w:eastAsia="仿宋" w:cs="仿宋"/>
          <w:b w:val="0"/>
          <w:bCs/>
          <w:color w:val="auto"/>
          <w:sz w:val="24"/>
          <w:szCs w:val="24"/>
          <w:highlight w:val="none"/>
          <w:u w:val="none"/>
        </w:rPr>
        <w:t>（五）本合同如有未尽事宜，甲、乙双方协商解决。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（以下无正文）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18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p>
        </w:tc>
        <w:tc>
          <w:tcPr>
            <w:tcW w:w="3186"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乙  方</w:t>
            </w:r>
          </w:p>
        </w:tc>
        <w:tc>
          <w:tcPr>
            <w:tcW w:w="2889"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186" w:type="dxa"/>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中标供应商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889"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889"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r>
    </w:tbl>
    <w:p>
      <w:pPr>
        <w:rPr>
          <w:lang w:val="zh-CN"/>
        </w:rPr>
      </w:pPr>
    </w:p>
    <w:p>
      <w:pPr>
        <w:spacing w:line="360" w:lineRule="auto"/>
        <w:ind w:firstLine="1680" w:firstLineChars="600"/>
        <w:rPr>
          <w:rFonts w:ascii="仿宋" w:hAnsi="仿宋" w:eastAsia="仿宋" w:cs="仿宋"/>
          <w:color w:val="auto"/>
          <w:sz w:val="28"/>
          <w:szCs w:val="28"/>
        </w:rPr>
      </w:pPr>
    </w:p>
    <w:p>
      <w:pPr>
        <w:pageBreakBefore/>
        <w:spacing w:afterLines="50" w:line="360" w:lineRule="auto"/>
        <w:ind w:firstLine="643" w:firstLineChars="200"/>
        <w:jc w:val="center"/>
        <w:outlineLvl w:val="0"/>
        <w:rPr>
          <w:rFonts w:ascii="仿宋" w:hAnsi="仿宋" w:eastAsia="仿宋" w:cs="仿宋"/>
          <w:b/>
          <w:bCs/>
          <w:color w:val="auto"/>
          <w:sz w:val="32"/>
          <w:szCs w:val="32"/>
        </w:rPr>
      </w:pPr>
      <w:bookmarkStart w:id="356" w:name="_Toc32470"/>
      <w:r>
        <w:rPr>
          <w:rFonts w:hint="eastAsia" w:ascii="仿宋" w:hAnsi="仿宋" w:eastAsia="仿宋" w:cs="仿宋"/>
          <w:b/>
          <w:bCs/>
          <w:color w:val="auto"/>
          <w:sz w:val="32"/>
          <w:szCs w:val="32"/>
          <w:lang w:val="zh-CN"/>
        </w:rPr>
        <w:t>第五部分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投标文件格式</w:t>
      </w:r>
      <w:bookmarkEnd w:id="347"/>
      <w:bookmarkEnd w:id="348"/>
      <w:bookmarkEnd w:id="349"/>
      <w:bookmarkEnd w:id="350"/>
      <w:bookmarkEnd w:id="351"/>
      <w:bookmarkEnd w:id="352"/>
      <w:bookmarkEnd w:id="356"/>
    </w:p>
    <w:p>
      <w:pPr>
        <w:autoSpaceDE w:val="0"/>
        <w:autoSpaceDN w:val="0"/>
        <w:adjustRightInd w:val="0"/>
        <w:snapToGrid w:val="0"/>
        <w:spacing w:line="360" w:lineRule="auto"/>
        <w:jc w:val="righ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正本/副本</w:t>
      </w:r>
    </w:p>
    <w:p>
      <w:pPr>
        <w:autoSpaceDE w:val="0"/>
        <w:autoSpaceDN w:val="0"/>
        <w:adjustRightInd w:val="0"/>
        <w:spacing w:line="360" w:lineRule="auto"/>
        <w:jc w:val="left"/>
        <w:rPr>
          <w:rFonts w:ascii="仿宋" w:hAnsi="仿宋" w:eastAsia="仿宋" w:cs="仿宋"/>
          <w:b/>
          <w:bCs/>
          <w:color w:val="auto"/>
          <w:sz w:val="32"/>
          <w:szCs w:val="32"/>
          <w:lang w:val="zh-CN"/>
        </w:rPr>
      </w:pPr>
    </w:p>
    <w:p>
      <w:pPr>
        <w:tabs>
          <w:tab w:val="left" w:pos="5670"/>
        </w:tabs>
        <w:autoSpaceDE w:val="0"/>
        <w:autoSpaceDN w:val="0"/>
        <w:adjustRightInd w:val="0"/>
        <w:spacing w:line="360" w:lineRule="auto"/>
        <w:ind w:firstLine="300"/>
        <w:rPr>
          <w:rFonts w:ascii="仿宋" w:hAnsi="仿宋" w:eastAsia="仿宋" w:cs="仿宋"/>
          <w:b/>
          <w:bCs/>
          <w:color w:val="auto"/>
          <w:sz w:val="30"/>
          <w:szCs w:val="30"/>
          <w:lang w:val="zh-CN"/>
        </w:rPr>
      </w:pPr>
      <w:r>
        <w:rPr>
          <w:rFonts w:hint="eastAsia" w:ascii="仿宋" w:hAnsi="仿宋" w:eastAsia="仿宋" w:cs="仿宋"/>
          <w:b/>
          <w:bCs/>
          <w:color w:val="auto"/>
          <w:sz w:val="30"/>
          <w:szCs w:val="30"/>
          <w:lang w:val="zh-CN"/>
        </w:rPr>
        <w:t xml:space="preserve">政府采购项目  </w:t>
      </w:r>
    </w:p>
    <w:p>
      <w:pPr>
        <w:tabs>
          <w:tab w:val="left" w:pos="5670"/>
        </w:tabs>
        <w:autoSpaceDE w:val="0"/>
        <w:autoSpaceDN w:val="0"/>
        <w:adjustRightInd w:val="0"/>
        <w:spacing w:line="360" w:lineRule="auto"/>
        <w:ind w:firstLine="300"/>
        <w:rPr>
          <w:rFonts w:ascii="仿宋" w:hAnsi="仿宋" w:eastAsia="仿宋" w:cs="仿宋"/>
          <w:b/>
          <w:bCs/>
          <w:color w:val="auto"/>
          <w:sz w:val="30"/>
          <w:szCs w:val="30"/>
        </w:rPr>
      </w:pPr>
      <w:r>
        <w:rPr>
          <w:rFonts w:hint="eastAsia" w:ascii="仿宋" w:hAnsi="仿宋" w:eastAsia="仿宋" w:cs="仿宋"/>
          <w:b/>
          <w:bCs/>
          <w:color w:val="auto"/>
          <w:sz w:val="30"/>
          <w:szCs w:val="30"/>
          <w:lang w:val="zh-CN"/>
        </w:rPr>
        <w:t>计划编号：ZCBN-省本级-2022-08241</w:t>
      </w:r>
    </w:p>
    <w:p>
      <w:pPr>
        <w:tabs>
          <w:tab w:val="left" w:pos="5670"/>
        </w:tabs>
        <w:autoSpaceDE w:val="0"/>
        <w:autoSpaceDN w:val="0"/>
        <w:adjustRightInd w:val="0"/>
        <w:spacing w:line="360" w:lineRule="auto"/>
        <w:ind w:firstLine="300"/>
        <w:rPr>
          <w:rFonts w:ascii="仿宋" w:hAnsi="仿宋" w:eastAsia="仿宋" w:cs="仿宋"/>
          <w:b/>
          <w:bCs/>
          <w:color w:val="auto"/>
          <w:sz w:val="30"/>
          <w:szCs w:val="30"/>
        </w:rPr>
      </w:pPr>
      <w:r>
        <w:rPr>
          <w:rFonts w:hint="eastAsia" w:ascii="仿宋" w:hAnsi="仿宋" w:eastAsia="仿宋" w:cs="仿宋"/>
          <w:b/>
          <w:bCs/>
          <w:color w:val="auto"/>
          <w:sz w:val="30"/>
          <w:szCs w:val="30"/>
          <w:lang w:val="zh-CN"/>
        </w:rPr>
        <w:t>项目编号：DX2022--262</w:t>
      </w:r>
    </w:p>
    <w:p>
      <w:pPr>
        <w:tabs>
          <w:tab w:val="left" w:pos="5670"/>
        </w:tabs>
        <w:autoSpaceDE w:val="0"/>
        <w:autoSpaceDN w:val="0"/>
        <w:adjustRightInd w:val="0"/>
        <w:spacing w:line="360" w:lineRule="auto"/>
        <w:ind w:firstLine="300"/>
        <w:rPr>
          <w:rFonts w:ascii="仿宋" w:hAnsi="仿宋" w:eastAsia="仿宋" w:cs="仿宋"/>
          <w:b/>
          <w:color w:val="auto"/>
          <w:sz w:val="32"/>
          <w:szCs w:val="32"/>
        </w:rPr>
      </w:pPr>
    </w:p>
    <w:p>
      <w:pPr>
        <w:tabs>
          <w:tab w:val="left" w:pos="5670"/>
        </w:tabs>
        <w:autoSpaceDE w:val="0"/>
        <w:autoSpaceDN w:val="0"/>
        <w:adjustRightInd w:val="0"/>
        <w:spacing w:line="360" w:lineRule="auto"/>
        <w:jc w:val="center"/>
        <w:rPr>
          <w:rFonts w:ascii="仿宋" w:hAnsi="仿宋" w:eastAsia="仿宋" w:cs="仿宋"/>
          <w:b/>
          <w:bCs/>
          <w:color w:val="auto"/>
          <w:sz w:val="44"/>
          <w:szCs w:val="44"/>
          <w:lang w:val="zh-CN"/>
        </w:rPr>
      </w:pPr>
    </w:p>
    <w:p>
      <w:pPr>
        <w:tabs>
          <w:tab w:val="left" w:pos="5670"/>
        </w:tabs>
        <w:autoSpaceDE w:val="0"/>
        <w:autoSpaceDN w:val="0"/>
        <w:adjustRightInd w:val="0"/>
        <w:spacing w:line="360" w:lineRule="auto"/>
        <w:jc w:val="center"/>
        <w:rPr>
          <w:rFonts w:ascii="仿宋" w:hAnsi="仿宋" w:eastAsia="仿宋" w:cs="仿宋"/>
          <w:b/>
          <w:bCs/>
          <w:color w:val="auto"/>
          <w:sz w:val="44"/>
          <w:szCs w:val="44"/>
        </w:rPr>
      </w:pPr>
    </w:p>
    <w:p>
      <w:pPr>
        <w:tabs>
          <w:tab w:val="left" w:pos="5670"/>
        </w:tabs>
        <w:autoSpaceDE w:val="0"/>
        <w:autoSpaceDN w:val="0"/>
        <w:adjustRightInd w:val="0"/>
        <w:spacing w:line="360" w:lineRule="auto"/>
        <w:jc w:val="center"/>
        <w:rPr>
          <w:rFonts w:ascii="仿宋" w:hAnsi="仿宋" w:eastAsia="仿宋" w:cs="仿宋"/>
          <w:b/>
          <w:bCs/>
          <w:color w:val="auto"/>
          <w:sz w:val="40"/>
          <w:szCs w:val="36"/>
          <w:lang w:val="zh-CN"/>
        </w:rPr>
      </w:pPr>
      <w:r>
        <w:rPr>
          <w:rFonts w:hint="eastAsia" w:ascii="仿宋" w:hAnsi="仿宋" w:eastAsia="仿宋" w:cs="仿宋"/>
          <w:b/>
          <w:bCs/>
          <w:color w:val="auto"/>
          <w:sz w:val="40"/>
          <w:szCs w:val="36"/>
          <w:lang w:val="zh-CN"/>
        </w:rPr>
        <w:t>秦岭国家植物园生物多样性保护项目</w:t>
      </w:r>
    </w:p>
    <w:p>
      <w:pPr>
        <w:pStyle w:val="19"/>
        <w:rPr>
          <w:rFonts w:ascii="仿宋" w:hAnsi="仿宋" w:eastAsia="仿宋" w:cs="仿宋"/>
          <w:color w:val="auto"/>
        </w:rPr>
      </w:pPr>
    </w:p>
    <w:p>
      <w:pPr>
        <w:pStyle w:val="27"/>
        <w:ind w:firstLine="210"/>
        <w:jc w:val="center"/>
        <w:rPr>
          <w:rFonts w:ascii="仿宋" w:hAnsi="仿宋" w:eastAsia="仿宋" w:cs="仿宋"/>
          <w:color w:val="auto"/>
        </w:rPr>
      </w:pPr>
    </w:p>
    <w:p>
      <w:pPr>
        <w:pStyle w:val="27"/>
        <w:ind w:firstLine="210"/>
        <w:rPr>
          <w:rFonts w:ascii="仿宋" w:hAnsi="仿宋" w:eastAsia="仿宋" w:cs="仿宋"/>
          <w:color w:val="auto"/>
        </w:rPr>
      </w:pPr>
    </w:p>
    <w:p>
      <w:pPr>
        <w:tabs>
          <w:tab w:val="left" w:pos="5670"/>
        </w:tabs>
        <w:autoSpaceDE w:val="0"/>
        <w:autoSpaceDN w:val="0"/>
        <w:adjustRightInd w:val="0"/>
        <w:spacing w:line="360" w:lineRule="auto"/>
        <w:jc w:val="center"/>
        <w:rPr>
          <w:rFonts w:ascii="仿宋" w:hAnsi="仿宋" w:eastAsia="仿宋" w:cs="仿宋"/>
          <w:b/>
          <w:color w:val="auto"/>
          <w:sz w:val="44"/>
          <w:szCs w:val="44"/>
        </w:rPr>
      </w:pPr>
      <w:r>
        <w:rPr>
          <w:rFonts w:hint="eastAsia" w:ascii="仿宋" w:hAnsi="仿宋" w:eastAsia="仿宋" w:cs="仿宋"/>
          <w:b/>
          <w:color w:val="auto"/>
          <w:sz w:val="44"/>
          <w:szCs w:val="44"/>
        </w:rPr>
        <w:t>投 标 文 件</w:t>
      </w:r>
    </w:p>
    <w:p>
      <w:pPr>
        <w:pStyle w:val="27"/>
        <w:ind w:firstLine="0" w:firstLineChars="0"/>
        <w:rPr>
          <w:rFonts w:ascii="仿宋" w:hAnsi="仿宋" w:eastAsia="仿宋" w:cs="仿宋"/>
          <w:color w:val="auto"/>
          <w:sz w:val="42"/>
          <w:szCs w:val="42"/>
        </w:rPr>
      </w:pPr>
    </w:p>
    <w:p>
      <w:pPr>
        <w:pStyle w:val="90"/>
        <w:ind w:firstLine="0" w:firstLineChars="0"/>
        <w:rPr>
          <w:rFonts w:ascii="仿宋" w:hAnsi="仿宋" w:eastAsia="仿宋" w:cs="仿宋"/>
          <w:color w:val="auto"/>
        </w:rPr>
      </w:pPr>
    </w:p>
    <w:p>
      <w:pPr>
        <w:pStyle w:val="90"/>
        <w:rPr>
          <w:rFonts w:ascii="仿宋" w:hAnsi="仿宋" w:eastAsia="仿宋" w:cs="仿宋"/>
          <w:color w:val="auto"/>
        </w:rPr>
      </w:pPr>
    </w:p>
    <w:p>
      <w:pPr>
        <w:pStyle w:val="19"/>
        <w:rPr>
          <w:rFonts w:ascii="仿宋" w:hAnsi="仿宋" w:eastAsia="仿宋" w:cs="仿宋"/>
          <w:color w:val="auto"/>
        </w:rPr>
      </w:pPr>
    </w:p>
    <w:p>
      <w:pPr>
        <w:spacing w:line="360" w:lineRule="auto"/>
        <w:ind w:left="420" w:leftChars="200" w:firstLine="851" w:firstLineChars="265"/>
        <w:rPr>
          <w:rFonts w:ascii="仿宋" w:hAnsi="仿宋" w:eastAsia="仿宋" w:cs="仿宋"/>
          <w:b/>
          <w:bCs/>
          <w:color w:val="auto"/>
          <w:sz w:val="32"/>
          <w:szCs w:val="32"/>
        </w:rPr>
      </w:pPr>
      <w:r>
        <w:rPr>
          <w:rFonts w:hint="eastAsia" w:ascii="仿宋" w:hAnsi="仿宋" w:eastAsia="仿宋" w:cs="仿宋"/>
          <w:b/>
          <w:bCs/>
          <w:color w:val="auto"/>
          <w:sz w:val="32"/>
          <w:szCs w:val="32"/>
        </w:rPr>
        <w:t>投  标 人：（盖章）</w:t>
      </w:r>
    </w:p>
    <w:p>
      <w:pPr>
        <w:spacing w:line="360" w:lineRule="auto"/>
        <w:ind w:firstLine="1285" w:firstLineChars="400"/>
        <w:rPr>
          <w:rFonts w:ascii="仿宋" w:hAnsi="仿宋" w:eastAsia="仿宋" w:cs="仿宋"/>
          <w:b/>
          <w:bCs/>
          <w:color w:val="auto"/>
          <w:sz w:val="32"/>
          <w:szCs w:val="32"/>
        </w:rPr>
      </w:pPr>
      <w:r>
        <w:rPr>
          <w:rFonts w:hint="eastAsia" w:ascii="仿宋" w:hAnsi="仿宋" w:eastAsia="仿宋" w:cs="仿宋"/>
          <w:b/>
          <w:color w:val="auto"/>
          <w:sz w:val="32"/>
        </w:rPr>
        <w:t>法定代表人或授权代表：</w:t>
      </w:r>
      <w:r>
        <w:rPr>
          <w:rFonts w:hint="eastAsia" w:ascii="仿宋" w:hAnsi="仿宋" w:eastAsia="仿宋" w:cs="仿宋"/>
          <w:b/>
          <w:bCs/>
          <w:color w:val="auto"/>
          <w:sz w:val="32"/>
          <w:szCs w:val="32"/>
        </w:rPr>
        <w:t>（签字）</w:t>
      </w:r>
    </w:p>
    <w:p>
      <w:pPr>
        <w:spacing w:line="360" w:lineRule="auto"/>
        <w:ind w:firstLine="1285" w:firstLineChars="400"/>
        <w:rPr>
          <w:rFonts w:ascii="仿宋" w:hAnsi="仿宋" w:eastAsia="仿宋" w:cs="仿宋"/>
          <w:b/>
          <w:bCs/>
          <w:color w:val="auto"/>
          <w:sz w:val="32"/>
          <w:szCs w:val="32"/>
        </w:rPr>
      </w:pPr>
      <w:r>
        <w:rPr>
          <w:rFonts w:hint="eastAsia" w:ascii="仿宋" w:hAnsi="仿宋" w:eastAsia="仿宋" w:cs="仿宋"/>
          <w:b/>
          <w:bCs/>
          <w:color w:val="auto"/>
          <w:sz w:val="32"/>
          <w:szCs w:val="32"/>
        </w:rPr>
        <w:t>日    期：</w:t>
      </w:r>
    </w:p>
    <w:p>
      <w:pPr>
        <w:pageBreakBefore/>
        <w:spacing w:line="360" w:lineRule="auto"/>
        <w:jc w:val="center"/>
        <w:rPr>
          <w:rFonts w:ascii="仿宋" w:hAnsi="仿宋" w:eastAsia="仿宋" w:cs="仿宋"/>
          <w:b/>
          <w:bCs/>
          <w:color w:val="auto"/>
          <w:sz w:val="32"/>
          <w:szCs w:val="15"/>
          <w:lang w:val="zh-CN"/>
        </w:rPr>
      </w:pPr>
      <w:r>
        <w:rPr>
          <w:rFonts w:hint="eastAsia" w:ascii="仿宋" w:hAnsi="仿宋" w:eastAsia="仿宋" w:cs="仿宋"/>
          <w:b/>
          <w:bCs/>
          <w:color w:val="auto"/>
          <w:sz w:val="32"/>
          <w:szCs w:val="15"/>
          <w:lang w:val="zh-CN"/>
        </w:rPr>
        <w:t>目录</w:t>
      </w:r>
    </w:p>
    <w:p>
      <w:pPr>
        <w:jc w:val="center"/>
        <w:rPr>
          <w:rFonts w:ascii="仿宋" w:hAnsi="仿宋" w:eastAsia="仿宋" w:cs="仿宋"/>
          <w:color w:val="auto"/>
          <w:lang w:val="zh-CN"/>
        </w:rPr>
      </w:pPr>
      <w:r>
        <w:rPr>
          <w:rFonts w:hint="eastAsia" w:ascii="仿宋" w:hAnsi="仿宋" w:eastAsia="仿宋" w:cs="仿宋"/>
          <w:color w:val="auto"/>
          <w:sz w:val="24"/>
          <w:szCs w:val="16"/>
          <w:lang w:val="zh-CN"/>
        </w:rPr>
        <w:t>请根据投标文件内容自动生成目录</w:t>
      </w:r>
    </w:p>
    <w:p>
      <w:pPr>
        <w:pageBreakBefore/>
        <w:spacing w:line="360" w:lineRule="auto"/>
        <w:jc w:val="center"/>
        <w:outlineLvl w:val="1"/>
        <w:rPr>
          <w:rFonts w:ascii="仿宋" w:hAnsi="仿宋" w:eastAsia="仿宋" w:cs="仿宋"/>
          <w:color w:val="auto"/>
          <w:lang w:val="zh-CN"/>
        </w:rPr>
      </w:pPr>
      <w:bookmarkStart w:id="357" w:name="_Toc8181"/>
      <w:bookmarkStart w:id="358" w:name="_Toc14636"/>
      <w:bookmarkStart w:id="359" w:name="_Toc26458"/>
      <w:bookmarkStart w:id="360" w:name="_Toc3821"/>
      <w:bookmarkStart w:id="361" w:name="_Toc5869"/>
      <w:bookmarkStart w:id="362" w:name="_Toc31172"/>
      <w:bookmarkStart w:id="363" w:name="_Toc452"/>
      <w:r>
        <w:rPr>
          <w:rFonts w:hint="eastAsia" w:ascii="仿宋" w:hAnsi="仿宋" w:eastAsia="仿宋" w:cs="仿宋"/>
          <w:b/>
          <w:bCs/>
          <w:color w:val="auto"/>
          <w:sz w:val="32"/>
          <w:szCs w:val="15"/>
          <w:lang w:val="zh-CN"/>
        </w:rPr>
        <w:t>一、投标函</w:t>
      </w:r>
      <w:bookmarkEnd w:id="353"/>
      <w:bookmarkEnd w:id="354"/>
      <w:bookmarkEnd w:id="355"/>
      <w:bookmarkEnd w:id="357"/>
      <w:bookmarkEnd w:id="358"/>
      <w:bookmarkEnd w:id="359"/>
      <w:bookmarkEnd w:id="360"/>
      <w:bookmarkEnd w:id="361"/>
      <w:bookmarkEnd w:id="362"/>
      <w:bookmarkEnd w:id="363"/>
    </w:p>
    <w:p>
      <w:pPr>
        <w:autoSpaceDE w:val="0"/>
        <w:autoSpaceDN w:val="0"/>
        <w:adjustRightInd w:val="0"/>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lang w:val="zh-CN"/>
        </w:rPr>
        <w:t>陕西笃信招标有限公司：</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我单位收到贵公司关于</w:t>
      </w:r>
      <w:r>
        <w:rPr>
          <w:rFonts w:hint="eastAsia" w:ascii="仿宋" w:hAnsi="仿宋" w:eastAsia="仿宋" w:cs="仿宋"/>
          <w:color w:val="auto"/>
          <w:sz w:val="24"/>
          <w:szCs w:val="24"/>
          <w:u w:val="single"/>
          <w:lang w:val="zh-CN"/>
        </w:rPr>
        <w:t>秦岭国家植物园生物多样性保护项目</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lang w:val="zh-CN"/>
        </w:rPr>
        <w:t>DX2022--262</w:t>
      </w:r>
      <w:r>
        <w:rPr>
          <w:rFonts w:hint="eastAsia" w:ascii="仿宋" w:hAnsi="仿宋" w:eastAsia="仿宋" w:cs="仿宋"/>
          <w:color w:val="auto"/>
          <w:sz w:val="24"/>
          <w:szCs w:val="24"/>
        </w:rPr>
        <w:t>）的招标文件，经详细研究，我们决定参加本次项目</w:t>
      </w:r>
    </w:p>
    <w:p>
      <w:pPr>
        <w:autoSpaceDE w:val="0"/>
        <w:autoSpaceDN w:val="0"/>
        <w:adjustRightIn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招标活动并投标。为此，我方郑重声明以下诸点，并负法律责任。</w:t>
      </w:r>
    </w:p>
    <w:p>
      <w:pPr>
        <w:numPr>
          <w:ilvl w:val="0"/>
          <w:numId w:val="2"/>
        </w:num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愿意按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招标文件中的一切要求，向采购人提供所需所有货物。</w:t>
      </w:r>
    </w:p>
    <w:p>
      <w:pPr>
        <w:numPr>
          <w:ilvl w:val="0"/>
          <w:numId w:val="2"/>
        </w:numPr>
        <w:spacing w:line="360" w:lineRule="auto"/>
        <w:ind w:left="0" w:leftChars="0"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按招标文件的规定，我公司的投标总报价大写：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小写：</w:t>
      </w:r>
      <w:r>
        <w:rPr>
          <w:rFonts w:hint="eastAsia" w:ascii="仿宋" w:hAnsi="仿宋" w:eastAsia="仿宋" w:cs="仿宋"/>
          <w:color w:val="auto"/>
          <w:sz w:val="24"/>
          <w:szCs w:val="24"/>
          <w:u w:val="single"/>
          <w:lang w:val="en-US" w:eastAsia="zh-CN"/>
        </w:rPr>
        <w:t xml:space="preserve">  ）</w:t>
      </w:r>
    </w:p>
    <w:p>
      <w:pPr>
        <w:numPr>
          <w:ilvl w:val="0"/>
          <w:numId w:val="2"/>
        </w:numPr>
        <w:spacing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我方提交的投标文件正本一份、副本三份，有效电子版一份及资格证明文件一份，并保证投标文件提供的数据和材料真实、准确。否则，愿承担相关的法律责任。</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四、我方已详细阅读了招标文件，完全理解并放弃提出含糊不清或易形成歧义的表述和资料。</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五、我方愿意向贵方提供任何与本次招标有关的数据、情况、样品和技术资料，若贵方需要，我方愿意提供我方作出的一切承诺的证明材料。</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六、开标后在规定的投标有效期内撤回投标，我们愿接受政府采购的有关处罚决定。</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七、我方承诺遵守《中华人民共和国政府采购法》及其实施条例的有关规定，保证在获得中标资格后：</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1、按</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招标文件确定的事项签订合同，履行双方所签订的合同，并承担合同规定的责任和义务；</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2、我方保证按规定和标准向贵方缴纳中标服务费；</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3、投标文件有效期延长至合同履行完毕，且有效期自开标之日起不少于90天。</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八、我方完全理解最低报价不是中标的唯一条件，并尊重评标委员会的评标结论和定标结果。</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九、一旦我方中标,我方同意与使用单位签订保密协议；</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十、有关于本投标文件的函电，请按下列地址联系。</w:t>
      </w:r>
    </w:p>
    <w:p>
      <w:pPr>
        <w:autoSpaceDE w:val="0"/>
        <w:autoSpaceDN w:val="0"/>
        <w:adjustRightInd w:val="0"/>
        <w:spacing w:line="360" w:lineRule="auto"/>
        <w:ind w:firstLine="480" w:firstLineChars="200"/>
        <w:rPr>
          <w:rFonts w:ascii="仿宋" w:hAnsi="仿宋" w:eastAsia="仿宋" w:cs="仿宋"/>
          <w:b/>
          <w:color w:val="auto"/>
          <w:sz w:val="24"/>
          <w:szCs w:val="24"/>
          <w:u w:val="single"/>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全称（印章）：</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480" w:firstLineChars="200"/>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法定代表人或授权代表（签字）：</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账    号：</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邮    编：</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jc w:val="center"/>
        <w:rPr>
          <w:rFonts w:ascii="仿宋" w:hAnsi="仿宋" w:eastAsia="仿宋" w:cs="仿宋"/>
          <w:color w:val="auto"/>
          <w:sz w:val="24"/>
          <w:szCs w:val="24"/>
        </w:rPr>
      </w:pPr>
    </w:p>
    <w:p>
      <w:pPr>
        <w:autoSpaceDE w:val="0"/>
        <w:autoSpaceDN w:val="0"/>
        <w:adjustRightInd w:val="0"/>
        <w:snapToGrid w:val="0"/>
        <w:spacing w:line="360" w:lineRule="auto"/>
        <w:jc w:val="right"/>
        <w:rPr>
          <w:rFonts w:ascii="仿宋" w:hAnsi="仿宋" w:eastAsia="仿宋" w:cs="仿宋"/>
          <w:color w:val="auto"/>
          <w:sz w:val="24"/>
          <w:szCs w:val="24"/>
          <w:lang w:val="zh-CN"/>
        </w:rPr>
        <w:sectPr>
          <w:headerReference r:id="rId8" w:type="default"/>
          <w:footerReference r:id="rId9" w:type="default"/>
          <w:pgSz w:w="11906" w:h="16838"/>
          <w:pgMar w:top="1417" w:right="1417" w:bottom="1417" w:left="1417" w:header="851" w:footer="992" w:gutter="0"/>
          <w:pgNumType w:fmt="decimal"/>
          <w:cols w:space="0" w:num="1"/>
          <w:rtlGutter w:val="0"/>
          <w:docGrid w:type="lines" w:linePitch="312" w:charSpace="0"/>
        </w:sectPr>
      </w:pP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pageBreakBefore/>
        <w:spacing w:line="360" w:lineRule="auto"/>
        <w:jc w:val="center"/>
        <w:outlineLvl w:val="1"/>
        <w:rPr>
          <w:rFonts w:ascii="仿宋" w:hAnsi="仿宋" w:eastAsia="仿宋" w:cs="仿宋"/>
          <w:b/>
          <w:bCs/>
          <w:color w:val="auto"/>
          <w:sz w:val="32"/>
          <w:szCs w:val="15"/>
          <w:lang w:val="zh-CN"/>
        </w:rPr>
      </w:pPr>
      <w:bookmarkStart w:id="364" w:name="_Toc7809"/>
      <w:bookmarkStart w:id="365" w:name="_Toc4521"/>
      <w:bookmarkStart w:id="366" w:name="_Toc10991"/>
      <w:bookmarkStart w:id="367" w:name="_Toc19367"/>
      <w:bookmarkStart w:id="368" w:name="_Toc30144"/>
      <w:bookmarkStart w:id="369" w:name="_Toc12106"/>
      <w:bookmarkStart w:id="370" w:name="_Toc6838"/>
      <w:bookmarkStart w:id="371" w:name="_Toc7105"/>
      <w:bookmarkStart w:id="372" w:name="_Toc31124"/>
      <w:bookmarkStart w:id="373" w:name="_Toc22952"/>
      <w:bookmarkStart w:id="374" w:name="_Toc475451554"/>
      <w:bookmarkStart w:id="375" w:name="_Toc475451801"/>
      <w:bookmarkStart w:id="376" w:name="_Toc473056004"/>
      <w:r>
        <w:rPr>
          <w:rFonts w:hint="eastAsia" w:ascii="仿宋" w:hAnsi="仿宋" w:eastAsia="仿宋" w:cs="仿宋"/>
          <w:b/>
          <w:bCs/>
          <w:color w:val="auto"/>
          <w:sz w:val="32"/>
          <w:szCs w:val="15"/>
          <w:lang w:val="zh-CN"/>
        </w:rPr>
        <w:t>二、开标一览表（唱标报告）</w:t>
      </w:r>
      <w:bookmarkEnd w:id="364"/>
      <w:bookmarkEnd w:id="365"/>
      <w:bookmarkEnd w:id="366"/>
      <w:bookmarkEnd w:id="367"/>
      <w:bookmarkEnd w:id="368"/>
      <w:bookmarkEnd w:id="369"/>
      <w:bookmarkEnd w:id="370"/>
      <w:bookmarkEnd w:id="371"/>
      <w:bookmarkEnd w:id="372"/>
      <w:bookmarkEnd w:id="373"/>
    </w:p>
    <w:tbl>
      <w:tblPr>
        <w:tblStyle w:val="2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095" w:type="dxa"/>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项目名称</w:t>
            </w:r>
          </w:p>
        </w:tc>
        <w:tc>
          <w:tcPr>
            <w:tcW w:w="7080" w:type="dxa"/>
            <w:noWrap/>
            <w:vAlign w:val="center"/>
          </w:tcPr>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秦岭国家植物园生物多样性保护项目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095" w:type="dxa"/>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项目编号</w:t>
            </w:r>
          </w:p>
        </w:tc>
        <w:tc>
          <w:tcPr>
            <w:tcW w:w="7080" w:type="dxa"/>
            <w:noWrap/>
            <w:vAlign w:val="center"/>
          </w:tcPr>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DX2022--262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095" w:type="dxa"/>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投标总报价</w:t>
            </w:r>
          </w:p>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（元）</w:t>
            </w:r>
          </w:p>
        </w:tc>
        <w:tc>
          <w:tcPr>
            <w:tcW w:w="7080" w:type="dxa"/>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　</w:t>
            </w:r>
          </w:p>
          <w:p>
            <w:pPr>
              <w:spacing w:line="360" w:lineRule="auto"/>
              <w:jc w:val="left"/>
              <w:rPr>
                <w:rFonts w:ascii="仿宋" w:hAnsi="仿宋" w:eastAsia="仿宋" w:cs="仿宋"/>
                <w:b/>
                <w:bCs/>
                <w:color w:val="auto"/>
                <w:sz w:val="24"/>
                <w:szCs w:val="24"/>
              </w:rPr>
            </w:pPr>
            <w:r>
              <w:rPr>
                <w:rFonts w:hint="eastAsia" w:ascii="仿宋" w:hAnsi="仿宋" w:eastAsia="仿宋" w:cs="仿宋"/>
                <w:b/>
                <w:bCs/>
                <w:color w:val="auto"/>
                <w:sz w:val="24"/>
                <w:szCs w:val="24"/>
              </w:rPr>
              <w:t>大写：</w:t>
            </w:r>
            <w:r>
              <w:rPr>
                <w:rFonts w:hint="eastAsia" w:ascii="仿宋" w:hAnsi="仿宋" w:eastAsia="仿宋" w:cs="仿宋"/>
                <w:color w:val="auto"/>
                <w:sz w:val="24"/>
                <w:szCs w:val="24"/>
                <w:u w:val="single"/>
                <w:lang w:val="en-US" w:eastAsia="zh-CN"/>
              </w:rPr>
              <w:t xml:space="preserve">                               </w:t>
            </w:r>
          </w:p>
          <w:p>
            <w:pPr>
              <w:spacing w:line="360" w:lineRule="auto"/>
              <w:jc w:val="left"/>
              <w:rPr>
                <w:rFonts w:ascii="仿宋" w:hAnsi="仿宋" w:eastAsia="仿宋" w:cs="仿宋"/>
                <w:b/>
                <w:bCs/>
                <w:color w:val="auto"/>
                <w:sz w:val="24"/>
                <w:szCs w:val="24"/>
              </w:rPr>
            </w:pPr>
            <w:r>
              <w:rPr>
                <w:rFonts w:hint="eastAsia" w:ascii="仿宋" w:hAnsi="仿宋" w:eastAsia="仿宋" w:cs="仿宋"/>
                <w:b/>
                <w:bCs/>
                <w:color w:val="auto"/>
                <w:sz w:val="24"/>
                <w:szCs w:val="24"/>
              </w:rPr>
              <w:t>小写：</w:t>
            </w:r>
            <w:r>
              <w:rPr>
                <w:rFonts w:hint="eastAsia" w:ascii="仿宋" w:hAnsi="仿宋" w:eastAsia="仿宋" w:cs="仿宋"/>
                <w:color w:val="auto"/>
                <w:sz w:val="24"/>
                <w:szCs w:val="24"/>
                <w:u w:val="single"/>
                <w:lang w:val="en-US" w:eastAsia="zh-CN"/>
              </w:rPr>
              <w:t xml:space="preserve">                               </w:t>
            </w:r>
          </w:p>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095" w:type="dxa"/>
            <w:noWrap/>
            <w:vAlign w:val="center"/>
          </w:tcPr>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交货期</w:t>
            </w:r>
          </w:p>
        </w:tc>
        <w:tc>
          <w:tcPr>
            <w:tcW w:w="7080" w:type="dxa"/>
            <w:noWrap/>
            <w:vAlign w:val="center"/>
          </w:tcPr>
          <w:p>
            <w:pPr>
              <w:spacing w:line="360" w:lineRule="auto"/>
              <w:jc w:val="center"/>
              <w:rPr>
                <w:rFonts w:ascii="仿宋" w:hAnsi="仿宋" w:eastAsia="仿宋" w:cs="仿宋"/>
                <w:b/>
                <w:bCs/>
                <w:color w:val="auto"/>
                <w:sz w:val="24"/>
                <w:szCs w:val="24"/>
              </w:rPr>
            </w:pPr>
          </w:p>
        </w:tc>
      </w:tr>
    </w:tbl>
    <w:p>
      <w:pPr>
        <w:spacing w:line="360" w:lineRule="auto"/>
        <w:jc w:val="left"/>
        <w:rPr>
          <w:rFonts w:ascii="仿宋" w:hAnsi="仿宋" w:eastAsia="仿宋" w:cs="仿宋"/>
          <w:b/>
          <w:bCs/>
          <w:color w:val="auto"/>
          <w:sz w:val="24"/>
          <w:szCs w:val="24"/>
        </w:rPr>
      </w:pPr>
      <w:r>
        <w:rPr>
          <w:rFonts w:hint="eastAsia" w:ascii="仿宋" w:hAnsi="仿宋" w:eastAsia="仿宋" w:cs="仿宋"/>
          <w:b/>
          <w:bCs/>
          <w:color w:val="auto"/>
          <w:sz w:val="24"/>
          <w:szCs w:val="24"/>
        </w:rPr>
        <w:t>说明：</w:t>
      </w:r>
    </w:p>
    <w:p>
      <w:pPr>
        <w:spacing w:line="360" w:lineRule="auto"/>
        <w:jc w:val="left"/>
        <w:rPr>
          <w:rFonts w:ascii="仿宋" w:hAnsi="仿宋" w:eastAsia="仿宋" w:cs="仿宋"/>
          <w:b/>
          <w:bCs/>
          <w:color w:val="auto"/>
          <w:sz w:val="24"/>
          <w:szCs w:val="24"/>
        </w:rPr>
      </w:pPr>
      <w:r>
        <w:rPr>
          <w:rFonts w:hint="eastAsia" w:ascii="仿宋" w:hAnsi="仿宋" w:eastAsia="仿宋" w:cs="仿宋"/>
          <w:b/>
          <w:bCs/>
          <w:color w:val="auto"/>
          <w:sz w:val="24"/>
          <w:szCs w:val="24"/>
        </w:rPr>
        <w:t>1.本表所列各项数据与招标文件其它地方表述不一致时，以本表为准。</w:t>
      </w:r>
    </w:p>
    <w:p>
      <w:pPr>
        <w:spacing w:line="360" w:lineRule="auto"/>
        <w:jc w:val="left"/>
        <w:rPr>
          <w:rFonts w:ascii="仿宋" w:hAnsi="仿宋" w:eastAsia="仿宋" w:cs="仿宋"/>
          <w:b/>
          <w:bCs/>
          <w:color w:val="auto"/>
          <w:sz w:val="24"/>
          <w:szCs w:val="24"/>
        </w:rPr>
      </w:pPr>
      <w:r>
        <w:rPr>
          <w:rFonts w:hint="eastAsia" w:ascii="仿宋" w:hAnsi="仿宋" w:eastAsia="仿宋" w:cs="仿宋"/>
          <w:b/>
          <w:bCs/>
          <w:color w:val="auto"/>
          <w:sz w:val="24"/>
          <w:szCs w:val="24"/>
        </w:rPr>
        <w:t>2.投标总报价以元为单位，四舍五入精确到小数点后两位。</w:t>
      </w:r>
    </w:p>
    <w:p>
      <w:pPr>
        <w:widowControl/>
        <w:spacing w:line="360" w:lineRule="auto"/>
        <w:ind w:firstLine="482" w:firstLineChars="200"/>
        <w:rPr>
          <w:rFonts w:ascii="仿宋" w:hAnsi="仿宋" w:eastAsia="仿宋" w:cs="仿宋"/>
          <w:b/>
          <w:bCs/>
          <w:color w:val="auto"/>
          <w:kern w:val="0"/>
          <w:sz w:val="24"/>
          <w:szCs w:val="24"/>
        </w:rPr>
      </w:pP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jc w:val="center"/>
        <w:rPr>
          <w:rFonts w:ascii="仿宋" w:hAnsi="仿宋" w:eastAsia="仿宋" w:cs="仿宋"/>
          <w:b/>
          <w:bCs/>
          <w:color w:val="auto"/>
          <w:sz w:val="32"/>
          <w:szCs w:val="15"/>
          <w:lang w:val="zh-CN"/>
        </w:rPr>
      </w:pPr>
      <w:bookmarkStart w:id="377" w:name="_Toc5579"/>
      <w:bookmarkStart w:id="378" w:name="_Toc32414"/>
      <w:bookmarkStart w:id="379" w:name="_Toc28835"/>
      <w:bookmarkStart w:id="380" w:name="_Toc5122"/>
      <w:bookmarkStart w:id="381" w:name="_Toc17040"/>
      <w:bookmarkStart w:id="382" w:name="_Toc23870"/>
      <w:bookmarkStart w:id="383" w:name="_Toc27212"/>
      <w:bookmarkStart w:id="384" w:name="_Toc27541"/>
      <w:bookmarkStart w:id="385" w:name="_Toc16973"/>
      <w:r>
        <w:rPr>
          <w:rFonts w:hint="eastAsia" w:ascii="仿宋" w:hAnsi="仿宋" w:eastAsia="仿宋" w:cs="仿宋"/>
          <w:b/>
          <w:bCs/>
          <w:color w:val="auto"/>
          <w:sz w:val="32"/>
          <w:szCs w:val="15"/>
          <w:lang w:val="zh-CN"/>
        </w:rPr>
        <w:br w:type="page"/>
      </w:r>
      <w:r>
        <w:rPr>
          <w:rFonts w:hint="eastAsia" w:ascii="仿宋" w:hAnsi="仿宋" w:eastAsia="仿宋" w:cs="仿宋"/>
          <w:b/>
          <w:bCs/>
          <w:color w:val="auto"/>
          <w:sz w:val="32"/>
          <w:szCs w:val="15"/>
          <w:lang w:val="zh-CN"/>
        </w:rPr>
        <w:t>三、分项报价表</w:t>
      </w:r>
    </w:p>
    <w:p>
      <w:pPr>
        <w:ind w:left="420" w:leftChars="200"/>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根据采购内容自行编制</w:t>
      </w:r>
    </w:p>
    <w:p>
      <w:pPr>
        <w:pStyle w:val="19"/>
        <w:rPr>
          <w:rFonts w:ascii="仿宋" w:hAnsi="仿宋" w:eastAsia="仿宋" w:cs="仿宋"/>
          <w:color w:val="auto"/>
          <w:sz w:val="24"/>
          <w:szCs w:val="24"/>
        </w:rPr>
      </w:pPr>
    </w:p>
    <w:p>
      <w:pPr>
        <w:pStyle w:val="19"/>
        <w:rPr>
          <w:rFonts w:ascii="仿宋" w:hAnsi="仿宋" w:eastAsia="仿宋" w:cs="仿宋"/>
          <w:color w:val="auto"/>
          <w:sz w:val="24"/>
          <w:szCs w:val="24"/>
        </w:rPr>
      </w:pPr>
    </w:p>
    <w:p>
      <w:pPr>
        <w:pStyle w:val="19"/>
        <w:rPr>
          <w:rFonts w:ascii="仿宋" w:hAnsi="仿宋" w:eastAsia="仿宋" w:cs="仿宋"/>
          <w:color w:val="auto"/>
          <w:sz w:val="24"/>
          <w:szCs w:val="24"/>
        </w:rPr>
      </w:pP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pageBreakBefore/>
        <w:spacing w:line="360" w:lineRule="auto"/>
        <w:jc w:val="center"/>
        <w:outlineLvl w:val="1"/>
        <w:rPr>
          <w:rFonts w:ascii="仿宋" w:hAnsi="仿宋" w:eastAsia="仿宋" w:cs="仿宋"/>
          <w:b/>
          <w:bCs/>
          <w:color w:val="auto"/>
          <w:sz w:val="32"/>
          <w:szCs w:val="15"/>
          <w:lang w:val="zh-CN"/>
        </w:rPr>
      </w:pPr>
      <w:bookmarkStart w:id="386" w:name="_Toc21641"/>
      <w:r>
        <w:rPr>
          <w:rFonts w:hint="eastAsia" w:ascii="仿宋" w:hAnsi="仿宋" w:eastAsia="仿宋" w:cs="仿宋"/>
          <w:b/>
          <w:bCs/>
          <w:color w:val="auto"/>
          <w:sz w:val="32"/>
          <w:szCs w:val="15"/>
          <w:lang w:val="zh-CN"/>
        </w:rPr>
        <w:t>四、供应商资格证明文件</w:t>
      </w:r>
      <w:bookmarkEnd w:id="386"/>
    </w:p>
    <w:p>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（1）基本资格条件：符合《中华人民共和国政府采购法》第二十二条的规定；</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1、提供统一社会信用代码的营业执</w:t>
      </w:r>
      <w:r>
        <w:rPr>
          <w:rFonts w:hint="eastAsia" w:ascii="仿宋" w:hAnsi="仿宋" w:eastAsia="仿宋" w:cs="仿宋"/>
          <w:color w:val="auto"/>
          <w:sz w:val="24"/>
          <w:szCs w:val="24"/>
          <w:lang w:eastAsia="zh-CN"/>
        </w:rPr>
        <w:t>照</w:t>
      </w:r>
      <w:r>
        <w:rPr>
          <w:rFonts w:hint="eastAsia" w:ascii="仿宋" w:hAnsi="仿宋" w:eastAsia="仿宋" w:cs="仿宋"/>
          <w:color w:val="auto"/>
          <w:sz w:val="24"/>
          <w:szCs w:val="24"/>
        </w:rPr>
        <w:t xml:space="preserve">或其他组织经营的合法凭证或自然人的提供身份证明文件；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2、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3、税收缴纳证明：</w:t>
      </w:r>
      <w:r>
        <w:rPr>
          <w:rFonts w:hint="eastAsia" w:ascii="仿宋" w:hAnsi="仿宋" w:eastAsia="仿宋" w:cs="仿宋"/>
          <w:color w:val="auto"/>
          <w:sz w:val="24"/>
          <w:szCs w:val="24"/>
          <w:lang w:eastAsia="zh-CN"/>
        </w:rPr>
        <w:t>提供已缴纳的开标截止日前连续6个月的纳税证明或完税证明</w:t>
      </w:r>
      <w:r>
        <w:rPr>
          <w:rFonts w:hint="eastAsia" w:ascii="仿宋" w:hAnsi="仿宋" w:eastAsia="仿宋" w:cs="仿宋"/>
          <w:color w:val="auto"/>
          <w:sz w:val="24"/>
          <w:szCs w:val="24"/>
        </w:rPr>
        <w:t>，纳税证明或完税证明上应有代收机构或税务机关的公章或业务专用章。依法免税的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应提供相关文件证明；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4、社会保障资金缴纳证明：提供已缴存的</w:t>
      </w:r>
      <w:r>
        <w:rPr>
          <w:rFonts w:hint="eastAsia" w:ascii="仿宋" w:hAnsi="仿宋" w:eastAsia="仿宋" w:cs="仿宋"/>
          <w:color w:val="auto"/>
          <w:sz w:val="24"/>
          <w:szCs w:val="24"/>
          <w:lang w:eastAsia="zh-CN"/>
        </w:rPr>
        <w:t>开标截止日前连续6个月的</w:t>
      </w:r>
      <w:r>
        <w:rPr>
          <w:rFonts w:hint="eastAsia" w:ascii="仿宋" w:hAnsi="仿宋" w:eastAsia="仿宋" w:cs="仿宋"/>
          <w:color w:val="auto"/>
          <w:sz w:val="24"/>
          <w:szCs w:val="24"/>
        </w:rPr>
        <w:t>社会保障资金缴存单据或社保机构开具的社会保险参保缴费情况证明。成立时间至提交投标文件截止时间不足一个月或依法不需要缴纳社会保障资金的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应提供相关文件证明；</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5、出具履行合同所必需的设备和专业技术能力的书面声明；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6、出具参加本次政府采购活动的书面声明； </w:t>
      </w:r>
    </w:p>
    <w:p>
      <w:pPr>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 xml:space="preserve">（2）特定资格条件：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法定代表人授权书及被授权人身份证，并且提供有效的劳动合同或开标截止前六个月内任意一个月养老保险缴纳证明（法人参加只需提供法定代表人身份证明）</w:t>
      </w:r>
      <w:r>
        <w:rPr>
          <w:rFonts w:hint="eastAsia" w:ascii="仿宋" w:hAnsi="仿宋" w:eastAsia="仿宋" w:cs="仿宋"/>
          <w:color w:val="auto"/>
          <w:sz w:val="24"/>
          <w:szCs w:val="24"/>
        </w:rPr>
        <w:t>；</w:t>
      </w:r>
    </w:p>
    <w:p>
      <w:pPr>
        <w:keepNext w:val="0"/>
        <w:keepLines w:val="0"/>
        <w:kinsoku/>
        <w:wordWrap/>
        <w:overflowPunct/>
        <w:topLinePunct w:val="0"/>
        <w:bidi w:val="0"/>
        <w:spacing w:line="360" w:lineRule="auto"/>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2、符合《财政部关于在政府采购活动中查询及使用信用记录有关问题的通知》（财库【2016】125号）文件中信用查询的要求（此项由采购人与采购代理单位在开标时查询，以现场查询为准）；</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3、投标</w:t>
      </w:r>
      <w:r>
        <w:rPr>
          <w:rFonts w:hint="eastAsia" w:ascii="仿宋" w:hAnsi="仿宋" w:eastAsia="仿宋" w:cs="仿宋"/>
          <w:color w:val="auto"/>
          <w:sz w:val="24"/>
          <w:szCs w:val="24"/>
        </w:rPr>
        <w:t>保证金转账凭证（复印件/扫描件加盖供应商红色公章）附在</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w:t>
      </w: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b/>
          <w:bCs/>
          <w:color w:val="auto"/>
          <w:sz w:val="24"/>
          <w:szCs w:val="24"/>
          <w:lang w:val="zh-CN"/>
        </w:rPr>
        <w:t>四、供应商资格证明文件</w:t>
      </w:r>
      <w:r>
        <w:rPr>
          <w:rFonts w:hint="eastAsia" w:ascii="仿宋" w:hAnsi="仿宋" w:eastAsia="仿宋" w:cs="仿宋"/>
          <w:b/>
          <w:bCs/>
          <w:color w:val="auto"/>
          <w:sz w:val="24"/>
          <w:szCs w:val="24"/>
        </w:rPr>
        <w:t>”单独胶装成册1本，与投标文件正本一同密封。</w:t>
      </w:r>
    </w:p>
    <w:p>
      <w:pPr>
        <w:tabs>
          <w:tab w:val="left" w:pos="9030"/>
        </w:tabs>
        <w:snapToGrid w:val="0"/>
        <w:spacing w:line="360" w:lineRule="auto"/>
        <w:ind w:right="-65" w:firstLine="480" w:firstLineChars="200"/>
        <w:rPr>
          <w:rFonts w:ascii="仿宋" w:hAnsi="仿宋" w:eastAsia="仿宋" w:cs="仿宋"/>
          <w:color w:val="auto"/>
          <w:kern w:val="0"/>
          <w:sz w:val="24"/>
          <w:szCs w:val="24"/>
        </w:rPr>
      </w:pPr>
    </w:p>
    <w:p>
      <w:pPr>
        <w:pageBreakBefore/>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32"/>
          <w:szCs w:val="32"/>
          <w:lang w:eastAsia="zh-CN"/>
        </w:rPr>
        <w:t>供应商</w:t>
      </w:r>
      <w:r>
        <w:rPr>
          <w:rFonts w:hint="eastAsia" w:ascii="仿宋" w:hAnsi="仿宋" w:eastAsia="仿宋" w:cs="仿宋"/>
          <w:b/>
          <w:bCs/>
          <w:color w:val="auto"/>
          <w:sz w:val="32"/>
          <w:szCs w:val="32"/>
        </w:rPr>
        <w:t>基本情况表</w:t>
      </w: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tc>
        <w:tc>
          <w:tcPr>
            <w:tcW w:w="3630" w:type="dxa"/>
            <w:gridSpan w:val="3"/>
            <w:noWrap/>
            <w:vAlign w:val="center"/>
          </w:tcPr>
          <w:p>
            <w:pPr>
              <w:topLinePunct/>
              <w:spacing w:line="360" w:lineRule="auto"/>
              <w:jc w:val="center"/>
              <w:rPr>
                <w:rFonts w:ascii="仿宋" w:hAnsi="仿宋" w:eastAsia="仿宋" w:cs="仿宋"/>
                <w:color w:val="auto"/>
                <w:sz w:val="24"/>
                <w:szCs w:val="24"/>
              </w:rPr>
            </w:pPr>
          </w:p>
        </w:tc>
        <w:tc>
          <w:tcPr>
            <w:tcW w:w="1620" w:type="dxa"/>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法定代表人</w:t>
            </w:r>
          </w:p>
        </w:tc>
        <w:tc>
          <w:tcPr>
            <w:tcW w:w="1657" w:type="dxa"/>
            <w:noWrap/>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统一</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社会信用代码</w:t>
            </w:r>
          </w:p>
        </w:tc>
        <w:tc>
          <w:tcPr>
            <w:tcW w:w="3630" w:type="dxa"/>
            <w:gridSpan w:val="3"/>
            <w:noWrap/>
            <w:vAlign w:val="center"/>
          </w:tcPr>
          <w:p>
            <w:pPr>
              <w:topLinePunct/>
              <w:spacing w:line="360" w:lineRule="auto"/>
              <w:jc w:val="center"/>
              <w:rPr>
                <w:rFonts w:ascii="仿宋" w:hAnsi="仿宋" w:eastAsia="仿宋" w:cs="仿宋"/>
                <w:color w:val="auto"/>
                <w:sz w:val="24"/>
                <w:szCs w:val="24"/>
              </w:rPr>
            </w:pPr>
          </w:p>
        </w:tc>
        <w:tc>
          <w:tcPr>
            <w:tcW w:w="1620" w:type="dxa"/>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邮政编码</w:t>
            </w:r>
          </w:p>
        </w:tc>
        <w:tc>
          <w:tcPr>
            <w:tcW w:w="1657" w:type="dxa"/>
            <w:noWrap/>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上年营业收入</w:t>
            </w:r>
          </w:p>
        </w:tc>
        <w:tc>
          <w:tcPr>
            <w:tcW w:w="3630" w:type="dxa"/>
            <w:gridSpan w:val="3"/>
            <w:noWrap/>
            <w:vAlign w:val="center"/>
          </w:tcPr>
          <w:p>
            <w:pPr>
              <w:topLinePunct/>
              <w:spacing w:line="360" w:lineRule="auto"/>
              <w:jc w:val="center"/>
              <w:rPr>
                <w:rFonts w:ascii="仿宋" w:hAnsi="仿宋" w:eastAsia="仿宋" w:cs="仿宋"/>
                <w:color w:val="auto"/>
                <w:sz w:val="24"/>
                <w:szCs w:val="24"/>
              </w:rPr>
            </w:pPr>
          </w:p>
        </w:tc>
        <w:tc>
          <w:tcPr>
            <w:tcW w:w="1620" w:type="dxa"/>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员工总人数</w:t>
            </w:r>
          </w:p>
        </w:tc>
        <w:tc>
          <w:tcPr>
            <w:tcW w:w="1657" w:type="dxa"/>
            <w:noWrap/>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noWrap/>
            <w:vAlign w:val="center"/>
          </w:tcPr>
          <w:p>
            <w:pPr>
              <w:topLinePunct/>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营业执</w:t>
            </w:r>
            <w:r>
              <w:rPr>
                <w:rFonts w:hint="eastAsia" w:ascii="仿宋" w:hAnsi="仿宋" w:eastAsia="仿宋" w:cs="仿宋"/>
                <w:color w:val="auto"/>
                <w:sz w:val="24"/>
                <w:szCs w:val="24"/>
                <w:lang w:eastAsia="zh-CN"/>
              </w:rPr>
              <w:t>照</w:t>
            </w:r>
          </w:p>
        </w:tc>
        <w:tc>
          <w:tcPr>
            <w:tcW w:w="1592" w:type="dxa"/>
            <w:gridSpan w:val="2"/>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注册号码</w:t>
            </w:r>
          </w:p>
        </w:tc>
        <w:tc>
          <w:tcPr>
            <w:tcW w:w="2205" w:type="dxa"/>
            <w:noWrap/>
            <w:vAlign w:val="center"/>
          </w:tcPr>
          <w:p>
            <w:pPr>
              <w:topLinePunct/>
              <w:spacing w:line="360" w:lineRule="auto"/>
              <w:jc w:val="center"/>
              <w:rPr>
                <w:rFonts w:ascii="仿宋" w:hAnsi="仿宋" w:eastAsia="仿宋" w:cs="仿宋"/>
                <w:color w:val="auto"/>
                <w:sz w:val="24"/>
                <w:szCs w:val="24"/>
              </w:rPr>
            </w:pPr>
          </w:p>
        </w:tc>
        <w:tc>
          <w:tcPr>
            <w:tcW w:w="1425" w:type="dxa"/>
            <w:gridSpan w:val="2"/>
            <w:noWrap/>
            <w:vAlign w:val="center"/>
          </w:tcPr>
          <w:p>
            <w:pPr>
              <w:topLinePunct/>
              <w:spacing w:line="360" w:lineRule="auto"/>
              <w:rPr>
                <w:rFonts w:ascii="仿宋" w:hAnsi="仿宋" w:eastAsia="仿宋" w:cs="仿宋"/>
                <w:color w:val="auto"/>
                <w:sz w:val="24"/>
                <w:szCs w:val="24"/>
              </w:rPr>
            </w:pPr>
            <w:r>
              <w:rPr>
                <w:rFonts w:hint="eastAsia" w:ascii="仿宋" w:hAnsi="仿宋" w:eastAsia="仿宋" w:cs="仿宋"/>
                <w:color w:val="auto"/>
                <w:sz w:val="24"/>
                <w:szCs w:val="24"/>
              </w:rPr>
              <w:t>注册地址</w:t>
            </w:r>
          </w:p>
        </w:tc>
        <w:tc>
          <w:tcPr>
            <w:tcW w:w="3277" w:type="dxa"/>
            <w:gridSpan w:val="2"/>
            <w:noWrap/>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ign w:val="center"/>
          </w:tcPr>
          <w:p>
            <w:pPr>
              <w:topLinePunct/>
              <w:spacing w:line="360" w:lineRule="auto"/>
              <w:jc w:val="center"/>
              <w:rPr>
                <w:rFonts w:ascii="仿宋" w:hAnsi="仿宋" w:eastAsia="仿宋" w:cs="仿宋"/>
                <w:color w:val="auto"/>
                <w:sz w:val="24"/>
                <w:szCs w:val="24"/>
              </w:rPr>
            </w:pPr>
          </w:p>
        </w:tc>
        <w:tc>
          <w:tcPr>
            <w:tcW w:w="1592" w:type="dxa"/>
            <w:gridSpan w:val="2"/>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发证机关</w:t>
            </w:r>
          </w:p>
        </w:tc>
        <w:tc>
          <w:tcPr>
            <w:tcW w:w="2205" w:type="dxa"/>
            <w:noWrap/>
            <w:vAlign w:val="center"/>
          </w:tcPr>
          <w:p>
            <w:pPr>
              <w:topLinePunct/>
              <w:spacing w:line="360" w:lineRule="auto"/>
              <w:jc w:val="center"/>
              <w:rPr>
                <w:rFonts w:ascii="仿宋" w:hAnsi="仿宋" w:eastAsia="仿宋" w:cs="仿宋"/>
                <w:color w:val="auto"/>
                <w:sz w:val="24"/>
                <w:szCs w:val="24"/>
              </w:rPr>
            </w:pPr>
          </w:p>
        </w:tc>
        <w:tc>
          <w:tcPr>
            <w:tcW w:w="1425" w:type="dxa"/>
            <w:gridSpan w:val="2"/>
            <w:noWrap/>
            <w:vAlign w:val="center"/>
          </w:tcPr>
          <w:p>
            <w:pPr>
              <w:topLinePunct/>
              <w:spacing w:line="360" w:lineRule="auto"/>
              <w:rPr>
                <w:rFonts w:ascii="仿宋" w:hAnsi="仿宋" w:eastAsia="仿宋" w:cs="仿宋"/>
                <w:color w:val="auto"/>
                <w:sz w:val="24"/>
                <w:szCs w:val="24"/>
              </w:rPr>
            </w:pPr>
            <w:r>
              <w:rPr>
                <w:rFonts w:hint="eastAsia" w:ascii="仿宋" w:hAnsi="仿宋" w:eastAsia="仿宋" w:cs="仿宋"/>
                <w:color w:val="auto"/>
                <w:sz w:val="24"/>
                <w:szCs w:val="24"/>
              </w:rPr>
              <w:t>发证日期</w:t>
            </w:r>
          </w:p>
        </w:tc>
        <w:tc>
          <w:tcPr>
            <w:tcW w:w="3277" w:type="dxa"/>
            <w:gridSpan w:val="2"/>
            <w:noWrap/>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ign w:val="center"/>
          </w:tcPr>
          <w:p>
            <w:pPr>
              <w:topLinePunct/>
              <w:spacing w:line="360" w:lineRule="auto"/>
              <w:jc w:val="center"/>
              <w:rPr>
                <w:rFonts w:ascii="仿宋" w:hAnsi="仿宋" w:eastAsia="仿宋" w:cs="仿宋"/>
                <w:color w:val="auto"/>
                <w:sz w:val="24"/>
                <w:szCs w:val="24"/>
              </w:rPr>
            </w:pPr>
          </w:p>
        </w:tc>
        <w:tc>
          <w:tcPr>
            <w:tcW w:w="1592" w:type="dxa"/>
            <w:gridSpan w:val="2"/>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营业范围</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（主营）</w:t>
            </w:r>
          </w:p>
        </w:tc>
        <w:tc>
          <w:tcPr>
            <w:tcW w:w="6907" w:type="dxa"/>
            <w:gridSpan w:val="5"/>
            <w:noWrap/>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ign w:val="center"/>
          </w:tcPr>
          <w:p>
            <w:pPr>
              <w:topLinePunct/>
              <w:spacing w:line="360" w:lineRule="auto"/>
              <w:jc w:val="center"/>
              <w:rPr>
                <w:rFonts w:ascii="仿宋" w:hAnsi="仿宋" w:eastAsia="仿宋" w:cs="仿宋"/>
                <w:color w:val="auto"/>
                <w:sz w:val="24"/>
                <w:szCs w:val="24"/>
              </w:rPr>
            </w:pPr>
          </w:p>
        </w:tc>
        <w:tc>
          <w:tcPr>
            <w:tcW w:w="1592" w:type="dxa"/>
            <w:gridSpan w:val="2"/>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营业范围</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（兼营）</w:t>
            </w:r>
          </w:p>
        </w:tc>
        <w:tc>
          <w:tcPr>
            <w:tcW w:w="6907" w:type="dxa"/>
            <w:gridSpan w:val="5"/>
            <w:noWrap/>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基本账户开户行及账号</w:t>
            </w:r>
          </w:p>
        </w:tc>
        <w:tc>
          <w:tcPr>
            <w:tcW w:w="6907" w:type="dxa"/>
            <w:gridSpan w:val="5"/>
            <w:noWrap/>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资产总额（万元）</w:t>
            </w:r>
          </w:p>
        </w:tc>
        <w:tc>
          <w:tcPr>
            <w:tcW w:w="6907" w:type="dxa"/>
            <w:gridSpan w:val="5"/>
            <w:noWrap/>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资质名称</w:t>
            </w:r>
          </w:p>
        </w:tc>
        <w:tc>
          <w:tcPr>
            <w:tcW w:w="2403" w:type="dxa"/>
            <w:gridSpan w:val="2"/>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等级</w:t>
            </w:r>
          </w:p>
        </w:tc>
        <w:tc>
          <w:tcPr>
            <w:tcW w:w="1227" w:type="dxa"/>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发证机关</w:t>
            </w:r>
          </w:p>
        </w:tc>
        <w:tc>
          <w:tcPr>
            <w:tcW w:w="3277" w:type="dxa"/>
            <w:gridSpan w:val="2"/>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p>
        </w:tc>
        <w:tc>
          <w:tcPr>
            <w:tcW w:w="2403" w:type="dxa"/>
            <w:gridSpan w:val="2"/>
            <w:noWrap/>
            <w:vAlign w:val="center"/>
          </w:tcPr>
          <w:p>
            <w:pPr>
              <w:topLinePunct/>
              <w:spacing w:line="360" w:lineRule="auto"/>
              <w:jc w:val="center"/>
              <w:rPr>
                <w:rFonts w:ascii="仿宋" w:hAnsi="仿宋" w:eastAsia="仿宋" w:cs="仿宋"/>
                <w:color w:val="auto"/>
                <w:sz w:val="24"/>
                <w:szCs w:val="24"/>
              </w:rPr>
            </w:pPr>
          </w:p>
        </w:tc>
        <w:tc>
          <w:tcPr>
            <w:tcW w:w="1227" w:type="dxa"/>
            <w:noWrap/>
            <w:vAlign w:val="center"/>
          </w:tcPr>
          <w:p>
            <w:pPr>
              <w:topLinePunct/>
              <w:spacing w:line="360" w:lineRule="auto"/>
              <w:jc w:val="center"/>
              <w:rPr>
                <w:rFonts w:ascii="仿宋" w:hAnsi="仿宋" w:eastAsia="仿宋" w:cs="仿宋"/>
                <w:color w:val="auto"/>
                <w:sz w:val="24"/>
                <w:szCs w:val="24"/>
              </w:rPr>
            </w:pPr>
          </w:p>
        </w:tc>
        <w:tc>
          <w:tcPr>
            <w:tcW w:w="3277" w:type="dxa"/>
            <w:gridSpan w:val="2"/>
            <w:noWrap/>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ign w:val="center"/>
          </w:tcPr>
          <w:p>
            <w:pPr>
              <w:topLinePunct/>
              <w:spacing w:line="360" w:lineRule="auto"/>
              <w:jc w:val="center"/>
              <w:rPr>
                <w:rFonts w:ascii="仿宋" w:hAnsi="仿宋" w:eastAsia="仿宋" w:cs="仿宋"/>
                <w:color w:val="auto"/>
                <w:sz w:val="24"/>
                <w:szCs w:val="24"/>
              </w:rPr>
            </w:pPr>
          </w:p>
        </w:tc>
        <w:tc>
          <w:tcPr>
            <w:tcW w:w="2403" w:type="dxa"/>
            <w:gridSpan w:val="2"/>
            <w:noWrap/>
            <w:vAlign w:val="center"/>
          </w:tcPr>
          <w:p>
            <w:pPr>
              <w:topLinePunct/>
              <w:spacing w:line="360" w:lineRule="auto"/>
              <w:jc w:val="center"/>
              <w:rPr>
                <w:rFonts w:ascii="仿宋" w:hAnsi="仿宋" w:eastAsia="仿宋" w:cs="仿宋"/>
                <w:color w:val="auto"/>
                <w:sz w:val="24"/>
                <w:szCs w:val="24"/>
              </w:rPr>
            </w:pPr>
          </w:p>
        </w:tc>
        <w:tc>
          <w:tcPr>
            <w:tcW w:w="1227" w:type="dxa"/>
            <w:noWrap/>
            <w:vAlign w:val="center"/>
          </w:tcPr>
          <w:p>
            <w:pPr>
              <w:topLinePunct/>
              <w:spacing w:line="360" w:lineRule="auto"/>
              <w:jc w:val="center"/>
              <w:rPr>
                <w:rFonts w:ascii="仿宋" w:hAnsi="仿宋" w:eastAsia="仿宋" w:cs="仿宋"/>
                <w:color w:val="auto"/>
                <w:sz w:val="24"/>
                <w:szCs w:val="24"/>
              </w:rPr>
            </w:pPr>
          </w:p>
        </w:tc>
        <w:tc>
          <w:tcPr>
            <w:tcW w:w="3277" w:type="dxa"/>
            <w:gridSpan w:val="2"/>
            <w:noWrap/>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noWrap/>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c>
          <w:tcPr>
            <w:tcW w:w="7960" w:type="dxa"/>
            <w:gridSpan w:val="6"/>
            <w:noWrap/>
            <w:vAlign w:val="center"/>
          </w:tcPr>
          <w:p>
            <w:pPr>
              <w:topLinePunct/>
              <w:spacing w:line="360" w:lineRule="auto"/>
              <w:rPr>
                <w:rFonts w:ascii="仿宋" w:hAnsi="仿宋" w:eastAsia="仿宋" w:cs="仿宋"/>
                <w:color w:val="auto"/>
                <w:sz w:val="24"/>
                <w:szCs w:val="24"/>
              </w:rPr>
            </w:pPr>
          </w:p>
        </w:tc>
      </w:tr>
    </w:tbl>
    <w:p>
      <w:pPr>
        <w:autoSpaceDE w:val="0"/>
        <w:autoSpaceDN w:val="0"/>
        <w:adjustRightInd w:val="0"/>
        <w:snapToGrid w:val="0"/>
        <w:spacing w:beforeLines="50"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说明：企业类型指大型、中型、小型、微型；上年营业收入、资产总额要与财务报表中的数据一致；资质指特定条件要求提供的资质。</w:t>
      </w: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adjustRightInd w:val="0"/>
        <w:snapToGrid w:val="0"/>
        <w:spacing w:line="360" w:lineRule="auto"/>
        <w:ind w:firstLine="3840" w:firstLineChars="1600"/>
        <w:rPr>
          <w:rFonts w:ascii="仿宋" w:hAnsi="仿宋" w:eastAsia="仿宋" w:cs="仿宋"/>
          <w:color w:val="auto"/>
          <w:sz w:val="24"/>
          <w:szCs w:val="24"/>
          <w:u w:val="single"/>
        </w:rPr>
      </w:pPr>
    </w:p>
    <w:p>
      <w:pPr>
        <w:autoSpaceDE w:val="0"/>
        <w:autoSpaceDN w:val="0"/>
        <w:adjustRightInd w:val="0"/>
        <w:snapToGrid w:val="0"/>
        <w:spacing w:before="120" w:line="360" w:lineRule="auto"/>
        <w:jc w:val="center"/>
        <w:outlineLvl w:val="2"/>
        <w:rPr>
          <w:rFonts w:ascii="仿宋" w:hAnsi="仿宋" w:eastAsia="仿宋" w:cs="仿宋"/>
          <w:color w:val="auto"/>
          <w:sz w:val="24"/>
          <w:szCs w:val="24"/>
        </w:rPr>
      </w:pPr>
      <w:r>
        <w:rPr>
          <w:rFonts w:hint="eastAsia" w:ascii="仿宋" w:hAnsi="仿宋" w:eastAsia="仿宋" w:cs="仿宋"/>
          <w:color w:val="auto"/>
          <w:sz w:val="24"/>
          <w:szCs w:val="24"/>
        </w:rPr>
        <w:br w:type="page"/>
      </w:r>
      <w:bookmarkStart w:id="387" w:name="_Toc30017"/>
      <w:bookmarkStart w:id="388" w:name="_Toc8313"/>
      <w:bookmarkStart w:id="389" w:name="_Toc10169"/>
      <w:bookmarkStart w:id="390" w:name="_Toc495681405"/>
      <w:bookmarkStart w:id="391" w:name="_Toc27035"/>
      <w:bookmarkStart w:id="392" w:name="_Toc495908047"/>
      <w:bookmarkStart w:id="393" w:name="_Toc495681532"/>
      <w:bookmarkStart w:id="394" w:name="_Toc495681251"/>
      <w:bookmarkStart w:id="395" w:name="_Toc31488"/>
      <w:bookmarkStart w:id="396" w:name="_Toc495671262"/>
      <w:r>
        <w:rPr>
          <w:rFonts w:hint="eastAsia" w:ascii="仿宋" w:hAnsi="仿宋" w:eastAsia="仿宋" w:cs="仿宋"/>
          <w:b/>
          <w:bCs/>
          <w:color w:val="auto"/>
          <w:sz w:val="28"/>
          <w:szCs w:val="28"/>
        </w:rPr>
        <w:t>（一）提供统一社会信用代码的营业执</w:t>
      </w:r>
      <w:r>
        <w:rPr>
          <w:rFonts w:hint="eastAsia" w:ascii="仿宋" w:hAnsi="仿宋" w:eastAsia="仿宋" w:cs="仿宋"/>
          <w:b/>
          <w:bCs/>
          <w:color w:val="auto"/>
          <w:sz w:val="28"/>
          <w:szCs w:val="28"/>
          <w:lang w:eastAsia="zh-CN"/>
        </w:rPr>
        <w:t>照</w:t>
      </w:r>
      <w:r>
        <w:rPr>
          <w:rFonts w:hint="eastAsia" w:ascii="仿宋" w:hAnsi="仿宋" w:eastAsia="仿宋" w:cs="仿宋"/>
          <w:b/>
          <w:bCs/>
          <w:color w:val="auto"/>
          <w:sz w:val="28"/>
          <w:szCs w:val="28"/>
        </w:rPr>
        <w:t>或其他组织经营的合法凭证或自然人的提供身份证明文件</w:t>
      </w:r>
      <w:bookmarkEnd w:id="387"/>
      <w:bookmarkEnd w:id="388"/>
      <w:bookmarkEnd w:id="389"/>
    </w:p>
    <w:bookmarkEnd w:id="390"/>
    <w:bookmarkEnd w:id="391"/>
    <w:bookmarkEnd w:id="392"/>
    <w:bookmarkEnd w:id="393"/>
    <w:bookmarkEnd w:id="394"/>
    <w:bookmarkEnd w:id="395"/>
    <w:bookmarkEnd w:id="396"/>
    <w:p>
      <w:pPr>
        <w:pStyle w:val="19"/>
        <w:jc w:val="center"/>
        <w:rPr>
          <w:rFonts w:hint="eastAsia" w:ascii="仿宋" w:hAnsi="仿宋" w:eastAsia="仿宋" w:cs="仿宋"/>
          <w:color w:val="auto"/>
          <w:sz w:val="24"/>
          <w:szCs w:val="24"/>
        </w:rPr>
      </w:pPr>
    </w:p>
    <w:p>
      <w:pPr>
        <w:pStyle w:val="19"/>
        <w:jc w:val="center"/>
        <w:rPr>
          <w:rFonts w:ascii="仿宋" w:hAnsi="仿宋" w:eastAsia="仿宋" w:cs="仿宋"/>
          <w:b/>
          <w:bCs/>
          <w:color w:val="auto"/>
          <w:sz w:val="28"/>
          <w:szCs w:val="28"/>
        </w:rPr>
      </w:pPr>
      <w:r>
        <w:rPr>
          <w:rFonts w:hint="eastAsia" w:ascii="仿宋" w:hAnsi="仿宋" w:eastAsia="仿宋" w:cs="仿宋"/>
          <w:color w:val="auto"/>
          <w:sz w:val="24"/>
          <w:szCs w:val="24"/>
        </w:rPr>
        <w:t>提供扫描件或复印件加盖单位公章</w:t>
      </w:r>
    </w:p>
    <w:p>
      <w:pPr>
        <w:autoSpaceDE w:val="0"/>
        <w:autoSpaceDN w:val="0"/>
        <w:adjustRightInd w:val="0"/>
        <w:snapToGrid w:val="0"/>
        <w:spacing w:beforeLines="50" w:line="360" w:lineRule="auto"/>
        <w:ind w:firstLine="480" w:firstLineChars="200"/>
        <w:jc w:val="center"/>
        <w:rPr>
          <w:rFonts w:ascii="仿宋" w:hAnsi="仿宋" w:eastAsia="仿宋" w:cs="仿宋"/>
          <w:color w:val="auto"/>
          <w:sz w:val="24"/>
          <w:szCs w:val="24"/>
        </w:rPr>
      </w:pPr>
    </w:p>
    <w:p>
      <w:pPr>
        <w:pageBreakBefore/>
        <w:spacing w:line="360" w:lineRule="auto"/>
        <w:ind w:left="0" w:leftChars="0" w:firstLine="0" w:firstLineChars="0"/>
        <w:jc w:val="center"/>
        <w:outlineLvl w:val="2"/>
        <w:rPr>
          <w:rFonts w:ascii="仿宋" w:hAnsi="仿宋" w:eastAsia="仿宋" w:cs="仿宋"/>
          <w:b/>
          <w:bCs/>
          <w:color w:val="auto"/>
          <w:sz w:val="28"/>
          <w:szCs w:val="28"/>
        </w:rPr>
      </w:pPr>
      <w:bookmarkStart w:id="397" w:name="_Toc25217"/>
      <w:bookmarkStart w:id="398" w:name="_Toc21316"/>
      <w:bookmarkStart w:id="399" w:name="_Toc4584"/>
      <w:bookmarkStart w:id="400" w:name="_Toc894"/>
      <w:bookmarkStart w:id="401" w:name="_Toc19057"/>
      <w:bookmarkStart w:id="402" w:name="_Toc32165"/>
      <w:bookmarkStart w:id="403" w:name="_Toc495671270"/>
      <w:bookmarkStart w:id="404" w:name="_Toc20217"/>
      <w:bookmarkStart w:id="405" w:name="_Toc16911"/>
      <w:r>
        <w:rPr>
          <w:rFonts w:hint="eastAsia" w:ascii="仿宋" w:hAnsi="仿宋" w:eastAsia="仿宋" w:cs="仿宋"/>
          <w:b/>
          <w:bCs/>
          <w:color w:val="auto"/>
          <w:sz w:val="28"/>
          <w:szCs w:val="28"/>
        </w:rPr>
        <w:t>（二）财务状况报告</w:t>
      </w:r>
      <w:bookmarkEnd w:id="397"/>
      <w:bookmarkEnd w:id="398"/>
      <w:bookmarkEnd w:id="399"/>
    </w:p>
    <w:p>
      <w:pPr>
        <w:pStyle w:val="17"/>
        <w:adjustRightInd w:val="0"/>
        <w:snapToGrid w:val="0"/>
        <w:spacing w:line="360" w:lineRule="auto"/>
        <w:jc w:val="left"/>
        <w:rPr>
          <w:rFonts w:ascii="仿宋" w:hAnsi="仿宋" w:eastAsia="仿宋" w:cs="仿宋"/>
          <w:b/>
          <w:color w:val="auto"/>
          <w:sz w:val="24"/>
          <w:szCs w:val="24"/>
        </w:rPr>
      </w:pPr>
    </w:p>
    <w:p>
      <w:pPr>
        <w:pStyle w:val="19"/>
        <w:jc w:val="center"/>
        <w:rPr>
          <w:rFonts w:ascii="仿宋" w:hAnsi="仿宋" w:eastAsia="仿宋" w:cs="仿宋"/>
          <w:b/>
          <w:bCs/>
          <w:color w:val="auto"/>
          <w:sz w:val="28"/>
          <w:szCs w:val="28"/>
        </w:rPr>
      </w:pPr>
      <w:r>
        <w:rPr>
          <w:rFonts w:hint="eastAsia" w:ascii="仿宋" w:hAnsi="仿宋" w:eastAsia="仿宋" w:cs="仿宋"/>
          <w:color w:val="auto"/>
          <w:sz w:val="24"/>
          <w:szCs w:val="24"/>
        </w:rPr>
        <w:t>提供扫描件或复印件加盖单位公章</w:t>
      </w:r>
    </w:p>
    <w:p>
      <w:pPr>
        <w:spacing w:line="360" w:lineRule="auto"/>
        <w:rPr>
          <w:rFonts w:ascii="仿宋" w:hAnsi="仿宋" w:eastAsia="仿宋" w:cs="仿宋"/>
          <w:b/>
          <w:bCs/>
          <w:color w:val="auto"/>
          <w:sz w:val="24"/>
          <w:szCs w:val="24"/>
        </w:rPr>
      </w:pPr>
    </w:p>
    <w:p>
      <w:pPr>
        <w:spacing w:line="360" w:lineRule="auto"/>
        <w:jc w:val="center"/>
        <w:outlineLvl w:val="2"/>
        <w:rPr>
          <w:rFonts w:ascii="仿宋" w:hAnsi="仿宋" w:eastAsia="仿宋" w:cs="仿宋"/>
          <w:b/>
          <w:color w:val="auto"/>
          <w:sz w:val="28"/>
          <w:szCs w:val="28"/>
        </w:rPr>
      </w:pPr>
      <w:r>
        <w:rPr>
          <w:rFonts w:hint="eastAsia" w:ascii="仿宋" w:hAnsi="仿宋" w:eastAsia="仿宋" w:cs="仿宋"/>
          <w:b/>
          <w:bCs/>
          <w:color w:val="auto"/>
          <w:sz w:val="24"/>
          <w:szCs w:val="24"/>
        </w:rPr>
        <w:br w:type="page"/>
      </w:r>
      <w:bookmarkStart w:id="406" w:name="_Toc19234"/>
      <w:bookmarkStart w:id="407" w:name="_Toc27653"/>
      <w:bookmarkStart w:id="408" w:name="_Toc5342"/>
      <w:r>
        <w:rPr>
          <w:rFonts w:hint="eastAsia" w:ascii="仿宋" w:hAnsi="仿宋" w:eastAsia="仿宋" w:cs="仿宋"/>
          <w:b/>
          <w:bCs/>
          <w:color w:val="auto"/>
          <w:sz w:val="24"/>
          <w:szCs w:val="24"/>
        </w:rPr>
        <w:t>（三）</w:t>
      </w:r>
      <w:r>
        <w:rPr>
          <w:rFonts w:hint="eastAsia" w:ascii="仿宋" w:hAnsi="仿宋" w:eastAsia="仿宋" w:cs="仿宋"/>
          <w:b/>
          <w:color w:val="auto"/>
          <w:sz w:val="28"/>
          <w:szCs w:val="28"/>
        </w:rPr>
        <w:t>税收缴纳证明</w:t>
      </w:r>
      <w:bookmarkEnd w:id="406"/>
      <w:bookmarkEnd w:id="407"/>
      <w:bookmarkEnd w:id="408"/>
    </w:p>
    <w:p>
      <w:pPr>
        <w:pStyle w:val="19"/>
        <w:spacing w:line="360" w:lineRule="auto"/>
        <w:rPr>
          <w:rFonts w:ascii="仿宋" w:hAnsi="仿宋" w:eastAsia="仿宋" w:cs="仿宋"/>
          <w:color w:val="auto"/>
        </w:rPr>
      </w:pPr>
    </w:p>
    <w:p>
      <w:pPr>
        <w:pStyle w:val="19"/>
        <w:jc w:val="center"/>
        <w:rPr>
          <w:rFonts w:ascii="仿宋" w:hAnsi="仿宋" w:eastAsia="仿宋" w:cs="仿宋"/>
          <w:b/>
          <w:bCs/>
          <w:color w:val="auto"/>
          <w:sz w:val="28"/>
          <w:szCs w:val="28"/>
        </w:rPr>
      </w:pPr>
      <w:r>
        <w:rPr>
          <w:rFonts w:hint="eastAsia" w:ascii="仿宋" w:hAnsi="仿宋" w:eastAsia="仿宋" w:cs="仿宋"/>
          <w:color w:val="auto"/>
          <w:sz w:val="24"/>
          <w:szCs w:val="24"/>
        </w:rPr>
        <w:t>提供扫描件或复印件加盖单位公章</w:t>
      </w:r>
    </w:p>
    <w:p>
      <w:pPr>
        <w:spacing w:line="360" w:lineRule="auto"/>
        <w:ind w:firstLine="480"/>
        <w:rPr>
          <w:rFonts w:ascii="仿宋" w:hAnsi="仿宋" w:eastAsia="仿宋" w:cs="仿宋"/>
          <w:color w:val="auto"/>
          <w:kern w:val="0"/>
          <w:sz w:val="24"/>
        </w:rPr>
      </w:pPr>
    </w:p>
    <w:p>
      <w:pPr>
        <w:spacing w:line="360" w:lineRule="auto"/>
        <w:ind w:firstLine="480"/>
        <w:rPr>
          <w:rFonts w:ascii="仿宋" w:hAnsi="仿宋" w:eastAsia="仿宋" w:cs="仿宋"/>
          <w:color w:val="auto"/>
          <w:kern w:val="0"/>
          <w:sz w:val="24"/>
          <w:szCs w:val="22"/>
        </w:rPr>
        <w:sectPr>
          <w:pgSz w:w="11906" w:h="16838"/>
          <w:pgMar w:top="1417" w:right="1417" w:bottom="1417" w:left="1417" w:header="851" w:footer="992" w:gutter="0"/>
          <w:pgNumType w:fmt="decimal"/>
          <w:cols w:space="0" w:num="1"/>
          <w:rtlGutter w:val="0"/>
          <w:docGrid w:type="lines" w:linePitch="312" w:charSpace="0"/>
        </w:sectPr>
      </w:pPr>
    </w:p>
    <w:p>
      <w:pPr>
        <w:spacing w:line="360" w:lineRule="auto"/>
        <w:jc w:val="center"/>
        <w:outlineLvl w:val="2"/>
        <w:rPr>
          <w:rFonts w:ascii="仿宋" w:hAnsi="仿宋" w:eastAsia="仿宋" w:cs="仿宋"/>
          <w:b/>
          <w:color w:val="auto"/>
          <w:sz w:val="28"/>
          <w:szCs w:val="28"/>
        </w:rPr>
      </w:pPr>
      <w:bookmarkStart w:id="409" w:name="_Toc7176"/>
      <w:bookmarkStart w:id="410" w:name="_Toc23064"/>
      <w:bookmarkStart w:id="411" w:name="_Toc17953"/>
      <w:r>
        <w:rPr>
          <w:rFonts w:hint="eastAsia" w:ascii="仿宋" w:hAnsi="仿宋" w:eastAsia="仿宋" w:cs="仿宋"/>
          <w:b/>
          <w:color w:val="auto"/>
          <w:sz w:val="28"/>
          <w:szCs w:val="28"/>
        </w:rPr>
        <w:t>（四）社会保障资金缴纳证明</w:t>
      </w:r>
      <w:bookmarkEnd w:id="409"/>
      <w:bookmarkEnd w:id="410"/>
      <w:bookmarkEnd w:id="411"/>
    </w:p>
    <w:p>
      <w:pPr>
        <w:spacing w:line="360" w:lineRule="auto"/>
        <w:ind w:firstLine="480"/>
        <w:rPr>
          <w:rFonts w:ascii="仿宋" w:hAnsi="仿宋" w:eastAsia="仿宋" w:cs="仿宋"/>
          <w:color w:val="auto"/>
          <w:kern w:val="0"/>
          <w:sz w:val="24"/>
          <w:szCs w:val="22"/>
        </w:rPr>
      </w:pPr>
    </w:p>
    <w:p>
      <w:pPr>
        <w:pStyle w:val="19"/>
        <w:jc w:val="center"/>
        <w:rPr>
          <w:rFonts w:ascii="仿宋" w:hAnsi="仿宋" w:eastAsia="仿宋" w:cs="仿宋"/>
          <w:b/>
          <w:bCs/>
          <w:color w:val="auto"/>
          <w:sz w:val="28"/>
          <w:szCs w:val="28"/>
        </w:rPr>
      </w:pPr>
      <w:r>
        <w:rPr>
          <w:rFonts w:hint="eastAsia" w:ascii="仿宋" w:hAnsi="仿宋" w:eastAsia="仿宋" w:cs="仿宋"/>
          <w:color w:val="auto"/>
          <w:sz w:val="24"/>
          <w:szCs w:val="24"/>
        </w:rPr>
        <w:t>提供扫描件或复印件加盖单位公章</w:t>
      </w:r>
    </w:p>
    <w:p>
      <w:pPr>
        <w:spacing w:line="360" w:lineRule="auto"/>
        <w:rPr>
          <w:rFonts w:ascii="仿宋" w:hAnsi="仿宋" w:eastAsia="仿宋" w:cs="仿宋"/>
          <w:b/>
          <w:bCs/>
          <w:color w:val="auto"/>
          <w:sz w:val="24"/>
          <w:szCs w:val="24"/>
        </w:rPr>
      </w:pPr>
    </w:p>
    <w:p>
      <w:pPr>
        <w:pageBreakBefore/>
        <w:spacing w:line="360" w:lineRule="auto"/>
        <w:jc w:val="center"/>
        <w:outlineLvl w:val="2"/>
        <w:rPr>
          <w:rFonts w:ascii="仿宋" w:hAnsi="仿宋" w:eastAsia="仿宋" w:cs="仿宋"/>
          <w:b/>
          <w:color w:val="auto"/>
          <w:sz w:val="28"/>
          <w:szCs w:val="28"/>
        </w:rPr>
      </w:pPr>
      <w:r>
        <w:rPr>
          <w:rFonts w:hint="eastAsia" w:ascii="仿宋" w:hAnsi="仿宋" w:eastAsia="仿宋" w:cs="仿宋"/>
          <w:b/>
          <w:bCs/>
          <w:color w:val="auto"/>
          <w:sz w:val="28"/>
          <w:szCs w:val="28"/>
        </w:rPr>
        <w:t>（五）出具履行合同所必需的设备和专业技术能力的书面声明</w:t>
      </w:r>
    </w:p>
    <w:p>
      <w:pPr>
        <w:spacing w:line="360" w:lineRule="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rPr>
        <w:t>致：</w:t>
      </w:r>
      <w:r>
        <w:rPr>
          <w:rFonts w:hint="eastAsia" w:ascii="仿宋" w:hAnsi="仿宋" w:eastAsia="仿宋" w:cs="仿宋"/>
          <w:color w:val="auto"/>
          <w:spacing w:val="4"/>
          <w:sz w:val="24"/>
          <w:szCs w:val="24"/>
          <w:u w:val="single"/>
        </w:rPr>
        <w:t xml:space="preserve">     （采购人名称）    </w:t>
      </w:r>
    </w:p>
    <w:p>
      <w:pPr>
        <w:spacing w:line="360" w:lineRule="auto"/>
        <w:ind w:firstLine="480" w:firstLineChars="200"/>
        <w:rPr>
          <w:rFonts w:ascii="仿宋" w:hAnsi="仿宋" w:eastAsia="仿宋" w:cs="仿宋"/>
          <w:color w:val="auto"/>
          <w:spacing w:val="4"/>
          <w:sz w:val="24"/>
          <w:szCs w:val="24"/>
          <w:u w:val="single"/>
        </w:rPr>
      </w:pPr>
      <w:r>
        <w:rPr>
          <w:rFonts w:hint="eastAsia" w:ascii="仿宋" w:hAnsi="仿宋" w:eastAsia="仿宋" w:cs="仿宋"/>
          <w:color w:val="auto"/>
          <w:kern w:val="0"/>
          <w:sz w:val="24"/>
          <w:szCs w:val="24"/>
        </w:rPr>
        <w:t>我方作为</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，在此郑重声明：</w:t>
      </w:r>
    </w:p>
    <w:p>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我方具备履行合同所必须的设备和专业技术能力。</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如有不实，我方将无条件地退出本项目的采购活动，并遵</w:t>
      </w:r>
      <w:r>
        <w:rPr>
          <w:rFonts w:hint="eastAsia" w:ascii="仿宋" w:hAnsi="仿宋" w:eastAsia="仿宋" w:cs="仿宋"/>
          <w:color w:val="auto"/>
          <w:kern w:val="0"/>
          <w:sz w:val="24"/>
          <w:szCs w:val="24"/>
          <w:lang w:eastAsia="zh-CN"/>
        </w:rPr>
        <w:t>照</w:t>
      </w:r>
      <w:r>
        <w:rPr>
          <w:rFonts w:hint="eastAsia" w:ascii="仿宋" w:hAnsi="仿宋" w:eastAsia="仿宋" w:cs="仿宋"/>
          <w:color w:val="auto"/>
          <w:kern w:val="0"/>
          <w:sz w:val="24"/>
          <w:szCs w:val="24"/>
        </w:rPr>
        <w:t xml:space="preserve">《政府采购法》有关“提供虚假材料的规定”接受处罚。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特此声明。</w:t>
      </w:r>
    </w:p>
    <w:p>
      <w:pPr>
        <w:spacing w:beforeLines="100" w:afterLines="50" w:line="360" w:lineRule="auto"/>
        <w:ind w:firstLine="620" w:firstLineChars="250"/>
        <w:rPr>
          <w:rFonts w:ascii="仿宋" w:hAnsi="仿宋" w:eastAsia="仿宋" w:cs="仿宋"/>
          <w:color w:val="auto"/>
          <w:spacing w:val="4"/>
          <w:sz w:val="24"/>
          <w:szCs w:val="24"/>
        </w:rPr>
      </w:pPr>
    </w:p>
    <w:p>
      <w:pPr>
        <w:spacing w:beforeLines="100" w:afterLines="50" w:line="360" w:lineRule="auto"/>
        <w:ind w:firstLine="170"/>
        <w:rPr>
          <w:rFonts w:ascii="仿宋" w:hAnsi="仿宋" w:eastAsia="仿宋" w:cs="仿宋"/>
          <w:color w:val="auto"/>
          <w:spacing w:val="4"/>
          <w:sz w:val="24"/>
          <w:szCs w:val="24"/>
        </w:rPr>
      </w:pP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spacing w:line="360" w:lineRule="auto"/>
        <w:ind w:firstLine="3578" w:firstLineChars="1491"/>
        <w:rPr>
          <w:rFonts w:ascii="仿宋" w:hAnsi="仿宋" w:eastAsia="仿宋" w:cs="仿宋"/>
          <w:color w:val="auto"/>
          <w:sz w:val="24"/>
          <w:szCs w:val="24"/>
          <w:u w:val="single"/>
        </w:rPr>
      </w:pPr>
    </w:p>
    <w:p>
      <w:pPr>
        <w:spacing w:line="360" w:lineRule="auto"/>
        <w:rPr>
          <w:rFonts w:ascii="仿宋" w:hAnsi="仿宋" w:eastAsia="仿宋" w:cs="仿宋"/>
          <w:bCs/>
          <w:color w:val="auto"/>
          <w:sz w:val="24"/>
          <w:szCs w:val="24"/>
        </w:rPr>
      </w:pPr>
    </w:p>
    <w:p>
      <w:pPr>
        <w:spacing w:line="360" w:lineRule="auto"/>
        <w:rPr>
          <w:rFonts w:ascii="仿宋" w:hAnsi="仿宋" w:eastAsia="仿宋" w:cs="仿宋"/>
          <w:bCs/>
          <w:color w:val="auto"/>
          <w:sz w:val="24"/>
          <w:szCs w:val="24"/>
        </w:rPr>
      </w:pPr>
    </w:p>
    <w:p>
      <w:pPr>
        <w:spacing w:line="360" w:lineRule="auto"/>
        <w:jc w:val="center"/>
        <w:outlineLvl w:val="2"/>
        <w:rPr>
          <w:rFonts w:ascii="仿宋" w:hAnsi="仿宋" w:eastAsia="仿宋" w:cs="仿宋"/>
          <w:b/>
          <w:color w:val="auto"/>
          <w:sz w:val="28"/>
          <w:szCs w:val="28"/>
        </w:rPr>
      </w:pPr>
      <w:r>
        <w:rPr>
          <w:rFonts w:hint="eastAsia" w:ascii="仿宋" w:hAnsi="仿宋" w:eastAsia="仿宋" w:cs="仿宋"/>
          <w:bCs/>
          <w:color w:val="auto"/>
          <w:sz w:val="24"/>
          <w:szCs w:val="24"/>
        </w:rPr>
        <w:br w:type="page"/>
      </w:r>
      <w:bookmarkStart w:id="412" w:name="_Toc1093"/>
      <w:bookmarkStart w:id="413" w:name="_Toc31742"/>
      <w:bookmarkStart w:id="414" w:name="_Toc10898"/>
      <w:bookmarkStart w:id="415" w:name="_Toc25944"/>
      <w:bookmarkStart w:id="416" w:name="_Toc28901"/>
      <w:r>
        <w:rPr>
          <w:rFonts w:hint="eastAsia" w:ascii="仿宋" w:hAnsi="仿宋" w:eastAsia="仿宋" w:cs="仿宋"/>
          <w:b/>
          <w:color w:val="auto"/>
          <w:sz w:val="28"/>
          <w:szCs w:val="28"/>
        </w:rPr>
        <w:t>（六）参加政府采购活动的书面声明</w:t>
      </w:r>
      <w:bookmarkEnd w:id="412"/>
      <w:bookmarkEnd w:id="413"/>
      <w:bookmarkEnd w:id="414"/>
      <w:bookmarkEnd w:id="415"/>
    </w:p>
    <w:p>
      <w:pPr>
        <w:spacing w:line="360" w:lineRule="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rPr>
        <w:t>致：</w:t>
      </w:r>
      <w:r>
        <w:rPr>
          <w:rFonts w:hint="eastAsia" w:ascii="仿宋" w:hAnsi="仿宋" w:eastAsia="仿宋" w:cs="仿宋"/>
          <w:color w:val="auto"/>
          <w:spacing w:val="4"/>
          <w:sz w:val="24"/>
          <w:szCs w:val="24"/>
          <w:u w:val="single"/>
        </w:rPr>
        <w:t xml:space="preserve">     （采购人名称）    ：</w:t>
      </w:r>
    </w:p>
    <w:p>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我方作为</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（项目编号：）的</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，在此郑重声明：</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1、在参加本次政府采购活动前 3 年内的经营活动中____（填“没有”或“有”）重大违法记录。</w:t>
      </w:r>
      <w:r>
        <w:rPr>
          <w:rFonts w:hint="eastAsia" w:ascii="仿宋" w:hAnsi="仿宋" w:eastAsia="仿宋" w:cs="仿宋"/>
          <w:color w:val="auto"/>
          <w:kern w:val="0"/>
          <w:sz w:val="24"/>
          <w:szCs w:val="24"/>
          <w:lang w:eastAsia="zh-CN"/>
        </w:rPr>
        <w:t>供应商</w:t>
      </w:r>
      <w:r>
        <w:rPr>
          <w:rFonts w:hint="eastAsia" w:ascii="仿宋" w:hAnsi="仿宋" w:eastAsia="仿宋" w:cs="仿宋"/>
          <w:b/>
          <w:bCs/>
          <w:color w:val="auto"/>
          <w:kern w:val="0"/>
          <w:sz w:val="24"/>
          <w:szCs w:val="24"/>
        </w:rPr>
        <w:t xml:space="preserve">在参加政府采购活动前 3 年内因违法经营被禁止在一定期限内参加政府采购活动，期限届满的，可以参加政府采购活动，但应提供期限届满的证明材料。 </w:t>
      </w:r>
    </w:p>
    <w:p>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2、我方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（填“未被列入”或“被列入”）失信被执行人名单。</w:t>
      </w:r>
    </w:p>
    <w:p>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3、我方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（填“未被列入”或“被列入”）重大税收违法失信主体名单。</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4、我方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（填“未被列入”或“被列入”）政府采购严重违法失信行为记录名单。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如有不实，我方将无条件地退出本项目的采购活动，并遵</w:t>
      </w:r>
      <w:r>
        <w:rPr>
          <w:rFonts w:hint="eastAsia" w:ascii="仿宋" w:hAnsi="仿宋" w:eastAsia="仿宋" w:cs="仿宋"/>
          <w:color w:val="auto"/>
          <w:kern w:val="0"/>
          <w:sz w:val="24"/>
          <w:szCs w:val="24"/>
          <w:lang w:eastAsia="zh-CN"/>
        </w:rPr>
        <w:t>照</w:t>
      </w:r>
      <w:r>
        <w:rPr>
          <w:rFonts w:hint="eastAsia" w:ascii="仿宋" w:hAnsi="仿宋" w:eastAsia="仿宋" w:cs="仿宋"/>
          <w:color w:val="auto"/>
          <w:kern w:val="0"/>
          <w:sz w:val="24"/>
          <w:szCs w:val="24"/>
        </w:rPr>
        <w:t xml:space="preserve">《政府采购法》有关“提供虚假材料的规定”接受处罚。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特此声明。</w:t>
      </w:r>
    </w:p>
    <w:p>
      <w:pPr>
        <w:autoSpaceDE w:val="0"/>
        <w:autoSpaceDN w:val="0"/>
        <w:adjustRightInd w:val="0"/>
        <w:spacing w:line="360" w:lineRule="auto"/>
        <w:ind w:firstLine="480" w:firstLineChars="200"/>
        <w:rPr>
          <w:rFonts w:ascii="仿宋" w:hAnsi="仿宋" w:eastAsia="仿宋" w:cs="仿宋"/>
          <w:color w:val="auto"/>
          <w:sz w:val="24"/>
          <w:szCs w:val="24"/>
        </w:rPr>
      </w:pPr>
    </w:p>
    <w:bookmarkEnd w:id="400"/>
    <w:bookmarkEnd w:id="416"/>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autoSpaceDE w:val="0"/>
        <w:autoSpaceDN w:val="0"/>
        <w:adjustRightInd w:val="0"/>
        <w:spacing w:line="360" w:lineRule="auto"/>
        <w:ind w:firstLine="3840" w:firstLineChars="1600"/>
        <w:rPr>
          <w:rFonts w:ascii="仿宋" w:hAnsi="仿宋" w:eastAsia="仿宋" w:cs="仿宋"/>
          <w:color w:val="auto"/>
          <w:sz w:val="24"/>
          <w:szCs w:val="24"/>
        </w:rPr>
      </w:pPr>
    </w:p>
    <w:bookmarkEnd w:id="401"/>
    <w:bookmarkEnd w:id="402"/>
    <w:bookmarkEnd w:id="403"/>
    <w:bookmarkEnd w:id="404"/>
    <w:bookmarkEnd w:id="405"/>
    <w:p>
      <w:pPr>
        <w:autoSpaceDE w:val="0"/>
        <w:autoSpaceDN w:val="0"/>
        <w:adjustRightInd w:val="0"/>
        <w:spacing w:line="360" w:lineRule="auto"/>
        <w:ind w:firstLine="480" w:firstLineChars="200"/>
        <w:rPr>
          <w:rFonts w:ascii="仿宋" w:hAnsi="仿宋" w:eastAsia="仿宋" w:cs="仿宋"/>
          <w:color w:val="auto"/>
          <w:sz w:val="24"/>
          <w:szCs w:val="24"/>
        </w:rPr>
      </w:pPr>
    </w:p>
    <w:p>
      <w:pPr>
        <w:pageBreakBefore/>
        <w:spacing w:line="360" w:lineRule="auto"/>
        <w:jc w:val="center"/>
        <w:outlineLvl w:val="2"/>
        <w:rPr>
          <w:rFonts w:ascii="仿宋" w:hAnsi="仿宋" w:eastAsia="仿宋" w:cs="仿宋"/>
          <w:b/>
          <w:color w:val="auto"/>
          <w:sz w:val="28"/>
          <w:szCs w:val="28"/>
          <w:lang w:val="zh-CN"/>
        </w:rPr>
      </w:pPr>
      <w:bookmarkStart w:id="417" w:name="_Toc17057"/>
      <w:bookmarkStart w:id="418" w:name="_Toc1010"/>
      <w:bookmarkStart w:id="419" w:name="_Toc3871"/>
      <w:r>
        <w:rPr>
          <w:rFonts w:hint="eastAsia" w:ascii="仿宋" w:hAnsi="仿宋" w:eastAsia="仿宋" w:cs="仿宋"/>
          <w:b/>
          <w:color w:val="auto"/>
          <w:sz w:val="28"/>
          <w:szCs w:val="28"/>
          <w:lang w:val="zh-CN"/>
        </w:rPr>
        <w:t>（七）特定资格要求</w:t>
      </w:r>
      <w:bookmarkEnd w:id="417"/>
      <w:bookmarkEnd w:id="418"/>
      <w:bookmarkEnd w:id="419"/>
    </w:p>
    <w:p>
      <w:pPr>
        <w:adjustRightInd w:val="0"/>
        <w:snapToGrid w:val="0"/>
        <w:spacing w:line="360" w:lineRule="auto"/>
        <w:jc w:val="center"/>
        <w:outlineLvl w:val="3"/>
        <w:rPr>
          <w:rFonts w:ascii="仿宋" w:hAnsi="仿宋" w:eastAsia="仿宋" w:cs="仿宋"/>
          <w:b/>
          <w:color w:val="auto"/>
          <w:sz w:val="24"/>
          <w:szCs w:val="24"/>
        </w:rPr>
      </w:pPr>
      <w:bookmarkStart w:id="420" w:name="_Toc495681533"/>
      <w:bookmarkStart w:id="421" w:name="_Toc1610"/>
      <w:bookmarkStart w:id="422" w:name="_Toc495681252"/>
      <w:bookmarkStart w:id="423" w:name="_Toc495908048"/>
      <w:bookmarkStart w:id="424" w:name="_Toc495681406"/>
      <w:bookmarkStart w:id="425" w:name="_Toc495671263"/>
      <w:bookmarkStart w:id="426" w:name="_Toc18742"/>
      <w:bookmarkStart w:id="427" w:name="_Toc32662"/>
      <w:r>
        <w:rPr>
          <w:rFonts w:hint="eastAsia" w:ascii="仿宋" w:hAnsi="仿宋" w:eastAsia="仿宋" w:cs="仿宋"/>
          <w:b/>
          <w:color w:val="auto"/>
          <w:sz w:val="24"/>
          <w:szCs w:val="24"/>
        </w:rPr>
        <w:t>1、法定代表人身份证明</w:t>
      </w:r>
      <w:bookmarkEnd w:id="420"/>
      <w:bookmarkEnd w:id="421"/>
      <w:bookmarkEnd w:id="422"/>
      <w:bookmarkEnd w:id="423"/>
      <w:bookmarkEnd w:id="424"/>
      <w:bookmarkEnd w:id="425"/>
      <w:bookmarkEnd w:id="426"/>
      <w:bookmarkEnd w:id="427"/>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kern w:val="0"/>
          <w:sz w:val="24"/>
          <w:szCs w:val="24"/>
        </w:rPr>
        <w:t>名称：</w:t>
      </w:r>
      <w:r>
        <w:rPr>
          <w:rFonts w:hint="eastAsia" w:ascii="仿宋" w:hAnsi="仿宋" w:eastAsia="仿宋" w:cs="仿宋"/>
          <w:color w:val="auto"/>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统一社会信用代码：</w:t>
      </w:r>
      <w:r>
        <w:rPr>
          <w:rFonts w:hint="eastAsia" w:ascii="仿宋" w:hAnsi="仿宋" w:eastAsia="仿宋" w:cs="仿宋"/>
          <w:color w:val="auto"/>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注册地址：</w:t>
      </w:r>
      <w:r>
        <w:rPr>
          <w:rFonts w:hint="eastAsia" w:ascii="仿宋" w:hAnsi="仿宋" w:eastAsia="仿宋" w:cs="仿宋"/>
          <w:color w:val="auto"/>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成立时间：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日；经营期限：</w:t>
      </w:r>
      <w:r>
        <w:rPr>
          <w:rFonts w:hint="eastAsia" w:ascii="仿宋" w:hAnsi="仿宋" w:eastAsia="仿宋" w:cs="仿宋"/>
          <w:color w:val="auto"/>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经营范围：主营：</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 xml:space="preserve"> ；兼营：</w:t>
      </w:r>
      <w:r>
        <w:rPr>
          <w:rFonts w:hint="eastAsia" w:ascii="仿宋" w:hAnsi="仿宋" w:eastAsia="仿宋" w:cs="仿宋"/>
          <w:color w:val="auto"/>
          <w:sz w:val="24"/>
          <w:szCs w:val="24"/>
          <w:u w:val="single"/>
          <w:lang w:val="en-US" w:eastAsia="zh-CN"/>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性别：</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 xml:space="preserve"> 年龄：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 xml:space="preserve"> 系（</w:t>
      </w:r>
      <w:r>
        <w:rPr>
          <w:rFonts w:hint="eastAsia" w:ascii="仿宋" w:hAnsi="仿宋" w:eastAsia="仿宋" w:cs="仿宋"/>
          <w:color w:val="auto"/>
          <w:sz w:val="24"/>
          <w:szCs w:val="24"/>
          <w:lang w:eastAsia="zh-CN"/>
        </w:rPr>
        <w:t>供应商</w:t>
      </w:r>
      <w:r>
        <w:rPr>
          <w:rFonts w:hint="eastAsia" w:ascii="仿宋" w:hAnsi="仿宋" w:eastAsia="仿宋" w:cs="仿宋"/>
          <w:color w:val="auto"/>
          <w:ker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附：法定代表人身份证复印件</w:t>
      </w:r>
    </w:p>
    <w:tbl>
      <w:tblPr>
        <w:tblStyle w:val="29"/>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rPr>
                <w:rFonts w:ascii="仿宋" w:hAnsi="仿宋" w:eastAsia="仿宋" w:cs="仿宋"/>
                <w:color w:val="auto"/>
                <w:sz w:val="24"/>
                <w:szCs w:val="24"/>
                <w:u w:val="single"/>
              </w:rPr>
            </w:pPr>
            <w:r>
              <w:rPr>
                <w:rFonts w:hint="eastAsia" w:ascii="仿宋" w:hAnsi="仿宋" w:eastAsia="仿宋" w:cs="仿宋"/>
                <w:color w:val="auto"/>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rPr>
                <w:rFonts w:ascii="仿宋" w:hAnsi="仿宋" w:eastAsia="仿宋" w:cs="仿宋"/>
                <w:color w:val="auto"/>
                <w:sz w:val="24"/>
                <w:szCs w:val="24"/>
                <w:u w:val="single"/>
              </w:rPr>
            </w:pPr>
            <w:r>
              <w:rPr>
                <w:rFonts w:hint="eastAsia" w:ascii="仿宋" w:hAnsi="仿宋" w:eastAsia="仿宋" w:cs="仿宋"/>
                <w:color w:val="auto"/>
                <w:sz w:val="24"/>
                <w:szCs w:val="24"/>
                <w:lang w:val="zh-CN"/>
              </w:rPr>
              <w:t>复印件</w:t>
            </w:r>
          </w:p>
        </w:tc>
      </w:tr>
    </w:tbl>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bookmarkStart w:id="428" w:name="_Toc495671264"/>
      <w:bookmarkStart w:id="429" w:name="_Toc495681534"/>
      <w:bookmarkStart w:id="430" w:name="_Toc495681407"/>
      <w:bookmarkStart w:id="431" w:name="_Toc32169"/>
      <w:bookmarkStart w:id="432" w:name="_Toc495908049"/>
      <w:bookmarkStart w:id="433" w:name="_Toc495681253"/>
      <w:bookmarkStart w:id="434" w:name="_Toc29369"/>
      <w:bookmarkStart w:id="435" w:name="_Toc18921"/>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pageBreakBefore/>
        <w:adjustRightInd w:val="0"/>
        <w:snapToGrid w:val="0"/>
        <w:spacing w:line="360" w:lineRule="auto"/>
        <w:jc w:val="center"/>
        <w:outlineLvl w:val="3"/>
        <w:rPr>
          <w:rFonts w:ascii="仿宋" w:hAnsi="仿宋" w:eastAsia="仿宋" w:cs="仿宋"/>
          <w:b/>
          <w:color w:val="auto"/>
          <w:sz w:val="24"/>
          <w:szCs w:val="24"/>
        </w:rPr>
      </w:pPr>
      <w:r>
        <w:rPr>
          <w:rFonts w:hint="eastAsia" w:ascii="仿宋" w:hAnsi="仿宋" w:eastAsia="仿宋" w:cs="仿宋"/>
          <w:b/>
          <w:color w:val="auto"/>
          <w:sz w:val="24"/>
          <w:szCs w:val="24"/>
        </w:rPr>
        <w:t>2、法定代表人授权书</w:t>
      </w:r>
      <w:bookmarkEnd w:id="428"/>
      <w:bookmarkEnd w:id="429"/>
      <w:bookmarkEnd w:id="430"/>
      <w:bookmarkEnd w:id="431"/>
      <w:bookmarkEnd w:id="432"/>
      <w:bookmarkEnd w:id="433"/>
      <w:bookmarkEnd w:id="434"/>
      <w:bookmarkEnd w:id="435"/>
    </w:p>
    <w:p>
      <w:pPr>
        <w:autoSpaceDE w:val="0"/>
        <w:autoSpaceDN w:val="0"/>
        <w:adjustRightInd w:val="0"/>
        <w:spacing w:line="360" w:lineRule="auto"/>
        <w:rPr>
          <w:rFonts w:ascii="仿宋" w:hAnsi="仿宋" w:eastAsia="仿宋" w:cs="仿宋"/>
          <w:color w:val="auto"/>
          <w:sz w:val="24"/>
          <w:szCs w:val="24"/>
        </w:rPr>
      </w:pPr>
      <w:r>
        <w:rPr>
          <w:rFonts w:hint="eastAsia" w:ascii="仿宋" w:hAnsi="仿宋" w:eastAsia="仿宋" w:cs="仿宋"/>
          <w:color w:val="auto"/>
          <w:sz w:val="24"/>
          <w:szCs w:val="24"/>
          <w:lang w:val="zh-CN"/>
        </w:rPr>
        <w:t>陕西笃信招标有限公司：</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zh-CN"/>
        </w:rPr>
        <w:t>注册于</w:t>
      </w:r>
      <w:r>
        <w:rPr>
          <w:rFonts w:hint="eastAsia" w:ascii="仿宋" w:hAnsi="仿宋" w:eastAsia="仿宋" w:cs="仿宋"/>
          <w:color w:val="auto"/>
          <w:sz w:val="24"/>
          <w:szCs w:val="24"/>
          <w:u w:val="single"/>
          <w:lang w:val="zh-CN"/>
        </w:rPr>
        <w:t xml:space="preserve">  （工商行政管理局名称）  </w:t>
      </w:r>
      <w:r>
        <w:rPr>
          <w:rFonts w:hint="eastAsia" w:ascii="仿宋" w:hAnsi="仿宋" w:eastAsia="仿宋" w:cs="仿宋"/>
          <w:color w:val="auto"/>
          <w:sz w:val="24"/>
          <w:szCs w:val="24"/>
          <w:lang w:val="zh-CN"/>
        </w:rPr>
        <w:t>之</w:t>
      </w:r>
      <w:r>
        <w:rPr>
          <w:rFonts w:hint="eastAsia" w:ascii="仿宋" w:hAnsi="仿宋" w:eastAsia="仿宋" w:cs="仿宋"/>
          <w:color w:val="auto"/>
          <w:sz w:val="24"/>
          <w:szCs w:val="24"/>
          <w:u w:val="single"/>
          <w:lang w:val="zh-CN"/>
        </w:rPr>
        <w:t xml:space="preserve"> （供应商全称）  </w:t>
      </w:r>
      <w:r>
        <w:rPr>
          <w:rFonts w:hint="eastAsia" w:ascii="仿宋" w:hAnsi="仿宋" w:eastAsia="仿宋" w:cs="仿宋"/>
          <w:color w:val="auto"/>
          <w:sz w:val="24"/>
          <w:szCs w:val="24"/>
          <w:lang w:val="zh-CN"/>
        </w:rPr>
        <w:t>的法定代表人</w:t>
      </w:r>
      <w:r>
        <w:rPr>
          <w:rFonts w:hint="eastAsia" w:ascii="仿宋" w:hAnsi="仿宋" w:eastAsia="仿宋" w:cs="仿宋"/>
          <w:color w:val="auto"/>
          <w:sz w:val="24"/>
          <w:szCs w:val="24"/>
          <w:u w:val="single"/>
          <w:lang w:val="zh-CN"/>
        </w:rPr>
        <w:t>（姓名）</w:t>
      </w:r>
      <w:r>
        <w:rPr>
          <w:rFonts w:hint="eastAsia" w:ascii="仿宋" w:hAnsi="仿宋" w:eastAsia="仿宋" w:cs="仿宋"/>
          <w:color w:val="auto"/>
          <w:sz w:val="24"/>
          <w:szCs w:val="24"/>
          <w:lang w:val="zh-CN"/>
        </w:rPr>
        <w:t>授权</w:t>
      </w:r>
      <w:r>
        <w:rPr>
          <w:rFonts w:hint="eastAsia" w:ascii="仿宋" w:hAnsi="仿宋" w:eastAsia="仿宋" w:cs="仿宋"/>
          <w:color w:val="auto"/>
          <w:sz w:val="24"/>
          <w:szCs w:val="24"/>
          <w:u w:val="single"/>
          <w:lang w:val="zh-CN"/>
        </w:rPr>
        <w:t>（被授权人姓名）</w:t>
      </w:r>
      <w:r>
        <w:rPr>
          <w:rFonts w:hint="eastAsia" w:ascii="仿宋" w:hAnsi="仿宋" w:eastAsia="仿宋" w:cs="仿宋"/>
          <w:color w:val="auto"/>
          <w:sz w:val="24"/>
          <w:szCs w:val="24"/>
        </w:rPr>
        <w:t>为我方合法委托代理人。代理人根据授权，以我方名义签署、澄清、说明、递交、撤回、修改</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rPr>
        <w:t>投标文件、签订合同和处理有关事宜，其法律后果由我方承担。</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（盖单位公章）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（签字或盖章）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lang w:val="en-US" w:eastAsia="zh-CN"/>
        </w:rPr>
        <w:t xml:space="preserve">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（签字或盖章）</w:t>
      </w:r>
    </w:p>
    <w:p>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lang w:val="en-US" w:eastAsia="zh-CN"/>
        </w:rPr>
        <w:t xml:space="preserve">                       </w:t>
      </w:r>
    </w:p>
    <w:p>
      <w:pPr>
        <w:spacing w:line="360" w:lineRule="auto"/>
        <w:ind w:firstLine="5520" w:firstLineChars="2300"/>
        <w:rPr>
          <w:rFonts w:ascii="仿宋" w:hAnsi="仿宋" w:eastAsia="仿宋" w:cs="仿宋"/>
          <w:color w:val="auto"/>
          <w:sz w:val="24"/>
          <w:szCs w:val="24"/>
        </w:rPr>
      </w:pP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w:t>
      </w:r>
    </w:p>
    <w:p>
      <w:pPr>
        <w:spacing w:line="360" w:lineRule="auto"/>
        <w:ind w:firstLine="480" w:firstLineChars="200"/>
        <w:rPr>
          <w:rFonts w:ascii="仿宋" w:hAnsi="仿宋" w:eastAsia="仿宋" w:cs="仿宋"/>
          <w:color w:val="auto"/>
          <w:sz w:val="24"/>
          <w:szCs w:val="24"/>
        </w:rPr>
      </w:pP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本授权有效期：自开标之日起90日历日。</w:t>
      </w:r>
    </w:p>
    <w:p>
      <w:pPr>
        <w:spacing w:line="360" w:lineRule="auto"/>
        <w:ind w:firstLine="420"/>
        <w:rPr>
          <w:rFonts w:ascii="仿宋" w:hAnsi="仿宋" w:eastAsia="仿宋" w:cs="仿宋"/>
          <w:bCs/>
          <w:color w:val="auto"/>
          <w:sz w:val="24"/>
          <w:szCs w:val="24"/>
        </w:rPr>
      </w:pPr>
    </w:p>
    <w:p>
      <w:pPr>
        <w:spacing w:line="360" w:lineRule="auto"/>
        <w:ind w:firstLine="420"/>
        <w:rPr>
          <w:rFonts w:ascii="仿宋" w:hAnsi="仿宋" w:eastAsia="仿宋" w:cs="仿宋"/>
          <w:bCs/>
          <w:color w:val="auto"/>
          <w:sz w:val="24"/>
          <w:szCs w:val="24"/>
        </w:rPr>
      </w:pPr>
    </w:p>
    <w:p>
      <w:pPr>
        <w:spacing w:line="360" w:lineRule="auto"/>
        <w:ind w:firstLine="480" w:firstLineChars="200"/>
        <w:rPr>
          <w:rFonts w:ascii="仿宋" w:hAnsi="仿宋" w:eastAsia="仿宋" w:cs="仿宋"/>
          <w:bCs/>
          <w:color w:val="auto"/>
          <w:sz w:val="24"/>
          <w:szCs w:val="24"/>
        </w:rPr>
      </w:pPr>
    </w:p>
    <w:p>
      <w:pPr>
        <w:spacing w:line="360" w:lineRule="auto"/>
        <w:ind w:firstLine="480" w:firstLineChars="200"/>
        <w:rPr>
          <w:rFonts w:ascii="仿宋" w:hAnsi="仿宋" w:eastAsia="仿宋" w:cs="仿宋"/>
          <w:bCs/>
          <w:color w:val="auto"/>
          <w:sz w:val="24"/>
          <w:szCs w:val="24"/>
        </w:rPr>
      </w:pPr>
    </w:p>
    <w:p>
      <w:pPr>
        <w:spacing w:line="360" w:lineRule="auto"/>
        <w:ind w:firstLine="480" w:firstLineChars="200"/>
        <w:rPr>
          <w:rFonts w:ascii="仿宋" w:hAnsi="仿宋" w:eastAsia="仿宋" w:cs="仿宋"/>
          <w:color w:val="auto"/>
          <w:sz w:val="24"/>
          <w:szCs w:val="24"/>
          <w:lang w:val="zh-CN"/>
        </w:rPr>
      </w:pP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说明：</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1.后附被授权代表本单位证明：有效的劳动合同或</w:t>
      </w:r>
      <w:r>
        <w:rPr>
          <w:rFonts w:hint="eastAsia" w:ascii="仿宋" w:hAnsi="仿宋" w:eastAsia="仿宋" w:cs="仿宋"/>
          <w:color w:val="auto"/>
          <w:sz w:val="24"/>
          <w:szCs w:val="24"/>
          <w:lang w:val="zh-CN"/>
        </w:rPr>
        <w:t>开标截止前六个月内任意一个月养老保险缴纳证明。</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2.后附法定代表人和被授权委托代理人身份证复印件并加盖红色鲜章。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本授权有效期为开标之日起不少于90天，仅限授权代表参加开标时提供。</w:t>
      </w:r>
      <w:bookmarkStart w:id="436" w:name="_Toc15002"/>
    </w:p>
    <w:bookmarkEnd w:id="436"/>
    <w:p>
      <w:pPr>
        <w:jc w:val="center"/>
        <w:outlineLvl w:val="2"/>
        <w:rPr>
          <w:rFonts w:hint="eastAsia" w:ascii="仿宋" w:hAnsi="仿宋" w:eastAsia="仿宋" w:cs="仿宋"/>
          <w:b/>
          <w:color w:val="auto"/>
          <w:sz w:val="28"/>
          <w:szCs w:val="28"/>
          <w:lang w:val="zh-CN"/>
        </w:rPr>
      </w:pPr>
      <w:bookmarkStart w:id="437" w:name="_Toc10643"/>
      <w:bookmarkStart w:id="438" w:name="_Toc25082"/>
      <w:bookmarkStart w:id="439" w:name="_Toc10845"/>
      <w:r>
        <w:rPr>
          <w:rFonts w:hint="eastAsia" w:ascii="仿宋" w:hAnsi="仿宋" w:eastAsia="仿宋" w:cs="仿宋"/>
          <w:b/>
          <w:color w:val="auto"/>
          <w:sz w:val="28"/>
          <w:szCs w:val="28"/>
          <w:lang w:val="zh-CN"/>
        </w:rPr>
        <w:br w:type="page"/>
      </w:r>
      <w:r>
        <w:rPr>
          <w:rFonts w:hint="eastAsia" w:ascii="仿宋" w:hAnsi="仿宋" w:eastAsia="仿宋" w:cs="仿宋"/>
          <w:b/>
          <w:color w:val="auto"/>
          <w:sz w:val="28"/>
          <w:szCs w:val="28"/>
          <w:lang w:val="zh-CN"/>
        </w:rPr>
        <w:t>（八）投标保证金</w:t>
      </w:r>
    </w:p>
    <w:p>
      <w:pPr>
        <w:spacing w:line="360" w:lineRule="auto"/>
        <w:ind w:firstLine="480"/>
        <w:rPr>
          <w:rFonts w:ascii="仿宋" w:hAnsi="仿宋" w:eastAsia="仿宋" w:cs="仿宋"/>
          <w:color w:val="auto"/>
          <w:kern w:val="0"/>
          <w:sz w:val="24"/>
          <w:szCs w:val="22"/>
        </w:rPr>
      </w:pPr>
    </w:p>
    <w:p>
      <w:pPr>
        <w:pStyle w:val="19"/>
        <w:jc w:val="center"/>
        <w:rPr>
          <w:rFonts w:ascii="仿宋" w:hAnsi="仿宋" w:eastAsia="仿宋" w:cs="仿宋"/>
          <w:b/>
          <w:bCs/>
          <w:color w:val="auto"/>
          <w:sz w:val="28"/>
          <w:szCs w:val="28"/>
        </w:rPr>
      </w:pPr>
      <w:r>
        <w:rPr>
          <w:rFonts w:hint="eastAsia" w:ascii="仿宋" w:hAnsi="仿宋" w:eastAsia="仿宋" w:cs="仿宋"/>
          <w:color w:val="auto"/>
          <w:sz w:val="24"/>
          <w:szCs w:val="24"/>
        </w:rPr>
        <w:t>提供扫描件或复印件加盖单位公章</w:t>
      </w:r>
    </w:p>
    <w:p>
      <w:pPr>
        <w:pStyle w:val="2"/>
        <w:rPr>
          <w:rFonts w:hint="eastAsia"/>
          <w:lang w:val="zh-CN"/>
        </w:rPr>
        <w:sectPr>
          <w:footerReference r:id="rId10" w:type="default"/>
          <w:pgSz w:w="11906" w:h="16838"/>
          <w:pgMar w:top="1417" w:right="1417" w:bottom="1417" w:left="1417" w:header="851" w:footer="992" w:gutter="0"/>
          <w:pgNumType w:fmt="decimal"/>
          <w:cols w:space="0" w:num="1"/>
          <w:rtlGutter w:val="0"/>
          <w:docGrid w:type="lines" w:linePitch="312" w:charSpace="0"/>
        </w:sectPr>
      </w:pPr>
    </w:p>
    <w:p>
      <w:pPr>
        <w:jc w:val="center"/>
        <w:outlineLvl w:val="2"/>
        <w:rPr>
          <w:rFonts w:ascii="仿宋" w:hAnsi="仿宋" w:eastAsia="仿宋" w:cs="仿宋"/>
          <w:b/>
          <w:color w:val="auto"/>
          <w:sz w:val="28"/>
          <w:szCs w:val="28"/>
          <w:lang w:val="zh-CN"/>
        </w:rPr>
      </w:pP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九）</w:t>
      </w:r>
      <w:r>
        <w:rPr>
          <w:rFonts w:hint="eastAsia" w:ascii="仿宋" w:hAnsi="仿宋" w:eastAsia="仿宋" w:cs="仿宋"/>
          <w:b/>
          <w:color w:val="auto"/>
          <w:sz w:val="28"/>
          <w:szCs w:val="28"/>
          <w:lang w:val="zh-CN"/>
        </w:rPr>
        <w:t>提供政府采购政策等证明材料</w:t>
      </w:r>
      <w:bookmarkEnd w:id="437"/>
      <w:bookmarkEnd w:id="438"/>
      <w:bookmarkEnd w:id="439"/>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（1）中小企业声明函（如适用，请提供，格式见附件1，注：本项目属于</w:t>
      </w:r>
      <w:r>
        <w:rPr>
          <w:rFonts w:hint="eastAsia" w:ascii="仿宋" w:hAnsi="仿宋" w:eastAsia="仿宋" w:cs="仿宋"/>
          <w:b/>
          <w:bCs/>
          <w:color w:val="auto"/>
          <w:kern w:val="0"/>
          <w:sz w:val="24"/>
          <w:szCs w:val="24"/>
          <w:lang w:val="en-US" w:eastAsia="zh-CN"/>
        </w:rPr>
        <w:t>零售业</w:t>
      </w:r>
      <w:r>
        <w:rPr>
          <w:rFonts w:hint="eastAsia" w:ascii="仿宋" w:hAnsi="仿宋" w:eastAsia="仿宋" w:cs="仿宋"/>
          <w:color w:val="auto"/>
          <w:sz w:val="24"/>
          <w:szCs w:val="24"/>
        </w:rPr>
        <w:t>）；</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（2）残疾人福利性单位声明函（如适用，请提供，格式见附件2）；</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（3）监狱企业、福利企业证明材料（如适用，请提供，格式见附件</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（4）节能环保产品、环境标志产品明细表（如适用，请按招标文件中采购项目需要落实的政府采购政策第2条相关规定提供相关证明材料，格式见附件</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p>
    <w:p>
      <w:pPr>
        <w:keepNext w:val="0"/>
        <w:keepLines w:val="0"/>
        <w:pageBreakBefore/>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附件1</w:t>
      </w:r>
      <w:r>
        <w:rPr>
          <w:rFonts w:hint="eastAsia" w:ascii="仿宋" w:hAnsi="仿宋" w:eastAsia="仿宋" w:cs="仿宋"/>
          <w:b/>
          <w:bCs/>
          <w:color w:val="auto"/>
          <w:sz w:val="24"/>
          <w:szCs w:val="24"/>
          <w:lang w:eastAsia="zh-CN"/>
        </w:rPr>
        <w:t>：</w:t>
      </w:r>
    </w:p>
    <w:p>
      <w:pPr>
        <w:bidi w:val="0"/>
        <w:spacing w:line="360" w:lineRule="auto"/>
        <w:jc w:val="center"/>
        <w:rPr>
          <w:rFonts w:hint="eastAsia" w:ascii="仿宋" w:hAnsi="仿宋" w:eastAsia="仿宋" w:cs="仿宋"/>
          <w:b/>
          <w:bCs/>
          <w:sz w:val="28"/>
          <w:szCs w:val="24"/>
        </w:rPr>
      </w:pPr>
      <w:r>
        <w:rPr>
          <w:rFonts w:hint="eastAsia" w:ascii="仿宋" w:hAnsi="仿宋" w:eastAsia="仿宋" w:cs="仿宋"/>
          <w:b/>
          <w:bCs/>
          <w:sz w:val="28"/>
          <w:szCs w:val="24"/>
        </w:rPr>
        <w:t>中小企业声明函（货物）</w:t>
      </w:r>
    </w:p>
    <w:p>
      <w:pPr>
        <w:widowControl w:val="0"/>
        <w:kinsoku w:val="0"/>
        <w:overflowPunct w:val="0"/>
        <w:spacing w:before="34" w:line="360" w:lineRule="auto"/>
        <w:ind w:firstLine="480" w:firstLineChars="200"/>
        <w:jc w:val="both"/>
        <w:rPr>
          <w:rFonts w:hint="eastAsia" w:ascii="仿宋" w:hAnsi="仿宋" w:eastAsia="仿宋" w:cs="仿宋"/>
          <w:spacing w:val="0"/>
          <w:w w:val="100"/>
          <w:kern w:val="2"/>
          <w:sz w:val="24"/>
          <w:szCs w:val="24"/>
          <w:lang w:val="en-US" w:eastAsia="zh-CN" w:bidi="ar-SA"/>
        </w:rPr>
      </w:pPr>
      <w:r>
        <w:rPr>
          <w:rFonts w:hint="eastAsia" w:ascii="仿宋" w:hAnsi="仿宋" w:eastAsia="仿宋" w:cs="仿宋"/>
          <w:spacing w:val="0"/>
          <w:w w:val="100"/>
          <w:kern w:val="2"/>
          <w:sz w:val="24"/>
          <w:szCs w:val="24"/>
          <w:lang w:val="en-US" w:eastAsia="zh-CN" w:bidi="ar-SA"/>
        </w:rPr>
        <w:t>本公司（联合体）郑重声明，根据《政府采购促进中小企业发展管理办法》（财库﹝2020﹞46号）的规定，本公司（联合体）参加</w:t>
      </w:r>
      <w:r>
        <w:rPr>
          <w:rFonts w:hint="eastAsia" w:ascii="仿宋" w:hAnsi="仿宋" w:eastAsia="仿宋" w:cs="仿宋"/>
          <w:spacing w:val="0"/>
          <w:w w:val="100"/>
          <w:kern w:val="2"/>
          <w:sz w:val="24"/>
          <w:szCs w:val="24"/>
          <w:u w:val="single"/>
          <w:lang w:val="en-US" w:eastAsia="zh-CN" w:bidi="ar-SA"/>
        </w:rPr>
        <w:t>（单位名称）</w:t>
      </w:r>
      <w:r>
        <w:rPr>
          <w:rFonts w:hint="eastAsia" w:ascii="仿宋" w:hAnsi="仿宋" w:eastAsia="仿宋" w:cs="仿宋"/>
          <w:spacing w:val="0"/>
          <w:w w:val="100"/>
          <w:kern w:val="2"/>
          <w:sz w:val="24"/>
          <w:szCs w:val="24"/>
          <w:lang w:val="en-US" w:eastAsia="zh-CN" w:bidi="ar-SA"/>
        </w:rPr>
        <w:t>的</w:t>
      </w:r>
      <w:r>
        <w:rPr>
          <w:rFonts w:hint="eastAsia" w:ascii="仿宋" w:hAnsi="仿宋" w:eastAsia="仿宋" w:cs="仿宋"/>
          <w:spacing w:val="0"/>
          <w:w w:val="100"/>
          <w:kern w:val="2"/>
          <w:sz w:val="24"/>
          <w:szCs w:val="24"/>
          <w:u w:val="single"/>
          <w:lang w:val="en-US" w:eastAsia="zh-CN" w:bidi="ar-SA"/>
        </w:rPr>
        <w:t>（项目名称）</w:t>
      </w:r>
      <w:r>
        <w:rPr>
          <w:rFonts w:hint="eastAsia" w:ascii="仿宋" w:hAnsi="仿宋" w:eastAsia="仿宋" w:cs="仿宋"/>
          <w:spacing w:val="0"/>
          <w:w w:val="100"/>
          <w:kern w:val="2"/>
          <w:sz w:val="24"/>
          <w:szCs w:val="24"/>
          <w:lang w:val="en-US" w:eastAsia="zh-CN" w:bidi="ar-SA"/>
        </w:rPr>
        <w:t>采购活动，提供的货物全部由符合政策要求的中小企业制造。相关企业（含联合体中的中小企业、签订分包意向协议的中小企业）的具体情况如下：</w:t>
      </w:r>
    </w:p>
    <w:p>
      <w:pPr>
        <w:widowControl w:val="0"/>
        <w:tabs>
          <w:tab w:val="left" w:pos="1384"/>
          <w:tab w:val="left" w:pos="4562"/>
          <w:tab w:val="left" w:pos="6803"/>
        </w:tabs>
        <w:kinsoku w:val="0"/>
        <w:overflowPunct w:val="0"/>
        <w:spacing w:before="13" w:line="360" w:lineRule="auto"/>
        <w:ind w:left="105" w:right="142" w:firstLine="655"/>
        <w:jc w:val="both"/>
        <w:rPr>
          <w:rFonts w:hint="eastAsia" w:ascii="仿宋" w:hAnsi="仿宋" w:eastAsia="仿宋" w:cs="仿宋"/>
          <w:spacing w:val="0"/>
          <w:w w:val="100"/>
          <w:kern w:val="2"/>
          <w:sz w:val="24"/>
          <w:szCs w:val="24"/>
          <w:u w:val="single"/>
          <w:lang w:val="en-US" w:eastAsia="zh-CN" w:bidi="ar-SA"/>
        </w:rPr>
      </w:pPr>
      <w:r>
        <w:rPr>
          <w:rFonts w:hint="eastAsia" w:ascii="仿宋" w:hAnsi="仿宋" w:eastAsia="仿宋" w:cs="仿宋"/>
          <w:spacing w:val="0"/>
          <w:w w:val="100"/>
          <w:kern w:val="2"/>
          <w:sz w:val="24"/>
          <w:szCs w:val="24"/>
          <w:lang w:val="en-US" w:eastAsia="zh-CN" w:bidi="ar-SA"/>
        </w:rPr>
        <w:t>1.</w:t>
      </w:r>
      <w:r>
        <w:rPr>
          <w:rFonts w:hint="eastAsia" w:ascii="仿宋" w:hAnsi="仿宋" w:eastAsia="仿宋" w:cs="仿宋"/>
          <w:spacing w:val="0"/>
          <w:w w:val="100"/>
          <w:kern w:val="2"/>
          <w:sz w:val="24"/>
          <w:szCs w:val="24"/>
          <w:u w:val="single"/>
          <w:lang w:val="en-US" w:eastAsia="zh-CN" w:bidi="ar-SA"/>
        </w:rPr>
        <w:t xml:space="preserve"> （标的名称）</w:t>
      </w:r>
      <w:r>
        <w:rPr>
          <w:rFonts w:hint="eastAsia" w:ascii="仿宋" w:hAnsi="仿宋" w:eastAsia="仿宋" w:cs="仿宋"/>
          <w:i/>
          <w:spacing w:val="0"/>
          <w:w w:val="100"/>
          <w:kern w:val="2"/>
          <w:sz w:val="24"/>
          <w:szCs w:val="24"/>
          <w:lang w:val="en-US" w:eastAsia="zh-CN" w:bidi="ar-SA"/>
        </w:rPr>
        <w:t xml:space="preserve"> </w:t>
      </w:r>
      <w:r>
        <w:rPr>
          <w:rFonts w:hint="eastAsia" w:ascii="仿宋" w:hAnsi="仿宋" w:eastAsia="仿宋" w:cs="仿宋"/>
          <w:spacing w:val="0"/>
          <w:w w:val="100"/>
          <w:kern w:val="2"/>
          <w:sz w:val="24"/>
          <w:szCs w:val="24"/>
          <w:lang w:val="en-US" w:eastAsia="zh-CN" w:bidi="ar-SA"/>
        </w:rPr>
        <w:t>，属于</w:t>
      </w:r>
      <w:r>
        <w:rPr>
          <w:rFonts w:hint="eastAsia" w:ascii="仿宋" w:hAnsi="仿宋" w:eastAsia="仿宋" w:cs="仿宋"/>
          <w:spacing w:val="0"/>
          <w:w w:val="100"/>
          <w:kern w:val="2"/>
          <w:sz w:val="24"/>
          <w:szCs w:val="24"/>
          <w:u w:val="single"/>
          <w:lang w:val="en-US" w:eastAsia="zh-CN" w:bidi="ar-SA"/>
        </w:rPr>
        <w:t>（采购文件中明确的所属行业）行业</w:t>
      </w:r>
      <w:r>
        <w:rPr>
          <w:rFonts w:hint="eastAsia" w:ascii="仿宋" w:hAnsi="仿宋" w:eastAsia="仿宋" w:cs="仿宋"/>
          <w:spacing w:val="0"/>
          <w:w w:val="100"/>
          <w:kern w:val="2"/>
          <w:sz w:val="24"/>
          <w:szCs w:val="24"/>
          <w:lang w:val="en-US" w:eastAsia="zh-CN" w:bidi="ar-SA"/>
        </w:rPr>
        <w:t>；制造商为</w:t>
      </w:r>
      <w:r>
        <w:rPr>
          <w:rFonts w:hint="eastAsia" w:ascii="仿宋" w:hAnsi="仿宋" w:eastAsia="仿宋" w:cs="仿宋"/>
          <w:spacing w:val="0"/>
          <w:w w:val="100"/>
          <w:kern w:val="2"/>
          <w:sz w:val="24"/>
          <w:szCs w:val="24"/>
          <w:u w:val="single"/>
          <w:lang w:val="en-US" w:eastAsia="zh-CN" w:bidi="ar-SA"/>
        </w:rPr>
        <w:t>（企业名称），</w:t>
      </w:r>
      <w:r>
        <w:rPr>
          <w:rFonts w:hint="eastAsia" w:ascii="仿宋" w:hAnsi="仿宋" w:eastAsia="仿宋" w:cs="仿宋"/>
          <w:spacing w:val="0"/>
          <w:w w:val="100"/>
          <w:kern w:val="2"/>
          <w:sz w:val="24"/>
          <w:szCs w:val="24"/>
          <w:lang w:val="en-US" w:eastAsia="zh-CN" w:bidi="ar-SA"/>
        </w:rPr>
        <w:t>从业人员</w:t>
      </w:r>
      <w:r>
        <w:rPr>
          <w:rFonts w:hint="eastAsia" w:ascii="仿宋" w:hAnsi="仿宋" w:eastAsia="仿宋" w:cs="仿宋"/>
          <w:spacing w:val="0"/>
          <w:w w:val="100"/>
          <w:kern w:val="2"/>
          <w:sz w:val="24"/>
          <w:szCs w:val="24"/>
          <w:u w:val="single"/>
          <w:lang w:val="en-US" w:eastAsia="zh-CN" w:bidi="ar-SA"/>
        </w:rPr>
        <w:t xml:space="preserve"> </w:t>
      </w:r>
      <w:r>
        <w:rPr>
          <w:rFonts w:hint="eastAsia" w:ascii="仿宋" w:hAnsi="仿宋" w:eastAsia="仿宋" w:cs="仿宋"/>
          <w:spacing w:val="0"/>
          <w:w w:val="100"/>
          <w:kern w:val="2"/>
          <w:sz w:val="24"/>
          <w:szCs w:val="24"/>
          <w:u w:val="single"/>
          <w:lang w:val="en-US" w:eastAsia="zh-CN" w:bidi="ar-SA"/>
        </w:rPr>
        <w:tab/>
      </w:r>
      <w:r>
        <w:rPr>
          <w:rFonts w:hint="eastAsia" w:ascii="仿宋" w:hAnsi="仿宋" w:eastAsia="仿宋" w:cs="仿宋"/>
          <w:spacing w:val="0"/>
          <w:w w:val="100"/>
          <w:kern w:val="2"/>
          <w:sz w:val="24"/>
          <w:szCs w:val="24"/>
          <w:lang w:val="en-US" w:eastAsia="zh-CN" w:bidi="ar-SA"/>
        </w:rPr>
        <w:t>人，营业收入为</w:t>
      </w:r>
      <w:r>
        <w:rPr>
          <w:rFonts w:hint="eastAsia" w:ascii="仿宋" w:hAnsi="仿宋" w:eastAsia="仿宋" w:cs="仿宋"/>
          <w:spacing w:val="0"/>
          <w:w w:val="100"/>
          <w:kern w:val="2"/>
          <w:sz w:val="24"/>
          <w:szCs w:val="24"/>
          <w:u w:val="single"/>
          <w:lang w:val="en-US" w:eastAsia="zh-CN" w:bidi="ar-SA"/>
        </w:rPr>
        <w:t xml:space="preserve"> </w:t>
      </w:r>
      <w:r>
        <w:rPr>
          <w:rFonts w:hint="eastAsia" w:ascii="仿宋" w:hAnsi="仿宋" w:eastAsia="仿宋" w:cs="仿宋"/>
          <w:spacing w:val="0"/>
          <w:w w:val="100"/>
          <w:kern w:val="2"/>
          <w:sz w:val="24"/>
          <w:szCs w:val="24"/>
          <w:u w:val="single"/>
          <w:lang w:val="en-US" w:eastAsia="zh-CN" w:bidi="ar-SA"/>
        </w:rPr>
        <w:tab/>
      </w:r>
      <w:r>
        <w:rPr>
          <w:rFonts w:hint="eastAsia" w:ascii="仿宋" w:hAnsi="仿宋" w:eastAsia="仿宋" w:cs="仿宋"/>
          <w:spacing w:val="0"/>
          <w:w w:val="100"/>
          <w:kern w:val="2"/>
          <w:sz w:val="24"/>
          <w:szCs w:val="24"/>
          <w:lang w:val="en-US" w:eastAsia="zh-CN" w:bidi="ar-SA"/>
        </w:rPr>
        <w:t>万元，资产总额为</w:t>
      </w:r>
      <w:r>
        <w:rPr>
          <w:rFonts w:hint="eastAsia" w:ascii="仿宋" w:hAnsi="仿宋" w:eastAsia="仿宋" w:cs="仿宋"/>
          <w:spacing w:val="0"/>
          <w:w w:val="100"/>
          <w:kern w:val="2"/>
          <w:sz w:val="24"/>
          <w:szCs w:val="24"/>
          <w:u w:val="single"/>
          <w:lang w:val="en-US" w:eastAsia="zh-CN" w:bidi="ar-SA"/>
        </w:rPr>
        <w:t xml:space="preserve"> </w:t>
      </w:r>
      <w:r>
        <w:rPr>
          <w:rFonts w:hint="eastAsia" w:ascii="仿宋" w:hAnsi="仿宋" w:eastAsia="仿宋" w:cs="仿宋"/>
          <w:spacing w:val="0"/>
          <w:w w:val="100"/>
          <w:kern w:val="2"/>
          <w:sz w:val="24"/>
          <w:szCs w:val="24"/>
          <w:u w:val="single"/>
          <w:lang w:val="en-US" w:eastAsia="zh-CN" w:bidi="ar-SA"/>
        </w:rPr>
        <w:tab/>
      </w:r>
      <w:r>
        <w:rPr>
          <w:rFonts w:hint="eastAsia" w:ascii="仿宋" w:hAnsi="仿宋" w:eastAsia="仿宋" w:cs="仿宋"/>
          <w:spacing w:val="0"/>
          <w:w w:val="100"/>
          <w:kern w:val="2"/>
          <w:sz w:val="24"/>
          <w:szCs w:val="24"/>
          <w:lang w:val="en-US" w:eastAsia="zh-CN" w:bidi="ar-SA"/>
        </w:rPr>
        <w:t>万元，属于</w:t>
      </w:r>
      <w:r>
        <w:rPr>
          <w:rFonts w:hint="eastAsia" w:ascii="仿宋" w:hAnsi="仿宋" w:eastAsia="仿宋" w:cs="仿宋"/>
          <w:spacing w:val="0"/>
          <w:w w:val="100"/>
          <w:kern w:val="2"/>
          <w:sz w:val="24"/>
          <w:szCs w:val="24"/>
          <w:u w:val="single"/>
          <w:lang w:val="en-US" w:eastAsia="zh-CN" w:bidi="ar-SA"/>
        </w:rPr>
        <w:t>（中型企业、小型企业、微型企业）；</w:t>
      </w:r>
    </w:p>
    <w:p>
      <w:pPr>
        <w:widowControl w:val="0"/>
        <w:tabs>
          <w:tab w:val="left" w:pos="1065"/>
          <w:tab w:val="left" w:pos="4262"/>
          <w:tab w:val="left" w:pos="6477"/>
        </w:tabs>
        <w:kinsoku w:val="0"/>
        <w:overflowPunct w:val="0"/>
        <w:spacing w:before="20" w:line="360" w:lineRule="auto"/>
        <w:ind w:left="105" w:right="142" w:firstLine="655"/>
        <w:jc w:val="both"/>
        <w:rPr>
          <w:rFonts w:hint="eastAsia" w:ascii="仿宋" w:hAnsi="仿宋" w:eastAsia="仿宋" w:cs="仿宋"/>
          <w:spacing w:val="0"/>
          <w:w w:val="100"/>
          <w:kern w:val="2"/>
          <w:sz w:val="24"/>
          <w:szCs w:val="24"/>
          <w:u w:val="single"/>
          <w:lang w:val="en-US" w:eastAsia="zh-CN" w:bidi="ar-SA"/>
        </w:rPr>
      </w:pPr>
      <w:r>
        <w:rPr>
          <w:rFonts w:hint="eastAsia" w:ascii="仿宋" w:hAnsi="仿宋" w:eastAsia="仿宋" w:cs="仿宋"/>
          <w:spacing w:val="0"/>
          <w:w w:val="100"/>
          <w:kern w:val="2"/>
          <w:sz w:val="24"/>
          <w:szCs w:val="24"/>
          <w:lang w:val="en-US" w:eastAsia="zh-CN" w:bidi="ar-SA"/>
        </w:rPr>
        <w:t>2.</w:t>
      </w:r>
      <w:r>
        <w:rPr>
          <w:rFonts w:hint="eastAsia" w:ascii="仿宋" w:hAnsi="仿宋" w:eastAsia="仿宋" w:cs="仿宋"/>
          <w:spacing w:val="0"/>
          <w:w w:val="100"/>
          <w:kern w:val="2"/>
          <w:sz w:val="24"/>
          <w:szCs w:val="24"/>
          <w:u w:val="single"/>
          <w:lang w:val="en-US" w:eastAsia="zh-CN" w:bidi="ar-SA"/>
        </w:rPr>
        <w:t xml:space="preserve"> （标的名称）</w:t>
      </w:r>
      <w:r>
        <w:rPr>
          <w:rFonts w:hint="eastAsia" w:ascii="仿宋" w:hAnsi="仿宋" w:eastAsia="仿宋" w:cs="仿宋"/>
          <w:i/>
          <w:spacing w:val="0"/>
          <w:w w:val="100"/>
          <w:kern w:val="2"/>
          <w:sz w:val="24"/>
          <w:szCs w:val="24"/>
          <w:lang w:val="en-US" w:eastAsia="zh-CN" w:bidi="ar-SA"/>
        </w:rPr>
        <w:t xml:space="preserve"> </w:t>
      </w:r>
      <w:r>
        <w:rPr>
          <w:rFonts w:hint="eastAsia" w:ascii="仿宋" w:hAnsi="仿宋" w:eastAsia="仿宋" w:cs="仿宋"/>
          <w:spacing w:val="0"/>
          <w:w w:val="100"/>
          <w:kern w:val="2"/>
          <w:sz w:val="24"/>
          <w:szCs w:val="24"/>
          <w:lang w:val="en-US" w:eastAsia="zh-CN" w:bidi="ar-SA"/>
        </w:rPr>
        <w:t>，属于</w:t>
      </w:r>
      <w:r>
        <w:rPr>
          <w:rFonts w:hint="eastAsia" w:ascii="仿宋" w:hAnsi="仿宋" w:eastAsia="仿宋" w:cs="仿宋"/>
          <w:spacing w:val="0"/>
          <w:w w:val="100"/>
          <w:kern w:val="2"/>
          <w:sz w:val="24"/>
          <w:szCs w:val="24"/>
          <w:u w:val="single"/>
          <w:lang w:val="en-US" w:eastAsia="zh-CN" w:bidi="ar-SA"/>
        </w:rPr>
        <w:t>（采购文件中明确的所属行业）行业</w:t>
      </w:r>
      <w:r>
        <w:rPr>
          <w:rFonts w:hint="eastAsia" w:ascii="仿宋" w:hAnsi="仿宋" w:eastAsia="仿宋" w:cs="仿宋"/>
          <w:spacing w:val="0"/>
          <w:w w:val="100"/>
          <w:kern w:val="2"/>
          <w:sz w:val="24"/>
          <w:szCs w:val="24"/>
          <w:lang w:val="en-US" w:eastAsia="zh-CN" w:bidi="ar-SA"/>
        </w:rPr>
        <w:t>；制造商为</w:t>
      </w:r>
      <w:r>
        <w:rPr>
          <w:rFonts w:hint="eastAsia" w:ascii="仿宋" w:hAnsi="仿宋" w:eastAsia="仿宋" w:cs="仿宋"/>
          <w:spacing w:val="0"/>
          <w:w w:val="100"/>
          <w:kern w:val="2"/>
          <w:sz w:val="24"/>
          <w:szCs w:val="24"/>
          <w:u w:val="single"/>
          <w:lang w:val="en-US" w:eastAsia="zh-CN" w:bidi="ar-SA"/>
        </w:rPr>
        <w:t>（企业名称），</w:t>
      </w:r>
      <w:r>
        <w:rPr>
          <w:rFonts w:hint="eastAsia" w:ascii="仿宋" w:hAnsi="仿宋" w:eastAsia="仿宋" w:cs="仿宋"/>
          <w:spacing w:val="0"/>
          <w:w w:val="100"/>
          <w:kern w:val="2"/>
          <w:sz w:val="24"/>
          <w:szCs w:val="24"/>
          <w:lang w:val="en-US" w:eastAsia="zh-CN" w:bidi="ar-SA"/>
        </w:rPr>
        <w:t>从业人员</w:t>
      </w:r>
      <w:r>
        <w:rPr>
          <w:rFonts w:hint="eastAsia" w:ascii="仿宋" w:hAnsi="仿宋" w:eastAsia="仿宋" w:cs="仿宋"/>
          <w:spacing w:val="0"/>
          <w:w w:val="100"/>
          <w:kern w:val="2"/>
          <w:sz w:val="24"/>
          <w:szCs w:val="24"/>
          <w:u w:val="single"/>
          <w:lang w:val="en-US" w:eastAsia="zh-CN" w:bidi="ar-SA"/>
        </w:rPr>
        <w:t xml:space="preserve"> </w:t>
      </w:r>
      <w:r>
        <w:rPr>
          <w:rFonts w:hint="eastAsia" w:ascii="仿宋" w:hAnsi="仿宋" w:eastAsia="仿宋" w:cs="仿宋"/>
          <w:spacing w:val="0"/>
          <w:w w:val="100"/>
          <w:kern w:val="2"/>
          <w:sz w:val="24"/>
          <w:szCs w:val="24"/>
          <w:u w:val="single"/>
          <w:lang w:val="en-US" w:eastAsia="zh-CN" w:bidi="ar-SA"/>
        </w:rPr>
        <w:tab/>
      </w:r>
      <w:r>
        <w:rPr>
          <w:rFonts w:hint="eastAsia" w:ascii="仿宋" w:hAnsi="仿宋" w:eastAsia="仿宋" w:cs="仿宋"/>
          <w:spacing w:val="0"/>
          <w:w w:val="100"/>
          <w:kern w:val="2"/>
          <w:sz w:val="24"/>
          <w:szCs w:val="24"/>
          <w:lang w:val="en-US" w:eastAsia="zh-CN" w:bidi="ar-SA"/>
        </w:rPr>
        <w:t>人，营业收入为</w:t>
      </w:r>
      <w:r>
        <w:rPr>
          <w:rFonts w:hint="eastAsia" w:ascii="仿宋" w:hAnsi="仿宋" w:eastAsia="仿宋" w:cs="仿宋"/>
          <w:spacing w:val="0"/>
          <w:w w:val="100"/>
          <w:kern w:val="2"/>
          <w:sz w:val="24"/>
          <w:szCs w:val="24"/>
          <w:u w:val="single"/>
          <w:lang w:val="en-US" w:eastAsia="zh-CN" w:bidi="ar-SA"/>
        </w:rPr>
        <w:t xml:space="preserve"> </w:t>
      </w:r>
      <w:r>
        <w:rPr>
          <w:rFonts w:hint="eastAsia" w:ascii="仿宋" w:hAnsi="仿宋" w:eastAsia="仿宋" w:cs="仿宋"/>
          <w:spacing w:val="0"/>
          <w:w w:val="100"/>
          <w:kern w:val="2"/>
          <w:sz w:val="24"/>
          <w:szCs w:val="24"/>
          <w:u w:val="single"/>
          <w:lang w:val="en-US" w:eastAsia="zh-CN" w:bidi="ar-SA"/>
        </w:rPr>
        <w:tab/>
      </w:r>
      <w:r>
        <w:rPr>
          <w:rFonts w:hint="eastAsia" w:ascii="仿宋" w:hAnsi="仿宋" w:eastAsia="仿宋" w:cs="仿宋"/>
          <w:spacing w:val="0"/>
          <w:w w:val="100"/>
          <w:kern w:val="2"/>
          <w:sz w:val="24"/>
          <w:szCs w:val="24"/>
          <w:lang w:val="en-US" w:eastAsia="zh-CN" w:bidi="ar-SA"/>
        </w:rPr>
        <w:t>万元，资产总额为</w:t>
      </w:r>
      <w:r>
        <w:rPr>
          <w:rFonts w:hint="eastAsia" w:ascii="仿宋" w:hAnsi="仿宋" w:eastAsia="仿宋" w:cs="仿宋"/>
          <w:spacing w:val="0"/>
          <w:w w:val="100"/>
          <w:kern w:val="2"/>
          <w:sz w:val="24"/>
          <w:szCs w:val="24"/>
          <w:u w:val="single"/>
          <w:lang w:val="en-US" w:eastAsia="zh-CN" w:bidi="ar-SA"/>
        </w:rPr>
        <w:t xml:space="preserve"> </w:t>
      </w:r>
      <w:r>
        <w:rPr>
          <w:rFonts w:hint="eastAsia" w:ascii="仿宋" w:hAnsi="仿宋" w:eastAsia="仿宋" w:cs="仿宋"/>
          <w:spacing w:val="0"/>
          <w:w w:val="100"/>
          <w:kern w:val="2"/>
          <w:sz w:val="24"/>
          <w:szCs w:val="24"/>
          <w:u w:val="single"/>
          <w:lang w:val="en-US" w:eastAsia="zh-CN" w:bidi="ar-SA"/>
        </w:rPr>
        <w:tab/>
      </w:r>
      <w:r>
        <w:rPr>
          <w:rFonts w:hint="eastAsia" w:ascii="仿宋" w:hAnsi="仿宋" w:eastAsia="仿宋" w:cs="仿宋"/>
          <w:spacing w:val="0"/>
          <w:w w:val="100"/>
          <w:kern w:val="2"/>
          <w:sz w:val="24"/>
          <w:szCs w:val="24"/>
          <w:lang w:val="en-US" w:eastAsia="zh-CN" w:bidi="ar-SA"/>
        </w:rPr>
        <w:t>万元，属于</w:t>
      </w:r>
      <w:r>
        <w:rPr>
          <w:rFonts w:hint="eastAsia" w:ascii="仿宋" w:hAnsi="仿宋" w:eastAsia="仿宋" w:cs="仿宋"/>
          <w:spacing w:val="0"/>
          <w:w w:val="100"/>
          <w:kern w:val="2"/>
          <w:sz w:val="24"/>
          <w:szCs w:val="24"/>
          <w:u w:val="single"/>
          <w:lang w:val="en-US" w:eastAsia="zh-CN" w:bidi="ar-SA"/>
        </w:rPr>
        <w:t>（中型企业、小型企业、微型企业）；</w:t>
      </w:r>
    </w:p>
    <w:p>
      <w:pPr>
        <w:widowControl w:val="0"/>
        <w:kinsoku w:val="0"/>
        <w:overflowPunct w:val="0"/>
        <w:spacing w:before="34" w:line="360" w:lineRule="auto"/>
        <w:ind w:firstLine="480" w:firstLineChars="200"/>
        <w:jc w:val="both"/>
        <w:rPr>
          <w:rFonts w:hint="eastAsia" w:ascii="仿宋" w:hAnsi="仿宋" w:eastAsia="仿宋" w:cs="仿宋"/>
          <w:spacing w:val="0"/>
          <w:w w:val="100"/>
          <w:kern w:val="2"/>
          <w:sz w:val="24"/>
          <w:szCs w:val="24"/>
          <w:lang w:val="en-US" w:eastAsia="zh-CN" w:bidi="ar-SA"/>
        </w:rPr>
      </w:pPr>
      <w:r>
        <w:rPr>
          <w:rFonts w:hint="eastAsia" w:ascii="仿宋" w:hAnsi="仿宋" w:eastAsia="仿宋" w:cs="仿宋"/>
          <w:spacing w:val="0"/>
          <w:w w:val="100"/>
          <w:kern w:val="2"/>
          <w:sz w:val="24"/>
          <w:szCs w:val="24"/>
          <w:lang w:val="en-US" w:eastAsia="zh-CN" w:bidi="ar-SA"/>
        </w:rPr>
        <w:t xml:space="preserve">…… </w:t>
      </w:r>
    </w:p>
    <w:p>
      <w:pPr>
        <w:widowControl w:val="0"/>
        <w:kinsoku w:val="0"/>
        <w:overflowPunct w:val="0"/>
        <w:spacing w:before="34" w:line="360" w:lineRule="auto"/>
        <w:ind w:firstLine="480" w:firstLineChars="200"/>
        <w:jc w:val="both"/>
        <w:rPr>
          <w:rFonts w:hint="eastAsia" w:ascii="仿宋" w:hAnsi="仿宋" w:eastAsia="仿宋" w:cs="仿宋"/>
          <w:spacing w:val="0"/>
          <w:w w:val="100"/>
          <w:kern w:val="2"/>
          <w:sz w:val="24"/>
          <w:szCs w:val="24"/>
          <w:lang w:val="en-US" w:eastAsia="zh-CN" w:bidi="ar-SA"/>
        </w:rPr>
      </w:pPr>
      <w:r>
        <w:rPr>
          <w:rFonts w:hint="eastAsia" w:ascii="仿宋" w:hAnsi="仿宋" w:eastAsia="仿宋" w:cs="仿宋"/>
          <w:spacing w:val="0"/>
          <w:w w:val="100"/>
          <w:kern w:val="2"/>
          <w:sz w:val="24"/>
          <w:szCs w:val="24"/>
          <w:lang w:val="en-US" w:eastAsia="zh-CN" w:bidi="ar-SA"/>
        </w:rPr>
        <w:t>以上企业，不属于大企业的分支机构，不存在控股股东为大企业的情形，也不存在与大企业的负责人为同一人的情形。</w:t>
      </w:r>
    </w:p>
    <w:p>
      <w:pPr>
        <w:widowControl w:val="0"/>
        <w:kinsoku w:val="0"/>
        <w:overflowPunct w:val="0"/>
        <w:spacing w:before="34" w:line="360" w:lineRule="auto"/>
        <w:ind w:firstLine="480" w:firstLineChars="200"/>
        <w:jc w:val="both"/>
        <w:rPr>
          <w:rFonts w:hint="eastAsia" w:ascii="仿宋" w:hAnsi="仿宋" w:eastAsia="仿宋" w:cs="仿宋"/>
          <w:spacing w:val="0"/>
          <w:w w:val="100"/>
          <w:kern w:val="2"/>
          <w:sz w:val="24"/>
          <w:szCs w:val="24"/>
          <w:lang w:val="en-US" w:eastAsia="zh-CN" w:bidi="ar-SA"/>
        </w:rPr>
      </w:pPr>
      <w:r>
        <w:rPr>
          <w:rFonts w:hint="eastAsia" w:ascii="仿宋" w:hAnsi="仿宋" w:eastAsia="仿宋" w:cs="仿宋"/>
          <w:spacing w:val="0"/>
          <w:w w:val="100"/>
          <w:kern w:val="2"/>
          <w:sz w:val="24"/>
          <w:szCs w:val="24"/>
          <w:lang w:val="en-US" w:eastAsia="zh-CN" w:bidi="ar-SA"/>
        </w:rPr>
        <w:t>本企业对上述声明内容的真实性负责。如有虚假，将依法承担相应责任。</w:t>
      </w:r>
    </w:p>
    <w:p>
      <w:pPr>
        <w:keepLines w:val="0"/>
        <w:kinsoku/>
        <w:wordWrap/>
        <w:overflowPunct/>
        <w:bidi w:val="0"/>
        <w:spacing w:line="360" w:lineRule="auto"/>
        <w:ind w:firstLine="2880" w:firstLineChars="1200"/>
        <w:rPr>
          <w:rFonts w:hint="eastAsia" w:ascii="仿宋" w:hAnsi="仿宋" w:eastAsia="仿宋" w:cs="仿宋"/>
          <w:color w:val="auto"/>
          <w:spacing w:val="0"/>
          <w:w w:val="100"/>
          <w:sz w:val="24"/>
          <w:szCs w:val="24"/>
        </w:rPr>
      </w:pPr>
    </w:p>
    <w:p>
      <w:pPr>
        <w:keepLines w:val="0"/>
        <w:kinsoku/>
        <w:wordWrap/>
        <w:overflowPunct/>
        <w:bidi w:val="0"/>
        <w:spacing w:line="360" w:lineRule="auto"/>
        <w:ind w:left="0" w:leftChars="0" w:firstLine="3998" w:firstLineChars="1666"/>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企业名称（盖章）：</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 xml:space="preserve"> </w:t>
      </w:r>
    </w:p>
    <w:p>
      <w:pPr>
        <w:keepLines w:val="0"/>
        <w:kinsoku/>
        <w:wordWrap/>
        <w:overflowPunct/>
        <w:bidi w:val="0"/>
        <w:spacing w:line="360" w:lineRule="auto"/>
        <w:ind w:left="0" w:leftChars="0" w:firstLine="3998" w:firstLineChars="1666"/>
        <w:rPr>
          <w:rFonts w:hint="eastAsia" w:ascii="仿宋" w:hAnsi="仿宋" w:eastAsia="仿宋" w:cs="仿宋"/>
          <w:color w:val="auto"/>
          <w:spacing w:val="0"/>
          <w:w w:val="100"/>
          <w:sz w:val="24"/>
          <w:szCs w:val="24"/>
          <w:u w:val="single"/>
        </w:rPr>
      </w:pPr>
      <w:r>
        <w:rPr>
          <w:rFonts w:hint="eastAsia" w:ascii="仿宋" w:hAnsi="仿宋" w:eastAsia="仿宋" w:cs="仿宋"/>
          <w:color w:val="auto"/>
          <w:spacing w:val="0"/>
          <w:w w:val="100"/>
          <w:sz w:val="24"/>
          <w:szCs w:val="24"/>
        </w:rPr>
        <w:t xml:space="preserve">日 </w:t>
      </w:r>
      <w:r>
        <w:rPr>
          <w:rFonts w:hint="eastAsia" w:ascii="仿宋" w:hAnsi="仿宋" w:eastAsia="仿宋" w:cs="仿宋"/>
          <w:color w:val="auto"/>
          <w:spacing w:val="0"/>
          <w:w w:val="100"/>
          <w:sz w:val="24"/>
          <w:szCs w:val="24"/>
          <w:lang w:val="en-US" w:eastAsia="zh-CN"/>
        </w:rPr>
        <w:t xml:space="preserve">   </w:t>
      </w:r>
      <w:r>
        <w:rPr>
          <w:rFonts w:hint="eastAsia" w:ascii="仿宋" w:hAnsi="仿宋" w:eastAsia="仿宋" w:cs="仿宋"/>
          <w:color w:val="auto"/>
          <w:spacing w:val="0"/>
          <w:w w:val="100"/>
          <w:sz w:val="24"/>
          <w:szCs w:val="24"/>
        </w:rPr>
        <w:t>期：</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u w:val="single"/>
        </w:rPr>
        <w:t xml:space="preserve">          </w:t>
      </w:r>
    </w:p>
    <w:p>
      <w:pPr>
        <w:autoSpaceDE w:val="0"/>
        <w:autoSpaceDN w:val="0"/>
        <w:adjustRightInd w:val="0"/>
        <w:spacing w:line="360" w:lineRule="auto"/>
        <w:ind w:firstLine="480" w:firstLineChars="200"/>
        <w:rPr>
          <w:rFonts w:hint="eastAsia" w:ascii="仿宋" w:hAnsi="仿宋" w:eastAsia="仿宋" w:cs="仿宋"/>
          <w:spacing w:val="0"/>
          <w:w w:val="100"/>
          <w:sz w:val="24"/>
          <w:szCs w:val="24"/>
        </w:rPr>
      </w:pPr>
    </w:p>
    <w:p>
      <w:pPr>
        <w:autoSpaceDE w:val="0"/>
        <w:autoSpaceDN w:val="0"/>
        <w:adjustRightInd w:val="0"/>
        <w:spacing w:line="360" w:lineRule="auto"/>
        <w:ind w:firstLine="480" w:firstLineChars="200"/>
        <w:rPr>
          <w:rFonts w:hint="default" w:ascii="仿宋" w:hAnsi="仿宋" w:eastAsia="仿宋" w:cs="仿宋"/>
          <w:spacing w:val="0"/>
          <w:w w:val="100"/>
          <w:sz w:val="24"/>
          <w:szCs w:val="24"/>
          <w:highlight w:val="none"/>
          <w:lang w:val="en-US" w:eastAsia="zh-CN"/>
        </w:rPr>
      </w:pPr>
      <w:r>
        <w:rPr>
          <w:rFonts w:hint="eastAsia" w:ascii="仿宋" w:hAnsi="仿宋" w:eastAsia="仿宋" w:cs="仿宋"/>
          <w:spacing w:val="0"/>
          <w:w w:val="100"/>
          <w:sz w:val="24"/>
          <w:szCs w:val="24"/>
          <w:lang w:val="en-US" w:eastAsia="zh-CN"/>
        </w:rPr>
        <w:t>注：</w:t>
      </w:r>
      <w:r>
        <w:rPr>
          <w:rFonts w:hint="eastAsia" w:ascii="仿宋" w:hAnsi="仿宋" w:eastAsia="仿宋" w:cs="仿宋"/>
          <w:spacing w:val="0"/>
          <w:w w:val="100"/>
          <w:sz w:val="24"/>
          <w:szCs w:val="24"/>
        </w:rPr>
        <w:t>从业人员、营业收入、资产总额填报上一年度数据，无上一年度数据的新成立企业可不填报。</w:t>
      </w:r>
    </w:p>
    <w:p>
      <w:pPr>
        <w:pageBreakBefore/>
        <w:spacing w:line="360" w:lineRule="auto"/>
        <w:ind w:firstLine="482" w:firstLineChars="200"/>
        <w:rPr>
          <w:rFonts w:ascii="仿宋" w:hAnsi="仿宋" w:eastAsia="仿宋" w:cs="仿宋"/>
          <w:b/>
          <w:color w:val="auto"/>
          <w:spacing w:val="6"/>
          <w:sz w:val="24"/>
          <w:szCs w:val="24"/>
        </w:rPr>
      </w:pPr>
      <w:r>
        <w:rPr>
          <w:rFonts w:hint="eastAsia" w:ascii="仿宋" w:hAnsi="仿宋" w:eastAsia="仿宋" w:cs="仿宋"/>
          <w:b/>
          <w:color w:val="auto"/>
          <w:sz w:val="24"/>
          <w:szCs w:val="24"/>
        </w:rPr>
        <w:t>附件2：</w:t>
      </w:r>
    </w:p>
    <w:p>
      <w:pPr>
        <w:spacing w:line="360" w:lineRule="auto"/>
        <w:jc w:val="center"/>
        <w:rPr>
          <w:rFonts w:ascii="仿宋" w:hAnsi="仿宋" w:eastAsia="仿宋" w:cs="仿宋"/>
          <w:b/>
          <w:color w:val="auto"/>
          <w:spacing w:val="6"/>
          <w:sz w:val="24"/>
          <w:szCs w:val="24"/>
        </w:rPr>
      </w:pPr>
      <w:r>
        <w:rPr>
          <w:rFonts w:hint="eastAsia" w:ascii="仿宋" w:hAnsi="仿宋" w:eastAsia="仿宋" w:cs="仿宋"/>
          <w:b/>
          <w:color w:val="auto"/>
          <w:spacing w:val="6"/>
          <w:sz w:val="24"/>
          <w:szCs w:val="24"/>
        </w:rPr>
        <w:t>残疾人福利性单位声明函</w:t>
      </w:r>
    </w:p>
    <w:p>
      <w:pPr>
        <w:spacing w:line="360" w:lineRule="auto"/>
        <w:ind w:firstLine="504" w:firstLineChars="200"/>
        <w:rPr>
          <w:rFonts w:ascii="仿宋" w:hAnsi="仿宋" w:eastAsia="仿宋" w:cs="仿宋"/>
          <w:color w:val="auto"/>
          <w:spacing w:val="6"/>
          <w:sz w:val="24"/>
          <w:szCs w:val="24"/>
        </w:rPr>
      </w:pPr>
      <w:r>
        <w:rPr>
          <w:rFonts w:hint="eastAsia" w:ascii="仿宋" w:hAnsi="仿宋" w:eastAsia="仿宋" w:cs="仿宋"/>
          <w:color w:val="auto"/>
          <w:spacing w:val="6"/>
          <w:sz w:val="24"/>
          <w:szCs w:val="24"/>
        </w:rPr>
        <w:t>本单位郑重声明，根据《财政部 民政部 中国残疾人联合会关于促进残疾人就业政府采购政策的通知》（财库</w:t>
      </w:r>
      <w:r>
        <w:rPr>
          <w:rFonts w:hint="eastAsia" w:ascii="仿宋" w:hAnsi="仿宋" w:eastAsia="仿宋" w:cs="仿宋"/>
          <w:color w:val="auto"/>
          <w:sz w:val="24"/>
          <w:szCs w:val="24"/>
        </w:rPr>
        <w:t>〔2017〕 141</w:t>
      </w:r>
      <w:r>
        <w:rPr>
          <w:rFonts w:hint="eastAsia" w:ascii="仿宋" w:hAnsi="仿宋" w:eastAsia="仿宋" w:cs="仿宋"/>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仿宋" w:hAnsi="仿宋" w:eastAsia="仿宋" w:cs="仿宋"/>
          <w:color w:val="auto"/>
          <w:spacing w:val="6"/>
          <w:sz w:val="24"/>
          <w:szCs w:val="24"/>
        </w:rPr>
      </w:pPr>
      <w:r>
        <w:rPr>
          <w:rFonts w:hint="eastAsia" w:ascii="仿宋" w:hAnsi="仿宋" w:eastAsia="仿宋" w:cs="仿宋"/>
          <w:color w:val="auto"/>
          <w:spacing w:val="6"/>
          <w:sz w:val="24"/>
          <w:szCs w:val="24"/>
        </w:rPr>
        <w:t>本单位对上述声明的真实性负责。如有虚假，将依法承担相应责任。</w:t>
      </w: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adjustRightInd w:val="0"/>
        <w:snapToGrid w:val="0"/>
        <w:spacing w:line="360" w:lineRule="auto"/>
        <w:rPr>
          <w:rFonts w:ascii="仿宋" w:hAnsi="仿宋" w:eastAsia="仿宋" w:cs="仿宋"/>
          <w:color w:val="auto"/>
          <w:sz w:val="24"/>
          <w:szCs w:val="24"/>
        </w:rPr>
      </w:pPr>
    </w:p>
    <w:p>
      <w:pPr>
        <w:autoSpaceDE w:val="0"/>
        <w:autoSpaceDN w:val="0"/>
        <w:adjustRightInd w:val="0"/>
        <w:snapToGrid w:val="0"/>
        <w:spacing w:line="360" w:lineRule="auto"/>
        <w:rPr>
          <w:rFonts w:ascii="仿宋" w:hAnsi="仿宋" w:eastAsia="仿宋" w:cs="仿宋"/>
          <w:bCs/>
          <w:color w:val="auto"/>
          <w:sz w:val="24"/>
          <w:szCs w:val="24"/>
        </w:rPr>
      </w:pPr>
      <w:r>
        <w:rPr>
          <w:rFonts w:hint="eastAsia" w:ascii="仿宋" w:hAnsi="仿宋" w:eastAsia="仿宋" w:cs="仿宋"/>
          <w:color w:val="auto"/>
          <w:sz w:val="24"/>
          <w:szCs w:val="24"/>
        </w:rPr>
        <w:t>说明：</w:t>
      </w:r>
      <w:r>
        <w:rPr>
          <w:rFonts w:hint="eastAsia" w:ascii="仿宋" w:hAnsi="仿宋" w:eastAsia="仿宋" w:cs="仿宋"/>
          <w:bCs/>
          <w:color w:val="auto"/>
          <w:sz w:val="24"/>
          <w:szCs w:val="24"/>
        </w:rPr>
        <w:t>未按上述要求提供、</w:t>
      </w:r>
      <w:r>
        <w:rPr>
          <w:rFonts w:hint="eastAsia" w:ascii="仿宋" w:hAnsi="仿宋" w:eastAsia="仿宋" w:cs="仿宋"/>
          <w:color w:val="auto"/>
          <w:sz w:val="24"/>
          <w:szCs w:val="24"/>
        </w:rPr>
        <w:t>填写</w:t>
      </w:r>
      <w:r>
        <w:rPr>
          <w:rFonts w:hint="eastAsia" w:ascii="仿宋" w:hAnsi="仿宋" w:eastAsia="仿宋" w:cs="仿宋"/>
          <w:bCs/>
          <w:color w:val="auto"/>
          <w:sz w:val="24"/>
          <w:szCs w:val="24"/>
        </w:rPr>
        <w:t>的，评审时不予以考虑。</w:t>
      </w:r>
    </w:p>
    <w:p>
      <w:pPr>
        <w:pageBreakBefore/>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附件3：</w:t>
      </w:r>
    </w:p>
    <w:p>
      <w:pPr>
        <w:spacing w:line="360" w:lineRule="auto"/>
        <w:ind w:firstLine="506" w:firstLineChars="200"/>
        <w:jc w:val="center"/>
        <w:rPr>
          <w:rFonts w:ascii="仿宋" w:hAnsi="仿宋" w:eastAsia="仿宋" w:cs="仿宋"/>
          <w:b/>
          <w:bCs/>
          <w:color w:val="auto"/>
          <w:spacing w:val="6"/>
          <w:sz w:val="24"/>
          <w:szCs w:val="24"/>
        </w:rPr>
      </w:pPr>
      <w:r>
        <w:rPr>
          <w:rFonts w:hint="eastAsia" w:ascii="仿宋" w:hAnsi="仿宋" w:eastAsia="仿宋" w:cs="仿宋"/>
          <w:b/>
          <w:bCs/>
          <w:color w:val="auto"/>
          <w:spacing w:val="6"/>
          <w:sz w:val="24"/>
          <w:szCs w:val="24"/>
        </w:rPr>
        <w:t>监狱企业证明函</w:t>
      </w:r>
    </w:p>
    <w:p>
      <w:pPr>
        <w:spacing w:line="360" w:lineRule="auto"/>
        <w:ind w:firstLine="504" w:firstLineChars="200"/>
        <w:rPr>
          <w:rFonts w:ascii="仿宋" w:hAnsi="仿宋" w:eastAsia="仿宋" w:cs="仿宋"/>
          <w:color w:val="auto"/>
          <w:spacing w:val="6"/>
          <w:sz w:val="24"/>
          <w:szCs w:val="24"/>
        </w:rPr>
      </w:pPr>
      <w:r>
        <w:rPr>
          <w:rFonts w:hint="eastAsia" w:ascii="仿宋" w:hAnsi="仿宋" w:eastAsia="仿宋" w:cs="仿宋"/>
          <w:color w:val="auto"/>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504" w:firstLineChars="200"/>
        <w:rPr>
          <w:rFonts w:ascii="仿宋" w:hAnsi="仿宋" w:eastAsia="仿宋" w:cs="仿宋"/>
          <w:color w:val="auto"/>
          <w:spacing w:val="6"/>
          <w:sz w:val="24"/>
          <w:szCs w:val="24"/>
        </w:rPr>
      </w:pPr>
      <w:r>
        <w:rPr>
          <w:rFonts w:hint="eastAsia" w:ascii="仿宋" w:hAnsi="仿宋" w:eastAsia="仿宋" w:cs="仿宋"/>
          <w:color w:val="auto"/>
          <w:spacing w:val="6"/>
          <w:sz w:val="24"/>
          <w:szCs w:val="24"/>
        </w:rPr>
        <w:t>监狱企业参加政府采购活动时，应当提供由省级以上监狱管理局、戒毒管理局（含新疆生产建设兵团）出具的属于监狱企业的证明文件。</w:t>
      </w:r>
    </w:p>
    <w:p>
      <w:pPr>
        <w:spacing w:line="588" w:lineRule="exact"/>
        <w:ind w:firstLine="436" w:firstLineChars="200"/>
        <w:rPr>
          <w:rFonts w:ascii="仿宋" w:hAnsi="仿宋" w:eastAsia="仿宋" w:cs="仿宋"/>
          <w:color w:val="auto"/>
          <w:spacing w:val="4"/>
          <w:szCs w:val="21"/>
        </w:rPr>
      </w:pP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adjustRightInd w:val="0"/>
        <w:snapToGrid w:val="0"/>
        <w:spacing w:line="360" w:lineRule="auto"/>
        <w:ind w:firstLine="240" w:firstLineChars="100"/>
        <w:rPr>
          <w:rFonts w:ascii="仿宋" w:hAnsi="仿宋" w:eastAsia="仿宋" w:cs="仿宋"/>
          <w:color w:val="auto"/>
          <w:sz w:val="24"/>
          <w:szCs w:val="24"/>
        </w:rPr>
      </w:pPr>
    </w:p>
    <w:p>
      <w:pPr>
        <w:adjustRightInd w:val="0"/>
        <w:snapToGrid w:val="0"/>
        <w:spacing w:line="360" w:lineRule="auto"/>
        <w:ind w:firstLine="240" w:firstLineChars="100"/>
        <w:rPr>
          <w:rFonts w:hint="eastAsia" w:ascii="仿宋" w:hAnsi="仿宋" w:eastAsia="仿宋" w:cs="仿宋"/>
          <w:bCs/>
          <w:color w:val="auto"/>
          <w:sz w:val="24"/>
          <w:szCs w:val="24"/>
        </w:rPr>
        <w:sectPr>
          <w:pgSz w:w="11906" w:h="16838"/>
          <w:pgMar w:top="1417" w:right="1417" w:bottom="1417" w:left="1417" w:header="851" w:footer="992" w:gutter="0"/>
          <w:pgNumType w:fmt="decimal"/>
          <w:cols w:space="0" w:num="1"/>
          <w:rtlGutter w:val="0"/>
          <w:docGrid w:type="lines" w:linePitch="312" w:charSpace="0"/>
        </w:sectPr>
      </w:pPr>
      <w:r>
        <w:rPr>
          <w:rFonts w:hint="eastAsia" w:ascii="仿宋" w:hAnsi="仿宋" w:eastAsia="仿宋" w:cs="仿宋"/>
          <w:color w:val="auto"/>
          <w:sz w:val="24"/>
          <w:szCs w:val="24"/>
        </w:rPr>
        <w:t>说明：</w:t>
      </w:r>
      <w:r>
        <w:rPr>
          <w:rFonts w:hint="eastAsia" w:ascii="仿宋" w:hAnsi="仿宋" w:eastAsia="仿宋" w:cs="仿宋"/>
          <w:bCs/>
          <w:color w:val="auto"/>
          <w:sz w:val="24"/>
          <w:szCs w:val="24"/>
        </w:rPr>
        <w:t>未按上述要求提供、</w:t>
      </w:r>
      <w:r>
        <w:rPr>
          <w:rFonts w:hint="eastAsia" w:ascii="仿宋" w:hAnsi="仿宋" w:eastAsia="仿宋" w:cs="仿宋"/>
          <w:color w:val="auto"/>
          <w:sz w:val="24"/>
          <w:szCs w:val="24"/>
        </w:rPr>
        <w:t>填写</w:t>
      </w:r>
      <w:r>
        <w:rPr>
          <w:rFonts w:hint="eastAsia" w:ascii="仿宋" w:hAnsi="仿宋" w:eastAsia="仿宋" w:cs="仿宋"/>
          <w:bCs/>
          <w:color w:val="auto"/>
          <w:sz w:val="24"/>
          <w:szCs w:val="24"/>
        </w:rPr>
        <w:t>的，评审时不予以考虑。</w:t>
      </w:r>
    </w:p>
    <w:p>
      <w:pPr>
        <w:pageBreakBefore/>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rPr>
        <w:t>：</w:t>
      </w:r>
    </w:p>
    <w:p>
      <w:pPr>
        <w:spacing w:line="360" w:lineRule="auto"/>
        <w:ind w:right="-197" w:rightChars="-94"/>
        <w:jc w:val="center"/>
        <w:rPr>
          <w:rFonts w:hint="eastAsia" w:ascii="仿宋" w:hAnsi="仿宋" w:eastAsia="仿宋" w:cs="仿宋"/>
          <w:bCs/>
          <w:color w:val="auto"/>
          <w:kern w:val="0"/>
          <w:sz w:val="24"/>
          <w:szCs w:val="24"/>
          <w:highlight w:val="none"/>
        </w:rPr>
      </w:pPr>
      <w:r>
        <w:rPr>
          <w:rFonts w:hint="eastAsia" w:ascii="仿宋" w:hAnsi="仿宋" w:eastAsia="仿宋" w:cs="仿宋"/>
          <w:b/>
          <w:bCs/>
          <w:color w:val="auto"/>
          <w:spacing w:val="6"/>
          <w:sz w:val="24"/>
          <w:szCs w:val="24"/>
        </w:rPr>
        <w:t>节能环保、环境标志产品明细表（若有）</w:t>
      </w:r>
    </w:p>
    <w:p>
      <w:pPr>
        <w:spacing w:line="360" w:lineRule="auto"/>
        <w:ind w:right="-197" w:rightChars="-94"/>
        <w:rPr>
          <w:rFonts w:hint="eastAsia" w:ascii="仿宋" w:hAnsi="仿宋" w:eastAsia="仿宋" w:cs="仿宋"/>
          <w:b/>
          <w:bCs/>
          <w:color w:val="auto"/>
          <w:sz w:val="24"/>
          <w:szCs w:val="24"/>
          <w:highlight w:val="none"/>
          <w:lang w:val="en-US" w:eastAsia="zh-CN"/>
        </w:rPr>
      </w:pPr>
      <w:r>
        <w:rPr>
          <w:rFonts w:hint="eastAsia" w:ascii="仿宋" w:hAnsi="仿宋" w:eastAsia="仿宋" w:cs="仿宋"/>
          <w:bCs/>
          <w:color w:val="auto"/>
          <w:kern w:val="0"/>
          <w:sz w:val="24"/>
          <w:szCs w:val="24"/>
          <w:highlight w:val="none"/>
        </w:rPr>
        <w:t xml:space="preserve">项目编号：                                       </w:t>
      </w:r>
    </w:p>
    <w:tbl>
      <w:tblPr>
        <w:tblStyle w:val="29"/>
        <w:tblW w:w="9377" w:type="dxa"/>
        <w:jc w:val="center"/>
        <w:tblLayout w:type="fixed"/>
        <w:tblCellMar>
          <w:top w:w="0" w:type="dxa"/>
          <w:left w:w="108" w:type="dxa"/>
          <w:bottom w:w="0" w:type="dxa"/>
          <w:right w:w="108" w:type="dxa"/>
        </w:tblCellMar>
      </w:tblPr>
      <w:tblGrid>
        <w:gridCol w:w="755"/>
        <w:gridCol w:w="1641"/>
        <w:gridCol w:w="1095"/>
        <w:gridCol w:w="1095"/>
        <w:gridCol w:w="755"/>
        <w:gridCol w:w="1771"/>
        <w:gridCol w:w="755"/>
        <w:gridCol w:w="755"/>
        <w:gridCol w:w="755"/>
      </w:tblGrid>
      <w:tr>
        <w:tblPrEx>
          <w:tblCellMar>
            <w:top w:w="0" w:type="dxa"/>
            <w:left w:w="108" w:type="dxa"/>
            <w:bottom w:w="0" w:type="dxa"/>
            <w:right w:w="108" w:type="dxa"/>
          </w:tblCellMar>
        </w:tblPrEx>
        <w:trPr>
          <w:trHeight w:val="644"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序号</w:t>
            </w:r>
          </w:p>
        </w:tc>
        <w:tc>
          <w:tcPr>
            <w:tcW w:w="16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产品</w:t>
            </w:r>
          </w:p>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名称</w:t>
            </w:r>
          </w:p>
        </w:tc>
        <w:tc>
          <w:tcPr>
            <w:tcW w:w="109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w:t>
            </w:r>
          </w:p>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厂家</w:t>
            </w:r>
          </w:p>
        </w:tc>
        <w:tc>
          <w:tcPr>
            <w:tcW w:w="109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规格</w:t>
            </w:r>
          </w:p>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型号</w:t>
            </w: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类别</w:t>
            </w:r>
          </w:p>
        </w:tc>
        <w:tc>
          <w:tcPr>
            <w:tcW w:w="1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认证证书</w:t>
            </w:r>
          </w:p>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编号</w:t>
            </w: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数量</w:t>
            </w: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单价</w:t>
            </w: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总价</w:t>
            </w:r>
          </w:p>
        </w:tc>
      </w:tr>
      <w:tr>
        <w:tblPrEx>
          <w:tblCellMar>
            <w:top w:w="0" w:type="dxa"/>
            <w:left w:w="108" w:type="dxa"/>
            <w:bottom w:w="0" w:type="dxa"/>
            <w:right w:w="108" w:type="dxa"/>
          </w:tblCellMar>
        </w:tblPrEx>
        <w:trPr>
          <w:trHeight w:val="490"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6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6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6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6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6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09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7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02" w:hRule="atLeast"/>
          <w:jc w:val="center"/>
        </w:trPr>
        <w:tc>
          <w:tcPr>
            <w:tcW w:w="534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合计（万元人民币）</w:t>
            </w:r>
          </w:p>
        </w:tc>
        <w:tc>
          <w:tcPr>
            <w:tcW w:w="4036"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33" w:hRule="atLeast"/>
          <w:jc w:val="center"/>
        </w:trPr>
        <w:tc>
          <w:tcPr>
            <w:tcW w:w="534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占投标总价的百分比（%）</w:t>
            </w:r>
          </w:p>
        </w:tc>
        <w:tc>
          <w:tcPr>
            <w:tcW w:w="4036"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p>
        </w:tc>
      </w:tr>
    </w:tbl>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如投标产品为节能环保、环境标志产品，须按格式逐项填写，并附相关证明，否则评审时不予计分。</w:t>
      </w:r>
    </w:p>
    <w:p>
      <w:pPr>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类别填写：节能环保产品或环境标志产品。</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560" w:firstLineChars="200"/>
        <w:rPr>
          <w:rFonts w:hint="eastAsia" w:ascii="仿宋" w:hAnsi="仿宋" w:eastAsia="仿宋" w:cs="仿宋"/>
          <w:color w:val="auto"/>
          <w:sz w:val="28"/>
          <w:szCs w:val="28"/>
          <w:highlight w:val="none"/>
        </w:rPr>
      </w:pPr>
    </w:p>
    <w:p>
      <w:pPr>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4080" w:firstLineChars="17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法定代表人或授权代表（签字或盖章）：</w:t>
      </w:r>
      <w:r>
        <w:rPr>
          <w:rFonts w:hint="eastAsia" w:ascii="仿宋" w:hAnsi="仿宋" w:eastAsia="仿宋" w:cs="仿宋"/>
          <w:color w:val="auto"/>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pPr>
        <w:pStyle w:val="4"/>
        <w:keepNext w:val="0"/>
        <w:pageBreakBefore/>
        <w:adjustRightInd w:val="0"/>
        <w:spacing w:line="416" w:lineRule="atLeast"/>
        <w:textAlignment w:val="baseline"/>
        <w:rPr>
          <w:rFonts w:hint="eastAsia" w:ascii="仿宋" w:hAnsi="仿宋" w:eastAsia="仿宋" w:cs="仿宋"/>
          <w:color w:val="auto"/>
          <w:sz w:val="24"/>
          <w:szCs w:val="24"/>
          <w:highlight w:val="none"/>
          <w:lang w:val="zh-CN"/>
        </w:rPr>
        <w:sectPr>
          <w:footerReference r:id="rId12" w:type="default"/>
          <w:headerReference r:id="rId11" w:type="even"/>
          <w:pgSz w:w="11906" w:h="16838"/>
          <w:pgMar w:top="1417" w:right="1417" w:bottom="1417" w:left="1417" w:header="851" w:footer="992" w:gutter="0"/>
          <w:pgNumType w:fmt="decimal"/>
          <w:cols w:space="0" w:num="1"/>
          <w:rtlGutter w:val="0"/>
          <w:docGrid w:type="lines" w:linePitch="312" w:charSpace="0"/>
        </w:sectPr>
      </w:pPr>
    </w:p>
    <w:p>
      <w:pPr>
        <w:pageBreakBefore/>
        <w:spacing w:line="360" w:lineRule="auto"/>
        <w:jc w:val="center"/>
        <w:outlineLvl w:val="1"/>
        <w:rPr>
          <w:rFonts w:ascii="仿宋" w:hAnsi="仿宋" w:eastAsia="仿宋" w:cs="仿宋"/>
          <w:b/>
          <w:bCs/>
          <w:color w:val="auto"/>
          <w:sz w:val="32"/>
          <w:szCs w:val="15"/>
          <w:lang w:val="zh-CN"/>
        </w:rPr>
      </w:pPr>
      <w:bookmarkStart w:id="440" w:name="_Toc28639"/>
      <w:r>
        <w:rPr>
          <w:rFonts w:hint="eastAsia" w:ascii="仿宋" w:hAnsi="仿宋" w:eastAsia="仿宋" w:cs="仿宋"/>
          <w:b/>
          <w:bCs/>
          <w:color w:val="auto"/>
          <w:sz w:val="32"/>
          <w:szCs w:val="15"/>
          <w:lang w:val="zh-CN"/>
        </w:rPr>
        <w:t>五、（</w:t>
      </w:r>
      <w:r>
        <w:rPr>
          <w:rFonts w:hint="eastAsia" w:ascii="仿宋" w:hAnsi="仿宋" w:eastAsia="仿宋" w:cs="仿宋"/>
          <w:b/>
          <w:bCs/>
          <w:color w:val="auto"/>
          <w:sz w:val="32"/>
          <w:szCs w:val="15"/>
        </w:rPr>
        <w:t>商务）</w:t>
      </w:r>
      <w:r>
        <w:rPr>
          <w:rFonts w:hint="eastAsia" w:ascii="仿宋" w:hAnsi="仿宋" w:eastAsia="仿宋" w:cs="仿宋"/>
          <w:b/>
          <w:bCs/>
          <w:color w:val="auto"/>
          <w:sz w:val="32"/>
          <w:szCs w:val="15"/>
          <w:lang w:val="zh-CN"/>
        </w:rPr>
        <w:t>合同主要条款偏离表</w:t>
      </w:r>
      <w:bookmarkEnd w:id="374"/>
      <w:bookmarkEnd w:id="375"/>
      <w:bookmarkEnd w:id="376"/>
      <w:bookmarkEnd w:id="377"/>
      <w:bookmarkEnd w:id="378"/>
      <w:bookmarkEnd w:id="379"/>
      <w:bookmarkEnd w:id="380"/>
      <w:bookmarkEnd w:id="381"/>
      <w:bookmarkEnd w:id="382"/>
      <w:bookmarkEnd w:id="383"/>
      <w:bookmarkEnd w:id="384"/>
      <w:bookmarkEnd w:id="385"/>
      <w:bookmarkEnd w:id="440"/>
    </w:p>
    <w:p>
      <w:pPr>
        <w:spacing w:line="360" w:lineRule="auto"/>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项目编号：                                      </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ign w:val="center"/>
          </w:tcPr>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380" w:type="dxa"/>
            <w:noWrap/>
            <w:vAlign w:val="center"/>
          </w:tcPr>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文件</w:t>
            </w:r>
          </w:p>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条目号</w:t>
            </w:r>
          </w:p>
        </w:tc>
        <w:tc>
          <w:tcPr>
            <w:tcW w:w="2341" w:type="dxa"/>
            <w:noWrap/>
            <w:vAlign w:val="center"/>
          </w:tcPr>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招标文件</w:t>
            </w:r>
          </w:p>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合同主要条款</w:t>
            </w:r>
          </w:p>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要求</w:t>
            </w:r>
          </w:p>
        </w:tc>
        <w:tc>
          <w:tcPr>
            <w:tcW w:w="2678" w:type="dxa"/>
            <w:noWrap/>
            <w:vAlign w:val="center"/>
          </w:tcPr>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投标文件</w:t>
            </w:r>
          </w:p>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合同主要条款</w:t>
            </w:r>
          </w:p>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响应</w:t>
            </w:r>
          </w:p>
        </w:tc>
        <w:tc>
          <w:tcPr>
            <w:tcW w:w="840" w:type="dxa"/>
            <w:noWrap/>
            <w:vAlign w:val="center"/>
          </w:tcPr>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偏离</w:t>
            </w:r>
          </w:p>
        </w:tc>
        <w:tc>
          <w:tcPr>
            <w:tcW w:w="1731" w:type="dxa"/>
            <w:noWrap/>
            <w:vAlign w:val="center"/>
          </w:tcPr>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偏离</w:t>
            </w:r>
          </w:p>
          <w:p>
            <w:pPr>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color w:val="auto"/>
                <w:sz w:val="24"/>
                <w:szCs w:val="24"/>
              </w:rPr>
            </w:pPr>
          </w:p>
        </w:tc>
        <w:tc>
          <w:tcPr>
            <w:tcW w:w="1380" w:type="dxa"/>
            <w:noWrap/>
          </w:tcPr>
          <w:p>
            <w:pPr>
              <w:adjustRightInd w:val="0"/>
              <w:snapToGrid w:val="0"/>
              <w:spacing w:line="360" w:lineRule="auto"/>
              <w:ind w:right="24"/>
              <w:rPr>
                <w:rFonts w:ascii="仿宋" w:hAnsi="仿宋" w:eastAsia="仿宋" w:cs="仿宋"/>
                <w:bCs/>
                <w:color w:val="auto"/>
                <w:sz w:val="24"/>
                <w:szCs w:val="24"/>
              </w:rPr>
            </w:pPr>
          </w:p>
        </w:tc>
        <w:tc>
          <w:tcPr>
            <w:tcW w:w="2341" w:type="dxa"/>
            <w:noWrap/>
          </w:tcPr>
          <w:p>
            <w:pPr>
              <w:adjustRightInd w:val="0"/>
              <w:snapToGrid w:val="0"/>
              <w:spacing w:line="360" w:lineRule="auto"/>
              <w:ind w:right="24"/>
              <w:rPr>
                <w:rFonts w:ascii="仿宋" w:hAnsi="仿宋" w:eastAsia="仿宋" w:cs="仿宋"/>
                <w:bCs/>
                <w:color w:val="auto"/>
                <w:sz w:val="24"/>
                <w:szCs w:val="24"/>
              </w:rPr>
            </w:pPr>
          </w:p>
        </w:tc>
        <w:tc>
          <w:tcPr>
            <w:tcW w:w="2678" w:type="dxa"/>
            <w:noWrap/>
          </w:tcPr>
          <w:p>
            <w:pPr>
              <w:adjustRightInd w:val="0"/>
              <w:snapToGrid w:val="0"/>
              <w:spacing w:line="360" w:lineRule="auto"/>
              <w:ind w:right="24"/>
              <w:rPr>
                <w:rFonts w:ascii="仿宋" w:hAnsi="仿宋" w:eastAsia="仿宋" w:cs="仿宋"/>
                <w:bCs/>
                <w:color w:val="auto"/>
                <w:sz w:val="24"/>
                <w:szCs w:val="24"/>
              </w:rPr>
            </w:pPr>
          </w:p>
        </w:tc>
        <w:tc>
          <w:tcPr>
            <w:tcW w:w="840" w:type="dxa"/>
            <w:noWrap/>
          </w:tcPr>
          <w:p>
            <w:pPr>
              <w:adjustRightInd w:val="0"/>
              <w:snapToGrid w:val="0"/>
              <w:spacing w:line="360" w:lineRule="auto"/>
              <w:ind w:right="24"/>
              <w:rPr>
                <w:rFonts w:ascii="仿宋" w:hAnsi="仿宋" w:eastAsia="仿宋" w:cs="仿宋"/>
                <w:bCs/>
                <w:color w:val="auto"/>
                <w:sz w:val="24"/>
                <w:szCs w:val="24"/>
              </w:rPr>
            </w:pPr>
          </w:p>
        </w:tc>
        <w:tc>
          <w:tcPr>
            <w:tcW w:w="1731" w:type="dxa"/>
            <w:noWrap/>
          </w:tcPr>
          <w:p>
            <w:pPr>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color w:val="auto"/>
                <w:sz w:val="24"/>
                <w:szCs w:val="24"/>
              </w:rPr>
            </w:pPr>
          </w:p>
        </w:tc>
        <w:tc>
          <w:tcPr>
            <w:tcW w:w="1380" w:type="dxa"/>
            <w:noWrap/>
          </w:tcPr>
          <w:p>
            <w:pPr>
              <w:adjustRightInd w:val="0"/>
              <w:snapToGrid w:val="0"/>
              <w:spacing w:line="360" w:lineRule="auto"/>
              <w:ind w:right="24"/>
              <w:rPr>
                <w:rFonts w:ascii="仿宋" w:hAnsi="仿宋" w:eastAsia="仿宋" w:cs="仿宋"/>
                <w:bCs/>
                <w:color w:val="auto"/>
                <w:sz w:val="24"/>
                <w:szCs w:val="24"/>
              </w:rPr>
            </w:pPr>
          </w:p>
        </w:tc>
        <w:tc>
          <w:tcPr>
            <w:tcW w:w="2341" w:type="dxa"/>
            <w:noWrap/>
          </w:tcPr>
          <w:p>
            <w:pPr>
              <w:adjustRightInd w:val="0"/>
              <w:snapToGrid w:val="0"/>
              <w:spacing w:line="360" w:lineRule="auto"/>
              <w:ind w:right="24"/>
              <w:rPr>
                <w:rFonts w:ascii="仿宋" w:hAnsi="仿宋" w:eastAsia="仿宋" w:cs="仿宋"/>
                <w:bCs/>
                <w:color w:val="auto"/>
                <w:sz w:val="24"/>
                <w:szCs w:val="24"/>
              </w:rPr>
            </w:pPr>
          </w:p>
        </w:tc>
        <w:tc>
          <w:tcPr>
            <w:tcW w:w="2678" w:type="dxa"/>
            <w:noWrap/>
          </w:tcPr>
          <w:p>
            <w:pPr>
              <w:adjustRightInd w:val="0"/>
              <w:snapToGrid w:val="0"/>
              <w:spacing w:line="360" w:lineRule="auto"/>
              <w:ind w:right="24"/>
              <w:rPr>
                <w:rFonts w:ascii="仿宋" w:hAnsi="仿宋" w:eastAsia="仿宋" w:cs="仿宋"/>
                <w:bCs/>
                <w:color w:val="auto"/>
                <w:sz w:val="24"/>
                <w:szCs w:val="24"/>
              </w:rPr>
            </w:pPr>
          </w:p>
        </w:tc>
        <w:tc>
          <w:tcPr>
            <w:tcW w:w="840" w:type="dxa"/>
            <w:noWrap/>
          </w:tcPr>
          <w:p>
            <w:pPr>
              <w:adjustRightInd w:val="0"/>
              <w:snapToGrid w:val="0"/>
              <w:spacing w:line="360" w:lineRule="auto"/>
              <w:ind w:right="24"/>
              <w:rPr>
                <w:rFonts w:ascii="仿宋" w:hAnsi="仿宋" w:eastAsia="仿宋" w:cs="仿宋"/>
                <w:bCs/>
                <w:color w:val="auto"/>
                <w:sz w:val="24"/>
                <w:szCs w:val="24"/>
              </w:rPr>
            </w:pPr>
          </w:p>
        </w:tc>
        <w:tc>
          <w:tcPr>
            <w:tcW w:w="1731" w:type="dxa"/>
            <w:noWrap/>
          </w:tcPr>
          <w:p>
            <w:pPr>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color w:val="auto"/>
                <w:sz w:val="24"/>
                <w:szCs w:val="24"/>
              </w:rPr>
            </w:pPr>
          </w:p>
        </w:tc>
        <w:tc>
          <w:tcPr>
            <w:tcW w:w="1380" w:type="dxa"/>
            <w:noWrap/>
          </w:tcPr>
          <w:p>
            <w:pPr>
              <w:adjustRightInd w:val="0"/>
              <w:snapToGrid w:val="0"/>
              <w:spacing w:line="360" w:lineRule="auto"/>
              <w:ind w:right="24"/>
              <w:rPr>
                <w:rFonts w:ascii="仿宋" w:hAnsi="仿宋" w:eastAsia="仿宋" w:cs="仿宋"/>
                <w:bCs/>
                <w:color w:val="auto"/>
                <w:sz w:val="24"/>
                <w:szCs w:val="24"/>
              </w:rPr>
            </w:pPr>
          </w:p>
        </w:tc>
        <w:tc>
          <w:tcPr>
            <w:tcW w:w="2341" w:type="dxa"/>
            <w:noWrap/>
          </w:tcPr>
          <w:p>
            <w:pPr>
              <w:adjustRightInd w:val="0"/>
              <w:snapToGrid w:val="0"/>
              <w:spacing w:line="360" w:lineRule="auto"/>
              <w:ind w:right="24"/>
              <w:rPr>
                <w:rFonts w:ascii="仿宋" w:hAnsi="仿宋" w:eastAsia="仿宋" w:cs="仿宋"/>
                <w:bCs/>
                <w:color w:val="auto"/>
                <w:sz w:val="24"/>
                <w:szCs w:val="24"/>
              </w:rPr>
            </w:pPr>
          </w:p>
        </w:tc>
        <w:tc>
          <w:tcPr>
            <w:tcW w:w="2678" w:type="dxa"/>
            <w:noWrap/>
          </w:tcPr>
          <w:p>
            <w:pPr>
              <w:adjustRightInd w:val="0"/>
              <w:snapToGrid w:val="0"/>
              <w:spacing w:line="360" w:lineRule="auto"/>
              <w:ind w:right="24"/>
              <w:rPr>
                <w:rFonts w:ascii="仿宋" w:hAnsi="仿宋" w:eastAsia="仿宋" w:cs="仿宋"/>
                <w:bCs/>
                <w:color w:val="auto"/>
                <w:sz w:val="24"/>
                <w:szCs w:val="24"/>
              </w:rPr>
            </w:pPr>
          </w:p>
        </w:tc>
        <w:tc>
          <w:tcPr>
            <w:tcW w:w="840" w:type="dxa"/>
            <w:noWrap/>
          </w:tcPr>
          <w:p>
            <w:pPr>
              <w:adjustRightInd w:val="0"/>
              <w:snapToGrid w:val="0"/>
              <w:spacing w:line="360" w:lineRule="auto"/>
              <w:ind w:right="24"/>
              <w:rPr>
                <w:rFonts w:ascii="仿宋" w:hAnsi="仿宋" w:eastAsia="仿宋" w:cs="仿宋"/>
                <w:bCs/>
                <w:color w:val="auto"/>
                <w:sz w:val="24"/>
                <w:szCs w:val="24"/>
              </w:rPr>
            </w:pPr>
          </w:p>
        </w:tc>
        <w:tc>
          <w:tcPr>
            <w:tcW w:w="1731" w:type="dxa"/>
            <w:noWrap/>
          </w:tcPr>
          <w:p>
            <w:pPr>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color w:val="auto"/>
                <w:sz w:val="24"/>
                <w:szCs w:val="24"/>
              </w:rPr>
            </w:pPr>
          </w:p>
        </w:tc>
        <w:tc>
          <w:tcPr>
            <w:tcW w:w="1380" w:type="dxa"/>
            <w:noWrap/>
          </w:tcPr>
          <w:p>
            <w:pPr>
              <w:adjustRightInd w:val="0"/>
              <w:snapToGrid w:val="0"/>
              <w:spacing w:line="360" w:lineRule="auto"/>
              <w:ind w:right="24"/>
              <w:rPr>
                <w:rFonts w:ascii="仿宋" w:hAnsi="仿宋" w:eastAsia="仿宋" w:cs="仿宋"/>
                <w:bCs/>
                <w:color w:val="auto"/>
                <w:sz w:val="24"/>
                <w:szCs w:val="24"/>
              </w:rPr>
            </w:pPr>
          </w:p>
        </w:tc>
        <w:tc>
          <w:tcPr>
            <w:tcW w:w="2341" w:type="dxa"/>
            <w:noWrap/>
          </w:tcPr>
          <w:p>
            <w:pPr>
              <w:adjustRightInd w:val="0"/>
              <w:snapToGrid w:val="0"/>
              <w:spacing w:line="360" w:lineRule="auto"/>
              <w:ind w:right="24"/>
              <w:rPr>
                <w:rFonts w:ascii="仿宋" w:hAnsi="仿宋" w:eastAsia="仿宋" w:cs="仿宋"/>
                <w:bCs/>
                <w:color w:val="auto"/>
                <w:sz w:val="24"/>
                <w:szCs w:val="24"/>
              </w:rPr>
            </w:pPr>
          </w:p>
        </w:tc>
        <w:tc>
          <w:tcPr>
            <w:tcW w:w="2678" w:type="dxa"/>
            <w:noWrap/>
          </w:tcPr>
          <w:p>
            <w:pPr>
              <w:adjustRightInd w:val="0"/>
              <w:snapToGrid w:val="0"/>
              <w:spacing w:line="360" w:lineRule="auto"/>
              <w:ind w:right="24"/>
              <w:rPr>
                <w:rFonts w:ascii="仿宋" w:hAnsi="仿宋" w:eastAsia="仿宋" w:cs="仿宋"/>
                <w:bCs/>
                <w:color w:val="auto"/>
                <w:sz w:val="24"/>
                <w:szCs w:val="24"/>
              </w:rPr>
            </w:pPr>
          </w:p>
        </w:tc>
        <w:tc>
          <w:tcPr>
            <w:tcW w:w="840" w:type="dxa"/>
            <w:noWrap/>
          </w:tcPr>
          <w:p>
            <w:pPr>
              <w:adjustRightInd w:val="0"/>
              <w:snapToGrid w:val="0"/>
              <w:spacing w:line="360" w:lineRule="auto"/>
              <w:ind w:right="24"/>
              <w:rPr>
                <w:rFonts w:ascii="仿宋" w:hAnsi="仿宋" w:eastAsia="仿宋" w:cs="仿宋"/>
                <w:bCs/>
                <w:color w:val="auto"/>
                <w:sz w:val="24"/>
                <w:szCs w:val="24"/>
              </w:rPr>
            </w:pPr>
          </w:p>
        </w:tc>
        <w:tc>
          <w:tcPr>
            <w:tcW w:w="1731" w:type="dxa"/>
            <w:noWrap/>
          </w:tcPr>
          <w:p>
            <w:pPr>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tcPr>
          <w:p>
            <w:pPr>
              <w:adjustRightInd w:val="0"/>
              <w:snapToGrid w:val="0"/>
              <w:spacing w:line="360" w:lineRule="auto"/>
              <w:ind w:right="24"/>
              <w:rPr>
                <w:rFonts w:ascii="仿宋" w:hAnsi="仿宋" w:eastAsia="仿宋" w:cs="仿宋"/>
                <w:bCs/>
                <w:color w:val="auto"/>
                <w:sz w:val="24"/>
                <w:szCs w:val="24"/>
              </w:rPr>
            </w:pPr>
          </w:p>
        </w:tc>
        <w:tc>
          <w:tcPr>
            <w:tcW w:w="1380" w:type="dxa"/>
            <w:noWrap/>
          </w:tcPr>
          <w:p>
            <w:pPr>
              <w:adjustRightInd w:val="0"/>
              <w:snapToGrid w:val="0"/>
              <w:spacing w:line="360" w:lineRule="auto"/>
              <w:ind w:right="24"/>
              <w:rPr>
                <w:rFonts w:ascii="仿宋" w:hAnsi="仿宋" w:eastAsia="仿宋" w:cs="仿宋"/>
                <w:bCs/>
                <w:color w:val="auto"/>
                <w:sz w:val="24"/>
                <w:szCs w:val="24"/>
              </w:rPr>
            </w:pPr>
          </w:p>
        </w:tc>
        <w:tc>
          <w:tcPr>
            <w:tcW w:w="2341" w:type="dxa"/>
            <w:noWrap/>
          </w:tcPr>
          <w:p>
            <w:pPr>
              <w:adjustRightInd w:val="0"/>
              <w:snapToGrid w:val="0"/>
              <w:spacing w:line="360" w:lineRule="auto"/>
              <w:ind w:right="24"/>
              <w:rPr>
                <w:rFonts w:ascii="仿宋" w:hAnsi="仿宋" w:eastAsia="仿宋" w:cs="仿宋"/>
                <w:bCs/>
                <w:color w:val="auto"/>
                <w:sz w:val="24"/>
                <w:szCs w:val="24"/>
              </w:rPr>
            </w:pPr>
          </w:p>
        </w:tc>
        <w:tc>
          <w:tcPr>
            <w:tcW w:w="2678" w:type="dxa"/>
            <w:noWrap/>
          </w:tcPr>
          <w:p>
            <w:pPr>
              <w:adjustRightInd w:val="0"/>
              <w:snapToGrid w:val="0"/>
              <w:spacing w:line="360" w:lineRule="auto"/>
              <w:ind w:right="24"/>
              <w:rPr>
                <w:rFonts w:ascii="仿宋" w:hAnsi="仿宋" w:eastAsia="仿宋" w:cs="仿宋"/>
                <w:bCs/>
                <w:color w:val="auto"/>
                <w:sz w:val="24"/>
                <w:szCs w:val="24"/>
              </w:rPr>
            </w:pPr>
          </w:p>
        </w:tc>
        <w:tc>
          <w:tcPr>
            <w:tcW w:w="840" w:type="dxa"/>
            <w:noWrap/>
          </w:tcPr>
          <w:p>
            <w:pPr>
              <w:adjustRightInd w:val="0"/>
              <w:snapToGrid w:val="0"/>
              <w:spacing w:line="360" w:lineRule="auto"/>
              <w:ind w:right="24"/>
              <w:rPr>
                <w:rFonts w:ascii="仿宋" w:hAnsi="仿宋" w:eastAsia="仿宋" w:cs="仿宋"/>
                <w:bCs/>
                <w:color w:val="auto"/>
                <w:sz w:val="24"/>
                <w:szCs w:val="24"/>
              </w:rPr>
            </w:pPr>
          </w:p>
        </w:tc>
        <w:tc>
          <w:tcPr>
            <w:tcW w:w="1731" w:type="dxa"/>
            <w:noWrap/>
          </w:tcPr>
          <w:p>
            <w:pPr>
              <w:adjustRightInd w:val="0"/>
              <w:snapToGrid w:val="0"/>
              <w:spacing w:line="360" w:lineRule="auto"/>
              <w:ind w:right="24"/>
              <w:rPr>
                <w:rFonts w:ascii="仿宋" w:hAnsi="仿宋" w:eastAsia="仿宋" w:cs="仿宋"/>
                <w:bCs/>
                <w:color w:val="auto"/>
                <w:sz w:val="24"/>
                <w:szCs w:val="24"/>
              </w:rPr>
            </w:pPr>
          </w:p>
        </w:tc>
      </w:tr>
    </w:tbl>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说明：</w:t>
      </w:r>
    </w:p>
    <w:p>
      <w:pPr>
        <w:numPr>
          <w:ilvl w:val="0"/>
          <w:numId w:val="3"/>
        </w:num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本表只填写投标文件中与招标文件有偏离（包括负偏离</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正偏离）的内容，在投标文件中须一一列出，无偏离时须提供空</w:t>
      </w:r>
      <w:r>
        <w:rPr>
          <w:rFonts w:hint="eastAsia" w:ascii="仿宋" w:hAnsi="仿宋" w:eastAsia="仿宋" w:cs="仿宋"/>
          <w:color w:val="auto"/>
          <w:sz w:val="24"/>
          <w:szCs w:val="24"/>
          <w:lang w:eastAsia="zh-CN"/>
        </w:rPr>
        <w:t>白</w:t>
      </w:r>
      <w:r>
        <w:rPr>
          <w:rFonts w:hint="eastAsia" w:ascii="仿宋" w:hAnsi="仿宋" w:eastAsia="仿宋" w:cs="仿宋"/>
          <w:color w:val="auto"/>
          <w:sz w:val="24"/>
          <w:szCs w:val="24"/>
        </w:rPr>
        <w:t>表。</w:t>
      </w:r>
    </w:p>
    <w:p>
      <w:pPr>
        <w:numPr>
          <w:ilvl w:val="0"/>
          <w:numId w:val="3"/>
        </w:num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必须据实填写，不得虚假响应，否则将取消其投标或中标资格，并按有关规定进处罚。</w:t>
      </w: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bookmarkStart w:id="441" w:name="_Toc4404"/>
      <w:bookmarkStart w:id="442" w:name="_Toc22966"/>
      <w:bookmarkStart w:id="443" w:name="_Toc30045"/>
      <w:bookmarkStart w:id="444" w:name="_Toc26648"/>
      <w:bookmarkStart w:id="445" w:name="_Toc10268"/>
      <w:bookmarkStart w:id="446" w:name="_Toc21095"/>
      <w:bookmarkStart w:id="447" w:name="_Toc18224"/>
      <w:bookmarkStart w:id="448" w:name="_Toc16564"/>
      <w:bookmarkStart w:id="449" w:name="_Toc20878"/>
      <w:bookmarkStart w:id="450" w:name="_Toc28985"/>
      <w:bookmarkStart w:id="451" w:name="_Toc26424"/>
      <w:bookmarkStart w:id="452" w:name="_Toc19627"/>
      <w:bookmarkStart w:id="453" w:name="_Toc473056006"/>
      <w:bookmarkStart w:id="454" w:name="_Toc12016"/>
      <w:bookmarkStart w:id="455" w:name="_Toc3524"/>
      <w:bookmarkStart w:id="456" w:name="_Toc11930"/>
      <w:bookmarkStart w:id="457" w:name="_Toc15409"/>
      <w:bookmarkStart w:id="458" w:name="_Toc25362"/>
      <w:bookmarkStart w:id="459" w:name="_Toc475451803"/>
      <w:bookmarkStart w:id="460" w:name="_Toc15517"/>
      <w:bookmarkStart w:id="461" w:name="_Toc2566"/>
      <w:bookmarkStart w:id="462" w:name="_Toc20658"/>
      <w:bookmarkStart w:id="463" w:name="_Toc31736"/>
      <w:bookmarkStart w:id="464" w:name="_Toc475451556"/>
      <w:bookmarkStart w:id="465" w:name="_Toc2298"/>
      <w:bookmarkStart w:id="466" w:name="_Toc16548"/>
      <w:bookmarkStart w:id="467" w:name="_Toc32190"/>
      <w:bookmarkStart w:id="468" w:name="_Toc30778"/>
      <w:bookmarkStart w:id="469" w:name="_Toc27892"/>
      <w:bookmarkStart w:id="470" w:name="_Toc21016"/>
      <w:bookmarkStart w:id="471" w:name="_Toc8757"/>
      <w:bookmarkStart w:id="472" w:name="_Toc26846"/>
      <w:bookmarkStart w:id="473" w:name="_Toc18203"/>
      <w:bookmarkStart w:id="474" w:name="_Toc17397"/>
      <w:bookmarkStart w:id="475" w:name="_Toc21290"/>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pStyle w:val="4"/>
        <w:rPr>
          <w:rFonts w:hint="eastAsia" w:ascii="仿宋" w:hAnsi="仿宋" w:eastAsia="仿宋" w:cs="仿宋"/>
          <w:bCs/>
          <w:color w:val="auto"/>
          <w:kern w:val="2"/>
          <w:sz w:val="32"/>
          <w:szCs w:val="15"/>
          <w:lang w:val="zh-CN"/>
        </w:rPr>
        <w:sectPr>
          <w:footerReference r:id="rId13" w:type="default"/>
          <w:pgSz w:w="11906" w:h="16838"/>
          <w:pgMar w:top="1417" w:right="1417" w:bottom="1417" w:left="1417" w:header="851" w:footer="992" w:gutter="0"/>
          <w:pgNumType w:fmt="decimal"/>
          <w:cols w:space="0" w:num="1"/>
          <w:rtlGutter w:val="0"/>
          <w:docGrid w:type="lines" w:linePitch="312" w:charSpace="0"/>
        </w:sectPr>
      </w:pPr>
    </w:p>
    <w:bookmarkEnd w:id="441"/>
    <w:bookmarkEnd w:id="442"/>
    <w:bookmarkEnd w:id="443"/>
    <w:bookmarkEnd w:id="444"/>
    <w:bookmarkEnd w:id="445"/>
    <w:bookmarkEnd w:id="446"/>
    <w:bookmarkEnd w:id="447"/>
    <w:bookmarkEnd w:id="448"/>
    <w:p>
      <w:pPr>
        <w:pStyle w:val="4"/>
        <w:keepNext w:val="0"/>
        <w:pageBreakBefore/>
        <w:spacing w:line="360" w:lineRule="auto"/>
        <w:rPr>
          <w:rFonts w:hint="eastAsia" w:ascii="仿宋" w:hAnsi="仿宋" w:eastAsia="仿宋" w:cs="仿宋"/>
          <w:b w:val="0"/>
          <w:color w:val="auto"/>
          <w:kern w:val="2"/>
          <w:sz w:val="24"/>
          <w:szCs w:val="24"/>
          <w:lang w:val="en-US" w:eastAsia="zh-CN"/>
        </w:rPr>
      </w:pPr>
      <w:bookmarkStart w:id="476" w:name="_Toc26791"/>
      <w:bookmarkStart w:id="477" w:name="_Toc13042"/>
      <w:bookmarkStart w:id="478" w:name="_Toc14308"/>
      <w:bookmarkStart w:id="479" w:name="_Toc8297"/>
      <w:bookmarkStart w:id="480" w:name="_Toc20780"/>
      <w:bookmarkStart w:id="481" w:name="_Toc14954"/>
      <w:r>
        <w:rPr>
          <w:rStyle w:val="47"/>
          <w:rFonts w:hint="eastAsia" w:ascii="仿宋" w:hAnsi="仿宋" w:eastAsia="仿宋" w:cs="仿宋"/>
          <w:b/>
          <w:color w:val="auto"/>
          <w:sz w:val="32"/>
          <w:szCs w:val="21"/>
          <w:highlight w:val="none"/>
          <w:lang w:val="en-US" w:eastAsia="zh-CN"/>
        </w:rPr>
        <w:t>六</w:t>
      </w:r>
      <w:r>
        <w:rPr>
          <w:rStyle w:val="47"/>
          <w:rFonts w:hint="eastAsia" w:ascii="仿宋" w:hAnsi="仿宋" w:eastAsia="仿宋" w:cs="仿宋"/>
          <w:b/>
          <w:color w:val="auto"/>
          <w:sz w:val="32"/>
          <w:szCs w:val="21"/>
          <w:highlight w:val="none"/>
          <w:lang w:val="zh-CN"/>
        </w:rPr>
        <w:t>、</w:t>
      </w:r>
      <w:bookmarkEnd w:id="476"/>
      <w:bookmarkEnd w:id="477"/>
      <w:bookmarkEnd w:id="478"/>
      <w:bookmarkEnd w:id="479"/>
      <w:r>
        <w:rPr>
          <w:rFonts w:hint="eastAsia" w:ascii="仿宋" w:hAnsi="仿宋" w:eastAsia="仿宋" w:cs="仿宋"/>
          <w:color w:val="auto"/>
          <w:sz w:val="32"/>
          <w:szCs w:val="21"/>
          <w:lang w:val="zh-CN"/>
        </w:rPr>
        <w:t>技术</w:t>
      </w:r>
      <w:bookmarkEnd w:id="480"/>
      <w:bookmarkEnd w:id="481"/>
      <w:r>
        <w:rPr>
          <w:rFonts w:hint="eastAsia" w:ascii="仿宋" w:hAnsi="仿宋" w:eastAsia="仿宋" w:cs="仿宋"/>
          <w:color w:val="auto"/>
          <w:sz w:val="32"/>
          <w:szCs w:val="21"/>
          <w:lang w:val="zh-CN"/>
        </w:rPr>
        <w:t>方案响应</w:t>
      </w:r>
    </w:p>
    <w:p>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表</w:t>
      </w:r>
      <w:r>
        <w:rPr>
          <w:rFonts w:hint="eastAsia" w:ascii="仿宋" w:hAnsi="仿宋" w:eastAsia="仿宋" w:cs="仿宋"/>
          <w:color w:val="auto"/>
          <w:sz w:val="24"/>
          <w:szCs w:val="24"/>
          <w:lang w:val="en-US" w:eastAsia="zh-CN"/>
        </w:rPr>
        <w:t>1：技术规格响应表</w:t>
      </w:r>
    </w:p>
    <w:p>
      <w:pPr>
        <w:spacing w:line="360" w:lineRule="auto"/>
        <w:jc w:val="center"/>
        <w:rPr>
          <w:rFonts w:hint="default" w:ascii="仿宋" w:hAnsi="仿宋" w:eastAsia="仿宋" w:cs="仿宋"/>
          <w:b/>
          <w:bCs/>
          <w:color w:val="auto"/>
          <w:sz w:val="36"/>
          <w:szCs w:val="36"/>
          <w:lang w:val="en-US" w:eastAsia="zh-CN"/>
        </w:rPr>
      </w:pPr>
      <w:r>
        <w:rPr>
          <w:rFonts w:hint="eastAsia" w:ascii="仿宋" w:hAnsi="仿宋" w:eastAsia="仿宋" w:cs="仿宋"/>
          <w:b/>
          <w:bCs/>
          <w:color w:val="auto"/>
          <w:sz w:val="32"/>
          <w:szCs w:val="32"/>
          <w:lang w:val="en-US" w:eastAsia="zh-CN"/>
        </w:rPr>
        <w:t>技术规格响应表</w:t>
      </w:r>
    </w:p>
    <w:tbl>
      <w:tblPr>
        <w:tblStyle w:val="29"/>
        <w:tblW w:w="95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49"/>
        <w:gridCol w:w="2115"/>
        <w:gridCol w:w="2204"/>
        <w:gridCol w:w="704"/>
        <w:gridCol w:w="1409"/>
        <w:gridCol w:w="1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86"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049"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文件</w:t>
            </w:r>
          </w:p>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条目号</w:t>
            </w:r>
          </w:p>
        </w:tc>
        <w:tc>
          <w:tcPr>
            <w:tcW w:w="2115"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招标文件</w:t>
            </w:r>
          </w:p>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规格及技术需求</w:t>
            </w:r>
          </w:p>
        </w:tc>
        <w:tc>
          <w:tcPr>
            <w:tcW w:w="2204"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投标文件</w:t>
            </w:r>
          </w:p>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规格及技术参数</w:t>
            </w:r>
          </w:p>
        </w:tc>
        <w:tc>
          <w:tcPr>
            <w:tcW w:w="704"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偏离</w:t>
            </w:r>
          </w:p>
        </w:tc>
        <w:tc>
          <w:tcPr>
            <w:tcW w:w="1409"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偏离</w:t>
            </w:r>
          </w:p>
          <w:p>
            <w:pPr>
              <w:adjustRightInd w:val="0"/>
              <w:snapToGrid w:val="0"/>
              <w:spacing w:line="360" w:lineRule="auto"/>
              <w:ind w:right="2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及其影响</w:t>
            </w:r>
          </w:p>
        </w:tc>
        <w:tc>
          <w:tcPr>
            <w:tcW w:w="1409" w:type="dxa"/>
            <w:noWrap w:val="0"/>
            <w:vAlign w:val="center"/>
          </w:tcPr>
          <w:p>
            <w:pPr>
              <w:adjustRightInd w:val="0"/>
              <w:snapToGrid w:val="0"/>
              <w:spacing w:line="360" w:lineRule="auto"/>
              <w:ind w:right="23"/>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佐证材料指示页码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86"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04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11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2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7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86"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04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11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2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7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86"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04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11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2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7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86"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04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11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2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7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86"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04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11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2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7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86"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04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115"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22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704"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c>
          <w:tcPr>
            <w:tcW w:w="1409" w:type="dxa"/>
            <w:noWrap w:val="0"/>
            <w:vAlign w:val="top"/>
          </w:tcPr>
          <w:p>
            <w:pPr>
              <w:adjustRightInd w:val="0"/>
              <w:snapToGrid w:val="0"/>
              <w:spacing w:line="360" w:lineRule="auto"/>
              <w:ind w:right="24"/>
              <w:rPr>
                <w:rFonts w:hint="eastAsia" w:ascii="仿宋" w:hAnsi="仿宋" w:eastAsia="仿宋" w:cs="仿宋"/>
                <w:bCs/>
                <w:color w:val="auto"/>
                <w:szCs w:val="21"/>
              </w:rPr>
            </w:pPr>
          </w:p>
        </w:tc>
      </w:tr>
    </w:tbl>
    <w:p>
      <w:pPr>
        <w:spacing w:line="540" w:lineRule="exact"/>
        <w:ind w:right="-197" w:rightChars="-94"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注：</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本项目的采购内容</w:t>
      </w:r>
      <w:r>
        <w:rPr>
          <w:rFonts w:hint="eastAsia" w:ascii="仿宋" w:hAnsi="仿宋" w:eastAsia="仿宋" w:cs="仿宋"/>
          <w:color w:val="auto"/>
          <w:sz w:val="24"/>
          <w:szCs w:val="24"/>
        </w:rPr>
        <w:t>在投标文件中须一一列出</w:t>
      </w:r>
      <w:r>
        <w:rPr>
          <w:rFonts w:hint="eastAsia" w:ascii="仿宋" w:hAnsi="仿宋" w:eastAsia="仿宋" w:cs="仿宋"/>
          <w:color w:val="auto"/>
          <w:sz w:val="24"/>
          <w:szCs w:val="24"/>
          <w:lang w:eastAsia="zh-CN"/>
        </w:rPr>
        <w:t>，不允许完全粘贴复制招标文件第三部分招标内容及要求。</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必须据实填写，不得虚假响应，否则将取消其投标或中标资格，并按有关规定进处罚。</w:t>
      </w:r>
    </w:p>
    <w:p>
      <w:pPr>
        <w:rPr>
          <w:rFonts w:hint="eastAsia" w:ascii="仿宋" w:hAnsi="仿宋" w:eastAsia="仿宋" w:cs="仿宋"/>
          <w:color w:val="auto"/>
        </w:rPr>
      </w:pPr>
    </w:p>
    <w:p>
      <w:pPr>
        <w:spacing w:line="360" w:lineRule="auto"/>
        <w:rPr>
          <w:rFonts w:hint="eastAsia" w:ascii="仿宋" w:hAnsi="仿宋" w:eastAsia="仿宋" w:cs="仿宋"/>
          <w:color w:val="auto"/>
          <w:sz w:val="24"/>
          <w:szCs w:val="24"/>
        </w:rPr>
      </w:pPr>
    </w:p>
    <w:p>
      <w:pPr>
        <w:spacing w:line="360" w:lineRule="auto"/>
        <w:ind w:firstLine="560" w:firstLineChars="200"/>
        <w:rPr>
          <w:rFonts w:hint="eastAsia" w:ascii="仿宋" w:hAnsi="仿宋" w:eastAsia="仿宋" w:cs="仿宋"/>
          <w:color w:val="auto"/>
          <w:sz w:val="28"/>
          <w:szCs w:val="28"/>
        </w:rPr>
      </w:pPr>
    </w:p>
    <w:p>
      <w:pPr>
        <w:spacing w:line="360" w:lineRule="auto"/>
        <w:ind w:firstLine="4080" w:firstLineChars="17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p>
    <w:p>
      <w:pPr>
        <w:spacing w:line="360" w:lineRule="auto"/>
        <w:ind w:firstLine="4080" w:firstLineChars="17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ind w:firstLine="4080" w:firstLineChars="1700"/>
        <w:rPr>
          <w:rFonts w:hint="eastAsia" w:ascii="仿宋" w:hAnsi="仿宋" w:eastAsia="仿宋" w:cs="仿宋"/>
          <w:color w:val="auto"/>
          <w:sz w:val="32"/>
          <w:szCs w:val="21"/>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表2：备品备件表</w:t>
      </w:r>
    </w:p>
    <w:p>
      <w:pPr>
        <w:pStyle w:val="2"/>
        <w:rPr>
          <w:rFonts w:hint="eastAsia" w:ascii="仿宋" w:hAnsi="仿宋" w:eastAsia="仿宋" w:cs="仿宋"/>
          <w:color w:val="auto"/>
          <w:sz w:val="24"/>
          <w:szCs w:val="24"/>
          <w:lang w:val="en-US" w:eastAsia="zh-CN"/>
        </w:rPr>
      </w:pPr>
    </w:p>
    <w:p>
      <w:pPr>
        <w:spacing w:line="360" w:lineRule="auto"/>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备品备件表</w:t>
      </w:r>
    </w:p>
    <w:tbl>
      <w:tblPr>
        <w:tblStyle w:val="29"/>
        <w:tblW w:w="9894" w:type="dxa"/>
        <w:jc w:val="center"/>
        <w:tblLayout w:type="fixed"/>
        <w:tblCellMar>
          <w:top w:w="0" w:type="dxa"/>
          <w:left w:w="108" w:type="dxa"/>
          <w:bottom w:w="0" w:type="dxa"/>
          <w:right w:w="108" w:type="dxa"/>
        </w:tblCellMar>
      </w:tblPr>
      <w:tblGrid>
        <w:gridCol w:w="871"/>
        <w:gridCol w:w="2767"/>
        <w:gridCol w:w="1883"/>
        <w:gridCol w:w="2564"/>
        <w:gridCol w:w="1809"/>
      </w:tblGrid>
      <w:tr>
        <w:tblPrEx>
          <w:tblCellMar>
            <w:top w:w="0" w:type="dxa"/>
            <w:left w:w="108" w:type="dxa"/>
            <w:bottom w:w="0" w:type="dxa"/>
            <w:right w:w="108" w:type="dxa"/>
          </w:tblCellMar>
        </w:tblPrEx>
        <w:trPr>
          <w:trHeight w:val="644"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序号</w:t>
            </w:r>
          </w:p>
        </w:tc>
        <w:tc>
          <w:tcPr>
            <w:tcW w:w="27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产品名称</w:t>
            </w:r>
          </w:p>
        </w:tc>
        <w:tc>
          <w:tcPr>
            <w:tcW w:w="1883"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制造厂家</w:t>
            </w:r>
          </w:p>
        </w:tc>
        <w:tc>
          <w:tcPr>
            <w:tcW w:w="256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规格型号</w:t>
            </w:r>
          </w:p>
        </w:tc>
        <w:tc>
          <w:tcPr>
            <w:tcW w:w="180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类别</w:t>
            </w:r>
            <w:r>
              <w:rPr>
                <w:rFonts w:hint="eastAsia" w:ascii="仿宋" w:hAnsi="仿宋" w:eastAsia="仿宋" w:cs="仿宋"/>
                <w:color w:val="auto"/>
                <w:sz w:val="24"/>
                <w:szCs w:val="24"/>
                <w:highlight w:val="none"/>
                <w:lang w:val="en-US" w:eastAsia="zh-CN"/>
              </w:rPr>
              <w:t>/用途</w:t>
            </w:r>
          </w:p>
        </w:tc>
      </w:tr>
      <w:tr>
        <w:tblPrEx>
          <w:tblCellMar>
            <w:top w:w="0" w:type="dxa"/>
            <w:left w:w="108" w:type="dxa"/>
            <w:bottom w:w="0" w:type="dxa"/>
            <w:right w:w="108" w:type="dxa"/>
          </w:tblCellMar>
        </w:tblPrEx>
        <w:trPr>
          <w:trHeight w:val="490"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7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83"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56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0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7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83"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56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0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7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83"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56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0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7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83"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56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0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490"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7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83"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2564"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c>
          <w:tcPr>
            <w:tcW w:w="180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60" w:lineRule="auto"/>
              <w:rPr>
                <w:rFonts w:hint="eastAsia" w:ascii="仿宋" w:hAnsi="仿宋" w:eastAsia="仿宋" w:cs="仿宋"/>
                <w:color w:val="auto"/>
                <w:sz w:val="24"/>
                <w:szCs w:val="24"/>
                <w:highlight w:val="none"/>
              </w:rPr>
            </w:pPr>
          </w:p>
        </w:tc>
      </w:tr>
    </w:tbl>
    <w:p>
      <w:pPr>
        <w:spacing w:line="540" w:lineRule="exact"/>
        <w:ind w:right="-197" w:rightChars="-94"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注：</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本项目仅填写各供应商认为所需的备品备件。</w:t>
      </w:r>
    </w:p>
    <w:p>
      <w:pPr>
        <w:rPr>
          <w:rFonts w:hint="eastAsia" w:ascii="仿宋" w:hAnsi="仿宋" w:eastAsia="仿宋" w:cs="仿宋"/>
          <w:color w:val="auto"/>
        </w:rPr>
      </w:pPr>
    </w:p>
    <w:p>
      <w:pPr>
        <w:spacing w:line="360" w:lineRule="auto"/>
        <w:rPr>
          <w:rFonts w:hint="eastAsia" w:ascii="仿宋" w:hAnsi="仿宋" w:eastAsia="仿宋" w:cs="仿宋"/>
          <w:color w:val="auto"/>
          <w:sz w:val="24"/>
          <w:szCs w:val="24"/>
        </w:rPr>
      </w:pPr>
    </w:p>
    <w:p>
      <w:pPr>
        <w:spacing w:line="360" w:lineRule="auto"/>
        <w:ind w:firstLine="560" w:firstLineChars="200"/>
        <w:rPr>
          <w:rFonts w:hint="eastAsia" w:ascii="仿宋" w:hAnsi="仿宋" w:eastAsia="仿宋" w:cs="仿宋"/>
          <w:color w:val="auto"/>
          <w:sz w:val="28"/>
          <w:szCs w:val="28"/>
        </w:rPr>
      </w:pPr>
    </w:p>
    <w:p>
      <w:pPr>
        <w:spacing w:line="360" w:lineRule="auto"/>
        <w:ind w:firstLine="4080" w:firstLineChars="17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rPr>
        <w:t xml:space="preserve">                       </w:t>
      </w:r>
    </w:p>
    <w:p>
      <w:pPr>
        <w:spacing w:line="360" w:lineRule="auto"/>
        <w:ind w:firstLine="4080" w:firstLineChars="17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ind w:firstLine="4080" w:firstLineChars="1700"/>
        <w:rPr>
          <w:rFonts w:hint="eastAsia" w:ascii="仿宋" w:hAnsi="仿宋" w:eastAsia="仿宋" w:cs="仿宋"/>
          <w:color w:val="auto"/>
          <w:sz w:val="32"/>
          <w:szCs w:val="21"/>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pStyle w:val="4"/>
        <w:keepNext w:val="0"/>
        <w:pageBreakBefore/>
        <w:spacing w:line="360" w:lineRule="auto"/>
        <w:rPr>
          <w:rFonts w:ascii="仿宋" w:hAnsi="仿宋" w:eastAsia="仿宋" w:cs="仿宋"/>
          <w:bCs/>
          <w:color w:val="auto"/>
          <w:kern w:val="2"/>
          <w:sz w:val="32"/>
          <w:szCs w:val="15"/>
          <w:lang w:val="zh-CN"/>
        </w:rPr>
      </w:pPr>
      <w:bookmarkStart w:id="482" w:name="_Toc24979"/>
      <w:r>
        <w:rPr>
          <w:rFonts w:hint="eastAsia" w:ascii="仿宋" w:hAnsi="仿宋" w:eastAsia="仿宋" w:cs="仿宋"/>
          <w:bCs/>
          <w:color w:val="auto"/>
          <w:kern w:val="2"/>
          <w:sz w:val="32"/>
          <w:szCs w:val="15"/>
          <w:lang w:val="zh-CN"/>
        </w:rPr>
        <w:t>七、产品合法来源渠道</w:t>
      </w:r>
      <w:bookmarkEnd w:id="482"/>
    </w:p>
    <w:p>
      <w:pPr>
        <w:jc w:val="center"/>
        <w:rPr>
          <w:rFonts w:hint="eastAsia" w:ascii="仿宋" w:hAnsi="仿宋" w:eastAsia="仿宋" w:cs="仿宋"/>
          <w:color w:val="auto"/>
          <w:sz w:val="24"/>
          <w:szCs w:val="24"/>
        </w:rPr>
      </w:pPr>
    </w:p>
    <w:p>
      <w:pPr>
        <w:jc w:val="center"/>
        <w:rPr>
          <w:rFonts w:ascii="仿宋" w:hAnsi="仿宋" w:eastAsia="仿宋" w:cs="仿宋"/>
          <w:color w:val="auto"/>
          <w:sz w:val="24"/>
          <w:szCs w:val="24"/>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val="zh-CN"/>
        </w:rPr>
        <w:t>评标因素及权重分解表</w:t>
      </w:r>
      <w:r>
        <w:rPr>
          <w:rFonts w:hint="eastAsia" w:ascii="仿宋" w:hAnsi="仿宋" w:eastAsia="仿宋" w:cs="仿宋"/>
          <w:color w:val="auto"/>
          <w:sz w:val="24"/>
          <w:szCs w:val="24"/>
        </w:rPr>
        <w:t>》自行提供</w:t>
      </w:r>
    </w:p>
    <w:p>
      <w:pPr>
        <w:pageBreakBefore/>
        <w:numPr>
          <w:ilvl w:val="0"/>
          <w:numId w:val="0"/>
        </w:numPr>
        <w:spacing w:line="360" w:lineRule="auto"/>
        <w:jc w:val="center"/>
        <w:outlineLvl w:val="1"/>
        <w:rPr>
          <w:rFonts w:ascii="仿宋" w:hAnsi="仿宋" w:eastAsia="仿宋" w:cs="仿宋"/>
          <w:b/>
          <w:bCs/>
          <w:color w:val="auto"/>
          <w:sz w:val="32"/>
          <w:szCs w:val="15"/>
          <w:lang w:val="zh-CN"/>
        </w:rPr>
      </w:pPr>
      <w:bookmarkStart w:id="483" w:name="_Toc617"/>
      <w:r>
        <w:rPr>
          <w:rFonts w:hint="eastAsia" w:ascii="仿宋" w:hAnsi="仿宋" w:eastAsia="仿宋" w:cs="仿宋"/>
          <w:b/>
          <w:bCs/>
          <w:color w:val="auto"/>
          <w:sz w:val="32"/>
          <w:szCs w:val="15"/>
          <w:lang w:val="en-US" w:eastAsia="zh-CN"/>
        </w:rPr>
        <w:t>八、</w:t>
      </w:r>
      <w:r>
        <w:rPr>
          <w:rFonts w:hint="eastAsia" w:ascii="仿宋" w:hAnsi="仿宋" w:eastAsia="仿宋" w:cs="仿宋"/>
          <w:b/>
          <w:bCs/>
          <w:color w:val="auto"/>
          <w:sz w:val="32"/>
          <w:szCs w:val="15"/>
          <w:lang w:val="zh-CN"/>
        </w:rPr>
        <w:t>产品设备先进性，稳定性</w:t>
      </w:r>
      <w:bookmarkEnd w:id="483"/>
    </w:p>
    <w:p>
      <w:pPr>
        <w:pStyle w:val="12"/>
        <w:jc w:val="center"/>
        <w:rPr>
          <w:rFonts w:hint="eastAsia" w:ascii="仿宋" w:hAnsi="仿宋" w:eastAsia="仿宋" w:cs="仿宋"/>
          <w:color w:val="auto"/>
          <w:sz w:val="24"/>
          <w:szCs w:val="24"/>
        </w:rPr>
      </w:pPr>
    </w:p>
    <w:p>
      <w:pPr>
        <w:pStyle w:val="12"/>
        <w:jc w:val="center"/>
        <w:rPr>
          <w:color w:val="auto"/>
          <w:lang w:val="zh-CN"/>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val="zh-CN"/>
        </w:rPr>
        <w:t>评标因素及权重分解表</w:t>
      </w:r>
      <w:r>
        <w:rPr>
          <w:rFonts w:hint="eastAsia" w:ascii="仿宋" w:hAnsi="仿宋" w:eastAsia="仿宋" w:cs="仿宋"/>
          <w:color w:val="auto"/>
          <w:sz w:val="24"/>
          <w:szCs w:val="24"/>
        </w:rPr>
        <w:t>》自行提供</w:t>
      </w:r>
    </w:p>
    <w:p>
      <w:pPr>
        <w:pageBreakBefore/>
        <w:spacing w:line="360" w:lineRule="auto"/>
        <w:jc w:val="center"/>
        <w:rPr>
          <w:rFonts w:hint="eastAsia" w:ascii="仿宋" w:hAnsi="仿宋" w:eastAsia="仿宋" w:cs="仿宋"/>
          <w:b/>
          <w:bCs/>
          <w:color w:val="auto"/>
          <w:sz w:val="32"/>
          <w:szCs w:val="15"/>
          <w:lang w:val="zh-CN"/>
        </w:rPr>
        <w:sectPr>
          <w:footerReference r:id="rId14" w:type="default"/>
          <w:pgSz w:w="11906" w:h="16838"/>
          <w:pgMar w:top="1417" w:right="1417" w:bottom="1417" w:left="1417" w:header="851" w:footer="992" w:gutter="0"/>
          <w:pgNumType w:fmt="decimal"/>
          <w:cols w:space="0" w:num="1"/>
          <w:rtlGutter w:val="0"/>
          <w:docGrid w:type="lines" w:linePitch="312" w:charSpace="0"/>
        </w:sectPr>
      </w:pPr>
    </w:p>
    <w:p>
      <w:pPr>
        <w:pageBreakBefore/>
        <w:spacing w:line="360" w:lineRule="auto"/>
        <w:jc w:val="center"/>
        <w:outlineLvl w:val="1"/>
        <w:rPr>
          <w:rFonts w:hint="eastAsia" w:ascii="仿宋" w:hAnsi="仿宋" w:eastAsia="仿宋" w:cs="仿宋"/>
          <w:b/>
          <w:bCs/>
          <w:color w:val="auto"/>
          <w:sz w:val="32"/>
          <w:szCs w:val="15"/>
          <w:lang w:val="en-US" w:eastAsia="zh-CN"/>
        </w:rPr>
      </w:pPr>
      <w:bookmarkStart w:id="484" w:name="_Toc7401"/>
      <w:r>
        <w:rPr>
          <w:rFonts w:hint="eastAsia" w:ascii="仿宋" w:hAnsi="仿宋" w:eastAsia="仿宋" w:cs="仿宋"/>
          <w:b/>
          <w:bCs/>
          <w:color w:val="auto"/>
          <w:sz w:val="32"/>
          <w:szCs w:val="15"/>
          <w:lang w:val="en-US" w:eastAsia="zh-CN"/>
        </w:rPr>
        <w:t>九、质量保障</w:t>
      </w:r>
      <w:bookmarkEnd w:id="484"/>
    </w:p>
    <w:p>
      <w:pPr>
        <w:pStyle w:val="12"/>
        <w:jc w:val="center"/>
        <w:rPr>
          <w:rFonts w:hint="eastAsia" w:ascii="仿宋" w:hAnsi="仿宋" w:eastAsia="仿宋" w:cs="仿宋"/>
          <w:color w:val="auto"/>
          <w:sz w:val="24"/>
          <w:szCs w:val="24"/>
        </w:rPr>
      </w:pPr>
    </w:p>
    <w:p>
      <w:pPr>
        <w:pStyle w:val="12"/>
        <w:jc w:val="center"/>
        <w:rPr>
          <w:color w:val="auto"/>
          <w:lang w:val="zh-CN"/>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val="zh-CN"/>
        </w:rPr>
        <w:t>评标因素及权重分解表</w:t>
      </w:r>
      <w:r>
        <w:rPr>
          <w:rFonts w:hint="eastAsia" w:ascii="仿宋" w:hAnsi="仿宋" w:eastAsia="仿宋" w:cs="仿宋"/>
          <w:color w:val="auto"/>
          <w:sz w:val="24"/>
          <w:szCs w:val="24"/>
        </w:rPr>
        <w:t>》自行提供</w:t>
      </w:r>
    </w:p>
    <w:p>
      <w:pPr>
        <w:pageBreakBefore/>
        <w:spacing w:line="360" w:lineRule="auto"/>
        <w:jc w:val="center"/>
        <w:rPr>
          <w:rFonts w:hint="eastAsia" w:ascii="仿宋" w:hAnsi="仿宋" w:eastAsia="仿宋" w:cs="仿宋"/>
          <w:b/>
          <w:bCs/>
          <w:color w:val="auto"/>
          <w:sz w:val="32"/>
          <w:szCs w:val="15"/>
          <w:lang w:val="zh-CN"/>
        </w:rPr>
        <w:sectPr>
          <w:footerReference r:id="rId15" w:type="default"/>
          <w:pgSz w:w="11906" w:h="16838"/>
          <w:pgMar w:top="1417" w:right="1417" w:bottom="1417" w:left="1417" w:header="851" w:footer="992" w:gutter="0"/>
          <w:pgNumType w:fmt="decimal"/>
          <w:cols w:space="0" w:num="1"/>
          <w:rtlGutter w:val="0"/>
          <w:docGrid w:type="lines" w:linePitch="312" w:charSpace="0"/>
        </w:sectPr>
      </w:pPr>
    </w:p>
    <w:p>
      <w:pPr>
        <w:pStyle w:val="28"/>
        <w:ind w:left="0" w:leftChars="0" w:firstLine="0" w:firstLineChars="0"/>
        <w:jc w:val="center"/>
        <w:outlineLvl w:val="1"/>
        <w:rPr>
          <w:rFonts w:hint="eastAsia" w:ascii="仿宋" w:hAnsi="仿宋" w:eastAsia="仿宋" w:cs="仿宋"/>
          <w:b/>
          <w:bCs/>
          <w:color w:val="auto"/>
          <w:kern w:val="2"/>
          <w:sz w:val="32"/>
          <w:szCs w:val="15"/>
          <w:lang w:val="en-US" w:eastAsia="zh-CN" w:bidi="ar-SA"/>
        </w:rPr>
      </w:pPr>
      <w:bookmarkStart w:id="485" w:name="_Toc22161"/>
      <w:r>
        <w:rPr>
          <w:rFonts w:hint="eastAsia" w:ascii="仿宋" w:hAnsi="仿宋" w:eastAsia="仿宋" w:cs="仿宋"/>
          <w:b/>
          <w:bCs/>
          <w:color w:val="auto"/>
          <w:kern w:val="2"/>
          <w:sz w:val="32"/>
          <w:szCs w:val="15"/>
          <w:lang w:val="en-US" w:eastAsia="zh-CN" w:bidi="ar-SA"/>
        </w:rPr>
        <w:t>十、实施方案</w:t>
      </w:r>
      <w:bookmarkEnd w:id="485"/>
    </w:p>
    <w:p>
      <w:pPr>
        <w:pStyle w:val="12"/>
        <w:jc w:val="center"/>
        <w:rPr>
          <w:rFonts w:hint="eastAsia" w:ascii="仿宋" w:hAnsi="仿宋" w:eastAsia="仿宋" w:cs="仿宋"/>
          <w:color w:val="auto"/>
          <w:sz w:val="24"/>
          <w:szCs w:val="24"/>
        </w:rPr>
      </w:pPr>
    </w:p>
    <w:p>
      <w:pPr>
        <w:pStyle w:val="12"/>
        <w:jc w:val="center"/>
        <w:rPr>
          <w:color w:val="auto"/>
          <w:lang w:val="zh-CN"/>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val="zh-CN"/>
        </w:rPr>
        <w:t>评标因素及权重分解表</w:t>
      </w:r>
      <w:r>
        <w:rPr>
          <w:rFonts w:hint="eastAsia" w:ascii="仿宋" w:hAnsi="仿宋" w:eastAsia="仿宋" w:cs="仿宋"/>
          <w:color w:val="auto"/>
          <w:sz w:val="24"/>
          <w:szCs w:val="24"/>
        </w:rPr>
        <w:t>》自行提供</w:t>
      </w:r>
    </w:p>
    <w:p>
      <w:pPr>
        <w:pStyle w:val="27"/>
        <w:rPr>
          <w:rFonts w:hint="eastAsia"/>
          <w:lang w:val="en-US" w:eastAsia="zh-CN"/>
        </w:rPr>
        <w:sectPr>
          <w:pgSz w:w="11906" w:h="16838"/>
          <w:pgMar w:top="1417" w:right="1417" w:bottom="1417" w:left="1417" w:header="851" w:footer="992" w:gutter="0"/>
          <w:pgNumType w:fmt="decimal"/>
          <w:cols w:space="0" w:num="1"/>
          <w:rtlGutter w:val="0"/>
          <w:docGrid w:type="lines" w:linePitch="312" w:charSpace="0"/>
        </w:sectPr>
      </w:pPr>
    </w:p>
    <w:p>
      <w:pPr>
        <w:pStyle w:val="27"/>
        <w:ind w:left="0" w:leftChars="0" w:firstLine="0" w:firstLineChars="0"/>
        <w:jc w:val="center"/>
        <w:outlineLvl w:val="1"/>
        <w:rPr>
          <w:rFonts w:hint="eastAsia" w:ascii="仿宋" w:hAnsi="仿宋" w:eastAsia="仿宋" w:cs="仿宋"/>
          <w:b/>
          <w:bCs/>
          <w:color w:val="auto"/>
          <w:kern w:val="2"/>
          <w:sz w:val="32"/>
          <w:szCs w:val="15"/>
          <w:lang w:val="en-US" w:eastAsia="zh-CN" w:bidi="ar-SA"/>
        </w:rPr>
      </w:pPr>
      <w:bookmarkStart w:id="486" w:name="_Toc19856"/>
      <w:r>
        <w:rPr>
          <w:rFonts w:hint="eastAsia" w:ascii="仿宋" w:hAnsi="仿宋" w:eastAsia="仿宋" w:cs="仿宋"/>
          <w:b/>
          <w:bCs/>
          <w:color w:val="auto"/>
          <w:kern w:val="2"/>
          <w:sz w:val="32"/>
          <w:szCs w:val="15"/>
          <w:lang w:val="en-US" w:eastAsia="zh-CN" w:bidi="ar-SA"/>
        </w:rPr>
        <w:t>十一、售后服务</w:t>
      </w:r>
      <w:bookmarkEnd w:id="486"/>
    </w:p>
    <w:p>
      <w:pPr>
        <w:pStyle w:val="12"/>
        <w:jc w:val="center"/>
        <w:rPr>
          <w:rFonts w:hint="eastAsia" w:ascii="仿宋" w:hAnsi="仿宋" w:eastAsia="仿宋" w:cs="仿宋"/>
          <w:color w:val="auto"/>
          <w:sz w:val="24"/>
          <w:szCs w:val="24"/>
        </w:rPr>
      </w:pPr>
    </w:p>
    <w:p>
      <w:pPr>
        <w:pStyle w:val="12"/>
        <w:jc w:val="center"/>
        <w:rPr>
          <w:color w:val="auto"/>
          <w:lang w:val="zh-CN"/>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val="zh-CN"/>
        </w:rPr>
        <w:t>评标因素及权重分解表</w:t>
      </w:r>
      <w:r>
        <w:rPr>
          <w:rFonts w:hint="eastAsia" w:ascii="仿宋" w:hAnsi="仿宋" w:eastAsia="仿宋" w:cs="仿宋"/>
          <w:color w:val="auto"/>
          <w:sz w:val="24"/>
          <w:szCs w:val="24"/>
        </w:rPr>
        <w:t>》自行提供</w:t>
      </w:r>
    </w:p>
    <w:p>
      <w:pPr>
        <w:rPr>
          <w:rFonts w:hint="default"/>
          <w:lang w:val="en-US" w:eastAsia="zh-CN"/>
        </w:rPr>
        <w:sectPr>
          <w:pgSz w:w="11906" w:h="16838"/>
          <w:pgMar w:top="1417" w:right="1417" w:bottom="1417" w:left="1417" w:header="851" w:footer="992" w:gutter="0"/>
          <w:pgNumType w:fmt="decimal"/>
          <w:cols w:space="0" w:num="1"/>
          <w:rtlGutter w:val="0"/>
          <w:docGrid w:type="lines" w:linePitch="312" w:charSpace="0"/>
        </w:sectPr>
      </w:pP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pStyle w:val="4"/>
        <w:keepNext w:val="0"/>
        <w:pageBreakBefore/>
        <w:spacing w:line="360" w:lineRule="auto"/>
        <w:rPr>
          <w:rFonts w:ascii="仿宋" w:hAnsi="仿宋" w:eastAsia="仿宋" w:cs="仿宋"/>
          <w:bCs/>
          <w:color w:val="auto"/>
          <w:kern w:val="2"/>
          <w:sz w:val="32"/>
          <w:szCs w:val="15"/>
          <w:lang w:val="zh-CN"/>
        </w:rPr>
      </w:pPr>
      <w:bookmarkStart w:id="487" w:name="_Toc3359"/>
      <w:bookmarkStart w:id="488" w:name="_Toc13555"/>
      <w:bookmarkStart w:id="489" w:name="_Toc32357"/>
      <w:r>
        <w:rPr>
          <w:rFonts w:hint="eastAsia" w:ascii="仿宋" w:hAnsi="仿宋" w:eastAsia="仿宋" w:cs="仿宋"/>
          <w:bCs/>
          <w:color w:val="auto"/>
          <w:kern w:val="2"/>
          <w:sz w:val="32"/>
          <w:szCs w:val="15"/>
          <w:lang w:val="zh-CN"/>
        </w:rPr>
        <w:t>十</w:t>
      </w:r>
      <w:r>
        <w:rPr>
          <w:rFonts w:hint="eastAsia" w:ascii="仿宋" w:hAnsi="仿宋" w:eastAsia="仿宋" w:cs="仿宋"/>
          <w:bCs/>
          <w:color w:val="auto"/>
          <w:kern w:val="2"/>
          <w:sz w:val="32"/>
          <w:szCs w:val="15"/>
          <w:lang w:val="en-US" w:eastAsia="zh-CN"/>
        </w:rPr>
        <w:t>二</w:t>
      </w:r>
      <w:r>
        <w:rPr>
          <w:rFonts w:hint="eastAsia" w:ascii="仿宋" w:hAnsi="仿宋" w:eastAsia="仿宋" w:cs="仿宋"/>
          <w:bCs/>
          <w:color w:val="auto"/>
          <w:kern w:val="2"/>
          <w:sz w:val="32"/>
          <w:szCs w:val="15"/>
          <w:lang w:val="zh-CN"/>
        </w:rPr>
        <w:t>、供应商企业关系关联承诺书</w:t>
      </w:r>
      <w:bookmarkEnd w:id="487"/>
      <w:bookmarkEnd w:id="488"/>
      <w:bookmarkEnd w:id="489"/>
    </w:p>
    <w:p>
      <w:pPr>
        <w:spacing w:line="360" w:lineRule="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rPr>
        <w:t>致：</w:t>
      </w:r>
      <w:r>
        <w:rPr>
          <w:rFonts w:hint="eastAsia" w:ascii="仿宋" w:hAnsi="仿宋" w:eastAsia="仿宋" w:cs="仿宋"/>
          <w:color w:val="auto"/>
          <w:spacing w:val="4"/>
          <w:sz w:val="24"/>
          <w:szCs w:val="24"/>
          <w:u w:val="single"/>
        </w:rPr>
        <w:t xml:space="preserve">     （采购人名称）    ：</w:t>
      </w:r>
    </w:p>
    <w:p>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我方作为</w:t>
      </w:r>
      <w:r>
        <w:rPr>
          <w:rFonts w:hint="eastAsia" w:ascii="仿宋" w:hAnsi="仿宋" w:eastAsia="仿宋" w:cs="仿宋"/>
          <w:color w:val="auto"/>
          <w:kern w:val="0"/>
          <w:sz w:val="24"/>
          <w:szCs w:val="24"/>
          <w:u w:val="single"/>
        </w:rPr>
        <w:t xml:space="preserve">         （项目名称）         </w:t>
      </w:r>
      <w:r>
        <w:rPr>
          <w:rFonts w:hint="eastAsia" w:ascii="仿宋" w:hAnsi="仿宋" w:eastAsia="仿宋" w:cs="仿宋"/>
          <w:color w:val="auto"/>
          <w:kern w:val="0"/>
          <w:sz w:val="24"/>
          <w:szCs w:val="24"/>
        </w:rPr>
        <w:t>（项目编号：）的</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，在此郑重声明：</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在本项目中，不存在与其它</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负责人为同一人，有控股、管理等关联关系承诺。</w:t>
      </w:r>
    </w:p>
    <w:p>
      <w:pPr>
        <w:widowControl/>
        <w:spacing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2、我方未为本项目提供整体设计、规范编制或者项目管理、监理、检测等服务。</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如有不实，我方将无条件地退出本项目的采购活动，并遵</w:t>
      </w:r>
      <w:r>
        <w:rPr>
          <w:rFonts w:hint="eastAsia" w:ascii="仿宋" w:hAnsi="仿宋" w:eastAsia="仿宋" w:cs="仿宋"/>
          <w:color w:val="auto"/>
          <w:kern w:val="0"/>
          <w:sz w:val="24"/>
          <w:szCs w:val="24"/>
          <w:lang w:eastAsia="zh-CN"/>
        </w:rPr>
        <w:t>照</w:t>
      </w:r>
      <w:r>
        <w:rPr>
          <w:rFonts w:hint="eastAsia" w:ascii="仿宋" w:hAnsi="仿宋" w:eastAsia="仿宋" w:cs="仿宋"/>
          <w:color w:val="auto"/>
          <w:kern w:val="0"/>
          <w:sz w:val="24"/>
          <w:szCs w:val="24"/>
        </w:rPr>
        <w:t xml:space="preserve">《政府采购法》有关“提供虚假材料的规定”接受处罚。 </w:t>
      </w:r>
    </w:p>
    <w:p>
      <w:pPr>
        <w:widowControl/>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rPr>
        <w:t>特此声明。</w:t>
      </w:r>
    </w:p>
    <w:p>
      <w:pPr>
        <w:autoSpaceDE w:val="0"/>
        <w:autoSpaceDN w:val="0"/>
        <w:adjustRightInd w:val="0"/>
        <w:spacing w:line="360" w:lineRule="auto"/>
        <w:ind w:firstLine="480" w:firstLineChars="200"/>
        <w:rPr>
          <w:rFonts w:ascii="仿宋" w:hAnsi="仿宋" w:eastAsia="仿宋" w:cs="仿宋"/>
          <w:color w:val="auto"/>
          <w:sz w:val="24"/>
          <w:szCs w:val="24"/>
        </w:rPr>
      </w:pPr>
    </w:p>
    <w:p>
      <w:pPr>
        <w:autoSpaceDE w:val="0"/>
        <w:autoSpaceDN w:val="0"/>
        <w:adjustRightInd w:val="0"/>
        <w:spacing w:line="360" w:lineRule="auto"/>
        <w:rPr>
          <w:rFonts w:ascii="仿宋" w:hAnsi="仿宋" w:eastAsia="仿宋" w:cs="仿宋"/>
          <w:color w:val="auto"/>
          <w:sz w:val="24"/>
          <w:szCs w:val="24"/>
        </w:rPr>
      </w:pPr>
    </w:p>
    <w:p>
      <w:pPr>
        <w:autoSpaceDE w:val="0"/>
        <w:autoSpaceDN w:val="0"/>
        <w:adjustRightInd w:val="0"/>
        <w:spacing w:line="360" w:lineRule="auto"/>
        <w:jc w:val="center"/>
        <w:rPr>
          <w:rFonts w:ascii="仿宋" w:hAnsi="仿宋" w:eastAsia="仿宋" w:cs="仿宋"/>
          <w:b/>
          <w:color w:val="auto"/>
          <w:sz w:val="24"/>
          <w:szCs w:val="24"/>
        </w:rPr>
      </w:pP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spacing w:line="360" w:lineRule="auto"/>
        <w:rPr>
          <w:rFonts w:ascii="仿宋" w:hAnsi="仿宋" w:eastAsia="仿宋" w:cs="仿宋"/>
          <w:color w:val="auto"/>
          <w:sz w:val="24"/>
          <w:szCs w:val="24"/>
          <w:u w:val="single"/>
        </w:rPr>
      </w:pPr>
    </w:p>
    <w:p>
      <w:pPr>
        <w:spacing w:line="360" w:lineRule="auto"/>
        <w:rPr>
          <w:rFonts w:ascii="仿宋" w:hAnsi="仿宋" w:eastAsia="仿宋" w:cs="仿宋"/>
          <w:color w:val="auto"/>
          <w:sz w:val="32"/>
          <w:u w:val="single"/>
        </w:rPr>
      </w:pPr>
    </w:p>
    <w:p>
      <w:pPr>
        <w:pageBreakBefore/>
        <w:spacing w:line="360" w:lineRule="auto"/>
        <w:jc w:val="center"/>
        <w:outlineLvl w:val="1"/>
        <w:rPr>
          <w:rFonts w:ascii="仿宋" w:hAnsi="仿宋" w:eastAsia="仿宋" w:cs="仿宋"/>
          <w:b/>
          <w:bCs/>
          <w:color w:val="auto"/>
          <w:sz w:val="32"/>
          <w:szCs w:val="15"/>
          <w:lang w:val="zh-CN"/>
        </w:rPr>
      </w:pPr>
      <w:bookmarkStart w:id="490" w:name="_Toc16898"/>
      <w:bookmarkStart w:id="491" w:name="_Toc25951"/>
      <w:bookmarkStart w:id="492" w:name="_Toc12844"/>
      <w:bookmarkStart w:id="493" w:name="_Toc19579"/>
      <w:bookmarkStart w:id="494" w:name="_Toc20797"/>
      <w:bookmarkStart w:id="495" w:name="_Toc5082"/>
      <w:bookmarkStart w:id="496" w:name="_Toc19643"/>
      <w:bookmarkStart w:id="497" w:name="_Toc24186"/>
      <w:bookmarkStart w:id="498" w:name="_Toc27081"/>
      <w:bookmarkStart w:id="499" w:name="_Toc14521"/>
      <w:bookmarkStart w:id="500" w:name="_Toc7489"/>
      <w:bookmarkStart w:id="501" w:name="_Toc26328"/>
      <w:bookmarkStart w:id="502" w:name="_Toc28697"/>
      <w:r>
        <w:rPr>
          <w:rFonts w:hint="eastAsia" w:ascii="仿宋" w:hAnsi="仿宋" w:eastAsia="仿宋" w:cs="仿宋"/>
          <w:b/>
          <w:bCs/>
          <w:color w:val="auto"/>
          <w:sz w:val="32"/>
          <w:szCs w:val="15"/>
          <w:lang w:val="zh-CN"/>
        </w:rPr>
        <w:t>十</w:t>
      </w:r>
      <w:r>
        <w:rPr>
          <w:rFonts w:hint="eastAsia" w:ascii="仿宋" w:hAnsi="仿宋" w:eastAsia="仿宋" w:cs="仿宋"/>
          <w:b/>
          <w:bCs/>
          <w:color w:val="auto"/>
          <w:sz w:val="32"/>
          <w:szCs w:val="15"/>
          <w:lang w:val="en-US" w:eastAsia="zh-CN"/>
        </w:rPr>
        <w:t>三</w:t>
      </w:r>
      <w:r>
        <w:rPr>
          <w:rFonts w:hint="eastAsia" w:ascii="仿宋" w:hAnsi="仿宋" w:eastAsia="仿宋" w:cs="仿宋"/>
          <w:b/>
          <w:bCs/>
          <w:color w:val="auto"/>
          <w:sz w:val="32"/>
          <w:szCs w:val="15"/>
          <w:lang w:val="zh-CN"/>
        </w:rPr>
        <w:t>、供应商廉洁自律承诺书</w:t>
      </w:r>
      <w:bookmarkEnd w:id="490"/>
      <w:bookmarkEnd w:id="491"/>
      <w:bookmarkEnd w:id="492"/>
      <w:bookmarkEnd w:id="493"/>
      <w:bookmarkEnd w:id="494"/>
      <w:bookmarkEnd w:id="495"/>
      <w:bookmarkEnd w:id="496"/>
      <w:bookmarkEnd w:id="497"/>
      <w:bookmarkEnd w:id="498"/>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为响应党中央、国务院关于治理政府采购领域商业贿赂行为的号召，我们特向贵司郑重承诺，在政府采购过程中严格遵守下列行为准则：</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2、不以围标、串标、陪标、挂靠、提供虚假信息、恶意干扰采购人、评标委员会评审等违规手段实现中标目的；</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7、不以贿赂之外的其他方式拉拢采购方相关工作人员，使其违背公平、公开、公正竞争原则，帮助实现中标目的。</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8、如果采购人相关工作人员以帮助实现成交目的为对价向</w:t>
      </w:r>
      <w:r>
        <w:rPr>
          <w:rFonts w:hint="eastAsia" w:ascii="仿宋" w:hAnsi="仿宋" w:eastAsia="仿宋" w:cs="仿宋"/>
          <w:snapToGrid w:val="0"/>
          <w:color w:val="auto"/>
          <w:sz w:val="24"/>
          <w:szCs w:val="24"/>
          <w:lang w:eastAsia="zh-CN"/>
        </w:rPr>
        <w:t>供应商</w:t>
      </w:r>
      <w:r>
        <w:rPr>
          <w:rFonts w:hint="eastAsia" w:ascii="仿宋" w:hAnsi="仿宋" w:eastAsia="仿宋" w:cs="仿宋"/>
          <w:snapToGrid w:val="0"/>
          <w:color w:val="auto"/>
          <w:sz w:val="24"/>
          <w:szCs w:val="24"/>
        </w:rPr>
        <w:t>索取贿赂或谋求其他个人利益，</w:t>
      </w:r>
      <w:r>
        <w:rPr>
          <w:rFonts w:hint="eastAsia" w:ascii="仿宋" w:hAnsi="仿宋" w:eastAsia="仿宋" w:cs="仿宋"/>
          <w:snapToGrid w:val="0"/>
          <w:color w:val="auto"/>
          <w:sz w:val="24"/>
          <w:szCs w:val="24"/>
          <w:lang w:eastAsia="zh-CN"/>
        </w:rPr>
        <w:t>供应商</w:t>
      </w:r>
      <w:r>
        <w:rPr>
          <w:rFonts w:hint="eastAsia" w:ascii="仿宋" w:hAnsi="仿宋" w:eastAsia="仿宋" w:cs="仿宋"/>
          <w:snapToGrid w:val="0"/>
          <w:color w:val="auto"/>
          <w:sz w:val="24"/>
          <w:szCs w:val="24"/>
        </w:rPr>
        <w:t>应拒绝采购人相关工作人员的要求，并向采购人监督部门举报。</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如果承诺人违背上述承诺并中标，承诺人自愿承担与贵司签订的合同无效、贵司有权拒绝支付合同款、承诺人自身损失自己承担并赔偿贵司因此产生的一切损失的民事法律责任及因此产生的刑事责任。</w:t>
      </w:r>
    </w:p>
    <w:p>
      <w:pPr>
        <w:keepNext w:val="0"/>
        <w:keepLines w:val="0"/>
        <w:pageBreakBefore w:val="0"/>
        <w:widowControl/>
        <w:kinsoku/>
        <w:wordWrap/>
        <w:overflowPunct/>
        <w:topLinePunct w:val="0"/>
        <w:autoSpaceDE/>
        <w:autoSpaceDN/>
        <w:bidi w:val="0"/>
        <w:spacing w:line="360" w:lineRule="auto"/>
        <w:textAlignment w:val="auto"/>
        <w:rPr>
          <w:rFonts w:ascii="仿宋" w:hAnsi="仿宋" w:eastAsia="仿宋" w:cs="仿宋"/>
          <w:bCs/>
          <w:color w:val="auto"/>
          <w:kern w:val="0"/>
          <w:sz w:val="24"/>
          <w:szCs w:val="24"/>
        </w:rPr>
      </w:pPr>
      <w:bookmarkStart w:id="503" w:name="_Toc25981"/>
      <w:bookmarkStart w:id="504" w:name="_Toc4293"/>
      <w:bookmarkStart w:id="505" w:name="_Toc29909"/>
      <w:bookmarkStart w:id="506" w:name="_Toc30269"/>
      <w:bookmarkStart w:id="507" w:name="_Toc11312"/>
      <w:bookmarkStart w:id="508" w:name="_Toc25621"/>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3578" w:firstLineChars="1491"/>
        <w:textAlignment w:val="auto"/>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lang w:val="en-US" w:eastAsia="zh-CN"/>
        </w:rPr>
        <w:t xml:space="preserve">                                    </w:t>
      </w:r>
    </w:p>
    <w:p>
      <w:pPr>
        <w:pageBreakBefore/>
        <w:spacing w:line="360" w:lineRule="auto"/>
        <w:jc w:val="center"/>
        <w:outlineLvl w:val="1"/>
        <w:rPr>
          <w:rFonts w:ascii="仿宋" w:hAnsi="仿宋" w:eastAsia="仿宋" w:cs="仿宋"/>
          <w:b/>
          <w:bCs/>
          <w:color w:val="auto"/>
          <w:sz w:val="32"/>
          <w:szCs w:val="15"/>
          <w:lang w:val="zh-CN"/>
        </w:rPr>
      </w:pPr>
      <w:bookmarkStart w:id="509" w:name="_Toc21297"/>
      <w:r>
        <w:rPr>
          <w:rFonts w:hint="eastAsia" w:ascii="仿宋" w:hAnsi="仿宋" w:eastAsia="仿宋" w:cs="仿宋"/>
          <w:b/>
          <w:bCs/>
          <w:color w:val="auto"/>
          <w:sz w:val="32"/>
          <w:szCs w:val="15"/>
          <w:lang w:val="zh-CN"/>
        </w:rPr>
        <w:t>十四、供应商认为有必要补充说明的事项</w:t>
      </w:r>
      <w:bookmarkEnd w:id="499"/>
      <w:bookmarkEnd w:id="500"/>
      <w:bookmarkEnd w:id="501"/>
      <w:bookmarkEnd w:id="502"/>
      <w:bookmarkEnd w:id="503"/>
      <w:bookmarkEnd w:id="504"/>
      <w:bookmarkEnd w:id="505"/>
      <w:bookmarkEnd w:id="506"/>
      <w:bookmarkEnd w:id="507"/>
      <w:bookmarkEnd w:id="508"/>
      <w:bookmarkEnd w:id="509"/>
    </w:p>
    <w:p>
      <w:pPr>
        <w:rPr>
          <w:rFonts w:ascii="仿宋" w:hAnsi="仿宋" w:eastAsia="仿宋" w:cs="仿宋"/>
          <w:color w:val="auto"/>
        </w:rPr>
      </w:pPr>
    </w:p>
    <w:p>
      <w:pPr>
        <w:spacing w:line="360" w:lineRule="auto"/>
        <w:ind w:firstLine="480" w:firstLineChars="200"/>
        <w:jc w:val="center"/>
        <w:rPr>
          <w:rFonts w:ascii="仿宋" w:hAnsi="仿宋" w:eastAsia="仿宋" w:cs="仿宋"/>
          <w:snapToGrid w:val="0"/>
          <w:color w:val="auto"/>
          <w:sz w:val="24"/>
          <w:szCs w:val="24"/>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wis721 BT">
    <w:altName w:val="Segoe Script"/>
    <w:panose1 w:val="020B0504020202020204"/>
    <w:charset w:val="00"/>
    <w:family w:val="swiss"/>
    <w:pitch w:val="default"/>
    <w:sig w:usb0="00000000" w:usb1="00000000" w:usb2="00000000" w:usb3="00000000" w:csb0="00000000" w:csb1="00000000"/>
  </w:font>
  <w:font w:name="Segoe Script">
    <w:panose1 w:val="030B0504020000000003"/>
    <w:charset w:val="00"/>
    <w:family w:val="auto"/>
    <w:pitch w:val="default"/>
    <w:sig w:usb0="0000028F" w:usb1="00000000" w:usb2="00000000" w:usb3="00000000" w:csb0="0000009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宋体, SimSu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pPr>
    <w:r>
      <w:rPr>
        <w:sz w:val="21"/>
      </w:rPr>
      <w:pict>
        <v:shape id="_x0000_s1051" o:spid="_x0000_s1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1052" o:spid="_x0000_s1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1053" o:spid="_x0000_s1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1054" o:spid="_x0000_s105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w:rPr>
        <w:sz w:val="21"/>
      </w:rPr>
      <w:pict>
        <v:shape id="_x0000_s1055" o:spid="_x0000_s105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1056" o:spid="_x0000_s105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1057" o:spid="_x0000_s105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w:pict>
        <v:shape id="_x0000_s1058" o:spid="_x0000_s105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88</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ind w:firstLine="321" w:firstLineChars="200"/>
      <w:jc w:val="right"/>
      <w:rPr>
        <w:rFonts w:ascii="仿宋" w:hAnsi="仿宋" w:eastAsia="仿宋" w:cs="仿宋"/>
        <w:sz w:val="16"/>
        <w:szCs w:val="16"/>
      </w:rPr>
    </w:pPr>
    <w:r>
      <w:rPr>
        <w:rFonts w:hint="eastAsia" w:ascii="仿宋" w:hAnsi="仿宋" w:eastAsia="仿宋" w:cs="仿宋"/>
        <w:b/>
        <w:bCs/>
        <w:i/>
        <w:sz w:val="16"/>
        <w:szCs w:val="13"/>
        <w:lang w:eastAsia="zh-CN"/>
      </w:rPr>
      <w:t>秦岭国家植物园生物多样性保护项目</w:t>
    </w:r>
    <w:r>
      <w:rPr>
        <w:rFonts w:hint="eastAsia" w:ascii="仿宋" w:hAnsi="仿宋" w:eastAsia="仿宋" w:cs="仿宋"/>
        <w:b/>
        <w:bCs/>
        <w:i/>
        <w:sz w:val="16"/>
        <w:szCs w:val="13"/>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ind w:firstLine="321" w:firstLineChars="200"/>
      <w:jc w:val="right"/>
      <w:rPr>
        <w:rFonts w:ascii="仿宋" w:hAnsi="仿宋" w:eastAsia="仿宋" w:cs="仿宋"/>
        <w:sz w:val="16"/>
        <w:szCs w:val="16"/>
      </w:rPr>
    </w:pPr>
    <w:r>
      <w:rPr>
        <w:rFonts w:hint="eastAsia" w:ascii="仿宋" w:hAnsi="仿宋" w:eastAsia="仿宋" w:cs="仿宋"/>
        <w:b/>
        <w:bCs/>
        <w:i/>
        <w:sz w:val="16"/>
        <w:szCs w:val="13"/>
        <w:lang w:eastAsia="zh-CN"/>
      </w:rPr>
      <w:t>秦岭国家植物园生物多样性保护项目</w:t>
    </w:r>
    <w:r>
      <w:rPr>
        <w:rFonts w:hint="eastAsia" w:ascii="仿宋" w:hAnsi="仿宋" w:eastAsia="仿宋" w:cs="仿宋"/>
        <w:b/>
        <w:bCs/>
        <w:i/>
        <w:sz w:val="16"/>
        <w:szCs w:val="13"/>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360" w:lineRule="auto"/>
      <w:jc w:val="right"/>
      <w:rPr>
        <w:rFonts w:eastAsia="仿宋"/>
      </w:rPr>
    </w:pPr>
    <w:r>
      <w:rPr>
        <w:rFonts w:hint="eastAsia" w:ascii="仿宋" w:hAnsi="仿宋" w:eastAsia="仿宋" w:cs="仿宋"/>
        <w:b/>
        <w:bCs/>
        <w:i/>
        <w:sz w:val="16"/>
        <w:szCs w:val="13"/>
        <w:lang w:eastAsia="zh-CN"/>
      </w:rPr>
      <w:t>秦岭国家植物园生物多样性保护项目</w:t>
    </w:r>
    <w:r>
      <w:rPr>
        <w:rFonts w:hint="eastAsia" w:ascii="仿宋" w:hAnsi="仿宋" w:eastAsia="仿宋" w:cs="仿宋"/>
        <w:b/>
        <w:bCs/>
        <w:i/>
        <w:sz w:val="16"/>
        <w:szCs w:val="13"/>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229C5"/>
    <w:multiLevelType w:val="singleLevel"/>
    <w:tmpl w:val="94E229C5"/>
    <w:lvl w:ilvl="0" w:tentative="0">
      <w:start w:val="1"/>
      <w:numFmt w:val="chineseCounting"/>
      <w:suff w:val="nothing"/>
      <w:lvlText w:val="%1、"/>
      <w:lvlJc w:val="left"/>
      <w:rPr>
        <w:rFonts w:hint="eastAsia"/>
      </w:rPr>
    </w:lvl>
  </w:abstractNum>
  <w:abstractNum w:abstractNumId="1">
    <w:nsid w:val="BA8B1867"/>
    <w:multiLevelType w:val="singleLevel"/>
    <w:tmpl w:val="BA8B1867"/>
    <w:lvl w:ilvl="0" w:tentative="0">
      <w:start w:val="1"/>
      <w:numFmt w:val="decimal"/>
      <w:lvlText w:val="%1."/>
      <w:lvlJc w:val="left"/>
      <w:pPr>
        <w:tabs>
          <w:tab w:val="left" w:pos="312"/>
        </w:tabs>
      </w:pPr>
    </w:lvl>
  </w:abstractNum>
  <w:abstractNum w:abstractNumId="2">
    <w:nsid w:val="2678CAF8"/>
    <w:multiLevelType w:val="singleLevel"/>
    <w:tmpl w:val="2678CAF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4"/>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UwZTg4OGJkNWRkOTJlMzY2NDhhMWVjMWFhNWQxMGYifQ=="/>
  </w:docVars>
  <w:rsids>
    <w:rsidRoot w:val="00172A27"/>
    <w:rsid w:val="00054E43"/>
    <w:rsid w:val="00082E11"/>
    <w:rsid w:val="00123625"/>
    <w:rsid w:val="00172A27"/>
    <w:rsid w:val="002007F2"/>
    <w:rsid w:val="00256D00"/>
    <w:rsid w:val="002B209D"/>
    <w:rsid w:val="00321F0D"/>
    <w:rsid w:val="004F3904"/>
    <w:rsid w:val="005A66E8"/>
    <w:rsid w:val="00655EAC"/>
    <w:rsid w:val="006A4925"/>
    <w:rsid w:val="00722C71"/>
    <w:rsid w:val="00760FC1"/>
    <w:rsid w:val="00B53A9C"/>
    <w:rsid w:val="00D00ED1"/>
    <w:rsid w:val="00D168D6"/>
    <w:rsid w:val="00E61FF2"/>
    <w:rsid w:val="00F435F1"/>
    <w:rsid w:val="01A03665"/>
    <w:rsid w:val="01C83D48"/>
    <w:rsid w:val="021B4775"/>
    <w:rsid w:val="022C24DE"/>
    <w:rsid w:val="02581525"/>
    <w:rsid w:val="026E0428"/>
    <w:rsid w:val="029639FD"/>
    <w:rsid w:val="02BA7760"/>
    <w:rsid w:val="02FE20CD"/>
    <w:rsid w:val="03067533"/>
    <w:rsid w:val="032D650E"/>
    <w:rsid w:val="035C48C5"/>
    <w:rsid w:val="03654213"/>
    <w:rsid w:val="03B46C2F"/>
    <w:rsid w:val="03DF62C8"/>
    <w:rsid w:val="04875963"/>
    <w:rsid w:val="04B86601"/>
    <w:rsid w:val="04C85B76"/>
    <w:rsid w:val="0506249C"/>
    <w:rsid w:val="054D1116"/>
    <w:rsid w:val="056618DE"/>
    <w:rsid w:val="05E96551"/>
    <w:rsid w:val="05F17CC7"/>
    <w:rsid w:val="069703BA"/>
    <w:rsid w:val="06F3393F"/>
    <w:rsid w:val="07271335"/>
    <w:rsid w:val="074F7E6B"/>
    <w:rsid w:val="07783BC4"/>
    <w:rsid w:val="07952895"/>
    <w:rsid w:val="07AC21B0"/>
    <w:rsid w:val="07B17EAE"/>
    <w:rsid w:val="07BB0666"/>
    <w:rsid w:val="07DD21DD"/>
    <w:rsid w:val="07F047B6"/>
    <w:rsid w:val="080E41FF"/>
    <w:rsid w:val="08112984"/>
    <w:rsid w:val="08270478"/>
    <w:rsid w:val="08514E0F"/>
    <w:rsid w:val="08AE140F"/>
    <w:rsid w:val="08BD0334"/>
    <w:rsid w:val="097C7D74"/>
    <w:rsid w:val="09A03697"/>
    <w:rsid w:val="09A12CBF"/>
    <w:rsid w:val="0A0A57FB"/>
    <w:rsid w:val="0A3B6641"/>
    <w:rsid w:val="0A630245"/>
    <w:rsid w:val="0A6E6419"/>
    <w:rsid w:val="0AE25FDC"/>
    <w:rsid w:val="0B2035CB"/>
    <w:rsid w:val="0B251306"/>
    <w:rsid w:val="0B446A4F"/>
    <w:rsid w:val="0B9C527E"/>
    <w:rsid w:val="0BC64AA2"/>
    <w:rsid w:val="0C023496"/>
    <w:rsid w:val="0C6361C4"/>
    <w:rsid w:val="0D51204E"/>
    <w:rsid w:val="0D972A96"/>
    <w:rsid w:val="0E1F6BCA"/>
    <w:rsid w:val="0E8544A7"/>
    <w:rsid w:val="0EA16EDC"/>
    <w:rsid w:val="0EB60381"/>
    <w:rsid w:val="0EE61EAE"/>
    <w:rsid w:val="0F022F45"/>
    <w:rsid w:val="0F155CD5"/>
    <w:rsid w:val="0F2A0723"/>
    <w:rsid w:val="0F50583A"/>
    <w:rsid w:val="0FD20CFC"/>
    <w:rsid w:val="0FE64D0B"/>
    <w:rsid w:val="0FFE7B1B"/>
    <w:rsid w:val="10366259"/>
    <w:rsid w:val="109F39AC"/>
    <w:rsid w:val="10FB6ED7"/>
    <w:rsid w:val="10FB7C4C"/>
    <w:rsid w:val="115A330A"/>
    <w:rsid w:val="11683E2A"/>
    <w:rsid w:val="117A32A9"/>
    <w:rsid w:val="11E95493"/>
    <w:rsid w:val="12294454"/>
    <w:rsid w:val="12562362"/>
    <w:rsid w:val="12971FB6"/>
    <w:rsid w:val="12E507DA"/>
    <w:rsid w:val="132C56B4"/>
    <w:rsid w:val="132C77AB"/>
    <w:rsid w:val="134523ED"/>
    <w:rsid w:val="1413263F"/>
    <w:rsid w:val="144B07D6"/>
    <w:rsid w:val="15050751"/>
    <w:rsid w:val="15F05A0D"/>
    <w:rsid w:val="161E6E42"/>
    <w:rsid w:val="16632324"/>
    <w:rsid w:val="16683ACE"/>
    <w:rsid w:val="16850115"/>
    <w:rsid w:val="168E0A42"/>
    <w:rsid w:val="16924BAE"/>
    <w:rsid w:val="173D1176"/>
    <w:rsid w:val="178A30CF"/>
    <w:rsid w:val="18022B7F"/>
    <w:rsid w:val="180814F1"/>
    <w:rsid w:val="181E2AC4"/>
    <w:rsid w:val="182E4DAB"/>
    <w:rsid w:val="185B1ACC"/>
    <w:rsid w:val="186871D7"/>
    <w:rsid w:val="196A036B"/>
    <w:rsid w:val="19904552"/>
    <w:rsid w:val="1A856B8A"/>
    <w:rsid w:val="1AA4505E"/>
    <w:rsid w:val="1AF61E20"/>
    <w:rsid w:val="1AFB1938"/>
    <w:rsid w:val="1B472E09"/>
    <w:rsid w:val="1BB1171C"/>
    <w:rsid w:val="1BC42B10"/>
    <w:rsid w:val="1BCD05D7"/>
    <w:rsid w:val="1BF070A2"/>
    <w:rsid w:val="1BFD77A5"/>
    <w:rsid w:val="1C212F5D"/>
    <w:rsid w:val="1C396998"/>
    <w:rsid w:val="1C5F1734"/>
    <w:rsid w:val="1CD632F3"/>
    <w:rsid w:val="1D656A37"/>
    <w:rsid w:val="1D84721B"/>
    <w:rsid w:val="1DC64109"/>
    <w:rsid w:val="1DD13C59"/>
    <w:rsid w:val="1DD72943"/>
    <w:rsid w:val="1DF51E9C"/>
    <w:rsid w:val="1E885636"/>
    <w:rsid w:val="1E9E05E4"/>
    <w:rsid w:val="1FD44489"/>
    <w:rsid w:val="1FDC564F"/>
    <w:rsid w:val="1FE346CD"/>
    <w:rsid w:val="1FFB247A"/>
    <w:rsid w:val="20120B0E"/>
    <w:rsid w:val="2023302E"/>
    <w:rsid w:val="20490F06"/>
    <w:rsid w:val="20F12E19"/>
    <w:rsid w:val="20F14D3E"/>
    <w:rsid w:val="216103C9"/>
    <w:rsid w:val="21A96910"/>
    <w:rsid w:val="222F379C"/>
    <w:rsid w:val="2256088E"/>
    <w:rsid w:val="22610ADC"/>
    <w:rsid w:val="22736639"/>
    <w:rsid w:val="22C266F7"/>
    <w:rsid w:val="23011794"/>
    <w:rsid w:val="2395290B"/>
    <w:rsid w:val="23DC390D"/>
    <w:rsid w:val="23F47566"/>
    <w:rsid w:val="241F72E0"/>
    <w:rsid w:val="24232E90"/>
    <w:rsid w:val="242B1525"/>
    <w:rsid w:val="243F29DE"/>
    <w:rsid w:val="2467280B"/>
    <w:rsid w:val="24955B50"/>
    <w:rsid w:val="24B91A52"/>
    <w:rsid w:val="253E744B"/>
    <w:rsid w:val="254061A2"/>
    <w:rsid w:val="2600358A"/>
    <w:rsid w:val="260744C3"/>
    <w:rsid w:val="261F4709"/>
    <w:rsid w:val="266F2816"/>
    <w:rsid w:val="277B675F"/>
    <w:rsid w:val="278E17D2"/>
    <w:rsid w:val="27AD21FA"/>
    <w:rsid w:val="27D671E5"/>
    <w:rsid w:val="27EA29EA"/>
    <w:rsid w:val="28416434"/>
    <w:rsid w:val="28A20C44"/>
    <w:rsid w:val="291E22D1"/>
    <w:rsid w:val="29896495"/>
    <w:rsid w:val="2A562CC5"/>
    <w:rsid w:val="2AFA5C89"/>
    <w:rsid w:val="2B27367F"/>
    <w:rsid w:val="2B8048D9"/>
    <w:rsid w:val="2C9442A9"/>
    <w:rsid w:val="2CAA772D"/>
    <w:rsid w:val="2CB14AF3"/>
    <w:rsid w:val="2D172BF8"/>
    <w:rsid w:val="2D8A79CC"/>
    <w:rsid w:val="2DAD1B90"/>
    <w:rsid w:val="2DDC55FA"/>
    <w:rsid w:val="2E2760CC"/>
    <w:rsid w:val="2E3D64AF"/>
    <w:rsid w:val="2E742A02"/>
    <w:rsid w:val="2E895C66"/>
    <w:rsid w:val="2E903C71"/>
    <w:rsid w:val="2E9A5A24"/>
    <w:rsid w:val="2F3D369E"/>
    <w:rsid w:val="2FA523CD"/>
    <w:rsid w:val="2FDA7FAD"/>
    <w:rsid w:val="2FDD4C94"/>
    <w:rsid w:val="2FDF7647"/>
    <w:rsid w:val="30020A77"/>
    <w:rsid w:val="30255240"/>
    <w:rsid w:val="30A243A6"/>
    <w:rsid w:val="31EC5F04"/>
    <w:rsid w:val="322D5B11"/>
    <w:rsid w:val="322E01FA"/>
    <w:rsid w:val="324F74C3"/>
    <w:rsid w:val="32B324CD"/>
    <w:rsid w:val="32D81743"/>
    <w:rsid w:val="339F7033"/>
    <w:rsid w:val="33B26D7A"/>
    <w:rsid w:val="343A5E6A"/>
    <w:rsid w:val="345614B9"/>
    <w:rsid w:val="353231A1"/>
    <w:rsid w:val="356718ED"/>
    <w:rsid w:val="3577009B"/>
    <w:rsid w:val="35A35E51"/>
    <w:rsid w:val="35AA4E78"/>
    <w:rsid w:val="35AD46F6"/>
    <w:rsid w:val="35B02811"/>
    <w:rsid w:val="35C10815"/>
    <w:rsid w:val="35DA71E2"/>
    <w:rsid w:val="35E05848"/>
    <w:rsid w:val="35F728E1"/>
    <w:rsid w:val="36096403"/>
    <w:rsid w:val="368E115E"/>
    <w:rsid w:val="369559E2"/>
    <w:rsid w:val="36E45865"/>
    <w:rsid w:val="36EF03F7"/>
    <w:rsid w:val="37134B6B"/>
    <w:rsid w:val="37807073"/>
    <w:rsid w:val="37836AD0"/>
    <w:rsid w:val="37B237BF"/>
    <w:rsid w:val="37B835C4"/>
    <w:rsid w:val="37D50947"/>
    <w:rsid w:val="37D66D77"/>
    <w:rsid w:val="38576B32"/>
    <w:rsid w:val="388C302E"/>
    <w:rsid w:val="389B4743"/>
    <w:rsid w:val="39082ACF"/>
    <w:rsid w:val="397439E1"/>
    <w:rsid w:val="39A9208B"/>
    <w:rsid w:val="39D96898"/>
    <w:rsid w:val="39DB2FF5"/>
    <w:rsid w:val="3A0A3805"/>
    <w:rsid w:val="3A40479E"/>
    <w:rsid w:val="3A4678DA"/>
    <w:rsid w:val="3A9F7039"/>
    <w:rsid w:val="3AB60A84"/>
    <w:rsid w:val="3AD97F02"/>
    <w:rsid w:val="3AEB2F9A"/>
    <w:rsid w:val="3AF66F05"/>
    <w:rsid w:val="3B0032BA"/>
    <w:rsid w:val="3B090DC6"/>
    <w:rsid w:val="3B1F0C08"/>
    <w:rsid w:val="3B4941DC"/>
    <w:rsid w:val="3B862CF5"/>
    <w:rsid w:val="3C045336"/>
    <w:rsid w:val="3C1E08C4"/>
    <w:rsid w:val="3C1E2D15"/>
    <w:rsid w:val="3C215F09"/>
    <w:rsid w:val="3D37175C"/>
    <w:rsid w:val="3D7E3543"/>
    <w:rsid w:val="3D812C15"/>
    <w:rsid w:val="3D8369A6"/>
    <w:rsid w:val="3D9B58A0"/>
    <w:rsid w:val="3D9F2F4A"/>
    <w:rsid w:val="3DAE129E"/>
    <w:rsid w:val="3DB74876"/>
    <w:rsid w:val="3DF26EBB"/>
    <w:rsid w:val="3DF83425"/>
    <w:rsid w:val="3E264739"/>
    <w:rsid w:val="3E7C7D6E"/>
    <w:rsid w:val="3EB233A1"/>
    <w:rsid w:val="3F700EE8"/>
    <w:rsid w:val="3FC96FE3"/>
    <w:rsid w:val="40531FA6"/>
    <w:rsid w:val="40604675"/>
    <w:rsid w:val="40723446"/>
    <w:rsid w:val="407C60B9"/>
    <w:rsid w:val="40C13C76"/>
    <w:rsid w:val="40C559FD"/>
    <w:rsid w:val="414F4421"/>
    <w:rsid w:val="41BA4F17"/>
    <w:rsid w:val="41FF18A9"/>
    <w:rsid w:val="42306B67"/>
    <w:rsid w:val="42594D28"/>
    <w:rsid w:val="425B02EB"/>
    <w:rsid w:val="42A200B0"/>
    <w:rsid w:val="42A3075F"/>
    <w:rsid w:val="42B73F17"/>
    <w:rsid w:val="42CC53F7"/>
    <w:rsid w:val="42DB3C12"/>
    <w:rsid w:val="434009FC"/>
    <w:rsid w:val="438E238B"/>
    <w:rsid w:val="43A25771"/>
    <w:rsid w:val="43C7383A"/>
    <w:rsid w:val="43ED56AB"/>
    <w:rsid w:val="440475ED"/>
    <w:rsid w:val="4475773A"/>
    <w:rsid w:val="44897FA6"/>
    <w:rsid w:val="44B57B36"/>
    <w:rsid w:val="44B733FF"/>
    <w:rsid w:val="457B7449"/>
    <w:rsid w:val="457C263C"/>
    <w:rsid w:val="45A15EF7"/>
    <w:rsid w:val="45AB446F"/>
    <w:rsid w:val="464C49A0"/>
    <w:rsid w:val="46657745"/>
    <w:rsid w:val="466F6C5E"/>
    <w:rsid w:val="46CD06C6"/>
    <w:rsid w:val="47285394"/>
    <w:rsid w:val="47B37E78"/>
    <w:rsid w:val="47F43B87"/>
    <w:rsid w:val="484957E5"/>
    <w:rsid w:val="484E4722"/>
    <w:rsid w:val="485633DE"/>
    <w:rsid w:val="48693111"/>
    <w:rsid w:val="48A4239B"/>
    <w:rsid w:val="48BF2D31"/>
    <w:rsid w:val="48D13E43"/>
    <w:rsid w:val="48DB7082"/>
    <w:rsid w:val="49453C15"/>
    <w:rsid w:val="4996370D"/>
    <w:rsid w:val="49E0657C"/>
    <w:rsid w:val="4A235817"/>
    <w:rsid w:val="4A2A3FB1"/>
    <w:rsid w:val="4A392278"/>
    <w:rsid w:val="4A6B6BBD"/>
    <w:rsid w:val="4A8F2006"/>
    <w:rsid w:val="4AA94464"/>
    <w:rsid w:val="4AD86F5E"/>
    <w:rsid w:val="4B2E3370"/>
    <w:rsid w:val="4B5634E8"/>
    <w:rsid w:val="4B5977C6"/>
    <w:rsid w:val="4BA46857"/>
    <w:rsid w:val="4CBB3F4D"/>
    <w:rsid w:val="4CBF59F6"/>
    <w:rsid w:val="4D026D61"/>
    <w:rsid w:val="4E8005CA"/>
    <w:rsid w:val="4EAE4C7E"/>
    <w:rsid w:val="4F2E684F"/>
    <w:rsid w:val="4F5B0E42"/>
    <w:rsid w:val="4F5F047C"/>
    <w:rsid w:val="4F812302"/>
    <w:rsid w:val="502C1A26"/>
    <w:rsid w:val="505622BB"/>
    <w:rsid w:val="508149E0"/>
    <w:rsid w:val="50926F7D"/>
    <w:rsid w:val="50A02D8D"/>
    <w:rsid w:val="50BF63F5"/>
    <w:rsid w:val="51271DBC"/>
    <w:rsid w:val="512B520B"/>
    <w:rsid w:val="51DE77DF"/>
    <w:rsid w:val="521277B4"/>
    <w:rsid w:val="523A43A0"/>
    <w:rsid w:val="5251602E"/>
    <w:rsid w:val="530974C5"/>
    <w:rsid w:val="5314586B"/>
    <w:rsid w:val="5367313C"/>
    <w:rsid w:val="53B92396"/>
    <w:rsid w:val="53BB0340"/>
    <w:rsid w:val="53C75AC9"/>
    <w:rsid w:val="53E36A65"/>
    <w:rsid w:val="54403894"/>
    <w:rsid w:val="550B10E8"/>
    <w:rsid w:val="553F6554"/>
    <w:rsid w:val="554A6CB6"/>
    <w:rsid w:val="55546EF7"/>
    <w:rsid w:val="55BB4A47"/>
    <w:rsid w:val="566408B7"/>
    <w:rsid w:val="56B00EBA"/>
    <w:rsid w:val="56CC57A7"/>
    <w:rsid w:val="56FD5B65"/>
    <w:rsid w:val="5707793C"/>
    <w:rsid w:val="57650F48"/>
    <w:rsid w:val="5797506A"/>
    <w:rsid w:val="580A29A9"/>
    <w:rsid w:val="581C684F"/>
    <w:rsid w:val="581D5CC6"/>
    <w:rsid w:val="58806139"/>
    <w:rsid w:val="58E00C84"/>
    <w:rsid w:val="58E57BB9"/>
    <w:rsid w:val="592B2A55"/>
    <w:rsid w:val="592E180D"/>
    <w:rsid w:val="59305AC2"/>
    <w:rsid w:val="59D239C7"/>
    <w:rsid w:val="5A19203E"/>
    <w:rsid w:val="5A544D62"/>
    <w:rsid w:val="5A567AD3"/>
    <w:rsid w:val="5ADF54B5"/>
    <w:rsid w:val="5AEC627A"/>
    <w:rsid w:val="5AF02F48"/>
    <w:rsid w:val="5B273335"/>
    <w:rsid w:val="5B274C94"/>
    <w:rsid w:val="5B275D7E"/>
    <w:rsid w:val="5BA03F68"/>
    <w:rsid w:val="5BA74225"/>
    <w:rsid w:val="5BF603EF"/>
    <w:rsid w:val="5C081842"/>
    <w:rsid w:val="5C32095B"/>
    <w:rsid w:val="5C504D19"/>
    <w:rsid w:val="5C516327"/>
    <w:rsid w:val="5CAC2733"/>
    <w:rsid w:val="5CF500DE"/>
    <w:rsid w:val="5D2067BA"/>
    <w:rsid w:val="5D6B1E82"/>
    <w:rsid w:val="5DD86215"/>
    <w:rsid w:val="5E1806EF"/>
    <w:rsid w:val="5E2F6CEB"/>
    <w:rsid w:val="5E5815A9"/>
    <w:rsid w:val="5E7E0E34"/>
    <w:rsid w:val="5EF04BCE"/>
    <w:rsid w:val="5F2070CD"/>
    <w:rsid w:val="5F364262"/>
    <w:rsid w:val="608B58E7"/>
    <w:rsid w:val="60DC3BA1"/>
    <w:rsid w:val="617F354E"/>
    <w:rsid w:val="61995A39"/>
    <w:rsid w:val="61D218D0"/>
    <w:rsid w:val="62BA4B4B"/>
    <w:rsid w:val="62D331BD"/>
    <w:rsid w:val="62DB73CF"/>
    <w:rsid w:val="62EF2470"/>
    <w:rsid w:val="630A3ABA"/>
    <w:rsid w:val="634F3147"/>
    <w:rsid w:val="63756DFC"/>
    <w:rsid w:val="64086206"/>
    <w:rsid w:val="646E6A92"/>
    <w:rsid w:val="64B11C70"/>
    <w:rsid w:val="64DA7017"/>
    <w:rsid w:val="652E212C"/>
    <w:rsid w:val="65515BFF"/>
    <w:rsid w:val="65565DB0"/>
    <w:rsid w:val="65590A48"/>
    <w:rsid w:val="658B24C1"/>
    <w:rsid w:val="660F381F"/>
    <w:rsid w:val="663562F7"/>
    <w:rsid w:val="66486604"/>
    <w:rsid w:val="66674C58"/>
    <w:rsid w:val="666B7AC1"/>
    <w:rsid w:val="66D84252"/>
    <w:rsid w:val="66EA57C5"/>
    <w:rsid w:val="673F4B0E"/>
    <w:rsid w:val="6767056E"/>
    <w:rsid w:val="676A4610"/>
    <w:rsid w:val="67E95B03"/>
    <w:rsid w:val="67FB42B3"/>
    <w:rsid w:val="684D6353"/>
    <w:rsid w:val="68953657"/>
    <w:rsid w:val="689A2045"/>
    <w:rsid w:val="69342E70"/>
    <w:rsid w:val="6A10568B"/>
    <w:rsid w:val="6A3446C5"/>
    <w:rsid w:val="6A411868"/>
    <w:rsid w:val="6A6C7260"/>
    <w:rsid w:val="6A74500D"/>
    <w:rsid w:val="6ACB2F6C"/>
    <w:rsid w:val="6B1F108E"/>
    <w:rsid w:val="6B2E704D"/>
    <w:rsid w:val="6B7C06CC"/>
    <w:rsid w:val="6BB0099A"/>
    <w:rsid w:val="6C2910E3"/>
    <w:rsid w:val="6C7B6705"/>
    <w:rsid w:val="6CB3137C"/>
    <w:rsid w:val="6CCD4886"/>
    <w:rsid w:val="6CDD158F"/>
    <w:rsid w:val="6D942CE1"/>
    <w:rsid w:val="6DE427C1"/>
    <w:rsid w:val="6E093BE7"/>
    <w:rsid w:val="6E71061C"/>
    <w:rsid w:val="6E8333EB"/>
    <w:rsid w:val="6E9B3FCA"/>
    <w:rsid w:val="6F135352"/>
    <w:rsid w:val="6F785806"/>
    <w:rsid w:val="707B014B"/>
    <w:rsid w:val="707C666E"/>
    <w:rsid w:val="70D475D2"/>
    <w:rsid w:val="70F6427C"/>
    <w:rsid w:val="70F81CFC"/>
    <w:rsid w:val="711D41EA"/>
    <w:rsid w:val="71993C89"/>
    <w:rsid w:val="71A768D5"/>
    <w:rsid w:val="71AF4E37"/>
    <w:rsid w:val="71F409A3"/>
    <w:rsid w:val="724547F8"/>
    <w:rsid w:val="731F2825"/>
    <w:rsid w:val="73563420"/>
    <w:rsid w:val="739F2459"/>
    <w:rsid w:val="73CA421E"/>
    <w:rsid w:val="746532BA"/>
    <w:rsid w:val="749A5B23"/>
    <w:rsid w:val="74B81064"/>
    <w:rsid w:val="750A5073"/>
    <w:rsid w:val="752E40FA"/>
    <w:rsid w:val="7547468C"/>
    <w:rsid w:val="755C79D6"/>
    <w:rsid w:val="7573429B"/>
    <w:rsid w:val="757548FB"/>
    <w:rsid w:val="764C63FC"/>
    <w:rsid w:val="76B2114F"/>
    <w:rsid w:val="76CC456C"/>
    <w:rsid w:val="76E957A3"/>
    <w:rsid w:val="76F37EC6"/>
    <w:rsid w:val="77097057"/>
    <w:rsid w:val="77585F7B"/>
    <w:rsid w:val="77A224B1"/>
    <w:rsid w:val="77B47630"/>
    <w:rsid w:val="77E25935"/>
    <w:rsid w:val="77F27C02"/>
    <w:rsid w:val="78110D3C"/>
    <w:rsid w:val="787119EB"/>
    <w:rsid w:val="788131C0"/>
    <w:rsid w:val="78F821C0"/>
    <w:rsid w:val="792209F9"/>
    <w:rsid w:val="797C23F5"/>
    <w:rsid w:val="79AC0800"/>
    <w:rsid w:val="7A356A48"/>
    <w:rsid w:val="7A44648B"/>
    <w:rsid w:val="7A85352B"/>
    <w:rsid w:val="7A9C29BE"/>
    <w:rsid w:val="7AB0183A"/>
    <w:rsid w:val="7ABA3AD0"/>
    <w:rsid w:val="7AC82F17"/>
    <w:rsid w:val="7ADF7A11"/>
    <w:rsid w:val="7B2A1794"/>
    <w:rsid w:val="7B3F6149"/>
    <w:rsid w:val="7B7D564E"/>
    <w:rsid w:val="7BA725F4"/>
    <w:rsid w:val="7BAB0D70"/>
    <w:rsid w:val="7BAC2D3A"/>
    <w:rsid w:val="7BBA70F7"/>
    <w:rsid w:val="7BD32074"/>
    <w:rsid w:val="7BE75B20"/>
    <w:rsid w:val="7BEC78F6"/>
    <w:rsid w:val="7C9A0DE4"/>
    <w:rsid w:val="7CB10FC4"/>
    <w:rsid w:val="7D2A66AE"/>
    <w:rsid w:val="7D376633"/>
    <w:rsid w:val="7D6C6364"/>
    <w:rsid w:val="7D7A4E9D"/>
    <w:rsid w:val="7DB5368F"/>
    <w:rsid w:val="7DB64A59"/>
    <w:rsid w:val="7E2C6453"/>
    <w:rsid w:val="7E4B203F"/>
    <w:rsid w:val="7E6A2956"/>
    <w:rsid w:val="7E837D82"/>
    <w:rsid w:val="7E885398"/>
    <w:rsid w:val="7F4762F8"/>
    <w:rsid w:val="7FBC2F06"/>
    <w:rsid w:val="7FC8646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0"/>
    <w:pPr>
      <w:keepNext/>
      <w:jc w:val="center"/>
      <w:outlineLvl w:val="0"/>
    </w:pPr>
    <w:rPr>
      <w:rFonts w:ascii="黑体" w:hAnsi="黑体"/>
      <w:b/>
      <w:kern w:val="0"/>
      <w:sz w:val="44"/>
    </w:rPr>
  </w:style>
  <w:style w:type="paragraph" w:styleId="4">
    <w:name w:val="heading 2"/>
    <w:basedOn w:val="1"/>
    <w:next w:val="1"/>
    <w:link w:val="47"/>
    <w:qFormat/>
    <w:uiPriority w:val="0"/>
    <w:pPr>
      <w:keepNext/>
      <w:spacing w:line="720" w:lineRule="exact"/>
      <w:jc w:val="center"/>
      <w:outlineLvl w:val="1"/>
    </w:pPr>
    <w:rPr>
      <w:rFonts w:ascii="黑体" w:hAnsi="黑体"/>
      <w:b/>
      <w:kern w:val="0"/>
      <w:sz w:val="44"/>
    </w:rPr>
  </w:style>
  <w:style w:type="paragraph" w:styleId="5">
    <w:name w:val="heading 3"/>
    <w:basedOn w:val="1"/>
    <w:next w:val="1"/>
    <w:qFormat/>
    <w:uiPriority w:val="0"/>
    <w:pPr>
      <w:keepNext/>
      <w:spacing w:line="320" w:lineRule="exact"/>
      <w:jc w:val="center"/>
      <w:outlineLvl w:val="2"/>
    </w:pPr>
    <w:rPr>
      <w:rFonts w:ascii="楷体_GB2312" w:hAnsi="楷体_GB2312" w:eastAsia="仿宋_GB2312"/>
      <w:b/>
      <w:sz w:val="28"/>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99"/>
    <w:pPr>
      <w:ind w:firstLine="880" w:firstLineChars="200"/>
    </w:pPr>
  </w:style>
  <w:style w:type="paragraph" w:styleId="7">
    <w:name w:val="Normal Indent"/>
    <w:basedOn w:val="1"/>
    <w:link w:val="48"/>
    <w:qFormat/>
    <w:uiPriority w:val="0"/>
    <w:pPr>
      <w:ind w:firstLine="420"/>
    </w:pPr>
    <w:rPr>
      <w:szCs w:val="21"/>
    </w:rPr>
  </w:style>
  <w:style w:type="paragraph" w:styleId="8">
    <w:name w:val="caption"/>
    <w:basedOn w:val="1"/>
    <w:next w:val="1"/>
    <w:qFormat/>
    <w:uiPriority w:val="0"/>
    <w:pPr>
      <w:widowControl/>
      <w:adjustRightInd w:val="0"/>
      <w:spacing w:before="120" w:after="120" w:line="360" w:lineRule="auto"/>
      <w:ind w:firstLine="200" w:firstLineChars="200"/>
      <w:jc w:val="center"/>
    </w:pPr>
    <w:rPr>
      <w:rFonts w:ascii="Swis721 BT" w:hAnsi="Swis721 BT" w:eastAsia="Batang"/>
      <w:b/>
      <w:bCs/>
      <w:kern w:val="0"/>
      <w:sz w:val="20"/>
      <w:lang w:eastAsia="ko-KR"/>
    </w:rPr>
  </w:style>
  <w:style w:type="paragraph" w:styleId="9">
    <w:name w:val="Document Map"/>
    <w:basedOn w:val="1"/>
    <w:link w:val="49"/>
    <w:qFormat/>
    <w:uiPriority w:val="0"/>
    <w:rPr>
      <w:rFonts w:ascii="宋体"/>
      <w:sz w:val="18"/>
      <w:szCs w:val="18"/>
    </w:rPr>
  </w:style>
  <w:style w:type="paragraph" w:styleId="10">
    <w:name w:val="toa heading"/>
    <w:basedOn w:val="1"/>
    <w:next w:val="1"/>
    <w:unhideWhenUsed/>
    <w:qFormat/>
    <w:uiPriority w:val="99"/>
    <w:pPr>
      <w:spacing w:before="120"/>
    </w:pPr>
    <w:rPr>
      <w:rFonts w:ascii="Arial" w:hAnsi="Arial"/>
      <w:sz w:val="24"/>
    </w:rPr>
  </w:style>
  <w:style w:type="paragraph" w:styleId="11">
    <w:name w:val="annotation text"/>
    <w:basedOn w:val="1"/>
    <w:link w:val="50"/>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0"/>
    <w:pPr>
      <w:ind w:firstLine="630"/>
    </w:pPr>
    <w:rPr>
      <w:sz w:val="32"/>
    </w:rPr>
  </w:style>
  <w:style w:type="paragraph" w:customStyle="1" w:styleId="14">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5">
    <w:name w:val="index 4"/>
    <w:basedOn w:val="1"/>
    <w:next w:val="1"/>
    <w:semiHidden/>
    <w:qFormat/>
    <w:uiPriority w:val="0"/>
    <w:pPr>
      <w:widowControl/>
      <w:ind w:left="1260"/>
      <w:jc w:val="left"/>
    </w:pPr>
    <w:rPr>
      <w:rFonts w:ascii="等线" w:hAnsi="等线" w:eastAsia="等线" w:cs="Times New Roman"/>
      <w:kern w:val="0"/>
      <w:sz w:val="22"/>
      <w:szCs w:val="22"/>
    </w:rPr>
  </w:style>
  <w:style w:type="paragraph" w:styleId="16">
    <w:name w:val="toc 3"/>
    <w:basedOn w:val="1"/>
    <w:next w:val="1"/>
    <w:semiHidden/>
    <w:qFormat/>
    <w:uiPriority w:val="0"/>
    <w:pPr>
      <w:ind w:left="840" w:leftChars="400"/>
    </w:pPr>
  </w:style>
  <w:style w:type="paragraph" w:styleId="17">
    <w:name w:val="Plain Text"/>
    <w:basedOn w:val="1"/>
    <w:qFormat/>
    <w:uiPriority w:val="0"/>
    <w:rPr>
      <w:rFonts w:ascii="宋体" w:hAnsi="Courier New" w:cs="Courier New"/>
      <w:szCs w:val="21"/>
    </w:rPr>
  </w:style>
  <w:style w:type="paragraph" w:styleId="18">
    <w:name w:val="Balloon Text"/>
    <w:basedOn w:val="1"/>
    <w:semiHidden/>
    <w:qFormat/>
    <w:uiPriority w:val="0"/>
    <w:rPr>
      <w:sz w:val="18"/>
      <w:szCs w:val="18"/>
    </w:rPr>
  </w:style>
  <w:style w:type="paragraph" w:styleId="19">
    <w:name w:val="footer"/>
    <w:basedOn w:val="1"/>
    <w:next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tabs>
        <w:tab w:val="right" w:leader="dot" w:pos="9060"/>
      </w:tabs>
      <w:spacing w:line="360" w:lineRule="auto"/>
    </w:pPr>
  </w:style>
  <w:style w:type="paragraph" w:styleId="22">
    <w:name w:val="Body Text Indent 3"/>
    <w:basedOn w:val="1"/>
    <w:unhideWhenUsed/>
    <w:qFormat/>
    <w:uiPriority w:val="0"/>
    <w:pPr>
      <w:spacing w:line="380" w:lineRule="exact"/>
      <w:ind w:firstLine="480"/>
    </w:pPr>
    <w:rPr>
      <w:rFonts w:ascii="宋体" w:hAnsi="宋体" w:cs="宋体"/>
      <w:kern w:val="0"/>
      <w:sz w:val="20"/>
      <w:szCs w:val="20"/>
    </w:rPr>
  </w:style>
  <w:style w:type="paragraph" w:styleId="23">
    <w:name w:val="toc 2"/>
    <w:basedOn w:val="1"/>
    <w:next w:val="1"/>
    <w:semiHidden/>
    <w:qFormat/>
    <w:uiPriority w:val="0"/>
    <w:pPr>
      <w:tabs>
        <w:tab w:val="right" w:leader="dot" w:pos="9060"/>
      </w:tabs>
      <w:spacing w:line="360" w:lineRule="auto"/>
      <w:ind w:left="420" w:leftChars="200"/>
    </w:pPr>
  </w:style>
  <w:style w:type="paragraph" w:styleId="24">
    <w:name w:val="Body Text 2"/>
    <w:basedOn w:val="1"/>
    <w:qFormat/>
    <w:uiPriority w:val="0"/>
    <w:rPr>
      <w:rFonts w:ascii="楷体_GB2312" w:hAnsi="Copperplate Gothic Bold"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semiHidden/>
    <w:qFormat/>
    <w:uiPriority w:val="0"/>
    <w:rPr>
      <w:b/>
      <w:bCs/>
      <w:lang w:val="en-US" w:eastAsia="zh-CN"/>
    </w:rPr>
  </w:style>
  <w:style w:type="paragraph" w:styleId="27">
    <w:name w:val="Body Text First Indent"/>
    <w:basedOn w:val="12"/>
    <w:next w:val="1"/>
    <w:unhideWhenUsed/>
    <w:qFormat/>
    <w:uiPriority w:val="99"/>
    <w:pPr>
      <w:ind w:firstLine="420" w:firstLineChars="100"/>
    </w:pPr>
    <w:rPr>
      <w:szCs w:val="24"/>
    </w:rPr>
  </w:style>
  <w:style w:type="paragraph" w:styleId="28">
    <w:name w:val="Body Text First Indent 2"/>
    <w:basedOn w:val="13"/>
    <w:next w:val="27"/>
    <w:unhideWhenUsed/>
    <w:qFormat/>
    <w:uiPriority w:val="99"/>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style>
  <w:style w:type="character" w:styleId="33">
    <w:name w:val="FollowedHyperlink"/>
    <w:qFormat/>
    <w:uiPriority w:val="0"/>
    <w:rPr>
      <w:color w:val="4D4D4D"/>
      <w:u w:val="none"/>
    </w:rPr>
  </w:style>
  <w:style w:type="character" w:styleId="34">
    <w:name w:val="Emphasis"/>
    <w:qFormat/>
    <w:uiPriority w:val="0"/>
  </w:style>
  <w:style w:type="character" w:styleId="35">
    <w:name w:val="HTML Definition"/>
    <w:qFormat/>
    <w:uiPriority w:val="0"/>
  </w:style>
  <w:style w:type="character" w:styleId="36">
    <w:name w:val="HTML Variable"/>
    <w:qFormat/>
    <w:uiPriority w:val="0"/>
  </w:style>
  <w:style w:type="character" w:styleId="37">
    <w:name w:val="Hyperlink"/>
    <w:qFormat/>
    <w:uiPriority w:val="0"/>
    <w:rPr>
      <w:color w:val="4D4D4D"/>
      <w:u w:val="none"/>
    </w:rPr>
  </w:style>
  <w:style w:type="character" w:styleId="38">
    <w:name w:val="HTML Code"/>
    <w:qFormat/>
    <w:uiPriority w:val="0"/>
    <w:rPr>
      <w:rFonts w:hint="eastAsia" w:ascii="微软雅黑" w:hAnsi="微软雅黑" w:eastAsia="微软雅黑" w:cs="微软雅黑"/>
      <w:sz w:val="20"/>
    </w:rPr>
  </w:style>
  <w:style w:type="character" w:styleId="39">
    <w:name w:val="annotation reference"/>
    <w:qFormat/>
    <w:uiPriority w:val="0"/>
    <w:rPr>
      <w:sz w:val="21"/>
    </w:rPr>
  </w:style>
  <w:style w:type="character" w:styleId="40">
    <w:name w:val="HTML Cite"/>
    <w:qFormat/>
    <w:uiPriority w:val="0"/>
  </w:style>
  <w:style w:type="character" w:styleId="41">
    <w:name w:val="HTML Keyboard"/>
    <w:qFormat/>
    <w:uiPriority w:val="0"/>
    <w:rPr>
      <w:rFonts w:hint="eastAsia" w:ascii="微软雅黑" w:hAnsi="微软雅黑" w:eastAsia="微软雅黑" w:cs="微软雅黑"/>
      <w:sz w:val="20"/>
    </w:rPr>
  </w:style>
  <w:style w:type="character" w:styleId="42">
    <w:name w:val="HTML Sample"/>
    <w:qFormat/>
    <w:uiPriority w:val="0"/>
    <w:rPr>
      <w:rFonts w:hint="eastAsia" w:ascii="微软雅黑" w:hAnsi="微软雅黑" w:eastAsia="微软雅黑" w:cs="微软雅黑"/>
      <w:color w:val="A0AFB8"/>
      <w:sz w:val="39"/>
      <w:szCs w:val="39"/>
    </w:rPr>
  </w:style>
  <w:style w:type="paragraph" w:customStyle="1" w:styleId="43">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44">
    <w:name w:val="List Paragraph"/>
    <w:basedOn w:val="1"/>
    <w:qFormat/>
    <w:uiPriority w:val="0"/>
    <w:pPr>
      <w:ind w:firstLine="420" w:firstLineChars="200"/>
    </w:pPr>
    <w:rPr>
      <w:rFonts w:ascii="Calibri" w:hAnsi="Calibri"/>
      <w:szCs w:val="22"/>
    </w:rPr>
  </w:style>
  <w:style w:type="paragraph" w:customStyle="1" w:styleId="45">
    <w:name w:val="默认段落字体 Para Char Char Char Char"/>
    <w:basedOn w:val="1"/>
    <w:qFormat/>
    <w:uiPriority w:val="0"/>
    <w:rPr>
      <w:szCs w:val="24"/>
    </w:rPr>
  </w:style>
  <w:style w:type="character" w:customStyle="1" w:styleId="46">
    <w:name w:val="标题 1 Char"/>
    <w:link w:val="3"/>
    <w:qFormat/>
    <w:uiPriority w:val="0"/>
    <w:rPr>
      <w:rFonts w:ascii="黑体" w:hAnsi="黑体" w:eastAsia="宋体"/>
      <w:b/>
      <w:sz w:val="44"/>
    </w:rPr>
  </w:style>
  <w:style w:type="character" w:customStyle="1" w:styleId="47">
    <w:name w:val="标题 2 Char"/>
    <w:link w:val="4"/>
    <w:qFormat/>
    <w:uiPriority w:val="0"/>
    <w:rPr>
      <w:rFonts w:ascii="黑体" w:hAnsi="黑体" w:eastAsia="宋体"/>
      <w:b/>
      <w:sz w:val="44"/>
    </w:rPr>
  </w:style>
  <w:style w:type="character" w:customStyle="1" w:styleId="48">
    <w:name w:val="正文缩进 Char"/>
    <w:link w:val="7"/>
    <w:qFormat/>
    <w:uiPriority w:val="0"/>
    <w:rPr>
      <w:rFonts w:eastAsia="宋体"/>
      <w:kern w:val="2"/>
      <w:sz w:val="21"/>
      <w:szCs w:val="21"/>
      <w:lang w:val="en-US" w:eastAsia="zh-CN" w:bidi="ar-SA"/>
    </w:rPr>
  </w:style>
  <w:style w:type="character" w:customStyle="1" w:styleId="49">
    <w:name w:val="文档结构图 Char"/>
    <w:link w:val="9"/>
    <w:qFormat/>
    <w:uiPriority w:val="0"/>
    <w:rPr>
      <w:rFonts w:ascii="宋体"/>
      <w:kern w:val="2"/>
      <w:sz w:val="18"/>
      <w:szCs w:val="18"/>
    </w:rPr>
  </w:style>
  <w:style w:type="character" w:customStyle="1" w:styleId="50">
    <w:name w:val="批注文字 Char"/>
    <w:link w:val="11"/>
    <w:qFormat/>
    <w:uiPriority w:val="0"/>
    <w:rPr>
      <w:kern w:val="2"/>
      <w:sz w:val="21"/>
      <w:lang w:bidi="ar-SA"/>
    </w:rPr>
  </w:style>
  <w:style w:type="character" w:customStyle="1" w:styleId="51">
    <w:name w:val="bds_nopic"/>
    <w:qFormat/>
    <w:uiPriority w:val="0"/>
  </w:style>
  <w:style w:type="character" w:customStyle="1" w:styleId="52">
    <w:name w:val="del-btn1"/>
    <w:qFormat/>
    <w:uiPriority w:val="0"/>
  </w:style>
  <w:style w:type="character" w:customStyle="1" w:styleId="53">
    <w:name w:val="on1"/>
    <w:qFormat/>
    <w:uiPriority w:val="0"/>
    <w:rPr>
      <w:color w:val="FFFFFF"/>
    </w:rPr>
  </w:style>
  <w:style w:type="character" w:customStyle="1" w:styleId="54">
    <w:name w:val="bds_more2"/>
    <w:qFormat/>
    <w:uiPriority w:val="0"/>
  </w:style>
  <w:style w:type="character" w:customStyle="1" w:styleId="55">
    <w:name w:val="g"/>
    <w:qFormat/>
    <w:uiPriority w:val="0"/>
    <w:rPr>
      <w:color w:val="DD5400"/>
      <w:sz w:val="33"/>
      <w:szCs w:val="33"/>
    </w:rPr>
  </w:style>
  <w:style w:type="character" w:customStyle="1" w:styleId="56">
    <w:name w:val="normal1"/>
    <w:qFormat/>
    <w:uiPriority w:val="0"/>
    <w:rPr>
      <w:color w:val="FFFFFF"/>
    </w:rPr>
  </w:style>
  <w:style w:type="character" w:customStyle="1" w:styleId="57">
    <w:name w:val="on"/>
    <w:qFormat/>
    <w:uiPriority w:val="0"/>
    <w:rPr>
      <w:color w:val="FFFFFF"/>
    </w:rPr>
  </w:style>
  <w:style w:type="character" w:customStyle="1" w:styleId="58">
    <w:name w:val="glyphicon4"/>
    <w:qFormat/>
    <w:uiPriority w:val="0"/>
  </w:style>
  <w:style w:type="character" w:customStyle="1" w:styleId="59">
    <w:name w:val="button"/>
    <w:qFormat/>
    <w:uiPriority w:val="0"/>
  </w:style>
  <w:style w:type="character" w:customStyle="1" w:styleId="60">
    <w:name w:val="font21"/>
    <w:qFormat/>
    <w:uiPriority w:val="0"/>
    <w:rPr>
      <w:rFonts w:hint="eastAsia" w:ascii="仿宋" w:hAnsi="仿宋" w:eastAsia="仿宋" w:cs="仿宋"/>
      <w:color w:val="000000"/>
      <w:sz w:val="24"/>
      <w:szCs w:val="24"/>
      <w:u w:val="none"/>
      <w:vertAlign w:val="superscript"/>
    </w:rPr>
  </w:style>
  <w:style w:type="character" w:customStyle="1" w:styleId="61">
    <w:name w:val="bds_nopic2"/>
    <w:qFormat/>
    <w:uiPriority w:val="0"/>
  </w:style>
  <w:style w:type="character" w:customStyle="1" w:styleId="62">
    <w:name w:val="font31"/>
    <w:qFormat/>
    <w:uiPriority w:val="0"/>
    <w:rPr>
      <w:rFonts w:hint="eastAsia" w:ascii="仿宋" w:hAnsi="仿宋" w:eastAsia="仿宋" w:cs="仿宋"/>
      <w:color w:val="000000"/>
      <w:sz w:val="24"/>
      <w:szCs w:val="24"/>
      <w:u w:val="none"/>
    </w:rPr>
  </w:style>
  <w:style w:type="character" w:customStyle="1" w:styleId="63">
    <w:name w:val="gwds_nopic"/>
    <w:qFormat/>
    <w:uiPriority w:val="0"/>
  </w:style>
  <w:style w:type="character" w:customStyle="1" w:styleId="64">
    <w:name w:val="hover3"/>
    <w:qFormat/>
    <w:uiPriority w:val="0"/>
    <w:rPr>
      <w:shd w:val="clear" w:color="auto" w:fill="EEEEEE"/>
    </w:rPr>
  </w:style>
  <w:style w:type="character" w:customStyle="1" w:styleId="65">
    <w:name w:val="hour_am"/>
    <w:qFormat/>
    <w:uiPriority w:val="0"/>
  </w:style>
  <w:style w:type="character" w:customStyle="1" w:styleId="66">
    <w:name w:val="normal2"/>
    <w:qFormat/>
    <w:uiPriority w:val="0"/>
    <w:rPr>
      <w:color w:val="000000"/>
    </w:rPr>
  </w:style>
  <w:style w:type="character" w:customStyle="1" w:styleId="67">
    <w:name w:val="indent"/>
    <w:qFormat/>
    <w:uiPriority w:val="0"/>
  </w:style>
  <w:style w:type="character" w:customStyle="1" w:styleId="68">
    <w:name w:val="cur1"/>
    <w:qFormat/>
    <w:uiPriority w:val="0"/>
    <w:rPr>
      <w:b/>
    </w:rPr>
  </w:style>
  <w:style w:type="character" w:customStyle="1" w:styleId="69">
    <w:name w:val="old"/>
    <w:qFormat/>
    <w:uiPriority w:val="0"/>
    <w:rPr>
      <w:color w:val="999999"/>
    </w:rPr>
  </w:style>
  <w:style w:type="character" w:customStyle="1" w:styleId="70">
    <w:name w:val="normal"/>
    <w:qFormat/>
    <w:uiPriority w:val="0"/>
    <w:rPr>
      <w:color w:val="FFFFFF"/>
    </w:rPr>
  </w:style>
  <w:style w:type="character" w:customStyle="1" w:styleId="71">
    <w:name w:val="cur"/>
    <w:qFormat/>
    <w:uiPriority w:val="0"/>
    <w:rPr>
      <w:b/>
    </w:rPr>
  </w:style>
  <w:style w:type="character" w:customStyle="1" w:styleId="72">
    <w:name w:val="mwp_cyl_i4"/>
    <w:qFormat/>
    <w:uiPriority w:val="0"/>
    <w:rPr>
      <w:bdr w:val="single" w:color="7F9DB9" w:sz="6" w:space="0"/>
    </w:rPr>
  </w:style>
  <w:style w:type="character" w:customStyle="1" w:styleId="73">
    <w:name w:val="del-btn"/>
    <w:qFormat/>
    <w:uiPriority w:val="0"/>
  </w:style>
  <w:style w:type="character" w:customStyle="1" w:styleId="74">
    <w:name w:val="answer-title2"/>
    <w:qFormat/>
    <w:uiPriority w:val="0"/>
  </w:style>
  <w:style w:type="character" w:customStyle="1" w:styleId="75">
    <w:name w:val="bds_more1"/>
    <w:qFormat/>
    <w:uiPriority w:val="0"/>
    <w:rPr>
      <w:rFonts w:hint="eastAsia" w:ascii="宋体" w:hAnsi="宋体" w:eastAsia="宋体" w:cs="宋体"/>
    </w:rPr>
  </w:style>
  <w:style w:type="character" w:customStyle="1" w:styleId="76">
    <w:name w:val="cur2"/>
    <w:qFormat/>
    <w:uiPriority w:val="0"/>
    <w:rPr>
      <w:shd w:val="clear" w:color="auto" w:fill="FF0000"/>
    </w:rPr>
  </w:style>
  <w:style w:type="character" w:customStyle="1" w:styleId="77">
    <w:name w:val="tmpztreemove_arrow"/>
    <w:qFormat/>
    <w:uiPriority w:val="0"/>
    <w:rPr>
      <w:shd w:val="clear" w:color="auto" w:fill="FFFFFF"/>
    </w:rPr>
  </w:style>
  <w:style w:type="character" w:customStyle="1" w:styleId="78">
    <w:name w:val="bg1"/>
    <w:qFormat/>
    <w:uiPriority w:val="0"/>
    <w:rPr>
      <w:shd w:val="clear" w:color="auto" w:fill="000000"/>
    </w:rPr>
  </w:style>
  <w:style w:type="character" w:customStyle="1" w:styleId="79">
    <w:name w:val="bds_nopic1"/>
    <w:qFormat/>
    <w:uiPriority w:val="0"/>
  </w:style>
  <w:style w:type="character" w:customStyle="1" w:styleId="80">
    <w:name w:val="bg"/>
    <w:qFormat/>
    <w:uiPriority w:val="0"/>
    <w:rPr>
      <w:shd w:val="clear" w:color="auto" w:fill="000000"/>
    </w:rPr>
  </w:style>
  <w:style w:type="character" w:customStyle="1" w:styleId="81">
    <w:name w:val="font11"/>
    <w:qFormat/>
    <w:uiPriority w:val="0"/>
    <w:rPr>
      <w:rFonts w:hint="eastAsia" w:ascii="仿宋" w:hAnsi="仿宋" w:eastAsia="仿宋" w:cs="仿宋"/>
      <w:color w:val="000000"/>
      <w:sz w:val="24"/>
      <w:szCs w:val="24"/>
      <w:u w:val="none"/>
      <w:vertAlign w:val="superscript"/>
    </w:rPr>
  </w:style>
  <w:style w:type="character" w:customStyle="1" w:styleId="82">
    <w:name w:val="s"/>
    <w:qFormat/>
    <w:uiPriority w:val="0"/>
    <w:rPr>
      <w:b/>
      <w:color w:val="DD5400"/>
      <w:sz w:val="36"/>
      <w:szCs w:val="36"/>
    </w:rPr>
  </w:style>
  <w:style w:type="character" w:customStyle="1" w:styleId="83">
    <w:name w:val="bds_more"/>
    <w:qFormat/>
    <w:uiPriority w:val="0"/>
  </w:style>
  <w:style w:type="character" w:customStyle="1" w:styleId="84">
    <w:name w:val="hour_pm"/>
    <w:qFormat/>
    <w:uiPriority w:val="0"/>
  </w:style>
  <w:style w:type="character" w:customStyle="1" w:styleId="85">
    <w:name w:val="font101"/>
    <w:qFormat/>
    <w:uiPriority w:val="0"/>
    <w:rPr>
      <w:rFonts w:hint="eastAsia" w:ascii="仿宋" w:hAnsi="仿宋" w:eastAsia="仿宋" w:cs="仿宋"/>
      <w:color w:val="000000"/>
      <w:sz w:val="24"/>
      <w:szCs w:val="24"/>
      <w:u w:val="none"/>
    </w:rPr>
  </w:style>
  <w:style w:type="character" w:customStyle="1" w:styleId="86">
    <w:name w:val="Char Char6"/>
    <w:semiHidden/>
    <w:qFormat/>
    <w:uiPriority w:val="0"/>
    <w:rPr>
      <w:kern w:val="2"/>
      <w:sz w:val="21"/>
    </w:rPr>
  </w:style>
  <w:style w:type="character" w:customStyle="1" w:styleId="87">
    <w:name w:val="gwds_nopic1"/>
    <w:qFormat/>
    <w:uiPriority w:val="0"/>
  </w:style>
  <w:style w:type="character" w:customStyle="1" w:styleId="88">
    <w:name w:val="gwds_nopic2"/>
    <w:qFormat/>
    <w:uiPriority w:val="0"/>
  </w:style>
  <w:style w:type="paragraph" w:customStyle="1" w:styleId="89">
    <w:name w:val="正文自定"/>
    <w:basedOn w:val="1"/>
    <w:qFormat/>
    <w:uiPriority w:val="0"/>
    <w:pPr>
      <w:tabs>
        <w:tab w:val="left" w:pos="7665"/>
      </w:tabs>
      <w:spacing w:line="360" w:lineRule="auto"/>
      <w:ind w:firstLine="480" w:firstLineChars="200"/>
    </w:pPr>
    <w:rPr>
      <w:rFonts w:ascii="宋体" w:hAnsi="宋体"/>
      <w:sz w:val="24"/>
      <w:szCs w:val="24"/>
    </w:rPr>
  </w:style>
  <w:style w:type="paragraph" w:customStyle="1" w:styleId="90">
    <w:name w:val="列出段落1"/>
    <w:basedOn w:val="1"/>
    <w:qFormat/>
    <w:uiPriority w:val="34"/>
    <w:pPr>
      <w:ind w:firstLine="420" w:firstLineChars="200"/>
    </w:pPr>
    <w:rPr>
      <w:rFonts w:ascii="Calibri" w:hAnsi="Calibri" w:cs="黑体"/>
      <w:szCs w:val="22"/>
    </w:rPr>
  </w:style>
  <w:style w:type="paragraph" w:customStyle="1" w:styleId="9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2">
    <w:name w:val="*正文"/>
    <w:basedOn w:val="1"/>
    <w:qFormat/>
    <w:uiPriority w:val="0"/>
    <w:pPr>
      <w:spacing w:line="360" w:lineRule="auto"/>
      <w:ind w:firstLine="200" w:firstLineChars="200"/>
    </w:pPr>
    <w:rPr>
      <w:rFonts w:ascii="宋体" w:hAnsi="宋体"/>
      <w:sz w:val="22"/>
      <w:szCs w:val="24"/>
    </w:rPr>
  </w:style>
  <w:style w:type="paragraph" w:customStyle="1" w:styleId="93">
    <w:name w:val="_Style 10"/>
    <w:basedOn w:val="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
    <w:name w:val="Char Char2 Char Char"/>
    <w:basedOn w:val="1"/>
    <w:qFormat/>
    <w:uiPriority w:val="0"/>
    <w:rPr>
      <w:rFonts w:ascii="Swis721 BT" w:hAnsi="Swis721 BT" w:eastAsia="Batang"/>
      <w:b/>
      <w:bCs/>
      <w:kern w:val="0"/>
      <w:sz w:val="20"/>
      <w:lang w:eastAsia="ko-KR"/>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Char Char2 Char Char1"/>
    <w:basedOn w:val="1"/>
    <w:qFormat/>
    <w:uiPriority w:val="0"/>
    <w:rPr>
      <w:szCs w:val="24"/>
    </w:rPr>
  </w:style>
  <w:style w:type="paragraph" w:customStyle="1" w:styleId="99">
    <w:name w:val="样式 首行缩进:  2 字符"/>
    <w:basedOn w:val="1"/>
    <w:qFormat/>
    <w:uiPriority w:val="0"/>
    <w:pPr>
      <w:ind w:firstLine="560"/>
    </w:pPr>
    <w:rPr>
      <w:rFonts w:ascii="宋体" w:eastAsia="仿宋_GB2312"/>
      <w:kern w:val="0"/>
      <w:sz w:val="24"/>
    </w:rPr>
  </w:style>
  <w:style w:type="paragraph" w:customStyle="1" w:styleId="100">
    <w:name w:val="title11"/>
    <w:basedOn w:val="1"/>
    <w:qFormat/>
    <w:uiPriority w:val="0"/>
    <w:pPr>
      <w:spacing w:before="150"/>
      <w:jc w:val="left"/>
    </w:pPr>
    <w:rPr>
      <w:b/>
      <w:kern w:val="0"/>
      <w:sz w:val="22"/>
      <w:szCs w:val="22"/>
    </w:rPr>
  </w:style>
  <w:style w:type="paragraph" w:customStyle="1" w:styleId="101">
    <w:name w:val="Char1"/>
    <w:basedOn w:val="1"/>
    <w:qFormat/>
    <w:uiPriority w:val="0"/>
    <w:rPr>
      <w:szCs w:val="21"/>
    </w:rPr>
  </w:style>
  <w:style w:type="paragraph" w:customStyle="1" w:styleId="102">
    <w:name w:val="列出段落2"/>
    <w:basedOn w:val="1"/>
    <w:qFormat/>
    <w:uiPriority w:val="34"/>
    <w:pPr>
      <w:ind w:firstLine="420" w:firstLineChars="200"/>
    </w:pPr>
    <w:rPr>
      <w:sz w:val="28"/>
    </w:rPr>
  </w:style>
  <w:style w:type="paragraph" w:customStyle="1" w:styleId="10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04">
    <w:name w:val="列表段落1"/>
    <w:basedOn w:val="1"/>
    <w:qFormat/>
    <w:uiPriority w:val="34"/>
    <w:pPr>
      <w:ind w:firstLine="420" w:firstLineChars="200"/>
    </w:pPr>
  </w:style>
  <w:style w:type="paragraph" w:styleId="105">
    <w:name w:val="No Spacing"/>
    <w:qFormat/>
    <w:uiPriority w:val="1"/>
    <w:pPr>
      <w:widowControl w:val="0"/>
      <w:spacing w:line="360" w:lineRule="auto"/>
      <w:jc w:val="both"/>
    </w:pPr>
    <w:rPr>
      <w:rFonts w:ascii="宋体" w:hAnsi="Calibri" w:eastAsia="宋体" w:cs="Times New Roman"/>
      <w:kern w:val="2"/>
      <w:sz w:val="24"/>
      <w:szCs w:val="22"/>
      <w:lang w:val="en-US" w:eastAsia="zh-CN" w:bidi="ar-SA"/>
    </w:rPr>
  </w:style>
  <w:style w:type="paragraph" w:customStyle="1" w:styleId="106">
    <w:name w:val="表格样式"/>
    <w:qFormat/>
    <w:uiPriority w:val="0"/>
    <w:pPr>
      <w:wordWrap w:val="0"/>
      <w:spacing w:line="0" w:lineRule="atLeast"/>
      <w:contextualSpacing/>
    </w:pPr>
    <w:rPr>
      <w:rFonts w:ascii="宋体" w:hAnsi="微软雅黑" w:eastAsia="宋体" w:cs="Times New Roman"/>
      <w:kern w:val="2"/>
      <w:sz w:val="24"/>
      <w:szCs w:val="28"/>
      <w:lang w:val="en-US" w:eastAsia="zh-CN" w:bidi="ar-SA"/>
    </w:rPr>
  </w:style>
  <w:style w:type="paragraph" w:customStyle="1" w:styleId="107">
    <w:name w:val="正文首行缩进1"/>
    <w:basedOn w:val="1"/>
    <w:qFormat/>
    <w:uiPriority w:val="0"/>
    <w:pPr>
      <w:suppressAutoHyphens/>
      <w:ind w:firstLine="420"/>
    </w:pPr>
    <w:rPr>
      <w:kern w:val="1"/>
      <w:lang w:eastAsia="ar-SA"/>
    </w:rPr>
  </w:style>
  <w:style w:type="paragraph" w:customStyle="1" w:styleId="108">
    <w:name w:val="Heading4"/>
    <w:basedOn w:val="1"/>
    <w:next w:val="1"/>
    <w:qFormat/>
    <w:uiPriority w:val="0"/>
    <w:pPr>
      <w:keepNext/>
      <w:keepLines/>
      <w:spacing w:before="280" w:after="290" w:line="376" w:lineRule="auto"/>
      <w:textAlignment w:val="baseline"/>
    </w:pPr>
    <w:rPr>
      <w:rFonts w:ascii="Arial" w:hAnsi="Arial"/>
      <w:b/>
      <w:bCs/>
      <w:szCs w:val="28"/>
    </w:rPr>
  </w:style>
  <w:style w:type="paragraph" w:customStyle="1" w:styleId="1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0">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51" textRotate="1"/>
    <customShpInfo spid="_x0000_s1052" textRotate="1"/>
    <customShpInfo spid="_x0000_s1053" textRotate="1"/>
    <customShpInfo spid="_x0000_s1054" textRotate="1"/>
    <customShpInfo spid="_x0000_s1055" textRotate="1"/>
    <customShpInfo spid="_x0000_s1056" textRotate="1"/>
    <customShpInfo spid="_x0000_s1057" textRotate="1"/>
    <customShpInfo spid="_x0000_s1058"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40193</Words>
  <Characters>44709</Characters>
  <Lines>453</Lines>
  <Paragraphs>127</Paragraphs>
  <TotalTime>1</TotalTime>
  <ScaleCrop>false</ScaleCrop>
  <LinksUpToDate>false</LinksUpToDate>
  <CharactersWithSpaces>47093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2019-02-28T10:21:00Z</dcterms:created>
  <dc:creator>user</dc:creator>
  <cp:lastModifiedBy>张亚娜</cp:lastModifiedBy>
  <cp:lastPrinted>2022-09-29T02:28:00Z</cp:lastPrinted>
  <dcterms:modified xsi:type="dcterms:W3CDTF">2022-11-29T09:39:00Z</dcterms:modified>
  <dc:title>标书编号：SZ99-</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E650A0D79A984A09A09484B7E2A8B083</vt:lpwstr>
  </property>
  <property fmtid="{D5CDD505-2E9C-101B-9397-08002B2CF9AE}" pid="4" name="commondata">
    <vt:lpwstr>eyJoZGlkIjoiYzE2Yzc5OGVlYzU1YjA3NGIxYTFmOTVjMTc3MzkzODAifQ==</vt:lpwstr>
  </property>
</Properties>
</file>