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28"/>
          <w:szCs w:val="28"/>
        </w:rPr>
      </w:pPr>
      <w:bookmarkStart w:id="0" w:name="OLE_LINK9"/>
      <w:r>
        <w:rPr>
          <w:rFonts w:hint="eastAsia" w:ascii="宋体" w:hAnsi="宋体" w:cs="宋体"/>
          <w:b/>
          <w:sz w:val="28"/>
          <w:szCs w:val="28"/>
        </w:rPr>
        <w:t>政府采购项目</w:t>
      </w:r>
    </w:p>
    <w:p>
      <w:pPr>
        <w:adjustRightInd w:val="0"/>
        <w:snapToGrid w:val="0"/>
        <w:spacing w:line="360" w:lineRule="auto"/>
        <w:jc w:val="left"/>
        <w:rPr>
          <w:rFonts w:hint="eastAsia" w:ascii="宋体" w:hAnsi="宋体" w:eastAsia="宋体" w:cs="宋体"/>
          <w:b/>
          <w:sz w:val="28"/>
          <w:szCs w:val="28"/>
          <w:highlight w:val="none"/>
          <w:lang w:eastAsia="zh-CN"/>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ZMZB2022XKD-325</w:t>
      </w:r>
    </w:p>
    <w:p>
      <w:pPr>
        <w:tabs>
          <w:tab w:val="left" w:pos="2336"/>
        </w:tabs>
        <w:adjustRightInd w:val="0"/>
        <w:snapToGrid w:val="0"/>
        <w:spacing w:line="360" w:lineRule="auto"/>
        <w:rPr>
          <w:rFonts w:ascii="宋体" w:hAnsi="宋体" w:cs="宋体"/>
          <w:b/>
          <w:sz w:val="44"/>
          <w:szCs w:val="44"/>
        </w:rPr>
      </w:pPr>
      <w:r>
        <w:rPr>
          <w:rFonts w:hint="eastAsia" w:ascii="宋体" w:hAnsi="宋体" w:cs="宋体"/>
          <w:b/>
          <w:sz w:val="44"/>
          <w:szCs w:val="44"/>
        </w:rPr>
        <w:tab/>
      </w:r>
    </w:p>
    <w:p>
      <w:pPr>
        <w:adjustRightInd w:val="0"/>
        <w:snapToGrid w:val="0"/>
        <w:spacing w:line="360" w:lineRule="auto"/>
        <w:rPr>
          <w:rFonts w:ascii="宋体" w:hAnsi="宋体" w:cs="宋体"/>
          <w:b/>
          <w:sz w:val="10"/>
          <w:szCs w:val="10"/>
        </w:rPr>
      </w:pPr>
    </w:p>
    <w:p>
      <w:pPr>
        <w:adjustRightInd w:val="0"/>
        <w:snapToGrid w:val="0"/>
        <w:spacing w:line="360" w:lineRule="auto"/>
        <w:jc w:val="center"/>
        <w:rPr>
          <w:rFonts w:hint="eastAsia" w:ascii="宋体" w:hAnsi="宋体" w:cs="宋体"/>
          <w:b/>
          <w:sz w:val="56"/>
          <w:szCs w:val="56"/>
          <w:lang w:eastAsia="zh-CN"/>
        </w:rPr>
      </w:pPr>
      <w:r>
        <w:rPr>
          <w:rFonts w:hint="eastAsia" w:ascii="宋体" w:hAnsi="宋体" w:cs="宋体"/>
        </w:rPr>
        <w:drawing>
          <wp:anchor distT="0" distB="0" distL="114300" distR="114300" simplePos="0" relativeHeight="251661312" behindDoc="0" locked="0" layoutInCell="1" allowOverlap="1">
            <wp:simplePos x="0" y="0"/>
            <wp:positionH relativeFrom="column">
              <wp:posOffset>1612265</wp:posOffset>
            </wp:positionH>
            <wp:positionV relativeFrom="paragraph">
              <wp:posOffset>1707515</wp:posOffset>
            </wp:positionV>
            <wp:extent cx="2095500" cy="1087120"/>
            <wp:effectExtent l="0" t="0" r="0" b="1778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8"/>
                    <a:stretch>
                      <a:fillRect/>
                    </a:stretch>
                  </pic:blipFill>
                  <pic:spPr>
                    <a:xfrm>
                      <a:off x="0" y="0"/>
                      <a:ext cx="2095500" cy="1087120"/>
                    </a:xfrm>
                    <a:prstGeom prst="rect">
                      <a:avLst/>
                    </a:prstGeom>
                    <a:noFill/>
                    <a:ln>
                      <a:noFill/>
                    </a:ln>
                  </pic:spPr>
                </pic:pic>
              </a:graphicData>
            </a:graphic>
          </wp:anchor>
        </w:drawing>
      </w:r>
      <w:r>
        <w:rPr>
          <w:rFonts w:hint="eastAsia" w:ascii="宋体" w:hAnsi="宋体" w:cs="宋体"/>
          <w:b/>
          <w:sz w:val="56"/>
          <w:szCs w:val="56"/>
          <w:lang w:eastAsia="zh-CN"/>
        </w:rPr>
        <w:t>西安科技大学</w:t>
      </w:r>
    </w:p>
    <w:p>
      <w:pPr>
        <w:adjustRightInd w:val="0"/>
        <w:snapToGrid w:val="0"/>
        <w:spacing w:line="360" w:lineRule="auto"/>
        <w:jc w:val="center"/>
      </w:pPr>
      <w:r>
        <w:rPr>
          <w:rFonts w:hint="eastAsia" w:ascii="宋体" w:hAnsi="宋体" w:cs="宋体"/>
          <w:b/>
          <w:sz w:val="56"/>
          <w:szCs w:val="56"/>
          <w:lang w:eastAsia="zh-CN"/>
        </w:rPr>
        <w:t>高压氢气泄漏扩散实验箱采购项目</w:t>
      </w:r>
    </w:p>
    <w:p>
      <w:pPr>
        <w:rPr>
          <w:rFonts w:ascii="宋体" w:hAnsi="宋体" w:cs="宋体"/>
          <w:b/>
          <w:sz w:val="52"/>
          <w:szCs w:val="52"/>
        </w:rPr>
      </w:pPr>
    </w:p>
    <w:p>
      <w:pPr>
        <w:rPr>
          <w:rFonts w:ascii="宋体" w:hAnsi="宋体" w:cs="宋体"/>
          <w:b/>
          <w:sz w:val="52"/>
          <w:szCs w:val="52"/>
        </w:rPr>
      </w:pPr>
    </w:p>
    <w:p>
      <w:pPr>
        <w:pStyle w:val="13"/>
      </w:pPr>
    </w:p>
    <w:p>
      <w:pPr>
        <w:rPr>
          <w:rFonts w:ascii="宋体" w:hAnsi="宋体" w:cs="宋体"/>
        </w:rPr>
      </w:pPr>
    </w:p>
    <w:p>
      <w:pPr>
        <w:tabs>
          <w:tab w:val="left" w:pos="0"/>
        </w:tabs>
        <w:adjustRightInd w:val="0"/>
        <w:snapToGrid w:val="0"/>
        <w:spacing w:line="360" w:lineRule="auto"/>
        <w:jc w:val="center"/>
        <w:rPr>
          <w:rFonts w:ascii="宋体" w:hAnsi="宋体" w:cs="宋体"/>
          <w:b/>
          <w:sz w:val="96"/>
          <w:szCs w:val="96"/>
        </w:rPr>
      </w:pPr>
      <w:r>
        <w:rPr>
          <w:rFonts w:hint="eastAsia" w:ascii="宋体" w:hAnsi="宋体" w:cs="宋体"/>
          <w:b/>
          <w:sz w:val="96"/>
          <w:szCs w:val="96"/>
        </w:rPr>
        <w:t>公开招标文件</w:t>
      </w:r>
    </w:p>
    <w:p>
      <w:pPr>
        <w:adjustRightInd w:val="0"/>
        <w:snapToGrid w:val="0"/>
        <w:spacing w:line="360" w:lineRule="auto"/>
        <w:jc w:val="center"/>
        <w:rPr>
          <w:rFonts w:hint="eastAsia" w:ascii="宋体" w:hAnsi="宋体" w:eastAsia="宋体" w:cs="宋体"/>
          <w:b/>
          <w:sz w:val="32"/>
          <w:szCs w:val="32"/>
          <w:lang w:val="en-US" w:eastAsia="zh-CN"/>
        </w:rPr>
      </w:pPr>
    </w:p>
    <w:p>
      <w:pPr>
        <w:adjustRightInd w:val="0"/>
        <w:snapToGrid w:val="0"/>
        <w:spacing w:line="360" w:lineRule="auto"/>
        <w:jc w:val="both"/>
        <w:rPr>
          <w:rFonts w:ascii="宋体" w:hAnsi="宋体" w:cs="宋体"/>
          <w:b/>
          <w:sz w:val="32"/>
          <w:szCs w:val="32"/>
        </w:rPr>
      </w:pPr>
    </w:p>
    <w:p>
      <w:pPr>
        <w:adjustRightInd w:val="0"/>
        <w:snapToGrid w:val="0"/>
        <w:spacing w:line="360" w:lineRule="auto"/>
        <w:jc w:val="center"/>
        <w:rPr>
          <w:rFonts w:ascii="宋体" w:hAnsi="宋体" w:cs="宋体"/>
          <w:b/>
          <w:sz w:val="36"/>
          <w:szCs w:val="36"/>
        </w:rPr>
      </w:pPr>
      <w:r>
        <w:rPr>
          <w:rFonts w:hint="eastAsia" w:ascii="宋体" w:hAnsi="宋体" w:cs="宋体"/>
          <w:b/>
          <w:sz w:val="36"/>
          <w:szCs w:val="36"/>
        </w:rPr>
        <w:t>陕西卓佲项目管理有限公司</w:t>
      </w:r>
    </w:p>
    <w:p>
      <w:pPr>
        <w:adjustRightInd w:val="0"/>
        <w:snapToGrid w:val="0"/>
        <w:spacing w:line="600" w:lineRule="auto"/>
        <w:jc w:val="center"/>
        <w:rPr>
          <w:rFonts w:ascii="宋体" w:hAnsi="宋体" w:cs="宋体"/>
          <w:b/>
          <w:sz w:val="40"/>
          <w:szCs w:val="40"/>
        </w:rPr>
        <w:sectPr>
          <w:headerReference r:id="rId4" w:type="first"/>
          <w:headerReference r:id="rId3" w:type="default"/>
          <w:footerReference r:id="rId5" w:type="default"/>
          <w:pgSz w:w="11906" w:h="16838"/>
          <w:pgMar w:top="1440" w:right="1486" w:bottom="1440" w:left="1800" w:header="851" w:footer="992" w:gutter="0"/>
          <w:pgNumType w:fmt="decimal" w:start="1"/>
          <w:cols w:space="720" w:num="1"/>
          <w:docGrid w:type="lines" w:linePitch="312" w:charSpace="0"/>
        </w:sectPr>
      </w:pPr>
      <w:r>
        <w:rPr>
          <w:rFonts w:hint="eastAsia" w:ascii="宋体" w:hAnsi="宋体" w:cs="宋体"/>
          <w:b/>
          <w:sz w:val="36"/>
          <w:szCs w:val="36"/>
        </w:rPr>
        <w:t>2022年</w:t>
      </w:r>
      <w:r>
        <w:rPr>
          <w:rFonts w:hint="eastAsia" w:ascii="宋体" w:hAnsi="宋体" w:cs="宋体"/>
          <w:b/>
          <w:sz w:val="36"/>
          <w:szCs w:val="36"/>
          <w:lang w:val="en-US" w:eastAsia="zh-CN"/>
        </w:rPr>
        <w:t>11</w:t>
      </w:r>
      <w:r>
        <w:rPr>
          <w:rFonts w:hint="eastAsia" w:ascii="宋体" w:hAnsi="宋体" w:cs="宋体"/>
          <w:b/>
          <w:sz w:val="36"/>
          <w:szCs w:val="36"/>
        </w:rPr>
        <w:t>月</w:t>
      </w:r>
    </w:p>
    <w:p>
      <w:pPr>
        <w:pStyle w:val="22"/>
        <w:tabs>
          <w:tab w:val="right" w:leader="dot" w:pos="8306"/>
        </w:tabs>
        <w:spacing w:line="360" w:lineRule="auto"/>
        <w:jc w:val="center"/>
        <w:rPr>
          <w:rFonts w:ascii="宋体" w:hAnsi="宋体" w:cs="宋体"/>
          <w:b/>
          <w:bCs/>
          <w:sz w:val="36"/>
          <w:szCs w:val="36"/>
        </w:rPr>
      </w:pPr>
      <w:r>
        <w:rPr>
          <w:rFonts w:hint="eastAsia" w:ascii="宋体" w:hAnsi="宋体" w:cs="宋体"/>
          <w:b/>
          <w:bCs/>
          <w:sz w:val="36"/>
          <w:szCs w:val="36"/>
        </w:rPr>
        <w:t>目 录</w:t>
      </w:r>
    </w:p>
    <w:p>
      <w:pPr>
        <w:pStyle w:val="22"/>
        <w:tabs>
          <w:tab w:val="right" w:leader="dot" w:pos="8306"/>
        </w:tabs>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_Toc7946 </w:instrText>
      </w:r>
      <w:r>
        <w:rPr>
          <w:rFonts w:hint="eastAsia" w:ascii="宋体" w:hAnsi="宋体" w:cs="宋体"/>
          <w:szCs w:val="24"/>
        </w:rPr>
        <w:fldChar w:fldCharType="separate"/>
      </w:r>
      <w:r>
        <w:rPr>
          <w:rFonts w:hint="eastAsia" w:ascii="宋体" w:hAnsi="宋体" w:cs="宋体"/>
          <w:szCs w:val="36"/>
        </w:rPr>
        <w:t>第一部分  公开招标公告</w:t>
      </w:r>
      <w:r>
        <w:tab/>
      </w:r>
      <w:r>
        <w:fldChar w:fldCharType="begin"/>
      </w:r>
      <w:r>
        <w:instrText xml:space="preserve"> PAGEREF _Toc7946 \h </w:instrText>
      </w:r>
      <w:r>
        <w:fldChar w:fldCharType="separate"/>
      </w:r>
      <w:r>
        <w:t>3</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_Toc26134 </w:instrText>
      </w:r>
      <w:r>
        <w:rPr>
          <w:rFonts w:hint="eastAsia" w:ascii="宋体" w:hAnsi="宋体" w:cs="宋体"/>
          <w:szCs w:val="24"/>
        </w:rPr>
        <w:fldChar w:fldCharType="separate"/>
      </w:r>
      <w:r>
        <w:rPr>
          <w:rFonts w:hint="eastAsia" w:ascii="宋体" w:hAnsi="宋体" w:cs="宋体"/>
          <w:szCs w:val="36"/>
        </w:rPr>
        <w:t>第二部分  供应商须知前附表</w:t>
      </w:r>
      <w:r>
        <w:tab/>
      </w:r>
      <w:r>
        <w:fldChar w:fldCharType="begin"/>
      </w:r>
      <w:r>
        <w:instrText xml:space="preserve"> PAGEREF _Toc26134 \h </w:instrText>
      </w:r>
      <w:r>
        <w:fldChar w:fldCharType="separate"/>
      </w:r>
      <w:r>
        <w:t>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_Toc24726 </w:instrText>
      </w:r>
      <w:r>
        <w:rPr>
          <w:rFonts w:hint="eastAsia" w:ascii="宋体" w:hAnsi="宋体" w:cs="宋体"/>
          <w:szCs w:val="24"/>
        </w:rPr>
        <w:fldChar w:fldCharType="separate"/>
      </w:r>
      <w:r>
        <w:rPr>
          <w:rFonts w:hint="eastAsia" w:ascii="宋体" w:hAnsi="宋体" w:cs="宋体"/>
          <w:szCs w:val="36"/>
        </w:rPr>
        <w:t>第三部分  供应商须知</w:t>
      </w:r>
      <w:r>
        <w:tab/>
      </w:r>
      <w:r>
        <w:fldChar w:fldCharType="begin"/>
      </w:r>
      <w:r>
        <w:instrText xml:space="preserve"> PAGEREF _Toc24726 \h </w:instrText>
      </w:r>
      <w:r>
        <w:fldChar w:fldCharType="separate"/>
      </w:r>
      <w:r>
        <w:t>14</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_Toc13983 </w:instrText>
      </w:r>
      <w:r>
        <w:rPr>
          <w:rFonts w:hint="eastAsia" w:ascii="宋体" w:hAnsi="宋体" w:cs="宋体"/>
          <w:szCs w:val="24"/>
        </w:rPr>
        <w:fldChar w:fldCharType="separate"/>
      </w:r>
      <w:r>
        <w:rPr>
          <w:rFonts w:hint="eastAsia" w:ascii="宋体" w:hAnsi="宋体" w:cs="宋体"/>
        </w:rPr>
        <w:t>一、总 则</w:t>
      </w:r>
      <w:r>
        <w:tab/>
      </w:r>
      <w:r>
        <w:fldChar w:fldCharType="begin"/>
      </w:r>
      <w:r>
        <w:instrText xml:space="preserve"> PAGEREF _Toc13983 \h </w:instrText>
      </w:r>
      <w:r>
        <w:fldChar w:fldCharType="separate"/>
      </w:r>
      <w:r>
        <w:t>14</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_Toc1690 </w:instrText>
      </w:r>
      <w:r>
        <w:rPr>
          <w:rFonts w:hint="eastAsia" w:ascii="宋体" w:hAnsi="宋体" w:cs="宋体"/>
          <w:szCs w:val="24"/>
        </w:rPr>
        <w:fldChar w:fldCharType="separate"/>
      </w:r>
      <w:r>
        <w:rPr>
          <w:rFonts w:hint="eastAsia" w:ascii="宋体" w:hAnsi="宋体" w:cs="宋体"/>
          <w:szCs w:val="28"/>
        </w:rPr>
        <w:t>二、 招标文件</w:t>
      </w:r>
      <w:r>
        <w:tab/>
      </w:r>
      <w:r>
        <w:fldChar w:fldCharType="begin"/>
      </w:r>
      <w:r>
        <w:instrText xml:space="preserve"> PAGEREF _Toc1690 \h </w:instrText>
      </w:r>
      <w:r>
        <w:fldChar w:fldCharType="separate"/>
      </w:r>
      <w:r>
        <w:t>17</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_Toc30808 </w:instrText>
      </w:r>
      <w:r>
        <w:rPr>
          <w:rFonts w:hint="eastAsia" w:ascii="宋体" w:hAnsi="宋体" w:cs="宋体"/>
          <w:szCs w:val="24"/>
        </w:rPr>
        <w:fldChar w:fldCharType="separate"/>
      </w:r>
      <w:r>
        <w:rPr>
          <w:rFonts w:hint="eastAsia" w:ascii="宋体" w:hAnsi="宋体" w:cs="宋体"/>
          <w:szCs w:val="28"/>
        </w:rPr>
        <w:t>三、投标文件</w:t>
      </w:r>
      <w:r>
        <w:tab/>
      </w:r>
      <w:r>
        <w:fldChar w:fldCharType="begin"/>
      </w:r>
      <w:r>
        <w:instrText xml:space="preserve"> PAGEREF _Toc30808 \h </w:instrText>
      </w:r>
      <w:r>
        <w:fldChar w:fldCharType="separate"/>
      </w:r>
      <w:r>
        <w:t>20</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_Toc23205 </w:instrText>
      </w:r>
      <w:r>
        <w:rPr>
          <w:rFonts w:hint="eastAsia" w:ascii="宋体" w:hAnsi="宋体" w:cs="宋体"/>
          <w:szCs w:val="24"/>
        </w:rPr>
        <w:fldChar w:fldCharType="separate"/>
      </w:r>
      <w:r>
        <w:rPr>
          <w:rFonts w:hint="eastAsia" w:ascii="宋体" w:hAnsi="宋体" w:cs="宋体"/>
          <w:bCs/>
          <w:kern w:val="0"/>
          <w:szCs w:val="28"/>
        </w:rPr>
        <w:t>四、投标文件的递交</w:t>
      </w:r>
      <w:r>
        <w:tab/>
      </w:r>
      <w:r>
        <w:fldChar w:fldCharType="begin"/>
      </w:r>
      <w:r>
        <w:instrText xml:space="preserve"> PAGEREF _Toc23205 \h </w:instrText>
      </w:r>
      <w:r>
        <w:fldChar w:fldCharType="separate"/>
      </w:r>
      <w:r>
        <w:t>22</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_Toc19681 </w:instrText>
      </w:r>
      <w:r>
        <w:rPr>
          <w:rFonts w:hint="eastAsia" w:ascii="宋体" w:hAnsi="宋体" w:cs="宋体"/>
          <w:szCs w:val="24"/>
        </w:rPr>
        <w:fldChar w:fldCharType="separate"/>
      </w:r>
      <w:r>
        <w:rPr>
          <w:rFonts w:hint="eastAsia" w:ascii="宋体" w:hAnsi="宋体" w:cs="宋体"/>
          <w:bCs/>
          <w:kern w:val="0"/>
          <w:szCs w:val="28"/>
        </w:rPr>
        <w:t>五、 开标、评审、定标</w:t>
      </w:r>
      <w:r>
        <w:tab/>
      </w:r>
      <w:r>
        <w:fldChar w:fldCharType="begin"/>
      </w:r>
      <w:r>
        <w:instrText xml:space="preserve"> PAGEREF _Toc19681 \h </w:instrText>
      </w:r>
      <w:r>
        <w:fldChar w:fldCharType="separate"/>
      </w:r>
      <w:r>
        <w:t>22</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_Toc10932 </w:instrText>
      </w:r>
      <w:r>
        <w:rPr>
          <w:rFonts w:hint="eastAsia" w:ascii="宋体" w:hAnsi="宋体" w:cs="宋体"/>
          <w:szCs w:val="24"/>
        </w:rPr>
        <w:fldChar w:fldCharType="separate"/>
      </w:r>
      <w:r>
        <w:rPr>
          <w:rFonts w:hint="eastAsia" w:ascii="宋体" w:hAnsi="宋体" w:cs="宋体"/>
          <w:bCs/>
          <w:kern w:val="0"/>
          <w:szCs w:val="28"/>
        </w:rPr>
        <w:t>六、签订合同</w:t>
      </w:r>
      <w:r>
        <w:tab/>
      </w:r>
      <w:r>
        <w:fldChar w:fldCharType="begin"/>
      </w:r>
      <w:r>
        <w:instrText xml:space="preserve"> PAGEREF _Toc10932 \h </w:instrText>
      </w:r>
      <w:r>
        <w:fldChar w:fldCharType="separate"/>
      </w:r>
      <w:r>
        <w:t>26</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_Toc15060 </w:instrText>
      </w:r>
      <w:r>
        <w:rPr>
          <w:rFonts w:hint="eastAsia" w:ascii="宋体" w:hAnsi="宋体" w:cs="宋体"/>
          <w:szCs w:val="24"/>
        </w:rPr>
        <w:fldChar w:fldCharType="separate"/>
      </w:r>
      <w:r>
        <w:rPr>
          <w:rFonts w:hint="eastAsia" w:ascii="宋体" w:hAnsi="宋体" w:cs="宋体"/>
          <w:bCs/>
          <w:kern w:val="0"/>
          <w:szCs w:val="28"/>
        </w:rPr>
        <w:t>七、质疑和投诉</w:t>
      </w:r>
      <w:r>
        <w:tab/>
      </w:r>
      <w:r>
        <w:fldChar w:fldCharType="begin"/>
      </w:r>
      <w:r>
        <w:instrText xml:space="preserve"> PAGEREF _Toc15060 \h </w:instrText>
      </w:r>
      <w:r>
        <w:fldChar w:fldCharType="separate"/>
      </w:r>
      <w:r>
        <w:t>26</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_Toc30747 </w:instrText>
      </w:r>
      <w:r>
        <w:rPr>
          <w:rFonts w:hint="eastAsia" w:ascii="宋体" w:hAnsi="宋体" w:cs="宋体"/>
          <w:szCs w:val="24"/>
        </w:rPr>
        <w:fldChar w:fldCharType="separate"/>
      </w:r>
      <w:r>
        <w:rPr>
          <w:rFonts w:hint="eastAsia" w:ascii="宋体" w:hAnsi="宋体" w:cs="宋体"/>
          <w:szCs w:val="36"/>
        </w:rPr>
        <w:t>第四部分 评标方法</w:t>
      </w:r>
      <w:r>
        <w:tab/>
      </w:r>
      <w:r>
        <w:fldChar w:fldCharType="begin"/>
      </w:r>
      <w:r>
        <w:instrText xml:space="preserve"> PAGEREF _Toc30747 \h </w:instrText>
      </w:r>
      <w:r>
        <w:fldChar w:fldCharType="separate"/>
      </w:r>
      <w:r>
        <w:t>28</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_Toc30718 </w:instrText>
      </w:r>
      <w:r>
        <w:rPr>
          <w:rFonts w:hint="eastAsia" w:ascii="宋体" w:hAnsi="宋体" w:cs="宋体"/>
          <w:szCs w:val="24"/>
        </w:rPr>
        <w:fldChar w:fldCharType="separate"/>
      </w:r>
      <w:r>
        <w:rPr>
          <w:rFonts w:hint="eastAsia" w:ascii="宋体" w:hAnsi="宋体" w:eastAsia="宋体" w:cs="宋体"/>
          <w:bCs/>
          <w:kern w:val="2"/>
          <w:szCs w:val="36"/>
          <w:lang w:val="en-US" w:eastAsia="zh-CN" w:bidi="ar-SA"/>
        </w:rPr>
        <w:t>第五部分 采购要求</w:t>
      </w:r>
      <w:r>
        <w:tab/>
      </w:r>
      <w:r>
        <w:fldChar w:fldCharType="begin"/>
      </w:r>
      <w:r>
        <w:instrText xml:space="preserve"> PAGEREF _Toc30718 \h </w:instrText>
      </w:r>
      <w:r>
        <w:fldChar w:fldCharType="separate"/>
      </w:r>
      <w:r>
        <w:t>30</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_Toc3873 </w:instrText>
      </w:r>
      <w:r>
        <w:rPr>
          <w:rFonts w:hint="eastAsia" w:ascii="宋体" w:hAnsi="宋体" w:cs="宋体"/>
          <w:szCs w:val="24"/>
        </w:rPr>
        <w:fldChar w:fldCharType="separate"/>
      </w:r>
      <w:r>
        <w:rPr>
          <w:rFonts w:hint="eastAsia" w:ascii="宋体" w:hAnsi="宋体" w:cs="宋体"/>
          <w:bCs/>
          <w:szCs w:val="36"/>
        </w:rPr>
        <w:t>第六部分 合同条款</w:t>
      </w:r>
      <w:r>
        <w:tab/>
      </w:r>
      <w:r>
        <w:fldChar w:fldCharType="begin"/>
      </w:r>
      <w:r>
        <w:instrText xml:space="preserve"> PAGEREF _Toc3873 \h </w:instrText>
      </w:r>
      <w:r>
        <w:fldChar w:fldCharType="separate"/>
      </w:r>
      <w:r>
        <w:t>32</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_Toc2948 </w:instrText>
      </w:r>
      <w:r>
        <w:rPr>
          <w:rFonts w:hint="eastAsia" w:ascii="宋体" w:hAnsi="宋体" w:cs="宋体"/>
          <w:szCs w:val="24"/>
        </w:rPr>
        <w:fldChar w:fldCharType="separate"/>
      </w:r>
      <w:r>
        <w:rPr>
          <w:rFonts w:hint="eastAsia" w:ascii="宋体" w:hAnsi="宋体" w:cs="宋体"/>
          <w:szCs w:val="36"/>
        </w:rPr>
        <w:t>第七部分  投标文件格式</w:t>
      </w:r>
      <w:r>
        <w:tab/>
      </w:r>
      <w:r>
        <w:fldChar w:fldCharType="begin"/>
      </w:r>
      <w:r>
        <w:instrText xml:space="preserve"> PAGEREF _Toc2948 \h </w:instrText>
      </w:r>
      <w:r>
        <w:fldChar w:fldCharType="separate"/>
      </w:r>
      <w:r>
        <w:t>36</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_Toc32359 </w:instrText>
      </w:r>
      <w:r>
        <w:rPr>
          <w:rFonts w:hint="eastAsia" w:ascii="宋体" w:hAnsi="宋体" w:cs="宋体"/>
          <w:szCs w:val="24"/>
        </w:rPr>
        <w:fldChar w:fldCharType="separate"/>
      </w:r>
      <w:r>
        <w:rPr>
          <w:rFonts w:hint="eastAsia" w:ascii="宋体" w:hAnsi="宋体" w:cs="宋体"/>
          <w:szCs w:val="36"/>
        </w:rPr>
        <w:t>第一部分  投标函</w:t>
      </w:r>
      <w:r>
        <w:tab/>
      </w:r>
      <w:r>
        <w:fldChar w:fldCharType="begin"/>
      </w:r>
      <w:r>
        <w:instrText xml:space="preserve"> PAGEREF _Toc32359 \h </w:instrText>
      </w:r>
      <w:r>
        <w:fldChar w:fldCharType="separate"/>
      </w:r>
      <w:r>
        <w:t>38</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_Toc19156 </w:instrText>
      </w:r>
      <w:r>
        <w:rPr>
          <w:rFonts w:hint="eastAsia" w:ascii="宋体" w:hAnsi="宋体" w:cs="宋体"/>
          <w:szCs w:val="24"/>
        </w:rPr>
        <w:fldChar w:fldCharType="separate"/>
      </w:r>
      <w:r>
        <w:rPr>
          <w:rFonts w:hint="eastAsia" w:ascii="宋体" w:hAnsi="宋体" w:cs="宋体"/>
          <w:szCs w:val="36"/>
        </w:rPr>
        <w:t>第二部分 报价一览表</w:t>
      </w:r>
      <w:r>
        <w:tab/>
      </w:r>
      <w:r>
        <w:fldChar w:fldCharType="begin"/>
      </w:r>
      <w:r>
        <w:instrText xml:space="preserve"> PAGEREF _Toc19156 \h </w:instrText>
      </w:r>
      <w:r>
        <w:fldChar w:fldCharType="separate"/>
      </w:r>
      <w:r>
        <w:t>39</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_Toc193 </w:instrText>
      </w:r>
      <w:r>
        <w:rPr>
          <w:rFonts w:hint="eastAsia" w:ascii="宋体" w:hAnsi="宋体" w:cs="宋体"/>
          <w:szCs w:val="24"/>
        </w:rPr>
        <w:fldChar w:fldCharType="separate"/>
      </w:r>
      <w:r>
        <w:rPr>
          <w:rFonts w:hint="eastAsia" w:ascii="宋体" w:hAnsi="宋体" w:cs="宋体"/>
        </w:rPr>
        <w:t>第三部分</w:t>
      </w:r>
      <w:r>
        <w:rPr>
          <w:rFonts w:hint="eastAsia" w:ascii="宋体" w:hAnsi="宋体" w:cs="宋体"/>
          <w:szCs w:val="36"/>
        </w:rPr>
        <w:t xml:space="preserve">  </w:t>
      </w:r>
      <w:r>
        <w:rPr>
          <w:rFonts w:hint="eastAsia" w:ascii="宋体" w:hAnsi="宋体" w:cs="宋体"/>
        </w:rPr>
        <w:t>商务及技术响应说明</w:t>
      </w:r>
      <w:r>
        <w:tab/>
      </w:r>
      <w:r>
        <w:fldChar w:fldCharType="begin"/>
      </w:r>
      <w:r>
        <w:instrText xml:space="preserve"> PAGEREF _Toc193 \h </w:instrText>
      </w:r>
      <w:r>
        <w:fldChar w:fldCharType="separate"/>
      </w:r>
      <w:r>
        <w:t>41</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_Toc19441 </w:instrText>
      </w:r>
      <w:r>
        <w:rPr>
          <w:rFonts w:hint="eastAsia" w:ascii="宋体" w:hAnsi="宋体" w:cs="宋体"/>
          <w:szCs w:val="24"/>
        </w:rPr>
        <w:fldChar w:fldCharType="separate"/>
      </w:r>
      <w:r>
        <w:rPr>
          <w:rFonts w:hint="eastAsia" w:ascii="宋体" w:hAnsi="宋体" w:cs="宋体"/>
          <w:szCs w:val="36"/>
        </w:rPr>
        <w:t>第四部分  供应商资格要求</w:t>
      </w:r>
      <w:r>
        <w:tab/>
      </w:r>
      <w:r>
        <w:fldChar w:fldCharType="begin"/>
      </w:r>
      <w:r>
        <w:instrText xml:space="preserve"> PAGEREF _Toc19441 \h </w:instrText>
      </w:r>
      <w:r>
        <w:fldChar w:fldCharType="separate"/>
      </w:r>
      <w:r>
        <w:t>43</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_Toc16936 </w:instrText>
      </w:r>
      <w:r>
        <w:rPr>
          <w:rFonts w:hint="eastAsia" w:ascii="宋体" w:hAnsi="宋体" w:cs="宋体"/>
          <w:szCs w:val="24"/>
        </w:rPr>
        <w:fldChar w:fldCharType="separate"/>
      </w:r>
      <w:r>
        <w:rPr>
          <w:rFonts w:hint="eastAsia" w:ascii="宋体" w:hAnsi="宋体" w:cs="宋体"/>
          <w:szCs w:val="36"/>
        </w:rPr>
        <w:t>第五部分  技术与服务方案</w:t>
      </w:r>
      <w:r>
        <w:tab/>
      </w:r>
      <w:r>
        <w:fldChar w:fldCharType="begin"/>
      </w:r>
      <w:r>
        <w:instrText xml:space="preserve"> PAGEREF _Toc16936 \h </w:instrText>
      </w:r>
      <w:r>
        <w:fldChar w:fldCharType="separate"/>
      </w:r>
      <w:r>
        <w:t>53</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_Toc15387 </w:instrText>
      </w:r>
      <w:r>
        <w:rPr>
          <w:rFonts w:hint="eastAsia" w:ascii="宋体" w:hAnsi="宋体" w:cs="宋体"/>
          <w:szCs w:val="24"/>
        </w:rPr>
        <w:fldChar w:fldCharType="separate"/>
      </w:r>
      <w:r>
        <w:rPr>
          <w:rFonts w:hint="eastAsia" w:ascii="宋体" w:hAnsi="宋体" w:cs="宋体"/>
          <w:szCs w:val="36"/>
        </w:rPr>
        <w:t>第六部分  服务承诺</w:t>
      </w:r>
      <w:r>
        <w:tab/>
      </w:r>
      <w:r>
        <w:fldChar w:fldCharType="begin"/>
      </w:r>
      <w:r>
        <w:instrText xml:space="preserve"> PAGEREF _Toc15387 \h </w:instrText>
      </w:r>
      <w:r>
        <w:fldChar w:fldCharType="separate"/>
      </w:r>
      <w:r>
        <w:t>54</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_Toc19628 </w:instrText>
      </w:r>
      <w:r>
        <w:rPr>
          <w:rFonts w:hint="eastAsia" w:ascii="宋体" w:hAnsi="宋体" w:cs="宋体"/>
          <w:szCs w:val="24"/>
        </w:rPr>
        <w:fldChar w:fldCharType="separate"/>
      </w:r>
      <w:r>
        <w:rPr>
          <w:rFonts w:hint="eastAsia" w:ascii="宋体" w:cs="宋体"/>
          <w:szCs w:val="36"/>
        </w:rPr>
        <w:t xml:space="preserve">第七部分  </w:t>
      </w:r>
      <w:r>
        <w:rPr>
          <w:rFonts w:hint="eastAsia" w:ascii="宋体" w:hAnsi="宋体" w:cs="宋体"/>
          <w:szCs w:val="36"/>
        </w:rPr>
        <w:t>业绩一览表</w:t>
      </w:r>
      <w:r>
        <w:tab/>
      </w:r>
      <w:r>
        <w:fldChar w:fldCharType="begin"/>
      </w:r>
      <w:r>
        <w:instrText xml:space="preserve"> PAGEREF _Toc19628 \h </w:instrText>
      </w:r>
      <w:r>
        <w:fldChar w:fldCharType="separate"/>
      </w:r>
      <w:r>
        <w:t>55</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_Toc9002 </w:instrText>
      </w:r>
      <w:r>
        <w:rPr>
          <w:rFonts w:hint="eastAsia" w:ascii="宋体" w:hAnsi="宋体" w:cs="宋体"/>
          <w:szCs w:val="24"/>
        </w:rPr>
        <w:fldChar w:fldCharType="separate"/>
      </w:r>
      <w:r>
        <w:rPr>
          <w:rFonts w:hint="eastAsia" w:ascii="宋体" w:hAnsi="宋体" w:cs="宋体"/>
          <w:szCs w:val="36"/>
        </w:rPr>
        <w:t>第八部分  供应商认为有必要说明的其他问题</w:t>
      </w:r>
      <w:r>
        <w:tab/>
      </w:r>
      <w:r>
        <w:fldChar w:fldCharType="begin"/>
      </w:r>
      <w:r>
        <w:instrText xml:space="preserve"> PAGEREF _Toc9002 \h </w:instrText>
      </w:r>
      <w:r>
        <w:fldChar w:fldCharType="separate"/>
      </w:r>
      <w:r>
        <w:t>56</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_Toc15563 </w:instrText>
      </w:r>
      <w:r>
        <w:rPr>
          <w:rFonts w:hint="eastAsia" w:ascii="宋体" w:hAnsi="宋体" w:cs="宋体"/>
          <w:szCs w:val="24"/>
        </w:rPr>
        <w:fldChar w:fldCharType="separate"/>
      </w:r>
      <w:r>
        <w:rPr>
          <w:rFonts w:hint="eastAsia" w:ascii="宋体" w:hAnsi="宋体" w:eastAsia="宋体" w:cs="宋体"/>
          <w:kern w:val="2"/>
          <w:szCs w:val="22"/>
          <w:lang w:val="en-US" w:eastAsia="zh-CN" w:bidi="ar-SA"/>
        </w:rPr>
        <w:t>附件一、封袋正面标识式样</w:t>
      </w:r>
      <w:r>
        <w:tab/>
      </w:r>
      <w:r>
        <w:fldChar w:fldCharType="begin"/>
      </w:r>
      <w:r>
        <w:instrText xml:space="preserve"> PAGEREF _Toc15563 \h </w:instrText>
      </w:r>
      <w:r>
        <w:fldChar w:fldCharType="separate"/>
      </w:r>
      <w:r>
        <w:t>57</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_Toc14217 </w:instrText>
      </w:r>
      <w:r>
        <w:rPr>
          <w:rFonts w:hint="eastAsia" w:ascii="宋体" w:hAnsi="宋体" w:cs="宋体"/>
          <w:szCs w:val="24"/>
        </w:rPr>
        <w:fldChar w:fldCharType="separate"/>
      </w:r>
      <w:r>
        <w:rPr>
          <w:rFonts w:hint="eastAsia" w:ascii="宋体" w:hAnsi="宋体" w:cs="宋体"/>
        </w:rPr>
        <w:t>附件二、中小企业申明（货物）</w:t>
      </w:r>
      <w:r>
        <w:tab/>
      </w:r>
      <w:r>
        <w:fldChar w:fldCharType="begin"/>
      </w:r>
      <w:r>
        <w:instrText xml:space="preserve"> PAGEREF _Toc14217 \h </w:instrText>
      </w:r>
      <w:r>
        <w:fldChar w:fldCharType="separate"/>
      </w:r>
      <w:r>
        <w:t>59</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_Toc21410 </w:instrText>
      </w:r>
      <w:r>
        <w:rPr>
          <w:rFonts w:hint="eastAsia" w:ascii="宋体" w:hAnsi="宋体" w:cs="宋体"/>
          <w:szCs w:val="24"/>
        </w:rPr>
        <w:fldChar w:fldCharType="separate"/>
      </w:r>
      <w:r>
        <w:rPr>
          <w:rFonts w:hint="eastAsia" w:ascii="宋体" w:hAnsi="宋体" w:cs="宋体"/>
        </w:rPr>
        <w:t>附件三、残疾人福利性单位声明</w:t>
      </w:r>
      <w:r>
        <w:tab/>
      </w:r>
      <w:r>
        <w:fldChar w:fldCharType="begin"/>
      </w:r>
      <w:r>
        <w:instrText xml:space="preserve"> PAGEREF _Toc21410 \h </w:instrText>
      </w:r>
      <w:r>
        <w:fldChar w:fldCharType="separate"/>
      </w:r>
      <w:r>
        <w:t>63</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_Toc28878 </w:instrText>
      </w:r>
      <w:r>
        <w:rPr>
          <w:rFonts w:hint="eastAsia" w:ascii="宋体" w:hAnsi="宋体" w:cs="宋体"/>
          <w:szCs w:val="24"/>
        </w:rPr>
        <w:fldChar w:fldCharType="separate"/>
      </w:r>
      <w:r>
        <w:rPr>
          <w:rFonts w:hint="eastAsia" w:ascii="宋体" w:hAnsi="宋体" w:cs="宋体"/>
        </w:rPr>
        <w:t>附件四、监狱企业证明文件</w:t>
      </w:r>
      <w:r>
        <w:tab/>
      </w:r>
      <w:r>
        <w:fldChar w:fldCharType="begin"/>
      </w:r>
      <w:r>
        <w:instrText xml:space="preserve"> PAGEREF _Toc28878 \h </w:instrText>
      </w:r>
      <w:r>
        <w:fldChar w:fldCharType="separate"/>
      </w:r>
      <w:r>
        <w:t>63</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_Toc16788 </w:instrText>
      </w:r>
      <w:r>
        <w:rPr>
          <w:rFonts w:hint="eastAsia" w:ascii="宋体" w:hAnsi="宋体" w:cs="宋体"/>
          <w:szCs w:val="24"/>
        </w:rPr>
        <w:fldChar w:fldCharType="separate"/>
      </w:r>
      <w:r>
        <w:rPr>
          <w:rFonts w:hint="eastAsia" w:ascii="宋体" w:hAnsi="宋体" w:cs="宋体"/>
        </w:rPr>
        <w:t>附件五、“节能产品”，“环境标志产品”证明材料</w:t>
      </w:r>
      <w:r>
        <w:tab/>
      </w:r>
      <w:r>
        <w:fldChar w:fldCharType="begin"/>
      </w:r>
      <w:r>
        <w:instrText xml:space="preserve"> PAGEREF _Toc16788 \h </w:instrText>
      </w:r>
      <w:r>
        <w:fldChar w:fldCharType="separate"/>
      </w:r>
      <w:r>
        <w:t>63</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_Toc8275 </w:instrText>
      </w:r>
      <w:r>
        <w:rPr>
          <w:rFonts w:hint="eastAsia" w:ascii="宋体" w:hAnsi="宋体" w:cs="宋体"/>
          <w:szCs w:val="24"/>
        </w:rPr>
        <w:fldChar w:fldCharType="separate"/>
      </w:r>
      <w:r>
        <w:rPr>
          <w:rFonts w:hint="eastAsia" w:ascii="宋体" w:hAnsi="宋体" w:cs="宋体"/>
        </w:rPr>
        <w:t>附件六、质疑函范本</w:t>
      </w:r>
      <w:r>
        <w:tab/>
      </w:r>
      <w:r>
        <w:fldChar w:fldCharType="begin"/>
      </w:r>
      <w:r>
        <w:instrText xml:space="preserve"> PAGEREF _Toc8275 \h </w:instrText>
      </w:r>
      <w:r>
        <w:fldChar w:fldCharType="separate"/>
      </w:r>
      <w:r>
        <w:t>64</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_Toc29454 </w:instrText>
      </w:r>
      <w:r>
        <w:rPr>
          <w:rFonts w:hint="eastAsia" w:ascii="宋体" w:hAnsi="宋体" w:cs="宋体"/>
          <w:szCs w:val="24"/>
        </w:rPr>
        <w:fldChar w:fldCharType="separate"/>
      </w:r>
      <w:r>
        <w:rPr>
          <w:rFonts w:hint="eastAsia" w:ascii="宋体" w:hAnsi="宋体" w:cs="宋体"/>
        </w:rPr>
        <w:t>附件七、保证金退还账户信息确认表</w:t>
      </w:r>
      <w:r>
        <w:tab/>
      </w:r>
      <w:r>
        <w:fldChar w:fldCharType="begin"/>
      </w:r>
      <w:r>
        <w:instrText xml:space="preserve"> PAGEREF _Toc29454 \h </w:instrText>
      </w:r>
      <w:r>
        <w:fldChar w:fldCharType="separate"/>
      </w:r>
      <w:r>
        <w:t>66</w:t>
      </w:r>
      <w:r>
        <w:fldChar w:fldCharType="end"/>
      </w:r>
      <w:r>
        <w:rPr>
          <w:rFonts w:hint="eastAsia" w:ascii="宋体" w:hAnsi="宋体" w:cs="宋体"/>
          <w:szCs w:val="24"/>
        </w:rPr>
        <w:fldChar w:fldCharType="end"/>
      </w:r>
    </w:p>
    <w:p>
      <w:pPr>
        <w:pStyle w:val="3"/>
        <w:spacing w:line="240" w:lineRule="auto"/>
        <w:rPr>
          <w:rFonts w:ascii="宋体" w:hAnsi="宋体" w:cs="宋体"/>
          <w:b w:val="0"/>
          <w:sz w:val="24"/>
          <w:szCs w:val="24"/>
        </w:rPr>
        <w:sectPr>
          <w:footerReference r:id="rId6" w:type="default"/>
          <w:pgSz w:w="11906" w:h="16838"/>
          <w:pgMar w:top="1440" w:right="1800" w:bottom="1440" w:left="1800" w:header="851" w:footer="992" w:gutter="0"/>
          <w:pgNumType w:fmt="decimal" w:start="2"/>
          <w:cols w:space="720" w:num="1"/>
          <w:docGrid w:type="lines" w:linePitch="312" w:charSpace="0"/>
        </w:sectPr>
      </w:pPr>
      <w:r>
        <w:rPr>
          <w:rFonts w:hint="eastAsia" w:ascii="宋体" w:hAnsi="宋体" w:cs="宋体"/>
          <w:szCs w:val="24"/>
        </w:rPr>
        <w:fldChar w:fldCharType="end"/>
      </w:r>
    </w:p>
    <w:p>
      <w:pPr>
        <w:pStyle w:val="3"/>
        <w:spacing w:before="312" w:beforeLines="100" w:after="468" w:afterLines="150" w:line="600" w:lineRule="exact"/>
        <w:rPr>
          <w:rFonts w:ascii="宋体" w:hAnsi="宋体" w:cs="宋体"/>
          <w:sz w:val="36"/>
          <w:szCs w:val="36"/>
        </w:rPr>
      </w:pPr>
      <w:bookmarkStart w:id="1" w:name="_Toc7946"/>
      <w:bookmarkStart w:id="2" w:name="_Toc26575"/>
      <w:r>
        <w:rPr>
          <w:rFonts w:hint="eastAsia" w:ascii="宋体" w:hAnsi="宋体" w:cs="宋体"/>
          <w:sz w:val="36"/>
          <w:szCs w:val="36"/>
        </w:rPr>
        <w:t>第一部分  公开招标公告</w:t>
      </w:r>
      <w:bookmarkEnd w:id="1"/>
      <w:bookmarkEnd w:id="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jc w:val="left"/>
        <w:textAlignment w:val="baseline"/>
        <w:rPr>
          <w:rFonts w:hint="eastAsia" w:ascii="宋体" w:hAnsi="宋体" w:eastAsia="宋体" w:cs="宋体"/>
          <w:b w:val="0"/>
          <w:bCs w:val="0"/>
          <w:sz w:val="24"/>
          <w:szCs w:val="24"/>
        </w:rPr>
      </w:pPr>
      <w:r>
        <w:rPr>
          <w:rStyle w:val="34"/>
          <w:rFonts w:hint="eastAsia" w:ascii="宋体" w:hAnsi="宋体" w:eastAsia="宋体" w:cs="宋体"/>
          <w:b/>
          <w:bCs/>
          <w:i w:val="0"/>
          <w:iCs w:val="0"/>
          <w:caps w:val="0"/>
          <w:color w:val="333333"/>
          <w:spacing w:val="0"/>
          <w:sz w:val="24"/>
          <w:szCs w:val="24"/>
          <w:shd w:val="clear" w:fill="FFFFFF"/>
          <w:vertAlign w:val="baseline"/>
        </w:rPr>
        <w:t>项目概况</w:t>
      </w:r>
    </w:p>
    <w:p>
      <w:pPr>
        <w:bidi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高压氢气泄漏扩散实验箱采购项目</w:t>
      </w:r>
      <w:r>
        <w:rPr>
          <w:rFonts w:hint="eastAsia" w:ascii="宋体" w:hAnsi="宋体" w:eastAsia="宋体" w:cs="宋体"/>
          <w:sz w:val="24"/>
          <w:szCs w:val="24"/>
        </w:rPr>
        <w:t>招标项目的潜在投标人应在西安市雁塔区科技路10号华奥大厦A座20层2002室获取招标文件，并于 2022年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04</w:t>
      </w:r>
      <w:r>
        <w:rPr>
          <w:rFonts w:hint="eastAsia" w:ascii="宋体" w:hAnsi="宋体" w:eastAsia="宋体" w:cs="宋体"/>
          <w:sz w:val="24"/>
          <w:szCs w:val="24"/>
        </w:rPr>
        <w:t>日</w:t>
      </w:r>
      <w:r>
        <w:rPr>
          <w:rFonts w:hint="eastAsia" w:ascii="宋体" w:hAnsi="宋体" w:cs="宋体"/>
          <w:sz w:val="24"/>
          <w:szCs w:val="24"/>
          <w:lang w:val="en-US" w:eastAsia="zh-CN"/>
        </w:rPr>
        <w:t>14</w:t>
      </w:r>
      <w:r>
        <w:rPr>
          <w:rFonts w:hint="eastAsia" w:ascii="宋体" w:hAnsi="宋体" w:eastAsia="宋体" w:cs="宋体"/>
          <w:sz w:val="24"/>
          <w:szCs w:val="24"/>
        </w:rPr>
        <w:t>时30分 （北京时间）前递交投标文件。</w:t>
      </w:r>
    </w:p>
    <w:p>
      <w:pPr>
        <w:bidi w:val="0"/>
        <w:spacing w:line="360" w:lineRule="auto"/>
        <w:rPr>
          <w:rFonts w:hint="eastAsia"/>
          <w:b/>
          <w:bCs/>
          <w:sz w:val="24"/>
          <w:szCs w:val="24"/>
          <w:lang w:val="en-US" w:eastAsia="zh-CN"/>
        </w:rPr>
      </w:pPr>
      <w:r>
        <w:rPr>
          <w:rFonts w:hint="eastAsia"/>
          <w:b/>
          <w:bCs/>
          <w:sz w:val="24"/>
          <w:szCs w:val="24"/>
          <w:lang w:val="en-US" w:eastAsia="zh-CN"/>
        </w:rPr>
        <w:t>一、项目基本情况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项目编号：</w:t>
      </w:r>
      <w:r>
        <w:rPr>
          <w:rFonts w:hint="eastAsia" w:cs="宋体"/>
          <w:kern w:val="2"/>
          <w:sz w:val="24"/>
          <w:szCs w:val="24"/>
          <w:lang w:val="en-US" w:eastAsia="zh-CN" w:bidi="ar-SA"/>
        </w:rPr>
        <w:t>ZMZB2022XKD-325</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项目名称：</w:t>
      </w:r>
      <w:r>
        <w:rPr>
          <w:rFonts w:hint="eastAsia" w:cs="宋体"/>
          <w:kern w:val="2"/>
          <w:sz w:val="24"/>
          <w:szCs w:val="24"/>
          <w:lang w:val="en-US" w:eastAsia="zh-CN" w:bidi="ar-SA"/>
        </w:rPr>
        <w:t>高压氢气泄漏扩散实验箱采购项目</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采购方式：公开招标</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预算金额：</w:t>
      </w:r>
      <w:r>
        <w:rPr>
          <w:rFonts w:hint="eastAsia" w:cs="宋体"/>
          <w:kern w:val="2"/>
          <w:sz w:val="24"/>
          <w:szCs w:val="24"/>
          <w:highlight w:val="none"/>
          <w:lang w:val="en-US" w:eastAsia="zh-CN" w:bidi="ar-SA"/>
        </w:rPr>
        <w:t>5996</w:t>
      </w:r>
      <w:r>
        <w:rPr>
          <w:rFonts w:hint="eastAsia" w:ascii="宋体" w:hAnsi="宋体" w:eastAsia="宋体" w:cs="宋体"/>
          <w:kern w:val="2"/>
          <w:sz w:val="24"/>
          <w:szCs w:val="24"/>
          <w:highlight w:val="none"/>
          <w:lang w:val="en-US" w:eastAsia="zh-CN" w:bidi="ar-SA"/>
        </w:rPr>
        <w:t>00.00元</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采购需求：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合同包1(</w:t>
      </w:r>
      <w:r>
        <w:rPr>
          <w:rFonts w:hint="eastAsia" w:cs="宋体"/>
          <w:kern w:val="2"/>
          <w:sz w:val="24"/>
          <w:szCs w:val="24"/>
          <w:lang w:val="en-US" w:eastAsia="zh-CN" w:bidi="ar-SA"/>
        </w:rPr>
        <w:t>高压氢气泄漏扩散实验箱采购项目</w:t>
      </w:r>
      <w:r>
        <w:rPr>
          <w:rFonts w:hint="eastAsia" w:ascii="宋体" w:hAnsi="宋体" w:eastAsia="宋体" w:cs="宋体"/>
          <w:kern w:val="2"/>
          <w:sz w:val="24"/>
          <w:szCs w:val="24"/>
          <w:lang w:val="en-US" w:eastAsia="zh-CN" w:bidi="ar-SA"/>
        </w:rPr>
        <w:t>):</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63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合同包预算金额：</w:t>
      </w:r>
      <w:r>
        <w:rPr>
          <w:rFonts w:hint="eastAsia" w:cs="宋体"/>
          <w:kern w:val="2"/>
          <w:sz w:val="24"/>
          <w:szCs w:val="24"/>
          <w:highlight w:val="none"/>
          <w:lang w:val="en-US" w:eastAsia="zh-CN" w:bidi="ar-SA"/>
        </w:rPr>
        <w:t>5996</w:t>
      </w:r>
      <w:r>
        <w:rPr>
          <w:rFonts w:hint="eastAsia" w:ascii="宋体" w:hAnsi="宋体" w:eastAsia="宋体" w:cs="宋体"/>
          <w:kern w:val="2"/>
          <w:sz w:val="24"/>
          <w:szCs w:val="24"/>
          <w:highlight w:val="none"/>
          <w:lang w:val="en-US" w:eastAsia="zh-CN" w:bidi="ar-SA"/>
        </w:rPr>
        <w:t>00.00</w:t>
      </w:r>
      <w:r>
        <w:rPr>
          <w:rFonts w:hint="eastAsia" w:ascii="宋体" w:hAnsi="宋体" w:eastAsia="宋体" w:cs="宋体"/>
          <w:kern w:val="2"/>
          <w:sz w:val="24"/>
          <w:szCs w:val="24"/>
          <w:lang w:val="en-US" w:eastAsia="zh-CN" w:bidi="ar-SA"/>
        </w:rPr>
        <w:t>元</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63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合同包最高限价：</w:t>
      </w:r>
      <w:r>
        <w:rPr>
          <w:rFonts w:hint="eastAsia" w:cs="宋体"/>
          <w:kern w:val="2"/>
          <w:sz w:val="24"/>
          <w:szCs w:val="24"/>
          <w:highlight w:val="none"/>
          <w:lang w:val="en-US" w:eastAsia="zh-CN" w:bidi="ar-SA"/>
        </w:rPr>
        <w:t>5996</w:t>
      </w:r>
      <w:r>
        <w:rPr>
          <w:rFonts w:hint="eastAsia" w:ascii="宋体" w:hAnsi="宋体" w:eastAsia="宋体" w:cs="宋体"/>
          <w:kern w:val="2"/>
          <w:sz w:val="24"/>
          <w:szCs w:val="24"/>
          <w:highlight w:val="none"/>
          <w:lang w:val="en-US" w:eastAsia="zh-CN" w:bidi="ar-SA"/>
        </w:rPr>
        <w:t>00.00</w:t>
      </w:r>
      <w:r>
        <w:rPr>
          <w:rFonts w:hint="eastAsia" w:ascii="宋体" w:hAnsi="宋体" w:eastAsia="宋体" w:cs="宋体"/>
          <w:kern w:val="2"/>
          <w:sz w:val="24"/>
          <w:szCs w:val="24"/>
          <w:lang w:val="en-US" w:eastAsia="zh-CN" w:bidi="ar-SA"/>
        </w:rPr>
        <w:t>元</w:t>
      </w:r>
    </w:p>
    <w:tbl>
      <w:tblPr>
        <w:tblStyle w:val="31"/>
        <w:tblW w:w="92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8"/>
        <w:gridCol w:w="1995"/>
        <w:gridCol w:w="807"/>
        <w:gridCol w:w="1156"/>
        <w:gridCol w:w="1591"/>
        <w:gridCol w:w="1485"/>
        <w:gridCol w:w="1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2"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sz w:val="24"/>
                <w:szCs w:val="24"/>
              </w:rPr>
            </w:pPr>
            <w:r>
              <w:rPr>
                <w:rFonts w:hint="eastAsia" w:cs="宋体"/>
                <w:kern w:val="2"/>
                <w:sz w:val="24"/>
                <w:szCs w:val="24"/>
                <w:lang w:val="en-US" w:eastAsia="zh-CN" w:bidi="ar-SA"/>
              </w:rPr>
              <w:t>高压氢气泄漏扩散实验箱采购项目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sz w:val="24"/>
                <w:szCs w:val="24"/>
              </w:rPr>
            </w:pPr>
            <w:r>
              <w:rPr>
                <w:rFonts w:hint="eastAsia" w:ascii="宋体" w:hAnsi="宋体" w:cs="宋体"/>
                <w:kern w:val="0"/>
                <w:sz w:val="24"/>
                <w:szCs w:val="24"/>
                <w:lang w:val="en-US" w:eastAsia="zh-CN" w:bidi="ar"/>
              </w:rPr>
              <w:t>1</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台</w:t>
            </w:r>
            <w:r>
              <w:rPr>
                <w:rFonts w:hint="eastAsia" w:ascii="宋体" w:hAnsi="宋体" w:eastAsia="宋体" w:cs="宋体"/>
                <w:kern w:val="0"/>
                <w:sz w:val="24"/>
                <w:szCs w:val="24"/>
                <w:lang w:val="en-US" w:eastAsia="zh-CN" w:bidi="ar"/>
              </w:rPr>
              <w:t>)</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60" w:lineRule="auto"/>
              <w:ind w:left="0" w:right="0"/>
              <w:jc w:val="right"/>
              <w:textAlignment w:val="center"/>
              <w:rPr>
                <w:rFonts w:hint="eastAsia" w:ascii="宋体" w:hAnsi="宋体" w:eastAsia="宋体" w:cs="宋体"/>
                <w:sz w:val="24"/>
                <w:szCs w:val="24"/>
              </w:rPr>
            </w:pPr>
            <w:r>
              <w:rPr>
                <w:rFonts w:hint="eastAsia" w:cs="宋体"/>
                <w:kern w:val="2"/>
                <w:sz w:val="24"/>
                <w:szCs w:val="24"/>
                <w:highlight w:val="none"/>
                <w:lang w:val="en-US" w:eastAsia="zh-CN" w:bidi="ar-SA"/>
              </w:rPr>
              <w:t>5996</w:t>
            </w:r>
            <w:r>
              <w:rPr>
                <w:rFonts w:hint="eastAsia" w:ascii="宋体" w:hAnsi="宋体" w:eastAsia="宋体" w:cs="宋体"/>
                <w:kern w:val="2"/>
                <w:sz w:val="24"/>
                <w:szCs w:val="24"/>
                <w:highlight w:val="none"/>
                <w:lang w:val="en-US" w:eastAsia="zh-CN" w:bidi="ar-SA"/>
              </w:rPr>
              <w:t>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60" w:lineRule="auto"/>
              <w:ind w:left="0" w:right="0"/>
              <w:jc w:val="right"/>
              <w:textAlignment w:val="center"/>
              <w:rPr>
                <w:rFonts w:hint="eastAsia" w:ascii="宋体" w:hAnsi="宋体" w:eastAsia="宋体" w:cs="宋体"/>
                <w:sz w:val="24"/>
                <w:szCs w:val="24"/>
              </w:rPr>
            </w:pPr>
            <w:r>
              <w:rPr>
                <w:rFonts w:hint="eastAsia" w:cs="宋体"/>
                <w:kern w:val="2"/>
                <w:sz w:val="24"/>
                <w:szCs w:val="24"/>
                <w:highlight w:val="none"/>
                <w:lang w:val="en-US" w:eastAsia="zh-CN" w:bidi="ar-SA"/>
              </w:rPr>
              <w:t>5996</w:t>
            </w:r>
            <w:r>
              <w:rPr>
                <w:rFonts w:hint="eastAsia" w:ascii="宋体" w:hAnsi="宋体" w:eastAsia="宋体" w:cs="宋体"/>
                <w:kern w:val="2"/>
                <w:sz w:val="24"/>
                <w:szCs w:val="24"/>
                <w:highlight w:val="none"/>
                <w:lang w:val="en-US" w:eastAsia="zh-CN" w:bidi="ar-SA"/>
              </w:rPr>
              <w:t>00.00</w:t>
            </w:r>
          </w:p>
        </w:tc>
      </w:tr>
    </w:tbl>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本合同包不接受联合体投标</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合同履行期限：自合同签订后到该项目服务期结束（具体服务起止日期可随合同签订时间相应顺延）</w:t>
      </w:r>
    </w:p>
    <w:p>
      <w:pPr>
        <w:bidi w:val="0"/>
        <w:spacing w:line="360" w:lineRule="auto"/>
        <w:rPr>
          <w:rFonts w:hint="eastAsia"/>
          <w:b/>
          <w:bCs/>
          <w:sz w:val="24"/>
          <w:szCs w:val="24"/>
          <w:lang w:val="en-US" w:eastAsia="zh-CN"/>
        </w:rPr>
      </w:pPr>
      <w:r>
        <w:rPr>
          <w:rFonts w:hint="eastAsia"/>
          <w:b/>
          <w:bCs/>
          <w:sz w:val="24"/>
          <w:szCs w:val="24"/>
          <w:lang w:val="en-US" w:eastAsia="zh-CN"/>
        </w:rPr>
        <w:t>二、申请人的资格要求：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1.满足《中华人民共和国政府采购法》第二十二条规定;</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2.落实政府采购政策需满足的资格要求：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合同包1(</w:t>
      </w:r>
      <w:r>
        <w:rPr>
          <w:rFonts w:hint="eastAsia" w:cs="宋体"/>
          <w:kern w:val="2"/>
          <w:sz w:val="24"/>
          <w:szCs w:val="24"/>
          <w:lang w:val="en-US" w:eastAsia="zh-CN" w:bidi="ar-SA"/>
        </w:rPr>
        <w:t>高压氢气泄漏扩散实验箱采购项目</w:t>
      </w:r>
      <w:r>
        <w:rPr>
          <w:rFonts w:hint="eastAsia" w:ascii="宋体" w:hAnsi="宋体" w:eastAsia="宋体" w:cs="宋体"/>
          <w:kern w:val="2"/>
          <w:sz w:val="24"/>
          <w:szCs w:val="24"/>
          <w:lang w:val="en-US" w:eastAsia="zh-CN" w:bidi="ar-SA"/>
        </w:rPr>
        <w:t>)落实政府采购政策需满足的资格要求如下:</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（1）《政府采购促进中小企业发展管理办法》（财库〔2020〕46号）； </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（2）《财政部 司法部关于政府采购支持监狱企业发展有关问题的通知》（财库〔2014〕68号）；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（3）《国务院办公厅关于建立政府强制采购节能产品制度的通知》（国办发〔2007〕51号）；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（4）《节能产品政府采购实施意见》（财库〔2004〕185号）；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（5）《环境标志产品政府采购实施的意见》（财库〔2006〕90号）；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（6）《三部门联合发布关于促进残疾人就业政府采购政策的通知》（财库〔2017〕141号）。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（7）《财政部 发展改革委 生态环境部 市场监管总局关于调整优化节能产品、环境标志产品政府采购执行机制的通知》（财库〔2019〕9号）。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（8）《财政部 农业农村部 国家乡村振兴局关于运用政府采购政策支持乡村产业振兴的通知》 （财库〔2021〕19号）；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（9）陕西省财政厅关于印发《陕西省中小企业政府采购信用融资办法》（陕财办采〔2018〕23号）。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3.本项目的特定资格要求：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合同包1(</w:t>
      </w:r>
      <w:r>
        <w:rPr>
          <w:rFonts w:hint="eastAsia" w:cs="宋体"/>
          <w:kern w:val="2"/>
          <w:sz w:val="24"/>
          <w:szCs w:val="24"/>
          <w:lang w:val="en-US" w:eastAsia="zh-CN" w:bidi="ar-SA"/>
        </w:rPr>
        <w:t>高压氢气泄漏扩散实验箱采购项目</w:t>
      </w:r>
      <w:r>
        <w:rPr>
          <w:rFonts w:hint="eastAsia" w:ascii="宋体" w:hAnsi="宋体" w:eastAsia="宋体" w:cs="宋体"/>
          <w:kern w:val="2"/>
          <w:sz w:val="24"/>
          <w:szCs w:val="24"/>
          <w:lang w:val="en-US" w:eastAsia="zh-CN" w:bidi="ar-SA"/>
        </w:rPr>
        <w:t>)特定资格要求如下:</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（2）财务状况证明：供应商提供2021年度经审计完整的财务审计报告（成立时间至提交</w:t>
      </w:r>
      <w:r>
        <w:rPr>
          <w:rFonts w:hint="eastAsia" w:ascii="宋体" w:hAnsi="宋体" w:cs="宋体"/>
          <w:sz w:val="24"/>
          <w:szCs w:val="24"/>
          <w:lang w:eastAsia="zh-CN"/>
        </w:rPr>
        <w:t xml:space="preserve">投标文件 </w:t>
      </w:r>
      <w:r>
        <w:rPr>
          <w:rFonts w:hint="eastAsia" w:ascii="宋体" w:hAnsi="宋体" w:cs="宋体"/>
          <w:sz w:val="24"/>
          <w:szCs w:val="24"/>
        </w:rPr>
        <w:t>截止时间不足一年的可提供成立后任意时段的资产负债表），或其开标前三个月内银行出具的资信证明，或财政部门认可的政府采购专业担保机构出具的</w:t>
      </w:r>
      <w:r>
        <w:rPr>
          <w:rFonts w:hint="eastAsia" w:ascii="宋体" w:hAnsi="宋体" w:cs="宋体"/>
          <w:sz w:val="24"/>
          <w:szCs w:val="24"/>
          <w:lang w:eastAsia="zh-CN"/>
        </w:rPr>
        <w:t>投标担保函</w:t>
      </w:r>
      <w:r>
        <w:rPr>
          <w:rFonts w:hint="eastAsia" w:ascii="宋体" w:hAnsi="宋体" w:cs="宋体"/>
          <w:sz w:val="24"/>
          <w:szCs w:val="24"/>
        </w:rPr>
        <w:t>；</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（3）具有履行合同所必需的设备和专业技术能力的书面声明；</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（4）税收缴纳证明：提供 2022年1月以来至少一个月的纳税证明或完税证明，依法免税的单位应提供相关证明材料；</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（5）社会保障资金缴纳证明：提供 2022年1月以来至少一个月的社会保障资金缴存单据或社保机构开具的社会保险参保缴费情况证明。依法不需要缴纳社会保障资金的供应商应提供相关文件证明；</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（6）参加政府采购活动前 3 年内在经营活动中没有重大违法记录的书面声明；</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（7）非法定代表人参加</w:t>
      </w:r>
      <w:r>
        <w:rPr>
          <w:rFonts w:hint="eastAsia" w:ascii="宋体" w:hAnsi="宋体" w:cs="宋体"/>
          <w:sz w:val="24"/>
          <w:szCs w:val="24"/>
          <w:lang w:eastAsia="zh-CN"/>
        </w:rPr>
        <w:t>投标</w:t>
      </w:r>
      <w:r>
        <w:rPr>
          <w:rFonts w:hint="eastAsia" w:ascii="宋体" w:hAnsi="宋体" w:cs="宋体"/>
          <w:sz w:val="24"/>
          <w:szCs w:val="24"/>
        </w:rPr>
        <w:t>的，须提供法定代表人委托授权书、被授权人提交</w:t>
      </w:r>
      <w:r>
        <w:rPr>
          <w:rFonts w:hint="eastAsia" w:ascii="宋体" w:hAnsi="宋体" w:cs="宋体"/>
          <w:sz w:val="24"/>
          <w:szCs w:val="24"/>
          <w:lang w:eastAsia="zh-CN"/>
        </w:rPr>
        <w:t xml:space="preserve">投标文件 </w:t>
      </w:r>
      <w:r>
        <w:rPr>
          <w:rFonts w:hint="eastAsia" w:ascii="宋体" w:hAnsi="宋体" w:cs="宋体"/>
          <w:sz w:val="24"/>
          <w:szCs w:val="24"/>
        </w:rPr>
        <w:t>截止时间前两年内任意一个月的社会保障资金（养老保险或医疗保险）的缴纳证明或有效期内的劳动合同及被授权人身份证，法定代表人参加</w:t>
      </w:r>
      <w:r>
        <w:rPr>
          <w:rFonts w:hint="eastAsia" w:ascii="宋体" w:hAnsi="宋体" w:cs="宋体"/>
          <w:sz w:val="24"/>
          <w:szCs w:val="24"/>
          <w:lang w:eastAsia="zh-CN"/>
        </w:rPr>
        <w:t>投标</w:t>
      </w:r>
      <w:r>
        <w:rPr>
          <w:rFonts w:hint="eastAsia" w:ascii="宋体" w:hAnsi="宋体" w:cs="宋体"/>
          <w:sz w:val="24"/>
          <w:szCs w:val="24"/>
        </w:rPr>
        <w:t>时,只须提供法定代表人身份证；</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（8）本项目为专门面向中小企业采购项目，供应商应出具中小企业声明函；</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cs="宋体"/>
          <w:sz w:val="24"/>
          <w:szCs w:val="24"/>
        </w:rPr>
        <w:t>（9）本项目不接受联合体。</w:t>
      </w:r>
    </w:p>
    <w:p>
      <w:pPr>
        <w:bidi w:val="0"/>
        <w:spacing w:line="360" w:lineRule="auto"/>
        <w:rPr>
          <w:rFonts w:hint="eastAsia"/>
          <w:b/>
          <w:bCs/>
          <w:sz w:val="24"/>
          <w:szCs w:val="24"/>
        </w:rPr>
      </w:pPr>
      <w:r>
        <w:rPr>
          <w:rFonts w:hint="eastAsia"/>
          <w:b/>
          <w:bCs/>
          <w:sz w:val="24"/>
          <w:szCs w:val="24"/>
        </w:rPr>
        <w:t>三、获取招标文件</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时间：2022年</w:t>
      </w:r>
      <w:r>
        <w:rPr>
          <w:rFonts w:hint="eastAsia" w:cs="宋体"/>
          <w:kern w:val="2"/>
          <w:sz w:val="24"/>
          <w:szCs w:val="24"/>
          <w:lang w:val="en-US" w:eastAsia="zh-CN" w:bidi="ar-SA"/>
        </w:rPr>
        <w:t>11</w:t>
      </w:r>
      <w:r>
        <w:rPr>
          <w:rFonts w:hint="eastAsia" w:ascii="宋体" w:hAnsi="宋体" w:eastAsia="宋体" w:cs="宋体"/>
          <w:kern w:val="2"/>
          <w:sz w:val="24"/>
          <w:szCs w:val="24"/>
          <w:lang w:val="en-US" w:eastAsia="zh-CN" w:bidi="ar-SA"/>
        </w:rPr>
        <w:t>月</w:t>
      </w:r>
      <w:r>
        <w:rPr>
          <w:rFonts w:hint="eastAsia" w:cs="宋体"/>
          <w:kern w:val="2"/>
          <w:sz w:val="24"/>
          <w:szCs w:val="24"/>
          <w:lang w:val="en-US" w:eastAsia="zh-CN" w:bidi="ar-SA"/>
        </w:rPr>
        <w:t>_13</w:t>
      </w:r>
      <w:r>
        <w:rPr>
          <w:rFonts w:hint="eastAsia" w:ascii="宋体" w:hAnsi="宋体" w:eastAsia="宋体" w:cs="宋体"/>
          <w:kern w:val="2"/>
          <w:sz w:val="24"/>
          <w:szCs w:val="24"/>
          <w:lang w:val="en-US" w:eastAsia="zh-CN" w:bidi="ar-SA"/>
        </w:rPr>
        <w:t>日至2022年</w:t>
      </w:r>
      <w:r>
        <w:rPr>
          <w:rFonts w:hint="eastAsia" w:cs="宋体"/>
          <w:kern w:val="2"/>
          <w:sz w:val="24"/>
          <w:szCs w:val="24"/>
          <w:lang w:val="en-US" w:eastAsia="zh-CN" w:bidi="ar-SA"/>
        </w:rPr>
        <w:t>11</w:t>
      </w:r>
      <w:r>
        <w:rPr>
          <w:rFonts w:hint="eastAsia" w:ascii="宋体" w:hAnsi="宋体" w:eastAsia="宋体" w:cs="宋体"/>
          <w:kern w:val="2"/>
          <w:sz w:val="24"/>
          <w:szCs w:val="24"/>
          <w:lang w:val="en-US" w:eastAsia="zh-CN" w:bidi="ar-SA"/>
        </w:rPr>
        <w:t>月</w:t>
      </w:r>
      <w:r>
        <w:rPr>
          <w:rFonts w:hint="eastAsia" w:cs="宋体"/>
          <w:kern w:val="2"/>
          <w:sz w:val="24"/>
          <w:szCs w:val="24"/>
          <w:lang w:val="en-US" w:eastAsia="zh-CN" w:bidi="ar-SA"/>
        </w:rPr>
        <w:t>_18_</w:t>
      </w:r>
      <w:r>
        <w:rPr>
          <w:rFonts w:hint="eastAsia" w:ascii="宋体" w:hAnsi="宋体" w:eastAsia="宋体" w:cs="宋体"/>
          <w:kern w:val="2"/>
          <w:sz w:val="24"/>
          <w:szCs w:val="24"/>
          <w:lang w:val="en-US" w:eastAsia="zh-CN" w:bidi="ar-SA"/>
        </w:rPr>
        <w:t>日，每天上午09:00:00至12:00:00，下午13:30:00至17:00:00（北京时间,法定节假日除外）</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地点：西安市雁塔区科技路10号华奥大厦A座20层2002室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方式：现场获取</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售价：500元</w:t>
      </w:r>
    </w:p>
    <w:p>
      <w:pPr>
        <w:bidi w:val="0"/>
        <w:spacing w:line="360" w:lineRule="auto"/>
        <w:rPr>
          <w:rFonts w:hint="eastAsia"/>
          <w:b/>
          <w:bCs/>
          <w:sz w:val="24"/>
          <w:szCs w:val="24"/>
          <w:lang w:val="en-US" w:eastAsia="zh-CN"/>
        </w:rPr>
      </w:pPr>
      <w:r>
        <w:rPr>
          <w:rFonts w:hint="eastAsia"/>
          <w:b/>
          <w:bCs/>
          <w:sz w:val="24"/>
          <w:szCs w:val="24"/>
          <w:lang w:val="en-US" w:eastAsia="zh-CN"/>
        </w:rPr>
        <w:t>四、提交投标文件截止时间、开标时间和地点</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2022年</w:t>
      </w:r>
      <w:r>
        <w:rPr>
          <w:rFonts w:hint="eastAsia" w:cs="宋体"/>
          <w:kern w:val="2"/>
          <w:sz w:val="24"/>
          <w:szCs w:val="24"/>
          <w:lang w:val="en-US" w:eastAsia="zh-CN" w:bidi="ar-SA"/>
        </w:rPr>
        <w:t>12</w:t>
      </w:r>
      <w:r>
        <w:rPr>
          <w:rFonts w:hint="eastAsia" w:ascii="宋体" w:hAnsi="宋体" w:eastAsia="宋体" w:cs="宋体"/>
          <w:kern w:val="2"/>
          <w:sz w:val="24"/>
          <w:szCs w:val="24"/>
          <w:lang w:val="en-US" w:eastAsia="zh-CN" w:bidi="ar-SA"/>
        </w:rPr>
        <w:t>月</w:t>
      </w:r>
      <w:r>
        <w:rPr>
          <w:rFonts w:hint="eastAsia" w:cs="宋体"/>
          <w:kern w:val="2"/>
          <w:sz w:val="24"/>
          <w:szCs w:val="24"/>
          <w:lang w:val="en-US" w:eastAsia="zh-CN" w:bidi="ar-SA"/>
        </w:rPr>
        <w:t>_04_</w:t>
      </w:r>
      <w:r>
        <w:rPr>
          <w:rFonts w:hint="eastAsia" w:ascii="宋体" w:hAnsi="宋体" w:eastAsia="宋体" w:cs="宋体"/>
          <w:kern w:val="2"/>
          <w:sz w:val="24"/>
          <w:szCs w:val="24"/>
          <w:lang w:val="en-US" w:eastAsia="zh-CN" w:bidi="ar-SA"/>
        </w:rPr>
        <w:t xml:space="preserve">日 </w:t>
      </w:r>
      <w:r>
        <w:rPr>
          <w:rFonts w:hint="eastAsia" w:cs="宋体"/>
          <w:kern w:val="2"/>
          <w:sz w:val="24"/>
          <w:szCs w:val="24"/>
          <w:lang w:val="en-US" w:eastAsia="zh-CN" w:bidi="ar-SA"/>
        </w:rPr>
        <w:t>14</w:t>
      </w:r>
      <w:r>
        <w:rPr>
          <w:rFonts w:hint="eastAsia" w:ascii="宋体" w:hAnsi="宋体" w:eastAsia="宋体" w:cs="宋体"/>
          <w:kern w:val="2"/>
          <w:sz w:val="24"/>
          <w:szCs w:val="24"/>
          <w:lang w:val="en-US" w:eastAsia="zh-CN" w:bidi="ar-SA"/>
        </w:rPr>
        <w:t>时30分00秒（北京时间）</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提交投标文件地点：西安市雁塔区科技路10号华奥大厦A座20层2002室开标室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开标地点：西安市雁塔区科技路10号华奥大厦A座20层2002室开标室</w:t>
      </w:r>
    </w:p>
    <w:p>
      <w:pPr>
        <w:bidi w:val="0"/>
        <w:spacing w:line="360" w:lineRule="auto"/>
        <w:rPr>
          <w:rFonts w:hint="eastAsia"/>
          <w:b/>
          <w:bCs/>
          <w:sz w:val="24"/>
          <w:szCs w:val="24"/>
          <w:lang w:val="en-US" w:eastAsia="zh-CN"/>
        </w:rPr>
      </w:pPr>
      <w:r>
        <w:rPr>
          <w:rFonts w:hint="eastAsia"/>
          <w:b/>
          <w:bCs/>
          <w:sz w:val="24"/>
          <w:szCs w:val="24"/>
          <w:lang w:val="en-US" w:eastAsia="zh-CN"/>
        </w:rPr>
        <w:t>五、公告期限</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自本公告发布之日起5个工作日。</w:t>
      </w:r>
    </w:p>
    <w:p>
      <w:pPr>
        <w:bidi w:val="0"/>
        <w:spacing w:line="360" w:lineRule="auto"/>
        <w:rPr>
          <w:rFonts w:hint="eastAsia"/>
          <w:b/>
          <w:bCs/>
          <w:sz w:val="24"/>
          <w:szCs w:val="24"/>
          <w:lang w:val="en-US" w:eastAsia="zh-CN"/>
        </w:rPr>
      </w:pPr>
      <w:r>
        <w:rPr>
          <w:rFonts w:hint="eastAsia"/>
          <w:b/>
          <w:bCs/>
          <w:sz w:val="24"/>
          <w:szCs w:val="24"/>
          <w:lang w:val="en-US" w:eastAsia="zh-CN"/>
        </w:rPr>
        <w:t>六、其他补充事宜</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kern w:val="2"/>
          <w:sz w:val="24"/>
          <w:szCs w:val="24"/>
          <w:lang w:val="en-US" w:eastAsia="zh-CN" w:bidi="ar-SA"/>
        </w:rPr>
        <w:t>1）时间：上午09:00--12:00，下午13:30--17:00（工 作 日），现场购买招标文件时请携带单位介绍信原件、身份证原件及复印件加盖公章，售后不退，谢绝邮递。（2）在采购文件获取时间内通过电子邮箱发送电子版报名资料的方式获取采购文件，供应商出具的对领取人的授权委托书或介绍信以及领取人的身份证，加盖公章后以扫描件形式发送至shanxizhuoming_zb@163.com邮箱（邮件标题命名格式为“供应商名称+联系人+联系电话+项目名称”，标书费现金或银行转账支付）。招标文件将通过邮箱发送，无须现场购买。（3）请供应商按照陕西省财政厅关于政府采购供应商注册登记有关事项的通知中的要求，通过陕西省政府采购网（http://www.ccgp-shaanxi.gov.cn/）注册登记加入陕西省政府采购供应商库。</w:t>
      </w:r>
    </w:p>
    <w:p>
      <w:pPr>
        <w:bidi w:val="0"/>
        <w:spacing w:line="360" w:lineRule="auto"/>
        <w:rPr>
          <w:rFonts w:hint="eastAsia"/>
          <w:b/>
          <w:bCs/>
          <w:sz w:val="24"/>
          <w:szCs w:val="24"/>
          <w:lang w:val="en-US" w:eastAsia="zh-CN"/>
        </w:rPr>
      </w:pPr>
      <w:r>
        <w:rPr>
          <w:rFonts w:hint="eastAsia"/>
          <w:b/>
          <w:bCs/>
          <w:sz w:val="24"/>
          <w:szCs w:val="24"/>
          <w:lang w:val="en-US" w:eastAsia="zh-CN"/>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jc w:val="left"/>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1.采购人信息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名称：</w:t>
      </w:r>
      <w:r>
        <w:rPr>
          <w:rFonts w:hint="eastAsia" w:cs="宋体"/>
          <w:b w:val="0"/>
          <w:bCs w:val="0"/>
          <w:kern w:val="2"/>
          <w:sz w:val="24"/>
          <w:szCs w:val="24"/>
          <w:lang w:val="en-US" w:eastAsia="zh-CN" w:bidi="ar-SA"/>
        </w:rPr>
        <w:t>西安科技大学</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地址：</w:t>
      </w:r>
      <w:r>
        <w:rPr>
          <w:rFonts w:hint="eastAsia" w:cs="宋体"/>
          <w:b w:val="0"/>
          <w:bCs w:val="0"/>
          <w:kern w:val="2"/>
          <w:sz w:val="24"/>
          <w:szCs w:val="24"/>
          <w:lang w:val="en-US" w:eastAsia="zh-CN" w:bidi="ar-SA"/>
        </w:rPr>
        <w:t>西安市雁塔路58号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联系方式：</w:t>
      </w:r>
      <w:r>
        <w:rPr>
          <w:rFonts w:hint="eastAsia" w:ascii="宋体" w:hAnsi="宋体" w:cs="宋体"/>
          <w:sz w:val="24"/>
          <w:szCs w:val="24"/>
        </w:rPr>
        <w:t>王老师</w:t>
      </w:r>
      <w:r>
        <w:rPr>
          <w:rFonts w:hint="eastAsia" w:ascii="宋体" w:hAnsi="宋体" w:eastAsia="宋体" w:cs="宋体"/>
          <w:b w:val="0"/>
          <w:bCs w:val="0"/>
          <w:kern w:val="2"/>
          <w:sz w:val="24"/>
          <w:szCs w:val="24"/>
          <w:lang w:val="en-US" w:eastAsia="zh-CN" w:bidi="ar-SA"/>
        </w:rPr>
        <w:t xml:space="preserve"> </w:t>
      </w:r>
      <w:r>
        <w:rPr>
          <w:rFonts w:hint="eastAsia" w:ascii="宋体" w:hAnsi="宋体" w:cs="宋体"/>
          <w:sz w:val="24"/>
          <w:szCs w:val="24"/>
        </w:rPr>
        <w:t>029-83858191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jc w:val="left"/>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2.采购代理机构信息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名称：陕西卓佲项目管理有限公司</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地址：西安市雁塔区科技路10号华奥大厦A座20层2002室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联系方式：029-88440695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jc w:val="left"/>
        <w:textAlignment w:val="baseline"/>
        <w:rPr>
          <w:rFonts w:hint="eastAsia" w:ascii="宋体" w:hAnsi="宋体" w:eastAsia="宋体" w:cs="宋体"/>
          <w:b w:val="0"/>
          <w:bCs w:val="0"/>
          <w:kern w:val="2"/>
          <w:sz w:val="24"/>
          <w:szCs w:val="24"/>
          <w:lang w:val="en-US" w:eastAsia="zh-CN" w:bidi="ar-SA"/>
        </w:rPr>
      </w:pPr>
      <w:bookmarkStart w:id="3" w:name="_Toc30089"/>
      <w:bookmarkStart w:id="4" w:name="_Toc438048787"/>
      <w:r>
        <w:rPr>
          <w:rFonts w:hint="eastAsia" w:ascii="宋体" w:hAnsi="宋体" w:eastAsia="宋体" w:cs="宋体"/>
          <w:b w:val="0"/>
          <w:bCs w:val="0"/>
          <w:kern w:val="2"/>
          <w:sz w:val="24"/>
          <w:szCs w:val="24"/>
          <w:lang w:val="en-US" w:eastAsia="zh-CN" w:bidi="ar-SA"/>
        </w:rPr>
        <w:t>3.项目联系方式</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项目联系人：米文佳 </w:t>
      </w:r>
      <w:r>
        <w:rPr>
          <w:rFonts w:hint="eastAsia" w:ascii="宋体" w:hAnsi="宋体" w:cs="宋体"/>
          <w:sz w:val="24"/>
          <w:szCs w:val="24"/>
        </w:rPr>
        <w:t xml:space="preserve">窦元隆  </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电话：029-88440695</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right"/>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陕西卓佲项目管理有限公司</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right"/>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2022年</w:t>
      </w:r>
      <w:r>
        <w:rPr>
          <w:rFonts w:hint="eastAsia" w:cs="宋体"/>
          <w:b w:val="0"/>
          <w:bCs w:val="0"/>
          <w:kern w:val="2"/>
          <w:sz w:val="24"/>
          <w:szCs w:val="24"/>
          <w:lang w:val="en-US" w:eastAsia="zh-CN" w:bidi="ar-SA"/>
        </w:rPr>
        <w:t>11</w:t>
      </w:r>
      <w:r>
        <w:rPr>
          <w:rFonts w:hint="eastAsia" w:ascii="宋体" w:hAnsi="宋体" w:eastAsia="宋体" w:cs="宋体"/>
          <w:b w:val="0"/>
          <w:bCs w:val="0"/>
          <w:kern w:val="2"/>
          <w:sz w:val="24"/>
          <w:szCs w:val="24"/>
          <w:lang w:val="en-US" w:eastAsia="zh-CN" w:bidi="ar-SA"/>
        </w:rPr>
        <w:t>月</w:t>
      </w:r>
      <w:r>
        <w:rPr>
          <w:rFonts w:hint="eastAsia" w:cs="宋体"/>
          <w:b w:val="0"/>
          <w:bCs w:val="0"/>
          <w:kern w:val="2"/>
          <w:sz w:val="24"/>
          <w:szCs w:val="24"/>
          <w:lang w:val="en-US" w:eastAsia="zh-CN" w:bidi="ar-SA"/>
        </w:rPr>
        <w:t>_13</w:t>
      </w:r>
      <w:r>
        <w:rPr>
          <w:rFonts w:hint="eastAsia" w:ascii="宋体" w:hAnsi="宋体" w:eastAsia="宋体" w:cs="宋体"/>
          <w:b w:val="0"/>
          <w:bCs w:val="0"/>
          <w:kern w:val="2"/>
          <w:sz w:val="24"/>
          <w:szCs w:val="24"/>
          <w:lang w:val="en-US" w:eastAsia="zh-CN" w:bidi="ar-SA"/>
        </w:rPr>
        <w:t>日</w:t>
      </w:r>
    </w:p>
    <w:p>
      <w:pPr>
        <w:bidi w:val="0"/>
      </w:pPr>
    </w:p>
    <w:p>
      <w:pPr>
        <w:pStyle w:val="3"/>
        <w:keepLines w:val="0"/>
        <w:ind w:firstLine="562" w:firstLineChars="175"/>
        <w:rPr>
          <w:rFonts w:ascii="宋体" w:hAnsi="宋体" w:cs="宋体"/>
        </w:rPr>
        <w:sectPr>
          <w:footerReference r:id="rId7" w:type="default"/>
          <w:pgSz w:w="11906" w:h="16838"/>
          <w:pgMar w:top="1440" w:right="1486" w:bottom="1440" w:left="1800" w:header="851" w:footer="992" w:gutter="0"/>
          <w:pgNumType w:fmt="decimal"/>
          <w:cols w:space="720" w:num="1"/>
          <w:docGrid w:type="lines" w:linePitch="312" w:charSpace="0"/>
        </w:sectPr>
      </w:pPr>
    </w:p>
    <w:p>
      <w:pPr>
        <w:pStyle w:val="3"/>
        <w:spacing w:before="312" w:beforeLines="100" w:after="156" w:afterLines="50" w:line="600" w:lineRule="exact"/>
        <w:rPr>
          <w:rFonts w:ascii="宋体" w:hAnsi="宋体" w:cs="宋体"/>
          <w:sz w:val="36"/>
          <w:szCs w:val="36"/>
        </w:rPr>
      </w:pPr>
      <w:bookmarkStart w:id="5" w:name="_Toc26134"/>
      <w:r>
        <w:rPr>
          <w:rFonts w:hint="eastAsia" w:ascii="宋体" w:hAnsi="宋体" w:cs="宋体"/>
          <w:sz w:val="36"/>
          <w:szCs w:val="36"/>
        </w:rPr>
        <w:t>第二部分  供应商须知前附表</w:t>
      </w:r>
      <w:bookmarkEnd w:id="3"/>
      <w:bookmarkEnd w:id="4"/>
      <w:bookmarkEnd w:id="5"/>
    </w:p>
    <w:tbl>
      <w:tblPr>
        <w:tblStyle w:val="31"/>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资格要求</w:t>
            </w:r>
          </w:p>
        </w:tc>
        <w:tc>
          <w:tcPr>
            <w:tcW w:w="7219" w:type="dxa"/>
          </w:tcPr>
          <w:p>
            <w:pPr>
              <w:numPr>
                <w:ilvl w:val="0"/>
                <w:numId w:val="2"/>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numPr>
                <w:ilvl w:val="0"/>
                <w:numId w:val="2"/>
              </w:numPr>
              <w:spacing w:line="360" w:lineRule="auto"/>
              <w:rPr>
                <w:rFonts w:ascii="宋体" w:hAnsi="宋体" w:cs="宋体"/>
                <w:sz w:val="24"/>
                <w:szCs w:val="24"/>
              </w:rPr>
            </w:pPr>
            <w:r>
              <w:rPr>
                <w:rFonts w:hint="eastAsia" w:ascii="宋体" w:hAnsi="宋体" w:cs="宋体"/>
                <w:sz w:val="24"/>
                <w:szCs w:val="24"/>
              </w:rPr>
              <w:t>特定资格条件：</w:t>
            </w:r>
          </w:p>
          <w:p>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（2）财务状况证明：供应商提供2021年度经审计完整的财务审计报告（成立时间至提交</w:t>
            </w:r>
            <w:r>
              <w:rPr>
                <w:rFonts w:hint="eastAsia" w:ascii="宋体" w:hAnsi="宋体" w:cs="宋体"/>
                <w:sz w:val="24"/>
                <w:szCs w:val="24"/>
                <w:lang w:eastAsia="zh-CN"/>
              </w:rPr>
              <w:t xml:space="preserve">投标文件 </w:t>
            </w:r>
            <w:r>
              <w:rPr>
                <w:rFonts w:hint="eastAsia" w:ascii="宋体" w:hAnsi="宋体" w:cs="宋体"/>
                <w:sz w:val="24"/>
                <w:szCs w:val="24"/>
              </w:rPr>
              <w:t>截止时间不足一年的可提供成立后任意时段的资产负债表），或其开标前三个月内银行出具的资信证明，或财政部门认可的政府采购专业担保机构出具的</w:t>
            </w:r>
            <w:r>
              <w:rPr>
                <w:rFonts w:hint="eastAsia" w:ascii="宋体" w:hAnsi="宋体" w:cs="宋体"/>
                <w:sz w:val="24"/>
                <w:szCs w:val="24"/>
                <w:lang w:eastAsia="zh-CN"/>
              </w:rPr>
              <w:t>投标担保函</w:t>
            </w:r>
            <w:r>
              <w:rPr>
                <w:rFonts w:hint="eastAsia" w:ascii="宋体" w:hAnsi="宋体" w:cs="宋体"/>
                <w:sz w:val="24"/>
                <w:szCs w:val="24"/>
              </w:rPr>
              <w:t>；</w:t>
            </w:r>
          </w:p>
          <w:p>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（3）具有履行合同所必需的设备和专业技术能力的书面声明；</w:t>
            </w:r>
          </w:p>
          <w:p>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（4）税收缴纳证明：提供 2022年1月以来至少一个月的纳税证明或完税证明，依法免税的单位应提供相关证明材料；</w:t>
            </w:r>
          </w:p>
          <w:p>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（5）社会保障资金缴纳证明：提供 2022年1月以来至少一个月的社会保障资金缴存单据或社保机构开具的社会保险参保缴费情况证明。依法不需要缴纳社会保障资金的供应商应提供相关文件证明；</w:t>
            </w:r>
          </w:p>
          <w:p>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（6）参加政府采购活动前 3 年内在经营活动中没有重大违法记录的书面声明；</w:t>
            </w:r>
          </w:p>
          <w:p>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（7）非法定代表人参加</w:t>
            </w:r>
            <w:r>
              <w:rPr>
                <w:rFonts w:hint="eastAsia" w:ascii="宋体" w:hAnsi="宋体" w:cs="宋体"/>
                <w:sz w:val="24"/>
                <w:szCs w:val="24"/>
                <w:lang w:eastAsia="zh-CN"/>
              </w:rPr>
              <w:t>投标</w:t>
            </w:r>
            <w:r>
              <w:rPr>
                <w:rFonts w:hint="eastAsia" w:ascii="宋体" w:hAnsi="宋体" w:cs="宋体"/>
                <w:sz w:val="24"/>
                <w:szCs w:val="24"/>
              </w:rPr>
              <w:t>的，须提供法定代表人委托授权书、被授权人提交</w:t>
            </w:r>
            <w:r>
              <w:rPr>
                <w:rFonts w:hint="eastAsia" w:ascii="宋体" w:hAnsi="宋体" w:cs="宋体"/>
                <w:sz w:val="24"/>
                <w:szCs w:val="24"/>
                <w:lang w:eastAsia="zh-CN"/>
              </w:rPr>
              <w:t xml:space="preserve">投标文件 </w:t>
            </w:r>
            <w:r>
              <w:rPr>
                <w:rFonts w:hint="eastAsia" w:ascii="宋体" w:hAnsi="宋体" w:cs="宋体"/>
                <w:sz w:val="24"/>
                <w:szCs w:val="24"/>
              </w:rPr>
              <w:t>截止时间前两年内任意一个月的社会保障资金（养老保险或医疗保险）的缴纳证明或有效期内的劳动合同及被授权人身份证，法定代表人参加</w:t>
            </w:r>
            <w:r>
              <w:rPr>
                <w:rFonts w:hint="eastAsia" w:ascii="宋体" w:hAnsi="宋体" w:cs="宋体"/>
                <w:sz w:val="24"/>
                <w:szCs w:val="24"/>
                <w:lang w:eastAsia="zh-CN"/>
              </w:rPr>
              <w:t>投标</w:t>
            </w:r>
            <w:r>
              <w:rPr>
                <w:rFonts w:hint="eastAsia" w:ascii="宋体" w:hAnsi="宋体" w:cs="宋体"/>
                <w:sz w:val="24"/>
                <w:szCs w:val="24"/>
              </w:rPr>
              <w:t>时,只须提供法定代表人身份证；</w:t>
            </w:r>
          </w:p>
          <w:p>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（8）本项目为专门面向中小企业采购项目，供应商应出具中小企业声明函；</w:t>
            </w:r>
          </w:p>
          <w:p>
            <w:pPr>
              <w:spacing w:line="360" w:lineRule="auto"/>
              <w:ind w:firstLine="480" w:firstLineChars="200"/>
              <w:jc w:val="lef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（9）本项目不接受联合体投标。</w:t>
            </w:r>
          </w:p>
          <w:p>
            <w:pPr>
              <w:spacing w:line="360" w:lineRule="auto"/>
              <w:ind w:firstLine="422" w:firstLineChars="175"/>
              <w:jc w:val="left"/>
              <w:rPr>
                <w:rFonts w:ascii="宋体" w:hAnsi="宋体" w:cs="宋体"/>
                <w:sz w:val="24"/>
                <w:szCs w:val="24"/>
              </w:rPr>
            </w:pPr>
            <w:r>
              <w:rPr>
                <w:rFonts w:hint="eastAsia" w:ascii="宋体" w:hAnsi="宋体" w:cs="宋体"/>
                <w:b/>
                <w:bCs/>
                <w:sz w:val="24"/>
                <w:szCs w:val="24"/>
              </w:rPr>
              <w:t>以上项为资格审查必备资质。投标文件的正本和全部副本必须附上述资格证明文件，缺少其中一项或某项达不到公开招标要求，其投标文件按无效文件处理。（开标现场携带相关原件及供应商代表身份证备查）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符合性审查</w:t>
            </w:r>
          </w:p>
        </w:tc>
        <w:tc>
          <w:tcPr>
            <w:tcW w:w="7219" w:type="dxa"/>
          </w:tcPr>
          <w:p>
            <w:pPr>
              <w:pStyle w:val="16"/>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有下列情形之一的，应在符合性审查时按照无效投标处理。</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 xml:space="preserve">投标报价超过采购预算或者最高限价； </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交货期不满足招标文件要求</w:t>
            </w:r>
            <w:r>
              <w:rPr>
                <w:rFonts w:hint="eastAsia" w:ascii="宋体" w:hAnsi="宋体" w:cs="宋体"/>
                <w:sz w:val="24"/>
                <w:szCs w:val="24"/>
                <w:lang w:eastAsia="zh-CN"/>
              </w:rPr>
              <w:t>；</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质保期不满足招标文件要求；</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）投标文件的数量、签署、盖章、装订不符合招标文件要求；</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）投标文件无投标有效期或有效期达不到招标文件要求的；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）供应商未按照招标文件要求缴纳投标保证金或投标保证金缴纳金额少于招标文件要求的；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）供应商针对同一项目递交两份或多份内容不同的投标文件，未书面声明哪一份是有效的或出现选择性报价的；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）投标文件的标的或数量不满足采购要求的；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）“★”符号标明的条款为实质性要求和条件，投标文件对其中任何一条的负偏离，为实质性偏离，其投标无效；</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）投标文件含有采购人不能接受的附加条件的；</w:t>
            </w:r>
          </w:p>
          <w:p>
            <w:pPr>
              <w:spacing w:line="360" w:lineRule="auto"/>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1</w:t>
            </w:r>
            <w:r>
              <w:rPr>
                <w:rFonts w:hint="eastAsia" w:ascii="宋体" w:hAnsi="宋体" w:cs="宋体"/>
                <w:b/>
                <w:bCs/>
                <w:sz w:val="24"/>
                <w:szCs w:val="24"/>
              </w:rPr>
              <w:t>）</w:t>
            </w:r>
            <w:r>
              <w:rPr>
                <w:rFonts w:ascii="宋体" w:hAnsi="宋体" w:cs="宋体"/>
                <w:b/>
                <w:bCs/>
                <w:sz w:val="24"/>
                <w:szCs w:val="24"/>
              </w:rPr>
              <w:t>供应商</w:t>
            </w:r>
            <w:r>
              <w:rPr>
                <w:rFonts w:hint="eastAsia" w:ascii="宋体" w:hAnsi="宋体" w:cs="宋体"/>
                <w:b/>
                <w:bCs/>
                <w:sz w:val="24"/>
                <w:szCs w:val="24"/>
              </w:rPr>
              <w:t>提供赠品、回扣或者与采购无关的其他商品、服务（不包括采购项目本身所包括涉及的采购事项，</w:t>
            </w:r>
            <w:r>
              <w:rPr>
                <w:rFonts w:ascii="宋体" w:hAnsi="宋体" w:cs="宋体"/>
                <w:b/>
                <w:bCs/>
                <w:sz w:val="24"/>
                <w:szCs w:val="24"/>
              </w:rPr>
              <w:t>供应商</w:t>
            </w:r>
            <w:r>
              <w:rPr>
                <w:rFonts w:hint="eastAsia" w:ascii="宋体" w:hAnsi="宋体" w:cs="宋体"/>
                <w:b/>
                <w:bCs/>
                <w:sz w:val="24"/>
                <w:szCs w:val="24"/>
              </w:rPr>
              <w:t>不能以“赠送、赠予”等任何名义提供货物和服务以规避招标文件的约束）。否则，供应商的投标行为将作为以不正当手段排挤其他供应商认定；</w:t>
            </w:r>
          </w:p>
          <w:p>
            <w:pPr>
              <w:spacing w:line="360" w:lineRule="auto"/>
              <w:rPr>
                <w:rFonts w:ascii="宋体" w:hAnsi="宋体" w:cs="宋体"/>
                <w:b/>
                <w:bCs/>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）法律、法规和招标文件规定的其他无效情形。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商务条款</w:t>
            </w:r>
          </w:p>
        </w:tc>
        <w:tc>
          <w:tcPr>
            <w:tcW w:w="7219" w:type="dxa"/>
          </w:tcPr>
          <w:p>
            <w:pPr>
              <w:spacing w:line="360" w:lineRule="auto"/>
              <w:jc w:val="left"/>
              <w:rPr>
                <w:rFonts w:hint="eastAsia" w:ascii="宋体" w:hAnsi="宋体" w:cs="宋体"/>
                <w:sz w:val="24"/>
                <w:szCs w:val="24"/>
              </w:rPr>
            </w:pPr>
            <w:r>
              <w:rPr>
                <w:rFonts w:hint="eastAsia" w:ascii="宋体" w:hAnsi="宋体" w:cs="宋体"/>
                <w:sz w:val="24"/>
                <w:szCs w:val="24"/>
              </w:rPr>
              <w:t>★1.交货期：签订合同后</w:t>
            </w:r>
            <w:r>
              <w:rPr>
                <w:rFonts w:hint="eastAsia" w:ascii="宋体" w:hAnsi="宋体" w:cs="宋体"/>
                <w:sz w:val="24"/>
                <w:szCs w:val="24"/>
                <w:lang w:val="en-US" w:eastAsia="zh-CN"/>
              </w:rPr>
              <w:t>90</w:t>
            </w:r>
            <w:r>
              <w:rPr>
                <w:rFonts w:hint="eastAsia" w:ascii="宋体" w:hAnsi="宋体" w:cs="宋体"/>
                <w:sz w:val="24"/>
                <w:szCs w:val="24"/>
              </w:rPr>
              <w:t xml:space="preserve">日历日完成验收 </w:t>
            </w:r>
          </w:p>
          <w:p>
            <w:pPr>
              <w:spacing w:line="360" w:lineRule="auto"/>
              <w:jc w:val="left"/>
              <w:rPr>
                <w:rFonts w:hint="eastAsia" w:ascii="宋体" w:hAnsi="宋体" w:cs="宋体"/>
                <w:sz w:val="24"/>
                <w:szCs w:val="24"/>
              </w:rPr>
            </w:pPr>
            <w:r>
              <w:rPr>
                <w:rFonts w:hint="eastAsia" w:ascii="宋体" w:hAnsi="宋体" w:cs="宋体"/>
                <w:sz w:val="24"/>
                <w:szCs w:val="24"/>
              </w:rPr>
              <w:t xml:space="preserve">★2.交货具体地点：西安科技大学雁塔校区通信楼一楼实验室 </w:t>
            </w:r>
          </w:p>
          <w:p>
            <w:pPr>
              <w:spacing w:line="360" w:lineRule="auto"/>
              <w:jc w:val="left"/>
              <w:rPr>
                <w:rFonts w:hint="eastAsia" w:ascii="宋体" w:hAnsi="宋体" w:cs="宋体"/>
                <w:sz w:val="24"/>
                <w:szCs w:val="24"/>
              </w:rPr>
            </w:pPr>
            <w:r>
              <w:rPr>
                <w:rFonts w:hint="eastAsia" w:ascii="宋体" w:hAnsi="宋体" w:cs="宋体"/>
                <w:sz w:val="24"/>
                <w:szCs w:val="24"/>
              </w:rPr>
              <w:t>★3.项目质保期：验收合格后3年</w:t>
            </w:r>
          </w:p>
          <w:p>
            <w:pPr>
              <w:spacing w:line="360" w:lineRule="auto"/>
              <w:jc w:val="left"/>
              <w:rPr>
                <w:rFonts w:hint="eastAsia" w:ascii="宋体" w:hAnsi="宋体" w:cs="宋体"/>
                <w:sz w:val="24"/>
                <w:szCs w:val="24"/>
              </w:rPr>
            </w:pPr>
            <w:r>
              <w:rPr>
                <w:rFonts w:hint="eastAsia" w:ascii="宋体" w:hAnsi="宋体" w:cs="宋体"/>
                <w:sz w:val="24"/>
                <w:szCs w:val="24"/>
              </w:rPr>
              <w:t>★4.售后服务响应时间（质保期内）：即时响应（包括电话响应）；电话响应无法解决48小时内到达现场。修复时间 24  小时内解决；如在 24  小时内无法修复，则提供部件冗余服务或采取应急措施，提供相同产品或不低于故障产品规格档次的备用产品供采购人使用，以确保货物的正常使用。</w:t>
            </w:r>
          </w:p>
          <w:p>
            <w:pPr>
              <w:spacing w:line="360" w:lineRule="auto"/>
              <w:jc w:val="left"/>
              <w:rPr>
                <w:rFonts w:hint="eastAsia" w:ascii="宋体" w:hAnsi="宋体" w:cs="宋体"/>
                <w:sz w:val="24"/>
                <w:szCs w:val="24"/>
              </w:rPr>
            </w:pPr>
            <w:r>
              <w:rPr>
                <w:rFonts w:hint="eastAsia" w:ascii="宋体" w:hAnsi="宋体" w:cs="宋体"/>
                <w:sz w:val="24"/>
                <w:szCs w:val="24"/>
              </w:rPr>
              <w:t>★5、付款方式：</w:t>
            </w:r>
          </w:p>
          <w:p>
            <w:pPr>
              <w:spacing w:line="360" w:lineRule="auto"/>
              <w:jc w:val="left"/>
              <w:rPr>
                <w:rFonts w:hint="eastAsia" w:ascii="宋体" w:hAnsi="宋体" w:cs="宋体"/>
                <w:sz w:val="24"/>
                <w:szCs w:val="24"/>
              </w:rPr>
            </w:pPr>
            <w:r>
              <w:rPr>
                <w:rFonts w:hint="eastAsia" w:ascii="宋体" w:hAnsi="宋体" w:cs="宋体"/>
                <w:sz w:val="24"/>
                <w:szCs w:val="24"/>
              </w:rPr>
              <w:t>★5.1.结算单位：采购人结算，在付款前必须开具全额增值税发票给采购人。</w:t>
            </w:r>
          </w:p>
          <w:p>
            <w:pPr>
              <w:spacing w:line="360" w:lineRule="auto"/>
              <w:jc w:val="left"/>
              <w:rPr>
                <w:rFonts w:hint="eastAsia" w:ascii="宋体" w:hAnsi="宋体" w:cs="宋体"/>
                <w:sz w:val="24"/>
                <w:szCs w:val="24"/>
              </w:rPr>
            </w:pPr>
            <w:r>
              <w:rPr>
                <w:rFonts w:hint="eastAsia" w:ascii="宋体" w:hAnsi="宋体" w:cs="宋体"/>
                <w:sz w:val="24"/>
                <w:szCs w:val="24"/>
              </w:rPr>
              <w:t>★5.2.进口产品付款方式：签订合同前向学校缴纳5%的履约保证金，由采购人委托外贸进出口公司开出100%不可撤销信用证，外贸进出口公司凭装运单据支付90%货款，产品安装调试完毕后，凭学校验收报告支付10%余款。缴纳的5%履约保证金无质量问题一次性无息退还。</w:t>
            </w:r>
          </w:p>
          <w:p>
            <w:pPr>
              <w:spacing w:line="360" w:lineRule="auto"/>
              <w:jc w:val="left"/>
              <w:rPr>
                <w:rFonts w:hint="eastAsia" w:ascii="宋体" w:hAnsi="宋体" w:cs="宋体"/>
                <w:sz w:val="24"/>
                <w:szCs w:val="24"/>
              </w:rPr>
            </w:pPr>
            <w:r>
              <w:rPr>
                <w:rFonts w:hint="eastAsia" w:ascii="宋体" w:hAnsi="宋体" w:cs="宋体"/>
                <w:sz w:val="24"/>
                <w:szCs w:val="24"/>
              </w:rPr>
              <w:t>★5.3.国产产品付款方式：</w:t>
            </w:r>
          </w:p>
          <w:p>
            <w:pPr>
              <w:spacing w:line="360" w:lineRule="auto"/>
              <w:jc w:val="left"/>
              <w:rPr>
                <w:rFonts w:hint="eastAsia" w:ascii="宋体" w:hAnsi="宋体" w:cs="宋体"/>
                <w:sz w:val="24"/>
                <w:szCs w:val="24"/>
              </w:rPr>
            </w:pPr>
            <w:r>
              <w:rPr>
                <w:rFonts w:hint="eastAsia" w:ascii="宋体" w:hAnsi="宋体" w:cs="宋体"/>
                <w:sz w:val="24"/>
                <w:szCs w:val="24"/>
              </w:rPr>
              <w:t xml:space="preserve">（1）非中小企业中标付款方式：签订合同前向学校缴纳5%的履约保证金，国内产品安装调试经学校验收合格后一次性支付全款，同时缴纳的5%履约保证金无质量问题一次性无息退还。 </w:t>
            </w:r>
          </w:p>
          <w:p>
            <w:pPr>
              <w:spacing w:line="360" w:lineRule="auto"/>
              <w:jc w:val="left"/>
              <w:rPr>
                <w:rFonts w:hint="eastAsia" w:ascii="宋体" w:hAnsi="宋体" w:cs="宋体"/>
                <w:sz w:val="24"/>
                <w:szCs w:val="24"/>
              </w:rPr>
            </w:pPr>
            <w:r>
              <w:rPr>
                <w:rFonts w:hint="eastAsia" w:ascii="宋体" w:hAnsi="宋体" w:cs="宋体"/>
                <w:sz w:val="24"/>
                <w:szCs w:val="24"/>
              </w:rPr>
              <w:t>（2）中小企业中标付款方式：签订合同前向学校缴纳5%的履约保证金，合同签订后采购人支付40%合同金额的预付款。国内产品安装调试经学校验收合格后一次性支付60%合同金额的余款，同时缴纳的5%履约保证金无质量问题一次性无息退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hint="eastAsia" w:ascii="宋体" w:hAnsi="宋体" w:cs="宋体"/>
                <w:b/>
                <w:bCs/>
                <w:sz w:val="24"/>
                <w:szCs w:val="24"/>
              </w:rPr>
              <w:t>注：商务条款为实质性响应条款，不允许负偏离。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投标保证金</w:t>
            </w:r>
          </w:p>
          <w:p>
            <w:pPr>
              <w:spacing w:line="360" w:lineRule="auto"/>
              <w:jc w:val="center"/>
              <w:rPr>
                <w:rFonts w:ascii="宋体" w:hAnsi="宋体" w:cs="宋体"/>
                <w:sz w:val="24"/>
                <w:szCs w:val="24"/>
              </w:rPr>
            </w:pPr>
            <w:r>
              <w:rPr>
                <w:rFonts w:hint="eastAsia" w:ascii="宋体" w:hAnsi="宋体" w:cs="宋体"/>
                <w:sz w:val="24"/>
                <w:szCs w:val="24"/>
              </w:rPr>
              <w:t>缴纳</w:t>
            </w:r>
          </w:p>
        </w:tc>
        <w:tc>
          <w:tcPr>
            <w:tcW w:w="7219" w:type="dxa"/>
          </w:tcPr>
          <w:p>
            <w:pPr>
              <w:pStyle w:val="9"/>
              <w:numPr>
                <w:ilvl w:val="0"/>
                <w:numId w:val="0"/>
              </w:numPr>
              <w:spacing w:line="360" w:lineRule="auto"/>
              <w:jc w:val="left"/>
              <w:rPr>
                <w:rFonts w:hint="default" w:eastAsia="宋体"/>
                <w:highlight w:val="none"/>
                <w:lang w:val="en-US" w:eastAsia="zh-CN"/>
              </w:rPr>
            </w:pP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保证金的缴纳：</w:t>
            </w:r>
            <w:r>
              <w:rPr>
                <w:rFonts w:hint="eastAsia" w:ascii="宋体" w:hAnsi="宋体" w:cs="宋体"/>
                <w:b/>
                <w:bCs/>
                <w:sz w:val="24"/>
                <w:szCs w:val="24"/>
                <w:highlight w:val="none"/>
                <w:lang w:eastAsia="zh-CN"/>
              </w:rPr>
              <w:t>人民币壹万元整（</w:t>
            </w:r>
            <w:r>
              <w:rPr>
                <w:rFonts w:hint="eastAsia" w:ascii="宋体" w:hAnsi="宋体" w:cs="宋体"/>
                <w:b/>
                <w:bCs/>
                <w:sz w:val="24"/>
                <w:szCs w:val="24"/>
                <w:highlight w:val="none"/>
                <w:lang w:val="en-US" w:eastAsia="zh-CN"/>
              </w:rPr>
              <w:t>10000.00元</w:t>
            </w:r>
            <w:r>
              <w:rPr>
                <w:rFonts w:hint="eastAsia" w:ascii="宋体" w:hAnsi="宋体" w:cs="宋体"/>
                <w:b/>
                <w:bCs/>
                <w:sz w:val="24"/>
                <w:szCs w:val="24"/>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ascii="宋体" w:hAnsi="宋体" w:cs="宋体"/>
                <w:sz w:val="24"/>
                <w:szCs w:val="24"/>
                <w:highlight w:val="none"/>
              </w:rPr>
            </w:pPr>
            <w:r>
              <w:rPr>
                <w:rFonts w:hint="eastAsia" w:ascii="宋体" w:hAnsi="宋体" w:cs="宋体"/>
                <w:sz w:val="24"/>
                <w:szCs w:val="24"/>
                <w:highlight w:val="none"/>
              </w:rPr>
              <w:t xml:space="preserve"> 缴纳截止时间：同投标文件递交截止时间一致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75"/>
              <w:jc w:val="left"/>
              <w:textAlignment w:val="auto"/>
              <w:rPr>
                <w:rFonts w:ascii="宋体" w:hAnsi="宋体" w:cs="宋体"/>
                <w:sz w:val="24"/>
                <w:szCs w:val="24"/>
                <w:highlight w:val="none"/>
              </w:rPr>
            </w:pPr>
            <w:r>
              <w:rPr>
                <w:rFonts w:hint="eastAsia" w:ascii="宋体" w:hAnsi="宋体" w:cs="宋体"/>
                <w:sz w:val="24"/>
                <w:szCs w:val="24"/>
                <w:highlight w:val="none"/>
              </w:rPr>
              <w:t>投标保证金应当以银行转账（公户）、支票、汇票、本票或者金融机构、担保机构出具的保函等非现金形式提交（注投标保证金须以供应商名称汇款），且应在开标前致电代理机构财务部门确认投标保证金到账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户名：陕西卓佲项目管理有限公司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开户行名称：中国光大银行西安太白路支行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账号：78590188000191476</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咨询电话：029-88440695财务高老师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转账摘要：</w:t>
            </w:r>
            <w:r>
              <w:rPr>
                <w:rFonts w:hint="eastAsia" w:ascii="宋体" w:hAnsi="宋体" w:cs="宋体"/>
                <w:b/>
                <w:bCs/>
                <w:sz w:val="24"/>
                <w:szCs w:val="24"/>
              </w:rPr>
              <w:t>西科大-325 响应保证金</w:t>
            </w:r>
          </w:p>
          <w:p>
            <w:pPr>
              <w:pStyle w:val="6"/>
              <w:pageBreakBefore w:val="0"/>
              <w:widowControl w:val="0"/>
              <w:numPr>
                <w:ilvl w:val="0"/>
                <w:numId w:val="4"/>
              </w:numPr>
              <w:kinsoku/>
              <w:wordWrap/>
              <w:overflowPunct/>
              <w:topLinePunct w:val="0"/>
              <w:autoSpaceDE/>
              <w:autoSpaceDN/>
              <w:bidi w:val="0"/>
              <w:spacing w:line="360" w:lineRule="auto"/>
              <w:textAlignment w:val="auto"/>
              <w:rPr>
                <w:rFonts w:hint="default" w:ascii="宋体" w:hAnsi="宋体" w:cs="宋体"/>
                <w:sz w:val="24"/>
                <w:szCs w:val="24"/>
                <w:highlight w:val="none"/>
              </w:rPr>
            </w:pPr>
            <w:r>
              <w:rPr>
                <w:rFonts w:ascii="宋体" w:hAnsi="宋体" w:cs="宋体"/>
                <w:sz w:val="24"/>
                <w:szCs w:val="24"/>
                <w:highlight w:val="none"/>
              </w:rPr>
              <w:t>保证金的退还</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2.1未成交的供应商在退取投标保证金时，须携带以下资料办理到代理机构的财务部门办理:</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textAlignment w:val="auto"/>
              <w:rPr>
                <w:rFonts w:ascii="宋体" w:hAnsi="宋体" w:cs="宋体"/>
                <w:sz w:val="24"/>
                <w:szCs w:val="24"/>
                <w:highlight w:val="none"/>
              </w:rPr>
            </w:pPr>
            <w:r>
              <w:rPr>
                <w:rFonts w:hint="eastAsia" w:ascii="宋体" w:hAnsi="宋体" w:cs="宋体"/>
                <w:sz w:val="24"/>
                <w:szCs w:val="24"/>
                <w:highlight w:val="none"/>
              </w:rPr>
              <w:t>保证金汇款凭证复印件加盖公章；</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textAlignment w:val="auto"/>
              <w:rPr>
                <w:rFonts w:ascii="宋体" w:hAnsi="宋体" w:cs="宋体"/>
                <w:sz w:val="24"/>
                <w:szCs w:val="24"/>
                <w:highlight w:val="none"/>
              </w:rPr>
            </w:pPr>
            <w:r>
              <w:rPr>
                <w:rFonts w:hint="eastAsia" w:ascii="宋体" w:hAnsi="宋体" w:cs="宋体"/>
                <w:sz w:val="24"/>
                <w:szCs w:val="24"/>
                <w:highlight w:val="none"/>
              </w:rPr>
              <w:t>保证金退还信息确认表（加盖公章）见</w:t>
            </w:r>
            <w:r>
              <w:rPr>
                <w:rFonts w:hint="eastAsia" w:ascii="宋体" w:hAnsi="宋体" w:cs="宋体"/>
                <w:b/>
                <w:bCs/>
                <w:sz w:val="24"/>
                <w:szCs w:val="24"/>
                <w:highlight w:val="none"/>
              </w:rPr>
              <w:t>附件七</w:t>
            </w:r>
            <w:r>
              <w:rPr>
                <w:rFonts w:hint="eastAsia" w:ascii="宋体" w:hAnsi="宋体" w:cs="宋体"/>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 w:val="24"/>
                <w:szCs w:val="24"/>
                <w:highlight w:val="none"/>
              </w:rPr>
            </w:pPr>
            <w:r>
              <w:rPr>
                <w:rFonts w:hint="eastAsia" w:ascii="宋体" w:hAnsi="宋体" w:cs="宋体"/>
                <w:sz w:val="24"/>
                <w:szCs w:val="24"/>
                <w:highlight w:val="none"/>
              </w:rPr>
              <w:t>供应商可在开标当天将保证金退还账户信息确认表与</w:t>
            </w:r>
            <w:r>
              <w:rPr>
                <w:rFonts w:hint="eastAsia" w:ascii="宋体" w:hAnsi="宋体" w:cs="宋体"/>
                <w:bCs/>
                <w:sz w:val="24"/>
                <w:szCs w:val="24"/>
                <w:highlight w:val="none"/>
              </w:rPr>
              <w:t>保证金汇款凭证复印件加盖公章</w:t>
            </w:r>
            <w:r>
              <w:rPr>
                <w:rFonts w:hint="eastAsia" w:ascii="宋体" w:hAnsi="宋体" w:cs="宋体"/>
                <w:sz w:val="24"/>
                <w:szCs w:val="24"/>
                <w:highlight w:val="none"/>
              </w:rPr>
              <w:t>一并交给工作人员，当天未提交保证金退还账户信息确认表与投标保证金</w:t>
            </w:r>
            <w:r>
              <w:rPr>
                <w:rFonts w:hint="eastAsia" w:ascii="宋体" w:hAnsi="宋体" w:cs="宋体"/>
                <w:bCs/>
                <w:sz w:val="24"/>
                <w:szCs w:val="24"/>
                <w:highlight w:val="none"/>
              </w:rPr>
              <w:t>汇款凭证复印件加盖公章</w:t>
            </w:r>
            <w:r>
              <w:rPr>
                <w:rFonts w:hint="eastAsia" w:ascii="宋体" w:hAnsi="宋体" w:cs="宋体"/>
                <w:sz w:val="24"/>
                <w:szCs w:val="24"/>
                <w:highlight w:val="none"/>
              </w:rPr>
              <w:t>的供应商，在开标后将以上资料盖章扫描件发送至邮箱shanxizhuoming_zb@163.com并致电告知。</w:t>
            </w:r>
          </w:p>
          <w:p>
            <w:pPr>
              <w:pStyle w:val="13"/>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auto"/>
                <w:kern w:val="2"/>
                <w:highlight w:val="none"/>
              </w:rPr>
            </w:pPr>
            <w:r>
              <w:rPr>
                <w:rFonts w:hint="eastAsia" w:ascii="宋体" w:hAnsi="宋体" w:cs="宋体"/>
                <w:color w:val="auto"/>
                <w:kern w:val="2"/>
                <w:highlight w:val="none"/>
              </w:rPr>
              <w:t>2.2中标供应商在退取投标保证金时，除携带上述资料外还需携带与采购人签订的采购合同。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219"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w:t>
            </w:r>
          </w:p>
          <w:p>
            <w:pPr>
              <w:spacing w:line="360" w:lineRule="auto"/>
              <w:jc w:val="center"/>
              <w:rPr>
                <w:rFonts w:ascii="宋体" w:hAnsi="宋体" w:cs="宋体"/>
                <w:sz w:val="24"/>
                <w:szCs w:val="24"/>
              </w:rPr>
            </w:pPr>
            <w:r>
              <w:rPr>
                <w:rFonts w:hint="eastAsia" w:ascii="宋体" w:hAnsi="宋体" w:cs="宋体"/>
                <w:sz w:val="24"/>
                <w:szCs w:val="24"/>
              </w:rPr>
              <w:t>有效期</w:t>
            </w:r>
          </w:p>
        </w:tc>
        <w:tc>
          <w:tcPr>
            <w:tcW w:w="7219" w:type="dxa"/>
            <w:vAlign w:val="center"/>
          </w:tcPr>
          <w:p>
            <w:pPr>
              <w:spacing w:line="360" w:lineRule="auto"/>
              <w:rPr>
                <w:rFonts w:ascii="宋体" w:hAnsi="宋体" w:cs="宋体"/>
                <w:sz w:val="24"/>
                <w:szCs w:val="24"/>
              </w:rPr>
            </w:pPr>
            <w:r>
              <w:rPr>
                <w:rFonts w:hint="eastAsia" w:ascii="宋体" w:hAnsi="宋体" w:cs="宋体"/>
                <w:b/>
                <w:bCs/>
                <w:sz w:val="24"/>
                <w:szCs w:val="24"/>
              </w:rPr>
              <w:t>投标文件有效期为从开标之日起有效期至少为90日历日。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投标货币及报价</w:t>
            </w:r>
          </w:p>
        </w:tc>
        <w:tc>
          <w:tcPr>
            <w:tcW w:w="7219" w:type="dxa"/>
            <w:vAlign w:val="center"/>
          </w:tcPr>
          <w:p>
            <w:pPr>
              <w:numPr>
                <w:ilvl w:val="0"/>
                <w:numId w:val="6"/>
              </w:numPr>
              <w:spacing w:line="360" w:lineRule="auto"/>
              <w:ind w:firstLine="0"/>
              <w:jc w:val="left"/>
              <w:rPr>
                <w:rFonts w:ascii="宋体" w:hAnsi="宋体" w:cs="宋体"/>
                <w:sz w:val="24"/>
                <w:szCs w:val="24"/>
              </w:rPr>
            </w:pPr>
            <w:r>
              <w:rPr>
                <w:rFonts w:hint="eastAsia" w:ascii="宋体" w:hAnsi="宋体" w:cs="宋体"/>
                <w:b/>
                <w:bCs/>
                <w:sz w:val="24"/>
                <w:szCs w:val="24"/>
              </w:rPr>
              <w:t>供应商应当根据招标文件的要求和范围，以人民币为货币，以元为报价单位</w:t>
            </w:r>
            <w:r>
              <w:rPr>
                <w:rFonts w:hint="eastAsia" w:ascii="宋体" w:hAnsi="宋体" w:cs="宋体"/>
                <w:sz w:val="24"/>
                <w:szCs w:val="24"/>
              </w:rPr>
              <w:t>。</w:t>
            </w:r>
          </w:p>
          <w:p>
            <w:pPr>
              <w:numPr>
                <w:ilvl w:val="0"/>
                <w:numId w:val="6"/>
              </w:numPr>
              <w:spacing w:line="360" w:lineRule="auto"/>
              <w:ind w:firstLine="0"/>
              <w:jc w:val="left"/>
              <w:rPr>
                <w:rFonts w:ascii="宋体" w:hAnsi="宋体" w:cs="宋体"/>
                <w:sz w:val="24"/>
                <w:szCs w:val="24"/>
              </w:rPr>
            </w:pPr>
            <w:r>
              <w:rPr>
                <w:rFonts w:hint="eastAsia" w:ascii="宋体" w:hAnsi="宋体" w:cs="宋体"/>
                <w:b/>
                <w:bCs/>
                <w:sz w:val="24"/>
                <w:szCs w:val="24"/>
              </w:rPr>
              <w:t>供应商应在投标报价表中标明完成本次招标所要求的货物、服务且验收合格的所有费用，包括产品费、安装调试费、运杂费（含保险）、仓储保管费、技术培训费、检测费、施工费、运输费、人工费、税金及进口产品国家按现行税收政策征收的一切税费等</w:t>
            </w:r>
            <w:r>
              <w:rPr>
                <w:rFonts w:hint="eastAsia" w:ascii="宋体" w:hAnsi="宋体" w:cs="宋体"/>
                <w:sz w:val="24"/>
                <w:szCs w:val="24"/>
              </w:rPr>
              <w:t>。投标报价表中标明本次货物、服务的所有单项价格和总价，任何有选择的报价将不予接受，否则按无效投标处理。</w:t>
            </w:r>
          </w:p>
          <w:p>
            <w:pPr>
              <w:numPr>
                <w:ilvl w:val="0"/>
                <w:numId w:val="6"/>
              </w:numPr>
              <w:spacing w:line="360" w:lineRule="auto"/>
              <w:ind w:firstLine="0"/>
              <w:jc w:val="left"/>
              <w:rPr>
                <w:rFonts w:ascii="宋体" w:hAnsi="宋体" w:cs="宋体"/>
                <w:sz w:val="24"/>
                <w:szCs w:val="24"/>
              </w:rPr>
            </w:pPr>
            <w:r>
              <w:rPr>
                <w:rFonts w:hint="eastAsia" w:ascii="宋体" w:hAnsi="宋体" w:cs="宋体"/>
                <w:sz w:val="24"/>
                <w:szCs w:val="24"/>
              </w:rPr>
              <w:t>供应商应在投标文件中的开标一览表上按招标文件规定要求填写，并由法定代表人或被授权人代表签署；任何有选择的报价不予接受。</w:t>
            </w:r>
          </w:p>
          <w:p>
            <w:pPr>
              <w:numPr>
                <w:ilvl w:val="0"/>
                <w:numId w:val="6"/>
              </w:numPr>
              <w:spacing w:line="360" w:lineRule="auto"/>
              <w:ind w:firstLine="0"/>
              <w:jc w:val="left"/>
              <w:rPr>
                <w:rFonts w:ascii="宋体" w:hAnsi="宋体" w:cs="宋体"/>
                <w:sz w:val="24"/>
                <w:szCs w:val="24"/>
              </w:rPr>
            </w:pPr>
            <w:r>
              <w:rPr>
                <w:rFonts w:hint="eastAsia" w:ascii="宋体" w:hAnsi="宋体" w:cs="宋体"/>
                <w:sz w:val="24"/>
                <w:szCs w:val="24"/>
              </w:rPr>
              <w:t>开标一览表与分项报价表中的价格，在合同执行过程中，均不得以任何理由变更。</w:t>
            </w:r>
          </w:p>
          <w:p>
            <w:pPr>
              <w:numPr>
                <w:ilvl w:val="0"/>
                <w:numId w:val="6"/>
              </w:numPr>
              <w:spacing w:line="360" w:lineRule="auto"/>
              <w:ind w:firstLine="0"/>
              <w:jc w:val="left"/>
              <w:rPr>
                <w:rFonts w:ascii="宋体" w:hAnsi="宋体" w:cs="宋体"/>
                <w:sz w:val="24"/>
                <w:szCs w:val="24"/>
              </w:rPr>
            </w:pPr>
            <w:r>
              <w:rPr>
                <w:rFonts w:hint="eastAsia" w:ascii="宋体" w:hAnsi="宋体" w:cs="宋体"/>
                <w:sz w:val="24"/>
                <w:szCs w:val="24"/>
              </w:rPr>
              <w:t>采用综合评分法的，最低报价不是中标的唯一依据。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8"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投标文件份数及装订要求</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1、投标文件正本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肆</w:t>
            </w:r>
            <w:r>
              <w:rPr>
                <w:rFonts w:hint="eastAsia" w:ascii="宋体" w:hAnsi="宋体" w:cs="宋体"/>
                <w:sz w:val="24"/>
                <w:szCs w:val="24"/>
              </w:rPr>
              <w:t>份、开标一览表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60" w:lineRule="auto"/>
              <w:jc w:val="left"/>
              <w:rPr>
                <w:rFonts w:ascii="宋体" w:hAnsi="宋体" w:cs="宋体"/>
                <w:sz w:val="24"/>
                <w:szCs w:val="24"/>
              </w:rPr>
            </w:pPr>
            <w:r>
              <w:rPr>
                <w:rFonts w:hint="eastAsia" w:ascii="宋体" w:hAnsi="宋体" w:cs="宋体"/>
                <w:sz w:val="24"/>
                <w:szCs w:val="24"/>
              </w:rPr>
              <w:t>2、正、副本分别</w:t>
            </w:r>
            <w:r>
              <w:rPr>
                <w:rFonts w:hint="eastAsia" w:ascii="宋体" w:hAnsi="宋体" w:cs="宋体"/>
                <w:b/>
                <w:bCs/>
                <w:sz w:val="24"/>
                <w:szCs w:val="24"/>
              </w:rPr>
              <w:t>胶装装订成册</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报价一览表（用于开标唱标单独提交的“报价一览表”应为原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0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投标文件的签署</w:t>
            </w:r>
          </w:p>
        </w:tc>
        <w:tc>
          <w:tcPr>
            <w:tcW w:w="7219" w:type="dxa"/>
            <w:vAlign w:val="center"/>
          </w:tcPr>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供应商在投标文件中指定的页面的落款处，按招标文件要求由供应商的法定代表人或其授权代表在规定的签章处签字或盖章。</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投标文件应字迹清楚、内容齐全、不得涂改或增删。如有修改和增删，必须有供应商公章及法定代表人或其授权的供应商代表签字。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2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投标文件的密封</w:t>
            </w:r>
          </w:p>
        </w:tc>
        <w:tc>
          <w:tcPr>
            <w:tcW w:w="7219" w:type="dxa"/>
            <w:vAlign w:val="center"/>
          </w:tcPr>
          <w:p>
            <w:pPr>
              <w:pStyle w:val="66"/>
              <w:spacing w:line="360" w:lineRule="auto"/>
              <w:rPr>
                <w:kern w:val="2"/>
              </w:rPr>
            </w:pPr>
            <w:r>
              <w:rPr>
                <w:rFonts w:hint="eastAsia"/>
                <w:kern w:val="2"/>
              </w:rPr>
              <w:t>1、密封要求：</w:t>
            </w:r>
          </w:p>
          <w:p>
            <w:pPr>
              <w:pStyle w:val="66"/>
              <w:spacing w:line="360" w:lineRule="auto"/>
              <w:rPr>
                <w:rFonts w:hint="eastAsia" w:eastAsia="宋体"/>
                <w:kern w:val="2"/>
                <w:lang w:eastAsia="zh-CN"/>
              </w:rPr>
            </w:pPr>
            <w:r>
              <w:rPr>
                <w:rFonts w:hint="eastAsia"/>
                <w:kern w:val="2"/>
              </w:rPr>
              <w:t>开标一览表单独密封递交</w:t>
            </w:r>
            <w:r>
              <w:rPr>
                <w:rFonts w:hint="eastAsia"/>
                <w:kern w:val="2"/>
                <w:lang w:eastAsia="zh-CN"/>
              </w:rPr>
              <w:t>，</w:t>
            </w:r>
          </w:p>
          <w:p>
            <w:pPr>
              <w:pStyle w:val="66"/>
              <w:spacing w:line="360" w:lineRule="auto"/>
              <w:rPr>
                <w:kern w:val="2"/>
              </w:rPr>
            </w:pPr>
            <w:r>
              <w:rPr>
                <w:rFonts w:hint="eastAsia"/>
                <w:kern w:val="2"/>
              </w:rPr>
              <w:t>电子文档单独密封递交。</w:t>
            </w:r>
          </w:p>
          <w:p>
            <w:pPr>
              <w:spacing w:line="360" w:lineRule="auto"/>
              <w:ind w:right="158" w:rightChars="75"/>
              <w:rPr>
                <w:rFonts w:ascii="宋体" w:hAnsi="宋体" w:cs="宋体"/>
                <w:sz w:val="24"/>
                <w:szCs w:val="24"/>
              </w:rPr>
            </w:pPr>
            <w:r>
              <w:rPr>
                <w:rFonts w:hint="eastAsia" w:ascii="宋体" w:hAnsi="宋体" w:cs="宋体"/>
                <w:sz w:val="24"/>
                <w:szCs w:val="24"/>
              </w:rPr>
              <w:t>所有正本单独密封递交，也可分册密封递交；</w:t>
            </w:r>
          </w:p>
          <w:p>
            <w:pPr>
              <w:spacing w:line="360" w:lineRule="auto"/>
              <w:ind w:right="158" w:rightChars="75"/>
              <w:rPr>
                <w:rFonts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pPr>
              <w:spacing w:line="360" w:lineRule="auto"/>
              <w:jc w:val="left"/>
              <w:rPr>
                <w:rFonts w:ascii="宋体" w:hAnsi="宋体" w:cs="宋体"/>
                <w:sz w:val="24"/>
                <w:szCs w:val="24"/>
              </w:rPr>
            </w:pPr>
            <w:r>
              <w:rPr>
                <w:rFonts w:hint="eastAsia" w:ascii="宋体" w:hAnsi="宋体" w:cs="宋体"/>
                <w:sz w:val="24"/>
                <w:szCs w:val="24"/>
              </w:rPr>
              <w:t>2、在封袋正面标明“正本”“副本”“电子版”“开标一览表”字样。封袋应密封完整，封袋正面要粘贴供应商全称、项目名称、编号、</w:t>
            </w:r>
            <w:r>
              <w:rPr>
                <w:rFonts w:hint="eastAsia" w:ascii="宋体" w:hAnsi="宋体" w:cs="宋体"/>
                <w:sz w:val="24"/>
                <w:szCs w:val="24"/>
                <w:lang w:val="en-US" w:eastAsia="zh-CN"/>
              </w:rPr>
              <w:t>包号</w:t>
            </w:r>
            <w:r>
              <w:rPr>
                <w:rFonts w:hint="eastAsia" w:ascii="宋体" w:hAnsi="宋体" w:cs="宋体"/>
                <w:sz w:val="24"/>
                <w:szCs w:val="24"/>
              </w:rPr>
              <w:t>等标识、且投标文件袋上应加盖供应商公章（封面标识见招标文件附件一）如果未按上述规定进行密封，供应商的投标文件有权被拒绝。</w:t>
            </w:r>
          </w:p>
          <w:p>
            <w:pPr>
              <w:spacing w:line="360" w:lineRule="auto"/>
              <w:jc w:val="left"/>
              <w:rPr>
                <w:rFonts w:ascii="宋体" w:hAnsi="宋体" w:cs="宋体"/>
                <w:sz w:val="24"/>
                <w:szCs w:val="24"/>
              </w:rPr>
            </w:pPr>
            <w:r>
              <w:rPr>
                <w:rFonts w:hint="eastAsia" w:ascii="宋体" w:hAnsi="宋体" w:cs="宋体"/>
                <w:sz w:val="24"/>
                <w:szCs w:val="24"/>
              </w:rPr>
              <w:t>3、如果供应商未按上述要求密封及加写标记，误投或过早启封的投标文件，将自行承担其投标文件被视为无效投标文件的风险。</w:t>
            </w:r>
          </w:p>
          <w:p>
            <w:pPr>
              <w:numPr>
                <w:ilvl w:val="0"/>
                <w:numId w:val="0"/>
              </w:numPr>
              <w:spacing w:line="360" w:lineRule="auto"/>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本次招标只接受简体中文文字的投标文件；如投标文件中出现外文资料，必须配以中文译文。否则，由此引发的一切责任由供应商自负。</w:t>
            </w:r>
          </w:p>
          <w:p>
            <w:pPr>
              <w:spacing w:line="360" w:lineRule="auto"/>
              <w:jc w:val="left"/>
              <w:rPr>
                <w:rFonts w:ascii="宋体" w:hAnsi="宋体" w:cs="宋体"/>
                <w:color w:val="FF0000"/>
                <w:sz w:val="24"/>
                <w:szCs w:val="24"/>
              </w:rPr>
            </w:pPr>
            <w:r>
              <w:rPr>
                <w:rFonts w:hint="eastAsia" w:ascii="宋体" w:hAnsi="宋体" w:cs="宋体"/>
                <w:sz w:val="24"/>
                <w:szCs w:val="24"/>
                <w:lang w:val="en-US" w:eastAsia="zh-CN"/>
              </w:rPr>
              <w:t>5</w:t>
            </w:r>
            <w:r>
              <w:rPr>
                <w:rFonts w:hint="eastAsia" w:ascii="宋体" w:hAnsi="宋体" w:cs="宋体"/>
                <w:sz w:val="24"/>
                <w:szCs w:val="24"/>
              </w:rPr>
              <w:t>、拒绝接受以电话、传真、电子邮件形式的投标。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color w:val="FF0000"/>
                <w:sz w:val="24"/>
                <w:szCs w:val="24"/>
              </w:rPr>
            </w:pPr>
            <w:r>
              <w:rPr>
                <w:rFonts w:hint="eastAsia" w:ascii="宋体" w:hAnsi="宋体" w:cs="宋体"/>
                <w:sz w:val="24"/>
                <w:szCs w:val="24"/>
              </w:rPr>
              <w:t>12</w:t>
            </w:r>
          </w:p>
        </w:tc>
        <w:tc>
          <w:tcPr>
            <w:tcW w:w="1494" w:type="dxa"/>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color w:val="000000"/>
                <w:sz w:val="24"/>
                <w:szCs w:val="24"/>
              </w:rPr>
            </w:pPr>
            <w:r>
              <w:rPr>
                <w:rFonts w:hint="eastAsia" w:ascii="宋体" w:hAnsi="宋体" w:cs="宋体"/>
                <w:sz w:val="24"/>
                <w:szCs w:val="24"/>
              </w:rPr>
              <w:t>13</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是否采购进口产品</w:t>
            </w:r>
          </w:p>
        </w:tc>
        <w:tc>
          <w:tcPr>
            <w:tcW w:w="7219" w:type="dxa"/>
            <w:vAlign w:val="center"/>
          </w:tcPr>
          <w:p>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现场勘查</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219" w:type="dxa"/>
            <w:vAlign w:val="center"/>
          </w:tcPr>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 中标（成交）金额为40万元以下收取定额：3000元；中标（成交）金额为41万-500万：参照（计价格[2002]1980号）文件规定收费标准的70%计取；中标（成交）金额为501万以上：参照（计价格[2002]1980号）文件规定收费标准的50%计取。</w:t>
            </w:r>
          </w:p>
          <w:p>
            <w:pPr>
              <w:spacing w:line="360" w:lineRule="auto"/>
            </w:pPr>
            <w:r>
              <w:rPr>
                <w:rFonts w:hint="eastAsia" w:ascii="宋体" w:hAnsi="宋体" w:cs="宋体"/>
                <w:sz w:val="24"/>
                <w:szCs w:val="24"/>
              </w:rPr>
              <w:t>供应商将招标代理服务费计入响应报价但不单独列明，中标（成交）单位在领取中标通知书前，须向采购代理机构一次性支付招标代理服务费；代理服务费以转账、电汇或现金等形式交纳。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16</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项目属性</w:t>
            </w:r>
          </w:p>
        </w:tc>
        <w:tc>
          <w:tcPr>
            <w:tcW w:w="7219" w:type="dxa"/>
            <w:vAlign w:val="center"/>
          </w:tcPr>
          <w:p>
            <w:pPr>
              <w:pStyle w:val="22"/>
              <w:rPr>
                <w:rFonts w:ascii="仿宋" w:hAnsi="仿宋" w:cs="Courier New"/>
                <w:color w:val="000000"/>
                <w:sz w:val="24"/>
                <w:szCs w:val="24"/>
              </w:rPr>
            </w:pPr>
            <w:r>
              <w:rPr>
                <w:rFonts w:hint="eastAsia" w:ascii="仿宋" w:hAnsi="仿宋" w:cs="Courier New"/>
                <w:color w:val="000000"/>
                <w:sz w:val="24"/>
                <w:szCs w:val="24"/>
              </w:rPr>
              <w:t>货物招标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所属行业</w:t>
            </w:r>
          </w:p>
        </w:tc>
        <w:tc>
          <w:tcPr>
            <w:tcW w:w="7219" w:type="dxa"/>
            <w:vAlign w:val="center"/>
          </w:tcPr>
          <w:p>
            <w:pPr>
              <w:pStyle w:val="22"/>
              <w:rPr>
                <w:rFonts w:ascii="仿宋" w:hAnsi="仿宋" w:cs="Courier New"/>
                <w:color w:val="000000"/>
                <w:sz w:val="24"/>
                <w:szCs w:val="24"/>
              </w:rPr>
            </w:pPr>
            <w:r>
              <w:rPr>
                <w:rFonts w:hint="eastAsia" w:ascii="仿宋" w:hAnsi="仿宋" w:cs="Courier New"/>
                <w:color w:val="000000"/>
                <w:sz w:val="24"/>
                <w:szCs w:val="24"/>
              </w:rPr>
              <w:t>所有标的所属行业为工业。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4" w:hRule="atLeast"/>
        </w:trPr>
        <w:tc>
          <w:tcPr>
            <w:tcW w:w="505"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18</w:t>
            </w:r>
          </w:p>
        </w:tc>
        <w:tc>
          <w:tcPr>
            <w:tcW w:w="1494" w:type="dxa"/>
            <w:vAlign w:val="center"/>
          </w:tcPr>
          <w:p>
            <w:pPr>
              <w:jc w:val="center"/>
              <w:rPr>
                <w:rFonts w:hint="eastAsia" w:ascii="仿宋" w:hAnsi="仿宋" w:eastAsia="宋体" w:cs="Courier New"/>
                <w:b/>
                <w:bCs/>
                <w:color w:val="000000"/>
                <w:kern w:val="2"/>
                <w:sz w:val="24"/>
                <w:szCs w:val="24"/>
                <w:highlight w:val="none"/>
                <w:lang w:val="en-US" w:eastAsia="zh-CN" w:bidi="ar-SA"/>
              </w:rPr>
            </w:pPr>
            <w:r>
              <w:rPr>
                <w:rFonts w:hint="eastAsia" w:ascii="仿宋" w:hAnsi="仿宋" w:eastAsia="宋体" w:cs="Courier New"/>
                <w:b/>
                <w:bCs/>
                <w:color w:val="000000"/>
                <w:kern w:val="2"/>
                <w:sz w:val="24"/>
                <w:szCs w:val="24"/>
                <w:highlight w:val="none"/>
                <w:lang w:val="en-US" w:eastAsia="zh-CN" w:bidi="ar-SA"/>
              </w:rPr>
              <w:t>核心产品</w:t>
            </w:r>
          </w:p>
          <w:p>
            <w:pPr>
              <w:rPr>
                <w:highlight w:val="none"/>
              </w:rPr>
            </w:pPr>
          </w:p>
        </w:tc>
        <w:tc>
          <w:tcPr>
            <w:tcW w:w="7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outlineLvl w:val="9"/>
              <w:rPr>
                <w:rFonts w:hint="default" w:ascii="仿宋" w:hAnsi="仿宋" w:cs="Courier New"/>
                <w:b/>
                <w:bCs/>
                <w:color w:val="000000"/>
                <w:kern w:val="2"/>
                <w:sz w:val="24"/>
                <w:szCs w:val="24"/>
                <w:highlight w:val="none"/>
                <w:lang w:val="en-US" w:eastAsia="zh-CN" w:bidi="ar-SA"/>
              </w:rPr>
            </w:pPr>
            <w:r>
              <w:rPr>
                <w:rFonts w:hint="default" w:ascii="仿宋" w:hAnsi="仿宋" w:cs="Courier New"/>
                <w:b/>
                <w:bCs/>
                <w:color w:val="000000"/>
                <w:kern w:val="2"/>
                <w:sz w:val="24"/>
                <w:szCs w:val="24"/>
                <w:highlight w:val="none"/>
                <w:lang w:val="en-US" w:eastAsia="zh-CN" w:bidi="ar-SA"/>
              </w:rPr>
              <w:t>高压氢气泄漏扩散实验箱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19</w:t>
            </w:r>
          </w:p>
        </w:tc>
        <w:tc>
          <w:tcPr>
            <w:tcW w:w="1494" w:type="dxa"/>
            <w:vAlign w:val="center"/>
          </w:tcPr>
          <w:p>
            <w:pPr>
              <w:spacing w:line="360" w:lineRule="auto"/>
              <w:jc w:val="center"/>
              <w:rPr>
                <w:rFonts w:hint="eastAsia" w:ascii="仿宋" w:hAnsi="仿宋" w:eastAsia="宋体" w:cs="Courier New"/>
                <w:b/>
                <w:bCs/>
                <w:color w:val="000000"/>
                <w:kern w:val="2"/>
                <w:sz w:val="24"/>
                <w:szCs w:val="24"/>
                <w:lang w:val="en-US" w:eastAsia="zh-CN" w:bidi="ar-SA"/>
              </w:rPr>
            </w:pPr>
            <w:r>
              <w:rPr>
                <w:rFonts w:hint="eastAsia" w:ascii="仿宋" w:hAnsi="仿宋" w:eastAsia="宋体" w:cs="Courier New"/>
                <w:b/>
                <w:bCs/>
                <w:color w:val="000000"/>
                <w:kern w:val="2"/>
                <w:sz w:val="24"/>
                <w:szCs w:val="24"/>
                <w:lang w:val="en-US" w:eastAsia="zh-CN" w:bidi="ar-SA"/>
              </w:rPr>
              <w:t>是否专门面向中小企业</w:t>
            </w:r>
          </w:p>
        </w:tc>
        <w:tc>
          <w:tcPr>
            <w:tcW w:w="7219" w:type="dxa"/>
            <w:vAlign w:val="center"/>
          </w:tcPr>
          <w:p>
            <w:pPr>
              <w:ind w:right="158" w:rightChars="75"/>
              <w:rPr>
                <w:rFonts w:hint="eastAsia" w:ascii="仿宋" w:hAnsi="仿宋" w:eastAsia="宋体" w:cs="Courier New"/>
                <w:b/>
                <w:bCs/>
                <w:color w:val="000000"/>
                <w:kern w:val="2"/>
                <w:sz w:val="24"/>
                <w:szCs w:val="24"/>
                <w:lang w:val="en-US" w:eastAsia="zh-CN" w:bidi="ar-SA"/>
              </w:rPr>
            </w:pPr>
            <w:r>
              <w:rPr>
                <w:rFonts w:hint="eastAsia" w:ascii="仿宋" w:hAnsi="仿宋" w:cs="Courier New"/>
                <w:b/>
                <w:bCs/>
                <w:color w:val="000000"/>
                <w:kern w:val="2"/>
                <w:sz w:val="24"/>
                <w:szCs w:val="24"/>
                <w:lang w:val="en-US" w:eastAsia="zh-CN" w:bidi="ar-SA"/>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20</w:t>
            </w:r>
          </w:p>
        </w:tc>
        <w:tc>
          <w:tcPr>
            <w:tcW w:w="1494" w:type="dxa"/>
            <w:vAlign w:val="center"/>
          </w:tcPr>
          <w:p>
            <w:pPr>
              <w:spacing w:line="360" w:lineRule="auto"/>
              <w:jc w:val="center"/>
              <w:rPr>
                <w:rFonts w:hint="eastAsia" w:ascii="仿宋" w:hAnsi="仿宋" w:eastAsia="宋体" w:cs="Courier New"/>
                <w:color w:val="000000"/>
                <w:kern w:val="2"/>
                <w:sz w:val="24"/>
                <w:szCs w:val="24"/>
                <w:lang w:val="zh-CN" w:eastAsia="zh-CN" w:bidi="ar-SA"/>
              </w:rPr>
            </w:pPr>
            <w:r>
              <w:rPr>
                <w:rFonts w:hint="eastAsia" w:ascii="仿宋" w:hAnsi="仿宋" w:eastAsia="宋体" w:cs="Courier New"/>
                <w:color w:val="000000"/>
                <w:kern w:val="2"/>
                <w:sz w:val="24"/>
                <w:szCs w:val="24"/>
                <w:lang w:val="zh-CN" w:eastAsia="zh-CN" w:bidi="ar-SA"/>
              </w:rPr>
              <w:t>是否允许大中企业</w:t>
            </w:r>
          </w:p>
          <w:p>
            <w:pPr>
              <w:spacing w:line="360" w:lineRule="auto"/>
              <w:jc w:val="center"/>
              <w:rPr>
                <w:rFonts w:hint="eastAsia" w:ascii="仿宋" w:hAnsi="仿宋" w:eastAsia="宋体" w:cs="Courier New"/>
                <w:color w:val="000000"/>
                <w:kern w:val="2"/>
                <w:sz w:val="24"/>
                <w:szCs w:val="24"/>
                <w:lang w:val="zh-CN" w:eastAsia="zh-CN" w:bidi="ar-SA"/>
              </w:rPr>
            </w:pPr>
            <w:r>
              <w:rPr>
                <w:rFonts w:hint="eastAsia" w:ascii="仿宋" w:hAnsi="仿宋" w:eastAsia="宋体" w:cs="Courier New"/>
                <w:color w:val="000000"/>
                <w:kern w:val="2"/>
                <w:sz w:val="24"/>
                <w:szCs w:val="24"/>
                <w:lang w:val="zh-CN" w:eastAsia="zh-CN" w:bidi="ar-SA"/>
              </w:rPr>
              <w:t>向小微企业分包</w:t>
            </w:r>
          </w:p>
        </w:tc>
        <w:tc>
          <w:tcPr>
            <w:tcW w:w="7219" w:type="dxa"/>
            <w:vAlign w:val="center"/>
          </w:tcPr>
          <w:p>
            <w:pPr>
              <w:spacing w:line="360" w:lineRule="auto"/>
              <w:jc w:val="left"/>
              <w:rPr>
                <w:rFonts w:hint="eastAsia" w:ascii="仿宋" w:hAnsi="仿宋" w:eastAsia="宋体" w:cs="Courier New"/>
                <w:color w:val="000000"/>
                <w:kern w:val="2"/>
                <w:sz w:val="24"/>
                <w:szCs w:val="24"/>
                <w:lang w:val="en-US" w:eastAsia="zh-CN" w:bidi="ar-SA"/>
              </w:rPr>
            </w:pPr>
            <w:r>
              <w:rPr>
                <w:rFonts w:hint="eastAsia" w:ascii="仿宋" w:hAnsi="仿宋" w:eastAsia="宋体" w:cs="Courier New"/>
                <w:color w:val="000000"/>
                <w:kern w:val="2"/>
                <w:sz w:val="24"/>
                <w:szCs w:val="24"/>
                <w:lang w:val="en-US" w:eastAsia="zh-CN" w:bidi="ar-SA"/>
              </w:rPr>
              <w:t>否</w:t>
            </w:r>
          </w:p>
          <w:p>
            <w:pPr>
              <w:spacing w:line="360" w:lineRule="auto"/>
              <w:jc w:val="left"/>
              <w:rPr>
                <w:rFonts w:hint="eastAsia" w:ascii="仿宋" w:hAnsi="仿宋" w:eastAsia="宋体" w:cs="Courier New"/>
                <w:color w:val="000000"/>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21</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w:t>
            </w:r>
          </w:p>
          <w:p>
            <w:pPr>
              <w:spacing w:line="360" w:lineRule="auto"/>
              <w:jc w:val="center"/>
              <w:rPr>
                <w:rFonts w:ascii="宋体" w:hAnsi="宋体" w:cs="宋体"/>
                <w:sz w:val="24"/>
                <w:szCs w:val="24"/>
                <w:lang w:val="zh-CN"/>
              </w:rPr>
            </w:pPr>
            <w:r>
              <w:rPr>
                <w:rFonts w:hint="eastAsia" w:ascii="宋体" w:hAnsi="宋体" w:cs="宋体"/>
                <w:sz w:val="24"/>
                <w:szCs w:val="24"/>
                <w:lang w:val="zh-CN"/>
              </w:rPr>
              <w:t>提出质疑的时间、形式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p>
            <w:pPr>
              <w:spacing w:line="360" w:lineRule="auto"/>
              <w:jc w:val="left"/>
            </w:pPr>
            <w:r>
              <w:rPr>
                <w:rFonts w:hint="eastAsia" w:ascii="宋体" w:hAnsi="宋体" w:cs="宋体"/>
                <w:sz w:val="24"/>
                <w:szCs w:val="24"/>
              </w:rPr>
              <w:t>环节：</w:t>
            </w:r>
            <w:r>
              <w:rPr>
                <w:rFonts w:hint="eastAsia" w:ascii="宋体" w:hAnsi="宋体" w:cs="宋体"/>
                <w:sz w:val="24"/>
                <w:szCs w:val="24"/>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对供应商提出质疑</w:t>
            </w:r>
          </w:p>
          <w:p>
            <w:pPr>
              <w:spacing w:line="360" w:lineRule="auto"/>
              <w:jc w:val="center"/>
              <w:rPr>
                <w:rFonts w:ascii="宋体" w:hAnsi="宋体" w:cs="宋体"/>
                <w:sz w:val="24"/>
                <w:szCs w:val="24"/>
                <w:lang w:val="zh-CN"/>
              </w:rPr>
            </w:pPr>
            <w:r>
              <w:rPr>
                <w:rFonts w:hint="eastAsia" w:ascii="宋体" w:hAnsi="宋体" w:cs="宋体"/>
                <w:sz w:val="24"/>
                <w:szCs w:val="24"/>
                <w:lang w:val="zh-CN"/>
              </w:rPr>
              <w:t>答复时间、形式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时间：自收到供应商质疑函之日起7个工作日内</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23</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供应商信用信息</w:t>
            </w:r>
          </w:p>
          <w:p>
            <w:pPr>
              <w:spacing w:line="360" w:lineRule="auto"/>
              <w:jc w:val="center"/>
              <w:rPr>
                <w:rFonts w:ascii="宋体" w:hAnsi="宋体" w:cs="宋体"/>
                <w:sz w:val="24"/>
                <w:szCs w:val="24"/>
                <w:lang w:val="zh-CN"/>
              </w:rPr>
            </w:pPr>
            <w:r>
              <w:rPr>
                <w:rFonts w:hint="eastAsia" w:ascii="宋体" w:hAnsi="宋体" w:cs="宋体"/>
                <w:sz w:val="24"/>
                <w:szCs w:val="24"/>
                <w:lang w:val="zh-CN"/>
              </w:rPr>
              <w:t>查询截止时点</w:t>
            </w:r>
          </w:p>
        </w:tc>
        <w:tc>
          <w:tcPr>
            <w:tcW w:w="7219" w:type="dxa"/>
            <w:vAlign w:val="center"/>
          </w:tcPr>
          <w:p>
            <w:pPr>
              <w:spacing w:line="360" w:lineRule="auto"/>
              <w:rPr>
                <w:rFonts w:ascii="宋体" w:hAnsi="宋体" w:cs="宋体"/>
                <w:sz w:val="24"/>
                <w:szCs w:val="24"/>
                <w:lang w:val="zh-CN"/>
              </w:rPr>
            </w:pPr>
            <w:r>
              <w:rPr>
                <w:rFonts w:hint="eastAsia" w:ascii="宋体" w:hAnsi="宋体" w:cs="宋体"/>
                <w:sz w:val="24"/>
                <w:szCs w:val="24"/>
              </w:rPr>
              <w:t>投标文件递交截止日，由采购人和采购代理机构共同查询。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24</w:t>
            </w:r>
          </w:p>
        </w:tc>
        <w:tc>
          <w:tcPr>
            <w:tcW w:w="1494" w:type="dxa"/>
            <w:vAlign w:val="center"/>
          </w:tcPr>
          <w:p>
            <w:pPr>
              <w:spacing w:line="360" w:lineRule="auto"/>
              <w:rPr>
                <w:rFonts w:hint="eastAsia" w:ascii="宋体" w:hAnsi="宋体" w:cs="宋体"/>
                <w:sz w:val="24"/>
                <w:szCs w:val="24"/>
                <w:lang w:val="zh-CN"/>
              </w:rPr>
            </w:pPr>
            <w:r>
              <w:rPr>
                <w:rFonts w:hint="eastAsia" w:ascii="宋体" w:hAnsi="宋体" w:cs="宋体"/>
                <w:sz w:val="24"/>
                <w:szCs w:val="24"/>
                <w:lang w:val="zh-CN"/>
              </w:rPr>
              <w:t>非实质性偏离</w:t>
            </w:r>
          </w:p>
        </w:tc>
        <w:tc>
          <w:tcPr>
            <w:tcW w:w="7219" w:type="dxa"/>
            <w:vAlign w:val="center"/>
          </w:tcPr>
          <w:p>
            <w:pPr>
              <w:spacing w:line="360" w:lineRule="auto"/>
              <w:rPr>
                <w:rFonts w:hint="eastAsia" w:ascii="宋体" w:hAnsi="宋体" w:cs="宋体"/>
                <w:sz w:val="24"/>
                <w:szCs w:val="24"/>
              </w:rPr>
            </w:pPr>
            <w:r>
              <w:rPr>
                <w:rFonts w:hint="eastAsia" w:ascii="宋体" w:hAnsi="宋体" w:cs="宋体"/>
                <w:sz w:val="24"/>
                <w:szCs w:val="24"/>
                <w:lang w:val="zh-CN"/>
              </w:rPr>
              <w:t>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25</w:t>
            </w:r>
          </w:p>
        </w:tc>
        <w:tc>
          <w:tcPr>
            <w:tcW w:w="1494" w:type="dxa"/>
            <w:vAlign w:val="center"/>
          </w:tcPr>
          <w:p>
            <w:pPr>
              <w:pStyle w:val="16"/>
              <w:spacing w:line="336" w:lineRule="auto"/>
              <w:jc w:val="center"/>
              <w:rPr>
                <w:rFonts w:hAnsi="宋体" w:cs="宋体"/>
                <w:sz w:val="24"/>
                <w:szCs w:val="24"/>
                <w:lang w:val="zh-CN"/>
              </w:rPr>
            </w:pPr>
            <w:r>
              <w:rPr>
                <w:rFonts w:hint="eastAsia" w:ascii="仿宋" w:hAnsi="仿宋"/>
                <w:color w:val="000000"/>
                <w:sz w:val="24"/>
                <w:szCs w:val="24"/>
              </w:rPr>
              <w:t>其他</w:t>
            </w:r>
          </w:p>
        </w:tc>
        <w:tc>
          <w:tcPr>
            <w:tcW w:w="7219" w:type="dxa"/>
            <w:vAlign w:val="center"/>
          </w:tcPr>
          <w:p>
            <w:pPr>
              <w:pStyle w:val="16"/>
              <w:spacing w:line="336" w:lineRule="auto"/>
              <w:jc w:val="left"/>
              <w:rPr>
                <w:highlight w:val="yellow"/>
                <w:lang w:val="zh-CN"/>
              </w:rPr>
            </w:pPr>
            <w:r>
              <w:rPr>
                <w:rFonts w:hint="eastAsia" w:ascii="仿宋" w:hAnsi="仿宋"/>
                <w:color w:val="000000"/>
                <w:sz w:val="24"/>
                <w:szCs w:val="24"/>
              </w:rPr>
              <w:t>正文与前附表表述不一致时，以供应商须知前附表为准</w:t>
            </w:r>
          </w:p>
        </w:tc>
      </w:tr>
    </w:tbl>
    <w:p>
      <w:pPr>
        <w:pStyle w:val="3"/>
        <w:keepLines w:val="0"/>
        <w:spacing w:before="312" w:beforeLines="100" w:after="312" w:afterLines="100" w:line="500" w:lineRule="exact"/>
        <w:rPr>
          <w:rFonts w:hint="eastAsia" w:ascii="宋体" w:hAnsi="宋体" w:cs="宋体"/>
          <w:sz w:val="36"/>
          <w:szCs w:val="36"/>
        </w:rPr>
        <w:sectPr>
          <w:footerReference r:id="rId8" w:type="default"/>
          <w:pgSz w:w="11906" w:h="16838"/>
          <w:pgMar w:top="1440" w:right="1706" w:bottom="1440" w:left="1800" w:header="851" w:footer="992" w:gutter="0"/>
          <w:pgNumType w:fmt="decimal"/>
          <w:cols w:space="720" w:num="1"/>
          <w:docGrid w:type="lines" w:linePitch="312" w:charSpace="0"/>
        </w:sectPr>
      </w:pPr>
      <w:bookmarkStart w:id="6" w:name="_Toc19272"/>
    </w:p>
    <w:p>
      <w:pPr>
        <w:pStyle w:val="3"/>
        <w:keepLines w:val="0"/>
        <w:spacing w:before="312" w:beforeLines="100" w:after="312" w:afterLines="100" w:line="500" w:lineRule="exact"/>
        <w:rPr>
          <w:rFonts w:ascii="宋体" w:hAnsi="宋体" w:cs="宋体"/>
          <w:sz w:val="36"/>
          <w:szCs w:val="36"/>
        </w:rPr>
      </w:pPr>
      <w:bookmarkStart w:id="7" w:name="_Toc24726"/>
      <w:r>
        <w:rPr>
          <w:rFonts w:hint="eastAsia" w:ascii="宋体" w:hAnsi="宋体" w:cs="宋体"/>
          <w:sz w:val="36"/>
          <w:szCs w:val="36"/>
        </w:rPr>
        <w:t>第三部分  供应商须知</w:t>
      </w:r>
      <w:bookmarkEnd w:id="6"/>
      <w:bookmarkEnd w:id="7"/>
    </w:p>
    <w:p>
      <w:pPr>
        <w:pStyle w:val="4"/>
        <w:ind w:firstLine="562" w:firstLineChars="200"/>
        <w:jc w:val="center"/>
        <w:rPr>
          <w:rFonts w:ascii="宋体" w:hAnsi="宋体" w:cs="宋体"/>
        </w:rPr>
      </w:pPr>
      <w:bookmarkStart w:id="8" w:name="_Toc26739"/>
      <w:bookmarkStart w:id="9" w:name="_Toc13983"/>
      <w:r>
        <w:rPr>
          <w:rFonts w:hint="eastAsia" w:ascii="宋体" w:hAnsi="宋体" w:cs="宋体"/>
        </w:rPr>
        <w:t>一、总 则</w:t>
      </w:r>
      <w:bookmarkEnd w:id="8"/>
      <w:bookmarkEnd w:id="9"/>
    </w:p>
    <w:p>
      <w:pPr>
        <w:pStyle w:val="5"/>
        <w:numPr>
          <w:ilvl w:val="0"/>
          <w:numId w:val="8"/>
        </w:numPr>
        <w:spacing w:line="500" w:lineRule="exact"/>
        <w:ind w:firstLine="562" w:firstLineChars="200"/>
        <w:rPr>
          <w:rFonts w:ascii="宋体" w:hAnsi="宋体" w:cs="宋体"/>
          <w:szCs w:val="28"/>
        </w:rPr>
      </w:pPr>
      <w:bookmarkStart w:id="10" w:name="_Toc6742"/>
      <w:bookmarkStart w:id="11" w:name="_Toc358364319"/>
      <w:bookmarkStart w:id="12" w:name="_Toc380336725"/>
      <w:bookmarkStart w:id="13" w:name="_Toc9257"/>
      <w:r>
        <w:rPr>
          <w:rFonts w:hint="eastAsia" w:ascii="宋体" w:hAnsi="宋体" w:cs="宋体"/>
          <w:szCs w:val="28"/>
        </w:rPr>
        <w:t>适用范围</w:t>
      </w:r>
      <w:bookmarkEnd w:id="10"/>
      <w:bookmarkEnd w:id="11"/>
      <w:bookmarkEnd w:id="12"/>
      <w:bookmarkEnd w:id="13"/>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本招标文件适用于本次招标活动的全过程。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本次采购属政府采购，采购人、采购代理机构、供应商、评标委员会的相关行为均受《中华人民共和国政府采购法》及实施条例、财政部规章及政府采购项目所在地有关法规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8"/>
        </w:numPr>
        <w:spacing w:line="500" w:lineRule="exact"/>
        <w:ind w:firstLine="562" w:firstLineChars="200"/>
        <w:rPr>
          <w:rFonts w:ascii="宋体" w:hAnsi="宋体" w:cs="宋体"/>
          <w:szCs w:val="28"/>
        </w:rPr>
      </w:pPr>
      <w:bookmarkStart w:id="14" w:name="_Toc23781"/>
      <w:bookmarkStart w:id="15" w:name="_Toc17676"/>
      <w:bookmarkStart w:id="16" w:name="_Toc380336727"/>
      <w:bookmarkStart w:id="17" w:name="_Toc358364321"/>
      <w:r>
        <w:rPr>
          <w:rFonts w:hint="eastAsia" w:ascii="宋体" w:hAnsi="宋体" w:cs="宋体"/>
          <w:szCs w:val="28"/>
        </w:rPr>
        <w:t>合格的</w:t>
      </w:r>
      <w:bookmarkEnd w:id="14"/>
      <w:bookmarkEnd w:id="15"/>
      <w:bookmarkEnd w:id="16"/>
      <w:bookmarkEnd w:id="17"/>
      <w:r>
        <w:rPr>
          <w:rFonts w:hint="eastAsia" w:ascii="宋体" w:hAnsi="宋体" w:cs="宋体"/>
          <w:szCs w:val="28"/>
        </w:rPr>
        <w:t>供应商</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2.2供应商应独立于采购人，不得直接或间接地与采购人为采购本次招标的货物进行设计、编制技术规格和其它文件所委托的咨询公司或其附属机构有任何关联。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2.3供应商存在下列情形之一，其投标文件按无效文件处理。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8"/>
        </w:numPr>
        <w:spacing w:line="500" w:lineRule="exact"/>
        <w:ind w:firstLine="562" w:firstLineChars="200"/>
        <w:rPr>
          <w:rFonts w:ascii="宋体" w:hAnsi="宋体" w:cs="宋体"/>
          <w:szCs w:val="28"/>
        </w:rPr>
      </w:pPr>
      <w:bookmarkStart w:id="18" w:name="_Toc380336728"/>
      <w:bookmarkStart w:id="19" w:name="_Toc22444"/>
      <w:bookmarkStart w:id="20" w:name="_Toc540"/>
      <w:bookmarkStart w:id="21" w:name="_Toc358364322"/>
      <w:r>
        <w:rPr>
          <w:rFonts w:hint="eastAsia" w:ascii="宋体" w:hAnsi="宋体" w:cs="宋体"/>
          <w:szCs w:val="28"/>
        </w:rPr>
        <w:t>费用</w:t>
      </w:r>
      <w:bookmarkEnd w:id="18"/>
      <w:bookmarkEnd w:id="19"/>
      <w:bookmarkEnd w:id="20"/>
      <w:bookmarkEnd w:id="21"/>
    </w:p>
    <w:p>
      <w:pPr>
        <w:widowControl/>
        <w:spacing w:line="500" w:lineRule="exact"/>
        <w:ind w:firstLine="480" w:firstLineChars="200"/>
        <w:jc w:val="left"/>
        <w:rPr>
          <w:rFonts w:ascii="宋体" w:hAnsi="宋体" w:cs="宋体"/>
          <w:sz w:val="24"/>
          <w:szCs w:val="24"/>
        </w:rPr>
      </w:pPr>
      <w:bookmarkStart w:id="22" w:name="_Toc17817"/>
      <w:bookmarkStart w:id="23" w:name="_Toc5801"/>
      <w:r>
        <w:rPr>
          <w:rFonts w:hint="eastAsia" w:ascii="宋体" w:hAnsi="宋体" w:cs="宋体"/>
          <w:sz w:val="24"/>
          <w:szCs w:val="24"/>
        </w:rPr>
        <w:t>供应商必须从代理机构购买招标文件，供应商自行转让或复制招标文件视为无效。招标文件一经售出，一律不退，仅作为本次</w:t>
      </w:r>
      <w:r>
        <w:rPr>
          <w:rFonts w:hint="eastAsia" w:ascii="宋体" w:hAnsi="宋体" w:cs="宋体"/>
          <w:sz w:val="24"/>
          <w:szCs w:val="24"/>
          <w:lang w:eastAsia="zh-CN"/>
        </w:rPr>
        <w:t>采购</w:t>
      </w:r>
      <w:r>
        <w:rPr>
          <w:rFonts w:hint="eastAsia" w:ascii="宋体" w:hAnsi="宋体" w:cs="宋体"/>
          <w:sz w:val="24"/>
          <w:szCs w:val="24"/>
        </w:rPr>
        <w:t>使用。</w:t>
      </w:r>
    </w:p>
    <w:p>
      <w:pPr>
        <w:spacing w:line="360" w:lineRule="auto"/>
        <w:ind w:firstLine="480" w:firstLineChars="200"/>
        <w:jc w:val="left"/>
        <w:rPr>
          <w:rFonts w:ascii="宋体" w:hAnsi="宋体" w:cs="宋体"/>
          <w:sz w:val="24"/>
        </w:rPr>
      </w:pPr>
      <w:r>
        <w:rPr>
          <w:rFonts w:hint="eastAsia" w:ascii="宋体" w:hAnsi="宋体" w:cs="宋体"/>
          <w:sz w:val="24"/>
        </w:rPr>
        <w:t>无论投标过程和结果如何，供应商自行承担与投标有关的全部费用。</w:t>
      </w:r>
    </w:p>
    <w:p>
      <w:pPr>
        <w:pStyle w:val="5"/>
        <w:numPr>
          <w:ilvl w:val="0"/>
          <w:numId w:val="8"/>
        </w:numPr>
        <w:spacing w:line="500" w:lineRule="exact"/>
        <w:ind w:firstLine="562" w:firstLineChars="200"/>
        <w:rPr>
          <w:rFonts w:ascii="宋体" w:hAnsi="宋体" w:cs="宋体"/>
          <w:szCs w:val="28"/>
        </w:rPr>
      </w:pPr>
      <w:r>
        <w:rPr>
          <w:rFonts w:hint="eastAsia" w:ascii="宋体" w:hAnsi="宋体" w:cs="宋体"/>
          <w:szCs w:val="28"/>
        </w:rPr>
        <w:t>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投标文件应当对招标文件实质性要求和条件作出满足性或有利于采购人的响应，否则，供应商的投标无效。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偏离是指投标文件不响应或者不满足招标文件提出的要求和条件，分为实质性偏离和非实质性偏离。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除法律、法规和招标文件规定的其他投标无效情形外，招标文件中用“★”符号标明的条款为实质性要求和条件，投标文件对其中任何一条的偏离，为实质性偏离，其投标无效。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投标文件偏离招标文件的非实质性要求和条件，为非实质性偏离。非实质性偏离的范围和项数应当符合投标须知前附表的规定，超出偏离范围和最高项数的投标无效。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投标文件对招标文件的全部偏离，均应在投标文件商务条款偏离表和技术参数偏离表中列明，除列明的内容外，视为供应商响应招标文件的全部要求。</w:t>
      </w:r>
    </w:p>
    <w:p>
      <w:pPr>
        <w:pStyle w:val="5"/>
        <w:numPr>
          <w:ilvl w:val="0"/>
          <w:numId w:val="8"/>
        </w:numPr>
        <w:spacing w:line="500" w:lineRule="exact"/>
        <w:ind w:firstLine="562" w:firstLineChars="200"/>
        <w:rPr>
          <w:rFonts w:ascii="宋体" w:hAnsi="宋体" w:cs="宋体"/>
          <w:szCs w:val="28"/>
        </w:rPr>
      </w:pPr>
      <w:bookmarkStart w:id="24" w:name="_Toc217446047"/>
      <w:r>
        <w:rPr>
          <w:rFonts w:hint="eastAsia" w:ascii="宋体" w:hAnsi="宋体" w:cs="宋体"/>
          <w:szCs w:val="28"/>
        </w:rPr>
        <w:t>知识产权</w:t>
      </w:r>
      <w:bookmarkEnd w:id="24"/>
    </w:p>
    <w:p>
      <w:pPr>
        <w:pStyle w:val="14"/>
        <w:spacing w:line="360" w:lineRule="auto"/>
        <w:ind w:left="0" w:leftChars="0" w:firstLine="480" w:firstLineChars="200"/>
        <w:rPr>
          <w:rFonts w:ascii="宋体" w:hAnsi="宋体" w:cs="宋体"/>
          <w:sz w:val="24"/>
          <w:szCs w:val="24"/>
        </w:rPr>
      </w:pPr>
      <w:r>
        <w:rPr>
          <w:rFonts w:hint="eastAsia" w:ascii="宋体" w:hAnsi="宋体" w:cs="宋体"/>
          <w:sz w:val="24"/>
          <w:szCs w:val="24"/>
        </w:rPr>
        <w:t>供应商应当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14"/>
        <w:spacing w:line="360" w:lineRule="auto"/>
        <w:ind w:left="0" w:leftChars="0" w:firstLine="480" w:firstLineChars="200"/>
        <w:rPr>
          <w:rFonts w:ascii="宋体" w:hAnsi="宋体" w:cs="宋体"/>
          <w:sz w:val="24"/>
          <w:szCs w:val="24"/>
        </w:rPr>
      </w:pPr>
      <w:r>
        <w:rPr>
          <w:rFonts w:hint="eastAsia" w:ascii="宋体" w:hAnsi="宋体" w:cs="宋体"/>
          <w:sz w:val="24"/>
          <w:szCs w:val="24"/>
        </w:rPr>
        <w:t>采购人享有本项目实施过程中产生的知识成果及知识产权。</w:t>
      </w:r>
    </w:p>
    <w:p>
      <w:pPr>
        <w:spacing w:line="360" w:lineRule="auto"/>
        <w:ind w:firstLine="480" w:firstLineChars="200"/>
        <w:rPr>
          <w:rFonts w:ascii="宋体" w:hAnsi="宋体" w:cs="宋体"/>
          <w:sz w:val="24"/>
          <w:szCs w:val="24"/>
        </w:rPr>
      </w:pPr>
      <w:r>
        <w:rPr>
          <w:rFonts w:hint="eastAsia" w:ascii="宋体" w:hAnsi="宋体" w:cs="宋体"/>
          <w:sz w:val="24"/>
          <w:szCs w:val="24"/>
        </w:rPr>
        <w:t>供应商如欲在项目实施过程中采用自有知识成果，需在投标文件中声明，并提供相关知识产权证明文件。使用该知识成果后，供应商需提供开发接口和开发手册等技术文档，并承诺提供无限期技术支持，采购人享有永久使用权。</w:t>
      </w:r>
    </w:p>
    <w:p>
      <w:pPr>
        <w:spacing w:line="360" w:lineRule="auto"/>
        <w:ind w:firstLine="480" w:firstLineChars="200"/>
        <w:rPr>
          <w:rFonts w:ascii="宋体" w:hAnsi="宋体" w:cs="宋体"/>
          <w:sz w:val="24"/>
          <w:szCs w:val="24"/>
        </w:rPr>
      </w:pPr>
      <w:r>
        <w:rPr>
          <w:rFonts w:hint="eastAsia" w:ascii="宋体" w:hAnsi="宋体" w:cs="宋体"/>
          <w:sz w:val="24"/>
          <w:szCs w:val="24"/>
        </w:rPr>
        <w:t>如采用供应商所不拥有的知识产权，则在投标报价中必须包括合法获取该知识产权的相关费用。</w:t>
      </w:r>
    </w:p>
    <w:p>
      <w:pPr>
        <w:pStyle w:val="29"/>
      </w:pPr>
    </w:p>
    <w:p>
      <w:pPr>
        <w:pStyle w:val="29"/>
      </w:pPr>
    </w:p>
    <w:bookmarkEnd w:id="22"/>
    <w:bookmarkEnd w:id="23"/>
    <w:p>
      <w:pPr>
        <w:spacing w:line="360" w:lineRule="auto"/>
        <w:jc w:val="left"/>
        <w:rPr>
          <w:rFonts w:ascii="宋体" w:hAnsi="宋体" w:cs="宋体"/>
          <w:kern w:val="0"/>
          <w:sz w:val="24"/>
          <w:szCs w:val="24"/>
        </w:rPr>
      </w:pPr>
      <w:bookmarkStart w:id="25" w:name="_Toc7144"/>
    </w:p>
    <w:p>
      <w:pPr>
        <w:rPr>
          <w:rFonts w:ascii="宋体" w:hAnsi="宋体" w:cs="宋体"/>
        </w:rPr>
      </w:pPr>
      <w:r>
        <w:rPr>
          <w:rFonts w:hint="eastAsia" w:ascii="宋体" w:hAnsi="宋体" w:cs="宋体"/>
        </w:rPr>
        <w:br w:type="page"/>
      </w:r>
    </w:p>
    <w:p>
      <w:pPr>
        <w:pStyle w:val="4"/>
        <w:numPr>
          <w:ilvl w:val="0"/>
          <w:numId w:val="10"/>
        </w:numPr>
        <w:jc w:val="center"/>
        <w:rPr>
          <w:rFonts w:ascii="宋体" w:hAnsi="宋体" w:cs="宋体"/>
          <w:sz w:val="36"/>
          <w:szCs w:val="28"/>
        </w:rPr>
      </w:pPr>
      <w:bookmarkStart w:id="26" w:name="_Toc1690"/>
      <w:r>
        <w:rPr>
          <w:rFonts w:hint="eastAsia" w:ascii="宋体" w:hAnsi="宋体" w:cs="宋体"/>
          <w:sz w:val="36"/>
          <w:szCs w:val="28"/>
        </w:rPr>
        <w:t>招标文件</w:t>
      </w:r>
      <w:bookmarkEnd w:id="25"/>
      <w:bookmarkEnd w:id="26"/>
    </w:p>
    <w:p>
      <w:pPr>
        <w:pStyle w:val="5"/>
        <w:keepNext w:val="0"/>
        <w:keepLines w:val="0"/>
        <w:numPr>
          <w:ilvl w:val="0"/>
          <w:numId w:val="11"/>
        </w:numPr>
        <w:spacing w:line="500" w:lineRule="exact"/>
        <w:ind w:firstLine="562" w:firstLineChars="200"/>
        <w:rPr>
          <w:rFonts w:ascii="宋体" w:hAnsi="宋体" w:cs="宋体"/>
          <w:szCs w:val="28"/>
        </w:rPr>
      </w:pPr>
      <w:r>
        <w:rPr>
          <w:rFonts w:hint="eastAsia" w:ascii="宋体" w:hAnsi="宋体" w:cs="宋体"/>
          <w:szCs w:val="28"/>
        </w:rPr>
        <w:t>招标文件的构成</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1.1 招标文件是供应商准备投标文件和参加投标的依据，同时也是评标的重要依据，具有准法律文件性质。本招标文件包括以下内容：</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公开招标公告；</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供应商须知前附表；</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评标方法；</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采购要求；</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合同条款；</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投标文件格式。</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color w:val="000000"/>
          <w:sz w:val="24"/>
          <w:szCs w:val="24"/>
        </w:rPr>
        <w:t>1.2</w:t>
      </w:r>
      <w:r>
        <w:rPr>
          <w:rFonts w:hint="eastAsia" w:ascii="宋体" w:hAnsi="宋体" w:cs="宋体"/>
          <w:sz w:val="24"/>
          <w:szCs w:val="24"/>
        </w:rPr>
        <w:t>供应商应认真阅读招标文件中所有的条款、事项、格式和技术规范、参数及要求等。供应商没有按照招标文件要求提交全部资料，或者没有对招标文件在各方面都</w:t>
      </w:r>
      <w:r>
        <w:rPr>
          <w:rFonts w:hint="eastAsia" w:ascii="宋体" w:hAnsi="宋体" w:cs="宋体"/>
          <w:sz w:val="24"/>
          <w:szCs w:val="24"/>
          <w:lang w:eastAsia="zh-CN"/>
        </w:rPr>
        <w:t>作出</w:t>
      </w:r>
      <w:r>
        <w:rPr>
          <w:rFonts w:hint="eastAsia" w:ascii="宋体" w:hAnsi="宋体" w:cs="宋体"/>
          <w:sz w:val="24"/>
          <w:szCs w:val="24"/>
        </w:rPr>
        <w:t>实质性响应，将导致其投标被拒绝或被认定为无效投标。</w:t>
      </w:r>
    </w:p>
    <w:p>
      <w:pPr>
        <w:pStyle w:val="5"/>
        <w:keepNext w:val="0"/>
        <w:keepLines w:val="0"/>
        <w:numPr>
          <w:ilvl w:val="0"/>
          <w:numId w:val="11"/>
        </w:numPr>
        <w:spacing w:line="500" w:lineRule="exact"/>
        <w:ind w:firstLine="562" w:firstLineChars="200"/>
        <w:rPr>
          <w:rFonts w:ascii="宋体" w:hAnsi="宋体" w:cs="宋体"/>
          <w:szCs w:val="28"/>
        </w:rPr>
      </w:pPr>
      <w:bookmarkStart w:id="27" w:name="_Toc19797"/>
      <w:r>
        <w:rPr>
          <w:rFonts w:hint="eastAsia" w:ascii="宋体" w:hAnsi="宋体" w:cs="宋体"/>
          <w:szCs w:val="28"/>
        </w:rPr>
        <w:t>招标文件的澄清</w:t>
      </w:r>
      <w:bookmarkEnd w:id="27"/>
    </w:p>
    <w:p>
      <w:pPr>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2.1 供应商应认真阅读和充分理解招标文件中所有的事项，如有问题或疑义请及时函告。否则，视为同意招标文件的一切条款和要求并承担由此引起的一切法律责任。凡因供应商对招标文件阅读不深、理解不透、误解、疏漏、或因市场行情了解不清造成的后果和风险均由供应商自行承担。</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2.2 任何对招标文件进行询问或要求进行澄清的供应商，均应在收到招标文件后七个工作日内按公开招标文件中的通讯地址以书面形式递交代理机构，采购人或代理机构对收到的任何询问或澄清要求将作出书面答复。</w:t>
      </w:r>
    </w:p>
    <w:p>
      <w:pPr>
        <w:pStyle w:val="5"/>
        <w:keepNext w:val="0"/>
        <w:keepLines w:val="0"/>
        <w:numPr>
          <w:ilvl w:val="0"/>
          <w:numId w:val="11"/>
        </w:numPr>
        <w:spacing w:line="500" w:lineRule="exact"/>
        <w:ind w:firstLine="562" w:firstLineChars="200"/>
        <w:rPr>
          <w:rFonts w:ascii="宋体" w:hAnsi="宋体" w:cs="宋体"/>
          <w:szCs w:val="28"/>
        </w:rPr>
      </w:pPr>
      <w:bookmarkStart w:id="28" w:name="_Toc6390"/>
      <w:r>
        <w:rPr>
          <w:rFonts w:hint="eastAsia" w:ascii="宋体" w:hAnsi="宋体" w:cs="宋体"/>
          <w:szCs w:val="28"/>
        </w:rPr>
        <w:t>招标文件的修改</w:t>
      </w:r>
      <w:bookmarkEnd w:id="28"/>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3.1 在投标截止时间十五日前，无论出于何种原因，代理机构可主动地或在解答供应商提出的澄清问题时，对招标文件进行修改。招标文件的澄清和修改将以书面形式通知所有供应商，并作为招标文件的补充，与其具有同等法律效力。</w:t>
      </w:r>
    </w:p>
    <w:p>
      <w:pPr>
        <w:tabs>
          <w:tab w:val="left" w:pos="0"/>
        </w:tabs>
        <w:adjustRightInd w:val="0"/>
        <w:snapToGrid w:val="0"/>
        <w:spacing w:line="500" w:lineRule="exact"/>
        <w:ind w:firstLine="480" w:firstLineChars="200"/>
        <w:jc w:val="left"/>
        <w:rPr>
          <w:rFonts w:ascii="宋体" w:hAnsi="宋体" w:cs="宋体"/>
          <w:b/>
          <w:bCs/>
          <w:color w:val="FF0000"/>
          <w:sz w:val="24"/>
          <w:szCs w:val="24"/>
        </w:rPr>
      </w:pPr>
      <w:r>
        <w:rPr>
          <w:rFonts w:hint="eastAsia" w:ascii="宋体" w:hAnsi="宋体" w:cs="宋体"/>
          <w:sz w:val="24"/>
          <w:szCs w:val="24"/>
        </w:rPr>
        <w:t>3.2 为方便供应商对招标文件修改或澄清内容有充分的时间进行补充修改，代理机构可适当延长投标截止时间和开标时间，在招标文件要求提交投标文件的截止日期前，将变更时间书面通知所有购买招标文件的供应商。</w:t>
      </w:r>
    </w:p>
    <w:p>
      <w:pPr>
        <w:pStyle w:val="5"/>
        <w:numPr>
          <w:ilvl w:val="0"/>
          <w:numId w:val="11"/>
        </w:numPr>
        <w:spacing w:line="500" w:lineRule="exact"/>
        <w:ind w:firstLine="562" w:firstLineChars="200"/>
        <w:rPr>
          <w:rFonts w:ascii="宋体" w:hAnsi="宋体" w:cs="宋体"/>
          <w:szCs w:val="28"/>
        </w:rPr>
      </w:pPr>
      <w:bookmarkStart w:id="29" w:name="_Toc5095"/>
      <w:r>
        <w:rPr>
          <w:rFonts w:hint="eastAsia" w:ascii="宋体" w:hAnsi="宋体" w:cs="宋体"/>
          <w:szCs w:val="28"/>
        </w:rPr>
        <w:t>招标文件的解释权归代理机构</w:t>
      </w:r>
      <w:bookmarkEnd w:id="29"/>
    </w:p>
    <w:p>
      <w:pPr>
        <w:pStyle w:val="5"/>
        <w:numPr>
          <w:ilvl w:val="0"/>
          <w:numId w:val="11"/>
        </w:numPr>
        <w:spacing w:line="360" w:lineRule="auto"/>
        <w:ind w:firstLine="562" w:firstLineChars="200"/>
        <w:rPr>
          <w:rFonts w:ascii="宋体" w:hAnsi="宋体" w:cs="宋体"/>
          <w:szCs w:val="28"/>
        </w:rPr>
      </w:pPr>
      <w:r>
        <w:rPr>
          <w:rFonts w:hint="eastAsia" w:ascii="宋体" w:hAnsi="宋体" w:cs="宋体"/>
          <w:szCs w:val="28"/>
        </w:rPr>
        <w:t>落实的政府采购政策</w:t>
      </w:r>
    </w:p>
    <w:p>
      <w:pPr>
        <w:tabs>
          <w:tab w:val="left" w:pos="0"/>
        </w:tabs>
        <w:adjustRightInd w:val="0"/>
        <w:snapToGrid w:val="0"/>
        <w:spacing w:line="500" w:lineRule="exact"/>
        <w:ind w:firstLine="480" w:firstLineChars="200"/>
        <w:jc w:val="left"/>
        <w:rPr>
          <w:rFonts w:hint="eastAsia" w:ascii="宋体" w:hAnsi="宋体" w:eastAsia="宋体" w:cs="宋体"/>
          <w:sz w:val="24"/>
          <w:szCs w:val="24"/>
        </w:rPr>
      </w:pPr>
      <w:bookmarkStart w:id="30" w:name="_Toc15601"/>
      <w:r>
        <w:rPr>
          <w:rFonts w:hint="eastAsia" w:ascii="宋体" w:hAnsi="宋体" w:eastAsia="宋体" w:cs="宋体"/>
          <w:sz w:val="24"/>
          <w:szCs w:val="24"/>
        </w:rPr>
        <w:t>5.1节能产品、环境标志产品</w:t>
      </w:r>
    </w:p>
    <w:p>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供应商所投产品，将依据《节能产品、环境标志产品品目清单》和认证证书实施政府优先采购和强制采购。</w:t>
      </w:r>
    </w:p>
    <w:p>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供应商可以提供所投产品经国家确定的认证机构出具的、处于有效期之内的节能产品、环境标志产品认证证书复印件。采购代理机构通过中国政府采购网（http：//www.ccgp.gov.cn/）对获证产品信息进行核对。</w:t>
      </w:r>
    </w:p>
    <w:p>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5.2中小企业</w:t>
      </w:r>
    </w:p>
    <w:p>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项目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见附件二）。</w:t>
      </w:r>
    </w:p>
    <w:p>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如项目非专门面向中小企业，在货物采购项目中，货物由小微企业制造，即货物由小微企业生产且使用该小微企业商号或者注册商标，无论供应商本身是否属于小微企业，符合小微企业政策条件。在工程采购项目中，工程由小微企业承建，即工程施工单位为小微企业，符合小微企业政策条件；在服务采购项目中，服务由小微企业承接，视为小微企业。符合中小企业政策条件的供应商参加政府采购活动，应当提供《中小企业声明函》（见附件二），不提供的在评标时不享受价格扣除优惠政策。货物和服务项目，对小型和微型企业的价格给予10%～20%的扣除，用扣除后的价格参与评审。工程项目，对小型和微型企业的价格给予3%～5%的扣除，用扣除后的价格参与评审。 </w:t>
      </w:r>
    </w:p>
    <w:p>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3</w:t>
      </w:r>
      <w:r>
        <w:rPr>
          <w:rFonts w:hint="eastAsia" w:ascii="宋体" w:hAnsi="宋体" w:eastAsia="宋体" w:cs="宋体"/>
          <w:sz w:val="24"/>
          <w:szCs w:val="24"/>
        </w:rPr>
        <w:t>依据《财政部、司法部关于政府采购支持监狱企业发展有关问题的通知》（财库〔2014〕68号）之规定，监狱企业参加政府采购活动，视同小微企业。应当提供由省级以上监狱管理局、戒毒管理局出具的属于监狱企业的证明文件，在评审时享受小微企业政策。未提供或出具证明文件的单位不符合相关要求的，不视为小微企业。</w:t>
      </w:r>
    </w:p>
    <w:p>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4</w:t>
      </w:r>
      <w:r>
        <w:rPr>
          <w:rFonts w:hint="eastAsia" w:ascii="宋体" w:hAnsi="宋体" w:eastAsia="宋体" w:cs="宋体"/>
          <w:sz w:val="24"/>
          <w:szCs w:val="24"/>
        </w:rPr>
        <w:t>依据《财政部、民政部、中国残疾人联合会关于促进残疾人就业政府采购政策的通知》（财库〔2017〕141号）之规定，残疾人福利性单位参加政府采购活动，视同小微企业，应当提供《残疾人福利性单位声明函》，在评审时享受小微企业政策。未提供的不视为小微企业。</w:t>
      </w:r>
    </w:p>
    <w:p>
      <w:pPr>
        <w:tabs>
          <w:tab w:val="left" w:pos="0"/>
        </w:tabs>
        <w:adjustRightInd w:val="0"/>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残疾人福利性单位属于小微企业的，不重复享受政策。</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ascii="宋体" w:hAnsi="宋体" w:eastAsia="宋体" w:cs="宋体"/>
          <w:sz w:val="24"/>
          <w:szCs w:val="24"/>
        </w:rPr>
        <w:t>供应商提供的《中小企业声明函》或者《残疾人福利性单位声明函》存在明显错误的，评标委员会可以要求供应商作出澄清；澄清后，符合小微企业条件的，供应商可以享受价格扣</w:t>
      </w:r>
      <w:r>
        <w:rPr>
          <w:rFonts w:hint="eastAsia" w:hAnsi="宋体" w:cs="宋体"/>
          <w:sz w:val="24"/>
          <w:szCs w:val="24"/>
        </w:rPr>
        <w:t>除优惠政策；否则，不享受价格扣除优惠政策。</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hAnsi="宋体" w:cs="宋体"/>
          <w:sz w:val="24"/>
          <w:szCs w:val="24"/>
        </w:rPr>
        <w:t>享受中小企业扶持政策的供应商可以同时享受节能产品、环境标志产品优先采购政策。</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hAnsi="宋体" w:cs="宋体"/>
          <w:sz w:val="24"/>
          <w:szCs w:val="24"/>
        </w:rPr>
        <w:t>政府采购监督检查、投诉处理及政府采购行政处罚中对中小企业的认定，由货物制造商注册登记所在地的县级以上人民政府中小企业主管部门负责。</w:t>
      </w:r>
    </w:p>
    <w:p>
      <w:pPr>
        <w:tabs>
          <w:tab w:val="left" w:pos="0"/>
        </w:tabs>
        <w:adjustRightInd w:val="0"/>
        <w:snapToGri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5</w:t>
      </w:r>
      <w:r>
        <w:rPr>
          <w:rFonts w:hint="eastAsia" w:ascii="宋体" w:hAnsi="宋体" w:cs="宋体"/>
          <w:sz w:val="24"/>
          <w:szCs w:val="24"/>
        </w:rPr>
        <w:t xml:space="preserve"> 《财政部 农业农村部 国家乡村振兴局关于运用政府采购政策支持乡村产业振兴的通知》 （财库〔2021〕19号）。</w:t>
      </w:r>
    </w:p>
    <w:p>
      <w:pPr>
        <w:tabs>
          <w:tab w:val="left" w:pos="0"/>
        </w:tabs>
        <w:adjustRightInd w:val="0"/>
        <w:snapToGrid w:val="0"/>
        <w:spacing w:line="500" w:lineRule="exact"/>
        <w:ind w:firstLine="480" w:firstLineChars="200"/>
        <w:jc w:val="left"/>
        <w:rPr>
          <w:rFonts w:hint="eastAsia" w:ascii="宋体" w:hAnsi="宋体" w:cs="宋体"/>
          <w:sz w:val="24"/>
          <w:szCs w:val="24"/>
        </w:rPr>
        <w:sectPr>
          <w:pgSz w:w="11906" w:h="16838"/>
          <w:pgMar w:top="1440" w:right="1706" w:bottom="1440" w:left="1800" w:header="851" w:footer="992" w:gutter="0"/>
          <w:pgNumType w:fmt="decimal"/>
          <w:cols w:space="720" w:num="1"/>
          <w:docGrid w:type="lines" w:linePitch="312" w:charSpace="0"/>
        </w:sectPr>
      </w:pPr>
      <w:r>
        <w:rPr>
          <w:rFonts w:hint="eastAsia" w:ascii="宋体" w:hAnsi="宋体" w:cs="宋体"/>
          <w:sz w:val="24"/>
          <w:szCs w:val="24"/>
        </w:rPr>
        <w:t>5.</w:t>
      </w:r>
      <w:r>
        <w:rPr>
          <w:rFonts w:hint="eastAsia" w:ascii="宋体" w:hAnsi="宋体" w:cs="宋体"/>
          <w:sz w:val="24"/>
          <w:szCs w:val="24"/>
          <w:lang w:val="en-US" w:eastAsia="zh-CN"/>
        </w:rPr>
        <w:t>6</w:t>
      </w:r>
      <w:r>
        <w:rPr>
          <w:rFonts w:hint="eastAsia" w:ascii="宋体" w:hAnsi="宋体" w:cs="宋体"/>
          <w:sz w:val="24"/>
          <w:szCs w:val="24"/>
        </w:rPr>
        <w:t>供应商有融资、担保需求的：《陕西省财政厅关于印发&lt;陕西省中小企业政府采购信用融资办法&gt;的通知》（陕财办采〔2018〕23号）相关政策、业务流程、办理平台（http://www.ccgp-shaanxi.gov.cn/zcdservice/zcd/shanxi/）。</w:t>
      </w:r>
    </w:p>
    <w:p>
      <w:pPr>
        <w:pStyle w:val="4"/>
        <w:jc w:val="center"/>
        <w:rPr>
          <w:rFonts w:ascii="宋体" w:hAnsi="宋体" w:cs="宋体"/>
          <w:sz w:val="36"/>
          <w:szCs w:val="28"/>
        </w:rPr>
      </w:pPr>
      <w:bookmarkStart w:id="31" w:name="_Toc30808"/>
      <w:r>
        <w:rPr>
          <w:rFonts w:hint="eastAsia" w:ascii="宋体" w:hAnsi="宋体" w:cs="宋体"/>
          <w:sz w:val="36"/>
          <w:szCs w:val="28"/>
        </w:rPr>
        <w:t>三、投标文件</w:t>
      </w:r>
      <w:bookmarkEnd w:id="30"/>
      <w:bookmarkEnd w:id="31"/>
    </w:p>
    <w:p>
      <w:pPr>
        <w:pStyle w:val="5"/>
        <w:numPr>
          <w:ilvl w:val="0"/>
          <w:numId w:val="13"/>
        </w:numPr>
        <w:spacing w:line="500" w:lineRule="exact"/>
        <w:ind w:firstLine="562" w:firstLineChars="200"/>
        <w:rPr>
          <w:rFonts w:ascii="宋体" w:hAnsi="宋体" w:cs="宋体"/>
          <w:szCs w:val="28"/>
        </w:rPr>
      </w:pPr>
      <w:bookmarkStart w:id="32" w:name="_Toc17549"/>
      <w:r>
        <w:rPr>
          <w:rFonts w:hint="eastAsia" w:ascii="宋体" w:hAnsi="宋体" w:cs="宋体"/>
          <w:szCs w:val="28"/>
        </w:rPr>
        <w:t>投标文件的编制</w:t>
      </w:r>
      <w:bookmarkEnd w:id="32"/>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供应商需依据招标文件内容和投标文件格式的要求编制投标文件，具体内容参见“第七部分 投标文件格式”。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投标文件规格幅面（A4），</w:t>
      </w:r>
      <w:r>
        <w:rPr>
          <w:rFonts w:hint="eastAsia" w:ascii="宋体" w:hAnsi="宋体" w:cs="宋体"/>
          <w:b/>
          <w:bCs/>
          <w:sz w:val="24"/>
          <w:szCs w:val="24"/>
        </w:rPr>
        <w:t>推荐采用双面打印</w:t>
      </w:r>
      <w:r>
        <w:rPr>
          <w:rFonts w:hint="eastAsia" w:ascii="宋体" w:hAnsi="宋体" w:cs="宋体"/>
          <w:sz w:val="24"/>
          <w:szCs w:val="24"/>
        </w:rPr>
        <w:t>，按照招标文件所规定的内容顺序，统一编目、编页码装订，由于编排混乱导致投标文件被误读或查找不到，其责任应当由供应商承担。装订必须采用胶装形式，不得采用活页装订，必须编排页码。</w:t>
      </w:r>
    </w:p>
    <w:p>
      <w:pPr>
        <w:pStyle w:val="5"/>
        <w:numPr>
          <w:ilvl w:val="0"/>
          <w:numId w:val="13"/>
        </w:numPr>
        <w:spacing w:line="500" w:lineRule="exact"/>
        <w:ind w:firstLine="482" w:firstLineChars="200"/>
        <w:rPr>
          <w:rFonts w:ascii="宋体" w:hAnsi="宋体" w:cs="宋体"/>
          <w:sz w:val="24"/>
          <w:szCs w:val="24"/>
        </w:rPr>
      </w:pPr>
      <w:bookmarkStart w:id="33" w:name="_Toc27646"/>
      <w:bookmarkStart w:id="34" w:name="_Toc1311"/>
      <w:r>
        <w:rPr>
          <w:rFonts w:hint="eastAsia" w:ascii="宋体" w:hAnsi="宋体" w:cs="宋体"/>
          <w:sz w:val="24"/>
          <w:szCs w:val="24"/>
        </w:rPr>
        <w:t>投标报价</w:t>
      </w:r>
      <w:bookmarkEnd w:id="33"/>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5"/>
        <w:numPr>
          <w:ilvl w:val="0"/>
          <w:numId w:val="13"/>
        </w:numPr>
        <w:spacing w:line="500" w:lineRule="exact"/>
        <w:ind w:firstLine="482" w:firstLineChars="200"/>
        <w:rPr>
          <w:rFonts w:ascii="宋体" w:hAnsi="宋体" w:cs="宋体"/>
          <w:sz w:val="24"/>
          <w:szCs w:val="24"/>
        </w:rPr>
      </w:pPr>
      <w:bookmarkStart w:id="35" w:name="_Toc29200"/>
      <w:r>
        <w:rPr>
          <w:rFonts w:hint="eastAsia" w:ascii="宋体" w:hAnsi="宋体" w:cs="宋体"/>
          <w:sz w:val="24"/>
          <w:szCs w:val="24"/>
        </w:rPr>
        <w:t>投标货币</w:t>
      </w:r>
      <w:bookmarkEnd w:id="35"/>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5"/>
        <w:numPr>
          <w:ilvl w:val="0"/>
          <w:numId w:val="13"/>
        </w:numPr>
        <w:spacing w:line="500" w:lineRule="exact"/>
        <w:ind w:firstLine="562" w:firstLineChars="200"/>
        <w:rPr>
          <w:rFonts w:ascii="宋体" w:hAnsi="宋体" w:cs="宋体"/>
          <w:szCs w:val="28"/>
        </w:rPr>
      </w:pPr>
      <w:r>
        <w:rPr>
          <w:rFonts w:hint="eastAsia" w:ascii="宋体" w:hAnsi="宋体" w:cs="宋体"/>
          <w:szCs w:val="28"/>
        </w:rPr>
        <w:t>投标保证金</w:t>
      </w:r>
      <w:bookmarkEnd w:id="34"/>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4.1 投标保证金按照供应商须知前附表要求缴纳。</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4.2 未中标供应商的投标保证金，在中标通知书发出后5个工作日内无息退还；中标供应商的投标保证金在合同签订后5个工作日内无息退还。</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4.3 发生下列情形之一的，代理机构将不予退还供应商缴纳的投标保证金：</w:t>
      </w:r>
    </w:p>
    <w:p>
      <w:pPr>
        <w:numPr>
          <w:ilvl w:val="0"/>
          <w:numId w:val="14"/>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投标有效期内供应商撤销其所投投标文件的；</w:t>
      </w:r>
    </w:p>
    <w:p>
      <w:pPr>
        <w:numPr>
          <w:ilvl w:val="0"/>
          <w:numId w:val="14"/>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在采购人确定中标人以前放弃中标候选资格的；</w:t>
      </w:r>
    </w:p>
    <w:p>
      <w:pPr>
        <w:numPr>
          <w:ilvl w:val="0"/>
          <w:numId w:val="14"/>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供应商企图影响开标、评标的任何活动，将导致投标被拒绝，并由其承担相应的法律责任；</w:t>
      </w:r>
    </w:p>
    <w:p>
      <w:pPr>
        <w:numPr>
          <w:ilvl w:val="0"/>
          <w:numId w:val="14"/>
        </w:numPr>
        <w:adjustRightInd w:val="0"/>
        <w:snapToGrid w:val="0"/>
        <w:spacing w:line="500" w:lineRule="exact"/>
        <w:rPr>
          <w:rFonts w:ascii="宋体" w:hAnsi="宋体" w:cs="宋体"/>
          <w:sz w:val="24"/>
          <w:szCs w:val="24"/>
        </w:rPr>
      </w:pPr>
      <w:r>
        <w:rPr>
          <w:rFonts w:hint="eastAsia" w:ascii="宋体" w:hAnsi="宋体" w:cs="宋体"/>
          <w:kern w:val="0"/>
          <w:sz w:val="24"/>
          <w:szCs w:val="24"/>
        </w:rPr>
        <w:t>除因不可抗力或招标文件认可的情形以外，供应商</w:t>
      </w:r>
      <w:r>
        <w:rPr>
          <w:rFonts w:hint="eastAsia" w:ascii="宋体" w:hAnsi="宋体" w:cs="宋体"/>
          <w:sz w:val="24"/>
          <w:szCs w:val="24"/>
        </w:rPr>
        <w:t>不与采购人签订合同的；</w:t>
      </w:r>
    </w:p>
    <w:p>
      <w:pPr>
        <w:numPr>
          <w:ilvl w:val="0"/>
          <w:numId w:val="14"/>
        </w:numPr>
        <w:adjustRightInd w:val="0"/>
        <w:snapToGrid w:val="0"/>
        <w:spacing w:line="500" w:lineRule="exact"/>
        <w:rPr>
          <w:rFonts w:ascii="宋体" w:hAnsi="宋体" w:cs="宋体"/>
          <w:sz w:val="24"/>
          <w:szCs w:val="24"/>
        </w:rPr>
      </w:pPr>
      <w:r>
        <w:rPr>
          <w:rFonts w:hint="eastAsia" w:ascii="宋体" w:hAnsi="宋体" w:cs="宋体"/>
          <w:sz w:val="24"/>
          <w:szCs w:val="24"/>
        </w:rPr>
        <w:t>由于中标人原因未能按照招标文件的规定</w:t>
      </w:r>
      <w:r>
        <w:rPr>
          <w:rFonts w:hint="eastAsia" w:ascii="宋体" w:hAnsi="宋体" w:cs="宋体"/>
          <w:sz w:val="24"/>
          <w:szCs w:val="24"/>
          <w:lang w:eastAsia="zh-CN"/>
        </w:rPr>
        <w:t>缴纳</w:t>
      </w:r>
      <w:r>
        <w:rPr>
          <w:rFonts w:hint="eastAsia" w:ascii="宋体" w:hAnsi="宋体" w:cs="宋体"/>
          <w:sz w:val="24"/>
          <w:szCs w:val="24"/>
        </w:rPr>
        <w:t>履约保证金；</w:t>
      </w:r>
    </w:p>
    <w:p>
      <w:pPr>
        <w:numPr>
          <w:ilvl w:val="0"/>
          <w:numId w:val="14"/>
        </w:numPr>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投标有效期内，供应商在政府采购活动中有违法、违规、违纪行为；</w:t>
      </w:r>
    </w:p>
    <w:p>
      <w:pPr>
        <w:numPr>
          <w:ilvl w:val="0"/>
          <w:numId w:val="14"/>
        </w:numPr>
        <w:adjustRightInd w:val="0"/>
        <w:snapToGrid w:val="0"/>
        <w:spacing w:line="500" w:lineRule="exact"/>
        <w:rPr>
          <w:rFonts w:ascii="宋体" w:hAnsi="宋体" w:cs="宋体"/>
          <w:sz w:val="24"/>
          <w:szCs w:val="24"/>
        </w:rPr>
      </w:pPr>
      <w:r>
        <w:rPr>
          <w:rFonts w:hint="eastAsia" w:ascii="宋体" w:hAnsi="宋体" w:cs="宋体"/>
          <w:sz w:val="24"/>
          <w:szCs w:val="24"/>
        </w:rPr>
        <w:t xml:space="preserve">中标人与采购人订立背离合同实质性内容的其它协议； </w:t>
      </w:r>
    </w:p>
    <w:p>
      <w:pPr>
        <w:numPr>
          <w:ilvl w:val="0"/>
          <w:numId w:val="14"/>
        </w:numPr>
        <w:adjustRightInd w:val="0"/>
        <w:snapToGrid w:val="0"/>
        <w:spacing w:line="500" w:lineRule="exact"/>
        <w:rPr>
          <w:rFonts w:ascii="宋体" w:hAnsi="宋体" w:cs="宋体"/>
          <w:sz w:val="24"/>
          <w:szCs w:val="24"/>
        </w:rPr>
      </w:pPr>
      <w:r>
        <w:rPr>
          <w:rFonts w:hint="eastAsia" w:ascii="宋体" w:hAnsi="宋体" w:cs="宋体"/>
          <w:sz w:val="24"/>
          <w:szCs w:val="24"/>
        </w:rPr>
        <w:t>供应商未按招标文件规定和合同约定履行义务的。</w:t>
      </w:r>
    </w:p>
    <w:p>
      <w:pPr>
        <w:pStyle w:val="5"/>
        <w:numPr>
          <w:ilvl w:val="0"/>
          <w:numId w:val="13"/>
        </w:numPr>
        <w:spacing w:line="500" w:lineRule="exact"/>
        <w:ind w:firstLine="562" w:firstLineChars="200"/>
        <w:rPr>
          <w:rFonts w:ascii="宋体" w:hAnsi="宋体" w:cs="宋体"/>
          <w:szCs w:val="28"/>
        </w:rPr>
      </w:pPr>
      <w:bookmarkStart w:id="36" w:name="_Toc19668"/>
      <w:r>
        <w:rPr>
          <w:rFonts w:hint="eastAsia" w:ascii="宋体" w:hAnsi="宋体" w:cs="宋体"/>
          <w:szCs w:val="28"/>
        </w:rPr>
        <w:t>投标有效期</w:t>
      </w:r>
      <w:bookmarkEnd w:id="36"/>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投标有效期见供应商须知前附表，无投标有效期或投标有效期短于此规定期限的投标文件，视为无效文件，其投标将被拒绝。</w:t>
      </w:r>
    </w:p>
    <w:p>
      <w:pPr>
        <w:pStyle w:val="5"/>
        <w:numPr>
          <w:ilvl w:val="0"/>
          <w:numId w:val="13"/>
        </w:numPr>
        <w:spacing w:line="500" w:lineRule="exact"/>
        <w:ind w:firstLine="562" w:firstLineChars="200"/>
        <w:rPr>
          <w:rFonts w:ascii="宋体" w:hAnsi="宋体" w:cs="宋体"/>
          <w:szCs w:val="28"/>
        </w:rPr>
      </w:pPr>
      <w:bookmarkStart w:id="37" w:name="_Toc24827"/>
      <w:r>
        <w:rPr>
          <w:rFonts w:hint="eastAsia" w:ascii="宋体" w:hAnsi="宋体" w:cs="宋体"/>
          <w:szCs w:val="28"/>
        </w:rPr>
        <w:t>投标文件的装订、签署和</w:t>
      </w:r>
      <w:bookmarkEnd w:id="37"/>
      <w:r>
        <w:rPr>
          <w:rFonts w:hint="eastAsia" w:ascii="宋体" w:hAnsi="宋体" w:cs="宋体"/>
          <w:szCs w:val="28"/>
        </w:rPr>
        <w:t>密封</w:t>
      </w:r>
    </w:p>
    <w:p>
      <w:pPr>
        <w:tabs>
          <w:tab w:val="left" w:pos="0"/>
        </w:tabs>
        <w:spacing w:line="500" w:lineRule="exact"/>
        <w:ind w:firstLine="480" w:firstLineChars="200"/>
        <w:rPr>
          <w:rFonts w:ascii="宋体" w:hAnsi="宋体" w:cs="宋体"/>
          <w:sz w:val="24"/>
          <w:szCs w:val="24"/>
        </w:rPr>
      </w:pPr>
      <w:bookmarkStart w:id="38" w:name="_Toc22752"/>
      <w:r>
        <w:rPr>
          <w:rFonts w:hint="eastAsia" w:ascii="宋体" w:hAnsi="宋体" w:cs="宋体"/>
          <w:sz w:val="24"/>
          <w:szCs w:val="24"/>
        </w:rPr>
        <w:t>6.1 投标文件的装订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 投标文件的签署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6.3 投标文件的密封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bookmarkEnd w:id="38"/>
    <w:p>
      <w:pPr>
        <w:widowControl/>
        <w:numPr>
          <w:ilvl w:val="0"/>
          <w:numId w:val="15"/>
        </w:numPr>
        <w:spacing w:line="500" w:lineRule="exact"/>
        <w:ind w:firstLine="482" w:firstLineChars="200"/>
        <w:jc w:val="center"/>
        <w:outlineLvl w:val="1"/>
        <w:rPr>
          <w:rFonts w:ascii="宋体" w:hAnsi="宋体" w:cs="宋体"/>
          <w:b/>
          <w:bCs/>
          <w:kern w:val="0"/>
          <w:sz w:val="24"/>
          <w:szCs w:val="24"/>
        </w:rPr>
        <w:sectPr>
          <w:footerReference r:id="rId9" w:type="default"/>
          <w:pgSz w:w="11906" w:h="16838"/>
          <w:pgMar w:top="1440" w:right="1706" w:bottom="1440" w:left="1800" w:header="851" w:footer="992" w:gutter="0"/>
          <w:pgNumType w:fmt="decimal"/>
          <w:cols w:space="720" w:num="1"/>
          <w:docGrid w:type="lines" w:linePitch="312" w:charSpace="0"/>
        </w:sectPr>
      </w:pPr>
      <w:bookmarkStart w:id="39" w:name="_Toc3736"/>
    </w:p>
    <w:p>
      <w:pPr>
        <w:widowControl/>
        <w:spacing w:before="159" w:beforeLines="50" w:after="159" w:afterLines="50" w:line="500" w:lineRule="exact"/>
        <w:jc w:val="center"/>
        <w:outlineLvl w:val="1"/>
        <w:rPr>
          <w:rFonts w:ascii="宋体" w:hAnsi="宋体" w:cs="宋体"/>
          <w:b/>
          <w:bCs/>
          <w:kern w:val="0"/>
          <w:sz w:val="32"/>
          <w:szCs w:val="28"/>
        </w:rPr>
      </w:pPr>
      <w:bookmarkStart w:id="40" w:name="_Toc23205"/>
      <w:bookmarkStart w:id="41" w:name="_Toc3565"/>
      <w:r>
        <w:rPr>
          <w:rFonts w:hint="eastAsia" w:ascii="宋体" w:hAnsi="宋体" w:cs="宋体"/>
          <w:b/>
          <w:bCs/>
          <w:kern w:val="0"/>
          <w:sz w:val="32"/>
          <w:szCs w:val="28"/>
        </w:rPr>
        <w:t>四、投标文件的递交</w:t>
      </w:r>
      <w:bookmarkEnd w:id="40"/>
      <w:bookmarkEnd w:id="41"/>
    </w:p>
    <w:bookmarkEnd w:id="39"/>
    <w:p>
      <w:pPr>
        <w:pStyle w:val="5"/>
        <w:keepNext w:val="0"/>
        <w:keepLines w:val="0"/>
        <w:numPr>
          <w:ilvl w:val="0"/>
          <w:numId w:val="16"/>
        </w:numPr>
        <w:spacing w:line="500" w:lineRule="exact"/>
        <w:ind w:firstLine="562" w:firstLineChars="200"/>
        <w:rPr>
          <w:rFonts w:ascii="宋体" w:hAnsi="宋体" w:cs="宋体"/>
          <w:szCs w:val="28"/>
        </w:rPr>
      </w:pPr>
      <w:bookmarkStart w:id="42" w:name="_Toc3685"/>
      <w:r>
        <w:rPr>
          <w:rFonts w:hint="eastAsia" w:ascii="宋体" w:hAnsi="宋体" w:cs="宋体"/>
          <w:szCs w:val="28"/>
        </w:rPr>
        <w:t>投标文件递交</w:t>
      </w:r>
      <w:bookmarkEnd w:id="42"/>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1.2逾期送达或者未按照招标文件要求密封的投标文件，采购代理机构应当拒收。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1.3代理机构不接受邮寄的投标文件。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无论供应商中标与否，其投标文件恕不退还。</w:t>
      </w:r>
    </w:p>
    <w:p>
      <w:pPr>
        <w:pStyle w:val="5"/>
        <w:keepNext w:val="0"/>
        <w:keepLines w:val="0"/>
        <w:numPr>
          <w:ilvl w:val="0"/>
          <w:numId w:val="16"/>
        </w:numPr>
        <w:spacing w:line="500" w:lineRule="exact"/>
        <w:ind w:firstLine="562" w:firstLineChars="200"/>
        <w:rPr>
          <w:rFonts w:ascii="宋体" w:hAnsi="宋体" w:cs="宋体"/>
          <w:szCs w:val="28"/>
        </w:rPr>
      </w:pPr>
      <w:bookmarkStart w:id="43" w:name="_Toc12741"/>
      <w:r>
        <w:rPr>
          <w:rFonts w:hint="eastAsia" w:ascii="宋体" w:hAnsi="宋体" w:cs="宋体"/>
          <w:szCs w:val="28"/>
        </w:rPr>
        <w:t>投标文件的修改和撤回</w:t>
      </w:r>
      <w:bookmarkEnd w:id="43"/>
    </w:p>
    <w:p>
      <w:pPr>
        <w:spacing w:line="500" w:lineRule="exact"/>
        <w:ind w:firstLine="480" w:firstLineChars="200"/>
        <w:jc w:val="left"/>
        <w:rPr>
          <w:rFonts w:ascii="宋体" w:hAnsi="宋体" w:cs="宋体"/>
          <w:sz w:val="24"/>
          <w:szCs w:val="24"/>
        </w:rPr>
      </w:pPr>
      <w:r>
        <w:rPr>
          <w:rFonts w:hint="eastAsia" w:ascii="宋体" w:hAnsi="宋体" w:cs="宋体"/>
          <w:sz w:val="24"/>
          <w:szCs w:val="24"/>
        </w:rPr>
        <w:t>2.1 供应商可以在投标截止时间前，对所递交的投标文件进行补充、修改或者撤回，并以书面形式通知采购代理机构（或采购人)。</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2.2 供应商撤回投标的要求应由供应商法定代表人或供应商代表签署，补充、修改投标文件的书面材料，应当按照招标文件要求签署、盖章、密封，作为投标文件的组成部分，在投标截止时间前密封送达开标地点，同时应在封套上标明“修改投标文件(并注明项目编号)”字样。</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2.3 在投标截止时间之后，供应商不得对其投标文件进行补充、修改或撤回。</w:t>
      </w:r>
    </w:p>
    <w:p>
      <w:pPr>
        <w:widowControl/>
        <w:spacing w:before="159" w:beforeLines="50" w:after="159" w:afterLines="50" w:line="500" w:lineRule="exact"/>
        <w:jc w:val="center"/>
        <w:outlineLvl w:val="1"/>
        <w:rPr>
          <w:rFonts w:ascii="宋体" w:hAnsi="宋体" w:cs="宋体"/>
          <w:b/>
          <w:bCs/>
          <w:kern w:val="0"/>
          <w:sz w:val="32"/>
          <w:szCs w:val="28"/>
        </w:rPr>
      </w:pPr>
      <w:bookmarkStart w:id="44" w:name="_Toc27066"/>
      <w:bookmarkStart w:id="45" w:name="_Toc14415"/>
      <w:bookmarkStart w:id="46" w:name="_Toc19681"/>
      <w:r>
        <w:rPr>
          <w:rFonts w:hint="eastAsia" w:ascii="宋体" w:hAnsi="宋体" w:cs="宋体"/>
          <w:b/>
          <w:bCs/>
          <w:kern w:val="0"/>
          <w:sz w:val="32"/>
          <w:szCs w:val="28"/>
        </w:rPr>
        <w:t>五、 开标、评审、定标</w:t>
      </w:r>
      <w:bookmarkEnd w:id="44"/>
      <w:bookmarkEnd w:id="45"/>
      <w:bookmarkEnd w:id="46"/>
    </w:p>
    <w:p>
      <w:pPr>
        <w:pStyle w:val="5"/>
        <w:keepNext w:val="0"/>
        <w:keepLines w:val="0"/>
        <w:numPr>
          <w:ilvl w:val="0"/>
          <w:numId w:val="17"/>
        </w:numPr>
        <w:spacing w:line="500" w:lineRule="exact"/>
        <w:ind w:firstLine="562"/>
        <w:rPr>
          <w:rFonts w:ascii="宋体" w:hAnsi="宋体" w:cs="宋体"/>
          <w:szCs w:val="28"/>
        </w:rPr>
      </w:pPr>
      <w:bookmarkStart w:id="47" w:name="_Toc27216"/>
      <w:r>
        <w:rPr>
          <w:rFonts w:hint="eastAsia" w:ascii="宋体" w:hAnsi="宋体" w:cs="宋体"/>
          <w:szCs w:val="28"/>
        </w:rPr>
        <w:t>开标</w:t>
      </w:r>
      <w:bookmarkEnd w:id="47"/>
    </w:p>
    <w:p>
      <w:pPr>
        <w:widowControl/>
        <w:tabs>
          <w:tab w:val="left" w:pos="0"/>
        </w:tabs>
        <w:spacing w:line="500" w:lineRule="exact"/>
        <w:ind w:firstLine="480" w:firstLineChars="200"/>
        <w:jc w:val="left"/>
        <w:rPr>
          <w:rFonts w:ascii="宋体" w:hAnsi="宋体" w:cs="宋体"/>
          <w:color w:val="000000"/>
          <w:sz w:val="24"/>
          <w:szCs w:val="24"/>
          <w:highlight w:val="yellow"/>
        </w:rPr>
      </w:pPr>
      <w:r>
        <w:rPr>
          <w:rFonts w:hint="eastAsia" w:ascii="宋体" w:hAnsi="宋体" w:cs="宋体"/>
          <w:sz w:val="24"/>
          <w:szCs w:val="24"/>
        </w:rPr>
        <w:t>1.1 采购代理机构按招标公告中规定的时间和地点接收供应商递交的投标文件，主持开标会议，邀请供应商参加</w:t>
      </w:r>
      <w:r>
        <w:rPr>
          <w:rFonts w:hint="eastAsia" w:ascii="宋体" w:hAnsi="宋体" w:cs="宋体"/>
          <w:color w:val="000000"/>
          <w:sz w:val="24"/>
          <w:szCs w:val="24"/>
        </w:rPr>
        <w:t>，评标委员会成员不得参加开标活动。</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1.2开标时，由供应商或者其推选的代表检查投标文件的密封情况；经确认无误后，由采购代理机构工作人员当众拆封，宣布供应商名称、投标价格和招标文件规定的需要宣布的其他内容。代理机构指定专人负责将供应商的名称、投标项目名称、投标价格等进行记录，并存档备案；所有投标唱标完毕，如供应商代表对宣读的“报价一览表”上的内容有异议的，应在获得开标会议主持人同意后当场提出。如确实属于唱标人员宣读错误，经供应商代表核实后，当场予以更正，不属于唱标人员宣读错误的，以单独密封的报价一览表为准。</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1.3开标时，投标文件中出现下列情况，修正原则为：</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投标文件中报价一览表（报价表）内容与投标文件中相应内容不一致的，以报价一览表（报价表）为准；</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单价金额小数点或者百分比有明显错位的，以报价一览表的总价为准，并修改单价；</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 xml:space="preserve">总价金额与按单价汇总金额不一致的，以单价金额计算结果为准；报价金额精确到小数点后两位，不进行四舍五入；  </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投标文件正本与副本不一致的，以正本为准；</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投标文件单独密封递交的报价一览表与正本不一致的，以单独密封递交的报价一览表为准；</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同时出现两种以上不一致的，按照前款规定的顺序修正。修正后的报价按照《政府采购货物和服务招标投标管理办法》第五十一条第二款的规定经供应商确认后产生约束力，供应商不确认的，其投标无效。</w:t>
      </w:r>
    </w:p>
    <w:p>
      <w:pPr>
        <w:pStyle w:val="5"/>
        <w:keepNext w:val="0"/>
        <w:keepLines w:val="0"/>
        <w:numPr>
          <w:ilvl w:val="0"/>
          <w:numId w:val="17"/>
        </w:numPr>
        <w:spacing w:line="500" w:lineRule="exact"/>
        <w:ind w:firstLine="562"/>
        <w:rPr>
          <w:rFonts w:ascii="宋体" w:hAnsi="宋体" w:cs="宋体"/>
          <w:szCs w:val="28"/>
        </w:rPr>
      </w:pPr>
      <w:bookmarkStart w:id="48" w:name="_Toc20569"/>
      <w:bookmarkStart w:id="49" w:name="_Toc358364344"/>
      <w:bookmarkStart w:id="50" w:name="_Toc380336750"/>
      <w:bookmarkStart w:id="51" w:name="_Toc801"/>
      <w:r>
        <w:rPr>
          <w:rFonts w:hint="eastAsia" w:ascii="宋体" w:hAnsi="宋体" w:cs="宋体"/>
          <w:szCs w:val="28"/>
        </w:rPr>
        <w:t>评标委员会</w:t>
      </w:r>
      <w:bookmarkEnd w:id="48"/>
      <w:bookmarkEnd w:id="49"/>
      <w:bookmarkEnd w:id="50"/>
      <w:bookmarkEnd w:id="51"/>
    </w:p>
    <w:p>
      <w:pPr>
        <w:widowControl/>
        <w:spacing w:line="460" w:lineRule="exact"/>
        <w:ind w:firstLine="420" w:firstLineChars="175"/>
        <w:jc w:val="left"/>
        <w:rPr>
          <w:rFonts w:ascii="宋体" w:hAnsi="宋体" w:cs="宋体"/>
          <w:sz w:val="24"/>
          <w:szCs w:val="24"/>
        </w:rPr>
      </w:pPr>
      <w:r>
        <w:rPr>
          <w:rFonts w:hint="eastAsia" w:ascii="宋体" w:hAnsi="宋体" w:cs="宋体"/>
          <w:kern w:val="0"/>
          <w:sz w:val="24"/>
          <w:szCs w:val="24"/>
        </w:rPr>
        <w:t>2.1</w:t>
      </w:r>
      <w:r>
        <w:rPr>
          <w:rFonts w:hint="eastAsia" w:ascii="宋体" w:hAnsi="宋体" w:cs="宋体"/>
          <w:sz w:val="24"/>
          <w:szCs w:val="24"/>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2.1.1遵纪守法，客观、公正、认真负责地履行职责，审查投标文件是否符合招标文件的要求，并</w:t>
      </w:r>
      <w:r>
        <w:rPr>
          <w:rFonts w:hint="eastAsia" w:ascii="宋体" w:hAnsi="宋体" w:cs="宋体"/>
          <w:sz w:val="24"/>
          <w:szCs w:val="24"/>
          <w:lang w:eastAsia="zh-CN"/>
        </w:rPr>
        <w:t>作出</w:t>
      </w:r>
      <w:r>
        <w:rPr>
          <w:rFonts w:hint="eastAsia" w:ascii="宋体" w:hAnsi="宋体" w:cs="宋体"/>
          <w:sz w:val="24"/>
          <w:szCs w:val="24"/>
        </w:rPr>
        <w:t>评价；</w:t>
      </w:r>
    </w:p>
    <w:p>
      <w:pPr>
        <w:spacing w:line="360" w:lineRule="auto"/>
        <w:ind w:left="420"/>
        <w:jc w:val="left"/>
        <w:rPr>
          <w:rFonts w:ascii="宋体" w:hAnsi="宋体" w:cs="宋体"/>
          <w:sz w:val="24"/>
          <w:szCs w:val="24"/>
        </w:rPr>
      </w:pPr>
      <w:r>
        <w:rPr>
          <w:rFonts w:hint="eastAsia" w:ascii="宋体" w:hAnsi="宋体" w:cs="宋体"/>
          <w:sz w:val="24"/>
          <w:szCs w:val="24"/>
        </w:rPr>
        <w:t>2.1.2要求供应商对投标文件有关事项作出解释或澄清；</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2.1.3按照招标文件的要求和评审办法进行评标，推荐中标候选单位名单，对评审意见承担个人责任；</w:t>
      </w:r>
    </w:p>
    <w:p>
      <w:pPr>
        <w:spacing w:line="360" w:lineRule="auto"/>
        <w:ind w:left="420"/>
        <w:jc w:val="left"/>
        <w:rPr>
          <w:rFonts w:ascii="宋体" w:hAnsi="宋体" w:cs="宋体"/>
          <w:sz w:val="24"/>
          <w:szCs w:val="24"/>
        </w:rPr>
      </w:pPr>
      <w:r>
        <w:rPr>
          <w:rFonts w:hint="eastAsia" w:ascii="宋体" w:hAnsi="宋体" w:cs="宋体"/>
          <w:sz w:val="24"/>
          <w:szCs w:val="24"/>
        </w:rPr>
        <w:t>2.1.4对评标过程和结果以及供应商的商业秘密保密；</w:t>
      </w:r>
    </w:p>
    <w:p>
      <w:pPr>
        <w:spacing w:line="360" w:lineRule="auto"/>
        <w:ind w:left="420"/>
        <w:jc w:val="left"/>
        <w:rPr>
          <w:rFonts w:ascii="宋体" w:hAnsi="宋体" w:cs="宋体"/>
          <w:sz w:val="24"/>
          <w:szCs w:val="24"/>
        </w:rPr>
      </w:pPr>
      <w:r>
        <w:rPr>
          <w:rFonts w:hint="eastAsia" w:ascii="宋体" w:hAnsi="宋体" w:cs="宋体"/>
          <w:sz w:val="24"/>
          <w:szCs w:val="24"/>
        </w:rPr>
        <w:t>2.1.5参与评标结果报告的起草；</w:t>
      </w:r>
    </w:p>
    <w:p>
      <w:pPr>
        <w:spacing w:line="360" w:lineRule="auto"/>
        <w:ind w:left="420"/>
        <w:jc w:val="left"/>
        <w:rPr>
          <w:rFonts w:ascii="宋体" w:hAnsi="宋体" w:cs="宋体"/>
          <w:sz w:val="24"/>
          <w:szCs w:val="24"/>
        </w:rPr>
      </w:pPr>
      <w:r>
        <w:rPr>
          <w:rFonts w:hint="eastAsia" w:ascii="宋体" w:hAnsi="宋体" w:cs="宋体"/>
          <w:sz w:val="24"/>
          <w:szCs w:val="24"/>
        </w:rPr>
        <w:t>2.1.6配合采购人、代理机构答复供应商提出的质疑；</w:t>
      </w:r>
    </w:p>
    <w:p>
      <w:pPr>
        <w:spacing w:line="360" w:lineRule="auto"/>
        <w:ind w:left="420"/>
        <w:jc w:val="left"/>
        <w:rPr>
          <w:rFonts w:ascii="宋体" w:hAnsi="宋体" w:cs="宋体"/>
          <w:kern w:val="0"/>
          <w:sz w:val="24"/>
          <w:szCs w:val="24"/>
        </w:rPr>
      </w:pPr>
      <w:r>
        <w:rPr>
          <w:rFonts w:hint="eastAsia" w:ascii="宋体" w:hAnsi="宋体" w:cs="宋体"/>
          <w:sz w:val="24"/>
          <w:szCs w:val="24"/>
        </w:rPr>
        <w:t>2.1.7配合财政部门处理投诉工作；</w:t>
      </w:r>
    </w:p>
    <w:p>
      <w:pPr>
        <w:pStyle w:val="5"/>
        <w:numPr>
          <w:ilvl w:val="0"/>
          <w:numId w:val="17"/>
        </w:numPr>
        <w:spacing w:line="500" w:lineRule="exact"/>
        <w:ind w:firstLine="562"/>
        <w:rPr>
          <w:rFonts w:ascii="宋体" w:hAnsi="宋体" w:cs="宋体"/>
          <w:szCs w:val="28"/>
        </w:rPr>
      </w:pPr>
      <w:bookmarkStart w:id="52" w:name="_Toc27940"/>
      <w:bookmarkStart w:id="53" w:name="_Toc385958808"/>
      <w:bookmarkStart w:id="54" w:name="_Toc386129876"/>
      <w:bookmarkStart w:id="55" w:name="_Toc28085"/>
      <w:r>
        <w:rPr>
          <w:rFonts w:hint="eastAsia" w:ascii="宋体" w:hAnsi="宋体" w:cs="宋体"/>
          <w:szCs w:val="28"/>
        </w:rPr>
        <w:t>投标文件初审</w:t>
      </w:r>
      <w:bookmarkEnd w:id="52"/>
      <w:bookmarkEnd w:id="53"/>
      <w:bookmarkEnd w:id="54"/>
      <w:bookmarkEnd w:id="55"/>
    </w:p>
    <w:p>
      <w:pPr>
        <w:overflowPunct w:val="0"/>
        <w:adjustRightInd w:val="0"/>
        <w:snapToGrid w:val="0"/>
        <w:spacing w:line="500" w:lineRule="exact"/>
        <w:ind w:left="420"/>
        <w:rPr>
          <w:rFonts w:ascii="宋体" w:hAnsi="宋体" w:cs="宋体"/>
          <w:kern w:val="0"/>
          <w:sz w:val="24"/>
          <w:szCs w:val="24"/>
        </w:rPr>
      </w:pPr>
      <w:r>
        <w:rPr>
          <w:rFonts w:hint="eastAsia" w:ascii="宋体" w:hAnsi="宋体" w:cs="宋体"/>
          <w:kern w:val="0"/>
          <w:sz w:val="24"/>
          <w:szCs w:val="24"/>
        </w:rPr>
        <w:t xml:space="preserve"> 3.1 供应商的资格性审查</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依据法律法规和招标文件的规</w:t>
      </w:r>
      <w:r>
        <w:rPr>
          <w:rFonts w:hint="eastAsia" w:ascii="宋体" w:hAnsi="宋体" w:cs="宋体"/>
          <w:color w:val="000000"/>
          <w:kern w:val="0"/>
          <w:sz w:val="24"/>
          <w:szCs w:val="24"/>
        </w:rPr>
        <w:t>定，由采购人或代理机构对供应商的</w:t>
      </w:r>
      <w:r>
        <w:rPr>
          <w:rFonts w:hint="eastAsia" w:ascii="宋体" w:hAnsi="宋体" w:cs="宋体"/>
          <w:kern w:val="0"/>
          <w:sz w:val="24"/>
          <w:szCs w:val="24"/>
        </w:rPr>
        <w:t>资格证明文件进行审查，以确保供应商是否具备相应资格，资格审查内容详见供应商须知前附表。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 投标文件符合性审查</w:t>
      </w:r>
    </w:p>
    <w:p>
      <w:pPr>
        <w:pStyle w:val="16"/>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评标委员会应当对符合资格的供应商的投标文件进行符合性审查，以确定其是否满足招标文件的实质性要求。符合性审查内容详见供应商须知前附表。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3.3有下列情形之一的，视为供应商串通投标，其投标无效：</w:t>
      </w:r>
    </w:p>
    <w:p>
      <w:pPr>
        <w:pStyle w:val="26"/>
        <w:spacing w:after="210" w:afterAutospacing="0" w:line="27" w:lineRule="atLeast"/>
        <w:jc w:val="both"/>
      </w:pPr>
      <w:r>
        <w:rPr>
          <w:rFonts w:hint="eastAsia"/>
        </w:rPr>
        <w:t>　　（一）不同供应商的投标文件由同一单位或者个人编制；</w:t>
      </w:r>
    </w:p>
    <w:p>
      <w:pPr>
        <w:pStyle w:val="26"/>
        <w:spacing w:after="210" w:afterAutospacing="0" w:line="27" w:lineRule="atLeast"/>
        <w:jc w:val="both"/>
      </w:pPr>
      <w:r>
        <w:rPr>
          <w:rFonts w:hint="eastAsia"/>
        </w:rPr>
        <w:t>　　（二）不同供应商委托同一单位或者个人办理投标事宜；</w:t>
      </w:r>
    </w:p>
    <w:p>
      <w:pPr>
        <w:pStyle w:val="26"/>
        <w:spacing w:after="210" w:afterAutospacing="0" w:line="27" w:lineRule="atLeast"/>
        <w:jc w:val="both"/>
      </w:pPr>
      <w:r>
        <w:rPr>
          <w:rFonts w:hint="eastAsia"/>
        </w:rPr>
        <w:t>　　（三）不同供应商的投标文件载明的项目管理成员或者联系人员为同一人；</w:t>
      </w:r>
    </w:p>
    <w:p>
      <w:pPr>
        <w:pStyle w:val="26"/>
        <w:spacing w:after="210" w:afterAutospacing="0" w:line="27" w:lineRule="atLeast"/>
        <w:jc w:val="both"/>
      </w:pPr>
      <w:r>
        <w:rPr>
          <w:rFonts w:hint="eastAsia"/>
        </w:rPr>
        <w:t>　　（四）不同供应商的投标文件异常一致或者投标报价呈规律性差异；</w:t>
      </w:r>
    </w:p>
    <w:p>
      <w:pPr>
        <w:pStyle w:val="26"/>
        <w:spacing w:after="210" w:afterAutospacing="0" w:line="27" w:lineRule="atLeast"/>
        <w:jc w:val="both"/>
      </w:pPr>
      <w:r>
        <w:rPr>
          <w:rFonts w:hint="eastAsia"/>
        </w:rPr>
        <w:t>　　（五）不同供应商的投标文件相互混装；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3.4对通过审查的，被认为其投标文件完整、合格，投标有效，可进入下阶段的评标。</w:t>
      </w:r>
    </w:p>
    <w:p>
      <w:pPr>
        <w:pStyle w:val="5"/>
        <w:numPr>
          <w:ilvl w:val="0"/>
          <w:numId w:val="17"/>
        </w:numPr>
        <w:spacing w:line="500" w:lineRule="exact"/>
        <w:ind w:firstLine="562"/>
        <w:rPr>
          <w:rFonts w:ascii="宋体" w:hAnsi="宋体" w:cs="宋体"/>
          <w:szCs w:val="28"/>
        </w:rPr>
      </w:pPr>
      <w:bookmarkStart w:id="56" w:name="_Toc17705"/>
      <w:r>
        <w:rPr>
          <w:rFonts w:hint="eastAsia" w:ascii="宋体" w:hAnsi="宋体" w:cs="宋体"/>
          <w:szCs w:val="28"/>
        </w:rPr>
        <w:t>投标文件澄清</w:t>
      </w:r>
      <w:bookmarkEnd w:id="56"/>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4.1 在评标期间,采购代理机构可根据评标委员会对其投标文件有疑义不清楚的内容，要求供应商对其投标文件进行澄清。</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4.2 供应商必须按照评标委员会通知的内容和时间</w:t>
      </w:r>
      <w:r>
        <w:rPr>
          <w:rFonts w:hint="eastAsia" w:ascii="宋体" w:hAnsi="宋体" w:cs="宋体"/>
          <w:kern w:val="0"/>
          <w:sz w:val="24"/>
          <w:szCs w:val="24"/>
          <w:lang w:eastAsia="zh-CN"/>
        </w:rPr>
        <w:t>作出</w:t>
      </w:r>
      <w:r>
        <w:rPr>
          <w:rFonts w:hint="eastAsia" w:ascii="宋体" w:hAnsi="宋体" w:cs="宋体"/>
          <w:kern w:val="0"/>
          <w:sz w:val="24"/>
          <w:szCs w:val="24"/>
        </w:rPr>
        <w:t xml:space="preserve">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spacing w:line="500" w:lineRule="exact"/>
        <w:ind w:firstLine="480" w:firstLineChars="200"/>
        <w:rPr>
          <w:rFonts w:ascii="宋体" w:hAnsi="宋体" w:cs="宋体"/>
          <w:color w:val="000000"/>
          <w:kern w:val="0"/>
          <w:sz w:val="24"/>
          <w:szCs w:val="24"/>
        </w:rPr>
      </w:pPr>
      <w:r>
        <w:rPr>
          <w:rFonts w:hint="eastAsia" w:ascii="宋体" w:hAnsi="宋体" w:cs="宋体"/>
          <w:kern w:val="0"/>
          <w:sz w:val="24"/>
          <w:szCs w:val="24"/>
        </w:rPr>
        <w:t xml:space="preserve">4.3 </w:t>
      </w:r>
      <w:r>
        <w:rPr>
          <w:rFonts w:hint="eastAsia" w:ascii="宋体" w:hAnsi="宋体" w:cs="宋体"/>
          <w:color w:val="000000"/>
          <w:kern w:val="0"/>
          <w:sz w:val="24"/>
          <w:szCs w:val="24"/>
        </w:rPr>
        <w:t>评标委员会认为供应商的报价明显低于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标现场合理的时间内提供书面说明，必要时提交相关证明材料；供应商不能证明其报价合理性的，评标委员会应当将其作为无效投标处理。</w:t>
      </w:r>
    </w:p>
    <w:p>
      <w:pPr>
        <w:pStyle w:val="5"/>
        <w:numPr>
          <w:ilvl w:val="0"/>
          <w:numId w:val="17"/>
        </w:numPr>
        <w:spacing w:line="500" w:lineRule="exact"/>
        <w:ind w:firstLine="562"/>
        <w:rPr>
          <w:rFonts w:ascii="宋体" w:hAnsi="宋体" w:cs="宋体"/>
          <w:szCs w:val="28"/>
        </w:rPr>
      </w:pPr>
      <w:bookmarkStart w:id="57" w:name="_Toc8353"/>
      <w:r>
        <w:rPr>
          <w:rFonts w:hint="eastAsia" w:ascii="宋体" w:hAnsi="宋体" w:cs="宋体"/>
          <w:szCs w:val="28"/>
        </w:rPr>
        <w:t>评标</w:t>
      </w:r>
      <w:bookmarkEnd w:id="57"/>
    </w:p>
    <w:p>
      <w:pPr>
        <w:spacing w:line="500" w:lineRule="exact"/>
        <w:ind w:firstLine="480" w:firstLineChars="200"/>
        <w:jc w:val="left"/>
        <w:rPr>
          <w:rFonts w:ascii="宋体" w:hAnsi="宋体" w:cs="宋体"/>
          <w:sz w:val="24"/>
          <w:szCs w:val="24"/>
        </w:rPr>
      </w:pPr>
      <w:r>
        <w:rPr>
          <w:rFonts w:hint="eastAsia" w:ascii="宋体" w:hAnsi="宋体" w:cs="宋体"/>
          <w:sz w:val="24"/>
          <w:szCs w:val="24"/>
        </w:rPr>
        <w:t>5.1评标委员会有权对在开标、评标过程中出现的一切问题，根据《中华人民共和国政府采购法》及实施条例和《政府采购货物和服务招标投标管理办法》的条款，本着公开、公平、公正的原则进行处理。</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5.2采用综合评分法：采取逐项分步评审方式，每一步评审不符合者，不进入下一步评审，全部评审合格的供应商由评标委员会按照公开招标文件中第四部分评分标准规定的各项因素进行比较、自主打分、综合评审。评标委员会将评审得分汇总后，按评标总得分由高到低汇总排序，推荐1～3名中标候选人；若有两个或两个以上供应商得分相同，供应商名次按报价得分高低排序；得分且投标报价相同的，按技术指标优劣顺序排列，并填报评标报告。</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根据《政府采购货物和服务招标投标管理办法》相关规定，单一产品采购项目提供相同品牌产品或非单一产品采购项目多家供应商提供的核心产品品牌完全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spacing w:line="500" w:lineRule="exact"/>
        <w:ind w:firstLine="480" w:firstLineChars="200"/>
        <w:jc w:val="left"/>
        <w:rPr>
          <w:rFonts w:ascii="宋体" w:hAnsi="宋体" w:cs="宋体"/>
          <w:sz w:val="28"/>
          <w:szCs w:val="28"/>
        </w:rPr>
      </w:pPr>
      <w:r>
        <w:rPr>
          <w:rFonts w:hint="eastAsia" w:ascii="宋体" w:hAnsi="宋体" w:cs="宋体"/>
          <w:sz w:val="24"/>
          <w:szCs w:val="24"/>
        </w:rPr>
        <w:t>5.3评标委员会只对实质上响应招标文件的投标进行评价和比较；评审应严格按照招标文件的要求和条件进行；具体评审原则和中标条件详见招标文件第四部分“评标办法”。</w:t>
      </w:r>
    </w:p>
    <w:p>
      <w:pPr>
        <w:pStyle w:val="5"/>
        <w:numPr>
          <w:ilvl w:val="0"/>
          <w:numId w:val="17"/>
        </w:numPr>
        <w:spacing w:line="500" w:lineRule="exact"/>
        <w:ind w:firstLine="562"/>
        <w:rPr>
          <w:rFonts w:ascii="宋体" w:hAnsi="宋体" w:cs="宋体"/>
          <w:szCs w:val="28"/>
        </w:rPr>
      </w:pPr>
      <w:bookmarkStart w:id="58" w:name="_Toc12947"/>
      <w:r>
        <w:rPr>
          <w:rFonts w:hint="eastAsia" w:ascii="宋体" w:hAnsi="宋体" w:cs="宋体"/>
          <w:szCs w:val="28"/>
        </w:rPr>
        <w:t>定标</w:t>
      </w:r>
      <w:bookmarkEnd w:id="58"/>
    </w:p>
    <w:p>
      <w:pPr>
        <w:spacing w:line="500" w:lineRule="exact"/>
        <w:ind w:firstLine="480" w:firstLineChars="200"/>
        <w:jc w:val="left"/>
        <w:rPr>
          <w:rFonts w:ascii="宋体" w:hAnsi="宋体" w:cs="宋体"/>
          <w:sz w:val="24"/>
          <w:szCs w:val="24"/>
        </w:rPr>
      </w:pPr>
      <w:r>
        <w:rPr>
          <w:rFonts w:hint="eastAsia" w:ascii="宋体" w:hAnsi="宋体" w:cs="宋体"/>
          <w:sz w:val="24"/>
          <w:szCs w:val="24"/>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6.2代理机构收到采购单位“定标复函”后2个工作日内，在财政部门指定的政府采购信息媒体上发布公告，并向中标人发出“中标通知书”。</w:t>
      </w:r>
    </w:p>
    <w:p>
      <w:pPr>
        <w:widowControl/>
        <w:spacing w:before="159" w:beforeLines="50" w:after="159" w:afterLines="50" w:line="500" w:lineRule="exact"/>
        <w:jc w:val="center"/>
        <w:outlineLvl w:val="1"/>
        <w:rPr>
          <w:rFonts w:ascii="宋体" w:hAnsi="宋体" w:cs="宋体"/>
          <w:b/>
          <w:bCs/>
          <w:kern w:val="0"/>
          <w:sz w:val="32"/>
          <w:szCs w:val="28"/>
        </w:rPr>
      </w:pPr>
      <w:bookmarkStart w:id="59" w:name="_Toc25308"/>
      <w:bookmarkStart w:id="60" w:name="_Toc10932"/>
      <w:bookmarkStart w:id="61" w:name="_Toc19972"/>
      <w:r>
        <w:rPr>
          <w:rFonts w:hint="eastAsia" w:ascii="宋体" w:hAnsi="宋体" w:cs="宋体"/>
          <w:b/>
          <w:bCs/>
          <w:kern w:val="0"/>
          <w:sz w:val="32"/>
          <w:szCs w:val="28"/>
        </w:rPr>
        <w:t>六、签订合同</w:t>
      </w:r>
      <w:bookmarkEnd w:id="59"/>
      <w:bookmarkEnd w:id="60"/>
      <w:bookmarkEnd w:id="61"/>
    </w:p>
    <w:p>
      <w:pPr>
        <w:pStyle w:val="9"/>
        <w:spacing w:line="360" w:lineRule="auto"/>
        <w:rPr>
          <w:rFonts w:ascii="宋体" w:hAnsi="宋体" w:cs="宋体"/>
          <w:sz w:val="24"/>
          <w:szCs w:val="24"/>
        </w:rPr>
      </w:pPr>
      <w:r>
        <w:rPr>
          <w:rFonts w:hint="eastAsia" w:ascii="宋体" w:hAnsi="宋体" w:cs="宋体"/>
          <w:sz w:val="24"/>
          <w:szCs w:val="24"/>
        </w:rPr>
        <w:t>采购人与中标、成交供应商应当在中标、成交通知书发出之日起三十日内，按照采购文件确定的事项签订政府采购合同。</w:t>
      </w:r>
    </w:p>
    <w:p>
      <w:pPr>
        <w:widowControl/>
        <w:spacing w:before="159" w:beforeLines="50" w:after="159" w:afterLines="50" w:line="500" w:lineRule="exact"/>
        <w:jc w:val="center"/>
        <w:outlineLvl w:val="1"/>
        <w:rPr>
          <w:rFonts w:ascii="宋体" w:hAnsi="宋体" w:cs="宋体"/>
          <w:b/>
          <w:bCs/>
          <w:kern w:val="0"/>
          <w:sz w:val="32"/>
          <w:szCs w:val="28"/>
        </w:rPr>
      </w:pPr>
      <w:bookmarkStart w:id="62" w:name="_Toc15060"/>
      <w:r>
        <w:rPr>
          <w:rFonts w:hint="eastAsia" w:ascii="宋体" w:hAnsi="宋体" w:cs="宋体"/>
          <w:b/>
          <w:bCs/>
          <w:kern w:val="0"/>
          <w:sz w:val="32"/>
          <w:szCs w:val="28"/>
        </w:rPr>
        <w:t>七、质疑和投诉</w:t>
      </w:r>
      <w:bookmarkEnd w:id="62"/>
    </w:p>
    <w:p>
      <w:pPr>
        <w:widowControl/>
        <w:spacing w:line="360" w:lineRule="auto"/>
        <w:ind w:firstLine="480" w:firstLineChars="200"/>
        <w:rPr>
          <w:rFonts w:ascii="宋体" w:hAnsi="宋体" w:cs="宋体"/>
          <w:sz w:val="24"/>
          <w:szCs w:val="24"/>
        </w:rPr>
      </w:pPr>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2）对采购过程提出质疑的，为各采购程序环节结束之日；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3、质疑函应当包括下列主要内容：</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pPr>
        <w:widowControl/>
        <w:spacing w:line="360" w:lineRule="auto"/>
        <w:ind w:firstLine="240" w:firstLineChars="100"/>
        <w:rPr>
          <w:rFonts w:ascii="宋体" w:hAnsi="宋体" w:cs="宋体"/>
          <w:sz w:val="24"/>
          <w:szCs w:val="24"/>
        </w:rPr>
      </w:pPr>
      <w:r>
        <w:rPr>
          <w:rFonts w:hint="eastAsia" w:ascii="宋体" w:hAnsi="宋体" w:cs="宋体"/>
          <w:sz w:val="24"/>
          <w:szCs w:val="24"/>
        </w:rPr>
        <w:t xml:space="preserve">  2）质疑项目的名称、编号；</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4）事实依据；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5）必要的法律依据；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6）提出质疑的日期。</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代理人提出质疑和投诉，应当提交供应商签署的授权委托书。</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6、质疑函接收方式：由自然人本人或法定代表人或者其授权代表携带书面原件及身份证明原件到现场递交，否则不予受理 。 </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7、质疑受理部门：陕西卓佲项目管理有限公司。</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    质疑受理电话：029-88440695。</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8、提交质疑函地点：西安市雁塔区科技路10号华奥大厦A座20层2002室。</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9、本次采购活动中，采购代理机构对质疑函回复的书面文件的送达方式为现场取件。</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10、质疑供应商对采购人、采购代理机构的答复不满意，或者采购人、采购代理机构未在规定的时间内作出答复的，可以在答复期满后15个工作日内向采购人的同级政府采购监督管理部门投诉。</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11、质疑函应当使用中文。质疑函范本详见财政部制定的范本即招标文件附件六。</w:t>
      </w:r>
    </w:p>
    <w:p>
      <w:pPr>
        <w:rPr>
          <w:rFonts w:ascii="宋体" w:hAnsi="宋体" w:cs="宋体"/>
        </w:rPr>
      </w:pPr>
    </w:p>
    <w:p>
      <w:pPr>
        <w:pStyle w:val="3"/>
        <w:pageBreakBefore/>
        <w:numPr>
          <w:ilvl w:val="0"/>
          <w:numId w:val="19"/>
        </w:numPr>
        <w:spacing w:before="319" w:beforeLines="100" w:after="319" w:afterLines="100" w:line="500" w:lineRule="exact"/>
        <w:rPr>
          <w:rFonts w:ascii="宋体" w:hAnsi="宋体" w:cs="宋体"/>
          <w:color w:val="000000"/>
          <w:sz w:val="36"/>
          <w:szCs w:val="36"/>
        </w:rPr>
      </w:pPr>
      <w:bookmarkStart w:id="63" w:name="_Toc3298"/>
      <w:bookmarkEnd w:id="63"/>
      <w:r>
        <w:rPr>
          <w:rFonts w:hint="eastAsia" w:ascii="宋体" w:hAnsi="宋体" w:cs="宋体"/>
          <w:color w:val="000000"/>
          <w:sz w:val="36"/>
          <w:szCs w:val="36"/>
        </w:rPr>
        <w:t xml:space="preserve">  </w:t>
      </w:r>
      <w:bookmarkStart w:id="64" w:name="_Toc30747"/>
      <w:r>
        <w:rPr>
          <w:rFonts w:hint="eastAsia" w:ascii="宋体" w:hAnsi="宋体" w:cs="宋体"/>
          <w:color w:val="000000"/>
          <w:sz w:val="36"/>
          <w:szCs w:val="36"/>
        </w:rPr>
        <w:t>评标方法</w:t>
      </w:r>
      <w:bookmarkEnd w:id="64"/>
    </w:p>
    <w:p>
      <w:pPr>
        <w:spacing w:line="500" w:lineRule="exact"/>
        <w:ind w:firstLine="480" w:firstLineChars="200"/>
        <w:rPr>
          <w:rFonts w:hint="eastAsia" w:ascii="宋体" w:hAnsi="宋体" w:cs="宋体"/>
          <w:sz w:val="24"/>
          <w:szCs w:val="24"/>
        </w:rPr>
      </w:pPr>
      <w:r>
        <w:rPr>
          <w:rFonts w:hint="eastAsia" w:ascii="宋体" w:hAnsi="宋体" w:cs="宋体"/>
          <w:sz w:val="24"/>
          <w:szCs w:val="24"/>
        </w:rPr>
        <w:t>本次评标方法采用综合评分法，综合评分因素的主要因素为报价、技术、业绩、服务等以及对招标文件的响应程度。每一供应商的最终得分为所有评委评分的算数平均值四舍五入后保留到小数点后两位。</w:t>
      </w:r>
    </w:p>
    <w:tbl>
      <w:tblPr>
        <w:tblStyle w:val="31"/>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232"/>
        <w:gridCol w:w="758"/>
        <w:gridCol w:w="4769"/>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18" w:type="dxa"/>
            <w:noWrap w:val="0"/>
            <w:vAlign w:val="center"/>
          </w:tcPr>
          <w:p>
            <w:pPr>
              <w:widowControl/>
              <w:jc w:val="center"/>
              <w:rPr>
                <w:rFonts w:hint="eastAsia" w:ascii="宋体" w:hAnsi="宋体" w:cs="宋体"/>
                <w:b/>
                <w:sz w:val="24"/>
                <w:szCs w:val="24"/>
              </w:rPr>
            </w:pPr>
            <w:r>
              <w:rPr>
                <w:rFonts w:hint="eastAsia" w:ascii="宋体" w:hAnsi="宋体" w:cs="宋体"/>
                <w:b/>
                <w:sz w:val="24"/>
                <w:szCs w:val="24"/>
              </w:rPr>
              <w:t>序号</w:t>
            </w:r>
          </w:p>
        </w:tc>
        <w:tc>
          <w:tcPr>
            <w:tcW w:w="1232" w:type="dxa"/>
            <w:noWrap w:val="0"/>
            <w:vAlign w:val="center"/>
          </w:tcPr>
          <w:p>
            <w:pPr>
              <w:widowControl/>
              <w:jc w:val="center"/>
              <w:rPr>
                <w:rFonts w:hint="eastAsia" w:ascii="宋体" w:hAnsi="宋体" w:cs="宋体"/>
                <w:b/>
                <w:sz w:val="24"/>
                <w:szCs w:val="24"/>
              </w:rPr>
            </w:pPr>
            <w:r>
              <w:rPr>
                <w:rFonts w:hint="eastAsia" w:ascii="宋体" w:hAnsi="宋体" w:cs="宋体"/>
                <w:b/>
                <w:sz w:val="24"/>
                <w:szCs w:val="24"/>
              </w:rPr>
              <w:t>评分因素</w:t>
            </w:r>
          </w:p>
        </w:tc>
        <w:tc>
          <w:tcPr>
            <w:tcW w:w="758" w:type="dxa"/>
            <w:noWrap w:val="0"/>
            <w:vAlign w:val="center"/>
          </w:tcPr>
          <w:p>
            <w:pPr>
              <w:widowControl/>
              <w:jc w:val="center"/>
              <w:rPr>
                <w:rFonts w:hint="eastAsia" w:ascii="宋体" w:hAnsi="宋体" w:cs="宋体"/>
                <w:b/>
                <w:sz w:val="24"/>
                <w:szCs w:val="24"/>
              </w:rPr>
            </w:pPr>
            <w:r>
              <w:rPr>
                <w:rFonts w:hint="eastAsia" w:ascii="宋体" w:hAnsi="宋体" w:cs="宋体"/>
                <w:b/>
                <w:sz w:val="24"/>
                <w:szCs w:val="24"/>
              </w:rPr>
              <w:t>分值</w:t>
            </w:r>
          </w:p>
        </w:tc>
        <w:tc>
          <w:tcPr>
            <w:tcW w:w="4769" w:type="dxa"/>
            <w:noWrap w:val="0"/>
            <w:vAlign w:val="center"/>
          </w:tcPr>
          <w:p>
            <w:pPr>
              <w:widowControl/>
              <w:jc w:val="center"/>
              <w:rPr>
                <w:rFonts w:hint="eastAsia" w:ascii="宋体" w:hAnsi="宋体" w:cs="宋体"/>
                <w:b/>
                <w:sz w:val="24"/>
                <w:szCs w:val="24"/>
              </w:rPr>
            </w:pPr>
            <w:r>
              <w:rPr>
                <w:rFonts w:hint="eastAsia" w:ascii="宋体" w:hAnsi="宋体" w:cs="宋体"/>
                <w:b/>
                <w:sz w:val="24"/>
                <w:szCs w:val="24"/>
              </w:rPr>
              <w:t>评分标准</w:t>
            </w:r>
          </w:p>
        </w:tc>
        <w:tc>
          <w:tcPr>
            <w:tcW w:w="1643" w:type="dxa"/>
            <w:noWrap w:val="0"/>
            <w:vAlign w:val="center"/>
          </w:tcPr>
          <w:p>
            <w:pPr>
              <w:widowControl/>
              <w:jc w:val="center"/>
              <w:rPr>
                <w:rFonts w:hint="eastAsia" w:ascii="宋体" w:hAnsi="宋体" w:cs="宋体"/>
                <w:b/>
                <w:sz w:val="24"/>
                <w:szCs w:val="24"/>
              </w:rPr>
            </w:pPr>
            <w:r>
              <w:rPr>
                <w:rFonts w:hint="eastAsia" w:ascii="宋体" w:hAnsi="宋体" w:cs="宋体"/>
                <w:b/>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518" w:type="dxa"/>
            <w:noWrap w:val="0"/>
            <w:vAlign w:val="center"/>
          </w:tcPr>
          <w:p>
            <w:pPr>
              <w:widowControl/>
              <w:jc w:val="left"/>
              <w:rPr>
                <w:rFonts w:hint="eastAsia" w:ascii="宋体" w:hAnsi="宋体" w:cs="宋体"/>
                <w:sz w:val="24"/>
                <w:szCs w:val="24"/>
              </w:rPr>
            </w:pPr>
            <w:r>
              <w:rPr>
                <w:rFonts w:hint="eastAsia" w:ascii="宋体" w:hAnsi="宋体" w:cs="宋体"/>
                <w:sz w:val="24"/>
                <w:szCs w:val="24"/>
              </w:rPr>
              <w:t>1</w:t>
            </w:r>
          </w:p>
        </w:tc>
        <w:tc>
          <w:tcPr>
            <w:tcW w:w="1232" w:type="dxa"/>
            <w:noWrap w:val="0"/>
            <w:vAlign w:val="center"/>
          </w:tcPr>
          <w:p>
            <w:pPr>
              <w:widowControl/>
              <w:jc w:val="center"/>
              <w:rPr>
                <w:rFonts w:hint="eastAsia" w:ascii="宋体" w:hAnsi="宋体" w:cs="宋体"/>
                <w:sz w:val="24"/>
                <w:szCs w:val="24"/>
              </w:rPr>
            </w:pPr>
            <w:r>
              <w:rPr>
                <w:rFonts w:hint="eastAsia" w:ascii="宋体" w:hAnsi="宋体" w:cs="宋体"/>
                <w:sz w:val="24"/>
                <w:szCs w:val="24"/>
              </w:rPr>
              <w:t>报价</w:t>
            </w:r>
          </w:p>
        </w:tc>
        <w:tc>
          <w:tcPr>
            <w:tcW w:w="758" w:type="dxa"/>
            <w:noWrap w:val="0"/>
            <w:vAlign w:val="center"/>
          </w:tcPr>
          <w:p>
            <w:pPr>
              <w:widowControl/>
              <w:jc w:val="center"/>
              <w:rPr>
                <w:rFonts w:ascii="宋体" w:hAnsi="宋体" w:cs="宋体"/>
                <w:sz w:val="24"/>
                <w:szCs w:val="24"/>
              </w:rPr>
            </w:pPr>
            <w:r>
              <w:rPr>
                <w:rFonts w:hint="eastAsia" w:ascii="宋体" w:hAnsi="宋体" w:cs="宋体"/>
                <w:sz w:val="24"/>
                <w:szCs w:val="24"/>
              </w:rPr>
              <w:t>30</w:t>
            </w:r>
          </w:p>
        </w:tc>
        <w:tc>
          <w:tcPr>
            <w:tcW w:w="47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经初审合格的投标文件，其投标报价为有效投标价。</w:t>
            </w:r>
          </w:p>
          <w:p>
            <w:pPr>
              <w:widowControl/>
              <w:jc w:val="left"/>
              <w:rPr>
                <w:rFonts w:hint="eastAsia" w:ascii="宋体" w:hAnsi="宋体" w:cs="宋体"/>
                <w:sz w:val="24"/>
                <w:szCs w:val="24"/>
              </w:rPr>
            </w:pPr>
            <w:r>
              <w:rPr>
                <w:rFonts w:hint="eastAsia" w:ascii="宋体" w:hAnsi="宋体" w:eastAsia="宋体" w:cs="宋体"/>
                <w:sz w:val="24"/>
                <w:szCs w:val="24"/>
              </w:rPr>
              <w:t>评标基准价：即满足招标文件要求且投标价格最低的投标报价为评标基准价。</w:t>
            </w:r>
            <w:r>
              <w:rPr>
                <w:rFonts w:hint="eastAsia" w:ascii="宋体" w:hAnsi="宋体" w:cs="宋体"/>
                <w:sz w:val="24"/>
                <w:szCs w:val="24"/>
                <w:lang w:val="en-US" w:eastAsia="zh-CN"/>
              </w:rPr>
              <w:t>其他</w:t>
            </w:r>
            <w:r>
              <w:rPr>
                <w:rFonts w:hint="eastAsia" w:ascii="宋体" w:hAnsi="宋体" w:eastAsia="宋体" w:cs="宋体"/>
                <w:sz w:val="24"/>
                <w:szCs w:val="24"/>
              </w:rPr>
              <w:t>供应商的价格分值统一按下列公式计算：投标报价得分＝（评标基准价/投标报价）×</w:t>
            </w:r>
            <w:r>
              <w:rPr>
                <w:rFonts w:hint="eastAsia" w:ascii="宋体" w:hAnsi="宋体" w:cs="宋体"/>
                <w:sz w:val="24"/>
                <w:szCs w:val="24"/>
                <w:lang w:val="en-US" w:eastAsia="zh-CN"/>
              </w:rPr>
              <w:t>30</w:t>
            </w:r>
            <w:r>
              <w:rPr>
                <w:rFonts w:hint="eastAsia" w:ascii="宋体" w:hAnsi="宋体" w:eastAsia="宋体" w:cs="宋体"/>
                <w:sz w:val="24"/>
                <w:szCs w:val="24"/>
              </w:rPr>
              <w:t>。评标基准价是指满足招标文件要求且投标价格最低的投标报价。</w:t>
            </w:r>
          </w:p>
        </w:tc>
        <w:tc>
          <w:tcPr>
            <w:tcW w:w="1643" w:type="dxa"/>
            <w:noWrap w:val="0"/>
            <w:vAlign w:val="center"/>
          </w:tcPr>
          <w:p>
            <w:pPr>
              <w:widowControl/>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18" w:type="dxa"/>
            <w:noWrap w:val="0"/>
            <w:vAlign w:val="center"/>
          </w:tcPr>
          <w:p>
            <w:pPr>
              <w:widowControl/>
              <w:jc w:val="left"/>
              <w:rPr>
                <w:rFonts w:hint="eastAsia" w:ascii="宋体" w:hAnsi="宋体" w:cs="宋体"/>
                <w:sz w:val="24"/>
                <w:szCs w:val="24"/>
              </w:rPr>
            </w:pPr>
            <w:r>
              <w:rPr>
                <w:rFonts w:hint="eastAsia" w:ascii="宋体" w:hAnsi="宋体" w:cs="宋体"/>
                <w:sz w:val="24"/>
                <w:szCs w:val="24"/>
              </w:rPr>
              <w:t>2</w:t>
            </w:r>
          </w:p>
        </w:tc>
        <w:tc>
          <w:tcPr>
            <w:tcW w:w="1232" w:type="dxa"/>
            <w:noWrap w:val="0"/>
            <w:vAlign w:val="center"/>
          </w:tcPr>
          <w:p>
            <w:pPr>
              <w:widowControl/>
              <w:jc w:val="center"/>
              <w:rPr>
                <w:rFonts w:hint="eastAsia" w:ascii="宋体" w:hAnsi="宋体" w:cs="宋体"/>
                <w:sz w:val="24"/>
                <w:szCs w:val="24"/>
              </w:rPr>
            </w:pPr>
            <w:r>
              <w:rPr>
                <w:rFonts w:hint="eastAsia" w:ascii="宋体" w:hAnsi="宋体" w:cs="宋体"/>
                <w:sz w:val="24"/>
                <w:szCs w:val="24"/>
              </w:rPr>
              <w:t>技术指标和配置</w:t>
            </w:r>
          </w:p>
        </w:tc>
        <w:tc>
          <w:tcPr>
            <w:tcW w:w="758" w:type="dxa"/>
            <w:noWrap w:val="0"/>
            <w:vAlign w:val="center"/>
          </w:tcPr>
          <w:p>
            <w:pPr>
              <w:widowControl/>
              <w:jc w:val="center"/>
              <w:rPr>
                <w:rFonts w:ascii="宋体" w:hAnsi="宋体" w:cs="宋体"/>
                <w:sz w:val="24"/>
                <w:szCs w:val="24"/>
              </w:rPr>
            </w:pPr>
            <w:r>
              <w:rPr>
                <w:rFonts w:hint="eastAsia" w:ascii="宋体" w:hAnsi="宋体" w:cs="宋体"/>
                <w:sz w:val="24"/>
                <w:szCs w:val="24"/>
              </w:rPr>
              <w:t>35</w:t>
            </w:r>
          </w:p>
        </w:tc>
        <w:tc>
          <w:tcPr>
            <w:tcW w:w="4769" w:type="dxa"/>
            <w:noWrap w:val="0"/>
            <w:vAlign w:val="center"/>
          </w:tcPr>
          <w:p>
            <w:pPr>
              <w:widowControl/>
              <w:jc w:val="left"/>
              <w:rPr>
                <w:rFonts w:hint="eastAsia" w:ascii="宋体" w:hAnsi="宋体" w:cs="宋体"/>
                <w:b/>
                <w:bCs/>
                <w:sz w:val="24"/>
                <w:szCs w:val="24"/>
              </w:rPr>
            </w:pPr>
            <w:r>
              <w:rPr>
                <w:rFonts w:hint="eastAsia" w:ascii="宋体" w:hAnsi="宋体" w:cs="宋体"/>
                <w:b/>
                <w:bCs/>
                <w:sz w:val="24"/>
                <w:szCs w:val="24"/>
              </w:rPr>
              <w:t>根据供应商提供所投设备的主要技术指标（参数）的相应的证明材料（包括但不限于产品彩页、测试报告、官网和功能截图等技术支持性文件（资料），经评审专家审定得分。</w:t>
            </w:r>
          </w:p>
          <w:p>
            <w:pPr>
              <w:widowControl/>
              <w:jc w:val="left"/>
              <w:rPr>
                <w:rFonts w:hint="eastAsia" w:ascii="宋体" w:hAnsi="宋体" w:cs="宋体"/>
                <w:sz w:val="24"/>
                <w:szCs w:val="24"/>
              </w:rPr>
            </w:pPr>
            <w:r>
              <w:rPr>
                <w:rFonts w:hint="eastAsia" w:ascii="宋体" w:hAnsi="宋体" w:cs="宋体"/>
                <w:sz w:val="24"/>
                <w:szCs w:val="24"/>
              </w:rPr>
              <w:t>基本分（35分）：完全符合、响应招标文件一般参数要求，一般参数没有负偏离计35分； 参数负偏离一项扣2分，扣完为止；</w:t>
            </w:r>
          </w:p>
        </w:tc>
        <w:tc>
          <w:tcPr>
            <w:tcW w:w="1643" w:type="dxa"/>
            <w:noWrap w:val="0"/>
            <w:vAlign w:val="center"/>
          </w:tcPr>
          <w:p>
            <w:pPr>
              <w:widowControl/>
              <w:jc w:val="center"/>
              <w:rPr>
                <w:rFonts w:hint="eastAsia" w:ascii="宋体" w:hAnsi="宋体" w:cs="宋体"/>
                <w:sz w:val="24"/>
                <w:szCs w:val="24"/>
              </w:rPr>
            </w:pPr>
            <w:r>
              <w:rPr>
                <w:rFonts w:hint="eastAsia" w:ascii="宋体" w:hAnsi="宋体" w:cs="宋体"/>
                <w:sz w:val="24"/>
                <w:szCs w:val="24"/>
              </w:rPr>
              <w:t>采购文件要求提供证明材料而未提供或提供的证明材料不符合要求视为负偏离。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18" w:type="dxa"/>
            <w:noWrap w:val="0"/>
            <w:vAlign w:val="center"/>
          </w:tcPr>
          <w:p>
            <w:pPr>
              <w:widowControl/>
              <w:jc w:val="left"/>
              <w:rPr>
                <w:rFonts w:hint="eastAsia" w:ascii="宋体" w:hAnsi="宋体" w:cs="宋体"/>
                <w:sz w:val="24"/>
                <w:szCs w:val="24"/>
              </w:rPr>
            </w:pPr>
            <w:r>
              <w:rPr>
                <w:rFonts w:hint="eastAsia" w:ascii="宋体" w:hAnsi="宋体" w:cs="宋体"/>
                <w:sz w:val="24"/>
                <w:szCs w:val="24"/>
              </w:rPr>
              <w:t>3</w:t>
            </w:r>
          </w:p>
        </w:tc>
        <w:tc>
          <w:tcPr>
            <w:tcW w:w="1232" w:type="dxa"/>
            <w:noWrap w:val="0"/>
            <w:vAlign w:val="center"/>
          </w:tcPr>
          <w:p>
            <w:pPr>
              <w:widowControl/>
              <w:jc w:val="center"/>
              <w:rPr>
                <w:rFonts w:hint="eastAsia" w:ascii="宋体" w:hAnsi="宋体" w:cs="宋体"/>
                <w:sz w:val="24"/>
                <w:szCs w:val="24"/>
              </w:rPr>
            </w:pPr>
            <w:r>
              <w:rPr>
                <w:rFonts w:hint="eastAsia" w:ascii="宋体" w:hAnsi="宋体" w:cs="宋体"/>
                <w:sz w:val="24"/>
                <w:szCs w:val="24"/>
              </w:rPr>
              <w:t>质量保证</w:t>
            </w:r>
          </w:p>
        </w:tc>
        <w:tc>
          <w:tcPr>
            <w:tcW w:w="758" w:type="dxa"/>
            <w:noWrap w:val="0"/>
            <w:vAlign w:val="center"/>
          </w:tcPr>
          <w:p>
            <w:pPr>
              <w:widowControl/>
              <w:jc w:val="center"/>
              <w:rPr>
                <w:rFonts w:ascii="宋体" w:hAnsi="宋体" w:cs="宋体"/>
                <w:sz w:val="24"/>
                <w:szCs w:val="24"/>
              </w:rPr>
            </w:pPr>
            <w:r>
              <w:rPr>
                <w:rFonts w:hint="eastAsia" w:ascii="宋体" w:hAnsi="宋体" w:cs="宋体"/>
                <w:sz w:val="24"/>
                <w:szCs w:val="24"/>
              </w:rPr>
              <w:t>3</w:t>
            </w:r>
          </w:p>
        </w:tc>
        <w:tc>
          <w:tcPr>
            <w:tcW w:w="4769" w:type="dxa"/>
            <w:noWrap w:val="0"/>
            <w:vAlign w:val="center"/>
          </w:tcPr>
          <w:p>
            <w:pPr>
              <w:widowControl/>
              <w:jc w:val="left"/>
              <w:rPr>
                <w:rFonts w:hint="eastAsia" w:ascii="宋体" w:hAnsi="宋体" w:cs="宋体"/>
                <w:sz w:val="24"/>
                <w:szCs w:val="24"/>
              </w:rPr>
            </w:pPr>
            <w:r>
              <w:rPr>
                <w:rFonts w:hint="eastAsia" w:ascii="宋体" w:hAnsi="宋体" w:cs="宋体"/>
                <w:sz w:val="24"/>
                <w:szCs w:val="24"/>
              </w:rPr>
              <w:t>提供</w:t>
            </w:r>
            <w:r>
              <w:rPr>
                <w:rFonts w:hint="default" w:ascii="宋体" w:hAnsi="宋体" w:cs="宋体"/>
                <w:sz w:val="24"/>
                <w:szCs w:val="24"/>
              </w:rPr>
              <w:t>投标</w:t>
            </w:r>
            <w:r>
              <w:rPr>
                <w:rFonts w:hint="eastAsia" w:ascii="宋体" w:hAnsi="宋体" w:cs="宋体"/>
                <w:sz w:val="24"/>
                <w:szCs w:val="24"/>
              </w:rPr>
              <w:t>产品来源渠道合法的证明文件（包括但不限于销售协议、代理协议、原厂授权等）每提供一个得3分，最高得3分。</w:t>
            </w:r>
          </w:p>
        </w:tc>
        <w:tc>
          <w:tcPr>
            <w:tcW w:w="1643" w:type="dxa"/>
            <w:noWrap w:val="0"/>
            <w:vAlign w:val="center"/>
          </w:tcPr>
          <w:p>
            <w:pPr>
              <w:widowControl/>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518" w:type="dxa"/>
            <w:noWrap w:val="0"/>
            <w:vAlign w:val="center"/>
          </w:tcPr>
          <w:p>
            <w:pPr>
              <w:widowControl/>
              <w:jc w:val="center"/>
              <w:rPr>
                <w:rFonts w:hint="eastAsia" w:ascii="宋体" w:hAnsi="宋体" w:cs="宋体"/>
                <w:sz w:val="24"/>
                <w:szCs w:val="24"/>
              </w:rPr>
            </w:pPr>
            <w:r>
              <w:rPr>
                <w:rFonts w:hint="eastAsia" w:ascii="宋体" w:hAnsi="宋体" w:cs="宋体"/>
                <w:sz w:val="24"/>
                <w:szCs w:val="24"/>
              </w:rPr>
              <w:t>4</w:t>
            </w:r>
          </w:p>
        </w:tc>
        <w:tc>
          <w:tcPr>
            <w:tcW w:w="1232" w:type="dxa"/>
            <w:noWrap w:val="0"/>
            <w:vAlign w:val="center"/>
          </w:tcPr>
          <w:p>
            <w:pPr>
              <w:widowControl/>
              <w:jc w:val="center"/>
              <w:rPr>
                <w:rFonts w:hint="eastAsia" w:ascii="宋体" w:hAnsi="宋体" w:cs="宋体"/>
                <w:sz w:val="24"/>
                <w:szCs w:val="24"/>
              </w:rPr>
            </w:pPr>
            <w:r>
              <w:rPr>
                <w:rFonts w:hint="eastAsia" w:ascii="宋体" w:hAnsi="宋体" w:cs="宋体"/>
                <w:sz w:val="24"/>
                <w:szCs w:val="24"/>
              </w:rPr>
              <w:t>实施方案</w:t>
            </w:r>
          </w:p>
        </w:tc>
        <w:tc>
          <w:tcPr>
            <w:tcW w:w="758" w:type="dxa"/>
            <w:noWrap w:val="0"/>
            <w:vAlign w:val="center"/>
          </w:tcPr>
          <w:p>
            <w:pPr>
              <w:widowControl/>
              <w:jc w:val="center"/>
              <w:rPr>
                <w:rFonts w:ascii="宋体" w:hAnsi="宋体" w:cs="宋体"/>
                <w:sz w:val="24"/>
                <w:szCs w:val="24"/>
              </w:rPr>
            </w:pPr>
            <w:r>
              <w:rPr>
                <w:rFonts w:hint="eastAsia" w:ascii="宋体" w:hAnsi="宋体" w:cs="宋体"/>
                <w:sz w:val="24"/>
                <w:szCs w:val="24"/>
              </w:rPr>
              <w:t>10</w:t>
            </w:r>
          </w:p>
        </w:tc>
        <w:tc>
          <w:tcPr>
            <w:tcW w:w="4769" w:type="dxa"/>
            <w:noWrap w:val="0"/>
            <w:vAlign w:val="top"/>
          </w:tcPr>
          <w:p>
            <w:pPr>
              <w:widowControl/>
              <w:jc w:val="left"/>
              <w:rPr>
                <w:rFonts w:hint="eastAsia" w:ascii="宋体" w:hAnsi="宋体" w:cs="宋体"/>
                <w:sz w:val="24"/>
                <w:szCs w:val="24"/>
              </w:rPr>
            </w:pPr>
            <w:r>
              <w:rPr>
                <w:rFonts w:hint="eastAsia" w:ascii="宋体" w:hAnsi="宋体" w:cs="宋体"/>
                <w:sz w:val="24"/>
                <w:szCs w:val="24"/>
              </w:rPr>
              <w:t>具有完整的项目实施方案，包括项目总体实施方案、项目团队方案、项目实施时间安排方案、系统安装调试方案、项目验收方案等内容。</w:t>
            </w:r>
          </w:p>
          <w:p>
            <w:pPr>
              <w:widowControl/>
              <w:jc w:val="left"/>
              <w:rPr>
                <w:rFonts w:hint="eastAsia" w:ascii="宋体" w:hAnsi="宋体" w:cs="宋体"/>
                <w:sz w:val="24"/>
                <w:szCs w:val="24"/>
              </w:rPr>
            </w:pPr>
            <w:r>
              <w:rPr>
                <w:rFonts w:hint="eastAsia" w:ascii="宋体" w:hAnsi="宋体" w:cs="宋体"/>
                <w:sz w:val="24"/>
                <w:szCs w:val="24"/>
              </w:rPr>
              <w:t>方案制定内容齐全，各类措施健全，完全满足采购需求并符合本项目实施特点得10分；以上方面中每缺少一方面内容扣2分；每有一处内容与实际需求不符或不满足要求扣0.5-1.5分，扣完为止。</w:t>
            </w:r>
          </w:p>
        </w:tc>
        <w:tc>
          <w:tcPr>
            <w:tcW w:w="1643" w:type="dxa"/>
            <w:noWrap w:val="0"/>
            <w:vAlign w:val="center"/>
          </w:tcPr>
          <w:p>
            <w:pPr>
              <w:widowControl/>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noWrap w:val="0"/>
            <w:vAlign w:val="center"/>
          </w:tcPr>
          <w:p>
            <w:pPr>
              <w:widowControl/>
              <w:jc w:val="center"/>
              <w:rPr>
                <w:rFonts w:hint="eastAsia" w:ascii="宋体" w:hAnsi="宋体" w:cs="宋体"/>
                <w:sz w:val="24"/>
                <w:szCs w:val="24"/>
              </w:rPr>
            </w:pPr>
            <w:r>
              <w:rPr>
                <w:rFonts w:hint="eastAsia" w:ascii="宋体" w:hAnsi="宋体" w:cs="宋体"/>
                <w:sz w:val="24"/>
                <w:szCs w:val="24"/>
              </w:rPr>
              <w:t>5</w:t>
            </w:r>
          </w:p>
        </w:tc>
        <w:tc>
          <w:tcPr>
            <w:tcW w:w="1232" w:type="dxa"/>
            <w:noWrap w:val="0"/>
            <w:vAlign w:val="center"/>
          </w:tcPr>
          <w:p>
            <w:pPr>
              <w:widowControl/>
              <w:jc w:val="center"/>
              <w:rPr>
                <w:rFonts w:hint="eastAsia" w:ascii="宋体" w:hAnsi="宋体" w:cs="宋体"/>
                <w:sz w:val="24"/>
                <w:szCs w:val="24"/>
              </w:rPr>
            </w:pPr>
            <w:r>
              <w:rPr>
                <w:rFonts w:hint="eastAsia" w:ascii="宋体" w:hAnsi="宋体" w:cs="宋体"/>
                <w:sz w:val="24"/>
                <w:szCs w:val="24"/>
              </w:rPr>
              <w:t>培训方案</w:t>
            </w:r>
          </w:p>
        </w:tc>
        <w:tc>
          <w:tcPr>
            <w:tcW w:w="758" w:type="dxa"/>
            <w:noWrap w:val="0"/>
            <w:vAlign w:val="center"/>
          </w:tcPr>
          <w:p>
            <w:pPr>
              <w:widowControl/>
              <w:jc w:val="center"/>
              <w:rPr>
                <w:rFonts w:ascii="宋体" w:hAnsi="宋体" w:cs="宋体"/>
                <w:sz w:val="24"/>
                <w:szCs w:val="24"/>
              </w:rPr>
            </w:pPr>
            <w:r>
              <w:rPr>
                <w:rFonts w:hint="eastAsia" w:ascii="宋体" w:hAnsi="宋体" w:cs="宋体"/>
                <w:sz w:val="24"/>
                <w:szCs w:val="24"/>
              </w:rPr>
              <w:t>8</w:t>
            </w:r>
          </w:p>
        </w:tc>
        <w:tc>
          <w:tcPr>
            <w:tcW w:w="4769" w:type="dxa"/>
            <w:noWrap w:val="0"/>
            <w:vAlign w:val="top"/>
          </w:tcPr>
          <w:p>
            <w:pPr>
              <w:widowControl/>
              <w:jc w:val="left"/>
              <w:rPr>
                <w:rFonts w:hint="eastAsia" w:ascii="宋体" w:hAnsi="宋体" w:cs="宋体"/>
                <w:sz w:val="24"/>
                <w:szCs w:val="24"/>
              </w:rPr>
            </w:pPr>
            <w:r>
              <w:rPr>
                <w:rFonts w:hint="eastAsia" w:ascii="宋体" w:hAnsi="宋体" w:cs="宋体"/>
                <w:sz w:val="24"/>
                <w:szCs w:val="24"/>
              </w:rPr>
              <w:t>投标人应提供完善的培训方案，方案应包培训内容、培训计划、培训方式、培训人员配置。</w:t>
            </w:r>
            <w:r>
              <w:rPr>
                <w:rFonts w:hint="eastAsia" w:ascii="宋体" w:hAnsi="宋体" w:cs="宋体"/>
                <w:bCs/>
                <w:sz w:val="24"/>
                <w:szCs w:val="24"/>
              </w:rPr>
              <w:t>培训方案完善、针对性强且符合项目实际需求的得8分，每缺少一项扣2分，某一项不完整或不符合实际需求的扣0.5-1.5分，扣完为止。</w:t>
            </w:r>
          </w:p>
        </w:tc>
        <w:tc>
          <w:tcPr>
            <w:tcW w:w="1643" w:type="dxa"/>
            <w:noWrap w:val="0"/>
            <w:vAlign w:val="center"/>
          </w:tcPr>
          <w:p>
            <w:pPr>
              <w:widowControl/>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noWrap w:val="0"/>
            <w:vAlign w:val="center"/>
          </w:tcPr>
          <w:p>
            <w:pPr>
              <w:widowControl/>
              <w:jc w:val="center"/>
              <w:rPr>
                <w:rFonts w:hint="eastAsia" w:ascii="宋体" w:hAnsi="宋体" w:cs="宋体"/>
                <w:sz w:val="24"/>
                <w:szCs w:val="24"/>
              </w:rPr>
            </w:pPr>
            <w:r>
              <w:rPr>
                <w:rFonts w:hint="eastAsia" w:ascii="宋体" w:hAnsi="宋体" w:cs="宋体"/>
                <w:sz w:val="24"/>
                <w:szCs w:val="24"/>
              </w:rPr>
              <w:t>6</w:t>
            </w:r>
          </w:p>
        </w:tc>
        <w:tc>
          <w:tcPr>
            <w:tcW w:w="1232" w:type="dxa"/>
            <w:noWrap w:val="0"/>
            <w:vAlign w:val="center"/>
          </w:tcPr>
          <w:p>
            <w:pPr>
              <w:widowControl/>
              <w:jc w:val="center"/>
              <w:rPr>
                <w:rFonts w:hint="eastAsia" w:ascii="宋体" w:hAnsi="宋体" w:cs="宋体"/>
                <w:sz w:val="24"/>
                <w:szCs w:val="24"/>
              </w:rPr>
            </w:pPr>
            <w:r>
              <w:rPr>
                <w:rFonts w:hint="eastAsia" w:ascii="宋体" w:hAnsi="宋体" w:cs="宋体"/>
                <w:sz w:val="24"/>
                <w:szCs w:val="24"/>
              </w:rPr>
              <w:t>售后服务</w:t>
            </w:r>
          </w:p>
        </w:tc>
        <w:tc>
          <w:tcPr>
            <w:tcW w:w="758" w:type="dxa"/>
            <w:noWrap w:val="0"/>
            <w:vAlign w:val="center"/>
          </w:tcPr>
          <w:p>
            <w:pPr>
              <w:widowControl/>
              <w:jc w:val="center"/>
              <w:rPr>
                <w:rFonts w:ascii="宋体" w:hAnsi="宋体" w:cs="宋体"/>
                <w:sz w:val="24"/>
                <w:szCs w:val="24"/>
              </w:rPr>
            </w:pPr>
            <w:r>
              <w:rPr>
                <w:rFonts w:hint="eastAsia" w:ascii="宋体" w:hAnsi="宋体" w:cs="宋体"/>
                <w:sz w:val="24"/>
                <w:szCs w:val="24"/>
              </w:rPr>
              <w:t>8</w:t>
            </w:r>
          </w:p>
        </w:tc>
        <w:tc>
          <w:tcPr>
            <w:tcW w:w="4769" w:type="dxa"/>
            <w:noWrap w:val="0"/>
            <w:vAlign w:val="top"/>
          </w:tcPr>
          <w:p>
            <w:pPr>
              <w:widowControl/>
              <w:jc w:val="left"/>
              <w:rPr>
                <w:rFonts w:hint="eastAsia" w:ascii="宋体" w:hAnsi="宋体" w:cs="宋体"/>
                <w:sz w:val="24"/>
                <w:szCs w:val="24"/>
              </w:rPr>
            </w:pPr>
            <w:r>
              <w:rPr>
                <w:rFonts w:hint="eastAsia" w:ascii="宋体" w:hAnsi="宋体" w:cs="宋体"/>
                <w:bCs/>
                <w:sz w:val="24"/>
                <w:szCs w:val="24"/>
              </w:rPr>
              <w:t>投标人提供售后服务方案（包含但不限于售后服务人员配置及计划、故障处理等的响应时间安排计划、质量保证期限、应急处理方案），售后服务方案完整且具有符合实际需求的得8分，每缺少一项扣2分，某一项不完整或不符合实际需求的扣0.5-1.5分，扣完为止。</w:t>
            </w:r>
          </w:p>
        </w:tc>
        <w:tc>
          <w:tcPr>
            <w:tcW w:w="1643" w:type="dxa"/>
            <w:noWrap w:val="0"/>
            <w:vAlign w:val="center"/>
          </w:tcPr>
          <w:p>
            <w:pPr>
              <w:widowControl/>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4"/>
                <w:szCs w:val="24"/>
              </w:rPr>
            </w:pPr>
            <w:r>
              <w:rPr>
                <w:rFonts w:hint="eastAsia" w:ascii="宋体" w:hAnsi="宋体" w:cs="宋体"/>
                <w:sz w:val="24"/>
                <w:szCs w:val="24"/>
              </w:rPr>
              <w:t>7</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4"/>
                <w:szCs w:val="24"/>
              </w:rPr>
            </w:pPr>
            <w:r>
              <w:rPr>
                <w:rFonts w:hint="eastAsia" w:ascii="宋体" w:hAnsi="宋体" w:cs="宋体"/>
                <w:sz w:val="24"/>
                <w:szCs w:val="24"/>
              </w:rPr>
              <w:t>业绩</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4"/>
                <w:szCs w:val="24"/>
              </w:rPr>
            </w:pPr>
            <w:r>
              <w:rPr>
                <w:rFonts w:hint="eastAsia" w:ascii="宋体" w:hAnsi="宋体" w:cs="宋体"/>
                <w:sz w:val="24"/>
                <w:szCs w:val="24"/>
              </w:rPr>
              <w:t>5</w:t>
            </w:r>
          </w:p>
        </w:tc>
        <w:tc>
          <w:tcPr>
            <w:tcW w:w="47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 w:val="24"/>
                <w:szCs w:val="24"/>
              </w:rPr>
            </w:pPr>
            <w:r>
              <w:rPr>
                <w:rFonts w:hint="eastAsia" w:ascii="宋体" w:hAnsi="宋体" w:cs="宋体"/>
                <w:sz w:val="24"/>
                <w:szCs w:val="24"/>
              </w:rPr>
              <w:t>供应商提供2019年1月1日至今所</w:t>
            </w:r>
            <w:r>
              <w:rPr>
                <w:rFonts w:hint="default" w:ascii="宋体" w:hAnsi="宋体" w:cs="宋体"/>
                <w:sz w:val="24"/>
                <w:szCs w:val="24"/>
              </w:rPr>
              <w:t>投</w:t>
            </w:r>
            <w:r>
              <w:rPr>
                <w:rFonts w:hint="eastAsia" w:ascii="宋体" w:hAnsi="宋体" w:cs="宋体"/>
                <w:sz w:val="24"/>
                <w:szCs w:val="24"/>
              </w:rPr>
              <w:t>产品的合同（以合同签订日期为准，仅限供应商本身，提供完整合同）进行评定，每份计1分，最高计5分。</w:t>
            </w:r>
          </w:p>
        </w:tc>
        <w:tc>
          <w:tcPr>
            <w:tcW w:w="16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 w:val="24"/>
                <w:szCs w:val="24"/>
              </w:rPr>
            </w:pPr>
            <w:r>
              <w:rPr>
                <w:rFonts w:hint="eastAsia" w:ascii="宋体" w:hAnsi="宋体" w:cs="宋体"/>
                <w:sz w:val="24"/>
                <w:szCs w:val="24"/>
              </w:rPr>
              <w:t>8</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 w:val="24"/>
                <w:szCs w:val="24"/>
              </w:rPr>
            </w:pPr>
            <w:r>
              <w:rPr>
                <w:rFonts w:hint="eastAsia" w:ascii="宋体" w:hAnsi="宋体" w:cs="宋体"/>
                <w:sz w:val="24"/>
                <w:szCs w:val="24"/>
              </w:rPr>
              <w:t>节能环保产品</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4"/>
                <w:szCs w:val="24"/>
              </w:rPr>
            </w:pPr>
            <w:r>
              <w:rPr>
                <w:rFonts w:hint="eastAsia" w:ascii="宋体" w:hAnsi="宋体" w:cs="宋体"/>
                <w:sz w:val="24"/>
                <w:szCs w:val="24"/>
              </w:rPr>
              <w:t>1</w:t>
            </w:r>
          </w:p>
        </w:tc>
        <w:tc>
          <w:tcPr>
            <w:tcW w:w="47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 w:val="24"/>
                <w:szCs w:val="24"/>
              </w:rPr>
            </w:pPr>
            <w:r>
              <w:rPr>
                <w:rFonts w:hint="eastAsia" w:ascii="宋体" w:hAnsi="宋体" w:cs="宋体"/>
                <w:sz w:val="24"/>
                <w:szCs w:val="24"/>
              </w:rPr>
              <w:t>供应商响应产品中每有一项经国家认证机构认定为节能产品的得0.5分，每有一项为环境标志产品的得0.5分，供应商响应产品中每有一项产品即为节能产品又是环境标志产品得1分（产品不重复计分，如某一产品得到1分，不能再计节能或环境标志产品的0.5分），最多得1分。</w:t>
            </w:r>
          </w:p>
        </w:tc>
        <w:tc>
          <w:tcPr>
            <w:tcW w:w="16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4"/>
                <w:szCs w:val="24"/>
              </w:rPr>
            </w:pPr>
            <w:r>
              <w:rPr>
                <w:rFonts w:hint="eastAsia" w:ascii="宋体" w:hAnsi="宋体" w:cs="宋体"/>
                <w:sz w:val="24"/>
                <w:szCs w:val="24"/>
              </w:rPr>
              <w:t>以国家确定的认证机构出具的、处于有效期内的节能产品、环境标志产品认证证书为准。</w:t>
            </w:r>
          </w:p>
        </w:tc>
      </w:tr>
    </w:tbl>
    <w:p>
      <w:pPr>
        <w:pStyle w:val="2"/>
        <w:rPr>
          <w:rFonts w:hint="eastAsia" w:ascii="宋体" w:hAnsi="宋体" w:cs="宋体"/>
          <w:sz w:val="24"/>
          <w:szCs w:val="24"/>
        </w:rPr>
      </w:pPr>
    </w:p>
    <w:p>
      <w:pPr>
        <w:pStyle w:val="2"/>
        <w:rPr>
          <w:rFonts w:hint="eastAsia" w:ascii="宋体" w:hAnsi="宋体" w:cs="宋体"/>
          <w:sz w:val="24"/>
          <w:szCs w:val="24"/>
        </w:rPr>
      </w:pPr>
    </w:p>
    <w:p/>
    <w:p>
      <w:pPr>
        <w:spacing w:line="360" w:lineRule="auto"/>
        <w:ind w:firstLine="482" w:firstLineChars="200"/>
        <w:rPr>
          <w:rFonts w:hint="eastAsia" w:ascii="宋体" w:hAnsi="宋体" w:cs="宋体"/>
          <w:b/>
          <w:bCs/>
          <w:sz w:val="24"/>
        </w:rPr>
      </w:pPr>
      <w:bookmarkStart w:id="65" w:name="_Toc262"/>
      <w:bookmarkStart w:id="66" w:name="_Toc2536"/>
      <w:bookmarkStart w:id="67" w:name="_Toc6835"/>
      <w:bookmarkStart w:id="68" w:name="_Toc15647"/>
      <w:r>
        <w:rPr>
          <w:rFonts w:hint="eastAsia" w:ascii="宋体" w:hAnsi="宋体" w:cs="宋体"/>
          <w:b/>
          <w:bCs/>
          <w:sz w:val="24"/>
        </w:rPr>
        <w:t>1、本项目专门面向中小企业采购。中小企业参加政府采购活动，必须出具《政府采购促进中小企业发展管理办法》（财库〔2020〕46号）规定的《中小企业声明函》，否则按无效响应处理。</w:t>
      </w:r>
    </w:p>
    <w:p>
      <w:pPr>
        <w:spacing w:line="360" w:lineRule="auto"/>
        <w:ind w:firstLine="482" w:firstLineChars="200"/>
        <w:rPr>
          <w:rFonts w:hint="eastAsia" w:ascii="宋体" w:hAnsi="宋体" w:cs="宋体"/>
          <w:b/>
          <w:bCs/>
          <w:sz w:val="24"/>
        </w:rPr>
      </w:pPr>
      <w:r>
        <w:rPr>
          <w:rFonts w:hint="eastAsia" w:ascii="宋体" w:hAnsi="宋体" w:cs="宋体"/>
          <w:b/>
          <w:bCs/>
          <w:sz w:val="24"/>
        </w:rPr>
        <w:t>2、在政府采购活动中，监狱企业视同小型、微型企业。监狱企业参加政府采购活动时，须提供由省级以上监狱管理局、戒毒管理局（含新疆生产建设兵团）出具的属于监狱企业的证明文件，否则按无效响应处理。</w:t>
      </w:r>
    </w:p>
    <w:p>
      <w:pPr>
        <w:spacing w:line="360" w:lineRule="auto"/>
        <w:ind w:firstLine="482" w:firstLineChars="200"/>
        <w:rPr>
          <w:rFonts w:hint="eastAsia" w:ascii="宋体" w:hAnsi="宋体" w:cs="宋体"/>
          <w:b/>
          <w:bCs/>
          <w:sz w:val="24"/>
        </w:rPr>
      </w:pPr>
      <w:r>
        <w:rPr>
          <w:rFonts w:hint="eastAsia" w:ascii="宋体" w:hAnsi="宋体" w:cs="宋体"/>
          <w:b/>
          <w:bCs/>
          <w:sz w:val="24"/>
        </w:rPr>
        <w:t>3、在政府采购活动中，残疾人福利性单位视同小型、微型企业。残疾人福利性单位参加政府采购活动时，须出具三部门联合发布关于促进残疾人就业政府采购政策的通知财库〔2017〕141号规定的残疾人福利性单位声明函，否则按无效响应处理。</w:t>
      </w:r>
    </w:p>
    <w:p>
      <w:pPr>
        <w:spacing w:line="360" w:lineRule="auto"/>
        <w:ind w:firstLine="482" w:firstLineChars="200"/>
        <w:rPr>
          <w:rFonts w:hint="eastAsia" w:ascii="宋体" w:hAnsi="宋体" w:cs="宋体"/>
          <w:b/>
          <w:bCs/>
          <w:sz w:val="24"/>
        </w:rPr>
        <w:sectPr>
          <w:headerReference r:id="rId10" w:type="default"/>
          <w:footerReference r:id="rId11"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b/>
          <w:bCs/>
          <w:sz w:val="24"/>
        </w:rPr>
        <w:t>4.评审指标出现漏项的最低得分为零</w:t>
      </w:r>
      <w:r>
        <w:rPr>
          <w:rFonts w:hint="default" w:ascii="宋体" w:hAnsi="宋体" w:cs="宋体"/>
          <w:b/>
          <w:bCs/>
          <w:sz w:val="24"/>
        </w:rPr>
        <w:t>。</w:t>
      </w:r>
      <w:bookmarkEnd w:id="65"/>
      <w:r>
        <w:rPr>
          <w:rFonts w:hint="eastAsia" w:ascii="宋体" w:hAnsi="宋体" w:cs="宋体"/>
          <w:b/>
          <w:bCs/>
          <w:sz w:val="24"/>
        </w:rPr>
        <w:br w:type="page"/>
      </w:r>
    </w:p>
    <w:p>
      <w:pPr>
        <w:pStyle w:val="13"/>
        <w:numPr>
          <w:ilvl w:val="0"/>
          <w:numId w:val="19"/>
        </w:numPr>
        <w:ind w:left="0" w:leftChars="0" w:firstLine="0" w:firstLineChars="0"/>
        <w:jc w:val="center"/>
        <w:outlineLvl w:val="0"/>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 xml:space="preserve"> </w:t>
      </w:r>
      <w:bookmarkStart w:id="69" w:name="_Toc30718"/>
      <w:r>
        <w:rPr>
          <w:rFonts w:hint="eastAsia" w:ascii="宋体" w:hAnsi="宋体" w:eastAsia="宋体" w:cs="宋体"/>
          <w:b/>
          <w:bCs/>
          <w:color w:val="auto"/>
          <w:kern w:val="2"/>
          <w:sz w:val="36"/>
          <w:szCs w:val="36"/>
          <w:lang w:val="en-US" w:eastAsia="zh-CN" w:bidi="ar-SA"/>
        </w:rPr>
        <w:t>采购要求</w:t>
      </w:r>
      <w:bookmarkEnd w:id="69"/>
    </w:p>
    <w:tbl>
      <w:tblPr>
        <w:tblStyle w:val="31"/>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926"/>
        <w:gridCol w:w="601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48" w:type="pct"/>
            <w:tcBorders>
              <w:top w:val="single" w:color="auto" w:sz="4" w:space="0"/>
              <w:left w:val="single" w:color="auto" w:sz="4" w:space="0"/>
              <w:bottom w:val="single" w:color="auto" w:sz="4" w:space="0"/>
              <w:right w:val="single" w:color="auto" w:sz="4" w:space="0"/>
            </w:tcBorders>
            <w:noWrap w:val="0"/>
            <w:vAlign w:val="center"/>
          </w:tcPr>
          <w:p>
            <w:pPr>
              <w:pStyle w:val="16"/>
              <w:spacing w:line="400" w:lineRule="exact"/>
              <w:jc w:val="center"/>
              <w:rPr>
                <w:rFonts w:ascii="仿宋" w:hAnsi="仿宋" w:eastAsia="仿宋" w:cs="Courier New"/>
                <w:b/>
                <w:bCs/>
                <w:sz w:val="24"/>
                <w:szCs w:val="24"/>
              </w:rPr>
            </w:pPr>
            <w:r>
              <w:rPr>
                <w:rFonts w:hint="eastAsia" w:ascii="仿宋" w:hAnsi="仿宋" w:eastAsia="仿宋" w:cs="Courier New"/>
                <w:b/>
                <w:bCs/>
                <w:sz w:val="24"/>
                <w:szCs w:val="24"/>
              </w:rPr>
              <w:t>序号</w:t>
            </w:r>
          </w:p>
        </w:tc>
        <w:tc>
          <w:tcPr>
            <w:tcW w:w="539" w:type="pct"/>
            <w:tcBorders>
              <w:top w:val="single" w:color="auto" w:sz="4" w:space="0"/>
              <w:left w:val="single" w:color="auto" w:sz="4" w:space="0"/>
              <w:bottom w:val="single" w:color="auto" w:sz="4" w:space="0"/>
              <w:right w:val="single" w:color="auto" w:sz="4" w:space="0"/>
            </w:tcBorders>
            <w:noWrap w:val="0"/>
            <w:vAlign w:val="center"/>
          </w:tcPr>
          <w:p>
            <w:pPr>
              <w:pStyle w:val="16"/>
              <w:spacing w:line="400" w:lineRule="exact"/>
              <w:jc w:val="center"/>
              <w:rPr>
                <w:rFonts w:ascii="仿宋" w:hAnsi="仿宋" w:eastAsia="仿宋" w:cs="Courier New"/>
                <w:b/>
                <w:bCs/>
                <w:sz w:val="24"/>
                <w:szCs w:val="24"/>
              </w:rPr>
            </w:pPr>
            <w:r>
              <w:rPr>
                <w:rFonts w:hint="eastAsia" w:ascii="仿宋" w:hAnsi="仿宋" w:eastAsia="仿宋" w:cs="Courier New"/>
                <w:b/>
                <w:bCs/>
                <w:sz w:val="24"/>
                <w:szCs w:val="24"/>
              </w:rPr>
              <w:t>名称</w:t>
            </w:r>
          </w:p>
        </w:tc>
        <w:tc>
          <w:tcPr>
            <w:tcW w:w="3501" w:type="pct"/>
            <w:tcBorders>
              <w:top w:val="single" w:color="auto" w:sz="4" w:space="0"/>
              <w:left w:val="single" w:color="auto" w:sz="4" w:space="0"/>
              <w:bottom w:val="single" w:color="auto" w:sz="4" w:space="0"/>
              <w:right w:val="single" w:color="auto" w:sz="4" w:space="0"/>
            </w:tcBorders>
            <w:noWrap w:val="0"/>
            <w:vAlign w:val="center"/>
          </w:tcPr>
          <w:p>
            <w:pPr>
              <w:pStyle w:val="16"/>
              <w:spacing w:line="400" w:lineRule="exact"/>
              <w:jc w:val="center"/>
              <w:rPr>
                <w:rFonts w:ascii="仿宋" w:hAnsi="仿宋" w:eastAsia="仿宋" w:cs="Courier New"/>
                <w:b/>
                <w:bCs/>
                <w:sz w:val="24"/>
                <w:szCs w:val="24"/>
              </w:rPr>
            </w:pPr>
            <w:r>
              <w:rPr>
                <w:rFonts w:hint="eastAsia" w:ascii="仿宋" w:hAnsi="仿宋" w:eastAsia="仿宋" w:cs="Courier New"/>
                <w:b/>
                <w:bCs/>
                <w:sz w:val="24"/>
                <w:szCs w:val="24"/>
              </w:rPr>
              <w:t>技术参数</w:t>
            </w:r>
          </w:p>
        </w:tc>
        <w:tc>
          <w:tcPr>
            <w:tcW w:w="410" w:type="pct"/>
            <w:tcBorders>
              <w:top w:val="single" w:color="auto" w:sz="4" w:space="0"/>
              <w:left w:val="single" w:color="auto" w:sz="4" w:space="0"/>
              <w:bottom w:val="single" w:color="auto" w:sz="4" w:space="0"/>
              <w:right w:val="single" w:color="auto" w:sz="4" w:space="0"/>
            </w:tcBorders>
            <w:noWrap w:val="0"/>
            <w:vAlign w:val="center"/>
          </w:tcPr>
          <w:p>
            <w:pPr>
              <w:pStyle w:val="16"/>
              <w:spacing w:line="400" w:lineRule="exact"/>
              <w:jc w:val="center"/>
              <w:rPr>
                <w:rFonts w:ascii="仿宋" w:hAnsi="仿宋" w:eastAsia="仿宋" w:cs="Courier New"/>
                <w:b/>
                <w:bCs/>
                <w:sz w:val="24"/>
                <w:szCs w:val="24"/>
              </w:rPr>
            </w:pPr>
            <w:r>
              <w:rPr>
                <w:rFonts w:hint="eastAsia" w:ascii="仿宋" w:hAnsi="仿宋" w:eastAsia="仿宋" w:cs="Courier New"/>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1</w:t>
            </w:r>
          </w:p>
        </w:tc>
        <w:tc>
          <w:tcPr>
            <w:tcW w:w="53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高压氢气泄漏扩散实验箱</w:t>
            </w:r>
          </w:p>
        </w:tc>
        <w:tc>
          <w:tcPr>
            <w:tcW w:w="3501"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szCs w:val="24"/>
              </w:rPr>
            </w:pPr>
            <w:r>
              <w:rPr>
                <w:rFonts w:hint="eastAsia"/>
                <w:sz w:val="24"/>
                <w:szCs w:val="24"/>
              </w:rPr>
              <w:t>1、供气系统：</w:t>
            </w:r>
          </w:p>
          <w:p>
            <w:pPr>
              <w:spacing w:line="360" w:lineRule="auto"/>
              <w:rPr>
                <w:sz w:val="24"/>
                <w:szCs w:val="24"/>
              </w:rPr>
            </w:pPr>
            <w:r>
              <w:rPr>
                <w:rFonts w:hint="eastAsia"/>
                <w:sz w:val="24"/>
                <w:szCs w:val="24"/>
              </w:rPr>
              <w:t>1.1 配气接口：2路</w:t>
            </w:r>
          </w:p>
          <w:p>
            <w:pPr>
              <w:spacing w:line="360" w:lineRule="auto"/>
              <w:rPr>
                <w:sz w:val="24"/>
                <w:szCs w:val="24"/>
              </w:rPr>
            </w:pPr>
            <w:r>
              <w:rPr>
                <w:rFonts w:hint="eastAsia"/>
                <w:sz w:val="24"/>
                <w:szCs w:val="24"/>
              </w:rPr>
              <w:t>1.2 操作形式：自动控制</w:t>
            </w:r>
          </w:p>
          <w:p>
            <w:pPr>
              <w:spacing w:line="360" w:lineRule="auto"/>
              <w:rPr>
                <w:sz w:val="24"/>
                <w:szCs w:val="24"/>
              </w:rPr>
            </w:pPr>
            <w:r>
              <w:rPr>
                <w:rFonts w:hint="eastAsia"/>
                <w:sz w:val="24"/>
                <w:szCs w:val="24"/>
              </w:rPr>
              <w:t>1.3 配气精度：≤0.1%FS</w:t>
            </w:r>
          </w:p>
          <w:p>
            <w:pPr>
              <w:spacing w:line="360" w:lineRule="auto"/>
              <w:rPr>
                <w:sz w:val="24"/>
                <w:szCs w:val="24"/>
              </w:rPr>
            </w:pPr>
            <w:r>
              <w:rPr>
                <w:rFonts w:hint="eastAsia"/>
                <w:sz w:val="24"/>
                <w:szCs w:val="24"/>
              </w:rPr>
              <w:t>1.4 高压气动阀耐压：≥50 MPa</w:t>
            </w:r>
          </w:p>
          <w:p>
            <w:pPr>
              <w:spacing w:line="360" w:lineRule="auto"/>
              <w:rPr>
                <w:sz w:val="24"/>
                <w:szCs w:val="24"/>
              </w:rPr>
            </w:pPr>
            <w:r>
              <w:rPr>
                <w:rFonts w:hint="eastAsia"/>
                <w:sz w:val="24"/>
                <w:szCs w:val="24"/>
              </w:rPr>
              <w:t>2、高压储气罐（需附国家本安型防爆资质鉴定证书）</w:t>
            </w:r>
          </w:p>
          <w:p>
            <w:pPr>
              <w:spacing w:line="360" w:lineRule="auto"/>
              <w:rPr>
                <w:sz w:val="24"/>
                <w:szCs w:val="24"/>
              </w:rPr>
            </w:pPr>
            <w:r>
              <w:rPr>
                <w:rFonts w:hint="eastAsia"/>
                <w:sz w:val="24"/>
                <w:szCs w:val="24"/>
              </w:rPr>
              <w:t>2.1 最大耐压：50MPa</w:t>
            </w:r>
          </w:p>
          <w:p>
            <w:pPr>
              <w:spacing w:line="360" w:lineRule="auto"/>
              <w:rPr>
                <w:sz w:val="24"/>
                <w:szCs w:val="24"/>
              </w:rPr>
            </w:pPr>
            <w:r>
              <w:rPr>
                <w:rFonts w:hint="eastAsia"/>
                <w:sz w:val="24"/>
                <w:szCs w:val="24"/>
              </w:rPr>
              <w:t>2.2 形状：体积为10L的圆柱形容器</w:t>
            </w:r>
          </w:p>
          <w:p>
            <w:pPr>
              <w:spacing w:line="360" w:lineRule="auto"/>
              <w:rPr>
                <w:sz w:val="24"/>
                <w:szCs w:val="24"/>
              </w:rPr>
            </w:pPr>
            <w:r>
              <w:rPr>
                <w:rFonts w:hint="eastAsia"/>
                <w:sz w:val="24"/>
                <w:szCs w:val="24"/>
              </w:rPr>
              <w:t>2.3 控温范围：RT+10~200℃</w:t>
            </w:r>
          </w:p>
          <w:p>
            <w:pPr>
              <w:spacing w:line="360" w:lineRule="auto"/>
              <w:rPr>
                <w:sz w:val="24"/>
                <w:szCs w:val="24"/>
              </w:rPr>
            </w:pPr>
            <w:r>
              <w:rPr>
                <w:rFonts w:hint="eastAsia"/>
                <w:sz w:val="24"/>
                <w:szCs w:val="24"/>
              </w:rPr>
              <w:t>2.4 控温精度：≤±2℃</w:t>
            </w:r>
          </w:p>
          <w:p>
            <w:pPr>
              <w:spacing w:line="360" w:lineRule="auto"/>
              <w:rPr>
                <w:sz w:val="24"/>
                <w:szCs w:val="24"/>
              </w:rPr>
            </w:pPr>
            <w:r>
              <w:rPr>
                <w:rFonts w:hint="eastAsia"/>
                <w:sz w:val="24"/>
                <w:szCs w:val="24"/>
              </w:rPr>
              <w:t>2.5 测温范围：室温~200℃</w:t>
            </w:r>
          </w:p>
          <w:p>
            <w:pPr>
              <w:spacing w:line="360" w:lineRule="auto"/>
              <w:rPr>
                <w:rFonts w:hint="eastAsia"/>
                <w:sz w:val="24"/>
                <w:szCs w:val="24"/>
              </w:rPr>
            </w:pPr>
            <w:r>
              <w:rPr>
                <w:rFonts w:hint="eastAsia"/>
                <w:sz w:val="24"/>
                <w:szCs w:val="24"/>
              </w:rPr>
              <w:t>2.6 温度测量精度：≤±0.05℃</w:t>
            </w:r>
          </w:p>
          <w:p>
            <w:pPr>
              <w:spacing w:line="360" w:lineRule="auto"/>
              <w:rPr>
                <w:sz w:val="24"/>
                <w:szCs w:val="24"/>
              </w:rPr>
            </w:pPr>
            <w:r>
              <w:rPr>
                <w:rFonts w:hint="eastAsia"/>
                <w:sz w:val="24"/>
                <w:szCs w:val="24"/>
              </w:rPr>
              <w:t>2.7 储罐内附加磁力搅拌系统（防爆电机、调速器，高温磁铁、搅拌密封系统）</w:t>
            </w:r>
          </w:p>
          <w:p>
            <w:pPr>
              <w:spacing w:line="360" w:lineRule="auto"/>
              <w:rPr>
                <w:sz w:val="24"/>
                <w:szCs w:val="24"/>
              </w:rPr>
            </w:pPr>
            <w:r>
              <w:rPr>
                <w:rFonts w:hint="eastAsia"/>
                <w:sz w:val="24"/>
                <w:szCs w:val="24"/>
              </w:rPr>
              <w:t>3、可视化箱体</w:t>
            </w:r>
          </w:p>
          <w:p>
            <w:pPr>
              <w:spacing w:line="360" w:lineRule="auto"/>
              <w:rPr>
                <w:sz w:val="24"/>
                <w:szCs w:val="24"/>
              </w:rPr>
            </w:pPr>
            <w:r>
              <w:rPr>
                <w:rFonts w:hint="eastAsia"/>
                <w:sz w:val="24"/>
                <w:szCs w:val="24"/>
              </w:rPr>
              <w:t>3.1 最大耐压：≥10MPa</w:t>
            </w:r>
          </w:p>
          <w:p>
            <w:pPr>
              <w:spacing w:line="360" w:lineRule="auto"/>
              <w:rPr>
                <w:sz w:val="24"/>
                <w:szCs w:val="24"/>
              </w:rPr>
            </w:pPr>
            <w:r>
              <w:rPr>
                <w:rFonts w:hint="eastAsia"/>
                <w:sz w:val="24"/>
                <w:szCs w:val="24"/>
              </w:rPr>
              <w:t>3.2 尺寸：</w:t>
            </w:r>
            <w:r>
              <w:rPr>
                <w:rFonts w:hint="eastAsia"/>
                <w:sz w:val="24"/>
                <w:szCs w:val="24"/>
                <w:lang w:val="en-US" w:eastAsia="zh-CN"/>
              </w:rPr>
              <w:t>≥</w:t>
            </w:r>
            <w:bookmarkStart w:id="165" w:name="_GoBack"/>
            <w:bookmarkEnd w:id="165"/>
            <w:r>
              <w:rPr>
                <w:rFonts w:hint="eastAsia"/>
                <w:sz w:val="24"/>
                <w:szCs w:val="24"/>
              </w:rPr>
              <w:t>1500*1200*1100mm</w:t>
            </w:r>
          </w:p>
          <w:p>
            <w:pPr>
              <w:spacing w:line="360" w:lineRule="auto"/>
              <w:rPr>
                <w:sz w:val="24"/>
                <w:szCs w:val="24"/>
              </w:rPr>
            </w:pPr>
            <w:r>
              <w:rPr>
                <w:rFonts w:hint="eastAsia"/>
                <w:sz w:val="24"/>
                <w:szCs w:val="24"/>
              </w:rPr>
              <w:t>3.3 光学视窗：预留3面可视窗，6个通风窗。光学可视窗材质要求为蓝宝石（透过率：λ（OH）=70%、λ（O）=80%、λ（H）=80%，平行度：＜1分，面形N＜1/英寸）</w:t>
            </w:r>
          </w:p>
          <w:p>
            <w:pPr>
              <w:spacing w:line="360" w:lineRule="auto"/>
              <w:rPr>
                <w:sz w:val="24"/>
                <w:szCs w:val="24"/>
              </w:rPr>
            </w:pPr>
            <w:r>
              <w:rPr>
                <w:rFonts w:hint="eastAsia"/>
                <w:sz w:val="24"/>
                <w:szCs w:val="24"/>
              </w:rPr>
              <w:t>3.4 泄爆装置：可视化箱体尾部加装泄爆设备</w:t>
            </w:r>
          </w:p>
          <w:p>
            <w:pPr>
              <w:spacing w:line="360" w:lineRule="auto"/>
              <w:rPr>
                <w:sz w:val="24"/>
                <w:szCs w:val="24"/>
              </w:rPr>
            </w:pPr>
            <w:r>
              <w:rPr>
                <w:rFonts w:hint="eastAsia"/>
                <w:sz w:val="24"/>
                <w:szCs w:val="24"/>
              </w:rPr>
              <w:t>3.5 形状：矩形箱体预留侧面可打开面</w:t>
            </w:r>
          </w:p>
          <w:p>
            <w:pPr>
              <w:spacing w:line="360" w:lineRule="auto"/>
              <w:rPr>
                <w:sz w:val="24"/>
                <w:szCs w:val="24"/>
              </w:rPr>
            </w:pPr>
            <w:r>
              <w:rPr>
                <w:rFonts w:hint="eastAsia"/>
                <w:sz w:val="24"/>
                <w:szCs w:val="24"/>
              </w:rPr>
              <w:t>4、真空系统：</w:t>
            </w:r>
          </w:p>
          <w:p>
            <w:pPr>
              <w:spacing w:line="360" w:lineRule="auto"/>
              <w:rPr>
                <w:sz w:val="24"/>
                <w:szCs w:val="24"/>
              </w:rPr>
            </w:pPr>
            <w:r>
              <w:rPr>
                <w:rFonts w:hint="eastAsia"/>
                <w:sz w:val="24"/>
                <w:szCs w:val="24"/>
              </w:rPr>
              <w:t xml:space="preserve">4.1 需满足高压储气罐真空度小于300Pa </w:t>
            </w:r>
          </w:p>
          <w:p>
            <w:pPr>
              <w:spacing w:line="360" w:lineRule="auto"/>
              <w:rPr>
                <w:sz w:val="24"/>
                <w:szCs w:val="24"/>
              </w:rPr>
            </w:pPr>
            <w:r>
              <w:rPr>
                <w:rFonts w:hint="eastAsia"/>
                <w:sz w:val="24"/>
                <w:szCs w:val="24"/>
              </w:rPr>
              <w:t>5、压力采集系统</w:t>
            </w:r>
          </w:p>
          <w:p>
            <w:pPr>
              <w:spacing w:line="360" w:lineRule="auto"/>
              <w:rPr>
                <w:sz w:val="24"/>
                <w:szCs w:val="24"/>
              </w:rPr>
            </w:pPr>
            <w:r>
              <w:rPr>
                <w:rFonts w:hint="eastAsia"/>
                <w:sz w:val="24"/>
                <w:szCs w:val="24"/>
              </w:rPr>
              <w:t>5.1 可视化有限空间配置动态压力传感器4支，测量范围0-50MPa，采集频率≥500kHz, 非线性误差≤1.0%FS</w:t>
            </w:r>
          </w:p>
          <w:p>
            <w:pPr>
              <w:spacing w:line="360" w:lineRule="auto"/>
              <w:rPr>
                <w:sz w:val="24"/>
                <w:szCs w:val="24"/>
              </w:rPr>
            </w:pPr>
            <w:r>
              <w:rPr>
                <w:rFonts w:hint="eastAsia"/>
                <w:sz w:val="24"/>
                <w:szCs w:val="24"/>
              </w:rPr>
              <w:t>6、自动化控制与数据采集系统</w:t>
            </w:r>
          </w:p>
          <w:p>
            <w:pPr>
              <w:spacing w:line="360" w:lineRule="auto"/>
              <w:rPr>
                <w:sz w:val="24"/>
                <w:szCs w:val="24"/>
              </w:rPr>
            </w:pPr>
            <w:r>
              <w:rPr>
                <w:rFonts w:hint="eastAsia"/>
                <w:sz w:val="24"/>
                <w:szCs w:val="24"/>
              </w:rPr>
              <w:t>6.1实验平台配套软件应实现供气系统、喷射系统、数据采集系统、压力控制系统等一体化自动控制，包括供气系统与高压储气罐之间的自动闭锁。</w:t>
            </w:r>
          </w:p>
          <w:p>
            <w:pPr>
              <w:spacing w:line="360" w:lineRule="auto"/>
              <w:rPr>
                <w:sz w:val="24"/>
                <w:szCs w:val="24"/>
              </w:rPr>
            </w:pPr>
            <w:r>
              <w:rPr>
                <w:rFonts w:hint="eastAsia"/>
                <w:sz w:val="24"/>
                <w:szCs w:val="24"/>
              </w:rPr>
              <w:t>6.2数据采集平台：处理器主频≥3.0GHz，数据存储容量≥500Gb，浓度、压力、速度等变化数据的实时显示、记录软件。</w:t>
            </w:r>
          </w:p>
          <w:p>
            <w:pPr>
              <w:spacing w:line="360" w:lineRule="auto"/>
              <w:rPr>
                <w:sz w:val="24"/>
                <w:szCs w:val="24"/>
              </w:rPr>
            </w:pPr>
            <w:r>
              <w:rPr>
                <w:rFonts w:hint="eastAsia"/>
                <w:sz w:val="24"/>
                <w:szCs w:val="24"/>
              </w:rPr>
              <w:t>7、浓度采集系统</w:t>
            </w:r>
          </w:p>
          <w:p>
            <w:pPr>
              <w:spacing w:line="360" w:lineRule="auto"/>
              <w:rPr>
                <w:sz w:val="24"/>
                <w:szCs w:val="24"/>
              </w:rPr>
            </w:pPr>
            <w:r>
              <w:rPr>
                <w:rFonts w:hint="eastAsia"/>
                <w:sz w:val="24"/>
                <w:szCs w:val="24"/>
              </w:rPr>
              <w:t>7.1可视化箱体内配置氢浓度传感器20支，测量范围0-40000PPM 0-100%LEL，采集频率≥500kHz, 非线性误差≤1.0%FS</w:t>
            </w:r>
          </w:p>
          <w:p>
            <w:pPr>
              <w:spacing w:line="360" w:lineRule="auto"/>
              <w:rPr>
                <w:sz w:val="24"/>
                <w:szCs w:val="24"/>
              </w:rPr>
            </w:pPr>
            <w:r>
              <w:rPr>
                <w:rFonts w:hint="eastAsia"/>
                <w:sz w:val="24"/>
                <w:szCs w:val="24"/>
              </w:rPr>
              <w:t>8、其他要求</w:t>
            </w:r>
          </w:p>
          <w:p>
            <w:pPr>
              <w:spacing w:line="360" w:lineRule="auto"/>
              <w:rPr>
                <w:sz w:val="24"/>
                <w:szCs w:val="24"/>
              </w:rPr>
            </w:pPr>
            <w:r>
              <w:rPr>
                <w:rFonts w:hint="eastAsia"/>
                <w:sz w:val="24"/>
                <w:szCs w:val="24"/>
              </w:rPr>
              <w:t>8.1 上述所有实验装置集成于一个实验平台，且供气系统、高压储气罐、可视化箱体等关键部件应实现可拆卸安装功能。</w:t>
            </w:r>
          </w:p>
          <w:p>
            <w:pPr>
              <w:spacing w:line="360" w:lineRule="auto"/>
              <w:rPr>
                <w:sz w:val="24"/>
                <w:szCs w:val="24"/>
              </w:rPr>
            </w:pPr>
            <w:r>
              <w:rPr>
                <w:rFonts w:hint="eastAsia"/>
                <w:sz w:val="24"/>
                <w:szCs w:val="24"/>
              </w:rPr>
              <w:t>8.2 涉及高压的特殊容器需附厂家出厂检测报告文件。</w:t>
            </w:r>
          </w:p>
          <w:p>
            <w:pPr>
              <w:pStyle w:val="2"/>
              <w:ind w:firstLine="240" w:firstLineChars="100"/>
              <w:rPr>
                <w:rFonts w:hint="eastAsia"/>
                <w:sz w:val="24"/>
                <w:szCs w:val="24"/>
              </w:rPr>
            </w:pPr>
            <w:r>
              <w:rPr>
                <w:rFonts w:hint="eastAsia"/>
                <w:sz w:val="24"/>
                <w:szCs w:val="24"/>
              </w:rPr>
              <w:t>连接箱体的管路密封性能高、防爆性要求高</w:t>
            </w:r>
          </w:p>
        </w:tc>
        <w:tc>
          <w:tcPr>
            <w:tcW w:w="410"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1</w:t>
            </w:r>
          </w:p>
        </w:tc>
      </w:tr>
    </w:tbl>
    <w:p>
      <w:pPr>
        <w:rPr>
          <w:rFonts w:hint="eastAsia" w:ascii="宋体" w:hAnsi="宋体" w:eastAsia="宋体" w:cs="宋体"/>
          <w:b/>
          <w:bCs/>
          <w:color w:val="auto"/>
          <w:kern w:val="2"/>
          <w:sz w:val="36"/>
          <w:szCs w:val="36"/>
          <w:lang w:val="en-US" w:eastAsia="zh-CN" w:bidi="ar-SA"/>
        </w:rPr>
        <w:sectPr>
          <w:pgSz w:w="11906" w:h="16838"/>
          <w:pgMar w:top="1440" w:right="1803" w:bottom="1440" w:left="1803" w:header="851" w:footer="992" w:gutter="0"/>
          <w:pgNumType w:fmt="decimal"/>
          <w:cols w:space="720" w:num="1"/>
          <w:docGrid w:type="lines" w:linePitch="319" w:charSpace="0"/>
        </w:sectPr>
      </w:pPr>
    </w:p>
    <w:p>
      <w:pPr>
        <w:pStyle w:val="2"/>
        <w:rPr>
          <w:rFonts w:hint="eastAsia"/>
          <w:lang w:val="en-US" w:eastAsia="zh-CN"/>
        </w:rPr>
      </w:pPr>
    </w:p>
    <w:p>
      <w:pPr>
        <w:pStyle w:val="2"/>
        <w:rPr>
          <w:rFonts w:hint="eastAsia"/>
          <w:lang w:val="en-US" w:eastAsia="zh-CN"/>
        </w:rPr>
      </w:pPr>
    </w:p>
    <w:p>
      <w:pPr>
        <w:numPr>
          <w:ilvl w:val="0"/>
          <w:numId w:val="0"/>
        </w:numPr>
        <w:ind w:leftChars="0"/>
        <w:rPr>
          <w:rFonts w:hint="default"/>
          <w:lang w:val="en-US" w:eastAsia="zh-CN"/>
        </w:rPr>
      </w:pPr>
    </w:p>
    <w:p>
      <w:pPr>
        <w:keepNext/>
        <w:keepLines/>
        <w:numPr>
          <w:ilvl w:val="0"/>
          <w:numId w:val="19"/>
        </w:numPr>
        <w:tabs>
          <w:tab w:val="left" w:pos="2410"/>
          <w:tab w:val="center" w:pos="4212"/>
        </w:tabs>
        <w:spacing w:line="360" w:lineRule="auto"/>
        <w:ind w:left="0" w:leftChars="0" w:firstLine="0" w:firstLineChars="0"/>
        <w:jc w:val="center"/>
        <w:outlineLvl w:val="0"/>
        <w:rPr>
          <w:rFonts w:hint="eastAsia" w:ascii="宋体" w:hAnsi="宋体" w:cs="宋体"/>
          <w:b/>
          <w:bCs/>
          <w:sz w:val="36"/>
          <w:szCs w:val="36"/>
        </w:rPr>
      </w:pPr>
      <w:r>
        <w:rPr>
          <w:rFonts w:hint="eastAsia" w:ascii="宋体" w:hAnsi="宋体" w:cs="宋体"/>
          <w:b/>
          <w:bCs/>
          <w:sz w:val="36"/>
          <w:szCs w:val="36"/>
        </w:rPr>
        <w:t xml:space="preserve"> </w:t>
      </w:r>
      <w:bookmarkStart w:id="70" w:name="_Toc3873"/>
      <w:r>
        <w:rPr>
          <w:rFonts w:hint="eastAsia" w:ascii="宋体" w:hAnsi="宋体" w:cs="宋体"/>
          <w:b/>
          <w:bCs/>
          <w:sz w:val="36"/>
          <w:szCs w:val="36"/>
        </w:rPr>
        <w:t>合同条款</w:t>
      </w:r>
      <w:bookmarkEnd w:id="70"/>
    </w:p>
    <w:p>
      <w:pPr>
        <w:kinsoku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甲方：西安科技大学</w:t>
      </w:r>
    </w:p>
    <w:p>
      <w:pPr>
        <w:kinsoku w:val="0"/>
        <w:spacing w:line="360" w:lineRule="auto"/>
        <w:ind w:firstLine="480" w:firstLineChars="200"/>
        <w:rPr>
          <w:rFonts w:hint="eastAsia" w:ascii="宋体" w:hAnsi="宋体" w:cs="宋体"/>
          <w:sz w:val="24"/>
          <w:szCs w:val="24"/>
        </w:rPr>
      </w:pPr>
      <w:r>
        <w:rPr>
          <w:rFonts w:hint="eastAsia" w:ascii="宋体" w:hAnsi="宋体" w:cs="宋体"/>
          <w:sz w:val="24"/>
          <w:szCs w:val="24"/>
        </w:rPr>
        <w:t>乙方：</w:t>
      </w:r>
      <w:r>
        <w:rPr>
          <w:rFonts w:hint="eastAsia" w:ascii="宋体" w:hAnsi="宋体" w:cs="宋体"/>
          <w:sz w:val="24"/>
          <w:szCs w:val="24"/>
          <w:u w:val="single"/>
        </w:rPr>
        <w:t xml:space="preserve">          </w:t>
      </w:r>
    </w:p>
    <w:p>
      <w:pPr>
        <w:kinsoku w:val="0"/>
        <w:spacing w:line="360" w:lineRule="auto"/>
        <w:ind w:firstLine="480" w:firstLineChars="200"/>
        <w:rPr>
          <w:rFonts w:hint="eastAsia" w:ascii="宋体" w:hAnsi="宋体" w:cs="宋体"/>
          <w:sz w:val="24"/>
          <w:szCs w:val="24"/>
        </w:rPr>
      </w:pPr>
      <w:r>
        <w:rPr>
          <w:rFonts w:hint="eastAsia" w:ascii="宋体" w:hAnsi="宋体" w:cs="宋体"/>
          <w:sz w:val="24"/>
          <w:szCs w:val="24"/>
        </w:rPr>
        <w:t>根据《中华人民共和国民法典》等法律法规，甲方通过</w:t>
      </w:r>
      <w:r>
        <w:rPr>
          <w:rFonts w:hint="eastAsia" w:ascii="宋体" w:hAnsi="宋体" w:cs="宋体"/>
          <w:sz w:val="24"/>
          <w:szCs w:val="24"/>
          <w:lang w:eastAsia="zh-CN"/>
        </w:rPr>
        <w:t>公开招标</w:t>
      </w:r>
      <w:r>
        <w:rPr>
          <w:rFonts w:hint="eastAsia" w:ascii="宋体" w:hAnsi="宋体" w:cs="宋体"/>
          <w:sz w:val="24"/>
          <w:szCs w:val="24"/>
        </w:rPr>
        <w:t>，选定乙方为</w:t>
      </w:r>
      <w:r>
        <w:rPr>
          <w:rFonts w:hint="eastAsia" w:ascii="宋体" w:hAnsi="宋体" w:cs="宋体"/>
          <w:sz w:val="24"/>
          <w:szCs w:val="24"/>
          <w:lang w:eastAsia="zh-CN"/>
        </w:rPr>
        <w:t>中标</w:t>
      </w:r>
      <w:r>
        <w:rPr>
          <w:rFonts w:hint="eastAsia" w:ascii="宋体" w:hAnsi="宋体" w:cs="宋体"/>
          <w:sz w:val="24"/>
          <w:szCs w:val="24"/>
        </w:rPr>
        <w:t>单位。甲、乙双方在平等基础上协商一致，达成如下合同条款：</w:t>
      </w:r>
    </w:p>
    <w:p>
      <w:pPr>
        <w:kinsoku w:val="0"/>
        <w:spacing w:line="360" w:lineRule="auto"/>
        <w:ind w:firstLine="480" w:firstLineChars="200"/>
        <w:rPr>
          <w:rFonts w:hint="eastAsia" w:ascii="宋体" w:hAnsi="宋体" w:cs="宋体"/>
          <w:sz w:val="24"/>
          <w:szCs w:val="24"/>
        </w:rPr>
      </w:pPr>
      <w:r>
        <w:rPr>
          <w:rFonts w:hint="eastAsia" w:ascii="宋体" w:hAnsi="宋体" w:cs="宋体"/>
          <w:sz w:val="24"/>
          <w:szCs w:val="24"/>
        </w:rPr>
        <w:t>一、</w:t>
      </w:r>
      <w:r>
        <w:rPr>
          <w:rFonts w:hint="eastAsia" w:ascii="宋体" w:hAnsi="宋体" w:cs="宋体"/>
          <w:b/>
          <w:bCs/>
          <w:sz w:val="24"/>
          <w:szCs w:val="24"/>
        </w:rPr>
        <w:t>合同内容</w:t>
      </w:r>
    </w:p>
    <w:tbl>
      <w:tblPr>
        <w:tblStyle w:val="31"/>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732"/>
        <w:gridCol w:w="1006"/>
        <w:gridCol w:w="1303"/>
        <w:gridCol w:w="962"/>
        <w:gridCol w:w="1917"/>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szCs w:val="24"/>
              </w:rPr>
            </w:pPr>
            <w:r>
              <w:rPr>
                <w:rFonts w:hint="eastAsia" w:ascii="宋体" w:hAnsi="宋体" w:cs="宋体"/>
                <w:b/>
                <w:sz w:val="24"/>
                <w:szCs w:val="24"/>
              </w:rPr>
              <w:t>序号</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szCs w:val="24"/>
              </w:rPr>
            </w:pPr>
            <w:r>
              <w:rPr>
                <w:rFonts w:hint="eastAsia" w:ascii="宋体" w:hAnsi="宋体" w:cs="宋体"/>
                <w:b/>
                <w:sz w:val="24"/>
                <w:szCs w:val="24"/>
              </w:rPr>
              <w:t>产品名称</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szCs w:val="24"/>
              </w:rPr>
            </w:pPr>
            <w:r>
              <w:rPr>
                <w:rFonts w:hint="eastAsia" w:ascii="宋体" w:hAnsi="宋体" w:cs="宋体"/>
                <w:b/>
                <w:sz w:val="24"/>
                <w:szCs w:val="24"/>
              </w:rPr>
              <w:t>型号</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szCs w:val="24"/>
              </w:rPr>
            </w:pPr>
            <w:r>
              <w:rPr>
                <w:rFonts w:hint="eastAsia" w:ascii="宋体" w:hAnsi="宋体" w:cs="宋体"/>
                <w:b/>
                <w:sz w:val="24"/>
                <w:szCs w:val="24"/>
              </w:rPr>
              <w:t>生产厂家</w:t>
            </w:r>
          </w:p>
        </w:tc>
        <w:tc>
          <w:tcPr>
            <w:tcW w:w="9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szCs w:val="24"/>
              </w:rPr>
            </w:pPr>
            <w:r>
              <w:rPr>
                <w:rFonts w:hint="eastAsia" w:ascii="宋体" w:hAnsi="宋体" w:cs="宋体"/>
                <w:b/>
                <w:sz w:val="24"/>
                <w:szCs w:val="24"/>
              </w:rPr>
              <w:t>数量</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szCs w:val="24"/>
              </w:rPr>
            </w:pPr>
            <w:r>
              <w:rPr>
                <w:rFonts w:hint="eastAsia" w:ascii="宋体" w:hAnsi="宋体" w:cs="宋体"/>
                <w:b/>
                <w:sz w:val="24"/>
                <w:szCs w:val="24"/>
              </w:rPr>
              <w:t>单价</w:t>
            </w:r>
          </w:p>
        </w:tc>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1</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sz w:val="24"/>
                <w:szCs w:val="24"/>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sz w:val="24"/>
                <w:szCs w:val="24"/>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eastAsia" w:ascii="宋体" w:hAnsi="宋体" w:cs="宋体"/>
                <w:sz w:val="24"/>
                <w:szCs w:val="24"/>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sz w:val="24"/>
                <w:szCs w:val="24"/>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sz w:val="24"/>
                <w:szCs w:val="24"/>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sz w:val="24"/>
                <w:szCs w:val="24"/>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eastAsia" w:ascii="宋体" w:hAnsi="宋体" w:cs="宋体"/>
                <w:sz w:val="24"/>
                <w:szCs w:val="24"/>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sz w:val="24"/>
                <w:szCs w:val="24"/>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sz w:val="24"/>
                <w:szCs w:val="24"/>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sz w:val="24"/>
                <w:szCs w:val="24"/>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eastAsia" w:ascii="宋体" w:hAnsi="宋体" w:cs="宋体"/>
                <w:sz w:val="24"/>
                <w:szCs w:val="24"/>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b/>
                <w:sz w:val="24"/>
                <w:szCs w:val="24"/>
              </w:rPr>
            </w:pPr>
            <w:r>
              <w:rPr>
                <w:rFonts w:hint="eastAsia" w:ascii="宋体" w:hAnsi="宋体" w:cs="宋体"/>
                <w:b/>
                <w:sz w:val="24"/>
                <w:szCs w:val="24"/>
              </w:rPr>
              <w:t>总计（人民币/元）</w:t>
            </w:r>
          </w:p>
        </w:tc>
        <w:tc>
          <w:tcPr>
            <w:tcW w:w="608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宋体" w:hAnsi="宋体" w:cs="宋体"/>
                <w:b/>
                <w:sz w:val="24"/>
                <w:szCs w:val="24"/>
              </w:rPr>
            </w:pPr>
            <w:r>
              <w:rPr>
                <w:rFonts w:hint="eastAsia" w:ascii="宋体" w:hAnsi="宋体" w:cs="宋体"/>
                <w:b/>
                <w:sz w:val="24"/>
                <w:szCs w:val="24"/>
              </w:rPr>
              <w:t>￥：       （大写）</w:t>
            </w:r>
          </w:p>
        </w:tc>
      </w:tr>
    </w:tbl>
    <w:p>
      <w:pPr>
        <w:kinsoku w:val="0"/>
        <w:spacing w:line="360" w:lineRule="auto"/>
        <w:ind w:firstLine="480" w:firstLineChars="200"/>
        <w:rPr>
          <w:rFonts w:hint="eastAsia" w:ascii="宋体" w:hAnsi="宋体" w:cs="宋体"/>
          <w:sz w:val="24"/>
          <w:szCs w:val="24"/>
        </w:rPr>
      </w:pPr>
      <w:r>
        <w:rPr>
          <w:rFonts w:hint="eastAsia" w:ascii="宋体" w:hAnsi="宋体" w:cs="宋体"/>
          <w:sz w:val="24"/>
          <w:szCs w:val="24"/>
        </w:rPr>
        <w:t>乙方负责按合同供货清单确定的物品规格、包装及配套内容进行供货，确保产品无质量问题，做好售后服务工作。</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二、合同价格</w:t>
      </w:r>
    </w:p>
    <w:p>
      <w:pPr>
        <w:kinsoku w:val="0"/>
        <w:spacing w:line="360" w:lineRule="auto"/>
        <w:ind w:firstLine="480" w:firstLineChars="200"/>
        <w:rPr>
          <w:rFonts w:hint="eastAsia" w:ascii="宋体" w:hAnsi="宋体" w:cs="宋体"/>
          <w:sz w:val="24"/>
          <w:szCs w:val="24"/>
        </w:rPr>
      </w:pPr>
      <w:r>
        <w:rPr>
          <w:rFonts w:hint="eastAsia" w:ascii="宋体" w:hAnsi="宋体" w:cs="宋体"/>
          <w:sz w:val="24"/>
          <w:szCs w:val="24"/>
        </w:rPr>
        <w:t>合同总价：人民币大写：</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w:t>
      </w:r>
    </w:p>
    <w:p>
      <w:pPr>
        <w:kinsoku w:val="0"/>
        <w:spacing w:line="360" w:lineRule="auto"/>
        <w:ind w:firstLine="480" w:firstLineChars="200"/>
        <w:rPr>
          <w:rFonts w:hint="eastAsia" w:ascii="宋体" w:hAnsi="宋体" w:cs="宋体"/>
          <w:sz w:val="24"/>
          <w:szCs w:val="24"/>
        </w:rPr>
      </w:pPr>
      <w:r>
        <w:rPr>
          <w:rFonts w:hint="eastAsia" w:ascii="宋体" w:hAnsi="宋体" w:cs="宋体"/>
          <w:sz w:val="24"/>
          <w:szCs w:val="24"/>
        </w:rPr>
        <w:t>合同总价包括所发生的运输费、杂费（含保险）、商检费、搬运费、人工费、发放及调换货费用等，包括从产品供应地到交货地点所包含的一切费用。</w:t>
      </w:r>
    </w:p>
    <w:p>
      <w:pPr>
        <w:numPr>
          <w:ilvl w:val="0"/>
          <w:numId w:val="20"/>
        </w:num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款项支付</w:t>
      </w:r>
    </w:p>
    <w:p>
      <w:pPr>
        <w:spacing w:line="360" w:lineRule="auto"/>
        <w:ind w:firstLine="480" w:firstLineChars="200"/>
        <w:rPr>
          <w:rFonts w:hint="eastAsia" w:ascii="宋体" w:hAnsi="宋体" w:cs="宋体"/>
          <w:bCs/>
          <w:sz w:val="24"/>
          <w:szCs w:val="24"/>
          <w:lang w:eastAsia="zh-Hans"/>
        </w:rPr>
      </w:pPr>
      <w:r>
        <w:rPr>
          <w:rFonts w:hint="eastAsia" w:ascii="宋体" w:hAnsi="宋体" w:cs="宋体"/>
          <w:bCs/>
          <w:sz w:val="24"/>
          <w:szCs w:val="24"/>
          <w:lang w:eastAsia="zh-Hans"/>
        </w:rPr>
        <w:t>1.结算单位：采购人结算，在付款前必须开具全额增值税发票给采购人。</w:t>
      </w:r>
    </w:p>
    <w:p>
      <w:pPr>
        <w:spacing w:line="360" w:lineRule="auto"/>
        <w:ind w:firstLine="480" w:firstLineChars="200"/>
        <w:rPr>
          <w:rFonts w:hint="eastAsia" w:ascii="宋体" w:hAnsi="宋体" w:cs="宋体"/>
          <w:bCs/>
          <w:sz w:val="24"/>
          <w:szCs w:val="24"/>
          <w:lang w:eastAsia="zh-Hans"/>
        </w:rPr>
      </w:pPr>
      <w:r>
        <w:rPr>
          <w:rFonts w:hint="eastAsia" w:ascii="宋体" w:hAnsi="宋体" w:cs="宋体"/>
          <w:bCs/>
          <w:sz w:val="24"/>
          <w:szCs w:val="24"/>
          <w:lang w:eastAsia="zh-Hans"/>
        </w:rPr>
        <w:t>2.进口产品付款方式：签订合同前向学校缴纳5%的履约保证金，由采购人委托外贸进出口公司开出100%不可撤销信用证，外贸进出口公司凭装运单据支付90%货款，产品安装调试完毕后，凭学校验收报告支付10%余款。缴纳的5%履约保证金无质量问题一次性无息退还。</w:t>
      </w:r>
    </w:p>
    <w:p>
      <w:pPr>
        <w:spacing w:line="360" w:lineRule="auto"/>
        <w:ind w:firstLine="480" w:firstLineChars="200"/>
        <w:rPr>
          <w:rFonts w:hint="eastAsia" w:ascii="宋体" w:hAnsi="宋体" w:cs="宋体"/>
          <w:bCs/>
          <w:sz w:val="24"/>
          <w:szCs w:val="24"/>
          <w:lang w:eastAsia="zh-Hans"/>
        </w:rPr>
      </w:pPr>
      <w:r>
        <w:rPr>
          <w:rFonts w:hint="eastAsia" w:ascii="宋体" w:hAnsi="宋体" w:cs="宋体"/>
          <w:bCs/>
          <w:sz w:val="24"/>
          <w:szCs w:val="24"/>
          <w:lang w:eastAsia="zh-Hans"/>
        </w:rPr>
        <w:t>3.国产产品付款方式：</w:t>
      </w:r>
    </w:p>
    <w:p>
      <w:pPr>
        <w:spacing w:line="360" w:lineRule="auto"/>
        <w:ind w:firstLine="480" w:firstLineChars="200"/>
        <w:rPr>
          <w:rFonts w:hint="eastAsia" w:ascii="宋体" w:hAnsi="宋体" w:cs="宋体"/>
          <w:bCs/>
          <w:sz w:val="24"/>
          <w:szCs w:val="24"/>
          <w:lang w:eastAsia="zh-Hans"/>
        </w:rPr>
      </w:pPr>
      <w:r>
        <w:rPr>
          <w:rFonts w:hint="eastAsia" w:ascii="宋体" w:hAnsi="宋体" w:cs="宋体"/>
          <w:bCs/>
          <w:sz w:val="24"/>
          <w:szCs w:val="24"/>
          <w:lang w:eastAsia="zh-Hans"/>
        </w:rPr>
        <w:t xml:space="preserve">（1）非中小企业中标付款方式：签订合同前向学校缴纳5%的履约保证金，国内产品安装调试经学校验收合格后一次性支付全款，同时缴纳的5%履约保证金无质量问题一次性无息退还。 </w:t>
      </w:r>
    </w:p>
    <w:p>
      <w:pPr>
        <w:spacing w:line="360" w:lineRule="auto"/>
        <w:ind w:firstLine="480" w:firstLineChars="200"/>
        <w:rPr>
          <w:rFonts w:hint="eastAsia" w:ascii="宋体" w:hAnsi="宋体" w:cs="宋体"/>
          <w:bCs/>
          <w:sz w:val="24"/>
          <w:szCs w:val="24"/>
          <w:lang w:eastAsia="zh-Hans"/>
        </w:rPr>
      </w:pPr>
      <w:r>
        <w:rPr>
          <w:rFonts w:hint="eastAsia" w:ascii="宋体" w:hAnsi="宋体" w:cs="宋体"/>
          <w:bCs/>
          <w:sz w:val="24"/>
          <w:szCs w:val="24"/>
          <w:lang w:eastAsia="zh-Hans"/>
        </w:rPr>
        <w:t>（2）中小企业中标付款方式： 签订合同前向学校缴纳5%的履约保证金，合同签订后采购人支付40%合同金额的预付款。国内产品安装调试经学校验收合格后一次性支付60%合同金额的余款，同时缴纳的5%履约保证金无质量问题一次性无息退还。</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四、交货条件：</w:t>
      </w:r>
    </w:p>
    <w:p>
      <w:pPr>
        <w:spacing w:line="360" w:lineRule="auto"/>
        <w:ind w:firstLine="480" w:firstLineChars="200"/>
        <w:rPr>
          <w:rFonts w:ascii="宋体" w:hAnsi="宋体" w:cs="宋体"/>
          <w:bCs/>
          <w:sz w:val="24"/>
          <w:szCs w:val="24"/>
        </w:rPr>
      </w:pPr>
      <w:r>
        <w:rPr>
          <w:rFonts w:hint="eastAsia" w:ascii="宋体" w:hAnsi="宋体" w:cs="宋体"/>
          <w:bCs/>
          <w:sz w:val="24"/>
          <w:szCs w:val="24"/>
        </w:rPr>
        <w:t>1.交货期：</w:t>
      </w:r>
      <w:r>
        <w:rPr>
          <w:rFonts w:hint="eastAsia" w:ascii="宋体" w:hAnsi="宋体" w:cs="宋体"/>
          <w:bCs/>
          <w:sz w:val="24"/>
          <w:szCs w:val="24"/>
          <w:lang w:eastAsia="zh-Hans"/>
        </w:rPr>
        <w:t>合同签订后</w:t>
      </w:r>
      <w:r>
        <w:rPr>
          <w:rFonts w:hint="eastAsia" w:ascii="宋体" w:hAnsi="宋体" w:cs="宋体"/>
          <w:bCs/>
          <w:sz w:val="24"/>
          <w:szCs w:val="24"/>
        </w:rPr>
        <w:t>90日历日完成验收</w:t>
      </w:r>
    </w:p>
    <w:p>
      <w:pPr>
        <w:spacing w:line="360" w:lineRule="auto"/>
        <w:ind w:firstLine="480" w:firstLineChars="200"/>
        <w:rPr>
          <w:rFonts w:hint="eastAsia" w:ascii="宋体" w:hAnsi="宋体" w:cs="宋体"/>
          <w:bCs/>
          <w:sz w:val="24"/>
          <w:szCs w:val="24"/>
          <w:lang w:eastAsia="zh-Hans"/>
        </w:rPr>
      </w:pPr>
      <w:r>
        <w:rPr>
          <w:rFonts w:hint="eastAsia" w:ascii="宋体" w:hAnsi="宋体" w:cs="宋体"/>
          <w:bCs/>
          <w:sz w:val="24"/>
          <w:szCs w:val="24"/>
        </w:rPr>
        <w:t>2.交货具体地点：</w:t>
      </w:r>
      <w:r>
        <w:rPr>
          <w:rFonts w:hint="eastAsia" w:ascii="宋体" w:hAnsi="宋体" w:cs="宋体"/>
          <w:sz w:val="24"/>
          <w:szCs w:val="24"/>
        </w:rPr>
        <w:t xml:space="preserve">西安科技大学雁塔校区通信楼一楼实验室 </w:t>
      </w:r>
    </w:p>
    <w:p>
      <w:pPr>
        <w:spacing w:line="360" w:lineRule="auto"/>
        <w:ind w:firstLine="482" w:firstLineChars="200"/>
        <w:rPr>
          <w:rFonts w:hint="eastAsia" w:ascii="宋体" w:hAnsi="宋体" w:cs="宋体"/>
          <w:b/>
          <w:sz w:val="24"/>
          <w:szCs w:val="24"/>
        </w:rPr>
      </w:pPr>
      <w:r>
        <w:rPr>
          <w:rFonts w:hint="eastAsia" w:ascii="宋体" w:hAnsi="宋体" w:cs="宋体"/>
          <w:b/>
          <w:sz w:val="24"/>
          <w:szCs w:val="24"/>
        </w:rPr>
        <w:t>五、运输方式：</w:t>
      </w:r>
      <w:r>
        <w:rPr>
          <w:rFonts w:hint="eastAsia" w:ascii="宋体" w:hAnsi="宋体" w:cs="宋体"/>
          <w:sz w:val="24"/>
          <w:szCs w:val="24"/>
        </w:rPr>
        <w:t>根据产品特性，由乙方在保证产品质量的前提下，自行选择运输及包装方式，发生的一切费用全部由乙方承担。</w:t>
      </w:r>
    </w:p>
    <w:p>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六、质量保证</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1、成交供应商应当保证所供货物的来源渠道正常，产品是全新的、未使用过的、且完全符合合同规定的质量、规格、技术指标等要求，并在质保期内、外应对由于产品设计、工艺或材料的缺陷而产生的质量问题负责。</w:t>
      </w:r>
    </w:p>
    <w:p>
      <w:pPr>
        <w:adjustRightInd w:val="0"/>
        <w:snapToGrid w:val="0"/>
        <w:spacing w:line="360" w:lineRule="auto"/>
        <w:ind w:firstLine="480" w:firstLineChars="200"/>
        <w:rPr>
          <w:rFonts w:hint="eastAsia" w:ascii="宋体" w:hAnsi="宋体" w:cs="宋体"/>
          <w:spacing w:val="-6"/>
          <w:sz w:val="24"/>
          <w:szCs w:val="24"/>
        </w:rPr>
      </w:pPr>
      <w:r>
        <w:rPr>
          <w:rFonts w:hint="eastAsia" w:ascii="宋体" w:hAnsi="宋体" w:cs="宋体"/>
          <w:sz w:val="24"/>
          <w:szCs w:val="24"/>
        </w:rPr>
        <w:t>2、</w:t>
      </w:r>
      <w:r>
        <w:rPr>
          <w:rFonts w:hint="eastAsia" w:ascii="宋体" w:hAnsi="宋体" w:cs="宋体"/>
          <w:spacing w:val="-6"/>
          <w:sz w:val="24"/>
          <w:szCs w:val="24"/>
        </w:rPr>
        <w:t>在质保期内，如果发现货物的质量、规格、技术指标等存在与合同中任何一项不符，由乙方负责调整更换维修，费用自行承担。</w:t>
      </w:r>
    </w:p>
    <w:p>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七、质保期与承诺</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bCs/>
          <w:sz w:val="24"/>
          <w:szCs w:val="24"/>
        </w:rPr>
        <w:t>项目质保期：</w:t>
      </w:r>
      <w:r>
        <w:rPr>
          <w:rFonts w:hint="eastAsia" w:ascii="宋体" w:hAnsi="宋体" w:cs="宋体"/>
          <w:bCs/>
          <w:sz w:val="24"/>
          <w:szCs w:val="24"/>
          <w:lang w:eastAsia="zh-Hans"/>
        </w:rPr>
        <w:t>验收合格后</w:t>
      </w:r>
      <w:r>
        <w:rPr>
          <w:rFonts w:hint="eastAsia" w:ascii="宋体" w:hAnsi="宋体" w:cs="宋体"/>
          <w:bCs/>
          <w:sz w:val="24"/>
          <w:szCs w:val="24"/>
          <w:lang w:val="en-US" w:eastAsia="zh-CN"/>
        </w:rPr>
        <w:t>3</w:t>
      </w:r>
      <w:r>
        <w:rPr>
          <w:rFonts w:hint="eastAsia" w:ascii="宋体" w:hAnsi="宋体" w:cs="宋体"/>
          <w:bCs/>
          <w:sz w:val="24"/>
          <w:szCs w:val="24"/>
          <w:lang w:eastAsia="zh-Hans"/>
        </w:rPr>
        <w:t>年</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2、质保期内，若发生产品质量问题，乙方应免费解决。</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3、超过质保期的维修服务，按照厂家承诺进行。</w:t>
      </w:r>
    </w:p>
    <w:p>
      <w:pPr>
        <w:spacing w:line="360" w:lineRule="auto"/>
        <w:ind w:firstLine="480" w:firstLineChars="200"/>
        <w:jc w:val="left"/>
        <w:rPr>
          <w:rFonts w:hint="eastAsia" w:ascii="宋体" w:hAnsi="宋体" w:cs="宋体"/>
          <w:sz w:val="24"/>
          <w:szCs w:val="24"/>
        </w:rPr>
      </w:pPr>
      <w:r>
        <w:rPr>
          <w:rFonts w:hint="eastAsia" w:ascii="宋体" w:hAnsi="宋体" w:cs="宋体"/>
          <w:bCs/>
          <w:sz w:val="24"/>
          <w:szCs w:val="24"/>
        </w:rPr>
        <w:t>4、</w:t>
      </w:r>
      <w:r>
        <w:rPr>
          <w:rFonts w:hint="eastAsia" w:ascii="宋体" w:hAnsi="宋体" w:cs="宋体"/>
          <w:sz w:val="24"/>
          <w:szCs w:val="24"/>
        </w:rPr>
        <w:t>售后服务响应时间（质保期内）：即时响应（包括电话响应）；电话响应无法解决48小时内到达现场。修复时间 24  小时内解决；如在 24  小时内无法修复，则提供部件冗余服务或采取应急措施，提供相同产品或不低于故障产品规格档次的备用产品供采购人使用，以确保货物的正常使用。</w:t>
      </w:r>
    </w:p>
    <w:p>
      <w:pPr>
        <w:adjustRightInd w:val="0"/>
        <w:snapToGrid w:val="0"/>
        <w:spacing w:line="360" w:lineRule="auto"/>
        <w:ind w:firstLine="359" w:firstLineChars="149"/>
        <w:rPr>
          <w:rFonts w:hint="eastAsia" w:ascii="宋体" w:hAnsi="宋体" w:cs="宋体"/>
          <w:b/>
          <w:sz w:val="24"/>
          <w:szCs w:val="24"/>
        </w:rPr>
      </w:pPr>
      <w:r>
        <w:rPr>
          <w:rFonts w:hint="eastAsia" w:ascii="宋体" w:hAnsi="宋体" w:cs="宋体"/>
          <w:b/>
          <w:sz w:val="24"/>
          <w:szCs w:val="24"/>
        </w:rPr>
        <w:t>八、技术支持、培训和售后服务和验收</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厂家现场服务人员的任务主要包括货物的开箱检验、设备质量问题的处理、指导安装和调试、参加试运和性能验收试验。</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按照生产厂提供的技术指标及标书要求验收设备。同时提供设备出厂检验报告和质量合格证书。</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提供免费技术咨询；</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设备厂家终生对软件提供免费升级。</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备品备件保证以最低价供货。</w:t>
      </w:r>
    </w:p>
    <w:p>
      <w:pPr>
        <w:tabs>
          <w:tab w:val="left" w:pos="5355"/>
        </w:tabs>
        <w:spacing w:line="360" w:lineRule="auto"/>
        <w:ind w:firstLine="506" w:firstLineChars="210"/>
        <w:rPr>
          <w:rFonts w:hint="eastAsia" w:ascii="宋体" w:hAnsi="宋体" w:cs="宋体"/>
          <w:b/>
          <w:sz w:val="24"/>
          <w:szCs w:val="24"/>
        </w:rPr>
      </w:pPr>
      <w:r>
        <w:rPr>
          <w:rFonts w:hint="eastAsia" w:ascii="宋体" w:hAnsi="宋体" w:cs="宋体"/>
          <w:b/>
          <w:sz w:val="24"/>
          <w:szCs w:val="24"/>
        </w:rPr>
        <w:t>九、违约责任：</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1、按《中华人民共和国民法典》中的相关条款执行。</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2、若乙方出现不能供货等违约情况、未按合同要求提供产品或设备质量不能满足招标的技术要求，甲方有权终止合同，并保留追究乙方违约责任的权利。</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4、因供货期迟延的，乙方按照每天1‰向甲方承担违约责任。</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5、因产品质量问题违约的，除了按照迟延时间计算违约金外，另可以采取退货、换货等方式，由乙方承担一切费用。</w:t>
      </w:r>
    </w:p>
    <w:p>
      <w:pPr>
        <w:tabs>
          <w:tab w:val="left" w:pos="5355"/>
        </w:tabs>
        <w:spacing w:line="360" w:lineRule="auto"/>
        <w:ind w:firstLine="482" w:firstLineChars="200"/>
        <w:rPr>
          <w:rFonts w:hint="eastAsia" w:ascii="宋体" w:hAnsi="宋体" w:cs="宋体"/>
          <w:b/>
          <w:sz w:val="24"/>
          <w:szCs w:val="24"/>
        </w:rPr>
      </w:pPr>
      <w:r>
        <w:rPr>
          <w:rFonts w:hint="eastAsia" w:ascii="宋体" w:hAnsi="宋体" w:cs="宋体"/>
          <w:b/>
          <w:sz w:val="24"/>
          <w:szCs w:val="24"/>
        </w:rPr>
        <w:t>十、合同争议的解决：</w:t>
      </w:r>
    </w:p>
    <w:p>
      <w:pPr>
        <w:tabs>
          <w:tab w:val="left" w:pos="5355"/>
        </w:tabs>
        <w:spacing w:line="360" w:lineRule="auto"/>
        <w:ind w:firstLine="480" w:firstLineChars="200"/>
        <w:rPr>
          <w:rFonts w:hint="eastAsia" w:ascii="宋体" w:hAnsi="宋体" w:cs="宋体"/>
          <w:b/>
          <w:sz w:val="24"/>
          <w:szCs w:val="24"/>
        </w:rPr>
      </w:pPr>
      <w:r>
        <w:rPr>
          <w:rFonts w:hint="eastAsia" w:ascii="宋体" w:hAnsi="宋体" w:cs="宋体"/>
          <w:sz w:val="24"/>
          <w:szCs w:val="24"/>
        </w:rPr>
        <w:t>合同一经签订，不得随意变更、中止或终止。对确需变更、调整或者中止、终止合同的，应按规定履行相应的手续。</w:t>
      </w:r>
    </w:p>
    <w:p>
      <w:pPr>
        <w:tabs>
          <w:tab w:val="left" w:pos="5355"/>
        </w:tabs>
        <w:spacing w:line="360" w:lineRule="auto"/>
        <w:ind w:firstLine="480" w:firstLineChars="200"/>
        <w:rPr>
          <w:rFonts w:hint="eastAsia" w:ascii="宋体" w:hAnsi="宋体" w:cs="宋体"/>
          <w:sz w:val="24"/>
          <w:szCs w:val="24"/>
        </w:rPr>
      </w:pPr>
      <w:r>
        <w:rPr>
          <w:rFonts w:hint="eastAsia" w:ascii="宋体" w:hAnsi="宋体" w:cs="宋体"/>
          <w:sz w:val="24"/>
          <w:szCs w:val="24"/>
        </w:rPr>
        <w:t>合同执行中发生争议的，甲、乙双方应协商解决，协商达不成一致时，可向甲方所在地人民法院提请诉讼。</w:t>
      </w:r>
    </w:p>
    <w:p>
      <w:pPr>
        <w:tabs>
          <w:tab w:val="left" w:pos="5355"/>
        </w:tabs>
        <w:spacing w:line="360" w:lineRule="auto"/>
        <w:ind w:firstLine="482" w:firstLineChars="200"/>
        <w:rPr>
          <w:rFonts w:hint="eastAsia" w:ascii="宋体" w:hAnsi="宋体" w:cs="宋体"/>
          <w:b/>
          <w:sz w:val="24"/>
          <w:szCs w:val="24"/>
        </w:rPr>
      </w:pPr>
      <w:r>
        <w:rPr>
          <w:rFonts w:hint="eastAsia" w:ascii="宋体" w:hAnsi="宋体" w:cs="宋体"/>
          <w:b/>
          <w:sz w:val="24"/>
          <w:szCs w:val="24"/>
        </w:rPr>
        <w:t>十一、其它事项</w:t>
      </w:r>
    </w:p>
    <w:p>
      <w:pPr>
        <w:adjustRightInd w:val="0"/>
        <w:snapToGrid w:val="0"/>
        <w:spacing w:line="360" w:lineRule="auto"/>
        <w:ind w:firstLine="600" w:firstLineChars="250"/>
        <w:rPr>
          <w:rFonts w:hint="eastAsia" w:ascii="宋体" w:hAnsi="宋体" w:cs="宋体"/>
          <w:sz w:val="24"/>
          <w:szCs w:val="24"/>
        </w:rPr>
      </w:pPr>
      <w:r>
        <w:rPr>
          <w:rFonts w:hint="eastAsia" w:ascii="宋体" w:hAnsi="宋体" w:cs="宋体"/>
          <w:sz w:val="24"/>
          <w:szCs w:val="24"/>
        </w:rPr>
        <w:t>1、甲、乙双方作为合同执行的主体，有义务及时完全履行合同。本项目招标代理机构监督履行。</w:t>
      </w:r>
    </w:p>
    <w:p>
      <w:pPr>
        <w:adjustRightInd w:val="0"/>
        <w:snapToGrid w:val="0"/>
        <w:spacing w:line="360" w:lineRule="auto"/>
        <w:ind w:firstLine="600" w:firstLineChars="250"/>
        <w:rPr>
          <w:rFonts w:hint="eastAsia" w:ascii="宋体" w:hAnsi="宋体" w:cs="宋体"/>
          <w:sz w:val="24"/>
          <w:szCs w:val="24"/>
        </w:rPr>
      </w:pPr>
      <w:r>
        <w:rPr>
          <w:rFonts w:hint="eastAsia" w:ascii="宋体" w:hAnsi="宋体" w:cs="宋体"/>
          <w:sz w:val="24"/>
          <w:szCs w:val="24"/>
        </w:rPr>
        <w:t>2、合同未尽事宜，由甲、乙双方协商，协商方案作为本合同不可分割的组成部分，与本合同具有同等法律效力。</w:t>
      </w:r>
    </w:p>
    <w:p>
      <w:pPr>
        <w:adjustRightInd w:val="0"/>
        <w:snapToGrid w:val="0"/>
        <w:spacing w:line="360" w:lineRule="auto"/>
        <w:ind w:firstLine="600" w:firstLineChars="25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招标</w:t>
      </w:r>
      <w:r>
        <w:rPr>
          <w:rFonts w:hint="eastAsia" w:ascii="宋体" w:hAnsi="宋体" w:cs="宋体"/>
          <w:sz w:val="24"/>
          <w:szCs w:val="24"/>
        </w:rPr>
        <w:t>文件和乙方的</w:t>
      </w:r>
      <w:r>
        <w:rPr>
          <w:rFonts w:hint="eastAsia" w:ascii="宋体" w:hAnsi="宋体" w:cs="宋体"/>
          <w:sz w:val="24"/>
          <w:szCs w:val="24"/>
          <w:lang w:eastAsia="zh-CN"/>
        </w:rPr>
        <w:t>投标</w:t>
      </w:r>
      <w:r>
        <w:rPr>
          <w:rFonts w:hint="eastAsia" w:ascii="宋体" w:hAnsi="宋体" w:cs="宋体"/>
          <w:sz w:val="24"/>
          <w:szCs w:val="24"/>
        </w:rPr>
        <w:t>文件以及合同附件均为合同不可分割的部分。</w:t>
      </w:r>
    </w:p>
    <w:p>
      <w:pPr>
        <w:adjustRightInd w:val="0"/>
        <w:snapToGrid w:val="0"/>
        <w:spacing w:line="360" w:lineRule="auto"/>
        <w:ind w:firstLine="600" w:firstLineChars="250"/>
        <w:rPr>
          <w:rFonts w:hint="eastAsia" w:ascii="宋体" w:hAnsi="宋体" w:cs="宋体"/>
          <w:sz w:val="24"/>
          <w:szCs w:val="24"/>
        </w:rPr>
      </w:pPr>
      <w:r>
        <w:rPr>
          <w:rFonts w:hint="eastAsia" w:ascii="宋体" w:hAnsi="宋体" w:cs="宋体"/>
          <w:sz w:val="24"/>
          <w:szCs w:val="24"/>
        </w:rPr>
        <w:t>4、合同一式陆份，甲方持肆份、乙方执壹份，招标代理机构壹份。双方签字盖章后生效，合同执行完毕自动失效。（合同的服务承诺长期有效）。</w:t>
      </w:r>
    </w:p>
    <w:p>
      <w:pPr>
        <w:tabs>
          <w:tab w:val="left" w:pos="5355"/>
        </w:tabs>
        <w:spacing w:line="360" w:lineRule="auto"/>
        <w:rPr>
          <w:rFonts w:hint="eastAsia" w:ascii="宋体" w:hAnsi="宋体" w:cs="宋体"/>
          <w:sz w:val="24"/>
          <w:szCs w:val="24"/>
        </w:rPr>
      </w:pPr>
      <w:r>
        <w:rPr>
          <w:rFonts w:hint="eastAsia" w:ascii="宋体" w:hAnsi="宋体" w:cs="宋体"/>
          <w:sz w:val="24"/>
          <w:szCs w:val="24"/>
        </w:rPr>
        <w:t xml:space="preserve">     5、甲方收货、验货人员：____________  电话：_______________</w:t>
      </w:r>
    </w:p>
    <w:p>
      <w:pPr>
        <w:tabs>
          <w:tab w:val="left" w:pos="5355"/>
        </w:tabs>
        <w:spacing w:line="360" w:lineRule="auto"/>
        <w:ind w:firstLine="480" w:firstLineChars="200"/>
        <w:rPr>
          <w:rFonts w:hint="eastAsia" w:ascii="宋体" w:hAnsi="宋体" w:cs="宋体"/>
          <w:sz w:val="24"/>
          <w:szCs w:val="24"/>
        </w:rPr>
      </w:pPr>
      <w:r>
        <w:rPr>
          <w:rFonts w:hint="eastAsia" w:ascii="宋体" w:hAnsi="宋体" w:cs="宋体"/>
          <w:color w:val="000000"/>
          <w:sz w:val="24"/>
          <w:szCs w:val="24"/>
        </w:rPr>
        <w:t>甲  方：   　                        乙  方：</w:t>
      </w:r>
      <w:r>
        <w:rPr>
          <w:rFonts w:hint="eastAsia" w:ascii="宋体" w:hAnsi="宋体" w:cs="宋体"/>
          <w:sz w:val="24"/>
          <w:szCs w:val="24"/>
        </w:rPr>
        <w:t xml:space="preserve"> </w:t>
      </w:r>
    </w:p>
    <w:p>
      <w:pPr>
        <w:tabs>
          <w:tab w:val="left" w:pos="5355"/>
        </w:tabs>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地　址:                              地　址： </w:t>
      </w:r>
    </w:p>
    <w:p>
      <w:pPr>
        <w:tabs>
          <w:tab w:val="left" w:pos="5355"/>
        </w:tabs>
        <w:spacing w:line="360" w:lineRule="auto"/>
        <w:ind w:firstLine="480" w:firstLineChars="200"/>
        <w:rPr>
          <w:rFonts w:hint="eastAsia" w:ascii="宋体" w:hAnsi="宋体" w:cs="宋体"/>
          <w:sz w:val="24"/>
          <w:szCs w:val="24"/>
        </w:rPr>
      </w:pPr>
      <w:r>
        <w:rPr>
          <w:rFonts w:hint="eastAsia" w:ascii="宋体" w:hAnsi="宋体" w:cs="宋体"/>
          <w:sz w:val="24"/>
          <w:szCs w:val="24"/>
        </w:rPr>
        <w:t>代理人：　　　　　　　　　　　　　 　代理人：</w:t>
      </w:r>
    </w:p>
    <w:p>
      <w:pPr>
        <w:tabs>
          <w:tab w:val="left" w:pos="5355"/>
        </w:tabs>
        <w:spacing w:line="360" w:lineRule="auto"/>
        <w:ind w:firstLine="480" w:firstLineChars="200"/>
        <w:rPr>
          <w:rFonts w:hint="eastAsia" w:ascii="宋体" w:hAnsi="宋体" w:cs="宋体"/>
          <w:sz w:val="24"/>
          <w:szCs w:val="24"/>
        </w:rPr>
      </w:pPr>
      <w:r>
        <w:rPr>
          <w:rFonts w:hint="eastAsia" w:ascii="宋体" w:hAnsi="宋体" w:cs="宋体"/>
          <w:sz w:val="24"/>
          <w:szCs w:val="24"/>
        </w:rPr>
        <w:t>技术确认：                           技术确认：</w:t>
      </w:r>
    </w:p>
    <w:p>
      <w:pPr>
        <w:tabs>
          <w:tab w:val="left" w:pos="5355"/>
        </w:tabs>
        <w:spacing w:line="360" w:lineRule="auto"/>
        <w:ind w:firstLine="480" w:firstLineChars="200"/>
        <w:rPr>
          <w:rFonts w:hint="eastAsia" w:ascii="宋体" w:hAnsi="宋体" w:cs="宋体"/>
          <w:sz w:val="24"/>
          <w:szCs w:val="24"/>
        </w:rPr>
      </w:pPr>
      <w:r>
        <w:rPr>
          <w:rFonts w:hint="eastAsia" w:ascii="宋体" w:hAnsi="宋体" w:cs="宋体"/>
          <w:sz w:val="24"/>
          <w:szCs w:val="24"/>
        </w:rPr>
        <w:t>联系电话：                           联系电话：</w:t>
      </w:r>
    </w:p>
    <w:p>
      <w:pPr>
        <w:tabs>
          <w:tab w:val="left" w:pos="5355"/>
        </w:tabs>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开户行：                             开户行： </w:t>
      </w:r>
    </w:p>
    <w:p>
      <w:pPr>
        <w:tabs>
          <w:tab w:val="left" w:pos="5355"/>
        </w:tabs>
        <w:spacing w:line="360" w:lineRule="auto"/>
        <w:ind w:firstLine="480" w:firstLineChars="200"/>
        <w:rPr>
          <w:rFonts w:hint="eastAsia" w:ascii="宋体" w:hAnsi="宋体" w:cs="宋体"/>
          <w:sz w:val="24"/>
          <w:szCs w:val="24"/>
        </w:rPr>
      </w:pPr>
      <w:r>
        <w:rPr>
          <w:rFonts w:hint="eastAsia" w:ascii="宋体" w:hAnsi="宋体" w:cs="宋体"/>
          <w:sz w:val="24"/>
          <w:szCs w:val="24"/>
        </w:rPr>
        <w:t>账号：                               账号：</w:t>
      </w:r>
    </w:p>
    <w:p>
      <w:pPr>
        <w:tabs>
          <w:tab w:val="left" w:pos="5355"/>
        </w:tabs>
        <w:spacing w:line="360" w:lineRule="auto"/>
        <w:ind w:firstLine="480" w:firstLineChars="200"/>
        <w:rPr>
          <w:rFonts w:hint="eastAsia" w:ascii="宋体" w:hAnsi="宋体" w:cs="宋体"/>
          <w:sz w:val="24"/>
          <w:szCs w:val="24"/>
        </w:rPr>
      </w:pPr>
      <w:r>
        <w:rPr>
          <w:rFonts w:hint="eastAsia" w:ascii="宋体" w:hAnsi="宋体" w:cs="宋体"/>
          <w:sz w:val="24"/>
          <w:szCs w:val="24"/>
        </w:rPr>
        <w:t>时间：                               时间：</w:t>
      </w:r>
    </w:p>
    <w:p>
      <w:pPr>
        <w:tabs>
          <w:tab w:val="left" w:pos="5355"/>
        </w:tabs>
        <w:spacing w:line="360" w:lineRule="auto"/>
        <w:ind w:firstLine="480" w:firstLineChars="200"/>
        <w:rPr>
          <w:rFonts w:hint="eastAsia" w:ascii="宋体" w:hAnsi="宋体" w:cs="宋体"/>
          <w:sz w:val="24"/>
          <w:szCs w:val="24"/>
        </w:rPr>
      </w:pPr>
    </w:p>
    <w:p>
      <w:pPr>
        <w:tabs>
          <w:tab w:val="left" w:pos="5355"/>
        </w:tabs>
        <w:spacing w:line="360" w:lineRule="auto"/>
        <w:ind w:firstLine="480" w:firstLineChars="200"/>
        <w:rPr>
          <w:rFonts w:hint="eastAsia" w:ascii="宋体" w:hAnsi="宋体" w:cs="宋体"/>
          <w:sz w:val="24"/>
          <w:szCs w:val="24"/>
        </w:rPr>
      </w:pPr>
      <w:r>
        <w:rPr>
          <w:rFonts w:hint="eastAsia" w:ascii="宋体" w:hAnsi="宋体" w:cs="宋体"/>
          <w:sz w:val="24"/>
          <w:szCs w:val="24"/>
        </w:rPr>
        <w:t>鉴定方：陕西卓佲项目管理有限公司</w:t>
      </w:r>
    </w:p>
    <w:p>
      <w:pPr>
        <w:tabs>
          <w:tab w:val="left" w:pos="5355"/>
        </w:tabs>
        <w:spacing w:line="360" w:lineRule="auto"/>
        <w:ind w:firstLine="480" w:firstLineChars="200"/>
        <w:rPr>
          <w:rFonts w:hint="eastAsia" w:ascii="宋体" w:hAnsi="宋体" w:cs="宋体"/>
          <w:sz w:val="24"/>
          <w:szCs w:val="24"/>
        </w:rPr>
      </w:pPr>
      <w:r>
        <w:rPr>
          <w:rFonts w:hint="eastAsia" w:ascii="宋体" w:hAnsi="宋体" w:cs="宋体"/>
          <w:sz w:val="24"/>
          <w:szCs w:val="24"/>
        </w:rPr>
        <w:t>代理人：</w:t>
      </w:r>
    </w:p>
    <w:p>
      <w:pPr>
        <w:tabs>
          <w:tab w:val="left" w:pos="5355"/>
        </w:tabs>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联系电话： </w:t>
      </w:r>
    </w:p>
    <w:p>
      <w:pPr>
        <w:tabs>
          <w:tab w:val="left" w:pos="5355"/>
        </w:tabs>
        <w:spacing w:line="360" w:lineRule="auto"/>
        <w:ind w:firstLine="480" w:firstLineChars="200"/>
        <w:rPr>
          <w:rFonts w:hint="eastAsia" w:ascii="宋体" w:hAnsi="宋体" w:cs="宋体"/>
          <w:sz w:val="24"/>
          <w:szCs w:val="24"/>
        </w:rPr>
      </w:pPr>
      <w:r>
        <w:rPr>
          <w:rFonts w:hint="eastAsia" w:ascii="宋体" w:hAnsi="宋体" w:cs="宋体"/>
          <w:sz w:val="24"/>
          <w:szCs w:val="24"/>
        </w:rPr>
        <w:t>时间：</w:t>
      </w:r>
    </w:p>
    <w:p>
      <w:pPr>
        <w:pStyle w:val="2"/>
        <w:rPr>
          <w:rFonts w:hint="eastAsia"/>
        </w:rPr>
      </w:pPr>
    </w:p>
    <w:p>
      <w:pPr>
        <w:pStyle w:val="3"/>
        <w:keepNext w:val="0"/>
        <w:pageBreakBefore/>
        <w:spacing w:before="319" w:beforeLines="100" w:after="478" w:afterLines="150" w:line="500" w:lineRule="exact"/>
        <w:rPr>
          <w:rFonts w:ascii="宋体" w:hAnsi="宋体" w:cs="宋体"/>
        </w:rPr>
      </w:pPr>
      <w:bookmarkStart w:id="71" w:name="_Toc2948"/>
      <w:bookmarkStart w:id="72" w:name="_Toc2234"/>
      <w:r>
        <w:rPr>
          <w:rFonts w:hint="eastAsia" w:ascii="宋体" w:hAnsi="宋体" w:cs="宋体"/>
          <w:sz w:val="36"/>
          <w:szCs w:val="36"/>
        </w:rPr>
        <w:t>第七部分  投标文件格式</w:t>
      </w:r>
      <w:bookmarkEnd w:id="71"/>
      <w:bookmarkEnd w:id="72"/>
    </w:p>
    <w:p>
      <w:pPr>
        <w:adjustRightInd w:val="0"/>
        <w:snapToGrid w:val="0"/>
        <w:spacing w:line="360" w:lineRule="auto"/>
        <w:jc w:val="left"/>
        <w:rPr>
          <w:rFonts w:ascii="宋体" w:hAnsi="宋体" w:cs="宋体"/>
          <w:b/>
          <w:w w:val="120"/>
          <w:sz w:val="28"/>
          <w:szCs w:val="28"/>
        </w:rPr>
      </w:pPr>
    </w:p>
    <w:p>
      <w:pPr>
        <w:adjustRightInd w:val="0"/>
        <w:snapToGrid w:val="0"/>
        <w:spacing w:line="360" w:lineRule="auto"/>
        <w:jc w:val="left"/>
        <w:rPr>
          <w:rFonts w:ascii="宋体" w:hAnsi="宋体" w:cs="宋体"/>
          <w:b/>
          <w:w w:val="120"/>
          <w:sz w:val="28"/>
          <w:szCs w:val="28"/>
        </w:rPr>
      </w:pPr>
      <w:r>
        <w:rPr>
          <w:rFonts w:hint="eastAsia" w:ascii="宋体" w:hAnsi="宋体" w:cs="宋体"/>
          <w:b/>
          <w:w w:val="120"/>
          <w:sz w:val="28"/>
          <w:szCs w:val="28"/>
        </w:rPr>
        <w:t>项目编号：</w:t>
      </w:r>
      <w:r>
        <w:rPr>
          <w:rFonts w:hint="eastAsia" w:ascii="宋体" w:hAnsi="宋体" w:cs="宋体"/>
          <w:b/>
          <w:w w:val="120"/>
          <w:sz w:val="28"/>
          <w:szCs w:val="28"/>
          <w:highlight w:val="none"/>
          <w:lang w:eastAsia="zh-CN"/>
        </w:rPr>
        <w:t>ZMZB2022XKD-325</w:t>
      </w:r>
      <w:r>
        <w:rPr>
          <w:rFonts w:hint="eastAsia" w:ascii="宋体" w:hAnsi="宋体" w:cs="宋体"/>
          <w:b/>
          <w:w w:val="120"/>
          <w:sz w:val="28"/>
          <w:szCs w:val="28"/>
          <w:highlight w:val="none"/>
        </w:rPr>
        <w:t xml:space="preserve"> </w:t>
      </w:r>
      <w:r>
        <w:rPr>
          <w:rFonts w:hint="eastAsia" w:ascii="宋体" w:hAnsi="宋体" w:cs="宋体"/>
          <w:b/>
          <w:w w:val="120"/>
          <w:sz w:val="28"/>
          <w:szCs w:val="28"/>
        </w:rPr>
        <w:t xml:space="preserve">     （正本或副本）</w:t>
      </w:r>
    </w:p>
    <w:p/>
    <w:p>
      <w:pPr>
        <w:adjustRightInd w:val="0"/>
        <w:snapToGrid w:val="0"/>
        <w:spacing w:line="360" w:lineRule="auto"/>
        <w:jc w:val="both"/>
        <w:rPr>
          <w:rFonts w:ascii="宋体" w:hAnsi="宋体" w:cs="宋体"/>
          <w:b/>
          <w:sz w:val="56"/>
          <w:szCs w:val="56"/>
        </w:rPr>
      </w:pPr>
    </w:p>
    <w:p>
      <w:pPr>
        <w:adjustRightInd w:val="0"/>
        <w:snapToGrid w:val="0"/>
        <w:spacing w:line="360" w:lineRule="auto"/>
        <w:jc w:val="center"/>
        <w:rPr>
          <w:rFonts w:hint="eastAsia" w:ascii="宋体" w:hAnsi="宋体" w:cs="宋体"/>
          <w:b/>
          <w:sz w:val="56"/>
          <w:szCs w:val="56"/>
          <w:lang w:eastAsia="zh-CN"/>
        </w:rPr>
      </w:pPr>
      <w:r>
        <w:rPr>
          <w:rFonts w:hint="eastAsia" w:ascii="宋体" w:hAnsi="宋体" w:cs="宋体"/>
          <w:b/>
          <w:sz w:val="56"/>
          <w:szCs w:val="56"/>
          <w:lang w:eastAsia="zh-CN"/>
        </w:rPr>
        <w:t>西安科技大学</w:t>
      </w:r>
    </w:p>
    <w:p>
      <w:pPr>
        <w:adjustRightInd w:val="0"/>
        <w:snapToGrid w:val="0"/>
        <w:spacing w:line="360" w:lineRule="auto"/>
        <w:jc w:val="center"/>
        <w:rPr>
          <w:rFonts w:hint="eastAsia" w:ascii="宋体" w:hAnsi="宋体" w:cs="宋体"/>
          <w:b/>
          <w:sz w:val="52"/>
          <w:szCs w:val="52"/>
          <w:lang w:eastAsia="zh-CN"/>
        </w:rPr>
      </w:pPr>
      <w:r>
        <w:rPr>
          <w:rFonts w:hint="eastAsia" w:ascii="宋体" w:hAnsi="宋体" w:cs="宋体"/>
          <w:b/>
          <w:sz w:val="52"/>
          <w:szCs w:val="52"/>
          <w:lang w:eastAsia="zh-CN"/>
        </w:rPr>
        <w:t>高压氢气泄漏扩散实验箱采购项目</w:t>
      </w:r>
    </w:p>
    <w:p>
      <w:pPr>
        <w:outlineLvl w:val="9"/>
        <w:rPr>
          <w:rFonts w:hint="eastAsia"/>
        </w:rPr>
      </w:pPr>
    </w:p>
    <w:p>
      <w:pPr>
        <w:snapToGrid w:val="0"/>
        <w:spacing w:line="480" w:lineRule="auto"/>
        <w:ind w:firstLine="2891" w:firstLineChars="400"/>
        <w:rPr>
          <w:rFonts w:ascii="宋体" w:hAnsi="宋体" w:cs="宋体"/>
          <w:b/>
          <w:bCs/>
          <w:sz w:val="72"/>
          <w:szCs w:val="72"/>
        </w:rPr>
      </w:pPr>
      <w:r>
        <w:rPr>
          <w:rFonts w:hint="eastAsia" w:ascii="宋体" w:hAnsi="宋体" w:cs="宋体"/>
          <w:b/>
          <w:bCs/>
          <w:sz w:val="72"/>
          <w:szCs w:val="72"/>
        </w:rPr>
        <w:t>投标文件</w:t>
      </w:r>
    </w:p>
    <w:p>
      <w:pPr>
        <w:snapToGrid w:val="0"/>
        <w:spacing w:line="480" w:lineRule="auto"/>
        <w:jc w:val="left"/>
        <w:rPr>
          <w:rFonts w:hint="eastAsia" w:ascii="宋体" w:hAnsi="宋体" w:cs="宋体"/>
          <w:sz w:val="32"/>
          <w:szCs w:val="32"/>
          <w:lang w:val="zh-CN"/>
        </w:rPr>
      </w:pPr>
    </w:p>
    <w:p>
      <w:pPr>
        <w:snapToGrid w:val="0"/>
        <w:spacing w:line="480" w:lineRule="auto"/>
        <w:jc w:val="left"/>
        <w:rPr>
          <w:rFonts w:hint="eastAsia" w:ascii="宋体" w:hAnsi="宋体" w:cs="宋体"/>
          <w:sz w:val="32"/>
          <w:szCs w:val="32"/>
        </w:rPr>
      </w:pPr>
      <w:r>
        <w:rPr>
          <w:rFonts w:hint="eastAsia" w:ascii="宋体" w:hAnsi="宋体" w:cs="宋体"/>
          <w:sz w:val="32"/>
          <w:szCs w:val="32"/>
          <w:lang w:val="zh-CN"/>
        </w:rPr>
        <w:t>供应商（单位名称）：</w:t>
      </w:r>
      <w:r>
        <w:rPr>
          <w:rFonts w:hint="eastAsia" w:ascii="宋体" w:hAnsi="宋体" w:cs="宋体"/>
          <w:sz w:val="32"/>
          <w:szCs w:val="32"/>
        </w:rPr>
        <w:t>___________</w:t>
      </w:r>
    </w:p>
    <w:p>
      <w:pPr>
        <w:snapToGrid w:val="0"/>
        <w:spacing w:line="480" w:lineRule="auto"/>
        <w:jc w:val="left"/>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r>
        <w:rPr>
          <w:rFonts w:hint="eastAsia" w:ascii="宋体" w:hAnsi="宋体" w:cs="宋体"/>
          <w:sz w:val="32"/>
          <w:szCs w:val="32"/>
        </w:rPr>
        <w:t>__________________</w:t>
      </w:r>
    </w:p>
    <w:p>
      <w:pPr>
        <w:pageBreakBefore/>
        <w:spacing w:before="319" w:beforeLines="100" w:after="478" w:afterLines="150" w:line="500" w:lineRule="exact"/>
        <w:ind w:firstLine="723" w:firstLineChars="200"/>
        <w:jc w:val="center"/>
        <w:rPr>
          <w:rFonts w:ascii="宋体" w:hAnsi="宋体" w:cs="宋体"/>
          <w:b/>
          <w:sz w:val="50"/>
        </w:rPr>
      </w:pPr>
      <w:r>
        <w:rPr>
          <w:rFonts w:hint="eastAsia" w:ascii="宋体" w:hAnsi="宋体" w:cs="宋体"/>
          <w:b/>
          <w:sz w:val="36"/>
          <w:szCs w:val="36"/>
        </w:rPr>
        <w:t>目 录</w:t>
      </w:r>
    </w:p>
    <w:p>
      <w:pPr>
        <w:pStyle w:val="16"/>
        <w:snapToGrid w:val="0"/>
        <w:spacing w:line="480" w:lineRule="auto"/>
        <w:ind w:firstLine="562" w:firstLineChars="200"/>
        <w:jc w:val="left"/>
        <w:rPr>
          <w:rFonts w:hAnsi="宋体" w:cs="宋体"/>
          <w:b/>
          <w:bCs/>
          <w:sz w:val="28"/>
          <w:szCs w:val="28"/>
        </w:rPr>
      </w:pPr>
      <w:r>
        <w:rPr>
          <w:rFonts w:hint="eastAsia" w:hAnsi="宋体" w:cs="宋体"/>
          <w:b/>
          <w:bCs/>
          <w:sz w:val="28"/>
          <w:szCs w:val="28"/>
        </w:rPr>
        <w:t>第一部分   投标函</w:t>
      </w:r>
    </w:p>
    <w:p>
      <w:pPr>
        <w:snapToGrid w:val="0"/>
        <w:spacing w:line="480" w:lineRule="auto"/>
        <w:ind w:firstLine="562" w:firstLineChars="200"/>
        <w:jc w:val="left"/>
        <w:rPr>
          <w:rFonts w:ascii="宋体" w:hAnsi="宋体" w:cs="宋体"/>
          <w:b/>
          <w:sz w:val="28"/>
          <w:szCs w:val="28"/>
        </w:rPr>
      </w:pPr>
      <w:r>
        <w:rPr>
          <w:rFonts w:hint="eastAsia" w:ascii="宋体" w:hAnsi="宋体" w:cs="宋体"/>
          <w:b/>
          <w:sz w:val="28"/>
          <w:szCs w:val="28"/>
        </w:rPr>
        <w:t>第二部分   报价一览表</w:t>
      </w:r>
    </w:p>
    <w:p>
      <w:pPr>
        <w:pStyle w:val="16"/>
        <w:snapToGrid w:val="0"/>
        <w:spacing w:line="480" w:lineRule="auto"/>
        <w:ind w:firstLine="562" w:firstLineChars="200"/>
        <w:jc w:val="left"/>
        <w:rPr>
          <w:rFonts w:hAnsi="宋体" w:cs="宋体"/>
          <w:b/>
          <w:kern w:val="0"/>
          <w:sz w:val="28"/>
          <w:szCs w:val="28"/>
        </w:rPr>
      </w:pPr>
      <w:r>
        <w:rPr>
          <w:rFonts w:hint="eastAsia" w:hAnsi="宋体" w:cs="宋体"/>
          <w:b/>
          <w:bCs/>
          <w:sz w:val="28"/>
          <w:szCs w:val="28"/>
        </w:rPr>
        <w:t xml:space="preserve">第三部分   </w:t>
      </w:r>
      <w:r>
        <w:rPr>
          <w:rFonts w:hint="eastAsia" w:hAnsi="宋体" w:cs="宋体"/>
          <w:b/>
          <w:kern w:val="0"/>
          <w:sz w:val="28"/>
          <w:szCs w:val="28"/>
        </w:rPr>
        <w:t>商务及技术响应说明</w:t>
      </w:r>
    </w:p>
    <w:p>
      <w:pPr>
        <w:pStyle w:val="16"/>
        <w:snapToGrid w:val="0"/>
        <w:spacing w:line="480" w:lineRule="auto"/>
        <w:ind w:firstLine="562" w:firstLineChars="200"/>
        <w:jc w:val="left"/>
        <w:rPr>
          <w:rFonts w:hAnsi="宋体" w:cs="宋体"/>
          <w:b/>
          <w:bCs/>
          <w:sz w:val="28"/>
          <w:szCs w:val="28"/>
        </w:rPr>
      </w:pPr>
      <w:r>
        <w:rPr>
          <w:rFonts w:hint="eastAsia" w:hAnsi="宋体" w:cs="宋体"/>
          <w:b/>
          <w:bCs/>
          <w:sz w:val="28"/>
          <w:szCs w:val="28"/>
        </w:rPr>
        <w:t xml:space="preserve">第四部分   </w:t>
      </w:r>
      <w:r>
        <w:rPr>
          <w:rFonts w:hint="eastAsia" w:hAnsi="宋体" w:cs="宋体"/>
          <w:b/>
          <w:sz w:val="28"/>
          <w:szCs w:val="28"/>
        </w:rPr>
        <w:t>供应商资格要求</w:t>
      </w:r>
    </w:p>
    <w:p>
      <w:pPr>
        <w:pStyle w:val="16"/>
        <w:snapToGrid w:val="0"/>
        <w:spacing w:line="480" w:lineRule="auto"/>
        <w:ind w:firstLine="562" w:firstLineChars="200"/>
        <w:jc w:val="left"/>
        <w:rPr>
          <w:rFonts w:hAnsi="宋体" w:cs="宋体"/>
          <w:b/>
          <w:sz w:val="28"/>
          <w:szCs w:val="28"/>
        </w:rPr>
      </w:pPr>
      <w:r>
        <w:rPr>
          <w:rFonts w:hint="eastAsia" w:hAnsi="宋体" w:cs="宋体"/>
          <w:b/>
          <w:sz w:val="28"/>
          <w:szCs w:val="28"/>
        </w:rPr>
        <w:t>第五部分   技术与服务方案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第六部分   服务承诺</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第七部分   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第八部分   供应商认为有必要说明的其他问题</w:t>
      </w:r>
    </w:p>
    <w:p>
      <w:pPr>
        <w:rPr>
          <w:rFonts w:ascii="宋体" w:hAnsi="宋体" w:cs="宋体"/>
        </w:rPr>
      </w:pPr>
    </w:p>
    <w:p>
      <w:pPr>
        <w:pStyle w:val="4"/>
        <w:pageBreakBefore/>
        <w:spacing w:before="319" w:beforeLines="100" w:after="478" w:afterLines="150" w:line="500" w:lineRule="exact"/>
        <w:jc w:val="center"/>
        <w:rPr>
          <w:rFonts w:ascii="宋体" w:hAnsi="宋体" w:cs="宋体"/>
          <w:sz w:val="36"/>
          <w:szCs w:val="36"/>
        </w:rPr>
      </w:pPr>
      <w:bookmarkStart w:id="73" w:name="_Toc32359"/>
      <w:r>
        <w:rPr>
          <w:rFonts w:hint="eastAsia" w:ascii="宋体" w:hAnsi="宋体" w:cs="宋体"/>
          <w:sz w:val="36"/>
          <w:szCs w:val="36"/>
        </w:rPr>
        <w:t>第一部分  投标函</w:t>
      </w:r>
      <w:bookmarkEnd w:id="66"/>
      <w:bookmarkEnd w:id="73"/>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我单位收到编号为：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2、我方提交的投标文件正本______份、副本_______份，电子文档_____份、报价一览表_____份。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3、我们已详细阅读了招标文件，完全理解并同意放弃提出含糊不清和误解问题的权力。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4、如果我方在投标后到规定的投标有效期内撤回投标文件及承诺，我们的保证金将被对方没收。</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5、同意向贵方提供贵方可能要求的、与本次投标有关的任何证据资料。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6、我方承诺投标有效期为开标后________日历日内有效。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7、所有关于本次投标的函电，请按下列地址联系：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 xml:space="preserve"> 年 </w:t>
      </w:r>
      <w:r>
        <w:rPr>
          <w:rFonts w:hint="eastAsia" w:ascii="宋体" w:hAnsi="宋体" w:cs="宋体"/>
          <w:sz w:val="24"/>
        </w:rPr>
        <w:t>_____</w:t>
      </w:r>
      <w:r>
        <w:rPr>
          <w:rFonts w:hint="eastAsia" w:ascii="宋体" w:hAnsi="宋体" w:cs="宋体"/>
          <w:sz w:val="24"/>
          <w:szCs w:val="24"/>
        </w:rPr>
        <w:t xml:space="preserve">  月</w:t>
      </w:r>
      <w:r>
        <w:rPr>
          <w:rFonts w:hint="eastAsia" w:ascii="宋体" w:hAnsi="宋体" w:cs="宋体"/>
          <w:sz w:val="24"/>
        </w:rPr>
        <w:t>_____</w:t>
      </w:r>
      <w:r>
        <w:rPr>
          <w:rFonts w:hint="eastAsia" w:ascii="宋体" w:hAnsi="宋体" w:cs="宋体"/>
          <w:sz w:val="24"/>
          <w:szCs w:val="24"/>
        </w:rPr>
        <w:t xml:space="preserve"> 日</w:t>
      </w:r>
    </w:p>
    <w:p>
      <w:pPr>
        <w:pStyle w:val="4"/>
        <w:numPr>
          <w:ilvl w:val="0"/>
          <w:numId w:val="21"/>
        </w:numPr>
        <w:spacing w:before="319" w:beforeLines="100" w:after="478" w:afterLines="150" w:line="500" w:lineRule="exact"/>
        <w:jc w:val="center"/>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bookmarkStart w:id="74" w:name="_Toc28494"/>
    </w:p>
    <w:p>
      <w:pPr>
        <w:pStyle w:val="4"/>
        <w:numPr>
          <w:ilvl w:val="0"/>
          <w:numId w:val="21"/>
        </w:numPr>
        <w:spacing w:before="319" w:beforeLines="100" w:after="478" w:afterLines="150" w:line="500" w:lineRule="exact"/>
        <w:jc w:val="center"/>
        <w:rPr>
          <w:rFonts w:ascii="宋体" w:hAnsi="宋体" w:cs="宋体"/>
          <w:sz w:val="36"/>
          <w:szCs w:val="36"/>
        </w:rPr>
      </w:pPr>
      <w:r>
        <w:rPr>
          <w:rFonts w:hint="eastAsia" w:ascii="宋体" w:hAnsi="宋体" w:cs="宋体"/>
          <w:sz w:val="36"/>
          <w:szCs w:val="36"/>
        </w:rPr>
        <w:t xml:space="preserve">  </w:t>
      </w:r>
      <w:bookmarkEnd w:id="74"/>
      <w:bookmarkStart w:id="75" w:name="_Toc19156"/>
      <w:r>
        <w:rPr>
          <w:rFonts w:hint="eastAsia" w:ascii="宋体" w:hAnsi="宋体" w:cs="宋体"/>
          <w:sz w:val="36"/>
          <w:szCs w:val="36"/>
        </w:rPr>
        <w:t>报价一览表</w:t>
      </w:r>
      <w:bookmarkEnd w:id="75"/>
    </w:p>
    <w:p>
      <w:pPr>
        <w:keepNext w:val="0"/>
        <w:keepLines w:val="0"/>
        <w:pageBreakBefore w:val="0"/>
        <w:widowControl w:val="0"/>
        <w:kinsoku w:val="0"/>
        <w:wordWrap/>
        <w:overflowPunct/>
        <w:topLinePunct w:val="0"/>
        <w:autoSpaceDE/>
        <w:autoSpaceDN/>
        <w:bidi w:val="0"/>
        <w:adjustRightInd/>
        <w:snapToGrid/>
        <w:spacing w:line="360" w:lineRule="auto"/>
        <w:jc w:val="left"/>
        <w:textAlignment w:val="auto"/>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西安科技大学高压氢气泄漏扩散实验箱采购项目</w:t>
      </w:r>
      <w:r>
        <w:rPr>
          <w:rFonts w:hint="eastAsia" w:ascii="宋体" w:hAnsi="宋体" w:cs="宋体"/>
          <w:sz w:val="24"/>
          <w:szCs w:val="24"/>
        </w:rPr>
        <w:t xml:space="preserve">                      </w:t>
      </w:r>
    </w:p>
    <w:p>
      <w:pPr>
        <w:keepNext w:val="0"/>
        <w:keepLines w:val="0"/>
        <w:pageBreakBefore w:val="0"/>
        <w:widowControl w:val="0"/>
        <w:wordWrap/>
        <w:overflowPunct/>
        <w:topLinePunct w:val="0"/>
        <w:autoSpaceDE/>
        <w:autoSpaceDN/>
        <w:bidi w:val="0"/>
        <w:adjustRightInd/>
        <w:snapToGrid/>
        <w:spacing w:line="360" w:lineRule="auto"/>
        <w:textAlignment w:val="auto"/>
        <w:rPr>
          <w:rFonts w:ascii="宋体" w:hAnsi="宋体" w:cs="宋体"/>
        </w:rPr>
      </w:pPr>
      <w:r>
        <w:rPr>
          <w:rFonts w:hint="eastAsia" w:ascii="宋体" w:hAnsi="宋体" w:cs="宋体"/>
          <w:sz w:val="24"/>
          <w:szCs w:val="24"/>
        </w:rPr>
        <w:t>单  位：元</w:t>
      </w:r>
      <w:r>
        <w:rPr>
          <w:rFonts w:hint="eastAsia" w:ascii="宋体" w:hAnsi="宋体" w:cs="宋体"/>
          <w:sz w:val="28"/>
          <w:szCs w:val="28"/>
        </w:rPr>
        <w:t xml:space="preserve">            </w:t>
      </w:r>
    </w:p>
    <w:tbl>
      <w:tblPr>
        <w:tblStyle w:val="31"/>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1978"/>
        <w:gridCol w:w="2086"/>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2980" w:type="dxa"/>
            <w:tcBorders>
              <w:tl2br w:val="single" w:color="auto" w:sz="4" w:space="0"/>
            </w:tcBorders>
            <w:vAlign w:val="center"/>
          </w:tcPr>
          <w:p>
            <w:pPr>
              <w:kinsoku w:val="0"/>
              <w:spacing w:line="360" w:lineRule="auto"/>
              <w:ind w:firstLine="1620" w:firstLineChars="67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报价内容</w:t>
            </w:r>
          </w:p>
          <w:p>
            <w:pPr>
              <w:kinsoku w:val="0"/>
              <w:spacing w:line="360" w:lineRule="auto"/>
              <w:jc w:val="center"/>
              <w:rPr>
                <w:rFonts w:hint="eastAsia" w:asciiTheme="minorEastAsia" w:hAnsiTheme="minorEastAsia" w:eastAsiaTheme="minorEastAsia" w:cstheme="minorEastAsia"/>
                <w:sz w:val="24"/>
                <w:szCs w:val="24"/>
              </w:rPr>
            </w:pPr>
          </w:p>
          <w:p>
            <w:pPr>
              <w:kinsoku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投标内容</w:t>
            </w:r>
          </w:p>
        </w:tc>
        <w:tc>
          <w:tcPr>
            <w:tcW w:w="1978" w:type="dxa"/>
            <w:vAlign w:val="center"/>
          </w:tcPr>
          <w:p>
            <w:pPr>
              <w:kinsoku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w:t>
            </w:r>
          </w:p>
          <w:p>
            <w:pPr>
              <w:kinsoku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2086" w:type="dxa"/>
            <w:vAlign w:val="center"/>
          </w:tcPr>
          <w:p>
            <w:pPr>
              <w:kinsoku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交货期</w:t>
            </w:r>
          </w:p>
        </w:tc>
        <w:tc>
          <w:tcPr>
            <w:tcW w:w="1916" w:type="dxa"/>
            <w:vAlign w:val="center"/>
          </w:tcPr>
          <w:p>
            <w:pPr>
              <w:kinsoku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2980" w:type="dxa"/>
            <w:vAlign w:val="center"/>
          </w:tcPr>
          <w:p>
            <w:pPr>
              <w:kinsoku w:val="0"/>
              <w:spacing w:line="48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西安科技大学高压氢气泄漏扩散实验箱采购项目</w:t>
            </w:r>
          </w:p>
        </w:tc>
        <w:tc>
          <w:tcPr>
            <w:tcW w:w="1978" w:type="dxa"/>
            <w:vAlign w:val="center"/>
          </w:tcPr>
          <w:p>
            <w:pPr>
              <w:kinsoku w:val="0"/>
              <w:spacing w:line="480" w:lineRule="auto"/>
              <w:jc w:val="left"/>
              <w:rPr>
                <w:rFonts w:hint="eastAsia" w:asciiTheme="minorEastAsia" w:hAnsiTheme="minorEastAsia" w:eastAsiaTheme="minorEastAsia" w:cstheme="minorEastAsia"/>
                <w:sz w:val="24"/>
                <w:szCs w:val="24"/>
              </w:rPr>
            </w:pPr>
          </w:p>
        </w:tc>
        <w:tc>
          <w:tcPr>
            <w:tcW w:w="2086" w:type="dxa"/>
            <w:vAlign w:val="center"/>
          </w:tcPr>
          <w:p>
            <w:pPr>
              <w:kinsoku w:val="0"/>
              <w:spacing w:line="480" w:lineRule="auto"/>
              <w:jc w:val="left"/>
              <w:rPr>
                <w:rFonts w:hint="eastAsia" w:asciiTheme="minorEastAsia" w:hAnsiTheme="minorEastAsia" w:eastAsiaTheme="minorEastAsia" w:cstheme="minorEastAsia"/>
                <w:sz w:val="24"/>
                <w:szCs w:val="24"/>
              </w:rPr>
            </w:pPr>
          </w:p>
        </w:tc>
        <w:tc>
          <w:tcPr>
            <w:tcW w:w="1916" w:type="dxa"/>
            <w:vAlign w:val="center"/>
          </w:tcPr>
          <w:p>
            <w:pPr>
              <w:kinsoku w:val="0"/>
              <w:spacing w:line="480" w:lineRule="auto"/>
              <w:ind w:firstLine="480" w:firstLineChars="200"/>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960" w:type="dxa"/>
            <w:gridSpan w:val="4"/>
            <w:vAlign w:val="center"/>
          </w:tcPr>
          <w:p>
            <w:pPr>
              <w:kinsoku w:val="0"/>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8960" w:type="dxa"/>
            <w:gridSpan w:val="4"/>
            <w:vAlign w:val="center"/>
          </w:tcPr>
          <w:p>
            <w:pPr>
              <w:kinsoku w:val="0"/>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备注：表内报价内容以元为单位，精确到小数点后两位；</w:t>
            </w:r>
          </w:p>
        </w:tc>
      </w:tr>
    </w:tbl>
    <w:p>
      <w:pPr>
        <w:widowControl/>
        <w:tabs>
          <w:tab w:val="left" w:pos="4000"/>
        </w:tabs>
        <w:snapToGrid w:val="0"/>
        <w:spacing w:line="300" w:lineRule="auto"/>
        <w:jc w:val="left"/>
        <w:rPr>
          <w:rFonts w:ascii="宋体" w:hAnsi="宋体" w:cs="宋体"/>
          <w:b/>
          <w:bCs/>
          <w:spacing w:val="20"/>
          <w:kern w:val="0"/>
          <w:sz w:val="28"/>
          <w:szCs w:val="28"/>
        </w:rPr>
      </w:pPr>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注：此表再制作一份原件单独密封递交，供唱标时使用。</w:t>
      </w:r>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 xml:space="preserve">    请写明大写、小写。</w:t>
      </w:r>
    </w:p>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w:t>
      </w:r>
    </w:p>
    <w:p>
      <w:pPr>
        <w:adjustRightInd w:val="0"/>
        <w:snapToGrid w:val="0"/>
        <w:spacing w:line="480" w:lineRule="auto"/>
        <w:rPr>
          <w:rFonts w:hint="eastAsia" w:ascii="宋体" w:hAnsi="宋体" w:eastAsia="宋体" w:cs="宋体"/>
          <w:b/>
          <w:sz w:val="24"/>
          <w:szCs w:val="24"/>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日    期：  _____年_____ 月_____</w:t>
      </w:r>
      <w:r>
        <w:rPr>
          <w:rFonts w:hint="eastAsia" w:ascii="宋体" w:hAnsi="宋体" w:cs="宋体"/>
          <w:sz w:val="24"/>
          <w:szCs w:val="24"/>
          <w:lang w:val="en-US" w:eastAsia="zh-CN"/>
        </w:rPr>
        <w:t>日</w:t>
      </w:r>
    </w:p>
    <w:p>
      <w:pPr>
        <w:pStyle w:val="9"/>
        <w:ind w:firstLine="0"/>
        <w:jc w:val="center"/>
        <w:rPr>
          <w:rFonts w:ascii="宋体" w:hAnsi="宋体" w:cs="宋体"/>
          <w:b/>
          <w:bCs/>
          <w:sz w:val="36"/>
          <w:szCs w:val="36"/>
        </w:rPr>
      </w:pPr>
      <w:bookmarkStart w:id="76" w:name="_Toc3356"/>
      <w:bookmarkStart w:id="77" w:name="_Toc9034"/>
      <w:bookmarkStart w:id="78" w:name="_Toc10126"/>
      <w:r>
        <w:rPr>
          <w:rFonts w:hint="eastAsia" w:ascii="宋体" w:hAnsi="宋体" w:cs="宋体"/>
          <w:b/>
          <w:bCs/>
          <w:sz w:val="36"/>
          <w:szCs w:val="36"/>
        </w:rPr>
        <w:t>分项报价表</w:t>
      </w:r>
    </w:p>
    <w:p>
      <w:pPr>
        <w:keepNext w:val="0"/>
        <w:keepLines w:val="0"/>
        <w:pageBreakBefore w:val="0"/>
        <w:widowControl w:val="0"/>
        <w:kinsoku/>
        <w:wordWrap/>
        <w:overflowPunct/>
        <w:topLinePunct w:val="0"/>
        <w:autoSpaceDE/>
        <w:autoSpaceDN/>
        <w:bidi w:val="0"/>
        <w:adjustRightInd/>
        <w:snapToGrid/>
        <w:spacing w:after="120" w:line="360" w:lineRule="auto"/>
        <w:jc w:val="left"/>
        <w:textAlignment w:val="auto"/>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西安科技大学高压氢气泄漏扩散实验箱采购项目</w:t>
      </w:r>
    </w:p>
    <w:p>
      <w:pPr>
        <w:keepNext w:val="0"/>
        <w:keepLines w:val="0"/>
        <w:pageBreakBefore w:val="0"/>
        <w:widowControl w:val="0"/>
        <w:kinsoku/>
        <w:wordWrap/>
        <w:overflowPunct/>
        <w:topLinePunct w:val="0"/>
        <w:autoSpaceDE/>
        <w:autoSpaceDN/>
        <w:bidi w:val="0"/>
        <w:adjustRightInd/>
        <w:snapToGrid/>
        <w:spacing w:after="120" w:line="360" w:lineRule="auto"/>
        <w:jc w:val="left"/>
        <w:textAlignment w:val="auto"/>
        <w:rPr>
          <w:rFonts w:hint="eastAsia" w:ascii="宋体" w:hAnsi="宋体" w:eastAsia="宋体" w:cs="宋体"/>
          <w:sz w:val="24"/>
          <w:szCs w:val="24"/>
          <w:highlight w:val="yellow"/>
          <w:lang w:eastAsia="zh-CN"/>
        </w:rPr>
      </w:pPr>
      <w:r>
        <w:rPr>
          <w:rFonts w:hint="eastAsia" w:ascii="宋体" w:hAnsi="宋体" w:cs="宋体"/>
          <w:sz w:val="24"/>
          <w:szCs w:val="24"/>
        </w:rPr>
        <w:t>项目编号</w:t>
      </w:r>
      <w:r>
        <w:rPr>
          <w:rFonts w:hint="eastAsia" w:ascii="宋体" w:hAnsi="宋体" w:cs="宋体"/>
          <w:sz w:val="24"/>
          <w:szCs w:val="24"/>
          <w:highlight w:val="none"/>
        </w:rPr>
        <w:t xml:space="preserve">： </w:t>
      </w:r>
      <w:r>
        <w:rPr>
          <w:rFonts w:hint="eastAsia" w:ascii="宋体" w:hAnsi="宋体" w:cs="宋体"/>
          <w:sz w:val="24"/>
          <w:szCs w:val="24"/>
          <w:highlight w:val="none"/>
          <w:lang w:eastAsia="zh-CN"/>
        </w:rPr>
        <w:t>ZMZB2022XKD-325</w:t>
      </w:r>
    </w:p>
    <w:tbl>
      <w:tblPr>
        <w:tblStyle w:val="31"/>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vAlign w:val="center"/>
          </w:tcPr>
          <w:p>
            <w:pPr>
              <w:jc w:val="left"/>
              <w:rPr>
                <w:rFonts w:ascii="宋体" w:cs="宋体"/>
                <w:sz w:val="22"/>
              </w:rPr>
            </w:pPr>
            <w:r>
              <w:rPr>
                <w:rFonts w:hint="eastAsia" w:ascii="宋体" w:cs="宋体"/>
                <w:sz w:val="22"/>
              </w:rPr>
              <w:t>分项费用</w:t>
            </w:r>
          </w:p>
        </w:tc>
        <w:tc>
          <w:tcPr>
            <w:tcW w:w="530" w:type="dxa"/>
            <w:tcBorders>
              <w:top w:val="single" w:color="auto" w:sz="6" w:space="0"/>
              <w:left w:val="single" w:color="auto" w:sz="4" w:space="0"/>
              <w:bottom w:val="single" w:color="auto" w:sz="6" w:space="0"/>
              <w:right w:val="nil"/>
            </w:tcBorders>
            <w:vAlign w:val="center"/>
          </w:tcPr>
          <w:p>
            <w:pPr>
              <w:spacing w:after="120"/>
              <w:jc w:val="center"/>
              <w:rPr>
                <w:rFonts w:ascii="宋体" w:cs="宋体"/>
                <w:sz w:val="22"/>
              </w:rPr>
            </w:pPr>
            <w:r>
              <w:rPr>
                <w:rFonts w:hint="eastAsia" w:ascii="宋体" w:cs="宋体"/>
                <w:sz w:val="22"/>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cs="宋体"/>
                <w:sz w:val="22"/>
              </w:rPr>
            </w:pPr>
            <w:r>
              <w:rPr>
                <w:rFonts w:hint="eastAsia" w:ascii="宋体" w:cs="宋体"/>
                <w:sz w:val="22"/>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after="120"/>
              <w:jc w:val="center"/>
              <w:rPr>
                <w:rFonts w:ascii="宋体" w:cs="宋体"/>
                <w:sz w:val="22"/>
              </w:rPr>
            </w:pPr>
            <w:r>
              <w:rPr>
                <w:rFonts w:hint="eastAsia" w:ascii="宋体" w:cs="宋体"/>
                <w:sz w:val="22"/>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单价</w:t>
            </w:r>
          </w:p>
          <w:p>
            <w:pPr>
              <w:spacing w:after="120"/>
              <w:jc w:val="center"/>
              <w:rPr>
                <w:rFonts w:ascii="宋体" w:cs="宋体"/>
                <w:bCs/>
                <w:sz w:val="22"/>
              </w:rPr>
            </w:pPr>
            <w:r>
              <w:rPr>
                <w:rFonts w:hint="eastAsia" w:ascii="宋体" w:cs="宋体"/>
                <w:sz w:val="22"/>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bCs/>
                <w:sz w:val="22"/>
              </w:rPr>
            </w:pPr>
            <w:r>
              <w:rPr>
                <w:rFonts w:hint="eastAsia" w:ascii="宋体" w:cs="宋体"/>
                <w:bCs/>
                <w:sz w:val="22"/>
              </w:rPr>
              <w:t>总价</w:t>
            </w:r>
          </w:p>
          <w:p>
            <w:pPr>
              <w:spacing w:after="120"/>
              <w:jc w:val="center"/>
              <w:rPr>
                <w:rFonts w:ascii="宋体" w:cs="宋体"/>
                <w:bCs/>
                <w:sz w:val="22"/>
              </w:rPr>
            </w:pPr>
            <w:r>
              <w:rPr>
                <w:rFonts w:hint="eastAsia" w:ascii="宋体" w:cs="宋体"/>
                <w:bCs/>
                <w:sz w:val="22"/>
              </w:rPr>
              <w:t>（元）</w:t>
            </w: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6" w:space="0"/>
              <w:left w:val="single" w:color="auto" w:sz="4" w:space="0"/>
              <w:bottom w:val="single" w:color="auto" w:sz="4" w:space="0"/>
              <w:right w:val="nil"/>
            </w:tcBorders>
            <w:vAlign w:val="center"/>
          </w:tcPr>
          <w:p>
            <w:pPr>
              <w:spacing w:before="319"/>
              <w:jc w:val="center"/>
              <w:rPr>
                <w:rFonts w:ascii="宋体" w:cs="宋体"/>
                <w:sz w:val="22"/>
              </w:rPr>
            </w:pPr>
            <w:r>
              <w:rPr>
                <w:rFonts w:hint="eastAsia" w:ascii="宋体" w:cs="宋体"/>
                <w:sz w:val="22"/>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jc w:val="center"/>
              <w:rPr>
                <w:rFonts w:ascii="宋体" w:cs="宋体"/>
                <w:sz w:val="22"/>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jc w:val="center"/>
              <w:rPr>
                <w:rFonts w:ascii="宋体" w:cs="宋体"/>
                <w:sz w:val="22"/>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4</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b/>
                <w:sz w:val="22"/>
              </w:rPr>
            </w:pPr>
            <w:r>
              <w:rPr>
                <w:rFonts w:hint="eastAsia" w:ascii="宋体" w:cs="宋体"/>
                <w:sz w:val="22"/>
              </w:rPr>
              <w:t>5</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z w:val="22"/>
              </w:rPr>
              <w:t>...</w:t>
            </w: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安装调试费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运杂费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rPr>
            </w:pPr>
            <w:r>
              <w:rPr>
                <w:rFonts w:hint="eastAsia" w:ascii="宋体" w:cs="宋体"/>
                <w:sz w:val="22"/>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left"/>
              <w:rPr>
                <w:rFonts w:ascii="宋体" w:cs="宋体"/>
                <w:sz w:val="22"/>
              </w:rPr>
            </w:pPr>
            <w:r>
              <w:rPr>
                <w:rFonts w:hint="eastAsia" w:ascii="宋体" w:cs="宋体"/>
                <w:sz w:val="22"/>
              </w:rPr>
              <w:t>大写：</w:t>
            </w:r>
            <w:r>
              <w:rPr>
                <w:rFonts w:hint="eastAsia" w:ascii="宋体" w:cs="宋体"/>
                <w:sz w:val="22"/>
                <w:u w:val="single"/>
              </w:rPr>
              <w:t xml:space="preserve">                  </w:t>
            </w:r>
            <w:r>
              <w:rPr>
                <w:rFonts w:hint="eastAsia" w:ascii="宋体" w:cs="宋体"/>
                <w:sz w:val="22"/>
              </w:rPr>
              <w:t xml:space="preserve"> 小写：</w:t>
            </w:r>
            <w:r>
              <w:rPr>
                <w:rFonts w:hint="eastAsia" w:ascii="宋体" w:cs="宋体"/>
                <w:sz w:val="22"/>
                <w:u w:val="single"/>
              </w:rPr>
              <w:t xml:space="preserve">    </w:t>
            </w:r>
            <w:r>
              <w:rPr>
                <w:rFonts w:hint="eastAsia" w:ascii="宋体" w:cs="宋体"/>
                <w:sz w:val="22"/>
              </w:rPr>
              <w:t xml:space="preserve">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4"/>
                <w:szCs w:val="24"/>
              </w:rPr>
            </w:pPr>
            <w:r>
              <w:rPr>
                <w:rFonts w:hint="eastAsia" w:ascii="宋体" w:cs="宋体"/>
                <w:sz w:val="24"/>
                <w:szCs w:val="24"/>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4"/>
                <w:szCs w:val="24"/>
              </w:rPr>
            </w:pPr>
            <w:r>
              <w:rPr>
                <w:rFonts w:hint="eastAsia" w:ascii="宋体" w:cs="宋体"/>
                <w:spacing w:val="-6"/>
                <w:sz w:val="24"/>
                <w:szCs w:val="24"/>
              </w:rPr>
              <w:t>保留小数点后两位。</w:t>
            </w:r>
          </w:p>
        </w:tc>
      </w:tr>
    </w:tbl>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hint="eastAsia" w:ascii="宋体" w:hAnsi="宋体" w:eastAsia="宋体" w:cs="宋体"/>
          <w:sz w:val="24"/>
          <w:szCs w:val="24"/>
          <w:lang w:val="en-US" w:eastAsia="zh-CN"/>
        </w:rPr>
        <w:sectPr>
          <w:headerReference r:id="rId12" w:type="default"/>
          <w:footerReference r:id="rId13"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日    期： _____年_____ 月_____</w:t>
      </w:r>
      <w:r>
        <w:rPr>
          <w:rFonts w:hint="eastAsia" w:ascii="宋体" w:hAnsi="宋体" w:cs="宋体"/>
          <w:sz w:val="24"/>
          <w:szCs w:val="24"/>
          <w:lang w:val="en-US" w:eastAsia="zh-CN"/>
        </w:rPr>
        <w:t>日</w:t>
      </w:r>
    </w:p>
    <w:p>
      <w:pPr>
        <w:pStyle w:val="4"/>
        <w:jc w:val="center"/>
        <w:rPr>
          <w:rFonts w:ascii="宋体" w:hAnsi="宋体" w:cs="宋体"/>
        </w:rPr>
      </w:pPr>
      <w:bookmarkStart w:id="79" w:name="_Toc193"/>
      <w:r>
        <w:rPr>
          <w:rFonts w:hint="eastAsia" w:ascii="宋体" w:hAnsi="宋体" w:cs="宋体"/>
        </w:rPr>
        <w:t>第三部分</w:t>
      </w:r>
      <w:bookmarkEnd w:id="76"/>
      <w:r>
        <w:rPr>
          <w:rFonts w:hint="eastAsia" w:ascii="宋体" w:hAnsi="宋体" w:cs="宋体"/>
          <w:sz w:val="36"/>
          <w:szCs w:val="36"/>
        </w:rPr>
        <w:t xml:space="preserve">  </w:t>
      </w:r>
      <w:r>
        <w:rPr>
          <w:rFonts w:hint="eastAsia" w:ascii="宋体" w:hAnsi="宋体" w:cs="宋体"/>
        </w:rPr>
        <w:t>商务及技术响应说明</w:t>
      </w:r>
      <w:bookmarkEnd w:id="79"/>
    </w:p>
    <w:p>
      <w:pPr>
        <w:pStyle w:val="9"/>
        <w:ind w:firstLine="0"/>
        <w:rPr>
          <w:rFonts w:ascii="宋体" w:hAnsi="宋体" w:cs="宋体"/>
        </w:rPr>
      </w:pPr>
    </w:p>
    <w:p>
      <w:pPr>
        <w:jc w:val="center"/>
        <w:rPr>
          <w:rFonts w:ascii="宋体" w:hAnsi="宋体" w:cs="宋体"/>
          <w:b/>
          <w:bCs/>
          <w:sz w:val="28"/>
          <w:szCs w:val="32"/>
        </w:rPr>
      </w:pPr>
      <w:r>
        <w:rPr>
          <w:rFonts w:hint="eastAsia" w:ascii="宋体" w:hAnsi="宋体" w:cs="宋体"/>
          <w:b/>
          <w:bCs/>
          <w:sz w:val="28"/>
          <w:szCs w:val="32"/>
        </w:rPr>
        <w:t>商务偏离表</w:t>
      </w:r>
    </w:p>
    <w:tbl>
      <w:tblPr>
        <w:tblStyle w:val="31"/>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vAlign w:val="center"/>
          </w:tcPr>
          <w:p>
            <w:pPr>
              <w:pStyle w:val="16"/>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6"/>
              <w:spacing w:line="360" w:lineRule="auto"/>
              <w:jc w:val="center"/>
              <w:rPr>
                <w:rFonts w:hAnsi="宋体" w:cs="宋体"/>
                <w:sz w:val="24"/>
                <w:szCs w:val="24"/>
              </w:rPr>
            </w:pPr>
            <w:r>
              <w:rPr>
                <w:rFonts w:hint="eastAsia" w:hAnsi="宋体" w:cs="宋体"/>
                <w:sz w:val="24"/>
                <w:szCs w:val="24"/>
              </w:rPr>
              <w:t>商务条款</w:t>
            </w:r>
          </w:p>
        </w:tc>
        <w:tc>
          <w:tcPr>
            <w:tcW w:w="1600" w:type="dxa"/>
            <w:vAlign w:val="center"/>
          </w:tcPr>
          <w:p>
            <w:pPr>
              <w:pStyle w:val="16"/>
              <w:spacing w:line="360" w:lineRule="auto"/>
              <w:jc w:val="center"/>
              <w:rPr>
                <w:rFonts w:hAnsi="宋体" w:cs="宋体"/>
                <w:sz w:val="24"/>
                <w:szCs w:val="24"/>
              </w:rPr>
            </w:pPr>
            <w:r>
              <w:rPr>
                <w:rFonts w:hint="eastAsia" w:hAnsi="宋体" w:cs="宋体"/>
                <w:sz w:val="24"/>
                <w:szCs w:val="24"/>
              </w:rPr>
              <w:t>商务要求</w:t>
            </w:r>
          </w:p>
          <w:p>
            <w:pPr>
              <w:pStyle w:val="16"/>
              <w:spacing w:line="360" w:lineRule="auto"/>
              <w:jc w:val="center"/>
              <w:rPr>
                <w:rFonts w:hAnsi="宋体" w:cs="宋体"/>
                <w:sz w:val="24"/>
                <w:szCs w:val="24"/>
              </w:rPr>
            </w:pPr>
            <w:r>
              <w:rPr>
                <w:rFonts w:hint="eastAsia" w:hAnsi="宋体" w:cs="宋体"/>
                <w:sz w:val="24"/>
                <w:szCs w:val="24"/>
              </w:rPr>
              <w:t>内容</w:t>
            </w:r>
          </w:p>
        </w:tc>
        <w:tc>
          <w:tcPr>
            <w:tcW w:w="1938" w:type="dxa"/>
            <w:vAlign w:val="center"/>
          </w:tcPr>
          <w:p>
            <w:pPr>
              <w:pStyle w:val="16"/>
              <w:spacing w:line="360" w:lineRule="auto"/>
              <w:jc w:val="center"/>
              <w:rPr>
                <w:rFonts w:hAnsi="宋体" w:cs="宋体"/>
                <w:sz w:val="24"/>
                <w:szCs w:val="24"/>
              </w:rPr>
            </w:pPr>
            <w:r>
              <w:rPr>
                <w:rFonts w:hint="eastAsia" w:hAnsi="宋体" w:cs="宋体"/>
                <w:sz w:val="24"/>
                <w:szCs w:val="24"/>
              </w:rPr>
              <w:t>投标文件</w:t>
            </w:r>
          </w:p>
          <w:p>
            <w:pPr>
              <w:pStyle w:val="16"/>
              <w:spacing w:line="360" w:lineRule="auto"/>
              <w:jc w:val="center"/>
              <w:rPr>
                <w:rFonts w:hAnsi="宋体" w:cs="宋体"/>
                <w:sz w:val="24"/>
                <w:szCs w:val="24"/>
              </w:rPr>
            </w:pPr>
            <w:r>
              <w:rPr>
                <w:rFonts w:hint="eastAsia" w:hAnsi="宋体" w:cs="宋体"/>
                <w:sz w:val="24"/>
                <w:szCs w:val="24"/>
              </w:rPr>
              <w:t>响应商务内容</w:t>
            </w:r>
          </w:p>
        </w:tc>
        <w:tc>
          <w:tcPr>
            <w:tcW w:w="1410" w:type="dxa"/>
            <w:vAlign w:val="center"/>
          </w:tcPr>
          <w:p>
            <w:pPr>
              <w:pStyle w:val="16"/>
              <w:spacing w:line="360" w:lineRule="auto"/>
              <w:jc w:val="center"/>
              <w:rPr>
                <w:rFonts w:hAnsi="宋体" w:cs="宋体"/>
                <w:sz w:val="24"/>
                <w:szCs w:val="24"/>
              </w:rPr>
            </w:pPr>
            <w:r>
              <w:rPr>
                <w:rFonts w:hint="eastAsia" w:hAnsi="宋体" w:cs="宋体"/>
                <w:sz w:val="24"/>
                <w:szCs w:val="24"/>
              </w:rPr>
              <w:t>偏离情况</w:t>
            </w:r>
          </w:p>
        </w:tc>
        <w:tc>
          <w:tcPr>
            <w:tcW w:w="1356" w:type="dxa"/>
            <w:vAlign w:val="center"/>
          </w:tcPr>
          <w:p>
            <w:pPr>
              <w:pStyle w:val="16"/>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vAlign w:val="center"/>
          </w:tcPr>
          <w:p>
            <w:pPr>
              <w:pStyle w:val="16"/>
              <w:spacing w:line="480" w:lineRule="auto"/>
              <w:ind w:firstLine="480" w:firstLineChars="200"/>
              <w:jc w:val="left"/>
              <w:rPr>
                <w:rFonts w:hAnsi="宋体" w:cs="宋体"/>
                <w:sz w:val="24"/>
                <w:szCs w:val="24"/>
              </w:rPr>
            </w:pPr>
          </w:p>
        </w:tc>
        <w:tc>
          <w:tcPr>
            <w:tcW w:w="1938" w:type="dxa"/>
            <w:vAlign w:val="center"/>
          </w:tcPr>
          <w:p>
            <w:pPr>
              <w:pStyle w:val="16"/>
              <w:spacing w:line="480" w:lineRule="auto"/>
              <w:ind w:firstLine="480" w:firstLineChars="200"/>
              <w:jc w:val="left"/>
              <w:rPr>
                <w:rFonts w:hAnsi="宋体" w:cs="宋体"/>
                <w:sz w:val="24"/>
                <w:szCs w:val="24"/>
              </w:rPr>
            </w:pPr>
          </w:p>
        </w:tc>
        <w:tc>
          <w:tcPr>
            <w:tcW w:w="1410" w:type="dxa"/>
            <w:vAlign w:val="center"/>
          </w:tcPr>
          <w:p>
            <w:pPr>
              <w:pStyle w:val="16"/>
              <w:spacing w:line="480" w:lineRule="auto"/>
              <w:ind w:firstLine="480" w:firstLineChars="200"/>
              <w:jc w:val="left"/>
              <w:rPr>
                <w:rFonts w:hAnsi="宋体" w:cs="宋体"/>
                <w:sz w:val="24"/>
                <w:szCs w:val="24"/>
              </w:rPr>
            </w:pPr>
          </w:p>
        </w:tc>
        <w:tc>
          <w:tcPr>
            <w:tcW w:w="1356" w:type="dxa"/>
            <w:vAlign w:val="center"/>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33" w:type="dxa"/>
          </w:tcPr>
          <w:p>
            <w:pPr>
              <w:pStyle w:val="16"/>
              <w:spacing w:line="480" w:lineRule="auto"/>
              <w:jc w:val="left"/>
              <w:rPr>
                <w:rFonts w:hAnsi="宋体" w:cs="宋体"/>
                <w:sz w:val="24"/>
                <w:szCs w:val="24"/>
              </w:rPr>
            </w:pPr>
          </w:p>
        </w:tc>
        <w:tc>
          <w:tcPr>
            <w:tcW w:w="1521" w:type="dxa"/>
          </w:tcPr>
          <w:p>
            <w:pPr>
              <w:pStyle w:val="16"/>
              <w:spacing w:line="480" w:lineRule="auto"/>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bl>
    <w:p>
      <w:pPr>
        <w:pStyle w:val="9"/>
        <w:numPr>
          <w:ilvl w:val="0"/>
          <w:numId w:val="22"/>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9"/>
        <w:numPr>
          <w:ilvl w:val="0"/>
          <w:numId w:val="22"/>
        </w:numPr>
        <w:spacing w:line="360" w:lineRule="auto"/>
        <w:rPr>
          <w:rFonts w:ascii="宋体" w:hAnsi="宋体" w:cs="宋体"/>
          <w:b/>
          <w:bCs/>
          <w:sz w:val="24"/>
          <w:szCs w:val="24"/>
        </w:rPr>
      </w:pPr>
      <w:r>
        <w:rPr>
          <w:rFonts w:hint="eastAsia" w:ascii="宋体" w:hAnsi="宋体" w:cs="宋体"/>
          <w:b/>
          <w:bCs/>
          <w:sz w:val="24"/>
          <w:szCs w:val="24"/>
        </w:rPr>
        <w:t>该表必须按照招标文件要求逐条如实填写，根据情况在“偏离情况”项填写正偏离或负偏离或无偏离，在“说明”项填写正偏离或负偏离原因。</w:t>
      </w:r>
    </w:p>
    <w:p>
      <w:pPr>
        <w:pStyle w:val="9"/>
        <w:numPr>
          <w:ilvl w:val="0"/>
          <w:numId w:val="22"/>
        </w:numPr>
        <w:spacing w:line="360" w:lineRule="auto"/>
        <w:rPr>
          <w:rFonts w:ascii="宋体" w:hAnsi="宋体" w:cs="宋体"/>
          <w:b/>
          <w:bCs/>
          <w:sz w:val="24"/>
          <w:szCs w:val="24"/>
        </w:rPr>
      </w:pPr>
      <w:r>
        <w:rPr>
          <w:rFonts w:hint="eastAsia" w:ascii="宋体" w:hAnsi="宋体" w:cs="宋体"/>
          <w:b/>
          <w:bCs/>
          <w:sz w:val="24"/>
          <w:szCs w:val="24"/>
        </w:rPr>
        <w:t>该表可扩展。</w:t>
      </w:r>
    </w:p>
    <w:p>
      <w:pPr>
        <w:pStyle w:val="9"/>
        <w:spacing w:line="360" w:lineRule="auto"/>
        <w:ind w:left="140" w:firstLine="0"/>
        <w:rPr>
          <w:rFonts w:ascii="宋体" w:hAnsi="宋体" w:cs="宋体"/>
          <w:b/>
          <w:bCs/>
          <w:sz w:val="28"/>
          <w:szCs w:val="28"/>
        </w:rPr>
      </w:pPr>
      <w:r>
        <w:rPr>
          <w:rFonts w:hint="eastAsia" w:ascii="宋体" w:hAnsi="宋体" w:cs="宋体"/>
          <w:b/>
          <w:bCs/>
          <w:sz w:val="24"/>
          <w:szCs w:val="24"/>
        </w:rPr>
        <w:t>商务条款不允许负偏离；</w:t>
      </w:r>
    </w:p>
    <w:p>
      <w:pPr>
        <w:pStyle w:val="9"/>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hint="eastAsia" w:ascii="宋体" w:hAnsi="宋体" w:eastAsia="宋体" w:cs="宋体"/>
          <w:sz w:val="24"/>
          <w:szCs w:val="24"/>
          <w:lang w:val="en-US" w:eastAsia="zh-CN"/>
        </w:rPr>
        <w:sectPr>
          <w:headerReference r:id="rId14" w:type="default"/>
          <w:footerReference r:id="rId15"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日    期： _____年_____ 月_____</w:t>
      </w:r>
      <w:r>
        <w:rPr>
          <w:rFonts w:hint="eastAsia" w:ascii="宋体" w:hAnsi="宋体" w:cs="宋体"/>
          <w:sz w:val="24"/>
          <w:szCs w:val="24"/>
          <w:lang w:val="en-US" w:eastAsia="zh-CN"/>
        </w:rPr>
        <w:t>日</w:t>
      </w:r>
    </w:p>
    <w:p>
      <w:pPr>
        <w:jc w:val="center"/>
        <w:rPr>
          <w:rFonts w:ascii="宋体" w:hAnsi="宋体" w:cs="宋体"/>
          <w:b/>
          <w:bCs/>
          <w:sz w:val="28"/>
          <w:szCs w:val="32"/>
        </w:rPr>
      </w:pPr>
      <w:r>
        <w:rPr>
          <w:rFonts w:hint="eastAsia" w:ascii="宋体" w:hAnsi="宋体" w:cs="宋体"/>
          <w:b/>
          <w:bCs/>
          <w:sz w:val="28"/>
          <w:szCs w:val="32"/>
        </w:rPr>
        <w:t>技术偏离表</w:t>
      </w:r>
    </w:p>
    <w:p>
      <w:pPr>
        <w:pStyle w:val="9"/>
        <w:ind w:firstLine="0"/>
        <w:rPr>
          <w:rFonts w:ascii="宋体" w:hAnsi="宋体" w:cs="宋体"/>
        </w:rPr>
      </w:pPr>
    </w:p>
    <w:p>
      <w:pPr>
        <w:rPr>
          <w:rFonts w:ascii="宋体" w:hAnsi="宋体" w:cs="宋体"/>
          <w:sz w:val="24"/>
          <w:szCs w:val="24"/>
        </w:rPr>
      </w:pPr>
    </w:p>
    <w:tbl>
      <w:tblPr>
        <w:tblStyle w:val="31"/>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vAlign w:val="center"/>
          </w:tcPr>
          <w:p>
            <w:pPr>
              <w:pStyle w:val="16"/>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6"/>
              <w:spacing w:line="360" w:lineRule="auto"/>
              <w:jc w:val="center"/>
              <w:rPr>
                <w:rFonts w:hAnsi="宋体" w:cs="宋体"/>
                <w:sz w:val="24"/>
                <w:szCs w:val="24"/>
              </w:rPr>
            </w:pPr>
            <w:r>
              <w:rPr>
                <w:rFonts w:hint="eastAsia" w:hAnsi="宋体" w:cs="宋体"/>
                <w:sz w:val="24"/>
              </w:rPr>
              <w:t>产品名称</w:t>
            </w:r>
          </w:p>
        </w:tc>
        <w:tc>
          <w:tcPr>
            <w:tcW w:w="1600" w:type="dxa"/>
            <w:vAlign w:val="center"/>
          </w:tcPr>
          <w:p>
            <w:pPr>
              <w:spacing w:line="500" w:lineRule="exact"/>
              <w:jc w:val="center"/>
              <w:rPr>
                <w:rFonts w:ascii="宋体" w:hAnsi="宋体" w:cs="宋体"/>
                <w:sz w:val="24"/>
              </w:rPr>
            </w:pPr>
            <w:r>
              <w:rPr>
                <w:rFonts w:hint="eastAsia" w:ascii="宋体" w:hAnsi="宋体" w:cs="宋体"/>
                <w:sz w:val="24"/>
              </w:rPr>
              <w:t>标书要求</w:t>
            </w:r>
          </w:p>
          <w:p>
            <w:pPr>
              <w:spacing w:line="500" w:lineRule="exact"/>
              <w:jc w:val="center"/>
              <w:rPr>
                <w:rFonts w:ascii="宋体" w:hAnsi="宋体" w:cs="宋体"/>
                <w:sz w:val="24"/>
                <w:szCs w:val="24"/>
              </w:rPr>
            </w:pPr>
            <w:r>
              <w:rPr>
                <w:rFonts w:hint="eastAsia" w:ascii="宋体" w:hAnsi="宋体" w:cs="宋体"/>
                <w:sz w:val="24"/>
              </w:rPr>
              <w:t>技术指标</w:t>
            </w:r>
          </w:p>
        </w:tc>
        <w:tc>
          <w:tcPr>
            <w:tcW w:w="1938" w:type="dxa"/>
            <w:vAlign w:val="center"/>
          </w:tcPr>
          <w:p>
            <w:pPr>
              <w:spacing w:line="500" w:lineRule="exact"/>
              <w:jc w:val="center"/>
              <w:rPr>
                <w:rFonts w:ascii="宋体" w:hAnsi="宋体" w:cs="宋体"/>
                <w:sz w:val="24"/>
              </w:rPr>
            </w:pPr>
            <w:r>
              <w:rPr>
                <w:rFonts w:hint="eastAsia" w:ascii="宋体" w:hAnsi="宋体" w:cs="宋体"/>
                <w:sz w:val="24"/>
              </w:rPr>
              <w:t>投标产品</w:t>
            </w:r>
          </w:p>
          <w:p>
            <w:pPr>
              <w:spacing w:line="500" w:lineRule="exact"/>
              <w:jc w:val="center"/>
              <w:rPr>
                <w:rFonts w:ascii="宋体" w:hAnsi="宋体" w:cs="宋体"/>
                <w:sz w:val="24"/>
                <w:szCs w:val="24"/>
              </w:rPr>
            </w:pPr>
            <w:r>
              <w:rPr>
                <w:rFonts w:hint="eastAsia" w:ascii="宋体" w:hAnsi="宋体" w:cs="宋体"/>
                <w:sz w:val="24"/>
              </w:rPr>
              <w:t>技术指标</w:t>
            </w:r>
          </w:p>
        </w:tc>
        <w:tc>
          <w:tcPr>
            <w:tcW w:w="1410" w:type="dxa"/>
            <w:vAlign w:val="center"/>
          </w:tcPr>
          <w:p>
            <w:pPr>
              <w:spacing w:line="500" w:lineRule="exact"/>
              <w:jc w:val="center"/>
              <w:rPr>
                <w:rFonts w:ascii="宋体" w:hAnsi="宋体" w:cs="宋体"/>
                <w:sz w:val="24"/>
                <w:szCs w:val="24"/>
              </w:rPr>
            </w:pPr>
            <w:r>
              <w:rPr>
                <w:rFonts w:hint="eastAsia" w:ascii="宋体" w:hAnsi="宋体" w:cs="宋体"/>
                <w:sz w:val="24"/>
              </w:rPr>
              <w:t>偏离情况</w:t>
            </w:r>
          </w:p>
        </w:tc>
        <w:tc>
          <w:tcPr>
            <w:tcW w:w="1356" w:type="dxa"/>
            <w:vAlign w:val="center"/>
          </w:tcPr>
          <w:p>
            <w:pPr>
              <w:pStyle w:val="16"/>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vAlign w:val="center"/>
          </w:tcPr>
          <w:p>
            <w:pPr>
              <w:pStyle w:val="16"/>
              <w:spacing w:line="480" w:lineRule="auto"/>
              <w:ind w:firstLine="480" w:firstLineChars="200"/>
              <w:jc w:val="left"/>
              <w:rPr>
                <w:rFonts w:hAnsi="宋体" w:cs="宋体"/>
                <w:sz w:val="24"/>
                <w:szCs w:val="24"/>
              </w:rPr>
            </w:pPr>
          </w:p>
        </w:tc>
        <w:tc>
          <w:tcPr>
            <w:tcW w:w="1938" w:type="dxa"/>
            <w:vAlign w:val="center"/>
          </w:tcPr>
          <w:p>
            <w:pPr>
              <w:pStyle w:val="16"/>
              <w:spacing w:line="480" w:lineRule="auto"/>
              <w:ind w:firstLine="480" w:firstLineChars="200"/>
              <w:jc w:val="left"/>
              <w:rPr>
                <w:rFonts w:hAnsi="宋体" w:cs="宋体"/>
                <w:sz w:val="24"/>
                <w:szCs w:val="24"/>
              </w:rPr>
            </w:pPr>
          </w:p>
        </w:tc>
        <w:tc>
          <w:tcPr>
            <w:tcW w:w="1410" w:type="dxa"/>
            <w:vAlign w:val="center"/>
          </w:tcPr>
          <w:p>
            <w:pPr>
              <w:pStyle w:val="16"/>
              <w:spacing w:line="480" w:lineRule="auto"/>
              <w:ind w:firstLine="480" w:firstLineChars="200"/>
              <w:jc w:val="left"/>
              <w:rPr>
                <w:rFonts w:hAnsi="宋体" w:cs="宋体"/>
                <w:sz w:val="24"/>
                <w:szCs w:val="24"/>
              </w:rPr>
            </w:pPr>
          </w:p>
        </w:tc>
        <w:tc>
          <w:tcPr>
            <w:tcW w:w="1356" w:type="dxa"/>
            <w:vAlign w:val="center"/>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33" w:type="dxa"/>
          </w:tcPr>
          <w:p>
            <w:pPr>
              <w:pStyle w:val="16"/>
              <w:spacing w:line="480" w:lineRule="auto"/>
              <w:jc w:val="left"/>
              <w:rPr>
                <w:rFonts w:hAnsi="宋体" w:cs="宋体"/>
                <w:sz w:val="24"/>
                <w:szCs w:val="24"/>
              </w:rPr>
            </w:pPr>
          </w:p>
        </w:tc>
        <w:tc>
          <w:tcPr>
            <w:tcW w:w="1521" w:type="dxa"/>
          </w:tcPr>
          <w:p>
            <w:pPr>
              <w:pStyle w:val="16"/>
              <w:spacing w:line="480" w:lineRule="auto"/>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bl>
    <w:p>
      <w:pPr>
        <w:pStyle w:val="9"/>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pPr>
        <w:pStyle w:val="9"/>
        <w:spacing w:line="360" w:lineRule="auto"/>
        <w:ind w:left="140" w:firstLine="0"/>
        <w:rPr>
          <w:rFonts w:ascii="宋体" w:hAnsi="宋体" w:cs="宋体"/>
          <w:sz w:val="24"/>
          <w:szCs w:val="24"/>
        </w:rPr>
      </w:pPr>
      <w:r>
        <w:rPr>
          <w:rFonts w:hint="eastAsia" w:ascii="宋体" w:hAnsi="宋体" w:cs="宋体"/>
          <w:b/>
          <w:bCs/>
          <w:sz w:val="24"/>
          <w:szCs w:val="24"/>
        </w:rPr>
        <w:t>2、该表必须按照招标文件要求逐条如实填写，根据情况在“偏离情况”项填写正偏离或负偏离或无偏离，在“说明”项填写正偏离或负偏离原因。</w:t>
      </w:r>
    </w:p>
    <w:p>
      <w:pPr>
        <w:pStyle w:val="9"/>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9"/>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hint="eastAsia" w:ascii="宋体" w:hAnsi="宋体" w:eastAsia="宋体" w:cs="宋体"/>
          <w:sz w:val="28"/>
          <w:szCs w:val="28"/>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eastAsia="宋体" w:cs="宋体"/>
          <w:sz w:val="24"/>
          <w:szCs w:val="24"/>
          <w:lang w:val="en-US" w:eastAsia="zh-CN"/>
        </w:rPr>
        <w:t>日</w:t>
      </w:r>
    </w:p>
    <w:bookmarkEnd w:id="77"/>
    <w:bookmarkEnd w:id="78"/>
    <w:p>
      <w:pPr>
        <w:rPr>
          <w:rFonts w:ascii="宋体" w:hAnsi="宋体" w:cs="宋体"/>
        </w:rPr>
      </w:pPr>
      <w:bookmarkStart w:id="80" w:name="OLE_LINK1"/>
      <w:bookmarkStart w:id="81" w:name="_Toc31390"/>
    </w:p>
    <w:bookmarkEnd w:id="80"/>
    <w:p>
      <w:pPr>
        <w:pStyle w:val="4"/>
        <w:jc w:val="center"/>
        <w:rPr>
          <w:rFonts w:ascii="宋体" w:hAnsi="宋体" w:cs="宋体"/>
          <w:sz w:val="36"/>
          <w:szCs w:val="36"/>
        </w:rPr>
      </w:pPr>
      <w:bookmarkStart w:id="82" w:name="_Toc6356"/>
      <w:bookmarkStart w:id="83" w:name="_Toc8621"/>
      <w:bookmarkStart w:id="84" w:name="_Toc19441"/>
      <w:r>
        <w:rPr>
          <w:rFonts w:hint="eastAsia" w:ascii="宋体" w:hAnsi="宋体" w:cs="宋体"/>
          <w:sz w:val="36"/>
          <w:szCs w:val="36"/>
        </w:rPr>
        <w:t>第四部分  供应商资格要求</w:t>
      </w:r>
      <w:bookmarkEnd w:id="82"/>
      <w:bookmarkEnd w:id="83"/>
      <w:bookmarkEnd w:id="84"/>
    </w:p>
    <w:p>
      <w:pPr>
        <w:rPr>
          <w:rFonts w:ascii="宋体" w:hAnsi="宋体" w:cs="宋体"/>
        </w:rPr>
      </w:pPr>
    </w:p>
    <w:p>
      <w:pPr>
        <w:snapToGrid w:val="0"/>
        <w:spacing w:line="360" w:lineRule="auto"/>
        <w:ind w:right="-199" w:rightChars="-95"/>
        <w:jc w:val="left"/>
        <w:rPr>
          <w:rFonts w:ascii="宋体" w:hAnsi="宋体" w:cs="宋体"/>
          <w:kern w:val="0"/>
          <w:sz w:val="24"/>
          <w:szCs w:val="24"/>
        </w:rPr>
      </w:pPr>
      <w:r>
        <w:rPr>
          <w:rFonts w:hint="eastAsia" w:ascii="宋体" w:hAnsi="宋体" w:cs="宋体"/>
          <w:kern w:val="0"/>
          <w:sz w:val="24"/>
          <w:szCs w:val="24"/>
        </w:rPr>
        <w:t>供应商根据招标文件公告资质要求内容附资质证明文件。</w:t>
      </w:r>
    </w:p>
    <w:p>
      <w:pPr>
        <w:pStyle w:val="13"/>
        <w:rPr>
          <w:rFonts w:ascii="宋体" w:hAnsi="宋体" w:cs="宋体"/>
        </w:rPr>
        <w:sectPr>
          <w:headerReference r:id="rId16"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rPr>
        <w:t xml:space="preserve">                       </w:t>
      </w: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13"/>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13"/>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我单位参与陕西卓佲项目管理有限公司组织________________________(项目名称)公开招标，我公司符合《中华人民共和国政府采购法》规定的供应商资格条件：</w:t>
      </w:r>
    </w:p>
    <w:p>
      <w:pPr>
        <w:numPr>
          <w:ilvl w:val="0"/>
          <w:numId w:val="23"/>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23"/>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23"/>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23"/>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23"/>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23"/>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13"/>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16"/>
        <w:spacing w:line="500" w:lineRule="exact"/>
        <w:jc w:val="left"/>
        <w:rPr>
          <w:rFonts w:hAnsi="宋体" w:cs="宋体"/>
          <w:sz w:val="24"/>
          <w:szCs w:val="24"/>
        </w:rPr>
      </w:pPr>
    </w:p>
    <w:p>
      <w:pPr>
        <w:pStyle w:val="16"/>
        <w:spacing w:line="480" w:lineRule="auto"/>
        <w:jc w:val="left"/>
        <w:rPr>
          <w:rFonts w:hAnsi="宋体" w:cs="宋体"/>
          <w:sz w:val="24"/>
        </w:rPr>
      </w:pPr>
    </w:p>
    <w:p>
      <w:pPr>
        <w:pStyle w:val="16"/>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6"/>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hint="eastAsia" w:ascii="宋体" w:hAnsi="宋体" w:eastAsia="宋体" w:cs="宋体"/>
          <w:sz w:val="28"/>
          <w:szCs w:val="28"/>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eastAsia="宋体" w:cs="宋体"/>
          <w:sz w:val="24"/>
          <w:szCs w:val="24"/>
          <w:lang w:val="en-US" w:eastAsia="zh-CN"/>
        </w:rPr>
        <w:t>日</w:t>
      </w:r>
    </w:p>
    <w:p>
      <w:pPr>
        <w:spacing w:line="360" w:lineRule="auto"/>
        <w:rPr>
          <w:rFonts w:ascii="宋体" w:hAnsi="宋体" w:cs="宋体"/>
          <w:sz w:val="28"/>
          <w:szCs w:val="32"/>
        </w:rPr>
      </w:pPr>
      <w:r>
        <w:rPr>
          <w:rFonts w:hint="eastAsia" w:ascii="宋体" w:hAnsi="宋体" w:cs="宋体"/>
          <w:sz w:val="28"/>
          <w:szCs w:val="32"/>
        </w:rPr>
        <w:t>（二）特定资格条件</w:t>
      </w:r>
    </w:p>
    <w:p>
      <w:pPr>
        <w:pStyle w:val="26"/>
        <w:spacing w:before="0" w:beforeAutospacing="0" w:after="0" w:afterAutospacing="0" w:line="510" w:lineRule="atLeast"/>
        <w:ind w:firstLine="420"/>
        <w:rPr>
          <w:rFonts w:hint="eastAsia"/>
        </w:rPr>
      </w:pPr>
      <w:r>
        <w:rPr>
          <w:rFonts w:hint="eastAsia"/>
        </w:rPr>
        <w:t xml:space="preserve">1、具有独立承担民事责任能力的法人、其他组织或自然人，提供合法有效的统一社会信用代码营业执照（事业单位提供事业单位法人证书，自然人应提供身份证）；     </w:t>
      </w:r>
    </w:p>
    <w:p>
      <w:pPr>
        <w:pStyle w:val="26"/>
        <w:spacing w:before="0" w:beforeAutospacing="0" w:after="0" w:afterAutospacing="0" w:line="510" w:lineRule="atLeast"/>
        <w:ind w:firstLine="420"/>
        <w:rPr>
          <w:rFonts w:hint="eastAsia"/>
        </w:rPr>
      </w:pPr>
      <w:r>
        <w:rPr>
          <w:rFonts w:hint="eastAsia"/>
        </w:rPr>
        <w:t xml:space="preserve"> 2、财务状况证明：提供2021年度完整的财务审计报告（成立时间至提交</w:t>
      </w:r>
      <w:r>
        <w:rPr>
          <w:rFonts w:hint="eastAsia"/>
          <w:lang w:eastAsia="zh-CN"/>
        </w:rPr>
        <w:t xml:space="preserve">投标文件 </w:t>
      </w:r>
      <w:r>
        <w:rPr>
          <w:rFonts w:hint="eastAsia"/>
        </w:rPr>
        <w:t>截止时间不足一年的可提供成立后任意时段的资产负债表），或其开标前三个月内银行出具的资信证明，或财政部门认可的政府采购专业担保机构出具的</w:t>
      </w:r>
      <w:r>
        <w:rPr>
          <w:rFonts w:hint="eastAsia"/>
          <w:lang w:eastAsia="zh-CN"/>
        </w:rPr>
        <w:t>投标担保函</w:t>
      </w:r>
      <w:r>
        <w:rPr>
          <w:rFonts w:hint="eastAsia"/>
        </w:rPr>
        <w:t>；</w:t>
      </w:r>
    </w:p>
    <w:p>
      <w:pPr>
        <w:pStyle w:val="26"/>
        <w:spacing w:before="0" w:beforeAutospacing="0" w:after="0" w:afterAutospacing="0" w:line="510" w:lineRule="atLeast"/>
        <w:ind w:firstLine="420"/>
        <w:rPr>
          <w:rFonts w:hint="eastAsia"/>
        </w:rPr>
        <w:sectPr>
          <w:pgSz w:w="11906" w:h="16838"/>
          <w:pgMar w:top="1440" w:right="1803" w:bottom="1440" w:left="1803" w:header="851" w:footer="992" w:gutter="0"/>
          <w:cols w:space="720" w:num="1"/>
          <w:docGrid w:type="lines" w:linePitch="319" w:charSpace="0"/>
        </w:sectPr>
      </w:pPr>
    </w:p>
    <w:p>
      <w:pPr>
        <w:keepNext/>
        <w:keepLines/>
        <w:spacing w:line="413" w:lineRule="auto"/>
        <w:jc w:val="center"/>
        <w:rPr>
          <w:rFonts w:hint="eastAsia" w:ascii="宋体" w:hAnsi="宋体" w:cs="宋体"/>
          <w:sz w:val="32"/>
          <w:szCs w:val="24"/>
        </w:rPr>
      </w:pPr>
      <w:r>
        <w:rPr>
          <w:rFonts w:hint="eastAsia" w:ascii="宋体" w:hAnsi="宋体" w:cs="宋体"/>
          <w:sz w:val="24"/>
          <w:szCs w:val="24"/>
          <w:lang w:val="en-US" w:eastAsia="zh-CN"/>
        </w:rPr>
        <w:t xml:space="preserve">  </w:t>
      </w:r>
      <w:bookmarkStart w:id="85" w:name="_Toc19138"/>
      <w:bookmarkStart w:id="86" w:name="_Toc1803"/>
      <w:bookmarkStart w:id="87" w:name="_Toc18964"/>
      <w:bookmarkStart w:id="88" w:name="_Toc23165"/>
      <w:r>
        <w:rPr>
          <w:rFonts w:hint="eastAsia" w:ascii="宋体" w:hAnsi="宋体" w:cs="宋体"/>
          <w:sz w:val="32"/>
          <w:szCs w:val="24"/>
        </w:rPr>
        <w:t>3、履行合同所必需的设备和专业技术能力声明（格式）</w:t>
      </w:r>
    </w:p>
    <w:p>
      <w:pPr>
        <w:rPr>
          <w:rFonts w:hint="eastAsia"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hint="eastAsia"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hAnsi="宋体" w:cs="宋体"/>
          <w:kern w:val="0"/>
          <w:sz w:val="24"/>
          <w:szCs w:val="24"/>
          <w:lang w:eastAsia="zh-CN"/>
        </w:rPr>
        <w:t>公开招标</w:t>
      </w:r>
      <w:r>
        <w:rPr>
          <w:rFonts w:hint="eastAsia" w:ascii="宋体" w:hAnsi="宋体" w:cs="宋体"/>
          <w:kern w:val="0"/>
          <w:sz w:val="24"/>
          <w:szCs w:val="24"/>
        </w:rPr>
        <w:t>，我单位郑重声明：我方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特此声明。</w:t>
      </w:r>
    </w:p>
    <w:p>
      <w:pPr>
        <w:pStyle w:val="16"/>
        <w:spacing w:line="500" w:lineRule="exact"/>
        <w:jc w:val="left"/>
        <w:rPr>
          <w:rFonts w:hint="eastAsia" w:hAnsi="宋体" w:cs="宋体"/>
          <w:sz w:val="24"/>
          <w:szCs w:val="24"/>
        </w:rPr>
      </w:pPr>
    </w:p>
    <w:p>
      <w:pPr>
        <w:pStyle w:val="16"/>
        <w:spacing w:line="480" w:lineRule="auto"/>
        <w:jc w:val="left"/>
        <w:rPr>
          <w:rFonts w:hint="eastAsia" w:hAnsi="宋体" w:cs="宋体"/>
          <w:sz w:val="24"/>
        </w:rPr>
      </w:pPr>
    </w:p>
    <w:p>
      <w:pPr>
        <w:pStyle w:val="16"/>
        <w:spacing w:line="480" w:lineRule="auto"/>
        <w:jc w:val="left"/>
        <w:rPr>
          <w:rFonts w:hint="eastAsia"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6"/>
        <w:spacing w:line="480" w:lineRule="auto"/>
        <w:jc w:val="left"/>
        <w:rPr>
          <w:rFonts w:hint="eastAsia"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hint="eastAsia"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rPr>
          <w:rFonts w:hint="eastAsia"/>
        </w:rPr>
        <w:sectPr>
          <w:pgSz w:w="11906" w:h="16838"/>
          <w:pgMar w:top="1440" w:right="1803" w:bottom="1440" w:left="1803" w:header="851" w:footer="992" w:gutter="0"/>
          <w:cols w:space="720" w:num="1"/>
          <w:docGrid w:type="lines" w:linePitch="319" w:charSpace="0"/>
        </w:sectPr>
      </w:pPr>
    </w:p>
    <w:p>
      <w:pPr>
        <w:pStyle w:val="26"/>
        <w:spacing w:before="0" w:beforeAutospacing="0" w:after="0" w:afterAutospacing="0" w:line="510" w:lineRule="atLeast"/>
        <w:ind w:firstLine="420"/>
        <w:rPr>
          <w:rFonts w:hint="eastAsia"/>
        </w:rPr>
      </w:pPr>
      <w:r>
        <w:rPr>
          <w:rFonts w:hint="eastAsia"/>
        </w:rPr>
        <w:t>4、税收缴纳证明：提供2022年1月以来至今已缴纳的至少一个月的纳税证明或完税证明，依法免税的单位应提供相关证明材料；</w:t>
      </w:r>
    </w:p>
    <w:p>
      <w:pPr>
        <w:pStyle w:val="26"/>
        <w:spacing w:before="0" w:beforeAutospacing="0" w:after="0" w:afterAutospacing="0" w:line="510" w:lineRule="atLeast"/>
        <w:ind w:firstLine="420"/>
        <w:rPr>
          <w:rFonts w:hint="eastAsia"/>
        </w:rPr>
      </w:pPr>
      <w:r>
        <w:rPr>
          <w:rFonts w:hint="eastAsia"/>
        </w:rPr>
        <w:t>5、社会保障资金缴纳证明：提供2022年1月以来至今缴纳的至少一个月的社会保障资金缴存单据或社保机构开具的社会保险参保缴费情况证明，依法不需要缴纳社会保障资金的供应商应提供相关文件证明；</w:t>
      </w:r>
    </w:p>
    <w:p>
      <w:pPr>
        <w:spacing w:line="360" w:lineRule="auto"/>
        <w:rPr>
          <w:rFonts w:hint="eastAsia"/>
          <w:sz w:val="24"/>
          <w:szCs w:val="28"/>
        </w:rPr>
      </w:pPr>
    </w:p>
    <w:p>
      <w:pPr>
        <w:pStyle w:val="29"/>
        <w:ind w:firstLine="0" w:firstLineChars="0"/>
        <w:sectPr>
          <w:pgSz w:w="11906" w:h="16838"/>
          <w:pgMar w:top="1440" w:right="1803" w:bottom="1440" w:left="1803" w:header="851" w:footer="992" w:gutter="0"/>
          <w:cols w:space="720" w:num="1"/>
          <w:docGrid w:type="lines" w:linePitch="319" w:charSpace="0"/>
        </w:sectPr>
      </w:pPr>
    </w:p>
    <w:p>
      <w:pPr>
        <w:keepNext/>
        <w:keepLines/>
        <w:spacing w:line="413" w:lineRule="auto"/>
        <w:jc w:val="center"/>
        <w:rPr>
          <w:rFonts w:hint="eastAsia" w:ascii="宋体" w:hAnsi="宋体" w:cs="宋体"/>
          <w:sz w:val="32"/>
          <w:szCs w:val="24"/>
        </w:rPr>
      </w:pPr>
      <w:bookmarkStart w:id="89" w:name="_Toc1408"/>
      <w:r>
        <w:rPr>
          <w:rFonts w:hint="eastAsia" w:ascii="宋体" w:hAnsi="宋体" w:cs="宋体"/>
          <w:sz w:val="32"/>
          <w:szCs w:val="24"/>
        </w:rPr>
        <w:t>6、无重大违法记录声明</w:t>
      </w:r>
    </w:p>
    <w:p>
      <w:pPr>
        <w:rPr>
          <w:rFonts w:ascii="宋体" w:hAnsi="宋体" w:cs="宋体"/>
        </w:rPr>
      </w:pPr>
    </w:p>
    <w:p>
      <w:pPr>
        <w:widowControl/>
        <w:snapToGrid w:val="0"/>
        <w:spacing w:line="480" w:lineRule="auto"/>
        <w:ind w:firstLine="480" w:firstLineChars="200"/>
        <w:jc w:val="left"/>
        <w:rPr>
          <w:rFonts w:hint="eastAsia" w:ascii="宋体" w:hAnsi="宋体" w:cs="宋体"/>
          <w:kern w:val="0"/>
          <w:sz w:val="24"/>
          <w:szCs w:val="24"/>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w:t>
      </w:r>
      <w:r>
        <w:rPr>
          <w:rFonts w:hint="eastAsia" w:ascii="宋体" w:hAnsi="宋体" w:cs="宋体"/>
          <w:kern w:val="0"/>
          <w:sz w:val="24"/>
          <w:szCs w:val="24"/>
          <w:lang w:eastAsia="zh-CN"/>
        </w:rPr>
        <w:t>公开招标</w:t>
      </w:r>
      <w:r>
        <w:rPr>
          <w:rFonts w:hint="eastAsia" w:ascii="宋体" w:hAnsi="宋体" w:cs="宋体"/>
          <w:kern w:val="0"/>
          <w:sz w:val="24"/>
          <w:szCs w:val="24"/>
        </w:rPr>
        <w:t>，我单位郑重声明：我方参加本项目工作前三年内无重大违法活动记录，符合《中华人民共和国政府采购法》规定的供应商资格条件，我方对此声明负全部法律责任。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6"/>
        <w:spacing w:line="500" w:lineRule="exact"/>
        <w:jc w:val="left"/>
        <w:rPr>
          <w:rFonts w:hAnsi="宋体" w:cs="宋体"/>
          <w:sz w:val="24"/>
          <w:szCs w:val="24"/>
        </w:rPr>
      </w:pPr>
    </w:p>
    <w:p>
      <w:pPr>
        <w:pStyle w:val="16"/>
        <w:spacing w:line="480" w:lineRule="auto"/>
        <w:jc w:val="left"/>
        <w:rPr>
          <w:rFonts w:hint="eastAsia" w:hAnsi="宋体" w:cs="宋体"/>
          <w:sz w:val="24"/>
        </w:rPr>
      </w:pPr>
    </w:p>
    <w:p>
      <w:pPr>
        <w:pStyle w:val="16"/>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6"/>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rPr>
          <w:rFonts w:hint="eastAsia"/>
        </w:rPr>
        <w:sectPr>
          <w:pgSz w:w="11906" w:h="16838"/>
          <w:pgMar w:top="1440" w:right="1803" w:bottom="1440" w:left="1803" w:header="851" w:footer="992" w:gutter="0"/>
          <w:cols w:space="720" w:num="1"/>
          <w:docGrid w:type="lines" w:linePitch="319" w:charSpace="0"/>
        </w:sectPr>
      </w:pPr>
    </w:p>
    <w:p>
      <w:pPr>
        <w:jc w:val="center"/>
        <w:rPr>
          <w:rFonts w:hint="eastAsia"/>
          <w:sz w:val="28"/>
          <w:szCs w:val="32"/>
        </w:rPr>
      </w:pPr>
      <w:r>
        <w:rPr>
          <w:rFonts w:hint="eastAsia"/>
          <w:sz w:val="28"/>
          <w:szCs w:val="32"/>
        </w:rPr>
        <w:t>7-1法定代表人证明书</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noWrap w:val="0"/>
            <w:vAlign w:val="center"/>
          </w:tcPr>
          <w:p>
            <w:pPr>
              <w:tabs>
                <w:tab w:val="left" w:pos="210"/>
              </w:tabs>
              <w:spacing w:line="360" w:lineRule="auto"/>
              <w:jc w:val="left"/>
              <w:rPr>
                <w:rFonts w:hint="eastAsia" w:ascii="宋体" w:hAnsi="宋体" w:cs="宋体"/>
                <w:kern w:val="0"/>
                <w:szCs w:val="21"/>
              </w:rPr>
            </w:pPr>
            <w:r>
              <w:rPr>
                <w:rFonts w:hint="eastAsia" w:ascii="宋体" w:hAnsi="宋体" w:cs="宋体"/>
                <w:kern w:val="0"/>
                <w:szCs w:val="21"/>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noWrap w:val="0"/>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4"/>
            <w:noWrap w:val="0"/>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4"/>
            <w:noWrap w:val="0"/>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4"/>
            <w:noWrap w:val="0"/>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4"/>
            <w:noWrap w:val="0"/>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pPr>
              <w:tabs>
                <w:tab w:val="left" w:pos="210"/>
              </w:tabs>
              <w:spacing w:line="360" w:lineRule="auto"/>
              <w:rPr>
                <w:rFonts w:hint="eastAsia" w:ascii="宋体" w:hAnsi="宋体" w:cs="宋体"/>
                <w:kern w:val="0"/>
                <w:szCs w:val="21"/>
              </w:rPr>
            </w:pPr>
            <w:r>
              <w:rPr>
                <w:rFonts w:hint="eastAsia" w:ascii="宋体" w:hAnsi="宋体" w:cs="宋体"/>
                <w:kern w:val="0"/>
                <w:szCs w:val="21"/>
              </w:rPr>
              <w:t>统一社会信用代码</w:t>
            </w:r>
          </w:p>
        </w:tc>
        <w:tc>
          <w:tcPr>
            <w:tcW w:w="6656" w:type="dxa"/>
            <w:gridSpan w:val="4"/>
            <w:noWrap w:val="0"/>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noWrap w:val="0"/>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gridSpan w:val="2"/>
            <w:noWrap w:val="0"/>
            <w:vAlign w:val="center"/>
          </w:tcPr>
          <w:p>
            <w:pPr>
              <w:tabs>
                <w:tab w:val="left" w:pos="210"/>
              </w:tabs>
              <w:spacing w:line="360" w:lineRule="auto"/>
              <w:ind w:firstLine="420" w:firstLineChars="200"/>
              <w:jc w:val="left"/>
              <w:rPr>
                <w:rFonts w:ascii="宋体" w:hAnsi="宋体" w:cs="宋体"/>
                <w:kern w:val="0"/>
                <w:szCs w:val="21"/>
              </w:rPr>
            </w:pPr>
          </w:p>
        </w:tc>
        <w:tc>
          <w:tcPr>
            <w:tcW w:w="2156" w:type="dxa"/>
            <w:noWrap w:val="0"/>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noWrap w:val="0"/>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gridSpan w:val="2"/>
            <w:noWrap w:val="0"/>
            <w:vAlign w:val="center"/>
          </w:tcPr>
          <w:p>
            <w:pPr>
              <w:tabs>
                <w:tab w:val="left" w:pos="210"/>
              </w:tabs>
              <w:spacing w:line="360" w:lineRule="auto"/>
              <w:jc w:val="left"/>
              <w:rPr>
                <w:rFonts w:ascii="宋体" w:hAnsi="宋体" w:cs="宋体"/>
                <w:kern w:val="0"/>
                <w:szCs w:val="21"/>
              </w:rPr>
            </w:pPr>
          </w:p>
        </w:tc>
        <w:tc>
          <w:tcPr>
            <w:tcW w:w="2156" w:type="dxa"/>
            <w:noWrap w:val="0"/>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noWrap w:val="0"/>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4"/>
            <w:noWrap w:val="0"/>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noWrap w:val="0"/>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4316" w:type="dxa"/>
            <w:gridSpan w:val="2"/>
            <w:vMerge w:val="restart"/>
            <w:noWrap w:val="0"/>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4500" w:type="dxa"/>
            <w:gridSpan w:val="3"/>
            <w:noWrap w:val="0"/>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noWrap w:val="0"/>
            <w:vAlign w:val="center"/>
          </w:tcPr>
          <w:p>
            <w:pPr>
              <w:tabs>
                <w:tab w:val="left" w:pos="210"/>
              </w:tabs>
              <w:spacing w:line="360" w:lineRule="auto"/>
              <w:ind w:firstLine="420" w:firstLineChars="200"/>
              <w:jc w:val="left"/>
              <w:rPr>
                <w:rFonts w:ascii="宋体" w:hAnsi="宋体" w:cs="宋体"/>
                <w:kern w:val="0"/>
                <w:szCs w:val="21"/>
              </w:rPr>
            </w:pPr>
          </w:p>
        </w:tc>
        <w:tc>
          <w:tcPr>
            <w:tcW w:w="4316" w:type="dxa"/>
            <w:gridSpan w:val="2"/>
            <w:vMerge w:val="continue"/>
            <w:noWrap w:val="0"/>
            <w:vAlign w:val="center"/>
          </w:tcPr>
          <w:p>
            <w:pPr>
              <w:tabs>
                <w:tab w:val="left" w:pos="210"/>
              </w:tabs>
              <w:spacing w:line="360" w:lineRule="auto"/>
              <w:ind w:firstLine="420" w:firstLineChars="200"/>
              <w:jc w:val="left"/>
              <w:rPr>
                <w:rFonts w:ascii="宋体" w:hAnsi="宋体" w:cs="宋体"/>
                <w:kern w:val="0"/>
                <w:szCs w:val="21"/>
              </w:rPr>
            </w:pPr>
          </w:p>
        </w:tc>
        <w:tc>
          <w:tcPr>
            <w:tcW w:w="4500" w:type="dxa"/>
            <w:gridSpan w:val="3"/>
            <w:noWrap w:val="0"/>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_________年______月 _____日</w:t>
            </w:r>
          </w:p>
        </w:tc>
      </w:tr>
    </w:tbl>
    <w:p>
      <w:pPr>
        <w:pStyle w:val="6"/>
        <w:sectPr>
          <w:pgSz w:w="11906" w:h="16838"/>
          <w:pgMar w:top="1440" w:right="1803" w:bottom="1440" w:left="1803" w:header="851" w:footer="992" w:gutter="0"/>
          <w:cols w:space="720" w:num="1"/>
          <w:docGrid w:type="lines" w:linePitch="319" w:charSpace="0"/>
        </w:sectPr>
      </w:pPr>
    </w:p>
    <w:p>
      <w:pPr>
        <w:pStyle w:val="16"/>
        <w:spacing w:line="500" w:lineRule="exact"/>
        <w:jc w:val="center"/>
        <w:rPr>
          <w:rFonts w:hint="eastAsia" w:hAnsi="宋体" w:cs="宋体"/>
          <w:sz w:val="24"/>
          <w:szCs w:val="24"/>
        </w:rPr>
      </w:pPr>
      <w:r>
        <w:rPr>
          <w:rFonts w:hint="eastAsia" w:hAnsi="宋体" w:cs="宋体"/>
          <w:b/>
          <w:sz w:val="24"/>
          <w:szCs w:val="24"/>
        </w:rPr>
        <w:t>7-2法定代表人授权书</w:t>
      </w:r>
    </w:p>
    <w:p>
      <w:pPr>
        <w:pStyle w:val="16"/>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   </w:t>
      </w:r>
      <w:r>
        <w:rPr>
          <w:rFonts w:hint="eastAsia" w:ascii="宋体" w:hAnsi="宋体" w:cs="宋体"/>
          <w:sz w:val="24"/>
        </w:rPr>
        <w:t>的采购活动。以我方名义全权处理该项目有关</w:t>
      </w:r>
      <w:r>
        <w:rPr>
          <w:rFonts w:hint="eastAsia" w:ascii="宋体" w:hAnsi="宋体" w:cs="宋体"/>
          <w:sz w:val="24"/>
          <w:lang w:eastAsia="zh-CN"/>
        </w:rPr>
        <w:t>投标</w:t>
      </w:r>
      <w:r>
        <w:rPr>
          <w:rFonts w:hint="eastAsia" w:ascii="宋体" w:hAnsi="宋体" w:cs="宋体"/>
          <w:sz w:val="24"/>
        </w:rPr>
        <w:t>、签订合同以及执行合同等一切事宜。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本授权书自</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日起签字生效，有效期与</w:t>
      </w:r>
      <w:r>
        <w:rPr>
          <w:rFonts w:hint="eastAsia" w:ascii="宋体" w:hAnsi="宋体" w:cs="宋体"/>
          <w:sz w:val="24"/>
          <w:lang w:eastAsia="zh-CN"/>
        </w:rPr>
        <w:t>投标</w:t>
      </w:r>
      <w:r>
        <w:rPr>
          <w:rFonts w:hint="eastAsia" w:ascii="宋体" w:hAnsi="宋体" w:cs="宋体"/>
          <w:sz w:val="24"/>
        </w:rPr>
        <w:t>文件有效期一致，特此声明。</w:t>
      </w:r>
    </w:p>
    <w:p>
      <w:pPr>
        <w:pStyle w:val="16"/>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szCs w:val="24"/>
          <w:u w:val="none"/>
        </w:rPr>
        <w:t>：</w:t>
      </w:r>
      <w:r>
        <w:rPr>
          <w:rFonts w:hint="eastAsia" w:hAnsi="宋体" w:cs="宋体"/>
          <w:sz w:val="24"/>
          <w:szCs w:val="24"/>
          <w:u w:val="none"/>
          <w:lang w:val="en-US" w:eastAsia="zh-CN"/>
        </w:rPr>
        <w:t>___________________</w:t>
      </w:r>
      <w:r>
        <w:rPr>
          <w:rFonts w:hint="eastAsia" w:hAnsi="宋体" w:cs="宋体"/>
          <w:sz w:val="24"/>
          <w:szCs w:val="24"/>
          <w:u w:val="single"/>
        </w:rPr>
        <w:t xml:space="preserve">                          </w:t>
      </w:r>
    </w:p>
    <w:p>
      <w:pPr>
        <w:pStyle w:val="16"/>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none"/>
        </w:rPr>
        <w:t>：</w:t>
      </w:r>
      <w:r>
        <w:rPr>
          <w:rFonts w:hint="eastAsia" w:hAnsi="宋体" w:cs="宋体"/>
          <w:sz w:val="24"/>
          <w:szCs w:val="24"/>
          <w:u w:val="none"/>
          <w:lang w:val="en-US" w:eastAsia="zh-CN"/>
        </w:rPr>
        <w:t>___________________</w:t>
      </w:r>
      <w:r>
        <w:rPr>
          <w:rFonts w:hint="eastAsia" w:hAnsi="宋体" w:cs="宋体"/>
          <w:sz w:val="24"/>
          <w:szCs w:val="24"/>
          <w:u w:val="single"/>
        </w:rPr>
        <w:t xml:space="preserve"> </w:t>
      </w:r>
      <w:r>
        <w:rPr>
          <w:rFonts w:hint="eastAsia" w:hAnsi="宋体" w:cs="宋体"/>
          <w:sz w:val="24"/>
          <w:szCs w:val="24"/>
          <w:u w:val="none"/>
        </w:rPr>
        <w:t xml:space="preserve">   </w:t>
      </w:r>
      <w:r>
        <w:rPr>
          <w:rFonts w:hint="eastAsia" w:hAnsi="宋体" w:cs="宋体"/>
          <w:sz w:val="24"/>
          <w:szCs w:val="24"/>
          <w:u w:val="single"/>
        </w:rPr>
        <w:t xml:space="preserve">               </w:t>
      </w:r>
    </w:p>
    <w:p>
      <w:pPr>
        <w:pStyle w:val="16"/>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4"/>
          <w:szCs w:val="24"/>
          <w:u w:val="none"/>
        </w:rPr>
        <w:t>：</w:t>
      </w:r>
      <w:r>
        <w:rPr>
          <w:rFonts w:hint="eastAsia" w:hAnsi="宋体" w:cs="宋体"/>
          <w:sz w:val="24"/>
          <w:szCs w:val="24"/>
          <w:u w:val="none"/>
          <w:lang w:val="en-US" w:eastAsia="zh-CN"/>
        </w:rPr>
        <w:t>________</w:t>
      </w:r>
      <w:r>
        <w:rPr>
          <w:rFonts w:hint="eastAsia" w:hAnsi="宋体" w:cs="宋体"/>
          <w:sz w:val="24"/>
          <w:szCs w:val="24"/>
          <w:u w:val="none"/>
        </w:rPr>
        <w:t xml:space="preserve"> </w:t>
      </w:r>
      <w:r>
        <w:rPr>
          <w:rFonts w:hint="eastAsia" w:hAnsi="宋体" w:cs="宋体"/>
          <w:sz w:val="24"/>
          <w:szCs w:val="24"/>
        </w:rPr>
        <w:t>性别</w:t>
      </w:r>
      <w:r>
        <w:rPr>
          <w:rFonts w:hint="eastAsia" w:hAnsi="宋体" w:cs="宋体"/>
          <w:sz w:val="24"/>
          <w:szCs w:val="24"/>
          <w:u w:val="none"/>
        </w:rPr>
        <w:t>：</w:t>
      </w:r>
      <w:r>
        <w:rPr>
          <w:rFonts w:hint="eastAsia" w:hAnsi="宋体" w:cs="宋体"/>
          <w:sz w:val="24"/>
          <w:szCs w:val="24"/>
          <w:u w:val="none"/>
          <w:lang w:val="en-US" w:eastAsia="zh-CN"/>
        </w:rPr>
        <w:t>___________</w:t>
      </w:r>
      <w:r>
        <w:rPr>
          <w:rFonts w:hint="eastAsia" w:hAnsi="宋体" w:cs="宋体"/>
          <w:sz w:val="24"/>
          <w:szCs w:val="24"/>
          <w:u w:val="none"/>
        </w:rPr>
        <w:t xml:space="preserve"> </w:t>
      </w:r>
      <w:r>
        <w:rPr>
          <w:rFonts w:hint="eastAsia" w:hAnsi="宋体" w:cs="宋体"/>
          <w:sz w:val="24"/>
          <w:szCs w:val="24"/>
        </w:rPr>
        <w:t>职务：</w:t>
      </w:r>
      <w:r>
        <w:rPr>
          <w:rFonts w:hint="eastAsia" w:hAnsi="宋体" w:cs="宋体"/>
          <w:sz w:val="24"/>
          <w:szCs w:val="24"/>
          <w:u w:val="none"/>
          <w:lang w:val="en-US" w:eastAsia="zh-CN"/>
        </w:rPr>
        <w:t>___________</w:t>
      </w:r>
      <w:r>
        <w:rPr>
          <w:rFonts w:hint="eastAsia" w:hAnsi="宋体" w:cs="宋体"/>
          <w:sz w:val="24"/>
          <w:szCs w:val="24"/>
          <w:u w:val="single"/>
        </w:rPr>
        <w:t xml:space="preserve">              </w:t>
      </w:r>
    </w:p>
    <w:p>
      <w:pPr>
        <w:pStyle w:val="16"/>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none"/>
        </w:rPr>
        <w:t xml:space="preserve">： </w:t>
      </w:r>
      <w:r>
        <w:rPr>
          <w:rFonts w:hint="eastAsia" w:hAnsi="宋体" w:cs="宋体"/>
          <w:sz w:val="24"/>
          <w:szCs w:val="24"/>
          <w:u w:val="none"/>
          <w:lang w:val="en-US" w:eastAsia="zh-CN"/>
        </w:rPr>
        <w:t>___________________</w:t>
      </w:r>
      <w:r>
        <w:rPr>
          <w:rFonts w:hint="eastAsia" w:hAnsi="宋体" w:cs="宋体"/>
          <w:sz w:val="24"/>
          <w:szCs w:val="24"/>
          <w:u w:val="single"/>
        </w:rPr>
        <w:t xml:space="preserve">               </w:t>
      </w:r>
    </w:p>
    <w:p>
      <w:pPr>
        <w:pStyle w:val="16"/>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r>
        <w:rPr>
          <w:rFonts w:hint="eastAsia" w:hAnsi="宋体" w:cs="宋体"/>
          <w:sz w:val="24"/>
          <w:szCs w:val="24"/>
          <w:u w:val="none"/>
          <w:lang w:val="en-US" w:eastAsia="zh-CN"/>
        </w:rPr>
        <w:t>___________________</w:t>
      </w:r>
      <w:r>
        <w:rPr>
          <w:rFonts w:hint="eastAsia" w:hAnsi="宋体" w:cs="宋体"/>
          <w:sz w:val="24"/>
          <w:szCs w:val="24"/>
          <w:u w:val="single"/>
        </w:rPr>
        <w:t xml:space="preserve">               </w:t>
      </w:r>
    </w:p>
    <w:p>
      <w:pPr>
        <w:pStyle w:val="16"/>
        <w:spacing w:line="500" w:lineRule="exact"/>
        <w:ind w:firstLine="480" w:firstLineChars="200"/>
        <w:jc w:val="left"/>
        <w:rPr>
          <w:rFonts w:hint="eastAsia" w:hAnsi="宋体" w:cs="宋体"/>
          <w:sz w:val="24"/>
          <w:szCs w:val="24"/>
        </w:rPr>
      </w:pPr>
      <w:r>
        <w:rPr>
          <w:rFonts w:hint="eastAsia" w:hAnsi="宋体" w:cs="宋体"/>
          <w:sz w:val="24"/>
          <w:szCs w:val="24"/>
        </w:rPr>
        <w:t>法定代表人及被授权人身份证复印件或扫描件</w:t>
      </w:r>
    </w:p>
    <w:tbl>
      <w:tblPr>
        <w:tblStyle w:val="3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noWrap w:val="0"/>
            <w:vAlign w:val="center"/>
          </w:tcPr>
          <w:p>
            <w:pPr>
              <w:pStyle w:val="16"/>
              <w:spacing w:line="500" w:lineRule="exact"/>
              <w:jc w:val="left"/>
              <w:rPr>
                <w:rFonts w:hint="eastAsia" w:hAnsi="宋体" w:cs="宋体"/>
                <w:sz w:val="24"/>
                <w:szCs w:val="24"/>
                <w:shd w:val="pct10" w:color="auto" w:fill="FFFFFF"/>
              </w:rPr>
            </w:pPr>
            <w:r>
              <w:rPr>
                <w:rFonts w:hint="eastAsia" w:hAnsi="宋体" w:cs="宋体"/>
                <w:sz w:val="24"/>
                <w:szCs w:val="24"/>
                <w:shd w:val="pct10" w:color="auto" w:fill="FFFFFF"/>
              </w:rPr>
              <w:t>法定代表人身份证复印件或扫描件</w:t>
            </w:r>
          </w:p>
          <w:p>
            <w:pPr>
              <w:pStyle w:val="16"/>
              <w:spacing w:line="500" w:lineRule="exact"/>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16"/>
              <w:spacing w:line="500" w:lineRule="exact"/>
              <w:jc w:val="left"/>
              <w:rPr>
                <w:rFonts w:hAnsi="宋体" w:cs="宋体"/>
                <w:sz w:val="24"/>
                <w:szCs w:val="24"/>
                <w:shd w:val="pct10" w:color="auto" w:fill="FFFFFF"/>
              </w:rPr>
            </w:pPr>
          </w:p>
        </w:tc>
        <w:tc>
          <w:tcPr>
            <w:tcW w:w="4546" w:type="dxa"/>
            <w:shd w:val="clear" w:color="auto" w:fill="D9D9D9"/>
            <w:noWrap w:val="0"/>
            <w:vAlign w:val="center"/>
          </w:tcPr>
          <w:p>
            <w:pPr>
              <w:pStyle w:val="16"/>
              <w:spacing w:line="500" w:lineRule="exact"/>
              <w:ind w:firstLine="480" w:firstLineChars="200"/>
              <w:jc w:val="left"/>
              <w:rPr>
                <w:rFonts w:hint="eastAsia" w:hAnsi="宋体" w:cs="宋体"/>
                <w:sz w:val="24"/>
                <w:szCs w:val="24"/>
                <w:shd w:val="pct10" w:color="auto" w:fill="FFFFFF"/>
              </w:rPr>
            </w:pPr>
            <w:r>
              <w:rPr>
                <w:rFonts w:hint="eastAsia" w:hAnsi="宋体" w:cs="宋体"/>
                <w:sz w:val="24"/>
                <w:szCs w:val="24"/>
                <w:shd w:val="pct10" w:color="auto" w:fill="FFFFFF"/>
              </w:rPr>
              <w:t>被授权人身份证复印件或扫描件</w:t>
            </w:r>
          </w:p>
          <w:p>
            <w:pPr>
              <w:pStyle w:val="16"/>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16"/>
              <w:spacing w:line="500" w:lineRule="exact"/>
              <w:ind w:firstLine="480" w:firstLineChars="200"/>
              <w:jc w:val="left"/>
              <w:rPr>
                <w:rFonts w:hAnsi="宋体" w:cs="宋体"/>
                <w:sz w:val="24"/>
                <w:szCs w:val="24"/>
                <w:shd w:val="pct10" w:color="auto" w:fill="FFFFFF"/>
              </w:rPr>
            </w:pPr>
          </w:p>
        </w:tc>
      </w:tr>
    </w:tbl>
    <w:p>
      <w:pPr>
        <w:rPr>
          <w:rFonts w:hint="eastAsia" w:hAnsi="宋体" w:cs="宋体"/>
          <w:sz w:val="24"/>
          <w:szCs w:val="24"/>
        </w:rPr>
      </w:pPr>
    </w:p>
    <w:p>
      <w:pPr>
        <w:rPr>
          <w:rFonts w:hint="eastAsia" w:hAnsi="宋体" w:cs="宋体"/>
          <w:sz w:val="24"/>
          <w:szCs w:val="24"/>
        </w:rPr>
      </w:pPr>
    </w:p>
    <w:p>
      <w:pPr>
        <w:keepNext/>
        <w:keepLines/>
        <w:spacing w:line="413" w:lineRule="auto"/>
        <w:jc w:val="left"/>
        <w:rPr>
          <w:rFonts w:hint="eastAsia" w:ascii="宋体" w:hAnsi="宋体" w:cs="宋体"/>
          <w:b/>
          <w:bCs/>
          <w:sz w:val="32"/>
          <w:szCs w:val="24"/>
        </w:rPr>
        <w:sectPr>
          <w:pgSz w:w="11906" w:h="16838"/>
          <w:pgMar w:top="1440" w:right="1803" w:bottom="1440" w:left="1803" w:header="851" w:footer="992" w:gutter="0"/>
          <w:cols w:space="720" w:num="1"/>
          <w:docGrid w:type="lines" w:linePitch="319" w:charSpace="0"/>
        </w:sectPr>
      </w:pPr>
      <w:r>
        <w:rPr>
          <w:rFonts w:hint="eastAsia" w:ascii="宋体" w:hAnsi="宋体" w:cs="宋体"/>
          <w:b/>
          <w:bCs/>
          <w:sz w:val="24"/>
          <w:szCs w:val="24"/>
        </w:rPr>
        <w:t>非法定代表人参加</w:t>
      </w:r>
      <w:r>
        <w:rPr>
          <w:rFonts w:hint="eastAsia" w:ascii="宋体" w:hAnsi="宋体" w:cs="宋体"/>
          <w:b/>
          <w:bCs/>
          <w:sz w:val="24"/>
          <w:szCs w:val="24"/>
          <w:lang w:eastAsia="zh-CN"/>
        </w:rPr>
        <w:t>投标</w:t>
      </w:r>
      <w:r>
        <w:rPr>
          <w:rFonts w:hint="eastAsia" w:ascii="宋体" w:hAnsi="宋体" w:cs="宋体"/>
          <w:b/>
          <w:bCs/>
          <w:sz w:val="24"/>
          <w:szCs w:val="24"/>
        </w:rPr>
        <w:t>的，须提供法定代表人委托授权书和被授权人提交</w:t>
      </w:r>
      <w:r>
        <w:rPr>
          <w:rFonts w:hint="eastAsia" w:ascii="宋体" w:hAnsi="宋体" w:cs="宋体"/>
          <w:b/>
          <w:bCs/>
          <w:sz w:val="24"/>
          <w:szCs w:val="24"/>
          <w:lang w:eastAsia="zh-CN"/>
        </w:rPr>
        <w:t xml:space="preserve">投标文件 </w:t>
      </w:r>
      <w:r>
        <w:rPr>
          <w:rFonts w:hint="eastAsia" w:ascii="宋体" w:hAnsi="宋体" w:cs="宋体"/>
          <w:b/>
          <w:bCs/>
          <w:sz w:val="24"/>
          <w:szCs w:val="24"/>
        </w:rPr>
        <w:t>截止时间前两年内任意一个月的社会保障资金（养老保险或医疗保险）的缴纳证明或有效期内的劳动合同及被授权人身份证，法定代表人参加</w:t>
      </w:r>
      <w:r>
        <w:rPr>
          <w:rFonts w:hint="eastAsia" w:ascii="宋体" w:hAnsi="宋体" w:cs="宋体"/>
          <w:b/>
          <w:bCs/>
          <w:sz w:val="24"/>
          <w:szCs w:val="24"/>
          <w:lang w:eastAsia="zh-CN"/>
        </w:rPr>
        <w:t>投标</w:t>
      </w:r>
      <w:r>
        <w:rPr>
          <w:rFonts w:hint="eastAsia" w:ascii="宋体" w:hAnsi="宋体" w:cs="宋体"/>
          <w:b/>
          <w:bCs/>
          <w:sz w:val="24"/>
          <w:szCs w:val="24"/>
        </w:rPr>
        <w:t>时,只须提供法定代表人身份证；</w:t>
      </w:r>
    </w:p>
    <w:p>
      <w:pPr>
        <w:pStyle w:val="26"/>
        <w:spacing w:before="0" w:beforeAutospacing="0" w:after="0" w:afterAutospacing="0" w:line="510" w:lineRule="atLeast"/>
        <w:ind w:left="420"/>
        <w:rPr>
          <w:rFonts w:hint="eastAsia"/>
        </w:rPr>
      </w:pPr>
      <w:r>
        <w:rPr>
          <w:rFonts w:hint="eastAsia"/>
        </w:rPr>
        <w:t>8、本项目为专门面向中小企业采购项目，供应商应出具中小企业声明函；</w:t>
      </w:r>
    </w:p>
    <w:p>
      <w:pPr>
        <w:pStyle w:val="2"/>
        <w:ind w:left="420" w:firstLine="0" w:firstLineChars="0"/>
        <w:jc w:val="center"/>
        <w:rPr>
          <w:rFonts w:hint="eastAsia" w:ascii="宋体" w:hAnsi="宋体" w:cs="宋体"/>
          <w:sz w:val="24"/>
          <w:szCs w:val="24"/>
        </w:rPr>
      </w:pPr>
    </w:p>
    <w:p>
      <w:pPr>
        <w:pStyle w:val="2"/>
        <w:ind w:left="420" w:firstLine="0" w:firstLineChars="0"/>
        <w:jc w:val="center"/>
        <w:rPr>
          <w:rFonts w:hint="eastAsia" w:ascii="宋体" w:hAnsi="宋体" w:cs="宋体"/>
          <w:sz w:val="24"/>
          <w:szCs w:val="24"/>
        </w:rPr>
      </w:pPr>
      <w:r>
        <w:rPr>
          <w:rFonts w:hint="eastAsia" w:ascii="宋体" w:hAnsi="宋体" w:cs="宋体"/>
          <w:sz w:val="24"/>
          <w:szCs w:val="24"/>
        </w:rPr>
        <w:t>中小企业声明函</w:t>
      </w:r>
    </w:p>
    <w:p>
      <w:pPr>
        <w:spacing w:line="360" w:lineRule="auto"/>
        <w:ind w:right="140" w:firstLine="641"/>
        <w:rPr>
          <w:rFonts w:hint="eastAsia"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13"/>
        <w:numPr>
          <w:ilvl w:val="0"/>
          <w:numId w:val="24"/>
        </w:numPr>
        <w:spacing w:line="360" w:lineRule="auto"/>
        <w:rPr>
          <w:rFonts w:hint="eastAsia" w:ascii="宋体" w:hAnsi="宋体" w:cs="宋体"/>
          <w:w w:val="97"/>
          <w:sz w:val="24"/>
          <w:szCs w:val="24"/>
        </w:rPr>
      </w:pPr>
      <w:r>
        <w:rPr>
          <w:rFonts w:hint="eastAsia" w:ascii="宋体" w:hAnsi="宋体" w:cs="宋体"/>
          <w:w w:val="97"/>
          <w:sz w:val="24"/>
          <w:szCs w:val="24"/>
          <w:u w:val="single"/>
        </w:rPr>
        <w:t xml:space="preserve">    （标的名称）</w:t>
      </w:r>
      <w:r>
        <w:rPr>
          <w:rFonts w:hint="eastAsia" w:ascii="宋体" w:hAnsi="宋体" w:cs="宋体"/>
          <w:w w:val="97"/>
          <w:sz w:val="24"/>
          <w:szCs w:val="24"/>
        </w:rPr>
        <w:t xml:space="preserve"> ，属于</w:t>
      </w:r>
      <w:r>
        <w:rPr>
          <w:rFonts w:hint="eastAsia" w:ascii="宋体" w:hAnsi="宋体" w:cs="宋体"/>
          <w:w w:val="97"/>
          <w:sz w:val="24"/>
          <w:szCs w:val="24"/>
          <w:u w:val="single"/>
        </w:rPr>
        <w:t xml:space="preserve">                （采购文件中明确的所属行业）            </w:t>
      </w:r>
    </w:p>
    <w:p>
      <w:pPr>
        <w:spacing w:line="360" w:lineRule="auto"/>
        <w:rPr>
          <w:rFonts w:hint="eastAsia"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13"/>
        <w:numPr>
          <w:ilvl w:val="0"/>
          <w:numId w:val="24"/>
        </w:numPr>
        <w:spacing w:line="360" w:lineRule="auto"/>
        <w:rPr>
          <w:rFonts w:hint="eastAsia" w:ascii="宋体" w:hAnsi="宋体" w:cs="宋体"/>
          <w:w w:val="97"/>
          <w:sz w:val="24"/>
          <w:szCs w:val="24"/>
        </w:rPr>
      </w:pPr>
      <w:r>
        <w:rPr>
          <w:rFonts w:hint="eastAsia" w:ascii="宋体" w:hAnsi="宋体" w:cs="宋体"/>
          <w:w w:val="97"/>
          <w:sz w:val="24"/>
          <w:szCs w:val="24"/>
          <w:u w:val="single"/>
        </w:rPr>
        <w:t xml:space="preserve">    （标的名称）</w:t>
      </w:r>
      <w:r>
        <w:rPr>
          <w:rFonts w:hint="eastAsia" w:ascii="宋体" w:hAnsi="宋体" w:cs="宋体"/>
          <w:w w:val="97"/>
          <w:sz w:val="24"/>
          <w:szCs w:val="24"/>
        </w:rPr>
        <w:t xml:space="preserve"> ，属于</w:t>
      </w:r>
      <w:r>
        <w:rPr>
          <w:rFonts w:hint="eastAsia" w:ascii="宋体" w:hAnsi="宋体" w:cs="宋体"/>
          <w:w w:val="97"/>
          <w:sz w:val="24"/>
          <w:szCs w:val="24"/>
          <w:u w:val="single"/>
        </w:rPr>
        <w:t xml:space="preserve">                （采购文件中明确的所属行业）            </w:t>
      </w:r>
    </w:p>
    <w:p>
      <w:pPr>
        <w:spacing w:line="360" w:lineRule="auto"/>
        <w:rPr>
          <w:rFonts w:hint="eastAsia"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hint="eastAsia" w:ascii="宋体" w:hAnsi="宋体" w:cs="宋体"/>
          <w:sz w:val="24"/>
          <w:szCs w:val="24"/>
        </w:rPr>
      </w:pPr>
      <w:r>
        <w:rPr>
          <w:rFonts w:hint="eastAsia" w:ascii="宋体" w:hAnsi="宋体" w:cs="宋体"/>
          <w:sz w:val="24"/>
          <w:szCs w:val="24"/>
        </w:rPr>
        <w:t>……</w:t>
      </w:r>
    </w:p>
    <w:p>
      <w:pPr>
        <w:spacing w:line="360" w:lineRule="auto"/>
        <w:ind w:right="160" w:firstLine="646"/>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hint="eastAsia" w:ascii="宋体" w:hAnsi="宋体" w:cs="宋体"/>
          <w:sz w:val="24"/>
          <w:szCs w:val="24"/>
        </w:rPr>
      </w:pPr>
    </w:p>
    <w:p>
      <w:pPr>
        <w:spacing w:line="360" w:lineRule="auto"/>
        <w:ind w:right="160" w:firstLine="646"/>
        <w:rPr>
          <w:rFonts w:hint="eastAsia"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rPr>
          <w:rFonts w:hint="eastAsia" w:ascii="宋体" w:hAnsi="宋体" w:cs="宋体"/>
          <w:sz w:val="24"/>
          <w:szCs w:val="24"/>
        </w:rPr>
      </w:pPr>
    </w:p>
    <w:p>
      <w:pPr>
        <w:spacing w:line="360" w:lineRule="auto"/>
        <w:ind w:left="3840" w:right="1900"/>
        <w:rPr>
          <w:rFonts w:hint="eastAsia" w:ascii="宋体" w:hAnsi="宋体" w:cs="宋体"/>
          <w:sz w:val="24"/>
          <w:szCs w:val="24"/>
        </w:rPr>
      </w:pPr>
      <w:r>
        <w:rPr>
          <w:rFonts w:hint="eastAsia" w:ascii="宋体" w:hAnsi="宋体" w:cs="宋体"/>
          <w:sz w:val="24"/>
          <w:szCs w:val="24"/>
        </w:rPr>
        <w:t>企业名称（盖章）：日期：</w:t>
      </w:r>
    </w:p>
    <w:p>
      <w:pPr>
        <w:pStyle w:val="16"/>
        <w:spacing w:line="360" w:lineRule="auto"/>
        <w:ind w:firstLine="400" w:firstLineChars="200"/>
        <w:rPr>
          <w:rFonts w:hAnsi="宋体" w:cs="宋体"/>
          <w:color w:val="000000"/>
          <w:sz w:val="20"/>
          <w:szCs w:val="20"/>
        </w:rPr>
      </w:pPr>
      <w:r>
        <w:rPr>
          <w:rFonts w:hint="eastAsia" w:hAnsi="宋体" w:cs="宋体"/>
          <w:color w:val="000000"/>
          <w:sz w:val="20"/>
          <w:szCs w:val="20"/>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rPr>
          <w:rFonts w:ascii="宋体" w:hAnsi="宋体"/>
          <w:sz w:val="18"/>
        </w:rPr>
      </w:pPr>
      <w:r>
        <w:rPr>
          <w:rFonts w:hint="eastAsia" w:hAnsi="宋体" w:cs="宋体"/>
          <w:color w:val="000000"/>
          <w:sz w:val="20"/>
          <w:szCs w:val="20"/>
        </w:rPr>
        <w:t xml:space="preserve">    2.从业人员、营业收入、资产总额填报上一年度数据，无上一年度数据的新成立企业可不填报。</w:t>
      </w:r>
    </w:p>
    <w:p>
      <w:pPr>
        <w:rPr>
          <w:rFonts w:ascii="宋体" w:cs="宋体"/>
        </w:rPr>
      </w:pPr>
    </w:p>
    <w:p>
      <w:pPr>
        <w:pStyle w:val="4"/>
        <w:rPr>
          <w:rFonts w:hint="eastAsia" w:ascii="宋体" w:hAnsi="宋体" w:cs="宋体"/>
        </w:rPr>
        <w:sectPr>
          <w:footerReference r:id="rId17" w:type="default"/>
          <w:pgSz w:w="11906" w:h="16838"/>
          <w:pgMar w:top="1440" w:right="1803" w:bottom="1440" w:left="1803" w:header="851" w:footer="992" w:gutter="0"/>
          <w:cols w:space="720" w:num="1"/>
          <w:docGrid w:type="lines" w:linePitch="319" w:charSpace="0"/>
        </w:sectPr>
      </w:pPr>
    </w:p>
    <w:p>
      <w:pPr>
        <w:widowControl/>
        <w:spacing w:line="360" w:lineRule="auto"/>
        <w:ind w:left="420"/>
        <w:jc w:val="left"/>
        <w:rPr>
          <w:rFonts w:hint="eastAsia" w:ascii="宋体" w:hAnsi="宋体" w:cs="宋体"/>
          <w:sz w:val="32"/>
          <w:szCs w:val="32"/>
        </w:rPr>
      </w:pPr>
      <w:r>
        <w:rPr>
          <w:rFonts w:hint="eastAsia" w:ascii="宋体" w:hAnsi="宋体" w:cs="宋体"/>
          <w:sz w:val="32"/>
          <w:szCs w:val="32"/>
        </w:rPr>
        <w:t>9、本项目不接受联合体</w:t>
      </w:r>
    </w:p>
    <w:p>
      <w:pPr>
        <w:pStyle w:val="9"/>
        <w:ind w:left="420" w:leftChars="200" w:firstLine="0"/>
        <w:rPr>
          <w:rFonts w:hint="eastAsia" w:ascii="宋体" w:hAnsi="宋体" w:cs="宋体"/>
        </w:rPr>
      </w:pPr>
    </w:p>
    <w:p>
      <w:pPr>
        <w:pStyle w:val="30"/>
        <w:ind w:firstLine="400"/>
        <w:rPr>
          <w:rFonts w:hint="eastAsia" w:ascii="宋体" w:hAnsi="宋体" w:cs="宋体"/>
        </w:rPr>
      </w:pPr>
    </w:p>
    <w:p>
      <w:pPr>
        <w:widowControl/>
        <w:spacing w:line="360" w:lineRule="auto"/>
        <w:ind w:left="420"/>
        <w:jc w:val="center"/>
        <w:rPr>
          <w:rFonts w:hint="eastAsia" w:ascii="宋体" w:hAnsi="宋体" w:cs="宋体"/>
          <w:sz w:val="24"/>
          <w:szCs w:val="24"/>
        </w:rPr>
      </w:pPr>
      <w:r>
        <w:rPr>
          <w:rFonts w:hint="eastAsia" w:ascii="宋体" w:hAnsi="宋体" w:cs="宋体"/>
          <w:sz w:val="24"/>
          <w:szCs w:val="24"/>
        </w:rPr>
        <w:t>非联合体</w:t>
      </w:r>
      <w:r>
        <w:rPr>
          <w:rFonts w:hint="eastAsia" w:ascii="宋体" w:hAnsi="宋体" w:cs="宋体"/>
          <w:sz w:val="24"/>
          <w:szCs w:val="24"/>
          <w:lang w:eastAsia="zh-CN"/>
        </w:rPr>
        <w:t>投标</w:t>
      </w:r>
      <w:r>
        <w:rPr>
          <w:rFonts w:hint="eastAsia" w:ascii="宋体" w:hAnsi="宋体" w:cs="宋体"/>
          <w:sz w:val="24"/>
          <w:szCs w:val="24"/>
        </w:rPr>
        <w:t>声明</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hint="eastAsia"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hAnsi="宋体" w:cs="宋体"/>
          <w:kern w:val="0"/>
          <w:sz w:val="24"/>
          <w:szCs w:val="24"/>
          <w:lang w:eastAsia="zh-CN"/>
        </w:rPr>
        <w:t>公开招标</w:t>
      </w:r>
      <w:r>
        <w:rPr>
          <w:rFonts w:hint="eastAsia" w:ascii="宋体" w:hAnsi="宋体" w:cs="宋体"/>
          <w:kern w:val="0"/>
          <w:sz w:val="24"/>
          <w:szCs w:val="24"/>
        </w:rPr>
        <w:t>，我单位郑重声明：我方非联合体</w:t>
      </w:r>
      <w:r>
        <w:rPr>
          <w:rFonts w:hint="eastAsia" w:ascii="宋体" w:hAnsi="宋体" w:cs="宋体"/>
          <w:kern w:val="0"/>
          <w:sz w:val="24"/>
          <w:szCs w:val="24"/>
          <w:lang w:eastAsia="zh-CN"/>
        </w:rPr>
        <w:t>投标</w:t>
      </w:r>
      <w:r>
        <w:rPr>
          <w:rFonts w:hint="eastAsia" w:ascii="宋体" w:hAnsi="宋体" w:cs="宋体"/>
          <w:kern w:val="0"/>
          <w:sz w:val="24"/>
          <w:szCs w:val="24"/>
        </w:rPr>
        <w:t>，如有虚假，承担相应责任。</w:t>
      </w:r>
    </w:p>
    <w:p>
      <w:pPr>
        <w:widowControl/>
        <w:spacing w:line="360" w:lineRule="auto"/>
        <w:ind w:firstLine="480"/>
        <w:rPr>
          <w:rFonts w:hint="eastAsia" w:ascii="宋体" w:hAnsi="宋体" w:cs="宋体"/>
          <w:kern w:val="0"/>
          <w:sz w:val="24"/>
          <w:szCs w:val="24"/>
        </w:rPr>
      </w:pPr>
      <w:r>
        <w:rPr>
          <w:rFonts w:hint="eastAsia" w:ascii="宋体" w:hAnsi="宋体" w:cs="宋体"/>
          <w:kern w:val="0"/>
          <w:sz w:val="24"/>
          <w:szCs w:val="24"/>
        </w:rPr>
        <w:t>特此声明！</w:t>
      </w:r>
    </w:p>
    <w:p>
      <w:pPr>
        <w:rPr>
          <w:rFonts w:hint="eastAsia" w:ascii="宋体" w:hAnsi="宋体" w:cs="宋体"/>
        </w:rPr>
      </w:pPr>
    </w:p>
    <w:p>
      <w:pPr>
        <w:pStyle w:val="9"/>
        <w:rPr>
          <w:rFonts w:hint="eastAsia" w:ascii="宋体" w:hAnsi="宋体" w:cs="宋体"/>
          <w:sz w:val="24"/>
          <w:szCs w:val="24"/>
        </w:rPr>
      </w:pPr>
    </w:p>
    <w:p>
      <w:pPr>
        <w:pStyle w:val="9"/>
        <w:rPr>
          <w:rFonts w:hint="eastAsia" w:ascii="宋体" w:hAnsi="宋体" w:cs="宋体"/>
          <w:sz w:val="24"/>
          <w:szCs w:val="24"/>
        </w:rPr>
      </w:pPr>
    </w:p>
    <w:p>
      <w:pPr>
        <w:pStyle w:val="9"/>
        <w:rPr>
          <w:rFonts w:hint="eastAsia" w:ascii="宋体" w:hAnsi="宋体" w:cs="宋体"/>
          <w:sz w:val="24"/>
          <w:szCs w:val="24"/>
        </w:rPr>
      </w:pPr>
    </w:p>
    <w:p>
      <w:pPr>
        <w:pStyle w:val="9"/>
        <w:rPr>
          <w:rFonts w:hint="eastAsia" w:ascii="宋体" w:hAnsi="宋体" w:cs="宋体"/>
          <w:sz w:val="24"/>
          <w:szCs w:val="24"/>
        </w:rPr>
      </w:pPr>
    </w:p>
    <w:p>
      <w:pPr>
        <w:pStyle w:val="9"/>
        <w:rPr>
          <w:rFonts w:hint="eastAsia" w:ascii="宋体" w:hAnsi="宋体" w:cs="宋体"/>
          <w:sz w:val="24"/>
          <w:szCs w:val="24"/>
        </w:rPr>
      </w:pPr>
    </w:p>
    <w:p>
      <w:pPr>
        <w:pStyle w:val="9"/>
        <w:rPr>
          <w:rFonts w:hint="eastAsia" w:ascii="宋体" w:hAnsi="宋体" w:cs="宋体"/>
          <w:sz w:val="24"/>
          <w:szCs w:val="24"/>
        </w:rPr>
      </w:pPr>
    </w:p>
    <w:p>
      <w:pPr>
        <w:pStyle w:val="16"/>
        <w:spacing w:line="480" w:lineRule="auto"/>
        <w:jc w:val="left"/>
        <w:rPr>
          <w:rFonts w:hint="eastAsia"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6"/>
        <w:spacing w:line="480" w:lineRule="auto"/>
        <w:jc w:val="left"/>
        <w:rPr>
          <w:rFonts w:hint="eastAsia"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hint="eastAsia"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pStyle w:val="13"/>
        <w:rPr>
          <w:rFonts w:hint="eastAsia"/>
        </w:rPr>
        <w:sectPr>
          <w:footerReference r:id="rId18" w:type="default"/>
          <w:pgSz w:w="11906" w:h="16838"/>
          <w:pgMar w:top="1440" w:right="1803" w:bottom="1440" w:left="1803" w:header="851" w:footer="992" w:gutter="0"/>
          <w:cols w:space="720" w:num="1"/>
          <w:docGrid w:type="lines" w:linePitch="319" w:charSpace="0"/>
        </w:sectPr>
      </w:pPr>
    </w:p>
    <w:bookmarkEnd w:id="85"/>
    <w:bookmarkEnd w:id="86"/>
    <w:bookmarkEnd w:id="87"/>
    <w:bookmarkEnd w:id="88"/>
    <w:bookmarkEnd w:id="89"/>
    <w:p>
      <w:pPr>
        <w:pStyle w:val="4"/>
        <w:tabs>
          <w:tab w:val="left" w:pos="2096"/>
          <w:tab w:val="center" w:pos="5024"/>
        </w:tabs>
        <w:spacing w:before="319" w:beforeLines="100" w:after="478" w:afterLines="150" w:line="500" w:lineRule="exact"/>
        <w:rPr>
          <w:rFonts w:ascii="宋体" w:hAnsi="宋体" w:cs="宋体"/>
          <w:sz w:val="36"/>
          <w:szCs w:val="36"/>
        </w:rPr>
      </w:pPr>
      <w:bookmarkStart w:id="90" w:name="_Toc9172"/>
      <w:bookmarkStart w:id="91" w:name="_Toc9274"/>
      <w:bookmarkStart w:id="92" w:name="_Toc13816"/>
      <w:bookmarkStart w:id="93" w:name="_Toc16936"/>
      <w:bookmarkStart w:id="94" w:name="六"/>
      <w:bookmarkStart w:id="95" w:name="_Toc32344"/>
      <w:bookmarkStart w:id="96" w:name="_Toc498694580"/>
      <w:bookmarkStart w:id="97" w:name="_Toc30780"/>
      <w:bookmarkStart w:id="98" w:name="_Toc5609"/>
      <w:bookmarkStart w:id="99" w:name="_Toc29737"/>
      <w:r>
        <w:rPr>
          <w:rFonts w:hint="eastAsia" w:ascii="宋体" w:hAnsi="宋体" w:cs="宋体"/>
          <w:sz w:val="36"/>
          <w:szCs w:val="36"/>
        </w:rPr>
        <w:t>第五部分</w:t>
      </w:r>
      <w:bookmarkEnd w:id="90"/>
      <w:r>
        <w:rPr>
          <w:rFonts w:hint="eastAsia" w:ascii="宋体" w:hAnsi="宋体" w:cs="宋体"/>
          <w:sz w:val="36"/>
          <w:szCs w:val="36"/>
        </w:rPr>
        <w:t xml:space="preserve">  技术与服务方案</w:t>
      </w:r>
      <w:bookmarkEnd w:id="91"/>
      <w:bookmarkEnd w:id="92"/>
      <w:bookmarkEnd w:id="93"/>
      <w:bookmarkEnd w:id="94"/>
      <w:bookmarkEnd w:id="95"/>
    </w:p>
    <w:p>
      <w:pPr>
        <w:rPr>
          <w:rFonts w:hint="eastAsia" w:ascii="宋体" w:hAnsi="宋体" w:cs="宋体"/>
          <w:b/>
          <w:bCs/>
          <w:sz w:val="20"/>
          <w:szCs w:val="20"/>
        </w:rPr>
      </w:pPr>
      <w:r>
        <w:rPr>
          <w:rFonts w:hint="eastAsia" w:ascii="宋体" w:hAnsi="宋体" w:cs="宋体"/>
          <w:b/>
          <w:bCs/>
          <w:sz w:val="24"/>
          <w:szCs w:val="24"/>
        </w:rPr>
        <w:t>由供应商根据采购文件自行编写，无具体格式。</w:t>
      </w:r>
    </w:p>
    <w:p>
      <w:pPr>
        <w:spacing w:before="319" w:beforeLines="100" w:after="478" w:afterLines="150" w:line="500" w:lineRule="exact"/>
        <w:jc w:val="center"/>
        <w:rPr>
          <w:rFonts w:ascii="宋体" w:cs="宋体"/>
          <w:sz w:val="36"/>
          <w:szCs w:val="36"/>
          <w:highlight w:val="yellow"/>
        </w:rPr>
      </w:pPr>
    </w:p>
    <w:p>
      <w:pPr>
        <w:pStyle w:val="61"/>
        <w:rPr>
          <w:rFonts w:ascii="宋体" w:cs="宋体"/>
          <w:sz w:val="36"/>
          <w:szCs w:val="36"/>
          <w:highlight w:val="yellow"/>
        </w:rPr>
      </w:pPr>
    </w:p>
    <w:p>
      <w:pPr>
        <w:pStyle w:val="61"/>
        <w:rPr>
          <w:rFonts w:ascii="宋体" w:cs="宋体"/>
          <w:sz w:val="36"/>
          <w:szCs w:val="36"/>
          <w:highlight w:val="yellow"/>
        </w:rPr>
      </w:pPr>
    </w:p>
    <w:p>
      <w:pPr>
        <w:rPr>
          <w:rFonts w:ascii="宋体" w:cs="宋体"/>
        </w:rPr>
      </w:pPr>
    </w:p>
    <w:p>
      <w:pPr>
        <w:rPr>
          <w:rFonts w:ascii="宋体" w:cs="宋体"/>
        </w:rPr>
        <w:sectPr>
          <w:pgSz w:w="11906" w:h="16838"/>
          <w:pgMar w:top="1440" w:right="1803" w:bottom="1440" w:left="1803" w:header="851" w:footer="992" w:gutter="0"/>
          <w:cols w:space="720" w:num="1"/>
          <w:docGrid w:type="lines" w:linePitch="319" w:charSpace="0"/>
        </w:sectPr>
      </w:pPr>
    </w:p>
    <w:bookmarkEnd w:id="96"/>
    <w:bookmarkEnd w:id="97"/>
    <w:bookmarkEnd w:id="98"/>
    <w:bookmarkEnd w:id="99"/>
    <w:p>
      <w:pPr>
        <w:pStyle w:val="4"/>
        <w:spacing w:before="319" w:beforeLines="100" w:after="478" w:afterLines="150" w:line="500" w:lineRule="exact"/>
        <w:rPr>
          <w:rFonts w:ascii="宋体" w:hAnsi="宋体" w:cs="宋体"/>
          <w:sz w:val="36"/>
          <w:szCs w:val="36"/>
        </w:rPr>
      </w:pPr>
      <w:bookmarkStart w:id="100" w:name="_Toc498694581"/>
      <w:bookmarkStart w:id="101" w:name="_Toc8571"/>
      <w:bookmarkStart w:id="102" w:name="_Toc10667"/>
      <w:bookmarkStart w:id="103" w:name="_Toc27213"/>
      <w:bookmarkStart w:id="104" w:name="_Toc23535"/>
      <w:bookmarkStart w:id="105" w:name="_Toc15387"/>
      <w:bookmarkStart w:id="106" w:name="_Toc10530"/>
      <w:bookmarkStart w:id="107" w:name="_Toc25914"/>
      <w:bookmarkStart w:id="108" w:name="七"/>
      <w:r>
        <w:rPr>
          <w:rFonts w:hint="eastAsia" w:ascii="宋体" w:hAnsi="宋体" w:cs="宋体"/>
          <w:sz w:val="36"/>
          <w:szCs w:val="36"/>
        </w:rPr>
        <w:t xml:space="preserve">第六部分  </w:t>
      </w:r>
      <w:bookmarkEnd w:id="100"/>
      <w:bookmarkEnd w:id="101"/>
      <w:bookmarkEnd w:id="102"/>
      <w:bookmarkEnd w:id="103"/>
      <w:r>
        <w:rPr>
          <w:rFonts w:hint="eastAsia" w:ascii="宋体" w:hAnsi="宋体" w:cs="宋体"/>
          <w:sz w:val="36"/>
          <w:szCs w:val="36"/>
        </w:rPr>
        <w:t>服务承诺</w:t>
      </w:r>
      <w:bookmarkEnd w:id="104"/>
      <w:bookmarkEnd w:id="105"/>
      <w:bookmarkEnd w:id="106"/>
      <w:bookmarkEnd w:id="107"/>
      <w:bookmarkEnd w:id="108"/>
    </w:p>
    <w:p>
      <w:pPr>
        <w:rPr>
          <w:rFonts w:hint="eastAsia" w:ascii="宋体" w:hAnsi="宋体" w:cs="宋体"/>
          <w:b/>
          <w:bCs/>
          <w:sz w:val="20"/>
          <w:szCs w:val="20"/>
        </w:rPr>
      </w:pPr>
      <w:r>
        <w:rPr>
          <w:rFonts w:hint="eastAsia" w:ascii="宋体" w:hAnsi="宋体" w:cs="宋体"/>
          <w:b/>
          <w:bCs/>
          <w:sz w:val="24"/>
          <w:szCs w:val="24"/>
        </w:rPr>
        <w:t>服务承诺由供应商自行编写，无具体格式。</w:t>
      </w:r>
    </w:p>
    <w:p>
      <w:pPr>
        <w:spacing w:line="360" w:lineRule="auto"/>
        <w:jc w:val="left"/>
        <w:rPr>
          <w:rFonts w:ascii="宋体" w:hAnsi="宋体" w:cs="宋体"/>
        </w:rPr>
        <w:sectPr>
          <w:pgSz w:w="11906" w:h="16838"/>
          <w:pgMar w:top="1440" w:right="1803" w:bottom="1440" w:left="1803" w:header="851" w:footer="992" w:gutter="0"/>
          <w:cols w:space="720" w:num="1"/>
          <w:docGrid w:type="lines" w:linePitch="319" w:charSpace="0"/>
        </w:sectPr>
      </w:pPr>
    </w:p>
    <w:p>
      <w:pPr>
        <w:pStyle w:val="4"/>
        <w:adjustRightInd w:val="0"/>
        <w:spacing w:before="319" w:beforeLines="100" w:after="478" w:afterLines="150" w:line="500" w:lineRule="exact"/>
        <w:textAlignment w:val="baseline"/>
        <w:rPr>
          <w:rFonts w:ascii="宋体" w:hAnsi="宋体" w:cs="宋体"/>
          <w:sz w:val="36"/>
          <w:szCs w:val="36"/>
        </w:rPr>
      </w:pPr>
      <w:bookmarkStart w:id="109" w:name="_Toc4018"/>
      <w:bookmarkStart w:id="110" w:name="_Toc19628"/>
      <w:bookmarkStart w:id="111" w:name="_Toc22731"/>
      <w:bookmarkStart w:id="112" w:name="_Toc22980"/>
      <w:bookmarkStart w:id="113" w:name="八"/>
      <w:r>
        <w:rPr>
          <w:rFonts w:hint="eastAsia" w:ascii="宋体" w:cs="宋体"/>
          <w:sz w:val="36"/>
          <w:szCs w:val="36"/>
        </w:rPr>
        <w:t xml:space="preserve">第七部分  </w:t>
      </w:r>
      <w:r>
        <w:rPr>
          <w:rFonts w:hint="eastAsia" w:ascii="宋体" w:hAnsi="宋体" w:cs="宋体"/>
          <w:sz w:val="36"/>
          <w:szCs w:val="36"/>
        </w:rPr>
        <w:t>业绩一览表</w:t>
      </w:r>
      <w:bookmarkEnd w:id="109"/>
      <w:bookmarkEnd w:id="110"/>
      <w:bookmarkEnd w:id="111"/>
      <w:bookmarkEnd w:id="112"/>
      <w:bookmarkEnd w:id="113"/>
    </w:p>
    <w:tbl>
      <w:tblPr>
        <w:tblStyle w:val="31"/>
        <w:tblpPr w:leftFromText="180" w:rightFromText="180" w:vertAnchor="text" w:horzAnchor="page" w:tblpX="2066" w:tblpY="299"/>
        <w:tblOverlap w:val="never"/>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20"/>
        <w:gridCol w:w="1641"/>
        <w:gridCol w:w="1505"/>
        <w:gridCol w:w="1522"/>
        <w:gridCol w:w="1616"/>
        <w:gridCol w:w="11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5" w:hRule="atLeast"/>
        </w:trPr>
        <w:tc>
          <w:tcPr>
            <w:tcW w:w="820" w:type="dxa"/>
            <w:tcBorders>
              <w:top w:val="single" w:color="auto" w:sz="4" w:space="0"/>
            </w:tcBorders>
            <w:noWrap w:val="0"/>
            <w:vAlign w:val="center"/>
          </w:tcPr>
          <w:p>
            <w:pPr>
              <w:spacing w:line="400" w:lineRule="exact"/>
              <w:rPr>
                <w:rFonts w:ascii="宋体" w:hAnsi="宋体" w:cs="宋体"/>
              </w:rPr>
            </w:pPr>
            <w:r>
              <w:rPr>
                <w:rFonts w:hint="eastAsia" w:ascii="宋体" w:hAnsi="宋体" w:cs="宋体"/>
              </w:rPr>
              <w:t>年份</w:t>
            </w:r>
          </w:p>
        </w:tc>
        <w:tc>
          <w:tcPr>
            <w:tcW w:w="1641" w:type="dxa"/>
            <w:tcBorders>
              <w:top w:val="single" w:color="auto" w:sz="4" w:space="0"/>
            </w:tcBorders>
            <w:noWrap w:val="0"/>
            <w:vAlign w:val="center"/>
          </w:tcPr>
          <w:p>
            <w:pPr>
              <w:spacing w:line="400" w:lineRule="exact"/>
              <w:jc w:val="center"/>
              <w:rPr>
                <w:rFonts w:ascii="宋体" w:hAnsi="宋体" w:cs="宋体"/>
              </w:rPr>
            </w:pPr>
            <w:r>
              <w:rPr>
                <w:rFonts w:hint="eastAsia" w:ascii="宋体" w:hAnsi="宋体" w:cs="宋体"/>
              </w:rPr>
              <w:t>用户名称</w:t>
            </w:r>
          </w:p>
        </w:tc>
        <w:tc>
          <w:tcPr>
            <w:tcW w:w="1505" w:type="dxa"/>
            <w:tcBorders>
              <w:top w:val="single" w:color="auto" w:sz="4" w:space="0"/>
            </w:tcBorders>
            <w:noWrap w:val="0"/>
            <w:vAlign w:val="center"/>
          </w:tcPr>
          <w:p>
            <w:pPr>
              <w:spacing w:line="400" w:lineRule="exact"/>
              <w:jc w:val="center"/>
              <w:rPr>
                <w:rFonts w:ascii="宋体" w:hAnsi="宋体" w:cs="宋体"/>
              </w:rPr>
            </w:pPr>
            <w:r>
              <w:rPr>
                <w:rFonts w:hint="eastAsia" w:ascii="宋体" w:hAnsi="宋体" w:cs="宋体"/>
              </w:rPr>
              <w:t>项目名称</w:t>
            </w:r>
          </w:p>
        </w:tc>
        <w:tc>
          <w:tcPr>
            <w:tcW w:w="1522" w:type="dxa"/>
            <w:tcBorders>
              <w:top w:val="single" w:color="auto" w:sz="4" w:space="0"/>
            </w:tcBorders>
            <w:noWrap w:val="0"/>
            <w:vAlign w:val="center"/>
          </w:tcPr>
          <w:p>
            <w:pPr>
              <w:spacing w:line="400" w:lineRule="exact"/>
              <w:jc w:val="center"/>
              <w:rPr>
                <w:rFonts w:hint="eastAsia" w:ascii="宋体" w:hAnsi="宋体" w:cs="宋体"/>
              </w:rPr>
            </w:pPr>
            <w:r>
              <w:rPr>
                <w:rFonts w:hint="eastAsia" w:ascii="宋体" w:hAnsi="宋体" w:cs="宋体"/>
              </w:rPr>
              <w:t>合同签订时间</w:t>
            </w:r>
          </w:p>
        </w:tc>
        <w:tc>
          <w:tcPr>
            <w:tcW w:w="1616" w:type="dxa"/>
            <w:tcBorders>
              <w:top w:val="single" w:color="auto" w:sz="4" w:space="0"/>
            </w:tcBorders>
            <w:noWrap w:val="0"/>
            <w:vAlign w:val="center"/>
          </w:tcPr>
          <w:p>
            <w:pPr>
              <w:spacing w:line="400" w:lineRule="exact"/>
              <w:ind w:firstLine="105" w:firstLineChars="50"/>
              <w:rPr>
                <w:rFonts w:ascii="宋体" w:hAnsi="宋体" w:cs="宋体"/>
              </w:rPr>
            </w:pPr>
            <w:r>
              <w:rPr>
                <w:rFonts w:hint="eastAsia" w:ascii="宋体" w:hAnsi="宋体" w:cs="宋体"/>
              </w:rPr>
              <w:t>合同金额</w:t>
            </w:r>
          </w:p>
        </w:tc>
        <w:tc>
          <w:tcPr>
            <w:tcW w:w="1192" w:type="dxa"/>
            <w:tcBorders>
              <w:top w:val="single" w:color="auto" w:sz="4" w:space="0"/>
              <w:left w:val="single" w:color="auto" w:sz="4" w:space="0"/>
            </w:tcBorders>
            <w:noWrap w:val="0"/>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trPr>
        <w:tc>
          <w:tcPr>
            <w:tcW w:w="820" w:type="dxa"/>
            <w:noWrap w:val="0"/>
            <w:vAlign w:val="center"/>
          </w:tcPr>
          <w:p>
            <w:pPr>
              <w:spacing w:line="400" w:lineRule="exact"/>
              <w:jc w:val="center"/>
              <w:rPr>
                <w:rFonts w:ascii="宋体" w:hAnsi="宋体" w:cs="宋体"/>
              </w:rPr>
            </w:pPr>
          </w:p>
        </w:tc>
        <w:tc>
          <w:tcPr>
            <w:tcW w:w="1641" w:type="dxa"/>
            <w:noWrap w:val="0"/>
            <w:vAlign w:val="center"/>
          </w:tcPr>
          <w:p>
            <w:pPr>
              <w:spacing w:line="400" w:lineRule="exact"/>
              <w:jc w:val="center"/>
              <w:rPr>
                <w:rFonts w:ascii="宋体" w:hAnsi="宋体" w:cs="宋体"/>
              </w:rPr>
            </w:pPr>
          </w:p>
        </w:tc>
        <w:tc>
          <w:tcPr>
            <w:tcW w:w="1505" w:type="dxa"/>
            <w:noWrap w:val="0"/>
            <w:vAlign w:val="center"/>
          </w:tcPr>
          <w:p>
            <w:pPr>
              <w:spacing w:line="400" w:lineRule="exact"/>
              <w:jc w:val="center"/>
              <w:rPr>
                <w:rFonts w:ascii="宋体" w:hAnsi="宋体" w:cs="宋体"/>
              </w:rPr>
            </w:pPr>
          </w:p>
        </w:tc>
        <w:tc>
          <w:tcPr>
            <w:tcW w:w="1522" w:type="dxa"/>
            <w:noWrap w:val="0"/>
            <w:vAlign w:val="center"/>
          </w:tcPr>
          <w:p>
            <w:pPr>
              <w:spacing w:line="400" w:lineRule="exact"/>
              <w:jc w:val="center"/>
              <w:rPr>
                <w:rFonts w:ascii="宋体" w:hAnsi="宋体" w:cs="宋体"/>
              </w:rPr>
            </w:pPr>
          </w:p>
        </w:tc>
        <w:tc>
          <w:tcPr>
            <w:tcW w:w="1616" w:type="dxa"/>
            <w:noWrap w:val="0"/>
            <w:vAlign w:val="center"/>
          </w:tcPr>
          <w:p>
            <w:pPr>
              <w:spacing w:line="400" w:lineRule="exact"/>
              <w:jc w:val="center"/>
              <w:rPr>
                <w:rFonts w:ascii="宋体" w:hAnsi="宋体" w:cs="宋体"/>
              </w:rPr>
            </w:pPr>
          </w:p>
        </w:tc>
        <w:tc>
          <w:tcPr>
            <w:tcW w:w="1192" w:type="dxa"/>
            <w:tcBorders>
              <w:left w:val="single" w:color="auto" w:sz="4" w:space="0"/>
            </w:tcBorders>
            <w:noWrap w:val="0"/>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trPr>
        <w:tc>
          <w:tcPr>
            <w:tcW w:w="820" w:type="dxa"/>
            <w:noWrap w:val="0"/>
            <w:vAlign w:val="center"/>
          </w:tcPr>
          <w:p>
            <w:pPr>
              <w:spacing w:line="400" w:lineRule="exact"/>
              <w:jc w:val="center"/>
              <w:rPr>
                <w:rFonts w:ascii="宋体" w:hAnsi="宋体" w:cs="宋体"/>
              </w:rPr>
            </w:pPr>
          </w:p>
        </w:tc>
        <w:tc>
          <w:tcPr>
            <w:tcW w:w="1641" w:type="dxa"/>
            <w:noWrap w:val="0"/>
            <w:vAlign w:val="center"/>
          </w:tcPr>
          <w:p>
            <w:pPr>
              <w:spacing w:line="400" w:lineRule="exact"/>
              <w:jc w:val="center"/>
              <w:rPr>
                <w:rFonts w:ascii="宋体" w:hAnsi="宋体" w:cs="宋体"/>
              </w:rPr>
            </w:pPr>
          </w:p>
        </w:tc>
        <w:tc>
          <w:tcPr>
            <w:tcW w:w="1505" w:type="dxa"/>
            <w:noWrap w:val="0"/>
            <w:vAlign w:val="center"/>
          </w:tcPr>
          <w:p>
            <w:pPr>
              <w:spacing w:line="400" w:lineRule="exact"/>
              <w:jc w:val="center"/>
              <w:rPr>
                <w:rFonts w:ascii="宋体" w:hAnsi="宋体" w:cs="宋体"/>
              </w:rPr>
            </w:pPr>
          </w:p>
        </w:tc>
        <w:tc>
          <w:tcPr>
            <w:tcW w:w="1522" w:type="dxa"/>
            <w:noWrap w:val="0"/>
            <w:vAlign w:val="center"/>
          </w:tcPr>
          <w:p>
            <w:pPr>
              <w:spacing w:line="400" w:lineRule="exact"/>
              <w:jc w:val="center"/>
              <w:rPr>
                <w:rFonts w:ascii="宋体" w:hAnsi="宋体" w:cs="宋体"/>
              </w:rPr>
            </w:pPr>
          </w:p>
        </w:tc>
        <w:tc>
          <w:tcPr>
            <w:tcW w:w="1616" w:type="dxa"/>
            <w:noWrap w:val="0"/>
            <w:vAlign w:val="center"/>
          </w:tcPr>
          <w:p>
            <w:pPr>
              <w:spacing w:line="400" w:lineRule="exact"/>
              <w:jc w:val="center"/>
              <w:rPr>
                <w:rFonts w:ascii="宋体" w:hAnsi="宋体" w:cs="宋体"/>
              </w:rPr>
            </w:pPr>
          </w:p>
        </w:tc>
        <w:tc>
          <w:tcPr>
            <w:tcW w:w="1192" w:type="dxa"/>
            <w:tcBorders>
              <w:left w:val="single" w:color="auto" w:sz="4" w:space="0"/>
            </w:tcBorders>
            <w:noWrap w:val="0"/>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trPr>
        <w:tc>
          <w:tcPr>
            <w:tcW w:w="820" w:type="dxa"/>
            <w:noWrap w:val="0"/>
            <w:vAlign w:val="center"/>
          </w:tcPr>
          <w:p>
            <w:pPr>
              <w:spacing w:line="400" w:lineRule="exact"/>
              <w:jc w:val="center"/>
              <w:rPr>
                <w:rFonts w:ascii="宋体" w:hAnsi="宋体" w:cs="宋体"/>
              </w:rPr>
            </w:pPr>
          </w:p>
        </w:tc>
        <w:tc>
          <w:tcPr>
            <w:tcW w:w="1641" w:type="dxa"/>
            <w:noWrap w:val="0"/>
            <w:vAlign w:val="center"/>
          </w:tcPr>
          <w:p>
            <w:pPr>
              <w:spacing w:line="400" w:lineRule="exact"/>
              <w:jc w:val="center"/>
              <w:rPr>
                <w:rFonts w:ascii="宋体" w:hAnsi="宋体" w:cs="宋体"/>
              </w:rPr>
            </w:pPr>
          </w:p>
        </w:tc>
        <w:tc>
          <w:tcPr>
            <w:tcW w:w="1505" w:type="dxa"/>
            <w:noWrap w:val="0"/>
            <w:vAlign w:val="center"/>
          </w:tcPr>
          <w:p>
            <w:pPr>
              <w:spacing w:line="400" w:lineRule="exact"/>
              <w:jc w:val="center"/>
              <w:rPr>
                <w:rFonts w:ascii="宋体" w:hAnsi="宋体" w:cs="宋体"/>
              </w:rPr>
            </w:pPr>
          </w:p>
        </w:tc>
        <w:tc>
          <w:tcPr>
            <w:tcW w:w="1522" w:type="dxa"/>
            <w:noWrap w:val="0"/>
            <w:vAlign w:val="center"/>
          </w:tcPr>
          <w:p>
            <w:pPr>
              <w:spacing w:line="400" w:lineRule="exact"/>
              <w:jc w:val="center"/>
              <w:rPr>
                <w:rFonts w:ascii="宋体" w:hAnsi="宋体" w:cs="宋体"/>
              </w:rPr>
            </w:pPr>
          </w:p>
        </w:tc>
        <w:tc>
          <w:tcPr>
            <w:tcW w:w="1616" w:type="dxa"/>
            <w:noWrap w:val="0"/>
            <w:vAlign w:val="center"/>
          </w:tcPr>
          <w:p>
            <w:pPr>
              <w:spacing w:line="400" w:lineRule="exact"/>
              <w:jc w:val="center"/>
              <w:rPr>
                <w:rFonts w:ascii="宋体" w:hAnsi="宋体" w:cs="宋体"/>
              </w:rPr>
            </w:pPr>
          </w:p>
        </w:tc>
        <w:tc>
          <w:tcPr>
            <w:tcW w:w="1192" w:type="dxa"/>
            <w:tcBorders>
              <w:left w:val="single" w:color="auto" w:sz="4" w:space="0"/>
            </w:tcBorders>
            <w:noWrap w:val="0"/>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trPr>
        <w:tc>
          <w:tcPr>
            <w:tcW w:w="820" w:type="dxa"/>
            <w:noWrap w:val="0"/>
            <w:vAlign w:val="center"/>
          </w:tcPr>
          <w:p>
            <w:pPr>
              <w:spacing w:line="400" w:lineRule="exact"/>
              <w:jc w:val="center"/>
              <w:rPr>
                <w:rFonts w:ascii="宋体" w:hAnsi="宋体" w:cs="宋体"/>
              </w:rPr>
            </w:pPr>
          </w:p>
        </w:tc>
        <w:tc>
          <w:tcPr>
            <w:tcW w:w="1641" w:type="dxa"/>
            <w:tcBorders>
              <w:right w:val="single" w:color="auto" w:sz="4" w:space="0"/>
            </w:tcBorders>
            <w:noWrap w:val="0"/>
            <w:vAlign w:val="center"/>
          </w:tcPr>
          <w:p>
            <w:pPr>
              <w:spacing w:line="400" w:lineRule="exact"/>
              <w:jc w:val="center"/>
              <w:rPr>
                <w:rFonts w:ascii="宋体" w:hAnsi="宋体" w:cs="宋体"/>
              </w:rPr>
            </w:pPr>
          </w:p>
        </w:tc>
        <w:tc>
          <w:tcPr>
            <w:tcW w:w="1505" w:type="dxa"/>
            <w:tcBorders>
              <w:left w:val="single" w:color="auto" w:sz="4" w:space="0"/>
            </w:tcBorders>
            <w:noWrap w:val="0"/>
            <w:vAlign w:val="center"/>
          </w:tcPr>
          <w:p>
            <w:pPr>
              <w:spacing w:line="400" w:lineRule="exact"/>
              <w:jc w:val="center"/>
              <w:rPr>
                <w:rFonts w:ascii="宋体" w:hAnsi="宋体" w:cs="宋体"/>
              </w:rPr>
            </w:pPr>
          </w:p>
        </w:tc>
        <w:tc>
          <w:tcPr>
            <w:tcW w:w="1522" w:type="dxa"/>
            <w:noWrap w:val="0"/>
            <w:vAlign w:val="center"/>
          </w:tcPr>
          <w:p>
            <w:pPr>
              <w:spacing w:line="400" w:lineRule="exact"/>
              <w:jc w:val="center"/>
              <w:rPr>
                <w:rFonts w:ascii="宋体" w:hAnsi="宋体" w:cs="宋体"/>
              </w:rPr>
            </w:pPr>
          </w:p>
        </w:tc>
        <w:tc>
          <w:tcPr>
            <w:tcW w:w="1616" w:type="dxa"/>
            <w:noWrap w:val="0"/>
            <w:vAlign w:val="center"/>
          </w:tcPr>
          <w:p>
            <w:pPr>
              <w:spacing w:line="400" w:lineRule="exact"/>
              <w:jc w:val="center"/>
              <w:rPr>
                <w:rFonts w:ascii="宋体" w:hAnsi="宋体" w:cs="宋体"/>
              </w:rPr>
            </w:pPr>
          </w:p>
        </w:tc>
        <w:tc>
          <w:tcPr>
            <w:tcW w:w="1192" w:type="dxa"/>
            <w:tcBorders>
              <w:left w:val="single" w:color="auto" w:sz="4" w:space="0"/>
            </w:tcBorders>
            <w:noWrap w:val="0"/>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trPr>
        <w:tc>
          <w:tcPr>
            <w:tcW w:w="820" w:type="dxa"/>
            <w:tcBorders>
              <w:right w:val="single" w:color="auto" w:sz="4" w:space="0"/>
            </w:tcBorders>
            <w:noWrap w:val="0"/>
            <w:vAlign w:val="center"/>
          </w:tcPr>
          <w:p>
            <w:pPr>
              <w:spacing w:line="400" w:lineRule="exact"/>
              <w:rPr>
                <w:rFonts w:ascii="宋体" w:hAnsi="宋体" w:cs="宋体"/>
              </w:rPr>
            </w:pPr>
          </w:p>
        </w:tc>
        <w:tc>
          <w:tcPr>
            <w:tcW w:w="1641" w:type="dxa"/>
            <w:tcBorders>
              <w:left w:val="single" w:color="auto" w:sz="4" w:space="0"/>
              <w:right w:val="single" w:color="auto" w:sz="4" w:space="0"/>
            </w:tcBorders>
            <w:noWrap w:val="0"/>
            <w:vAlign w:val="center"/>
          </w:tcPr>
          <w:p>
            <w:pPr>
              <w:spacing w:line="400" w:lineRule="exact"/>
              <w:rPr>
                <w:rFonts w:ascii="宋体" w:hAnsi="宋体" w:cs="宋体"/>
              </w:rPr>
            </w:pPr>
          </w:p>
        </w:tc>
        <w:tc>
          <w:tcPr>
            <w:tcW w:w="1505" w:type="dxa"/>
            <w:tcBorders>
              <w:left w:val="single" w:color="auto" w:sz="4" w:space="0"/>
              <w:right w:val="single" w:color="auto" w:sz="4" w:space="0"/>
            </w:tcBorders>
            <w:noWrap w:val="0"/>
            <w:vAlign w:val="center"/>
          </w:tcPr>
          <w:p>
            <w:pPr>
              <w:spacing w:line="400" w:lineRule="exact"/>
              <w:rPr>
                <w:rFonts w:ascii="宋体" w:hAnsi="宋体" w:cs="宋体"/>
              </w:rPr>
            </w:pPr>
          </w:p>
        </w:tc>
        <w:tc>
          <w:tcPr>
            <w:tcW w:w="1522" w:type="dxa"/>
            <w:tcBorders>
              <w:left w:val="single" w:color="auto" w:sz="4" w:space="0"/>
              <w:right w:val="single" w:color="auto" w:sz="4" w:space="0"/>
            </w:tcBorders>
            <w:noWrap w:val="0"/>
            <w:vAlign w:val="center"/>
          </w:tcPr>
          <w:p>
            <w:pPr>
              <w:spacing w:line="400" w:lineRule="exact"/>
              <w:rPr>
                <w:rFonts w:ascii="宋体" w:hAnsi="宋体" w:cs="宋体"/>
              </w:rPr>
            </w:pPr>
          </w:p>
        </w:tc>
        <w:tc>
          <w:tcPr>
            <w:tcW w:w="1616" w:type="dxa"/>
            <w:tcBorders>
              <w:left w:val="single" w:color="auto" w:sz="4" w:space="0"/>
              <w:right w:val="single" w:color="auto" w:sz="4" w:space="0"/>
            </w:tcBorders>
            <w:noWrap w:val="0"/>
            <w:vAlign w:val="center"/>
          </w:tcPr>
          <w:p>
            <w:pPr>
              <w:spacing w:line="400" w:lineRule="exact"/>
              <w:rPr>
                <w:rFonts w:ascii="宋体" w:hAnsi="宋体" w:cs="宋体"/>
              </w:rPr>
            </w:pPr>
          </w:p>
        </w:tc>
        <w:tc>
          <w:tcPr>
            <w:tcW w:w="1192" w:type="dxa"/>
            <w:tcBorders>
              <w:left w:val="single" w:color="auto" w:sz="4" w:space="0"/>
            </w:tcBorders>
            <w:noWrap w:val="0"/>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trPr>
        <w:tc>
          <w:tcPr>
            <w:tcW w:w="820" w:type="dxa"/>
            <w:noWrap w:val="0"/>
            <w:vAlign w:val="center"/>
          </w:tcPr>
          <w:p>
            <w:pPr>
              <w:spacing w:line="400" w:lineRule="exact"/>
              <w:rPr>
                <w:rFonts w:ascii="宋体" w:hAnsi="宋体" w:cs="宋体"/>
              </w:rPr>
            </w:pPr>
          </w:p>
        </w:tc>
        <w:tc>
          <w:tcPr>
            <w:tcW w:w="1641" w:type="dxa"/>
            <w:noWrap w:val="0"/>
            <w:vAlign w:val="center"/>
          </w:tcPr>
          <w:p>
            <w:pPr>
              <w:spacing w:line="400" w:lineRule="exact"/>
              <w:rPr>
                <w:rFonts w:ascii="宋体" w:hAnsi="宋体" w:cs="宋体"/>
              </w:rPr>
            </w:pPr>
          </w:p>
        </w:tc>
        <w:tc>
          <w:tcPr>
            <w:tcW w:w="1505" w:type="dxa"/>
            <w:noWrap w:val="0"/>
            <w:vAlign w:val="center"/>
          </w:tcPr>
          <w:p>
            <w:pPr>
              <w:spacing w:line="400" w:lineRule="exact"/>
              <w:rPr>
                <w:rFonts w:ascii="宋体" w:hAnsi="宋体" w:cs="宋体"/>
              </w:rPr>
            </w:pPr>
          </w:p>
        </w:tc>
        <w:tc>
          <w:tcPr>
            <w:tcW w:w="1522" w:type="dxa"/>
            <w:noWrap w:val="0"/>
            <w:vAlign w:val="center"/>
          </w:tcPr>
          <w:p>
            <w:pPr>
              <w:spacing w:line="400" w:lineRule="exact"/>
              <w:rPr>
                <w:rFonts w:ascii="宋体" w:hAnsi="宋体" w:cs="宋体"/>
              </w:rPr>
            </w:pPr>
          </w:p>
        </w:tc>
        <w:tc>
          <w:tcPr>
            <w:tcW w:w="1616" w:type="dxa"/>
            <w:tcBorders>
              <w:right w:val="single" w:color="auto" w:sz="4" w:space="0"/>
            </w:tcBorders>
            <w:noWrap w:val="0"/>
            <w:vAlign w:val="center"/>
          </w:tcPr>
          <w:p>
            <w:pPr>
              <w:spacing w:line="400" w:lineRule="exact"/>
              <w:rPr>
                <w:rFonts w:ascii="宋体" w:hAnsi="宋体" w:cs="宋体"/>
              </w:rPr>
            </w:pPr>
          </w:p>
        </w:tc>
        <w:tc>
          <w:tcPr>
            <w:tcW w:w="1192" w:type="dxa"/>
            <w:tcBorders>
              <w:left w:val="single" w:color="auto" w:sz="4" w:space="0"/>
            </w:tcBorders>
            <w:noWrap w:val="0"/>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9" w:hRule="atLeast"/>
        </w:trPr>
        <w:tc>
          <w:tcPr>
            <w:tcW w:w="820" w:type="dxa"/>
            <w:tcBorders>
              <w:bottom w:val="single" w:color="auto" w:sz="4" w:space="0"/>
            </w:tcBorders>
            <w:noWrap w:val="0"/>
            <w:vAlign w:val="center"/>
          </w:tcPr>
          <w:p>
            <w:pPr>
              <w:spacing w:line="400" w:lineRule="exact"/>
              <w:jc w:val="center"/>
              <w:rPr>
                <w:rFonts w:ascii="宋体" w:hAnsi="宋体" w:cs="宋体"/>
              </w:rPr>
            </w:pPr>
          </w:p>
        </w:tc>
        <w:tc>
          <w:tcPr>
            <w:tcW w:w="1641" w:type="dxa"/>
            <w:tcBorders>
              <w:bottom w:val="single" w:color="auto" w:sz="4" w:space="0"/>
            </w:tcBorders>
            <w:noWrap w:val="0"/>
            <w:vAlign w:val="center"/>
          </w:tcPr>
          <w:p>
            <w:pPr>
              <w:spacing w:line="400" w:lineRule="exact"/>
              <w:jc w:val="center"/>
              <w:rPr>
                <w:rFonts w:ascii="宋体" w:hAnsi="宋体" w:cs="宋体"/>
              </w:rPr>
            </w:pPr>
          </w:p>
        </w:tc>
        <w:tc>
          <w:tcPr>
            <w:tcW w:w="1505" w:type="dxa"/>
            <w:tcBorders>
              <w:bottom w:val="single" w:color="auto" w:sz="4" w:space="0"/>
            </w:tcBorders>
            <w:noWrap w:val="0"/>
            <w:vAlign w:val="center"/>
          </w:tcPr>
          <w:p>
            <w:pPr>
              <w:spacing w:line="400" w:lineRule="exact"/>
              <w:jc w:val="center"/>
              <w:rPr>
                <w:rFonts w:ascii="宋体" w:hAnsi="宋体" w:cs="宋体"/>
              </w:rPr>
            </w:pPr>
          </w:p>
        </w:tc>
        <w:tc>
          <w:tcPr>
            <w:tcW w:w="1522" w:type="dxa"/>
            <w:tcBorders>
              <w:bottom w:val="single" w:color="auto" w:sz="4" w:space="0"/>
            </w:tcBorders>
            <w:noWrap w:val="0"/>
            <w:vAlign w:val="center"/>
          </w:tcPr>
          <w:p>
            <w:pPr>
              <w:spacing w:line="400" w:lineRule="exact"/>
              <w:jc w:val="center"/>
              <w:rPr>
                <w:rFonts w:ascii="宋体" w:hAnsi="宋体" w:cs="宋体"/>
              </w:rPr>
            </w:pPr>
          </w:p>
        </w:tc>
        <w:tc>
          <w:tcPr>
            <w:tcW w:w="1616" w:type="dxa"/>
            <w:tcBorders>
              <w:bottom w:val="single" w:color="auto" w:sz="4" w:space="0"/>
              <w:right w:val="single" w:color="auto" w:sz="4" w:space="0"/>
            </w:tcBorders>
            <w:noWrap w:val="0"/>
            <w:vAlign w:val="center"/>
          </w:tcPr>
          <w:p>
            <w:pPr>
              <w:spacing w:line="400" w:lineRule="exact"/>
              <w:jc w:val="center"/>
              <w:rPr>
                <w:rFonts w:ascii="宋体" w:hAnsi="宋体" w:cs="宋体"/>
              </w:rPr>
            </w:pPr>
          </w:p>
        </w:tc>
        <w:tc>
          <w:tcPr>
            <w:tcW w:w="1192" w:type="dxa"/>
            <w:tcBorders>
              <w:left w:val="single" w:color="auto" w:sz="4" w:space="0"/>
              <w:bottom w:val="single" w:color="auto" w:sz="4" w:space="0"/>
            </w:tcBorders>
            <w:noWrap w:val="0"/>
            <w:vAlign w:val="center"/>
          </w:tcPr>
          <w:p>
            <w:pPr>
              <w:spacing w:line="400" w:lineRule="exact"/>
              <w:jc w:val="center"/>
              <w:rPr>
                <w:rFonts w:ascii="宋体" w:hAnsi="宋体" w:cs="宋体"/>
              </w:rPr>
            </w:pPr>
          </w:p>
        </w:tc>
      </w:tr>
    </w:tbl>
    <w:p>
      <w:pPr>
        <w:rPr>
          <w:rFonts w:ascii="宋体" w:hAnsi="宋体" w:cs="宋体"/>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宋体" w:hAnsi="宋体"/>
          <w:sz w:val="24"/>
          <w:szCs w:val="24"/>
        </w:rPr>
      </w:pPr>
      <w:r>
        <w:rPr>
          <w:rFonts w:hint="eastAsia" w:ascii="宋体" w:hAnsi="宋体"/>
          <w:sz w:val="24"/>
          <w:szCs w:val="24"/>
        </w:rPr>
        <w:t>注：以上业绩需提供合同复印件，原件备查。</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rPr>
          <w:rFonts w:ascii="宋体" w:hAnsi="宋体" w:cs="宋体"/>
        </w:rPr>
        <w:sectPr>
          <w:pgSz w:w="11906" w:h="16838"/>
          <w:pgMar w:top="1440" w:right="1803" w:bottom="1440" w:left="1803" w:header="851" w:footer="992" w:gutter="0"/>
          <w:cols w:space="720" w:num="1"/>
          <w:docGrid w:type="lines" w:linePitch="319" w:charSpace="0"/>
        </w:sectPr>
      </w:pPr>
    </w:p>
    <w:p>
      <w:pPr>
        <w:pStyle w:val="4"/>
        <w:spacing w:before="319" w:beforeLines="100" w:after="478" w:afterLines="150" w:line="500" w:lineRule="exact"/>
        <w:rPr>
          <w:rFonts w:ascii="宋体" w:hAnsi="宋体" w:cs="宋体"/>
          <w:sz w:val="36"/>
          <w:szCs w:val="36"/>
        </w:rPr>
      </w:pPr>
      <w:bookmarkStart w:id="114" w:name="_Toc7777"/>
      <w:bookmarkStart w:id="115" w:name="_Toc9002"/>
      <w:bookmarkStart w:id="116" w:name="_Toc6919"/>
      <w:bookmarkStart w:id="117" w:name="_Toc22689"/>
      <w:bookmarkStart w:id="118" w:name="九"/>
      <w:r>
        <w:rPr>
          <w:rFonts w:hint="eastAsia" w:ascii="宋体" w:hAnsi="宋体" w:cs="宋体"/>
          <w:sz w:val="36"/>
          <w:szCs w:val="36"/>
        </w:rPr>
        <w:t>第八部分  供应商认为有必要说明的其他问题</w:t>
      </w:r>
      <w:bookmarkEnd w:id="114"/>
      <w:bookmarkEnd w:id="115"/>
      <w:bookmarkEnd w:id="116"/>
      <w:bookmarkEnd w:id="117"/>
      <w:bookmarkEnd w:id="118"/>
    </w:p>
    <w:p>
      <w:pPr>
        <w:adjustRightInd w:val="0"/>
        <w:spacing w:line="416" w:lineRule="atLeast"/>
        <w:jc w:val="both"/>
        <w:textAlignment w:val="baseline"/>
        <w:outlineLvl w:val="9"/>
        <w:rPr>
          <w:rFonts w:hint="eastAsia"/>
          <w:b/>
          <w:bCs/>
          <w:sz w:val="24"/>
          <w:szCs w:val="28"/>
        </w:rPr>
        <w:sectPr>
          <w:headerReference r:id="rId19" w:type="default"/>
          <w:footerReference r:id="rId20" w:type="default"/>
          <w:pgSz w:w="11906" w:h="16838"/>
          <w:pgMar w:top="1440" w:right="1803" w:bottom="1440" w:left="1803" w:header="851" w:footer="992" w:gutter="0"/>
          <w:pgNumType w:fmt="decimal"/>
          <w:cols w:space="720" w:num="1"/>
          <w:docGrid w:type="lines" w:linePitch="319" w:charSpace="0"/>
        </w:sectPr>
      </w:pPr>
      <w:r>
        <w:rPr>
          <w:rFonts w:hint="eastAsia"/>
          <w:b/>
          <w:bCs/>
          <w:sz w:val="24"/>
          <w:szCs w:val="28"/>
        </w:rPr>
        <w:t>例如：保证金缴纳凭证。</w:t>
      </w:r>
    </w:p>
    <w:p>
      <w:pPr>
        <w:adjustRightInd w:val="0"/>
        <w:spacing w:line="416" w:lineRule="atLeast"/>
        <w:jc w:val="both"/>
        <w:textAlignment w:val="baseline"/>
        <w:outlineLvl w:val="1"/>
        <w:rPr>
          <w:rFonts w:ascii="宋体" w:hAnsi="宋体" w:cs="宋体"/>
        </w:rPr>
      </w:pPr>
      <w:bookmarkStart w:id="119" w:name="_Toc15563"/>
      <w:r>
        <w:rPr>
          <w:rFonts w:hint="eastAsia" w:ascii="宋体" w:hAnsi="宋体" w:eastAsia="宋体" w:cs="宋体"/>
          <w:b/>
          <w:kern w:val="2"/>
          <w:sz w:val="28"/>
          <w:szCs w:val="22"/>
          <w:lang w:val="en-US" w:eastAsia="zh-CN" w:bidi="ar-SA"/>
        </w:rPr>
        <w:t>附件一、封袋正面标识式样</w:t>
      </w:r>
      <w:bookmarkEnd w:id="81"/>
      <w:bookmarkEnd w:id="119"/>
    </w:p>
    <w:p>
      <w:pPr>
        <w:spacing w:line="460" w:lineRule="exact"/>
        <w:ind w:firstLine="482" w:firstLineChars="200"/>
        <w:jc w:val="center"/>
        <w:rPr>
          <w:rFonts w:ascii="宋体" w:hAnsi="宋体" w:cs="宋体"/>
          <w:b/>
          <w:sz w:val="24"/>
        </w:rPr>
      </w:pPr>
      <w:r>
        <w:rPr>
          <w:rFonts w:hint="eastAsia" w:ascii="宋体" w:hAnsi="宋体" w:cs="宋体"/>
          <w:b/>
          <w:sz w:val="24"/>
        </w:rPr>
        <w:t>投标文件正本封袋正面标识式样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113030</wp:posOffset>
                </wp:positionV>
                <wp:extent cx="5819140" cy="3343275"/>
                <wp:effectExtent l="4445" t="4445" r="5715" b="5080"/>
                <wp:wrapNone/>
                <wp:docPr id="13" name="Text Box 3"/>
                <wp:cNvGraphicFramePr/>
                <a:graphic xmlns:a="http://schemas.openxmlformats.org/drawingml/2006/main">
                  <a:graphicData uri="http://schemas.microsoft.com/office/word/2010/wordprocessingShape">
                    <wps:wsp>
                      <wps:cNvSpPr txBox="1"/>
                      <wps:spPr>
                        <a:xfrm>
                          <a:off x="0" y="0"/>
                          <a:ext cx="5781040" cy="3343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highlight w:val="none"/>
                                <w:lang w:eastAsia="zh-CN"/>
                              </w:rPr>
                            </w:pPr>
                            <w:r>
                              <w:rPr>
                                <w:rFonts w:hint="eastAsia"/>
                                <w:sz w:val="28"/>
                                <w:szCs w:val="28"/>
                              </w:rPr>
                              <w:t>致：陕西卓佲项目管理有限公司       项目编号：</w:t>
                            </w:r>
                            <w:r>
                              <w:rPr>
                                <w:rFonts w:hint="eastAsia"/>
                                <w:sz w:val="28"/>
                                <w:szCs w:val="28"/>
                                <w:highlight w:val="none"/>
                                <w:lang w:eastAsia="zh-CN"/>
                              </w:rPr>
                              <w:t>ZMZB2022XKD-325</w:t>
                            </w:r>
                          </w:p>
                          <w:p>
                            <w:pPr>
                              <w:rPr>
                                <w:rFonts w:hint="eastAsia" w:eastAsia="宋体"/>
                                <w:sz w:val="28"/>
                                <w:szCs w:val="28"/>
                                <w:highlight w:val="none"/>
                                <w:lang w:eastAsia="zh-CN"/>
                              </w:rPr>
                            </w:pPr>
                            <w:r>
                              <w:rPr>
                                <w:rFonts w:hint="eastAsia"/>
                                <w:sz w:val="28"/>
                                <w:szCs w:val="28"/>
                                <w:highlight w:val="none"/>
                              </w:rPr>
                              <w:t>项目名称：</w:t>
                            </w:r>
                            <w:r>
                              <w:rPr>
                                <w:rFonts w:hint="eastAsia"/>
                                <w:sz w:val="28"/>
                                <w:szCs w:val="28"/>
                                <w:highlight w:val="none"/>
                                <w:lang w:eastAsia="zh-CN"/>
                              </w:rPr>
                              <w:t xml:space="preserve">西安科技大学高压氢气泄漏扩散实验箱采购项目  </w:t>
                            </w:r>
                          </w:p>
                          <w:p>
                            <w:pPr>
                              <w:jc w:val="center"/>
                              <w:rPr>
                                <w:b/>
                                <w:sz w:val="44"/>
                                <w:szCs w:val="44"/>
                                <w:highlight w:val="none"/>
                              </w:rPr>
                            </w:pPr>
                            <w:r>
                              <w:rPr>
                                <w:rFonts w:hint="eastAsia"/>
                                <w:b/>
                                <w:sz w:val="44"/>
                                <w:szCs w:val="44"/>
                                <w:highlight w:val="none"/>
                              </w:rPr>
                              <w:t>投标文件（正本）</w:t>
                            </w:r>
                          </w:p>
                          <w:p>
                            <w:pPr>
                              <w:pStyle w:val="6"/>
                              <w:ind w:firstLine="3092" w:firstLineChars="1100"/>
                              <w:jc w:val="both"/>
                              <w:rPr>
                                <w:sz w:val="28"/>
                                <w:szCs w:val="28"/>
                                <w:highlight w:val="none"/>
                              </w:rPr>
                            </w:pPr>
                            <w:r>
                              <w:rPr>
                                <w:sz w:val="28"/>
                                <w:szCs w:val="28"/>
                                <w:highlight w:val="none"/>
                              </w:rPr>
                              <w:t>（非开标会议不得启封）</w:t>
                            </w:r>
                          </w:p>
                          <w:p>
                            <w:pPr>
                              <w:rPr>
                                <w:sz w:val="28"/>
                                <w:szCs w:val="28"/>
                                <w:highlight w:val="none"/>
                                <w:u w:val="single"/>
                              </w:rPr>
                            </w:pPr>
                            <w:r>
                              <w:rPr>
                                <w:rFonts w:hint="eastAsia"/>
                                <w:sz w:val="28"/>
                                <w:szCs w:val="28"/>
                                <w:highlight w:val="none"/>
                              </w:rPr>
                              <w:t>供应商：</w:t>
                            </w:r>
                            <w:r>
                              <w:rPr>
                                <w:rFonts w:hint="eastAsia" w:ascii="宋体" w:hAnsi="宋体" w:cs="宋体"/>
                                <w:sz w:val="28"/>
                                <w:szCs w:val="28"/>
                                <w:highlight w:val="none"/>
                              </w:rPr>
                              <w:t>______________________</w:t>
                            </w:r>
                          </w:p>
                          <w:p>
                            <w:pPr>
                              <w:rPr>
                                <w:sz w:val="28"/>
                                <w:szCs w:val="28"/>
                                <w:highlight w:val="none"/>
                              </w:rPr>
                            </w:pPr>
                            <w:r>
                              <w:rPr>
                                <w:rFonts w:hint="eastAsia"/>
                                <w:sz w:val="28"/>
                                <w:szCs w:val="28"/>
                                <w:highlight w:val="none"/>
                              </w:rPr>
                              <w:t>时 间：</w:t>
                            </w:r>
                            <w:r>
                              <w:rPr>
                                <w:rFonts w:hint="eastAsia"/>
                                <w:sz w:val="28"/>
                                <w:szCs w:val="28"/>
                                <w:highlight w:val="none"/>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7.55pt;margin-top:8.9pt;height:263.25pt;width:458.2pt;z-index:251662336;mso-width-relative:page;mso-height-relative:page;" fillcolor="#FFFFFF" filled="t" stroked="t" coordsize="21600,21600" o:gfxdata="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0knRfZAAAACgEAAA8AAAAAAAAAAQAg&#10;AAAAIgAAAGRycy9kb3ducmV2LnhtbFBLAQIUABQAAAAIAIdO4kAdLh/9DQIAAFMEAAAOAAAAAAAA&#10;AAEAIAAAACgBAABkcnMvZTJvRG9jLnhtbFBLBQYAAAAABgAGAFkBAACnBQAAAAA=&#10;">
                <v:fill on="t" focussize="0,0"/>
                <v:stroke color="#000000" joinstyle="miter"/>
                <v:imagedata o:title=""/>
                <o:lock v:ext="edit" aspectratio="f"/>
                <v:textbox>
                  <w:txbxContent>
                    <w:p>
                      <w:pPr>
                        <w:rPr>
                          <w:rFonts w:hint="eastAsia" w:eastAsia="宋体"/>
                          <w:sz w:val="28"/>
                          <w:szCs w:val="28"/>
                          <w:highlight w:val="none"/>
                          <w:lang w:eastAsia="zh-CN"/>
                        </w:rPr>
                      </w:pPr>
                      <w:r>
                        <w:rPr>
                          <w:rFonts w:hint="eastAsia"/>
                          <w:sz w:val="28"/>
                          <w:szCs w:val="28"/>
                        </w:rPr>
                        <w:t>致：陕西卓佲项目管理有限公司       项目编号：</w:t>
                      </w:r>
                      <w:r>
                        <w:rPr>
                          <w:rFonts w:hint="eastAsia"/>
                          <w:sz w:val="28"/>
                          <w:szCs w:val="28"/>
                          <w:highlight w:val="none"/>
                          <w:lang w:eastAsia="zh-CN"/>
                        </w:rPr>
                        <w:t>ZMZB2022XKD-325</w:t>
                      </w:r>
                    </w:p>
                    <w:p>
                      <w:pPr>
                        <w:rPr>
                          <w:rFonts w:hint="eastAsia" w:eastAsia="宋体"/>
                          <w:sz w:val="28"/>
                          <w:szCs w:val="28"/>
                          <w:highlight w:val="none"/>
                          <w:lang w:eastAsia="zh-CN"/>
                        </w:rPr>
                      </w:pPr>
                      <w:r>
                        <w:rPr>
                          <w:rFonts w:hint="eastAsia"/>
                          <w:sz w:val="28"/>
                          <w:szCs w:val="28"/>
                          <w:highlight w:val="none"/>
                        </w:rPr>
                        <w:t>项目名称：</w:t>
                      </w:r>
                      <w:r>
                        <w:rPr>
                          <w:rFonts w:hint="eastAsia"/>
                          <w:sz w:val="28"/>
                          <w:szCs w:val="28"/>
                          <w:highlight w:val="none"/>
                          <w:lang w:eastAsia="zh-CN"/>
                        </w:rPr>
                        <w:t xml:space="preserve">西安科技大学高压氢气泄漏扩散实验箱采购项目  </w:t>
                      </w:r>
                    </w:p>
                    <w:p>
                      <w:pPr>
                        <w:jc w:val="center"/>
                        <w:rPr>
                          <w:b/>
                          <w:sz w:val="44"/>
                          <w:szCs w:val="44"/>
                          <w:highlight w:val="none"/>
                        </w:rPr>
                      </w:pPr>
                      <w:r>
                        <w:rPr>
                          <w:rFonts w:hint="eastAsia"/>
                          <w:b/>
                          <w:sz w:val="44"/>
                          <w:szCs w:val="44"/>
                          <w:highlight w:val="none"/>
                        </w:rPr>
                        <w:t>投标文件（正本）</w:t>
                      </w:r>
                    </w:p>
                    <w:p>
                      <w:pPr>
                        <w:pStyle w:val="6"/>
                        <w:ind w:firstLine="3092" w:firstLineChars="1100"/>
                        <w:jc w:val="both"/>
                        <w:rPr>
                          <w:sz w:val="28"/>
                          <w:szCs w:val="28"/>
                          <w:highlight w:val="none"/>
                        </w:rPr>
                      </w:pPr>
                      <w:r>
                        <w:rPr>
                          <w:sz w:val="28"/>
                          <w:szCs w:val="28"/>
                          <w:highlight w:val="none"/>
                        </w:rPr>
                        <w:t>（非开标会议不得启封）</w:t>
                      </w:r>
                    </w:p>
                    <w:p>
                      <w:pPr>
                        <w:rPr>
                          <w:sz w:val="28"/>
                          <w:szCs w:val="28"/>
                          <w:highlight w:val="none"/>
                          <w:u w:val="single"/>
                        </w:rPr>
                      </w:pPr>
                      <w:r>
                        <w:rPr>
                          <w:rFonts w:hint="eastAsia"/>
                          <w:sz w:val="28"/>
                          <w:szCs w:val="28"/>
                          <w:highlight w:val="none"/>
                        </w:rPr>
                        <w:t>供应商：</w:t>
                      </w:r>
                      <w:r>
                        <w:rPr>
                          <w:rFonts w:hint="eastAsia" w:ascii="宋体" w:hAnsi="宋体" w:cs="宋体"/>
                          <w:sz w:val="28"/>
                          <w:szCs w:val="28"/>
                          <w:highlight w:val="none"/>
                        </w:rPr>
                        <w:t>______________________</w:t>
                      </w:r>
                    </w:p>
                    <w:p>
                      <w:pPr>
                        <w:rPr>
                          <w:sz w:val="28"/>
                          <w:szCs w:val="28"/>
                          <w:highlight w:val="none"/>
                        </w:rPr>
                      </w:pPr>
                      <w:r>
                        <w:rPr>
                          <w:rFonts w:hint="eastAsia"/>
                          <w:sz w:val="28"/>
                          <w:szCs w:val="28"/>
                          <w:highlight w:val="none"/>
                        </w:rPr>
                        <w:t>时 间：</w:t>
                      </w:r>
                      <w:r>
                        <w:rPr>
                          <w:rFonts w:hint="eastAsia"/>
                          <w:sz w:val="28"/>
                          <w:szCs w:val="28"/>
                          <w:highlight w:val="none"/>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pStyle w:val="9"/>
        <w:rPr>
          <w:rFonts w:ascii="宋体" w:hAnsi="宋体" w:cs="宋体"/>
        </w:rPr>
      </w:pPr>
    </w:p>
    <w:p>
      <w:pPr>
        <w:spacing w:line="460" w:lineRule="exact"/>
        <w:ind w:firstLine="482" w:firstLineChars="200"/>
        <w:jc w:val="center"/>
        <w:rPr>
          <w:rFonts w:ascii="宋体" w:hAnsi="宋体" w:cs="宋体"/>
          <w:b/>
          <w:sz w:val="24"/>
        </w:rPr>
      </w:pPr>
      <w:r>
        <w:rPr>
          <w:rFonts w:hint="eastAsia" w:ascii="宋体" w:hAnsi="宋体" w:cs="宋体"/>
          <w:b/>
          <w:sz w:val="24"/>
        </w:rPr>
        <w:t>投标文件副本封袋正面标识式样</w:t>
      </w:r>
    </w:p>
    <w:p>
      <w:pPr>
        <w:tabs>
          <w:tab w:val="left" w:pos="8280"/>
        </w:tabs>
        <w:spacing w:line="460" w:lineRule="exact"/>
        <w:ind w:firstLine="482" w:firstLineChars="200"/>
        <w:jc w:val="center"/>
        <w:rPr>
          <w:rFonts w:ascii="宋体" w:hAnsi="宋体" w:cs="宋体"/>
          <w:b/>
          <w:sz w:val="24"/>
        </w:rPr>
      </w:pPr>
    </w:p>
    <w:p>
      <w:pPr>
        <w:ind w:firstLine="420" w:firstLineChars="200"/>
        <w:jc w:val="center"/>
        <w:rPr>
          <w:rFonts w:ascii="宋体" w:hAnsi="宋体" w:cs="宋体"/>
        </w:rPr>
      </w:pPr>
    </w:p>
    <w:p>
      <w:pPr>
        <w:ind w:firstLine="420" w:firstLineChars="200"/>
        <w:jc w:val="center"/>
        <w:rPr>
          <w:rFonts w:ascii="宋体" w:hAnsi="宋体" w:cs="宋体"/>
        </w:rPr>
      </w:pP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-314325</wp:posOffset>
                </wp:positionH>
                <wp:positionV relativeFrom="paragraph">
                  <wp:posOffset>100330</wp:posOffset>
                </wp:positionV>
                <wp:extent cx="5870575" cy="3231515"/>
                <wp:effectExtent l="4445" t="4445" r="11430" b="21590"/>
                <wp:wrapNone/>
                <wp:docPr id="6" name="Text Box 4"/>
                <wp:cNvGraphicFramePr/>
                <a:graphic xmlns:a="http://schemas.openxmlformats.org/drawingml/2006/main">
                  <a:graphicData uri="http://schemas.microsoft.com/office/word/2010/wordprocessingShape">
                    <wps:wsp>
                      <wps:cNvSpPr txBox="1"/>
                      <wps:spPr>
                        <a:xfrm>
                          <a:off x="0" y="0"/>
                          <a:ext cx="5825490" cy="3231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highlight w:val="none"/>
                              </w:rPr>
                              <w:t>：</w:t>
                            </w:r>
                            <w:r>
                              <w:rPr>
                                <w:rFonts w:hint="eastAsia"/>
                                <w:sz w:val="28"/>
                                <w:szCs w:val="28"/>
                                <w:highlight w:val="none"/>
                                <w:lang w:eastAsia="zh-CN"/>
                              </w:rPr>
                              <w:t>ZMZB2022XKD-325</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西安科技大学高压氢气泄漏扩散实验箱采购项目  </w:t>
                            </w:r>
                          </w:p>
                          <w:p>
                            <w:pPr>
                              <w:pStyle w:val="13"/>
                              <w:ind w:firstLine="2650" w:firstLineChars="600"/>
                              <w:jc w:val="left"/>
                              <w:rPr>
                                <w:sz w:val="28"/>
                                <w:szCs w:val="28"/>
                              </w:rPr>
                            </w:pPr>
                            <w:r>
                              <w:rPr>
                                <w:rFonts w:hint="eastAsia"/>
                                <w:b/>
                                <w:color w:val="auto"/>
                                <w:sz w:val="44"/>
                                <w:szCs w:val="44"/>
                              </w:rPr>
                              <w:t>投标文件（副本）</w:t>
                            </w:r>
                          </w:p>
                          <w:p>
                            <w:pPr>
                              <w:pStyle w:val="6"/>
                              <w:ind w:firstLine="3092" w:firstLineChars="1100"/>
                              <w:rPr>
                                <w:sz w:val="28"/>
                                <w:szCs w:val="28"/>
                              </w:rPr>
                            </w:pPr>
                            <w:r>
                              <w:rPr>
                                <w:sz w:val="28"/>
                                <w:szCs w:val="28"/>
                              </w:rPr>
                              <w:t>（非开标会议不得启封）</w:t>
                            </w:r>
                          </w:p>
                          <w:p>
                            <w:pPr>
                              <w:rPr>
                                <w:sz w:val="28"/>
                                <w:szCs w:val="28"/>
                                <w:u w:val="single"/>
                              </w:rPr>
                            </w:pPr>
                            <w:r>
                              <w:rPr>
                                <w:rFonts w:hint="eastAsia"/>
                                <w:sz w:val="28"/>
                                <w:szCs w:val="28"/>
                              </w:rPr>
                              <w:t>供应商：</w:t>
                            </w:r>
                            <w:r>
                              <w:rPr>
                                <w:rFonts w:hint="eastAsia" w:ascii="宋体" w:hAnsi="宋体" w:cs="宋体"/>
                                <w:sz w:val="28"/>
                                <w:szCs w:val="28"/>
                              </w:rPr>
                              <w:t>______________________</w:t>
                            </w:r>
                          </w:p>
                          <w:p>
                            <w:pPr>
                              <w:rPr>
                                <w:sz w:val="28"/>
                                <w:szCs w:val="28"/>
                              </w:rPr>
                            </w:pPr>
                            <w:r>
                              <w:rPr>
                                <w:rFonts w:hint="eastAsia"/>
                                <w:sz w:val="28"/>
                                <w:szCs w:val="28"/>
                              </w:rPr>
                              <w:t>时间：</w:t>
                            </w:r>
                            <w:r>
                              <w:rPr>
                                <w:rFonts w:hint="eastAsia"/>
                                <w:sz w:val="28"/>
                                <w:szCs w:val="28"/>
                                <w:u w:val="single"/>
                              </w:rPr>
                              <w:t xml:space="preserve">        年       月      日</w:t>
                            </w:r>
                          </w:p>
                        </w:txbxContent>
                      </wps:txbx>
                      <wps:bodyPr wrap="square" upright="1"/>
                    </wps:wsp>
                  </a:graphicData>
                </a:graphic>
              </wp:anchor>
            </w:drawing>
          </mc:Choice>
          <mc:Fallback>
            <w:pict>
              <v:shape id="Text Box 4" o:spid="_x0000_s1026" o:spt="202" type="#_x0000_t202" style="position:absolute;left:0pt;margin-left:-24.75pt;margin-top:7.9pt;height:254.45pt;width:462.25pt;z-index:251663360;mso-width-relative:page;mso-height-relative:page;" fillcolor="#FFFFFF" filled="t" stroked="t" coordsize="21600,21600" o:gfxdata="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08zR9kAAAAKAQAADwAAAAAAAAABACAA&#10;AAAiAAAAZHJzL2Rvd25yZXYueG1sUEsBAhQAFAAAAAgAh07iQFRu5IAMAgAAUgQAAA4AAAAAAAAA&#10;AQAgAAAAKAEAAGRycy9lMm9Eb2MueG1sUEsFBgAAAAAGAAYAWQEAAKYFA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highlight w:val="none"/>
                        </w:rPr>
                        <w:t>：</w:t>
                      </w:r>
                      <w:r>
                        <w:rPr>
                          <w:rFonts w:hint="eastAsia"/>
                          <w:sz w:val="28"/>
                          <w:szCs w:val="28"/>
                          <w:highlight w:val="none"/>
                          <w:lang w:eastAsia="zh-CN"/>
                        </w:rPr>
                        <w:t>ZMZB2022XKD-325</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西安科技大学高压氢气泄漏扩散实验箱采购项目  </w:t>
                      </w:r>
                    </w:p>
                    <w:p>
                      <w:pPr>
                        <w:pStyle w:val="13"/>
                        <w:ind w:firstLine="2650" w:firstLineChars="600"/>
                        <w:jc w:val="left"/>
                        <w:rPr>
                          <w:sz w:val="28"/>
                          <w:szCs w:val="28"/>
                        </w:rPr>
                      </w:pPr>
                      <w:r>
                        <w:rPr>
                          <w:rFonts w:hint="eastAsia"/>
                          <w:b/>
                          <w:color w:val="auto"/>
                          <w:sz w:val="44"/>
                          <w:szCs w:val="44"/>
                        </w:rPr>
                        <w:t>投标文件（副本）</w:t>
                      </w:r>
                    </w:p>
                    <w:p>
                      <w:pPr>
                        <w:pStyle w:val="6"/>
                        <w:ind w:firstLine="3092" w:firstLineChars="1100"/>
                        <w:rPr>
                          <w:sz w:val="28"/>
                          <w:szCs w:val="28"/>
                        </w:rPr>
                      </w:pPr>
                      <w:r>
                        <w:rPr>
                          <w:sz w:val="28"/>
                          <w:szCs w:val="28"/>
                        </w:rPr>
                        <w:t>（非开标会议不得启封）</w:t>
                      </w:r>
                    </w:p>
                    <w:p>
                      <w:pPr>
                        <w:rPr>
                          <w:sz w:val="28"/>
                          <w:szCs w:val="28"/>
                          <w:u w:val="single"/>
                        </w:rPr>
                      </w:pPr>
                      <w:r>
                        <w:rPr>
                          <w:rFonts w:hint="eastAsia"/>
                          <w:sz w:val="28"/>
                          <w:szCs w:val="28"/>
                        </w:rPr>
                        <w:t>供应商：</w:t>
                      </w:r>
                      <w:r>
                        <w:rPr>
                          <w:rFonts w:hint="eastAsia" w:ascii="宋体" w:hAnsi="宋体" w:cs="宋体"/>
                          <w:sz w:val="28"/>
                          <w:szCs w:val="28"/>
                        </w:rPr>
                        <w:t>______________________</w:t>
                      </w:r>
                    </w:p>
                    <w:p>
                      <w:pPr>
                        <w:rPr>
                          <w:sz w:val="28"/>
                          <w:szCs w:val="28"/>
                        </w:rPr>
                      </w:pPr>
                      <w:r>
                        <w:rPr>
                          <w:rFonts w:hint="eastAsia"/>
                          <w:sz w:val="28"/>
                          <w:szCs w:val="28"/>
                        </w:rPr>
                        <w:t>时间：</w:t>
                      </w:r>
                      <w:r>
                        <w:rPr>
                          <w:rFonts w:hint="eastAsia"/>
                          <w:sz w:val="28"/>
                          <w:szCs w:val="28"/>
                          <w:u w:val="single"/>
                        </w:rPr>
                        <w:t xml:space="preserve">        年       月      日</w:t>
                      </w: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widowControl/>
        <w:spacing w:line="460" w:lineRule="exact"/>
        <w:ind w:firstLine="480" w:firstLineChars="200"/>
        <w:jc w:val="center"/>
        <w:rPr>
          <w:rFonts w:ascii="宋体" w:hAnsi="宋体" w:cs="宋体"/>
          <w:sz w:val="24"/>
          <w:szCs w:val="28"/>
        </w:rPr>
        <w:sectPr>
          <w:pgSz w:w="11906" w:h="16838"/>
          <w:pgMar w:top="1440" w:right="1803" w:bottom="1440" w:left="1803" w:header="851" w:footer="992" w:gutter="0"/>
          <w:pgNumType w:fmt="decimal"/>
          <w:cols w:space="720" w:num="1"/>
          <w:docGrid w:type="lines" w:linePitch="319" w:charSpace="0"/>
        </w:sectPr>
      </w:pPr>
    </w:p>
    <w:p>
      <w:pPr>
        <w:spacing w:line="460" w:lineRule="exact"/>
        <w:ind w:firstLine="482" w:firstLineChars="200"/>
        <w:jc w:val="center"/>
        <w:rPr>
          <w:rFonts w:ascii="宋体" w:hAnsi="宋体" w:cs="宋体"/>
          <w:b/>
          <w:sz w:val="24"/>
        </w:rPr>
      </w:pPr>
      <w:r>
        <w:rPr>
          <w:rFonts w:hint="eastAsia" w:ascii="宋体" w:hAnsi="宋体" w:cs="宋体"/>
          <w:b/>
          <w:sz w:val="24"/>
        </w:rPr>
        <w:t>报价一览表封袋正面标识式样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-325755</wp:posOffset>
                </wp:positionH>
                <wp:positionV relativeFrom="paragraph">
                  <wp:posOffset>191135</wp:posOffset>
                </wp:positionV>
                <wp:extent cx="5760085" cy="3285490"/>
                <wp:effectExtent l="5080" t="5080" r="6985" b="5080"/>
                <wp:wrapNone/>
                <wp:docPr id="11" name="Text Box 3"/>
                <wp:cNvGraphicFramePr/>
                <a:graphic xmlns:a="http://schemas.openxmlformats.org/drawingml/2006/main">
                  <a:graphicData uri="http://schemas.microsoft.com/office/word/2010/wordprocessingShape">
                    <wps:wsp>
                      <wps:cNvSpPr txBox="1"/>
                      <wps:spPr>
                        <a:xfrm>
                          <a:off x="0" y="0"/>
                          <a:ext cx="5706745" cy="32854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highlight w:val="none"/>
                                <w:lang w:eastAsia="zh-CN"/>
                              </w:rPr>
                            </w:pPr>
                            <w:r>
                              <w:rPr>
                                <w:rFonts w:hint="eastAsia"/>
                                <w:sz w:val="28"/>
                                <w:szCs w:val="28"/>
                              </w:rPr>
                              <w:t>致：陕西卓佲项目管理有限公司        项目编号：</w:t>
                            </w:r>
                            <w:r>
                              <w:rPr>
                                <w:rFonts w:hint="eastAsia"/>
                                <w:sz w:val="28"/>
                                <w:szCs w:val="28"/>
                                <w:highlight w:val="none"/>
                                <w:lang w:eastAsia="zh-CN"/>
                              </w:rPr>
                              <w:t>ZMZB2022XKD-325</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西安科技大学高压氢气泄漏扩散实验箱采购项目  </w:t>
                            </w:r>
                          </w:p>
                          <w:p>
                            <w:pPr>
                              <w:pStyle w:val="6"/>
                              <w:ind w:firstLine="3092" w:firstLineChars="700"/>
                              <w:jc w:val="both"/>
                              <w:rPr>
                                <w:rFonts w:hint="default"/>
                                <w:sz w:val="28"/>
                                <w:szCs w:val="28"/>
                              </w:rPr>
                            </w:pPr>
                            <w:r>
                              <w:rPr>
                                <w:sz w:val="44"/>
                                <w:szCs w:val="44"/>
                              </w:rPr>
                              <w:t>报价一览表</w:t>
                            </w:r>
                          </w:p>
                          <w:p>
                            <w:pPr>
                              <w:pStyle w:val="6"/>
                              <w:ind w:firstLine="2530" w:firstLineChars="900"/>
                              <w:jc w:val="both"/>
                              <w:rPr>
                                <w:sz w:val="28"/>
                                <w:szCs w:val="28"/>
                              </w:rPr>
                            </w:pPr>
                            <w:r>
                              <w:rPr>
                                <w:sz w:val="28"/>
                                <w:szCs w:val="28"/>
                              </w:rPr>
                              <w:t>（非开标会议不得启封）</w:t>
                            </w:r>
                          </w:p>
                          <w:p>
                            <w:pPr>
                              <w:rPr>
                                <w:rFonts w:hint="eastAsia"/>
                                <w:sz w:val="28"/>
                                <w:szCs w:val="28"/>
                                <w:highlight w:val="none"/>
                              </w:rPr>
                            </w:pPr>
                            <w:r>
                              <w:rPr>
                                <w:rFonts w:hint="eastAsia"/>
                                <w:sz w:val="28"/>
                                <w:szCs w:val="28"/>
                                <w:highlight w:val="none"/>
                              </w:rPr>
                              <w:t xml:space="preserve"> </w:t>
                            </w:r>
                          </w:p>
                          <w:p>
                            <w:pPr>
                              <w:rPr>
                                <w:sz w:val="28"/>
                                <w:szCs w:val="28"/>
                                <w:u w:val="single"/>
                              </w:rPr>
                            </w:pPr>
                            <w:r>
                              <w:rPr>
                                <w:rFonts w:hint="eastAsia"/>
                                <w:sz w:val="28"/>
                                <w:szCs w:val="28"/>
                              </w:rPr>
                              <w:t>供应商：</w:t>
                            </w:r>
                            <w:r>
                              <w:rPr>
                                <w:rFonts w:hint="eastAsia" w:ascii="宋体" w:hAnsi="宋体" w:cs="宋体"/>
                                <w:sz w:val="28"/>
                                <w:szCs w:val="28"/>
                              </w:rPr>
                              <w:t>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5.65pt;margin-top:15.05pt;height:258.7pt;width:453.55pt;z-index:251664384;mso-width-relative:page;mso-height-relative:page;" fillcolor="#FFFFFF" filled="t" stroked="t" coordsize="21600,21600" o:gfxdata="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mkQFbaAAAACgEAAA8AAAAAAAAA&#10;AQAgAAAAIgAAAGRycy9kb3ducmV2LnhtbFBLAQIUABQAAAAIAIdO4kAUpxjQDwIAAFMEAAAOAAAA&#10;AAAAAAEAIAAAACkBAABkcnMvZTJvRG9jLnhtbFBLBQYAAAAABgAGAFkBAACqBQAAAAA=&#10;">
                <v:fill on="t" focussize="0,0"/>
                <v:stroke color="#000000" joinstyle="miter"/>
                <v:imagedata o:title=""/>
                <o:lock v:ext="edit" aspectratio="f"/>
                <v:textbox>
                  <w:txbxContent>
                    <w:p>
                      <w:pPr>
                        <w:rPr>
                          <w:rFonts w:hint="eastAsia" w:eastAsia="宋体"/>
                          <w:sz w:val="28"/>
                          <w:szCs w:val="28"/>
                          <w:highlight w:val="none"/>
                          <w:lang w:eastAsia="zh-CN"/>
                        </w:rPr>
                      </w:pPr>
                      <w:r>
                        <w:rPr>
                          <w:rFonts w:hint="eastAsia"/>
                          <w:sz w:val="28"/>
                          <w:szCs w:val="28"/>
                        </w:rPr>
                        <w:t>致：陕西卓佲项目管理有限公司        项目编号：</w:t>
                      </w:r>
                      <w:r>
                        <w:rPr>
                          <w:rFonts w:hint="eastAsia"/>
                          <w:sz w:val="28"/>
                          <w:szCs w:val="28"/>
                          <w:highlight w:val="none"/>
                          <w:lang w:eastAsia="zh-CN"/>
                        </w:rPr>
                        <w:t>ZMZB2022XKD-325</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西安科技大学高压氢气泄漏扩散实验箱采购项目  </w:t>
                      </w:r>
                    </w:p>
                    <w:p>
                      <w:pPr>
                        <w:pStyle w:val="6"/>
                        <w:ind w:firstLine="3092" w:firstLineChars="700"/>
                        <w:jc w:val="both"/>
                        <w:rPr>
                          <w:rFonts w:hint="default"/>
                          <w:sz w:val="28"/>
                          <w:szCs w:val="28"/>
                        </w:rPr>
                      </w:pPr>
                      <w:r>
                        <w:rPr>
                          <w:sz w:val="44"/>
                          <w:szCs w:val="44"/>
                        </w:rPr>
                        <w:t>报价一览表</w:t>
                      </w:r>
                    </w:p>
                    <w:p>
                      <w:pPr>
                        <w:pStyle w:val="6"/>
                        <w:ind w:firstLine="2530" w:firstLineChars="900"/>
                        <w:jc w:val="both"/>
                        <w:rPr>
                          <w:sz w:val="28"/>
                          <w:szCs w:val="28"/>
                        </w:rPr>
                      </w:pPr>
                      <w:r>
                        <w:rPr>
                          <w:sz w:val="28"/>
                          <w:szCs w:val="28"/>
                        </w:rPr>
                        <w:t>（非开标会议不得启封）</w:t>
                      </w:r>
                    </w:p>
                    <w:p>
                      <w:pPr>
                        <w:rPr>
                          <w:rFonts w:hint="eastAsia"/>
                          <w:sz w:val="28"/>
                          <w:szCs w:val="28"/>
                          <w:highlight w:val="none"/>
                        </w:rPr>
                      </w:pPr>
                      <w:r>
                        <w:rPr>
                          <w:rFonts w:hint="eastAsia"/>
                          <w:sz w:val="28"/>
                          <w:szCs w:val="28"/>
                          <w:highlight w:val="none"/>
                        </w:rPr>
                        <w:t xml:space="preserve"> </w:t>
                      </w:r>
                    </w:p>
                    <w:p>
                      <w:pPr>
                        <w:rPr>
                          <w:sz w:val="28"/>
                          <w:szCs w:val="28"/>
                          <w:u w:val="single"/>
                        </w:rPr>
                      </w:pPr>
                      <w:r>
                        <w:rPr>
                          <w:rFonts w:hint="eastAsia"/>
                          <w:sz w:val="28"/>
                          <w:szCs w:val="28"/>
                        </w:rPr>
                        <w:t>供应商：</w:t>
                      </w:r>
                      <w:r>
                        <w:rPr>
                          <w:rFonts w:hint="eastAsia" w:ascii="宋体" w:hAnsi="宋体" w:cs="宋体"/>
                          <w:sz w:val="28"/>
                          <w:szCs w:val="28"/>
                        </w:rPr>
                        <w:t>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r>
        <w:rPr>
          <w:rFonts w:hint="eastAsia" w:ascii="宋体" w:hAnsi="宋体" w:cs="宋体"/>
          <w:b/>
          <w:sz w:val="24"/>
        </w:rPr>
        <w:t>电子文档封袋正面标识式样</w:t>
      </w:r>
    </w:p>
    <w:p>
      <w:pPr>
        <w:tabs>
          <w:tab w:val="left" w:pos="8280"/>
        </w:tabs>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-331470</wp:posOffset>
                </wp:positionH>
                <wp:positionV relativeFrom="paragraph">
                  <wp:posOffset>142240</wp:posOffset>
                </wp:positionV>
                <wp:extent cx="5817235" cy="3183255"/>
                <wp:effectExtent l="5080" t="4445" r="6985" b="12700"/>
                <wp:wrapNone/>
                <wp:docPr id="10" name="Text Box 3"/>
                <wp:cNvGraphicFramePr/>
                <a:graphic xmlns:a="http://schemas.openxmlformats.org/drawingml/2006/main">
                  <a:graphicData uri="http://schemas.microsoft.com/office/word/2010/wordprocessingShape">
                    <wps:wsp>
                      <wps:cNvSpPr txBox="1"/>
                      <wps:spPr>
                        <a:xfrm>
                          <a:off x="0" y="0"/>
                          <a:ext cx="5817235" cy="3183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ZMZB2022XKD-325</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西安科技大学高压氢气泄漏扩散实验箱采购项目  </w:t>
                            </w:r>
                          </w:p>
                          <w:p>
                            <w:pPr>
                              <w:pStyle w:val="6"/>
                              <w:ind w:firstLine="3534" w:firstLineChars="800"/>
                              <w:jc w:val="both"/>
                              <w:rPr>
                                <w:rFonts w:hint="default"/>
                                <w:sz w:val="28"/>
                                <w:szCs w:val="28"/>
                              </w:rPr>
                            </w:pPr>
                            <w:r>
                              <w:rPr>
                                <w:sz w:val="44"/>
                                <w:szCs w:val="44"/>
                              </w:rPr>
                              <w:t>电子文档</w:t>
                            </w:r>
                          </w:p>
                          <w:p>
                            <w:pPr>
                              <w:ind w:firstLine="2800" w:firstLineChars="1000"/>
                              <w:rPr>
                                <w:rFonts w:hint="eastAsia"/>
                                <w:sz w:val="28"/>
                                <w:szCs w:val="28"/>
                              </w:rPr>
                            </w:pPr>
                            <w:r>
                              <w:rPr>
                                <w:rFonts w:hint="eastAsia"/>
                                <w:sz w:val="28"/>
                                <w:szCs w:val="28"/>
                              </w:rPr>
                              <w:t>（非开标会议不得启封）</w:t>
                            </w:r>
                          </w:p>
                          <w:p>
                            <w:pPr>
                              <w:rPr>
                                <w:sz w:val="28"/>
                                <w:szCs w:val="28"/>
                                <w:u w:val="single"/>
                              </w:rPr>
                            </w:pPr>
                            <w:r>
                              <w:rPr>
                                <w:rFonts w:hint="eastAsia"/>
                                <w:sz w:val="28"/>
                                <w:szCs w:val="28"/>
                              </w:rPr>
                              <w:t>供应商：</w:t>
                            </w:r>
                            <w:r>
                              <w:rPr>
                                <w:rFonts w:hint="eastAsia" w:ascii="宋体" w:hAnsi="宋体" w:cs="宋体"/>
                                <w:sz w:val="28"/>
                                <w:szCs w:val="28"/>
                              </w:rPr>
                              <w:t>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wps:txbx>
                      <wps:bodyPr wrap="square" upright="1"/>
                    </wps:wsp>
                  </a:graphicData>
                </a:graphic>
              </wp:anchor>
            </w:drawing>
          </mc:Choice>
          <mc:Fallback>
            <w:pict>
              <v:shape id="Text Box 3" o:spid="_x0000_s1026" o:spt="202" type="#_x0000_t202" style="position:absolute;left:0pt;margin-left:-26.1pt;margin-top:11.2pt;height:250.65pt;width:458.05pt;z-index:251665408;mso-width-relative:page;mso-height-relative:page;" fillcolor="#FFFFFF" filled="t" stroked="t" coordsize="21600,21600" o:gfxdata="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nfXDdoAAAAKAQAADwAAAAAAAAABACAA&#10;AAAiAAAAZHJzL2Rvd25yZXYueG1sUEsBAhQAFAAAAAgAh07iQHNjZQMLAgAAUwQAAA4AAAAAAAAA&#10;AQAgAAAAKQEAAGRycy9lMm9Eb2MueG1sUEsFBgAAAAAGAAYAWQEAAKYFA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ZMZB2022XKD-325</w:t>
                      </w:r>
                    </w:p>
                    <w:p>
                      <w:pPr>
                        <w:rPr>
                          <w:rFonts w:hint="eastAsia" w:eastAsia="宋体"/>
                          <w:sz w:val="28"/>
                          <w:szCs w:val="28"/>
                          <w:lang w:eastAsia="zh-CN"/>
                        </w:rPr>
                      </w:pPr>
                      <w:r>
                        <w:rPr>
                          <w:rFonts w:hint="eastAsia"/>
                          <w:sz w:val="28"/>
                          <w:szCs w:val="28"/>
                        </w:rPr>
                        <w:t>项目名称：</w:t>
                      </w:r>
                      <w:r>
                        <w:rPr>
                          <w:rFonts w:hint="eastAsia"/>
                          <w:sz w:val="28"/>
                          <w:szCs w:val="28"/>
                          <w:lang w:eastAsia="zh-CN"/>
                        </w:rPr>
                        <w:t xml:space="preserve">西安科技大学高压氢气泄漏扩散实验箱采购项目  </w:t>
                      </w:r>
                    </w:p>
                    <w:p>
                      <w:pPr>
                        <w:pStyle w:val="6"/>
                        <w:ind w:firstLine="3534" w:firstLineChars="800"/>
                        <w:jc w:val="both"/>
                        <w:rPr>
                          <w:rFonts w:hint="default"/>
                          <w:sz w:val="28"/>
                          <w:szCs w:val="28"/>
                        </w:rPr>
                      </w:pPr>
                      <w:r>
                        <w:rPr>
                          <w:sz w:val="44"/>
                          <w:szCs w:val="44"/>
                        </w:rPr>
                        <w:t>电子文档</w:t>
                      </w:r>
                    </w:p>
                    <w:p>
                      <w:pPr>
                        <w:ind w:firstLine="2800" w:firstLineChars="1000"/>
                        <w:rPr>
                          <w:rFonts w:hint="eastAsia"/>
                          <w:sz w:val="28"/>
                          <w:szCs w:val="28"/>
                        </w:rPr>
                      </w:pPr>
                      <w:r>
                        <w:rPr>
                          <w:rFonts w:hint="eastAsia"/>
                          <w:sz w:val="28"/>
                          <w:szCs w:val="28"/>
                        </w:rPr>
                        <w:t>（非开标会议不得启封）</w:t>
                      </w:r>
                    </w:p>
                    <w:p>
                      <w:pPr>
                        <w:rPr>
                          <w:sz w:val="28"/>
                          <w:szCs w:val="28"/>
                          <w:u w:val="single"/>
                        </w:rPr>
                      </w:pPr>
                      <w:r>
                        <w:rPr>
                          <w:rFonts w:hint="eastAsia"/>
                          <w:sz w:val="28"/>
                          <w:szCs w:val="28"/>
                        </w:rPr>
                        <w:t>供应商：</w:t>
                      </w:r>
                      <w:r>
                        <w:rPr>
                          <w:rFonts w:hint="eastAsia" w:ascii="宋体" w:hAnsi="宋体" w:cs="宋体"/>
                          <w:sz w:val="28"/>
                          <w:szCs w:val="28"/>
                        </w:rPr>
                        <w:t>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pageBreakBefore/>
        <w:spacing w:line="420" w:lineRule="auto"/>
        <w:jc w:val="center"/>
        <w:rPr>
          <w:rFonts w:ascii="宋体" w:hAnsi="宋体" w:cs="宋体"/>
          <w:b/>
          <w:bCs/>
          <w:sz w:val="36"/>
          <w:szCs w:val="36"/>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120" w:name="_Toc20374"/>
      <w:bookmarkStart w:id="121" w:name="_Toc8177"/>
      <w:bookmarkStart w:id="122" w:name="_Toc20088"/>
      <w:bookmarkStart w:id="123" w:name="_Toc3008"/>
      <w:bookmarkStart w:id="124" w:name="_Toc2630"/>
      <w:bookmarkStart w:id="125" w:name="_Toc11632"/>
      <w:bookmarkStart w:id="126" w:name="_Toc18633"/>
      <w:bookmarkStart w:id="127" w:name="_Toc30485"/>
      <w:bookmarkStart w:id="128" w:name="_Toc1641"/>
      <w:bookmarkStart w:id="129" w:name="_Toc14217"/>
      <w:bookmarkStart w:id="130" w:name="_Toc15467"/>
      <w:bookmarkStart w:id="131" w:name="_Toc30536"/>
      <w:bookmarkStart w:id="132" w:name="_Toc30870"/>
      <w:r>
        <w:rPr>
          <w:rFonts w:hint="eastAsia" w:ascii="宋体" w:hAnsi="宋体" w:cs="宋体"/>
        </w:rPr>
        <w:t>附件二、中小企业申明</w:t>
      </w:r>
      <w:bookmarkEnd w:id="120"/>
      <w:bookmarkEnd w:id="121"/>
      <w:bookmarkEnd w:id="122"/>
      <w:bookmarkEnd w:id="123"/>
      <w:bookmarkEnd w:id="124"/>
      <w:bookmarkEnd w:id="125"/>
      <w:bookmarkEnd w:id="126"/>
      <w:bookmarkEnd w:id="127"/>
      <w:bookmarkEnd w:id="128"/>
      <w:r>
        <w:rPr>
          <w:rFonts w:hint="eastAsia" w:ascii="宋体" w:hAnsi="宋体" w:cs="宋体"/>
        </w:rPr>
        <w:t>（货物）</w:t>
      </w:r>
      <w:bookmarkEnd w:id="129"/>
    </w:p>
    <w:p>
      <w:pPr>
        <w:spacing w:line="360" w:lineRule="auto"/>
        <w:ind w:right="140" w:firstLine="641"/>
        <w:rPr>
          <w:rFonts w:ascii="宋体" w:hAnsi="宋体" w:cs="宋体"/>
          <w:sz w:val="24"/>
          <w:szCs w:val="24"/>
        </w:rPr>
      </w:pPr>
      <w:bookmarkStart w:id="133" w:name="_Toc10807"/>
      <w:bookmarkStart w:id="134" w:name="_Toc11896"/>
      <w:bookmarkStart w:id="135" w:name="_Toc12531"/>
      <w:bookmarkStart w:id="136" w:name="_Toc6022"/>
      <w:bookmarkStart w:id="137" w:name="_Toc21117"/>
      <w:bookmarkStart w:id="138" w:name="_Toc32438"/>
      <w:bookmarkStart w:id="139" w:name="_Toc5814"/>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13"/>
        <w:numPr>
          <w:ilvl w:val="0"/>
          <w:numId w:val="24"/>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13"/>
        <w:numPr>
          <w:ilvl w:val="0"/>
          <w:numId w:val="24"/>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ascii="宋体" w:hAnsi="宋体" w:cs="宋体"/>
          <w:sz w:val="24"/>
          <w:szCs w:val="24"/>
        </w:rPr>
      </w:pPr>
      <w:r>
        <w:rPr>
          <w:rFonts w:hint="eastAsia" w:ascii="宋体" w:hAnsi="宋体" w:cs="宋体"/>
          <w:sz w:val="24"/>
          <w:szCs w:val="24"/>
        </w:rPr>
        <w:t>……</w:t>
      </w:r>
    </w:p>
    <w:p>
      <w:pPr>
        <w:spacing w:line="360" w:lineRule="auto"/>
        <w:ind w:right="160" w:firstLine="64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ascii="宋体" w:hAnsi="宋体" w:cs="宋体"/>
          <w:sz w:val="24"/>
          <w:szCs w:val="24"/>
        </w:rPr>
      </w:pPr>
    </w:p>
    <w:p>
      <w:pPr>
        <w:spacing w:line="360" w:lineRule="auto"/>
        <w:ind w:right="160" w:firstLine="646"/>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rPr>
          <w:rFonts w:ascii="宋体" w:hAnsi="宋体" w:cs="宋体"/>
          <w:sz w:val="24"/>
          <w:szCs w:val="24"/>
        </w:rPr>
      </w:pPr>
    </w:p>
    <w:p>
      <w:pPr>
        <w:spacing w:line="360" w:lineRule="auto"/>
        <w:ind w:left="3840" w:right="1900"/>
        <w:rPr>
          <w:rFonts w:hint="eastAsia" w:ascii="宋体" w:hAnsi="宋体" w:cs="宋体"/>
          <w:sz w:val="24"/>
          <w:szCs w:val="24"/>
        </w:rPr>
      </w:pPr>
      <w:r>
        <w:rPr>
          <w:rFonts w:hint="eastAsia" w:ascii="宋体" w:hAnsi="宋体" w:cs="宋体"/>
          <w:sz w:val="24"/>
          <w:szCs w:val="24"/>
        </w:rPr>
        <w:t>企业名称（盖章）：</w:t>
      </w:r>
    </w:p>
    <w:p>
      <w:pPr>
        <w:spacing w:line="360" w:lineRule="auto"/>
        <w:ind w:left="3840" w:right="1900"/>
        <w:rPr>
          <w:rFonts w:ascii="宋体" w:hAnsi="宋体" w:cs="宋体"/>
          <w:sz w:val="24"/>
          <w:szCs w:val="24"/>
        </w:rPr>
      </w:pPr>
      <w:r>
        <w:rPr>
          <w:rFonts w:hint="eastAsia" w:ascii="宋体" w:hAnsi="宋体" w:cs="宋体"/>
          <w:sz w:val="24"/>
          <w:szCs w:val="24"/>
        </w:rPr>
        <w:t>日期：</w:t>
      </w:r>
    </w:p>
    <w:p>
      <w:pPr>
        <w:rPr>
          <w:rFonts w:ascii="宋体" w:hAnsi="宋体"/>
          <w:sz w:val="18"/>
        </w:rPr>
      </w:pPr>
      <w:r>
        <w:rPr>
          <w:rFonts w:ascii="仿宋" w:hAnsi="仿宋" w:eastAsia="仿宋"/>
          <w:sz w:val="32"/>
        </w:rPr>
        <w:drawing>
          <wp:anchor distT="0" distB="0" distL="114300" distR="114300" simplePos="0" relativeHeight="251660288"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9"/>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pStyle w:val="4"/>
        <w:rPr>
          <w:rFonts w:ascii="宋体" w:hAnsi="宋体" w:cs="宋体"/>
        </w:rPr>
        <w:sectPr>
          <w:footerReference r:id="rId21" w:type="default"/>
          <w:pgSz w:w="11906" w:h="16838"/>
          <w:pgMar w:top="1440" w:right="1803" w:bottom="1440" w:left="1803" w:header="851" w:footer="992" w:gutter="0"/>
          <w:pgNumType w:fmt="decimal"/>
          <w:cols w:space="720" w:num="1"/>
          <w:docGrid w:type="lines" w:linePitch="319" w:charSpace="0"/>
        </w:sectPr>
      </w:pPr>
    </w:p>
    <w:p>
      <w:pPr>
        <w:keepNext w:val="0"/>
        <w:keepLines w:val="0"/>
        <w:widowControl/>
        <w:shd w:val="clear" w:color="auto"/>
        <w:spacing w:before="450" w:after="300" w:line="540" w:lineRule="atLeast"/>
        <w:jc w:val="center"/>
        <w:textAlignment w:val="baseline"/>
        <w:outlineLvl w:val="9"/>
        <w:rPr>
          <w:rFonts w:ascii="微软雅黑" w:hAnsi="微软雅黑" w:eastAsia="微软雅黑" w:cs="微软雅黑"/>
          <w:color w:val="383940"/>
          <w:sz w:val="39"/>
          <w:szCs w:val="39"/>
        </w:rPr>
      </w:pPr>
      <w:r>
        <w:rPr>
          <w:rFonts w:hint="eastAsia" w:ascii="微软雅黑" w:hAnsi="微软雅黑" w:eastAsia="微软雅黑" w:cs="微软雅黑"/>
          <w:color w:val="383940"/>
          <w:sz w:val="39"/>
          <w:szCs w:val="39"/>
          <w:shd w:val="clear" w:color="auto" w:fill="FFFFFF"/>
        </w:rPr>
        <w:t>关于印发中小企业划型标准规定的通知</w:t>
      </w:r>
    </w:p>
    <w:p>
      <w:pPr>
        <w:pStyle w:val="26"/>
        <w:shd w:val="clear" w:color="auto"/>
        <w:rPr>
          <w:rFonts w:hint="eastAsia"/>
          <w:color w:val="000000"/>
          <w:shd w:val="clear" w:color="auto" w:fill="FFFFFF"/>
        </w:rPr>
      </w:pPr>
      <w:r>
        <w:rPr>
          <w:rFonts w:hint="eastAsia"/>
          <w:color w:val="000000"/>
          <w:shd w:val="clear" w:color="auto" w:fill="FFFFFF"/>
        </w:rPr>
        <w:t>各省、自治区、直辖市人民政府，国务院各部委、各直属机构及有关单位：</w:t>
      </w:r>
    </w:p>
    <w:p>
      <w:pPr>
        <w:pStyle w:val="26"/>
        <w:shd w:val="clear" w:color="auto"/>
        <w:rPr>
          <w:rFonts w:hint="eastAsia"/>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26"/>
        <w:shd w:val="clear" w:color="auto"/>
        <w:rPr>
          <w:rFonts w:hint="eastAsia"/>
          <w:color w:val="000000"/>
          <w:shd w:val="clear" w:color="auto" w:fill="FFFFFF"/>
        </w:rPr>
      </w:pPr>
      <w:r>
        <w:rPr>
          <w:rFonts w:hint="eastAsia"/>
          <w:color w:val="000000"/>
          <w:shd w:val="clear" w:color="auto" w:fill="FFFFFF"/>
        </w:rPr>
        <w:t>　　　　　　　　　　　　　　　　　　　　　工业和信息化部　国家统计局</w:t>
      </w:r>
    </w:p>
    <w:p>
      <w:pPr>
        <w:pStyle w:val="26"/>
        <w:shd w:val="clear" w:color="auto"/>
        <w:rPr>
          <w:rFonts w:hint="eastAsia"/>
          <w:color w:val="000000"/>
          <w:shd w:val="clear" w:color="auto" w:fill="FFFFFF"/>
        </w:rPr>
      </w:pPr>
      <w:r>
        <w:rPr>
          <w:rFonts w:hint="eastAsia"/>
          <w:color w:val="000000"/>
          <w:shd w:val="clear" w:color="auto" w:fill="FFFFFF"/>
        </w:rPr>
        <w:t>　　　　　　　　　　　　　　　　　　　　国家发展和改革委员会　财政部</w:t>
      </w:r>
    </w:p>
    <w:p>
      <w:pPr>
        <w:pStyle w:val="26"/>
        <w:shd w:val="clear" w:color="auto"/>
        <w:rPr>
          <w:color w:val="000000"/>
        </w:rPr>
      </w:pPr>
      <w:r>
        <w:rPr>
          <w:rFonts w:hint="eastAsia"/>
          <w:color w:val="000000"/>
          <w:shd w:val="clear" w:color="auto" w:fill="FFFFFF"/>
        </w:rPr>
        <w:t>　　　　　　　　　　　　　　　　　　　　　　　　二○一一年六月十八日</w:t>
      </w:r>
    </w:p>
    <w:p>
      <w:pPr>
        <w:pStyle w:val="26"/>
        <w:shd w:val="clear" w:color="auto"/>
        <w:jc w:val="center"/>
        <w:rPr>
          <w:rStyle w:val="34"/>
          <w:color w:val="000000"/>
          <w:sz w:val="36"/>
          <w:szCs w:val="36"/>
          <w:shd w:val="clear" w:color="auto" w:fill="FFFFFF"/>
        </w:rPr>
      </w:pPr>
      <w:r>
        <w:rPr>
          <w:rStyle w:val="34"/>
          <w:rFonts w:hint="eastAsia"/>
          <w:color w:val="000000"/>
          <w:sz w:val="36"/>
          <w:szCs w:val="36"/>
          <w:shd w:val="clear" w:color="auto" w:fill="FFFFFF"/>
        </w:rPr>
        <w:t>中小企业划型标准规定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四、各行业划型标准为：</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五、企业类型的划分以统计部门的统计数据为依据。</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九、本规定由工业和信息化部、国家统计局会同有关部门负责解释。</w:t>
      </w:r>
    </w:p>
    <w:p>
      <w:pPr>
        <w:sectPr>
          <w:footerReference r:id="rId22" w:type="default"/>
          <w:pgSz w:w="11906" w:h="16838"/>
          <w:pgMar w:top="1440" w:right="1803" w:bottom="1440" w:left="1803" w:header="851" w:footer="992" w:gutter="0"/>
          <w:cols w:space="720" w:num="1"/>
          <w:docGrid w:type="lines" w:linePitch="319" w:charSpace="0"/>
        </w:sectPr>
      </w:pP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p>
      <w:pPr>
        <w:pStyle w:val="4"/>
        <w:rPr>
          <w:rFonts w:ascii="宋体" w:hAnsi="宋体" w:cs="宋体"/>
        </w:rPr>
      </w:pPr>
      <w:bookmarkStart w:id="140" w:name="_Toc21410"/>
      <w:r>
        <w:rPr>
          <w:rFonts w:hint="eastAsia" w:ascii="宋体" w:hAnsi="宋体" w:cs="宋体"/>
        </w:rPr>
        <w:t>附件三、残疾人福利性单位声明</w:t>
      </w:r>
      <w:bookmarkEnd w:id="133"/>
      <w:bookmarkEnd w:id="134"/>
      <w:bookmarkEnd w:id="135"/>
      <w:bookmarkEnd w:id="136"/>
      <w:bookmarkEnd w:id="137"/>
      <w:bookmarkEnd w:id="138"/>
      <w:bookmarkEnd w:id="139"/>
      <w:bookmarkEnd w:id="140"/>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4"/>
        <w:rPr>
          <w:rFonts w:ascii="宋体" w:hAnsi="宋体" w:cs="宋体"/>
        </w:rPr>
      </w:pPr>
      <w:bookmarkStart w:id="141" w:name="_Toc28878"/>
      <w:bookmarkStart w:id="142" w:name="_Toc3053"/>
      <w:bookmarkStart w:id="143" w:name="_Toc2723"/>
      <w:r>
        <w:rPr>
          <w:rFonts w:hint="eastAsia" w:ascii="宋体" w:hAnsi="宋体" w:cs="宋体"/>
        </w:rPr>
        <w:t>附件四、监狱企业证明文件</w:t>
      </w:r>
      <w:bookmarkEnd w:id="130"/>
      <w:bookmarkEnd w:id="131"/>
      <w:bookmarkEnd w:id="132"/>
      <w:bookmarkEnd w:id="141"/>
      <w:bookmarkEnd w:id="142"/>
      <w:bookmarkEnd w:id="143"/>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144" w:name="_Toc13122"/>
      <w:bookmarkStart w:id="145" w:name="_Toc3267"/>
      <w:bookmarkStart w:id="146" w:name="_Toc13303"/>
      <w:bookmarkStart w:id="147" w:name="_Toc16788"/>
      <w:bookmarkStart w:id="148" w:name="_Toc2126"/>
      <w:bookmarkStart w:id="149" w:name="_Toc11969"/>
      <w:bookmarkStart w:id="150" w:name="_Toc563"/>
      <w:r>
        <w:rPr>
          <w:rFonts w:hint="eastAsia" w:ascii="宋体" w:hAnsi="宋体" w:cs="宋体"/>
        </w:rPr>
        <w:t>附件五、“节能产品”，“环境标志产品”证明材料</w:t>
      </w:r>
      <w:bookmarkEnd w:id="144"/>
      <w:bookmarkEnd w:id="145"/>
      <w:bookmarkEnd w:id="146"/>
      <w:bookmarkEnd w:id="147"/>
      <w:bookmarkEnd w:id="148"/>
      <w:bookmarkEnd w:id="149"/>
      <w:bookmarkEnd w:id="150"/>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4"/>
        <w:rPr>
          <w:rFonts w:ascii="宋体" w:hAnsi="宋体" w:cs="宋体"/>
        </w:rPr>
      </w:pPr>
      <w:bookmarkStart w:id="151" w:name="_Toc23799"/>
      <w:bookmarkStart w:id="152" w:name="_Toc8275"/>
      <w:bookmarkStart w:id="153" w:name="_Toc4414"/>
      <w:bookmarkStart w:id="154" w:name="_Toc26351"/>
      <w:bookmarkStart w:id="155" w:name="_Toc24855"/>
      <w:bookmarkStart w:id="156" w:name="_Toc10027"/>
      <w:bookmarkStart w:id="157" w:name="_Toc11924"/>
      <w:bookmarkStart w:id="158" w:name="_Toc5338"/>
      <w:r>
        <w:rPr>
          <w:rFonts w:hint="eastAsia" w:ascii="宋体" w:hAnsi="宋体" w:cs="宋体"/>
        </w:rPr>
        <w:t>附件六、质疑函范本</w:t>
      </w:r>
      <w:bookmarkEnd w:id="151"/>
      <w:bookmarkEnd w:id="152"/>
      <w:bookmarkEnd w:id="153"/>
      <w:bookmarkEnd w:id="154"/>
      <w:bookmarkEnd w:id="155"/>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4"/>
        <w:adjustRightInd w:val="0"/>
        <w:spacing w:line="416" w:lineRule="atLeast"/>
        <w:jc w:val="both"/>
        <w:textAlignment w:val="baseline"/>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159" w:name="_Toc1200"/>
      <w:bookmarkStart w:id="160" w:name="_Toc29454"/>
      <w:bookmarkStart w:id="161" w:name="_Toc19897"/>
      <w:bookmarkStart w:id="162" w:name="_Toc2686"/>
      <w:r>
        <w:rPr>
          <w:rFonts w:hint="eastAsia" w:ascii="宋体" w:hAnsi="宋体" w:cs="宋体"/>
        </w:rPr>
        <w:t>附件七、保证金退还账户信息确认表</w:t>
      </w:r>
      <w:bookmarkEnd w:id="156"/>
      <w:bookmarkEnd w:id="157"/>
      <w:bookmarkEnd w:id="158"/>
      <w:bookmarkEnd w:id="159"/>
      <w:bookmarkEnd w:id="160"/>
      <w:bookmarkEnd w:id="161"/>
      <w:bookmarkEnd w:id="162"/>
      <w:bookmarkStart w:id="163" w:name="_Toc378248335"/>
    </w:p>
    <w:p>
      <w:pPr>
        <w:rPr>
          <w:rFonts w:ascii="宋体" w:hAnsi="宋体" w:cs="宋体"/>
        </w:rPr>
      </w:pPr>
    </w:p>
    <w:p>
      <w:pPr>
        <w:rPr>
          <w:rFonts w:ascii="宋体" w:hAnsi="宋体" w:cs="宋体"/>
          <w:sz w:val="28"/>
          <w:szCs w:val="28"/>
        </w:rPr>
      </w:pPr>
      <w:r>
        <w:rPr>
          <w:rFonts w:hint="eastAsia" w:ascii="宋体" w:hAnsi="宋体" w:cs="宋体"/>
          <w:sz w:val="28"/>
          <w:szCs w:val="28"/>
        </w:rPr>
        <w:t>项目名称：</w:t>
      </w:r>
      <w:r>
        <w:rPr>
          <w:rFonts w:hint="eastAsia" w:ascii="宋体" w:hAnsi="宋体" w:cs="宋体"/>
          <w:kern w:val="0"/>
          <w:sz w:val="24"/>
          <w:szCs w:val="24"/>
        </w:rPr>
        <w:t>_____________________________</w:t>
      </w:r>
    </w:p>
    <w:p>
      <w:pPr>
        <w:tabs>
          <w:tab w:val="center" w:pos="4150"/>
        </w:tabs>
        <w:rPr>
          <w:rFonts w:hint="eastAsia" w:ascii="宋体" w:hAnsi="宋体" w:cs="宋体"/>
          <w:sz w:val="28"/>
          <w:szCs w:val="28"/>
        </w:rPr>
      </w:pPr>
      <w:r>
        <w:rPr>
          <w:rFonts w:hint="eastAsia" w:ascii="宋体" w:hAnsi="宋体" w:cs="宋体"/>
          <w:sz w:val="28"/>
          <w:szCs w:val="28"/>
        </w:rPr>
        <w:t>项目编号：</w:t>
      </w:r>
      <w:bookmarkEnd w:id="163"/>
      <w:r>
        <w:rPr>
          <w:rFonts w:hint="eastAsia" w:ascii="宋体" w:hAnsi="宋体" w:cs="宋体"/>
          <w:kern w:val="0"/>
          <w:sz w:val="24"/>
          <w:szCs w:val="24"/>
        </w:rPr>
        <w:t>_____________________________</w:t>
      </w:r>
      <w:r>
        <w:rPr>
          <w:rFonts w:hint="eastAsia" w:ascii="宋体" w:hAnsi="宋体" w:cs="宋体"/>
          <w:sz w:val="28"/>
          <w:szCs w:val="28"/>
        </w:rPr>
        <w:tab/>
      </w:r>
    </w:p>
    <w:tbl>
      <w:tblPr>
        <w:tblStyle w:val="31"/>
        <w:tblW w:w="86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hAnsi="宋体" w:cs="宋体"/>
                <w:sz w:val="24"/>
                <w:szCs w:val="24"/>
              </w:rPr>
            </w:pPr>
            <w:r>
              <w:rPr>
                <w:rFonts w:hint="eastAsia" w:ascii="宋体" w:hAnsi="宋体" w:cs="宋体"/>
                <w:sz w:val="24"/>
                <w:szCs w:val="24"/>
              </w:rPr>
              <w:t>应退投标保证金</w:t>
            </w:r>
          </w:p>
        </w:tc>
        <w:tc>
          <w:tcPr>
            <w:tcW w:w="6372" w:type="dxa"/>
            <w:gridSpan w:val="2"/>
          </w:tcPr>
          <w:p>
            <w:pPr>
              <w:rPr>
                <w:rFonts w:ascii="宋体" w:hAnsi="宋体" w:cs="宋体"/>
                <w:sz w:val="24"/>
                <w:szCs w:val="24"/>
              </w:rPr>
            </w:pPr>
            <w:r>
              <w:rPr>
                <w:rFonts w:hint="eastAsia" w:ascii="宋体" w:hAnsi="宋体" w:cs="宋体"/>
                <w:sz w:val="24"/>
                <w:szCs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rPr>
                <w:rFonts w:ascii="宋体" w:hAnsi="宋体" w:cs="宋体"/>
                <w:sz w:val="24"/>
                <w:szCs w:val="24"/>
              </w:rPr>
            </w:pPr>
          </w:p>
        </w:tc>
        <w:tc>
          <w:tcPr>
            <w:tcW w:w="6372" w:type="dxa"/>
            <w:gridSpan w:val="2"/>
          </w:tcPr>
          <w:p>
            <w:pPr>
              <w:rPr>
                <w:rFonts w:ascii="宋体" w:hAnsi="宋体" w:cs="宋体"/>
                <w:sz w:val="24"/>
                <w:szCs w:val="24"/>
              </w:rPr>
            </w:pPr>
            <w:r>
              <w:rPr>
                <w:rFonts w:hint="eastAsia" w:ascii="宋体" w:hAnsi="宋体" w:cs="宋体"/>
                <w:sz w:val="24"/>
                <w:szCs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rPr>
                <w:rFonts w:ascii="宋体" w:hAnsi="宋体" w:cs="宋体"/>
              </w:rPr>
            </w:pPr>
            <w:r>
              <w:rPr>
                <w:rFonts w:hint="eastAsia" w:ascii="宋体" w:hAnsi="宋体" w:cs="宋体"/>
              </w:rPr>
              <w:t>收款单位（盖章）</w:t>
            </w:r>
          </w:p>
        </w:tc>
        <w:tc>
          <w:tcPr>
            <w:tcW w:w="2370" w:type="dxa"/>
            <w:vAlign w:val="center"/>
          </w:tcPr>
          <w:p>
            <w:pPr>
              <w:jc w:val="center"/>
              <w:rPr>
                <w:rFonts w:ascii="宋体" w:hAnsi="宋体" w:cs="宋体"/>
                <w:sz w:val="24"/>
                <w:szCs w:val="24"/>
              </w:rPr>
            </w:pPr>
            <w:r>
              <w:rPr>
                <w:rFonts w:hint="eastAsia" w:ascii="宋体" w:hAnsi="宋体" w:cs="宋体"/>
                <w:sz w:val="24"/>
                <w:szCs w:val="24"/>
              </w:rPr>
              <w:t>单  位 名 称</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开   户   行</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账        号</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联系人及电话</w:t>
            </w:r>
          </w:p>
        </w:tc>
        <w:tc>
          <w:tcPr>
            <w:tcW w:w="4002" w:type="dxa"/>
          </w:tcPr>
          <w:p>
            <w:pPr>
              <w:rPr>
                <w:rFonts w:ascii="宋体" w:hAnsi="宋体" w:cs="宋体"/>
                <w:sz w:val="24"/>
                <w:szCs w:val="24"/>
              </w:rPr>
            </w:pPr>
          </w:p>
        </w:tc>
      </w:tr>
    </w:tbl>
    <w:p>
      <w:pPr>
        <w:keepNext/>
        <w:keepLines/>
        <w:adjustRightInd w:val="0"/>
        <w:spacing w:line="416" w:lineRule="atLeast"/>
        <w:textAlignment w:val="baseline"/>
        <w:rPr>
          <w:rFonts w:ascii="宋体" w:hAnsi="宋体" w:cs="宋体"/>
          <w:b/>
          <w:bCs/>
          <w:sz w:val="24"/>
          <w:szCs w:val="24"/>
        </w:rPr>
      </w:pPr>
      <w:r>
        <w:rPr>
          <w:rFonts w:hint="eastAsia" w:ascii="宋体" w:hAnsi="宋体" w:cs="宋体"/>
          <w:b/>
          <w:bCs/>
          <w:sz w:val="24"/>
          <w:szCs w:val="24"/>
        </w:rPr>
        <w:t>注：单位公章需清晰完整。（仅作为退还保证金时使用，需单独提供）</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可在开标当天将保证金退还账户信息确认表与保证金汇款凭证复印件加盖公章一并交给工作人员，当天未提交保证金退还账户信息确认表与保证金汇款凭证复印件加盖公章的供应商，在开标后自行找财务办理保证金退还手续。</w:t>
      </w:r>
    </w:p>
    <w:p>
      <w:pPr>
        <w:jc w:val="left"/>
        <w:rPr>
          <w:rFonts w:ascii="宋体" w:hAnsi="宋体" w:cs="宋体"/>
          <w:b/>
          <w:bCs/>
          <w:spacing w:val="48"/>
          <w:sz w:val="72"/>
          <w:szCs w:val="72"/>
        </w:rPr>
      </w:pPr>
    </w:p>
    <w:p>
      <w:pPr>
        <w:rPr>
          <w:rFonts w:ascii="宋体" w:hAnsi="宋体" w:cs="宋体"/>
        </w:rPr>
      </w:pPr>
    </w:p>
    <w:p>
      <w:pPr>
        <w:jc w:val="left"/>
        <w:rPr>
          <w:rFonts w:ascii="宋体" w:hAnsi="宋体" w:cs="宋体"/>
          <w:b/>
          <w:bCs/>
          <w:spacing w:val="48"/>
          <w:sz w:val="72"/>
          <w:szCs w:val="72"/>
        </w:rPr>
      </w:pPr>
    </w:p>
    <w:p>
      <w:pPr>
        <w:rPr>
          <w:rFonts w:ascii="宋体" w:hAnsi="宋体" w:cs="宋体"/>
        </w:rPr>
      </w:pPr>
    </w:p>
    <w:p>
      <w:pPr>
        <w:rPr>
          <w:rFonts w:ascii="宋体" w:hAnsi="宋体" w:cs="宋体"/>
          <w:b/>
          <w:bCs/>
          <w:spacing w:val="48"/>
          <w:sz w:val="72"/>
          <w:szCs w:val="72"/>
        </w:rPr>
      </w:pPr>
    </w:p>
    <w:p>
      <w:pPr>
        <w:rPr>
          <w:rFonts w:ascii="宋体" w:hAnsi="宋体" w:cs="宋体"/>
        </w:rPr>
      </w:pPr>
    </w:p>
    <w:p>
      <w:pPr>
        <w:jc w:val="left"/>
        <w:rPr>
          <w:rFonts w:ascii="宋体" w:hAnsi="宋体" w:cs="宋体"/>
          <w:b/>
          <w:spacing w:val="48"/>
          <w:sz w:val="72"/>
          <w:szCs w:val="72"/>
        </w:rPr>
        <w:sectPr>
          <w:headerReference r:id="rId23" w:type="default"/>
          <w:footerReference r:id="rId24" w:type="default"/>
          <w:pgSz w:w="11906" w:h="16838"/>
          <w:pgMar w:top="1440" w:right="1803" w:bottom="1440" w:left="1803" w:header="851" w:footer="992" w:gutter="0"/>
          <w:pgNumType w:fmt="decimal"/>
          <w:cols w:space="720" w:num="1"/>
          <w:docGrid w:type="lines" w:linePitch="319" w:charSpace="0"/>
        </w:sectPr>
      </w:pPr>
    </w:p>
    <w:p>
      <w:pPr>
        <w:ind w:firstLine="819" w:firstLineChars="100"/>
        <w:jc w:val="left"/>
        <w:rPr>
          <w:rFonts w:ascii="宋体" w:hAnsi="宋体" w:cs="宋体"/>
          <w:b/>
          <w:spacing w:val="48"/>
          <w:sz w:val="72"/>
          <w:szCs w:val="72"/>
        </w:rPr>
      </w:pPr>
      <w:r>
        <w:rPr>
          <w:rFonts w:hint="eastAsia" w:ascii="宋体" w:hAnsi="宋体" w:cs="宋体"/>
          <w:b/>
          <w:spacing w:val="48"/>
          <w:sz w:val="72"/>
          <w:szCs w:val="72"/>
        </w:rPr>
        <w:t>公平       公正</w:t>
      </w:r>
    </w:p>
    <w:p>
      <w:pPr>
        <w:jc w:val="left"/>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rPr>
          <w:rFonts w:ascii="宋体" w:hAnsi="宋体" w:cs="宋体"/>
          <w:b/>
          <w:sz w:val="30"/>
          <w:szCs w:val="30"/>
        </w:rPr>
      </w:pPr>
      <w:r>
        <w:rPr>
          <w:rFonts w:hint="eastAsia" w:ascii="宋体" w:hAnsi="宋体" w:cs="宋体"/>
          <w:b/>
          <w:sz w:val="30"/>
          <w:szCs w:val="30"/>
        </w:rPr>
        <w:t>企业名称：陕西卓佲项目管理有限公司</w:t>
      </w:r>
    </w:p>
    <w:p>
      <w:pPr>
        <w:rPr>
          <w:rFonts w:ascii="宋体" w:hAnsi="宋体" w:cs="宋体"/>
          <w:b/>
          <w:sz w:val="30"/>
          <w:szCs w:val="30"/>
        </w:rPr>
      </w:pPr>
      <w:r>
        <w:rPr>
          <w:rFonts w:hint="eastAsia" w:ascii="宋体" w:hAnsi="宋体" w:cs="宋体"/>
          <w:b/>
          <w:sz w:val="30"/>
          <w:szCs w:val="30"/>
        </w:rPr>
        <w:t>地址：西安市雁塔区科技路十号华奥大厦A座</w:t>
      </w:r>
      <w:r>
        <w:rPr>
          <w:rFonts w:hint="eastAsia" w:ascii="宋体" w:hAnsi="宋体" w:cs="宋体"/>
          <w:b/>
          <w:sz w:val="30"/>
          <w:szCs w:val="30"/>
          <w:lang w:val="en-US" w:eastAsia="zh-CN"/>
        </w:rPr>
        <w:t>20层</w:t>
      </w:r>
      <w:r>
        <w:rPr>
          <w:rFonts w:hint="eastAsia" w:ascii="宋体" w:hAnsi="宋体" w:cs="宋体"/>
          <w:b/>
          <w:sz w:val="30"/>
          <w:szCs w:val="30"/>
        </w:rPr>
        <w:t>2002室</w:t>
      </w:r>
    </w:p>
    <w:p>
      <w:pPr>
        <w:rPr>
          <w:rFonts w:ascii="宋体" w:hAnsi="宋体" w:cs="宋体"/>
          <w:b/>
          <w:sz w:val="30"/>
          <w:szCs w:val="30"/>
        </w:rPr>
      </w:pPr>
      <w:r>
        <w:rPr>
          <w:rFonts w:hint="eastAsia" w:ascii="宋体" w:hAnsi="宋体" w:cs="宋体"/>
          <w:b/>
          <w:sz w:val="30"/>
          <w:szCs w:val="30"/>
        </w:rPr>
        <w:t>邮政编码：710065</w:t>
      </w:r>
    </w:p>
    <w:p>
      <w:pPr>
        <w:rPr>
          <w:rFonts w:ascii="宋体" w:hAnsi="宋体" w:cs="宋体"/>
          <w:b/>
          <w:sz w:val="30"/>
          <w:szCs w:val="30"/>
        </w:rPr>
      </w:pPr>
      <w:r>
        <w:rPr>
          <w:rFonts w:hint="eastAsia" w:ascii="宋体" w:hAnsi="宋体" w:cs="宋体"/>
          <w:b/>
          <w:sz w:val="30"/>
          <w:szCs w:val="30"/>
        </w:rPr>
        <w:t>电话：029-88440695</w:t>
      </w:r>
    </w:p>
    <w:p>
      <w:pPr>
        <w:rPr>
          <w:rFonts w:ascii="宋体" w:hAnsi="宋体" w:cs="宋体"/>
        </w:rPr>
      </w:pPr>
      <w:r>
        <w:rPr>
          <w:rFonts w:hint="eastAsia" w:ascii="宋体" w:hAnsi="宋体" w:cs="宋体"/>
          <w:b/>
          <w:sz w:val="30"/>
          <w:szCs w:val="30"/>
        </w:rPr>
        <w:t>传真：029-88440695</w:t>
      </w:r>
    </w:p>
    <w:p>
      <w:pPr>
        <w:rPr>
          <w:rFonts w:ascii="宋体" w:hAnsi="宋体" w:cs="宋体"/>
        </w:rPr>
      </w:pPr>
    </w:p>
    <w:bookmarkEnd w:id="0"/>
    <w:bookmarkEnd w:id="67"/>
    <w:bookmarkEnd w:id="68"/>
    <w:p>
      <w:pPr>
        <w:rPr>
          <w:rFonts w:ascii="宋体" w:hAnsi="宋体" w:cs="宋体"/>
        </w:rPr>
      </w:pPr>
    </w:p>
    <w:sectPr>
      <w:headerReference r:id="rId25" w:type="default"/>
      <w:footerReference r:id="rId26"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Corbel"/>
    <w:panose1 w:val="00000000000000000000"/>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0"/>
        <w:tab w:val="right" w:pos="8420"/>
        <w:tab w:val="clear" w:pos="4153"/>
      </w:tabs>
      <w:rPr>
        <w:rFonts w:ascii="宋体"/>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cs="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0"/>
        <w:tab w:val="right" w:pos="8420"/>
        <w:tab w:val="clear" w:pos="4153"/>
      </w:tabs>
      <w:rPr>
        <w:rFonts w:ascii="宋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0"/>
        <w:tab w:val="right" w:pos="8420"/>
        <w:tab w:val="clear" w:pos="4153"/>
      </w:tabs>
      <w:rPr>
        <w:rFonts w:ascii="宋体"/>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62</w:t>
                          </w:r>
                          <w:r>
                            <w:fldChar w:fldCharType="end"/>
                          </w:r>
                          <w:r>
                            <w:t xml:space="preserve"> 页 共 </w:t>
                          </w:r>
                          <w:r>
                            <w:rPr>
                              <w:rFonts w:hint="eastAsia"/>
                              <w:lang w:val="en-US" w:eastAsia="zh-CN"/>
                            </w:rPr>
                            <w:t>67</w:t>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62</w:t>
                    </w:r>
                    <w:r>
                      <w:fldChar w:fldCharType="end"/>
                    </w:r>
                    <w:r>
                      <w:t xml:space="preserve"> 页 共 </w:t>
                    </w:r>
                    <w:r>
                      <w:rPr>
                        <w:rFonts w:hint="eastAsia"/>
                        <w:lang w:val="en-US" w:eastAsia="zh-CN"/>
                      </w:rPr>
                      <w:t>67</w:t>
                    </w:r>
                    <w:r>
                      <w:t>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0"/>
        <w:tab w:val="right" w:pos="8420"/>
        <w:tab w:val="clear" w:pos="4153"/>
      </w:tabs>
      <w:rPr>
        <w:rFonts w:ascii="宋体"/>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right" w:pos="8426"/>
      </w:tabs>
      <w:rPr>
        <w:rFonts w:ascii="宋体" w:hAnsi="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0"/>
        <w:tab w:val="right" w:pos="8420"/>
        <w:tab w:val="clear" w:pos="4153"/>
      </w:tabs>
      <w:rPr>
        <w:rFonts w:hint="eastAsia" w:ascii="宋体" w:hAnsi="宋体" w:cs="宋体"/>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hAnsi="宋体" w:eastAsia="宋体" w:cs="宋体"/>
        <w:highlight w:val="none"/>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 xml:space="preserve">西安外国语大学长安校区中心机房改造项目                                                      </w:t>
    </w:r>
    <w:bookmarkStart w:id="164" w:name="OLE_LINK16"/>
    <w:r>
      <w:rPr>
        <w:rFonts w:hint="eastAsia" w:ascii="宋体" w:hAnsi="宋体" w:cs="宋体"/>
        <w:sz w:val="15"/>
        <w:szCs w:val="15"/>
        <w:u w:val="single"/>
      </w:rPr>
      <w:t>SXWZ2017ZB-XAWGY-02</w:t>
    </w:r>
    <w:bookmarkEnd w:id="16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C435DD92"/>
    <w:multiLevelType w:val="singleLevel"/>
    <w:tmpl w:val="C435DD92"/>
    <w:lvl w:ilvl="0" w:tentative="0">
      <w:start w:val="2"/>
      <w:numFmt w:val="chineseCounting"/>
      <w:suff w:val="nothing"/>
      <w:lvlText w:val="%1、"/>
      <w:lvlJc w:val="left"/>
      <w:rPr>
        <w:rFonts w:hint="eastAsia"/>
      </w:rPr>
    </w:lvl>
  </w:abstractNum>
  <w:abstractNum w:abstractNumId="2">
    <w:nsid w:val="C99BDCD1"/>
    <w:multiLevelType w:val="singleLevel"/>
    <w:tmpl w:val="C99BDCD1"/>
    <w:lvl w:ilvl="0" w:tentative="0">
      <w:start w:val="1"/>
      <w:numFmt w:val="chineseCounting"/>
      <w:suff w:val="nothing"/>
      <w:lvlText w:val="（%1）"/>
      <w:lvlJc w:val="left"/>
      <w:rPr>
        <w:rFonts w:hint="eastAsia"/>
      </w:rPr>
    </w:lvl>
  </w:abstractNum>
  <w:abstractNum w:abstractNumId="3">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4">
    <w:nsid w:val="F20ECAEB"/>
    <w:multiLevelType w:val="singleLevel"/>
    <w:tmpl w:val="F20ECAEB"/>
    <w:lvl w:ilvl="0" w:tentative="0">
      <w:start w:val="4"/>
      <w:numFmt w:val="chineseCounting"/>
      <w:suff w:val="space"/>
      <w:lvlText w:val="第%1部分"/>
      <w:lvlJc w:val="left"/>
      <w:rPr>
        <w:rFonts w:hint="eastAsia"/>
      </w:rPr>
    </w:lvl>
  </w:abstractNum>
  <w:abstractNum w:abstractNumId="5">
    <w:nsid w:val="19B057FC"/>
    <w:multiLevelType w:val="singleLevel"/>
    <w:tmpl w:val="19B057FC"/>
    <w:lvl w:ilvl="0" w:tentative="0">
      <w:start w:val="1"/>
      <w:numFmt w:val="decimal"/>
      <w:suff w:val="nothing"/>
      <w:lvlText w:val="%1、"/>
      <w:lvlJc w:val="left"/>
      <w:pPr>
        <w:ind w:left="140" w:firstLine="0"/>
      </w:pPr>
    </w:lvl>
  </w:abstractNum>
  <w:abstractNum w:abstractNumId="6">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7">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8">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9">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0">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1">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2">
    <w:nsid w:val="58BE6519"/>
    <w:multiLevelType w:val="singleLevel"/>
    <w:tmpl w:val="58BE6519"/>
    <w:lvl w:ilvl="0" w:tentative="0">
      <w:start w:val="1"/>
      <w:numFmt w:val="decimal"/>
      <w:suff w:val="nothing"/>
      <w:lvlText w:val="%1、"/>
      <w:lvlJc w:val="left"/>
      <w:pPr>
        <w:ind w:left="200" w:firstLine="420"/>
      </w:pPr>
      <w:rPr>
        <w:rFonts w:hint="default"/>
      </w:rPr>
    </w:lvl>
  </w:abstractNum>
  <w:abstractNum w:abstractNumId="13">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4">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5">
    <w:nsid w:val="58E5B8A6"/>
    <w:multiLevelType w:val="singleLevel"/>
    <w:tmpl w:val="58E5B8A6"/>
    <w:lvl w:ilvl="0" w:tentative="0">
      <w:start w:val="1"/>
      <w:numFmt w:val="decimal"/>
      <w:suff w:val="nothing"/>
      <w:lvlText w:val="（%1）"/>
      <w:lvlJc w:val="left"/>
      <w:pPr>
        <w:ind w:left="0" w:firstLine="420"/>
      </w:pPr>
      <w:rPr>
        <w:rFonts w:hint="default"/>
      </w:rPr>
    </w:lvl>
  </w:abstractNum>
  <w:abstractNum w:abstractNumId="16">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17">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18">
    <w:nsid w:val="5902B6A7"/>
    <w:multiLevelType w:val="singleLevel"/>
    <w:tmpl w:val="5902B6A7"/>
    <w:lvl w:ilvl="0" w:tentative="0">
      <w:start w:val="1"/>
      <w:numFmt w:val="decimal"/>
      <w:pStyle w:val="8"/>
      <w:lvlText w:val="%1."/>
      <w:lvlJc w:val="left"/>
      <w:pPr>
        <w:tabs>
          <w:tab w:val="left" w:pos="360"/>
        </w:tabs>
        <w:ind w:left="360" w:hanging="360"/>
      </w:pPr>
    </w:lvl>
  </w:abstractNum>
  <w:abstractNum w:abstractNumId="19">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20">
    <w:nsid w:val="604094DA"/>
    <w:multiLevelType w:val="singleLevel"/>
    <w:tmpl w:val="604094DA"/>
    <w:lvl w:ilvl="0" w:tentative="0">
      <w:start w:val="1"/>
      <w:numFmt w:val="decimal"/>
      <w:suff w:val="space"/>
      <w:lvlText w:val="%1."/>
      <w:lvlJc w:val="left"/>
    </w:lvl>
  </w:abstractNum>
  <w:abstractNum w:abstractNumId="21">
    <w:nsid w:val="61F7CCE3"/>
    <w:multiLevelType w:val="singleLevel"/>
    <w:tmpl w:val="61F7CCE3"/>
    <w:lvl w:ilvl="0" w:tentative="0">
      <w:start w:val="2"/>
      <w:numFmt w:val="chineseCounting"/>
      <w:suff w:val="space"/>
      <w:lvlText w:val="第%1部分"/>
      <w:lvlJc w:val="left"/>
      <w:rPr>
        <w:rFonts w:hint="eastAsia"/>
      </w:rPr>
    </w:lvl>
  </w:abstractNum>
  <w:abstractNum w:abstractNumId="22">
    <w:nsid w:val="744D776A"/>
    <w:multiLevelType w:val="singleLevel"/>
    <w:tmpl w:val="744D776A"/>
    <w:lvl w:ilvl="0" w:tentative="0">
      <w:start w:val="2"/>
      <w:numFmt w:val="decimal"/>
      <w:suff w:val="nothing"/>
      <w:lvlText w:val="%1、"/>
      <w:lvlJc w:val="left"/>
    </w:lvl>
  </w:abstractNum>
  <w:abstractNum w:abstractNumId="23">
    <w:nsid w:val="7EBA4DB1"/>
    <w:multiLevelType w:val="singleLevel"/>
    <w:tmpl w:val="7EBA4DB1"/>
    <w:lvl w:ilvl="0" w:tentative="0">
      <w:start w:val="3"/>
      <w:numFmt w:val="chineseCounting"/>
      <w:suff w:val="nothing"/>
      <w:lvlText w:val="%1、"/>
      <w:lvlJc w:val="left"/>
      <w:rPr>
        <w:rFonts w:hint="eastAsia"/>
      </w:rPr>
    </w:lvl>
  </w:abstractNum>
  <w:num w:numId="1">
    <w:abstractNumId w:val="18"/>
  </w:num>
  <w:num w:numId="2">
    <w:abstractNumId w:val="2"/>
  </w:num>
  <w:num w:numId="3">
    <w:abstractNumId w:val="17"/>
  </w:num>
  <w:num w:numId="4">
    <w:abstractNumId w:val="22"/>
  </w:num>
  <w:num w:numId="5">
    <w:abstractNumId w:val="19"/>
  </w:num>
  <w:num w:numId="6">
    <w:abstractNumId w:val="3"/>
  </w:num>
  <w:num w:numId="7">
    <w:abstractNumId w:val="0"/>
  </w:num>
  <w:num w:numId="8">
    <w:abstractNumId w:val="9"/>
  </w:num>
  <w:num w:numId="9">
    <w:abstractNumId w:val="7"/>
  </w:num>
  <w:num w:numId="10">
    <w:abstractNumId w:val="1"/>
  </w:num>
  <w:num w:numId="11">
    <w:abstractNumId w:val="13"/>
  </w:num>
  <w:num w:numId="12">
    <w:abstractNumId w:val="14"/>
  </w:num>
  <w:num w:numId="13">
    <w:abstractNumId w:val="10"/>
  </w:num>
  <w:num w:numId="14">
    <w:abstractNumId w:val="15"/>
  </w:num>
  <w:num w:numId="15">
    <w:abstractNumId w:val="8"/>
  </w:num>
  <w:num w:numId="16">
    <w:abstractNumId w:val="11"/>
  </w:num>
  <w:num w:numId="17">
    <w:abstractNumId w:val="12"/>
  </w:num>
  <w:num w:numId="18">
    <w:abstractNumId w:val="16"/>
  </w:num>
  <w:num w:numId="19">
    <w:abstractNumId w:val="4"/>
  </w:num>
  <w:num w:numId="20">
    <w:abstractNumId w:val="23"/>
  </w:num>
  <w:num w:numId="21">
    <w:abstractNumId w:val="21"/>
  </w:num>
  <w:num w:numId="22">
    <w:abstractNumId w:val="5"/>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jcwN2ZiODJhNjBiYWE0YWQyOGFlZGQ1NzRhYTAifQ=="/>
  </w:docVars>
  <w:rsids>
    <w:rsidRoot w:val="00172A27"/>
    <w:rsid w:val="00010D1C"/>
    <w:rsid w:val="00037E51"/>
    <w:rsid w:val="00042D40"/>
    <w:rsid w:val="00067B07"/>
    <w:rsid w:val="000743B6"/>
    <w:rsid w:val="0009265D"/>
    <w:rsid w:val="000A3AD6"/>
    <w:rsid w:val="000A6804"/>
    <w:rsid w:val="000B3DD4"/>
    <w:rsid w:val="000C0895"/>
    <w:rsid w:val="000C673D"/>
    <w:rsid w:val="000D7288"/>
    <w:rsid w:val="000E2734"/>
    <w:rsid w:val="000F3806"/>
    <w:rsid w:val="00102202"/>
    <w:rsid w:val="0011607E"/>
    <w:rsid w:val="00122D04"/>
    <w:rsid w:val="00126C11"/>
    <w:rsid w:val="00140E4D"/>
    <w:rsid w:val="00152CAF"/>
    <w:rsid w:val="00167A28"/>
    <w:rsid w:val="0017037F"/>
    <w:rsid w:val="00172A27"/>
    <w:rsid w:val="00192A67"/>
    <w:rsid w:val="00195B2A"/>
    <w:rsid w:val="001A00DF"/>
    <w:rsid w:val="001A439C"/>
    <w:rsid w:val="001A6727"/>
    <w:rsid w:val="001B0BC1"/>
    <w:rsid w:val="001B1459"/>
    <w:rsid w:val="001B3264"/>
    <w:rsid w:val="001C2786"/>
    <w:rsid w:val="001D74E8"/>
    <w:rsid w:val="001D76B9"/>
    <w:rsid w:val="001E1FE3"/>
    <w:rsid w:val="001E5E5C"/>
    <w:rsid w:val="001E7BD1"/>
    <w:rsid w:val="001E7E49"/>
    <w:rsid w:val="001F403A"/>
    <w:rsid w:val="00205EEF"/>
    <w:rsid w:val="00221202"/>
    <w:rsid w:val="002331D3"/>
    <w:rsid w:val="00244E6C"/>
    <w:rsid w:val="00247C1D"/>
    <w:rsid w:val="0025657F"/>
    <w:rsid w:val="002647A7"/>
    <w:rsid w:val="0026628D"/>
    <w:rsid w:val="00274C97"/>
    <w:rsid w:val="002766DD"/>
    <w:rsid w:val="002863B0"/>
    <w:rsid w:val="00287CC7"/>
    <w:rsid w:val="00290135"/>
    <w:rsid w:val="00295F6C"/>
    <w:rsid w:val="0029755A"/>
    <w:rsid w:val="002A2AC6"/>
    <w:rsid w:val="002A5E9A"/>
    <w:rsid w:val="002C54CF"/>
    <w:rsid w:val="002D2909"/>
    <w:rsid w:val="002D4DA4"/>
    <w:rsid w:val="002D7A6D"/>
    <w:rsid w:val="002E07BF"/>
    <w:rsid w:val="002F6FCA"/>
    <w:rsid w:val="003146F7"/>
    <w:rsid w:val="00326800"/>
    <w:rsid w:val="003322AB"/>
    <w:rsid w:val="00332CAB"/>
    <w:rsid w:val="00337601"/>
    <w:rsid w:val="0035235D"/>
    <w:rsid w:val="00360C09"/>
    <w:rsid w:val="00376929"/>
    <w:rsid w:val="003929E2"/>
    <w:rsid w:val="00395491"/>
    <w:rsid w:val="003A2D46"/>
    <w:rsid w:val="003A3201"/>
    <w:rsid w:val="003B290E"/>
    <w:rsid w:val="003C2DEE"/>
    <w:rsid w:val="003C2E0B"/>
    <w:rsid w:val="003C67F2"/>
    <w:rsid w:val="003D37C1"/>
    <w:rsid w:val="003E1DDF"/>
    <w:rsid w:val="003E65D8"/>
    <w:rsid w:val="003E7B81"/>
    <w:rsid w:val="003F04B9"/>
    <w:rsid w:val="003F3D18"/>
    <w:rsid w:val="003F5518"/>
    <w:rsid w:val="003F64A7"/>
    <w:rsid w:val="00402272"/>
    <w:rsid w:val="004057C8"/>
    <w:rsid w:val="00435D6D"/>
    <w:rsid w:val="004456E2"/>
    <w:rsid w:val="00450476"/>
    <w:rsid w:val="00480A2B"/>
    <w:rsid w:val="00482B14"/>
    <w:rsid w:val="004862AD"/>
    <w:rsid w:val="004A1B24"/>
    <w:rsid w:val="004A2796"/>
    <w:rsid w:val="004B0BF8"/>
    <w:rsid w:val="004C2AF8"/>
    <w:rsid w:val="004D70C5"/>
    <w:rsid w:val="004E4CF5"/>
    <w:rsid w:val="004E753C"/>
    <w:rsid w:val="00501EEF"/>
    <w:rsid w:val="0050491F"/>
    <w:rsid w:val="00513C7F"/>
    <w:rsid w:val="00517E36"/>
    <w:rsid w:val="00520C66"/>
    <w:rsid w:val="005217F8"/>
    <w:rsid w:val="00522064"/>
    <w:rsid w:val="00530399"/>
    <w:rsid w:val="00536870"/>
    <w:rsid w:val="00541724"/>
    <w:rsid w:val="00561B5B"/>
    <w:rsid w:val="00571D17"/>
    <w:rsid w:val="00572154"/>
    <w:rsid w:val="00576A5F"/>
    <w:rsid w:val="005923E3"/>
    <w:rsid w:val="005B0E59"/>
    <w:rsid w:val="005B3960"/>
    <w:rsid w:val="005B7D7A"/>
    <w:rsid w:val="005C1A4E"/>
    <w:rsid w:val="005C7704"/>
    <w:rsid w:val="005D7A12"/>
    <w:rsid w:val="005E1A4A"/>
    <w:rsid w:val="005F0772"/>
    <w:rsid w:val="005F5307"/>
    <w:rsid w:val="0060689C"/>
    <w:rsid w:val="00613B65"/>
    <w:rsid w:val="00616F2D"/>
    <w:rsid w:val="006177A7"/>
    <w:rsid w:val="006258BB"/>
    <w:rsid w:val="00641FD9"/>
    <w:rsid w:val="0064781D"/>
    <w:rsid w:val="00662B94"/>
    <w:rsid w:val="006634A1"/>
    <w:rsid w:val="006657C9"/>
    <w:rsid w:val="0067149C"/>
    <w:rsid w:val="00680400"/>
    <w:rsid w:val="00681782"/>
    <w:rsid w:val="006849A6"/>
    <w:rsid w:val="00695476"/>
    <w:rsid w:val="00696FBA"/>
    <w:rsid w:val="006A0541"/>
    <w:rsid w:val="006A5684"/>
    <w:rsid w:val="006B535E"/>
    <w:rsid w:val="006C2460"/>
    <w:rsid w:val="006D761F"/>
    <w:rsid w:val="006E169C"/>
    <w:rsid w:val="006E46DF"/>
    <w:rsid w:val="006E7F0D"/>
    <w:rsid w:val="006E7F57"/>
    <w:rsid w:val="006F1FD6"/>
    <w:rsid w:val="007027C4"/>
    <w:rsid w:val="00711C0F"/>
    <w:rsid w:val="0071294E"/>
    <w:rsid w:val="007359DA"/>
    <w:rsid w:val="00736BCC"/>
    <w:rsid w:val="0074281E"/>
    <w:rsid w:val="00743051"/>
    <w:rsid w:val="007447C1"/>
    <w:rsid w:val="00754F21"/>
    <w:rsid w:val="00770871"/>
    <w:rsid w:val="0077254B"/>
    <w:rsid w:val="00792491"/>
    <w:rsid w:val="007A3A90"/>
    <w:rsid w:val="007A4E4B"/>
    <w:rsid w:val="007B5B95"/>
    <w:rsid w:val="007B5F39"/>
    <w:rsid w:val="007C08C3"/>
    <w:rsid w:val="007C2279"/>
    <w:rsid w:val="007D0BA4"/>
    <w:rsid w:val="007D15F9"/>
    <w:rsid w:val="007D308B"/>
    <w:rsid w:val="007E485E"/>
    <w:rsid w:val="00811783"/>
    <w:rsid w:val="00813B07"/>
    <w:rsid w:val="008168BC"/>
    <w:rsid w:val="00823C25"/>
    <w:rsid w:val="008259FA"/>
    <w:rsid w:val="00847A3B"/>
    <w:rsid w:val="008573C1"/>
    <w:rsid w:val="0086367E"/>
    <w:rsid w:val="00872924"/>
    <w:rsid w:val="00876C01"/>
    <w:rsid w:val="008866C0"/>
    <w:rsid w:val="00895737"/>
    <w:rsid w:val="008962A7"/>
    <w:rsid w:val="008A367A"/>
    <w:rsid w:val="008B3D72"/>
    <w:rsid w:val="008C650D"/>
    <w:rsid w:val="008D379A"/>
    <w:rsid w:val="008E455E"/>
    <w:rsid w:val="008E7C81"/>
    <w:rsid w:val="008F5E34"/>
    <w:rsid w:val="008F6EFE"/>
    <w:rsid w:val="00900E76"/>
    <w:rsid w:val="009325F4"/>
    <w:rsid w:val="00934062"/>
    <w:rsid w:val="0093477B"/>
    <w:rsid w:val="00954CF1"/>
    <w:rsid w:val="00970225"/>
    <w:rsid w:val="00974733"/>
    <w:rsid w:val="00980469"/>
    <w:rsid w:val="00986403"/>
    <w:rsid w:val="00987EB4"/>
    <w:rsid w:val="00992950"/>
    <w:rsid w:val="009B4326"/>
    <w:rsid w:val="009B6BFE"/>
    <w:rsid w:val="009C0319"/>
    <w:rsid w:val="009C319B"/>
    <w:rsid w:val="009C3D12"/>
    <w:rsid w:val="009E3BD2"/>
    <w:rsid w:val="009E7878"/>
    <w:rsid w:val="009F29DA"/>
    <w:rsid w:val="00A02D64"/>
    <w:rsid w:val="00A057C5"/>
    <w:rsid w:val="00A066C4"/>
    <w:rsid w:val="00A12A43"/>
    <w:rsid w:val="00A245C5"/>
    <w:rsid w:val="00A248F4"/>
    <w:rsid w:val="00A368E5"/>
    <w:rsid w:val="00A50E8F"/>
    <w:rsid w:val="00A51FDF"/>
    <w:rsid w:val="00A55ABC"/>
    <w:rsid w:val="00A62024"/>
    <w:rsid w:val="00A63494"/>
    <w:rsid w:val="00A73408"/>
    <w:rsid w:val="00A73B47"/>
    <w:rsid w:val="00A8343C"/>
    <w:rsid w:val="00A9028E"/>
    <w:rsid w:val="00A921BA"/>
    <w:rsid w:val="00A924AE"/>
    <w:rsid w:val="00AB0730"/>
    <w:rsid w:val="00AC0ACE"/>
    <w:rsid w:val="00AC33EA"/>
    <w:rsid w:val="00AC7625"/>
    <w:rsid w:val="00AD6709"/>
    <w:rsid w:val="00AE1E9D"/>
    <w:rsid w:val="00AF40F8"/>
    <w:rsid w:val="00B32079"/>
    <w:rsid w:val="00B356BE"/>
    <w:rsid w:val="00B420E2"/>
    <w:rsid w:val="00B51036"/>
    <w:rsid w:val="00B530E4"/>
    <w:rsid w:val="00B657CE"/>
    <w:rsid w:val="00B71E47"/>
    <w:rsid w:val="00B73E01"/>
    <w:rsid w:val="00B76303"/>
    <w:rsid w:val="00B76DB3"/>
    <w:rsid w:val="00BC1AB3"/>
    <w:rsid w:val="00BC6B73"/>
    <w:rsid w:val="00BD2757"/>
    <w:rsid w:val="00BD2877"/>
    <w:rsid w:val="00BF4AB5"/>
    <w:rsid w:val="00C003AB"/>
    <w:rsid w:val="00C01089"/>
    <w:rsid w:val="00C12CCF"/>
    <w:rsid w:val="00C21BE4"/>
    <w:rsid w:val="00C24C41"/>
    <w:rsid w:val="00C41E46"/>
    <w:rsid w:val="00C53048"/>
    <w:rsid w:val="00C5725C"/>
    <w:rsid w:val="00C7157F"/>
    <w:rsid w:val="00C72367"/>
    <w:rsid w:val="00C73C93"/>
    <w:rsid w:val="00C74D12"/>
    <w:rsid w:val="00C8216D"/>
    <w:rsid w:val="00C9521D"/>
    <w:rsid w:val="00C96F1D"/>
    <w:rsid w:val="00CA5BC4"/>
    <w:rsid w:val="00CB13A4"/>
    <w:rsid w:val="00CB53E0"/>
    <w:rsid w:val="00CC1096"/>
    <w:rsid w:val="00CE27E5"/>
    <w:rsid w:val="00CE65B1"/>
    <w:rsid w:val="00CE797B"/>
    <w:rsid w:val="00CF14E5"/>
    <w:rsid w:val="00D01247"/>
    <w:rsid w:val="00D101F6"/>
    <w:rsid w:val="00D17C17"/>
    <w:rsid w:val="00D33A75"/>
    <w:rsid w:val="00D47F0C"/>
    <w:rsid w:val="00D55097"/>
    <w:rsid w:val="00D574E4"/>
    <w:rsid w:val="00D576EF"/>
    <w:rsid w:val="00D60EC1"/>
    <w:rsid w:val="00D67E55"/>
    <w:rsid w:val="00D73573"/>
    <w:rsid w:val="00D90775"/>
    <w:rsid w:val="00D961C4"/>
    <w:rsid w:val="00DA4229"/>
    <w:rsid w:val="00DB5A77"/>
    <w:rsid w:val="00DC1986"/>
    <w:rsid w:val="00DC7FB0"/>
    <w:rsid w:val="00DD0388"/>
    <w:rsid w:val="00DE7E5C"/>
    <w:rsid w:val="00DF3984"/>
    <w:rsid w:val="00E04145"/>
    <w:rsid w:val="00E07442"/>
    <w:rsid w:val="00E122B7"/>
    <w:rsid w:val="00E12838"/>
    <w:rsid w:val="00E13657"/>
    <w:rsid w:val="00E20E24"/>
    <w:rsid w:val="00E2372B"/>
    <w:rsid w:val="00E24AFE"/>
    <w:rsid w:val="00E2696A"/>
    <w:rsid w:val="00E27FDA"/>
    <w:rsid w:val="00E310F2"/>
    <w:rsid w:val="00E3370B"/>
    <w:rsid w:val="00E42FF4"/>
    <w:rsid w:val="00E448F4"/>
    <w:rsid w:val="00E55BD3"/>
    <w:rsid w:val="00E604D4"/>
    <w:rsid w:val="00E631A6"/>
    <w:rsid w:val="00E65904"/>
    <w:rsid w:val="00E71508"/>
    <w:rsid w:val="00E736A5"/>
    <w:rsid w:val="00E809CE"/>
    <w:rsid w:val="00E921E3"/>
    <w:rsid w:val="00E96FE9"/>
    <w:rsid w:val="00E9724B"/>
    <w:rsid w:val="00EA1ECE"/>
    <w:rsid w:val="00EB6716"/>
    <w:rsid w:val="00EC1E3D"/>
    <w:rsid w:val="00EC6E7A"/>
    <w:rsid w:val="00ED35D5"/>
    <w:rsid w:val="00EE2BA1"/>
    <w:rsid w:val="00EE2BEF"/>
    <w:rsid w:val="00EE7A3A"/>
    <w:rsid w:val="00F01B7A"/>
    <w:rsid w:val="00F15049"/>
    <w:rsid w:val="00F16A08"/>
    <w:rsid w:val="00F20B01"/>
    <w:rsid w:val="00F213BC"/>
    <w:rsid w:val="00F234ED"/>
    <w:rsid w:val="00F26B97"/>
    <w:rsid w:val="00F41A9D"/>
    <w:rsid w:val="00F55CEC"/>
    <w:rsid w:val="00F57027"/>
    <w:rsid w:val="00F57524"/>
    <w:rsid w:val="00F75245"/>
    <w:rsid w:val="00F9354D"/>
    <w:rsid w:val="00F94DCB"/>
    <w:rsid w:val="00FB05DA"/>
    <w:rsid w:val="00FC12C0"/>
    <w:rsid w:val="00FC3301"/>
    <w:rsid w:val="00FC6694"/>
    <w:rsid w:val="00FE167F"/>
    <w:rsid w:val="00FE2720"/>
    <w:rsid w:val="00FF1D7C"/>
    <w:rsid w:val="00FF2A69"/>
    <w:rsid w:val="00FF4B45"/>
    <w:rsid w:val="00FF4F56"/>
    <w:rsid w:val="01351C73"/>
    <w:rsid w:val="013A223F"/>
    <w:rsid w:val="013F2FCF"/>
    <w:rsid w:val="014C6453"/>
    <w:rsid w:val="01623C08"/>
    <w:rsid w:val="01752AFE"/>
    <w:rsid w:val="017840A9"/>
    <w:rsid w:val="01813926"/>
    <w:rsid w:val="01920D21"/>
    <w:rsid w:val="01B36AC8"/>
    <w:rsid w:val="01F90F7C"/>
    <w:rsid w:val="02064B47"/>
    <w:rsid w:val="02092073"/>
    <w:rsid w:val="02132B87"/>
    <w:rsid w:val="02264FBE"/>
    <w:rsid w:val="022B6D52"/>
    <w:rsid w:val="023E4F05"/>
    <w:rsid w:val="026E269C"/>
    <w:rsid w:val="02701597"/>
    <w:rsid w:val="0277484A"/>
    <w:rsid w:val="02854F8C"/>
    <w:rsid w:val="0299229B"/>
    <w:rsid w:val="029C5E74"/>
    <w:rsid w:val="029D1C8E"/>
    <w:rsid w:val="02CE7259"/>
    <w:rsid w:val="02DB4DF7"/>
    <w:rsid w:val="02F8646C"/>
    <w:rsid w:val="030A0C9E"/>
    <w:rsid w:val="03205381"/>
    <w:rsid w:val="036A1C71"/>
    <w:rsid w:val="036C6C55"/>
    <w:rsid w:val="036F1D46"/>
    <w:rsid w:val="037F6424"/>
    <w:rsid w:val="03802F70"/>
    <w:rsid w:val="039614B8"/>
    <w:rsid w:val="03A62FDF"/>
    <w:rsid w:val="03AD7A96"/>
    <w:rsid w:val="03B43B3F"/>
    <w:rsid w:val="03BE46A4"/>
    <w:rsid w:val="03C25B44"/>
    <w:rsid w:val="03FA6DFF"/>
    <w:rsid w:val="04090B48"/>
    <w:rsid w:val="041378F5"/>
    <w:rsid w:val="04201F87"/>
    <w:rsid w:val="04316655"/>
    <w:rsid w:val="04601AE9"/>
    <w:rsid w:val="04922828"/>
    <w:rsid w:val="04970E19"/>
    <w:rsid w:val="04AC6CA5"/>
    <w:rsid w:val="04B351C5"/>
    <w:rsid w:val="04BF5AD0"/>
    <w:rsid w:val="04C3210C"/>
    <w:rsid w:val="04E5250D"/>
    <w:rsid w:val="04F209CD"/>
    <w:rsid w:val="05290726"/>
    <w:rsid w:val="0535429B"/>
    <w:rsid w:val="05402991"/>
    <w:rsid w:val="054E1CE0"/>
    <w:rsid w:val="057A7F6E"/>
    <w:rsid w:val="058469D6"/>
    <w:rsid w:val="0589504E"/>
    <w:rsid w:val="058C1707"/>
    <w:rsid w:val="05AC0A53"/>
    <w:rsid w:val="05AD7DDA"/>
    <w:rsid w:val="05AE40A3"/>
    <w:rsid w:val="05B42F17"/>
    <w:rsid w:val="05C2650D"/>
    <w:rsid w:val="05E740AF"/>
    <w:rsid w:val="05EF0793"/>
    <w:rsid w:val="05F66E7E"/>
    <w:rsid w:val="05FC494C"/>
    <w:rsid w:val="06007989"/>
    <w:rsid w:val="060454DB"/>
    <w:rsid w:val="0618781F"/>
    <w:rsid w:val="062A4F87"/>
    <w:rsid w:val="06610A08"/>
    <w:rsid w:val="06686B0C"/>
    <w:rsid w:val="066D1D57"/>
    <w:rsid w:val="068D7620"/>
    <w:rsid w:val="06926006"/>
    <w:rsid w:val="06937EB7"/>
    <w:rsid w:val="06BE30D0"/>
    <w:rsid w:val="06C63A15"/>
    <w:rsid w:val="06EF35C6"/>
    <w:rsid w:val="070D73CC"/>
    <w:rsid w:val="072653F5"/>
    <w:rsid w:val="072852D5"/>
    <w:rsid w:val="07806CC6"/>
    <w:rsid w:val="07996308"/>
    <w:rsid w:val="079B0B7D"/>
    <w:rsid w:val="079C7ECA"/>
    <w:rsid w:val="07A86445"/>
    <w:rsid w:val="07D03979"/>
    <w:rsid w:val="07E654DD"/>
    <w:rsid w:val="07EC334E"/>
    <w:rsid w:val="08061DBD"/>
    <w:rsid w:val="080B471B"/>
    <w:rsid w:val="08186ED9"/>
    <w:rsid w:val="083512EB"/>
    <w:rsid w:val="084C4C3B"/>
    <w:rsid w:val="085B6064"/>
    <w:rsid w:val="08667849"/>
    <w:rsid w:val="086F12F7"/>
    <w:rsid w:val="087D5CEF"/>
    <w:rsid w:val="08970B55"/>
    <w:rsid w:val="08B828C6"/>
    <w:rsid w:val="08D5284D"/>
    <w:rsid w:val="08D97EBA"/>
    <w:rsid w:val="08ED0768"/>
    <w:rsid w:val="090A42F6"/>
    <w:rsid w:val="090B1FA9"/>
    <w:rsid w:val="091F7003"/>
    <w:rsid w:val="09545334"/>
    <w:rsid w:val="09583F4A"/>
    <w:rsid w:val="095F037B"/>
    <w:rsid w:val="096A27B4"/>
    <w:rsid w:val="096E6A8F"/>
    <w:rsid w:val="098B5CFE"/>
    <w:rsid w:val="099B5A1C"/>
    <w:rsid w:val="09BE6EB4"/>
    <w:rsid w:val="09E86A45"/>
    <w:rsid w:val="09EA213D"/>
    <w:rsid w:val="0A073DB5"/>
    <w:rsid w:val="0A08744C"/>
    <w:rsid w:val="0A0976BB"/>
    <w:rsid w:val="0A1608E8"/>
    <w:rsid w:val="0A1763FE"/>
    <w:rsid w:val="0A312134"/>
    <w:rsid w:val="0A3E3F88"/>
    <w:rsid w:val="0A3E7542"/>
    <w:rsid w:val="0A4D39C2"/>
    <w:rsid w:val="0A583CC6"/>
    <w:rsid w:val="0A5E3784"/>
    <w:rsid w:val="0A672A35"/>
    <w:rsid w:val="0A724549"/>
    <w:rsid w:val="0A726026"/>
    <w:rsid w:val="0A981C9A"/>
    <w:rsid w:val="0AA72862"/>
    <w:rsid w:val="0AA74B6E"/>
    <w:rsid w:val="0ADF7AEC"/>
    <w:rsid w:val="0B167DBC"/>
    <w:rsid w:val="0B21105A"/>
    <w:rsid w:val="0B212724"/>
    <w:rsid w:val="0B2209A4"/>
    <w:rsid w:val="0B483C08"/>
    <w:rsid w:val="0B5D1A85"/>
    <w:rsid w:val="0B756EDB"/>
    <w:rsid w:val="0B834CF3"/>
    <w:rsid w:val="0B88699B"/>
    <w:rsid w:val="0B986F9F"/>
    <w:rsid w:val="0BBE458A"/>
    <w:rsid w:val="0BCF5E37"/>
    <w:rsid w:val="0BD74A5E"/>
    <w:rsid w:val="0BD928E6"/>
    <w:rsid w:val="0BDC5000"/>
    <w:rsid w:val="0BE03D2B"/>
    <w:rsid w:val="0BE92434"/>
    <w:rsid w:val="0C02663A"/>
    <w:rsid w:val="0C090444"/>
    <w:rsid w:val="0C1D7DEF"/>
    <w:rsid w:val="0C2413F5"/>
    <w:rsid w:val="0C2C1105"/>
    <w:rsid w:val="0C4B1E57"/>
    <w:rsid w:val="0C545F5A"/>
    <w:rsid w:val="0C567D9E"/>
    <w:rsid w:val="0C606202"/>
    <w:rsid w:val="0C662702"/>
    <w:rsid w:val="0C7F3BFC"/>
    <w:rsid w:val="0C8949E4"/>
    <w:rsid w:val="0C997EBB"/>
    <w:rsid w:val="0CB6728F"/>
    <w:rsid w:val="0CC31335"/>
    <w:rsid w:val="0CC455C5"/>
    <w:rsid w:val="0CE32B9C"/>
    <w:rsid w:val="0CF14B0E"/>
    <w:rsid w:val="0CF5585C"/>
    <w:rsid w:val="0CFB6A75"/>
    <w:rsid w:val="0CFD25BD"/>
    <w:rsid w:val="0D1E35E2"/>
    <w:rsid w:val="0D24297B"/>
    <w:rsid w:val="0D34678D"/>
    <w:rsid w:val="0D390396"/>
    <w:rsid w:val="0D3A39B1"/>
    <w:rsid w:val="0D4A02A6"/>
    <w:rsid w:val="0D4D794B"/>
    <w:rsid w:val="0D607508"/>
    <w:rsid w:val="0D8F75BB"/>
    <w:rsid w:val="0D933F5C"/>
    <w:rsid w:val="0DA3517A"/>
    <w:rsid w:val="0DAB1B73"/>
    <w:rsid w:val="0E06783A"/>
    <w:rsid w:val="0E0C42FA"/>
    <w:rsid w:val="0E340C77"/>
    <w:rsid w:val="0E3656D6"/>
    <w:rsid w:val="0E387EC2"/>
    <w:rsid w:val="0E502C29"/>
    <w:rsid w:val="0E6B4E26"/>
    <w:rsid w:val="0E734739"/>
    <w:rsid w:val="0E847919"/>
    <w:rsid w:val="0E8B4F0A"/>
    <w:rsid w:val="0E9A15CB"/>
    <w:rsid w:val="0E9C201E"/>
    <w:rsid w:val="0EA727EB"/>
    <w:rsid w:val="0EE26BE2"/>
    <w:rsid w:val="0F0F3153"/>
    <w:rsid w:val="0F4D0852"/>
    <w:rsid w:val="0F784044"/>
    <w:rsid w:val="0F823D5D"/>
    <w:rsid w:val="0F862A78"/>
    <w:rsid w:val="0F9937DA"/>
    <w:rsid w:val="0FA029A3"/>
    <w:rsid w:val="0FAB24D3"/>
    <w:rsid w:val="0FC00610"/>
    <w:rsid w:val="0FE973CA"/>
    <w:rsid w:val="10005F5F"/>
    <w:rsid w:val="10063AFE"/>
    <w:rsid w:val="100B449D"/>
    <w:rsid w:val="104B4EC7"/>
    <w:rsid w:val="105356D7"/>
    <w:rsid w:val="106252FB"/>
    <w:rsid w:val="107E5C87"/>
    <w:rsid w:val="108B226C"/>
    <w:rsid w:val="108E6DDE"/>
    <w:rsid w:val="109827F5"/>
    <w:rsid w:val="109F1BB1"/>
    <w:rsid w:val="10B152EF"/>
    <w:rsid w:val="10D20FA3"/>
    <w:rsid w:val="10D54BEF"/>
    <w:rsid w:val="10D657C4"/>
    <w:rsid w:val="10FA43D2"/>
    <w:rsid w:val="10FD3277"/>
    <w:rsid w:val="112F26C0"/>
    <w:rsid w:val="11301FEB"/>
    <w:rsid w:val="113E52CA"/>
    <w:rsid w:val="114215F5"/>
    <w:rsid w:val="114542EA"/>
    <w:rsid w:val="1149117E"/>
    <w:rsid w:val="116B59DD"/>
    <w:rsid w:val="117C761C"/>
    <w:rsid w:val="11800151"/>
    <w:rsid w:val="11A56A4F"/>
    <w:rsid w:val="11AF7455"/>
    <w:rsid w:val="11B361D3"/>
    <w:rsid w:val="11CF66B5"/>
    <w:rsid w:val="11D83639"/>
    <w:rsid w:val="11E362D1"/>
    <w:rsid w:val="11E63FFF"/>
    <w:rsid w:val="11E75F2F"/>
    <w:rsid w:val="11FB7CE2"/>
    <w:rsid w:val="12137217"/>
    <w:rsid w:val="121E0F14"/>
    <w:rsid w:val="122D6C41"/>
    <w:rsid w:val="12415950"/>
    <w:rsid w:val="12440EBB"/>
    <w:rsid w:val="124A1C36"/>
    <w:rsid w:val="12650308"/>
    <w:rsid w:val="126E66D8"/>
    <w:rsid w:val="12766F68"/>
    <w:rsid w:val="12784E55"/>
    <w:rsid w:val="128A78E8"/>
    <w:rsid w:val="128C33F4"/>
    <w:rsid w:val="1295409B"/>
    <w:rsid w:val="12993806"/>
    <w:rsid w:val="12BA218D"/>
    <w:rsid w:val="12BB4574"/>
    <w:rsid w:val="12CB0E85"/>
    <w:rsid w:val="12CB2C15"/>
    <w:rsid w:val="12CB3E6D"/>
    <w:rsid w:val="12E40295"/>
    <w:rsid w:val="12F855E8"/>
    <w:rsid w:val="12FB01C6"/>
    <w:rsid w:val="13063EC1"/>
    <w:rsid w:val="13336A4D"/>
    <w:rsid w:val="13365AD3"/>
    <w:rsid w:val="133F5E2F"/>
    <w:rsid w:val="13451BDF"/>
    <w:rsid w:val="13487675"/>
    <w:rsid w:val="134E7BFD"/>
    <w:rsid w:val="135A1DCA"/>
    <w:rsid w:val="13783B8A"/>
    <w:rsid w:val="137F4EEC"/>
    <w:rsid w:val="138D11BC"/>
    <w:rsid w:val="13972080"/>
    <w:rsid w:val="139D2FCC"/>
    <w:rsid w:val="13A05A9F"/>
    <w:rsid w:val="13AB6434"/>
    <w:rsid w:val="13BC75DB"/>
    <w:rsid w:val="13C62E93"/>
    <w:rsid w:val="13C96DAF"/>
    <w:rsid w:val="13D84C83"/>
    <w:rsid w:val="13DA623E"/>
    <w:rsid w:val="13F54EEA"/>
    <w:rsid w:val="14253493"/>
    <w:rsid w:val="1441058C"/>
    <w:rsid w:val="1443330C"/>
    <w:rsid w:val="14565420"/>
    <w:rsid w:val="145E0E2B"/>
    <w:rsid w:val="14663755"/>
    <w:rsid w:val="14A91413"/>
    <w:rsid w:val="14B53C19"/>
    <w:rsid w:val="14B629C7"/>
    <w:rsid w:val="14E26901"/>
    <w:rsid w:val="14E4368B"/>
    <w:rsid w:val="14E72B42"/>
    <w:rsid w:val="15125E09"/>
    <w:rsid w:val="15171436"/>
    <w:rsid w:val="15265BC4"/>
    <w:rsid w:val="15285578"/>
    <w:rsid w:val="15550B09"/>
    <w:rsid w:val="155550C1"/>
    <w:rsid w:val="156234AA"/>
    <w:rsid w:val="156E26BA"/>
    <w:rsid w:val="157509B7"/>
    <w:rsid w:val="1588419E"/>
    <w:rsid w:val="15BE498C"/>
    <w:rsid w:val="15C5644B"/>
    <w:rsid w:val="15C56451"/>
    <w:rsid w:val="15C8772A"/>
    <w:rsid w:val="15ED5C46"/>
    <w:rsid w:val="160D697A"/>
    <w:rsid w:val="16162C58"/>
    <w:rsid w:val="1654287F"/>
    <w:rsid w:val="166B3507"/>
    <w:rsid w:val="166F313A"/>
    <w:rsid w:val="167D7743"/>
    <w:rsid w:val="169754A7"/>
    <w:rsid w:val="16A5117D"/>
    <w:rsid w:val="16AA0B6A"/>
    <w:rsid w:val="16B25E6D"/>
    <w:rsid w:val="16BF6BE7"/>
    <w:rsid w:val="16DB3ACD"/>
    <w:rsid w:val="16E63F78"/>
    <w:rsid w:val="16F17C9B"/>
    <w:rsid w:val="172072CE"/>
    <w:rsid w:val="17411B66"/>
    <w:rsid w:val="17447531"/>
    <w:rsid w:val="17464982"/>
    <w:rsid w:val="17536E6E"/>
    <w:rsid w:val="17563FF8"/>
    <w:rsid w:val="176127D3"/>
    <w:rsid w:val="177D7BBD"/>
    <w:rsid w:val="17821F33"/>
    <w:rsid w:val="1783099B"/>
    <w:rsid w:val="178A477B"/>
    <w:rsid w:val="17907B2D"/>
    <w:rsid w:val="17B351C8"/>
    <w:rsid w:val="17CE0395"/>
    <w:rsid w:val="17E751D5"/>
    <w:rsid w:val="17F976EF"/>
    <w:rsid w:val="17FD76AA"/>
    <w:rsid w:val="180B3DC5"/>
    <w:rsid w:val="18170899"/>
    <w:rsid w:val="182D3C78"/>
    <w:rsid w:val="18444CBC"/>
    <w:rsid w:val="18603535"/>
    <w:rsid w:val="18656CB7"/>
    <w:rsid w:val="1867206B"/>
    <w:rsid w:val="186A63EF"/>
    <w:rsid w:val="186C201D"/>
    <w:rsid w:val="186E1A30"/>
    <w:rsid w:val="187152F8"/>
    <w:rsid w:val="18740800"/>
    <w:rsid w:val="18870D4A"/>
    <w:rsid w:val="188B1530"/>
    <w:rsid w:val="18921717"/>
    <w:rsid w:val="18A32A18"/>
    <w:rsid w:val="18D93BE5"/>
    <w:rsid w:val="18E02502"/>
    <w:rsid w:val="18FA490E"/>
    <w:rsid w:val="191078BE"/>
    <w:rsid w:val="191346B2"/>
    <w:rsid w:val="19275568"/>
    <w:rsid w:val="192F739D"/>
    <w:rsid w:val="19366E96"/>
    <w:rsid w:val="193D5954"/>
    <w:rsid w:val="193E78A0"/>
    <w:rsid w:val="194C04D8"/>
    <w:rsid w:val="19556FF9"/>
    <w:rsid w:val="195948F7"/>
    <w:rsid w:val="195E0E17"/>
    <w:rsid w:val="1971204D"/>
    <w:rsid w:val="19805D37"/>
    <w:rsid w:val="19C639D9"/>
    <w:rsid w:val="19C82216"/>
    <w:rsid w:val="19CA4AD8"/>
    <w:rsid w:val="19D45248"/>
    <w:rsid w:val="1A105E9F"/>
    <w:rsid w:val="1A1C6F29"/>
    <w:rsid w:val="1A324F2D"/>
    <w:rsid w:val="1A407579"/>
    <w:rsid w:val="1A462475"/>
    <w:rsid w:val="1A710808"/>
    <w:rsid w:val="1A745370"/>
    <w:rsid w:val="1A7A0EF6"/>
    <w:rsid w:val="1A8B389F"/>
    <w:rsid w:val="1A951631"/>
    <w:rsid w:val="1A997EE2"/>
    <w:rsid w:val="1AA35F36"/>
    <w:rsid w:val="1AAD5B72"/>
    <w:rsid w:val="1ABE5C90"/>
    <w:rsid w:val="1AE37041"/>
    <w:rsid w:val="1AF67185"/>
    <w:rsid w:val="1B115D3C"/>
    <w:rsid w:val="1B1E0896"/>
    <w:rsid w:val="1B3E1F3A"/>
    <w:rsid w:val="1B464213"/>
    <w:rsid w:val="1B6A11E1"/>
    <w:rsid w:val="1B6A6896"/>
    <w:rsid w:val="1B6D6F30"/>
    <w:rsid w:val="1B785979"/>
    <w:rsid w:val="1B807337"/>
    <w:rsid w:val="1B99695D"/>
    <w:rsid w:val="1BA47A56"/>
    <w:rsid w:val="1BA47C58"/>
    <w:rsid w:val="1BB80F43"/>
    <w:rsid w:val="1BC170B5"/>
    <w:rsid w:val="1BC35954"/>
    <w:rsid w:val="1BC85289"/>
    <w:rsid w:val="1BD21379"/>
    <w:rsid w:val="1BDB5F9B"/>
    <w:rsid w:val="1BDC34D1"/>
    <w:rsid w:val="1BE64759"/>
    <w:rsid w:val="1BE84701"/>
    <w:rsid w:val="1BEC1D27"/>
    <w:rsid w:val="1BF010E9"/>
    <w:rsid w:val="1BF02765"/>
    <w:rsid w:val="1BF0529D"/>
    <w:rsid w:val="1C2E159D"/>
    <w:rsid w:val="1C326500"/>
    <w:rsid w:val="1C550846"/>
    <w:rsid w:val="1C60680C"/>
    <w:rsid w:val="1C63114B"/>
    <w:rsid w:val="1C6C08F4"/>
    <w:rsid w:val="1C763C77"/>
    <w:rsid w:val="1C7E1815"/>
    <w:rsid w:val="1C9B7F2C"/>
    <w:rsid w:val="1CC22D92"/>
    <w:rsid w:val="1CC31868"/>
    <w:rsid w:val="1CD54AE5"/>
    <w:rsid w:val="1CEF4C58"/>
    <w:rsid w:val="1D1A5AAC"/>
    <w:rsid w:val="1D2073F3"/>
    <w:rsid w:val="1D385997"/>
    <w:rsid w:val="1D6B0D1C"/>
    <w:rsid w:val="1D714633"/>
    <w:rsid w:val="1D717C32"/>
    <w:rsid w:val="1D73135F"/>
    <w:rsid w:val="1D8E77C6"/>
    <w:rsid w:val="1D9E1ACD"/>
    <w:rsid w:val="1DAB55D4"/>
    <w:rsid w:val="1DB7132F"/>
    <w:rsid w:val="1DB74394"/>
    <w:rsid w:val="1DD4019E"/>
    <w:rsid w:val="1DF223D6"/>
    <w:rsid w:val="1DF636F7"/>
    <w:rsid w:val="1DF97E9A"/>
    <w:rsid w:val="1E106418"/>
    <w:rsid w:val="1E1438E8"/>
    <w:rsid w:val="1E1A49CB"/>
    <w:rsid w:val="1E213710"/>
    <w:rsid w:val="1E240C9D"/>
    <w:rsid w:val="1E2801FF"/>
    <w:rsid w:val="1E597123"/>
    <w:rsid w:val="1E635C85"/>
    <w:rsid w:val="1E6D42C6"/>
    <w:rsid w:val="1E6E1C3C"/>
    <w:rsid w:val="1EAF03E7"/>
    <w:rsid w:val="1EB113F6"/>
    <w:rsid w:val="1EB12D5B"/>
    <w:rsid w:val="1ECA20B1"/>
    <w:rsid w:val="1ECA48AD"/>
    <w:rsid w:val="1EF350E8"/>
    <w:rsid w:val="1EFD2C6E"/>
    <w:rsid w:val="1F011883"/>
    <w:rsid w:val="1F177E2D"/>
    <w:rsid w:val="1F2540E6"/>
    <w:rsid w:val="1F3609F3"/>
    <w:rsid w:val="1F563B88"/>
    <w:rsid w:val="1F733EF9"/>
    <w:rsid w:val="1F7E0B62"/>
    <w:rsid w:val="1F8C1AB1"/>
    <w:rsid w:val="1FB737DB"/>
    <w:rsid w:val="1FB818B3"/>
    <w:rsid w:val="1FC13F05"/>
    <w:rsid w:val="1FC4124F"/>
    <w:rsid w:val="1FC4129F"/>
    <w:rsid w:val="1FC87E17"/>
    <w:rsid w:val="1FCB10F3"/>
    <w:rsid w:val="1FEA26D0"/>
    <w:rsid w:val="1FF44E35"/>
    <w:rsid w:val="1FFC0CD6"/>
    <w:rsid w:val="20173E41"/>
    <w:rsid w:val="20477762"/>
    <w:rsid w:val="204E6680"/>
    <w:rsid w:val="205D49DE"/>
    <w:rsid w:val="20673EC4"/>
    <w:rsid w:val="206E1703"/>
    <w:rsid w:val="207D08E0"/>
    <w:rsid w:val="207E1154"/>
    <w:rsid w:val="208B64ED"/>
    <w:rsid w:val="20BD2B9D"/>
    <w:rsid w:val="20C47E79"/>
    <w:rsid w:val="20F40677"/>
    <w:rsid w:val="20FF648C"/>
    <w:rsid w:val="211D538B"/>
    <w:rsid w:val="214D7F75"/>
    <w:rsid w:val="21692402"/>
    <w:rsid w:val="218B4186"/>
    <w:rsid w:val="218F01B7"/>
    <w:rsid w:val="21AC6C50"/>
    <w:rsid w:val="21B04A82"/>
    <w:rsid w:val="21B53414"/>
    <w:rsid w:val="21CC25D2"/>
    <w:rsid w:val="21CF34D5"/>
    <w:rsid w:val="21D06BFB"/>
    <w:rsid w:val="21D278F8"/>
    <w:rsid w:val="21E17532"/>
    <w:rsid w:val="21E42164"/>
    <w:rsid w:val="21FE0428"/>
    <w:rsid w:val="220426D8"/>
    <w:rsid w:val="22292C54"/>
    <w:rsid w:val="223606BE"/>
    <w:rsid w:val="22736881"/>
    <w:rsid w:val="228826E5"/>
    <w:rsid w:val="22AF0896"/>
    <w:rsid w:val="22C17C41"/>
    <w:rsid w:val="22CC31F6"/>
    <w:rsid w:val="22DC1101"/>
    <w:rsid w:val="22DD2076"/>
    <w:rsid w:val="22E26D93"/>
    <w:rsid w:val="22FC5224"/>
    <w:rsid w:val="23536B7C"/>
    <w:rsid w:val="237760FE"/>
    <w:rsid w:val="23937A1B"/>
    <w:rsid w:val="23A31B76"/>
    <w:rsid w:val="23AF484A"/>
    <w:rsid w:val="23B91130"/>
    <w:rsid w:val="23CD6F18"/>
    <w:rsid w:val="23E303FA"/>
    <w:rsid w:val="23F33D54"/>
    <w:rsid w:val="23F34FB7"/>
    <w:rsid w:val="23FB1111"/>
    <w:rsid w:val="24184EC9"/>
    <w:rsid w:val="2423604A"/>
    <w:rsid w:val="24292561"/>
    <w:rsid w:val="24373F6D"/>
    <w:rsid w:val="2448484C"/>
    <w:rsid w:val="24575A93"/>
    <w:rsid w:val="24673185"/>
    <w:rsid w:val="248255ED"/>
    <w:rsid w:val="248B56E2"/>
    <w:rsid w:val="24A32C9D"/>
    <w:rsid w:val="24BE2F37"/>
    <w:rsid w:val="24E47ADD"/>
    <w:rsid w:val="24F50FAE"/>
    <w:rsid w:val="25030742"/>
    <w:rsid w:val="250A771D"/>
    <w:rsid w:val="251E7700"/>
    <w:rsid w:val="252614C9"/>
    <w:rsid w:val="252826CC"/>
    <w:rsid w:val="252D3C08"/>
    <w:rsid w:val="252E1698"/>
    <w:rsid w:val="25326A1A"/>
    <w:rsid w:val="25453397"/>
    <w:rsid w:val="25574B16"/>
    <w:rsid w:val="255F7AD2"/>
    <w:rsid w:val="256D4FBD"/>
    <w:rsid w:val="257E226E"/>
    <w:rsid w:val="259127F9"/>
    <w:rsid w:val="25960536"/>
    <w:rsid w:val="259D3142"/>
    <w:rsid w:val="25D57A32"/>
    <w:rsid w:val="25F211DB"/>
    <w:rsid w:val="25F520CF"/>
    <w:rsid w:val="25F60C3B"/>
    <w:rsid w:val="25F65D0C"/>
    <w:rsid w:val="25FA3C32"/>
    <w:rsid w:val="25FA60CF"/>
    <w:rsid w:val="260C04D1"/>
    <w:rsid w:val="26145425"/>
    <w:rsid w:val="26230DF0"/>
    <w:rsid w:val="2627224F"/>
    <w:rsid w:val="263C4A01"/>
    <w:rsid w:val="263F5222"/>
    <w:rsid w:val="264B2FCC"/>
    <w:rsid w:val="26507C71"/>
    <w:rsid w:val="26541B7D"/>
    <w:rsid w:val="26657DD8"/>
    <w:rsid w:val="26794F20"/>
    <w:rsid w:val="26CC079E"/>
    <w:rsid w:val="26CE57C1"/>
    <w:rsid w:val="26D1505D"/>
    <w:rsid w:val="26E15169"/>
    <w:rsid w:val="26F267D1"/>
    <w:rsid w:val="270C7E7B"/>
    <w:rsid w:val="27180E6A"/>
    <w:rsid w:val="271E393C"/>
    <w:rsid w:val="2727416B"/>
    <w:rsid w:val="272D4984"/>
    <w:rsid w:val="27581696"/>
    <w:rsid w:val="276B26C0"/>
    <w:rsid w:val="276B4823"/>
    <w:rsid w:val="278F4995"/>
    <w:rsid w:val="278F7628"/>
    <w:rsid w:val="279D08CA"/>
    <w:rsid w:val="27A872D6"/>
    <w:rsid w:val="27B92311"/>
    <w:rsid w:val="27CE4C4F"/>
    <w:rsid w:val="27DA4B52"/>
    <w:rsid w:val="27DA6390"/>
    <w:rsid w:val="27E50D7B"/>
    <w:rsid w:val="27EA37A1"/>
    <w:rsid w:val="27F513D0"/>
    <w:rsid w:val="281D1842"/>
    <w:rsid w:val="281F6039"/>
    <w:rsid w:val="28223089"/>
    <w:rsid w:val="28515969"/>
    <w:rsid w:val="28556900"/>
    <w:rsid w:val="287C52A9"/>
    <w:rsid w:val="287F71CF"/>
    <w:rsid w:val="28831658"/>
    <w:rsid w:val="289711B8"/>
    <w:rsid w:val="289E5635"/>
    <w:rsid w:val="28AA44A4"/>
    <w:rsid w:val="28B34564"/>
    <w:rsid w:val="28C246A0"/>
    <w:rsid w:val="28DB07EC"/>
    <w:rsid w:val="28FA13D4"/>
    <w:rsid w:val="29184803"/>
    <w:rsid w:val="294409BC"/>
    <w:rsid w:val="29686931"/>
    <w:rsid w:val="29690D96"/>
    <w:rsid w:val="29746DFF"/>
    <w:rsid w:val="29783FB6"/>
    <w:rsid w:val="298076E2"/>
    <w:rsid w:val="29911DBB"/>
    <w:rsid w:val="299D5957"/>
    <w:rsid w:val="29B46D85"/>
    <w:rsid w:val="29C9235D"/>
    <w:rsid w:val="29CA3422"/>
    <w:rsid w:val="29DC316A"/>
    <w:rsid w:val="29E94C34"/>
    <w:rsid w:val="29F20DAE"/>
    <w:rsid w:val="29FB48F8"/>
    <w:rsid w:val="2A0D32E4"/>
    <w:rsid w:val="2A180002"/>
    <w:rsid w:val="2A4A0382"/>
    <w:rsid w:val="2A4B34A7"/>
    <w:rsid w:val="2A604683"/>
    <w:rsid w:val="2A641987"/>
    <w:rsid w:val="2A745AF1"/>
    <w:rsid w:val="2AA02867"/>
    <w:rsid w:val="2AB357E7"/>
    <w:rsid w:val="2AC77326"/>
    <w:rsid w:val="2ACD0A6A"/>
    <w:rsid w:val="2AF76423"/>
    <w:rsid w:val="2B0747FE"/>
    <w:rsid w:val="2B096C7A"/>
    <w:rsid w:val="2B0F15B2"/>
    <w:rsid w:val="2B1431BE"/>
    <w:rsid w:val="2B1C33CA"/>
    <w:rsid w:val="2B2144A5"/>
    <w:rsid w:val="2B2A3AC8"/>
    <w:rsid w:val="2B2D17EA"/>
    <w:rsid w:val="2B2D488A"/>
    <w:rsid w:val="2B3167F0"/>
    <w:rsid w:val="2B395A62"/>
    <w:rsid w:val="2B421606"/>
    <w:rsid w:val="2B467033"/>
    <w:rsid w:val="2B63494F"/>
    <w:rsid w:val="2B6E40C9"/>
    <w:rsid w:val="2B93610E"/>
    <w:rsid w:val="2B9F615B"/>
    <w:rsid w:val="2BB23B01"/>
    <w:rsid w:val="2BC206A6"/>
    <w:rsid w:val="2BC22732"/>
    <w:rsid w:val="2BC537D3"/>
    <w:rsid w:val="2BE212BA"/>
    <w:rsid w:val="2BE43FF8"/>
    <w:rsid w:val="2BF64BF9"/>
    <w:rsid w:val="2C006AC9"/>
    <w:rsid w:val="2C1C5425"/>
    <w:rsid w:val="2C394BC1"/>
    <w:rsid w:val="2C485018"/>
    <w:rsid w:val="2C594A5D"/>
    <w:rsid w:val="2C624667"/>
    <w:rsid w:val="2CA07757"/>
    <w:rsid w:val="2CAC46BC"/>
    <w:rsid w:val="2CC9536F"/>
    <w:rsid w:val="2CD32354"/>
    <w:rsid w:val="2CF617E0"/>
    <w:rsid w:val="2D140951"/>
    <w:rsid w:val="2D1F08A9"/>
    <w:rsid w:val="2D341634"/>
    <w:rsid w:val="2D354A38"/>
    <w:rsid w:val="2D5807DA"/>
    <w:rsid w:val="2D59741D"/>
    <w:rsid w:val="2D61222D"/>
    <w:rsid w:val="2D6A3083"/>
    <w:rsid w:val="2D767628"/>
    <w:rsid w:val="2D825BE4"/>
    <w:rsid w:val="2D8A6187"/>
    <w:rsid w:val="2DB0725B"/>
    <w:rsid w:val="2DBB723B"/>
    <w:rsid w:val="2DC37DF1"/>
    <w:rsid w:val="2DD560C3"/>
    <w:rsid w:val="2DDD4AFC"/>
    <w:rsid w:val="2DE43DE4"/>
    <w:rsid w:val="2DE72CC0"/>
    <w:rsid w:val="2E0C0859"/>
    <w:rsid w:val="2E0D173F"/>
    <w:rsid w:val="2E737F6F"/>
    <w:rsid w:val="2E825B76"/>
    <w:rsid w:val="2EB433C6"/>
    <w:rsid w:val="2ECB5D09"/>
    <w:rsid w:val="2EEC509E"/>
    <w:rsid w:val="2EF57EBC"/>
    <w:rsid w:val="2F0036B2"/>
    <w:rsid w:val="2F0B25ED"/>
    <w:rsid w:val="2F1404BB"/>
    <w:rsid w:val="2F306712"/>
    <w:rsid w:val="2F347BE9"/>
    <w:rsid w:val="2F4A1FBC"/>
    <w:rsid w:val="2F76344E"/>
    <w:rsid w:val="2F8932A3"/>
    <w:rsid w:val="2F984ABB"/>
    <w:rsid w:val="2F9F0039"/>
    <w:rsid w:val="2FA74539"/>
    <w:rsid w:val="2FB154F2"/>
    <w:rsid w:val="2FCD489F"/>
    <w:rsid w:val="2FD91952"/>
    <w:rsid w:val="2FE32412"/>
    <w:rsid w:val="2FFB1CEA"/>
    <w:rsid w:val="30237284"/>
    <w:rsid w:val="30323073"/>
    <w:rsid w:val="30346EAA"/>
    <w:rsid w:val="30561692"/>
    <w:rsid w:val="305D7F24"/>
    <w:rsid w:val="306E03FB"/>
    <w:rsid w:val="307D7DB5"/>
    <w:rsid w:val="30875E2A"/>
    <w:rsid w:val="308A1A0F"/>
    <w:rsid w:val="309218B2"/>
    <w:rsid w:val="30981D92"/>
    <w:rsid w:val="309B6B2B"/>
    <w:rsid w:val="30AA13BF"/>
    <w:rsid w:val="30B22DCE"/>
    <w:rsid w:val="30C20FF2"/>
    <w:rsid w:val="30CA54D9"/>
    <w:rsid w:val="30EF353D"/>
    <w:rsid w:val="30F10891"/>
    <w:rsid w:val="30F13338"/>
    <w:rsid w:val="310C4A4C"/>
    <w:rsid w:val="311444A1"/>
    <w:rsid w:val="31195802"/>
    <w:rsid w:val="314F19DE"/>
    <w:rsid w:val="315757AE"/>
    <w:rsid w:val="31742E4E"/>
    <w:rsid w:val="31892206"/>
    <w:rsid w:val="31926D16"/>
    <w:rsid w:val="31974ED2"/>
    <w:rsid w:val="31A1306B"/>
    <w:rsid w:val="31AA13C8"/>
    <w:rsid w:val="31B242B9"/>
    <w:rsid w:val="31DF6482"/>
    <w:rsid w:val="32000348"/>
    <w:rsid w:val="320423B2"/>
    <w:rsid w:val="320A4F8C"/>
    <w:rsid w:val="321B594D"/>
    <w:rsid w:val="32396CA7"/>
    <w:rsid w:val="32406CFD"/>
    <w:rsid w:val="324E226E"/>
    <w:rsid w:val="326B1A60"/>
    <w:rsid w:val="327B0EE3"/>
    <w:rsid w:val="32842723"/>
    <w:rsid w:val="32847F41"/>
    <w:rsid w:val="32B15F25"/>
    <w:rsid w:val="32B82304"/>
    <w:rsid w:val="32B871AC"/>
    <w:rsid w:val="32C57B5B"/>
    <w:rsid w:val="32CB3041"/>
    <w:rsid w:val="32D4454C"/>
    <w:rsid w:val="32F341BB"/>
    <w:rsid w:val="32FE6DB5"/>
    <w:rsid w:val="32FF588D"/>
    <w:rsid w:val="330A5D26"/>
    <w:rsid w:val="3341058C"/>
    <w:rsid w:val="33434A04"/>
    <w:rsid w:val="335C0F0C"/>
    <w:rsid w:val="33600B95"/>
    <w:rsid w:val="338F5AA2"/>
    <w:rsid w:val="33CA38C0"/>
    <w:rsid w:val="33DC601A"/>
    <w:rsid w:val="33DE722D"/>
    <w:rsid w:val="33F62CD1"/>
    <w:rsid w:val="33FE76D9"/>
    <w:rsid w:val="3404140F"/>
    <w:rsid w:val="342B427E"/>
    <w:rsid w:val="344A3B15"/>
    <w:rsid w:val="344A5CAF"/>
    <w:rsid w:val="344D559D"/>
    <w:rsid w:val="34627E84"/>
    <w:rsid w:val="346678FC"/>
    <w:rsid w:val="34700CE5"/>
    <w:rsid w:val="34724319"/>
    <w:rsid w:val="34761B3D"/>
    <w:rsid w:val="34B54027"/>
    <w:rsid w:val="34B70E92"/>
    <w:rsid w:val="34BC38A3"/>
    <w:rsid w:val="34BC47EE"/>
    <w:rsid w:val="34D33456"/>
    <w:rsid w:val="34DB4199"/>
    <w:rsid w:val="34E40873"/>
    <w:rsid w:val="34ED2EF3"/>
    <w:rsid w:val="34FB6280"/>
    <w:rsid w:val="35096656"/>
    <w:rsid w:val="35125BC0"/>
    <w:rsid w:val="351274ED"/>
    <w:rsid w:val="3527091F"/>
    <w:rsid w:val="35413CA8"/>
    <w:rsid w:val="35523A36"/>
    <w:rsid w:val="35552533"/>
    <w:rsid w:val="355C608F"/>
    <w:rsid w:val="35884C5D"/>
    <w:rsid w:val="358B16A6"/>
    <w:rsid w:val="359114B6"/>
    <w:rsid w:val="35BD3C4A"/>
    <w:rsid w:val="35DA1085"/>
    <w:rsid w:val="35F8503E"/>
    <w:rsid w:val="36065048"/>
    <w:rsid w:val="360E3D96"/>
    <w:rsid w:val="360F3340"/>
    <w:rsid w:val="36100B60"/>
    <w:rsid w:val="36180E6A"/>
    <w:rsid w:val="363A6CD2"/>
    <w:rsid w:val="36504388"/>
    <w:rsid w:val="36525CB0"/>
    <w:rsid w:val="366F798B"/>
    <w:rsid w:val="36845E45"/>
    <w:rsid w:val="36860188"/>
    <w:rsid w:val="3687528F"/>
    <w:rsid w:val="369E1856"/>
    <w:rsid w:val="369F5F8F"/>
    <w:rsid w:val="36AB53A8"/>
    <w:rsid w:val="36BF7024"/>
    <w:rsid w:val="36CB2A00"/>
    <w:rsid w:val="36D71B6D"/>
    <w:rsid w:val="36D72354"/>
    <w:rsid w:val="36D954F0"/>
    <w:rsid w:val="36DB3646"/>
    <w:rsid w:val="370666E5"/>
    <w:rsid w:val="370C60A4"/>
    <w:rsid w:val="370F5BFD"/>
    <w:rsid w:val="371B6273"/>
    <w:rsid w:val="37323C4D"/>
    <w:rsid w:val="374375AF"/>
    <w:rsid w:val="374E58D6"/>
    <w:rsid w:val="376B6B46"/>
    <w:rsid w:val="377B22EA"/>
    <w:rsid w:val="37801AA2"/>
    <w:rsid w:val="3782361C"/>
    <w:rsid w:val="3797682D"/>
    <w:rsid w:val="37B70D55"/>
    <w:rsid w:val="37B91CA7"/>
    <w:rsid w:val="37E234BF"/>
    <w:rsid w:val="380C7B3D"/>
    <w:rsid w:val="381730CC"/>
    <w:rsid w:val="383A131B"/>
    <w:rsid w:val="3849652C"/>
    <w:rsid w:val="385C1B20"/>
    <w:rsid w:val="385F1A9D"/>
    <w:rsid w:val="38645417"/>
    <w:rsid w:val="3866177B"/>
    <w:rsid w:val="386B0171"/>
    <w:rsid w:val="387979F1"/>
    <w:rsid w:val="387C2795"/>
    <w:rsid w:val="38881EBB"/>
    <w:rsid w:val="38942AAD"/>
    <w:rsid w:val="389712F2"/>
    <w:rsid w:val="38BC5D6B"/>
    <w:rsid w:val="38C63D66"/>
    <w:rsid w:val="38CA4FC5"/>
    <w:rsid w:val="38D26913"/>
    <w:rsid w:val="38D93327"/>
    <w:rsid w:val="38E21DE2"/>
    <w:rsid w:val="39215CC3"/>
    <w:rsid w:val="3935437F"/>
    <w:rsid w:val="393973DB"/>
    <w:rsid w:val="395550D1"/>
    <w:rsid w:val="395E7CE7"/>
    <w:rsid w:val="398630C2"/>
    <w:rsid w:val="399805D2"/>
    <w:rsid w:val="39A03524"/>
    <w:rsid w:val="39B32851"/>
    <w:rsid w:val="39B611DA"/>
    <w:rsid w:val="39BB476A"/>
    <w:rsid w:val="39C70DF7"/>
    <w:rsid w:val="39CD7D12"/>
    <w:rsid w:val="39DC07CC"/>
    <w:rsid w:val="39E21628"/>
    <w:rsid w:val="39E901AB"/>
    <w:rsid w:val="39E91C6F"/>
    <w:rsid w:val="39FD40D4"/>
    <w:rsid w:val="3A0462CC"/>
    <w:rsid w:val="3A167BEC"/>
    <w:rsid w:val="3A1B3636"/>
    <w:rsid w:val="3A2959B1"/>
    <w:rsid w:val="3A466C85"/>
    <w:rsid w:val="3A8D3267"/>
    <w:rsid w:val="3A8E4793"/>
    <w:rsid w:val="3AB2321F"/>
    <w:rsid w:val="3AB32333"/>
    <w:rsid w:val="3ABB31FD"/>
    <w:rsid w:val="3ACC6A5F"/>
    <w:rsid w:val="3AD07C99"/>
    <w:rsid w:val="3AD30754"/>
    <w:rsid w:val="3AE267C9"/>
    <w:rsid w:val="3AE42D07"/>
    <w:rsid w:val="3AE6242C"/>
    <w:rsid w:val="3AF67989"/>
    <w:rsid w:val="3B0F5D78"/>
    <w:rsid w:val="3B291F18"/>
    <w:rsid w:val="3B35149A"/>
    <w:rsid w:val="3B3C308E"/>
    <w:rsid w:val="3B4F12B2"/>
    <w:rsid w:val="3B730A2C"/>
    <w:rsid w:val="3B8D15A9"/>
    <w:rsid w:val="3BBD3970"/>
    <w:rsid w:val="3BD13837"/>
    <w:rsid w:val="3BD43349"/>
    <w:rsid w:val="3C0A04BB"/>
    <w:rsid w:val="3C1134A9"/>
    <w:rsid w:val="3C1278E0"/>
    <w:rsid w:val="3C2B2044"/>
    <w:rsid w:val="3C555015"/>
    <w:rsid w:val="3C583D72"/>
    <w:rsid w:val="3C6524E5"/>
    <w:rsid w:val="3C691DB4"/>
    <w:rsid w:val="3C7057AE"/>
    <w:rsid w:val="3C71272F"/>
    <w:rsid w:val="3CA8627B"/>
    <w:rsid w:val="3CA900CA"/>
    <w:rsid w:val="3CA97F92"/>
    <w:rsid w:val="3CB07A2D"/>
    <w:rsid w:val="3CD75083"/>
    <w:rsid w:val="3CF177EF"/>
    <w:rsid w:val="3CF87315"/>
    <w:rsid w:val="3D1E45E5"/>
    <w:rsid w:val="3D3712B0"/>
    <w:rsid w:val="3D4401AE"/>
    <w:rsid w:val="3D4B442E"/>
    <w:rsid w:val="3D4C5207"/>
    <w:rsid w:val="3D7263EA"/>
    <w:rsid w:val="3D7B54EF"/>
    <w:rsid w:val="3D7D48B2"/>
    <w:rsid w:val="3D86267D"/>
    <w:rsid w:val="3D8B6E52"/>
    <w:rsid w:val="3DA70962"/>
    <w:rsid w:val="3DAF4BE0"/>
    <w:rsid w:val="3DB724DE"/>
    <w:rsid w:val="3DC70F93"/>
    <w:rsid w:val="3DE628EA"/>
    <w:rsid w:val="3DF41F1A"/>
    <w:rsid w:val="3E183724"/>
    <w:rsid w:val="3E1A7639"/>
    <w:rsid w:val="3E1C2BF5"/>
    <w:rsid w:val="3E22369C"/>
    <w:rsid w:val="3E2258E7"/>
    <w:rsid w:val="3E2E431B"/>
    <w:rsid w:val="3E3660A4"/>
    <w:rsid w:val="3E4D5D4B"/>
    <w:rsid w:val="3E5F3821"/>
    <w:rsid w:val="3E662C4E"/>
    <w:rsid w:val="3E6836C3"/>
    <w:rsid w:val="3E74486F"/>
    <w:rsid w:val="3E7F302D"/>
    <w:rsid w:val="3E9D7D6C"/>
    <w:rsid w:val="3EA271E9"/>
    <w:rsid w:val="3EBE544B"/>
    <w:rsid w:val="3EC66D80"/>
    <w:rsid w:val="3EC7628C"/>
    <w:rsid w:val="3EC774ED"/>
    <w:rsid w:val="3ED309C1"/>
    <w:rsid w:val="3ED545DB"/>
    <w:rsid w:val="3ED613E3"/>
    <w:rsid w:val="3EDC2981"/>
    <w:rsid w:val="3EE4471D"/>
    <w:rsid w:val="3EF75F01"/>
    <w:rsid w:val="3F0C2C0C"/>
    <w:rsid w:val="3F153D9D"/>
    <w:rsid w:val="3F23004F"/>
    <w:rsid w:val="3F3C71CB"/>
    <w:rsid w:val="3F4851FB"/>
    <w:rsid w:val="3F4F184E"/>
    <w:rsid w:val="3F597C70"/>
    <w:rsid w:val="3F5A50A4"/>
    <w:rsid w:val="3F86322C"/>
    <w:rsid w:val="3F8F2F70"/>
    <w:rsid w:val="3F96722A"/>
    <w:rsid w:val="3FA10922"/>
    <w:rsid w:val="3FA115F0"/>
    <w:rsid w:val="3FA46EF8"/>
    <w:rsid w:val="3FBF69C8"/>
    <w:rsid w:val="3FD4031B"/>
    <w:rsid w:val="3FDA0AC6"/>
    <w:rsid w:val="3FE47F77"/>
    <w:rsid w:val="3FFE53E9"/>
    <w:rsid w:val="40164160"/>
    <w:rsid w:val="40170374"/>
    <w:rsid w:val="4019218E"/>
    <w:rsid w:val="40270EDB"/>
    <w:rsid w:val="403F5839"/>
    <w:rsid w:val="40596BBF"/>
    <w:rsid w:val="406A433E"/>
    <w:rsid w:val="40841FFE"/>
    <w:rsid w:val="40BD6A2F"/>
    <w:rsid w:val="40E517EC"/>
    <w:rsid w:val="40E724CE"/>
    <w:rsid w:val="41181D29"/>
    <w:rsid w:val="41303C39"/>
    <w:rsid w:val="413D1880"/>
    <w:rsid w:val="413E7801"/>
    <w:rsid w:val="414B2E3E"/>
    <w:rsid w:val="414F74CB"/>
    <w:rsid w:val="4152668D"/>
    <w:rsid w:val="415746DD"/>
    <w:rsid w:val="415B6654"/>
    <w:rsid w:val="41635491"/>
    <w:rsid w:val="417371BA"/>
    <w:rsid w:val="417C2EE6"/>
    <w:rsid w:val="418515F9"/>
    <w:rsid w:val="41A0365E"/>
    <w:rsid w:val="41A5316F"/>
    <w:rsid w:val="41C92B51"/>
    <w:rsid w:val="41D301C3"/>
    <w:rsid w:val="41D623AF"/>
    <w:rsid w:val="41E618AB"/>
    <w:rsid w:val="41EC095F"/>
    <w:rsid w:val="41FB53EF"/>
    <w:rsid w:val="421F1BB6"/>
    <w:rsid w:val="422F49B3"/>
    <w:rsid w:val="425372A2"/>
    <w:rsid w:val="425910E8"/>
    <w:rsid w:val="426A0418"/>
    <w:rsid w:val="426A1898"/>
    <w:rsid w:val="426C23E2"/>
    <w:rsid w:val="427330DF"/>
    <w:rsid w:val="427D7873"/>
    <w:rsid w:val="42802614"/>
    <w:rsid w:val="428B7594"/>
    <w:rsid w:val="42A853C7"/>
    <w:rsid w:val="42B01704"/>
    <w:rsid w:val="42CC4106"/>
    <w:rsid w:val="42E068CB"/>
    <w:rsid w:val="430274F1"/>
    <w:rsid w:val="43287BCC"/>
    <w:rsid w:val="43330CA7"/>
    <w:rsid w:val="433858A5"/>
    <w:rsid w:val="433E126A"/>
    <w:rsid w:val="433F10B4"/>
    <w:rsid w:val="43606EA0"/>
    <w:rsid w:val="437D2024"/>
    <w:rsid w:val="43920E07"/>
    <w:rsid w:val="43951B04"/>
    <w:rsid w:val="43A7649F"/>
    <w:rsid w:val="43B41E3E"/>
    <w:rsid w:val="43BC110E"/>
    <w:rsid w:val="43D32426"/>
    <w:rsid w:val="43EE6D65"/>
    <w:rsid w:val="43FC7E87"/>
    <w:rsid w:val="44210A17"/>
    <w:rsid w:val="44271441"/>
    <w:rsid w:val="44440F27"/>
    <w:rsid w:val="4465559E"/>
    <w:rsid w:val="44712172"/>
    <w:rsid w:val="447734D9"/>
    <w:rsid w:val="44833414"/>
    <w:rsid w:val="4491600F"/>
    <w:rsid w:val="44984355"/>
    <w:rsid w:val="44A2635F"/>
    <w:rsid w:val="44A8226D"/>
    <w:rsid w:val="44C80955"/>
    <w:rsid w:val="44CC2C4F"/>
    <w:rsid w:val="44E27A7E"/>
    <w:rsid w:val="44E95A32"/>
    <w:rsid w:val="44F71504"/>
    <w:rsid w:val="44FB7340"/>
    <w:rsid w:val="451A55B3"/>
    <w:rsid w:val="451E0828"/>
    <w:rsid w:val="451E2AD9"/>
    <w:rsid w:val="4524498B"/>
    <w:rsid w:val="45461523"/>
    <w:rsid w:val="454817C9"/>
    <w:rsid w:val="454F0C0F"/>
    <w:rsid w:val="456909A8"/>
    <w:rsid w:val="456D3D22"/>
    <w:rsid w:val="457E1251"/>
    <w:rsid w:val="45995BB4"/>
    <w:rsid w:val="45B93063"/>
    <w:rsid w:val="45C23361"/>
    <w:rsid w:val="45CA18A8"/>
    <w:rsid w:val="45CC3056"/>
    <w:rsid w:val="45FB5A7C"/>
    <w:rsid w:val="45FD22C0"/>
    <w:rsid w:val="45FD3E50"/>
    <w:rsid w:val="4601483F"/>
    <w:rsid w:val="46114003"/>
    <w:rsid w:val="46163E05"/>
    <w:rsid w:val="4625681F"/>
    <w:rsid w:val="462569BC"/>
    <w:rsid w:val="464E3334"/>
    <w:rsid w:val="4650702B"/>
    <w:rsid w:val="466D6B73"/>
    <w:rsid w:val="46760020"/>
    <w:rsid w:val="468F7B5E"/>
    <w:rsid w:val="469D3DE5"/>
    <w:rsid w:val="46A02CE5"/>
    <w:rsid w:val="46A34E08"/>
    <w:rsid w:val="46A7659A"/>
    <w:rsid w:val="46C24284"/>
    <w:rsid w:val="46C853F2"/>
    <w:rsid w:val="46CE53B7"/>
    <w:rsid w:val="46F722E3"/>
    <w:rsid w:val="47066AC0"/>
    <w:rsid w:val="471849F3"/>
    <w:rsid w:val="472B392C"/>
    <w:rsid w:val="472B3FFD"/>
    <w:rsid w:val="472E7B5B"/>
    <w:rsid w:val="4734684B"/>
    <w:rsid w:val="47353DAC"/>
    <w:rsid w:val="4740541B"/>
    <w:rsid w:val="47427099"/>
    <w:rsid w:val="47542182"/>
    <w:rsid w:val="476A5FE9"/>
    <w:rsid w:val="477251CE"/>
    <w:rsid w:val="4780564D"/>
    <w:rsid w:val="478610F4"/>
    <w:rsid w:val="47A92D09"/>
    <w:rsid w:val="47CC1367"/>
    <w:rsid w:val="47D54BA7"/>
    <w:rsid w:val="48017210"/>
    <w:rsid w:val="48087FE3"/>
    <w:rsid w:val="481A3E81"/>
    <w:rsid w:val="482C5D39"/>
    <w:rsid w:val="482E5131"/>
    <w:rsid w:val="485B1902"/>
    <w:rsid w:val="48626892"/>
    <w:rsid w:val="488B6680"/>
    <w:rsid w:val="48AF419F"/>
    <w:rsid w:val="48D65805"/>
    <w:rsid w:val="48D75B88"/>
    <w:rsid w:val="48DB7360"/>
    <w:rsid w:val="48E33E5F"/>
    <w:rsid w:val="48FF5525"/>
    <w:rsid w:val="49001E86"/>
    <w:rsid w:val="490647BE"/>
    <w:rsid w:val="493618EF"/>
    <w:rsid w:val="494C4436"/>
    <w:rsid w:val="49566BC9"/>
    <w:rsid w:val="49575660"/>
    <w:rsid w:val="495F5D36"/>
    <w:rsid w:val="49734683"/>
    <w:rsid w:val="497E5010"/>
    <w:rsid w:val="499250A4"/>
    <w:rsid w:val="49A62143"/>
    <w:rsid w:val="49DF3A58"/>
    <w:rsid w:val="49EC0086"/>
    <w:rsid w:val="49F64E88"/>
    <w:rsid w:val="4A234FEC"/>
    <w:rsid w:val="4A2D2C3E"/>
    <w:rsid w:val="4A2F090E"/>
    <w:rsid w:val="4A320278"/>
    <w:rsid w:val="4A467DEA"/>
    <w:rsid w:val="4A480B48"/>
    <w:rsid w:val="4A665CC9"/>
    <w:rsid w:val="4A8307F4"/>
    <w:rsid w:val="4A8A57B2"/>
    <w:rsid w:val="4AA31EB3"/>
    <w:rsid w:val="4AA5523D"/>
    <w:rsid w:val="4AB30EDE"/>
    <w:rsid w:val="4ABA38FB"/>
    <w:rsid w:val="4ADE14CD"/>
    <w:rsid w:val="4AFA1E51"/>
    <w:rsid w:val="4B242129"/>
    <w:rsid w:val="4B2E2169"/>
    <w:rsid w:val="4B341F77"/>
    <w:rsid w:val="4B543C59"/>
    <w:rsid w:val="4B6828A2"/>
    <w:rsid w:val="4B730590"/>
    <w:rsid w:val="4B7D207A"/>
    <w:rsid w:val="4B875EB6"/>
    <w:rsid w:val="4BA731AA"/>
    <w:rsid w:val="4BAD1EF1"/>
    <w:rsid w:val="4BAF7C51"/>
    <w:rsid w:val="4BB2318A"/>
    <w:rsid w:val="4BB961D0"/>
    <w:rsid w:val="4BBA6469"/>
    <w:rsid w:val="4BD73847"/>
    <w:rsid w:val="4BE136FC"/>
    <w:rsid w:val="4C000FEE"/>
    <w:rsid w:val="4C160901"/>
    <w:rsid w:val="4C2A27C2"/>
    <w:rsid w:val="4C3F1AD6"/>
    <w:rsid w:val="4C6514B0"/>
    <w:rsid w:val="4C670BA8"/>
    <w:rsid w:val="4C6C0D90"/>
    <w:rsid w:val="4C6F4DDF"/>
    <w:rsid w:val="4C7D1FFD"/>
    <w:rsid w:val="4C7E7777"/>
    <w:rsid w:val="4C880BAD"/>
    <w:rsid w:val="4CB7716D"/>
    <w:rsid w:val="4CE21E5B"/>
    <w:rsid w:val="4CED4287"/>
    <w:rsid w:val="4CF5763E"/>
    <w:rsid w:val="4D035F30"/>
    <w:rsid w:val="4D082338"/>
    <w:rsid w:val="4D361E73"/>
    <w:rsid w:val="4D3F7CBF"/>
    <w:rsid w:val="4D48482F"/>
    <w:rsid w:val="4D62389D"/>
    <w:rsid w:val="4D8B6E28"/>
    <w:rsid w:val="4DA8223C"/>
    <w:rsid w:val="4DBB5850"/>
    <w:rsid w:val="4DC46301"/>
    <w:rsid w:val="4DF60896"/>
    <w:rsid w:val="4DFD5ECA"/>
    <w:rsid w:val="4DFE3CC8"/>
    <w:rsid w:val="4E025DB2"/>
    <w:rsid w:val="4E1630B6"/>
    <w:rsid w:val="4E25354C"/>
    <w:rsid w:val="4E360898"/>
    <w:rsid w:val="4E4B405F"/>
    <w:rsid w:val="4E4E418E"/>
    <w:rsid w:val="4E655042"/>
    <w:rsid w:val="4E8D19A7"/>
    <w:rsid w:val="4EA345E7"/>
    <w:rsid w:val="4EAA7FE0"/>
    <w:rsid w:val="4EB03F47"/>
    <w:rsid w:val="4EB66AEE"/>
    <w:rsid w:val="4EB9175E"/>
    <w:rsid w:val="4ED22709"/>
    <w:rsid w:val="4EF6108D"/>
    <w:rsid w:val="4EF8347E"/>
    <w:rsid w:val="4EFA23C6"/>
    <w:rsid w:val="4F0A7123"/>
    <w:rsid w:val="4F0F7608"/>
    <w:rsid w:val="4F1C1A77"/>
    <w:rsid w:val="4F2A3762"/>
    <w:rsid w:val="4F2E0DB1"/>
    <w:rsid w:val="4F3517A8"/>
    <w:rsid w:val="4F422CA5"/>
    <w:rsid w:val="4F43009A"/>
    <w:rsid w:val="4F6F0750"/>
    <w:rsid w:val="4F7119FF"/>
    <w:rsid w:val="4F756C5E"/>
    <w:rsid w:val="4F7A5394"/>
    <w:rsid w:val="4F992590"/>
    <w:rsid w:val="4FD412A3"/>
    <w:rsid w:val="4FD41C1D"/>
    <w:rsid w:val="4FD54DAA"/>
    <w:rsid w:val="4FD64014"/>
    <w:rsid w:val="4FE17A31"/>
    <w:rsid w:val="4FE311D6"/>
    <w:rsid w:val="4FED2322"/>
    <w:rsid w:val="4FFD53C6"/>
    <w:rsid w:val="500B0D4B"/>
    <w:rsid w:val="501A4614"/>
    <w:rsid w:val="501F4A64"/>
    <w:rsid w:val="50252D35"/>
    <w:rsid w:val="502D0C73"/>
    <w:rsid w:val="5030543D"/>
    <w:rsid w:val="503D1B16"/>
    <w:rsid w:val="5074268E"/>
    <w:rsid w:val="508E47DC"/>
    <w:rsid w:val="50A90DD5"/>
    <w:rsid w:val="50A940E7"/>
    <w:rsid w:val="50AE3F83"/>
    <w:rsid w:val="50AE699A"/>
    <w:rsid w:val="50AF63AC"/>
    <w:rsid w:val="50B14097"/>
    <w:rsid w:val="50B32A80"/>
    <w:rsid w:val="50CF7A4B"/>
    <w:rsid w:val="50DE4A3D"/>
    <w:rsid w:val="51022777"/>
    <w:rsid w:val="510C092F"/>
    <w:rsid w:val="5113318E"/>
    <w:rsid w:val="51162402"/>
    <w:rsid w:val="511D028B"/>
    <w:rsid w:val="512B1EE0"/>
    <w:rsid w:val="5137564E"/>
    <w:rsid w:val="5146011D"/>
    <w:rsid w:val="51545EBF"/>
    <w:rsid w:val="51585972"/>
    <w:rsid w:val="515C0CB9"/>
    <w:rsid w:val="516473A7"/>
    <w:rsid w:val="5165226A"/>
    <w:rsid w:val="516C1A4D"/>
    <w:rsid w:val="517721D1"/>
    <w:rsid w:val="51781492"/>
    <w:rsid w:val="517A5728"/>
    <w:rsid w:val="517E61CE"/>
    <w:rsid w:val="519531C9"/>
    <w:rsid w:val="51A846EE"/>
    <w:rsid w:val="51C07C63"/>
    <w:rsid w:val="51C606E4"/>
    <w:rsid w:val="51C72B2F"/>
    <w:rsid w:val="51D22D16"/>
    <w:rsid w:val="51F10280"/>
    <w:rsid w:val="520923F4"/>
    <w:rsid w:val="5211020B"/>
    <w:rsid w:val="52187918"/>
    <w:rsid w:val="5241154F"/>
    <w:rsid w:val="524467AD"/>
    <w:rsid w:val="52550EE8"/>
    <w:rsid w:val="52592B52"/>
    <w:rsid w:val="527543BE"/>
    <w:rsid w:val="52785D8E"/>
    <w:rsid w:val="527B1047"/>
    <w:rsid w:val="52885691"/>
    <w:rsid w:val="528E22CF"/>
    <w:rsid w:val="529456C7"/>
    <w:rsid w:val="529B1EBD"/>
    <w:rsid w:val="529E7DC9"/>
    <w:rsid w:val="52A1157D"/>
    <w:rsid w:val="52A13940"/>
    <w:rsid w:val="52B7492F"/>
    <w:rsid w:val="52C276E1"/>
    <w:rsid w:val="52F201A7"/>
    <w:rsid w:val="52F24A8C"/>
    <w:rsid w:val="52F30525"/>
    <w:rsid w:val="530418F1"/>
    <w:rsid w:val="53143DBE"/>
    <w:rsid w:val="532452B2"/>
    <w:rsid w:val="533D3764"/>
    <w:rsid w:val="53560A73"/>
    <w:rsid w:val="535B4CF0"/>
    <w:rsid w:val="537323E7"/>
    <w:rsid w:val="539A7F34"/>
    <w:rsid w:val="53A53D5A"/>
    <w:rsid w:val="53B93087"/>
    <w:rsid w:val="53CF09AE"/>
    <w:rsid w:val="53D27C3B"/>
    <w:rsid w:val="53E37C63"/>
    <w:rsid w:val="53E4696D"/>
    <w:rsid w:val="53E8598B"/>
    <w:rsid w:val="53EB7EF9"/>
    <w:rsid w:val="53F11E92"/>
    <w:rsid w:val="53F34C98"/>
    <w:rsid w:val="53F90D5A"/>
    <w:rsid w:val="5400093A"/>
    <w:rsid w:val="540D2227"/>
    <w:rsid w:val="541C372E"/>
    <w:rsid w:val="543E150A"/>
    <w:rsid w:val="545F361A"/>
    <w:rsid w:val="54640DD5"/>
    <w:rsid w:val="546829F9"/>
    <w:rsid w:val="5473410F"/>
    <w:rsid w:val="54811A0B"/>
    <w:rsid w:val="549D2F6A"/>
    <w:rsid w:val="54A05867"/>
    <w:rsid w:val="54DE453A"/>
    <w:rsid w:val="54FD05CF"/>
    <w:rsid w:val="550E2018"/>
    <w:rsid w:val="551C0949"/>
    <w:rsid w:val="55245AF4"/>
    <w:rsid w:val="55332140"/>
    <w:rsid w:val="553515CF"/>
    <w:rsid w:val="5535226D"/>
    <w:rsid w:val="55411377"/>
    <w:rsid w:val="55684380"/>
    <w:rsid w:val="5569348D"/>
    <w:rsid w:val="556F0C82"/>
    <w:rsid w:val="55734A88"/>
    <w:rsid w:val="55992746"/>
    <w:rsid w:val="55A8783C"/>
    <w:rsid w:val="55B70080"/>
    <w:rsid w:val="55C019F9"/>
    <w:rsid w:val="55C22D99"/>
    <w:rsid w:val="55C34875"/>
    <w:rsid w:val="55DA0671"/>
    <w:rsid w:val="55DE462D"/>
    <w:rsid w:val="55E152CC"/>
    <w:rsid w:val="55E24503"/>
    <w:rsid w:val="562A77A5"/>
    <w:rsid w:val="56600C3C"/>
    <w:rsid w:val="566B44F9"/>
    <w:rsid w:val="566C6AAD"/>
    <w:rsid w:val="56854F8E"/>
    <w:rsid w:val="569549B7"/>
    <w:rsid w:val="569B59A6"/>
    <w:rsid w:val="569E768C"/>
    <w:rsid w:val="56D026DA"/>
    <w:rsid w:val="56F00AC2"/>
    <w:rsid w:val="56FF02B9"/>
    <w:rsid w:val="57030085"/>
    <w:rsid w:val="570407FA"/>
    <w:rsid w:val="5707087A"/>
    <w:rsid w:val="57132F95"/>
    <w:rsid w:val="571961F8"/>
    <w:rsid w:val="572D56F6"/>
    <w:rsid w:val="57300244"/>
    <w:rsid w:val="57416FDD"/>
    <w:rsid w:val="574B6AFB"/>
    <w:rsid w:val="5757511D"/>
    <w:rsid w:val="57633E93"/>
    <w:rsid w:val="5764383E"/>
    <w:rsid w:val="576D6289"/>
    <w:rsid w:val="57797419"/>
    <w:rsid w:val="57817915"/>
    <w:rsid w:val="57BA76D9"/>
    <w:rsid w:val="57CA2EE6"/>
    <w:rsid w:val="57D069E1"/>
    <w:rsid w:val="57DE551D"/>
    <w:rsid w:val="57F85D96"/>
    <w:rsid w:val="580A08CC"/>
    <w:rsid w:val="580C23E4"/>
    <w:rsid w:val="58191B0C"/>
    <w:rsid w:val="5827740E"/>
    <w:rsid w:val="58315B21"/>
    <w:rsid w:val="58424C7E"/>
    <w:rsid w:val="58430210"/>
    <w:rsid w:val="585320E4"/>
    <w:rsid w:val="5863214C"/>
    <w:rsid w:val="58717162"/>
    <w:rsid w:val="587B41B2"/>
    <w:rsid w:val="587E2FB0"/>
    <w:rsid w:val="587F4E33"/>
    <w:rsid w:val="587F6BA5"/>
    <w:rsid w:val="58866860"/>
    <w:rsid w:val="58915138"/>
    <w:rsid w:val="589A70FA"/>
    <w:rsid w:val="58A228DA"/>
    <w:rsid w:val="58B8618D"/>
    <w:rsid w:val="58F663EC"/>
    <w:rsid w:val="593740EF"/>
    <w:rsid w:val="5939592A"/>
    <w:rsid w:val="59536DE1"/>
    <w:rsid w:val="595C4CF9"/>
    <w:rsid w:val="59696FC2"/>
    <w:rsid w:val="59703EC5"/>
    <w:rsid w:val="597F2884"/>
    <w:rsid w:val="598B393C"/>
    <w:rsid w:val="59CE222A"/>
    <w:rsid w:val="59CE6281"/>
    <w:rsid w:val="59D022CD"/>
    <w:rsid w:val="59DF31C4"/>
    <w:rsid w:val="5A0C458C"/>
    <w:rsid w:val="5A1B6236"/>
    <w:rsid w:val="5A2B0D3B"/>
    <w:rsid w:val="5A341255"/>
    <w:rsid w:val="5A3571BF"/>
    <w:rsid w:val="5A3C75C1"/>
    <w:rsid w:val="5A400973"/>
    <w:rsid w:val="5A44572C"/>
    <w:rsid w:val="5A455381"/>
    <w:rsid w:val="5A47702B"/>
    <w:rsid w:val="5A493FC8"/>
    <w:rsid w:val="5A6F134E"/>
    <w:rsid w:val="5A8A6ADB"/>
    <w:rsid w:val="5A936EBE"/>
    <w:rsid w:val="5AA549B2"/>
    <w:rsid w:val="5ADF3379"/>
    <w:rsid w:val="5AE021F1"/>
    <w:rsid w:val="5B0416C7"/>
    <w:rsid w:val="5B1A400E"/>
    <w:rsid w:val="5B316F94"/>
    <w:rsid w:val="5B3372B8"/>
    <w:rsid w:val="5B45691B"/>
    <w:rsid w:val="5B46631F"/>
    <w:rsid w:val="5B5104F9"/>
    <w:rsid w:val="5B562BF6"/>
    <w:rsid w:val="5B6950AB"/>
    <w:rsid w:val="5B6A7A00"/>
    <w:rsid w:val="5B6B014D"/>
    <w:rsid w:val="5B823CDC"/>
    <w:rsid w:val="5B8857E6"/>
    <w:rsid w:val="5B8F4879"/>
    <w:rsid w:val="5B936B9D"/>
    <w:rsid w:val="5BAC4E3A"/>
    <w:rsid w:val="5BC849D6"/>
    <w:rsid w:val="5BF32F12"/>
    <w:rsid w:val="5BF7148A"/>
    <w:rsid w:val="5C2D1687"/>
    <w:rsid w:val="5C362AF4"/>
    <w:rsid w:val="5C3E4720"/>
    <w:rsid w:val="5C4668A9"/>
    <w:rsid w:val="5C526BB4"/>
    <w:rsid w:val="5C620538"/>
    <w:rsid w:val="5C7A7CF8"/>
    <w:rsid w:val="5C802FB3"/>
    <w:rsid w:val="5CB033FC"/>
    <w:rsid w:val="5CC34110"/>
    <w:rsid w:val="5D024954"/>
    <w:rsid w:val="5D05489E"/>
    <w:rsid w:val="5D0A579A"/>
    <w:rsid w:val="5D28094E"/>
    <w:rsid w:val="5D443C70"/>
    <w:rsid w:val="5D4741D2"/>
    <w:rsid w:val="5D4A7B65"/>
    <w:rsid w:val="5D5515B5"/>
    <w:rsid w:val="5D6871F6"/>
    <w:rsid w:val="5D7727EC"/>
    <w:rsid w:val="5D7C1CCD"/>
    <w:rsid w:val="5D806973"/>
    <w:rsid w:val="5D8E4670"/>
    <w:rsid w:val="5DAD3F76"/>
    <w:rsid w:val="5DB22A59"/>
    <w:rsid w:val="5DB30A1E"/>
    <w:rsid w:val="5DD07349"/>
    <w:rsid w:val="5DE35FCF"/>
    <w:rsid w:val="5DE47236"/>
    <w:rsid w:val="5DE95B3D"/>
    <w:rsid w:val="5DEF4402"/>
    <w:rsid w:val="5DFC469C"/>
    <w:rsid w:val="5E074110"/>
    <w:rsid w:val="5E1C0FFA"/>
    <w:rsid w:val="5E203806"/>
    <w:rsid w:val="5E401FD5"/>
    <w:rsid w:val="5E430067"/>
    <w:rsid w:val="5E58634F"/>
    <w:rsid w:val="5E7A4A4B"/>
    <w:rsid w:val="5E7B4EF1"/>
    <w:rsid w:val="5E7E4A22"/>
    <w:rsid w:val="5EB04588"/>
    <w:rsid w:val="5EC52109"/>
    <w:rsid w:val="5EDC6635"/>
    <w:rsid w:val="5EDF242A"/>
    <w:rsid w:val="5EEC4CC9"/>
    <w:rsid w:val="5F2C5614"/>
    <w:rsid w:val="5F334632"/>
    <w:rsid w:val="5F387DD8"/>
    <w:rsid w:val="5F3D46C8"/>
    <w:rsid w:val="5F3F3A92"/>
    <w:rsid w:val="5F562344"/>
    <w:rsid w:val="5F610F9A"/>
    <w:rsid w:val="5F723B9C"/>
    <w:rsid w:val="5F740D96"/>
    <w:rsid w:val="5FAB1E22"/>
    <w:rsid w:val="5FAE7B2D"/>
    <w:rsid w:val="5FEF51B4"/>
    <w:rsid w:val="5FFD47CB"/>
    <w:rsid w:val="600F713A"/>
    <w:rsid w:val="60295475"/>
    <w:rsid w:val="602976E5"/>
    <w:rsid w:val="602B5CAC"/>
    <w:rsid w:val="602E79F0"/>
    <w:rsid w:val="60352928"/>
    <w:rsid w:val="604069C8"/>
    <w:rsid w:val="60442474"/>
    <w:rsid w:val="605308B8"/>
    <w:rsid w:val="60536876"/>
    <w:rsid w:val="606C21F5"/>
    <w:rsid w:val="606E421F"/>
    <w:rsid w:val="607A502C"/>
    <w:rsid w:val="608B55D8"/>
    <w:rsid w:val="608D3579"/>
    <w:rsid w:val="609B3534"/>
    <w:rsid w:val="609C3B6D"/>
    <w:rsid w:val="60A50722"/>
    <w:rsid w:val="60B128C4"/>
    <w:rsid w:val="60CA7929"/>
    <w:rsid w:val="60D31A6F"/>
    <w:rsid w:val="60D325C8"/>
    <w:rsid w:val="60FB13C9"/>
    <w:rsid w:val="6116450B"/>
    <w:rsid w:val="611651BB"/>
    <w:rsid w:val="61902044"/>
    <w:rsid w:val="61A83C0D"/>
    <w:rsid w:val="61AD0E69"/>
    <w:rsid w:val="61AE2894"/>
    <w:rsid w:val="61B42655"/>
    <w:rsid w:val="61B64AE6"/>
    <w:rsid w:val="61B95A3D"/>
    <w:rsid w:val="61DD55E6"/>
    <w:rsid w:val="61E30170"/>
    <w:rsid w:val="61E5752D"/>
    <w:rsid w:val="61EB04E9"/>
    <w:rsid w:val="622F4266"/>
    <w:rsid w:val="62462A72"/>
    <w:rsid w:val="624B3781"/>
    <w:rsid w:val="625F13E8"/>
    <w:rsid w:val="62602CF8"/>
    <w:rsid w:val="6275441F"/>
    <w:rsid w:val="627E147F"/>
    <w:rsid w:val="62A565F5"/>
    <w:rsid w:val="62AD7E76"/>
    <w:rsid w:val="62B93485"/>
    <w:rsid w:val="62E21A96"/>
    <w:rsid w:val="62F673DB"/>
    <w:rsid w:val="62F76DDA"/>
    <w:rsid w:val="6301006C"/>
    <w:rsid w:val="63030F14"/>
    <w:rsid w:val="63581633"/>
    <w:rsid w:val="635E40F3"/>
    <w:rsid w:val="636173F7"/>
    <w:rsid w:val="6384416F"/>
    <w:rsid w:val="638B7104"/>
    <w:rsid w:val="639076DF"/>
    <w:rsid w:val="63923F11"/>
    <w:rsid w:val="63B868A3"/>
    <w:rsid w:val="63D20FF4"/>
    <w:rsid w:val="63DD7C86"/>
    <w:rsid w:val="63F427DF"/>
    <w:rsid w:val="63FB1C28"/>
    <w:rsid w:val="640C3504"/>
    <w:rsid w:val="64103CD8"/>
    <w:rsid w:val="64121615"/>
    <w:rsid w:val="641341B5"/>
    <w:rsid w:val="642011FC"/>
    <w:rsid w:val="642503DD"/>
    <w:rsid w:val="643125C3"/>
    <w:rsid w:val="64323CBE"/>
    <w:rsid w:val="643E27B6"/>
    <w:rsid w:val="645513CC"/>
    <w:rsid w:val="64553B73"/>
    <w:rsid w:val="645B5B40"/>
    <w:rsid w:val="645C0EE4"/>
    <w:rsid w:val="64797C89"/>
    <w:rsid w:val="648B66BA"/>
    <w:rsid w:val="64A036C7"/>
    <w:rsid w:val="64A04E14"/>
    <w:rsid w:val="64AE2DC0"/>
    <w:rsid w:val="64EC5F80"/>
    <w:rsid w:val="65037271"/>
    <w:rsid w:val="651E6389"/>
    <w:rsid w:val="65312AB4"/>
    <w:rsid w:val="653A1465"/>
    <w:rsid w:val="654023A1"/>
    <w:rsid w:val="654235AD"/>
    <w:rsid w:val="654E6126"/>
    <w:rsid w:val="656B6764"/>
    <w:rsid w:val="6577447A"/>
    <w:rsid w:val="657A65E0"/>
    <w:rsid w:val="657C4F3A"/>
    <w:rsid w:val="65870560"/>
    <w:rsid w:val="65A12770"/>
    <w:rsid w:val="65B070B7"/>
    <w:rsid w:val="65BD72CE"/>
    <w:rsid w:val="65EF2CE0"/>
    <w:rsid w:val="65F14EE8"/>
    <w:rsid w:val="660C6FA1"/>
    <w:rsid w:val="661462F7"/>
    <w:rsid w:val="66167837"/>
    <w:rsid w:val="663A65CE"/>
    <w:rsid w:val="66474639"/>
    <w:rsid w:val="666274B9"/>
    <w:rsid w:val="667128E4"/>
    <w:rsid w:val="66740D91"/>
    <w:rsid w:val="669C6912"/>
    <w:rsid w:val="66A85798"/>
    <w:rsid w:val="66D75E99"/>
    <w:rsid w:val="66E30E48"/>
    <w:rsid w:val="66EA4259"/>
    <w:rsid w:val="66F26EF2"/>
    <w:rsid w:val="67010AE3"/>
    <w:rsid w:val="67075894"/>
    <w:rsid w:val="67126EF7"/>
    <w:rsid w:val="672112E1"/>
    <w:rsid w:val="67261112"/>
    <w:rsid w:val="672659F3"/>
    <w:rsid w:val="67276A69"/>
    <w:rsid w:val="67293668"/>
    <w:rsid w:val="67420EC9"/>
    <w:rsid w:val="67465655"/>
    <w:rsid w:val="67545C6E"/>
    <w:rsid w:val="67642FCA"/>
    <w:rsid w:val="676778F6"/>
    <w:rsid w:val="67685576"/>
    <w:rsid w:val="67686F27"/>
    <w:rsid w:val="67740C3E"/>
    <w:rsid w:val="6781543A"/>
    <w:rsid w:val="67983015"/>
    <w:rsid w:val="679D7A01"/>
    <w:rsid w:val="67A75C44"/>
    <w:rsid w:val="67C119C7"/>
    <w:rsid w:val="67C373D8"/>
    <w:rsid w:val="67E70630"/>
    <w:rsid w:val="68002120"/>
    <w:rsid w:val="6804255B"/>
    <w:rsid w:val="6808604B"/>
    <w:rsid w:val="680D1350"/>
    <w:rsid w:val="68347656"/>
    <w:rsid w:val="683977E8"/>
    <w:rsid w:val="683A2EED"/>
    <w:rsid w:val="6842615A"/>
    <w:rsid w:val="68450B02"/>
    <w:rsid w:val="684E3240"/>
    <w:rsid w:val="68556588"/>
    <w:rsid w:val="68A42834"/>
    <w:rsid w:val="68CE58E6"/>
    <w:rsid w:val="68CF2A69"/>
    <w:rsid w:val="68E814B4"/>
    <w:rsid w:val="68F91EAB"/>
    <w:rsid w:val="690D3FC2"/>
    <w:rsid w:val="69142EFB"/>
    <w:rsid w:val="69154D60"/>
    <w:rsid w:val="692B56B7"/>
    <w:rsid w:val="692F6F57"/>
    <w:rsid w:val="693A342A"/>
    <w:rsid w:val="693B4E23"/>
    <w:rsid w:val="694A6DBA"/>
    <w:rsid w:val="696F09AF"/>
    <w:rsid w:val="69752697"/>
    <w:rsid w:val="698E764A"/>
    <w:rsid w:val="69915568"/>
    <w:rsid w:val="69951D6A"/>
    <w:rsid w:val="69C64C75"/>
    <w:rsid w:val="69CD7FDE"/>
    <w:rsid w:val="69CF6EC4"/>
    <w:rsid w:val="69D05FDB"/>
    <w:rsid w:val="69DA551E"/>
    <w:rsid w:val="69DE5E8A"/>
    <w:rsid w:val="69E00D11"/>
    <w:rsid w:val="69F0389C"/>
    <w:rsid w:val="69F453FE"/>
    <w:rsid w:val="6A042842"/>
    <w:rsid w:val="6A1849B7"/>
    <w:rsid w:val="6A1D40A1"/>
    <w:rsid w:val="6A3828E1"/>
    <w:rsid w:val="6A3E49CA"/>
    <w:rsid w:val="6A6468A5"/>
    <w:rsid w:val="6A727EED"/>
    <w:rsid w:val="6A783CBE"/>
    <w:rsid w:val="6A8755D3"/>
    <w:rsid w:val="6A9548E9"/>
    <w:rsid w:val="6AA54025"/>
    <w:rsid w:val="6AC9111D"/>
    <w:rsid w:val="6ADD40D7"/>
    <w:rsid w:val="6AE2354A"/>
    <w:rsid w:val="6AE91398"/>
    <w:rsid w:val="6AED7E18"/>
    <w:rsid w:val="6AF80E24"/>
    <w:rsid w:val="6AFA140D"/>
    <w:rsid w:val="6B0914DC"/>
    <w:rsid w:val="6B0F3217"/>
    <w:rsid w:val="6B1529A0"/>
    <w:rsid w:val="6B22477C"/>
    <w:rsid w:val="6B2B6B35"/>
    <w:rsid w:val="6B320A31"/>
    <w:rsid w:val="6B334087"/>
    <w:rsid w:val="6B3525D9"/>
    <w:rsid w:val="6B467AE6"/>
    <w:rsid w:val="6B491DA4"/>
    <w:rsid w:val="6B563D11"/>
    <w:rsid w:val="6B5D28FD"/>
    <w:rsid w:val="6B5E4D2E"/>
    <w:rsid w:val="6B6508C2"/>
    <w:rsid w:val="6B6B0456"/>
    <w:rsid w:val="6B7713F6"/>
    <w:rsid w:val="6B837812"/>
    <w:rsid w:val="6B8B34F4"/>
    <w:rsid w:val="6BBE7BEB"/>
    <w:rsid w:val="6BCF7550"/>
    <w:rsid w:val="6BE116D3"/>
    <w:rsid w:val="6BFE01CD"/>
    <w:rsid w:val="6C084F5B"/>
    <w:rsid w:val="6C27645D"/>
    <w:rsid w:val="6C2A7865"/>
    <w:rsid w:val="6C2D715B"/>
    <w:rsid w:val="6C5207BE"/>
    <w:rsid w:val="6C562931"/>
    <w:rsid w:val="6C5D5B6B"/>
    <w:rsid w:val="6C625544"/>
    <w:rsid w:val="6C6A54FD"/>
    <w:rsid w:val="6C7D01C0"/>
    <w:rsid w:val="6C7D32EB"/>
    <w:rsid w:val="6C82426E"/>
    <w:rsid w:val="6C98158A"/>
    <w:rsid w:val="6CC21518"/>
    <w:rsid w:val="6CE06EE3"/>
    <w:rsid w:val="6D0E0C03"/>
    <w:rsid w:val="6D1E0EC9"/>
    <w:rsid w:val="6D1F6156"/>
    <w:rsid w:val="6D257859"/>
    <w:rsid w:val="6D301B26"/>
    <w:rsid w:val="6D3549DB"/>
    <w:rsid w:val="6D4123A1"/>
    <w:rsid w:val="6D555633"/>
    <w:rsid w:val="6D572015"/>
    <w:rsid w:val="6D5864F7"/>
    <w:rsid w:val="6D805F6C"/>
    <w:rsid w:val="6D9B002E"/>
    <w:rsid w:val="6DA301E3"/>
    <w:rsid w:val="6DB166DC"/>
    <w:rsid w:val="6DB70CB4"/>
    <w:rsid w:val="6DE242AA"/>
    <w:rsid w:val="6DFC6FEC"/>
    <w:rsid w:val="6E094352"/>
    <w:rsid w:val="6E180F09"/>
    <w:rsid w:val="6E200223"/>
    <w:rsid w:val="6E3E2358"/>
    <w:rsid w:val="6E424BD5"/>
    <w:rsid w:val="6E6A27E1"/>
    <w:rsid w:val="6EC266E7"/>
    <w:rsid w:val="6ECB70B1"/>
    <w:rsid w:val="6F077F6F"/>
    <w:rsid w:val="6F1C37FF"/>
    <w:rsid w:val="6F7209F9"/>
    <w:rsid w:val="6F815117"/>
    <w:rsid w:val="6F8C3D1F"/>
    <w:rsid w:val="6FB04A52"/>
    <w:rsid w:val="6FBA66BD"/>
    <w:rsid w:val="6FBC2C44"/>
    <w:rsid w:val="6FD67F20"/>
    <w:rsid w:val="6FD9564E"/>
    <w:rsid w:val="6FDB0700"/>
    <w:rsid w:val="6FEA4B24"/>
    <w:rsid w:val="6FF65032"/>
    <w:rsid w:val="70212A05"/>
    <w:rsid w:val="70222F03"/>
    <w:rsid w:val="702A2DF0"/>
    <w:rsid w:val="70385CF1"/>
    <w:rsid w:val="704A1802"/>
    <w:rsid w:val="706F095A"/>
    <w:rsid w:val="70702B1B"/>
    <w:rsid w:val="708F3F4F"/>
    <w:rsid w:val="70AF29BB"/>
    <w:rsid w:val="70CD73A6"/>
    <w:rsid w:val="70D17379"/>
    <w:rsid w:val="70E34A11"/>
    <w:rsid w:val="70EC1752"/>
    <w:rsid w:val="70FA6A76"/>
    <w:rsid w:val="71016664"/>
    <w:rsid w:val="710D22FB"/>
    <w:rsid w:val="71144AD3"/>
    <w:rsid w:val="71165FE2"/>
    <w:rsid w:val="71173E45"/>
    <w:rsid w:val="7131211A"/>
    <w:rsid w:val="7137018B"/>
    <w:rsid w:val="7137369D"/>
    <w:rsid w:val="719E503F"/>
    <w:rsid w:val="71AC3D91"/>
    <w:rsid w:val="71AE0CBE"/>
    <w:rsid w:val="71BB1304"/>
    <w:rsid w:val="71BC7EA6"/>
    <w:rsid w:val="71BF09ED"/>
    <w:rsid w:val="71C13A31"/>
    <w:rsid w:val="71D62B72"/>
    <w:rsid w:val="71ED03B4"/>
    <w:rsid w:val="71FF0740"/>
    <w:rsid w:val="71FF0BB1"/>
    <w:rsid w:val="7205522D"/>
    <w:rsid w:val="72141A90"/>
    <w:rsid w:val="72247F14"/>
    <w:rsid w:val="722F2426"/>
    <w:rsid w:val="723A4899"/>
    <w:rsid w:val="72506C47"/>
    <w:rsid w:val="72521192"/>
    <w:rsid w:val="72660F67"/>
    <w:rsid w:val="728733AE"/>
    <w:rsid w:val="728A466C"/>
    <w:rsid w:val="729A404B"/>
    <w:rsid w:val="72CB47D7"/>
    <w:rsid w:val="72D3059A"/>
    <w:rsid w:val="72EF7510"/>
    <w:rsid w:val="73013FCC"/>
    <w:rsid w:val="7305661E"/>
    <w:rsid w:val="730967FD"/>
    <w:rsid w:val="730B40D5"/>
    <w:rsid w:val="730C18EF"/>
    <w:rsid w:val="730D08BE"/>
    <w:rsid w:val="73147453"/>
    <w:rsid w:val="73547991"/>
    <w:rsid w:val="736938A6"/>
    <w:rsid w:val="736B7CB7"/>
    <w:rsid w:val="737A7FF3"/>
    <w:rsid w:val="73805796"/>
    <w:rsid w:val="73891BFD"/>
    <w:rsid w:val="73904D90"/>
    <w:rsid w:val="739169F9"/>
    <w:rsid w:val="73A93B13"/>
    <w:rsid w:val="73B76D83"/>
    <w:rsid w:val="73C347BF"/>
    <w:rsid w:val="73D55538"/>
    <w:rsid w:val="73F328B4"/>
    <w:rsid w:val="740E561C"/>
    <w:rsid w:val="742E1FC1"/>
    <w:rsid w:val="74324CC1"/>
    <w:rsid w:val="7433686E"/>
    <w:rsid w:val="74375F03"/>
    <w:rsid w:val="743A39BF"/>
    <w:rsid w:val="74523D2E"/>
    <w:rsid w:val="745B496E"/>
    <w:rsid w:val="746B439E"/>
    <w:rsid w:val="746E5CAF"/>
    <w:rsid w:val="7471367E"/>
    <w:rsid w:val="7474255D"/>
    <w:rsid w:val="749E119A"/>
    <w:rsid w:val="749F7F31"/>
    <w:rsid w:val="74A40EAA"/>
    <w:rsid w:val="74AE17EE"/>
    <w:rsid w:val="74BB3D0A"/>
    <w:rsid w:val="74C508AE"/>
    <w:rsid w:val="74D33EF6"/>
    <w:rsid w:val="7505631A"/>
    <w:rsid w:val="75317252"/>
    <w:rsid w:val="753D0120"/>
    <w:rsid w:val="7545306E"/>
    <w:rsid w:val="75645C23"/>
    <w:rsid w:val="756F79DE"/>
    <w:rsid w:val="75887F63"/>
    <w:rsid w:val="75925EFC"/>
    <w:rsid w:val="75992D53"/>
    <w:rsid w:val="759C1620"/>
    <w:rsid w:val="75A2439F"/>
    <w:rsid w:val="75A91967"/>
    <w:rsid w:val="75C32B15"/>
    <w:rsid w:val="75C56AEC"/>
    <w:rsid w:val="75D94171"/>
    <w:rsid w:val="75E12807"/>
    <w:rsid w:val="75EE6F1B"/>
    <w:rsid w:val="75F776FF"/>
    <w:rsid w:val="75FB22F9"/>
    <w:rsid w:val="76023178"/>
    <w:rsid w:val="760A68D4"/>
    <w:rsid w:val="761A6A1B"/>
    <w:rsid w:val="763165DE"/>
    <w:rsid w:val="76346F66"/>
    <w:rsid w:val="76390822"/>
    <w:rsid w:val="76661857"/>
    <w:rsid w:val="76680AFF"/>
    <w:rsid w:val="76784C8D"/>
    <w:rsid w:val="767A50C2"/>
    <w:rsid w:val="7698243C"/>
    <w:rsid w:val="769D4442"/>
    <w:rsid w:val="76AF515A"/>
    <w:rsid w:val="76B80C7F"/>
    <w:rsid w:val="76C75DB3"/>
    <w:rsid w:val="76E85855"/>
    <w:rsid w:val="76EC12E2"/>
    <w:rsid w:val="76F53C3E"/>
    <w:rsid w:val="76F658FD"/>
    <w:rsid w:val="76F6644C"/>
    <w:rsid w:val="772B3F12"/>
    <w:rsid w:val="772D0C87"/>
    <w:rsid w:val="773D64AD"/>
    <w:rsid w:val="774A4881"/>
    <w:rsid w:val="77616EF2"/>
    <w:rsid w:val="77663478"/>
    <w:rsid w:val="776A2496"/>
    <w:rsid w:val="777703EE"/>
    <w:rsid w:val="777E2C3B"/>
    <w:rsid w:val="777F21C3"/>
    <w:rsid w:val="7789020C"/>
    <w:rsid w:val="778C3F53"/>
    <w:rsid w:val="778F32FA"/>
    <w:rsid w:val="77972A00"/>
    <w:rsid w:val="7798025B"/>
    <w:rsid w:val="77CA5641"/>
    <w:rsid w:val="77D46871"/>
    <w:rsid w:val="77D51D10"/>
    <w:rsid w:val="77D86A80"/>
    <w:rsid w:val="77DD019D"/>
    <w:rsid w:val="77F16BB1"/>
    <w:rsid w:val="77F82B38"/>
    <w:rsid w:val="780C3DBA"/>
    <w:rsid w:val="780D4DDE"/>
    <w:rsid w:val="78155595"/>
    <w:rsid w:val="78203AD8"/>
    <w:rsid w:val="78307537"/>
    <w:rsid w:val="783A582F"/>
    <w:rsid w:val="78414B3A"/>
    <w:rsid w:val="786023ED"/>
    <w:rsid w:val="78636907"/>
    <w:rsid w:val="78780CEE"/>
    <w:rsid w:val="78807E7F"/>
    <w:rsid w:val="788A489C"/>
    <w:rsid w:val="7899691A"/>
    <w:rsid w:val="78A37D7C"/>
    <w:rsid w:val="78C83AD2"/>
    <w:rsid w:val="78EE303B"/>
    <w:rsid w:val="794037B5"/>
    <w:rsid w:val="79455F0D"/>
    <w:rsid w:val="7945643C"/>
    <w:rsid w:val="795C6137"/>
    <w:rsid w:val="795E77E1"/>
    <w:rsid w:val="796F1DC0"/>
    <w:rsid w:val="79746DD5"/>
    <w:rsid w:val="79755663"/>
    <w:rsid w:val="797845D9"/>
    <w:rsid w:val="797D5665"/>
    <w:rsid w:val="798A5C60"/>
    <w:rsid w:val="79A07515"/>
    <w:rsid w:val="79A1229B"/>
    <w:rsid w:val="7A00729F"/>
    <w:rsid w:val="7A05687D"/>
    <w:rsid w:val="7A0A6345"/>
    <w:rsid w:val="7A135A7D"/>
    <w:rsid w:val="7A1B2D1C"/>
    <w:rsid w:val="7A2E15EF"/>
    <w:rsid w:val="7A374B1F"/>
    <w:rsid w:val="7A382897"/>
    <w:rsid w:val="7A392CE7"/>
    <w:rsid w:val="7A3E2F80"/>
    <w:rsid w:val="7A72057C"/>
    <w:rsid w:val="7A7C38B0"/>
    <w:rsid w:val="7A9861CB"/>
    <w:rsid w:val="7AAE3E65"/>
    <w:rsid w:val="7AB861F9"/>
    <w:rsid w:val="7ACA5466"/>
    <w:rsid w:val="7AD45C10"/>
    <w:rsid w:val="7AD537D1"/>
    <w:rsid w:val="7ADC5436"/>
    <w:rsid w:val="7AE3328E"/>
    <w:rsid w:val="7AE959D4"/>
    <w:rsid w:val="7B0077C8"/>
    <w:rsid w:val="7B0A6A9B"/>
    <w:rsid w:val="7B0D2818"/>
    <w:rsid w:val="7B1254BB"/>
    <w:rsid w:val="7B1306E3"/>
    <w:rsid w:val="7B2750E0"/>
    <w:rsid w:val="7B4E7DC1"/>
    <w:rsid w:val="7B594637"/>
    <w:rsid w:val="7B795F0A"/>
    <w:rsid w:val="7B81556A"/>
    <w:rsid w:val="7B8D4E9E"/>
    <w:rsid w:val="7B8E1EA6"/>
    <w:rsid w:val="7B94060C"/>
    <w:rsid w:val="7B994E29"/>
    <w:rsid w:val="7BA73227"/>
    <w:rsid w:val="7BA838BD"/>
    <w:rsid w:val="7BB75777"/>
    <w:rsid w:val="7BC266AD"/>
    <w:rsid w:val="7BCC6F60"/>
    <w:rsid w:val="7BD41347"/>
    <w:rsid w:val="7BD63B6E"/>
    <w:rsid w:val="7BE45584"/>
    <w:rsid w:val="7BF22378"/>
    <w:rsid w:val="7C291216"/>
    <w:rsid w:val="7C2B048D"/>
    <w:rsid w:val="7C362CAE"/>
    <w:rsid w:val="7C44237D"/>
    <w:rsid w:val="7C460013"/>
    <w:rsid w:val="7C66565C"/>
    <w:rsid w:val="7C7D7885"/>
    <w:rsid w:val="7C884F07"/>
    <w:rsid w:val="7C8D43AB"/>
    <w:rsid w:val="7C8F1DDB"/>
    <w:rsid w:val="7C99511D"/>
    <w:rsid w:val="7C996138"/>
    <w:rsid w:val="7CA879AC"/>
    <w:rsid w:val="7CB82DCD"/>
    <w:rsid w:val="7CBD31D9"/>
    <w:rsid w:val="7CD476C9"/>
    <w:rsid w:val="7CE3614E"/>
    <w:rsid w:val="7CFB2AE8"/>
    <w:rsid w:val="7CFD06A4"/>
    <w:rsid w:val="7D635745"/>
    <w:rsid w:val="7D6D0647"/>
    <w:rsid w:val="7D984607"/>
    <w:rsid w:val="7DA243F4"/>
    <w:rsid w:val="7DA9460F"/>
    <w:rsid w:val="7DB02E07"/>
    <w:rsid w:val="7DC6049B"/>
    <w:rsid w:val="7DDF08AD"/>
    <w:rsid w:val="7DE65FBE"/>
    <w:rsid w:val="7DFD3D7D"/>
    <w:rsid w:val="7DFF6F70"/>
    <w:rsid w:val="7E0B4334"/>
    <w:rsid w:val="7E1640FB"/>
    <w:rsid w:val="7E1D725E"/>
    <w:rsid w:val="7E232692"/>
    <w:rsid w:val="7E345DFF"/>
    <w:rsid w:val="7E3B2283"/>
    <w:rsid w:val="7E3F1734"/>
    <w:rsid w:val="7E4B0118"/>
    <w:rsid w:val="7E5871FA"/>
    <w:rsid w:val="7E5B49B5"/>
    <w:rsid w:val="7E6C6EF8"/>
    <w:rsid w:val="7E7145B3"/>
    <w:rsid w:val="7E795155"/>
    <w:rsid w:val="7E7B3986"/>
    <w:rsid w:val="7E826950"/>
    <w:rsid w:val="7E9064E4"/>
    <w:rsid w:val="7E9E2C4F"/>
    <w:rsid w:val="7E9F4D2C"/>
    <w:rsid w:val="7EA30CDC"/>
    <w:rsid w:val="7EC16AFC"/>
    <w:rsid w:val="7EC30BBA"/>
    <w:rsid w:val="7ECE1F08"/>
    <w:rsid w:val="7ED56C6C"/>
    <w:rsid w:val="7ED8373F"/>
    <w:rsid w:val="7EDD57F4"/>
    <w:rsid w:val="7EED0F0A"/>
    <w:rsid w:val="7EF82D86"/>
    <w:rsid w:val="7EFB1E9B"/>
    <w:rsid w:val="7F096F96"/>
    <w:rsid w:val="7F182FE7"/>
    <w:rsid w:val="7F220E8A"/>
    <w:rsid w:val="7F5828CA"/>
    <w:rsid w:val="7F651FE6"/>
    <w:rsid w:val="7F7405C7"/>
    <w:rsid w:val="7F8A7F3B"/>
    <w:rsid w:val="7F8B15A9"/>
    <w:rsid w:val="7F925810"/>
    <w:rsid w:val="7FAE77C2"/>
    <w:rsid w:val="7FDC1E3F"/>
    <w:rsid w:val="7FF45605"/>
    <w:rsid w:val="7FF66A96"/>
    <w:rsid w:val="7FFA2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2"/>
    <w:qFormat/>
    <w:uiPriority w:val="0"/>
    <w:pPr>
      <w:keepNext/>
      <w:keepLines/>
      <w:spacing w:line="576" w:lineRule="auto"/>
      <w:jc w:val="center"/>
      <w:outlineLvl w:val="0"/>
    </w:pPr>
    <w:rPr>
      <w:b/>
      <w:kern w:val="44"/>
      <w:sz w:val="32"/>
      <w:szCs w:val="20"/>
    </w:rPr>
  </w:style>
  <w:style w:type="paragraph" w:styleId="4">
    <w:name w:val="heading 2"/>
    <w:basedOn w:val="1"/>
    <w:next w:val="1"/>
    <w:qFormat/>
    <w:uiPriority w:val="0"/>
    <w:pPr>
      <w:keepNext/>
      <w:keepLines/>
      <w:spacing w:line="413" w:lineRule="auto"/>
      <w:jc w:val="left"/>
      <w:outlineLvl w:val="1"/>
    </w:pPr>
    <w:rPr>
      <w:rFonts w:ascii="Arial" w:hAnsi="Arial"/>
      <w:b/>
      <w:sz w:val="28"/>
    </w:rPr>
  </w:style>
  <w:style w:type="paragraph" w:styleId="5">
    <w:name w:val="heading 3"/>
    <w:basedOn w:val="1"/>
    <w:next w:val="1"/>
    <w:qFormat/>
    <w:uiPriority w:val="0"/>
    <w:pPr>
      <w:keepNext/>
      <w:keepLines/>
      <w:spacing w:line="413" w:lineRule="auto"/>
      <w:outlineLvl w:val="2"/>
    </w:pPr>
    <w:rPr>
      <w:b/>
      <w:sz w:val="28"/>
    </w:rPr>
  </w:style>
  <w:style w:type="paragraph" w:styleId="6">
    <w:name w:val="heading 4"/>
    <w:basedOn w:val="1"/>
    <w:next w:val="1"/>
    <w:qFormat/>
    <w:uiPriority w:val="0"/>
    <w:pPr>
      <w:keepNext/>
      <w:keepLines/>
      <w:jc w:val="left"/>
      <w:outlineLvl w:val="3"/>
    </w:pPr>
    <w:rPr>
      <w:rFonts w:hint="eastAsia" w:ascii="Arial" w:hAnsi="Arial"/>
      <w:b/>
      <w:sz w:val="32"/>
    </w:rPr>
  </w:style>
  <w:style w:type="paragraph" w:styleId="7">
    <w:name w:val="heading 6"/>
    <w:basedOn w:val="1"/>
    <w:next w:val="1"/>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2">
    <w:name w:val="List Paragraph"/>
    <w:basedOn w:val="1"/>
    <w:qFormat/>
    <w:uiPriority w:val="34"/>
    <w:pPr>
      <w:ind w:left="720"/>
      <w:contextualSpacing/>
    </w:pPr>
    <w:rPr>
      <w:rFonts w:ascii="Times New Roman" w:hAnsi="Times New Roman"/>
      <w:szCs w:val="24"/>
    </w:rPr>
  </w:style>
  <w:style w:type="paragraph" w:styleId="8">
    <w:name w:val="List Number"/>
    <w:basedOn w:val="1"/>
    <w:qFormat/>
    <w:uiPriority w:val="0"/>
    <w:pPr>
      <w:numPr>
        <w:ilvl w:val="0"/>
        <w:numId w:val="1"/>
      </w:numPr>
    </w:pPr>
  </w:style>
  <w:style w:type="paragraph" w:styleId="9">
    <w:name w:val="Normal Indent"/>
    <w:basedOn w:val="1"/>
    <w:next w:val="10"/>
    <w:qFormat/>
    <w:uiPriority w:val="0"/>
    <w:pPr>
      <w:ind w:firstLine="420"/>
    </w:pPr>
    <w:rPr>
      <w:szCs w:val="20"/>
    </w:rPr>
  </w:style>
  <w:style w:type="paragraph" w:styleId="10">
    <w:name w:val="toc 4"/>
    <w:basedOn w:val="1"/>
    <w:next w:val="1"/>
    <w:unhideWhenUsed/>
    <w:qFormat/>
    <w:uiPriority w:val="39"/>
    <w:pPr>
      <w:ind w:left="1260" w:leftChars="600"/>
    </w:pPr>
    <w:rPr>
      <w:szCs w:val="24"/>
    </w:rPr>
  </w:style>
  <w:style w:type="paragraph" w:styleId="11">
    <w:name w:val="Document Map"/>
    <w:basedOn w:val="1"/>
    <w:link w:val="43"/>
    <w:qFormat/>
    <w:uiPriority w:val="0"/>
    <w:rPr>
      <w:rFonts w:ascii="宋体" w:hAnsi="Calibri"/>
      <w:sz w:val="18"/>
      <w:szCs w:val="18"/>
    </w:rPr>
  </w:style>
  <w:style w:type="paragraph" w:styleId="12">
    <w:name w:val="annotation text"/>
    <w:basedOn w:val="1"/>
    <w:link w:val="44"/>
    <w:qFormat/>
    <w:uiPriority w:val="0"/>
    <w:pPr>
      <w:jc w:val="left"/>
    </w:pPr>
    <w:rPr>
      <w:rFonts w:ascii="宋体" w:hAnsi="Calibri"/>
      <w:kern w:val="0"/>
      <w:sz w:val="34"/>
    </w:rPr>
  </w:style>
  <w:style w:type="paragraph" w:styleId="13">
    <w:name w:val="Body Text"/>
    <w:basedOn w:val="1"/>
    <w:next w:val="1"/>
    <w:link w:val="41"/>
    <w:qFormat/>
    <w:uiPriority w:val="0"/>
    <w:rPr>
      <w:color w:val="993300"/>
      <w:kern w:val="0"/>
      <w:sz w:val="24"/>
      <w:szCs w:val="24"/>
    </w:rPr>
  </w:style>
  <w:style w:type="paragraph" w:styleId="14">
    <w:name w:val="Body Text Indent"/>
    <w:basedOn w:val="1"/>
    <w:qFormat/>
    <w:uiPriority w:val="0"/>
    <w:pPr>
      <w:ind w:left="420" w:leftChars="200"/>
    </w:pPr>
  </w:style>
  <w:style w:type="paragraph" w:styleId="15">
    <w:name w:val="toc 3"/>
    <w:basedOn w:val="1"/>
    <w:next w:val="1"/>
    <w:qFormat/>
    <w:uiPriority w:val="0"/>
    <w:pPr>
      <w:ind w:left="840" w:leftChars="400"/>
    </w:pPr>
  </w:style>
  <w:style w:type="paragraph" w:styleId="16">
    <w:name w:val="Plain Text"/>
    <w:basedOn w:val="1"/>
    <w:qFormat/>
    <w:uiPriority w:val="0"/>
    <w:pPr>
      <w:spacing w:line="324" w:lineRule="auto"/>
    </w:pPr>
    <w:rPr>
      <w:rFonts w:ascii="宋体" w:hAnsi="Courier New" w:cs="Courier New"/>
      <w:szCs w:val="21"/>
    </w:rPr>
  </w:style>
  <w:style w:type="paragraph" w:styleId="17">
    <w:name w:val="Date"/>
    <w:basedOn w:val="1"/>
    <w:next w:val="1"/>
    <w:qFormat/>
    <w:uiPriority w:val="0"/>
    <w:rPr>
      <w:rFonts w:ascii="Copperplate Gothic Bold" w:hAnsi="Copperplate Gothic Bold"/>
      <w:sz w:val="32"/>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45"/>
    <w:qFormat/>
    <w:uiPriority w:val="0"/>
    <w:rPr>
      <w:rFonts w:ascii="Calibri" w:hAnsi="Calibri"/>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2"/>
    <w:basedOn w:val="1"/>
    <w:next w:val="1"/>
    <w:qFormat/>
    <w:uiPriority w:val="0"/>
    <w:pPr>
      <w:ind w:left="420" w:leftChars="200"/>
    </w:pPr>
  </w:style>
  <w:style w:type="paragraph" w:styleId="24">
    <w:name w:val="toc 9"/>
    <w:basedOn w:val="1"/>
    <w:next w:val="1"/>
    <w:qFormat/>
    <w:uiPriority w:val="0"/>
    <w:pPr>
      <w:wordWrap w:val="0"/>
      <w:ind w:left="2975"/>
    </w:pPr>
  </w:style>
  <w:style w:type="paragraph" w:styleId="25">
    <w:name w:val="Body Text 2"/>
    <w:basedOn w:val="1"/>
    <w:qFormat/>
    <w:uiPriority w:val="0"/>
    <w:pPr>
      <w:jc w:val="center"/>
    </w:pPr>
    <w:rPr>
      <w:b/>
      <w:spacing w:val="-20"/>
      <w:w w:val="130"/>
      <w:sz w:val="48"/>
      <w:szCs w:val="20"/>
    </w:r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7">
    <w:name w:val="Title"/>
    <w:basedOn w:val="1"/>
    <w:qFormat/>
    <w:uiPriority w:val="0"/>
    <w:pPr>
      <w:jc w:val="center"/>
    </w:pPr>
    <w:rPr>
      <w:sz w:val="30"/>
      <w:szCs w:val="24"/>
    </w:rPr>
  </w:style>
  <w:style w:type="paragraph" w:styleId="28">
    <w:name w:val="annotation subject"/>
    <w:basedOn w:val="12"/>
    <w:next w:val="12"/>
    <w:link w:val="46"/>
    <w:qFormat/>
    <w:uiPriority w:val="0"/>
    <w:rPr>
      <w:rFonts w:ascii="Calibri"/>
      <w:b/>
      <w:bCs/>
      <w:kern w:val="2"/>
      <w:sz w:val="21"/>
    </w:rPr>
  </w:style>
  <w:style w:type="paragraph" w:styleId="29">
    <w:name w:val="Body Text First Indent"/>
    <w:basedOn w:val="13"/>
    <w:next w:val="1"/>
    <w:qFormat/>
    <w:uiPriority w:val="0"/>
    <w:rPr>
      <w:rFonts w:hAnsi="宋体"/>
      <w:sz w:val="18"/>
      <w:szCs w:val="18"/>
    </w:rPr>
  </w:style>
  <w:style w:type="paragraph" w:styleId="30">
    <w:name w:val="Body Text First Indent 2"/>
    <w:basedOn w:val="14"/>
    <w:next w:val="1"/>
    <w:unhideWhenUsed/>
    <w:qFormat/>
    <w:uiPriority w:val="0"/>
    <w:pPr>
      <w:ind w:firstLine="420" w:firstLineChars="200"/>
    </w:pPr>
    <w:rPr>
      <w:szCs w:val="20"/>
    </w:rPr>
  </w:style>
  <w:style w:type="table" w:styleId="32">
    <w:name w:val="Table Grid"/>
    <w:basedOn w:val="3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sz w:val="24"/>
      <w:szCs w:val="24"/>
    </w:rPr>
  </w:style>
  <w:style w:type="character" w:styleId="35">
    <w:name w:val="page number"/>
    <w:qFormat/>
    <w:uiPriority w:val="0"/>
  </w:style>
  <w:style w:type="character" w:styleId="36">
    <w:name w:val="FollowedHyperlink"/>
    <w:qFormat/>
    <w:uiPriority w:val="0"/>
    <w:rPr>
      <w:rFonts w:hint="eastAsia" w:ascii="宋体" w:hAnsi="宋体" w:eastAsia="宋体" w:cs="宋体"/>
      <w:color w:val="000000"/>
      <w:sz w:val="18"/>
      <w:szCs w:val="18"/>
      <w:u w:val="non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99"/>
    <w:rPr>
      <w:sz w:val="21"/>
      <w:szCs w:val="21"/>
    </w:rPr>
  </w:style>
  <w:style w:type="character" w:styleId="40">
    <w:name w:val="HTML Cite"/>
    <w:qFormat/>
    <w:uiPriority w:val="0"/>
    <w:rPr>
      <w:sz w:val="24"/>
      <w:szCs w:val="24"/>
    </w:rPr>
  </w:style>
  <w:style w:type="character" w:customStyle="1" w:styleId="41">
    <w:name w:val="正文文本 字符"/>
    <w:link w:val="13"/>
    <w:qFormat/>
    <w:uiPriority w:val="0"/>
    <w:rPr>
      <w:rFonts w:hint="default" w:ascii="Times New Roman" w:hAnsi="Times New Roman" w:eastAsia="宋体" w:cs="Times New Roman"/>
      <w:color w:val="993300"/>
      <w:sz w:val="24"/>
      <w:szCs w:val="24"/>
    </w:rPr>
  </w:style>
  <w:style w:type="character" w:customStyle="1" w:styleId="42">
    <w:name w:val="标题 1 字符"/>
    <w:link w:val="3"/>
    <w:qFormat/>
    <w:uiPriority w:val="0"/>
    <w:rPr>
      <w:rFonts w:ascii="Times New Roman" w:hAnsi="Times New Roman" w:eastAsia="宋体"/>
      <w:b/>
      <w:kern w:val="44"/>
      <w:sz w:val="32"/>
    </w:rPr>
  </w:style>
  <w:style w:type="character" w:customStyle="1" w:styleId="43">
    <w:name w:val="文档结构图 字符"/>
    <w:link w:val="11"/>
    <w:qFormat/>
    <w:uiPriority w:val="0"/>
    <w:rPr>
      <w:rFonts w:ascii="宋体" w:hAnsi="Calibri" w:cs="Times New Roman"/>
      <w:kern w:val="2"/>
      <w:sz w:val="18"/>
      <w:szCs w:val="18"/>
    </w:rPr>
  </w:style>
  <w:style w:type="character" w:customStyle="1" w:styleId="44">
    <w:name w:val="批注文字 字符"/>
    <w:link w:val="12"/>
    <w:qFormat/>
    <w:uiPriority w:val="99"/>
    <w:rPr>
      <w:rFonts w:ascii="宋体" w:hAnsi="Calibri" w:eastAsia="宋体" w:cs="Times New Roman"/>
      <w:sz w:val="34"/>
      <w:szCs w:val="22"/>
    </w:rPr>
  </w:style>
  <w:style w:type="character" w:customStyle="1" w:styleId="45">
    <w:name w:val="批注框文本 字符"/>
    <w:link w:val="19"/>
    <w:qFormat/>
    <w:uiPriority w:val="0"/>
    <w:rPr>
      <w:rFonts w:ascii="Calibri" w:hAnsi="Calibri" w:eastAsia="宋体" w:cs="Times New Roman"/>
      <w:kern w:val="2"/>
      <w:sz w:val="18"/>
      <w:szCs w:val="18"/>
    </w:rPr>
  </w:style>
  <w:style w:type="character" w:customStyle="1" w:styleId="46">
    <w:name w:val="批注主题 字符"/>
    <w:link w:val="28"/>
    <w:qFormat/>
    <w:uiPriority w:val="0"/>
    <w:rPr>
      <w:rFonts w:ascii="Calibri" w:hAnsi="Calibri" w:eastAsia="宋体" w:cs="Times New Roman"/>
      <w:b/>
      <w:bCs/>
      <w:kern w:val="2"/>
      <w:sz w:val="21"/>
      <w:szCs w:val="22"/>
    </w:rPr>
  </w:style>
  <w:style w:type="character" w:customStyle="1" w:styleId="47">
    <w:name w:val="font11"/>
    <w:qFormat/>
    <w:uiPriority w:val="0"/>
    <w:rPr>
      <w:rFonts w:hint="eastAsia" w:ascii="宋体" w:hAnsi="宋体" w:eastAsia="宋体" w:cs="宋体"/>
      <w:color w:val="000000"/>
      <w:sz w:val="22"/>
      <w:szCs w:val="22"/>
      <w:u w:val="none"/>
    </w:rPr>
  </w:style>
  <w:style w:type="character" w:customStyle="1" w:styleId="48">
    <w:name w:val="del3"/>
    <w:qFormat/>
    <w:uiPriority w:val="0"/>
    <w:rPr>
      <w:vanish/>
    </w:rPr>
  </w:style>
  <w:style w:type="character" w:customStyle="1" w:styleId="49">
    <w:name w:val="15"/>
    <w:qFormat/>
    <w:uiPriority w:val="0"/>
    <w:rPr>
      <w:rFonts w:hint="default" w:ascii="Calibri" w:hAnsi="Calibri"/>
      <w:i/>
      <w:iCs/>
    </w:rPr>
  </w:style>
  <w:style w:type="character" w:customStyle="1" w:styleId="50">
    <w:name w:val="font01"/>
    <w:qFormat/>
    <w:uiPriority w:val="0"/>
    <w:rPr>
      <w:rFonts w:hint="eastAsia" w:ascii="宋体" w:hAnsi="宋体" w:eastAsia="宋体" w:cs="宋体"/>
      <w:b/>
      <w:color w:val="000000"/>
      <w:sz w:val="24"/>
      <w:szCs w:val="24"/>
      <w:u w:val="none"/>
    </w:rPr>
  </w:style>
  <w:style w:type="character" w:customStyle="1" w:styleId="51">
    <w:name w:val="del2"/>
    <w:qFormat/>
    <w:uiPriority w:val="0"/>
    <w:rPr>
      <w:vanish/>
    </w:rPr>
  </w:style>
  <w:style w:type="character" w:customStyle="1" w:styleId="52">
    <w:name w:val="apple-style-span"/>
    <w:qFormat/>
    <w:uiPriority w:val="0"/>
  </w:style>
  <w:style w:type="character" w:customStyle="1" w:styleId="53">
    <w:name w:val="font61"/>
    <w:qFormat/>
    <w:uiPriority w:val="0"/>
    <w:rPr>
      <w:rFonts w:hint="default" w:ascii="Tahoma" w:hAnsi="Tahoma" w:eastAsia="Tahoma" w:cs="Tahoma"/>
      <w:color w:val="000000"/>
      <w:sz w:val="22"/>
      <w:szCs w:val="22"/>
      <w:u w:val="none"/>
    </w:rPr>
  </w:style>
  <w:style w:type="character" w:customStyle="1" w:styleId="54">
    <w:name w:val="del"/>
    <w:qFormat/>
    <w:uiPriority w:val="0"/>
  </w:style>
  <w:style w:type="character" w:customStyle="1" w:styleId="55">
    <w:name w:val="10"/>
    <w:qFormat/>
    <w:uiPriority w:val="0"/>
    <w:rPr>
      <w:rFonts w:hint="default" w:ascii="Calibri" w:hAnsi="Calibri"/>
    </w:rPr>
  </w:style>
  <w:style w:type="character" w:customStyle="1" w:styleId="56">
    <w:name w:val="del1"/>
    <w:qFormat/>
    <w:uiPriority w:val="0"/>
    <w:rPr>
      <w:vanish/>
      <w:color w:val="666666"/>
      <w:sz w:val="18"/>
      <w:szCs w:val="18"/>
      <w:u w:val="single"/>
    </w:rPr>
  </w:style>
  <w:style w:type="paragraph" w:customStyle="1" w:styleId="57">
    <w:name w:val="样式 宋体 小四 首行缩进:  0.93 厘米 段前: 11.15 磅 段后: 11.15 磅1"/>
    <w:basedOn w:val="1"/>
    <w:qFormat/>
    <w:uiPriority w:val="0"/>
    <w:pPr>
      <w:ind w:left="200"/>
    </w:pPr>
    <w:rPr>
      <w:rFonts w:hint="eastAsia" w:ascii="宋体" w:hAnsi="宋体"/>
      <w:color w:val="000000"/>
      <w:kern w:val="1"/>
      <w:sz w:val="24"/>
      <w:szCs w:val="20"/>
    </w:rPr>
  </w:style>
  <w:style w:type="paragraph" w:customStyle="1" w:styleId="58">
    <w:name w:val="List Paragraph1"/>
    <w:basedOn w:val="1"/>
    <w:qFormat/>
    <w:uiPriority w:val="99"/>
    <w:pPr>
      <w:ind w:firstLine="420" w:firstLineChars="200"/>
    </w:pPr>
  </w:style>
  <w:style w:type="paragraph" w:customStyle="1" w:styleId="59">
    <w:name w:val="列出段落11"/>
    <w:basedOn w:val="1"/>
    <w:qFormat/>
    <w:uiPriority w:val="99"/>
    <w:pPr>
      <w:ind w:firstLine="420" w:firstLineChars="200"/>
    </w:pPr>
  </w:style>
  <w:style w:type="paragraph" w:customStyle="1" w:styleId="60">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6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列出段落3"/>
    <w:basedOn w:val="1"/>
    <w:qFormat/>
    <w:uiPriority w:val="0"/>
    <w:pPr>
      <w:ind w:firstLine="420" w:firstLineChars="200"/>
    </w:pPr>
    <w:rPr>
      <w:rFonts w:ascii="宋体"/>
      <w:sz w:val="28"/>
    </w:rPr>
  </w:style>
  <w:style w:type="paragraph" w:customStyle="1" w:styleId="63">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表格内文字"/>
    <w:basedOn w:val="1"/>
    <w:qFormat/>
    <w:uiPriority w:val="0"/>
    <w:pPr>
      <w:keepLines/>
      <w:widowControl/>
      <w:spacing w:before="40" w:after="40"/>
    </w:pPr>
    <w:rPr>
      <w:rFonts w:ascii="Arial" w:hAnsi="Arial" w:cs="宋体"/>
      <w:color w:val="008ED3"/>
      <w:kern w:val="0"/>
      <w:sz w:val="18"/>
      <w:szCs w:val="18"/>
    </w:rPr>
  </w:style>
  <w:style w:type="paragraph" w:customStyle="1" w:styleId="6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6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
    <w:name w:val="列出段落6"/>
    <w:basedOn w:val="1"/>
    <w:qFormat/>
    <w:uiPriority w:val="34"/>
    <w:pPr>
      <w:widowControl/>
      <w:spacing w:after="200" w:line="276" w:lineRule="auto"/>
      <w:ind w:left="720"/>
      <w:contextualSpacing/>
      <w:jc w:val="left"/>
    </w:pPr>
    <w:rPr>
      <w:kern w:val="0"/>
      <w:sz w:val="22"/>
    </w:rPr>
  </w:style>
  <w:style w:type="paragraph" w:customStyle="1" w:styleId="68">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69">
    <w:name w:val="No Spacing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70">
    <w:name w:val="小标题"/>
    <w:next w:val="1"/>
    <w:qFormat/>
    <w:uiPriority w:val="0"/>
    <w:pPr>
      <w:keepNext/>
      <w:outlineLvl w:val="0"/>
    </w:pPr>
    <w:rPr>
      <w:rFonts w:ascii="Helvetica Neue" w:hAnsi="Helvetica Neue" w:eastAsia="Helvetica Neue" w:cs="Helvetica Neue"/>
      <w:b/>
      <w:bCs/>
      <w:color w:val="000000"/>
      <w:sz w:val="36"/>
      <w:szCs w:val="36"/>
      <w:lang w:val="en-US" w:eastAsia="zh-CN" w:bidi="ar-SA"/>
    </w:rPr>
  </w:style>
  <w:style w:type="paragraph" w:customStyle="1" w:styleId="71">
    <w:name w:val="表格样式 2"/>
    <w:qFormat/>
    <w:uiPriority w:val="0"/>
    <w:rPr>
      <w:rFonts w:ascii="Helvetica Neue" w:hAnsi="Helvetica Neue" w:eastAsia="Helvetica Neue" w:cs="Helvetica Neue"/>
      <w:color w:val="000000"/>
      <w:lang w:val="en-US" w:eastAsia="zh-CN" w:bidi="ar-SA"/>
    </w:rPr>
  </w:style>
  <w:style w:type="paragraph" w:customStyle="1" w:styleId="72">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73">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4">
    <w:name w:val="列出段落4"/>
    <w:basedOn w:val="1"/>
    <w:qFormat/>
    <w:uiPriority w:val="34"/>
    <w:pPr>
      <w:ind w:firstLine="420" w:firstLineChars="200"/>
    </w:pPr>
  </w:style>
  <w:style w:type="paragraph" w:customStyle="1" w:styleId="75">
    <w:name w:val="正文框"/>
    <w:basedOn w:val="1"/>
    <w:qFormat/>
    <w:uiPriority w:val="0"/>
    <w:pPr>
      <w:widowControl/>
      <w:adjustRightInd w:val="0"/>
      <w:spacing w:line="312" w:lineRule="atLeast"/>
      <w:jc w:val="left"/>
      <w:textAlignment w:val="baseline"/>
    </w:pPr>
    <w:rPr>
      <w:sz w:val="24"/>
    </w:rPr>
  </w:style>
  <w:style w:type="paragraph" w:customStyle="1" w:styleId="76">
    <w:name w:val="列出段落1"/>
    <w:basedOn w:val="1"/>
    <w:qFormat/>
    <w:uiPriority w:val="99"/>
    <w:pPr>
      <w:ind w:firstLine="420" w:firstLineChars="200"/>
    </w:pPr>
  </w:style>
  <w:style w:type="paragraph" w:customStyle="1" w:styleId="77">
    <w:name w:val="列出段落12"/>
    <w:basedOn w:val="1"/>
    <w:unhideWhenUsed/>
    <w:qFormat/>
    <w:uiPriority w:val="99"/>
    <w:pPr>
      <w:ind w:firstLine="420" w:firstLineChars="200"/>
    </w:pPr>
  </w:style>
  <w:style w:type="paragraph" w:customStyle="1" w:styleId="78">
    <w:name w:val="表格样式 1"/>
    <w:qFormat/>
    <w:uiPriority w:val="0"/>
    <w:rPr>
      <w:rFonts w:ascii="Helvetica Neue" w:hAnsi="Helvetica Neue" w:eastAsia="Helvetica Neue" w:cs="Helvetica Neue"/>
      <w:b/>
      <w:bCs/>
      <w:color w:val="000000"/>
      <w:lang w:val="en-US" w:eastAsia="zh-CN" w:bidi="ar-SA"/>
    </w:rPr>
  </w:style>
  <w:style w:type="paragraph" w:customStyle="1" w:styleId="79">
    <w:name w:val="Char"/>
    <w:basedOn w:val="1"/>
    <w:qFormat/>
    <w:uiPriority w:val="0"/>
    <w:pPr>
      <w:jc w:val="left"/>
    </w:pPr>
    <w:rPr>
      <w:rFonts w:ascii="Tahoma" w:hAnsi="Tahoma"/>
      <w:sz w:val="24"/>
      <w:szCs w:val="20"/>
    </w:rPr>
  </w:style>
  <w:style w:type="paragraph" w:customStyle="1" w:styleId="80">
    <w:name w:val="列出段落61"/>
    <w:basedOn w:val="1"/>
    <w:qFormat/>
    <w:uiPriority w:val="34"/>
    <w:pPr>
      <w:widowControl/>
      <w:spacing w:after="200" w:line="276" w:lineRule="auto"/>
      <w:ind w:left="720"/>
      <w:contextualSpacing/>
      <w:jc w:val="left"/>
    </w:pPr>
    <w:rPr>
      <w:kern w:val="0"/>
      <w:sz w:val="22"/>
    </w:rPr>
  </w:style>
  <w:style w:type="paragraph" w:customStyle="1" w:styleId="81">
    <w:name w:val="Char2 Char Char Char"/>
    <w:basedOn w:val="1"/>
    <w:qFormat/>
    <w:uiPriority w:val="0"/>
    <w:rPr>
      <w:rFonts w:ascii="Tahoma" w:hAnsi="Tahoma"/>
      <w:sz w:val="24"/>
      <w:szCs w:val="20"/>
    </w:rPr>
  </w:style>
  <w:style w:type="paragraph" w:customStyle="1" w:styleId="82">
    <w:name w:val="列出段落2"/>
    <w:basedOn w:val="1"/>
    <w:qFormat/>
    <w:uiPriority w:val="0"/>
    <w:pPr>
      <w:ind w:firstLine="420" w:firstLineChars="200"/>
    </w:pPr>
    <w:rPr>
      <w:rFonts w:ascii="宋体"/>
      <w:sz w:val="28"/>
    </w:rPr>
  </w:style>
  <w:style w:type="paragraph" w:customStyle="1" w:styleId="83">
    <w:name w:val="_Style 2"/>
    <w:basedOn w:val="1"/>
    <w:qFormat/>
    <w:uiPriority w:val="34"/>
    <w:pPr>
      <w:ind w:firstLine="420" w:firstLineChars="200"/>
    </w:pPr>
  </w:style>
  <w:style w:type="paragraph" w:customStyle="1" w:styleId="84">
    <w:name w:val="list number ＋left spaceing"/>
    <w:basedOn w:val="8"/>
    <w:qFormat/>
    <w:uiPriority w:val="0"/>
    <w:pPr>
      <w:widowControl/>
      <w:tabs>
        <w:tab w:val="left" w:pos="839"/>
      </w:tabs>
      <w:ind w:left="0" w:firstLine="0"/>
      <w:jc w:val="left"/>
    </w:pPr>
    <w:rPr>
      <w:kern w:val="0"/>
    </w:rPr>
  </w:style>
  <w:style w:type="paragraph" w:customStyle="1" w:styleId="85">
    <w:name w:val="Body text|21"/>
    <w:basedOn w:val="1"/>
    <w:qFormat/>
    <w:uiPriority w:val="0"/>
    <w:pPr>
      <w:shd w:val="clear" w:color="auto" w:fill="FFFFFF"/>
      <w:spacing w:before="240" w:after="340" w:line="200" w:lineRule="exact"/>
      <w:ind w:hanging="480"/>
      <w:jc w:val="left"/>
    </w:pPr>
    <w:rPr>
      <w:rFonts w:ascii="PMingLiU" w:hAnsi="PMingLiU" w:eastAsia="PMingLiU" w:cs="PMingLiU"/>
      <w:spacing w:val="10"/>
      <w:kern w:val="0"/>
      <w:sz w:val="20"/>
      <w:szCs w:val="20"/>
    </w:rPr>
  </w:style>
  <w:style w:type="paragraph" w:customStyle="1" w:styleId="86">
    <w:name w:val="列出段落5"/>
    <w:basedOn w:val="1"/>
    <w:unhideWhenUsed/>
    <w:qFormat/>
    <w:uiPriority w:val="99"/>
    <w:pPr>
      <w:ind w:firstLine="420" w:firstLineChars="200"/>
    </w:pPr>
  </w:style>
  <w:style w:type="paragraph" w:customStyle="1" w:styleId="87">
    <w:name w:val="Default"/>
    <w:qFormat/>
    <w:uiPriority w:val="0"/>
    <w:pPr>
      <w:widowControl w:val="0"/>
      <w:autoSpaceDE w:val="0"/>
      <w:autoSpaceDN w:val="0"/>
      <w:adjustRightInd w:val="0"/>
    </w:pPr>
    <w:rPr>
      <w:rFonts w:ascii="华文仿宋" w:hAnsi="华文仿宋" w:eastAsia="宋体" w:cs="华文仿宋"/>
      <w:color w:val="000000"/>
      <w:sz w:val="24"/>
      <w:szCs w:val="24"/>
      <w:lang w:val="en-US" w:eastAsia="zh-CN" w:bidi="ar-SA"/>
    </w:rPr>
  </w:style>
  <w:style w:type="paragraph" w:customStyle="1" w:styleId="88">
    <w:name w:val="Table Paragraph"/>
    <w:basedOn w:val="1"/>
    <w:qFormat/>
    <w:uiPriority w:val="0"/>
    <w:pPr>
      <w:autoSpaceDE w:val="0"/>
      <w:autoSpaceDN w:val="0"/>
      <w:jc w:val="left"/>
    </w:pPr>
    <w:rPr>
      <w:rFonts w:hint="eastAsia" w:ascii="宋体" w:hAnsi="宋体"/>
      <w:kern w:val="0"/>
      <w:sz w:val="22"/>
    </w:rPr>
  </w:style>
  <w:style w:type="table" w:customStyle="1" w:styleId="89">
    <w:name w:val="Table Normal"/>
    <w:qFormat/>
    <w:uiPriority w:val="0"/>
    <w:tblPr>
      <w:tblCellMar>
        <w:top w:w="0" w:type="dxa"/>
        <w:left w:w="0" w:type="dxa"/>
        <w:bottom w:w="0" w:type="dxa"/>
        <w:right w:w="0" w:type="dxa"/>
      </w:tblCellMar>
    </w:tblPr>
  </w:style>
  <w:style w:type="character" w:customStyle="1" w:styleId="90">
    <w:name w:val="font21"/>
    <w:qFormat/>
    <w:uiPriority w:val="0"/>
    <w:rPr>
      <w:rFonts w:hint="eastAsia" w:ascii="宋体" w:hAnsi="宋体" w:eastAsia="宋体" w:cs="宋体"/>
      <w:color w:val="000000"/>
      <w:sz w:val="21"/>
      <w:szCs w:val="21"/>
      <w:u w:val="none"/>
    </w:rPr>
  </w:style>
  <w:style w:type="paragraph" w:customStyle="1" w:styleId="91">
    <w:name w:val="_Style 87"/>
    <w:unhideWhenUsed/>
    <w:qFormat/>
    <w:uiPriority w:val="99"/>
    <w:rPr>
      <w:rFonts w:ascii="Times New Roman" w:hAnsi="Times New Roman" w:eastAsia="宋体" w:cs="Times New Roman"/>
      <w:kern w:val="2"/>
      <w:sz w:val="21"/>
      <w:szCs w:val="22"/>
      <w:lang w:val="en-US" w:eastAsia="zh-CN" w:bidi="ar-SA"/>
    </w:rPr>
  </w:style>
  <w:style w:type="character" w:customStyle="1" w:styleId="9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jpe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5.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67</Pages>
  <Words>25984</Words>
  <Characters>28507</Characters>
  <Lines>259</Lines>
  <Paragraphs>73</Paragraphs>
  <TotalTime>6</TotalTime>
  <ScaleCrop>false</ScaleCrop>
  <LinksUpToDate>false</LinksUpToDate>
  <CharactersWithSpaces>30576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2022-03-28T09:59:00Z</dcterms:created>
  <dc:creator>Administrator</dc:creator>
  <cp:lastModifiedBy>®</cp:lastModifiedBy>
  <cp:lastPrinted>2022-04-19T07:43:00Z</cp:lastPrinted>
  <dcterms:modified xsi:type="dcterms:W3CDTF">2022-11-14T05:00:32Z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91BDB47D7C164A7CAA7B59F388EB8CFE</vt:lpwstr>
  </property>
</Properties>
</file>