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合同包1(SXZCX2022-095第一标段):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合同包预算金额：5,200,000.00元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合同包最高限价：5,200,000.00元</w:t>
      </w:r>
    </w:p>
    <w:tbl>
      <w:tblPr>
        <w:tblpPr w:leftFromText="180" w:rightFromText="180" w:vertAnchor="text" w:horzAnchor="page" w:tblpX="742" w:tblpY="656"/>
        <w:tblOverlap w:val="never"/>
        <w:tblW w:w="1409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575"/>
        <w:gridCol w:w="3806"/>
        <w:gridCol w:w="1463"/>
        <w:gridCol w:w="2719"/>
        <w:gridCol w:w="1650"/>
        <w:gridCol w:w="17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实验室设备第一包，用于病理、检验、遗传实验室检测，满足临床需求、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7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5,200,000.00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5,200,000.00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合同履行期限：1、国产产品交货期：要求在正式合同签订即日起 30 个日历日内或按采购人要求。 2、进口产品交货期：要求在正式合同签订即日起 90 个日历日内或按采购人要求。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合同包2(SXZCX2022-095第二标段):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合同包预算金额：3,000,000.00元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合同包最高限价：3,000,000.00元</w:t>
      </w:r>
    </w:p>
    <w:tbl>
      <w:tblPr>
        <w:tblW w:w="138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847"/>
        <w:gridCol w:w="3806"/>
        <w:gridCol w:w="1669"/>
        <w:gridCol w:w="1830"/>
        <w:gridCol w:w="1739"/>
        <w:gridCol w:w="17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3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实验室设备第二包，用于病理、检验、遗传实验室检测，满足临床需求、</w:t>
            </w:r>
          </w:p>
        </w:tc>
        <w:tc>
          <w:tcPr>
            <w:tcW w:w="1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3,000,000.00</w:t>
            </w:r>
          </w:p>
        </w:tc>
        <w:tc>
          <w:tcPr>
            <w:tcW w:w="17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3,000,000.00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合同履行期限：要求在正式合同签订即日起 30 个日历日内或按采购人要求。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GZlMTViMTY5OGU0ZTNjMWQ0MjQxOTMxYzY4OGMifQ=="/>
  </w:docVars>
  <w:rsids>
    <w:rsidRoot w:val="00000000"/>
    <w:rsid w:val="4B583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2022-12-13T11:29:01Z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81D704C943F94B589CF5D2FB4908A11D</vt:lpwstr>
  </property>
</Properties>
</file>