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color w:val="auto"/>
          <w:sz w:val="32"/>
          <w:szCs w:val="32"/>
          <w:bdr w:val="single" w:color="auto" w:sz="4" w:space="0"/>
          <w:lang w:val="en-US" w:eastAsia="zh-CN"/>
        </w:rPr>
      </w:pPr>
      <w:r>
        <w:rPr>
          <w:rFonts w:hint="eastAsia" w:ascii="宋体" w:hAnsi="宋体" w:cs="宋体"/>
          <w:b/>
          <w:color w:val="auto"/>
          <w:sz w:val="32"/>
          <w:szCs w:val="32"/>
          <w:bdr w:val="single" w:color="auto" w:sz="4" w:space="0"/>
          <w:lang w:val="en-US" w:eastAsia="zh-CN"/>
        </w:rPr>
        <w:t>政府采购项目</w:t>
      </w:r>
    </w:p>
    <w:p>
      <w:pPr>
        <w:pStyle w:val="2"/>
        <w:rPr>
          <w:rFonts w:hint="eastAsia" w:ascii="宋体" w:hAnsi="宋体" w:cs="宋体"/>
          <w:b/>
          <w:color w:val="auto"/>
          <w:sz w:val="32"/>
          <w:szCs w:val="32"/>
          <w:bdr w:val="single" w:color="auto" w:sz="4" w:space="0"/>
          <w:lang w:val="en-US" w:eastAsia="zh-CN"/>
        </w:rPr>
      </w:pPr>
    </w:p>
    <w:p>
      <w:pPr>
        <w:pStyle w:val="3"/>
        <w:rPr>
          <w:rFonts w:hint="default"/>
          <w:color w:val="auto"/>
          <w:lang w:val="en-US" w:eastAsia="zh-CN"/>
        </w:rPr>
      </w:pPr>
    </w:p>
    <w:p>
      <w:pPr>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咸阳师范学院水电设备设施运行管理及零星维修服务外包项目</w:t>
      </w:r>
    </w:p>
    <w:p>
      <w:pPr>
        <w:pStyle w:val="2"/>
        <w:ind w:firstLine="480"/>
        <w:rPr>
          <w:rFonts w:hint="eastAsia"/>
          <w:color w:val="auto"/>
        </w:rPr>
      </w:pPr>
    </w:p>
    <w:p>
      <w:pPr>
        <w:jc w:val="center"/>
        <w:rPr>
          <w:rFonts w:hint="eastAsia" w:ascii="宋体" w:hAnsi="宋体" w:eastAsia="宋体" w:cs="宋体"/>
          <w:b/>
          <w:color w:val="auto"/>
          <w:sz w:val="36"/>
          <w:szCs w:val="36"/>
          <w:lang w:eastAsia="zh-CN"/>
        </w:rPr>
      </w:pPr>
      <w:r>
        <w:rPr>
          <w:rFonts w:hint="eastAsia" w:ascii="宋体" w:hAnsi="宋体" w:cs="宋体"/>
          <w:b/>
          <w:color w:val="auto"/>
          <w:sz w:val="36"/>
          <w:szCs w:val="36"/>
        </w:rPr>
        <w:t>项目编号：</w:t>
      </w:r>
      <w:r>
        <w:rPr>
          <w:rFonts w:hint="eastAsia" w:ascii="宋体" w:hAnsi="宋体" w:cs="宋体"/>
          <w:b/>
          <w:color w:val="auto"/>
          <w:sz w:val="36"/>
          <w:szCs w:val="36"/>
          <w:lang w:eastAsia="zh-CN"/>
        </w:rPr>
        <w:t>ZHZB-2022-CS-1199</w:t>
      </w:r>
    </w:p>
    <w:p>
      <w:pPr>
        <w:spacing w:line="360" w:lineRule="auto"/>
        <w:rPr>
          <w:rFonts w:hint="eastAsia" w:ascii="宋体" w:hAnsi="宋体" w:cs="宋体"/>
          <w:color w:val="auto"/>
          <w:sz w:val="32"/>
        </w:rPr>
      </w:pPr>
    </w:p>
    <w:p>
      <w:pPr>
        <w:pStyle w:val="10"/>
        <w:jc w:val="center"/>
        <w:rPr>
          <w:rFonts w:hint="eastAsia" w:ascii="宋体" w:hAnsi="宋体" w:cs="宋体"/>
          <w:color w:val="auto"/>
        </w:rPr>
      </w:pPr>
    </w:p>
    <w:p>
      <w:pPr>
        <w:jc w:val="center"/>
        <w:rPr>
          <w:rFonts w:hint="eastAsia" w:ascii="宋体" w:hAnsi="宋体" w:cs="宋体"/>
          <w:b/>
          <w:color w:val="auto"/>
          <w:sz w:val="84"/>
          <w:szCs w:val="84"/>
        </w:rPr>
      </w:pPr>
      <w:r>
        <w:rPr>
          <w:rFonts w:hint="eastAsia" w:ascii="宋体" w:hAnsi="宋体" w:cs="宋体"/>
          <w:b/>
          <w:color w:val="auto"/>
          <w:sz w:val="84"/>
          <w:szCs w:val="84"/>
        </w:rPr>
        <w:t>竞争性磋商文件</w:t>
      </w:r>
    </w:p>
    <w:p>
      <w:pPr>
        <w:pStyle w:val="17"/>
        <w:ind w:left="0" w:leftChars="0" w:firstLine="0" w:firstLineChars="0"/>
        <w:rPr>
          <w:rFonts w:hint="eastAsia"/>
          <w:color w:val="auto"/>
        </w:rPr>
      </w:pPr>
    </w:p>
    <w:p>
      <w:pPr>
        <w:pStyle w:val="13"/>
        <w:rPr>
          <w:rFonts w:hint="eastAsia" w:ascii="宋体" w:hAnsi="宋体" w:cs="宋体"/>
          <w:color w:val="auto"/>
        </w:rPr>
      </w:pPr>
    </w:p>
    <w:p>
      <w:pPr>
        <w:jc w:val="center"/>
        <w:rPr>
          <w:rFonts w:hint="eastAsia" w:ascii="宋体" w:hAnsi="宋体" w:cs="宋体"/>
          <w:color w:val="auto"/>
        </w:rPr>
      </w:pPr>
      <w:r>
        <w:rPr>
          <w:rFonts w:hint="eastAsia" w:ascii="宋体" w:hAnsi="宋体" w:cs="宋体"/>
          <w:color w:val="auto"/>
        </w:rPr>
        <w:drawing>
          <wp:inline distT="0" distB="0" distL="114300" distR="114300">
            <wp:extent cx="2265045" cy="2265045"/>
            <wp:effectExtent l="0" t="0" r="1905" b="1905"/>
            <wp:docPr id="3" name="图片 1" descr="不带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不带字"/>
                    <pic:cNvPicPr>
                      <a:picLocks noChangeAspect="1"/>
                    </pic:cNvPicPr>
                  </pic:nvPicPr>
                  <pic:blipFill>
                    <a:blip r:embed="rId14"/>
                    <a:stretch>
                      <a:fillRect/>
                    </a:stretch>
                  </pic:blipFill>
                  <pic:spPr>
                    <a:xfrm>
                      <a:off x="0" y="0"/>
                      <a:ext cx="2265045" cy="2265045"/>
                    </a:xfrm>
                    <a:prstGeom prst="rect">
                      <a:avLst/>
                    </a:prstGeom>
                    <a:noFill/>
                    <a:ln>
                      <a:noFill/>
                    </a:ln>
                  </pic:spPr>
                </pic:pic>
              </a:graphicData>
            </a:graphic>
          </wp:inline>
        </w:drawing>
      </w:r>
    </w:p>
    <w:p>
      <w:pPr>
        <w:pStyle w:val="13"/>
        <w:rPr>
          <w:rFonts w:hint="eastAsia" w:ascii="宋体" w:hAnsi="宋体" w:cs="宋体"/>
          <w:color w:val="auto"/>
        </w:rPr>
      </w:pPr>
    </w:p>
    <w:p>
      <w:pPr>
        <w:pStyle w:val="13"/>
        <w:rPr>
          <w:rFonts w:hint="eastAsia" w:ascii="宋体" w:hAnsi="宋体" w:cs="宋体"/>
          <w:color w:val="auto"/>
        </w:rPr>
      </w:pPr>
    </w:p>
    <w:p>
      <w:pPr>
        <w:pStyle w:val="13"/>
        <w:rPr>
          <w:rFonts w:hint="eastAsia" w:ascii="宋体" w:hAnsi="宋体" w:cs="宋体"/>
          <w:color w:val="auto"/>
        </w:rPr>
      </w:pPr>
    </w:p>
    <w:p>
      <w:pPr>
        <w:pStyle w:val="13"/>
        <w:rPr>
          <w:rFonts w:hint="eastAsia" w:ascii="宋体" w:hAnsi="宋体" w:cs="宋体"/>
          <w:color w:val="auto"/>
        </w:rPr>
      </w:pPr>
    </w:p>
    <w:p>
      <w:pPr>
        <w:pStyle w:val="13"/>
        <w:rPr>
          <w:rFonts w:hint="eastAsia" w:ascii="宋体" w:hAnsi="宋体" w:cs="宋体"/>
          <w:color w:val="auto"/>
        </w:rPr>
      </w:pPr>
    </w:p>
    <w:p>
      <w:pPr>
        <w:pStyle w:val="13"/>
        <w:rPr>
          <w:rFonts w:hint="eastAsia" w:ascii="宋体" w:hAnsi="宋体" w:cs="宋体"/>
          <w:color w:val="auto"/>
        </w:rPr>
      </w:pPr>
    </w:p>
    <w:p>
      <w:pPr>
        <w:pStyle w:val="10"/>
        <w:rPr>
          <w:rFonts w:hint="eastAsia" w:ascii="宋体" w:hAnsi="宋体" w:cs="宋体"/>
          <w:color w:val="auto"/>
          <w:sz w:val="32"/>
          <w:szCs w:val="32"/>
        </w:rPr>
      </w:pPr>
    </w:p>
    <w:p>
      <w:pPr>
        <w:rPr>
          <w:rFonts w:hint="eastAsia" w:ascii="宋体" w:hAnsi="宋体" w:cs="宋体"/>
          <w:color w:val="auto"/>
        </w:rPr>
      </w:pPr>
    </w:p>
    <w:p>
      <w:pPr>
        <w:spacing w:line="480" w:lineRule="auto"/>
        <w:ind w:firstLine="1285" w:firstLineChars="400"/>
        <w:rPr>
          <w:rFonts w:hint="eastAsia" w:ascii="宋体" w:hAnsi="宋体" w:cs="宋体"/>
          <w:b/>
          <w:color w:val="auto"/>
          <w:sz w:val="32"/>
          <w:szCs w:val="32"/>
        </w:rPr>
      </w:pPr>
      <w:r>
        <w:rPr>
          <w:rFonts w:hint="eastAsia" w:ascii="宋体" w:hAnsi="宋体" w:cs="宋体"/>
          <w:b/>
          <w:color w:val="auto"/>
          <w:sz w:val="32"/>
          <w:szCs w:val="32"/>
        </w:rPr>
        <w:t>采   购   人：</w:t>
      </w:r>
      <w:r>
        <w:rPr>
          <w:rFonts w:hint="eastAsia" w:ascii="宋体" w:hAnsi="宋体" w:cs="宋体"/>
          <w:b/>
          <w:color w:val="auto"/>
          <w:sz w:val="32"/>
          <w:szCs w:val="32"/>
          <w:u w:val="single"/>
        </w:rPr>
        <w:t xml:space="preserve">    </w:t>
      </w:r>
      <w:r>
        <w:rPr>
          <w:rFonts w:hint="eastAsia" w:ascii="宋体" w:hAnsi="宋体" w:cs="宋体"/>
          <w:b/>
          <w:color w:val="auto"/>
          <w:sz w:val="36"/>
          <w:szCs w:val="36"/>
          <w:u w:val="single"/>
          <w:lang w:eastAsia="zh-CN"/>
        </w:rPr>
        <w:t>咸阳师范学院</w:t>
      </w:r>
      <w:r>
        <w:rPr>
          <w:rFonts w:hint="eastAsia" w:ascii="宋体" w:hAnsi="宋体" w:cs="宋体"/>
          <w:b/>
          <w:color w:val="auto"/>
          <w:sz w:val="32"/>
          <w:szCs w:val="32"/>
          <w:u w:val="single"/>
        </w:rPr>
        <w:t xml:space="preserve">    </w:t>
      </w:r>
    </w:p>
    <w:p>
      <w:pPr>
        <w:spacing w:line="480" w:lineRule="auto"/>
        <w:ind w:firstLine="1285" w:firstLineChars="400"/>
        <w:rPr>
          <w:rFonts w:hint="eastAsia" w:ascii="宋体" w:hAnsi="宋体" w:eastAsia="宋体" w:cs="宋体"/>
          <w:b/>
          <w:color w:val="auto"/>
          <w:sz w:val="32"/>
          <w:szCs w:val="32"/>
          <w:u w:val="single"/>
          <w:lang w:val="en-US" w:eastAsia="zh-CN"/>
        </w:rPr>
      </w:pPr>
      <w:r>
        <w:rPr>
          <w:rFonts w:hint="eastAsia" w:ascii="宋体" w:hAnsi="宋体" w:cs="宋体"/>
          <w:b/>
          <w:color w:val="auto"/>
          <w:sz w:val="32"/>
          <w:szCs w:val="32"/>
        </w:rPr>
        <w:t>采购代理机构:</w:t>
      </w:r>
      <w:r>
        <w:rPr>
          <w:rFonts w:hint="eastAsia" w:ascii="宋体" w:hAnsi="宋体" w:cs="宋体"/>
          <w:b/>
          <w:color w:val="auto"/>
          <w:sz w:val="32"/>
          <w:szCs w:val="32"/>
          <w:u w:val="single"/>
        </w:rPr>
        <w:t xml:space="preserve"> 陕西正鸿招标有限公司 </w:t>
      </w:r>
      <w:r>
        <w:rPr>
          <w:rFonts w:hint="eastAsia" w:ascii="宋体" w:hAnsi="宋体" w:cs="宋体"/>
          <w:b/>
          <w:color w:val="auto"/>
          <w:sz w:val="32"/>
          <w:szCs w:val="32"/>
          <w:u w:val="single"/>
          <w:lang w:val="en-US" w:eastAsia="zh-CN"/>
        </w:rPr>
        <w:t xml:space="preserve"> </w:t>
      </w:r>
    </w:p>
    <w:p>
      <w:pPr>
        <w:spacing w:line="480" w:lineRule="auto"/>
        <w:jc w:val="center"/>
        <w:rPr>
          <w:rFonts w:hint="eastAsia" w:ascii="宋体" w:hAnsi="宋体" w:cs="宋体"/>
          <w:b/>
          <w:bCs/>
          <w:color w:val="auto"/>
          <w:sz w:val="36"/>
          <w:szCs w:val="36"/>
        </w:rPr>
        <w:sectPr>
          <w:headerReference r:id="rId3" w:type="first"/>
          <w:footerReference r:id="rId4" w:type="default"/>
          <w:footerReference r:id="rId5" w:type="even"/>
          <w:footnotePr>
            <w:pos w:val="beneathText"/>
          </w:footnotePr>
          <w:pgSz w:w="11905" w:h="16838"/>
          <w:pgMar w:top="1440" w:right="1417" w:bottom="1440" w:left="1417" w:header="850"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b/>
          <w:color w:val="auto"/>
          <w:sz w:val="32"/>
          <w:szCs w:val="32"/>
        </w:rPr>
        <w:t>2022年11月</w:t>
      </w:r>
    </w:p>
    <w:p>
      <w:pPr>
        <w:rPr>
          <w:rFonts w:hint="eastAsia" w:ascii="宋体" w:hAnsi="宋体" w:cs="宋体"/>
          <w:color w:val="auto"/>
          <w:sz w:val="24"/>
        </w:rPr>
      </w:pPr>
    </w:p>
    <w:p>
      <w:pPr>
        <w:jc w:val="center"/>
        <w:rPr>
          <w:rFonts w:hint="eastAsia" w:ascii="宋体" w:hAnsi="宋体" w:cs="宋体"/>
          <w:b/>
          <w:color w:val="auto"/>
          <w:sz w:val="44"/>
          <w:szCs w:val="44"/>
        </w:rPr>
      </w:pPr>
      <w:r>
        <w:rPr>
          <w:rFonts w:hint="eastAsia" w:ascii="宋体" w:hAnsi="宋体" w:cs="宋体"/>
          <w:b/>
          <w:color w:val="auto"/>
          <w:sz w:val="44"/>
          <w:szCs w:val="44"/>
        </w:rPr>
        <w:t>目  录</w:t>
      </w:r>
    </w:p>
    <w:p>
      <w:pPr>
        <w:pStyle w:val="10"/>
        <w:rPr>
          <w:rFonts w:hint="eastAsia" w:ascii="宋体" w:hAnsi="宋体" w:cs="宋体"/>
          <w:color w:val="auto"/>
        </w:rPr>
      </w:pPr>
    </w:p>
    <w:p>
      <w:pPr>
        <w:pStyle w:val="15"/>
        <w:tabs>
          <w:tab w:val="right" w:leader="dot" w:pos="9071"/>
        </w:tabs>
        <w:rPr>
          <w:color w:val="auto"/>
        </w:rPr>
      </w:pPr>
      <w:r>
        <w:rPr>
          <w:rFonts w:hint="eastAsia"/>
          <w:color w:val="auto"/>
          <w:sz w:val="36"/>
          <w:szCs w:val="36"/>
        </w:rPr>
        <w:fldChar w:fldCharType="begin"/>
      </w:r>
      <w:r>
        <w:rPr>
          <w:rFonts w:hint="eastAsia"/>
          <w:color w:val="auto"/>
          <w:sz w:val="36"/>
          <w:szCs w:val="36"/>
        </w:rPr>
        <w:instrText xml:space="preserve">TOC \o "1-1" \h \u </w:instrText>
      </w:r>
      <w:r>
        <w:rPr>
          <w:rFonts w:hint="eastAsia"/>
          <w:color w:val="auto"/>
          <w:sz w:val="36"/>
          <w:szCs w:val="36"/>
        </w:rPr>
        <w:fldChar w:fldCharType="separate"/>
      </w:r>
      <w:r>
        <w:rPr>
          <w:rFonts w:hint="eastAsia"/>
          <w:color w:val="auto"/>
          <w:szCs w:val="36"/>
        </w:rPr>
        <w:fldChar w:fldCharType="begin"/>
      </w:r>
      <w:r>
        <w:rPr>
          <w:rFonts w:hint="eastAsia"/>
          <w:color w:val="auto"/>
          <w:szCs w:val="36"/>
        </w:rPr>
        <w:instrText xml:space="preserve"> HYPERLINK \l _Toc2475 </w:instrText>
      </w:r>
      <w:r>
        <w:rPr>
          <w:rFonts w:hint="eastAsia"/>
          <w:color w:val="auto"/>
          <w:szCs w:val="36"/>
        </w:rPr>
        <w:fldChar w:fldCharType="separate"/>
      </w:r>
      <w:r>
        <w:rPr>
          <w:rFonts w:hint="eastAsia"/>
          <w:color w:val="auto"/>
          <w:highlight w:val="none"/>
        </w:rPr>
        <w:t xml:space="preserve">第一章  </w:t>
      </w:r>
      <w:r>
        <w:rPr>
          <w:rFonts w:hint="eastAsia"/>
          <w:color w:val="auto"/>
          <w:highlight w:val="none"/>
          <w:lang w:val="en-US" w:eastAsia="zh-CN"/>
        </w:rPr>
        <w:t>竞争性磋商公告</w:t>
      </w:r>
      <w:r>
        <w:rPr>
          <w:color w:val="auto"/>
        </w:rPr>
        <w:tab/>
      </w:r>
      <w:r>
        <w:rPr>
          <w:color w:val="auto"/>
        </w:rPr>
        <w:fldChar w:fldCharType="begin"/>
      </w:r>
      <w:r>
        <w:rPr>
          <w:color w:val="auto"/>
        </w:rPr>
        <w:instrText xml:space="preserve"> PAGEREF _Toc2475 \h </w:instrText>
      </w:r>
      <w:r>
        <w:rPr>
          <w:color w:val="auto"/>
        </w:rPr>
        <w:fldChar w:fldCharType="separate"/>
      </w:r>
      <w:r>
        <w:rPr>
          <w:color w:val="auto"/>
        </w:rPr>
        <w:t>1</w:t>
      </w:r>
      <w:r>
        <w:rPr>
          <w:color w:val="auto"/>
        </w:rPr>
        <w:fldChar w:fldCharType="end"/>
      </w:r>
      <w:r>
        <w:rPr>
          <w:rFonts w:hint="eastAsia"/>
          <w:color w:val="auto"/>
          <w:szCs w:val="36"/>
        </w:rPr>
        <w:fldChar w:fldCharType="end"/>
      </w:r>
    </w:p>
    <w:p>
      <w:pPr>
        <w:pStyle w:val="15"/>
        <w:tabs>
          <w:tab w:val="right" w:leader="dot" w:pos="9071"/>
        </w:tabs>
        <w:rPr>
          <w:color w:val="auto"/>
        </w:rPr>
      </w:pPr>
      <w:r>
        <w:rPr>
          <w:rFonts w:hint="eastAsia" w:ascii="宋体" w:hAnsi="宋体" w:cs="宋体"/>
          <w:color w:val="auto"/>
          <w:szCs w:val="36"/>
        </w:rPr>
        <w:fldChar w:fldCharType="begin"/>
      </w:r>
      <w:r>
        <w:rPr>
          <w:rFonts w:hint="eastAsia" w:ascii="宋体" w:hAnsi="宋体" w:cs="宋体"/>
          <w:color w:val="auto"/>
          <w:szCs w:val="36"/>
        </w:rPr>
        <w:instrText xml:space="preserve"> HYPERLINK \l _Toc1629 </w:instrText>
      </w:r>
      <w:r>
        <w:rPr>
          <w:rFonts w:hint="eastAsia" w:ascii="宋体" w:hAnsi="宋体" w:cs="宋体"/>
          <w:color w:val="auto"/>
          <w:szCs w:val="36"/>
        </w:rPr>
        <w:fldChar w:fldCharType="separate"/>
      </w:r>
      <w:r>
        <w:rPr>
          <w:rFonts w:hint="eastAsia" w:cs="宋体"/>
          <w:color w:val="auto"/>
        </w:rPr>
        <w:t>第二章  供应商须知</w:t>
      </w:r>
      <w:r>
        <w:rPr>
          <w:color w:val="auto"/>
        </w:rPr>
        <w:tab/>
      </w:r>
      <w:r>
        <w:rPr>
          <w:color w:val="auto"/>
        </w:rPr>
        <w:fldChar w:fldCharType="begin"/>
      </w:r>
      <w:r>
        <w:rPr>
          <w:color w:val="auto"/>
        </w:rPr>
        <w:instrText xml:space="preserve"> PAGEREF _Toc1629 \h </w:instrText>
      </w:r>
      <w:r>
        <w:rPr>
          <w:color w:val="auto"/>
        </w:rPr>
        <w:fldChar w:fldCharType="separate"/>
      </w:r>
      <w:r>
        <w:rPr>
          <w:color w:val="auto"/>
        </w:rPr>
        <w:t>5</w:t>
      </w:r>
      <w:r>
        <w:rPr>
          <w:color w:val="auto"/>
        </w:rPr>
        <w:fldChar w:fldCharType="end"/>
      </w:r>
      <w:r>
        <w:rPr>
          <w:rFonts w:hint="eastAsia" w:ascii="宋体" w:hAnsi="宋体" w:cs="宋体"/>
          <w:color w:val="auto"/>
          <w:szCs w:val="36"/>
        </w:rPr>
        <w:fldChar w:fldCharType="end"/>
      </w:r>
    </w:p>
    <w:p>
      <w:pPr>
        <w:pStyle w:val="15"/>
        <w:tabs>
          <w:tab w:val="right" w:leader="dot" w:pos="9071"/>
        </w:tabs>
        <w:rPr>
          <w:color w:val="auto"/>
        </w:rPr>
      </w:pPr>
      <w:r>
        <w:rPr>
          <w:rFonts w:hint="eastAsia" w:ascii="宋体" w:hAnsi="宋体" w:cs="宋体"/>
          <w:color w:val="auto"/>
          <w:szCs w:val="36"/>
        </w:rPr>
        <w:fldChar w:fldCharType="begin"/>
      </w:r>
      <w:r>
        <w:rPr>
          <w:rFonts w:hint="eastAsia" w:ascii="宋体" w:hAnsi="宋体" w:cs="宋体"/>
          <w:color w:val="auto"/>
          <w:szCs w:val="36"/>
        </w:rPr>
        <w:instrText xml:space="preserve"> HYPERLINK \l _Toc10560 </w:instrText>
      </w:r>
      <w:r>
        <w:rPr>
          <w:rFonts w:hint="eastAsia" w:ascii="宋体" w:hAnsi="宋体" w:cs="宋体"/>
          <w:color w:val="auto"/>
          <w:szCs w:val="36"/>
        </w:rPr>
        <w:fldChar w:fldCharType="separate"/>
      </w:r>
      <w:r>
        <w:rPr>
          <w:rFonts w:hint="eastAsia" w:cs="宋体"/>
          <w:color w:val="auto"/>
        </w:rPr>
        <w:t>第三章  采购内容及要求</w:t>
      </w:r>
      <w:r>
        <w:rPr>
          <w:color w:val="auto"/>
        </w:rPr>
        <w:tab/>
      </w:r>
      <w:r>
        <w:rPr>
          <w:color w:val="auto"/>
        </w:rPr>
        <w:fldChar w:fldCharType="begin"/>
      </w:r>
      <w:r>
        <w:rPr>
          <w:color w:val="auto"/>
        </w:rPr>
        <w:instrText xml:space="preserve"> PAGEREF _Toc10560 \h </w:instrText>
      </w:r>
      <w:r>
        <w:rPr>
          <w:color w:val="auto"/>
        </w:rPr>
        <w:fldChar w:fldCharType="separate"/>
      </w:r>
      <w:r>
        <w:rPr>
          <w:color w:val="auto"/>
        </w:rPr>
        <w:t>28</w:t>
      </w:r>
      <w:r>
        <w:rPr>
          <w:color w:val="auto"/>
        </w:rPr>
        <w:fldChar w:fldCharType="end"/>
      </w:r>
      <w:r>
        <w:rPr>
          <w:rFonts w:hint="eastAsia" w:ascii="宋体" w:hAnsi="宋体" w:cs="宋体"/>
          <w:color w:val="auto"/>
          <w:szCs w:val="36"/>
        </w:rPr>
        <w:fldChar w:fldCharType="end"/>
      </w:r>
    </w:p>
    <w:p>
      <w:pPr>
        <w:pStyle w:val="15"/>
        <w:tabs>
          <w:tab w:val="right" w:leader="dot" w:pos="9071"/>
        </w:tabs>
        <w:rPr>
          <w:color w:val="auto"/>
        </w:rPr>
      </w:pPr>
      <w:r>
        <w:rPr>
          <w:rFonts w:hint="eastAsia" w:ascii="宋体" w:hAnsi="宋体" w:cs="宋体"/>
          <w:color w:val="auto"/>
          <w:szCs w:val="36"/>
        </w:rPr>
        <w:fldChar w:fldCharType="begin"/>
      </w:r>
      <w:r>
        <w:rPr>
          <w:rFonts w:hint="eastAsia" w:ascii="宋体" w:hAnsi="宋体" w:cs="宋体"/>
          <w:color w:val="auto"/>
          <w:szCs w:val="36"/>
        </w:rPr>
        <w:instrText xml:space="preserve"> HYPERLINK \l _Toc542 </w:instrText>
      </w:r>
      <w:r>
        <w:rPr>
          <w:rFonts w:hint="eastAsia" w:ascii="宋体" w:hAnsi="宋体" w:cs="宋体"/>
          <w:color w:val="auto"/>
          <w:szCs w:val="36"/>
        </w:rPr>
        <w:fldChar w:fldCharType="separate"/>
      </w:r>
      <w:r>
        <w:rPr>
          <w:rFonts w:hint="eastAsia"/>
          <w:color w:val="auto"/>
        </w:rPr>
        <w:t>第四章  合同主要条款</w:t>
      </w:r>
      <w:r>
        <w:rPr>
          <w:color w:val="auto"/>
        </w:rPr>
        <w:tab/>
      </w:r>
      <w:r>
        <w:rPr>
          <w:color w:val="auto"/>
        </w:rPr>
        <w:fldChar w:fldCharType="begin"/>
      </w:r>
      <w:r>
        <w:rPr>
          <w:color w:val="auto"/>
        </w:rPr>
        <w:instrText xml:space="preserve"> PAGEREF _Toc542 \h </w:instrText>
      </w:r>
      <w:r>
        <w:rPr>
          <w:color w:val="auto"/>
        </w:rPr>
        <w:fldChar w:fldCharType="separate"/>
      </w:r>
      <w:r>
        <w:rPr>
          <w:color w:val="auto"/>
        </w:rPr>
        <w:t>38</w:t>
      </w:r>
      <w:r>
        <w:rPr>
          <w:color w:val="auto"/>
        </w:rPr>
        <w:fldChar w:fldCharType="end"/>
      </w:r>
      <w:r>
        <w:rPr>
          <w:rFonts w:hint="eastAsia" w:ascii="宋体" w:hAnsi="宋体" w:cs="宋体"/>
          <w:color w:val="auto"/>
          <w:szCs w:val="36"/>
        </w:rPr>
        <w:fldChar w:fldCharType="end"/>
      </w:r>
    </w:p>
    <w:p>
      <w:pPr>
        <w:pStyle w:val="15"/>
        <w:tabs>
          <w:tab w:val="right" w:leader="dot" w:pos="9071"/>
        </w:tabs>
        <w:rPr>
          <w:color w:val="auto"/>
        </w:rPr>
      </w:pPr>
      <w:r>
        <w:rPr>
          <w:rFonts w:hint="eastAsia" w:ascii="宋体" w:hAnsi="宋体" w:cs="宋体"/>
          <w:color w:val="auto"/>
          <w:szCs w:val="36"/>
        </w:rPr>
        <w:fldChar w:fldCharType="begin"/>
      </w:r>
      <w:r>
        <w:rPr>
          <w:rFonts w:hint="eastAsia" w:ascii="宋体" w:hAnsi="宋体" w:cs="宋体"/>
          <w:color w:val="auto"/>
          <w:szCs w:val="36"/>
        </w:rPr>
        <w:instrText xml:space="preserve"> HYPERLINK \l _Toc19872 </w:instrText>
      </w:r>
      <w:r>
        <w:rPr>
          <w:rFonts w:hint="eastAsia" w:ascii="宋体" w:hAnsi="宋体" w:cs="宋体"/>
          <w:color w:val="auto"/>
          <w:szCs w:val="36"/>
        </w:rPr>
        <w:fldChar w:fldCharType="separate"/>
      </w:r>
      <w:r>
        <w:rPr>
          <w:rFonts w:hint="eastAsia" w:cs="宋体"/>
          <w:color w:val="auto"/>
        </w:rPr>
        <w:t>第五章  竞争性磋商响应文件格式</w:t>
      </w:r>
      <w:r>
        <w:rPr>
          <w:color w:val="auto"/>
        </w:rPr>
        <w:tab/>
      </w:r>
      <w:r>
        <w:rPr>
          <w:color w:val="auto"/>
        </w:rPr>
        <w:fldChar w:fldCharType="begin"/>
      </w:r>
      <w:r>
        <w:rPr>
          <w:color w:val="auto"/>
        </w:rPr>
        <w:instrText xml:space="preserve"> PAGEREF _Toc19872 \h </w:instrText>
      </w:r>
      <w:r>
        <w:rPr>
          <w:color w:val="auto"/>
        </w:rPr>
        <w:fldChar w:fldCharType="separate"/>
      </w:r>
      <w:r>
        <w:rPr>
          <w:color w:val="auto"/>
        </w:rPr>
        <w:t>46</w:t>
      </w:r>
      <w:r>
        <w:rPr>
          <w:color w:val="auto"/>
        </w:rPr>
        <w:fldChar w:fldCharType="end"/>
      </w:r>
      <w:r>
        <w:rPr>
          <w:rFonts w:hint="eastAsia" w:ascii="宋体" w:hAnsi="宋体" w:cs="宋体"/>
          <w:color w:val="auto"/>
          <w:szCs w:val="36"/>
        </w:rPr>
        <w:fldChar w:fldCharType="end"/>
      </w:r>
    </w:p>
    <w:p>
      <w:pPr>
        <w:pStyle w:val="10"/>
        <w:spacing w:line="480" w:lineRule="auto"/>
        <w:rPr>
          <w:rFonts w:hint="eastAsia" w:ascii="宋体" w:hAnsi="宋体" w:cs="宋体"/>
          <w:color w:val="auto"/>
          <w:sz w:val="36"/>
        </w:rPr>
      </w:pPr>
      <w:r>
        <w:rPr>
          <w:rFonts w:hint="eastAsia" w:ascii="宋体" w:hAnsi="宋体" w:cs="宋体"/>
          <w:color w:val="auto"/>
          <w:szCs w:val="36"/>
        </w:rPr>
        <w:fldChar w:fldCharType="end"/>
      </w:r>
      <w:bookmarkStart w:id="0" w:name="_Toc193702467"/>
      <w:bookmarkStart w:id="1" w:name="_Toc246928891"/>
    </w:p>
    <w:p>
      <w:pPr>
        <w:rPr>
          <w:rFonts w:hint="eastAsia" w:ascii="宋体" w:hAnsi="宋体" w:cs="宋体"/>
          <w:color w:val="auto"/>
        </w:rPr>
        <w:sectPr>
          <w:headerReference r:id="rId7" w:type="first"/>
          <w:footerReference r:id="rId9" w:type="first"/>
          <w:headerReference r:id="rId6" w:type="default"/>
          <w:footerReference r:id="rId8" w:type="default"/>
          <w:footnotePr>
            <w:pos w:val="beneathText"/>
          </w:footnotePr>
          <w:pgSz w:w="11905" w:h="16838"/>
          <w:pgMar w:top="1440" w:right="1417" w:bottom="1440" w:left="1417" w:header="1020" w:footer="992" w:gutter="0"/>
          <w:pgBorders>
            <w:top w:val="none" w:sz="0" w:space="0"/>
            <w:left w:val="none" w:sz="0" w:space="0"/>
            <w:bottom w:val="none" w:sz="0" w:space="0"/>
            <w:right w:val="none" w:sz="0" w:space="0"/>
          </w:pgBorders>
          <w:pgNumType w:start="1"/>
          <w:cols w:space="720" w:num="1"/>
          <w:docGrid w:linePitch="312" w:charSpace="0"/>
        </w:sectPr>
      </w:pPr>
    </w:p>
    <w:bookmarkEnd w:id="0"/>
    <w:bookmarkEnd w:id="1"/>
    <w:p>
      <w:pPr>
        <w:pStyle w:val="4"/>
        <w:shd w:val="clear" w:color="auto" w:fill="auto"/>
        <w:spacing w:before="333"/>
        <w:rPr>
          <w:rFonts w:hint="default" w:eastAsia="宋体"/>
          <w:color w:val="auto"/>
          <w:highlight w:val="none"/>
          <w:lang w:val="en-US" w:eastAsia="zh-CN"/>
        </w:rPr>
      </w:pPr>
      <w:bookmarkStart w:id="2" w:name="_Toc30205"/>
      <w:bookmarkStart w:id="3" w:name="_Toc20940"/>
      <w:bookmarkStart w:id="4" w:name="_Toc19"/>
      <w:bookmarkStart w:id="5" w:name="_Toc2475"/>
      <w:bookmarkStart w:id="6" w:name="_Toc15041"/>
      <w:bookmarkStart w:id="7" w:name="_Toc11664"/>
      <w:bookmarkStart w:id="8" w:name="_Toc29737"/>
      <w:bookmarkStart w:id="9" w:name="_Toc746"/>
      <w:bookmarkStart w:id="10" w:name="_Toc246928893"/>
      <w:bookmarkStart w:id="11" w:name="_Toc17238"/>
      <w:r>
        <w:rPr>
          <w:rFonts w:hint="eastAsia"/>
          <w:color w:val="auto"/>
          <w:highlight w:val="none"/>
        </w:rPr>
        <w:t xml:space="preserve">第一章  </w:t>
      </w:r>
      <w:bookmarkEnd w:id="2"/>
      <w:bookmarkEnd w:id="3"/>
      <w:bookmarkEnd w:id="4"/>
      <w:r>
        <w:rPr>
          <w:rFonts w:hint="eastAsia"/>
          <w:color w:val="auto"/>
          <w:highlight w:val="none"/>
          <w:lang w:val="en-US" w:eastAsia="zh-CN"/>
        </w:rPr>
        <w:t>竞争性磋商公告</w:t>
      </w:r>
      <w:bookmarkEnd w:id="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118" w:type="dxa"/>
            <w:noWrap w:val="0"/>
            <w:vAlign w:val="top"/>
          </w:tcPr>
          <w:p>
            <w:pPr>
              <w:pStyle w:val="8"/>
              <w:keepNext w:val="0"/>
              <w:keepLines w:val="0"/>
              <w:widowControl/>
              <w:shd w:val="clear" w:color="auto" w:fill="auto"/>
              <w:spacing w:before="150" w:after="150" w:line="30" w:lineRule="atLeast"/>
              <w:jc w:val="left"/>
              <w:outlineLvl w:val="5"/>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Style w:val="16"/>
              <w:keepNext w:val="0"/>
              <w:keepLines w:val="0"/>
              <w:pageBreakBefore w:val="0"/>
              <w:widowControl/>
              <w:shd w:val="clear" w:color="auto" w:fill="auto"/>
              <w:kinsoku/>
              <w:wordWrap/>
              <w:overflowPunct/>
              <w:topLinePunct w:val="0"/>
              <w:autoSpaceDE/>
              <w:autoSpaceDN/>
              <w:bidi w:val="0"/>
              <w:adjustRightInd/>
              <w:snapToGrid/>
              <w:spacing w:before="150" w:beforeAutospacing="0" w:after="150" w:afterAutospacing="0"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水电设备设施运行管理及零星维修服务外包项目</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应在陕西省西安市雁塔区南二环东段凯森盛世一号A座4层408室获取招标文件，并于</w:t>
            </w:r>
            <w:r>
              <w:rPr>
                <w:rFonts w:hint="eastAsia" w:cs="宋体"/>
                <w:color w:val="auto"/>
                <w:sz w:val="24"/>
                <w:szCs w:val="24"/>
                <w:lang w:eastAsia="zh-CN"/>
              </w:rPr>
              <w:t>2022年12月13日</w:t>
            </w:r>
            <w:r>
              <w:rPr>
                <w:rFonts w:hint="eastAsia" w:cs="宋体"/>
                <w:color w:val="auto"/>
                <w:sz w:val="24"/>
                <w:szCs w:val="24"/>
                <w:lang w:val="en-US" w:eastAsia="zh-CN"/>
              </w:rPr>
              <w:t>0</w:t>
            </w:r>
            <w:r>
              <w:rPr>
                <w:rFonts w:hint="eastAsia" w:cs="宋体"/>
                <w:color w:val="auto"/>
                <w:sz w:val="24"/>
                <w:szCs w:val="24"/>
                <w:lang w:eastAsia="zh-CN"/>
              </w:rPr>
              <w:t>9时30分</w:t>
            </w:r>
            <w:r>
              <w:rPr>
                <w:rFonts w:hint="eastAsia" w:ascii="宋体" w:hAnsi="宋体" w:eastAsia="宋体" w:cs="宋体"/>
                <w:color w:val="auto"/>
                <w:sz w:val="24"/>
                <w:szCs w:val="24"/>
              </w:rPr>
              <w:t>（北京时间）前递交投标文件。</w:t>
            </w:r>
          </w:p>
        </w:tc>
      </w:tr>
    </w:tbl>
    <w:p>
      <w:pPr>
        <w:pStyle w:val="16"/>
        <w:shd w:val="clear" w:color="auto" w:fill="auto"/>
        <w:spacing w:before="0" w:beforeAutospacing="0" w:after="0" w:afterAutospacing="0" w:line="480" w:lineRule="atLeast"/>
        <w:jc w:val="both"/>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一、项目基本情况</w:t>
      </w:r>
      <w:bookmarkStart w:id="176" w:name="_GoBack"/>
      <w:bookmarkEnd w:id="176"/>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项目编号：</w:t>
      </w:r>
      <w:r>
        <w:rPr>
          <w:rFonts w:hint="eastAsia" w:ascii="宋体" w:hAnsi="宋体" w:eastAsia="宋体" w:cs="宋体"/>
          <w:color w:val="auto"/>
          <w:sz w:val="24"/>
          <w:szCs w:val="24"/>
          <w:highlight w:val="none"/>
          <w:shd w:val="clear" w:color="auto" w:fill="FFFFFF"/>
          <w:lang w:eastAsia="zh-CN"/>
        </w:rPr>
        <w:t>ZHZB-2022-CS-1199</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水电设备设施运行管理及零星维修服务外包项目</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采购方式：竞争性磋商</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预算金额：1,550,000.00</w:t>
      </w:r>
      <w:r>
        <w:rPr>
          <w:rFonts w:hint="eastAsia" w:ascii="宋体" w:hAnsi="宋体" w:eastAsia="宋体" w:cs="宋体"/>
          <w:color w:val="auto"/>
          <w:sz w:val="24"/>
          <w:szCs w:val="24"/>
          <w:highlight w:val="none"/>
          <w:shd w:val="clear" w:color="auto" w:fill="FFFFFF"/>
          <w:lang w:eastAsia="zh-CN"/>
        </w:rPr>
        <w:t>元</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采购需求：</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合同包1(</w:t>
      </w:r>
      <w:r>
        <w:rPr>
          <w:rFonts w:hint="eastAsia" w:ascii="宋体" w:hAnsi="宋体" w:eastAsia="宋体" w:cs="宋体"/>
          <w:color w:val="auto"/>
          <w:sz w:val="24"/>
          <w:szCs w:val="24"/>
          <w:highlight w:val="none"/>
          <w:shd w:val="clear" w:color="auto" w:fill="FFFFFF"/>
          <w:lang w:eastAsia="zh-CN"/>
        </w:rPr>
        <w:t>水电设备设施运行管理及零星维修服务外包项目</w:t>
      </w:r>
      <w:r>
        <w:rPr>
          <w:rFonts w:hint="eastAsia" w:ascii="宋体" w:hAnsi="宋体" w:eastAsia="宋体" w:cs="宋体"/>
          <w:color w:val="auto"/>
          <w:sz w:val="24"/>
          <w:szCs w:val="24"/>
          <w:highlight w:val="none"/>
          <w:shd w:val="clear" w:color="auto" w:fill="FFFFFF"/>
        </w:rPr>
        <w:t>):</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63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合同包预算金额：</w:t>
      </w:r>
      <w:r>
        <w:rPr>
          <w:rFonts w:hint="eastAsia" w:cs="宋体"/>
          <w:color w:val="auto"/>
          <w:sz w:val="24"/>
          <w:szCs w:val="24"/>
          <w:highlight w:val="none"/>
          <w:shd w:val="clear" w:color="auto" w:fill="FFFFFF"/>
          <w:lang w:eastAsia="zh-CN"/>
        </w:rPr>
        <w:t>1,550,000.00</w:t>
      </w:r>
      <w:r>
        <w:rPr>
          <w:rFonts w:hint="eastAsia" w:ascii="宋体" w:hAnsi="宋体" w:eastAsia="宋体" w:cs="宋体"/>
          <w:color w:val="auto"/>
          <w:sz w:val="24"/>
          <w:szCs w:val="24"/>
          <w:highlight w:val="none"/>
          <w:shd w:val="clear" w:color="auto" w:fill="FFFFFF"/>
          <w:lang w:eastAsia="zh-CN"/>
        </w:rPr>
        <w:t>元</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63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合同包最高限价：</w:t>
      </w:r>
      <w:r>
        <w:rPr>
          <w:rFonts w:hint="eastAsia" w:cs="宋体"/>
          <w:color w:val="auto"/>
          <w:sz w:val="24"/>
          <w:szCs w:val="24"/>
          <w:highlight w:val="none"/>
          <w:shd w:val="clear" w:color="auto" w:fill="FFFFFF"/>
          <w:lang w:eastAsia="zh-CN"/>
        </w:rPr>
        <w:t>1,550,000.00</w:t>
      </w:r>
      <w:r>
        <w:rPr>
          <w:rFonts w:hint="eastAsia" w:ascii="宋体" w:hAnsi="宋体" w:eastAsia="宋体" w:cs="宋体"/>
          <w:color w:val="auto"/>
          <w:sz w:val="24"/>
          <w:szCs w:val="24"/>
          <w:highlight w:val="none"/>
          <w:shd w:val="clear" w:color="auto" w:fill="FFFFFF"/>
          <w:lang w:eastAsia="zh-CN"/>
        </w:rPr>
        <w:t>元</w:t>
      </w:r>
    </w:p>
    <w:tbl>
      <w:tblPr>
        <w:tblStyle w:val="19"/>
        <w:tblW w:w="9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1"/>
        <w:gridCol w:w="1281"/>
        <w:gridCol w:w="1622"/>
        <w:gridCol w:w="1153"/>
        <w:gridCol w:w="1415"/>
        <w:gridCol w:w="1632"/>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blHeader/>
        </w:trPr>
        <w:tc>
          <w:tcPr>
            <w:tcW w:w="77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62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77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其他运行维护服务</w:t>
            </w:r>
          </w:p>
        </w:tc>
        <w:tc>
          <w:tcPr>
            <w:tcW w:w="162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水电设备设施运行管理及零星维修</w:t>
            </w:r>
          </w:p>
        </w:tc>
        <w:tc>
          <w:tcPr>
            <w:tcW w:w="115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项</w:t>
            </w:r>
            <w:r>
              <w:rPr>
                <w:rFonts w:hint="eastAsia" w:ascii="宋体" w:hAnsi="宋体" w:eastAsia="宋体" w:cs="宋体"/>
                <w:color w:val="auto"/>
                <w:sz w:val="24"/>
                <w:szCs w:val="24"/>
              </w:rPr>
              <w:t>)</w:t>
            </w:r>
          </w:p>
        </w:tc>
        <w:tc>
          <w:tcPr>
            <w:tcW w:w="141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1,550,000.00</w:t>
            </w:r>
          </w:p>
        </w:tc>
        <w:tc>
          <w:tcPr>
            <w:tcW w:w="16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1,550,000.00</w:t>
            </w:r>
          </w:p>
        </w:tc>
      </w:tr>
    </w:tbl>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本合同包不接受联合体投标</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合同履行期限：</w:t>
      </w:r>
      <w:r>
        <w:rPr>
          <w:rFonts w:hint="eastAsia" w:cs="宋体"/>
          <w:color w:val="auto"/>
          <w:kern w:val="2"/>
          <w:sz w:val="24"/>
          <w:szCs w:val="24"/>
          <w:lang w:val="en-US" w:eastAsia="zh-CN" w:bidi="ar-SA"/>
        </w:rPr>
        <w:t>两年，合同一年一签。</w:t>
      </w:r>
    </w:p>
    <w:p>
      <w:pPr>
        <w:pStyle w:val="16"/>
        <w:shd w:val="clear" w:color="auto" w:fill="auto"/>
        <w:spacing w:before="0" w:beforeAutospacing="0" w:after="0" w:afterAutospacing="0" w:line="480" w:lineRule="atLeast"/>
        <w:jc w:val="both"/>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lang w:eastAsia="zh-CN"/>
        </w:rPr>
        <w:t>二、申请人的资格要求：</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1.满足《中华人民共和国政府采购法》第二十二条规定;</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2.落实政府采购政策需满足的资格要求：</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合同包1(</w:t>
      </w:r>
      <w:r>
        <w:rPr>
          <w:rFonts w:hint="eastAsia" w:ascii="宋体" w:hAnsi="宋体" w:eastAsia="宋体" w:cs="宋体"/>
          <w:color w:val="auto"/>
          <w:sz w:val="24"/>
          <w:szCs w:val="24"/>
          <w:highlight w:val="none"/>
          <w:shd w:val="clear" w:color="auto" w:fill="FFFFFF"/>
          <w:lang w:eastAsia="zh-CN"/>
        </w:rPr>
        <w:t>咸阳师范学院水电设备设施运行管理及零星维修服务外包项目</w:t>
      </w:r>
      <w:r>
        <w:rPr>
          <w:rFonts w:hint="eastAsia" w:ascii="宋体" w:hAnsi="宋体" w:eastAsia="宋体" w:cs="宋体"/>
          <w:color w:val="auto"/>
          <w:sz w:val="24"/>
          <w:szCs w:val="24"/>
          <w:highlight w:val="none"/>
          <w:shd w:val="clear" w:color="auto" w:fill="FFFFFF"/>
        </w:rPr>
        <w:t>)落实政府采购政策需满足的资格要求如下:</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b/>
          <w:bCs/>
          <w:color w:val="auto"/>
        </w:rPr>
        <w:t>本项目为专门面向中小企业项目</w:t>
      </w:r>
      <w:r>
        <w:rPr>
          <w:rFonts w:hint="eastAsia"/>
          <w:color w:val="auto"/>
        </w:rPr>
        <w:t>，本服务项目承接企业应为中型企业或小型、微型企业（即提供服务的人员为中小企业依照《中华人民共和国劳动合同法》订立劳动合同的从业人员。）或监狱企业或残疾人福利性单位承接。供应商为中型、小型、微型企业的，供应商提供《中小企业声明函》；供应商为监狱企业的，供应商应提供监狱企业的证明文件；供应商为残疾人福利性单位的，供应商应提供残疾人福利性单位的《残疾人福利性单位声明函》。</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3.本项目的特定资格要求：</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合同包1(</w:t>
      </w:r>
      <w:r>
        <w:rPr>
          <w:rFonts w:hint="eastAsia" w:cs="宋体"/>
          <w:color w:val="auto"/>
          <w:sz w:val="24"/>
          <w:szCs w:val="24"/>
          <w:highlight w:val="none"/>
          <w:shd w:val="clear" w:color="auto" w:fill="FFFFFF"/>
          <w:lang w:eastAsia="zh-CN"/>
        </w:rPr>
        <w:t>咸阳师范学院水电设备设施运行管理及零星维修服务外包项目</w:t>
      </w:r>
      <w:r>
        <w:rPr>
          <w:rFonts w:hint="eastAsia" w:ascii="宋体" w:hAnsi="宋体" w:eastAsia="宋体" w:cs="宋体"/>
          <w:color w:val="auto"/>
          <w:sz w:val="24"/>
          <w:szCs w:val="24"/>
          <w:highlight w:val="none"/>
          <w:shd w:val="clear" w:color="auto" w:fill="FFFFFF"/>
        </w:rPr>
        <w:t>)特定资格要求如下:</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1）法定代表人授权书（附法定代表人、被授权人身份证复印件）、被授权人身份证（法定代表人直接参加投标，须提供法定代表人身份证明及身份证原件）； </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cs="宋体"/>
          <w:color w:val="auto"/>
          <w:sz w:val="24"/>
          <w:szCs w:val="24"/>
          <w:highlight w:val="none"/>
          <w:shd w:val="clear" w:color="auto" w:fill="FFFFFF"/>
          <w:lang w:eastAsia="zh-CN"/>
        </w:rPr>
        <w:t>供应商须具有建设行政主管部门核发的建筑工程施工总承包三级（含）以上资质或建筑装修装饰工程专业承包二级（含）以上资质或机电工程施工总承包三级（含）以上资质或建筑机电安装工程专业承包三级（含）以上资质。</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三</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获取采购文件</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时间：</w:t>
      </w:r>
      <w:r>
        <w:rPr>
          <w:rFonts w:hint="eastAsia" w:cs="宋体"/>
          <w:color w:val="auto"/>
          <w:sz w:val="24"/>
          <w:szCs w:val="24"/>
          <w:highlight w:val="none"/>
          <w:shd w:val="clear" w:color="auto" w:fill="FFFFFF"/>
          <w:lang w:eastAsia="zh-CN"/>
        </w:rPr>
        <w:t>2022年12月02日</w:t>
      </w:r>
      <w:r>
        <w:rPr>
          <w:rFonts w:hint="eastAsia" w:ascii="宋体" w:hAnsi="宋体" w:eastAsia="宋体" w:cs="宋体"/>
          <w:color w:val="auto"/>
          <w:sz w:val="24"/>
          <w:szCs w:val="24"/>
          <w:highlight w:val="none"/>
          <w:shd w:val="clear" w:color="auto" w:fill="FFFFFF"/>
        </w:rPr>
        <w:t>至</w:t>
      </w:r>
      <w:r>
        <w:rPr>
          <w:rFonts w:hint="eastAsia" w:ascii="宋体" w:hAnsi="宋体" w:eastAsia="宋体" w:cs="宋体"/>
          <w:color w:val="auto"/>
          <w:sz w:val="24"/>
          <w:szCs w:val="24"/>
          <w:highlight w:val="none"/>
          <w:shd w:val="clear" w:color="auto" w:fill="FFFFFF"/>
        </w:rPr>
        <w:t>2022年</w:t>
      </w: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lang w:eastAsia="zh-CN"/>
        </w:rPr>
        <w:t>月</w:t>
      </w:r>
      <w:r>
        <w:rPr>
          <w:rFonts w:hint="eastAsia"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auto"/>
          <w:sz w:val="24"/>
          <w:szCs w:val="24"/>
          <w:highlight w:val="none"/>
          <w:shd w:val="clear" w:color="auto" w:fill="FFFFFF"/>
        </w:rPr>
        <w:t>，每天上午09:00:00至12:00:00，下午14:00:00至17:00:00（北京时间,法定节假日除外）</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途径</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陕西省</w:t>
      </w:r>
      <w:r>
        <w:rPr>
          <w:rFonts w:hint="eastAsia" w:ascii="宋体" w:hAnsi="宋体" w:eastAsia="宋体" w:cs="宋体"/>
          <w:color w:val="auto"/>
          <w:sz w:val="24"/>
          <w:szCs w:val="24"/>
          <w:highlight w:val="none"/>
          <w:shd w:val="clear" w:color="auto" w:fill="FFFFFF"/>
        </w:rPr>
        <w:t>西安市雁塔区南二环凯森盛世1号A座408室</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方式：现场获取</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售价：500</w:t>
      </w:r>
      <w:r>
        <w:rPr>
          <w:rFonts w:hint="eastAsia" w:ascii="宋体" w:hAnsi="宋体" w:eastAsia="宋体" w:cs="宋体"/>
          <w:color w:val="auto"/>
          <w:sz w:val="24"/>
          <w:szCs w:val="24"/>
          <w:highlight w:val="none"/>
          <w:shd w:val="clear" w:color="auto" w:fill="FFFFFF"/>
          <w:lang w:eastAsia="zh-CN"/>
        </w:rPr>
        <w:t>元</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四</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响应文件提交</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截止</w:t>
      </w:r>
      <w:r>
        <w:rPr>
          <w:rFonts w:hint="eastAsia" w:ascii="宋体" w:hAnsi="宋体" w:eastAsia="宋体" w:cs="宋体"/>
          <w:color w:val="auto"/>
          <w:sz w:val="24"/>
          <w:szCs w:val="24"/>
          <w:highlight w:val="none"/>
          <w:shd w:val="clear" w:color="auto" w:fill="FFFFFF"/>
        </w:rPr>
        <w:t>时间：</w:t>
      </w:r>
      <w:r>
        <w:rPr>
          <w:rFonts w:hint="eastAsia" w:cs="宋体"/>
          <w:color w:val="auto"/>
          <w:sz w:val="24"/>
          <w:szCs w:val="24"/>
          <w:highlight w:val="none"/>
          <w:shd w:val="clear" w:color="auto" w:fill="FFFFFF"/>
          <w:lang w:eastAsia="zh-CN"/>
        </w:rPr>
        <w:t>2022年12月13日09时</w:t>
      </w:r>
      <w:r>
        <w:rPr>
          <w:rFonts w:hint="eastAsia" w:cs="宋体"/>
          <w:color w:val="auto"/>
          <w:sz w:val="24"/>
          <w:szCs w:val="24"/>
          <w:highlight w:val="none"/>
          <w:shd w:val="clear" w:color="auto" w:fill="FFFFFF"/>
          <w:lang w:val="en-US" w:eastAsia="zh-CN"/>
        </w:rPr>
        <w:t>3</w:t>
      </w:r>
      <w:r>
        <w:rPr>
          <w:rFonts w:hint="eastAsia" w:cs="宋体"/>
          <w:color w:val="auto"/>
          <w:sz w:val="24"/>
          <w:szCs w:val="24"/>
          <w:highlight w:val="none"/>
          <w:shd w:val="clear" w:color="auto" w:fill="FFFFFF"/>
          <w:lang w:eastAsia="zh-CN"/>
        </w:rPr>
        <w:t>0分00秒</w:t>
      </w:r>
      <w:r>
        <w:rPr>
          <w:rFonts w:hint="eastAsia" w:ascii="宋体" w:hAnsi="宋体" w:eastAsia="宋体" w:cs="宋体"/>
          <w:color w:val="auto"/>
          <w:sz w:val="24"/>
          <w:szCs w:val="24"/>
          <w:highlight w:val="none"/>
          <w:shd w:val="clear" w:color="auto" w:fill="FFFFFF"/>
        </w:rPr>
        <w:t>（北京时间）</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地点：西安市雁塔区南二环凯森盛世1号A座408室</w:t>
      </w:r>
    </w:p>
    <w:p>
      <w:pPr>
        <w:pStyle w:val="16"/>
        <w:keepNext w:val="0"/>
        <w:keepLines w:val="0"/>
        <w:pageBreakBefore w:val="0"/>
        <w:widowControl/>
        <w:numPr>
          <w:ilvl w:val="0"/>
          <w:numId w:val="1"/>
        </w:numPr>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开启</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时间：</w:t>
      </w:r>
      <w:r>
        <w:rPr>
          <w:rFonts w:hint="eastAsia" w:cs="宋体"/>
          <w:color w:val="auto"/>
          <w:sz w:val="24"/>
          <w:szCs w:val="24"/>
          <w:highlight w:val="none"/>
          <w:shd w:val="clear" w:color="auto" w:fill="FFFFFF"/>
          <w:lang w:val="en-US" w:eastAsia="zh-CN"/>
        </w:rPr>
        <w:t>2022年12月13日09时30分00秒</w:t>
      </w:r>
      <w:r>
        <w:rPr>
          <w:rFonts w:hint="eastAsia" w:ascii="宋体" w:hAnsi="宋体" w:eastAsia="宋体" w:cs="宋体"/>
          <w:color w:val="auto"/>
          <w:sz w:val="24"/>
          <w:szCs w:val="24"/>
          <w:highlight w:val="none"/>
          <w:shd w:val="clear" w:color="auto" w:fill="FFFFFF"/>
          <w:lang w:val="en-US" w:eastAsia="zh-CN"/>
        </w:rPr>
        <w:t>（北京时间）</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地点：西安市雁塔区南二环凯森盛世1号A座408室</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shd w:val="clear" w:color="auto" w:fill="FFFFFF"/>
          <w:lang w:val="en-US" w:eastAsia="zh-CN"/>
        </w:rPr>
        <w:t>六</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公告期限</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自本公告发布之日起</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个工作日。</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shd w:val="clear" w:color="auto" w:fill="FFFFFF"/>
          <w:lang w:val="en-US" w:eastAsia="zh-CN"/>
        </w:rPr>
        <w:t>七、其他补充事宜</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在</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文件获取时间内</w:t>
      </w:r>
      <w:r>
        <w:rPr>
          <w:rFonts w:hint="eastAsia" w:ascii="宋体" w:hAnsi="宋体" w:eastAsia="宋体" w:cs="宋体"/>
          <w:b w:val="0"/>
          <w:bCs/>
          <w:color w:val="auto"/>
          <w:spacing w:val="-12"/>
          <w:sz w:val="24"/>
          <w:szCs w:val="24"/>
        </w:rPr>
        <w:t>携带单位介绍信及加盖供应商公章的经办人身份证扫描件一套在陕西正鸿招标有限公司（西安市雁塔区南二环东段凯森盛世一号A座408室）获取。</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、请</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rPr>
        <w:t>按照陕西省财政厅关于政府采购供应商注册登记有关事项的通知中的要求，通过陕西省政府采购网（http://www.ccgp-shaanxi.gov.cn/）注册登记加入陕西省政府采购供应商库。</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z w:val="24"/>
          <w:szCs w:val="24"/>
          <w:highlight w:val="none"/>
          <w:shd w:val="clear" w:color="auto" w:fill="FFFFFF"/>
          <w:lang w:val="en-US" w:eastAsia="zh-CN"/>
        </w:rPr>
        <w:t>3、</w:t>
      </w:r>
      <w:r>
        <w:rPr>
          <w:rFonts w:hint="eastAsia" w:cs="宋体"/>
          <w:color w:val="auto"/>
          <w:shd w:val="clear" w:color="auto" w:fill="FFFFFF"/>
        </w:rPr>
        <w:t>本次项目参照政府采购规定落实政府采购政策：</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依据《中华人民共和国政府采购法》和《中华人民共和国政府采购法实施条例》的有关规定，落实政府采购政策，详见</w:t>
      </w:r>
      <w:r>
        <w:rPr>
          <w:rFonts w:hint="eastAsia" w:cs="宋体"/>
          <w:color w:val="auto"/>
          <w:shd w:val="clear" w:color="auto" w:fill="FFFFFF"/>
          <w:lang w:val="en-US" w:eastAsia="zh-CN"/>
        </w:rPr>
        <w:t>竞争性磋商文件</w:t>
      </w:r>
      <w:r>
        <w:rPr>
          <w:rFonts w:hint="eastAsia" w:cs="宋体"/>
          <w:color w:val="auto"/>
          <w:shd w:val="clear" w:color="auto" w:fill="FFFFFF"/>
        </w:rPr>
        <w:t>。</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（1）《政府采购促进中小企业发展管理办法》的通知--财库[2020]46号。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（2）财政部司法部关于政府采购支持监狱企业发展有关问题的通知--财库〔2014〕68号。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（3）《国务院办公厅关于建立政府强制采购节能产品制度的通知》--国办发〔2007〕51号。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（4）《财政部发展改革委生态环境部市场监督总局关于调整优化节能产品、环境标志产品政府采购执行机制的通知》--（财库[2019]9号）。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（5）《关于印发环境标志产品政府采购品目清单的通知》--（财库〔2019〕18号）。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（6）《关于印发节能产品政府采购品目清单的通知》--（财库〔2019〕19号）。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（7）《财政部民政部中国残疾人联合会关于促进残疾人就业政府采购政策的通知》--（财库〔2017〕141号）。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（8）《关于运用政府采购政策支持乡村产业振兴的通知》（财库〔2021〕19号）。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（9）陕西省财政厅关于印发《陕西省中小企业政府采购信用融资办法》（陕财办采〔2018〕23号）。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（10）《陕西省财政厅关于加快推进我省中小企业政府采购信用融资工作的通知》（陕财办采〔2020〕15号）。</w:t>
      </w:r>
    </w:p>
    <w:p>
      <w:pPr>
        <w:pStyle w:val="16"/>
        <w:spacing w:before="0" w:beforeAutospacing="0" w:after="0" w:afterAutospacing="0" w:line="480" w:lineRule="atLeast"/>
        <w:ind w:firstLine="480" w:firstLineChars="200"/>
        <w:jc w:val="both"/>
        <w:rPr>
          <w:rFonts w:cs="宋体"/>
          <w:color w:val="auto"/>
          <w:shd w:val="clear" w:color="auto" w:fill="FFFFFF"/>
        </w:rPr>
      </w:pPr>
      <w:r>
        <w:rPr>
          <w:rFonts w:hint="eastAsia" w:cs="宋体"/>
          <w:color w:val="auto"/>
          <w:shd w:val="clear" w:color="auto" w:fill="FFFFFF"/>
        </w:rPr>
        <w:t>（11）《关于进一步加强政府绿色采购有关问题的通知》（陕财办采〔2021〕29号）。</w:t>
      </w:r>
    </w:p>
    <w:p>
      <w:pPr>
        <w:pStyle w:val="16"/>
        <w:spacing w:before="0" w:beforeAutospacing="0" w:after="0" w:afterAutospacing="0" w:line="480" w:lineRule="atLeast"/>
        <w:ind w:firstLine="480" w:firstLineChars="200"/>
        <w:jc w:val="both"/>
        <w:rPr>
          <w:rFonts w:cs="宋体"/>
          <w:b/>
          <w:bCs/>
          <w:color w:val="auto"/>
          <w:shd w:val="clear" w:color="auto" w:fill="FFFFFF"/>
        </w:rPr>
      </w:pPr>
      <w:r>
        <w:rPr>
          <w:rFonts w:hint="eastAsia" w:cs="宋体"/>
          <w:color w:val="auto"/>
          <w:shd w:val="clear" w:color="auto" w:fill="FFFFFF"/>
        </w:rPr>
        <w:t>若享受以上政策优惠的企业，提供相应声明函或品目范围内产品有效认证证书。</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shd w:val="clear" w:color="auto" w:fill="FFFFFF"/>
          <w:lang w:val="en-US" w:eastAsia="zh-CN"/>
        </w:rPr>
        <w:t>八、凡对本次采购提出询问，请按以下方式联系。</w:t>
      </w:r>
    </w:p>
    <w:p>
      <w:pPr>
        <w:pStyle w:val="8"/>
        <w:keepNext w:val="0"/>
        <w:keepLines w:val="0"/>
        <w:pageBreakBefore w:val="0"/>
        <w:widowControl/>
        <w:shd w:val="clear" w:color="auto" w:fill="auto"/>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shd w:val="clear" w:color="auto" w:fill="FFFFFF"/>
        </w:rPr>
        <w:t>1.采购人信息</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名称：</w:t>
      </w:r>
      <w:r>
        <w:rPr>
          <w:rFonts w:hint="eastAsia" w:cs="宋体"/>
          <w:color w:val="auto"/>
          <w:sz w:val="24"/>
          <w:szCs w:val="24"/>
          <w:highlight w:val="none"/>
          <w:lang w:eastAsia="zh-CN"/>
        </w:rPr>
        <w:t>咸阳师范学院</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地址：</w:t>
      </w:r>
      <w:r>
        <w:rPr>
          <w:rFonts w:hint="eastAsia" w:cs="宋体"/>
          <w:color w:val="auto"/>
          <w:sz w:val="24"/>
          <w:szCs w:val="24"/>
          <w:highlight w:val="none"/>
          <w:lang w:eastAsia="zh-CN"/>
        </w:rPr>
        <w:t>咸阳市文林路</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联系方式：</w:t>
      </w:r>
      <w:r>
        <w:rPr>
          <w:rFonts w:hint="eastAsia" w:cs="宋体"/>
          <w:color w:val="auto"/>
          <w:sz w:val="24"/>
          <w:szCs w:val="24"/>
          <w:highlight w:val="none"/>
          <w:lang w:eastAsia="zh-CN"/>
        </w:rPr>
        <w:t>029-33720069</w:t>
      </w:r>
    </w:p>
    <w:p>
      <w:pPr>
        <w:pStyle w:val="8"/>
        <w:keepNext w:val="0"/>
        <w:keepLines w:val="0"/>
        <w:pageBreakBefore w:val="0"/>
        <w:widowControl/>
        <w:shd w:val="clear" w:color="auto" w:fill="auto"/>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shd w:val="clear" w:color="auto" w:fill="FFFFFF"/>
        </w:rPr>
        <w:t>2.采购代理机构信息</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名称：陕西正鸿招标有限公司</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地址：陕西省西安市雁塔区南二环凯森盛世一号A座4层408室</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联系方式：029-89338755/81511576转804</w:t>
      </w:r>
    </w:p>
    <w:p>
      <w:pPr>
        <w:pStyle w:val="8"/>
        <w:keepNext w:val="0"/>
        <w:keepLines w:val="0"/>
        <w:pageBreakBefore w:val="0"/>
        <w:widowControl/>
        <w:shd w:val="clear" w:color="auto" w:fill="auto"/>
        <w:kinsoku/>
        <w:wordWrap/>
        <w:overflowPunct/>
        <w:topLinePunct w:val="0"/>
        <w:autoSpaceDE/>
        <w:autoSpaceDN/>
        <w:bidi w:val="0"/>
        <w:snapToGrid/>
        <w:spacing w:line="480" w:lineRule="exact"/>
        <w:ind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shd w:val="clear" w:color="auto" w:fill="FFFFFF"/>
        </w:rPr>
        <w:t>3.项目联系方式</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项目联系人：王倩倩、高欢欢、卫钰</w:t>
      </w:r>
      <w:r>
        <w:rPr>
          <w:rFonts w:hint="eastAsia" w:ascii="宋体" w:hAnsi="宋体" w:eastAsia="宋体" w:cs="宋体"/>
          <w:color w:val="auto"/>
          <w:sz w:val="24"/>
          <w:szCs w:val="24"/>
          <w:highlight w:val="none"/>
          <w:shd w:val="clear" w:color="auto" w:fill="FFFFFF"/>
          <w:lang w:val="en-US" w:eastAsia="zh-CN"/>
        </w:rPr>
        <w:t xml:space="preserve"> </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电话：029-89338755/81511576转804</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highlight w:val="none"/>
          <w:shd w:val="clear" w:color="auto" w:fill="FFFFFF"/>
        </w:rPr>
      </w:pPr>
    </w:p>
    <w:p>
      <w:pPr>
        <w:spacing w:line="360" w:lineRule="auto"/>
        <w:rPr>
          <w:rFonts w:hint="eastAsia" w:ascii="宋体" w:hAnsi="宋体" w:cs="宋体"/>
          <w:b/>
          <w:color w:val="auto"/>
          <w:sz w:val="28"/>
          <w:szCs w:val="28"/>
          <w:lang w:eastAsia="zh-CN"/>
        </w:rPr>
      </w:pPr>
    </w:p>
    <w:p>
      <w:pPr>
        <w:pStyle w:val="4"/>
        <w:rPr>
          <w:rFonts w:hint="eastAsia" w:cs="宋体"/>
          <w:color w:val="auto"/>
        </w:rPr>
      </w:pPr>
      <w:bookmarkStart w:id="12" w:name="_Toc1629"/>
      <w:r>
        <w:rPr>
          <w:rFonts w:hint="eastAsia" w:cs="宋体"/>
          <w:color w:val="auto"/>
        </w:rPr>
        <w:t>第二章  供应商须知</w:t>
      </w:r>
      <w:bookmarkEnd w:id="6"/>
      <w:bookmarkEnd w:id="7"/>
      <w:bookmarkEnd w:id="8"/>
      <w:bookmarkEnd w:id="9"/>
      <w:bookmarkEnd w:id="12"/>
    </w:p>
    <w:bookmarkEnd w:id="10"/>
    <w:bookmarkEnd w:id="11"/>
    <w:p>
      <w:pPr>
        <w:pStyle w:val="5"/>
        <w:rPr>
          <w:rFonts w:hint="eastAsia" w:ascii="宋体" w:hAnsi="宋体" w:cs="宋体"/>
          <w:color w:val="auto"/>
        </w:rPr>
      </w:pPr>
      <w:bookmarkStart w:id="13" w:name="OLE_LINK2"/>
      <w:bookmarkStart w:id="14" w:name="_Toc31462"/>
      <w:bookmarkStart w:id="15" w:name="_Toc19364"/>
      <w:bookmarkStart w:id="16" w:name="_Toc1420"/>
      <w:bookmarkStart w:id="17" w:name="_Toc423973073"/>
      <w:bookmarkStart w:id="18" w:name="_Toc497711585"/>
      <w:bookmarkStart w:id="19" w:name="_Toc93800308"/>
      <w:bookmarkStart w:id="20" w:name="_Toc497712133"/>
      <w:bookmarkStart w:id="21" w:name="_Toc492955459"/>
      <w:bookmarkStart w:id="22" w:name="_Toc497551820"/>
      <w:bookmarkStart w:id="23" w:name="_Toc246928930"/>
      <w:bookmarkStart w:id="24" w:name="_Toc497546918"/>
      <w:r>
        <w:rPr>
          <w:rFonts w:hint="eastAsia" w:ascii="宋体" w:hAnsi="宋体" w:cs="宋体"/>
          <w:color w:val="auto"/>
        </w:rPr>
        <w:t>供应商须知前附表</w:t>
      </w:r>
      <w:bookmarkEnd w:id="13"/>
      <w:bookmarkEnd w:id="14"/>
      <w:bookmarkEnd w:id="15"/>
      <w:bookmarkEnd w:id="16"/>
      <w:bookmarkEnd w:id="17"/>
    </w:p>
    <w:p>
      <w:pPr>
        <w:pStyle w:val="2"/>
        <w:ind w:firstLine="480"/>
        <w:rPr>
          <w:rFonts w:hint="eastAsia" w:cs="宋体"/>
          <w:color w:val="auto"/>
        </w:rPr>
      </w:pPr>
      <w:r>
        <w:rPr>
          <w:rFonts w:hint="eastAsia" w:cs="宋体"/>
          <w:color w:val="auto"/>
        </w:rPr>
        <w:t>本表是对供应商须知的具体补充和修改，如有矛盾，应以本资料表为准。</w:t>
      </w:r>
    </w:p>
    <w:tbl>
      <w:tblPr>
        <w:tblStyle w:val="19"/>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005"/>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0" w:type="dxa"/>
            <w:noWrap w:val="0"/>
            <w:vAlign w:val="center"/>
          </w:tcPr>
          <w:p>
            <w:pPr>
              <w:pStyle w:val="25"/>
              <w:rPr>
                <w:rFonts w:hint="eastAsia" w:cs="宋体"/>
                <w:b/>
                <w:bCs/>
                <w:color w:val="auto"/>
                <w:kern w:val="2"/>
                <w:szCs w:val="22"/>
                <w:lang w:val="en-US" w:eastAsia="zh-CN"/>
              </w:rPr>
            </w:pPr>
            <w:r>
              <w:rPr>
                <w:rFonts w:hint="eastAsia" w:cs="宋体"/>
                <w:b/>
                <w:bCs/>
                <w:color w:val="auto"/>
                <w:kern w:val="2"/>
                <w:szCs w:val="22"/>
                <w:lang w:val="en-US" w:eastAsia="zh-CN"/>
              </w:rPr>
              <w:t>序号</w:t>
            </w:r>
          </w:p>
        </w:tc>
        <w:tc>
          <w:tcPr>
            <w:tcW w:w="2005" w:type="dxa"/>
            <w:noWrap w:val="0"/>
            <w:vAlign w:val="center"/>
          </w:tcPr>
          <w:p>
            <w:pPr>
              <w:pStyle w:val="25"/>
              <w:rPr>
                <w:rFonts w:hint="eastAsia" w:cs="宋体"/>
                <w:b/>
                <w:bCs/>
                <w:color w:val="auto"/>
                <w:kern w:val="2"/>
                <w:szCs w:val="22"/>
                <w:lang w:val="en-US" w:eastAsia="zh-CN"/>
              </w:rPr>
            </w:pPr>
            <w:r>
              <w:rPr>
                <w:rFonts w:hint="eastAsia" w:cs="宋体"/>
                <w:b/>
                <w:bCs/>
                <w:color w:val="auto"/>
                <w:kern w:val="2"/>
                <w:szCs w:val="22"/>
                <w:lang w:val="en-US" w:eastAsia="zh-CN"/>
              </w:rPr>
              <w:t>名称</w:t>
            </w:r>
          </w:p>
        </w:tc>
        <w:tc>
          <w:tcPr>
            <w:tcW w:w="7173" w:type="dxa"/>
            <w:noWrap w:val="0"/>
            <w:vAlign w:val="center"/>
          </w:tcPr>
          <w:p>
            <w:pPr>
              <w:pStyle w:val="25"/>
              <w:rPr>
                <w:rFonts w:hint="eastAsia" w:cs="宋体"/>
                <w:b/>
                <w:bCs/>
                <w:color w:val="auto"/>
                <w:kern w:val="2"/>
                <w:szCs w:val="22"/>
                <w:lang w:val="en-US" w:eastAsia="zh-CN"/>
              </w:rPr>
            </w:pPr>
            <w:r>
              <w:rPr>
                <w:rFonts w:hint="eastAsia" w:cs="宋体"/>
                <w:b/>
                <w:bCs/>
                <w:color w:val="auto"/>
                <w:kern w:val="2"/>
                <w:szCs w:val="22"/>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1</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项目名称</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咸阳师范学院水电设备设施运行管理及零星维修服务外包项目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2</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采购人</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名    称：咸阳师范学院</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地    址：</w:t>
            </w:r>
            <w:r>
              <w:rPr>
                <w:rFonts w:hint="eastAsia" w:cs="宋体"/>
                <w:bCs/>
                <w:color w:val="auto"/>
                <w:kern w:val="2"/>
                <w:szCs w:val="24"/>
                <w:lang w:val="en-US" w:eastAsia="zh-CN"/>
              </w:rPr>
              <w:t xml:space="preserve">咸阳市文林路  </w:t>
            </w:r>
          </w:p>
          <w:p>
            <w:pPr>
              <w:pStyle w:val="25"/>
              <w:jc w:val="left"/>
              <w:rPr>
                <w:rFonts w:hint="eastAsia" w:cs="宋体"/>
                <w:color w:val="auto"/>
                <w:kern w:val="2"/>
                <w:szCs w:val="22"/>
                <w:lang w:val="en-US" w:eastAsia="zh-CN"/>
              </w:rPr>
            </w:pPr>
            <w:r>
              <w:rPr>
                <w:rFonts w:hint="eastAsia" w:cs="宋体"/>
                <w:color w:val="auto"/>
                <w:kern w:val="2"/>
                <w:szCs w:val="22"/>
                <w:lang w:val="en-US" w:eastAsia="zh-CN"/>
              </w:rPr>
              <w:t>联 系 人：</w:t>
            </w:r>
            <w:r>
              <w:rPr>
                <w:rFonts w:hint="eastAsia" w:ascii="宋体" w:hAnsi="宋体" w:eastAsia="宋体" w:cs="宋体"/>
                <w:color w:val="auto"/>
                <w:lang w:eastAsia="zh-CN"/>
              </w:rPr>
              <w:t>乔老师</w:t>
            </w:r>
            <w:r>
              <w:rPr>
                <w:rFonts w:hint="eastAsia" w:cs="宋体"/>
                <w:bCs/>
                <w:color w:val="auto"/>
                <w:kern w:val="2"/>
                <w:szCs w:val="24"/>
                <w:lang w:val="en-US" w:eastAsia="zh-CN"/>
              </w:rPr>
              <w:t xml:space="preserve">     </w:t>
            </w:r>
          </w:p>
          <w:p>
            <w:pPr>
              <w:pStyle w:val="25"/>
              <w:jc w:val="left"/>
              <w:rPr>
                <w:rFonts w:hint="eastAsia" w:cs="宋体"/>
                <w:color w:val="auto"/>
                <w:kern w:val="2"/>
                <w:szCs w:val="22"/>
                <w:lang w:val="en-US" w:eastAsia="zh-CN"/>
              </w:rPr>
            </w:pPr>
            <w:r>
              <w:rPr>
                <w:rFonts w:hint="eastAsia" w:cs="宋体"/>
                <w:color w:val="auto"/>
                <w:kern w:val="2"/>
                <w:szCs w:val="22"/>
                <w:lang w:val="en-US" w:eastAsia="zh-CN"/>
              </w:rPr>
              <w:t>电    话：</w:t>
            </w:r>
            <w:r>
              <w:rPr>
                <w:rFonts w:hint="eastAsia" w:ascii="宋体" w:hAnsi="宋体" w:eastAsia="宋体" w:cs="宋体"/>
                <w:color w:val="auto"/>
                <w:lang w:eastAsia="zh-CN"/>
              </w:rPr>
              <w:t>029-33720069</w:t>
            </w:r>
            <w:r>
              <w:rPr>
                <w:rFonts w:hint="eastAsia" w:cs="宋体"/>
                <w:bCs/>
                <w:color w:val="auto"/>
                <w:kern w:val="2"/>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3</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采购代理机构</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采购代理机构名称：陕西正鸿招标有限公司</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地    址：西安市雁塔区南二环东段1号凯森盛世A座408室</w:t>
            </w:r>
          </w:p>
          <w:p>
            <w:pPr>
              <w:pStyle w:val="25"/>
              <w:jc w:val="left"/>
              <w:rPr>
                <w:rFonts w:hint="eastAsia" w:cs="宋体"/>
                <w:color w:val="auto"/>
                <w:kern w:val="2"/>
                <w:szCs w:val="22"/>
                <w:lang w:val="en-US" w:eastAsia="zh-CN"/>
              </w:rPr>
            </w:pPr>
            <w:r>
              <w:rPr>
                <w:rFonts w:hint="eastAsia" w:cs="宋体"/>
                <w:color w:val="auto"/>
                <w:kern w:val="2"/>
                <w:szCs w:val="22"/>
                <w:lang w:val="en-US" w:eastAsia="zh-CN"/>
              </w:rPr>
              <w:t xml:space="preserve">联 系 人：王倩倩、高欢欢、卫钰  </w:t>
            </w:r>
          </w:p>
          <w:p>
            <w:pPr>
              <w:pStyle w:val="25"/>
              <w:jc w:val="left"/>
              <w:rPr>
                <w:rFonts w:hint="eastAsia" w:cs="宋体"/>
                <w:color w:val="auto"/>
                <w:kern w:val="2"/>
                <w:szCs w:val="22"/>
                <w:lang w:val="en-US" w:eastAsia="zh-CN"/>
              </w:rPr>
            </w:pPr>
            <w:r>
              <w:rPr>
                <w:rFonts w:hint="eastAsia" w:cs="宋体"/>
                <w:color w:val="auto"/>
                <w:kern w:val="2"/>
                <w:szCs w:val="22"/>
                <w:lang w:val="en-US" w:eastAsia="zh-CN"/>
              </w:rPr>
              <w:t>联系方式：029-89338755/81511576转804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4</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监督机构</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采购人同级财政部门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5</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公告发布媒介</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6</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资金性质</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资金已落实，财政资金。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7</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预算金额</w:t>
            </w:r>
          </w:p>
        </w:tc>
        <w:tc>
          <w:tcPr>
            <w:tcW w:w="7173" w:type="dxa"/>
            <w:noWrap w:val="0"/>
            <w:vAlign w:val="center"/>
          </w:tcPr>
          <w:p>
            <w:pPr>
              <w:adjustRightInd w:val="0"/>
              <w:snapToGrid w:val="0"/>
              <w:spacing w:line="360" w:lineRule="auto"/>
              <w:rPr>
                <w:rFonts w:hint="default" w:ascii="宋体" w:hAnsi="宋体" w:eastAsia="宋体" w:cs="宋体"/>
                <w:color w:val="auto"/>
                <w:lang w:val="en-US" w:eastAsia="zh-CN"/>
              </w:rPr>
            </w:pPr>
            <w:r>
              <w:rPr>
                <w:rFonts w:hint="eastAsia" w:ascii="宋体" w:hAnsi="宋体" w:cs="宋体"/>
                <w:bCs/>
                <w:color w:val="auto"/>
                <w:sz w:val="24"/>
                <w:szCs w:val="24"/>
              </w:rPr>
              <w:t>1,550,000.00元</w:t>
            </w:r>
            <w:r>
              <w:rPr>
                <w:rFonts w:hint="eastAsia" w:ascii="宋体" w:hAnsi="宋体" w:cs="宋体"/>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8</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采购内容</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咸阳师范学院水电设备设施运行管理及零星维修服务外包项目，详见磋商文件第三章“采购内容及要求”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0" w:type="dxa"/>
            <w:noWrap w:val="0"/>
            <w:vAlign w:val="center"/>
          </w:tcPr>
          <w:p>
            <w:pPr>
              <w:pStyle w:val="25"/>
              <w:rPr>
                <w:rFonts w:hint="eastAsia" w:cs="宋体"/>
                <w:b/>
                <w:bCs/>
                <w:color w:val="auto"/>
                <w:kern w:val="2"/>
                <w:szCs w:val="22"/>
                <w:lang w:val="en-US" w:eastAsia="zh-CN"/>
              </w:rPr>
            </w:pPr>
            <w:r>
              <w:rPr>
                <w:rFonts w:hint="eastAsia" w:cs="宋体"/>
                <w:color w:val="auto"/>
                <w:kern w:val="2"/>
                <w:szCs w:val="22"/>
                <w:lang w:val="en-US" w:eastAsia="zh-CN"/>
              </w:rPr>
              <w:t>9</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服务地点</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咸阳师范学院渭城校区和秦都校区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10</w:t>
            </w:r>
          </w:p>
        </w:tc>
        <w:tc>
          <w:tcPr>
            <w:tcW w:w="2005" w:type="dxa"/>
            <w:noWrap w:val="0"/>
            <w:vAlign w:val="center"/>
          </w:tcPr>
          <w:p>
            <w:pPr>
              <w:pStyle w:val="25"/>
              <w:rPr>
                <w:rFonts w:cs="宋体"/>
                <w:color w:val="auto"/>
                <w:kern w:val="2"/>
                <w:szCs w:val="22"/>
                <w:highlight w:val="none"/>
                <w:lang w:val="en-US" w:eastAsia="zh-CN"/>
              </w:rPr>
            </w:pPr>
            <w:r>
              <w:rPr>
                <w:rFonts w:hint="eastAsia" w:cs="宋体"/>
                <w:color w:val="auto"/>
                <w:kern w:val="2"/>
                <w:szCs w:val="22"/>
                <w:highlight w:val="none"/>
                <w:lang w:val="en-US" w:eastAsia="zh-CN"/>
              </w:rPr>
              <w:t>服务期</w:t>
            </w:r>
          </w:p>
        </w:tc>
        <w:tc>
          <w:tcPr>
            <w:tcW w:w="7173" w:type="dxa"/>
            <w:noWrap w:val="0"/>
            <w:vAlign w:val="center"/>
          </w:tcPr>
          <w:p>
            <w:pPr>
              <w:pStyle w:val="25"/>
              <w:jc w:val="left"/>
              <w:rPr>
                <w:rFonts w:hint="default" w:cs="宋体"/>
                <w:color w:val="auto"/>
                <w:kern w:val="2"/>
                <w:szCs w:val="22"/>
                <w:highlight w:val="none"/>
                <w:lang w:val="en-US" w:eastAsia="zh-CN"/>
              </w:rPr>
            </w:pPr>
            <w:r>
              <w:rPr>
                <w:rFonts w:hint="eastAsia" w:cs="宋体"/>
                <w:color w:val="auto"/>
                <w:kern w:val="2"/>
                <w:szCs w:val="22"/>
                <w:highlight w:val="none"/>
                <w:lang w:val="en-US" w:eastAsia="zh-CN"/>
              </w:rPr>
              <w:t>两年，合同一年一签。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11</w:t>
            </w:r>
          </w:p>
        </w:tc>
        <w:tc>
          <w:tcPr>
            <w:tcW w:w="2005" w:type="dxa"/>
            <w:noWrap w:val="0"/>
            <w:vAlign w:val="center"/>
          </w:tcPr>
          <w:p>
            <w:pPr>
              <w:pStyle w:val="25"/>
              <w:rPr>
                <w:rFonts w:hint="eastAsia" w:cs="宋体"/>
                <w:color w:val="auto"/>
                <w:kern w:val="2"/>
                <w:szCs w:val="22"/>
                <w:highlight w:val="none"/>
                <w:lang w:val="en-US" w:eastAsia="zh-CN"/>
              </w:rPr>
            </w:pPr>
            <w:r>
              <w:rPr>
                <w:rFonts w:hint="eastAsia" w:cs="宋体"/>
                <w:color w:val="auto"/>
                <w:kern w:val="2"/>
                <w:szCs w:val="22"/>
                <w:highlight w:val="none"/>
                <w:lang w:val="en-US" w:eastAsia="zh-CN"/>
              </w:rPr>
              <w:t>付款方式</w:t>
            </w:r>
          </w:p>
        </w:tc>
        <w:tc>
          <w:tcPr>
            <w:tcW w:w="7173" w:type="dxa"/>
            <w:noWrap w:val="0"/>
            <w:vAlign w:val="center"/>
          </w:tcPr>
          <w:p>
            <w:pPr>
              <w:pStyle w:val="25"/>
              <w:jc w:val="left"/>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全年服务费用包干、按月考核支付</w:t>
            </w:r>
            <w:r>
              <w:rPr>
                <w:rFonts w:hint="eastAsia" w:ascii="宋体" w:hAnsi="宋体" w:eastAsia="宋体" w:cs="宋体"/>
                <w:color w:val="auto"/>
                <w:kern w:val="2"/>
                <w:sz w:val="24"/>
                <w:szCs w:val="24"/>
                <w:lang w:val="en-US" w:eastAsia="zh-CN" w:bidi="ar-SA"/>
              </w:rPr>
              <w:t>。</w:t>
            </w:r>
          </w:p>
          <w:p>
            <w:pPr>
              <w:pStyle w:val="25"/>
              <w:jc w:val="left"/>
              <w:rPr>
                <w:rFonts w:cs="宋体"/>
                <w:bCs/>
                <w:color w:val="auto"/>
                <w:kern w:val="2"/>
                <w:sz w:val="28"/>
                <w:szCs w:val="28"/>
                <w:highlight w:val="none"/>
                <w:lang w:val="en-US" w:eastAsia="zh-CN"/>
              </w:rPr>
            </w:pPr>
            <w:r>
              <w:rPr>
                <w:rFonts w:hint="eastAsia" w:ascii="宋体" w:hAnsi="宋体" w:eastAsia="宋体" w:cs="宋体"/>
                <w:color w:val="auto"/>
                <w:kern w:val="2"/>
                <w:sz w:val="24"/>
                <w:szCs w:val="24"/>
                <w:lang w:val="en-US" w:eastAsia="zh-CN" w:bidi="ar-SA"/>
              </w:rPr>
              <w:t>每月5日左右对上月的零星维修服务和水电运行维护情况进行考核，考核合格后支付费用。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12</w:t>
            </w:r>
          </w:p>
        </w:tc>
        <w:tc>
          <w:tcPr>
            <w:tcW w:w="2005" w:type="dxa"/>
            <w:noWrap w:val="0"/>
            <w:vAlign w:val="center"/>
          </w:tcPr>
          <w:p>
            <w:pPr>
              <w:pStyle w:val="25"/>
              <w:rPr>
                <w:rFonts w:hint="eastAsia" w:cs="宋体"/>
                <w:color w:val="auto"/>
                <w:kern w:val="2"/>
                <w:szCs w:val="22"/>
                <w:highlight w:val="none"/>
                <w:lang w:val="en-US" w:eastAsia="zh-CN"/>
              </w:rPr>
            </w:pPr>
            <w:r>
              <w:rPr>
                <w:rFonts w:hint="eastAsia" w:cs="宋体"/>
                <w:color w:val="auto"/>
                <w:kern w:val="2"/>
                <w:szCs w:val="22"/>
                <w:lang w:val="en-US" w:eastAsia="zh-CN"/>
              </w:rPr>
              <w:t>履约保证金</w:t>
            </w:r>
          </w:p>
        </w:tc>
        <w:tc>
          <w:tcPr>
            <w:tcW w:w="7173" w:type="dxa"/>
            <w:noWrap w:val="0"/>
            <w:vAlign w:val="center"/>
          </w:tcPr>
          <w:p>
            <w:pPr>
              <w:pStyle w:val="25"/>
              <w:bidi w:val="0"/>
              <w:jc w:val="left"/>
              <w:rPr>
                <w:rFonts w:hint="eastAsia" w:ascii="宋体" w:hAnsi="宋体" w:eastAsia="宋体" w:cs="宋体"/>
                <w:color w:val="auto"/>
                <w:kern w:val="2"/>
                <w:sz w:val="24"/>
                <w:szCs w:val="24"/>
                <w:lang w:val="en-US" w:eastAsia="zh-CN" w:bidi="ar-SA"/>
              </w:rPr>
            </w:pPr>
            <w:r>
              <w:rPr>
                <w:rFonts w:hint="eastAsia"/>
                <w:color w:val="auto"/>
                <w:lang w:val="en-US" w:eastAsia="zh-CN"/>
              </w:rPr>
              <w:t>成交金额的 5%，合同履约完成后无违约责任予以无息退还。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13</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供应商资格条件</w:t>
            </w:r>
          </w:p>
        </w:tc>
        <w:tc>
          <w:tcPr>
            <w:tcW w:w="7173" w:type="dxa"/>
            <w:noWrap w:val="0"/>
            <w:vAlign w:val="center"/>
          </w:tcPr>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（1）基本资格条件：符合《中华人民共和国政府采购法》第二十二条的规定：</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1）具有独立承担民事责任能力的法人、其他组织或自然人，提供合法有效的统一社会信用代码营业执照（事业单位提供法人证书，自然人提供身份证）；</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财务状况报告：法人提供经审计的2020或2021年度的财务报告（成立时间至递交响应文件截止时间不足一年的可提供成立后任意时段的资产负债表）或递交响应文件截止时间前六个月内银行出具的资信证明；其他组织和自然人提供银行出具的资信证明或财务报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税收缴纳证明：法人提供递交响应文件截止时间前一年内至少一个月依法缴纳税收的相关凭据（时间以税款所属日期为准，税种须包含增值税或企业所得税或营业税，凭据应有税务机关或代收机关的公章或业务专用章）；其他组织和自然人提供缴纳税收的凭据；依法免税的供应商应提供相关文件证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社会保障资金缴纳证明：提供递交响应文件截止时间前一年内至少一个月已缴纳的社会保障资金的凭据（社会保障资金缴存单据或社保机构开具的社会保险参保缴费情况证明）；依法不需要缴纳社会保障资金的供应商应提供相关文件证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5）提供具有履行本合同所必需的设备和专业技术能力的说明及承诺；</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6）提供参加本次政府采购活动前三年内在经营活动中没有重大违法记录的书面声明；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（2）本项目的特定资格要求：</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olor w:val="auto"/>
                <w:sz w:val="24"/>
              </w:rPr>
              <w:t>1)</w:t>
            </w:r>
            <w:r>
              <w:rPr>
                <w:rFonts w:hint="eastAsia" w:ascii="宋体" w:hAnsi="宋体" w:cs="宋体"/>
                <w:color w:val="auto"/>
                <w:sz w:val="24"/>
                <w:szCs w:val="24"/>
              </w:rPr>
              <w:t xml:space="preserve">法定代表人授权书（附法定代表人、被授权人身份证复印件）、被授权人身份证（法定代表人直接参加投标，须提供法定代表人身份证明及身份证原件）； </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rPr>
              <w:t>；</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eastAsia="宋体"/>
                <w:color w:val="auto"/>
                <w:lang w:eastAsia="zh-CN"/>
              </w:rPr>
            </w:pPr>
            <w:r>
              <w:rPr>
                <w:rFonts w:hint="eastAsia"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cs="宋体"/>
                <w:color w:val="auto"/>
                <w:sz w:val="24"/>
                <w:szCs w:val="24"/>
                <w:highlight w:val="none"/>
                <w:shd w:val="clear" w:color="auto" w:fill="FFFFFF"/>
                <w:lang w:eastAsia="zh-CN"/>
              </w:rPr>
              <w:t>供应商须具有建设行政主管部门核发的建筑工程施工总承包三级（含）以上资质或建筑装修装饰工程专业承包二级（含）以上资质或机电工程施工总承包三级（含）以上资质或建筑机电安装工程专业承包三级（含）以上资质。</w:t>
            </w:r>
          </w:p>
          <w:p>
            <w:pPr>
              <w:pStyle w:val="25"/>
              <w:ind w:firstLine="482" w:firstLineChars="200"/>
              <w:jc w:val="left"/>
              <w:rPr>
                <w:rFonts w:hint="eastAsia" w:cs="宋体"/>
                <w:color w:val="auto"/>
                <w:kern w:val="2"/>
                <w:szCs w:val="22"/>
                <w:lang w:val="en-US" w:eastAsia="zh-CN"/>
              </w:rPr>
            </w:pPr>
            <w:r>
              <w:rPr>
                <w:rFonts w:hint="eastAsia" w:cs="宋体"/>
                <w:b/>
                <w:bCs/>
                <w:color w:val="auto"/>
                <w:kern w:val="2"/>
                <w:szCs w:val="22"/>
                <w:lang w:val="en-US" w:eastAsia="zh-CN"/>
              </w:rPr>
              <w:t>注：以上为必备资格条件，缺一项或某项达不到要求，按无效文件处理。资格审查时以磋商响应文件中所附证明材料（信用中国和中国政府采购网信用记录可不提供，由代理机构查询并留存）为准，原件备查。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14</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联合体磋商响应</w:t>
            </w:r>
          </w:p>
        </w:tc>
        <w:tc>
          <w:tcPr>
            <w:tcW w:w="7173" w:type="dxa"/>
            <w:noWrap w:val="0"/>
            <w:vAlign w:val="center"/>
          </w:tcPr>
          <w:p>
            <w:pPr>
              <w:pStyle w:val="25"/>
              <w:jc w:val="left"/>
              <w:rPr>
                <w:rFonts w:hint="eastAsia" w:cs="宋体"/>
                <w:b/>
                <w:bCs/>
                <w:color w:val="auto"/>
                <w:kern w:val="2"/>
                <w:szCs w:val="22"/>
                <w:lang w:val="en-US" w:eastAsia="zh-CN"/>
              </w:rPr>
            </w:pPr>
            <w:r>
              <w:rPr>
                <w:rFonts w:hint="eastAsia" w:cs="宋体"/>
                <w:color w:val="auto"/>
                <w:kern w:val="2"/>
                <w:szCs w:val="22"/>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15</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构成磋商文件的其他文件</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澄清、修改、答疑文件等相关材料。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16</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答疑会</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本项目不召开答疑会。</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已经购买竞争性磋商文件的供应商对竞争性磋商文件有疑问的，均应在磋商截止日期2日前以书面形式向采购代理机构提出。采购代理机构视情况必要时将书面答复传送给所有获取竞争性磋商文件的供应商。</w:t>
            </w:r>
          </w:p>
          <w:p>
            <w:pPr>
              <w:pStyle w:val="25"/>
              <w:jc w:val="left"/>
              <w:rPr>
                <w:rFonts w:hint="eastAsia" w:cs="宋体"/>
                <w:color w:val="auto"/>
                <w:kern w:val="2"/>
                <w:szCs w:val="22"/>
                <w:lang w:val="en-US" w:eastAsia="zh-CN"/>
              </w:rPr>
            </w:pPr>
            <w:r>
              <w:rPr>
                <w:rFonts w:hint="eastAsia" w:cs="宋体"/>
                <w:color w:val="auto"/>
                <w:kern w:val="2"/>
                <w:szCs w:val="22"/>
                <w:lang w:val="en-US" w:eastAsia="zh-CN"/>
              </w:rPr>
              <w:t>书面答复为磋商文件的组成部分，与磋商文件具有同等法律效力。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17</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备选方案</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18</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本次磋商响应的最小单元</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本次磋商的最小单元为“项目全部内容”。任何不完全的磋商将按照无效磋商处理。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19</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磋商响应报价</w:t>
            </w:r>
          </w:p>
        </w:tc>
        <w:tc>
          <w:tcPr>
            <w:tcW w:w="7173" w:type="dxa"/>
            <w:noWrap w:val="0"/>
            <w:vAlign w:val="top"/>
          </w:tcPr>
          <w:p>
            <w:pPr>
              <w:pStyle w:val="25"/>
              <w:jc w:val="left"/>
              <w:rPr>
                <w:rFonts w:hint="eastAsia" w:cs="宋体"/>
                <w:color w:val="auto"/>
                <w:kern w:val="2"/>
                <w:szCs w:val="22"/>
                <w:lang w:val="en-US" w:eastAsia="zh-CN"/>
              </w:rPr>
            </w:pPr>
            <w:r>
              <w:rPr>
                <w:rFonts w:hint="eastAsia" w:cs="宋体"/>
                <w:color w:val="auto"/>
                <w:kern w:val="2"/>
                <w:szCs w:val="22"/>
                <w:lang w:val="en-US" w:eastAsia="zh-CN"/>
              </w:rPr>
              <w:t>供应商应投报完成本次磋商所要求的货物、服务且验收合格的所有费用，包括但不限于产品费（含相关配件、附件、安装材料）、安装调试费、运杂费（含保险）、仓储保管费、技术培训费、检测费、招标代理服务费、税金等其他一切相关费用。供应商所报的价格应考虑到可能发生的所有与完成本项目相关服务及履行合同义务有关的一切费用，任何有选择的报价将不予接受，按无效投标处理。</w:t>
            </w:r>
          </w:p>
          <w:p>
            <w:pPr>
              <w:pStyle w:val="25"/>
              <w:jc w:val="left"/>
              <w:rPr>
                <w:rFonts w:hint="eastAsia" w:cs="宋体"/>
                <w:color w:val="auto"/>
                <w:kern w:val="2"/>
                <w:szCs w:val="22"/>
                <w:lang w:val="en-US" w:eastAsia="zh-CN"/>
              </w:rPr>
            </w:pPr>
            <w:r>
              <w:rPr>
                <w:rFonts w:hint="eastAsia" w:cs="宋体"/>
                <w:color w:val="auto"/>
                <w:kern w:val="2"/>
                <w:szCs w:val="22"/>
                <w:lang w:val="en-US" w:eastAsia="zh-CN"/>
              </w:rPr>
              <w:t>软件安装调试所需要的人工、工具等均由中标人负责提供，所需费用包含在投标总报价内。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20</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偏离</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不满足评标办法中初步评审标准的，视为发生重大偏离，其磋商响应被否决。其余偏离视为细微偏离，评标委员会将通过澄清方式对细微偏离进行澄清或修改。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21</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磋商响应保证金</w:t>
            </w:r>
          </w:p>
        </w:tc>
        <w:tc>
          <w:tcPr>
            <w:tcW w:w="7173" w:type="dxa"/>
            <w:noWrap w:val="0"/>
            <w:vAlign w:val="center"/>
          </w:tcPr>
          <w:p>
            <w:pPr>
              <w:pStyle w:val="25"/>
              <w:jc w:val="left"/>
              <w:rPr>
                <w:rFonts w:hint="default" w:cs="宋体"/>
                <w:color w:val="auto"/>
                <w:kern w:val="2"/>
                <w:szCs w:val="22"/>
                <w:lang w:val="en-US" w:eastAsia="zh-CN"/>
              </w:rPr>
            </w:pPr>
            <w:r>
              <w:rPr>
                <w:rFonts w:hint="eastAsia" w:cs="宋体"/>
                <w:color w:val="auto"/>
                <w:kern w:val="2"/>
                <w:szCs w:val="22"/>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22</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磋商响应有效期</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响应文件的递交截止之日起90天。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23</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响应文件的份数及要求</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正本的份数：壹份；</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副本的份数：叁份；</w:t>
            </w:r>
          </w:p>
          <w:p>
            <w:pPr>
              <w:pStyle w:val="25"/>
              <w:jc w:val="left"/>
              <w:rPr>
                <w:rFonts w:hint="eastAsia" w:cs="宋体"/>
                <w:color w:val="auto"/>
                <w:kern w:val="2"/>
                <w:szCs w:val="22"/>
                <w:lang w:val="en-US" w:eastAsia="zh-CN"/>
              </w:rPr>
            </w:pPr>
            <w:r>
              <w:rPr>
                <w:rFonts w:hint="eastAsia" w:cs="宋体"/>
                <w:color w:val="auto"/>
                <w:kern w:val="2"/>
                <w:szCs w:val="22"/>
                <w:lang w:val="en-US" w:eastAsia="zh-CN"/>
              </w:rPr>
              <w:t>电子版（U盘）：壹份（需在盘面上标注供应商全称、项目名称、编号）。</w:t>
            </w:r>
          </w:p>
          <w:p>
            <w:pPr>
              <w:pStyle w:val="25"/>
              <w:jc w:val="left"/>
              <w:rPr>
                <w:rFonts w:hint="eastAsia" w:cs="宋体"/>
                <w:color w:val="auto"/>
                <w:kern w:val="2"/>
                <w:szCs w:val="22"/>
                <w:lang w:val="en-US" w:eastAsia="zh-CN"/>
              </w:rPr>
            </w:pPr>
            <w:r>
              <w:rPr>
                <w:rFonts w:hint="eastAsia" w:cs="宋体"/>
                <w:color w:val="auto"/>
                <w:kern w:val="2"/>
                <w:szCs w:val="22"/>
                <w:lang w:val="en-US" w:eastAsia="zh-CN"/>
              </w:rPr>
              <w:t>电子版包括：</w:t>
            </w:r>
          </w:p>
          <w:p>
            <w:pPr>
              <w:pStyle w:val="25"/>
              <w:jc w:val="left"/>
              <w:rPr>
                <w:rFonts w:hint="eastAsia" w:cs="宋体"/>
                <w:color w:val="auto"/>
                <w:kern w:val="2"/>
                <w:szCs w:val="22"/>
                <w:lang w:val="en-US" w:eastAsia="zh-CN"/>
              </w:rPr>
            </w:pPr>
            <w:r>
              <w:rPr>
                <w:rFonts w:hint="eastAsia" w:cs="宋体"/>
                <w:color w:val="auto"/>
                <w:kern w:val="2"/>
                <w:szCs w:val="22"/>
                <w:lang w:val="en-US" w:eastAsia="zh-CN"/>
              </w:rPr>
              <w:t>（1）word版响应文件；</w:t>
            </w:r>
          </w:p>
          <w:p>
            <w:pPr>
              <w:pStyle w:val="25"/>
              <w:jc w:val="left"/>
              <w:rPr>
                <w:rFonts w:hint="eastAsia" w:cs="宋体"/>
                <w:color w:val="auto"/>
                <w:kern w:val="2"/>
                <w:szCs w:val="22"/>
                <w:lang w:val="en-US" w:eastAsia="zh-CN"/>
              </w:rPr>
            </w:pPr>
            <w:r>
              <w:rPr>
                <w:rFonts w:hint="eastAsia" w:cs="宋体"/>
                <w:color w:val="auto"/>
                <w:kern w:val="2"/>
                <w:szCs w:val="22"/>
                <w:lang w:val="en-US" w:eastAsia="zh-CN"/>
              </w:rPr>
              <w:t>（2）正本签字盖章后的PDF版响应文件。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24</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响应文件的制作装订</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响应文件制作规范、目录清晰、页码标注、对应精准、双面打印。</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字迹潦草、表达不清、未按要求填写而导致非唯一理解，造成非实质性响应竞争性磋商文件的响应文件将会被认定为无效磋商响应。</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响应文件应胶装成册，不可插页抽页。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25</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响应文件的签字、盖章要求</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响应文件封面、磋商响应函及其它有要求处必须加盖供应商公章并经法定代表人或其委托代理人签字或盖章。委托代理人签字的，响应文件应附法定代表人签署的授权委托书。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26</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响应文件的密封要求</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响应文件按正本、副本和含电子版分别包装，所有密封袋/箱正面和响应文件封面须标明项目名称、项目编号、供应商名称及“正本”或“副本”或“电子版”等字样，加贴封条，并在封套的封口处加盖供应商单位公章或由法定代表人或其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27</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响应文件封套上应载明的信息</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项目名称：</w:t>
            </w:r>
          </w:p>
          <w:p>
            <w:pPr>
              <w:pStyle w:val="25"/>
              <w:jc w:val="left"/>
              <w:rPr>
                <w:rFonts w:hint="eastAsia" w:cs="宋体"/>
                <w:color w:val="auto"/>
                <w:kern w:val="2"/>
                <w:szCs w:val="22"/>
                <w:lang w:val="en-US" w:eastAsia="zh-CN"/>
              </w:rPr>
            </w:pPr>
            <w:r>
              <w:rPr>
                <w:rFonts w:hint="eastAsia" w:cs="宋体"/>
                <w:color w:val="auto"/>
                <w:kern w:val="2"/>
                <w:szCs w:val="22"/>
                <w:lang w:val="en-US" w:eastAsia="zh-CN"/>
              </w:rPr>
              <w:t>竞争性磋商响应文件（正本、副本、电子版）</w:t>
            </w:r>
          </w:p>
          <w:p>
            <w:pPr>
              <w:pStyle w:val="25"/>
              <w:jc w:val="left"/>
              <w:rPr>
                <w:rFonts w:hint="eastAsia" w:cs="宋体"/>
                <w:color w:val="auto"/>
                <w:kern w:val="2"/>
                <w:szCs w:val="22"/>
                <w:lang w:val="en-US" w:eastAsia="zh-CN"/>
              </w:rPr>
            </w:pPr>
            <w:r>
              <w:rPr>
                <w:rFonts w:hint="eastAsia" w:cs="宋体"/>
                <w:color w:val="auto"/>
                <w:kern w:val="2"/>
                <w:szCs w:val="22"/>
                <w:lang w:val="en-US" w:eastAsia="zh-CN"/>
              </w:rPr>
              <w:t>项目编号：</w:t>
            </w:r>
          </w:p>
          <w:p>
            <w:pPr>
              <w:pStyle w:val="25"/>
              <w:jc w:val="left"/>
              <w:rPr>
                <w:rFonts w:hint="eastAsia" w:cs="宋体"/>
                <w:color w:val="auto"/>
                <w:kern w:val="2"/>
                <w:szCs w:val="22"/>
                <w:lang w:val="en-US" w:eastAsia="zh-CN"/>
              </w:rPr>
            </w:pPr>
            <w:r>
              <w:rPr>
                <w:rFonts w:hint="eastAsia" w:cs="宋体"/>
                <w:color w:val="auto"/>
                <w:kern w:val="2"/>
                <w:szCs w:val="22"/>
                <w:lang w:val="en-US" w:eastAsia="zh-CN"/>
              </w:rPr>
              <w:t>供应商名称：</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在   年   月   日   分之前不得启封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28</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是否退还响应文件</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29</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评审方法</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综合评分法，详见第二章“供应商须知”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vMerge w:val="restart"/>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30</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政府采购强制采购：节能产品</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20" w:type="dxa"/>
            <w:vMerge w:val="continue"/>
            <w:tcBorders>
              <w:bottom w:val="single" w:color="auto" w:sz="4" w:space="0"/>
            </w:tcBorders>
            <w:noWrap w:val="0"/>
            <w:vAlign w:val="center"/>
          </w:tcPr>
          <w:p>
            <w:pPr>
              <w:pStyle w:val="25"/>
              <w:rPr>
                <w:rFonts w:hint="eastAsia" w:cs="宋体"/>
                <w:color w:val="auto"/>
                <w:kern w:val="2"/>
                <w:szCs w:val="22"/>
                <w:lang w:val="en-US" w:eastAsia="zh-CN"/>
              </w:rPr>
            </w:pPr>
          </w:p>
        </w:tc>
        <w:tc>
          <w:tcPr>
            <w:tcW w:w="2005" w:type="dxa"/>
            <w:tcBorders>
              <w:bottom w:val="single" w:color="auto" w:sz="4" w:space="0"/>
            </w:tcBorders>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政府采购强制采购：信息安全认证</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620" w:type="dxa"/>
            <w:vMerge w:val="restart"/>
            <w:tcBorders>
              <w:top w:val="single" w:color="auto" w:sz="4" w:space="0"/>
              <w:left w:val="single" w:color="auto" w:sz="4" w:space="0"/>
              <w:bottom w:val="single" w:color="auto" w:sz="4" w:space="0"/>
            </w:tcBorders>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31</w:t>
            </w:r>
          </w:p>
        </w:tc>
        <w:tc>
          <w:tcPr>
            <w:tcW w:w="2005" w:type="dxa"/>
            <w:tcBorders>
              <w:top w:val="single" w:color="auto" w:sz="4" w:space="0"/>
              <w:bottom w:val="single" w:color="auto" w:sz="4" w:space="0"/>
              <w:right w:val="single" w:color="auto" w:sz="4" w:space="0"/>
            </w:tcBorders>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政府采购优先采购：节能产品（非强制类）</w:t>
            </w:r>
          </w:p>
        </w:tc>
        <w:tc>
          <w:tcPr>
            <w:tcW w:w="7173" w:type="dxa"/>
            <w:tcBorders>
              <w:left w:val="single" w:color="auto" w:sz="4" w:space="0"/>
            </w:tcBorders>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对列入节能产品政府采购品目清单的产品，且认证机构在《参与实施政府采购节能产品认证机构名录》中的，在评审时按“投标报价×2%”进行扣减。用扣减后的价格参与评审。</w:t>
            </w:r>
          </w:p>
          <w:p>
            <w:pPr>
              <w:pStyle w:val="25"/>
              <w:jc w:val="left"/>
              <w:rPr>
                <w:rFonts w:hint="eastAsia" w:cs="宋体"/>
                <w:color w:val="auto"/>
                <w:kern w:val="2"/>
                <w:szCs w:val="22"/>
                <w:lang w:val="en-US" w:eastAsia="zh-CN"/>
              </w:rPr>
            </w:pPr>
            <w:r>
              <w:rPr>
                <w:rFonts w:hint="eastAsia" w:cs="宋体"/>
                <w:color w:val="auto"/>
                <w:kern w:val="2"/>
                <w:szCs w:val="22"/>
                <w:lang w:val="en-US" w:eastAsia="zh-CN"/>
              </w:rPr>
              <w:t>（注：若节能清单内的产品仅是构成采购产品的部件、组件或零件的，则该投标产品不享受此项鼓励优惠政策）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20" w:type="dxa"/>
            <w:vMerge w:val="continue"/>
            <w:tcBorders>
              <w:top w:val="single" w:color="auto" w:sz="4" w:space="0"/>
              <w:left w:val="single" w:color="auto" w:sz="4" w:space="0"/>
            </w:tcBorders>
            <w:noWrap w:val="0"/>
            <w:vAlign w:val="center"/>
          </w:tcPr>
          <w:p>
            <w:pPr>
              <w:pStyle w:val="25"/>
              <w:rPr>
                <w:rFonts w:hint="eastAsia" w:cs="宋体"/>
                <w:color w:val="auto"/>
                <w:kern w:val="2"/>
                <w:szCs w:val="22"/>
                <w:lang w:val="en-US" w:eastAsia="zh-CN"/>
              </w:rPr>
            </w:pPr>
          </w:p>
        </w:tc>
        <w:tc>
          <w:tcPr>
            <w:tcW w:w="2005" w:type="dxa"/>
            <w:tcBorders>
              <w:top w:val="single" w:color="auto" w:sz="4" w:space="0"/>
            </w:tcBorders>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政府采购优先采购：环境标志产品</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对列入环境标志产品政府采购品目清单的产品，且认证机构在《参与实施政府采购节能产品环境标志产品认证机构名录》中的，在评审时按“投标报价×2%”进行扣减。用扣减后的价格参与评审。</w:t>
            </w:r>
          </w:p>
          <w:p>
            <w:pPr>
              <w:pStyle w:val="25"/>
              <w:jc w:val="left"/>
              <w:rPr>
                <w:rFonts w:hint="eastAsia" w:cs="宋体"/>
                <w:color w:val="auto"/>
                <w:kern w:val="2"/>
                <w:szCs w:val="22"/>
                <w:lang w:val="en-US" w:eastAsia="zh-CN"/>
              </w:rPr>
            </w:pPr>
            <w:r>
              <w:rPr>
                <w:rFonts w:hint="eastAsia" w:cs="宋体"/>
                <w:color w:val="auto"/>
                <w:kern w:val="2"/>
                <w:szCs w:val="22"/>
                <w:lang w:val="en-US" w:eastAsia="zh-CN"/>
              </w:rPr>
              <w:t>（注：</w:t>
            </w:r>
            <w:r>
              <w:rPr>
                <w:rFonts w:hint="eastAsia" w:cs="宋体"/>
                <w:color w:val="auto"/>
                <w:kern w:val="2"/>
                <w:szCs w:val="22"/>
                <w:lang w:val="zh-CN" w:eastAsia="zh-CN"/>
              </w:rPr>
              <w:t>若环境标志清单内的产品仅是构成采购产品的部件、组件或零件的，则该投标产品不享受</w:t>
            </w:r>
            <w:r>
              <w:rPr>
                <w:rFonts w:hint="eastAsia" w:cs="宋体"/>
                <w:color w:val="auto"/>
                <w:kern w:val="2"/>
                <w:szCs w:val="22"/>
                <w:lang w:val="en-US" w:eastAsia="zh-CN"/>
              </w:rPr>
              <w:t>此项</w:t>
            </w:r>
            <w:r>
              <w:rPr>
                <w:rFonts w:hint="eastAsia" w:cs="宋体"/>
                <w:color w:val="auto"/>
                <w:kern w:val="2"/>
                <w:szCs w:val="22"/>
                <w:lang w:val="zh-CN" w:eastAsia="zh-CN"/>
              </w:rPr>
              <w:t>鼓励优惠政策</w:t>
            </w:r>
            <w:r>
              <w:rPr>
                <w:rFonts w:hint="eastAsia" w:cs="宋体"/>
                <w:color w:val="auto"/>
                <w:kern w:val="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20" w:type="dxa"/>
            <w:vMerge w:val="restart"/>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32</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支持中小企业发展</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非专门面向中小企业采购项目（价格扣除）：对小型和微型企业的价格给予10%～20%的扣除，用扣除后的价格参与评审。本项目的扣除比例为：小型企业扣除10%，微型企业扣除10%。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0" w:type="dxa"/>
            <w:vMerge w:val="continue"/>
            <w:noWrap w:val="0"/>
            <w:vAlign w:val="center"/>
          </w:tcPr>
          <w:p>
            <w:pPr>
              <w:pStyle w:val="25"/>
              <w:rPr>
                <w:rFonts w:hint="eastAsia" w:cs="宋体"/>
                <w:color w:val="auto"/>
                <w:kern w:val="2"/>
                <w:szCs w:val="22"/>
                <w:lang w:val="en-US" w:eastAsia="zh-CN"/>
              </w:rPr>
            </w:pP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支持监狱企业</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非专门面向监狱采购项目（价格扣除）：监狱企业可视同小微企业在价格评审时给予10%～20%的扣除，用扣除后的价格参与评审。本项目的扣除比例为：扣除10%。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20" w:type="dxa"/>
            <w:vMerge w:val="continue"/>
            <w:noWrap w:val="0"/>
            <w:vAlign w:val="center"/>
          </w:tcPr>
          <w:p>
            <w:pPr>
              <w:pStyle w:val="25"/>
              <w:rPr>
                <w:rFonts w:hint="eastAsia" w:cs="宋体"/>
                <w:color w:val="auto"/>
                <w:kern w:val="2"/>
                <w:szCs w:val="22"/>
                <w:lang w:val="en-US" w:eastAsia="zh-CN"/>
              </w:rPr>
            </w:pP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支持残疾人福利性单位</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非专门面向残疾人福利性单位采购项目（价格扣除）：残疾人福利性单位可视同小微企业在价格评审时给予10%～20%的扣除，用扣除后的价格参与评审。本项目的扣除比例为：扣除10%。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0" w:type="dxa"/>
            <w:vMerge w:val="continue"/>
            <w:noWrap w:val="0"/>
            <w:vAlign w:val="center"/>
          </w:tcPr>
          <w:p>
            <w:pPr>
              <w:pStyle w:val="25"/>
              <w:rPr>
                <w:rFonts w:hint="eastAsia" w:cs="宋体"/>
                <w:b/>
                <w:bCs/>
                <w:color w:val="auto"/>
                <w:kern w:val="2"/>
                <w:szCs w:val="22"/>
                <w:lang w:val="en-US" w:eastAsia="zh-CN"/>
              </w:rPr>
            </w:pPr>
          </w:p>
        </w:tc>
        <w:tc>
          <w:tcPr>
            <w:tcW w:w="9178" w:type="dxa"/>
            <w:gridSpan w:val="2"/>
            <w:noWrap w:val="0"/>
            <w:vAlign w:val="center"/>
          </w:tcPr>
          <w:p>
            <w:pPr>
              <w:pStyle w:val="25"/>
              <w:jc w:val="left"/>
              <w:rPr>
                <w:rFonts w:cs="宋体"/>
                <w:color w:val="auto"/>
                <w:kern w:val="2"/>
                <w:szCs w:val="22"/>
                <w:lang w:val="en-US" w:eastAsia="zh-CN"/>
              </w:rPr>
            </w:pPr>
            <w:r>
              <w:rPr>
                <w:rFonts w:hint="eastAsia" w:cs="宋体"/>
                <w:color w:val="auto"/>
                <w:kern w:val="2"/>
                <w:szCs w:val="22"/>
                <w:lang w:val="en-US" w:eastAsia="zh-CN"/>
              </w:rPr>
              <w:t>备注：</w:t>
            </w:r>
          </w:p>
          <w:p>
            <w:pPr>
              <w:pStyle w:val="25"/>
              <w:jc w:val="left"/>
              <w:rPr>
                <w:rFonts w:cs="宋体"/>
                <w:color w:val="auto"/>
                <w:kern w:val="2"/>
                <w:szCs w:val="22"/>
                <w:lang w:val="en-US" w:eastAsia="zh-CN"/>
              </w:rPr>
            </w:pPr>
            <w:r>
              <w:rPr>
                <w:rFonts w:hint="eastAsia" w:cs="宋体"/>
                <w:color w:val="auto"/>
                <w:kern w:val="2"/>
                <w:szCs w:val="22"/>
                <w:lang w:val="en-US" w:eastAsia="zh-CN"/>
              </w:rPr>
              <w:t>1.上述扣除仅针对非专门面向中小企业的项目。</w:t>
            </w:r>
          </w:p>
          <w:p>
            <w:pPr>
              <w:pStyle w:val="25"/>
              <w:jc w:val="left"/>
              <w:rPr>
                <w:rFonts w:hint="eastAsia" w:cs="宋体"/>
                <w:color w:val="auto"/>
                <w:kern w:val="2"/>
                <w:szCs w:val="22"/>
                <w:lang w:val="en-US" w:eastAsia="zh-CN"/>
              </w:rPr>
            </w:pPr>
            <w:r>
              <w:rPr>
                <w:rFonts w:hint="eastAsia" w:cs="宋体"/>
                <w:color w:val="auto"/>
                <w:kern w:val="2"/>
                <w:szCs w:val="22"/>
                <w:lang w:val="en-US" w:eastAsia="zh-CN"/>
              </w:rPr>
              <w:t>2.对于同时属于小微企业、监狱企业或残疾人福利性单位的，不重复进行投标报价扣除。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20" w:type="dxa"/>
            <w:noWrap w:val="0"/>
            <w:vAlign w:val="center"/>
          </w:tcPr>
          <w:p>
            <w:pPr>
              <w:pStyle w:val="25"/>
              <w:rPr>
                <w:rFonts w:hint="default" w:cs="宋体"/>
                <w:b/>
                <w:bCs/>
                <w:color w:val="auto"/>
                <w:kern w:val="2"/>
                <w:szCs w:val="22"/>
                <w:lang w:val="en-US" w:eastAsia="zh-CN"/>
              </w:rPr>
            </w:pPr>
            <w:bookmarkStart w:id="25" w:name="_Toc28294"/>
            <w:bookmarkStart w:id="26" w:name="_Toc403077639"/>
            <w:bookmarkStart w:id="27" w:name="_Toc363473972"/>
            <w:bookmarkStart w:id="28" w:name="_Toc12372"/>
            <w:bookmarkStart w:id="29" w:name="_Toc363474017"/>
            <w:bookmarkStart w:id="30" w:name="_Toc24063"/>
            <w:r>
              <w:rPr>
                <w:rFonts w:hint="eastAsia" w:cs="宋体"/>
                <w:b/>
                <w:bCs/>
                <w:color w:val="auto"/>
                <w:kern w:val="2"/>
                <w:szCs w:val="22"/>
                <w:lang w:val="en-US" w:eastAsia="zh-CN"/>
              </w:rPr>
              <w:t>33</w:t>
            </w:r>
          </w:p>
        </w:tc>
        <w:tc>
          <w:tcPr>
            <w:tcW w:w="2005" w:type="dxa"/>
            <w:noWrap w:val="0"/>
            <w:vAlign w:val="center"/>
          </w:tcPr>
          <w:p>
            <w:pPr>
              <w:pStyle w:val="25"/>
              <w:jc w:val="center"/>
              <w:rPr>
                <w:rFonts w:hint="eastAsia" w:ascii="宋体" w:hAnsi="宋体" w:eastAsia="宋体" w:cs="宋体"/>
                <w:b/>
                <w:bCs/>
                <w:color w:val="auto"/>
                <w:kern w:val="2"/>
                <w:szCs w:val="22"/>
                <w:lang w:val="en-US" w:eastAsia="zh-CN"/>
              </w:rPr>
            </w:pPr>
            <w:r>
              <w:rPr>
                <w:rFonts w:hint="eastAsia" w:ascii="宋体" w:hAnsi="宋体" w:eastAsia="宋体" w:cs="宋体"/>
                <w:b/>
                <w:bCs/>
                <w:color w:val="auto"/>
                <w:kern w:val="2"/>
                <w:szCs w:val="22"/>
                <w:lang w:val="en-US" w:eastAsia="zh-CN"/>
              </w:rPr>
              <w:t>踏勘现场</w:t>
            </w:r>
          </w:p>
        </w:tc>
        <w:tc>
          <w:tcPr>
            <w:tcW w:w="7173" w:type="dxa"/>
            <w:noWrap w:val="0"/>
            <w:vAlign w:val="center"/>
          </w:tcPr>
          <w:p>
            <w:pPr>
              <w:pStyle w:val="25"/>
              <w:jc w:val="left"/>
              <w:rPr>
                <w:rFonts w:hint="eastAsia" w:ascii="宋体" w:hAnsi="宋体" w:eastAsia="宋体" w:cs="宋体"/>
                <w:b/>
                <w:bCs/>
                <w:color w:val="auto"/>
                <w:kern w:val="2"/>
                <w:szCs w:val="22"/>
                <w:lang w:val="en-US" w:eastAsia="zh-CN"/>
              </w:rPr>
            </w:pPr>
            <w:r>
              <w:rPr>
                <w:rFonts w:hint="eastAsia" w:ascii="宋体" w:hAnsi="宋体" w:eastAsia="宋体" w:cs="宋体"/>
                <w:b/>
                <w:bCs/>
                <w:color w:val="auto"/>
                <w:kern w:val="2"/>
                <w:szCs w:val="22"/>
                <w:lang w:val="en-US" w:eastAsia="zh-CN"/>
              </w:rPr>
              <w:t>不</w:t>
            </w:r>
            <w:r>
              <w:rPr>
                <w:rFonts w:hint="eastAsia" w:cs="宋体"/>
                <w:b/>
                <w:bCs/>
                <w:color w:val="auto"/>
                <w:kern w:val="2"/>
                <w:szCs w:val="22"/>
                <w:lang w:val="en-US" w:eastAsia="zh-CN"/>
              </w:rPr>
              <w:t>统一组织</w:t>
            </w:r>
            <w:r>
              <w:rPr>
                <w:rFonts w:hint="eastAsia" w:ascii="宋体" w:hAnsi="宋体" w:eastAsia="宋体" w:cs="宋体"/>
                <w:b/>
                <w:bCs/>
                <w:color w:val="auto"/>
                <w:kern w:val="2"/>
                <w:szCs w:val="22"/>
                <w:lang w:val="en-US" w:eastAsia="zh-CN"/>
              </w:rPr>
              <w:t>踏勘</w:t>
            </w:r>
          </w:p>
          <w:p>
            <w:pPr>
              <w:pStyle w:val="25"/>
              <w:jc w:val="left"/>
              <w:rPr>
                <w:rFonts w:hint="eastAsia" w:cs="宋体"/>
                <w:b/>
                <w:bCs/>
                <w:color w:val="auto"/>
                <w:kern w:val="2"/>
                <w:szCs w:val="22"/>
              </w:rPr>
            </w:pPr>
            <w:r>
              <w:rPr>
                <w:rFonts w:hint="eastAsia" w:cs="宋体"/>
                <w:b/>
                <w:bCs/>
                <w:color w:val="auto"/>
                <w:kern w:val="2"/>
                <w:szCs w:val="22"/>
                <w:lang w:val="en-US" w:eastAsia="zh-CN"/>
              </w:rPr>
              <w:t>如</w:t>
            </w:r>
            <w:r>
              <w:rPr>
                <w:rFonts w:hint="eastAsia" w:ascii="宋体" w:hAnsi="宋体" w:eastAsia="宋体" w:cs="宋体"/>
                <w:b/>
                <w:bCs/>
                <w:color w:val="auto"/>
                <w:kern w:val="2"/>
                <w:szCs w:val="22"/>
                <w:lang w:val="en-US" w:eastAsia="zh-CN"/>
              </w:rPr>
              <w:t>踏勘现场请</w:t>
            </w:r>
            <w:r>
              <w:rPr>
                <w:rFonts w:hint="eastAsia" w:cs="宋体"/>
                <w:b/>
                <w:bCs/>
                <w:color w:val="auto"/>
                <w:kern w:val="2"/>
                <w:szCs w:val="22"/>
                <w:lang w:val="en-US" w:eastAsia="zh-CN"/>
              </w:rPr>
              <w:t>自行前往，</w:t>
            </w:r>
            <w:r>
              <w:rPr>
                <w:rFonts w:hint="eastAsia" w:cs="宋体"/>
                <w:b/>
                <w:bCs/>
                <w:color w:val="auto"/>
                <w:kern w:val="2"/>
                <w:szCs w:val="22"/>
              </w:rPr>
              <w:t>并自行承担踏勘相关费用</w:t>
            </w:r>
          </w:p>
          <w:p>
            <w:pPr>
              <w:pStyle w:val="25"/>
              <w:jc w:val="left"/>
              <w:rPr>
                <w:rFonts w:hint="eastAsia" w:ascii="宋体" w:hAnsi="宋体" w:eastAsia="宋体" w:cs="宋体"/>
                <w:b/>
                <w:bCs/>
                <w:color w:val="auto"/>
                <w:kern w:val="2"/>
                <w:szCs w:val="22"/>
                <w:lang w:val="en-US" w:eastAsia="zh-CN"/>
              </w:rPr>
            </w:pPr>
            <w:r>
              <w:rPr>
                <w:rFonts w:hint="eastAsia" w:cs="宋体"/>
                <w:b/>
                <w:bCs/>
                <w:color w:val="auto"/>
                <w:kern w:val="2"/>
                <w:szCs w:val="22"/>
                <w:lang w:val="en-US" w:eastAsia="zh-CN"/>
              </w:rPr>
              <w:t>联系人：</w:t>
            </w:r>
            <w:r>
              <w:rPr>
                <w:rFonts w:hint="eastAsia" w:ascii="宋体" w:hAnsi="宋体" w:eastAsia="宋体" w:cs="宋体"/>
                <w:b/>
                <w:bCs/>
                <w:color w:val="auto"/>
                <w:kern w:val="2"/>
                <w:szCs w:val="22"/>
                <w:lang w:val="en-US" w:eastAsia="zh-CN"/>
              </w:rPr>
              <w:t>魏老师</w:t>
            </w:r>
          </w:p>
          <w:p>
            <w:pPr>
              <w:pStyle w:val="25"/>
              <w:jc w:val="left"/>
              <w:rPr>
                <w:rFonts w:hint="eastAsia" w:ascii="宋体" w:hAnsi="宋体" w:eastAsia="宋体" w:cs="宋体"/>
                <w:b/>
                <w:bCs/>
                <w:color w:val="auto"/>
                <w:kern w:val="2"/>
                <w:szCs w:val="22"/>
                <w:lang w:val="en-US" w:eastAsia="zh-CN"/>
              </w:rPr>
            </w:pPr>
            <w:r>
              <w:rPr>
                <w:rFonts w:hint="eastAsia" w:ascii="宋体" w:hAnsi="宋体" w:eastAsia="宋体" w:cs="宋体"/>
                <w:b/>
                <w:bCs/>
                <w:color w:val="auto"/>
                <w:kern w:val="2"/>
                <w:szCs w:val="22"/>
                <w:lang w:val="en-US" w:eastAsia="zh-CN"/>
              </w:rPr>
              <w:t>电话</w:t>
            </w:r>
            <w:r>
              <w:rPr>
                <w:rFonts w:hint="eastAsia" w:cs="宋体"/>
                <w:b/>
                <w:bCs/>
                <w:color w:val="auto"/>
                <w:kern w:val="2"/>
                <w:szCs w:val="22"/>
                <w:lang w:val="en-US" w:eastAsia="zh-CN"/>
              </w:rPr>
              <w:t>：</w:t>
            </w:r>
            <w:r>
              <w:rPr>
                <w:rFonts w:hint="eastAsia" w:ascii="宋体" w:hAnsi="宋体" w:eastAsia="宋体" w:cs="宋体"/>
                <w:b/>
                <w:bCs/>
                <w:color w:val="auto"/>
                <w:kern w:val="2"/>
                <w:szCs w:val="22"/>
                <w:lang w:val="en-US" w:eastAsia="zh-CN"/>
              </w:rPr>
              <w:t>13720705602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0" w:type="dxa"/>
            <w:noWrap w:val="0"/>
            <w:vAlign w:val="center"/>
          </w:tcPr>
          <w:p>
            <w:pPr>
              <w:pStyle w:val="25"/>
              <w:rPr>
                <w:rFonts w:hint="default" w:cs="宋体"/>
                <w:b/>
                <w:bCs/>
                <w:color w:val="auto"/>
                <w:kern w:val="2"/>
                <w:szCs w:val="22"/>
                <w:highlight w:val="none"/>
                <w:lang w:val="en-US" w:eastAsia="zh-CN"/>
              </w:rPr>
            </w:pPr>
            <w:r>
              <w:rPr>
                <w:rFonts w:hint="eastAsia" w:cs="宋体"/>
                <w:b/>
                <w:bCs/>
                <w:color w:val="auto"/>
                <w:kern w:val="2"/>
                <w:szCs w:val="22"/>
                <w:highlight w:val="none"/>
                <w:lang w:val="en-US" w:eastAsia="zh-CN"/>
              </w:rPr>
              <w:t>34</w:t>
            </w:r>
          </w:p>
        </w:tc>
        <w:tc>
          <w:tcPr>
            <w:tcW w:w="2005" w:type="dxa"/>
            <w:noWrap w:val="0"/>
            <w:vAlign w:val="center"/>
          </w:tcPr>
          <w:p>
            <w:pPr>
              <w:pStyle w:val="25"/>
              <w:rPr>
                <w:rFonts w:hint="eastAsia" w:cs="宋体"/>
                <w:b/>
                <w:bCs/>
                <w:color w:val="auto"/>
                <w:kern w:val="2"/>
                <w:szCs w:val="22"/>
                <w:highlight w:val="none"/>
                <w:lang w:val="en-US" w:eastAsia="zh-CN"/>
              </w:rPr>
            </w:pPr>
            <w:r>
              <w:rPr>
                <w:rFonts w:hint="eastAsia" w:cs="宋体"/>
                <w:b/>
                <w:bCs/>
                <w:color w:val="auto"/>
                <w:kern w:val="2"/>
                <w:szCs w:val="24"/>
                <w:highlight w:val="none"/>
                <w:lang w:val="en-US" w:eastAsia="zh-CN"/>
              </w:rPr>
              <w:t>标的所属行业</w:t>
            </w:r>
          </w:p>
        </w:tc>
        <w:tc>
          <w:tcPr>
            <w:tcW w:w="7173" w:type="dxa"/>
            <w:noWrap w:val="0"/>
            <w:vAlign w:val="center"/>
          </w:tcPr>
          <w:p>
            <w:pPr>
              <w:pStyle w:val="25"/>
              <w:jc w:val="left"/>
              <w:rPr>
                <w:rFonts w:hint="default" w:cs="宋体"/>
                <w:b/>
                <w:bCs/>
                <w:color w:val="auto"/>
                <w:kern w:val="2"/>
                <w:szCs w:val="22"/>
                <w:highlight w:val="yellow"/>
                <w:lang w:val="en-US" w:eastAsia="zh-CN"/>
              </w:rPr>
            </w:pPr>
            <w:r>
              <w:rPr>
                <w:rFonts w:hint="eastAsia" w:cs="宋体"/>
                <w:b/>
                <w:bCs/>
                <w:color w:val="auto"/>
                <w:kern w:val="2"/>
                <w:szCs w:val="22"/>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35</w:t>
            </w:r>
          </w:p>
        </w:tc>
        <w:tc>
          <w:tcPr>
            <w:tcW w:w="2005" w:type="dxa"/>
            <w:noWrap w:val="0"/>
            <w:vAlign w:val="center"/>
          </w:tcPr>
          <w:p>
            <w:pPr>
              <w:pStyle w:val="25"/>
              <w:rPr>
                <w:rFonts w:hint="eastAsia" w:cs="宋体"/>
                <w:b/>
                <w:bCs/>
                <w:color w:val="auto"/>
                <w:kern w:val="2"/>
                <w:szCs w:val="24"/>
                <w:lang w:val="en-US" w:eastAsia="zh-CN"/>
              </w:rPr>
            </w:pPr>
            <w:r>
              <w:rPr>
                <w:rFonts w:hint="eastAsia" w:cs="宋体"/>
                <w:color w:val="auto"/>
                <w:kern w:val="2"/>
                <w:szCs w:val="22"/>
                <w:lang w:val="en-US" w:eastAsia="zh-CN"/>
              </w:rPr>
              <w:t>招标代理服务费</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参照国家计委颁发的《招标代理服务收费管理暂行办法》（计价格[2002]1980号）和国家发展改革委员会办公厅颁发的《关于招标代理服务收费有关问题的通知》（发改办价格[2003]857号）的有关规定下浮10%收取。</w:t>
            </w:r>
          </w:p>
          <w:p>
            <w:pPr>
              <w:pStyle w:val="25"/>
              <w:jc w:val="left"/>
              <w:rPr>
                <w:rFonts w:hint="eastAsia" w:cs="宋体"/>
                <w:color w:val="auto"/>
                <w:kern w:val="2"/>
                <w:szCs w:val="22"/>
                <w:lang w:val="en-US" w:eastAsia="zh-CN"/>
              </w:rPr>
            </w:pPr>
            <w:r>
              <w:rPr>
                <w:rFonts w:hint="eastAsia" w:cs="宋体"/>
                <w:color w:val="auto"/>
                <w:kern w:val="2"/>
                <w:szCs w:val="22"/>
                <w:lang w:val="en-US" w:eastAsia="zh-CN"/>
              </w:rPr>
              <w:t>中标单位在领取中标通知书前，须向采购代理机构一次性支付招标代理服务费。</w:t>
            </w:r>
          </w:p>
          <w:p>
            <w:pPr>
              <w:pStyle w:val="25"/>
              <w:jc w:val="left"/>
              <w:rPr>
                <w:rFonts w:hint="eastAsia" w:cs="宋体"/>
                <w:color w:val="auto"/>
                <w:kern w:val="2"/>
                <w:szCs w:val="22"/>
                <w:lang w:val="en-US" w:eastAsia="zh-CN"/>
              </w:rPr>
            </w:pPr>
            <w:r>
              <w:rPr>
                <w:rFonts w:hint="eastAsia" w:cs="宋体"/>
                <w:b/>
                <w:bCs/>
                <w:color w:val="auto"/>
                <w:kern w:val="2"/>
                <w:szCs w:val="22"/>
                <w:lang w:val="en-US" w:eastAsia="zh-CN"/>
              </w:rPr>
              <w:t>本项目类型：服务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36</w:t>
            </w:r>
          </w:p>
        </w:tc>
        <w:tc>
          <w:tcPr>
            <w:tcW w:w="2005" w:type="dxa"/>
            <w:noWrap w:val="0"/>
            <w:vAlign w:val="center"/>
          </w:tcPr>
          <w:p>
            <w:pPr>
              <w:pStyle w:val="25"/>
              <w:rPr>
                <w:rFonts w:hint="eastAsia" w:cs="宋体"/>
                <w:b/>
                <w:bCs/>
                <w:color w:val="auto"/>
                <w:kern w:val="2"/>
                <w:szCs w:val="24"/>
                <w:lang w:val="en-US" w:eastAsia="zh-CN"/>
              </w:rPr>
            </w:pPr>
            <w:r>
              <w:rPr>
                <w:rFonts w:hint="eastAsia" w:cs="宋体"/>
                <w:color w:val="auto"/>
                <w:kern w:val="2"/>
                <w:szCs w:val="22"/>
                <w:lang w:val="en-US" w:eastAsia="zh-CN"/>
              </w:rPr>
              <w:t>招标代理服务费账户</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户名：陕西正鸿招标有限公司</w:t>
            </w:r>
          </w:p>
          <w:p>
            <w:pPr>
              <w:pStyle w:val="25"/>
              <w:jc w:val="left"/>
              <w:rPr>
                <w:rFonts w:hint="eastAsia" w:cs="宋体"/>
                <w:color w:val="auto"/>
                <w:kern w:val="2"/>
                <w:szCs w:val="22"/>
                <w:lang w:val="en-US" w:eastAsia="zh-CN"/>
              </w:rPr>
            </w:pPr>
            <w:r>
              <w:rPr>
                <w:rFonts w:hint="eastAsia" w:cs="宋体"/>
                <w:color w:val="auto"/>
                <w:kern w:val="2"/>
                <w:szCs w:val="22"/>
                <w:lang w:val="en-US" w:eastAsia="zh-CN"/>
              </w:rPr>
              <w:t>开户行：交通银行股份有限公司西安大雁塔支行</w:t>
            </w:r>
          </w:p>
          <w:p>
            <w:pPr>
              <w:pStyle w:val="25"/>
              <w:jc w:val="left"/>
              <w:rPr>
                <w:rFonts w:hint="eastAsia" w:cs="宋体"/>
                <w:color w:val="auto"/>
                <w:kern w:val="2"/>
                <w:szCs w:val="22"/>
                <w:lang w:val="en-US" w:eastAsia="zh-CN"/>
              </w:rPr>
            </w:pPr>
            <w:r>
              <w:rPr>
                <w:rFonts w:hint="eastAsia" w:cs="宋体"/>
                <w:color w:val="auto"/>
                <w:kern w:val="2"/>
                <w:szCs w:val="22"/>
                <w:lang w:val="en-US" w:eastAsia="zh-CN"/>
              </w:rPr>
              <w:t>账号：611301053018010099844</w:t>
            </w:r>
          </w:p>
          <w:p>
            <w:pPr>
              <w:pStyle w:val="25"/>
              <w:jc w:val="left"/>
              <w:rPr>
                <w:rFonts w:hint="eastAsia" w:cs="宋体"/>
                <w:b/>
                <w:bCs/>
                <w:color w:val="auto"/>
                <w:kern w:val="2"/>
                <w:szCs w:val="22"/>
                <w:lang w:val="en-US" w:eastAsia="zh-CN"/>
              </w:rPr>
            </w:pPr>
            <w:r>
              <w:rPr>
                <w:rFonts w:hint="eastAsia" w:cs="宋体"/>
                <w:color w:val="auto"/>
                <w:kern w:val="2"/>
                <w:szCs w:val="22"/>
                <w:lang w:val="en-US" w:eastAsia="zh-CN"/>
              </w:rPr>
              <w:t>请各供应商按照要求将保证金转入以上指定账户，如因自身原因发生错误，产生的不利后果均由供应商自行承担。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20" w:type="dxa"/>
            <w:noWrap w:val="0"/>
            <w:vAlign w:val="center"/>
          </w:tcPr>
          <w:p>
            <w:pPr>
              <w:pStyle w:val="25"/>
              <w:rPr>
                <w:rFonts w:hint="default" w:cs="宋体"/>
                <w:color w:val="auto"/>
                <w:kern w:val="2"/>
                <w:szCs w:val="22"/>
                <w:lang w:val="en-US" w:eastAsia="zh-CN"/>
              </w:rPr>
            </w:pPr>
            <w:r>
              <w:rPr>
                <w:rFonts w:hint="eastAsia" w:cs="宋体"/>
                <w:color w:val="auto"/>
                <w:kern w:val="2"/>
                <w:szCs w:val="22"/>
                <w:lang w:val="en-US" w:eastAsia="zh-CN"/>
              </w:rPr>
              <w:t>37</w:t>
            </w:r>
          </w:p>
        </w:tc>
        <w:tc>
          <w:tcPr>
            <w:tcW w:w="2005" w:type="dxa"/>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一致性</w:t>
            </w:r>
          </w:p>
        </w:tc>
        <w:tc>
          <w:tcPr>
            <w:tcW w:w="7173" w:type="dxa"/>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供应商须知前附表和供应商须知不一致的地方，以供应商须知前附表为准。</w:t>
            </w:r>
          </w:p>
        </w:tc>
      </w:tr>
    </w:tbl>
    <w:p>
      <w:pPr>
        <w:rPr>
          <w:rFonts w:hint="eastAsia" w:ascii="宋体" w:hAnsi="宋体" w:cs="宋体"/>
          <w:color w:val="auto"/>
        </w:rPr>
      </w:pPr>
    </w:p>
    <w:p>
      <w:pPr>
        <w:pStyle w:val="5"/>
        <w:rPr>
          <w:rFonts w:hint="eastAsia" w:ascii="宋体" w:hAnsi="宋体" w:cs="宋体"/>
          <w:color w:val="auto"/>
        </w:rPr>
      </w:pPr>
      <w:r>
        <w:rPr>
          <w:rFonts w:hint="eastAsia" w:ascii="宋体" w:hAnsi="宋体" w:cs="宋体"/>
          <w:color w:val="auto"/>
        </w:rPr>
        <w:t>一.总  则</w:t>
      </w:r>
      <w:bookmarkEnd w:id="25"/>
      <w:bookmarkEnd w:id="26"/>
      <w:bookmarkEnd w:id="27"/>
      <w:bookmarkEnd w:id="28"/>
      <w:bookmarkEnd w:id="29"/>
      <w:bookmarkEnd w:id="30"/>
    </w:p>
    <w:p>
      <w:pPr>
        <w:adjustRightInd w:val="0"/>
        <w:snapToGrid w:val="0"/>
        <w:spacing w:line="360" w:lineRule="auto"/>
        <w:outlineLvl w:val="2"/>
        <w:rPr>
          <w:rFonts w:hint="eastAsia" w:ascii="宋体" w:hAnsi="宋体" w:cs="宋体"/>
          <w:b/>
          <w:color w:val="auto"/>
          <w:sz w:val="24"/>
          <w:szCs w:val="24"/>
        </w:rPr>
      </w:pPr>
      <w:bookmarkStart w:id="31" w:name="_Toc10621"/>
      <w:r>
        <w:rPr>
          <w:rFonts w:hint="eastAsia" w:ascii="宋体" w:hAnsi="宋体" w:cs="宋体"/>
          <w:b/>
          <w:color w:val="auto"/>
          <w:sz w:val="24"/>
          <w:szCs w:val="24"/>
        </w:rPr>
        <w:t>1.资金来源</w:t>
      </w:r>
      <w:bookmarkEnd w:id="31"/>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1.1本次招标采购所签合同使用</w:t>
      </w: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支付，资金已落实到位。</w:t>
      </w:r>
    </w:p>
    <w:p>
      <w:pPr>
        <w:adjustRightInd w:val="0"/>
        <w:snapToGrid w:val="0"/>
        <w:spacing w:line="360" w:lineRule="auto"/>
        <w:outlineLvl w:val="2"/>
        <w:rPr>
          <w:rFonts w:hint="eastAsia" w:ascii="宋体" w:hAnsi="宋体" w:cs="宋体"/>
          <w:b/>
          <w:color w:val="auto"/>
          <w:sz w:val="24"/>
          <w:szCs w:val="24"/>
        </w:rPr>
      </w:pPr>
      <w:bookmarkStart w:id="32" w:name="_Toc2512"/>
      <w:bookmarkStart w:id="33" w:name="_Toc403077640"/>
      <w:bookmarkStart w:id="34" w:name="_Toc363474018"/>
      <w:bookmarkStart w:id="35" w:name="_Toc363473973"/>
      <w:r>
        <w:rPr>
          <w:rFonts w:hint="eastAsia" w:ascii="宋体" w:hAnsi="宋体" w:cs="宋体"/>
          <w:b/>
          <w:color w:val="auto"/>
          <w:sz w:val="24"/>
          <w:szCs w:val="24"/>
        </w:rPr>
        <w:t>2.名词解释</w:t>
      </w:r>
      <w:bookmarkEnd w:id="32"/>
    </w:p>
    <w:p>
      <w:pPr>
        <w:pStyle w:val="2"/>
        <w:ind w:firstLine="480"/>
        <w:rPr>
          <w:rFonts w:hint="eastAsia"/>
          <w:color w:val="auto"/>
        </w:rPr>
      </w:pPr>
      <w:r>
        <w:rPr>
          <w:rFonts w:hint="eastAsia"/>
          <w:color w:val="auto"/>
        </w:rPr>
        <w:t>2.1采购人：见供应商须知前附表</w:t>
      </w:r>
    </w:p>
    <w:p>
      <w:pPr>
        <w:pStyle w:val="2"/>
        <w:ind w:firstLine="480"/>
        <w:rPr>
          <w:rFonts w:hint="eastAsia"/>
          <w:color w:val="auto"/>
        </w:rPr>
      </w:pPr>
      <w:r>
        <w:rPr>
          <w:rFonts w:hint="eastAsia"/>
          <w:color w:val="auto"/>
        </w:rPr>
        <w:t>2.2采购代理机构：见供应商须知前附表</w:t>
      </w:r>
    </w:p>
    <w:p>
      <w:pPr>
        <w:pStyle w:val="2"/>
        <w:ind w:firstLine="480"/>
        <w:rPr>
          <w:rFonts w:hint="eastAsia"/>
          <w:color w:val="auto"/>
        </w:rPr>
      </w:pPr>
      <w:r>
        <w:rPr>
          <w:rFonts w:hint="eastAsia"/>
          <w:color w:val="auto"/>
        </w:rPr>
        <w:t>2.3监督机构：见供应商须知前附表</w:t>
      </w:r>
    </w:p>
    <w:p>
      <w:pPr>
        <w:pStyle w:val="2"/>
        <w:ind w:firstLine="480"/>
        <w:rPr>
          <w:rFonts w:hint="eastAsia"/>
          <w:color w:val="auto"/>
        </w:rPr>
      </w:pPr>
      <w:r>
        <w:rPr>
          <w:rFonts w:hint="eastAsia"/>
          <w:color w:val="auto"/>
        </w:rPr>
        <w:t>2.4供应商：是指参与本项目磋商响应且符合竞争性磋商文件规定资格条件的法人、其他组织或者自然人。</w:t>
      </w:r>
    </w:p>
    <w:p>
      <w:pPr>
        <w:pStyle w:val="2"/>
        <w:ind w:firstLine="480"/>
        <w:rPr>
          <w:rFonts w:hint="eastAsia"/>
          <w:color w:val="auto"/>
        </w:rPr>
      </w:pPr>
      <w:r>
        <w:rPr>
          <w:rFonts w:hint="eastAsia"/>
          <w:color w:val="auto"/>
        </w:rPr>
        <w:t>2.5产品：本《磋商文件》第三章所述所有产品。</w:t>
      </w:r>
    </w:p>
    <w:p>
      <w:pPr>
        <w:pStyle w:val="2"/>
        <w:ind w:firstLine="480"/>
        <w:rPr>
          <w:rFonts w:hint="eastAsia"/>
          <w:color w:val="auto"/>
        </w:rPr>
      </w:pPr>
      <w:r>
        <w:rPr>
          <w:rFonts w:hint="eastAsia"/>
          <w:color w:val="auto"/>
        </w:rPr>
        <w:t>2.6服务：供应商为满足磋商文件要求而提供的服务。</w:t>
      </w:r>
    </w:p>
    <w:p>
      <w:pPr>
        <w:pStyle w:val="2"/>
        <w:ind w:firstLine="480"/>
        <w:rPr>
          <w:rFonts w:hint="eastAsia"/>
          <w:color w:val="auto"/>
        </w:rPr>
      </w:pPr>
      <w:r>
        <w:rPr>
          <w:rFonts w:hint="eastAsia"/>
          <w:color w:val="auto"/>
        </w:rPr>
        <w:t>2.7节能产品或者环保产品：依据国家确定的认证机构出具的、处于有效期之内。</w:t>
      </w:r>
    </w:p>
    <w:p>
      <w:pPr>
        <w:pStyle w:val="2"/>
        <w:ind w:firstLine="480"/>
        <w:rPr>
          <w:rFonts w:hint="eastAsia"/>
          <w:color w:val="auto"/>
        </w:rPr>
      </w:pPr>
      <w:r>
        <w:rPr>
          <w:rFonts w:hint="eastAsia"/>
          <w:color w:val="auto"/>
        </w:rPr>
        <w:t>2.8进口产品：通过中国海关报关验放进入中国境内且产自关境外的产品，详见《关于政府采购进口产品管理有关问题的通知》(财库[2007]119号)。</w:t>
      </w:r>
    </w:p>
    <w:p>
      <w:pPr>
        <w:pStyle w:val="2"/>
        <w:ind w:firstLine="480"/>
        <w:rPr>
          <w:rFonts w:hint="eastAsia"/>
          <w:color w:val="auto"/>
        </w:rPr>
      </w:pPr>
      <w:r>
        <w:rPr>
          <w:rFonts w:hint="eastAsia"/>
          <w:color w:val="auto"/>
        </w:rPr>
        <w:t>2.9中小企业：符合《政府采购促进中小企业发展管理办法》(财库(2020)46号)规定的对中小企业的划分标准的企业。</w:t>
      </w:r>
    </w:p>
    <w:p>
      <w:pPr>
        <w:pStyle w:val="2"/>
        <w:ind w:firstLine="480"/>
        <w:rPr>
          <w:rFonts w:hint="eastAsia"/>
          <w:color w:val="auto"/>
        </w:rPr>
      </w:pPr>
      <w:r>
        <w:rPr>
          <w:rFonts w:hint="eastAsia"/>
          <w:color w:val="auto"/>
        </w:rPr>
        <w:t>2.10监狱企业：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ind w:firstLine="480"/>
        <w:rPr>
          <w:rFonts w:hint="eastAsia"/>
          <w:color w:val="auto"/>
        </w:rPr>
      </w:pPr>
      <w:r>
        <w:rPr>
          <w:rFonts w:hint="eastAsia"/>
          <w:color w:val="auto"/>
        </w:rPr>
        <w:t>2.11残疾人福利性单位：符合《三部门联合发布关于促进残疾人就业政府采购政策的通知》财库〔2017〕141号规定的对残疾人福利性单位划分标准的单位。</w:t>
      </w:r>
    </w:p>
    <w:p>
      <w:pPr>
        <w:adjustRightInd w:val="0"/>
        <w:snapToGrid w:val="0"/>
        <w:spacing w:line="360" w:lineRule="auto"/>
        <w:outlineLvl w:val="2"/>
        <w:rPr>
          <w:rFonts w:hint="eastAsia" w:ascii="宋体" w:hAnsi="宋体" w:cs="宋体"/>
          <w:b/>
          <w:color w:val="auto"/>
          <w:sz w:val="24"/>
          <w:szCs w:val="24"/>
        </w:rPr>
      </w:pPr>
      <w:bookmarkStart w:id="36" w:name="_Toc21730"/>
      <w:r>
        <w:rPr>
          <w:rFonts w:hint="eastAsia" w:ascii="宋体" w:hAnsi="宋体" w:cs="宋体"/>
          <w:b/>
          <w:color w:val="auto"/>
          <w:sz w:val="24"/>
          <w:szCs w:val="24"/>
        </w:rPr>
        <w:t>3.合格的供应商</w:t>
      </w:r>
      <w:bookmarkEnd w:id="36"/>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3.1具备且满足“竞争性磋商公告”要求的。</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3.2单位负责人为同一人或者存在直接控股、管理关系的不同供应商，不得参加本项目同一合同项下的磋商响应。如果供应商在磋商响应中隐瞒了上述关系，则该磋商响应无效。</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3.3为本采购项目提供整体设计、规范编制或者项目管理、监理、检测等服务的供应商，不得再参加本采购项目的磋商响应。如果供应商在磋商响应中隐瞒了上述事实，则该磋商响应无效。</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3.4因违法经营受到刑事处罚或者责令停产停业、吊销许可证或者执照、较大数额罚款等行政处罚，或者存在财政部门认定的其他重大违法记录，以及在财政部门禁止参加政府采购活动期限以内的，不得参加该采购项目。</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3.5供应商必须在陕西正鸿招标有限公司购买竞争性磋商文件，方可参加磋商响应。竞争性磋商文件售后不退。</w:t>
      </w:r>
    </w:p>
    <w:p>
      <w:pPr>
        <w:adjustRightInd w:val="0"/>
        <w:snapToGrid w:val="0"/>
        <w:spacing w:line="360" w:lineRule="auto"/>
        <w:ind w:firstLine="480" w:firstLineChars="200"/>
        <w:rPr>
          <w:rFonts w:hint="eastAsia" w:ascii="宋体" w:hAnsi="宋体" w:cs="宋体"/>
          <w:color w:val="auto"/>
          <w:sz w:val="24"/>
          <w:szCs w:val="24"/>
        </w:rPr>
      </w:pPr>
      <w:bookmarkStart w:id="37" w:name="OLE_LINK33"/>
      <w:r>
        <w:rPr>
          <w:rFonts w:hint="eastAsia" w:ascii="宋体" w:hAnsi="宋体" w:cs="宋体"/>
          <w:color w:val="auto"/>
          <w:sz w:val="24"/>
          <w:szCs w:val="24"/>
        </w:rPr>
        <w:t>3.</w:t>
      </w:r>
      <w:bookmarkEnd w:id="37"/>
      <w:r>
        <w:rPr>
          <w:rFonts w:hint="eastAsia" w:ascii="宋体" w:hAnsi="宋体" w:cs="宋体"/>
          <w:color w:val="auto"/>
          <w:sz w:val="24"/>
          <w:szCs w:val="24"/>
        </w:rPr>
        <w:t>6本项目不接受联合体参与磋商响应。</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3.7遵守国家、陕西省和有关的法律、法规和规范性文件要求；</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3.8竞争性磋商文件和法律、行政法规规定的其他条件。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3.9磋商响应费用自理。不论磋商响应的结果如何，供应商均应自行承担所有与参加磋商响应有关的费用。</w:t>
      </w:r>
    </w:p>
    <w:p>
      <w:pPr>
        <w:tabs>
          <w:tab w:val="left" w:pos="747"/>
        </w:tabs>
        <w:adjustRightInd w:val="0"/>
        <w:snapToGrid w:val="0"/>
        <w:spacing w:line="360" w:lineRule="auto"/>
        <w:outlineLvl w:val="2"/>
        <w:rPr>
          <w:rFonts w:hint="eastAsia" w:ascii="宋体" w:hAnsi="宋体" w:cs="宋体"/>
          <w:b/>
          <w:bCs/>
          <w:color w:val="auto"/>
          <w:sz w:val="24"/>
          <w:szCs w:val="24"/>
        </w:rPr>
      </w:pPr>
      <w:bookmarkStart w:id="38" w:name="_Toc321"/>
      <w:r>
        <w:rPr>
          <w:rFonts w:hint="eastAsia" w:ascii="宋体" w:hAnsi="宋体" w:cs="宋体"/>
          <w:b/>
          <w:bCs/>
          <w:color w:val="auto"/>
          <w:sz w:val="24"/>
          <w:szCs w:val="24"/>
        </w:rPr>
        <w:t>4.合格的产品和服务</w:t>
      </w:r>
      <w:bookmarkEnd w:id="38"/>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4.1供应商提供的所有产品和服务，必须是合法生产、合法来源（提供产品来源渠道合法的证明文件：包括但不限于销售协议、代理协议、原厂授权等），符合国家有关标准要求，并满足磋商文件规定的规格、参数、质量、价格、有效期、售后服务及供应商须承担的运输、安装、技术支持、培训和磋商文件规定的其它伴随服务等要求。</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4.2采购人有权拒绝接受任何不合格的产品和服务，由此产生的费用及相关后果均由供应商自行承担。</w:t>
      </w:r>
    </w:p>
    <w:p>
      <w:pPr>
        <w:pStyle w:val="10"/>
        <w:adjustRightInd w:val="0"/>
        <w:snapToGrid w:val="0"/>
        <w:spacing w:line="360" w:lineRule="auto"/>
        <w:outlineLvl w:val="2"/>
        <w:rPr>
          <w:rFonts w:hint="eastAsia" w:ascii="宋体" w:hAnsi="宋体" w:cs="宋体"/>
          <w:bCs/>
          <w:color w:val="auto"/>
          <w:sz w:val="24"/>
          <w:szCs w:val="24"/>
        </w:rPr>
      </w:pPr>
      <w:bookmarkStart w:id="39" w:name="_Toc7760"/>
      <w:r>
        <w:rPr>
          <w:rFonts w:hint="eastAsia" w:ascii="宋体" w:hAnsi="宋体" w:cs="宋体"/>
          <w:bCs/>
          <w:color w:val="auto"/>
          <w:sz w:val="24"/>
          <w:szCs w:val="24"/>
        </w:rPr>
        <w:t>5.供应商信用记录查询及使用</w:t>
      </w:r>
      <w:bookmarkEnd w:id="39"/>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5.1“信用中国”网站（www.creditchina.gov.cn）和“中国政府采购网”（ccgp.gov.cn）为供应商信用信息查询渠道，如果供应商被查实在磋商响应截止时间前已列入失信被执行人、重大税收违法案件当事人名单、政府采购严重违法失信行为记录名单，其磋商响应为无效。采购代理机构将打印查询记录作为证据留存。</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5.2供应商在参加政府采购活动前3年内因违法经营被禁止在一定期限内参加政府采购活动，期限届满的，可以参加采购活动的，但供应商应提供相关证明材料。</w:t>
      </w:r>
    </w:p>
    <w:p>
      <w:pPr>
        <w:adjustRightInd w:val="0"/>
        <w:snapToGrid w:val="0"/>
        <w:spacing w:line="360" w:lineRule="auto"/>
        <w:outlineLvl w:val="2"/>
        <w:rPr>
          <w:rFonts w:hint="eastAsia" w:ascii="宋体" w:hAnsi="宋体" w:cs="宋体"/>
          <w:b/>
          <w:color w:val="auto"/>
          <w:sz w:val="24"/>
          <w:szCs w:val="24"/>
        </w:rPr>
      </w:pPr>
      <w:bookmarkStart w:id="40" w:name="_Toc16330"/>
      <w:r>
        <w:rPr>
          <w:rFonts w:hint="eastAsia" w:ascii="宋体" w:hAnsi="宋体" w:cs="宋体"/>
          <w:b/>
          <w:color w:val="auto"/>
          <w:sz w:val="24"/>
          <w:szCs w:val="24"/>
        </w:rPr>
        <w:t>6.响应文件内容的真实性</w:t>
      </w:r>
      <w:bookmarkEnd w:id="40"/>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6.1供应商应保证其响应文件中所提供的所有有关磋商响应的资料、信息是真实的、并且来源于合法的渠道。因响应文件中所提供的有关磋商响应的资料、信息不真实、或者其来源不合法而导致的所有法律责任，由供应商自行承担。</w:t>
      </w:r>
    </w:p>
    <w:p>
      <w:pPr>
        <w:pStyle w:val="5"/>
        <w:rPr>
          <w:rFonts w:hint="eastAsia" w:ascii="宋体" w:hAnsi="宋体" w:cs="宋体"/>
          <w:color w:val="auto"/>
        </w:rPr>
      </w:pPr>
      <w:bookmarkStart w:id="41" w:name="_Toc5084"/>
      <w:bookmarkStart w:id="42" w:name="_Toc3335"/>
      <w:bookmarkStart w:id="43" w:name="_Toc8327"/>
      <w:r>
        <w:rPr>
          <w:rFonts w:hint="eastAsia" w:ascii="宋体" w:hAnsi="宋体" w:cs="宋体"/>
          <w:color w:val="auto"/>
        </w:rPr>
        <w:t>二.</w:t>
      </w:r>
      <w:bookmarkEnd w:id="33"/>
      <w:bookmarkEnd w:id="34"/>
      <w:bookmarkEnd w:id="35"/>
      <w:bookmarkEnd w:id="41"/>
      <w:bookmarkEnd w:id="42"/>
      <w:bookmarkEnd w:id="43"/>
      <w:r>
        <w:rPr>
          <w:rFonts w:hint="eastAsia" w:ascii="宋体" w:hAnsi="宋体" w:cs="宋体"/>
          <w:color w:val="auto"/>
        </w:rPr>
        <w:t>竞争性磋商文件</w:t>
      </w:r>
    </w:p>
    <w:p>
      <w:pPr>
        <w:adjustRightInd w:val="0"/>
        <w:snapToGrid w:val="0"/>
        <w:spacing w:line="360" w:lineRule="auto"/>
        <w:outlineLvl w:val="2"/>
        <w:rPr>
          <w:rFonts w:hint="eastAsia" w:ascii="宋体" w:hAnsi="宋体" w:cs="宋体"/>
          <w:b/>
          <w:color w:val="auto"/>
          <w:sz w:val="24"/>
          <w:szCs w:val="24"/>
        </w:rPr>
      </w:pPr>
      <w:bookmarkStart w:id="44" w:name="_Toc18137"/>
      <w:r>
        <w:rPr>
          <w:rFonts w:hint="eastAsia" w:ascii="宋体" w:hAnsi="宋体" w:cs="宋体"/>
          <w:b/>
          <w:color w:val="auto"/>
          <w:sz w:val="24"/>
          <w:szCs w:val="24"/>
        </w:rPr>
        <w:t>7.竞争性磋商文件构成</w:t>
      </w:r>
      <w:bookmarkEnd w:id="44"/>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7.1 竞争性磋商文件规定了要求提供的服务，招标程序和合同条件在竞争性磋商文件中均有说明。竞争性磋商文件共五部分，内容如下：</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第一章 竞争性磋商公告</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第二章 供应商须知</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第三章 采购内容及要求    </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第四章 合同主要条款</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第五章 竞争性磋商响应文件格式</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7.2 除7.1内容外，采购人以书面形式发出的对竞争性磋商文件的澄清或补充、修改内容，均为竞争性磋商文件的组成部分，对采购人和供应商起约束作用。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7.3磋商小组根据与供应商磋商情况可能实质性变动的内容，包括采购需求中的技术、服务要求以及合同草案条款，对磋商文件作出的实质性变动是磋商文件的有效组成部分。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7.4供应商应认真阅读竞争性磋商文件中所有的事项、格式、条款和规范等要求。如果供应商没有按照竞争性磋商文件要求提交全部资料，或者响应文件没有对竞争性磋商文件在各方面都做出实质性响应，由此带来不利于供应商的评标结果，其风险由供应商承担。</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7.5 项目废标后重新组织招标的，采购代理机构将重新编制、发布新版竞争性磋商文件，供应商应按新版竞争性磋商文件重新编制响应文件。原竞争性磋商文件及响应文件失效。</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7.6 本竞争性磋商文件的解释权归陕西正鸿招标有限公司，如发现响应文件内容与现行法律法规不相符的情况，以现行法律法规为准。</w:t>
      </w:r>
    </w:p>
    <w:p>
      <w:pPr>
        <w:adjustRightInd w:val="0"/>
        <w:snapToGrid w:val="0"/>
        <w:spacing w:line="360" w:lineRule="auto"/>
        <w:outlineLvl w:val="2"/>
        <w:rPr>
          <w:rFonts w:hint="eastAsia" w:ascii="宋体" w:hAnsi="宋体" w:cs="宋体"/>
          <w:b/>
          <w:color w:val="auto"/>
          <w:sz w:val="24"/>
          <w:szCs w:val="24"/>
        </w:rPr>
      </w:pPr>
      <w:bookmarkStart w:id="45" w:name="_Toc22067"/>
      <w:r>
        <w:rPr>
          <w:rFonts w:hint="eastAsia" w:ascii="宋体" w:hAnsi="宋体" w:cs="宋体"/>
          <w:b/>
          <w:color w:val="auto"/>
          <w:sz w:val="24"/>
          <w:szCs w:val="24"/>
        </w:rPr>
        <w:t>8.竞争性磋商文件的修改和澄清</w:t>
      </w:r>
      <w:bookmarkEnd w:id="45"/>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8.1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8.2已经购买竞争性磋商文件的供应商对竞争性磋商文件有疑问的，均应在磋商截止日期3日前以书面形式向采购代理机构提出。采购代理机构视情况必要时将书面答复传送给所有获取竞争性磋商文件的供应商。询问内容超出采购人对采购代理机构委托授权范围的，供应商应当向采购人提出。</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8.3供应商在收到上述通知后，应立即向采购代理机构回函确认。</w:t>
      </w:r>
    </w:p>
    <w:p>
      <w:pPr>
        <w:pStyle w:val="5"/>
        <w:rPr>
          <w:rFonts w:hint="eastAsia" w:ascii="宋体" w:hAnsi="宋体" w:cs="宋体"/>
          <w:color w:val="auto"/>
        </w:rPr>
      </w:pPr>
      <w:bookmarkStart w:id="46" w:name="_Toc31290"/>
      <w:bookmarkStart w:id="47" w:name="_Toc363474019"/>
      <w:bookmarkStart w:id="48" w:name="_Toc363473974"/>
      <w:bookmarkStart w:id="49" w:name="_Toc9560"/>
      <w:bookmarkStart w:id="50" w:name="_Toc403077641"/>
      <w:bookmarkStart w:id="51" w:name="_Toc19809"/>
      <w:r>
        <w:rPr>
          <w:rFonts w:hint="eastAsia" w:ascii="宋体" w:hAnsi="宋体" w:cs="宋体"/>
          <w:color w:val="auto"/>
        </w:rPr>
        <w:t>三.</w:t>
      </w:r>
      <w:bookmarkEnd w:id="46"/>
      <w:bookmarkEnd w:id="47"/>
      <w:bookmarkEnd w:id="48"/>
      <w:bookmarkEnd w:id="49"/>
      <w:bookmarkEnd w:id="50"/>
      <w:bookmarkEnd w:id="51"/>
      <w:r>
        <w:rPr>
          <w:rFonts w:hint="eastAsia" w:ascii="宋体" w:hAnsi="宋体" w:cs="宋体"/>
          <w:color w:val="auto"/>
        </w:rPr>
        <w:t>响应文件</w:t>
      </w:r>
    </w:p>
    <w:p>
      <w:pPr>
        <w:adjustRightInd w:val="0"/>
        <w:snapToGrid w:val="0"/>
        <w:spacing w:line="360" w:lineRule="auto"/>
        <w:outlineLvl w:val="2"/>
        <w:rPr>
          <w:rFonts w:hint="eastAsia" w:ascii="宋体" w:hAnsi="宋体" w:cs="宋体"/>
          <w:b/>
          <w:color w:val="auto"/>
          <w:sz w:val="24"/>
          <w:szCs w:val="24"/>
        </w:rPr>
      </w:pPr>
      <w:bookmarkStart w:id="52" w:name="_Toc23959"/>
      <w:r>
        <w:rPr>
          <w:rFonts w:hint="eastAsia" w:ascii="宋体" w:hAnsi="宋体" w:cs="宋体"/>
          <w:b/>
          <w:color w:val="auto"/>
          <w:sz w:val="24"/>
          <w:szCs w:val="24"/>
        </w:rPr>
        <w:t>9. 磋商响应语言</w:t>
      </w:r>
      <w:bookmarkEnd w:id="52"/>
      <w:r>
        <w:rPr>
          <w:rFonts w:hint="eastAsia" w:ascii="宋体" w:hAnsi="宋体" w:cs="宋体"/>
          <w:b/>
          <w:color w:val="auto"/>
          <w:sz w:val="24"/>
          <w:szCs w:val="24"/>
        </w:rPr>
        <w:t>和计量单位</w:t>
      </w:r>
    </w:p>
    <w:p>
      <w:pPr>
        <w:adjustRightInd w:val="0"/>
        <w:snapToGrid w:val="0"/>
        <w:spacing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rPr>
        <w:t>9.1供应商提交的响应文件以及供应商与采购代理机构就有关磋商响应的所有来往函电均应使用中文。对不同文字文本响应文件（包括证明材料、彩页、说明书等）的解释发生异议的，以中文文本为准。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9.2除技术要求另有规定外，本文件所要求使用的计量单位均采用国家法定的度、量、衡标准单位计量。未列明时亦默认为我国法定计量单位。</w:t>
      </w:r>
    </w:p>
    <w:p>
      <w:pPr>
        <w:adjustRightInd w:val="0"/>
        <w:snapToGrid w:val="0"/>
        <w:spacing w:line="360" w:lineRule="auto"/>
        <w:outlineLvl w:val="2"/>
        <w:rPr>
          <w:rFonts w:hint="eastAsia" w:ascii="宋体" w:hAnsi="宋体" w:cs="宋体"/>
          <w:b/>
          <w:color w:val="auto"/>
          <w:sz w:val="24"/>
          <w:szCs w:val="24"/>
        </w:rPr>
      </w:pPr>
      <w:bookmarkStart w:id="53" w:name="_Toc23398"/>
      <w:r>
        <w:rPr>
          <w:rFonts w:hint="eastAsia" w:ascii="宋体" w:hAnsi="宋体" w:cs="宋体"/>
          <w:b/>
          <w:color w:val="auto"/>
          <w:sz w:val="24"/>
          <w:szCs w:val="24"/>
        </w:rPr>
        <w:t>10.响应文件的构成</w:t>
      </w:r>
      <w:bookmarkEnd w:id="53"/>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10.1 供应商应仔细阅读竞争性磋商文件的所有内容，按照竞争性磋商文件第五章“竞争性磋商响应文件格式”要求编制响应文件，并保证所提供的全部资料的真实性，对竞争性磋商文件提出的要求和条件作出明确的实质性响应。内容不限于（但应包括）竞争性磋商响应文件格式中所涉及的内容。</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10.2 如果在竞争性磋商文件中没有允许提供备选方案，则每个供应商只允许提交一个磋商响应方案，否则，其磋商响应将按照无效磋商响应处理。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10.3本次磋商响应的最小单元：见供应商须知前附表，供应商可根据自身的资质情况和经营范围对本次项目进行磋商响应，不得将其子目再行分解或只对本次项目中的品目进行不完全磋商响应，任何不完全的磋商响应将会被拒绝。</w:t>
      </w:r>
    </w:p>
    <w:p>
      <w:pPr>
        <w:adjustRightInd w:val="0"/>
        <w:snapToGrid w:val="0"/>
        <w:spacing w:line="360" w:lineRule="auto"/>
        <w:outlineLvl w:val="2"/>
        <w:rPr>
          <w:rFonts w:hint="eastAsia" w:ascii="宋体" w:hAnsi="宋体" w:cs="宋体"/>
          <w:b/>
          <w:color w:val="auto"/>
          <w:sz w:val="24"/>
          <w:szCs w:val="24"/>
        </w:rPr>
      </w:pPr>
      <w:bookmarkStart w:id="54" w:name="_Toc26522"/>
      <w:r>
        <w:rPr>
          <w:rFonts w:hint="eastAsia" w:ascii="宋体" w:hAnsi="宋体" w:cs="宋体"/>
          <w:b/>
          <w:color w:val="auto"/>
          <w:sz w:val="24"/>
          <w:szCs w:val="24"/>
        </w:rPr>
        <w:t>11.</w:t>
      </w:r>
      <w:bookmarkEnd w:id="54"/>
      <w:r>
        <w:rPr>
          <w:rFonts w:hint="eastAsia" w:ascii="宋体" w:hAnsi="宋体" w:cs="宋体"/>
          <w:b/>
          <w:color w:val="auto"/>
          <w:sz w:val="24"/>
          <w:szCs w:val="24"/>
        </w:rPr>
        <w:t xml:space="preserve">竞争性磋商响应文件格式 </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11.1 供应商应按照竞争性磋商文件中第五章“竞争性磋商响应文件格式”所提供的格式和要求制作响应文件，明确表达磋商响应意愿，详细说明磋商响应方案、承诺及价格。</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11.2供应商应完整地提供竞争性磋商文件要求的所有数据和资料。</w:t>
      </w:r>
    </w:p>
    <w:p>
      <w:pPr>
        <w:adjustRightInd w:val="0"/>
        <w:snapToGrid w:val="0"/>
        <w:spacing w:line="360" w:lineRule="auto"/>
        <w:outlineLvl w:val="2"/>
        <w:rPr>
          <w:rFonts w:hint="eastAsia" w:ascii="宋体" w:hAnsi="宋体" w:cs="宋体"/>
          <w:b/>
          <w:color w:val="auto"/>
          <w:sz w:val="24"/>
          <w:szCs w:val="24"/>
        </w:rPr>
      </w:pPr>
      <w:bookmarkStart w:id="55" w:name="_Toc16200"/>
      <w:r>
        <w:rPr>
          <w:rFonts w:hint="eastAsia" w:ascii="宋体" w:hAnsi="宋体" w:cs="宋体"/>
          <w:b/>
          <w:color w:val="auto"/>
          <w:sz w:val="24"/>
          <w:szCs w:val="24"/>
        </w:rPr>
        <w:t>12.</w:t>
      </w:r>
      <w:bookmarkEnd w:id="55"/>
      <w:r>
        <w:rPr>
          <w:rFonts w:hint="eastAsia" w:ascii="宋体" w:hAnsi="宋体" w:cs="宋体"/>
          <w:b/>
          <w:color w:val="auto"/>
          <w:sz w:val="24"/>
          <w:szCs w:val="24"/>
        </w:rPr>
        <w:t>磋商响应报价</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12.1磋商响应价格以人民币为计量币种，单位为元。任何包含非人民币的报价，按无效报价处理。</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12.2磋商响应报价：见供应商须知前附表。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12.3任何有选择的报价将不予接受，按无效磋商响应处理。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12.4供应商报价超过采购预算，采购人不能支付的，按无效磋商响应处理。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12.5供应商的报价明显低于其他通过符合性审查供应商的报价，有可能影响服务质量或者不能诚信履约的，应当要求其在评标现场合理的时间内提供书面说明，并提供相应的证明材料；</w:t>
      </w:r>
    </w:p>
    <w:p>
      <w:pPr>
        <w:adjustRightInd w:val="0"/>
        <w:snapToGrid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12.6 最低报价不是成交的唯一依据。</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12.7凡因供应商对竞争性磋商文件阅读不深、理解不透、误解、疏漏、或因市场行情了解不清造成的后果和风险均由供应商自负。供应商应充分考虑竞争性磋商文件的各项条款要求，结合本项目实际情况进行自主报价。</w:t>
      </w:r>
    </w:p>
    <w:p>
      <w:pPr>
        <w:adjustRightInd w:val="0"/>
        <w:snapToGrid w:val="0"/>
        <w:spacing w:line="360" w:lineRule="auto"/>
        <w:outlineLvl w:val="2"/>
        <w:rPr>
          <w:rFonts w:hint="eastAsia" w:ascii="宋体" w:hAnsi="宋体" w:cs="宋体"/>
          <w:b/>
          <w:color w:val="auto"/>
          <w:sz w:val="24"/>
          <w:szCs w:val="24"/>
        </w:rPr>
      </w:pPr>
      <w:bookmarkStart w:id="56" w:name="_Toc23500"/>
      <w:r>
        <w:rPr>
          <w:rFonts w:hint="eastAsia" w:ascii="宋体" w:hAnsi="宋体" w:cs="宋体"/>
          <w:b/>
          <w:color w:val="auto"/>
          <w:sz w:val="24"/>
          <w:szCs w:val="24"/>
        </w:rPr>
        <w:t>13.证明供应商合格的资格证明文件</w:t>
      </w:r>
      <w:bookmarkEnd w:id="56"/>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13.1供应商应按照竞争性磋商文件供应商须知前附表的要求，在响应文件中提交合格的资格证明文件。如果资格证明文件不全或不合格的，其响应文件将被作无效文件处理。</w:t>
      </w:r>
    </w:p>
    <w:p>
      <w:pPr>
        <w:adjustRightInd w:val="0"/>
        <w:snapToGrid w:val="0"/>
        <w:spacing w:line="360" w:lineRule="auto"/>
        <w:outlineLvl w:val="2"/>
        <w:rPr>
          <w:rFonts w:hint="eastAsia" w:ascii="宋体" w:hAnsi="宋体" w:cs="宋体"/>
          <w:b/>
          <w:color w:val="auto"/>
          <w:sz w:val="24"/>
          <w:szCs w:val="24"/>
        </w:rPr>
      </w:pPr>
      <w:bookmarkStart w:id="57" w:name="_Toc4677"/>
      <w:r>
        <w:rPr>
          <w:rFonts w:hint="eastAsia" w:ascii="宋体" w:hAnsi="宋体" w:cs="宋体"/>
          <w:b/>
          <w:color w:val="auto"/>
          <w:sz w:val="24"/>
          <w:szCs w:val="24"/>
        </w:rPr>
        <w:t>14.证明产品符合竞争性磋商文件规定的文件</w:t>
      </w:r>
      <w:bookmarkEnd w:id="57"/>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14.1供应商应在响应文件中提交产品和服务满足竞争性磋商文件要求并符合国家法律法规、行业管理部门要求的其他强制性标准的证明文件。缺少证明文件或证明文件不合格的响应文件，与竞争性磋商文件要求有重大偏离的响应文件，不符合国家法律法规、行业管理部门要求的其他强制性标准的响应文件将按无效磋商响应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14.2上述证明文件可以是文字资料、图纸、图片和数据等，所有证明文件表达意思必须统一，（如需供应商提供样品，样品必须与响应文件的表述完全符合）。</w:t>
      </w:r>
    </w:p>
    <w:p>
      <w:pPr>
        <w:adjustRightInd w:val="0"/>
        <w:snapToGrid w:val="0"/>
        <w:spacing w:line="360" w:lineRule="auto"/>
        <w:outlineLvl w:val="2"/>
        <w:rPr>
          <w:rFonts w:hint="eastAsia" w:ascii="宋体" w:hAnsi="宋体" w:cs="宋体"/>
          <w:b/>
          <w:color w:val="auto"/>
          <w:sz w:val="24"/>
          <w:szCs w:val="24"/>
        </w:rPr>
      </w:pPr>
      <w:bookmarkStart w:id="58" w:name="_Toc9912"/>
      <w:r>
        <w:rPr>
          <w:rFonts w:hint="eastAsia" w:ascii="宋体" w:hAnsi="宋体" w:cs="宋体"/>
          <w:b/>
          <w:color w:val="auto"/>
          <w:sz w:val="24"/>
          <w:szCs w:val="24"/>
        </w:rPr>
        <w:t>15.</w:t>
      </w:r>
      <w:bookmarkEnd w:id="58"/>
      <w:r>
        <w:rPr>
          <w:rFonts w:hint="eastAsia" w:ascii="宋体" w:hAnsi="宋体" w:cs="宋体"/>
          <w:b/>
          <w:color w:val="auto"/>
          <w:sz w:val="24"/>
          <w:szCs w:val="24"/>
        </w:rPr>
        <w:t>磋商响应保证金</w:t>
      </w:r>
    </w:p>
    <w:p>
      <w:pPr>
        <w:adjustRightInd w:val="0"/>
        <w:snapToGrid w:val="0"/>
        <w:spacing w:line="360" w:lineRule="auto"/>
        <w:ind w:firstLine="482" w:firstLineChars="200"/>
        <w:rPr>
          <w:rFonts w:hint="eastAsia" w:ascii="宋体" w:hAnsi="宋体" w:cs="宋体"/>
          <w:b/>
          <w:bCs/>
          <w:color w:val="auto"/>
          <w:sz w:val="24"/>
          <w:szCs w:val="24"/>
          <w:lang w:val="en-US" w:eastAsia="zh-CN"/>
        </w:rPr>
      </w:pPr>
      <w:bookmarkStart w:id="59" w:name="_Toc28152"/>
      <w:r>
        <w:rPr>
          <w:rFonts w:hint="eastAsia" w:ascii="宋体" w:hAnsi="宋体" w:cs="宋体"/>
          <w:b/>
          <w:bCs/>
          <w:color w:val="auto"/>
          <w:sz w:val="24"/>
          <w:szCs w:val="24"/>
          <w:lang w:val="en-US" w:eastAsia="zh-CN"/>
        </w:rPr>
        <w:t>本项目不要求提供磋商响应保证金。</w:t>
      </w:r>
    </w:p>
    <w:p>
      <w:pPr>
        <w:adjustRightInd w:val="0"/>
        <w:snapToGrid w:val="0"/>
        <w:spacing w:line="360" w:lineRule="auto"/>
        <w:outlineLvl w:val="2"/>
        <w:rPr>
          <w:rFonts w:hint="eastAsia" w:ascii="宋体" w:hAnsi="宋体" w:cs="宋体"/>
          <w:b/>
          <w:color w:val="auto"/>
          <w:sz w:val="24"/>
          <w:szCs w:val="24"/>
        </w:rPr>
      </w:pPr>
      <w:r>
        <w:rPr>
          <w:rFonts w:hint="eastAsia" w:ascii="宋体" w:hAnsi="宋体" w:cs="宋体"/>
          <w:b/>
          <w:color w:val="auto"/>
          <w:sz w:val="24"/>
          <w:szCs w:val="24"/>
        </w:rPr>
        <w:t>16.</w:t>
      </w:r>
      <w:bookmarkEnd w:id="59"/>
      <w:r>
        <w:rPr>
          <w:rFonts w:hint="eastAsia" w:ascii="宋体" w:hAnsi="宋体" w:cs="宋体"/>
          <w:b/>
          <w:color w:val="auto"/>
          <w:sz w:val="24"/>
          <w:szCs w:val="24"/>
        </w:rPr>
        <w:t>磋商响应有效期</w:t>
      </w:r>
    </w:p>
    <w:p>
      <w:pPr>
        <w:adjustRightInd w:val="0"/>
        <w:snapToGrid w:val="0"/>
        <w:spacing w:line="360" w:lineRule="auto"/>
        <w:ind w:firstLine="480" w:firstLineChars="200"/>
        <w:rPr>
          <w:rFonts w:hint="eastAsia" w:ascii="宋体" w:hAnsi="宋体" w:cs="宋体"/>
          <w:color w:val="auto"/>
          <w:sz w:val="24"/>
          <w:szCs w:val="24"/>
        </w:rPr>
      </w:pPr>
      <w:bookmarkStart w:id="60" w:name="OLE_LINK4"/>
      <w:r>
        <w:rPr>
          <w:rFonts w:hint="eastAsia" w:ascii="宋体" w:hAnsi="宋体" w:cs="宋体"/>
          <w:color w:val="auto"/>
          <w:sz w:val="24"/>
          <w:szCs w:val="24"/>
        </w:rPr>
        <w:t>16.1响应文件应在“供应商须知前附表”中规定的期限内保持有效。磋商响应有效期不满足规定有效期的响应文件将被视为无效磋商响应而予以拒绝。</w:t>
      </w:r>
      <w:bookmarkEnd w:id="60"/>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16.2在特殊情况下，在原磋商响应有效期期满之前，采购代理机构可向供应商提出延长磋商响应有效期的要求。这种要求与答复均应以书面的形式。供应商可以拒绝采购代理机构的这种要求,其磋商响应保证金（如有）也不被没收。同意延长的供应商既不能要求也不允许修改其响应文件，但要相应延长其磋商响应保证金（如有）的有效期。在这种情况下，本章第15条有关磋商响应保证金（如有）的退还和没收的规定将在延长了的有效期内继续有效。</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16.3成交供应商的磋商响应文件有效期延长至合同执行完毕。</w:t>
      </w:r>
    </w:p>
    <w:p>
      <w:pPr>
        <w:adjustRightInd w:val="0"/>
        <w:snapToGrid w:val="0"/>
        <w:spacing w:line="360" w:lineRule="auto"/>
        <w:outlineLvl w:val="2"/>
        <w:rPr>
          <w:rFonts w:hint="eastAsia" w:ascii="宋体" w:hAnsi="宋体" w:cs="宋体"/>
          <w:b/>
          <w:color w:val="auto"/>
          <w:sz w:val="24"/>
          <w:szCs w:val="24"/>
        </w:rPr>
      </w:pPr>
      <w:bookmarkStart w:id="61" w:name="_Toc17888"/>
      <w:r>
        <w:rPr>
          <w:rFonts w:hint="eastAsia" w:ascii="宋体" w:hAnsi="宋体" w:cs="宋体"/>
          <w:b/>
          <w:color w:val="auto"/>
          <w:sz w:val="24"/>
          <w:szCs w:val="24"/>
        </w:rPr>
        <w:t>17.响应文件的式样和签署</w:t>
      </w:r>
      <w:bookmarkEnd w:id="61"/>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17.1响应文件正本、副本及电子版份数及要求详见“供应商须知前附表”。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17.2响应文件制作装订要求详见“供应商须知前附表”。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17.3响应文件签字、盖章要求详见“供应商须知前附表”。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17.4响应文件的正本需打印或用不褪色、不变质的墨水书写，由供应商的法定代表人或被授权人按竞争性磋商文件的规定签署（竞争性磋商文件要求响应文件中签章的统一为签字并盖章）。</w:t>
      </w:r>
      <w:r>
        <w:rPr>
          <w:rFonts w:hint="eastAsia" w:ascii="宋体" w:hAnsi="宋体" w:cs="宋体"/>
          <w:b/>
          <w:bCs/>
          <w:color w:val="auto"/>
          <w:sz w:val="24"/>
          <w:szCs w:val="24"/>
        </w:rPr>
        <w:t>响应文件副本可采用正本的复印件。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17.5任何行间插字、涂改和增删，必须由供应商的法定代表人或其授权代表在旁边签字才有效。</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17.6 响应文件正本和副本按照竞争性磋商文件第五章规定的顺序编排、并应</w:t>
      </w:r>
      <w:r>
        <w:rPr>
          <w:rFonts w:hint="eastAsia" w:ascii="宋体" w:hAnsi="宋体" w:cs="宋体"/>
          <w:color w:val="auto"/>
          <w:sz w:val="24"/>
          <w:szCs w:val="24"/>
          <w:lang w:val="zh-CN"/>
        </w:rPr>
        <w:t>编制目录，</w:t>
      </w:r>
      <w:r>
        <w:rPr>
          <w:rFonts w:hint="eastAsia" w:ascii="宋体" w:hAnsi="宋体" w:cs="宋体"/>
          <w:color w:val="auto"/>
          <w:sz w:val="24"/>
          <w:szCs w:val="24"/>
        </w:rPr>
        <w:t>逐页标注连续页码，并分别</w:t>
      </w:r>
      <w:r>
        <w:rPr>
          <w:rFonts w:hint="eastAsia" w:ascii="宋体" w:hAnsi="宋体" w:cs="宋体"/>
          <w:color w:val="auto"/>
          <w:sz w:val="24"/>
          <w:szCs w:val="24"/>
          <w:lang w:val="zh-CN"/>
        </w:rPr>
        <w:t>胶装成册</w:t>
      </w:r>
      <w:r>
        <w:rPr>
          <w:rFonts w:hint="eastAsia" w:ascii="宋体" w:hAnsi="宋体" w:cs="宋体"/>
          <w:color w:val="auto"/>
          <w:sz w:val="24"/>
          <w:szCs w:val="24"/>
        </w:rPr>
        <w:t>。</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17.7因字迹潦草、表述不清或不按竞争性磋商文件格式编制的响应文件，所引起的对供应商不利的后果，由供应商自行负责。</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17.8竞争性磋商文件的副本、电子版须和正本保持一致。若正本、副本和电子版有不一致的内容，以正本为准。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17.9以电话、传真、电子邮件形式的响应文件将被拒绝。</w:t>
      </w:r>
    </w:p>
    <w:p>
      <w:pPr>
        <w:adjustRightInd w:val="0"/>
        <w:snapToGrid w:val="0"/>
        <w:spacing w:line="360" w:lineRule="auto"/>
        <w:outlineLvl w:val="2"/>
        <w:rPr>
          <w:rFonts w:hint="eastAsia" w:ascii="宋体" w:hAnsi="宋体" w:cs="宋体"/>
          <w:b/>
          <w:color w:val="auto"/>
          <w:sz w:val="24"/>
          <w:szCs w:val="24"/>
        </w:rPr>
      </w:pPr>
      <w:bookmarkStart w:id="62" w:name="_Toc21664"/>
      <w:r>
        <w:rPr>
          <w:rFonts w:hint="eastAsia" w:ascii="宋体" w:hAnsi="宋体" w:cs="宋体"/>
          <w:b/>
          <w:color w:val="auto"/>
          <w:sz w:val="24"/>
          <w:szCs w:val="24"/>
        </w:rPr>
        <w:t>18.响应文件的密封和标记</w:t>
      </w:r>
      <w:bookmarkEnd w:id="62"/>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18.1响应文件必须进行密封递交。对封装材料不作特别规定，但供应商应当保证其封装的可靠性，不致因搬运、堆放等原因散开。</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18.2响应文件的密封：详见“供应商须知前附表”。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18.3响应文件封套上应载明的信息：详见“供应商须知前附表”。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18.4如果供应商未对响应文件按上述要求进行完好密封，由此产生的不利后果由供应商自行承担。</w:t>
      </w:r>
    </w:p>
    <w:p>
      <w:pPr>
        <w:pStyle w:val="5"/>
        <w:rPr>
          <w:rFonts w:hint="eastAsia" w:ascii="宋体" w:hAnsi="宋体" w:cs="宋体"/>
          <w:color w:val="auto"/>
        </w:rPr>
      </w:pPr>
      <w:bookmarkStart w:id="63" w:name="_Toc21103"/>
      <w:bookmarkStart w:id="64" w:name="_Toc17122"/>
      <w:bookmarkStart w:id="65" w:name="_Toc32284"/>
      <w:r>
        <w:rPr>
          <w:rFonts w:hint="eastAsia" w:ascii="宋体" w:hAnsi="宋体" w:cs="宋体"/>
          <w:color w:val="auto"/>
        </w:rPr>
        <w:t>四.响应文件的递交</w:t>
      </w:r>
      <w:bookmarkEnd w:id="63"/>
      <w:bookmarkEnd w:id="64"/>
      <w:bookmarkEnd w:id="65"/>
    </w:p>
    <w:p>
      <w:pPr>
        <w:adjustRightInd w:val="0"/>
        <w:snapToGrid w:val="0"/>
        <w:spacing w:line="360" w:lineRule="auto"/>
        <w:outlineLvl w:val="2"/>
        <w:rPr>
          <w:rFonts w:hint="eastAsia" w:ascii="宋体" w:hAnsi="宋体" w:cs="宋体"/>
          <w:b/>
          <w:color w:val="auto"/>
          <w:sz w:val="24"/>
          <w:szCs w:val="24"/>
        </w:rPr>
      </w:pPr>
      <w:bookmarkStart w:id="66" w:name="_Toc72"/>
      <w:r>
        <w:rPr>
          <w:rFonts w:hint="eastAsia" w:ascii="宋体" w:hAnsi="宋体" w:cs="宋体"/>
          <w:b/>
          <w:color w:val="auto"/>
          <w:sz w:val="24"/>
          <w:szCs w:val="24"/>
        </w:rPr>
        <w:t>19.响应文件的递交</w:t>
      </w:r>
      <w:bookmarkEnd w:id="66"/>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19.1供应商应按照竞争性磋商公告中规定的时间、地点，在规定的响应文件递交截止时间前将全部响应文件和磋商响应资料递交至采购代理机构接收人处。</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19.2采购代理机构在竞争性磋商文件规定的响应文件递交截止时间前，只负责响应文件的接收、清点、造册登记工作，并请递交人签字确认，对其有效性不负任何责任。</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19.3无论供应商成交与否，其响应文件恕不退还。</w:t>
      </w:r>
    </w:p>
    <w:p>
      <w:pPr>
        <w:adjustRightInd w:val="0"/>
        <w:snapToGrid w:val="0"/>
        <w:spacing w:line="360" w:lineRule="auto"/>
        <w:outlineLvl w:val="2"/>
        <w:rPr>
          <w:rFonts w:hint="eastAsia" w:ascii="宋体" w:hAnsi="宋体" w:cs="宋体"/>
          <w:b/>
          <w:color w:val="auto"/>
          <w:sz w:val="24"/>
          <w:szCs w:val="24"/>
        </w:rPr>
      </w:pPr>
      <w:bookmarkStart w:id="67" w:name="_Toc10525"/>
      <w:r>
        <w:rPr>
          <w:rFonts w:hint="eastAsia" w:ascii="宋体" w:hAnsi="宋体" w:cs="宋体"/>
          <w:b/>
          <w:color w:val="auto"/>
          <w:sz w:val="24"/>
          <w:szCs w:val="24"/>
        </w:rPr>
        <w:t>20.迟交的</w:t>
      </w:r>
      <w:bookmarkEnd w:id="67"/>
      <w:r>
        <w:rPr>
          <w:rFonts w:hint="eastAsia" w:ascii="宋体" w:hAnsi="宋体" w:cs="宋体"/>
          <w:b/>
          <w:color w:val="auto"/>
          <w:sz w:val="24"/>
          <w:szCs w:val="24"/>
        </w:rPr>
        <w:t>响应文件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20.1按照供应商须知的规定，采购代理机构将拒绝接受在规定的响应文件递交截止时间后递交的或者未送达指定地点的任何响应文件。</w:t>
      </w:r>
    </w:p>
    <w:p>
      <w:pPr>
        <w:adjustRightInd w:val="0"/>
        <w:snapToGrid w:val="0"/>
        <w:spacing w:line="360" w:lineRule="auto"/>
        <w:outlineLvl w:val="2"/>
        <w:rPr>
          <w:rFonts w:hint="eastAsia" w:ascii="宋体" w:hAnsi="宋体" w:cs="宋体"/>
          <w:b/>
          <w:color w:val="auto"/>
          <w:sz w:val="24"/>
          <w:szCs w:val="24"/>
        </w:rPr>
      </w:pPr>
      <w:bookmarkStart w:id="68" w:name="_Toc32740"/>
      <w:r>
        <w:rPr>
          <w:rFonts w:hint="eastAsia" w:ascii="宋体" w:hAnsi="宋体" w:cs="宋体"/>
          <w:b/>
          <w:color w:val="auto"/>
          <w:sz w:val="24"/>
          <w:szCs w:val="24"/>
        </w:rPr>
        <w:t>21.</w:t>
      </w:r>
      <w:bookmarkEnd w:id="68"/>
      <w:r>
        <w:rPr>
          <w:rFonts w:hint="eastAsia" w:ascii="宋体" w:hAnsi="宋体" w:cs="宋体"/>
          <w:b/>
          <w:color w:val="auto"/>
          <w:sz w:val="24"/>
          <w:szCs w:val="24"/>
        </w:rPr>
        <w:t>磋商响应的修改与撤回</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21.1供应商在递交响应文件后，可以对所递交的响应文件进行补充、修改或者撤回，但供应商必须在规定的响应文件递交截止时间之前将补充、修改或撤回的书面通知文件递交到采购代理机构。</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21.2供应商的补充、修改或者撤回的通知应按本须知第17条、第18条、第19条的规定编制、密封、标记和递交。</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21.3在响应文件递交截止时间之后，供应商不得对其响应文件做任何修改或撤回。</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21.4 在响应文件递交截止时间之后，对于供应商正常经营活动必须的资质和其他证明文件原件（如有，包括但不限于：营业执照、税务登记证、经营许可证、资质等级证书、成交通知书、合同等），经审查后予以退还。其他响应文件和资料一律不予退还。</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21.5 供应商在响应文件递交截止时间前撤回已提交的响应文件的，采购人或采购代理机构应当自收到供应商书面撤回通知之日起5个工作日内，退还已收取的磋商响应保证金（如有），但因供应商自身原因导致无法及时退还的除外。</w:t>
      </w:r>
    </w:p>
    <w:p>
      <w:pPr>
        <w:pStyle w:val="5"/>
        <w:rPr>
          <w:rFonts w:hint="eastAsia" w:ascii="宋体" w:hAnsi="宋体" w:cs="宋体"/>
          <w:color w:val="auto"/>
        </w:rPr>
      </w:pPr>
      <w:bookmarkStart w:id="69" w:name="_Toc363473976"/>
      <w:bookmarkStart w:id="70" w:name="_Toc363474021"/>
      <w:bookmarkStart w:id="71" w:name="_Toc18858"/>
      <w:bookmarkStart w:id="72" w:name="_Toc403077643"/>
      <w:r>
        <w:rPr>
          <w:rFonts w:hint="eastAsia" w:ascii="宋体" w:hAnsi="宋体" w:cs="宋体"/>
          <w:color w:val="auto"/>
        </w:rPr>
        <w:t>五.</w:t>
      </w:r>
      <w:bookmarkEnd w:id="69"/>
      <w:bookmarkEnd w:id="70"/>
      <w:bookmarkEnd w:id="71"/>
      <w:bookmarkEnd w:id="72"/>
      <w:r>
        <w:rPr>
          <w:rFonts w:hint="eastAsia" w:ascii="宋体" w:hAnsi="宋体" w:cs="宋体"/>
          <w:color w:val="auto"/>
        </w:rPr>
        <w:t>磋商与评审</w:t>
      </w:r>
    </w:p>
    <w:p>
      <w:pPr>
        <w:adjustRightInd w:val="0"/>
        <w:snapToGrid w:val="0"/>
        <w:spacing w:line="360" w:lineRule="auto"/>
        <w:outlineLvl w:val="2"/>
        <w:rPr>
          <w:rFonts w:hint="eastAsia" w:ascii="宋体" w:hAnsi="宋体" w:cs="宋体"/>
          <w:b/>
          <w:color w:val="auto"/>
          <w:sz w:val="24"/>
          <w:szCs w:val="24"/>
        </w:rPr>
      </w:pPr>
      <w:bookmarkStart w:id="73" w:name="_Toc31805"/>
      <w:r>
        <w:rPr>
          <w:rFonts w:hint="eastAsia" w:ascii="宋体" w:hAnsi="宋体" w:cs="宋体"/>
          <w:b/>
          <w:color w:val="auto"/>
          <w:sz w:val="24"/>
          <w:szCs w:val="24"/>
        </w:rPr>
        <w:t>22.</w:t>
      </w:r>
      <w:bookmarkEnd w:id="73"/>
      <w:r>
        <w:rPr>
          <w:rFonts w:hint="eastAsia" w:ascii="宋体" w:hAnsi="宋体" w:cs="宋体"/>
          <w:b/>
          <w:color w:val="auto"/>
          <w:sz w:val="24"/>
          <w:szCs w:val="24"/>
        </w:rPr>
        <w:t>磋商会议</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22.1采购代理机构在规定的时间和地点组织磋商会议。所有供应商代表自愿参加，供应商代表应签名报到以证明其出席。供应商未派代表参加会议的，视同认可磋商结果。</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22.2采购代理机构将做会议记录，由参加磋商会议的各供应商代表和相关工作人员签字确认。存档备查。</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22.3供应商代表对会议过程有疑义，以及认为采购人、采购代理机构相关工作人员有需要回避的情形的，应当场提出询问或者回避申请。采购人或采购代理机构对供应商代表提出的询问或者回避申请应及时处理。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22.4以邮寄方式递交响应文件的按照无效磋商响应处理。</w:t>
      </w:r>
    </w:p>
    <w:p>
      <w:pPr>
        <w:adjustRightInd w:val="0"/>
        <w:snapToGrid w:val="0"/>
        <w:spacing w:line="360" w:lineRule="auto"/>
        <w:outlineLvl w:val="2"/>
        <w:rPr>
          <w:rFonts w:hint="eastAsia" w:ascii="宋体" w:hAnsi="宋体" w:cs="宋体"/>
          <w:b/>
          <w:color w:val="auto"/>
          <w:sz w:val="24"/>
          <w:szCs w:val="24"/>
        </w:rPr>
      </w:pPr>
      <w:bookmarkStart w:id="74" w:name="_Toc1603"/>
      <w:r>
        <w:rPr>
          <w:rFonts w:hint="eastAsia" w:ascii="宋体" w:hAnsi="宋体" w:cs="宋体"/>
          <w:b/>
          <w:color w:val="auto"/>
          <w:sz w:val="24"/>
          <w:szCs w:val="24"/>
        </w:rPr>
        <w:t>23.会议程序</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（1）宣读大会纪律。</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（2）介绍参会人员及供应商名称。</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（3）检查响应文件的密封情况。由供应商代表检查各自在磋商响应截止时间之前递交的响应文件的密封情况，以确认各供应商的响应文件密封情况是否与递交时一致，没有被提前启封等异常情况。</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（4）拆封文件，宣布供应商名称等内容。</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（5）会议结束。</w:t>
      </w:r>
    </w:p>
    <w:p>
      <w:pPr>
        <w:adjustRightInd w:val="0"/>
        <w:snapToGrid w:val="0"/>
        <w:spacing w:line="360" w:lineRule="auto"/>
        <w:outlineLvl w:val="2"/>
        <w:rPr>
          <w:rFonts w:hint="eastAsia" w:ascii="宋体" w:hAnsi="宋体" w:cs="宋体"/>
          <w:b/>
          <w:color w:val="auto"/>
          <w:sz w:val="24"/>
          <w:szCs w:val="24"/>
        </w:rPr>
      </w:pPr>
      <w:r>
        <w:rPr>
          <w:rFonts w:hint="eastAsia" w:ascii="宋体" w:hAnsi="宋体" w:cs="宋体"/>
          <w:b/>
          <w:color w:val="auto"/>
          <w:sz w:val="24"/>
          <w:szCs w:val="24"/>
        </w:rPr>
        <w:t>24.评审会议</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24.1评审组织及评审原则</w:t>
      </w:r>
      <w:bookmarkEnd w:id="74"/>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24.1.1按照《中华人民共和国政府采购法》及实施条例和关于印发《政府采购竞争性磋商采购方式管理暂行办法》的通知（财库【2014】214号），依法组建磋商小组。磋商小组按照竞争性磋商文件规定的评审方法独立进行评审工作。</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24.1.2竞争性磋商文件和响应文件是评审的依据。在评审中，不得改变竞争性磋商文件中规定的评审标准、方法和成交条件。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24.1.3</w:t>
      </w:r>
      <w:bookmarkStart w:id="75" w:name="_Toc20132"/>
      <w:r>
        <w:rPr>
          <w:rFonts w:hint="eastAsia" w:ascii="宋体" w:hAnsi="宋体" w:cs="宋体"/>
          <w:color w:val="auto"/>
          <w:sz w:val="24"/>
          <w:szCs w:val="24"/>
        </w:rPr>
        <w:t>评审过程的保密</w:t>
      </w:r>
      <w:bookmarkEnd w:id="75"/>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从开标之日到确定成交供应商止，磋商小组成员不得向供应商或其他无关人员透露有关竞争性磋商响应文件的评审和比较、成交候选人的推荐以及与评审有关的其他情况。任何人员如发生泄密现象，将承担相应的法律责任。</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（2）供应商企图影响采购人或磋商小组的任何行为，将导致该供应商被拒绝，并承担相应的法律责任。</w:t>
      </w:r>
    </w:p>
    <w:p>
      <w:pPr>
        <w:adjustRightInd w:val="0"/>
        <w:snapToGrid w:val="0"/>
        <w:spacing w:line="360" w:lineRule="auto"/>
        <w:ind w:firstLine="480" w:firstLineChars="200"/>
        <w:rPr>
          <w:rFonts w:hint="eastAsia" w:ascii="宋体" w:hAnsi="宋体" w:cs="宋体"/>
          <w:color w:val="auto"/>
          <w:sz w:val="24"/>
          <w:szCs w:val="24"/>
        </w:rPr>
      </w:pPr>
      <w:bookmarkStart w:id="76" w:name="_Toc7960"/>
      <w:r>
        <w:rPr>
          <w:rFonts w:hint="eastAsia" w:ascii="宋体" w:hAnsi="宋体" w:cs="宋体"/>
          <w:color w:val="auto"/>
          <w:sz w:val="24"/>
          <w:szCs w:val="24"/>
        </w:rPr>
        <w:t>24.2评审方法</w:t>
      </w:r>
      <w:bookmarkEnd w:id="76"/>
    </w:p>
    <w:p>
      <w:pPr>
        <w:adjustRightInd w:val="0"/>
        <w:snapToGrid w:val="0"/>
        <w:spacing w:line="360" w:lineRule="auto"/>
        <w:ind w:firstLine="480" w:firstLineChars="200"/>
        <w:rPr>
          <w:rFonts w:hint="eastAsia" w:ascii="宋体" w:hAnsi="宋体" w:cs="宋体"/>
          <w:b/>
          <w:bCs/>
          <w:color w:val="auto"/>
          <w:sz w:val="24"/>
          <w:szCs w:val="24"/>
        </w:rPr>
      </w:pPr>
      <w:r>
        <w:rPr>
          <w:rFonts w:hint="eastAsia" w:ascii="宋体" w:hAnsi="宋体" w:cs="宋体"/>
          <w:color w:val="auto"/>
          <w:sz w:val="24"/>
          <w:szCs w:val="24"/>
        </w:rPr>
        <w:t>按照《中华人民共和国政府采购法》及实施条例和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w:t>
      </w:r>
      <w:r>
        <w:rPr>
          <w:rFonts w:hint="eastAsia" w:ascii="宋体" w:hAnsi="宋体" w:cs="宋体"/>
          <w:color w:val="auto"/>
          <w:sz w:val="24"/>
          <w:szCs w:val="24"/>
          <w:lang w:eastAsia="zh-CN"/>
        </w:rPr>
        <w:t>推荐</w:t>
      </w:r>
      <w:r>
        <w:rPr>
          <w:rFonts w:hint="eastAsia" w:ascii="宋体" w:hAnsi="宋体" w:cs="宋体"/>
          <w:color w:val="auto"/>
          <w:sz w:val="24"/>
          <w:szCs w:val="24"/>
        </w:rPr>
        <w:t>1-3名成交候选人。（最低报价不是成交的唯一标准）。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24.3评审程序</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按照竞争性磋商响应文件初审、澄清有关问题、分别磋商、二次报价、比较与评审、推荐成交候选人名单的工作程序进行评审。在上一步评审中被认定为无效磋商者，不进入下一步的评审。</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24.3.1对响应文件的初审</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资格性审查：采购人或其出具授权委托采购代理机构依据法律法规和磋商文件规定的评审标准（供应商须知前附表：供应商资格条件）对供应商进行资格性审查。有一项不符合评审标准的，将被视为未实质性响应竞争性磋商文件，其响应文件将按无效文件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符合性审查：磋商小组依据磋商文件规定的评审标准对响应文件进行符合性审查。有一项不符合评审标准的，将被视为未实质性响应磋商文件，其响应文件将按无效文件处理。其内容包括但不限于以下部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1）供应商印刷体名称、公章名称与营业执照名称是否一致；</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2）响应文件的正副本数量符合性；</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3）响应文件的签字盖章符合性；</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4）投标有效期符合性；</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5）投标报价符合性（报价唯一性、报价未超预算）；</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6）商务、技术要求满足实质性要求（交付期不大于采购要求、付款方式满足采购要求、响应内容无重大缺漏项）；</w:t>
      </w:r>
    </w:p>
    <w:p>
      <w:pPr>
        <w:tabs>
          <w:tab w:val="left" w:pos="1155"/>
        </w:tabs>
        <w:spacing w:line="360" w:lineRule="auto"/>
        <w:ind w:firstLine="480" w:firstLineChars="200"/>
        <w:rPr>
          <w:rFonts w:hint="eastAsia" w:ascii="宋体" w:hAnsi="宋体" w:cs="宋体"/>
          <w:color w:val="auto"/>
        </w:rPr>
      </w:pPr>
      <w:r>
        <w:rPr>
          <w:rFonts w:hint="eastAsia" w:ascii="宋体" w:hAnsi="宋体" w:cs="宋体"/>
          <w:color w:val="auto"/>
          <w:sz w:val="24"/>
          <w:szCs w:val="24"/>
          <w:lang w:val="en-US" w:eastAsia="zh-CN"/>
        </w:rPr>
        <w:t>7</w:t>
      </w:r>
      <w:r>
        <w:rPr>
          <w:rFonts w:hint="eastAsia" w:ascii="宋体" w:hAnsi="宋体" w:cs="宋体"/>
          <w:color w:val="auto"/>
          <w:sz w:val="24"/>
          <w:szCs w:val="24"/>
        </w:rPr>
        <w:t>）其他法律、规章、规范性文件和磋商文件规定的符合性。</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（3）在资格性审查阶段，不符合竞争性磋商文件要求的，不得进入符合性审查，在符合性审查时未通过的，不得进入后续评审环节。</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24.3.2响应文件的澄清</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磋商小组发现供应商的报价明显低于其他通过符合性审查的供应商的磋商报价、或明显低于市场价格，使得其磋商报价可能低于其成本的，应当要求该供应商在评审现场作出书面说明并提供相应的证明材料。供应商不能合理说明或者不能提供相应证明材料的，由磋商小组认定该供应商以低于成本报价竞标，其磋商响应文件作无效响应处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（2）有效的书面澄清材料，是磋商响应文件的补充材料，成为磋商响应文件的组成部分。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（4）如果供应商在澄清规定期限内，未能答复或拒绝答复磋商小组提出的澄清要求，将由磋商小组根据其竞争性磋商响应文件按最大风险进行评审。</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24.3.3磋商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（1）磋商小组所有成员集中与单一供应商分别进行磋商，并要求供应商在规定的时间内提交最后报价。</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（2）以供应商递交的磋商响应文件中的总报价为第一次报价。分别磋商后，供应商现场填报的磋商响应总报价为第二次报价。</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当第二次报价全部超过磋商文件规定的采购预算（或最高限价）或均低于公认的制作成本时，磋商小组有权决定是否磋商失败或进行第三次报价，依次类推。最终报价超出财政预算，且采购人又无力支付，磋商小组有权决定磋商失败。</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24.3.4磋商过程中的实质性变动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（2）对竞争性磋商文件做出的实质性变动是磋商文件的有效组成部分，磋商小组应当及时以书面形式通知所有参加磋商的供应商。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24.3.5综合评审</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对于经初审合格的所有供应商，由磋商小组各成员依据响应文件和最终报价，按照下列《评审方法及标准》规定的内容独立进行综合评价、比较打分，然后汇总每个供应商的得分，从高到低依次排序，推荐成交候选供应商。</w:t>
      </w:r>
    </w:p>
    <w:p>
      <w:pPr>
        <w:adjustRightInd w:val="0"/>
        <w:snapToGrid w:val="0"/>
        <w:spacing w:line="360" w:lineRule="auto"/>
        <w:jc w:val="center"/>
        <w:rPr>
          <w:rFonts w:hint="eastAsia"/>
          <w:color w:val="auto"/>
        </w:rPr>
      </w:pPr>
      <w:r>
        <w:rPr>
          <w:rFonts w:hint="eastAsia" w:ascii="宋体" w:hAnsi="宋体" w:cs="宋体"/>
          <w:b/>
          <w:bCs/>
          <w:color w:val="auto"/>
          <w:sz w:val="28"/>
          <w:szCs w:val="28"/>
        </w:rPr>
        <w:t>评审方法及标准</w:t>
      </w:r>
    </w:p>
    <w:tbl>
      <w:tblPr>
        <w:tblStyle w:val="19"/>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27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08" w:type="dxa"/>
            <w:noWrap w:val="0"/>
            <w:vAlign w:val="center"/>
          </w:tcPr>
          <w:p>
            <w:pPr>
              <w:pStyle w:val="25"/>
              <w:bidi w:val="0"/>
              <w:rPr>
                <w:b/>
                <w:bCs/>
                <w:color w:val="auto"/>
              </w:rPr>
            </w:pPr>
            <w:r>
              <w:rPr>
                <w:rFonts w:hint="eastAsia"/>
                <w:b/>
                <w:bCs/>
                <w:color w:val="auto"/>
                <w:lang w:val="en-US" w:eastAsia="zh-CN"/>
              </w:rPr>
              <w:t>评审因素</w:t>
            </w:r>
          </w:p>
        </w:tc>
        <w:tc>
          <w:tcPr>
            <w:tcW w:w="7279" w:type="dxa"/>
            <w:noWrap w:val="0"/>
            <w:vAlign w:val="center"/>
          </w:tcPr>
          <w:p>
            <w:pPr>
              <w:pStyle w:val="25"/>
              <w:bidi w:val="0"/>
              <w:rPr>
                <w:b/>
                <w:bCs/>
                <w:color w:val="auto"/>
              </w:rPr>
            </w:pPr>
            <w:r>
              <w:rPr>
                <w:rFonts w:hint="eastAsia"/>
                <w:b/>
                <w:bCs/>
                <w:color w:val="auto"/>
                <w:lang w:val="en-US" w:eastAsia="zh-CN"/>
              </w:rPr>
              <w:t>内     容</w:t>
            </w:r>
          </w:p>
        </w:tc>
        <w:tc>
          <w:tcPr>
            <w:tcW w:w="740" w:type="dxa"/>
            <w:noWrap w:val="0"/>
            <w:vAlign w:val="center"/>
          </w:tcPr>
          <w:p>
            <w:pPr>
              <w:pStyle w:val="25"/>
              <w:bidi w:val="0"/>
              <w:rPr>
                <w:b/>
                <w:bCs/>
                <w:color w:val="auto"/>
              </w:rPr>
            </w:pPr>
            <w:r>
              <w:rPr>
                <w:rFonts w:hint="eastAsia"/>
                <w:b/>
                <w:bCs/>
                <w:color w:val="auto"/>
                <w:lang w:val="en-US" w:eastAsia="zh-CN"/>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208" w:type="dxa"/>
            <w:noWrap w:val="0"/>
            <w:vAlign w:val="center"/>
          </w:tcPr>
          <w:p>
            <w:pPr>
              <w:pStyle w:val="25"/>
              <w:bidi w:val="0"/>
              <w:rPr>
                <w:color w:val="auto"/>
              </w:rPr>
            </w:pPr>
            <w:r>
              <w:rPr>
                <w:rFonts w:hint="eastAsia"/>
                <w:color w:val="auto"/>
              </w:rPr>
              <w:t>价格因素</w:t>
            </w:r>
          </w:p>
          <w:p>
            <w:pPr>
              <w:pStyle w:val="25"/>
              <w:bidi w:val="0"/>
              <w:rPr>
                <w:color w:val="auto"/>
              </w:rPr>
            </w:pPr>
            <w:r>
              <w:rPr>
                <w:rFonts w:hint="eastAsia"/>
                <w:color w:val="auto"/>
                <w:lang w:val="en-US" w:eastAsia="zh-CN"/>
              </w:rPr>
              <w:t>25</w:t>
            </w:r>
            <w:r>
              <w:rPr>
                <w:rFonts w:hint="eastAsia"/>
                <w:color w:val="auto"/>
              </w:rPr>
              <w:t>分</w:t>
            </w:r>
          </w:p>
        </w:tc>
        <w:tc>
          <w:tcPr>
            <w:tcW w:w="7279" w:type="dxa"/>
            <w:noWrap w:val="0"/>
            <w:vAlign w:val="center"/>
          </w:tcPr>
          <w:p>
            <w:pPr>
              <w:pStyle w:val="25"/>
              <w:bidi w:val="0"/>
              <w:jc w:val="left"/>
              <w:rPr>
                <w:rFonts w:hint="eastAsia"/>
                <w:color w:val="auto"/>
                <w:lang w:val="en-US" w:eastAsia="zh-CN"/>
              </w:rPr>
            </w:pPr>
            <w:r>
              <w:rPr>
                <w:rFonts w:hint="eastAsia"/>
                <w:color w:val="auto"/>
                <w:lang w:val="en-US" w:eastAsia="zh-CN"/>
              </w:rPr>
              <w:t>经初审合格的响应文件，其磋商报价为有效报价，对符合政策性扣减的供应商的有效价格进行政策性扣减，并依据扣减后的价格（评审价格）进行价格评审。</w:t>
            </w:r>
          </w:p>
          <w:p>
            <w:pPr>
              <w:pStyle w:val="25"/>
              <w:bidi w:val="0"/>
              <w:jc w:val="left"/>
              <w:rPr>
                <w:rFonts w:hint="eastAsia"/>
                <w:color w:val="auto"/>
                <w:lang w:val="en-US" w:eastAsia="zh-CN"/>
              </w:rPr>
            </w:pPr>
            <w:r>
              <w:rPr>
                <w:rFonts w:hint="eastAsia"/>
                <w:color w:val="auto"/>
                <w:lang w:val="en-US" w:eastAsia="zh-CN"/>
              </w:rPr>
              <w:t>满足磋商文件实质性要求且评审价格最低的供应商的价格为评标基准价，其价格分为满分。</w:t>
            </w:r>
          </w:p>
          <w:p>
            <w:pPr>
              <w:pStyle w:val="25"/>
              <w:bidi w:val="0"/>
              <w:jc w:val="left"/>
              <w:rPr>
                <w:rFonts w:hint="eastAsia"/>
                <w:color w:val="auto"/>
                <w:lang w:val="en-US" w:eastAsia="zh-CN"/>
              </w:rPr>
            </w:pPr>
            <w:r>
              <w:rPr>
                <w:rFonts w:hint="eastAsia"/>
                <w:color w:val="auto"/>
                <w:lang w:val="en-US" w:eastAsia="zh-CN"/>
              </w:rPr>
              <w:t>报价得分=（评标基准价/评审价格）×25的公式计算得分。</w:t>
            </w:r>
          </w:p>
          <w:p>
            <w:pPr>
              <w:pStyle w:val="25"/>
              <w:bidi w:val="0"/>
              <w:jc w:val="left"/>
              <w:rPr>
                <w:color w:val="auto"/>
              </w:rPr>
            </w:pPr>
            <w:r>
              <w:rPr>
                <w:rFonts w:hint="eastAsia"/>
                <w:color w:val="auto"/>
                <w:lang w:val="en-US" w:eastAsia="zh-CN"/>
              </w:rPr>
              <w:t>报价不完整的，不进入评标基准价的计算，本项得0分。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08" w:type="dxa"/>
            <w:vMerge w:val="restart"/>
            <w:noWrap w:val="0"/>
            <w:vAlign w:val="center"/>
          </w:tcPr>
          <w:p>
            <w:pPr>
              <w:pStyle w:val="25"/>
              <w:bidi w:val="0"/>
              <w:rPr>
                <w:color w:val="auto"/>
              </w:rPr>
            </w:pPr>
            <w:r>
              <w:rPr>
                <w:rFonts w:hint="eastAsia"/>
                <w:color w:val="auto"/>
              </w:rPr>
              <w:t>服务方案</w:t>
            </w:r>
          </w:p>
          <w:p>
            <w:pPr>
              <w:pStyle w:val="25"/>
              <w:bidi w:val="0"/>
              <w:rPr>
                <w:color w:val="auto"/>
              </w:rPr>
            </w:pPr>
            <w:r>
              <w:rPr>
                <w:rFonts w:hint="eastAsia"/>
                <w:color w:val="auto"/>
                <w:lang w:val="en-US" w:eastAsia="zh-CN"/>
              </w:rPr>
              <w:t>48</w:t>
            </w:r>
            <w:r>
              <w:rPr>
                <w:rFonts w:hint="eastAsia"/>
                <w:color w:val="auto"/>
              </w:rPr>
              <w:t>分</w:t>
            </w:r>
          </w:p>
        </w:tc>
        <w:tc>
          <w:tcPr>
            <w:tcW w:w="7279" w:type="dxa"/>
            <w:noWrap w:val="0"/>
            <w:vAlign w:val="center"/>
          </w:tcPr>
          <w:p>
            <w:pPr>
              <w:pStyle w:val="25"/>
              <w:bidi w:val="0"/>
              <w:jc w:val="left"/>
              <w:rPr>
                <w:rFonts w:hint="eastAsia"/>
                <w:b/>
                <w:bCs/>
                <w:color w:val="auto"/>
              </w:rPr>
            </w:pPr>
            <w:r>
              <w:rPr>
                <w:rFonts w:hint="eastAsia"/>
                <w:b/>
                <w:bCs/>
                <w:color w:val="auto"/>
                <w:lang w:val="en-US" w:eastAsia="zh-CN"/>
              </w:rPr>
              <w:t>1.</w:t>
            </w:r>
            <w:r>
              <w:rPr>
                <w:rFonts w:hint="eastAsia"/>
                <w:b/>
                <w:bCs/>
                <w:color w:val="auto"/>
              </w:rPr>
              <w:t>根据本项目特点提出合理的管理服务理念，提出服务定位、目标、服务理念</w:t>
            </w:r>
            <w:r>
              <w:rPr>
                <w:rFonts w:hint="eastAsia"/>
                <w:b/>
                <w:bCs/>
                <w:color w:val="auto"/>
                <w:lang w:val="en-US" w:eastAsia="zh-CN"/>
              </w:rPr>
              <w:t>完善、科学合理、</w:t>
            </w:r>
            <w:r>
              <w:rPr>
                <w:rFonts w:hint="eastAsia"/>
                <w:b/>
                <w:bCs/>
                <w:color w:val="auto"/>
              </w:rPr>
              <w:t>切实可行、安全、文明。</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rPr>
              <w:t>服务理念</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rPr>
              <w:t>服务理念</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rPr>
              <w:t>服务理念</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eastAsia="宋体"/>
                <w:color w:val="auto"/>
                <w:lang w:eastAsia="zh-CN"/>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08" w:type="dxa"/>
            <w:vMerge w:val="continue"/>
            <w:noWrap w:val="0"/>
            <w:vAlign w:val="center"/>
          </w:tcPr>
          <w:p>
            <w:pPr>
              <w:pStyle w:val="25"/>
              <w:bidi w:val="0"/>
              <w:rPr>
                <w:color w:val="auto"/>
              </w:rPr>
            </w:pPr>
          </w:p>
        </w:tc>
        <w:tc>
          <w:tcPr>
            <w:tcW w:w="7279" w:type="dxa"/>
            <w:noWrap w:val="0"/>
            <w:vAlign w:val="center"/>
          </w:tcPr>
          <w:p>
            <w:pPr>
              <w:pStyle w:val="25"/>
              <w:bidi w:val="0"/>
              <w:jc w:val="left"/>
              <w:rPr>
                <w:rFonts w:hint="eastAsia"/>
                <w:b/>
                <w:bCs/>
                <w:color w:val="auto"/>
              </w:rPr>
            </w:pPr>
            <w:r>
              <w:rPr>
                <w:rFonts w:hint="eastAsia"/>
                <w:b/>
                <w:bCs/>
                <w:color w:val="auto"/>
                <w:lang w:val="en-US" w:eastAsia="zh-CN"/>
              </w:rPr>
              <w:t>2.</w:t>
            </w:r>
            <w:r>
              <w:rPr>
                <w:rFonts w:hint="eastAsia"/>
                <w:b/>
                <w:bCs/>
                <w:color w:val="auto"/>
              </w:rPr>
              <w:t>有比较完善的组织架构，主要管理流程及制度。</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lang w:val="en-US" w:eastAsia="zh-CN"/>
              </w:rPr>
              <w:t>组织架构及管理制度</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lang w:val="en-US" w:eastAsia="zh-CN"/>
              </w:rPr>
              <w:t>组织架构及管理制度</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lang w:val="en-US" w:eastAsia="zh-CN"/>
              </w:rPr>
              <w:t>组织架构及管理制度</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08" w:type="dxa"/>
            <w:vMerge w:val="continue"/>
            <w:noWrap w:val="0"/>
            <w:vAlign w:val="center"/>
          </w:tcPr>
          <w:p>
            <w:pPr>
              <w:pStyle w:val="25"/>
              <w:bidi w:val="0"/>
              <w:rPr>
                <w:color w:val="auto"/>
              </w:rPr>
            </w:pPr>
          </w:p>
        </w:tc>
        <w:tc>
          <w:tcPr>
            <w:tcW w:w="7279" w:type="dxa"/>
            <w:noWrap w:val="0"/>
            <w:vAlign w:val="center"/>
          </w:tcPr>
          <w:p>
            <w:pPr>
              <w:pStyle w:val="25"/>
              <w:bidi w:val="0"/>
              <w:jc w:val="left"/>
              <w:rPr>
                <w:rFonts w:hint="eastAsia"/>
                <w:color w:val="auto"/>
              </w:rPr>
            </w:pPr>
            <w:r>
              <w:rPr>
                <w:rFonts w:hint="eastAsia"/>
                <w:b/>
                <w:bCs/>
                <w:color w:val="auto"/>
                <w:lang w:val="en-US" w:eastAsia="zh-CN"/>
              </w:rPr>
              <w:t>3.</w:t>
            </w:r>
            <w:r>
              <w:rPr>
                <w:rFonts w:hint="eastAsia"/>
                <w:b/>
                <w:bCs/>
                <w:color w:val="auto"/>
              </w:rPr>
              <w:t>人力资源保障措施；质量保障措施；安全作业保障措施；文明作业保障措施</w:t>
            </w:r>
            <w:r>
              <w:rPr>
                <w:rFonts w:hint="eastAsia"/>
                <w:b/>
                <w:bCs/>
                <w:color w:val="auto"/>
                <w:lang w:eastAsia="zh-CN"/>
              </w:rPr>
              <w:t>；</w:t>
            </w:r>
            <w:r>
              <w:rPr>
                <w:rFonts w:hint="eastAsia"/>
                <w:b/>
                <w:bCs/>
                <w:color w:val="auto"/>
                <w:lang w:val="en-US" w:eastAsia="zh-CN"/>
              </w:rPr>
              <w:t>节能措施</w:t>
            </w:r>
            <w:r>
              <w:rPr>
                <w:rFonts w:hint="eastAsia"/>
                <w:b/>
                <w:bCs/>
                <w:color w:val="auto"/>
              </w:rPr>
              <w:t>。</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lang w:val="en-US" w:eastAsia="zh-CN"/>
              </w:rPr>
              <w:t>措施</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lang w:val="en-US" w:eastAsia="zh-CN"/>
              </w:rPr>
              <w:t>措施</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lang w:val="en-US" w:eastAsia="zh-CN"/>
              </w:rPr>
              <w:t>措施</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eastAsia"/>
                <w:color w:val="auto"/>
                <w:lang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08" w:type="dxa"/>
            <w:vMerge w:val="continue"/>
            <w:noWrap w:val="0"/>
            <w:vAlign w:val="center"/>
          </w:tcPr>
          <w:p>
            <w:pPr>
              <w:pStyle w:val="25"/>
              <w:bidi w:val="0"/>
              <w:rPr>
                <w:color w:val="auto"/>
              </w:rPr>
            </w:pPr>
          </w:p>
        </w:tc>
        <w:tc>
          <w:tcPr>
            <w:tcW w:w="7279" w:type="dxa"/>
            <w:noWrap w:val="0"/>
            <w:vAlign w:val="center"/>
          </w:tcPr>
          <w:p>
            <w:pPr>
              <w:pStyle w:val="25"/>
              <w:numPr>
                <w:ilvl w:val="0"/>
                <w:numId w:val="0"/>
              </w:numPr>
              <w:bidi w:val="0"/>
              <w:jc w:val="left"/>
              <w:rPr>
                <w:rFonts w:hint="eastAsia"/>
                <w:b/>
                <w:bCs/>
                <w:color w:val="auto"/>
              </w:rPr>
            </w:pPr>
            <w:r>
              <w:rPr>
                <w:rFonts w:hint="eastAsia"/>
                <w:b/>
                <w:bCs/>
                <w:color w:val="auto"/>
                <w:lang w:val="en-US" w:eastAsia="zh-CN"/>
              </w:rPr>
              <w:t>4.</w:t>
            </w:r>
            <w:r>
              <w:rPr>
                <w:rFonts w:hint="eastAsia"/>
                <w:b/>
                <w:bCs/>
                <w:color w:val="auto"/>
              </w:rPr>
              <w:t>费用组成明细，能够按照文件要求落实详细的费用支出明细。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费用组成完全响应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费用组成较完整，工作目标较明确、工作保障措施一般，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rPr>
              <w:t>费用组成可执行性差，计0.1-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eastAsia"/>
                <w:color w:val="auto"/>
                <w:lang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08" w:type="dxa"/>
            <w:vMerge w:val="continue"/>
            <w:noWrap w:val="0"/>
            <w:vAlign w:val="center"/>
          </w:tcPr>
          <w:p>
            <w:pPr>
              <w:pStyle w:val="25"/>
              <w:bidi w:val="0"/>
              <w:rPr>
                <w:color w:val="auto"/>
              </w:rPr>
            </w:pPr>
          </w:p>
        </w:tc>
        <w:tc>
          <w:tcPr>
            <w:tcW w:w="7279" w:type="dxa"/>
            <w:noWrap w:val="0"/>
            <w:vAlign w:val="center"/>
          </w:tcPr>
          <w:p>
            <w:pPr>
              <w:pStyle w:val="25"/>
              <w:bidi w:val="0"/>
              <w:jc w:val="left"/>
              <w:rPr>
                <w:rFonts w:hint="eastAsia"/>
                <w:b/>
                <w:bCs/>
                <w:color w:val="auto"/>
              </w:rPr>
            </w:pPr>
            <w:r>
              <w:rPr>
                <w:rFonts w:hint="eastAsia"/>
                <w:b/>
                <w:bCs/>
                <w:color w:val="auto"/>
                <w:lang w:val="en-US" w:eastAsia="zh-CN"/>
              </w:rPr>
              <w:t>5.</w:t>
            </w:r>
            <w:r>
              <w:rPr>
                <w:rFonts w:hint="eastAsia"/>
                <w:b/>
                <w:bCs/>
                <w:color w:val="auto"/>
              </w:rPr>
              <w:t>具体服务方案细化，各岗位的服务内容在管理方案中有体现。</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服务</w:t>
            </w:r>
            <w:r>
              <w:rPr>
                <w:rFonts w:hint="eastAsia"/>
                <w:color w:val="auto"/>
                <w:highlight w:val="none"/>
                <w:lang w:val="en-US" w:eastAsia="zh-CN"/>
              </w:rPr>
              <w:t>方案</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服务</w:t>
            </w:r>
            <w:r>
              <w:rPr>
                <w:rFonts w:hint="eastAsia"/>
                <w:color w:val="auto"/>
                <w:highlight w:val="none"/>
                <w:lang w:val="en-US" w:eastAsia="zh-CN"/>
              </w:rPr>
              <w:t>方案</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rPr>
              <w:t>服务</w:t>
            </w:r>
            <w:r>
              <w:rPr>
                <w:rFonts w:hint="eastAsia"/>
                <w:color w:val="auto"/>
                <w:highlight w:val="none"/>
                <w:lang w:val="en-US" w:eastAsia="zh-CN"/>
              </w:rPr>
              <w:t>方案</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eastAsia"/>
                <w:color w:val="auto"/>
                <w:lang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08" w:type="dxa"/>
            <w:vMerge w:val="continue"/>
            <w:noWrap w:val="0"/>
            <w:vAlign w:val="center"/>
          </w:tcPr>
          <w:p>
            <w:pPr>
              <w:pStyle w:val="25"/>
              <w:bidi w:val="0"/>
              <w:rPr>
                <w:color w:val="auto"/>
              </w:rPr>
            </w:pPr>
          </w:p>
        </w:tc>
        <w:tc>
          <w:tcPr>
            <w:tcW w:w="7279" w:type="dxa"/>
            <w:noWrap w:val="0"/>
            <w:vAlign w:val="center"/>
          </w:tcPr>
          <w:p>
            <w:pPr>
              <w:pStyle w:val="25"/>
              <w:shd w:val="clear"/>
              <w:jc w:val="left"/>
              <w:rPr>
                <w:rFonts w:hint="eastAsia"/>
                <w:b/>
                <w:bCs/>
                <w:color w:val="auto"/>
                <w:lang w:eastAsia="zh-CN"/>
              </w:rPr>
            </w:pPr>
            <w:r>
              <w:rPr>
                <w:rFonts w:hint="eastAsia"/>
                <w:b/>
                <w:bCs/>
                <w:color w:val="auto"/>
                <w:lang w:val="en-US" w:eastAsia="zh-CN"/>
              </w:rPr>
              <w:t>6.</w:t>
            </w:r>
            <w:r>
              <w:rPr>
                <w:rFonts w:hint="eastAsia"/>
                <w:b/>
                <w:bCs/>
                <w:color w:val="auto"/>
              </w:rPr>
              <w:t>根据本项目使用特点制定切实可行的各类应急预案，并适用于学校管理，方案中是否有水电突发事故及重大事件的危机公关处理方式</w:t>
            </w:r>
            <w:r>
              <w:rPr>
                <w:rFonts w:hint="eastAsia"/>
                <w:b/>
                <w:bCs/>
                <w:color w:val="auto"/>
                <w:lang w:eastAsia="zh-CN"/>
              </w:rPr>
              <w:t>。</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lang w:val="en-US" w:eastAsia="zh-CN"/>
              </w:rPr>
              <w:t>应急预案</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lang w:val="en-US" w:eastAsia="zh-CN"/>
              </w:rPr>
              <w:t>应急预案</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lang w:val="en-US" w:eastAsia="zh-CN"/>
              </w:rPr>
              <w:t>应急预案</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eastAsia"/>
                <w:color w:val="auto"/>
                <w:lang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Merge w:val="continue"/>
            <w:noWrap w:val="0"/>
            <w:vAlign w:val="center"/>
          </w:tcPr>
          <w:p>
            <w:pPr>
              <w:pStyle w:val="25"/>
              <w:bidi w:val="0"/>
              <w:rPr>
                <w:color w:val="auto"/>
              </w:rPr>
            </w:pPr>
          </w:p>
        </w:tc>
        <w:tc>
          <w:tcPr>
            <w:tcW w:w="7279" w:type="dxa"/>
            <w:noWrap w:val="0"/>
            <w:vAlign w:val="center"/>
          </w:tcPr>
          <w:p>
            <w:pPr>
              <w:pStyle w:val="25"/>
              <w:bidi w:val="0"/>
              <w:jc w:val="left"/>
              <w:rPr>
                <w:rFonts w:hint="eastAsia" w:eastAsia="宋体"/>
                <w:b/>
                <w:bCs/>
                <w:color w:val="auto"/>
                <w:lang w:eastAsia="zh-CN"/>
              </w:rPr>
            </w:pPr>
            <w:r>
              <w:rPr>
                <w:rFonts w:hint="eastAsia"/>
                <w:b/>
                <w:bCs/>
                <w:color w:val="auto"/>
                <w:lang w:val="en-US" w:eastAsia="zh-CN"/>
              </w:rPr>
              <w:t>7.</w:t>
            </w:r>
            <w:r>
              <w:rPr>
                <w:rFonts w:hint="eastAsia"/>
                <w:b/>
                <w:bCs/>
                <w:color w:val="auto"/>
              </w:rPr>
              <w:t>具备合理的人员培训计划</w:t>
            </w:r>
            <w:r>
              <w:rPr>
                <w:rFonts w:hint="eastAsia"/>
                <w:b/>
                <w:bCs/>
                <w:color w:val="auto"/>
                <w:lang w:eastAsia="zh-CN"/>
              </w:rPr>
              <w:t>。</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方案完全响应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方案较完整，工作目标较明确、工作保障措施一般，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rPr>
              <w:t>方案可执行性差，计0.1-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rFonts w:hint="eastAsia"/>
                <w:color w:val="auto"/>
                <w:lang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08" w:type="dxa"/>
            <w:vMerge w:val="continue"/>
            <w:noWrap w:val="0"/>
            <w:vAlign w:val="center"/>
          </w:tcPr>
          <w:p>
            <w:pPr>
              <w:pStyle w:val="25"/>
              <w:bidi w:val="0"/>
              <w:rPr>
                <w:rFonts w:hint="eastAsia"/>
                <w:color w:val="auto"/>
                <w:lang w:val="en-US" w:eastAsia="zh-CN"/>
              </w:rPr>
            </w:pPr>
          </w:p>
        </w:tc>
        <w:tc>
          <w:tcPr>
            <w:tcW w:w="7279" w:type="dxa"/>
            <w:noWrap w:val="0"/>
            <w:vAlign w:val="center"/>
          </w:tcPr>
          <w:p>
            <w:pPr>
              <w:pStyle w:val="25"/>
              <w:bidi w:val="0"/>
              <w:jc w:val="left"/>
              <w:rPr>
                <w:rFonts w:hint="eastAsia"/>
                <w:b/>
                <w:bCs/>
                <w:color w:val="auto"/>
                <w:lang w:val="en-US" w:eastAsia="zh-CN"/>
              </w:rPr>
            </w:pPr>
            <w:r>
              <w:rPr>
                <w:rFonts w:hint="eastAsia"/>
                <w:b/>
                <w:bCs/>
                <w:color w:val="auto"/>
                <w:lang w:val="en-US" w:eastAsia="zh-CN"/>
              </w:rPr>
              <w:t>8.合理化建议。</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lang w:val="en-US" w:eastAsia="zh-CN"/>
              </w:rPr>
              <w:t>合理化建议</w:t>
            </w:r>
            <w:r>
              <w:rPr>
                <w:rFonts w:hint="eastAsia"/>
                <w:color w:val="auto"/>
                <w:highlight w:val="none"/>
              </w:rPr>
              <w:t>完全响应</w:t>
            </w:r>
            <w:r>
              <w:rPr>
                <w:rFonts w:hint="eastAsia"/>
                <w:color w:val="auto"/>
                <w:highlight w:val="none"/>
                <w:lang w:val="en-US" w:eastAsia="zh-CN"/>
              </w:rPr>
              <w:t>采购</w:t>
            </w:r>
            <w:r>
              <w:rPr>
                <w:rFonts w:hint="eastAsia"/>
                <w:color w:val="auto"/>
                <w:highlight w:val="none"/>
              </w:rPr>
              <w:t>要求、完整详尽、科学合理、可操作性强，计</w:t>
            </w:r>
            <w:r>
              <w:rPr>
                <w:rFonts w:hint="eastAsia"/>
                <w:color w:val="auto"/>
                <w:highlight w:val="none"/>
                <w:lang w:val="en-US" w:eastAsia="zh-CN"/>
              </w:rPr>
              <w:t>3.1-6</w:t>
            </w:r>
            <w:r>
              <w:rPr>
                <w:rFonts w:hint="eastAsia"/>
                <w:color w:val="auto"/>
                <w:highlight w:val="none"/>
              </w:rPr>
              <w:t>分；</w:t>
            </w:r>
          </w:p>
          <w:p>
            <w:pPr>
              <w:pStyle w:val="25"/>
              <w:shd w:val="clear"/>
              <w:ind w:firstLine="480" w:firstLineChars="200"/>
              <w:jc w:val="left"/>
              <w:rPr>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lang w:val="en-US" w:eastAsia="zh-CN"/>
              </w:rPr>
              <w:t>合理化建议</w:t>
            </w:r>
            <w:r>
              <w:rPr>
                <w:rFonts w:hint="eastAsia"/>
                <w:color w:val="auto"/>
                <w:highlight w:val="none"/>
              </w:rPr>
              <w:t>较完整，工作目标较明确、工作保障措施一般，</w:t>
            </w:r>
            <w:r>
              <w:rPr>
                <w:rFonts w:hint="eastAsia"/>
                <w:color w:val="auto"/>
                <w:highlight w:val="none"/>
                <w:lang w:val="en-US" w:eastAsia="zh-CN"/>
              </w:rPr>
              <w:t>1</w:t>
            </w:r>
            <w:r>
              <w:rPr>
                <w:rFonts w:hint="eastAsia"/>
                <w:color w:val="auto"/>
                <w:highlight w:val="none"/>
              </w:rPr>
              <w:t>.1-</w:t>
            </w:r>
            <w:r>
              <w:rPr>
                <w:rFonts w:hint="eastAsia"/>
                <w:color w:val="auto"/>
                <w:highlight w:val="none"/>
                <w:lang w:val="en-US" w:eastAsia="zh-CN"/>
              </w:rPr>
              <w:t>3</w:t>
            </w:r>
            <w:r>
              <w:rPr>
                <w:rFonts w:hint="eastAsia"/>
                <w:color w:val="auto"/>
                <w:highlight w:val="none"/>
              </w:rPr>
              <w:t>分；</w:t>
            </w:r>
          </w:p>
          <w:p>
            <w:pPr>
              <w:pStyle w:val="25"/>
              <w:shd w:val="clear"/>
              <w:ind w:firstLine="480" w:firstLineChars="200"/>
              <w:jc w:val="left"/>
              <w:rPr>
                <w:rFonts w:hint="eastAsia"/>
                <w:color w:val="auto"/>
                <w:highlight w:val="none"/>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highlight w:val="none"/>
                <w:lang w:val="en-US" w:eastAsia="zh-CN"/>
              </w:rPr>
              <w:t>合理化建议</w:t>
            </w:r>
            <w:r>
              <w:rPr>
                <w:rFonts w:hint="eastAsia"/>
                <w:color w:val="auto"/>
                <w:highlight w:val="none"/>
              </w:rPr>
              <w:t>可执行性差，计0.1-</w:t>
            </w:r>
            <w:r>
              <w:rPr>
                <w:rFonts w:hint="eastAsia"/>
                <w:color w:val="auto"/>
                <w:highlight w:val="none"/>
                <w:lang w:val="en-US" w:eastAsia="zh-CN"/>
              </w:rPr>
              <w:t>1</w:t>
            </w:r>
            <w:r>
              <w:rPr>
                <w:rFonts w:hint="eastAsia"/>
                <w:color w:val="auto"/>
                <w:highlight w:val="none"/>
              </w:rPr>
              <w:t>分。</w:t>
            </w:r>
          </w:p>
          <w:p>
            <w:pPr>
              <w:pStyle w:val="25"/>
              <w:shd w:val="clear"/>
              <w:ind w:firstLine="480" w:firstLineChars="200"/>
              <w:jc w:val="left"/>
              <w:rPr>
                <w:rFonts w:hint="eastAsia"/>
                <w:color w:val="auto"/>
                <w:lang w:val="en-US" w:eastAsia="zh-CN"/>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highlight w:val="none"/>
              </w:rPr>
              <w:t>未提供不得分。</w:t>
            </w:r>
          </w:p>
        </w:tc>
        <w:tc>
          <w:tcPr>
            <w:tcW w:w="740" w:type="dxa"/>
            <w:noWrap w:val="0"/>
            <w:vAlign w:val="center"/>
          </w:tcPr>
          <w:p>
            <w:pPr>
              <w:pStyle w:val="25"/>
              <w:bidi w:val="0"/>
              <w:rPr>
                <w:color w:val="auto"/>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8" w:type="dxa"/>
            <w:noWrap w:val="0"/>
            <w:vAlign w:val="center"/>
          </w:tcPr>
          <w:p>
            <w:pPr>
              <w:pStyle w:val="25"/>
              <w:bidi w:val="0"/>
              <w:rPr>
                <w:rFonts w:hint="eastAsia"/>
                <w:color w:val="auto"/>
                <w:lang w:val="en-US" w:eastAsia="zh-CN"/>
              </w:rPr>
            </w:pPr>
            <w:r>
              <w:rPr>
                <w:rFonts w:hint="eastAsia"/>
                <w:color w:val="auto"/>
                <w:lang w:val="en-US" w:eastAsia="zh-CN"/>
              </w:rPr>
              <w:t>人员</w:t>
            </w:r>
          </w:p>
          <w:p>
            <w:pPr>
              <w:pStyle w:val="25"/>
              <w:bidi w:val="0"/>
              <w:rPr>
                <w:rFonts w:hint="eastAsia"/>
                <w:color w:val="auto"/>
                <w:lang w:val="en-US" w:eastAsia="zh-CN"/>
              </w:rPr>
            </w:pPr>
            <w:r>
              <w:rPr>
                <w:rFonts w:hint="eastAsia"/>
                <w:color w:val="auto"/>
                <w:lang w:val="en-US" w:eastAsia="zh-CN"/>
              </w:rPr>
              <w:t>配备</w:t>
            </w:r>
          </w:p>
          <w:p>
            <w:pPr>
              <w:pStyle w:val="25"/>
              <w:bidi w:val="0"/>
              <w:rPr>
                <w:color w:val="auto"/>
              </w:rPr>
            </w:pPr>
            <w:r>
              <w:rPr>
                <w:rFonts w:hint="eastAsia"/>
                <w:color w:val="auto"/>
                <w:lang w:val="en-US" w:eastAsia="zh-CN"/>
              </w:rPr>
              <w:t>（10分）</w:t>
            </w:r>
          </w:p>
        </w:tc>
        <w:tc>
          <w:tcPr>
            <w:tcW w:w="7279" w:type="dxa"/>
            <w:noWrap w:val="0"/>
            <w:vAlign w:val="center"/>
          </w:tcPr>
          <w:p>
            <w:pPr>
              <w:pStyle w:val="25"/>
              <w:bidi w:val="0"/>
              <w:jc w:val="left"/>
              <w:rPr>
                <w:rFonts w:hint="eastAsia"/>
                <w:b/>
                <w:bCs/>
                <w:color w:val="auto"/>
                <w:lang w:val="en-US" w:eastAsia="zh-CN"/>
              </w:rPr>
            </w:pPr>
            <w:r>
              <w:rPr>
                <w:rFonts w:hint="eastAsia"/>
                <w:b/>
                <w:bCs/>
                <w:color w:val="auto"/>
                <w:lang w:val="en-US" w:eastAsia="zh-CN"/>
              </w:rPr>
              <w:t>针对本项目设有专门的</w:t>
            </w:r>
            <w:r>
              <w:rPr>
                <w:rFonts w:hint="eastAsia"/>
                <w:b/>
                <w:bCs/>
                <w:color w:val="auto"/>
              </w:rPr>
              <w:t>主管经理</w:t>
            </w:r>
            <w:r>
              <w:rPr>
                <w:rFonts w:hint="eastAsia"/>
                <w:b/>
                <w:bCs/>
                <w:color w:val="auto"/>
                <w:lang w:val="en-US" w:eastAsia="zh-CN"/>
              </w:rPr>
              <w:t>、</w:t>
            </w:r>
            <w:r>
              <w:rPr>
                <w:rFonts w:hint="eastAsia"/>
                <w:b/>
                <w:bCs/>
                <w:color w:val="auto"/>
              </w:rPr>
              <w:t>运行班（组）长</w:t>
            </w:r>
            <w:r>
              <w:rPr>
                <w:rFonts w:hint="eastAsia"/>
                <w:b/>
                <w:bCs/>
                <w:color w:val="auto"/>
                <w:lang w:val="en-US" w:eastAsia="zh-CN"/>
              </w:rPr>
              <w:t>、</w:t>
            </w:r>
            <w:r>
              <w:rPr>
                <w:rFonts w:hint="eastAsia"/>
                <w:b/>
                <w:bCs/>
                <w:color w:val="auto"/>
              </w:rPr>
              <w:t>电工（必须持有效的安全操作证）</w:t>
            </w:r>
            <w:r>
              <w:rPr>
                <w:rFonts w:hint="eastAsia"/>
                <w:b/>
                <w:bCs/>
                <w:color w:val="auto"/>
                <w:lang w:val="en-US" w:eastAsia="zh-CN"/>
              </w:rPr>
              <w:t>、</w:t>
            </w:r>
            <w:r>
              <w:rPr>
                <w:rFonts w:hint="eastAsia"/>
                <w:b/>
                <w:bCs/>
                <w:color w:val="auto"/>
              </w:rPr>
              <w:t>水工</w:t>
            </w:r>
            <w:r>
              <w:rPr>
                <w:rFonts w:hint="eastAsia"/>
                <w:b/>
                <w:bCs/>
                <w:color w:val="auto"/>
                <w:lang w:val="en-US" w:eastAsia="zh-CN"/>
              </w:rPr>
              <w:t>、</w:t>
            </w:r>
            <w:r>
              <w:rPr>
                <w:rFonts w:hint="eastAsia"/>
                <w:b/>
                <w:bCs/>
                <w:color w:val="auto"/>
              </w:rPr>
              <w:t>泵房上水</w:t>
            </w:r>
            <w:r>
              <w:rPr>
                <w:rFonts w:hint="eastAsia"/>
                <w:b/>
                <w:bCs/>
                <w:color w:val="auto"/>
                <w:lang w:val="en-US" w:eastAsia="zh-CN"/>
              </w:rPr>
              <w:t>等技术人员。</w:t>
            </w:r>
          </w:p>
          <w:p>
            <w:pPr>
              <w:pStyle w:val="25"/>
              <w:bidi w:val="0"/>
              <w:ind w:firstLine="480" w:firstLineChars="200"/>
              <w:jc w:val="left"/>
              <w:rPr>
                <w:rFonts w:hint="eastAsia"/>
                <w:color w:val="auto"/>
                <w:lang w:val="en-US" w:eastAsia="zh-CN"/>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lang w:val="en-US" w:eastAsia="zh-CN"/>
              </w:rPr>
              <w:t>人员配置齐全，履历贴合项目需求，经验丰富、证件齐全，完全满足采购人需求计7</w:t>
            </w:r>
            <w:r>
              <w:rPr>
                <w:rFonts w:hint="eastAsia"/>
                <w:color w:val="auto"/>
              </w:rPr>
              <w:t>.1-</w:t>
            </w:r>
            <w:r>
              <w:rPr>
                <w:rFonts w:hint="eastAsia"/>
                <w:color w:val="auto"/>
                <w:lang w:val="en-US" w:eastAsia="zh-CN"/>
              </w:rPr>
              <w:t>10分；</w:t>
            </w:r>
          </w:p>
          <w:p>
            <w:pPr>
              <w:pStyle w:val="25"/>
              <w:bidi w:val="0"/>
              <w:ind w:firstLine="480" w:firstLineChars="200"/>
              <w:jc w:val="left"/>
              <w:rPr>
                <w:rFonts w:hint="eastAsia"/>
                <w:color w:val="auto"/>
                <w:lang w:val="en-US" w:eastAsia="zh-CN"/>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lang w:val="en-US" w:eastAsia="zh-CN"/>
              </w:rPr>
              <w:t>人员配置齐全，证件齐全，基本满足采购人需求计3.1-7分；</w:t>
            </w:r>
          </w:p>
          <w:p>
            <w:pPr>
              <w:pStyle w:val="25"/>
              <w:bidi w:val="0"/>
              <w:ind w:firstLine="480" w:firstLineChars="200"/>
              <w:jc w:val="left"/>
              <w:rPr>
                <w:rFonts w:hint="eastAsia"/>
                <w:color w:val="auto"/>
                <w:lang w:val="en-US" w:eastAsia="zh-CN"/>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lang w:val="en-US" w:eastAsia="zh-CN"/>
              </w:rPr>
              <w:t>人员配置齐全，证件欠缺，无法保障项目顺利实施计0.1-3分；</w:t>
            </w:r>
          </w:p>
          <w:p>
            <w:pPr>
              <w:pStyle w:val="25"/>
              <w:bidi w:val="0"/>
              <w:jc w:val="left"/>
              <w:rPr>
                <w:rFonts w:hint="eastAsia"/>
                <w:color w:val="auto"/>
                <w:lang w:val="en-US" w:eastAsia="zh-CN"/>
              </w:rPr>
            </w:pPr>
            <w:r>
              <w:rPr>
                <w:rFonts w:hint="eastAsia"/>
                <w:color w:val="auto"/>
                <w:lang w:val="en-US" w:eastAsia="zh-CN"/>
              </w:rPr>
              <w:t>注：提供的以上人员均须劳动合同复印件加盖公章附在响应文件正、副本中,未提供不得分。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208" w:type="dxa"/>
            <w:noWrap w:val="0"/>
            <w:vAlign w:val="center"/>
          </w:tcPr>
          <w:p>
            <w:pPr>
              <w:pStyle w:val="25"/>
              <w:bidi w:val="0"/>
              <w:rPr>
                <w:rFonts w:hint="eastAsia"/>
                <w:color w:val="auto"/>
                <w:lang w:val="en-US" w:eastAsia="zh-CN"/>
              </w:rPr>
            </w:pPr>
            <w:r>
              <w:rPr>
                <w:rFonts w:hint="eastAsia"/>
                <w:color w:val="auto"/>
                <w:lang w:val="en-US" w:eastAsia="zh-CN"/>
              </w:rPr>
              <w:t>售后</w:t>
            </w:r>
          </w:p>
          <w:p>
            <w:pPr>
              <w:pStyle w:val="25"/>
              <w:bidi w:val="0"/>
              <w:rPr>
                <w:rFonts w:hint="eastAsia"/>
                <w:color w:val="auto"/>
                <w:lang w:val="en-US" w:eastAsia="zh-CN"/>
              </w:rPr>
            </w:pPr>
            <w:r>
              <w:rPr>
                <w:rFonts w:hint="eastAsia"/>
                <w:color w:val="auto"/>
                <w:lang w:val="en-US" w:eastAsia="zh-CN"/>
              </w:rPr>
              <w:t>服务</w:t>
            </w:r>
          </w:p>
          <w:p>
            <w:pPr>
              <w:pStyle w:val="25"/>
              <w:bidi w:val="0"/>
              <w:rPr>
                <w:rFonts w:hint="eastAsia"/>
                <w:color w:val="auto"/>
                <w:lang w:val="en-US" w:eastAsia="zh-CN"/>
              </w:rPr>
            </w:pPr>
            <w:r>
              <w:rPr>
                <w:rFonts w:hint="eastAsia"/>
                <w:color w:val="auto"/>
                <w:lang w:val="en-US" w:eastAsia="zh-CN"/>
              </w:rPr>
              <w:t>（7分）</w:t>
            </w:r>
          </w:p>
          <w:p>
            <w:pPr>
              <w:pStyle w:val="25"/>
              <w:bidi w:val="0"/>
              <w:rPr>
                <w:color w:val="auto"/>
              </w:rPr>
            </w:pPr>
          </w:p>
        </w:tc>
        <w:tc>
          <w:tcPr>
            <w:tcW w:w="7279" w:type="dxa"/>
            <w:noWrap w:val="0"/>
            <w:vAlign w:val="center"/>
          </w:tcPr>
          <w:p>
            <w:pPr>
              <w:pStyle w:val="25"/>
              <w:bidi w:val="0"/>
              <w:jc w:val="left"/>
              <w:rPr>
                <w:b/>
                <w:bCs/>
                <w:color w:val="auto"/>
              </w:rPr>
            </w:pPr>
            <w:r>
              <w:rPr>
                <w:rFonts w:hint="eastAsia"/>
                <w:b/>
                <w:bCs/>
                <w:color w:val="auto"/>
              </w:rPr>
              <w:t>针对本项目提供明确、具体、切实可行的售后服务方案，方案内容包括但不限于售后服务承诺及售后服务响应体系和保障措施，主要参考指标包括整体售后服务方案、质量保证期限、维修服务队伍规模、技术力量、维修响应时间以及其它优惠的售后服务措施等。</w:t>
            </w:r>
          </w:p>
          <w:p>
            <w:pPr>
              <w:pStyle w:val="25"/>
              <w:bidi w:val="0"/>
              <w:ind w:firstLine="240" w:firstLineChars="100"/>
              <w:jc w:val="left"/>
              <w:rPr>
                <w:color w:val="auto"/>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rPr>
              <w:t>售后服务方案完善，科学合理，证明材料完整，可操作性强，计</w:t>
            </w:r>
            <w:r>
              <w:rPr>
                <w:rFonts w:hint="eastAsia"/>
                <w:color w:val="auto"/>
                <w:lang w:val="en-US" w:eastAsia="zh-CN"/>
              </w:rPr>
              <w:t>5</w:t>
            </w:r>
            <w:r>
              <w:rPr>
                <w:rFonts w:hint="eastAsia"/>
                <w:color w:val="auto"/>
              </w:rPr>
              <w:t>.1-</w:t>
            </w:r>
            <w:r>
              <w:rPr>
                <w:rFonts w:hint="eastAsia"/>
                <w:color w:val="auto"/>
                <w:lang w:val="en-US" w:eastAsia="zh-CN"/>
              </w:rPr>
              <w:t>7</w:t>
            </w:r>
            <w:r>
              <w:rPr>
                <w:rFonts w:hint="eastAsia"/>
                <w:color w:val="auto"/>
              </w:rPr>
              <w:t>分；</w:t>
            </w:r>
          </w:p>
          <w:p>
            <w:pPr>
              <w:pStyle w:val="25"/>
              <w:bidi w:val="0"/>
              <w:ind w:firstLine="240" w:firstLineChars="100"/>
              <w:jc w:val="left"/>
              <w:rPr>
                <w:color w:val="auto"/>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rPr>
              <w:t>售后服务方案较完善，工作目标较明确、工作保障措施一般，</w:t>
            </w:r>
            <w:r>
              <w:rPr>
                <w:rFonts w:hint="eastAsia"/>
                <w:color w:val="auto"/>
                <w:lang w:val="en-US" w:eastAsia="zh-CN"/>
              </w:rPr>
              <w:t>2.1</w:t>
            </w:r>
            <w:r>
              <w:rPr>
                <w:rFonts w:hint="eastAsia"/>
                <w:color w:val="auto"/>
              </w:rPr>
              <w:t>-</w:t>
            </w:r>
            <w:r>
              <w:rPr>
                <w:rFonts w:hint="eastAsia"/>
                <w:color w:val="auto"/>
                <w:lang w:val="en-US" w:eastAsia="zh-CN"/>
              </w:rPr>
              <w:t>5</w:t>
            </w:r>
            <w:r>
              <w:rPr>
                <w:rFonts w:hint="eastAsia"/>
                <w:color w:val="auto"/>
              </w:rPr>
              <w:t>分；</w:t>
            </w:r>
          </w:p>
          <w:p>
            <w:pPr>
              <w:pStyle w:val="25"/>
              <w:bidi w:val="0"/>
              <w:ind w:firstLine="240" w:firstLineChars="100"/>
              <w:jc w:val="left"/>
              <w:rPr>
                <w:color w:val="auto"/>
              </w:rPr>
            </w:pPr>
            <w:r>
              <w:rPr>
                <w:rFonts w:hint="eastAsia"/>
                <w:color w:val="auto"/>
                <w:highlight w:val="none"/>
              </w:rPr>
              <w:fldChar w:fldCharType="begin"/>
            </w:r>
            <w:r>
              <w:rPr>
                <w:rFonts w:hint="eastAsia"/>
                <w:color w:val="auto"/>
                <w:highlight w:val="none"/>
              </w:rPr>
              <w:instrText xml:space="preserve"> = 3 \* GB3 \* MERGEFORMAT </w:instrText>
            </w:r>
            <w:r>
              <w:rPr>
                <w:rFonts w:hint="eastAsia"/>
                <w:color w:val="auto"/>
                <w:highlight w:val="none"/>
              </w:rPr>
              <w:fldChar w:fldCharType="separate"/>
            </w:r>
            <w:r>
              <w:rPr>
                <w:color w:val="auto"/>
                <w:highlight w:val="none"/>
              </w:rPr>
              <w:t>③</w:t>
            </w:r>
            <w:r>
              <w:rPr>
                <w:rFonts w:hint="eastAsia"/>
                <w:color w:val="auto"/>
                <w:highlight w:val="none"/>
              </w:rPr>
              <w:fldChar w:fldCharType="end"/>
            </w:r>
            <w:r>
              <w:rPr>
                <w:rFonts w:hint="eastAsia"/>
                <w:color w:val="auto"/>
              </w:rPr>
              <w:t>方案可执行性差，计0.1-</w:t>
            </w:r>
            <w:r>
              <w:rPr>
                <w:rFonts w:hint="eastAsia"/>
                <w:color w:val="auto"/>
                <w:lang w:val="en-US" w:eastAsia="zh-CN"/>
              </w:rPr>
              <w:t>2</w:t>
            </w:r>
            <w:r>
              <w:rPr>
                <w:rFonts w:hint="eastAsia"/>
                <w:color w:val="auto"/>
              </w:rPr>
              <w:t>分。</w:t>
            </w:r>
          </w:p>
          <w:p>
            <w:pPr>
              <w:pStyle w:val="25"/>
              <w:bidi w:val="0"/>
              <w:ind w:firstLine="240" w:firstLineChars="100"/>
              <w:jc w:val="left"/>
              <w:rPr>
                <w:rFonts w:hint="eastAsia"/>
                <w:color w:val="auto"/>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color w:val="auto"/>
                <w:highlight w:val="none"/>
              </w:rPr>
              <w:t>④</w:t>
            </w:r>
            <w:r>
              <w:rPr>
                <w:rFonts w:hint="eastAsia"/>
                <w:color w:val="auto"/>
                <w:highlight w:val="none"/>
              </w:rPr>
              <w:fldChar w:fldCharType="end"/>
            </w:r>
            <w:r>
              <w:rPr>
                <w:rFonts w:hint="eastAsia"/>
                <w:color w:val="auto"/>
              </w:rPr>
              <w:t>未提供方案不得分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208" w:type="dxa"/>
            <w:noWrap w:val="0"/>
            <w:vAlign w:val="center"/>
          </w:tcPr>
          <w:p>
            <w:pPr>
              <w:pStyle w:val="25"/>
              <w:bidi w:val="0"/>
              <w:rPr>
                <w:rFonts w:hint="eastAsia"/>
                <w:color w:val="auto"/>
                <w:lang w:val="en-US" w:eastAsia="zh-CN"/>
              </w:rPr>
            </w:pPr>
            <w:r>
              <w:rPr>
                <w:rFonts w:hint="eastAsia"/>
                <w:color w:val="auto"/>
                <w:lang w:val="en-US" w:eastAsia="zh-CN"/>
              </w:rPr>
              <w:t>业绩</w:t>
            </w:r>
          </w:p>
          <w:p>
            <w:pPr>
              <w:pStyle w:val="25"/>
              <w:bidi w:val="0"/>
              <w:rPr>
                <w:color w:val="auto"/>
              </w:rPr>
            </w:pPr>
            <w:r>
              <w:rPr>
                <w:rFonts w:hint="eastAsia"/>
                <w:color w:val="auto"/>
                <w:lang w:val="en-US" w:eastAsia="zh-CN"/>
              </w:rPr>
              <w:t>（10分）</w:t>
            </w:r>
          </w:p>
        </w:tc>
        <w:tc>
          <w:tcPr>
            <w:tcW w:w="7279" w:type="dxa"/>
            <w:noWrap w:val="0"/>
            <w:vAlign w:val="center"/>
          </w:tcPr>
          <w:p>
            <w:pPr>
              <w:pStyle w:val="25"/>
              <w:bidi w:val="0"/>
              <w:jc w:val="left"/>
              <w:rPr>
                <w:rFonts w:hint="eastAsia"/>
                <w:color w:val="auto"/>
              </w:rPr>
            </w:pPr>
            <w:r>
              <w:rPr>
                <w:rFonts w:hint="eastAsia"/>
                <w:color w:val="auto"/>
                <w:lang w:val="en-US" w:eastAsia="zh-CN"/>
              </w:rPr>
              <w:t>供应商</w:t>
            </w:r>
            <w:r>
              <w:rPr>
                <w:rFonts w:hint="eastAsia"/>
                <w:color w:val="auto"/>
              </w:rPr>
              <w:t>提供2019年</w:t>
            </w:r>
            <w:r>
              <w:rPr>
                <w:rFonts w:hint="eastAsia"/>
                <w:color w:val="auto"/>
                <w:lang w:val="en-US" w:eastAsia="zh-CN"/>
              </w:rPr>
              <w:t>1</w:t>
            </w:r>
            <w:r>
              <w:rPr>
                <w:rFonts w:hint="eastAsia"/>
                <w:color w:val="auto"/>
              </w:rPr>
              <w:t>1月1日至今同类项目业绩，须提供清晰有效的合同复印件并加盖单位公章，每提供一份得</w:t>
            </w:r>
            <w:r>
              <w:rPr>
                <w:rFonts w:hint="eastAsia"/>
                <w:color w:val="auto"/>
                <w:lang w:val="en-US" w:eastAsia="zh-CN"/>
              </w:rPr>
              <w:t>2</w:t>
            </w:r>
            <w:r>
              <w:rPr>
                <w:rFonts w:hint="eastAsia"/>
                <w:color w:val="auto"/>
              </w:rPr>
              <w:t>分，最高</w:t>
            </w:r>
            <w:r>
              <w:rPr>
                <w:rFonts w:hint="eastAsia"/>
                <w:color w:val="auto"/>
                <w:lang w:val="en-US" w:eastAsia="zh-CN"/>
              </w:rPr>
              <w:t>10</w:t>
            </w:r>
            <w:r>
              <w:rPr>
                <w:rFonts w:hint="eastAsia"/>
                <w:color w:val="auto"/>
              </w:rPr>
              <w:t>分，不提供或提供不清晰者本项不得分。时间以合同签订时间为准。</w:t>
            </w:r>
          </w:p>
        </w:tc>
        <w:tc>
          <w:tcPr>
            <w:tcW w:w="740" w:type="dxa"/>
            <w:noWrap w:val="0"/>
            <w:vAlign w:val="center"/>
          </w:tcPr>
          <w:p>
            <w:pPr>
              <w:pStyle w:val="25"/>
              <w:bidi w:val="0"/>
              <w:rPr>
                <w:rFonts w:hint="default"/>
                <w:color w:val="auto"/>
                <w:lang w:val="en-US" w:eastAsia="zh-CN"/>
              </w:rPr>
            </w:pPr>
            <w:r>
              <w:rPr>
                <w:rFonts w:hint="eastAsia"/>
                <w:color w:val="auto"/>
                <w:lang w:val="en-US" w:eastAsia="zh-CN"/>
              </w:rPr>
              <w:t>10</w:t>
            </w:r>
          </w:p>
        </w:tc>
      </w:tr>
    </w:tbl>
    <w:p>
      <w:pPr>
        <w:rPr>
          <w:rFonts w:hint="default"/>
          <w:color w:val="auto"/>
          <w:lang w:val="en-US" w:eastAsia="zh-CN"/>
        </w:rPr>
      </w:pPr>
    </w:p>
    <w:p>
      <w:pPr>
        <w:bidi w:val="0"/>
        <w:rPr>
          <w:rFonts w:hint="eastAsia"/>
          <w:color w:val="auto"/>
        </w:rPr>
      </w:pPr>
    </w:p>
    <w:p>
      <w:pPr>
        <w:pStyle w:val="2"/>
        <w:ind w:firstLine="480"/>
        <w:rPr>
          <w:rFonts w:hint="eastAsia"/>
          <w:color w:val="auto"/>
        </w:rPr>
      </w:pPr>
      <w:r>
        <w:rPr>
          <w:rFonts w:hint="eastAsia"/>
          <w:color w:val="auto"/>
        </w:rPr>
        <w:t>24.3.6推荐成交候选供应商</w:t>
      </w:r>
    </w:p>
    <w:p>
      <w:pPr>
        <w:pStyle w:val="2"/>
        <w:ind w:firstLine="480"/>
        <w:rPr>
          <w:rFonts w:hint="eastAsia"/>
          <w:color w:val="auto"/>
        </w:rPr>
      </w:pPr>
      <w:r>
        <w:rPr>
          <w:rFonts w:hint="eastAsia"/>
          <w:color w:val="auto"/>
        </w:rPr>
        <w:t>磋商小组完成评审后，向采购人提出书面评审报告，并推荐1-3名成交候选供应商，标明排列顺序。评审报告由磋商小组全体成员签字确认。</w:t>
      </w:r>
    </w:p>
    <w:p>
      <w:pPr>
        <w:pStyle w:val="2"/>
        <w:ind w:firstLine="480"/>
        <w:rPr>
          <w:rFonts w:hint="eastAsia"/>
          <w:color w:val="auto"/>
        </w:rPr>
      </w:pPr>
      <w:r>
        <w:rPr>
          <w:rFonts w:hint="eastAsia"/>
          <w:color w:val="auto"/>
        </w:rPr>
        <w:t>24.4特殊情况的处理</w:t>
      </w:r>
    </w:p>
    <w:p>
      <w:pPr>
        <w:pStyle w:val="2"/>
        <w:ind w:firstLine="480"/>
        <w:rPr>
          <w:rFonts w:hint="eastAsia" w:cs="宋体"/>
          <w:color w:val="auto"/>
          <w:szCs w:val="24"/>
        </w:rPr>
      </w:pPr>
      <w:r>
        <w:rPr>
          <w:rFonts w:hint="eastAsia"/>
          <w:color w:val="auto"/>
        </w:rPr>
        <w:t>24.4.1对于竞争性磋商响应文件中明显的标点符号错误或不构成实质性偏差的不</w:t>
      </w:r>
      <w:r>
        <w:rPr>
          <w:rFonts w:hint="eastAsia" w:cs="宋体"/>
          <w:color w:val="auto"/>
          <w:szCs w:val="24"/>
        </w:rPr>
        <w:t>正规、不一致或不规则，采购人可以接受。</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24.4.2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24.4.3磋商过程中，若出现本评审方法以外的特殊情况时，将暂停评审，待磋商小组商榷后，再进行评定。</w:t>
      </w:r>
    </w:p>
    <w:p>
      <w:pPr>
        <w:pStyle w:val="5"/>
        <w:rPr>
          <w:rFonts w:hint="eastAsia" w:ascii="宋体" w:hAnsi="宋体" w:cs="宋体"/>
          <w:color w:val="auto"/>
        </w:rPr>
      </w:pPr>
      <w:r>
        <w:rPr>
          <w:rFonts w:hint="eastAsia" w:ascii="宋体" w:hAnsi="宋体" w:cs="宋体"/>
          <w:color w:val="auto"/>
        </w:rPr>
        <w:t>六.定标、成交通知与签约</w:t>
      </w:r>
    </w:p>
    <w:p>
      <w:pPr>
        <w:adjustRightInd w:val="0"/>
        <w:snapToGrid w:val="0"/>
        <w:spacing w:line="360" w:lineRule="auto"/>
        <w:outlineLvl w:val="2"/>
        <w:rPr>
          <w:rFonts w:hint="eastAsia" w:ascii="宋体" w:hAnsi="宋体" w:cs="宋体"/>
          <w:b/>
          <w:color w:val="auto"/>
          <w:sz w:val="24"/>
          <w:szCs w:val="24"/>
        </w:rPr>
      </w:pPr>
      <w:bookmarkStart w:id="77" w:name="_Toc26687"/>
      <w:r>
        <w:rPr>
          <w:rFonts w:hint="eastAsia" w:ascii="宋体" w:hAnsi="宋体" w:cs="宋体"/>
          <w:b/>
          <w:color w:val="auto"/>
          <w:sz w:val="24"/>
          <w:szCs w:val="24"/>
        </w:rPr>
        <w:t>25.定标程序</w:t>
      </w:r>
      <w:bookmarkEnd w:id="77"/>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25.1采购代理机构应当在评审结束后2个工作日内将评审报告送采购人。</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25.2采购人应当自收到评审报告之日起5个工作日内，在评审报告确定的成交候选供应商名单中按顺序确定排名第一的为成交供应商，以复函通知采购代理机构。成交候选供应商并列的，由采购人或者采购人委托磋商小组按照竞争性磋商文件规定的方式确定成交供应商；竞争性磋商文件未规定的，采取随机抽取的方式确定。</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25.3采购人在收到评审报告5个工作日内未按评审报告推荐的成交候选供应商顺序确定成交供应商，又不能说明合法理由的，视同按评审报告推荐的顺序确定排名第一的成交候选供应商为成交供应商。</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25.4排名第一的成交候选供应商放弃成交、在规定期限内未能签订合同、因不可抗力不能履行合同、不按照竞争性磋商文件要求提交履约保证金（如有），或者被查实存在影响成交结果的违法行为等情形，不符合成交条件的，采购人可以按照磋商小组提出的成交候选供应商名单排序依次确定其他成交候选供应商为成交供应商，也可以重新组织采购。</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25.5采购代理机构在接到采购人的定标复函后，在信息发布媒体上发布公告，同时采购代理机构向成交供应商发出《成交通知书》。</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25.6供应商或者其他利害关系人对评审结果有异议的，应当在法律规定的时间内提出。</w:t>
      </w:r>
    </w:p>
    <w:p>
      <w:pPr>
        <w:adjustRightInd w:val="0"/>
        <w:snapToGrid w:val="0"/>
        <w:spacing w:line="360" w:lineRule="auto"/>
        <w:outlineLvl w:val="2"/>
        <w:rPr>
          <w:rFonts w:hint="eastAsia" w:ascii="宋体" w:hAnsi="宋体" w:cs="宋体"/>
          <w:b/>
          <w:color w:val="auto"/>
          <w:sz w:val="24"/>
          <w:szCs w:val="24"/>
        </w:rPr>
      </w:pPr>
      <w:bookmarkStart w:id="78" w:name="_Toc29412"/>
      <w:r>
        <w:rPr>
          <w:rFonts w:hint="eastAsia" w:ascii="宋体" w:hAnsi="宋体" w:cs="宋体"/>
          <w:b/>
          <w:color w:val="auto"/>
          <w:sz w:val="24"/>
          <w:szCs w:val="24"/>
        </w:rPr>
        <w:t>26.成交通知</w:t>
      </w:r>
      <w:bookmarkEnd w:id="78"/>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26.1采购代理机构向成交供应商发出《成交通知书》。</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26.2成交通知书对采购人和成交供应商具有同等法律效力。成交通知书发出之后，采购人改变成交结果，或者成交供应商放弃成交，应当承担相应的法律责任。</w:t>
      </w:r>
    </w:p>
    <w:p>
      <w:pPr>
        <w:adjustRightInd w:val="0"/>
        <w:snapToGrid w:val="0"/>
        <w:spacing w:line="360" w:lineRule="auto"/>
        <w:outlineLvl w:val="2"/>
        <w:rPr>
          <w:rFonts w:hint="eastAsia" w:ascii="宋体" w:hAnsi="宋体" w:cs="宋体"/>
          <w:b/>
          <w:color w:val="auto"/>
          <w:sz w:val="24"/>
          <w:szCs w:val="24"/>
        </w:rPr>
      </w:pPr>
      <w:bookmarkStart w:id="79" w:name="_Toc7161"/>
      <w:r>
        <w:rPr>
          <w:rFonts w:hint="eastAsia" w:ascii="宋体" w:hAnsi="宋体" w:cs="宋体"/>
          <w:b/>
          <w:color w:val="auto"/>
          <w:sz w:val="24"/>
          <w:szCs w:val="24"/>
        </w:rPr>
        <w:t>27.采购合同的签订</w:t>
      </w:r>
      <w:bookmarkEnd w:id="79"/>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27.1采购人应当自成交通知书发出之日起三十日内，按照竞争性磋商文件和成交供应商响应文件（包括评标中形成的澄清文件）的约定，与成交供应商签订书面合同。所签订的合同不得对竞争性磋商文件和成交供应商的响应文件（包括评审中形成的澄清文件）作实质性修改。</w:t>
      </w:r>
    </w:p>
    <w:p>
      <w:pPr>
        <w:adjustRightInd w:val="0"/>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27.2采购人与成交供应商应当根据合同的约定依法履行合同义务。政府采购合同的履行、违约责任和解决争议的方法等适用《中华人民共和国民法典》。</w:t>
      </w:r>
    </w:p>
    <w:p>
      <w:pPr>
        <w:adjustRightInd w:val="0"/>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27.3采购人应当加强对成交供应商的履约管理，对于成交供应商违反采购合同约定的行为，采购人应当及时处理，依法追究其违约责任。</w:t>
      </w:r>
    </w:p>
    <w:p>
      <w:pPr>
        <w:adjustRightInd w:val="0"/>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27.4成交供应商无正当理由拖延或拒签合同，采购人有权取消其成交资格，并按评标结果顺序重新确定成交供应商。采购人有权同时报请监督机构处通报全省，取消其进入政府采购市场的资格，并按规定予以处罚，并没收其磋商响应保证金（如有）。</w:t>
      </w:r>
    </w:p>
    <w:p>
      <w:pPr>
        <w:adjustRightInd w:val="0"/>
        <w:snapToGrid w:val="0"/>
        <w:spacing w:line="360" w:lineRule="auto"/>
        <w:outlineLvl w:val="2"/>
        <w:rPr>
          <w:rFonts w:hint="eastAsia" w:ascii="宋体" w:hAnsi="宋体" w:cs="宋体"/>
          <w:b/>
          <w:color w:val="auto"/>
          <w:sz w:val="24"/>
          <w:szCs w:val="24"/>
        </w:rPr>
      </w:pPr>
      <w:bookmarkStart w:id="80" w:name="_Toc19932"/>
      <w:r>
        <w:rPr>
          <w:rFonts w:hint="eastAsia" w:ascii="宋体" w:hAnsi="宋体" w:cs="宋体"/>
          <w:b/>
          <w:color w:val="auto"/>
          <w:sz w:val="24"/>
          <w:szCs w:val="24"/>
        </w:rPr>
        <w:t>28.招标代理服务费</w:t>
      </w:r>
      <w:bookmarkEnd w:id="80"/>
      <w:bookmarkStart w:id="81" w:name="_Toc22586"/>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bCs/>
          <w:color w:val="auto"/>
          <w:sz w:val="24"/>
          <w:szCs w:val="24"/>
        </w:rPr>
        <w:t>见供应商须知前附表。</w:t>
      </w:r>
    </w:p>
    <w:p>
      <w:pPr>
        <w:adjustRightInd w:val="0"/>
        <w:snapToGrid w:val="0"/>
        <w:spacing w:line="360" w:lineRule="auto"/>
        <w:outlineLvl w:val="2"/>
        <w:rPr>
          <w:rFonts w:hint="eastAsia" w:ascii="宋体" w:hAnsi="宋体" w:cs="宋体"/>
          <w:b/>
          <w:bCs/>
          <w:color w:val="auto"/>
          <w:sz w:val="24"/>
          <w:szCs w:val="24"/>
        </w:rPr>
      </w:pPr>
      <w:r>
        <w:rPr>
          <w:rFonts w:hint="eastAsia" w:ascii="宋体" w:hAnsi="宋体" w:cs="宋体"/>
          <w:b/>
          <w:bCs/>
          <w:color w:val="auto"/>
          <w:sz w:val="24"/>
          <w:szCs w:val="24"/>
        </w:rPr>
        <w:t>29.质疑</w:t>
      </w:r>
      <w:bookmarkEnd w:id="81"/>
    </w:p>
    <w:p>
      <w:pPr>
        <w:adjustRightInd w:val="0"/>
        <w:snapToGrid w:val="0"/>
        <w:spacing w:line="360" w:lineRule="auto"/>
        <w:ind w:right="12" w:firstLine="480"/>
        <w:rPr>
          <w:rFonts w:hint="eastAsia" w:ascii="宋体" w:hAnsi="宋体" w:cs="宋体"/>
          <w:color w:val="auto"/>
          <w:sz w:val="24"/>
          <w:szCs w:val="24"/>
        </w:rPr>
      </w:pPr>
      <w:r>
        <w:rPr>
          <w:rFonts w:hint="eastAsia" w:ascii="宋体" w:hAnsi="宋体" w:cs="宋体"/>
          <w:color w:val="auto"/>
          <w:sz w:val="24"/>
          <w:szCs w:val="24"/>
        </w:rPr>
        <w:t>29.1供应商认为竞争性磋商文件、采购过程、成交结果使自己的权益受到损害的，可以在知道或者应知其权益受到损害之日起7个工作日内，以书面形式向采购人、采购代理机构提出质疑。</w:t>
      </w:r>
    </w:p>
    <w:p>
      <w:pPr>
        <w:adjustRightInd w:val="0"/>
        <w:snapToGrid w:val="0"/>
        <w:spacing w:line="360" w:lineRule="auto"/>
        <w:ind w:right="12" w:firstLine="480"/>
        <w:rPr>
          <w:rFonts w:hint="eastAsia" w:ascii="宋体" w:hAnsi="宋体" w:cs="宋体"/>
          <w:color w:val="auto"/>
          <w:sz w:val="24"/>
          <w:szCs w:val="24"/>
        </w:rPr>
      </w:pPr>
      <w:r>
        <w:rPr>
          <w:rFonts w:hint="eastAsia" w:ascii="宋体" w:hAnsi="宋体" w:cs="宋体"/>
          <w:color w:val="auto"/>
          <w:sz w:val="24"/>
          <w:szCs w:val="24"/>
        </w:rPr>
        <w:t>29.2供应商必须在法定质疑期内一次性提出针对同一采购程序环节的质疑。</w:t>
      </w:r>
    </w:p>
    <w:p>
      <w:pPr>
        <w:adjustRightInd w:val="0"/>
        <w:snapToGrid w:val="0"/>
        <w:spacing w:line="360" w:lineRule="auto"/>
        <w:ind w:right="12" w:firstLine="480"/>
        <w:rPr>
          <w:rStyle w:val="22"/>
          <w:rFonts w:hint="eastAsia" w:ascii="宋体" w:hAnsi="宋体" w:cs="宋体"/>
          <w:b w:val="0"/>
          <w:bCs/>
          <w:color w:val="auto"/>
          <w:sz w:val="24"/>
          <w:szCs w:val="24"/>
          <w:shd w:val="clear" w:color="auto" w:fill="FFFFFF"/>
        </w:rPr>
      </w:pPr>
      <w:r>
        <w:rPr>
          <w:rStyle w:val="22"/>
          <w:rFonts w:hint="eastAsia" w:ascii="宋体" w:hAnsi="宋体" w:cs="宋体"/>
          <w:b w:val="0"/>
          <w:bCs/>
          <w:color w:val="auto"/>
          <w:sz w:val="24"/>
          <w:szCs w:val="24"/>
          <w:shd w:val="clear" w:color="auto" w:fill="FFFFFF"/>
        </w:rPr>
        <w:t>29.3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adjustRightInd w:val="0"/>
        <w:snapToGrid w:val="0"/>
        <w:spacing w:line="360" w:lineRule="auto"/>
        <w:ind w:left="3" w:firstLine="518" w:firstLineChars="216"/>
        <w:rPr>
          <w:rStyle w:val="22"/>
          <w:rFonts w:hint="eastAsia" w:ascii="宋体" w:hAnsi="宋体" w:cs="宋体"/>
          <w:b w:val="0"/>
          <w:bCs/>
          <w:color w:val="auto"/>
          <w:sz w:val="24"/>
          <w:szCs w:val="24"/>
          <w:shd w:val="clear" w:color="auto" w:fill="FFFFFF"/>
        </w:rPr>
      </w:pPr>
      <w:r>
        <w:rPr>
          <w:rStyle w:val="22"/>
          <w:rFonts w:hint="eastAsia" w:ascii="宋体" w:hAnsi="宋体" w:cs="宋体"/>
          <w:b w:val="0"/>
          <w:bCs/>
          <w:color w:val="auto"/>
          <w:sz w:val="24"/>
          <w:szCs w:val="24"/>
          <w:shd w:val="clear" w:color="auto" w:fill="FFFFFF"/>
        </w:rPr>
        <w:t>29.4以联合体形式参加政府采购活动的，其质疑应当由组成联合体的所有供应商共同提出。</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29.5供应商提出质疑应当提交质疑函和必要的证明材料。质疑函应当包括下列内容：</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（1）供应商的姓名或者名称、地址、邮编、联系人及联系电话；</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（2）质疑项目的名称、编号；</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（3）具体、明确的质疑事项和与质疑事项相关的请求；</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（4）事实依据；</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（5）必要的法律依据；</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（6）提出质疑的日期。</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29.6有下列情形之一的，属于无效质疑，采购代理机构和采购人不予受理：</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（1）质疑供应商不是参与本次采购项目的供应商；</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（2）质疑供应商与质疑事项不存在利害关系的；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（3）未在法定期限内提出质疑的；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（4）质疑未以书面形式提出，或质疑函主要内容构成不完整的；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（5）应当提交授权书而未提交的；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（6）以非法手段取得证据、材料的；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（7）质疑答复后，同一质疑人就同一事项或同一采购程序环节再次提出质疑的；</w:t>
      </w:r>
    </w:p>
    <w:p>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（8）不符合法律、法规、规章和政府采购监管机构规定的其他条件的。</w:t>
      </w:r>
    </w:p>
    <w:p>
      <w:pPr>
        <w:adjustRightInd w:val="0"/>
        <w:snapToGrid w:val="0"/>
        <w:spacing w:line="360" w:lineRule="auto"/>
        <w:ind w:right="12" w:firstLine="480" w:firstLineChars="200"/>
        <w:rPr>
          <w:rFonts w:hint="eastAsia" w:ascii="宋体" w:hAnsi="宋体" w:cs="宋体"/>
          <w:color w:val="auto"/>
          <w:sz w:val="24"/>
          <w:szCs w:val="24"/>
        </w:rPr>
      </w:pPr>
      <w:r>
        <w:rPr>
          <w:rFonts w:hint="eastAsia" w:ascii="宋体" w:hAnsi="宋体" w:cs="宋体"/>
          <w:color w:val="auto"/>
          <w:sz w:val="24"/>
          <w:szCs w:val="24"/>
        </w:rPr>
        <w:t>29.7质疑答复</w:t>
      </w:r>
    </w:p>
    <w:p>
      <w:pPr>
        <w:pStyle w:val="26"/>
        <w:adjustRightInd w:val="0"/>
        <w:snapToGrid w:val="0"/>
        <w:spacing w:line="360" w:lineRule="auto"/>
        <w:ind w:firstLine="480"/>
        <w:jc w:val="left"/>
        <w:rPr>
          <w:rFonts w:hint="eastAsia" w:ascii="宋体" w:hAnsi="宋体" w:cs="宋体"/>
          <w:color w:val="auto"/>
          <w:sz w:val="24"/>
        </w:rPr>
      </w:pPr>
      <w:r>
        <w:rPr>
          <w:rFonts w:hint="eastAsia" w:ascii="宋体" w:hAnsi="宋体" w:cs="宋体"/>
          <w:color w:val="auto"/>
          <w:sz w:val="24"/>
        </w:rPr>
        <w:t>（1）采购人或采购代理机构在收到质疑函后7个工作日内作出答复，并以书面形式通知质疑供应商和其他有关供应商。</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（2）质疑供应商对采购人、采购代理机构的答复不满意，或者采购人、采购代理机构未在规定时间内作出答复的，可以在答复期满后15个工作日内向采购人同级财政部门提起投诉。</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29.8其他需要说明的事项</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1）质疑函须按财政部《质疑函范本》给定的格式进行填写，范本下载详见【财政部国库司（gks.mof.gov.cn）】网站〖首页·政府采购管理〗栏目中的《政府采购供应商质疑函范本》。《政府采购供应商质疑函范本》链接地址：</w:t>
      </w:r>
    </w:p>
    <w:p>
      <w:pPr>
        <w:pStyle w:val="26"/>
        <w:adjustRightInd w:val="0"/>
        <w:snapToGrid w:val="0"/>
        <w:spacing w:line="360" w:lineRule="auto"/>
        <w:ind w:firstLine="0" w:firstLineChars="0"/>
        <w:jc w:val="left"/>
        <w:rPr>
          <w:rFonts w:hint="eastAsia" w:ascii="宋体" w:hAnsi="宋体" w:cs="宋体"/>
          <w:color w:val="auto"/>
          <w:sz w:val="24"/>
        </w:rPr>
      </w:pPr>
      <w:r>
        <w:rPr>
          <w:rFonts w:hint="eastAsia" w:ascii="宋体" w:hAnsi="宋体" w:cs="宋体"/>
          <w:color w:val="auto"/>
          <w:sz w:val="24"/>
        </w:rPr>
        <w:t>http://gks.mof.gov.cn/zhengfucaigouguanli/201802/t20180201_2804589.html</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（2）接收质疑函的方式：书面形式</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（3）联系部门：陕西正鸿招标有限公司招标部</w:t>
      </w:r>
    </w:p>
    <w:p>
      <w:pPr>
        <w:pStyle w:val="26"/>
        <w:adjustRightInd w:val="0"/>
        <w:snapToGrid w:val="0"/>
        <w:spacing w:line="360" w:lineRule="auto"/>
        <w:ind w:firstLine="480" w:firstLineChars="0"/>
        <w:jc w:val="left"/>
        <w:rPr>
          <w:rFonts w:hint="eastAsia" w:ascii="宋体" w:hAnsi="宋体" w:eastAsia="宋体" w:cs="宋体"/>
          <w:color w:val="auto"/>
          <w:sz w:val="24"/>
          <w:lang w:eastAsia="zh-CN"/>
        </w:rPr>
      </w:pPr>
      <w:r>
        <w:rPr>
          <w:rFonts w:hint="eastAsia" w:ascii="宋体" w:hAnsi="宋体" w:cs="宋体"/>
          <w:color w:val="auto"/>
          <w:sz w:val="24"/>
        </w:rPr>
        <w:t>（4）联系人：</w:t>
      </w:r>
      <w:r>
        <w:rPr>
          <w:rFonts w:hint="eastAsia" w:ascii="宋体" w:hAnsi="宋体" w:cs="宋体"/>
          <w:color w:val="auto"/>
          <w:sz w:val="24"/>
          <w:lang w:eastAsia="zh-CN"/>
        </w:rPr>
        <w:t xml:space="preserve">王倩倩、高欢欢、卫钰 </w:t>
      </w:r>
    </w:p>
    <w:p>
      <w:pPr>
        <w:pStyle w:val="26"/>
        <w:adjustRightInd w:val="0"/>
        <w:snapToGrid w:val="0"/>
        <w:spacing w:line="360" w:lineRule="auto"/>
        <w:ind w:firstLine="480" w:firstLineChars="0"/>
        <w:jc w:val="left"/>
        <w:rPr>
          <w:rFonts w:hint="eastAsia" w:ascii="宋体" w:hAnsi="宋体" w:eastAsia="宋体" w:cs="宋体"/>
          <w:color w:val="auto"/>
          <w:sz w:val="24"/>
          <w:lang w:eastAsia="zh-CN"/>
        </w:rPr>
      </w:pPr>
      <w:r>
        <w:rPr>
          <w:rFonts w:hint="eastAsia" w:ascii="宋体" w:hAnsi="宋体" w:cs="宋体"/>
          <w:color w:val="auto"/>
          <w:sz w:val="24"/>
        </w:rPr>
        <w:t xml:space="preserve">（5）联系电话： </w:t>
      </w:r>
      <w:r>
        <w:rPr>
          <w:rFonts w:hint="eastAsia" w:ascii="宋体" w:hAnsi="宋体" w:cs="宋体"/>
          <w:color w:val="auto"/>
          <w:sz w:val="24"/>
          <w:lang w:eastAsia="zh-CN"/>
        </w:rPr>
        <w:t>029-89338755/81511576转804</w:t>
      </w:r>
    </w:p>
    <w:p>
      <w:pPr>
        <w:pStyle w:val="26"/>
        <w:adjustRightInd w:val="0"/>
        <w:snapToGrid w:val="0"/>
        <w:spacing w:line="360" w:lineRule="auto"/>
        <w:ind w:firstLine="480" w:firstLineChars="0"/>
        <w:jc w:val="left"/>
        <w:rPr>
          <w:rFonts w:hint="eastAsia" w:ascii="宋体" w:hAnsi="宋体" w:cs="宋体"/>
          <w:color w:val="auto"/>
          <w:sz w:val="24"/>
        </w:rPr>
      </w:pPr>
      <w:r>
        <w:rPr>
          <w:rFonts w:hint="eastAsia" w:ascii="宋体" w:hAnsi="宋体" w:cs="宋体"/>
          <w:color w:val="auto"/>
          <w:sz w:val="24"/>
        </w:rPr>
        <w:t>（6）通讯地址：西安市雁塔区南二环东段凯森盛世一号A座408室</w:t>
      </w:r>
    </w:p>
    <w:p>
      <w:pPr>
        <w:adjustRightInd w:val="0"/>
        <w:snapToGrid w:val="0"/>
        <w:spacing w:line="360" w:lineRule="auto"/>
        <w:outlineLvl w:val="2"/>
        <w:rPr>
          <w:rFonts w:hint="eastAsia" w:ascii="宋体" w:hAnsi="宋体" w:cs="宋体"/>
          <w:b/>
          <w:color w:val="auto"/>
          <w:sz w:val="24"/>
          <w:szCs w:val="24"/>
        </w:rPr>
      </w:pPr>
      <w:r>
        <w:rPr>
          <w:rFonts w:hint="eastAsia" w:ascii="宋体" w:hAnsi="宋体" w:cs="宋体"/>
          <w:b/>
          <w:color w:val="auto"/>
          <w:sz w:val="24"/>
          <w:szCs w:val="24"/>
        </w:rPr>
        <w:t>30.陕西省信用融资政策</w:t>
      </w:r>
    </w:p>
    <w:p>
      <w:pPr>
        <w:pStyle w:val="10"/>
        <w:spacing w:line="360" w:lineRule="auto"/>
        <w:ind w:firstLine="480" w:firstLineChars="200"/>
        <w:jc w:val="left"/>
        <w:rPr>
          <w:rFonts w:hint="eastAsia" w:ascii="宋体" w:hAnsi="宋体" w:cs="宋体"/>
          <w:b w:val="0"/>
          <w:color w:val="auto"/>
          <w:kern w:val="2"/>
          <w:sz w:val="24"/>
          <w:szCs w:val="24"/>
        </w:rPr>
      </w:pPr>
      <w:r>
        <w:rPr>
          <w:rFonts w:hint="eastAsia" w:ascii="宋体" w:hAnsi="宋体" w:cs="宋体"/>
          <w:b w:val="0"/>
          <w:color w:val="auto"/>
          <w:kern w:val="2"/>
          <w:sz w:val="24"/>
          <w:szCs w:val="24"/>
        </w:rPr>
        <w:t>《陕西省财政厅关于印发&lt;陕西省中小企业政府采购信用融资办法&gt;的通知》（陕财办采〔2018〕23号）相关政策、业务流程、办理平台（http://www.ccgp-shaanxi.gov.cn/zcdservice/zcd/shanxi/）。</w:t>
      </w:r>
    </w:p>
    <w:p>
      <w:pPr>
        <w:pStyle w:val="2"/>
        <w:snapToGrid/>
        <w:spacing w:line="384" w:lineRule="auto"/>
        <w:ind w:firstLine="480"/>
        <w:rPr>
          <w:rFonts w:hint="eastAsia" w:cs="宋体"/>
          <w:color w:val="auto"/>
          <w:kern w:val="2"/>
          <w:szCs w:val="24"/>
        </w:rPr>
      </w:pPr>
      <w:r>
        <w:rPr>
          <w:rFonts w:hint="eastAsia" w:cs="宋体"/>
          <w:color w:val="auto"/>
          <w:kern w:val="2"/>
          <w:szCs w:val="24"/>
        </w:rPr>
        <w:t>31.成交供应商有下列情形之一的，将可能被列入不良行为记录名单，在1～3年内禁止参加政府采购活动，并予以通报：</w:t>
      </w:r>
    </w:p>
    <w:p>
      <w:pPr>
        <w:pStyle w:val="2"/>
        <w:snapToGrid/>
        <w:spacing w:line="384" w:lineRule="auto"/>
        <w:ind w:firstLine="480"/>
        <w:rPr>
          <w:rFonts w:hint="eastAsia" w:cs="宋体"/>
          <w:color w:val="auto"/>
          <w:kern w:val="2"/>
          <w:szCs w:val="24"/>
        </w:rPr>
      </w:pPr>
      <w:r>
        <w:rPr>
          <w:rFonts w:hint="eastAsia" w:cs="宋体"/>
          <w:color w:val="auto"/>
          <w:kern w:val="2"/>
          <w:szCs w:val="24"/>
        </w:rPr>
        <w:t>（1）成交后无正当理由拒不与采购人签订政府采购合同；</w:t>
      </w:r>
    </w:p>
    <w:p>
      <w:pPr>
        <w:pStyle w:val="2"/>
        <w:snapToGrid/>
        <w:spacing w:line="384" w:lineRule="auto"/>
        <w:ind w:firstLine="480"/>
        <w:rPr>
          <w:rFonts w:hint="eastAsia" w:cs="宋体"/>
          <w:color w:val="auto"/>
          <w:kern w:val="2"/>
          <w:szCs w:val="24"/>
        </w:rPr>
      </w:pPr>
      <w:r>
        <w:rPr>
          <w:rFonts w:hint="eastAsia" w:cs="宋体"/>
          <w:color w:val="auto"/>
          <w:kern w:val="2"/>
          <w:szCs w:val="24"/>
        </w:rPr>
        <w:t>（2）成交后未按照磋商文件确定的事项签订政府采购合同，或者与采购人另行订立背离合同实质性内容的协议的；</w:t>
      </w:r>
    </w:p>
    <w:p>
      <w:pPr>
        <w:pStyle w:val="2"/>
        <w:snapToGrid/>
        <w:spacing w:line="384" w:lineRule="auto"/>
        <w:ind w:firstLine="480"/>
        <w:rPr>
          <w:rFonts w:hint="eastAsia" w:cs="宋体"/>
          <w:color w:val="auto"/>
          <w:kern w:val="2"/>
          <w:szCs w:val="24"/>
        </w:rPr>
      </w:pPr>
      <w:r>
        <w:rPr>
          <w:rFonts w:hint="eastAsia" w:cs="宋体"/>
          <w:color w:val="auto"/>
          <w:kern w:val="2"/>
          <w:szCs w:val="24"/>
        </w:rPr>
        <w:t>（3）拒绝履行合同义务的行为；</w:t>
      </w:r>
    </w:p>
    <w:p>
      <w:pPr>
        <w:pStyle w:val="2"/>
        <w:snapToGrid/>
        <w:spacing w:line="384" w:lineRule="auto"/>
        <w:ind w:firstLine="480"/>
        <w:rPr>
          <w:rFonts w:hint="eastAsia" w:cs="宋体"/>
          <w:color w:val="auto"/>
          <w:kern w:val="2"/>
          <w:szCs w:val="24"/>
        </w:rPr>
      </w:pPr>
      <w:r>
        <w:rPr>
          <w:rFonts w:hint="eastAsia" w:cs="宋体"/>
          <w:color w:val="auto"/>
          <w:kern w:val="2"/>
          <w:szCs w:val="24"/>
        </w:rPr>
        <w:t>（4）《政府采购法》第七十七条和《政府采购法实施条例》第七十二条规定的其他情形；</w:t>
      </w:r>
    </w:p>
    <w:p>
      <w:pPr>
        <w:pStyle w:val="2"/>
        <w:snapToGrid/>
        <w:spacing w:line="384" w:lineRule="auto"/>
        <w:ind w:firstLine="480"/>
        <w:rPr>
          <w:rFonts w:hint="eastAsia" w:ascii="宋体" w:hAnsi="宋体" w:cs="宋体"/>
          <w:b/>
          <w:color w:val="auto"/>
          <w:sz w:val="24"/>
          <w:szCs w:val="24"/>
        </w:rPr>
      </w:pPr>
      <w:r>
        <w:rPr>
          <w:rFonts w:hint="eastAsia" w:cs="宋体"/>
          <w:color w:val="auto"/>
          <w:kern w:val="2"/>
          <w:szCs w:val="24"/>
        </w:rPr>
        <w:t>（5）其他违反法律法规相关规定的情形。</w:t>
      </w:r>
    </w:p>
    <w:bookmarkEnd w:id="18"/>
    <w:bookmarkEnd w:id="19"/>
    <w:bookmarkEnd w:id="20"/>
    <w:bookmarkEnd w:id="21"/>
    <w:bookmarkEnd w:id="22"/>
    <w:bookmarkEnd w:id="23"/>
    <w:bookmarkEnd w:id="24"/>
    <w:p>
      <w:pPr>
        <w:pStyle w:val="4"/>
        <w:rPr>
          <w:rFonts w:hint="eastAsia" w:cs="宋体"/>
          <w:color w:val="auto"/>
        </w:rPr>
      </w:pPr>
      <w:bookmarkStart w:id="82" w:name="_Toc10560"/>
      <w:bookmarkStart w:id="83" w:name="_Toc17518"/>
      <w:bookmarkStart w:id="84" w:name="_Toc25004"/>
      <w:bookmarkStart w:id="85" w:name="_Toc6088"/>
      <w:bookmarkStart w:id="86" w:name="_Toc10448"/>
      <w:bookmarkStart w:id="87" w:name="_Toc27930"/>
      <w:bookmarkStart w:id="88" w:name="_Toc246928960"/>
      <w:bookmarkStart w:id="89" w:name="_Toc492955460"/>
      <w:bookmarkStart w:id="90" w:name="_Toc389620242"/>
      <w:bookmarkStart w:id="91" w:name="_Toc497551821"/>
      <w:bookmarkStart w:id="92" w:name="_Toc385992402"/>
      <w:bookmarkStart w:id="93" w:name="_Toc497546919"/>
      <w:bookmarkStart w:id="94" w:name="_Toc497711586"/>
      <w:bookmarkStart w:id="95" w:name="_Toc497712134"/>
      <w:r>
        <w:rPr>
          <w:rFonts w:hint="eastAsia" w:cs="宋体"/>
          <w:color w:val="auto"/>
        </w:rPr>
        <w:t>第三章  采购内容及要求</w:t>
      </w:r>
      <w:bookmarkEnd w:id="82"/>
    </w:p>
    <w:p>
      <w:pPr>
        <w:pStyle w:val="7"/>
        <w:spacing w:before="120" w:after="120"/>
        <w:rPr>
          <w:rFonts w:hint="default" w:eastAsia="宋体"/>
          <w:color w:val="auto"/>
          <w:lang w:val="en-US" w:eastAsia="zh-CN"/>
        </w:rPr>
      </w:pPr>
      <w:r>
        <w:rPr>
          <w:color w:val="auto"/>
        </w:rPr>
        <w:t>一、</w:t>
      </w:r>
      <w:r>
        <w:rPr>
          <w:rFonts w:hint="eastAsia"/>
          <w:color w:val="auto"/>
          <w:lang w:val="en-US" w:eastAsia="zh-CN"/>
        </w:rPr>
        <w:t>采购内容</w:t>
      </w:r>
    </w:p>
    <w:p>
      <w:pPr>
        <w:spacing w:line="460" w:lineRule="exact"/>
        <w:ind w:firstLine="482" w:firstLineChars="200"/>
        <w:rPr>
          <w:rFonts w:hint="eastAsia" w:ascii="宋体" w:hAnsi="宋体" w:cs="宋体"/>
          <w:b/>
          <w:color w:val="auto"/>
          <w:sz w:val="24"/>
        </w:rPr>
      </w:pPr>
      <w:r>
        <w:rPr>
          <w:rFonts w:hint="eastAsia" w:ascii="宋体" w:hAnsi="宋体" w:cs="宋体"/>
          <w:b/>
          <w:color w:val="auto"/>
          <w:sz w:val="24"/>
        </w:rPr>
        <w:t>（一）</w:t>
      </w:r>
      <w:r>
        <w:rPr>
          <w:rFonts w:hint="eastAsia" w:ascii="宋体" w:hAnsi="宋体" w:cs="宋体"/>
          <w:b/>
          <w:bCs/>
          <w:color w:val="auto"/>
          <w:sz w:val="24"/>
        </w:rPr>
        <w:t>水电设备设施运行管理及水电零星维修服务</w:t>
      </w:r>
      <w:r>
        <w:rPr>
          <w:rFonts w:hint="eastAsia" w:ascii="宋体" w:hAnsi="宋体" w:cs="宋体"/>
          <w:b/>
          <w:color w:val="auto"/>
          <w:sz w:val="24"/>
        </w:rPr>
        <w:t>项目内容</w:t>
      </w:r>
    </w:p>
    <w:p>
      <w:pPr>
        <w:spacing w:line="460" w:lineRule="exact"/>
        <w:ind w:firstLine="482" w:firstLineChars="200"/>
        <w:rPr>
          <w:rFonts w:hint="eastAsia" w:ascii="宋体" w:hAnsi="宋体" w:cs="宋体"/>
          <w:bCs/>
          <w:color w:val="auto"/>
          <w:sz w:val="24"/>
        </w:rPr>
      </w:pPr>
      <w:r>
        <w:rPr>
          <w:rFonts w:ascii="宋体" w:hAnsi="宋体" w:cs="宋体"/>
          <w:b/>
          <w:bCs/>
          <w:color w:val="auto"/>
          <w:sz w:val="24"/>
        </w:rPr>
        <w:t>1.</w:t>
      </w:r>
      <w:r>
        <w:rPr>
          <w:rFonts w:hint="eastAsia" w:ascii="宋体" w:hAnsi="宋体" w:cs="宋体"/>
          <w:bCs/>
          <w:color w:val="auto"/>
          <w:sz w:val="24"/>
        </w:rPr>
        <w:t>水电设备设施运行管理：渭城校区和秦都校区供电设施设备的运行、维护维修及保养、值班；所有泵房设备的运行、维护维修及保养；全校给排水设备的运行、维护维修及保养；线路检修、水、电表的更换、查抄；临时安排的水电设备运行管理业务等。材料由学校购买，外包服务企业负责维修,水电设施设备运行维护服务按月考核。</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2.零星维修服务:渭城校区和秦都校区水表、电表、阀门、水龙头、照明灯具、开关插座、电风扇、给排水管道的维修维护及更换;保质期后桌椅、门窗、架子床、组合床、窗帘架、置物架、晾衣架等设施设备的维修维护及破损件更换，临时安排的有关其他水电零星维护和维修。材料由学校购买，外包服务企业负责维修维护，维修服务按月考核。</w:t>
      </w:r>
    </w:p>
    <w:p>
      <w:pPr>
        <w:spacing w:line="460" w:lineRule="exact"/>
        <w:ind w:firstLine="482" w:firstLineChars="200"/>
        <w:rPr>
          <w:rFonts w:hint="eastAsia" w:ascii="宋体" w:hAnsi="宋体" w:cs="宋体"/>
          <w:b/>
          <w:color w:val="auto"/>
          <w:sz w:val="24"/>
        </w:rPr>
      </w:pPr>
      <w:r>
        <w:rPr>
          <w:rFonts w:hint="eastAsia" w:ascii="宋体" w:hAnsi="宋体" w:cs="宋体"/>
          <w:b/>
          <w:color w:val="auto"/>
          <w:sz w:val="24"/>
        </w:rPr>
        <w:t>（二）</w:t>
      </w:r>
      <w:r>
        <w:rPr>
          <w:rFonts w:hint="eastAsia" w:ascii="宋体" w:hAnsi="宋体" w:cs="宋体"/>
          <w:b/>
          <w:bCs/>
          <w:color w:val="auto"/>
          <w:sz w:val="24"/>
        </w:rPr>
        <w:t xml:space="preserve"> 水电设备设施运行管理及零星维修服务</w:t>
      </w:r>
      <w:r>
        <w:rPr>
          <w:rFonts w:hint="eastAsia" w:ascii="宋体" w:hAnsi="宋体" w:cs="宋体"/>
          <w:b/>
          <w:color w:val="auto"/>
          <w:sz w:val="24"/>
        </w:rPr>
        <w:t>项目构成情况</w:t>
      </w:r>
    </w:p>
    <w:p>
      <w:pPr>
        <w:spacing w:line="460" w:lineRule="exact"/>
        <w:ind w:firstLine="482" w:firstLineChars="200"/>
        <w:rPr>
          <w:rFonts w:hint="eastAsia" w:ascii="宋体" w:hAnsi="宋体" w:cs="宋体"/>
          <w:b/>
          <w:color w:val="auto"/>
          <w:sz w:val="24"/>
        </w:rPr>
      </w:pPr>
      <w:r>
        <w:rPr>
          <w:rFonts w:hint="eastAsia" w:ascii="宋体" w:hAnsi="宋体" w:cs="宋体"/>
          <w:b/>
          <w:color w:val="auto"/>
          <w:sz w:val="24"/>
        </w:rPr>
        <w:t>1.水电设施设备运行管理</w:t>
      </w:r>
    </w:p>
    <w:p>
      <w:pPr>
        <w:spacing w:line="460" w:lineRule="exact"/>
        <w:ind w:firstLine="480" w:firstLineChars="200"/>
        <w:rPr>
          <w:rFonts w:ascii="宋体" w:hAnsi="宋体" w:cs="宋体"/>
          <w:b/>
          <w:color w:val="auto"/>
          <w:sz w:val="24"/>
        </w:rPr>
      </w:pPr>
      <w:r>
        <w:rPr>
          <w:rFonts w:hint="eastAsia" w:ascii="宋体" w:hAnsi="宋体" w:cs="宋体"/>
          <w:color w:val="auto"/>
          <w:sz w:val="24"/>
        </w:rPr>
        <w:t>（1）水电设施设备概况：两校区共有变压器12台，总容量</w:t>
      </w:r>
      <w:r>
        <w:rPr>
          <w:rFonts w:ascii="宋体" w:hAnsi="宋体" w:cs="宋体"/>
          <w:color w:val="auto"/>
          <w:sz w:val="24"/>
        </w:rPr>
        <w:t>8865KVA</w:t>
      </w:r>
      <w:r>
        <w:rPr>
          <w:rFonts w:hint="eastAsia" w:ascii="宋体" w:hAnsi="宋体" w:cs="宋体"/>
          <w:color w:val="auto"/>
          <w:sz w:val="24"/>
        </w:rPr>
        <w:t>。其中渭城校区有变压器8台，总容量为6</w:t>
      </w:r>
      <w:r>
        <w:rPr>
          <w:rFonts w:ascii="宋体" w:hAnsi="宋体" w:cs="宋体"/>
          <w:color w:val="auto"/>
          <w:sz w:val="24"/>
        </w:rPr>
        <w:t>00KVA</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号、</w:t>
      </w:r>
      <w:r>
        <w:rPr>
          <w:rFonts w:ascii="宋体" w:hAnsi="宋体" w:cs="宋体"/>
          <w:color w:val="auto"/>
          <w:sz w:val="24"/>
        </w:rPr>
        <w:t>2</w:t>
      </w:r>
      <w:r>
        <w:rPr>
          <w:rFonts w:hint="eastAsia" w:ascii="宋体" w:hAnsi="宋体" w:cs="宋体"/>
          <w:color w:val="auto"/>
          <w:sz w:val="24"/>
        </w:rPr>
        <w:t>号、</w:t>
      </w:r>
      <w:r>
        <w:rPr>
          <w:rFonts w:ascii="宋体" w:hAnsi="宋体" w:cs="宋体"/>
          <w:color w:val="auto"/>
          <w:sz w:val="24"/>
        </w:rPr>
        <w:t>3</w:t>
      </w:r>
      <w:r>
        <w:rPr>
          <w:rFonts w:hint="eastAsia" w:ascii="宋体" w:hAnsi="宋体" w:cs="宋体"/>
          <w:color w:val="auto"/>
          <w:sz w:val="24"/>
        </w:rPr>
        <w:t>号、</w:t>
      </w:r>
      <w:r>
        <w:rPr>
          <w:rFonts w:ascii="宋体" w:hAnsi="宋体" w:cs="宋体"/>
          <w:color w:val="auto"/>
          <w:sz w:val="24"/>
        </w:rPr>
        <w:t>4</w:t>
      </w:r>
      <w:r>
        <w:rPr>
          <w:rFonts w:hint="eastAsia" w:ascii="宋体" w:hAnsi="宋体" w:cs="宋体"/>
          <w:color w:val="auto"/>
          <w:sz w:val="24"/>
        </w:rPr>
        <w:t>号为箱式变压器，容量均为</w:t>
      </w:r>
      <w:r>
        <w:rPr>
          <w:rFonts w:ascii="宋体" w:hAnsi="宋体" w:cs="宋体"/>
          <w:color w:val="auto"/>
          <w:sz w:val="24"/>
        </w:rPr>
        <w:t>1000KVA</w:t>
      </w:r>
      <w:r>
        <w:rPr>
          <w:rFonts w:hint="eastAsia" w:ascii="宋体" w:hAnsi="宋体" w:cs="宋体"/>
          <w:color w:val="auto"/>
          <w:sz w:val="24"/>
        </w:rPr>
        <w:t>，,科技苑大厦地下室设高压配电室，安装</w:t>
      </w:r>
      <w:r>
        <w:rPr>
          <w:rFonts w:ascii="宋体" w:hAnsi="宋体" w:cs="宋体"/>
          <w:color w:val="auto"/>
          <w:sz w:val="24"/>
        </w:rPr>
        <w:t>4</w:t>
      </w:r>
      <w:r>
        <w:rPr>
          <w:rFonts w:hint="eastAsia" w:ascii="宋体" w:hAnsi="宋体" w:cs="宋体"/>
          <w:color w:val="auto"/>
          <w:sz w:val="24"/>
        </w:rPr>
        <w:t>台变压器，容量均为</w:t>
      </w:r>
      <w:r>
        <w:rPr>
          <w:rFonts w:ascii="宋体" w:hAnsi="宋体" w:cs="宋体"/>
          <w:color w:val="auto"/>
          <w:sz w:val="24"/>
        </w:rPr>
        <w:t>500KVA</w:t>
      </w:r>
      <w:r>
        <w:rPr>
          <w:rFonts w:hint="eastAsia" w:ascii="宋体" w:hAnsi="宋体" w:cs="宋体"/>
          <w:color w:val="auto"/>
          <w:sz w:val="24"/>
        </w:rPr>
        <w:t>；秦都校区共有变压器</w:t>
      </w:r>
      <w:r>
        <w:rPr>
          <w:rFonts w:ascii="宋体" w:hAnsi="宋体" w:cs="宋体"/>
          <w:color w:val="auto"/>
          <w:sz w:val="24"/>
        </w:rPr>
        <w:t>4</w:t>
      </w:r>
      <w:r>
        <w:rPr>
          <w:rFonts w:hint="eastAsia" w:ascii="宋体" w:hAnsi="宋体" w:cs="宋体"/>
          <w:color w:val="auto"/>
          <w:sz w:val="24"/>
        </w:rPr>
        <w:t>台，总容量为</w:t>
      </w:r>
      <w:r>
        <w:rPr>
          <w:rFonts w:ascii="宋体" w:hAnsi="宋体" w:cs="宋体"/>
          <w:color w:val="auto"/>
          <w:sz w:val="24"/>
        </w:rPr>
        <w:t>2865KVA</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台</w:t>
      </w:r>
      <w:r>
        <w:rPr>
          <w:rFonts w:ascii="宋体" w:hAnsi="宋体" w:cs="宋体"/>
          <w:color w:val="auto"/>
          <w:sz w:val="24"/>
        </w:rPr>
        <w:t>1250KVA</w:t>
      </w:r>
      <w:r>
        <w:rPr>
          <w:rFonts w:hint="eastAsia" w:ascii="宋体" w:hAnsi="宋体" w:cs="宋体"/>
          <w:color w:val="auto"/>
          <w:sz w:val="24"/>
        </w:rPr>
        <w:t>变压器，</w:t>
      </w:r>
      <w:r>
        <w:rPr>
          <w:rFonts w:ascii="宋体" w:hAnsi="宋体" w:cs="宋体"/>
          <w:color w:val="auto"/>
          <w:sz w:val="24"/>
        </w:rPr>
        <w:t>1</w:t>
      </w:r>
      <w:r>
        <w:rPr>
          <w:rFonts w:hint="eastAsia" w:ascii="宋体" w:hAnsi="宋体" w:cs="宋体"/>
          <w:color w:val="auto"/>
          <w:sz w:val="24"/>
        </w:rPr>
        <w:t>台</w:t>
      </w:r>
      <w:r>
        <w:rPr>
          <w:rFonts w:ascii="宋体" w:hAnsi="宋体" w:cs="宋体"/>
          <w:color w:val="auto"/>
          <w:sz w:val="24"/>
        </w:rPr>
        <w:t>800KVA</w:t>
      </w:r>
      <w:r>
        <w:rPr>
          <w:rFonts w:hint="eastAsia" w:ascii="宋体" w:hAnsi="宋体" w:cs="宋体"/>
          <w:color w:val="auto"/>
          <w:sz w:val="24"/>
        </w:rPr>
        <w:t>变压器，</w:t>
      </w:r>
      <w:r>
        <w:rPr>
          <w:rFonts w:ascii="宋体" w:hAnsi="宋体" w:cs="宋体"/>
          <w:color w:val="auto"/>
          <w:sz w:val="24"/>
        </w:rPr>
        <w:t>1</w:t>
      </w:r>
      <w:r>
        <w:rPr>
          <w:rFonts w:hint="eastAsia" w:ascii="宋体" w:hAnsi="宋体" w:cs="宋体"/>
          <w:color w:val="auto"/>
          <w:sz w:val="24"/>
        </w:rPr>
        <w:t>台</w:t>
      </w:r>
      <w:r>
        <w:rPr>
          <w:rFonts w:ascii="宋体" w:hAnsi="宋体" w:cs="宋体"/>
          <w:color w:val="auto"/>
          <w:sz w:val="24"/>
        </w:rPr>
        <w:t>500KVA</w:t>
      </w:r>
      <w:r>
        <w:rPr>
          <w:rFonts w:hint="eastAsia" w:ascii="宋体" w:hAnsi="宋体" w:cs="宋体"/>
          <w:color w:val="auto"/>
          <w:sz w:val="24"/>
        </w:rPr>
        <w:t>变压器，</w:t>
      </w:r>
      <w:r>
        <w:rPr>
          <w:rFonts w:ascii="宋体" w:hAnsi="宋体" w:cs="宋体"/>
          <w:color w:val="auto"/>
          <w:sz w:val="24"/>
        </w:rPr>
        <w:t>1</w:t>
      </w:r>
      <w:r>
        <w:rPr>
          <w:rFonts w:hint="eastAsia" w:ascii="宋体" w:hAnsi="宋体" w:cs="宋体"/>
          <w:color w:val="auto"/>
          <w:sz w:val="24"/>
        </w:rPr>
        <w:t>台</w:t>
      </w:r>
      <w:r>
        <w:rPr>
          <w:rFonts w:ascii="宋体" w:hAnsi="宋体" w:cs="宋体"/>
          <w:color w:val="auto"/>
          <w:sz w:val="24"/>
        </w:rPr>
        <w:t>315KVA</w:t>
      </w:r>
      <w:r>
        <w:rPr>
          <w:rFonts w:hint="eastAsia" w:ascii="宋体" w:hAnsi="宋体" w:cs="宋体"/>
          <w:color w:val="auto"/>
          <w:sz w:val="24"/>
        </w:rPr>
        <w:t>变压器。</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全校共有低压配电柜</w:t>
      </w:r>
      <w:r>
        <w:rPr>
          <w:rFonts w:ascii="宋体" w:hAnsi="宋体" w:cs="宋体"/>
          <w:color w:val="auto"/>
          <w:sz w:val="24"/>
        </w:rPr>
        <w:t>42</w:t>
      </w:r>
      <w:r>
        <w:rPr>
          <w:rFonts w:hint="eastAsia" w:ascii="宋体" w:hAnsi="宋体" w:cs="宋体"/>
          <w:color w:val="auto"/>
          <w:sz w:val="24"/>
        </w:rPr>
        <w:t>台、架空线路</w:t>
      </w:r>
      <w:r>
        <w:rPr>
          <w:rFonts w:ascii="宋体" w:hAnsi="宋体" w:cs="宋体"/>
          <w:color w:val="auto"/>
          <w:sz w:val="24"/>
        </w:rPr>
        <w:t>9</w:t>
      </w:r>
      <w:r>
        <w:rPr>
          <w:rFonts w:hint="eastAsia" w:ascii="宋体" w:hAnsi="宋体" w:cs="宋体"/>
          <w:color w:val="auto"/>
          <w:sz w:val="24"/>
        </w:rPr>
        <w:t>档、高压柜14台、发电机</w:t>
      </w:r>
      <w:r>
        <w:rPr>
          <w:rFonts w:ascii="宋体" w:hAnsi="宋体" w:cs="宋体"/>
          <w:color w:val="auto"/>
          <w:sz w:val="24"/>
        </w:rPr>
        <w:t>2</w:t>
      </w:r>
      <w:r>
        <w:rPr>
          <w:rFonts w:hint="eastAsia" w:ascii="宋体" w:hAnsi="宋体" w:cs="宋体"/>
          <w:color w:val="auto"/>
          <w:sz w:val="24"/>
        </w:rPr>
        <w:t>台；室外干线电缆约</w:t>
      </w:r>
      <w:r>
        <w:rPr>
          <w:rFonts w:ascii="宋体" w:hAnsi="宋体" w:cs="宋体"/>
          <w:color w:val="auto"/>
          <w:sz w:val="24"/>
        </w:rPr>
        <w:t>20000</w:t>
      </w:r>
      <w:r>
        <w:rPr>
          <w:rFonts w:hint="eastAsia" w:ascii="宋体" w:hAnsi="宋体" w:cs="宋体"/>
          <w:color w:val="auto"/>
          <w:sz w:val="24"/>
        </w:rPr>
        <w:t>米；马路灯、庭院灯、操场灯：</w:t>
      </w:r>
      <w:r>
        <w:rPr>
          <w:rFonts w:ascii="宋体" w:hAnsi="宋体" w:cs="宋体"/>
          <w:color w:val="auto"/>
          <w:sz w:val="24"/>
        </w:rPr>
        <w:t>349</w:t>
      </w:r>
      <w:r>
        <w:rPr>
          <w:rFonts w:hint="eastAsia" w:ascii="宋体" w:hAnsi="宋体" w:cs="宋体"/>
          <w:color w:val="auto"/>
          <w:sz w:val="24"/>
        </w:rPr>
        <w:t>个，</w:t>
      </w:r>
      <w:r>
        <w:rPr>
          <w:rFonts w:ascii="宋体" w:hAnsi="宋体" w:cs="宋体"/>
          <w:color w:val="auto"/>
          <w:sz w:val="24"/>
        </w:rPr>
        <w:t>432</w:t>
      </w:r>
      <w:r>
        <w:rPr>
          <w:rFonts w:hint="eastAsia" w:ascii="宋体" w:hAnsi="宋体" w:cs="宋体"/>
          <w:color w:val="auto"/>
          <w:sz w:val="24"/>
        </w:rPr>
        <w:t>头。</w:t>
      </w:r>
    </w:p>
    <w:p>
      <w:pPr>
        <w:spacing w:line="460" w:lineRule="exact"/>
        <w:ind w:firstLine="480" w:firstLineChars="200"/>
        <w:rPr>
          <w:rFonts w:ascii="宋体" w:hAnsi="宋体" w:cs="宋体"/>
          <w:color w:val="auto"/>
          <w:sz w:val="24"/>
        </w:rPr>
      </w:pPr>
      <w:r>
        <w:rPr>
          <w:rFonts w:hint="eastAsia" w:ascii="宋体" w:hAnsi="宋体" w:cs="宋体"/>
          <w:color w:val="auto"/>
          <w:sz w:val="24"/>
        </w:rPr>
        <w:t>（2）给排水设施设备：全校共有蓄水池</w:t>
      </w:r>
      <w:r>
        <w:rPr>
          <w:rFonts w:ascii="宋体" w:hAnsi="宋体" w:cs="宋体"/>
          <w:color w:val="auto"/>
          <w:sz w:val="24"/>
        </w:rPr>
        <w:t>5</w:t>
      </w:r>
      <w:r>
        <w:rPr>
          <w:rFonts w:hint="eastAsia" w:ascii="宋体" w:hAnsi="宋体" w:cs="宋体"/>
          <w:color w:val="auto"/>
          <w:sz w:val="24"/>
        </w:rPr>
        <w:t>个，供水水箱</w:t>
      </w:r>
      <w:r>
        <w:rPr>
          <w:rFonts w:ascii="宋体" w:hAnsi="宋体" w:cs="宋体"/>
          <w:color w:val="auto"/>
          <w:sz w:val="24"/>
        </w:rPr>
        <w:t>8</w:t>
      </w:r>
      <w:r>
        <w:rPr>
          <w:rFonts w:hint="eastAsia" w:ascii="宋体" w:hAnsi="宋体" w:cs="宋体"/>
          <w:color w:val="auto"/>
          <w:sz w:val="24"/>
        </w:rPr>
        <w:t>个，水塔</w:t>
      </w:r>
      <w:r>
        <w:rPr>
          <w:rFonts w:ascii="宋体" w:hAnsi="宋体" w:cs="宋体"/>
          <w:color w:val="auto"/>
          <w:sz w:val="24"/>
        </w:rPr>
        <w:t>1</w:t>
      </w:r>
      <w:r>
        <w:rPr>
          <w:rFonts w:hint="eastAsia" w:ascii="宋体" w:hAnsi="宋体" w:cs="宋体"/>
          <w:color w:val="auto"/>
          <w:sz w:val="24"/>
        </w:rPr>
        <w:t>个（秦都校区正在使用的）。给水泵</w:t>
      </w:r>
      <w:r>
        <w:rPr>
          <w:rFonts w:ascii="宋体" w:hAnsi="宋体" w:cs="宋体"/>
          <w:color w:val="auto"/>
          <w:sz w:val="24"/>
        </w:rPr>
        <w:t>28</w:t>
      </w:r>
      <w:r>
        <w:rPr>
          <w:rFonts w:hint="eastAsia" w:ascii="宋体" w:hAnsi="宋体" w:cs="宋体"/>
          <w:color w:val="auto"/>
          <w:sz w:val="24"/>
        </w:rPr>
        <w:t>台，控制系统</w:t>
      </w:r>
      <w:r>
        <w:rPr>
          <w:rFonts w:ascii="宋体" w:hAnsi="宋体" w:cs="宋体"/>
          <w:color w:val="auto"/>
          <w:sz w:val="24"/>
        </w:rPr>
        <w:t>9</w:t>
      </w:r>
      <w:r>
        <w:rPr>
          <w:rFonts w:hint="eastAsia" w:ascii="宋体" w:hAnsi="宋体" w:cs="宋体"/>
          <w:color w:val="auto"/>
          <w:sz w:val="24"/>
        </w:rPr>
        <w:t>套。消防泵喷淋泵</w:t>
      </w:r>
      <w:r>
        <w:rPr>
          <w:rFonts w:ascii="宋体" w:hAnsi="宋体" w:cs="宋体"/>
          <w:color w:val="auto"/>
          <w:sz w:val="24"/>
        </w:rPr>
        <w:t>32</w:t>
      </w:r>
      <w:r>
        <w:rPr>
          <w:rFonts w:hint="eastAsia" w:ascii="宋体" w:hAnsi="宋体" w:cs="宋体"/>
          <w:color w:val="auto"/>
          <w:sz w:val="24"/>
        </w:rPr>
        <w:t>台，控制系统</w:t>
      </w:r>
      <w:r>
        <w:rPr>
          <w:rFonts w:ascii="宋体" w:hAnsi="宋体" w:cs="宋体"/>
          <w:color w:val="auto"/>
          <w:sz w:val="24"/>
        </w:rPr>
        <w:t>13</w:t>
      </w:r>
      <w:r>
        <w:rPr>
          <w:rFonts w:hint="eastAsia" w:ascii="宋体" w:hAnsi="宋体" w:cs="宋体"/>
          <w:color w:val="auto"/>
          <w:sz w:val="24"/>
        </w:rPr>
        <w:t>套。全校共有化粪池</w:t>
      </w:r>
      <w:r>
        <w:rPr>
          <w:rFonts w:ascii="宋体" w:hAnsi="宋体" w:cs="宋体"/>
          <w:color w:val="auto"/>
          <w:sz w:val="24"/>
        </w:rPr>
        <w:t>3</w:t>
      </w:r>
      <w:r>
        <w:rPr>
          <w:rFonts w:hint="eastAsia" w:ascii="宋体" w:hAnsi="宋体" w:cs="宋体"/>
          <w:color w:val="auto"/>
          <w:sz w:val="24"/>
        </w:rPr>
        <w:t>2个，井盖</w:t>
      </w:r>
      <w:r>
        <w:rPr>
          <w:rFonts w:ascii="宋体" w:hAnsi="宋体" w:cs="宋体"/>
          <w:color w:val="auto"/>
          <w:sz w:val="24"/>
        </w:rPr>
        <w:t>1450</w:t>
      </w:r>
      <w:r>
        <w:rPr>
          <w:rFonts w:hint="eastAsia" w:ascii="宋体" w:hAnsi="宋体" w:cs="宋体"/>
          <w:color w:val="auto"/>
          <w:sz w:val="24"/>
        </w:rPr>
        <w:t>个，给水主管道超过</w:t>
      </w:r>
      <w:r>
        <w:rPr>
          <w:rFonts w:ascii="宋体" w:hAnsi="宋体" w:cs="宋体"/>
          <w:color w:val="auto"/>
          <w:sz w:val="24"/>
        </w:rPr>
        <w:t>10000</w:t>
      </w:r>
      <w:r>
        <w:rPr>
          <w:rFonts w:hint="eastAsia" w:ascii="宋体" w:hAnsi="宋体" w:cs="宋体"/>
          <w:color w:val="auto"/>
          <w:sz w:val="24"/>
        </w:rPr>
        <w:t>米，排水主管道</w:t>
      </w:r>
      <w:r>
        <w:rPr>
          <w:rFonts w:ascii="宋体" w:hAnsi="宋体" w:cs="宋体"/>
          <w:color w:val="auto"/>
          <w:sz w:val="24"/>
        </w:rPr>
        <w:t>8800</w:t>
      </w:r>
      <w:r>
        <w:rPr>
          <w:rFonts w:hint="eastAsia" w:ascii="宋体" w:hAnsi="宋体" w:cs="宋体"/>
          <w:color w:val="auto"/>
          <w:sz w:val="24"/>
        </w:rPr>
        <w:t>米，给水总阀</w:t>
      </w:r>
      <w:r>
        <w:rPr>
          <w:rFonts w:ascii="宋体" w:hAnsi="宋体" w:cs="宋体"/>
          <w:color w:val="auto"/>
          <w:sz w:val="24"/>
        </w:rPr>
        <w:t>112</w:t>
      </w:r>
      <w:r>
        <w:rPr>
          <w:rFonts w:hint="eastAsia" w:ascii="宋体" w:hAnsi="宋体" w:cs="宋体"/>
          <w:color w:val="auto"/>
          <w:sz w:val="24"/>
        </w:rPr>
        <w:t>个。</w:t>
      </w:r>
    </w:p>
    <w:p>
      <w:p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2.渭城校区公共楼宇室内维修构成情况 </w:t>
      </w:r>
    </w:p>
    <w:p>
      <w:pPr>
        <w:spacing w:line="460" w:lineRule="exact"/>
        <w:ind w:firstLine="480" w:firstLineChars="200"/>
        <w:rPr>
          <w:rFonts w:ascii="宋体" w:hAnsi="宋体" w:cs="宋体"/>
          <w:color w:val="auto"/>
          <w:sz w:val="24"/>
        </w:rPr>
      </w:pPr>
      <w:r>
        <w:rPr>
          <w:rFonts w:hint="eastAsia" w:ascii="宋体" w:hAnsi="宋体" w:cs="宋体"/>
          <w:color w:val="auto"/>
          <w:sz w:val="24"/>
        </w:rPr>
        <w:t>总建筑面积</w:t>
      </w:r>
      <w:r>
        <w:rPr>
          <w:rFonts w:ascii="宋体" w:hAnsi="宋体" w:cs="宋体"/>
          <w:color w:val="auto"/>
          <w:sz w:val="24"/>
        </w:rPr>
        <w:t>33.76</w:t>
      </w:r>
      <w:r>
        <w:rPr>
          <w:rFonts w:hint="eastAsia" w:ascii="宋体" w:hAnsi="宋体" w:cs="宋体"/>
          <w:color w:val="auto"/>
          <w:sz w:val="24"/>
        </w:rPr>
        <w:t>万平方米。</w:t>
      </w:r>
      <w:r>
        <w:rPr>
          <w:rFonts w:ascii="宋体" w:hAnsi="宋体" w:cs="宋体"/>
          <w:color w:val="auto"/>
          <w:sz w:val="24"/>
        </w:rPr>
        <w:t>1</w:t>
      </w:r>
      <w:r>
        <w:rPr>
          <w:rFonts w:hint="eastAsia" w:ascii="宋体" w:hAnsi="宋体" w:cs="宋体"/>
          <w:color w:val="auto"/>
          <w:sz w:val="24"/>
        </w:rPr>
        <w:t>号教学楼室内照明灯</w:t>
      </w:r>
      <w:r>
        <w:rPr>
          <w:rFonts w:ascii="宋体" w:hAnsi="宋体" w:cs="宋体"/>
          <w:color w:val="auto"/>
          <w:sz w:val="24"/>
        </w:rPr>
        <w:t>1790</w:t>
      </w:r>
      <w:r>
        <w:rPr>
          <w:rFonts w:hint="eastAsia" w:ascii="宋体" w:hAnsi="宋体" w:cs="宋体"/>
          <w:color w:val="auto"/>
          <w:sz w:val="24"/>
        </w:rPr>
        <w:t>个，楼梯灯</w:t>
      </w:r>
      <w:r>
        <w:rPr>
          <w:rFonts w:ascii="宋体" w:hAnsi="宋体" w:cs="宋体"/>
          <w:color w:val="auto"/>
          <w:sz w:val="24"/>
        </w:rPr>
        <w:t>325</w:t>
      </w:r>
      <w:r>
        <w:rPr>
          <w:rFonts w:hint="eastAsia" w:ascii="宋体" w:hAnsi="宋体" w:cs="宋体"/>
          <w:color w:val="auto"/>
          <w:sz w:val="24"/>
        </w:rPr>
        <w:t>个，开关</w:t>
      </w:r>
      <w:r>
        <w:rPr>
          <w:rFonts w:ascii="宋体" w:hAnsi="宋体" w:cs="宋体"/>
          <w:color w:val="auto"/>
          <w:sz w:val="24"/>
        </w:rPr>
        <w:t>499</w:t>
      </w:r>
      <w:r>
        <w:rPr>
          <w:rFonts w:hint="eastAsia" w:ascii="宋体" w:hAnsi="宋体" w:cs="宋体"/>
          <w:color w:val="auto"/>
          <w:sz w:val="24"/>
        </w:rPr>
        <w:t>个，插座</w:t>
      </w:r>
      <w:r>
        <w:rPr>
          <w:rFonts w:ascii="宋体" w:hAnsi="宋体" w:cs="宋体"/>
          <w:color w:val="auto"/>
          <w:sz w:val="24"/>
        </w:rPr>
        <w:t>893</w:t>
      </w:r>
      <w:r>
        <w:rPr>
          <w:rFonts w:hint="eastAsia" w:ascii="宋体" w:hAnsi="宋体" w:cs="宋体"/>
          <w:color w:val="auto"/>
          <w:sz w:val="24"/>
        </w:rPr>
        <w:t>个，水龙头</w:t>
      </w:r>
      <w:r>
        <w:rPr>
          <w:rFonts w:ascii="宋体" w:hAnsi="宋体" w:cs="宋体"/>
          <w:color w:val="auto"/>
          <w:sz w:val="24"/>
        </w:rPr>
        <w:t>180</w:t>
      </w:r>
      <w:r>
        <w:rPr>
          <w:rFonts w:hint="eastAsia" w:ascii="宋体" w:hAnsi="宋体" w:cs="宋体"/>
          <w:color w:val="auto"/>
          <w:sz w:val="24"/>
        </w:rPr>
        <w:t>个，大小便池</w:t>
      </w:r>
      <w:r>
        <w:rPr>
          <w:rFonts w:ascii="宋体" w:hAnsi="宋体" w:cs="宋体"/>
          <w:color w:val="auto"/>
          <w:sz w:val="24"/>
        </w:rPr>
        <w:t>378</w:t>
      </w:r>
      <w:r>
        <w:rPr>
          <w:rFonts w:hint="eastAsia" w:ascii="宋体" w:hAnsi="宋体" w:cs="宋体"/>
          <w:color w:val="auto"/>
          <w:sz w:val="24"/>
        </w:rPr>
        <w:t>个，桌椅</w:t>
      </w:r>
      <w:r>
        <w:rPr>
          <w:rFonts w:ascii="宋体" w:hAnsi="宋体" w:cs="宋体"/>
          <w:color w:val="auto"/>
          <w:sz w:val="24"/>
        </w:rPr>
        <w:t>6776</w:t>
      </w:r>
      <w:r>
        <w:rPr>
          <w:rFonts w:hint="eastAsia" w:ascii="宋体" w:hAnsi="宋体" w:cs="宋体"/>
          <w:color w:val="auto"/>
          <w:sz w:val="24"/>
        </w:rPr>
        <w:t>个，风扇</w:t>
      </w:r>
      <w:r>
        <w:rPr>
          <w:rFonts w:ascii="宋体" w:hAnsi="宋体" w:cs="宋体"/>
          <w:color w:val="auto"/>
          <w:sz w:val="24"/>
        </w:rPr>
        <w:t>730</w:t>
      </w:r>
      <w:r>
        <w:rPr>
          <w:rFonts w:hint="eastAsia" w:ascii="宋体" w:hAnsi="宋体" w:cs="宋体"/>
          <w:color w:val="auto"/>
          <w:sz w:val="24"/>
        </w:rPr>
        <w:t>个，门</w:t>
      </w:r>
      <w:r>
        <w:rPr>
          <w:rFonts w:ascii="宋体" w:hAnsi="宋体" w:cs="宋体"/>
          <w:color w:val="auto"/>
          <w:sz w:val="24"/>
        </w:rPr>
        <w:t>324</w:t>
      </w:r>
      <w:r>
        <w:rPr>
          <w:rFonts w:hint="eastAsia" w:ascii="宋体" w:hAnsi="宋体" w:cs="宋体"/>
          <w:color w:val="auto"/>
          <w:sz w:val="24"/>
        </w:rPr>
        <w:t>个，窗户</w:t>
      </w:r>
      <w:r>
        <w:rPr>
          <w:rFonts w:ascii="宋体" w:hAnsi="宋体" w:cs="宋体"/>
          <w:color w:val="auto"/>
          <w:sz w:val="24"/>
        </w:rPr>
        <w:t>760</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号教学楼室内照明灯</w:t>
      </w:r>
      <w:r>
        <w:rPr>
          <w:rFonts w:ascii="宋体" w:hAnsi="宋体" w:cs="宋体"/>
          <w:color w:val="auto"/>
          <w:sz w:val="24"/>
        </w:rPr>
        <w:t>1452</w:t>
      </w:r>
      <w:r>
        <w:rPr>
          <w:rFonts w:hint="eastAsia" w:ascii="宋体" w:hAnsi="宋体" w:cs="宋体"/>
          <w:color w:val="auto"/>
          <w:sz w:val="24"/>
        </w:rPr>
        <w:t>个，楼梯灯</w:t>
      </w:r>
      <w:r>
        <w:rPr>
          <w:rFonts w:ascii="宋体" w:hAnsi="宋体" w:cs="宋体"/>
          <w:color w:val="auto"/>
          <w:sz w:val="24"/>
        </w:rPr>
        <w:t>60</w:t>
      </w:r>
      <w:r>
        <w:rPr>
          <w:rFonts w:hint="eastAsia" w:ascii="宋体" w:hAnsi="宋体" w:cs="宋体"/>
          <w:color w:val="auto"/>
          <w:sz w:val="24"/>
        </w:rPr>
        <w:t>个，开关</w:t>
      </w:r>
      <w:r>
        <w:rPr>
          <w:rFonts w:ascii="宋体" w:hAnsi="宋体" w:cs="宋体"/>
          <w:color w:val="auto"/>
          <w:sz w:val="24"/>
        </w:rPr>
        <w:t>136</w:t>
      </w:r>
      <w:r>
        <w:rPr>
          <w:rFonts w:hint="eastAsia" w:ascii="宋体" w:hAnsi="宋体" w:cs="宋体"/>
          <w:color w:val="auto"/>
          <w:sz w:val="24"/>
        </w:rPr>
        <w:t>个，插座</w:t>
      </w:r>
      <w:r>
        <w:rPr>
          <w:rFonts w:ascii="宋体" w:hAnsi="宋体" w:cs="宋体"/>
          <w:color w:val="auto"/>
          <w:sz w:val="24"/>
        </w:rPr>
        <w:t>287</w:t>
      </w:r>
      <w:r>
        <w:rPr>
          <w:rFonts w:hint="eastAsia" w:ascii="宋体" w:hAnsi="宋体" w:cs="宋体"/>
          <w:color w:val="auto"/>
          <w:sz w:val="24"/>
        </w:rPr>
        <w:t>个，水龙头</w:t>
      </w:r>
      <w:r>
        <w:rPr>
          <w:rFonts w:ascii="宋体" w:hAnsi="宋体" w:cs="宋体"/>
          <w:color w:val="auto"/>
          <w:sz w:val="24"/>
        </w:rPr>
        <w:t>80</w:t>
      </w:r>
      <w:r>
        <w:rPr>
          <w:rFonts w:hint="eastAsia" w:ascii="宋体" w:hAnsi="宋体" w:cs="宋体"/>
          <w:color w:val="auto"/>
          <w:sz w:val="24"/>
        </w:rPr>
        <w:t>个，大小便池</w:t>
      </w:r>
      <w:r>
        <w:rPr>
          <w:rFonts w:ascii="宋体" w:hAnsi="宋体" w:cs="宋体"/>
          <w:color w:val="auto"/>
          <w:sz w:val="24"/>
        </w:rPr>
        <w:t>222</w:t>
      </w:r>
      <w:r>
        <w:rPr>
          <w:rFonts w:hint="eastAsia" w:ascii="宋体" w:hAnsi="宋体" w:cs="宋体"/>
          <w:color w:val="auto"/>
          <w:sz w:val="24"/>
        </w:rPr>
        <w:t>个，桌椅</w:t>
      </w:r>
      <w:r>
        <w:rPr>
          <w:rFonts w:ascii="宋体" w:hAnsi="宋体" w:cs="宋体"/>
          <w:color w:val="auto"/>
          <w:sz w:val="24"/>
        </w:rPr>
        <w:t>5392</w:t>
      </w:r>
      <w:r>
        <w:rPr>
          <w:rFonts w:hint="eastAsia" w:ascii="宋体" w:hAnsi="宋体" w:cs="宋体"/>
          <w:color w:val="auto"/>
          <w:sz w:val="24"/>
        </w:rPr>
        <w:t>个，风扇</w:t>
      </w:r>
      <w:r>
        <w:rPr>
          <w:rFonts w:ascii="宋体" w:hAnsi="宋体" w:cs="宋体"/>
          <w:color w:val="auto"/>
          <w:sz w:val="24"/>
        </w:rPr>
        <w:t>350</w:t>
      </w:r>
      <w:r>
        <w:rPr>
          <w:rFonts w:hint="eastAsia" w:ascii="宋体" w:hAnsi="宋体" w:cs="宋体"/>
          <w:color w:val="auto"/>
          <w:sz w:val="24"/>
        </w:rPr>
        <w:t>个，门</w:t>
      </w:r>
      <w:r>
        <w:rPr>
          <w:rFonts w:ascii="宋体" w:hAnsi="宋体" w:cs="宋体"/>
          <w:color w:val="auto"/>
          <w:sz w:val="24"/>
        </w:rPr>
        <w:t>181</w:t>
      </w:r>
      <w:r>
        <w:rPr>
          <w:rFonts w:hint="eastAsia" w:ascii="宋体" w:hAnsi="宋体" w:cs="宋体"/>
          <w:color w:val="auto"/>
          <w:sz w:val="24"/>
        </w:rPr>
        <w:t>个，窗户</w:t>
      </w:r>
      <w:r>
        <w:rPr>
          <w:rFonts w:ascii="宋体" w:hAnsi="宋体" w:cs="宋体"/>
          <w:color w:val="auto"/>
          <w:sz w:val="24"/>
        </w:rPr>
        <w:t>400</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号教学楼室内照明灯</w:t>
      </w:r>
      <w:r>
        <w:rPr>
          <w:rFonts w:ascii="宋体" w:hAnsi="宋体" w:cs="宋体"/>
          <w:color w:val="auto"/>
          <w:sz w:val="24"/>
        </w:rPr>
        <w:t>1452</w:t>
      </w:r>
      <w:r>
        <w:rPr>
          <w:rFonts w:hint="eastAsia" w:ascii="宋体" w:hAnsi="宋体" w:cs="宋体"/>
          <w:color w:val="auto"/>
          <w:sz w:val="24"/>
        </w:rPr>
        <w:t>个，楼梯灯</w:t>
      </w:r>
      <w:r>
        <w:rPr>
          <w:rFonts w:ascii="宋体" w:hAnsi="宋体" w:cs="宋体"/>
          <w:color w:val="auto"/>
          <w:sz w:val="24"/>
        </w:rPr>
        <w:t>60</w:t>
      </w:r>
      <w:r>
        <w:rPr>
          <w:rFonts w:hint="eastAsia" w:ascii="宋体" w:hAnsi="宋体" w:cs="宋体"/>
          <w:color w:val="auto"/>
          <w:sz w:val="24"/>
        </w:rPr>
        <w:t>个，开关</w:t>
      </w:r>
      <w:r>
        <w:rPr>
          <w:rFonts w:ascii="宋体" w:hAnsi="宋体" w:cs="宋体"/>
          <w:color w:val="auto"/>
          <w:sz w:val="24"/>
        </w:rPr>
        <w:t>136</w:t>
      </w:r>
      <w:r>
        <w:rPr>
          <w:rFonts w:hint="eastAsia" w:ascii="宋体" w:hAnsi="宋体" w:cs="宋体"/>
          <w:color w:val="auto"/>
          <w:sz w:val="24"/>
        </w:rPr>
        <w:t>个，插座</w:t>
      </w:r>
      <w:r>
        <w:rPr>
          <w:rFonts w:ascii="宋体" w:hAnsi="宋体" w:cs="宋体"/>
          <w:color w:val="auto"/>
          <w:sz w:val="24"/>
        </w:rPr>
        <w:t>472</w:t>
      </w:r>
      <w:r>
        <w:rPr>
          <w:rFonts w:hint="eastAsia" w:ascii="宋体" w:hAnsi="宋体" w:cs="宋体"/>
          <w:color w:val="auto"/>
          <w:sz w:val="24"/>
        </w:rPr>
        <w:t>个，水龙头</w:t>
      </w:r>
      <w:r>
        <w:rPr>
          <w:rFonts w:ascii="宋体" w:hAnsi="宋体" w:cs="宋体"/>
          <w:color w:val="auto"/>
          <w:sz w:val="24"/>
        </w:rPr>
        <w:t>80</w:t>
      </w:r>
      <w:r>
        <w:rPr>
          <w:rFonts w:hint="eastAsia" w:ascii="宋体" w:hAnsi="宋体" w:cs="宋体"/>
          <w:color w:val="auto"/>
          <w:sz w:val="24"/>
        </w:rPr>
        <w:t>个，大小便池</w:t>
      </w:r>
      <w:r>
        <w:rPr>
          <w:rFonts w:ascii="宋体" w:hAnsi="宋体" w:cs="宋体"/>
          <w:color w:val="auto"/>
          <w:sz w:val="24"/>
        </w:rPr>
        <w:t>222</w:t>
      </w:r>
      <w:r>
        <w:rPr>
          <w:rFonts w:hint="eastAsia" w:ascii="宋体" w:hAnsi="宋体" w:cs="宋体"/>
          <w:color w:val="auto"/>
          <w:sz w:val="24"/>
        </w:rPr>
        <w:t>个，桌椅</w:t>
      </w:r>
      <w:r>
        <w:rPr>
          <w:rFonts w:ascii="宋体" w:hAnsi="宋体" w:cs="宋体"/>
          <w:color w:val="auto"/>
          <w:sz w:val="24"/>
        </w:rPr>
        <w:t>5340</w:t>
      </w:r>
      <w:r>
        <w:rPr>
          <w:rFonts w:hint="eastAsia" w:ascii="宋体" w:hAnsi="宋体" w:cs="宋体"/>
          <w:color w:val="auto"/>
          <w:sz w:val="24"/>
        </w:rPr>
        <w:t>个，风扇</w:t>
      </w:r>
      <w:r>
        <w:rPr>
          <w:rFonts w:ascii="宋体" w:hAnsi="宋体" w:cs="宋体"/>
          <w:color w:val="auto"/>
          <w:sz w:val="24"/>
        </w:rPr>
        <w:t>350</w:t>
      </w:r>
      <w:r>
        <w:rPr>
          <w:rFonts w:hint="eastAsia" w:ascii="宋体" w:hAnsi="宋体" w:cs="宋体"/>
          <w:color w:val="auto"/>
          <w:sz w:val="24"/>
        </w:rPr>
        <w:t>个，门</w:t>
      </w:r>
      <w:r>
        <w:rPr>
          <w:rFonts w:ascii="宋体" w:hAnsi="宋体" w:cs="宋体"/>
          <w:color w:val="auto"/>
          <w:sz w:val="24"/>
        </w:rPr>
        <w:t>194</w:t>
      </w:r>
      <w:r>
        <w:rPr>
          <w:rFonts w:hint="eastAsia" w:ascii="宋体" w:hAnsi="宋体" w:cs="宋体"/>
          <w:color w:val="auto"/>
          <w:sz w:val="24"/>
        </w:rPr>
        <w:t>个，窗户</w:t>
      </w:r>
      <w:r>
        <w:rPr>
          <w:rFonts w:ascii="宋体" w:hAnsi="宋体" w:cs="宋体"/>
          <w:color w:val="auto"/>
          <w:sz w:val="24"/>
        </w:rPr>
        <w:t>400</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号教学楼室内照明灯</w:t>
      </w:r>
      <w:r>
        <w:rPr>
          <w:rFonts w:ascii="宋体" w:hAnsi="宋体" w:cs="宋体"/>
          <w:color w:val="auto"/>
          <w:sz w:val="24"/>
        </w:rPr>
        <w:t>1002</w:t>
      </w:r>
      <w:r>
        <w:rPr>
          <w:rFonts w:hint="eastAsia" w:ascii="宋体" w:hAnsi="宋体" w:cs="宋体"/>
          <w:color w:val="auto"/>
          <w:sz w:val="24"/>
        </w:rPr>
        <w:t>个，楼梯灯</w:t>
      </w:r>
      <w:r>
        <w:rPr>
          <w:rFonts w:ascii="宋体" w:hAnsi="宋体" w:cs="宋体"/>
          <w:color w:val="auto"/>
          <w:sz w:val="24"/>
        </w:rPr>
        <w:t>312</w:t>
      </w:r>
      <w:r>
        <w:rPr>
          <w:rFonts w:hint="eastAsia" w:ascii="宋体" w:hAnsi="宋体" w:cs="宋体"/>
          <w:color w:val="auto"/>
          <w:sz w:val="24"/>
        </w:rPr>
        <w:t>个，开关</w:t>
      </w:r>
      <w:r>
        <w:rPr>
          <w:rFonts w:ascii="宋体" w:hAnsi="宋体" w:cs="宋体"/>
          <w:color w:val="auto"/>
          <w:sz w:val="24"/>
        </w:rPr>
        <w:t>488</w:t>
      </w:r>
      <w:r>
        <w:rPr>
          <w:rFonts w:hint="eastAsia" w:ascii="宋体" w:hAnsi="宋体" w:cs="宋体"/>
          <w:color w:val="auto"/>
          <w:sz w:val="24"/>
        </w:rPr>
        <w:t>个，插座</w:t>
      </w:r>
      <w:r>
        <w:rPr>
          <w:rFonts w:ascii="宋体" w:hAnsi="宋体" w:cs="宋体"/>
          <w:color w:val="auto"/>
          <w:sz w:val="24"/>
        </w:rPr>
        <w:t>631</w:t>
      </w:r>
      <w:r>
        <w:rPr>
          <w:rFonts w:hint="eastAsia" w:ascii="宋体" w:hAnsi="宋体" w:cs="宋体"/>
          <w:color w:val="auto"/>
          <w:sz w:val="24"/>
        </w:rPr>
        <w:t>个，水龙头</w:t>
      </w:r>
      <w:r>
        <w:rPr>
          <w:rFonts w:ascii="宋体" w:hAnsi="宋体" w:cs="宋体"/>
          <w:color w:val="auto"/>
          <w:sz w:val="24"/>
        </w:rPr>
        <w:t>138</w:t>
      </w:r>
      <w:r>
        <w:rPr>
          <w:rFonts w:hint="eastAsia" w:ascii="宋体" w:hAnsi="宋体" w:cs="宋体"/>
          <w:color w:val="auto"/>
          <w:sz w:val="24"/>
        </w:rPr>
        <w:t>个，大小便池</w:t>
      </w:r>
      <w:r>
        <w:rPr>
          <w:rFonts w:ascii="宋体" w:hAnsi="宋体" w:cs="宋体"/>
          <w:color w:val="auto"/>
          <w:sz w:val="24"/>
        </w:rPr>
        <w:t>256</w:t>
      </w:r>
      <w:r>
        <w:rPr>
          <w:rFonts w:hint="eastAsia" w:ascii="宋体" w:hAnsi="宋体" w:cs="宋体"/>
          <w:color w:val="auto"/>
          <w:sz w:val="24"/>
        </w:rPr>
        <w:t>个，桌椅</w:t>
      </w:r>
      <w:r>
        <w:rPr>
          <w:rFonts w:ascii="宋体" w:hAnsi="宋体" w:cs="宋体"/>
          <w:color w:val="auto"/>
          <w:sz w:val="24"/>
        </w:rPr>
        <w:t>1364</w:t>
      </w:r>
      <w:r>
        <w:rPr>
          <w:rFonts w:hint="eastAsia" w:ascii="宋体" w:hAnsi="宋体" w:cs="宋体"/>
          <w:color w:val="auto"/>
          <w:sz w:val="24"/>
        </w:rPr>
        <w:t>个，风扇</w:t>
      </w:r>
      <w:r>
        <w:rPr>
          <w:rFonts w:ascii="宋体" w:hAnsi="宋体" w:cs="宋体"/>
          <w:color w:val="auto"/>
          <w:sz w:val="24"/>
        </w:rPr>
        <w:t>332</w:t>
      </w:r>
      <w:r>
        <w:rPr>
          <w:rFonts w:hint="eastAsia" w:ascii="宋体" w:hAnsi="宋体" w:cs="宋体"/>
          <w:color w:val="auto"/>
          <w:sz w:val="24"/>
        </w:rPr>
        <w:t>个，门</w:t>
      </w:r>
      <w:r>
        <w:rPr>
          <w:rFonts w:ascii="宋体" w:hAnsi="宋体" w:cs="宋体"/>
          <w:color w:val="auto"/>
          <w:sz w:val="24"/>
        </w:rPr>
        <w:t>758</w:t>
      </w:r>
      <w:r>
        <w:rPr>
          <w:rFonts w:hint="eastAsia" w:ascii="宋体" w:hAnsi="宋体" w:cs="宋体"/>
          <w:color w:val="auto"/>
          <w:sz w:val="24"/>
        </w:rPr>
        <w:t>个，窗户</w:t>
      </w:r>
      <w:r>
        <w:rPr>
          <w:rFonts w:ascii="宋体" w:hAnsi="宋体" w:cs="宋体"/>
          <w:color w:val="auto"/>
          <w:sz w:val="24"/>
        </w:rPr>
        <w:t>1921</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实验楼室内照明灯</w:t>
      </w:r>
      <w:r>
        <w:rPr>
          <w:rFonts w:ascii="宋体" w:hAnsi="宋体" w:cs="宋体"/>
          <w:color w:val="auto"/>
          <w:sz w:val="24"/>
        </w:rPr>
        <w:t>855</w:t>
      </w:r>
      <w:r>
        <w:rPr>
          <w:rFonts w:hint="eastAsia" w:ascii="宋体" w:hAnsi="宋体" w:cs="宋体"/>
          <w:color w:val="auto"/>
          <w:sz w:val="24"/>
        </w:rPr>
        <w:t>个，楼梯灯</w:t>
      </w:r>
      <w:r>
        <w:rPr>
          <w:rFonts w:ascii="宋体" w:hAnsi="宋体" w:cs="宋体"/>
          <w:color w:val="auto"/>
          <w:sz w:val="24"/>
        </w:rPr>
        <w:t>113</w:t>
      </w:r>
      <w:r>
        <w:rPr>
          <w:rFonts w:hint="eastAsia" w:ascii="宋体" w:hAnsi="宋体" w:cs="宋体"/>
          <w:color w:val="auto"/>
          <w:sz w:val="24"/>
        </w:rPr>
        <w:t>个，开关</w:t>
      </w:r>
      <w:r>
        <w:rPr>
          <w:rFonts w:ascii="宋体" w:hAnsi="宋体" w:cs="宋体"/>
          <w:color w:val="auto"/>
          <w:sz w:val="24"/>
        </w:rPr>
        <w:t>190</w:t>
      </w:r>
      <w:r>
        <w:rPr>
          <w:rFonts w:hint="eastAsia" w:ascii="宋体" w:hAnsi="宋体" w:cs="宋体"/>
          <w:color w:val="auto"/>
          <w:sz w:val="24"/>
        </w:rPr>
        <w:t>个，插座</w:t>
      </w:r>
      <w:r>
        <w:rPr>
          <w:rFonts w:ascii="宋体" w:hAnsi="宋体" w:cs="宋体"/>
          <w:color w:val="auto"/>
          <w:sz w:val="24"/>
        </w:rPr>
        <w:t>531</w:t>
      </w:r>
      <w:r>
        <w:rPr>
          <w:rFonts w:hint="eastAsia" w:ascii="宋体" w:hAnsi="宋体" w:cs="宋体"/>
          <w:color w:val="auto"/>
          <w:sz w:val="24"/>
        </w:rPr>
        <w:t>个，水龙头</w:t>
      </w:r>
      <w:r>
        <w:rPr>
          <w:rFonts w:ascii="宋体" w:hAnsi="宋体" w:cs="宋体"/>
          <w:color w:val="auto"/>
          <w:sz w:val="24"/>
        </w:rPr>
        <w:t>60</w:t>
      </w:r>
      <w:r>
        <w:rPr>
          <w:rFonts w:hint="eastAsia" w:ascii="宋体" w:hAnsi="宋体" w:cs="宋体"/>
          <w:color w:val="auto"/>
          <w:sz w:val="24"/>
        </w:rPr>
        <w:t>个，大小便池</w:t>
      </w:r>
      <w:r>
        <w:rPr>
          <w:rFonts w:ascii="宋体" w:hAnsi="宋体" w:cs="宋体"/>
          <w:color w:val="auto"/>
          <w:sz w:val="24"/>
        </w:rPr>
        <w:t>120</w:t>
      </w:r>
      <w:r>
        <w:rPr>
          <w:rFonts w:hint="eastAsia" w:ascii="宋体" w:hAnsi="宋体" w:cs="宋体"/>
          <w:color w:val="auto"/>
          <w:sz w:val="24"/>
        </w:rPr>
        <w:t>个，风扇</w:t>
      </w:r>
      <w:r>
        <w:rPr>
          <w:rFonts w:ascii="宋体" w:hAnsi="宋体" w:cs="宋体"/>
          <w:color w:val="auto"/>
          <w:sz w:val="24"/>
        </w:rPr>
        <w:t>312</w:t>
      </w:r>
      <w:r>
        <w:rPr>
          <w:rFonts w:hint="eastAsia" w:ascii="宋体" w:hAnsi="宋体" w:cs="宋体"/>
          <w:color w:val="auto"/>
          <w:sz w:val="24"/>
        </w:rPr>
        <w:t>个，门</w:t>
      </w:r>
      <w:r>
        <w:rPr>
          <w:rFonts w:ascii="宋体" w:hAnsi="宋体" w:cs="宋体"/>
          <w:color w:val="auto"/>
          <w:sz w:val="24"/>
        </w:rPr>
        <w:t>190</w:t>
      </w:r>
      <w:r>
        <w:rPr>
          <w:rFonts w:hint="eastAsia" w:ascii="宋体" w:hAnsi="宋体" w:cs="宋体"/>
          <w:color w:val="auto"/>
          <w:sz w:val="24"/>
        </w:rPr>
        <w:t>个，窗户</w:t>
      </w:r>
      <w:r>
        <w:rPr>
          <w:rFonts w:ascii="宋体" w:hAnsi="宋体" w:cs="宋体"/>
          <w:color w:val="auto"/>
          <w:sz w:val="24"/>
        </w:rPr>
        <w:t>620</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宿办楼室内照明灯</w:t>
      </w:r>
      <w:r>
        <w:rPr>
          <w:rFonts w:ascii="宋体" w:hAnsi="宋体" w:cs="宋体"/>
          <w:color w:val="auto"/>
          <w:sz w:val="24"/>
        </w:rPr>
        <w:t>130</w:t>
      </w:r>
      <w:r>
        <w:rPr>
          <w:rFonts w:hint="eastAsia" w:ascii="宋体" w:hAnsi="宋体" w:cs="宋体"/>
          <w:color w:val="auto"/>
          <w:sz w:val="24"/>
        </w:rPr>
        <w:t>个，楼梯灯</w:t>
      </w:r>
      <w:r>
        <w:rPr>
          <w:rFonts w:ascii="宋体" w:hAnsi="宋体" w:cs="宋体"/>
          <w:color w:val="auto"/>
          <w:sz w:val="24"/>
        </w:rPr>
        <w:t>72</w:t>
      </w:r>
      <w:r>
        <w:rPr>
          <w:rFonts w:hint="eastAsia" w:ascii="宋体" w:hAnsi="宋体" w:cs="宋体"/>
          <w:color w:val="auto"/>
          <w:sz w:val="24"/>
        </w:rPr>
        <w:t>个，开关</w:t>
      </w:r>
      <w:r>
        <w:rPr>
          <w:rFonts w:ascii="宋体" w:hAnsi="宋体" w:cs="宋体"/>
          <w:color w:val="auto"/>
          <w:sz w:val="24"/>
        </w:rPr>
        <w:t>130</w:t>
      </w:r>
      <w:r>
        <w:rPr>
          <w:rFonts w:hint="eastAsia" w:ascii="宋体" w:hAnsi="宋体" w:cs="宋体"/>
          <w:color w:val="auto"/>
          <w:sz w:val="24"/>
        </w:rPr>
        <w:t>个，插座</w:t>
      </w:r>
      <w:r>
        <w:rPr>
          <w:rFonts w:ascii="宋体" w:hAnsi="宋体" w:cs="宋体"/>
          <w:color w:val="auto"/>
          <w:sz w:val="24"/>
        </w:rPr>
        <w:t>260</w:t>
      </w:r>
      <w:r>
        <w:rPr>
          <w:rFonts w:hint="eastAsia" w:ascii="宋体" w:hAnsi="宋体" w:cs="宋体"/>
          <w:color w:val="auto"/>
          <w:sz w:val="24"/>
        </w:rPr>
        <w:t>个，水龙头</w:t>
      </w:r>
      <w:r>
        <w:rPr>
          <w:rFonts w:ascii="宋体" w:hAnsi="宋体" w:cs="宋体"/>
          <w:color w:val="auto"/>
          <w:sz w:val="24"/>
        </w:rPr>
        <w:t>26</w:t>
      </w:r>
      <w:r>
        <w:rPr>
          <w:rFonts w:hint="eastAsia" w:ascii="宋体" w:hAnsi="宋体" w:cs="宋体"/>
          <w:color w:val="auto"/>
          <w:sz w:val="24"/>
        </w:rPr>
        <w:t>个，大小便池</w:t>
      </w:r>
      <w:r>
        <w:rPr>
          <w:rFonts w:ascii="宋体" w:hAnsi="宋体" w:cs="宋体"/>
          <w:color w:val="auto"/>
          <w:sz w:val="24"/>
        </w:rPr>
        <w:t>32</w:t>
      </w:r>
      <w:r>
        <w:rPr>
          <w:rFonts w:hint="eastAsia" w:ascii="宋体" w:hAnsi="宋体" w:cs="宋体"/>
          <w:color w:val="auto"/>
          <w:sz w:val="24"/>
        </w:rPr>
        <w:t>个，门</w:t>
      </w:r>
      <w:r>
        <w:rPr>
          <w:rFonts w:ascii="宋体" w:hAnsi="宋体" w:cs="宋体"/>
          <w:color w:val="auto"/>
          <w:sz w:val="24"/>
        </w:rPr>
        <w:t>130</w:t>
      </w:r>
      <w:r>
        <w:rPr>
          <w:rFonts w:hint="eastAsia" w:ascii="宋体" w:hAnsi="宋体" w:cs="宋体"/>
          <w:color w:val="auto"/>
          <w:sz w:val="24"/>
        </w:rPr>
        <w:t>个，窗户</w:t>
      </w:r>
      <w:r>
        <w:rPr>
          <w:rFonts w:ascii="宋体" w:hAnsi="宋体" w:cs="宋体"/>
          <w:color w:val="auto"/>
          <w:sz w:val="24"/>
        </w:rPr>
        <w:t>150</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新、老图书楼室内照明灯</w:t>
      </w:r>
      <w:r>
        <w:rPr>
          <w:rFonts w:ascii="宋体" w:hAnsi="宋体" w:cs="宋体"/>
          <w:color w:val="auto"/>
          <w:sz w:val="24"/>
        </w:rPr>
        <w:t>1918</w:t>
      </w:r>
      <w:r>
        <w:rPr>
          <w:rFonts w:hint="eastAsia" w:ascii="宋体" w:hAnsi="宋体" w:cs="宋体"/>
          <w:color w:val="auto"/>
          <w:sz w:val="24"/>
        </w:rPr>
        <w:t>个，楼梯灯</w:t>
      </w:r>
      <w:r>
        <w:rPr>
          <w:rFonts w:ascii="宋体" w:hAnsi="宋体" w:cs="宋体"/>
          <w:color w:val="auto"/>
          <w:sz w:val="24"/>
        </w:rPr>
        <w:t>490</w:t>
      </w:r>
      <w:r>
        <w:rPr>
          <w:rFonts w:hint="eastAsia" w:ascii="宋体" w:hAnsi="宋体" w:cs="宋体"/>
          <w:color w:val="auto"/>
          <w:sz w:val="24"/>
        </w:rPr>
        <w:t>个，开关</w:t>
      </w:r>
      <w:r>
        <w:rPr>
          <w:rFonts w:ascii="宋体" w:hAnsi="宋体" w:cs="宋体"/>
          <w:color w:val="auto"/>
          <w:sz w:val="24"/>
        </w:rPr>
        <w:t>625</w:t>
      </w:r>
      <w:r>
        <w:rPr>
          <w:rFonts w:hint="eastAsia" w:ascii="宋体" w:hAnsi="宋体" w:cs="宋体"/>
          <w:color w:val="auto"/>
          <w:sz w:val="24"/>
        </w:rPr>
        <w:t>个，插座</w:t>
      </w:r>
      <w:r>
        <w:rPr>
          <w:rFonts w:ascii="宋体" w:hAnsi="宋体" w:cs="宋体"/>
          <w:color w:val="auto"/>
          <w:sz w:val="24"/>
        </w:rPr>
        <w:t>644</w:t>
      </w:r>
      <w:r>
        <w:rPr>
          <w:rFonts w:hint="eastAsia" w:ascii="宋体" w:hAnsi="宋体" w:cs="宋体"/>
          <w:color w:val="auto"/>
          <w:sz w:val="24"/>
        </w:rPr>
        <w:t>个，水龙头</w:t>
      </w:r>
      <w:r>
        <w:rPr>
          <w:rFonts w:ascii="宋体" w:hAnsi="宋体" w:cs="宋体"/>
          <w:color w:val="auto"/>
          <w:sz w:val="24"/>
        </w:rPr>
        <w:t>141</w:t>
      </w:r>
      <w:r>
        <w:rPr>
          <w:rFonts w:hint="eastAsia" w:ascii="宋体" w:hAnsi="宋体" w:cs="宋体"/>
          <w:color w:val="auto"/>
          <w:sz w:val="24"/>
        </w:rPr>
        <w:t>个，大小便池</w:t>
      </w:r>
      <w:r>
        <w:rPr>
          <w:rFonts w:ascii="宋体" w:hAnsi="宋体" w:cs="宋体"/>
          <w:color w:val="auto"/>
          <w:sz w:val="24"/>
        </w:rPr>
        <w:t>286</w:t>
      </w:r>
      <w:r>
        <w:rPr>
          <w:rFonts w:hint="eastAsia" w:ascii="宋体" w:hAnsi="宋体" w:cs="宋体"/>
          <w:color w:val="auto"/>
          <w:sz w:val="24"/>
        </w:rPr>
        <w:t>个，桌椅</w:t>
      </w:r>
      <w:r>
        <w:rPr>
          <w:rFonts w:ascii="宋体" w:hAnsi="宋体" w:cs="宋体"/>
          <w:color w:val="auto"/>
          <w:sz w:val="24"/>
        </w:rPr>
        <w:t>3098</w:t>
      </w:r>
      <w:r>
        <w:rPr>
          <w:rFonts w:hint="eastAsia" w:ascii="宋体" w:hAnsi="宋体" w:cs="宋体"/>
          <w:color w:val="auto"/>
          <w:sz w:val="24"/>
        </w:rPr>
        <w:t>个，风扇531个，门</w:t>
      </w:r>
      <w:r>
        <w:rPr>
          <w:rFonts w:ascii="宋体" w:hAnsi="宋体" w:cs="宋体"/>
          <w:color w:val="auto"/>
          <w:sz w:val="24"/>
        </w:rPr>
        <w:t>392</w:t>
      </w:r>
      <w:r>
        <w:rPr>
          <w:rFonts w:hint="eastAsia" w:ascii="宋体" w:hAnsi="宋体" w:cs="宋体"/>
          <w:color w:val="auto"/>
          <w:sz w:val="24"/>
        </w:rPr>
        <w:t>个，窗</w:t>
      </w:r>
      <w:r>
        <w:rPr>
          <w:rFonts w:ascii="宋体" w:hAnsi="宋体" w:cs="宋体"/>
          <w:color w:val="auto"/>
          <w:sz w:val="24"/>
        </w:rPr>
        <w:t>1442</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18号学生公寓楼室内照明灯6137个，楼梯灯</w:t>
      </w:r>
      <w:r>
        <w:rPr>
          <w:rFonts w:ascii="宋体" w:hAnsi="宋体" w:cs="宋体"/>
          <w:color w:val="auto"/>
          <w:sz w:val="24"/>
        </w:rPr>
        <w:t>27</w:t>
      </w:r>
      <w:r>
        <w:rPr>
          <w:rFonts w:hint="eastAsia" w:ascii="宋体" w:hAnsi="宋体" w:cs="宋体"/>
          <w:color w:val="auto"/>
          <w:sz w:val="24"/>
        </w:rPr>
        <w:t>85个，开关</w:t>
      </w:r>
      <w:r>
        <w:rPr>
          <w:rFonts w:ascii="宋体" w:hAnsi="宋体" w:cs="宋体"/>
          <w:color w:val="auto"/>
          <w:sz w:val="24"/>
        </w:rPr>
        <w:t>5</w:t>
      </w:r>
      <w:r>
        <w:rPr>
          <w:rFonts w:hint="eastAsia" w:ascii="宋体" w:hAnsi="宋体" w:cs="宋体"/>
          <w:color w:val="auto"/>
          <w:sz w:val="24"/>
        </w:rPr>
        <w:t>710个，插座</w:t>
      </w:r>
      <w:r>
        <w:rPr>
          <w:rFonts w:ascii="宋体" w:hAnsi="宋体" w:cs="宋体"/>
          <w:color w:val="auto"/>
          <w:sz w:val="24"/>
        </w:rPr>
        <w:t>15</w:t>
      </w:r>
      <w:r>
        <w:rPr>
          <w:rFonts w:hint="eastAsia" w:ascii="宋体" w:hAnsi="宋体" w:cs="宋体"/>
          <w:color w:val="auto"/>
          <w:sz w:val="24"/>
        </w:rPr>
        <w:t>9</w:t>
      </w:r>
      <w:r>
        <w:rPr>
          <w:rFonts w:ascii="宋体" w:hAnsi="宋体" w:cs="宋体"/>
          <w:color w:val="auto"/>
          <w:sz w:val="24"/>
        </w:rPr>
        <w:t>98</w:t>
      </w:r>
      <w:r>
        <w:rPr>
          <w:rFonts w:hint="eastAsia" w:ascii="宋体" w:hAnsi="宋体" w:cs="宋体"/>
          <w:color w:val="auto"/>
          <w:sz w:val="24"/>
        </w:rPr>
        <w:t>个，水龙头</w:t>
      </w:r>
      <w:r>
        <w:rPr>
          <w:rFonts w:ascii="宋体" w:hAnsi="宋体" w:cs="宋体"/>
          <w:color w:val="auto"/>
          <w:sz w:val="24"/>
        </w:rPr>
        <w:t>2</w:t>
      </w:r>
      <w:r>
        <w:rPr>
          <w:rFonts w:hint="eastAsia" w:ascii="宋体" w:hAnsi="宋体" w:cs="宋体"/>
          <w:color w:val="auto"/>
          <w:sz w:val="24"/>
        </w:rPr>
        <w:t>724个，大小便池</w:t>
      </w:r>
      <w:r>
        <w:rPr>
          <w:rFonts w:ascii="宋体" w:hAnsi="宋体" w:cs="宋体"/>
          <w:color w:val="auto"/>
          <w:sz w:val="24"/>
        </w:rPr>
        <w:t>1</w:t>
      </w:r>
      <w:r>
        <w:rPr>
          <w:rFonts w:hint="eastAsia" w:ascii="宋体" w:hAnsi="宋体" w:cs="宋体"/>
          <w:color w:val="auto"/>
          <w:sz w:val="24"/>
        </w:rPr>
        <w:t>747个，桌椅</w:t>
      </w:r>
      <w:r>
        <w:rPr>
          <w:rFonts w:ascii="宋体" w:hAnsi="宋体" w:cs="宋体"/>
          <w:color w:val="auto"/>
          <w:sz w:val="24"/>
        </w:rPr>
        <w:t>9322</w:t>
      </w:r>
      <w:r>
        <w:rPr>
          <w:rFonts w:hint="eastAsia" w:ascii="宋体" w:hAnsi="宋体" w:cs="宋体"/>
          <w:color w:val="auto"/>
          <w:sz w:val="24"/>
        </w:rPr>
        <w:t>个，风扇</w:t>
      </w:r>
      <w:r>
        <w:rPr>
          <w:rFonts w:ascii="宋体" w:hAnsi="宋体" w:cs="宋体"/>
          <w:color w:val="auto"/>
          <w:sz w:val="24"/>
        </w:rPr>
        <w:t>2559</w:t>
      </w:r>
      <w:r>
        <w:rPr>
          <w:rFonts w:hint="eastAsia" w:ascii="宋体" w:hAnsi="宋体" w:cs="宋体"/>
          <w:color w:val="auto"/>
          <w:sz w:val="24"/>
        </w:rPr>
        <w:t>个，架子床</w:t>
      </w:r>
      <w:r>
        <w:rPr>
          <w:rFonts w:ascii="宋体" w:hAnsi="宋体" w:cs="宋体"/>
          <w:color w:val="auto"/>
          <w:sz w:val="24"/>
        </w:rPr>
        <w:t>9322</w:t>
      </w:r>
      <w:r>
        <w:rPr>
          <w:rFonts w:hint="eastAsia" w:ascii="宋体" w:hAnsi="宋体" w:cs="宋体"/>
          <w:color w:val="auto"/>
          <w:sz w:val="24"/>
        </w:rPr>
        <w:t>个，柜子</w:t>
      </w:r>
      <w:r>
        <w:rPr>
          <w:rFonts w:ascii="宋体" w:hAnsi="宋体" w:cs="宋体"/>
          <w:color w:val="auto"/>
          <w:sz w:val="24"/>
        </w:rPr>
        <w:t>2434</w:t>
      </w:r>
      <w:r>
        <w:rPr>
          <w:rFonts w:hint="eastAsia" w:ascii="宋体" w:hAnsi="宋体" w:cs="宋体"/>
          <w:color w:val="auto"/>
          <w:sz w:val="24"/>
        </w:rPr>
        <w:t>个，门3491个，窗</w:t>
      </w:r>
      <w:r>
        <w:rPr>
          <w:rFonts w:ascii="宋体" w:hAnsi="宋体" w:cs="宋体"/>
          <w:color w:val="auto"/>
          <w:sz w:val="24"/>
        </w:rPr>
        <w:t>3</w:t>
      </w:r>
      <w:r>
        <w:rPr>
          <w:rFonts w:hint="eastAsia" w:ascii="宋体" w:hAnsi="宋体" w:cs="宋体"/>
          <w:color w:val="auto"/>
          <w:sz w:val="24"/>
        </w:rPr>
        <w:t>457个，电表</w:t>
      </w:r>
      <w:r>
        <w:rPr>
          <w:rFonts w:ascii="宋体" w:hAnsi="宋体" w:cs="宋体"/>
          <w:color w:val="auto"/>
          <w:sz w:val="24"/>
        </w:rPr>
        <w:t>2544</w:t>
      </w:r>
      <w:r>
        <w:rPr>
          <w:rFonts w:hint="eastAsia" w:ascii="宋体" w:hAnsi="宋体" w:cs="宋体"/>
          <w:color w:val="auto"/>
          <w:sz w:val="24"/>
        </w:rPr>
        <w:t>个，窗帘架</w:t>
      </w:r>
      <w:r>
        <w:rPr>
          <w:rFonts w:ascii="宋体" w:hAnsi="宋体" w:cs="宋体"/>
          <w:color w:val="auto"/>
          <w:sz w:val="24"/>
        </w:rPr>
        <w:t>2544</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体育场看台、学校大门门房：照明灯</w:t>
      </w:r>
      <w:r>
        <w:rPr>
          <w:rFonts w:ascii="宋体" w:hAnsi="宋体" w:cs="宋体"/>
          <w:color w:val="auto"/>
          <w:sz w:val="24"/>
        </w:rPr>
        <w:t>42</w:t>
      </w:r>
      <w:r>
        <w:rPr>
          <w:rFonts w:hint="eastAsia" w:ascii="宋体" w:hAnsi="宋体" w:cs="宋体"/>
          <w:color w:val="auto"/>
          <w:sz w:val="24"/>
        </w:rPr>
        <w:t>个，开关</w:t>
      </w:r>
      <w:r>
        <w:rPr>
          <w:rFonts w:ascii="宋体" w:hAnsi="宋体" w:cs="宋体"/>
          <w:color w:val="auto"/>
          <w:sz w:val="24"/>
        </w:rPr>
        <w:t>21</w:t>
      </w:r>
      <w:r>
        <w:rPr>
          <w:rFonts w:hint="eastAsia" w:ascii="宋体" w:hAnsi="宋体" w:cs="宋体"/>
          <w:color w:val="auto"/>
          <w:sz w:val="24"/>
        </w:rPr>
        <w:t>个，插座</w:t>
      </w:r>
      <w:r>
        <w:rPr>
          <w:rFonts w:ascii="宋体" w:hAnsi="宋体" w:cs="宋体"/>
          <w:color w:val="auto"/>
          <w:sz w:val="24"/>
        </w:rPr>
        <w:t>18</w:t>
      </w:r>
      <w:r>
        <w:rPr>
          <w:rFonts w:hint="eastAsia" w:ascii="宋体" w:hAnsi="宋体" w:cs="宋体"/>
          <w:color w:val="auto"/>
          <w:sz w:val="24"/>
        </w:rPr>
        <w:t>个，大小便池</w:t>
      </w:r>
      <w:r>
        <w:rPr>
          <w:rFonts w:ascii="宋体" w:hAnsi="宋体" w:cs="宋体"/>
          <w:color w:val="auto"/>
          <w:sz w:val="24"/>
        </w:rPr>
        <w:t>9</w:t>
      </w:r>
      <w:r>
        <w:rPr>
          <w:rFonts w:hint="eastAsia" w:ascii="宋体" w:hAnsi="宋体" w:cs="宋体"/>
          <w:color w:val="auto"/>
          <w:sz w:val="24"/>
        </w:rPr>
        <w:t>个，水龙头</w:t>
      </w:r>
      <w:r>
        <w:rPr>
          <w:rFonts w:ascii="宋体" w:hAnsi="宋体" w:cs="宋体"/>
          <w:color w:val="auto"/>
          <w:sz w:val="24"/>
        </w:rPr>
        <w:t>6</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地下车库：照明灯具共</w:t>
      </w:r>
      <w:r>
        <w:rPr>
          <w:rFonts w:ascii="宋体" w:hAnsi="宋体" w:cs="宋体"/>
          <w:color w:val="auto"/>
          <w:sz w:val="24"/>
        </w:rPr>
        <w:t>779</w:t>
      </w:r>
      <w:r>
        <w:rPr>
          <w:rFonts w:hint="eastAsia" w:ascii="宋体" w:hAnsi="宋体" w:cs="宋体"/>
          <w:color w:val="auto"/>
          <w:sz w:val="24"/>
        </w:rPr>
        <w:t>个，其中负一层</w:t>
      </w:r>
      <w:r>
        <w:rPr>
          <w:rFonts w:ascii="宋体" w:hAnsi="宋体" w:cs="宋体"/>
          <w:color w:val="auto"/>
          <w:sz w:val="24"/>
        </w:rPr>
        <w:t>399</w:t>
      </w:r>
      <w:r>
        <w:rPr>
          <w:rFonts w:hint="eastAsia" w:ascii="宋体" w:hAnsi="宋体" w:cs="宋体"/>
          <w:color w:val="auto"/>
          <w:sz w:val="24"/>
        </w:rPr>
        <w:t>个，负二层</w:t>
      </w:r>
      <w:r>
        <w:rPr>
          <w:rFonts w:ascii="宋体" w:hAnsi="宋体" w:cs="宋体"/>
          <w:color w:val="auto"/>
          <w:sz w:val="24"/>
        </w:rPr>
        <w:t>380</w:t>
      </w:r>
      <w:r>
        <w:rPr>
          <w:rFonts w:hint="eastAsia" w:ascii="宋体" w:hAnsi="宋体" w:cs="宋体"/>
          <w:color w:val="auto"/>
          <w:sz w:val="24"/>
        </w:rPr>
        <w:t>个；排污泵</w:t>
      </w:r>
      <w:r>
        <w:rPr>
          <w:rFonts w:ascii="宋体" w:hAnsi="宋体" w:cs="宋体"/>
          <w:color w:val="auto"/>
          <w:sz w:val="24"/>
        </w:rPr>
        <w:t>2</w:t>
      </w:r>
      <w:r>
        <w:rPr>
          <w:rFonts w:hint="eastAsia" w:ascii="宋体" w:hAnsi="宋体" w:cs="宋体"/>
          <w:color w:val="auto"/>
          <w:sz w:val="24"/>
        </w:rPr>
        <w:t>套。</w:t>
      </w:r>
    </w:p>
    <w:p>
      <w:pPr>
        <w:numPr>
          <w:ilvl w:val="0"/>
          <w:numId w:val="0"/>
        </w:num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渭城校区家属楼维修构成情况</w:t>
      </w:r>
    </w:p>
    <w:p>
      <w:pPr>
        <w:numPr>
          <w:ilvl w:val="0"/>
          <w:numId w:val="0"/>
        </w:numPr>
        <w:spacing w:line="460" w:lineRule="exact"/>
        <w:ind w:firstLine="480" w:firstLineChars="200"/>
        <w:rPr>
          <w:rFonts w:ascii="宋体" w:hAnsi="宋体" w:cs="宋体"/>
          <w:color w:val="auto"/>
          <w:sz w:val="24"/>
        </w:rPr>
      </w:pPr>
      <w:r>
        <w:rPr>
          <w:rFonts w:hint="eastAsia" w:ascii="宋体" w:hAnsi="宋体" w:cs="宋体"/>
          <w:color w:val="auto"/>
          <w:sz w:val="24"/>
        </w:rPr>
        <w:t>渭城校区共有家属楼</w:t>
      </w:r>
      <w:r>
        <w:rPr>
          <w:rFonts w:ascii="宋体" w:hAnsi="宋体" w:cs="宋体"/>
          <w:color w:val="auto"/>
          <w:sz w:val="24"/>
        </w:rPr>
        <w:t>1</w:t>
      </w:r>
      <w:r>
        <w:rPr>
          <w:rFonts w:hint="eastAsia" w:ascii="宋体" w:hAnsi="宋体" w:cs="宋体"/>
          <w:color w:val="auto"/>
          <w:sz w:val="24"/>
        </w:rPr>
        <w:t>9座，楼体照明灯</w:t>
      </w:r>
      <w:r>
        <w:rPr>
          <w:rFonts w:ascii="宋体" w:hAnsi="宋体" w:cs="宋体"/>
          <w:color w:val="auto"/>
          <w:sz w:val="24"/>
        </w:rPr>
        <w:t>1014</w:t>
      </w:r>
      <w:r>
        <w:rPr>
          <w:rFonts w:hint="eastAsia" w:ascii="宋体" w:hAnsi="宋体" w:cs="宋体"/>
          <w:color w:val="auto"/>
          <w:sz w:val="24"/>
        </w:rPr>
        <w:t>个，电表</w:t>
      </w:r>
      <w:r>
        <w:rPr>
          <w:rFonts w:ascii="宋体" w:hAnsi="宋体" w:cs="宋体"/>
          <w:color w:val="auto"/>
          <w:sz w:val="24"/>
        </w:rPr>
        <w:t>1596</w:t>
      </w:r>
      <w:r>
        <w:rPr>
          <w:rFonts w:hint="eastAsia" w:ascii="宋体" w:hAnsi="宋体" w:cs="宋体"/>
          <w:color w:val="auto"/>
          <w:sz w:val="24"/>
        </w:rPr>
        <w:t>块，水表</w:t>
      </w:r>
      <w:r>
        <w:rPr>
          <w:rFonts w:ascii="宋体" w:hAnsi="宋体" w:cs="宋体"/>
          <w:color w:val="auto"/>
          <w:sz w:val="24"/>
        </w:rPr>
        <w:t>3258</w:t>
      </w:r>
      <w:r>
        <w:rPr>
          <w:rFonts w:hint="eastAsia" w:ascii="宋体" w:hAnsi="宋体" w:cs="宋体"/>
          <w:color w:val="auto"/>
          <w:sz w:val="24"/>
        </w:rPr>
        <w:t>块，给水管道支阀</w:t>
      </w:r>
      <w:r>
        <w:rPr>
          <w:rFonts w:ascii="宋体" w:hAnsi="宋体" w:cs="宋体"/>
          <w:color w:val="auto"/>
          <w:sz w:val="24"/>
        </w:rPr>
        <w:t>3258</w:t>
      </w:r>
      <w:r>
        <w:rPr>
          <w:rFonts w:hint="eastAsia" w:ascii="宋体" w:hAnsi="宋体" w:cs="宋体"/>
          <w:color w:val="auto"/>
          <w:sz w:val="24"/>
        </w:rPr>
        <w:t>个，配电电表箱</w:t>
      </w:r>
      <w:r>
        <w:rPr>
          <w:rFonts w:ascii="宋体" w:hAnsi="宋体" w:cs="宋体"/>
          <w:color w:val="auto"/>
          <w:sz w:val="24"/>
        </w:rPr>
        <w:t>830</w:t>
      </w:r>
      <w:r>
        <w:rPr>
          <w:rFonts w:hint="eastAsia" w:ascii="宋体" w:hAnsi="宋体" w:cs="宋体"/>
          <w:color w:val="auto"/>
          <w:sz w:val="24"/>
        </w:rPr>
        <w:t>个，断路器</w:t>
      </w:r>
      <w:r>
        <w:rPr>
          <w:rFonts w:ascii="宋体" w:hAnsi="宋体" w:cs="宋体"/>
          <w:color w:val="auto"/>
          <w:sz w:val="24"/>
        </w:rPr>
        <w:t>1918</w:t>
      </w:r>
      <w:r>
        <w:rPr>
          <w:rFonts w:hint="eastAsia" w:ascii="宋体" w:hAnsi="宋体" w:cs="宋体"/>
          <w:color w:val="auto"/>
          <w:sz w:val="24"/>
        </w:rPr>
        <w:t>个。总建筑面积约14.13万平方米。</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4.秦都校区室内外零星维修构成情况</w:t>
      </w:r>
    </w:p>
    <w:p>
      <w:pPr>
        <w:spacing w:line="460" w:lineRule="exact"/>
        <w:ind w:firstLine="482" w:firstLineChars="200"/>
        <w:rPr>
          <w:rFonts w:ascii="宋体" w:hAnsi="宋体" w:cs="宋体"/>
          <w:color w:val="auto"/>
          <w:sz w:val="24"/>
        </w:rPr>
      </w:pPr>
      <w:r>
        <w:rPr>
          <w:rFonts w:hint="eastAsia" w:ascii="宋体" w:hAnsi="宋体" w:cs="宋体"/>
          <w:b/>
          <w:color w:val="auto"/>
          <w:sz w:val="24"/>
        </w:rPr>
        <w:t>（1）</w:t>
      </w:r>
      <w:r>
        <w:rPr>
          <w:rFonts w:hint="eastAsia" w:ascii="宋体" w:hAnsi="宋体" w:cs="宋体"/>
          <w:color w:val="auto"/>
          <w:sz w:val="24"/>
        </w:rPr>
        <w:t>教学楼室内照明灯</w:t>
      </w:r>
      <w:r>
        <w:rPr>
          <w:rFonts w:ascii="宋体" w:hAnsi="宋体" w:cs="宋体"/>
          <w:color w:val="auto"/>
          <w:sz w:val="24"/>
        </w:rPr>
        <w:t>973</w:t>
      </w:r>
      <w:r>
        <w:rPr>
          <w:rFonts w:hint="eastAsia" w:ascii="宋体" w:hAnsi="宋体" w:cs="宋体"/>
          <w:color w:val="auto"/>
          <w:sz w:val="24"/>
        </w:rPr>
        <w:t>个，楼梯灯</w:t>
      </w:r>
      <w:r>
        <w:rPr>
          <w:rFonts w:ascii="宋体" w:hAnsi="宋体" w:cs="宋体"/>
          <w:color w:val="auto"/>
          <w:sz w:val="24"/>
        </w:rPr>
        <w:t>243</w:t>
      </w:r>
      <w:r>
        <w:rPr>
          <w:rFonts w:hint="eastAsia" w:ascii="宋体" w:hAnsi="宋体" w:cs="宋体"/>
          <w:color w:val="auto"/>
          <w:sz w:val="24"/>
        </w:rPr>
        <w:t>个，插座：</w:t>
      </w:r>
      <w:r>
        <w:rPr>
          <w:rFonts w:ascii="宋体" w:hAnsi="宋体" w:cs="宋体"/>
          <w:color w:val="auto"/>
          <w:sz w:val="24"/>
        </w:rPr>
        <w:t>285</w:t>
      </w:r>
      <w:r>
        <w:rPr>
          <w:rFonts w:hint="eastAsia" w:ascii="宋体" w:hAnsi="宋体" w:cs="宋体"/>
          <w:color w:val="auto"/>
          <w:sz w:val="24"/>
        </w:rPr>
        <w:t>个开关</w:t>
      </w:r>
      <w:r>
        <w:rPr>
          <w:rFonts w:ascii="宋体" w:hAnsi="宋体" w:cs="宋体"/>
          <w:color w:val="auto"/>
          <w:sz w:val="24"/>
        </w:rPr>
        <w:t>477</w:t>
      </w:r>
      <w:r>
        <w:rPr>
          <w:rFonts w:hint="eastAsia" w:ascii="宋体" w:hAnsi="宋体" w:cs="宋体"/>
          <w:color w:val="auto"/>
          <w:sz w:val="24"/>
        </w:rPr>
        <w:t>个，小便池</w:t>
      </w:r>
      <w:r>
        <w:rPr>
          <w:rFonts w:ascii="宋体" w:hAnsi="宋体" w:cs="宋体"/>
          <w:color w:val="auto"/>
          <w:sz w:val="24"/>
        </w:rPr>
        <w:t>72</w:t>
      </w:r>
      <w:r>
        <w:rPr>
          <w:rFonts w:hint="eastAsia" w:ascii="宋体" w:hAnsi="宋体" w:cs="宋体"/>
          <w:color w:val="auto"/>
          <w:sz w:val="24"/>
        </w:rPr>
        <w:t>个，大便池（带格挡门）</w:t>
      </w:r>
      <w:r>
        <w:rPr>
          <w:rFonts w:ascii="宋体" w:hAnsi="宋体" w:cs="宋体"/>
          <w:color w:val="auto"/>
          <w:sz w:val="24"/>
        </w:rPr>
        <w:t>216</w:t>
      </w:r>
      <w:r>
        <w:rPr>
          <w:rFonts w:hint="eastAsia" w:ascii="宋体" w:hAnsi="宋体" w:cs="宋体"/>
          <w:color w:val="auto"/>
          <w:sz w:val="24"/>
        </w:rPr>
        <w:t>个，水龙头</w:t>
      </w:r>
      <w:r>
        <w:rPr>
          <w:rFonts w:ascii="宋体" w:hAnsi="宋体" w:cs="宋体"/>
          <w:color w:val="auto"/>
          <w:sz w:val="24"/>
        </w:rPr>
        <w:t>72</w:t>
      </w:r>
      <w:r>
        <w:rPr>
          <w:rFonts w:hint="eastAsia" w:ascii="宋体" w:hAnsi="宋体" w:cs="宋体"/>
          <w:color w:val="auto"/>
          <w:sz w:val="24"/>
        </w:rPr>
        <w:t>个</w:t>
      </w:r>
      <w:r>
        <w:rPr>
          <w:rFonts w:ascii="宋体" w:hAnsi="宋体" w:cs="宋体"/>
          <w:color w:val="auto"/>
          <w:sz w:val="24"/>
        </w:rPr>
        <w:t xml:space="preserve"> </w:t>
      </w:r>
      <w:r>
        <w:rPr>
          <w:rFonts w:hint="eastAsia" w:ascii="宋体" w:hAnsi="宋体" w:cs="宋体"/>
          <w:color w:val="auto"/>
          <w:sz w:val="24"/>
        </w:rPr>
        <w:t>（带拖把小池子），面盆</w:t>
      </w:r>
      <w:r>
        <w:rPr>
          <w:rFonts w:ascii="宋体" w:hAnsi="宋体" w:cs="宋体"/>
          <w:color w:val="auto"/>
          <w:sz w:val="24"/>
        </w:rPr>
        <w:t>72</w:t>
      </w:r>
      <w:r>
        <w:rPr>
          <w:rFonts w:hint="eastAsia" w:ascii="宋体" w:hAnsi="宋体" w:cs="宋体"/>
          <w:color w:val="auto"/>
          <w:sz w:val="24"/>
        </w:rPr>
        <w:t>个（带龙头），风扇</w:t>
      </w:r>
      <w:r>
        <w:rPr>
          <w:rFonts w:ascii="宋体" w:hAnsi="宋体" w:cs="宋体"/>
          <w:color w:val="auto"/>
          <w:sz w:val="24"/>
        </w:rPr>
        <w:t>394</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门：单扇木门</w:t>
      </w:r>
      <w:r>
        <w:rPr>
          <w:rFonts w:ascii="宋体" w:hAnsi="宋体" w:cs="宋体"/>
          <w:color w:val="auto"/>
          <w:sz w:val="24"/>
        </w:rPr>
        <w:t>116</w:t>
      </w:r>
      <w:r>
        <w:rPr>
          <w:rFonts w:hint="eastAsia" w:ascii="宋体" w:hAnsi="宋体" w:cs="宋体"/>
          <w:color w:val="auto"/>
          <w:sz w:val="24"/>
        </w:rPr>
        <w:t>个，双扇木门</w:t>
      </w:r>
      <w:r>
        <w:rPr>
          <w:rFonts w:ascii="宋体" w:hAnsi="宋体" w:cs="宋体"/>
          <w:color w:val="auto"/>
          <w:sz w:val="24"/>
        </w:rPr>
        <w:t>24</w:t>
      </w:r>
      <w:r>
        <w:rPr>
          <w:rFonts w:hint="eastAsia" w:ascii="宋体" w:hAnsi="宋体" w:cs="宋体"/>
          <w:color w:val="auto"/>
          <w:sz w:val="24"/>
        </w:rPr>
        <w:t>个，单扇防盗门</w:t>
      </w:r>
      <w:r>
        <w:rPr>
          <w:rFonts w:ascii="宋体" w:hAnsi="宋体" w:cs="宋体"/>
          <w:color w:val="auto"/>
          <w:sz w:val="24"/>
        </w:rPr>
        <w:t>41</w:t>
      </w:r>
      <w:r>
        <w:rPr>
          <w:rFonts w:hint="eastAsia" w:ascii="宋体" w:hAnsi="宋体" w:cs="宋体"/>
          <w:color w:val="auto"/>
          <w:sz w:val="24"/>
        </w:rPr>
        <w:t>个，双扇防盗门</w:t>
      </w:r>
      <w:r>
        <w:rPr>
          <w:rFonts w:ascii="宋体" w:hAnsi="宋体" w:cs="宋体"/>
          <w:color w:val="auto"/>
          <w:sz w:val="24"/>
        </w:rPr>
        <w:t>7</w:t>
      </w:r>
      <w:r>
        <w:rPr>
          <w:rFonts w:hint="eastAsia" w:ascii="宋体" w:hAnsi="宋体" w:cs="宋体"/>
          <w:color w:val="auto"/>
          <w:sz w:val="24"/>
        </w:rPr>
        <w:t>个，铁推拉门</w:t>
      </w:r>
      <w:r>
        <w:rPr>
          <w:rFonts w:ascii="宋体" w:hAnsi="宋体" w:cs="宋体"/>
          <w:color w:val="auto"/>
          <w:sz w:val="24"/>
        </w:rPr>
        <w:t>3</w:t>
      </w:r>
      <w:r>
        <w:rPr>
          <w:rFonts w:hint="eastAsia" w:ascii="宋体" w:hAnsi="宋体" w:cs="宋体"/>
          <w:color w:val="auto"/>
          <w:sz w:val="24"/>
        </w:rPr>
        <w:t>个，大厅玻璃大门</w:t>
      </w:r>
      <w:r>
        <w:rPr>
          <w:rFonts w:ascii="宋体" w:hAnsi="宋体" w:cs="宋体"/>
          <w:color w:val="auto"/>
          <w:sz w:val="24"/>
        </w:rPr>
        <w:t>1</w:t>
      </w:r>
      <w:r>
        <w:rPr>
          <w:rFonts w:hint="eastAsia" w:ascii="宋体" w:hAnsi="宋体" w:cs="宋体"/>
          <w:color w:val="auto"/>
          <w:sz w:val="24"/>
        </w:rPr>
        <w:t>组。</w:t>
      </w:r>
    </w:p>
    <w:p>
      <w:pPr>
        <w:spacing w:line="460" w:lineRule="exact"/>
        <w:ind w:firstLine="480" w:firstLineChars="200"/>
        <w:rPr>
          <w:rFonts w:ascii="宋体" w:hAnsi="宋体" w:cs="宋体"/>
          <w:color w:val="auto"/>
          <w:sz w:val="24"/>
        </w:rPr>
      </w:pPr>
      <w:r>
        <w:rPr>
          <w:rFonts w:hint="eastAsia" w:ascii="宋体" w:hAnsi="宋体" w:cs="宋体"/>
          <w:color w:val="auto"/>
          <w:sz w:val="24"/>
        </w:rPr>
        <w:t>窗：教室大窗户</w:t>
      </w:r>
      <w:r>
        <w:rPr>
          <w:rFonts w:ascii="宋体" w:hAnsi="宋体" w:cs="宋体"/>
          <w:color w:val="auto"/>
          <w:sz w:val="24"/>
        </w:rPr>
        <w:t>348</w:t>
      </w:r>
      <w:r>
        <w:rPr>
          <w:rFonts w:hint="eastAsia" w:ascii="宋体" w:hAnsi="宋体" w:cs="宋体"/>
          <w:color w:val="auto"/>
          <w:sz w:val="24"/>
        </w:rPr>
        <w:t>套，楼道窗户</w:t>
      </w:r>
      <w:r>
        <w:rPr>
          <w:rFonts w:ascii="宋体" w:hAnsi="宋体" w:cs="宋体"/>
          <w:color w:val="auto"/>
          <w:sz w:val="24"/>
        </w:rPr>
        <w:t>104</w:t>
      </w:r>
      <w:r>
        <w:rPr>
          <w:rFonts w:hint="eastAsia" w:ascii="宋体" w:hAnsi="宋体" w:cs="宋体"/>
          <w:color w:val="auto"/>
          <w:sz w:val="24"/>
        </w:rPr>
        <w:t>套，楼梯窗户</w:t>
      </w:r>
      <w:r>
        <w:rPr>
          <w:rFonts w:ascii="宋体" w:hAnsi="宋体" w:cs="宋体"/>
          <w:color w:val="auto"/>
          <w:sz w:val="24"/>
        </w:rPr>
        <w:t>12</w:t>
      </w:r>
      <w:r>
        <w:rPr>
          <w:rFonts w:hint="eastAsia" w:ascii="宋体" w:hAnsi="宋体" w:cs="宋体"/>
          <w:color w:val="auto"/>
          <w:sz w:val="24"/>
        </w:rPr>
        <w:t>套。</w:t>
      </w:r>
    </w:p>
    <w:p>
      <w:pPr>
        <w:spacing w:line="460" w:lineRule="exact"/>
        <w:ind w:firstLine="480" w:firstLineChars="200"/>
        <w:rPr>
          <w:rFonts w:ascii="宋体" w:hAnsi="宋体" w:cs="宋体"/>
          <w:color w:val="auto"/>
          <w:sz w:val="24"/>
        </w:rPr>
      </w:pPr>
      <w:r>
        <w:rPr>
          <w:rFonts w:hint="eastAsia" w:ascii="宋体" w:hAnsi="宋体" w:cs="宋体"/>
          <w:color w:val="auto"/>
          <w:sz w:val="24"/>
        </w:rPr>
        <w:t>桌椅：</w:t>
      </w:r>
      <w:r>
        <w:rPr>
          <w:rFonts w:ascii="宋体" w:hAnsi="宋体" w:cs="宋体"/>
          <w:color w:val="auto"/>
          <w:sz w:val="24"/>
        </w:rPr>
        <w:t xml:space="preserve"> </w:t>
      </w:r>
      <w:r>
        <w:rPr>
          <w:rFonts w:hint="eastAsia" w:ascii="宋体" w:hAnsi="宋体" w:cs="宋体"/>
          <w:color w:val="auto"/>
          <w:sz w:val="24"/>
        </w:rPr>
        <w:t>固定桌椅</w:t>
      </w:r>
      <w:r>
        <w:rPr>
          <w:rFonts w:ascii="宋体" w:hAnsi="宋体" w:cs="宋体"/>
          <w:color w:val="auto"/>
          <w:sz w:val="24"/>
        </w:rPr>
        <w:t>3632</w:t>
      </w:r>
      <w:r>
        <w:rPr>
          <w:rFonts w:hint="eastAsia" w:ascii="宋体" w:hAnsi="宋体" w:cs="宋体"/>
          <w:color w:val="auto"/>
          <w:sz w:val="24"/>
        </w:rPr>
        <w:t>套，桌子</w:t>
      </w:r>
      <w:r>
        <w:rPr>
          <w:rFonts w:ascii="宋体" w:hAnsi="宋体" w:cs="宋体"/>
          <w:color w:val="auto"/>
          <w:sz w:val="24"/>
        </w:rPr>
        <w:t>380</w:t>
      </w:r>
      <w:r>
        <w:rPr>
          <w:rFonts w:hint="eastAsia" w:ascii="宋体" w:hAnsi="宋体" w:cs="宋体"/>
          <w:color w:val="auto"/>
          <w:sz w:val="24"/>
        </w:rPr>
        <w:t>个（可移动），凳子</w:t>
      </w:r>
      <w:r>
        <w:rPr>
          <w:rFonts w:ascii="宋体" w:hAnsi="宋体" w:cs="宋体"/>
          <w:color w:val="auto"/>
          <w:sz w:val="24"/>
        </w:rPr>
        <w:t>836</w:t>
      </w:r>
      <w:r>
        <w:rPr>
          <w:rFonts w:hint="eastAsia" w:ascii="宋体" w:hAnsi="宋体" w:cs="宋体"/>
          <w:color w:val="auto"/>
          <w:sz w:val="24"/>
        </w:rPr>
        <w:t>个（可移动），画室大桌子</w:t>
      </w:r>
      <w:r>
        <w:rPr>
          <w:rFonts w:ascii="宋体" w:hAnsi="宋体" w:cs="宋体"/>
          <w:color w:val="auto"/>
          <w:sz w:val="24"/>
        </w:rPr>
        <w:t>115</w:t>
      </w:r>
      <w:r>
        <w:rPr>
          <w:rFonts w:hint="eastAsia" w:ascii="宋体" w:hAnsi="宋体" w:cs="宋体"/>
          <w:color w:val="auto"/>
          <w:sz w:val="24"/>
        </w:rPr>
        <w:t>个，多媒体桌子</w:t>
      </w:r>
      <w:r>
        <w:rPr>
          <w:rFonts w:ascii="宋体" w:hAnsi="宋体" w:cs="宋体"/>
          <w:color w:val="auto"/>
          <w:sz w:val="24"/>
        </w:rPr>
        <w:t>31</w:t>
      </w:r>
      <w:r>
        <w:rPr>
          <w:rFonts w:hint="eastAsia" w:ascii="宋体" w:hAnsi="宋体" w:cs="宋体"/>
          <w:color w:val="auto"/>
          <w:sz w:val="24"/>
        </w:rPr>
        <w:t>套（不可移动），琴房软皮凳</w:t>
      </w:r>
      <w:r>
        <w:rPr>
          <w:rFonts w:ascii="宋体" w:hAnsi="宋体" w:cs="宋体"/>
          <w:color w:val="auto"/>
          <w:sz w:val="24"/>
        </w:rPr>
        <w:t>63</w:t>
      </w:r>
      <w:r>
        <w:rPr>
          <w:rFonts w:hint="eastAsia" w:ascii="宋体" w:hAnsi="宋体" w:cs="宋体"/>
          <w:color w:val="auto"/>
          <w:sz w:val="24"/>
        </w:rPr>
        <w:t>个，办公桌椅</w:t>
      </w:r>
      <w:r>
        <w:rPr>
          <w:rFonts w:ascii="宋体" w:hAnsi="宋体" w:cs="宋体"/>
          <w:color w:val="auto"/>
          <w:sz w:val="24"/>
        </w:rPr>
        <w:t>22</w:t>
      </w:r>
      <w:r>
        <w:rPr>
          <w:rFonts w:hint="eastAsia" w:ascii="宋体" w:hAnsi="宋体" w:cs="宋体"/>
          <w:color w:val="auto"/>
          <w:sz w:val="24"/>
        </w:rPr>
        <w:t>套。</w:t>
      </w:r>
    </w:p>
    <w:p>
      <w:pPr>
        <w:spacing w:line="460" w:lineRule="exact"/>
        <w:ind w:firstLine="482" w:firstLineChars="200"/>
        <w:rPr>
          <w:rFonts w:ascii="宋体" w:hAnsi="宋体" w:cs="宋体"/>
          <w:color w:val="auto"/>
          <w:sz w:val="24"/>
        </w:rPr>
      </w:pPr>
      <w:r>
        <w:rPr>
          <w:rFonts w:hint="eastAsia" w:ascii="宋体" w:hAnsi="宋体" w:cs="宋体"/>
          <w:b/>
          <w:color w:val="auto"/>
          <w:sz w:val="24"/>
        </w:rPr>
        <w:t>（2）</w:t>
      </w:r>
      <w:r>
        <w:rPr>
          <w:rFonts w:hint="eastAsia" w:ascii="宋体" w:hAnsi="宋体" w:cs="宋体"/>
          <w:color w:val="auto"/>
          <w:sz w:val="24"/>
        </w:rPr>
        <w:t>图书楼室内照明灯</w:t>
      </w:r>
      <w:r>
        <w:rPr>
          <w:rFonts w:ascii="宋体" w:hAnsi="宋体" w:cs="宋体"/>
          <w:color w:val="auto"/>
          <w:sz w:val="24"/>
        </w:rPr>
        <w:t>196</w:t>
      </w:r>
      <w:r>
        <w:rPr>
          <w:rFonts w:hint="eastAsia" w:ascii="宋体" w:hAnsi="宋体" w:cs="宋体"/>
          <w:color w:val="auto"/>
          <w:sz w:val="24"/>
        </w:rPr>
        <w:t>个，楼梯灯</w:t>
      </w:r>
      <w:r>
        <w:rPr>
          <w:rFonts w:ascii="宋体" w:hAnsi="宋体" w:cs="宋体"/>
          <w:color w:val="auto"/>
          <w:sz w:val="24"/>
        </w:rPr>
        <w:t>21</w:t>
      </w:r>
      <w:r>
        <w:rPr>
          <w:rFonts w:hint="eastAsia" w:ascii="宋体" w:hAnsi="宋体" w:cs="宋体"/>
          <w:color w:val="auto"/>
          <w:sz w:val="24"/>
        </w:rPr>
        <w:t>个，开关</w:t>
      </w:r>
      <w:r>
        <w:rPr>
          <w:rFonts w:ascii="宋体" w:hAnsi="宋体" w:cs="宋体"/>
          <w:color w:val="auto"/>
          <w:sz w:val="24"/>
        </w:rPr>
        <w:t>71</w:t>
      </w:r>
      <w:r>
        <w:rPr>
          <w:rFonts w:hint="eastAsia" w:ascii="宋体" w:hAnsi="宋体" w:cs="宋体"/>
          <w:color w:val="auto"/>
          <w:sz w:val="24"/>
        </w:rPr>
        <w:t>个，插座</w:t>
      </w:r>
      <w:r>
        <w:rPr>
          <w:rFonts w:ascii="宋体" w:hAnsi="宋体" w:cs="宋体"/>
          <w:color w:val="auto"/>
          <w:sz w:val="24"/>
        </w:rPr>
        <w:t>165</w:t>
      </w:r>
      <w:r>
        <w:rPr>
          <w:rFonts w:hint="eastAsia" w:ascii="宋体" w:hAnsi="宋体" w:cs="宋体"/>
          <w:color w:val="auto"/>
          <w:sz w:val="24"/>
        </w:rPr>
        <w:t>个，水龙头</w:t>
      </w:r>
      <w:r>
        <w:rPr>
          <w:rFonts w:ascii="宋体" w:hAnsi="宋体" w:cs="宋体"/>
          <w:color w:val="auto"/>
          <w:sz w:val="24"/>
        </w:rPr>
        <w:t>18</w:t>
      </w:r>
      <w:r>
        <w:rPr>
          <w:rFonts w:hint="eastAsia" w:ascii="宋体" w:hAnsi="宋体" w:cs="宋体"/>
          <w:color w:val="auto"/>
          <w:sz w:val="24"/>
        </w:rPr>
        <w:t>个（带池子），大便池</w:t>
      </w:r>
      <w:r>
        <w:rPr>
          <w:rFonts w:ascii="宋体" w:hAnsi="宋体" w:cs="宋体"/>
          <w:color w:val="auto"/>
          <w:sz w:val="24"/>
        </w:rPr>
        <w:t>24</w:t>
      </w:r>
      <w:r>
        <w:rPr>
          <w:rFonts w:hint="eastAsia" w:ascii="宋体" w:hAnsi="宋体" w:cs="宋体"/>
          <w:color w:val="auto"/>
          <w:sz w:val="24"/>
        </w:rPr>
        <w:t>个，小便池</w:t>
      </w:r>
      <w:r>
        <w:rPr>
          <w:rFonts w:ascii="宋体" w:hAnsi="宋体" w:cs="宋体"/>
          <w:color w:val="auto"/>
          <w:sz w:val="24"/>
        </w:rPr>
        <w:t>3</w:t>
      </w:r>
      <w:r>
        <w:rPr>
          <w:rFonts w:hint="eastAsia" w:ascii="宋体" w:hAnsi="宋体" w:cs="宋体"/>
          <w:color w:val="auto"/>
          <w:sz w:val="24"/>
        </w:rPr>
        <w:t>个，风扇</w:t>
      </w:r>
      <w:r>
        <w:rPr>
          <w:rFonts w:ascii="宋体" w:hAnsi="宋体" w:cs="宋体"/>
          <w:color w:val="auto"/>
          <w:sz w:val="24"/>
        </w:rPr>
        <w:t>53</w:t>
      </w:r>
      <w:r>
        <w:rPr>
          <w:rFonts w:hint="eastAsia" w:ascii="宋体" w:hAnsi="宋体" w:cs="宋体"/>
          <w:color w:val="auto"/>
          <w:sz w:val="24"/>
        </w:rPr>
        <w:t>个，门：玻璃大门</w:t>
      </w:r>
      <w:r>
        <w:rPr>
          <w:rFonts w:ascii="宋体" w:hAnsi="宋体" w:cs="宋体"/>
          <w:color w:val="auto"/>
          <w:sz w:val="24"/>
        </w:rPr>
        <w:t>1</w:t>
      </w:r>
      <w:r>
        <w:rPr>
          <w:rFonts w:hint="eastAsia" w:ascii="宋体" w:hAnsi="宋体" w:cs="宋体"/>
          <w:color w:val="auto"/>
          <w:sz w:val="24"/>
        </w:rPr>
        <w:t>组，单扇防盗门</w:t>
      </w:r>
      <w:r>
        <w:rPr>
          <w:rFonts w:ascii="宋体" w:hAnsi="宋体" w:cs="宋体"/>
          <w:color w:val="auto"/>
          <w:sz w:val="24"/>
        </w:rPr>
        <w:t>14</w:t>
      </w:r>
      <w:r>
        <w:rPr>
          <w:rFonts w:hint="eastAsia" w:ascii="宋体" w:hAnsi="宋体" w:cs="宋体"/>
          <w:color w:val="auto"/>
          <w:sz w:val="24"/>
        </w:rPr>
        <w:t>个，双扇防盗门</w:t>
      </w:r>
      <w:r>
        <w:rPr>
          <w:rFonts w:ascii="宋体" w:hAnsi="宋体" w:cs="宋体"/>
          <w:color w:val="auto"/>
          <w:sz w:val="24"/>
        </w:rPr>
        <w:t>1</w:t>
      </w:r>
      <w:r>
        <w:rPr>
          <w:rFonts w:hint="eastAsia" w:ascii="宋体" w:hAnsi="宋体" w:cs="宋体"/>
          <w:color w:val="auto"/>
          <w:sz w:val="24"/>
        </w:rPr>
        <w:t>个，铁门</w:t>
      </w:r>
      <w:r>
        <w:rPr>
          <w:rFonts w:ascii="宋体" w:hAnsi="宋体" w:cs="宋体"/>
          <w:color w:val="auto"/>
          <w:sz w:val="24"/>
        </w:rPr>
        <w:t>1</w:t>
      </w:r>
      <w:r>
        <w:rPr>
          <w:rFonts w:hint="eastAsia" w:ascii="宋体" w:hAnsi="宋体" w:cs="宋体"/>
          <w:color w:val="auto"/>
          <w:sz w:val="24"/>
        </w:rPr>
        <w:t>个，双扇玻璃门</w:t>
      </w:r>
      <w:r>
        <w:rPr>
          <w:rFonts w:ascii="宋体" w:hAnsi="宋体" w:cs="宋体"/>
          <w:color w:val="auto"/>
          <w:sz w:val="24"/>
        </w:rPr>
        <w:t>1</w:t>
      </w:r>
      <w:r>
        <w:rPr>
          <w:rFonts w:hint="eastAsia" w:ascii="宋体" w:hAnsi="宋体" w:cs="宋体"/>
          <w:color w:val="auto"/>
          <w:sz w:val="24"/>
        </w:rPr>
        <w:t>组，窗：</w:t>
      </w:r>
      <w:r>
        <w:rPr>
          <w:rFonts w:ascii="宋体" w:hAnsi="宋体" w:cs="宋体"/>
          <w:color w:val="auto"/>
          <w:sz w:val="24"/>
        </w:rPr>
        <w:t>75</w:t>
      </w:r>
      <w:r>
        <w:rPr>
          <w:rFonts w:hint="eastAsia" w:ascii="宋体" w:hAnsi="宋体" w:cs="宋体"/>
          <w:color w:val="auto"/>
          <w:sz w:val="24"/>
        </w:rPr>
        <w:t>套，桌椅：电脑桌椅</w:t>
      </w:r>
      <w:r>
        <w:rPr>
          <w:rFonts w:ascii="宋体" w:hAnsi="宋体" w:cs="宋体"/>
          <w:color w:val="auto"/>
          <w:sz w:val="24"/>
        </w:rPr>
        <w:t>80</w:t>
      </w:r>
      <w:r>
        <w:rPr>
          <w:rFonts w:hint="eastAsia" w:ascii="宋体" w:hAnsi="宋体" w:cs="宋体"/>
          <w:color w:val="auto"/>
          <w:sz w:val="24"/>
        </w:rPr>
        <w:t>套，大桌子</w:t>
      </w:r>
      <w:r>
        <w:rPr>
          <w:rFonts w:ascii="宋体" w:hAnsi="宋体" w:cs="宋体"/>
          <w:color w:val="auto"/>
          <w:sz w:val="24"/>
        </w:rPr>
        <w:t>14</w:t>
      </w:r>
      <w:r>
        <w:rPr>
          <w:rFonts w:hint="eastAsia" w:ascii="宋体" w:hAnsi="宋体" w:cs="宋体"/>
          <w:color w:val="auto"/>
          <w:sz w:val="24"/>
        </w:rPr>
        <w:t>个，长凳子</w:t>
      </w:r>
      <w:r>
        <w:rPr>
          <w:rFonts w:ascii="宋体" w:hAnsi="宋体" w:cs="宋体"/>
          <w:color w:val="auto"/>
          <w:sz w:val="24"/>
        </w:rPr>
        <w:t>10</w:t>
      </w:r>
      <w:r>
        <w:rPr>
          <w:rFonts w:hint="eastAsia" w:ascii="宋体" w:hAnsi="宋体" w:cs="宋体"/>
          <w:color w:val="auto"/>
          <w:sz w:val="24"/>
        </w:rPr>
        <w:t>个，凳子</w:t>
      </w:r>
      <w:r>
        <w:rPr>
          <w:rFonts w:ascii="宋体" w:hAnsi="宋体" w:cs="宋体"/>
          <w:color w:val="auto"/>
          <w:sz w:val="24"/>
        </w:rPr>
        <w:t>144</w:t>
      </w:r>
      <w:r>
        <w:rPr>
          <w:rFonts w:hint="eastAsia" w:ascii="宋体" w:hAnsi="宋体" w:cs="宋体"/>
          <w:color w:val="auto"/>
          <w:sz w:val="24"/>
        </w:rPr>
        <w:t>个（可移动）。</w:t>
      </w:r>
    </w:p>
    <w:p>
      <w:pPr>
        <w:spacing w:line="460" w:lineRule="exact"/>
        <w:ind w:firstLine="482" w:firstLineChars="200"/>
        <w:rPr>
          <w:rFonts w:ascii="宋体" w:hAnsi="宋体" w:cs="宋体"/>
          <w:color w:val="auto"/>
          <w:sz w:val="24"/>
        </w:rPr>
      </w:pPr>
      <w:r>
        <w:rPr>
          <w:rFonts w:hint="eastAsia" w:ascii="宋体" w:hAnsi="宋体" w:cs="宋体"/>
          <w:b/>
          <w:color w:val="auto"/>
          <w:sz w:val="24"/>
        </w:rPr>
        <w:t>（3）</w:t>
      </w:r>
      <w:r>
        <w:rPr>
          <w:rFonts w:hint="eastAsia" w:ascii="宋体" w:hAnsi="宋体" w:cs="宋体"/>
          <w:color w:val="auto"/>
          <w:sz w:val="24"/>
        </w:rPr>
        <w:t>办公楼室内照明灯</w:t>
      </w:r>
      <w:r>
        <w:rPr>
          <w:rFonts w:ascii="宋体" w:hAnsi="宋体" w:cs="宋体"/>
          <w:color w:val="auto"/>
          <w:sz w:val="24"/>
        </w:rPr>
        <w:t>100</w:t>
      </w:r>
      <w:r>
        <w:rPr>
          <w:rFonts w:hint="eastAsia" w:ascii="宋体" w:hAnsi="宋体" w:cs="宋体"/>
          <w:color w:val="auto"/>
          <w:sz w:val="24"/>
        </w:rPr>
        <w:t>个，楼梯灯</w:t>
      </w:r>
      <w:r>
        <w:rPr>
          <w:rFonts w:ascii="宋体" w:hAnsi="宋体" w:cs="宋体"/>
          <w:color w:val="auto"/>
          <w:sz w:val="24"/>
        </w:rPr>
        <w:t>54</w:t>
      </w:r>
      <w:r>
        <w:rPr>
          <w:rFonts w:hint="eastAsia" w:ascii="宋体" w:hAnsi="宋体" w:cs="宋体"/>
          <w:color w:val="auto"/>
          <w:sz w:val="24"/>
        </w:rPr>
        <w:t>个，开关</w:t>
      </w:r>
      <w:r>
        <w:rPr>
          <w:rFonts w:ascii="宋体" w:hAnsi="宋体" w:cs="宋体"/>
          <w:color w:val="auto"/>
          <w:sz w:val="24"/>
        </w:rPr>
        <w:t>114</w:t>
      </w:r>
      <w:r>
        <w:rPr>
          <w:rFonts w:hint="eastAsia" w:ascii="宋体" w:hAnsi="宋体" w:cs="宋体"/>
          <w:color w:val="auto"/>
          <w:sz w:val="24"/>
        </w:rPr>
        <w:t>个，插座</w:t>
      </w:r>
      <w:r>
        <w:rPr>
          <w:rFonts w:ascii="宋体" w:hAnsi="宋体" w:cs="宋体"/>
          <w:color w:val="auto"/>
          <w:sz w:val="24"/>
        </w:rPr>
        <w:t>103</w:t>
      </w:r>
      <w:r>
        <w:rPr>
          <w:rFonts w:hint="eastAsia" w:ascii="宋体" w:hAnsi="宋体" w:cs="宋体"/>
          <w:color w:val="auto"/>
          <w:sz w:val="24"/>
        </w:rPr>
        <w:t>个，水龙头</w:t>
      </w:r>
      <w:r>
        <w:rPr>
          <w:rFonts w:ascii="宋体" w:hAnsi="宋体" w:cs="宋体"/>
          <w:color w:val="auto"/>
          <w:sz w:val="24"/>
        </w:rPr>
        <w:t>27</w:t>
      </w:r>
      <w:r>
        <w:rPr>
          <w:rFonts w:hint="eastAsia" w:ascii="宋体" w:hAnsi="宋体" w:cs="宋体"/>
          <w:color w:val="auto"/>
          <w:sz w:val="24"/>
        </w:rPr>
        <w:t>个（带池子），小便池</w:t>
      </w:r>
      <w:r>
        <w:rPr>
          <w:rFonts w:ascii="宋体" w:hAnsi="宋体" w:cs="宋体"/>
          <w:color w:val="auto"/>
          <w:sz w:val="24"/>
        </w:rPr>
        <w:t>9</w:t>
      </w:r>
      <w:r>
        <w:rPr>
          <w:rFonts w:hint="eastAsia" w:ascii="宋体" w:hAnsi="宋体" w:cs="宋体"/>
          <w:color w:val="auto"/>
          <w:sz w:val="24"/>
        </w:rPr>
        <w:t>个，大便池</w:t>
      </w:r>
      <w:r>
        <w:rPr>
          <w:rFonts w:ascii="宋体" w:hAnsi="宋体" w:cs="宋体"/>
          <w:color w:val="auto"/>
          <w:sz w:val="24"/>
        </w:rPr>
        <w:t>15</w:t>
      </w:r>
      <w:r>
        <w:rPr>
          <w:rFonts w:hint="eastAsia" w:ascii="宋体" w:hAnsi="宋体" w:cs="宋体"/>
          <w:color w:val="auto"/>
          <w:sz w:val="24"/>
        </w:rPr>
        <w:t>个，办公桌椅</w:t>
      </w:r>
      <w:r>
        <w:rPr>
          <w:rFonts w:ascii="宋体" w:hAnsi="宋体" w:cs="宋体"/>
          <w:color w:val="auto"/>
          <w:sz w:val="24"/>
        </w:rPr>
        <w:t>110</w:t>
      </w:r>
      <w:r>
        <w:rPr>
          <w:rFonts w:hint="eastAsia" w:ascii="宋体" w:hAnsi="宋体" w:cs="宋体"/>
          <w:color w:val="auto"/>
          <w:sz w:val="24"/>
        </w:rPr>
        <w:t>套，风扇</w:t>
      </w:r>
      <w:r>
        <w:rPr>
          <w:rFonts w:ascii="宋体" w:hAnsi="宋体" w:cs="宋体"/>
          <w:color w:val="auto"/>
          <w:sz w:val="24"/>
        </w:rPr>
        <w:t>60</w:t>
      </w:r>
      <w:r>
        <w:rPr>
          <w:rFonts w:hint="eastAsia" w:ascii="宋体" w:hAnsi="宋体" w:cs="宋体"/>
          <w:color w:val="auto"/>
          <w:sz w:val="24"/>
        </w:rPr>
        <w:t>个，门：单扇木门</w:t>
      </w:r>
      <w:r>
        <w:rPr>
          <w:rFonts w:ascii="宋体" w:hAnsi="宋体" w:cs="宋体"/>
          <w:color w:val="auto"/>
          <w:sz w:val="24"/>
        </w:rPr>
        <w:t>50</w:t>
      </w:r>
      <w:r>
        <w:rPr>
          <w:rFonts w:hint="eastAsia" w:ascii="宋体" w:hAnsi="宋体" w:cs="宋体"/>
          <w:color w:val="auto"/>
          <w:sz w:val="24"/>
        </w:rPr>
        <w:t>个，单扇防盗门</w:t>
      </w:r>
      <w:r>
        <w:rPr>
          <w:rFonts w:ascii="宋体" w:hAnsi="宋体" w:cs="宋体"/>
          <w:color w:val="auto"/>
          <w:sz w:val="24"/>
        </w:rPr>
        <w:t>5</w:t>
      </w:r>
      <w:r>
        <w:rPr>
          <w:rFonts w:hint="eastAsia" w:ascii="宋体" w:hAnsi="宋体" w:cs="宋体"/>
          <w:color w:val="auto"/>
          <w:sz w:val="24"/>
        </w:rPr>
        <w:t>个，双扇防盗门</w:t>
      </w:r>
      <w:r>
        <w:rPr>
          <w:rFonts w:ascii="宋体" w:hAnsi="宋体" w:cs="宋体"/>
          <w:color w:val="auto"/>
          <w:sz w:val="24"/>
        </w:rPr>
        <w:t>2</w:t>
      </w:r>
      <w:r>
        <w:rPr>
          <w:rFonts w:hint="eastAsia" w:ascii="宋体" w:hAnsi="宋体" w:cs="宋体"/>
          <w:color w:val="auto"/>
          <w:sz w:val="24"/>
        </w:rPr>
        <w:t>个，大厅玻璃门</w:t>
      </w:r>
      <w:r>
        <w:rPr>
          <w:rFonts w:ascii="宋体" w:hAnsi="宋体" w:cs="宋体"/>
          <w:color w:val="auto"/>
          <w:sz w:val="24"/>
        </w:rPr>
        <w:t>1</w:t>
      </w:r>
      <w:r>
        <w:rPr>
          <w:rFonts w:hint="eastAsia" w:ascii="宋体" w:hAnsi="宋体" w:cs="宋体"/>
          <w:color w:val="auto"/>
          <w:sz w:val="24"/>
        </w:rPr>
        <w:t>组，铁推拉门</w:t>
      </w:r>
      <w:r>
        <w:rPr>
          <w:rFonts w:ascii="宋体" w:hAnsi="宋体" w:cs="宋体"/>
          <w:color w:val="auto"/>
          <w:sz w:val="24"/>
        </w:rPr>
        <w:t>3</w:t>
      </w:r>
      <w:r>
        <w:rPr>
          <w:rFonts w:hint="eastAsia" w:ascii="宋体" w:hAnsi="宋体" w:cs="宋体"/>
          <w:color w:val="auto"/>
          <w:sz w:val="24"/>
        </w:rPr>
        <w:t>组，双扇玻璃门</w:t>
      </w:r>
      <w:r>
        <w:rPr>
          <w:rFonts w:ascii="宋体" w:hAnsi="宋体" w:cs="宋体"/>
          <w:color w:val="auto"/>
          <w:sz w:val="24"/>
        </w:rPr>
        <w:t>3</w:t>
      </w:r>
      <w:r>
        <w:rPr>
          <w:rFonts w:hint="eastAsia" w:ascii="宋体" w:hAnsi="宋体" w:cs="宋体"/>
          <w:color w:val="auto"/>
          <w:sz w:val="24"/>
        </w:rPr>
        <w:t>组，窗</w:t>
      </w:r>
      <w:r>
        <w:rPr>
          <w:rFonts w:ascii="宋体" w:hAnsi="宋体" w:cs="宋体"/>
          <w:color w:val="auto"/>
          <w:sz w:val="24"/>
        </w:rPr>
        <w:t>86</w:t>
      </w:r>
      <w:r>
        <w:rPr>
          <w:rFonts w:hint="eastAsia" w:ascii="宋体" w:hAnsi="宋体" w:cs="宋体"/>
          <w:color w:val="auto"/>
          <w:sz w:val="24"/>
        </w:rPr>
        <w:t>套。</w:t>
      </w:r>
    </w:p>
    <w:p>
      <w:pPr>
        <w:spacing w:line="460" w:lineRule="exact"/>
        <w:ind w:firstLine="482" w:firstLineChars="200"/>
        <w:rPr>
          <w:rFonts w:ascii="宋体" w:hAnsi="宋体" w:cs="宋体"/>
          <w:color w:val="auto"/>
          <w:sz w:val="24"/>
        </w:rPr>
      </w:pPr>
      <w:r>
        <w:rPr>
          <w:rFonts w:hint="eastAsia" w:ascii="宋体" w:hAnsi="宋体" w:cs="宋体"/>
          <w:b/>
          <w:color w:val="auto"/>
          <w:sz w:val="24"/>
        </w:rPr>
        <w:t>（4）</w:t>
      </w:r>
      <w:r>
        <w:rPr>
          <w:rFonts w:hint="eastAsia" w:ascii="宋体" w:hAnsi="宋体" w:cs="宋体"/>
          <w:color w:val="auto"/>
          <w:sz w:val="24"/>
        </w:rPr>
        <w:t>学生公寓楼室内照明灯</w:t>
      </w:r>
      <w:r>
        <w:rPr>
          <w:rFonts w:ascii="宋体" w:hAnsi="宋体" w:cs="宋体"/>
          <w:color w:val="auto"/>
          <w:sz w:val="24"/>
        </w:rPr>
        <w:t>1432</w:t>
      </w:r>
      <w:r>
        <w:rPr>
          <w:rFonts w:hint="eastAsia" w:ascii="宋体" w:hAnsi="宋体" w:cs="宋体"/>
          <w:color w:val="auto"/>
          <w:sz w:val="24"/>
        </w:rPr>
        <w:t>个，阳台卫生间灯</w:t>
      </w:r>
      <w:r>
        <w:rPr>
          <w:rFonts w:ascii="宋体" w:hAnsi="宋体" w:cs="宋体"/>
          <w:color w:val="auto"/>
          <w:sz w:val="24"/>
        </w:rPr>
        <w:t>1012</w:t>
      </w:r>
      <w:r>
        <w:rPr>
          <w:rFonts w:hint="eastAsia" w:ascii="宋体" w:hAnsi="宋体" w:cs="宋体"/>
          <w:color w:val="auto"/>
          <w:sz w:val="24"/>
        </w:rPr>
        <w:t>个，楼梯灯</w:t>
      </w:r>
      <w:r>
        <w:rPr>
          <w:rFonts w:ascii="宋体" w:hAnsi="宋体" w:cs="宋体"/>
          <w:color w:val="auto"/>
          <w:sz w:val="24"/>
        </w:rPr>
        <w:t>353</w:t>
      </w:r>
      <w:r>
        <w:rPr>
          <w:rFonts w:hint="eastAsia" w:ascii="宋体" w:hAnsi="宋体" w:cs="宋体"/>
          <w:color w:val="auto"/>
          <w:sz w:val="24"/>
        </w:rPr>
        <w:t>个，开关</w:t>
      </w:r>
      <w:r>
        <w:rPr>
          <w:rFonts w:ascii="宋体" w:hAnsi="宋体" w:cs="宋体"/>
          <w:color w:val="auto"/>
          <w:sz w:val="24"/>
        </w:rPr>
        <w:t>1260</w:t>
      </w:r>
      <w:r>
        <w:rPr>
          <w:rFonts w:hint="eastAsia" w:ascii="宋体" w:hAnsi="宋体" w:cs="宋体"/>
          <w:color w:val="auto"/>
          <w:sz w:val="24"/>
        </w:rPr>
        <w:t>个，插座</w:t>
      </w:r>
      <w:r>
        <w:rPr>
          <w:rFonts w:ascii="宋体" w:hAnsi="宋体" w:cs="宋体"/>
          <w:color w:val="auto"/>
          <w:sz w:val="24"/>
        </w:rPr>
        <w:t>3064</w:t>
      </w:r>
      <w:r>
        <w:rPr>
          <w:rFonts w:hint="eastAsia" w:ascii="宋体" w:hAnsi="宋体" w:cs="宋体"/>
          <w:color w:val="auto"/>
          <w:sz w:val="24"/>
        </w:rPr>
        <w:t>个，水龙头</w:t>
      </w:r>
      <w:r>
        <w:rPr>
          <w:rFonts w:ascii="宋体" w:hAnsi="宋体" w:cs="宋体"/>
          <w:color w:val="auto"/>
          <w:sz w:val="24"/>
        </w:rPr>
        <w:t>776</w:t>
      </w:r>
      <w:r>
        <w:rPr>
          <w:rFonts w:hint="eastAsia" w:ascii="宋体" w:hAnsi="宋体" w:cs="宋体"/>
          <w:color w:val="auto"/>
          <w:sz w:val="24"/>
        </w:rPr>
        <w:t>个，面盆</w:t>
      </w:r>
      <w:r>
        <w:rPr>
          <w:rFonts w:ascii="宋体" w:hAnsi="宋体" w:cs="宋体"/>
          <w:color w:val="auto"/>
          <w:sz w:val="24"/>
        </w:rPr>
        <w:t>506</w:t>
      </w:r>
      <w:r>
        <w:rPr>
          <w:rFonts w:hint="eastAsia" w:ascii="宋体" w:hAnsi="宋体" w:cs="宋体"/>
          <w:color w:val="auto"/>
          <w:sz w:val="24"/>
        </w:rPr>
        <w:t>个，大小便池</w:t>
      </w:r>
      <w:r>
        <w:rPr>
          <w:rFonts w:ascii="宋体" w:hAnsi="宋体" w:cs="宋体"/>
          <w:color w:val="auto"/>
          <w:sz w:val="24"/>
        </w:rPr>
        <w:t>694</w:t>
      </w:r>
      <w:r>
        <w:rPr>
          <w:rFonts w:hint="eastAsia" w:ascii="宋体" w:hAnsi="宋体" w:cs="宋体"/>
          <w:color w:val="auto"/>
          <w:sz w:val="24"/>
        </w:rPr>
        <w:t>个，桌凳</w:t>
      </w:r>
      <w:r>
        <w:rPr>
          <w:rFonts w:ascii="宋体" w:hAnsi="宋体" w:cs="宋体"/>
          <w:color w:val="auto"/>
          <w:sz w:val="24"/>
        </w:rPr>
        <w:t>2458</w:t>
      </w:r>
      <w:r>
        <w:rPr>
          <w:rFonts w:hint="eastAsia" w:ascii="宋体" w:hAnsi="宋体" w:cs="宋体"/>
          <w:color w:val="auto"/>
          <w:sz w:val="24"/>
        </w:rPr>
        <w:t>套，架子床</w:t>
      </w:r>
      <w:r>
        <w:rPr>
          <w:rFonts w:ascii="宋体" w:hAnsi="宋体" w:cs="宋体"/>
          <w:color w:val="auto"/>
          <w:sz w:val="24"/>
        </w:rPr>
        <w:t>1812</w:t>
      </w:r>
      <w:r>
        <w:rPr>
          <w:rFonts w:hint="eastAsia" w:ascii="宋体" w:hAnsi="宋体" w:cs="宋体"/>
          <w:color w:val="auto"/>
          <w:sz w:val="24"/>
        </w:rPr>
        <w:t>套，柜子</w:t>
      </w:r>
      <w:r>
        <w:rPr>
          <w:rFonts w:ascii="宋体" w:hAnsi="宋体" w:cs="宋体"/>
          <w:color w:val="auto"/>
          <w:sz w:val="24"/>
        </w:rPr>
        <w:t>636</w:t>
      </w:r>
      <w:r>
        <w:rPr>
          <w:rFonts w:hint="eastAsia" w:ascii="宋体" w:hAnsi="宋体" w:cs="宋体"/>
          <w:color w:val="auto"/>
          <w:sz w:val="24"/>
        </w:rPr>
        <w:t>个，门</w:t>
      </w:r>
      <w:r>
        <w:rPr>
          <w:rFonts w:ascii="宋体" w:hAnsi="宋体" w:cs="宋体"/>
          <w:color w:val="auto"/>
          <w:sz w:val="24"/>
        </w:rPr>
        <w:t>1212</w:t>
      </w:r>
      <w:r>
        <w:rPr>
          <w:rFonts w:hint="eastAsia" w:ascii="宋体" w:hAnsi="宋体" w:cs="宋体"/>
          <w:color w:val="auto"/>
          <w:sz w:val="24"/>
        </w:rPr>
        <w:t>个，窗户</w:t>
      </w:r>
      <w:r>
        <w:rPr>
          <w:rFonts w:ascii="宋体" w:hAnsi="宋体" w:cs="宋体"/>
          <w:color w:val="auto"/>
          <w:sz w:val="24"/>
        </w:rPr>
        <w:t>695</w:t>
      </w:r>
      <w:r>
        <w:rPr>
          <w:rFonts w:hint="eastAsia" w:ascii="宋体" w:hAnsi="宋体" w:cs="宋体"/>
          <w:color w:val="auto"/>
          <w:sz w:val="24"/>
        </w:rPr>
        <w:t>套，晾衣架</w:t>
      </w:r>
      <w:r>
        <w:rPr>
          <w:rFonts w:ascii="宋体" w:hAnsi="宋体" w:cs="宋体"/>
          <w:color w:val="auto"/>
          <w:sz w:val="24"/>
        </w:rPr>
        <w:t>706</w:t>
      </w:r>
      <w:r>
        <w:rPr>
          <w:rFonts w:hint="eastAsia" w:ascii="宋体" w:hAnsi="宋体" w:cs="宋体"/>
          <w:color w:val="auto"/>
          <w:sz w:val="24"/>
        </w:rPr>
        <w:t>个，窗帘架</w:t>
      </w:r>
      <w:r>
        <w:rPr>
          <w:rFonts w:ascii="宋体" w:hAnsi="宋体" w:cs="宋体"/>
          <w:color w:val="auto"/>
          <w:sz w:val="24"/>
        </w:rPr>
        <w:t>706</w:t>
      </w:r>
      <w:r>
        <w:rPr>
          <w:rFonts w:hint="eastAsia" w:ascii="宋体" w:hAnsi="宋体" w:cs="宋体"/>
          <w:color w:val="auto"/>
          <w:sz w:val="24"/>
        </w:rPr>
        <w:t>个，饮水机</w:t>
      </w:r>
      <w:r>
        <w:rPr>
          <w:rFonts w:ascii="宋体" w:hAnsi="宋体" w:cs="宋体"/>
          <w:color w:val="auto"/>
          <w:sz w:val="24"/>
        </w:rPr>
        <w:t>34</w:t>
      </w:r>
      <w:r>
        <w:rPr>
          <w:rFonts w:hint="eastAsia" w:ascii="宋体" w:hAnsi="宋体" w:cs="宋体"/>
          <w:color w:val="auto"/>
          <w:sz w:val="24"/>
        </w:rPr>
        <w:t>个，电表</w:t>
      </w:r>
      <w:r>
        <w:rPr>
          <w:rFonts w:ascii="宋体" w:hAnsi="宋体" w:cs="宋体"/>
          <w:color w:val="auto"/>
          <w:sz w:val="24"/>
        </w:rPr>
        <w:t>611</w:t>
      </w:r>
      <w:r>
        <w:rPr>
          <w:rFonts w:hint="eastAsia" w:ascii="宋体" w:hAnsi="宋体" w:cs="宋体"/>
          <w:color w:val="auto"/>
          <w:sz w:val="24"/>
        </w:rPr>
        <w:t>块，配电柜</w:t>
      </w:r>
      <w:r>
        <w:rPr>
          <w:rFonts w:ascii="宋体" w:hAnsi="宋体" w:cs="宋体"/>
          <w:color w:val="auto"/>
          <w:sz w:val="24"/>
        </w:rPr>
        <w:t>20</w:t>
      </w:r>
      <w:r>
        <w:rPr>
          <w:rFonts w:hint="eastAsia" w:ascii="宋体" w:hAnsi="宋体" w:cs="宋体"/>
          <w:color w:val="auto"/>
          <w:sz w:val="24"/>
        </w:rPr>
        <w:t>台。</w:t>
      </w:r>
    </w:p>
    <w:p>
      <w:pPr>
        <w:spacing w:line="460" w:lineRule="exact"/>
        <w:ind w:firstLine="482" w:firstLineChars="200"/>
        <w:rPr>
          <w:rFonts w:ascii="宋体" w:hAnsi="宋体" w:cs="宋体"/>
          <w:color w:val="auto"/>
          <w:sz w:val="24"/>
        </w:rPr>
      </w:pPr>
      <w:r>
        <w:rPr>
          <w:rFonts w:hint="eastAsia" w:ascii="宋体" w:hAnsi="宋体" w:cs="宋体"/>
          <w:b/>
          <w:bCs w:val="0"/>
          <w:color w:val="auto"/>
          <w:sz w:val="24"/>
        </w:rPr>
        <w:t>5.</w:t>
      </w:r>
      <w:r>
        <w:rPr>
          <w:rFonts w:hint="eastAsia" w:ascii="宋体" w:hAnsi="宋体" w:cs="宋体"/>
          <w:color w:val="auto"/>
          <w:sz w:val="24"/>
        </w:rPr>
        <w:t>秦都校区共有家属楼</w:t>
      </w:r>
      <w:r>
        <w:rPr>
          <w:rFonts w:ascii="宋体" w:hAnsi="宋体" w:cs="宋体"/>
          <w:color w:val="auto"/>
          <w:sz w:val="24"/>
        </w:rPr>
        <w:t>4</w:t>
      </w:r>
      <w:r>
        <w:rPr>
          <w:rFonts w:hint="eastAsia" w:ascii="宋体" w:hAnsi="宋体" w:cs="宋体"/>
          <w:color w:val="auto"/>
          <w:sz w:val="24"/>
        </w:rPr>
        <w:t>座，公共照明灯</w:t>
      </w:r>
      <w:r>
        <w:rPr>
          <w:rFonts w:ascii="宋体" w:hAnsi="宋体" w:cs="宋体"/>
          <w:color w:val="auto"/>
          <w:sz w:val="24"/>
        </w:rPr>
        <w:t>95</w:t>
      </w:r>
      <w:r>
        <w:rPr>
          <w:rFonts w:hint="eastAsia" w:ascii="宋体" w:hAnsi="宋体" w:cs="宋体"/>
          <w:color w:val="auto"/>
          <w:sz w:val="24"/>
        </w:rPr>
        <w:t>个，电表</w:t>
      </w:r>
      <w:r>
        <w:rPr>
          <w:rFonts w:ascii="宋体" w:hAnsi="宋体" w:cs="宋体"/>
          <w:color w:val="auto"/>
          <w:sz w:val="24"/>
        </w:rPr>
        <w:t>212</w:t>
      </w:r>
      <w:r>
        <w:rPr>
          <w:rFonts w:hint="eastAsia" w:ascii="宋体" w:hAnsi="宋体" w:cs="宋体"/>
          <w:color w:val="auto"/>
          <w:sz w:val="24"/>
        </w:rPr>
        <w:t>块，配电电表箱</w:t>
      </w:r>
      <w:r>
        <w:rPr>
          <w:rFonts w:ascii="宋体" w:hAnsi="宋体" w:cs="宋体"/>
          <w:color w:val="auto"/>
          <w:sz w:val="24"/>
        </w:rPr>
        <w:t>95</w:t>
      </w:r>
      <w:r>
        <w:rPr>
          <w:rFonts w:hint="eastAsia" w:ascii="宋体" w:hAnsi="宋体" w:cs="宋体"/>
          <w:color w:val="auto"/>
          <w:sz w:val="24"/>
        </w:rPr>
        <w:t>个。新增智能水表324块。总建筑面积</w:t>
      </w:r>
      <w:r>
        <w:rPr>
          <w:rFonts w:ascii="宋体" w:hAnsi="宋体" w:cs="宋体"/>
          <w:color w:val="auto"/>
          <w:sz w:val="24"/>
        </w:rPr>
        <w:t>5.4</w:t>
      </w:r>
      <w:r>
        <w:rPr>
          <w:rFonts w:hint="eastAsia" w:ascii="宋体" w:hAnsi="宋体" w:cs="宋体"/>
          <w:color w:val="auto"/>
          <w:sz w:val="24"/>
        </w:rPr>
        <w:t>万平方米。</w:t>
      </w:r>
    </w:p>
    <w:p>
      <w:pPr>
        <w:bidi w:val="0"/>
        <w:rPr>
          <w:rFonts w:hint="eastAsia"/>
          <w:color w:val="auto"/>
        </w:rPr>
      </w:pPr>
    </w:p>
    <w:p>
      <w:pPr>
        <w:pStyle w:val="7"/>
        <w:spacing w:before="120" w:after="120"/>
        <w:rPr>
          <w:rFonts w:hint="default" w:eastAsia="宋体" w:cs="Times New Roman"/>
          <w:b/>
          <w:bCs/>
          <w:color w:val="auto"/>
          <w:lang w:val="en-US" w:eastAsia="zh-CN"/>
        </w:rPr>
      </w:pPr>
      <w:r>
        <w:rPr>
          <w:rFonts w:hint="eastAsia" w:eastAsia="宋体" w:cs="Times New Roman"/>
          <w:b/>
          <w:bCs/>
          <w:color w:val="auto"/>
        </w:rPr>
        <w:t>二、</w:t>
      </w:r>
      <w:r>
        <w:rPr>
          <w:rFonts w:hint="eastAsia" w:cs="Times New Roman"/>
          <w:b/>
          <w:bCs/>
          <w:color w:val="auto"/>
          <w:lang w:val="en-US" w:eastAsia="zh-CN"/>
        </w:rPr>
        <w:t>项目外包服务要求</w:t>
      </w:r>
    </w:p>
    <w:p>
      <w:pPr>
        <w:spacing w:line="460" w:lineRule="exact"/>
        <w:ind w:firstLine="480" w:firstLineChars="200"/>
        <w:rPr>
          <w:rFonts w:hint="eastAsia" w:ascii="宋体" w:hAnsi="宋体" w:cs="宋体"/>
          <w:b/>
          <w:bCs/>
          <w:color w:val="auto"/>
          <w:sz w:val="24"/>
        </w:rPr>
      </w:pPr>
      <w:r>
        <w:rPr>
          <w:rFonts w:hint="eastAsia" w:ascii="宋体" w:hAnsi="宋体" w:cs="宋体"/>
          <w:color w:val="auto"/>
          <w:sz w:val="24"/>
        </w:rPr>
        <w:t>根据</w:t>
      </w:r>
      <w:r>
        <w:rPr>
          <w:rFonts w:hint="eastAsia" w:ascii="宋体" w:hAnsi="宋体" w:cs="宋体"/>
          <w:color w:val="auto"/>
          <w:sz w:val="24"/>
          <w:lang w:val="en-US" w:eastAsia="zh-CN"/>
        </w:rPr>
        <w:t>咸阳师范学院</w:t>
      </w:r>
      <w:r>
        <w:rPr>
          <w:rFonts w:hint="eastAsia" w:ascii="宋体" w:hAnsi="宋体" w:cs="宋体"/>
          <w:color w:val="auto"/>
          <w:sz w:val="24"/>
        </w:rPr>
        <w:t>水电设备设施运行管理和零星维修的实际，通过招标形式由中标企业全面负责</w:t>
      </w:r>
      <w:r>
        <w:rPr>
          <w:rFonts w:hint="eastAsia" w:ascii="宋体" w:hAnsi="宋体" w:cs="宋体"/>
          <w:color w:val="auto"/>
          <w:sz w:val="24"/>
          <w:lang w:eastAsia="zh-CN"/>
        </w:rPr>
        <w:t>咸阳师范学院</w:t>
      </w:r>
      <w:r>
        <w:rPr>
          <w:rFonts w:hint="eastAsia" w:ascii="宋体" w:hAnsi="宋体" w:cs="宋体"/>
          <w:color w:val="auto"/>
          <w:sz w:val="24"/>
        </w:rPr>
        <w:t>水电设备设施运行管理和零星维修服务业务。</w:t>
      </w:r>
    </w:p>
    <w:p>
      <w:pPr>
        <w:spacing w:line="460" w:lineRule="exact"/>
        <w:ind w:firstLine="482" w:firstLineChars="200"/>
        <w:rPr>
          <w:rFonts w:ascii="宋体" w:hAnsi="宋体" w:cs="宋体"/>
          <w:color w:val="auto"/>
          <w:sz w:val="24"/>
        </w:rPr>
      </w:pPr>
      <w:r>
        <w:rPr>
          <w:rFonts w:hint="eastAsia" w:ascii="宋体" w:hAnsi="宋体" w:cs="宋体"/>
          <w:b/>
          <w:bCs/>
          <w:color w:val="auto"/>
          <w:sz w:val="24"/>
        </w:rPr>
        <w:t>（一）水电设施设备运行维护内容</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）水电设施设备运行管理：全校水电设施设备（含所有供水设施设备、排水设备、供电设施设备）的运行及维护管理；全校雨水井、污水井定期清淤（每年至少</w:t>
      </w:r>
      <w:r>
        <w:rPr>
          <w:rFonts w:ascii="宋体" w:hAnsi="宋体" w:cs="宋体"/>
          <w:color w:val="auto"/>
          <w:sz w:val="24"/>
        </w:rPr>
        <w:t>3</w:t>
      </w:r>
      <w:r>
        <w:rPr>
          <w:rFonts w:hint="eastAsia" w:ascii="宋体" w:hAnsi="宋体" w:cs="宋体"/>
          <w:color w:val="auto"/>
          <w:sz w:val="24"/>
        </w:rPr>
        <w:t>次）；全校化粪池的清理和维护；消防栓及消防栓接合器维护及保养；电力设备预防性试验；蓄水池清洗消毒（每年不少于</w:t>
      </w:r>
      <w:r>
        <w:rPr>
          <w:rFonts w:ascii="宋体" w:hAnsi="宋体" w:cs="宋体"/>
          <w:color w:val="auto"/>
          <w:sz w:val="24"/>
        </w:rPr>
        <w:t>2</w:t>
      </w:r>
      <w:r>
        <w:rPr>
          <w:rFonts w:hint="eastAsia" w:ascii="宋体" w:hAnsi="宋体" w:cs="宋体"/>
          <w:color w:val="auto"/>
          <w:sz w:val="24"/>
        </w:rPr>
        <w:t>次）；上水工作人员健康证办理；渭城、秦都两个校区水质化验（每校区每年不少于</w:t>
      </w:r>
      <w:r>
        <w:rPr>
          <w:rFonts w:ascii="宋体" w:hAnsi="宋体" w:cs="宋体"/>
          <w:color w:val="auto"/>
          <w:sz w:val="24"/>
        </w:rPr>
        <w:t>2</w:t>
      </w:r>
      <w:r>
        <w:rPr>
          <w:rFonts w:hint="eastAsia" w:ascii="宋体" w:hAnsi="宋体" w:cs="宋体"/>
          <w:color w:val="auto"/>
          <w:sz w:val="24"/>
        </w:rPr>
        <w:t>次）；全校建筑物屋面落水口清淤（每年至少</w:t>
      </w:r>
      <w:r>
        <w:rPr>
          <w:rFonts w:ascii="宋体" w:hAnsi="宋体" w:cs="宋体"/>
          <w:color w:val="auto"/>
          <w:sz w:val="24"/>
        </w:rPr>
        <w:t>3</w:t>
      </w:r>
      <w:r>
        <w:rPr>
          <w:rFonts w:hint="eastAsia" w:ascii="宋体" w:hAnsi="宋体" w:cs="宋体"/>
          <w:color w:val="auto"/>
          <w:sz w:val="24"/>
        </w:rPr>
        <w:t>次）；渭城、秦都两个校区水电表的查抄（其中家属楼查抄不少于1次，门面房等查抄不少于2次）；渭城、秦都两个校区</w:t>
      </w:r>
      <w:r>
        <w:rPr>
          <w:rFonts w:ascii="宋体" w:hAnsi="宋体" w:cs="宋体"/>
          <w:color w:val="auto"/>
          <w:sz w:val="24"/>
        </w:rPr>
        <w:t>24</w:t>
      </w:r>
      <w:r>
        <w:rPr>
          <w:rFonts w:hint="eastAsia" w:ascii="宋体" w:hAnsi="宋体" w:cs="宋体"/>
          <w:color w:val="auto"/>
          <w:sz w:val="24"/>
        </w:rPr>
        <w:t>小时昼夜值班。</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）设施设备运行维护内容：</w:t>
      </w:r>
    </w:p>
    <w:p>
      <w:pPr>
        <w:spacing w:line="460" w:lineRule="exact"/>
        <w:ind w:firstLine="480" w:firstLineChars="200"/>
        <w:rPr>
          <w:rFonts w:ascii="宋体" w:hAnsi="宋体" w:cs="宋体"/>
          <w:color w:val="auto"/>
          <w:sz w:val="24"/>
        </w:rPr>
      </w:pPr>
      <w:r>
        <w:rPr>
          <w:rFonts w:hint="eastAsia" w:ascii="宋体" w:hAnsi="宋体" w:cs="宋体"/>
          <w:color w:val="auto"/>
          <w:sz w:val="24"/>
        </w:rPr>
        <w:t>①全校化粪池的清理：全校共有化粪池</w:t>
      </w:r>
      <w:r>
        <w:rPr>
          <w:rFonts w:ascii="宋体" w:hAnsi="宋体" w:cs="宋体"/>
          <w:color w:val="auto"/>
          <w:sz w:val="24"/>
        </w:rPr>
        <w:t>31</w:t>
      </w:r>
      <w:r>
        <w:rPr>
          <w:rFonts w:hint="eastAsia" w:ascii="宋体" w:hAnsi="宋体" w:cs="宋体"/>
          <w:color w:val="auto"/>
          <w:sz w:val="24"/>
        </w:rPr>
        <w:t>个，总容积</w:t>
      </w:r>
      <w:r>
        <w:rPr>
          <w:rFonts w:ascii="宋体" w:hAnsi="宋体" w:cs="宋体"/>
          <w:color w:val="auto"/>
          <w:sz w:val="24"/>
        </w:rPr>
        <w:t>1906</w:t>
      </w:r>
      <w:r>
        <w:rPr>
          <w:rFonts w:hint="eastAsia" w:ascii="宋体" w:hAnsi="宋体" w:cs="宋体"/>
          <w:color w:val="auto"/>
          <w:sz w:val="24"/>
        </w:rPr>
        <w:t>立方米，每年彻底清理一次。</w:t>
      </w:r>
    </w:p>
    <w:p>
      <w:pPr>
        <w:spacing w:line="460" w:lineRule="exact"/>
        <w:ind w:firstLine="480" w:firstLineChars="200"/>
        <w:rPr>
          <w:rFonts w:ascii="宋体" w:hAnsi="宋体" w:cs="宋体"/>
          <w:color w:val="auto"/>
          <w:sz w:val="24"/>
        </w:rPr>
      </w:pPr>
      <w:r>
        <w:rPr>
          <w:rFonts w:hint="eastAsia" w:ascii="宋体" w:hAnsi="宋体" w:cs="宋体"/>
          <w:color w:val="auto"/>
          <w:sz w:val="24"/>
        </w:rPr>
        <w:t>②消防栓及消防栓接合器，全校共有消防栓、消防接合器</w:t>
      </w:r>
      <w:r>
        <w:rPr>
          <w:rFonts w:ascii="宋体" w:hAnsi="宋体" w:cs="宋体"/>
          <w:color w:val="auto"/>
          <w:sz w:val="24"/>
        </w:rPr>
        <w:t>60</w:t>
      </w:r>
      <w:r>
        <w:rPr>
          <w:rFonts w:hint="eastAsia" w:ascii="宋体" w:hAnsi="宋体" w:cs="宋体"/>
          <w:color w:val="auto"/>
          <w:sz w:val="24"/>
        </w:rPr>
        <w:t>个，包含维修维护及保养；给水管道总阀维护、保养：全校给水总阀共</w:t>
      </w:r>
      <w:r>
        <w:rPr>
          <w:rFonts w:ascii="宋体" w:hAnsi="宋体" w:cs="宋体"/>
          <w:color w:val="auto"/>
          <w:sz w:val="24"/>
        </w:rPr>
        <w:t>112</w:t>
      </w:r>
      <w:r>
        <w:rPr>
          <w:rFonts w:hint="eastAsia" w:ascii="宋体" w:hAnsi="宋体" w:cs="宋体"/>
          <w:color w:val="auto"/>
          <w:sz w:val="24"/>
        </w:rPr>
        <w:t>个。</w:t>
      </w:r>
    </w:p>
    <w:p>
      <w:pPr>
        <w:spacing w:line="460" w:lineRule="exact"/>
        <w:ind w:firstLine="480" w:firstLineChars="200"/>
        <w:rPr>
          <w:rFonts w:ascii="宋体" w:hAnsi="宋体" w:cs="宋体"/>
          <w:color w:val="auto"/>
          <w:sz w:val="24"/>
        </w:rPr>
      </w:pPr>
      <w:r>
        <w:rPr>
          <w:rFonts w:hint="eastAsia" w:ascii="宋体" w:hAnsi="宋体" w:cs="宋体"/>
          <w:color w:val="auto"/>
          <w:sz w:val="24"/>
        </w:rPr>
        <w:t>③电力设备预防性试验，全校共</w:t>
      </w:r>
      <w:r>
        <w:rPr>
          <w:rFonts w:ascii="宋体" w:hAnsi="宋体" w:cs="宋体"/>
          <w:color w:val="auto"/>
          <w:sz w:val="24"/>
        </w:rPr>
        <w:t>12</w:t>
      </w:r>
      <w:r>
        <w:rPr>
          <w:rFonts w:hint="eastAsia" w:ascii="宋体" w:hAnsi="宋体" w:cs="宋体"/>
          <w:color w:val="auto"/>
          <w:sz w:val="24"/>
        </w:rPr>
        <w:t>台变压器，包含试验及检修费用。</w:t>
      </w:r>
    </w:p>
    <w:p>
      <w:pPr>
        <w:spacing w:line="460" w:lineRule="exact"/>
        <w:ind w:firstLine="480" w:firstLineChars="200"/>
        <w:rPr>
          <w:rFonts w:ascii="宋体" w:hAnsi="宋体" w:cs="宋体"/>
          <w:color w:val="auto"/>
          <w:sz w:val="24"/>
        </w:rPr>
      </w:pPr>
      <w:r>
        <w:rPr>
          <w:rFonts w:hint="eastAsia" w:ascii="宋体" w:hAnsi="宋体" w:cs="宋体"/>
          <w:color w:val="auto"/>
          <w:sz w:val="24"/>
        </w:rPr>
        <w:t>④发电机维护保养，学校共</w:t>
      </w:r>
      <w:r>
        <w:rPr>
          <w:rFonts w:ascii="宋体" w:hAnsi="宋体" w:cs="宋体"/>
          <w:color w:val="auto"/>
          <w:sz w:val="24"/>
        </w:rPr>
        <w:t>2</w:t>
      </w:r>
      <w:r>
        <w:rPr>
          <w:rFonts w:hint="eastAsia" w:ascii="宋体" w:hAnsi="宋体" w:cs="宋体"/>
          <w:color w:val="auto"/>
          <w:sz w:val="24"/>
        </w:rPr>
        <w:t>台发电机，科技苑大厦地下配电室和</w:t>
      </w:r>
      <w:r>
        <w:rPr>
          <w:rFonts w:ascii="宋体" w:hAnsi="宋体" w:cs="宋体"/>
          <w:color w:val="auto"/>
          <w:sz w:val="24"/>
        </w:rPr>
        <w:t>11</w:t>
      </w:r>
      <w:r>
        <w:rPr>
          <w:rFonts w:hint="eastAsia" w:ascii="宋体" w:hAnsi="宋体" w:cs="宋体"/>
          <w:color w:val="auto"/>
          <w:sz w:val="24"/>
        </w:rPr>
        <w:t>号高层地下配电室各</w:t>
      </w:r>
      <w:r>
        <w:rPr>
          <w:rFonts w:ascii="宋体" w:hAnsi="宋体" w:cs="宋体"/>
          <w:color w:val="auto"/>
          <w:sz w:val="24"/>
        </w:rPr>
        <w:t>1</w:t>
      </w:r>
      <w:r>
        <w:rPr>
          <w:rFonts w:hint="eastAsia" w:ascii="宋体" w:hAnsi="宋体" w:cs="宋体"/>
          <w:color w:val="auto"/>
          <w:sz w:val="24"/>
        </w:rPr>
        <w:t>台，维护保养包括更换机油和定时启动。</w:t>
      </w:r>
    </w:p>
    <w:p>
      <w:pPr>
        <w:spacing w:line="460" w:lineRule="exact"/>
        <w:ind w:firstLine="480" w:firstLineChars="200"/>
        <w:rPr>
          <w:rFonts w:ascii="宋体" w:hAnsi="宋体" w:cs="宋体"/>
          <w:color w:val="auto"/>
          <w:sz w:val="24"/>
        </w:rPr>
      </w:pPr>
      <w:r>
        <w:rPr>
          <w:rFonts w:hint="eastAsia" w:ascii="宋体" w:hAnsi="宋体" w:cs="宋体"/>
          <w:color w:val="auto"/>
          <w:sz w:val="24"/>
        </w:rPr>
        <w:t>⑤蓄水池清洗消毒，学校共</w:t>
      </w:r>
      <w:r>
        <w:rPr>
          <w:rFonts w:ascii="宋体" w:hAnsi="宋体" w:cs="宋体"/>
          <w:color w:val="auto"/>
          <w:sz w:val="24"/>
        </w:rPr>
        <w:t>5</w:t>
      </w:r>
      <w:r>
        <w:rPr>
          <w:rFonts w:hint="eastAsia" w:ascii="宋体" w:hAnsi="宋体" w:cs="宋体"/>
          <w:color w:val="auto"/>
          <w:sz w:val="24"/>
        </w:rPr>
        <w:t>个蓄水池和</w:t>
      </w:r>
      <w:r>
        <w:rPr>
          <w:rFonts w:ascii="宋体" w:hAnsi="宋体" w:cs="宋体"/>
          <w:color w:val="auto"/>
          <w:sz w:val="24"/>
        </w:rPr>
        <w:t>8</w:t>
      </w:r>
      <w:r>
        <w:rPr>
          <w:rFonts w:hint="eastAsia" w:ascii="宋体" w:hAnsi="宋体" w:cs="宋体"/>
          <w:color w:val="auto"/>
          <w:sz w:val="24"/>
        </w:rPr>
        <w:t>个蓄水水箱，按照要求，每年至少需要清洗</w:t>
      </w:r>
      <w:r>
        <w:rPr>
          <w:rFonts w:ascii="宋体" w:hAnsi="宋体" w:cs="宋体"/>
          <w:color w:val="auto"/>
          <w:sz w:val="24"/>
        </w:rPr>
        <w:t>2</w:t>
      </w:r>
      <w:r>
        <w:rPr>
          <w:rFonts w:hint="eastAsia" w:ascii="宋体" w:hAnsi="宋体" w:cs="宋体"/>
          <w:color w:val="auto"/>
          <w:sz w:val="24"/>
        </w:rPr>
        <w:t>次，包含日常消毒品和上水工作人员健康证办理等。</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⑥水泵维护：全校共有给水泵</w:t>
      </w:r>
      <w:r>
        <w:rPr>
          <w:rFonts w:ascii="宋体" w:hAnsi="宋体" w:cs="宋体"/>
          <w:color w:val="auto"/>
          <w:sz w:val="24"/>
        </w:rPr>
        <w:t>28</w:t>
      </w:r>
      <w:r>
        <w:rPr>
          <w:rFonts w:hint="eastAsia" w:ascii="宋体" w:hAnsi="宋体" w:cs="宋体"/>
          <w:color w:val="auto"/>
          <w:sz w:val="24"/>
        </w:rPr>
        <w:t>台，控制系统</w:t>
      </w:r>
      <w:r>
        <w:rPr>
          <w:rFonts w:ascii="宋体" w:hAnsi="宋体" w:cs="宋体"/>
          <w:color w:val="auto"/>
          <w:sz w:val="24"/>
        </w:rPr>
        <w:t>9</w:t>
      </w:r>
      <w:r>
        <w:rPr>
          <w:rFonts w:hint="eastAsia" w:ascii="宋体" w:hAnsi="宋体" w:cs="宋体"/>
          <w:color w:val="auto"/>
          <w:sz w:val="24"/>
        </w:rPr>
        <w:t>套，消防泵喷淋泵</w:t>
      </w:r>
      <w:r>
        <w:rPr>
          <w:rFonts w:ascii="宋体" w:hAnsi="宋体" w:cs="宋体"/>
          <w:color w:val="auto"/>
          <w:sz w:val="24"/>
        </w:rPr>
        <w:t>32</w:t>
      </w:r>
      <w:r>
        <w:rPr>
          <w:rFonts w:hint="eastAsia" w:ascii="宋体" w:hAnsi="宋体" w:cs="宋体"/>
          <w:color w:val="auto"/>
          <w:sz w:val="24"/>
        </w:rPr>
        <w:t>台，控制系统</w:t>
      </w:r>
      <w:r>
        <w:rPr>
          <w:rFonts w:ascii="宋体" w:hAnsi="宋体" w:cs="宋体"/>
          <w:color w:val="auto"/>
          <w:sz w:val="24"/>
        </w:rPr>
        <w:t>10</w:t>
      </w:r>
      <w:r>
        <w:rPr>
          <w:rFonts w:hint="eastAsia" w:ascii="宋体" w:hAnsi="宋体" w:cs="宋体"/>
          <w:color w:val="auto"/>
          <w:sz w:val="24"/>
        </w:rPr>
        <w:t>套。按照设备使用情况，给水泵、消防泵、喷淋泵及控制系统每年至少要进行</w:t>
      </w:r>
      <w:r>
        <w:rPr>
          <w:rFonts w:ascii="宋体" w:hAnsi="宋体" w:cs="宋体"/>
          <w:color w:val="auto"/>
          <w:sz w:val="24"/>
        </w:rPr>
        <w:t>1</w:t>
      </w:r>
      <w:r>
        <w:rPr>
          <w:rFonts w:hint="eastAsia" w:ascii="宋体" w:hAnsi="宋体" w:cs="宋体"/>
          <w:color w:val="auto"/>
          <w:sz w:val="24"/>
        </w:rPr>
        <w:t>次全面检修。</w:t>
      </w:r>
    </w:p>
    <w:p>
      <w:pPr>
        <w:spacing w:line="460" w:lineRule="exact"/>
        <w:ind w:firstLine="480" w:firstLineChars="200"/>
        <w:rPr>
          <w:rFonts w:hint="eastAsia" w:ascii="宋体" w:hAnsi="宋体" w:cs="宋体"/>
          <w:color w:val="auto"/>
          <w:sz w:val="24"/>
        </w:rPr>
      </w:pPr>
      <w:r>
        <w:rPr>
          <w:rFonts w:hint="eastAsia" w:ascii="宋体" w:hAnsi="宋体" w:cs="宋体"/>
          <w:color w:val="auto"/>
          <w:sz w:val="24"/>
        </w:rPr>
        <w:t>⑦劳保用品及工器具：按标准制作工作服，按规定发放劳保用品，按相应行业购置符合标准的安全工器具及其它耗材。</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）人员配置要求：主管经理</w:t>
      </w:r>
      <w:r>
        <w:rPr>
          <w:rFonts w:ascii="宋体" w:hAnsi="宋体" w:cs="宋体"/>
          <w:color w:val="auto"/>
          <w:sz w:val="24"/>
        </w:rPr>
        <w:t>1</w:t>
      </w:r>
      <w:r>
        <w:rPr>
          <w:rFonts w:hint="eastAsia" w:ascii="宋体" w:hAnsi="宋体" w:cs="宋体"/>
          <w:color w:val="auto"/>
          <w:sz w:val="24"/>
        </w:rPr>
        <w:t>人，运行班（组）长</w:t>
      </w:r>
      <w:r>
        <w:rPr>
          <w:rFonts w:ascii="宋体" w:hAnsi="宋体" w:cs="宋体"/>
          <w:color w:val="auto"/>
          <w:sz w:val="24"/>
        </w:rPr>
        <w:t>1</w:t>
      </w:r>
      <w:r>
        <w:rPr>
          <w:rFonts w:hint="eastAsia" w:ascii="宋体" w:hAnsi="宋体" w:cs="宋体"/>
          <w:color w:val="auto"/>
          <w:sz w:val="24"/>
        </w:rPr>
        <w:t>人，电工（必须持有效的安全操作证）</w:t>
      </w:r>
      <w:r>
        <w:rPr>
          <w:rFonts w:ascii="宋体" w:hAnsi="宋体" w:cs="宋体"/>
          <w:color w:val="auto"/>
          <w:sz w:val="24"/>
        </w:rPr>
        <w:t>4</w:t>
      </w:r>
      <w:r>
        <w:rPr>
          <w:rFonts w:hint="eastAsia" w:ascii="宋体" w:hAnsi="宋体" w:cs="宋体"/>
          <w:color w:val="auto"/>
          <w:sz w:val="24"/>
        </w:rPr>
        <w:t>人，水工</w:t>
      </w:r>
      <w:r>
        <w:rPr>
          <w:rFonts w:ascii="宋体" w:hAnsi="宋体" w:cs="宋体"/>
          <w:color w:val="auto"/>
          <w:sz w:val="24"/>
        </w:rPr>
        <w:t>4</w:t>
      </w:r>
      <w:r>
        <w:rPr>
          <w:rFonts w:hint="eastAsia" w:ascii="宋体" w:hAnsi="宋体" w:cs="宋体"/>
          <w:color w:val="auto"/>
          <w:sz w:val="24"/>
        </w:rPr>
        <w:t>人，泵房上水</w:t>
      </w:r>
      <w:r>
        <w:rPr>
          <w:rFonts w:ascii="宋体" w:hAnsi="宋体" w:cs="宋体"/>
          <w:color w:val="auto"/>
          <w:sz w:val="24"/>
        </w:rPr>
        <w:t>3</w:t>
      </w:r>
      <w:r>
        <w:rPr>
          <w:rFonts w:hint="eastAsia" w:ascii="宋体" w:hAnsi="宋体" w:cs="宋体"/>
          <w:color w:val="auto"/>
          <w:sz w:val="24"/>
        </w:rPr>
        <w:t>人。</w:t>
      </w:r>
    </w:p>
    <w:p>
      <w:pPr>
        <w:spacing w:line="460" w:lineRule="exact"/>
        <w:ind w:firstLine="482" w:firstLineChars="200"/>
        <w:rPr>
          <w:rFonts w:ascii="宋体" w:hAnsi="宋体" w:cs="宋体"/>
          <w:color w:val="auto"/>
          <w:sz w:val="24"/>
        </w:rPr>
      </w:pPr>
      <w:r>
        <w:rPr>
          <w:rFonts w:hint="eastAsia" w:ascii="宋体" w:hAnsi="宋体" w:cs="宋体"/>
          <w:b/>
          <w:bCs/>
          <w:color w:val="auto"/>
          <w:sz w:val="24"/>
        </w:rPr>
        <w:t>（二）零星维修内容及服务费用核算</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）零星维修内容</w:t>
      </w:r>
    </w:p>
    <w:p>
      <w:pPr>
        <w:spacing w:line="460" w:lineRule="exact"/>
        <w:ind w:firstLine="480" w:firstLineChars="200"/>
        <w:rPr>
          <w:rFonts w:ascii="宋体" w:hAnsi="宋体" w:cs="宋体"/>
          <w:color w:val="auto"/>
          <w:sz w:val="24"/>
        </w:rPr>
      </w:pPr>
      <w:r>
        <w:rPr>
          <w:rFonts w:hint="eastAsia" w:ascii="宋体" w:hAnsi="宋体" w:cs="宋体"/>
          <w:color w:val="auto"/>
          <w:sz w:val="24"/>
        </w:rPr>
        <w:t>维修维护更换全校建筑物（不含营业性质建筑物）的照明灯具、插座、风扇、线路、变压器、高低压开关柜、公共照明等各类用电设施设备；维修维护更换全校建筑物的水龙头、面盆、大小便池、各类阀门等设施；维修维护给排水管道（不含暖网部分）；维修维护全校教室、办公室、公寓的桌椅，门窗、玻璃（不含玻璃幕墙）、窗帘架、挂件、学生用床柜等各类设施设备；泵房管道、室外配电柜、锈蚀路灯杆等防腐刷漆及相关维修业务等。</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）零星维修服务考核方式</w:t>
      </w:r>
    </w:p>
    <w:p>
      <w:pPr>
        <w:spacing w:line="460" w:lineRule="exact"/>
        <w:ind w:firstLine="480" w:firstLineChars="200"/>
        <w:rPr>
          <w:rFonts w:ascii="宋体" w:hAnsi="宋体" w:cs="宋体"/>
          <w:color w:val="auto"/>
          <w:sz w:val="24"/>
        </w:rPr>
      </w:pPr>
      <w:r>
        <w:rPr>
          <w:rFonts w:hint="eastAsia" w:ascii="宋体" w:hAnsi="宋体" w:cs="宋体"/>
          <w:color w:val="auto"/>
          <w:sz w:val="24"/>
        </w:rPr>
        <w:t>后勤保障处监督管理科统一安排下，外包服务企业负责维修，监督管理员签字确认，监督管理科集中考核的方式。</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）零星维修服务人员配备要求：人员的配备要能满足两个校区的正常运转：秦都校区水电及其它维修不少于</w:t>
      </w:r>
      <w:r>
        <w:rPr>
          <w:rFonts w:ascii="宋体" w:hAnsi="宋体" w:cs="宋体"/>
          <w:color w:val="auto"/>
          <w:sz w:val="24"/>
        </w:rPr>
        <w:t>6</w:t>
      </w:r>
      <w:r>
        <w:rPr>
          <w:rFonts w:hint="eastAsia" w:ascii="宋体" w:hAnsi="宋体" w:cs="宋体"/>
          <w:color w:val="auto"/>
          <w:sz w:val="24"/>
        </w:rPr>
        <w:t>人（电工必须持有效的安全操作证），渭城校区水电及其它维修不少于</w:t>
      </w:r>
      <w:r>
        <w:rPr>
          <w:rFonts w:ascii="宋体" w:hAnsi="宋体" w:cs="宋体"/>
          <w:color w:val="auto"/>
          <w:sz w:val="24"/>
        </w:rPr>
        <w:t>1</w:t>
      </w:r>
      <w:r>
        <w:rPr>
          <w:rFonts w:hint="eastAsia" w:ascii="宋体" w:hAnsi="宋体" w:cs="宋体"/>
          <w:color w:val="auto"/>
          <w:sz w:val="24"/>
        </w:rPr>
        <w:t>5人（电工必须持有效的安全操作证）。</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）零星维修服务费用：</w:t>
      </w:r>
      <w:r>
        <w:rPr>
          <w:rFonts w:hint="eastAsia" w:ascii="宋体" w:hAnsi="宋体" w:cs="宋体"/>
          <w:color w:val="auto"/>
          <w:sz w:val="24"/>
          <w:lang w:eastAsia="zh-CN"/>
        </w:rPr>
        <w:t>全年服务费用包干、按月考核支付</w:t>
      </w:r>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其它</w:t>
      </w:r>
    </w:p>
    <w:p>
      <w:pPr>
        <w:spacing w:line="460" w:lineRule="exact"/>
        <w:ind w:firstLine="480" w:firstLineChars="200"/>
        <w:rPr>
          <w:rFonts w:ascii="宋体" w:hAnsi="宋体" w:cs="宋体"/>
          <w:color w:val="auto"/>
          <w:sz w:val="24"/>
        </w:rPr>
      </w:pPr>
      <w:r>
        <w:rPr>
          <w:rFonts w:hint="eastAsia" w:ascii="宋体" w:hAnsi="宋体" w:cs="宋体"/>
          <w:color w:val="auto"/>
          <w:sz w:val="24"/>
        </w:rPr>
        <w:t>水电等维修过程中发生的土建部分及其它不包含在维修服务范围内的维修事项及紧急抢修的维修任务，由后勤保障处监督管理科、项目预算及工程管理科、综合科和学校招标确定的设计预算公司共同进行核算，另行组织实施。</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（三）服务要求与标准</w:t>
      </w:r>
    </w:p>
    <w:p>
      <w:pPr>
        <w:spacing w:line="460" w:lineRule="exact"/>
        <w:ind w:firstLine="480" w:firstLineChars="200"/>
        <w:rPr>
          <w:rFonts w:ascii="宋体" w:hAnsi="宋体" w:cs="宋体"/>
          <w:color w:val="auto"/>
          <w:sz w:val="24"/>
        </w:rPr>
      </w:pPr>
      <w:r>
        <w:rPr>
          <w:rFonts w:hint="eastAsia" w:ascii="宋体" w:hAnsi="宋体" w:cs="宋体"/>
          <w:color w:val="auto"/>
          <w:sz w:val="24"/>
        </w:rPr>
        <w:t>1.水电设施设备运行维修项目包含学校渭城校区和秦都校区的所有供电变压器和供水水源，为学校全体师生员工教学、科研、生活提供最基础的能源保障和安全保障，因此所选服务企业由具备水电、消防工程安装维修能力的专业公司提供此项服务。</w:t>
      </w:r>
    </w:p>
    <w:p>
      <w:pPr>
        <w:spacing w:line="460" w:lineRule="exact"/>
        <w:ind w:firstLine="480" w:firstLineChars="200"/>
        <w:rPr>
          <w:rFonts w:ascii="宋体" w:hAnsi="宋体" w:cs="宋体"/>
          <w:color w:val="auto"/>
          <w:sz w:val="24"/>
        </w:rPr>
      </w:pPr>
      <w:r>
        <w:rPr>
          <w:rFonts w:hint="eastAsia" w:ascii="宋体" w:hAnsi="宋体" w:cs="宋体"/>
          <w:color w:val="auto"/>
          <w:sz w:val="24"/>
        </w:rPr>
        <w:t>2.维修管理服务标准</w:t>
      </w:r>
    </w:p>
    <w:p>
      <w:pPr>
        <w:spacing w:line="460" w:lineRule="exact"/>
        <w:ind w:firstLine="480" w:firstLineChars="200"/>
        <w:rPr>
          <w:rFonts w:ascii="宋体" w:hAnsi="宋体" w:cs="宋体"/>
          <w:color w:val="auto"/>
          <w:sz w:val="24"/>
        </w:rPr>
      </w:pPr>
      <w:r>
        <w:rPr>
          <w:rFonts w:hint="eastAsia" w:ascii="宋体" w:hAnsi="宋体" w:cs="宋体"/>
          <w:color w:val="auto"/>
          <w:sz w:val="24"/>
        </w:rPr>
        <w:t>（1）持证上岗，着装整齐，按规定佩戴各类安全工器具及工具包；上杆作业、屋面清淤等高空作业时必须严格按照相关规范，穿戴合格的防护用品，做好安全防护。</w:t>
      </w:r>
    </w:p>
    <w:p>
      <w:pPr>
        <w:spacing w:line="460" w:lineRule="exact"/>
        <w:ind w:firstLine="480" w:firstLineChars="200"/>
        <w:rPr>
          <w:rFonts w:ascii="宋体" w:hAnsi="宋体" w:cs="宋体"/>
          <w:color w:val="auto"/>
          <w:sz w:val="24"/>
        </w:rPr>
      </w:pPr>
      <w:r>
        <w:rPr>
          <w:rFonts w:hint="eastAsia" w:ascii="宋体" w:hAnsi="宋体" w:cs="宋体"/>
          <w:color w:val="auto"/>
          <w:sz w:val="24"/>
        </w:rPr>
        <w:t>（2）按规范及时维护保养各类设施设备，按照要求及时维修范围内的各类设施，扎实做好保障维修服务范围内所有的教学、科研和生活的正常水、电供应。</w:t>
      </w:r>
    </w:p>
    <w:p>
      <w:pPr>
        <w:spacing w:line="460" w:lineRule="exact"/>
        <w:ind w:firstLine="480" w:firstLineChars="200"/>
        <w:rPr>
          <w:rFonts w:ascii="宋体" w:hAnsi="宋体" w:cs="宋体"/>
          <w:color w:val="auto"/>
          <w:sz w:val="24"/>
        </w:rPr>
      </w:pPr>
      <w:r>
        <w:rPr>
          <w:rFonts w:hint="eastAsia" w:ascii="宋体" w:hAnsi="宋体" w:cs="宋体"/>
          <w:color w:val="auto"/>
          <w:sz w:val="24"/>
        </w:rPr>
        <w:t>（3）重大会议或重要活动前，应及时向电力公司申请保电，提前进行检修，需要派人现场值班的及时安排人员值班，保证会议或活动的顺利进行。</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（4）及时维修。自接到报修电话后</w:t>
      </w:r>
      <w:r>
        <w:rPr>
          <w:rFonts w:ascii="宋体" w:hAnsi="宋体" w:cs="宋体"/>
          <w:color w:val="auto"/>
          <w:sz w:val="24"/>
        </w:rPr>
        <w:t>20</w:t>
      </w:r>
      <w:r>
        <w:rPr>
          <w:rFonts w:hint="eastAsia" w:ascii="宋体" w:hAnsi="宋体" w:cs="宋体"/>
          <w:color w:val="auto"/>
          <w:sz w:val="24"/>
        </w:rPr>
        <w:t>分钟内应到达现场，一般故障不应超过</w:t>
      </w:r>
      <w:r>
        <w:rPr>
          <w:rFonts w:ascii="宋体" w:hAnsi="宋体" w:cs="宋体"/>
          <w:color w:val="auto"/>
          <w:sz w:val="24"/>
        </w:rPr>
        <w:t>4</w:t>
      </w:r>
      <w:r>
        <w:rPr>
          <w:rFonts w:hint="eastAsia" w:ascii="宋体" w:hAnsi="宋体" w:cs="宋体"/>
          <w:color w:val="auto"/>
          <w:sz w:val="24"/>
        </w:rPr>
        <w:t>小时，故障难度大于</w:t>
      </w:r>
      <w:r>
        <w:rPr>
          <w:rFonts w:ascii="宋体" w:hAnsi="宋体" w:cs="宋体"/>
          <w:color w:val="auto"/>
          <w:sz w:val="24"/>
        </w:rPr>
        <w:t>4</w:t>
      </w:r>
      <w:r>
        <w:rPr>
          <w:rFonts w:hint="eastAsia" w:ascii="宋体" w:hAnsi="宋体" w:cs="宋体"/>
          <w:color w:val="auto"/>
          <w:sz w:val="24"/>
        </w:rPr>
        <w:t>小时内排除不了的，应向有关领导汇报并向用户说明原因，水、电的供应及重要设施的维修时间一般不超过</w:t>
      </w:r>
      <w:r>
        <w:rPr>
          <w:rFonts w:ascii="宋体" w:hAnsi="宋体" w:cs="宋体"/>
          <w:color w:val="auto"/>
          <w:sz w:val="24"/>
        </w:rPr>
        <w:t>24</w:t>
      </w:r>
      <w:r>
        <w:rPr>
          <w:rFonts w:hint="eastAsia" w:ascii="宋体" w:hAnsi="宋体" w:cs="宋体"/>
          <w:color w:val="auto"/>
          <w:sz w:val="24"/>
        </w:rPr>
        <w:t>小时。</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（5）经常检查管辖范围内的水、电及各类设施，发现问题及时解决。</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（6）树立服务意识，保持良好的服务态度，语言举止文明，进入报修部门时应主动打招呼，维修完毕后应及时将现场清扫干净，待用户满意后方可离开。</w:t>
      </w:r>
    </w:p>
    <w:p>
      <w:pPr>
        <w:spacing w:line="460" w:lineRule="exact"/>
        <w:ind w:firstLine="480" w:firstLineChars="200"/>
        <w:rPr>
          <w:rFonts w:ascii="宋体" w:hAnsi="宋体" w:cs="宋体"/>
          <w:color w:val="auto"/>
          <w:sz w:val="24"/>
        </w:rPr>
      </w:pPr>
      <w:r>
        <w:rPr>
          <w:rFonts w:hint="eastAsia" w:ascii="宋体" w:hAnsi="宋体" w:cs="宋体"/>
          <w:color w:val="auto"/>
          <w:sz w:val="24"/>
        </w:rPr>
        <w:t>（7）供水主管道、供电主线路和涉及教学、科研、生活等重要的设施设备的完好率要达到</w:t>
      </w:r>
      <w:r>
        <w:rPr>
          <w:rFonts w:ascii="宋体" w:hAnsi="宋体" w:cs="宋体"/>
          <w:color w:val="auto"/>
          <w:sz w:val="24"/>
        </w:rPr>
        <w:t>100%</w:t>
      </w:r>
      <w:r>
        <w:rPr>
          <w:rFonts w:hint="eastAsia" w:ascii="宋体" w:hAnsi="宋体" w:cs="宋体"/>
          <w:color w:val="auto"/>
          <w:sz w:val="24"/>
        </w:rPr>
        <w:t>，及其它设施设备的完好率不低于</w:t>
      </w:r>
      <w:r>
        <w:rPr>
          <w:rFonts w:ascii="宋体" w:hAnsi="宋体" w:cs="宋体"/>
          <w:color w:val="auto"/>
          <w:sz w:val="24"/>
        </w:rPr>
        <w:t>99%</w:t>
      </w:r>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（8）定期检查龙头、便池的跑、冒、滴、漏现象，发现问题应在</w:t>
      </w:r>
      <w:r>
        <w:rPr>
          <w:rFonts w:ascii="宋体" w:hAnsi="宋体" w:cs="宋体"/>
          <w:color w:val="auto"/>
          <w:sz w:val="24"/>
        </w:rPr>
        <w:t>2</w:t>
      </w:r>
      <w:r>
        <w:rPr>
          <w:rFonts w:hint="eastAsia" w:ascii="宋体" w:hAnsi="宋体" w:cs="宋体"/>
          <w:color w:val="auto"/>
          <w:sz w:val="24"/>
        </w:rPr>
        <w:t>小时内及时解决。</w:t>
      </w:r>
    </w:p>
    <w:p>
      <w:pPr>
        <w:spacing w:line="460" w:lineRule="exact"/>
        <w:ind w:firstLine="480" w:firstLineChars="200"/>
        <w:rPr>
          <w:rFonts w:ascii="宋体" w:hAnsi="宋体" w:cs="宋体"/>
          <w:color w:val="auto"/>
          <w:sz w:val="24"/>
        </w:rPr>
      </w:pPr>
      <w:r>
        <w:rPr>
          <w:rFonts w:hint="eastAsia" w:ascii="宋体" w:hAnsi="宋体" w:cs="宋体"/>
          <w:color w:val="auto"/>
          <w:sz w:val="24"/>
        </w:rPr>
        <w:t>（9）按照国家相应规范制定水电安全制度、设施设备维修保养制度，制定巡视检查制度，并做好记录。</w:t>
      </w:r>
    </w:p>
    <w:p>
      <w:pPr>
        <w:spacing w:line="460" w:lineRule="exact"/>
        <w:ind w:firstLine="480" w:firstLineChars="200"/>
        <w:rPr>
          <w:rFonts w:ascii="宋体" w:hAnsi="宋体" w:cs="宋体"/>
          <w:color w:val="auto"/>
          <w:sz w:val="24"/>
        </w:rPr>
      </w:pPr>
      <w:r>
        <w:rPr>
          <w:rFonts w:hint="eastAsia" w:ascii="宋体" w:hAnsi="宋体" w:cs="宋体"/>
          <w:color w:val="auto"/>
          <w:sz w:val="24"/>
        </w:rPr>
        <w:t>（10）制定水电突发事故紧急处置预案。</w:t>
      </w:r>
    </w:p>
    <w:p>
      <w:pPr>
        <w:spacing w:line="460" w:lineRule="exact"/>
        <w:ind w:firstLine="480" w:firstLineChars="200"/>
        <w:rPr>
          <w:rFonts w:ascii="宋体" w:hAnsi="宋体" w:cs="宋体"/>
          <w:color w:val="auto"/>
          <w:sz w:val="24"/>
        </w:rPr>
      </w:pPr>
      <w:r>
        <w:rPr>
          <w:rFonts w:hint="eastAsia" w:ascii="宋体" w:hAnsi="宋体" w:cs="宋体"/>
          <w:color w:val="auto"/>
          <w:sz w:val="24"/>
        </w:rPr>
        <w:t>（11）制定详细的节能措施，并严格执行。</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3.管理制度</w:t>
      </w:r>
    </w:p>
    <w:p>
      <w:pPr>
        <w:spacing w:line="460" w:lineRule="exact"/>
        <w:ind w:firstLine="482" w:firstLineChars="200"/>
        <w:rPr>
          <w:rFonts w:ascii="宋体" w:hAnsi="宋体" w:cs="宋体"/>
          <w:color w:val="auto"/>
          <w:sz w:val="24"/>
        </w:rPr>
      </w:pPr>
      <w:r>
        <w:rPr>
          <w:rFonts w:hint="eastAsia" w:ascii="宋体" w:hAnsi="宋体" w:cs="宋体"/>
          <w:b/>
          <w:bCs/>
          <w:color w:val="auto"/>
          <w:sz w:val="24"/>
        </w:rPr>
        <w:t>维修工作文明服务守则</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）严格遵守各项规章制度，工作细致认真、及时准确地做好维修工作，不推、不拖、不积压。</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）服从管理，听从工作安排，遵守劳动纪律，坚守工作岗位，严格工作手续。</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）使用文明服务标准用语，热心对待每一位用户。</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）维修及时，落实具体任务迅速，解释工作耐心细致。</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）端正服务态度，保证服务质量，提高工作效率，对维修工作要随报随修，积极接受用户监督。</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）工作服从分配，不挑三捡四，不干私活，不嘻笑打闹，在工作中团结互助、爱岗敬业。</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）爱护公物，不得出现维修材料的浪费和流失。</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维修工作管理制度</w:t>
      </w:r>
    </w:p>
    <w:p>
      <w:p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巡检制度</w:t>
      </w:r>
      <w:r>
        <w:rPr>
          <w:rFonts w:ascii="宋体" w:hAnsi="宋体" w:cs="宋体"/>
          <w:b/>
          <w:bCs/>
          <w:color w:val="auto"/>
          <w:sz w:val="24"/>
        </w:rPr>
        <w:t xml:space="preserve"> </w:t>
      </w:r>
      <w:r>
        <w:rPr>
          <w:rFonts w:hint="eastAsia" w:ascii="宋体" w:hAnsi="宋体" w:cs="宋体"/>
          <w:b/>
          <w:bCs/>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）维修工要经常对各类设施设备进行巡回检查，早发现、早处理，保持重要设施设备完好率在</w:t>
      </w:r>
      <w:r>
        <w:rPr>
          <w:rFonts w:ascii="宋体" w:hAnsi="宋体" w:cs="宋体"/>
          <w:color w:val="auto"/>
          <w:sz w:val="24"/>
        </w:rPr>
        <w:t>100%</w:t>
      </w:r>
      <w:r>
        <w:rPr>
          <w:rFonts w:hint="eastAsia" w:ascii="宋体" w:hAnsi="宋体" w:cs="宋体"/>
          <w:color w:val="auto"/>
          <w:sz w:val="24"/>
        </w:rPr>
        <w:t>，一般设施设备完好率在</w:t>
      </w:r>
      <w:r>
        <w:rPr>
          <w:rFonts w:ascii="宋体" w:hAnsi="宋体" w:cs="宋体"/>
          <w:color w:val="auto"/>
          <w:sz w:val="24"/>
        </w:rPr>
        <w:t>99%</w:t>
      </w:r>
      <w:r>
        <w:rPr>
          <w:rFonts w:hint="eastAsia" w:ascii="宋体" w:hAnsi="宋体" w:cs="宋体"/>
          <w:color w:val="auto"/>
          <w:sz w:val="24"/>
        </w:rPr>
        <w:t>以上。</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）维修巡回检查人员，按规定对学校设施进行巡回检查，并做好记录。对检查中发现的问题，及时通知维修人员进行处理。</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）维修班长每周至少一次进行全面的检查，对维修人员的工作进行考评，对维修工作存在的问题提出批评和指导意见。对好人好事给予表扬。</w:t>
      </w:r>
    </w:p>
    <w:p>
      <w:p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报修制度</w:t>
      </w:r>
      <w:r>
        <w:rPr>
          <w:rFonts w:ascii="宋体" w:hAnsi="宋体" w:cs="宋体"/>
          <w:b/>
          <w:bCs/>
          <w:color w:val="auto"/>
          <w:sz w:val="24"/>
        </w:rPr>
        <w:t xml:space="preserve"> </w:t>
      </w:r>
      <w:r>
        <w:rPr>
          <w:rFonts w:hint="eastAsia" w:ascii="宋体" w:hAnsi="宋体" w:cs="宋体"/>
          <w:b/>
          <w:bCs/>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）凡学校的用户或单位，其使用的教学楼、实验室、办公室、学生宿舍等室内外设施的维修，主动积极进行维修，并签署维修记录单，作为每月末考核的依据之一。</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）当发现校园内各类设施存在缺陷需要维修时，任何人都有权力和义务向服务企业和维修保障中心报修，以避免事故扩大或影响使用。</w:t>
      </w:r>
    </w:p>
    <w:p>
      <w:pPr>
        <w:spacing w:line="460" w:lineRule="exact"/>
        <w:ind w:firstLine="482" w:firstLineChars="200"/>
        <w:rPr>
          <w:rFonts w:hint="eastAsia" w:ascii="宋体" w:hAnsi="宋体" w:cs="宋体"/>
          <w:color w:val="auto"/>
          <w:sz w:val="24"/>
        </w:rPr>
      </w:pPr>
      <w:r>
        <w:rPr>
          <w:rFonts w:hint="eastAsia" w:ascii="宋体" w:hAnsi="宋体" w:cs="宋体"/>
          <w:b/>
          <w:bCs/>
          <w:color w:val="auto"/>
          <w:sz w:val="24"/>
        </w:rPr>
        <w:t>维修热线</w:t>
      </w:r>
      <w:r>
        <w:rPr>
          <w:rFonts w:ascii="宋体" w:hAnsi="宋体" w:cs="宋体"/>
          <w:b/>
          <w:bCs/>
          <w:color w:val="auto"/>
          <w:sz w:val="24"/>
        </w:rPr>
        <w:t xml:space="preserve"> </w:t>
      </w:r>
      <w:r>
        <w:rPr>
          <w:rFonts w:hint="eastAsia" w:ascii="宋体" w:hAnsi="宋体" w:cs="宋体"/>
          <w:b/>
          <w:bCs/>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）为方便用户，服务企业应建立有维修服务热线，每天</w:t>
      </w:r>
      <w:r>
        <w:rPr>
          <w:rFonts w:ascii="宋体" w:hAnsi="宋体" w:cs="宋体"/>
          <w:color w:val="auto"/>
          <w:sz w:val="24"/>
        </w:rPr>
        <w:t>24</w:t>
      </w:r>
      <w:r>
        <w:rPr>
          <w:rFonts w:hint="eastAsia" w:ascii="宋体" w:hAnsi="宋体" w:cs="宋体"/>
          <w:color w:val="auto"/>
          <w:sz w:val="24"/>
        </w:rPr>
        <w:t>小时接听报修电话。</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）维修热线值班工由服务态度好、维修知识丰富、技术全面、协调能力较强的人员担任。值班员必须坚守工作岗位，确需离岗时，应安排有关人员代班。</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）值班员应热情接待报修者，认真解答用户问题，并做详细记录。根据报修情况，及时将维修信息传给维修人员。</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）对重要报修内容，除通知维修工及时处理外，还要在适当时机电话回访，询问维修进展或故障排除情况。</w:t>
      </w:r>
    </w:p>
    <w:p>
      <w:p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维修处理</w:t>
      </w:r>
      <w:r>
        <w:rPr>
          <w:rFonts w:ascii="宋体" w:hAnsi="宋体" w:cs="宋体"/>
          <w:b/>
          <w:bCs/>
          <w:color w:val="auto"/>
          <w:sz w:val="24"/>
        </w:rPr>
        <w:t xml:space="preserve"> </w:t>
      </w:r>
      <w:r>
        <w:rPr>
          <w:rFonts w:hint="eastAsia" w:ascii="宋体" w:hAnsi="宋体" w:cs="宋体"/>
          <w:b/>
          <w:bCs/>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）维修服务企业主管人员接到报修通知后，应及时落实到人，不得积压。</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）维修人员接受任务后，应根据项目、地点及需用的工具、材料等具体情况，寻找省工、省时、省料的最佳方案进行施工。</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）维修过程中，维修人员应严格遵守操作规程，做好安全防护工作。不允许单独操作的工作，严禁单独上岗。危险项目，应做好应急措施。工作中不得偷工减料，严禁材料流失。</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）维修工在没有报修工作需要处理时，应积极对本承包范围内的物业设施进行巡回检查，发现问题尽快解决。</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）文明施工，要做到工完地清，不得吃请或接受用户的礼品。</w:t>
      </w:r>
    </w:p>
    <w:p>
      <w:pPr>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信息反馈</w:t>
      </w:r>
      <w:r>
        <w:rPr>
          <w:rFonts w:ascii="宋体" w:hAnsi="宋体" w:cs="宋体"/>
          <w:b/>
          <w:bCs/>
          <w:color w:val="auto"/>
          <w:sz w:val="24"/>
        </w:rPr>
        <w:t xml:space="preserve"> </w:t>
      </w:r>
      <w:r>
        <w:rPr>
          <w:rFonts w:hint="eastAsia" w:ascii="宋体" w:hAnsi="宋体" w:cs="宋体"/>
          <w:b/>
          <w:bCs/>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）维修完工后，主动要求用户根据施工情况，在维修记录单“用户意见栏”中如实填写验收意见并签字佐证。维修班组应经常走访用户，主动征求意见和检查维修人员的施工质量。</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）严禁刁难、打击报复用户，如有发生核实后严肃处理。</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）每月统计、汇总维修的及时率及有关设施的完好率和返修率。用户的满意率应达到</w:t>
      </w:r>
      <w:r>
        <w:rPr>
          <w:rFonts w:ascii="宋体" w:hAnsi="宋体" w:cs="宋体"/>
          <w:color w:val="auto"/>
          <w:sz w:val="24"/>
        </w:rPr>
        <w:t>95%</w:t>
      </w:r>
      <w:r>
        <w:rPr>
          <w:rFonts w:hint="eastAsia" w:ascii="宋体" w:hAnsi="宋体" w:cs="宋体"/>
          <w:color w:val="auto"/>
          <w:sz w:val="24"/>
        </w:rPr>
        <w:t>以上，设施完好率须保持在</w:t>
      </w:r>
      <w:r>
        <w:rPr>
          <w:rFonts w:ascii="宋体" w:hAnsi="宋体" w:cs="宋体"/>
          <w:color w:val="auto"/>
          <w:sz w:val="24"/>
        </w:rPr>
        <w:t>99%</w:t>
      </w:r>
      <w:r>
        <w:rPr>
          <w:rFonts w:hint="eastAsia" w:ascii="宋体" w:hAnsi="宋体" w:cs="宋体"/>
          <w:color w:val="auto"/>
          <w:sz w:val="24"/>
        </w:rPr>
        <w:t>以上，返修率不超过</w:t>
      </w:r>
      <w:r>
        <w:rPr>
          <w:rFonts w:ascii="宋体" w:hAnsi="宋体" w:cs="宋体"/>
          <w:color w:val="auto"/>
          <w:sz w:val="24"/>
        </w:rPr>
        <w:t>5%</w:t>
      </w:r>
      <w:r>
        <w:rPr>
          <w:rFonts w:hint="eastAsia" w:ascii="宋体" w:hAnsi="宋体" w:cs="宋体"/>
          <w:color w:val="auto"/>
          <w:sz w:val="24"/>
        </w:rPr>
        <w:t>。</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）对用户意见较大或造成不应有的经济损失的维修项目，要及时追查有关人员的责任，对造成的损失给予</w:t>
      </w:r>
      <w:r>
        <w:rPr>
          <w:rFonts w:ascii="宋体" w:hAnsi="宋体" w:cs="宋体"/>
          <w:color w:val="auto"/>
          <w:sz w:val="24"/>
        </w:rPr>
        <w:t>2</w:t>
      </w:r>
      <w:r>
        <w:rPr>
          <w:rFonts w:hint="eastAsia" w:ascii="宋体" w:hAnsi="宋体" w:cs="宋体"/>
          <w:color w:val="auto"/>
          <w:sz w:val="24"/>
        </w:rPr>
        <w:t>倍的经济处罚。</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）用户对维修服务不满意，可拨打服务企业投诉电话投诉，对服务企业工作不满意可向后勤保障处维修保障中心投诉。</w:t>
      </w:r>
    </w:p>
    <w:p>
      <w:pPr>
        <w:spacing w:line="460" w:lineRule="exact"/>
        <w:ind w:firstLine="482" w:firstLineChars="200"/>
        <w:rPr>
          <w:rFonts w:hint="eastAsia" w:ascii="宋体" w:hAnsi="宋体" w:eastAsia="宋体" w:cs="宋体"/>
          <w:b/>
          <w:bCs/>
          <w:color w:val="auto"/>
          <w:sz w:val="24"/>
          <w:lang w:eastAsia="zh-CN"/>
        </w:rPr>
      </w:pPr>
      <w:r>
        <w:rPr>
          <w:rFonts w:hint="eastAsia" w:ascii="宋体" w:hAnsi="宋体" w:cs="宋体"/>
          <w:b/>
          <w:bCs/>
          <w:color w:val="auto"/>
          <w:sz w:val="24"/>
        </w:rPr>
        <w:t>夜间维修值班制度</w:t>
      </w:r>
      <w:r>
        <w:rPr>
          <w:rFonts w:hint="eastAsia" w:ascii="宋体" w:hAnsi="宋体" w:cs="宋体"/>
          <w:b/>
          <w:bCs/>
          <w:color w:val="auto"/>
          <w:sz w:val="24"/>
          <w:lang w:eastAsia="zh-CN"/>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）为及时处理水电设施在夜间发生突发性故障，设立夜间维修值班室，并安排夜间值班人员。</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）接到报修电话后，值班维修人员应在</w:t>
      </w:r>
      <w:r>
        <w:rPr>
          <w:rFonts w:ascii="宋体" w:hAnsi="宋体" w:cs="宋体"/>
          <w:color w:val="auto"/>
          <w:sz w:val="24"/>
        </w:rPr>
        <w:t>20</w:t>
      </w:r>
      <w:r>
        <w:rPr>
          <w:rFonts w:hint="eastAsia" w:ascii="宋体" w:hAnsi="宋体" w:cs="宋体"/>
          <w:color w:val="auto"/>
          <w:sz w:val="24"/>
        </w:rPr>
        <w:t>分钟内到达维修地点进行维修。</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）如遇影响大面积或重要场所停水、停电时，要立即组织维修人员进行抢修，同时向主管报告情况。</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）维修人员在夜间处理故障时，如遇难以解决的问题，可向服务企业主管汇报，主管在接到电话后，要立即给予答复或安派，不得借口推委、扯皮。</w:t>
      </w:r>
      <w:r>
        <w:rPr>
          <w:rFonts w:ascii="宋体" w:hAnsi="宋体" w:cs="宋体"/>
          <w:color w:val="auto"/>
          <w:sz w:val="24"/>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）夜间维修值班人员每日都应认真做好值班记录。对夜间只做了临时处理，需要白天彻底解决的工作，还要及时通知维修班完善工作。</w:t>
      </w:r>
      <w:r>
        <w:rPr>
          <w:rFonts w:ascii="宋体" w:hAnsi="宋体" w:cs="宋体"/>
          <w:color w:val="auto"/>
          <w:sz w:val="24"/>
        </w:rPr>
        <w:t xml:space="preserve">    </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（四）结算方式</w:t>
      </w:r>
    </w:p>
    <w:p>
      <w:pPr>
        <w:spacing w:line="460" w:lineRule="exact"/>
        <w:ind w:firstLine="480" w:firstLineChars="200"/>
        <w:rPr>
          <w:rFonts w:ascii="宋体" w:hAnsi="宋体" w:cs="宋体"/>
          <w:color w:val="auto"/>
          <w:sz w:val="24"/>
        </w:rPr>
      </w:pPr>
      <w:r>
        <w:rPr>
          <w:rFonts w:hint="eastAsia" w:ascii="宋体" w:hAnsi="宋体" w:cs="宋体"/>
          <w:color w:val="auto"/>
          <w:sz w:val="24"/>
        </w:rPr>
        <w:t>每月</w:t>
      </w:r>
      <w:r>
        <w:rPr>
          <w:rFonts w:ascii="宋体" w:hAnsi="宋体" w:cs="宋体"/>
          <w:color w:val="auto"/>
          <w:sz w:val="24"/>
        </w:rPr>
        <w:t>5</w:t>
      </w:r>
      <w:r>
        <w:rPr>
          <w:rFonts w:hint="eastAsia" w:ascii="宋体" w:hAnsi="宋体" w:cs="宋体"/>
          <w:color w:val="auto"/>
          <w:sz w:val="24"/>
        </w:rPr>
        <w:t>日左右对上月的零星维修服务和水电运行维护情况进行考核，考核合格后支付费用。</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（五）维修工作考核检查及处罚标准</w:t>
      </w:r>
    </w:p>
    <w:p>
      <w:pPr>
        <w:spacing w:line="460" w:lineRule="exact"/>
        <w:ind w:firstLine="480" w:firstLineChars="200"/>
        <w:rPr>
          <w:rFonts w:ascii="宋体" w:hAnsi="宋体" w:cs="宋体"/>
          <w:color w:val="auto"/>
          <w:sz w:val="24"/>
        </w:rPr>
      </w:pPr>
      <w:r>
        <w:rPr>
          <w:rFonts w:hint="eastAsia" w:ascii="宋体" w:hAnsi="宋体" w:cs="宋体"/>
          <w:color w:val="auto"/>
          <w:sz w:val="24"/>
        </w:rPr>
        <w:t>为确保该项目的实施，特制定维修工作考核检查及处罚标准。</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考核检查</w:t>
      </w:r>
    </w:p>
    <w:p>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检查时间</w:t>
      </w:r>
    </w:p>
    <w:p>
      <w:pPr>
        <w:spacing w:line="460" w:lineRule="exact"/>
        <w:ind w:firstLine="480" w:firstLineChars="200"/>
        <w:rPr>
          <w:rFonts w:ascii="宋体" w:hAnsi="宋体" w:cs="宋体"/>
          <w:color w:val="auto"/>
          <w:sz w:val="24"/>
        </w:rPr>
      </w:pPr>
      <w:r>
        <w:rPr>
          <w:rFonts w:hint="eastAsia" w:ascii="宋体" w:hAnsi="宋体" w:cs="宋体"/>
          <w:color w:val="auto"/>
          <w:sz w:val="24"/>
        </w:rPr>
        <w:t>日常工作的检查分为定期检查和不定期检查，定期检查指管理人员每日对各员工的工作进行检查，并记录检查结果，如有不达标者，需注明限期整改时间及整改结果。不定期检查指管理人员在事先不通知的情况下，对外包企业所有员工的工作进行抽查，如有不达标者，需注明限期整改时间及整改结果，如仍未达到标准，甲方有权要求更换相关人员。</w:t>
      </w:r>
    </w:p>
    <w:p>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检查内容</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）员工的言行是否符合日常行为规范。</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）员工的仪容、仪表是否符合有关规定。</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）员工的工作质量是否已经达到标准。</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）员工的作业操作有无违反操作规程、安全条例。</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）员工是否有串岗、离岗、聊天、吃东西等违反纪律情况。</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）管辖区域的设施设备运行情况。</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）管理是否按照各项规章制度及要求执行。</w:t>
      </w:r>
    </w:p>
    <w:p>
      <w:pPr>
        <w:spacing w:line="46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检查要求</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）检查与教育、培训相结合。检查过程中发现的问题不仅要及时纠正，还要帮助分析原因，对其进行教育，以防类似问题再次发生。</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）检查与奖惩相结合。在检查过程中，对发现的问题及时记录，作为考核依据，同时根据奖惩办法进行处理。</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）检查与测定、考核相结合。通过检查，测定不同岗位的工作量、物料消耗情况，更合理地利用人力、物力，提高效率，控制承包。</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）检查与改进、提高相结合。通过检查，对发现的问题进行分析，找出原因，提出改进措施，改进服务素质，提高工作质量。</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处罚标准</w:t>
      </w:r>
    </w:p>
    <w:p>
      <w:pPr>
        <w:spacing w:line="460" w:lineRule="exact"/>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持证上岗，着装整齐，按规定佩戴各类安全工器具及工具包。电工无安全操作证的，一经发现，立即勒令服务企业解除与该员工的劳动关系，并对服务企业处以</w:t>
      </w:r>
      <w:r>
        <w:rPr>
          <w:rFonts w:ascii="宋体" w:hAnsi="宋体" w:cs="宋体"/>
          <w:color w:val="auto"/>
          <w:sz w:val="24"/>
        </w:rPr>
        <w:t>5000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按规范及时维护保养各类设施设备：</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）按规定每年对</w:t>
      </w:r>
      <w:r>
        <w:rPr>
          <w:rFonts w:ascii="宋体" w:hAnsi="宋体" w:cs="宋体"/>
          <w:color w:val="auto"/>
          <w:sz w:val="24"/>
        </w:rPr>
        <w:t>12</w:t>
      </w:r>
      <w:r>
        <w:rPr>
          <w:rFonts w:hint="eastAsia" w:ascii="宋体" w:hAnsi="宋体" w:cs="宋体"/>
          <w:color w:val="auto"/>
          <w:sz w:val="24"/>
        </w:rPr>
        <w:t>台变压器做至少</w:t>
      </w:r>
      <w:r>
        <w:rPr>
          <w:rFonts w:ascii="宋体" w:hAnsi="宋体" w:cs="宋体"/>
          <w:color w:val="auto"/>
          <w:sz w:val="24"/>
        </w:rPr>
        <w:t>1</w:t>
      </w:r>
      <w:r>
        <w:rPr>
          <w:rFonts w:hint="eastAsia" w:ascii="宋体" w:hAnsi="宋体" w:cs="宋体"/>
          <w:color w:val="auto"/>
          <w:sz w:val="24"/>
        </w:rPr>
        <w:t>次预防性试验，每少做</w:t>
      </w:r>
      <w:r>
        <w:rPr>
          <w:rFonts w:ascii="宋体" w:hAnsi="宋体" w:cs="宋体"/>
          <w:color w:val="auto"/>
          <w:sz w:val="24"/>
        </w:rPr>
        <w:t>1</w:t>
      </w:r>
      <w:r>
        <w:rPr>
          <w:rFonts w:hint="eastAsia" w:ascii="宋体" w:hAnsi="宋体" w:cs="宋体"/>
          <w:color w:val="auto"/>
          <w:sz w:val="24"/>
        </w:rPr>
        <w:t>台，处以</w:t>
      </w:r>
      <w:r>
        <w:rPr>
          <w:rFonts w:ascii="宋体" w:hAnsi="宋体" w:cs="宋体"/>
          <w:color w:val="auto"/>
          <w:sz w:val="24"/>
        </w:rPr>
        <w:t>10000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）按规定定期对全校化粪池进行清理，每年至少清理</w:t>
      </w:r>
      <w:r>
        <w:rPr>
          <w:rFonts w:ascii="宋体" w:hAnsi="宋体" w:cs="宋体"/>
          <w:color w:val="auto"/>
          <w:sz w:val="24"/>
        </w:rPr>
        <w:t>1</w:t>
      </w:r>
      <w:r>
        <w:rPr>
          <w:rFonts w:hint="eastAsia" w:ascii="宋体" w:hAnsi="宋体" w:cs="宋体"/>
          <w:color w:val="auto"/>
          <w:sz w:val="24"/>
        </w:rPr>
        <w:t>次，并保证所有化粪池、污水井不堵塞，每少清理</w:t>
      </w:r>
      <w:r>
        <w:rPr>
          <w:rFonts w:ascii="宋体" w:hAnsi="宋体" w:cs="宋体"/>
          <w:color w:val="auto"/>
          <w:sz w:val="24"/>
        </w:rPr>
        <w:t>1</w:t>
      </w:r>
      <w:r>
        <w:rPr>
          <w:rFonts w:hint="eastAsia" w:ascii="宋体" w:hAnsi="宋体" w:cs="宋体"/>
          <w:color w:val="auto"/>
          <w:sz w:val="24"/>
        </w:rPr>
        <w:t>个或因清理不及时、不彻底导致污水外溢，每次处以</w:t>
      </w:r>
      <w:r>
        <w:rPr>
          <w:rFonts w:ascii="宋体" w:hAnsi="宋体" w:cs="宋体"/>
          <w:color w:val="auto"/>
          <w:sz w:val="24"/>
        </w:rPr>
        <w:t>5000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）按规定定期对消防栓、消防栓接合器及全校给水总阀进行维修维护及保养，每少保养一台，处以</w:t>
      </w:r>
      <w:r>
        <w:rPr>
          <w:rFonts w:ascii="宋体" w:hAnsi="宋体" w:cs="宋体"/>
          <w:color w:val="auto"/>
          <w:sz w:val="24"/>
        </w:rPr>
        <w:t>500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）按规定定期对学校</w:t>
      </w:r>
      <w:r>
        <w:rPr>
          <w:rFonts w:ascii="宋体" w:hAnsi="宋体" w:cs="宋体"/>
          <w:color w:val="auto"/>
          <w:sz w:val="24"/>
        </w:rPr>
        <w:t>2</w:t>
      </w:r>
      <w:r>
        <w:rPr>
          <w:rFonts w:hint="eastAsia" w:ascii="宋体" w:hAnsi="宋体" w:cs="宋体"/>
          <w:color w:val="auto"/>
          <w:sz w:val="24"/>
        </w:rPr>
        <w:t>台发电机进行维护保养，并定时启动，每少做一次，处以</w:t>
      </w:r>
      <w:r>
        <w:rPr>
          <w:rFonts w:ascii="宋体" w:hAnsi="宋体" w:cs="宋体"/>
          <w:color w:val="auto"/>
          <w:sz w:val="24"/>
        </w:rPr>
        <w:t>6500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）按规定每年对全校蓄水池及蓄水水箱进行至少</w:t>
      </w:r>
      <w:r>
        <w:rPr>
          <w:rFonts w:ascii="宋体" w:hAnsi="宋体" w:cs="宋体"/>
          <w:color w:val="auto"/>
          <w:sz w:val="24"/>
        </w:rPr>
        <w:t>2</w:t>
      </w:r>
      <w:r>
        <w:rPr>
          <w:rFonts w:hint="eastAsia" w:ascii="宋体" w:hAnsi="宋体" w:cs="宋体"/>
          <w:color w:val="auto"/>
          <w:sz w:val="24"/>
        </w:rPr>
        <w:t>次清洗消毒，按上级规定进行水质检测2次，并对上水工作人员办理健康证，每少做</w:t>
      </w:r>
      <w:r>
        <w:rPr>
          <w:rFonts w:ascii="宋体" w:hAnsi="宋体" w:cs="宋体"/>
          <w:color w:val="auto"/>
          <w:sz w:val="24"/>
        </w:rPr>
        <w:t>1</w:t>
      </w:r>
      <w:r>
        <w:rPr>
          <w:rFonts w:hint="eastAsia" w:ascii="宋体" w:hAnsi="宋体" w:cs="宋体"/>
          <w:color w:val="auto"/>
          <w:sz w:val="24"/>
        </w:rPr>
        <w:t>项，处以</w:t>
      </w:r>
      <w:r>
        <w:rPr>
          <w:rFonts w:ascii="宋体" w:hAnsi="宋体" w:cs="宋体"/>
          <w:color w:val="auto"/>
          <w:sz w:val="24"/>
        </w:rPr>
        <w:t>5000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）按规定定期对全校水泵及控制系统进行维修检修，每少做</w:t>
      </w:r>
      <w:r>
        <w:rPr>
          <w:rFonts w:ascii="宋体" w:hAnsi="宋体" w:cs="宋体"/>
          <w:color w:val="auto"/>
          <w:sz w:val="24"/>
        </w:rPr>
        <w:t>1</w:t>
      </w:r>
      <w:r>
        <w:rPr>
          <w:rFonts w:hint="eastAsia" w:ascii="宋体" w:hAnsi="宋体" w:cs="宋体"/>
          <w:color w:val="auto"/>
          <w:sz w:val="24"/>
        </w:rPr>
        <w:t>项，处以</w:t>
      </w:r>
      <w:r>
        <w:rPr>
          <w:rFonts w:ascii="宋体" w:hAnsi="宋体" w:cs="宋体"/>
          <w:color w:val="auto"/>
          <w:sz w:val="24"/>
        </w:rPr>
        <w:t>3000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重大会议或重要活动前，服务企业应会同学校相关部门及时向电力公司申请保电，服务企业提前对相关设施设备进行检修，并安排人员在现场值班，保证会议或活动的顺利进行，如因服务企业原因，对学校造成重大损失，直接终止该项目服务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8</w:t>
      </w:r>
      <w:r>
        <w:rPr>
          <w:rFonts w:hint="eastAsia" w:ascii="宋体" w:hAnsi="宋体" w:cs="宋体"/>
          <w:color w:val="auto"/>
          <w:sz w:val="24"/>
        </w:rPr>
        <w:t>）及时维修</w:t>
      </w:r>
      <w:r>
        <w:rPr>
          <w:rFonts w:ascii="宋体" w:hAnsi="宋体" w:cs="宋体"/>
          <w:color w:val="auto"/>
          <w:sz w:val="24"/>
        </w:rPr>
        <w:t>,</w:t>
      </w:r>
      <w:r>
        <w:rPr>
          <w:rFonts w:hint="eastAsia" w:ascii="宋体" w:hAnsi="宋体" w:cs="宋体"/>
          <w:color w:val="auto"/>
          <w:sz w:val="24"/>
        </w:rPr>
        <w:t>自接到报修后</w:t>
      </w:r>
      <w:r>
        <w:rPr>
          <w:rFonts w:ascii="宋体" w:hAnsi="宋体" w:cs="宋体"/>
          <w:color w:val="auto"/>
          <w:sz w:val="24"/>
        </w:rPr>
        <w:t>20</w:t>
      </w:r>
      <w:r>
        <w:rPr>
          <w:rFonts w:hint="eastAsia" w:ascii="宋体" w:hAnsi="宋体" w:cs="宋体"/>
          <w:color w:val="auto"/>
          <w:sz w:val="24"/>
        </w:rPr>
        <w:t>分钟内应到达现场，一般故障不应超过</w:t>
      </w:r>
      <w:r>
        <w:rPr>
          <w:rFonts w:ascii="宋体" w:hAnsi="宋体" w:cs="宋体"/>
          <w:color w:val="auto"/>
          <w:sz w:val="24"/>
        </w:rPr>
        <w:t>4</w:t>
      </w:r>
      <w:r>
        <w:rPr>
          <w:rFonts w:hint="eastAsia" w:ascii="宋体" w:hAnsi="宋体" w:cs="宋体"/>
          <w:color w:val="auto"/>
          <w:sz w:val="24"/>
        </w:rPr>
        <w:t>小时，超过</w:t>
      </w:r>
      <w:r>
        <w:rPr>
          <w:rFonts w:ascii="宋体" w:hAnsi="宋体" w:cs="宋体"/>
          <w:color w:val="auto"/>
          <w:sz w:val="24"/>
        </w:rPr>
        <w:t>4</w:t>
      </w:r>
      <w:r>
        <w:rPr>
          <w:rFonts w:hint="eastAsia" w:ascii="宋体" w:hAnsi="宋体" w:cs="宋体"/>
          <w:color w:val="auto"/>
          <w:sz w:val="24"/>
        </w:rPr>
        <w:t>小时的，每次处以</w:t>
      </w:r>
      <w:r>
        <w:rPr>
          <w:rFonts w:ascii="宋体" w:hAnsi="宋体" w:cs="宋体"/>
          <w:color w:val="auto"/>
          <w:sz w:val="24"/>
        </w:rPr>
        <w:t>100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9</w:t>
      </w:r>
      <w:r>
        <w:rPr>
          <w:rFonts w:hint="eastAsia" w:ascii="宋体" w:hAnsi="宋体" w:cs="宋体"/>
          <w:color w:val="auto"/>
          <w:sz w:val="24"/>
        </w:rPr>
        <w:t>）按规定经常检查管辖范围内的水、电及各类设施，发现问题不及时解决的，每次处以</w:t>
      </w:r>
      <w:r>
        <w:rPr>
          <w:rFonts w:ascii="宋体" w:hAnsi="宋体" w:cs="宋体"/>
          <w:color w:val="auto"/>
          <w:sz w:val="24"/>
        </w:rPr>
        <w:t>200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10</w:t>
      </w:r>
      <w:r>
        <w:rPr>
          <w:rFonts w:hint="eastAsia" w:ascii="宋体" w:hAnsi="宋体" w:cs="宋体"/>
          <w:color w:val="auto"/>
          <w:sz w:val="24"/>
        </w:rPr>
        <w:t>）如发现龙头、便池的跑、冒、滴、漏现象，没有在</w:t>
      </w:r>
      <w:r>
        <w:rPr>
          <w:rFonts w:ascii="宋体" w:hAnsi="宋体" w:cs="宋体"/>
          <w:color w:val="auto"/>
          <w:sz w:val="24"/>
        </w:rPr>
        <w:t>2</w:t>
      </w:r>
      <w:r>
        <w:rPr>
          <w:rFonts w:hint="eastAsia" w:ascii="宋体" w:hAnsi="宋体" w:cs="宋体"/>
          <w:color w:val="auto"/>
          <w:sz w:val="24"/>
        </w:rPr>
        <w:t>小时内及时解决的，每次处以</w:t>
      </w:r>
      <w:r>
        <w:rPr>
          <w:rFonts w:ascii="宋体" w:hAnsi="宋体" w:cs="宋体"/>
          <w:color w:val="auto"/>
          <w:sz w:val="24"/>
        </w:rPr>
        <w:t>500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11</w:t>
      </w:r>
      <w:r>
        <w:rPr>
          <w:rFonts w:hint="eastAsia" w:ascii="宋体" w:hAnsi="宋体" w:cs="宋体"/>
          <w:color w:val="auto"/>
          <w:sz w:val="24"/>
        </w:rPr>
        <w:t>）按照国家相应行业规范制定：水电安全制度、设施设备维修保养制度、巡视检查制度。并认真做好记录，每月考核时作为考核依据之一，每月记录考核时报送后勤保障处留档，制度每缺少</w:t>
      </w:r>
      <w:r>
        <w:rPr>
          <w:rFonts w:ascii="宋体" w:hAnsi="宋体" w:cs="宋体"/>
          <w:color w:val="auto"/>
          <w:sz w:val="24"/>
        </w:rPr>
        <w:t>1</w:t>
      </w:r>
      <w:r>
        <w:rPr>
          <w:rFonts w:hint="eastAsia" w:ascii="宋体" w:hAnsi="宋体" w:cs="宋体"/>
          <w:color w:val="auto"/>
          <w:sz w:val="24"/>
        </w:rPr>
        <w:t>项的，处以</w:t>
      </w:r>
      <w:r>
        <w:rPr>
          <w:rFonts w:ascii="宋体" w:hAnsi="宋体" w:cs="宋体"/>
          <w:color w:val="auto"/>
          <w:sz w:val="24"/>
        </w:rPr>
        <w:t>1000</w:t>
      </w:r>
      <w:r>
        <w:rPr>
          <w:rFonts w:hint="eastAsia" w:ascii="宋体" w:hAnsi="宋体" w:cs="宋体"/>
          <w:color w:val="auto"/>
          <w:sz w:val="24"/>
        </w:rPr>
        <w:t>元罚款；值班记录，每缺少</w:t>
      </w:r>
      <w:r>
        <w:rPr>
          <w:rFonts w:ascii="宋体" w:hAnsi="宋体" w:cs="宋体"/>
          <w:color w:val="auto"/>
          <w:sz w:val="24"/>
        </w:rPr>
        <w:t>1</w:t>
      </w:r>
      <w:r>
        <w:rPr>
          <w:rFonts w:hint="eastAsia" w:ascii="宋体" w:hAnsi="宋体" w:cs="宋体"/>
          <w:color w:val="auto"/>
          <w:sz w:val="24"/>
        </w:rPr>
        <w:t>次，处以</w:t>
      </w:r>
      <w:r>
        <w:rPr>
          <w:rFonts w:ascii="宋体" w:hAnsi="宋体" w:cs="宋体"/>
          <w:color w:val="auto"/>
          <w:sz w:val="24"/>
        </w:rPr>
        <w:t>50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12</w:t>
      </w:r>
      <w:r>
        <w:rPr>
          <w:rFonts w:hint="eastAsia" w:ascii="宋体" w:hAnsi="宋体" w:cs="宋体"/>
          <w:color w:val="auto"/>
          <w:sz w:val="24"/>
        </w:rPr>
        <w:t>）对维修所需的材料，要做到维修多少，领取多少，不得冒领、多领，一经发现，立即勒令服务企业解除与该员工的劳动关系，除追回多领的材料外对服务企业处以</w:t>
      </w:r>
      <w:r>
        <w:rPr>
          <w:rFonts w:ascii="宋体" w:hAnsi="宋体" w:cs="宋体"/>
          <w:color w:val="auto"/>
          <w:sz w:val="24"/>
        </w:rPr>
        <w:t>5000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13</w:t>
      </w:r>
      <w:r>
        <w:rPr>
          <w:rFonts w:hint="eastAsia" w:ascii="宋体" w:hAnsi="宋体" w:cs="宋体"/>
          <w:color w:val="auto"/>
          <w:sz w:val="24"/>
        </w:rPr>
        <w:t>）维修人员要爱护学校公共财物，对有故意破坏行为，立即勒令服务企业解除与该员工的劳动关系，并对服务企业处以</w:t>
      </w:r>
      <w:r>
        <w:rPr>
          <w:rFonts w:ascii="宋体" w:hAnsi="宋体" w:cs="宋体"/>
          <w:color w:val="auto"/>
          <w:sz w:val="24"/>
        </w:rPr>
        <w:t>5000</w:t>
      </w:r>
      <w:r>
        <w:rPr>
          <w:rFonts w:hint="eastAsia" w:ascii="宋体" w:hAnsi="宋体" w:cs="宋体"/>
          <w:color w:val="auto"/>
          <w:sz w:val="24"/>
        </w:rPr>
        <w:t>元罚款。</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14</w:t>
      </w:r>
      <w:r>
        <w:rPr>
          <w:rFonts w:hint="eastAsia" w:ascii="宋体" w:hAnsi="宋体" w:cs="宋体"/>
          <w:color w:val="auto"/>
          <w:sz w:val="24"/>
        </w:rPr>
        <w:t>）服务企业员工不得以任何原因干扰学校师生员工正常办公教学生活秩序，否则当月考核为不合格，情节恶劣或对学校造成重大影响的直接终止该项目服务合同。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对于考核检查中发现的上述处罚规定中没有明确处罚标准的，由考核检查根据其违规性质、程度等每次在</w:t>
      </w:r>
      <w:r>
        <w:rPr>
          <w:rFonts w:ascii="宋体" w:hAnsi="宋体" w:cs="宋体"/>
          <w:color w:val="auto"/>
          <w:sz w:val="24"/>
        </w:rPr>
        <w:t>200—10000</w:t>
      </w:r>
      <w:r>
        <w:rPr>
          <w:rFonts w:hint="eastAsia" w:ascii="宋体" w:hAnsi="宋体" w:cs="宋体"/>
          <w:color w:val="auto"/>
          <w:sz w:val="24"/>
        </w:rPr>
        <w:t>元之间进行处罚，对于检查中多次发现的相同问题，未进行及时更改与处理的，按处罚标准进行加倍处罚，考核检查必须形成文字记录，由后勤保障处监管考核人员签字确认，作为处罚依据。</w:t>
      </w:r>
    </w:p>
    <w:p>
      <w:pPr>
        <w:spacing w:line="460" w:lineRule="exact"/>
        <w:ind w:firstLine="480" w:firstLineChars="200"/>
        <w:rPr>
          <w:rFonts w:ascii="宋体" w:hAnsi="宋体" w:cs="宋体"/>
          <w:color w:val="auto"/>
          <w:sz w:val="24"/>
        </w:rPr>
      </w:pPr>
      <w:r>
        <w:rPr>
          <w:rFonts w:hint="eastAsia" w:ascii="宋体" w:hAnsi="宋体" w:cs="宋体"/>
          <w:color w:val="auto"/>
          <w:sz w:val="24"/>
        </w:rPr>
        <w:t>在考核检查中需要协调的事项，由后勤保障处会同服务企业协商处理。</w:t>
      </w:r>
    </w:p>
    <w:p>
      <w:pPr>
        <w:spacing w:line="460" w:lineRule="exact"/>
        <w:ind w:firstLine="482" w:firstLineChars="200"/>
        <w:rPr>
          <w:rFonts w:ascii="宋体" w:hAnsi="宋体" w:cs="宋体"/>
          <w:b/>
          <w:bCs/>
          <w:color w:val="auto"/>
          <w:sz w:val="24"/>
        </w:rPr>
      </w:pPr>
      <w:r>
        <w:rPr>
          <w:rFonts w:hint="eastAsia" w:ascii="宋体" w:hAnsi="宋体" w:cs="宋体"/>
          <w:b/>
          <w:bCs/>
          <w:color w:val="auto"/>
          <w:sz w:val="24"/>
        </w:rPr>
        <w:t>（六）其他事项</w:t>
      </w:r>
    </w:p>
    <w:p>
      <w:pPr>
        <w:spacing w:line="460" w:lineRule="exact"/>
        <w:ind w:firstLine="480" w:firstLineChars="200"/>
        <w:rPr>
          <w:color w:val="auto"/>
        </w:rPr>
      </w:pPr>
      <w:r>
        <w:rPr>
          <w:rFonts w:hint="eastAsia" w:ascii="宋体" w:hAnsi="宋体" w:cs="宋体"/>
          <w:color w:val="auto"/>
          <w:sz w:val="24"/>
        </w:rPr>
        <w:t>所有外包项目不包含建筑物屋面及卫生间防水、楼体及楼体外立面装饰破损，道路、花砖地面、室外石材维修等。</w:t>
      </w:r>
    </w:p>
    <w:p>
      <w:pPr>
        <w:bidi w:val="0"/>
        <w:rPr>
          <w:rFonts w:hint="eastAsia"/>
          <w:color w:val="auto"/>
        </w:rPr>
      </w:pPr>
    </w:p>
    <w:p>
      <w:pPr>
        <w:pStyle w:val="7"/>
        <w:spacing w:before="120" w:after="120"/>
        <w:rPr>
          <w:rFonts w:hint="eastAsia"/>
          <w:color w:val="auto"/>
        </w:rPr>
      </w:pPr>
      <w:r>
        <w:rPr>
          <w:rFonts w:hint="eastAsia"/>
          <w:color w:val="auto"/>
          <w:lang w:val="en-US" w:eastAsia="zh-CN"/>
        </w:rPr>
        <w:t>三</w:t>
      </w:r>
      <w:r>
        <w:rPr>
          <w:rFonts w:hint="eastAsia"/>
          <w:color w:val="auto"/>
        </w:rPr>
        <w:t>、商务要求</w:t>
      </w:r>
    </w:p>
    <w:tbl>
      <w:tblPr>
        <w:tblStyle w:val="19"/>
        <w:tblW w:w="9139"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27"/>
        <w:gridCol w:w="1710"/>
        <w:gridCol w:w="6702"/>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51" w:hRule="exact"/>
          <w:jc w:val="center"/>
        </w:trPr>
        <w:tc>
          <w:tcPr>
            <w:tcW w:w="727" w:type="dxa"/>
            <w:noWrap w:val="0"/>
            <w:vAlign w:val="center"/>
          </w:tcPr>
          <w:p>
            <w:pPr>
              <w:pStyle w:val="25"/>
              <w:rPr>
                <w:rFonts w:hint="eastAsia" w:cs="宋体"/>
                <w:b/>
                <w:bCs/>
                <w:color w:val="auto"/>
                <w:kern w:val="2"/>
                <w:szCs w:val="24"/>
                <w:highlight w:val="none"/>
                <w:lang w:val="en-US" w:eastAsia="zh-CN"/>
              </w:rPr>
            </w:pPr>
            <w:r>
              <w:rPr>
                <w:rFonts w:hint="eastAsia" w:cs="宋体"/>
                <w:b/>
                <w:bCs/>
                <w:color w:val="auto"/>
                <w:kern w:val="2"/>
                <w:szCs w:val="24"/>
                <w:highlight w:val="none"/>
                <w:lang w:val="en-US" w:eastAsia="zh-CN"/>
              </w:rPr>
              <w:t>序号</w:t>
            </w:r>
          </w:p>
        </w:tc>
        <w:tc>
          <w:tcPr>
            <w:tcW w:w="1710" w:type="dxa"/>
            <w:noWrap w:val="0"/>
            <w:vAlign w:val="center"/>
          </w:tcPr>
          <w:p>
            <w:pPr>
              <w:pStyle w:val="25"/>
              <w:rPr>
                <w:rFonts w:hint="eastAsia" w:cs="宋体"/>
                <w:b/>
                <w:bCs/>
                <w:color w:val="auto"/>
                <w:kern w:val="2"/>
                <w:szCs w:val="24"/>
                <w:highlight w:val="none"/>
                <w:lang w:val="en-US" w:eastAsia="zh-CN"/>
              </w:rPr>
            </w:pPr>
            <w:r>
              <w:rPr>
                <w:rFonts w:hint="eastAsia" w:cs="宋体"/>
                <w:b/>
                <w:bCs/>
                <w:color w:val="auto"/>
                <w:kern w:val="2"/>
                <w:szCs w:val="24"/>
                <w:highlight w:val="none"/>
                <w:lang w:val="en-US" w:eastAsia="zh-CN"/>
              </w:rPr>
              <w:t>条款名称</w:t>
            </w:r>
          </w:p>
        </w:tc>
        <w:tc>
          <w:tcPr>
            <w:tcW w:w="6702" w:type="dxa"/>
            <w:noWrap w:val="0"/>
            <w:vAlign w:val="center"/>
          </w:tcPr>
          <w:p>
            <w:pPr>
              <w:pStyle w:val="25"/>
              <w:rPr>
                <w:rFonts w:hint="eastAsia" w:cs="宋体"/>
                <w:b/>
                <w:bCs/>
                <w:color w:val="auto"/>
                <w:kern w:val="2"/>
                <w:szCs w:val="24"/>
                <w:highlight w:val="none"/>
                <w:lang w:val="en-US" w:eastAsia="zh-CN"/>
              </w:rPr>
            </w:pPr>
            <w:r>
              <w:rPr>
                <w:rFonts w:hint="eastAsia" w:cs="宋体"/>
                <w:b/>
                <w:bCs/>
                <w:color w:val="auto"/>
                <w:kern w:val="2"/>
                <w:szCs w:val="24"/>
                <w:highlight w:val="none"/>
                <w:lang w:val="en-US" w:eastAsia="zh-CN"/>
              </w:rPr>
              <w:t>具体信息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88" w:hRule="atLeast"/>
          <w:jc w:val="center"/>
        </w:trPr>
        <w:tc>
          <w:tcPr>
            <w:tcW w:w="727"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4"/>
                <w:highlight w:val="none"/>
                <w:lang w:val="en-US" w:eastAsia="zh-CN"/>
              </w:rPr>
              <w:t>1</w:t>
            </w:r>
          </w:p>
        </w:tc>
        <w:tc>
          <w:tcPr>
            <w:tcW w:w="1710"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4"/>
                <w:highlight w:val="none"/>
                <w:lang w:val="en-US" w:eastAsia="zh-CN"/>
              </w:rPr>
              <w:t>服务地点</w:t>
            </w:r>
          </w:p>
        </w:tc>
        <w:tc>
          <w:tcPr>
            <w:tcW w:w="6702" w:type="dxa"/>
            <w:noWrap w:val="0"/>
            <w:vAlign w:val="center"/>
          </w:tcPr>
          <w:p>
            <w:pPr>
              <w:pStyle w:val="25"/>
              <w:jc w:val="left"/>
              <w:rPr>
                <w:rFonts w:hint="eastAsia" w:cs="宋体"/>
                <w:color w:val="auto"/>
                <w:kern w:val="2"/>
                <w:szCs w:val="24"/>
                <w:highlight w:val="none"/>
                <w:lang w:val="en-US" w:eastAsia="zh-CN"/>
              </w:rPr>
            </w:pPr>
            <w:r>
              <w:rPr>
                <w:rFonts w:hint="eastAsia" w:cs="宋体"/>
                <w:color w:val="auto"/>
                <w:kern w:val="2"/>
                <w:szCs w:val="24"/>
                <w:highlight w:val="none"/>
                <w:lang w:val="en-US" w:eastAsia="zh-CN"/>
              </w:rPr>
              <w:t>咸阳师范学院渭城校区和秦都校区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727"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4"/>
                <w:highlight w:val="none"/>
                <w:lang w:val="en-US" w:eastAsia="zh-CN"/>
              </w:rPr>
              <w:t>2</w:t>
            </w:r>
          </w:p>
        </w:tc>
        <w:tc>
          <w:tcPr>
            <w:tcW w:w="1710"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2"/>
                <w:highlight w:val="none"/>
                <w:lang w:val="en-US" w:eastAsia="zh-CN"/>
              </w:rPr>
              <w:t>服务期</w:t>
            </w:r>
          </w:p>
        </w:tc>
        <w:tc>
          <w:tcPr>
            <w:tcW w:w="6702" w:type="dxa"/>
            <w:noWrap w:val="0"/>
            <w:vAlign w:val="center"/>
          </w:tcPr>
          <w:p>
            <w:pPr>
              <w:pStyle w:val="25"/>
              <w:jc w:val="left"/>
              <w:rPr>
                <w:rFonts w:hint="eastAsia" w:cs="宋体"/>
                <w:color w:val="auto"/>
                <w:kern w:val="2"/>
                <w:szCs w:val="24"/>
                <w:highlight w:val="none"/>
                <w:lang w:val="en-US" w:eastAsia="zh-CN"/>
              </w:rPr>
            </w:pPr>
            <w:r>
              <w:rPr>
                <w:rFonts w:hint="eastAsia" w:cs="宋体"/>
                <w:color w:val="auto"/>
                <w:kern w:val="2"/>
                <w:szCs w:val="22"/>
                <w:highlight w:val="none"/>
                <w:lang w:val="en-US" w:eastAsia="zh-CN"/>
              </w:rPr>
              <w:t>两年，合同一年一签。</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135" w:hRule="atLeast"/>
          <w:jc w:val="center"/>
        </w:trPr>
        <w:tc>
          <w:tcPr>
            <w:tcW w:w="727"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4"/>
                <w:highlight w:val="none"/>
                <w:lang w:val="en-US" w:eastAsia="zh-CN"/>
              </w:rPr>
              <w:t>3</w:t>
            </w:r>
          </w:p>
        </w:tc>
        <w:tc>
          <w:tcPr>
            <w:tcW w:w="1710" w:type="dxa"/>
            <w:noWrap w:val="0"/>
            <w:vAlign w:val="center"/>
          </w:tcPr>
          <w:p>
            <w:pPr>
              <w:pStyle w:val="25"/>
              <w:rPr>
                <w:rFonts w:hint="eastAsia" w:cs="宋体"/>
                <w:color w:val="auto"/>
                <w:kern w:val="2"/>
                <w:szCs w:val="22"/>
                <w:highlight w:val="none"/>
                <w:lang w:val="en-US" w:eastAsia="zh-CN"/>
              </w:rPr>
            </w:pPr>
            <w:r>
              <w:rPr>
                <w:rFonts w:hint="eastAsia" w:cs="宋体"/>
                <w:color w:val="auto"/>
                <w:kern w:val="2"/>
                <w:szCs w:val="22"/>
                <w:highlight w:val="none"/>
                <w:lang w:val="en-US" w:eastAsia="zh-CN"/>
              </w:rPr>
              <w:t>付款方式</w:t>
            </w:r>
          </w:p>
        </w:tc>
        <w:tc>
          <w:tcPr>
            <w:tcW w:w="6702" w:type="dxa"/>
            <w:noWrap w:val="0"/>
            <w:vAlign w:val="center"/>
          </w:tcPr>
          <w:p>
            <w:pPr>
              <w:pStyle w:val="25"/>
              <w:jc w:val="left"/>
              <w:rPr>
                <w:rFonts w:hint="eastAsia" w:ascii="宋体" w:hAnsi="宋体" w:eastAsia="宋体" w:cs="宋体"/>
                <w:color w:val="auto"/>
                <w:kern w:val="2"/>
                <w:szCs w:val="24"/>
                <w:highlight w:val="none"/>
                <w:lang w:val="en-US" w:eastAsia="zh-CN"/>
              </w:rPr>
            </w:pPr>
            <w:r>
              <w:rPr>
                <w:rFonts w:hint="eastAsia" w:cs="宋体"/>
                <w:color w:val="auto"/>
                <w:kern w:val="2"/>
                <w:szCs w:val="24"/>
                <w:highlight w:val="none"/>
                <w:lang w:val="en-US" w:eastAsia="zh-CN"/>
              </w:rPr>
              <w:t>全年服务费用包干、按月考核支付</w:t>
            </w:r>
            <w:r>
              <w:rPr>
                <w:rFonts w:hint="eastAsia" w:ascii="宋体" w:hAnsi="宋体" w:eastAsia="宋体" w:cs="宋体"/>
                <w:color w:val="auto"/>
                <w:kern w:val="2"/>
                <w:szCs w:val="24"/>
                <w:highlight w:val="none"/>
                <w:lang w:val="en-US" w:eastAsia="zh-CN"/>
              </w:rPr>
              <w:t>。</w:t>
            </w:r>
          </w:p>
          <w:p>
            <w:pPr>
              <w:pStyle w:val="25"/>
              <w:jc w:val="left"/>
              <w:rPr>
                <w:rFonts w:cs="宋体"/>
                <w:bCs/>
                <w:color w:val="auto"/>
                <w:kern w:val="2"/>
                <w:sz w:val="28"/>
                <w:szCs w:val="28"/>
                <w:highlight w:val="none"/>
                <w:lang w:val="en-US" w:eastAsia="zh-CN"/>
              </w:rPr>
            </w:pPr>
            <w:r>
              <w:rPr>
                <w:rFonts w:hint="eastAsia" w:ascii="宋体" w:hAnsi="宋体" w:eastAsia="宋体" w:cs="宋体"/>
                <w:color w:val="auto"/>
                <w:kern w:val="2"/>
                <w:szCs w:val="24"/>
                <w:highlight w:val="none"/>
                <w:lang w:val="en-US" w:eastAsia="zh-CN"/>
              </w:rPr>
              <w:t>每月5日左右对上月的零星维修服务和水电运行维护情况进行考核，考核合格后支付费用。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3" w:hRule="atLeast"/>
          <w:jc w:val="center"/>
        </w:trPr>
        <w:tc>
          <w:tcPr>
            <w:tcW w:w="727" w:type="dxa"/>
            <w:noWrap w:val="0"/>
            <w:vAlign w:val="center"/>
          </w:tcPr>
          <w:p>
            <w:pPr>
              <w:pStyle w:val="25"/>
              <w:rPr>
                <w:rFonts w:hint="eastAsia" w:cs="宋体"/>
                <w:color w:val="auto"/>
                <w:kern w:val="2"/>
                <w:szCs w:val="24"/>
                <w:highlight w:val="none"/>
                <w:lang w:val="en-US" w:eastAsia="zh-CN"/>
              </w:rPr>
            </w:pPr>
            <w:r>
              <w:rPr>
                <w:rFonts w:hint="eastAsia" w:cs="宋体"/>
                <w:color w:val="auto"/>
                <w:kern w:val="2"/>
                <w:szCs w:val="24"/>
                <w:highlight w:val="none"/>
                <w:lang w:val="en-US" w:eastAsia="zh-CN"/>
              </w:rPr>
              <w:t>4</w:t>
            </w:r>
          </w:p>
        </w:tc>
        <w:tc>
          <w:tcPr>
            <w:tcW w:w="1710" w:type="dxa"/>
            <w:noWrap w:val="0"/>
            <w:vAlign w:val="center"/>
          </w:tcPr>
          <w:p>
            <w:pPr>
              <w:pStyle w:val="25"/>
              <w:rPr>
                <w:rFonts w:hint="default" w:cs="宋体"/>
                <w:color w:val="auto"/>
                <w:kern w:val="2"/>
                <w:szCs w:val="24"/>
                <w:highlight w:val="none"/>
                <w:lang w:val="en-US" w:eastAsia="zh-CN"/>
              </w:rPr>
            </w:pPr>
            <w:r>
              <w:rPr>
                <w:rFonts w:hint="eastAsia" w:cs="宋体"/>
                <w:color w:val="auto"/>
                <w:kern w:val="2"/>
                <w:szCs w:val="24"/>
                <w:highlight w:val="none"/>
                <w:lang w:val="en-US" w:eastAsia="zh-CN"/>
              </w:rPr>
              <w:t>履约保证金</w:t>
            </w:r>
          </w:p>
        </w:tc>
        <w:tc>
          <w:tcPr>
            <w:tcW w:w="6702" w:type="dxa"/>
            <w:noWrap w:val="0"/>
            <w:vAlign w:val="center"/>
          </w:tcPr>
          <w:p>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成交金额的 5%，合同履约完成后无违约责任予以无息退还。</w:t>
            </w:r>
          </w:p>
        </w:tc>
      </w:tr>
    </w:tbl>
    <w:p>
      <w:pPr>
        <w:rPr>
          <w:rFonts w:hint="eastAsia" w:ascii="宋体" w:hAnsi="宋体" w:cs="宋体"/>
          <w:color w:val="auto"/>
          <w:sz w:val="24"/>
          <w:szCs w:val="24"/>
        </w:rPr>
      </w:pPr>
    </w:p>
    <w:p>
      <w:pPr>
        <w:pStyle w:val="4"/>
        <w:bidi w:val="0"/>
        <w:rPr>
          <w:rFonts w:hint="eastAsia"/>
          <w:color w:val="auto"/>
        </w:rPr>
      </w:pPr>
      <w:bookmarkStart w:id="96" w:name="_Toc542"/>
      <w:r>
        <w:rPr>
          <w:rFonts w:hint="eastAsia"/>
          <w:color w:val="auto"/>
        </w:rPr>
        <w:t>第四章  合同主要条款</w:t>
      </w:r>
      <w:bookmarkEnd w:id="96"/>
    </w:p>
    <w:p>
      <w:pPr>
        <w:pStyle w:val="7"/>
        <w:tabs>
          <w:tab w:val="left" w:pos="864"/>
        </w:tabs>
        <w:spacing w:before="120" w:after="120"/>
        <w:jc w:val="center"/>
        <w:rPr>
          <w:color w:val="auto"/>
        </w:rPr>
      </w:pPr>
      <w:r>
        <w:rPr>
          <w:rFonts w:hint="eastAsia"/>
          <w:color w:val="auto"/>
        </w:rPr>
        <w:t>（仅供参考，最终以实际签订为准）</w:t>
      </w:r>
    </w:p>
    <w:p>
      <w:pPr>
        <w:pStyle w:val="6"/>
        <w:jc w:val="both"/>
        <w:rPr>
          <w:color w:val="auto"/>
        </w:rPr>
      </w:pPr>
      <w:r>
        <w:rPr>
          <w:rFonts w:hint="eastAsia"/>
          <w:color w:val="auto"/>
        </w:rPr>
        <w:t>一、合同条款</w:t>
      </w:r>
    </w:p>
    <w:p>
      <w:pPr>
        <w:pStyle w:val="25"/>
        <w:rPr>
          <w:b/>
          <w:bCs/>
          <w:color w:val="auto"/>
        </w:rPr>
      </w:pPr>
      <w:r>
        <w:rPr>
          <w:rFonts w:hint="eastAsia"/>
          <w:b/>
          <w:bCs/>
          <w:color w:val="auto"/>
        </w:rPr>
        <w:t>政府采购合同条款</w:t>
      </w:r>
    </w:p>
    <w:p>
      <w:pPr>
        <w:pStyle w:val="7"/>
        <w:tabs>
          <w:tab w:val="left" w:pos="864"/>
        </w:tabs>
        <w:spacing w:before="120" w:after="120"/>
        <w:rPr>
          <w:color w:val="auto"/>
        </w:rPr>
      </w:pPr>
      <w:r>
        <w:rPr>
          <w:rFonts w:hint="eastAsia"/>
          <w:color w:val="auto"/>
        </w:rPr>
        <w:t>1.术语定义</w:t>
      </w:r>
    </w:p>
    <w:p>
      <w:pPr>
        <w:pStyle w:val="2"/>
        <w:ind w:firstLine="480"/>
        <w:rPr>
          <w:color w:val="auto"/>
        </w:rPr>
      </w:pPr>
      <w:r>
        <w:rPr>
          <w:rFonts w:hint="eastAsia"/>
          <w:color w:val="auto"/>
        </w:rPr>
        <w:t>本政府采购合同下列术语应解释为：</w:t>
      </w:r>
    </w:p>
    <w:p>
      <w:pPr>
        <w:pStyle w:val="2"/>
        <w:ind w:firstLine="480"/>
        <w:rPr>
          <w:color w:val="auto"/>
        </w:rPr>
      </w:pPr>
      <w:r>
        <w:rPr>
          <w:rFonts w:hint="eastAsia"/>
          <w:color w:val="auto"/>
        </w:rPr>
        <w:t>1.1“政府采购合同”指供需双方依照政府采购程序、按照采购文件、响应文件确定的事项所达成的协议，包括附件、附录和上述文件所提到的构成政府采购合同的所有文件。</w:t>
      </w:r>
    </w:p>
    <w:p>
      <w:pPr>
        <w:pStyle w:val="2"/>
        <w:ind w:firstLine="480"/>
        <w:rPr>
          <w:color w:val="auto"/>
        </w:rPr>
      </w:pPr>
      <w:r>
        <w:rPr>
          <w:rFonts w:hint="eastAsia"/>
          <w:color w:val="auto"/>
        </w:rPr>
        <w:t>1.2 “政府采购合同价”指根据合同约定供方在正确地完全履行政府采购合同义务后需方应支付给供方的价格。</w:t>
      </w:r>
    </w:p>
    <w:p>
      <w:pPr>
        <w:pStyle w:val="2"/>
        <w:ind w:firstLine="480"/>
        <w:rPr>
          <w:color w:val="auto"/>
        </w:rPr>
      </w:pPr>
      <w:r>
        <w:rPr>
          <w:rFonts w:hint="eastAsia"/>
          <w:color w:val="auto"/>
        </w:rPr>
        <w:t>1.3 “服务”指政府采购合同服务清单（同响应文件中报价一览表及其附表，下同）所约定的服务内容。</w:t>
      </w:r>
    </w:p>
    <w:p>
      <w:pPr>
        <w:pStyle w:val="2"/>
        <w:ind w:firstLine="480"/>
        <w:rPr>
          <w:color w:val="auto"/>
        </w:rPr>
      </w:pPr>
      <w:r>
        <w:rPr>
          <w:rFonts w:hint="eastAsia"/>
          <w:color w:val="auto"/>
        </w:rPr>
        <w:t>1.5 “需方”指项目基本内容及要求中所述取得产品和服务的采购单位。</w:t>
      </w:r>
    </w:p>
    <w:p>
      <w:pPr>
        <w:pStyle w:val="2"/>
        <w:ind w:firstLine="480"/>
        <w:rPr>
          <w:color w:val="auto"/>
        </w:rPr>
      </w:pPr>
      <w:r>
        <w:rPr>
          <w:rFonts w:hint="eastAsia"/>
          <w:color w:val="auto"/>
        </w:rPr>
        <w:t>1.6 “供方”指项目基本内容及要求中所述提供产品和服务的中标人。</w:t>
      </w:r>
    </w:p>
    <w:p>
      <w:pPr>
        <w:pStyle w:val="2"/>
        <w:ind w:firstLine="480"/>
        <w:rPr>
          <w:color w:val="auto"/>
        </w:rPr>
      </w:pPr>
      <w:r>
        <w:rPr>
          <w:rFonts w:hint="eastAsia"/>
          <w:color w:val="auto"/>
        </w:rPr>
        <w:t>1.7 “检验”指需方按照政府采购合同约定的标准对供方所提供服务进行的检测和查验。</w:t>
      </w:r>
    </w:p>
    <w:p>
      <w:pPr>
        <w:pStyle w:val="2"/>
        <w:ind w:firstLine="480"/>
        <w:rPr>
          <w:color w:val="auto"/>
        </w:rPr>
      </w:pPr>
      <w:r>
        <w:rPr>
          <w:rFonts w:hint="eastAsia"/>
          <w:color w:val="auto"/>
        </w:rPr>
        <w:t>1.8 “验收书”指采购单位或采购代理机构根据合同履约验收意见书形成反映采购单位和组织验收机构意见的文件。</w:t>
      </w:r>
    </w:p>
    <w:p>
      <w:pPr>
        <w:pStyle w:val="2"/>
        <w:ind w:firstLine="480"/>
        <w:rPr>
          <w:color w:val="auto"/>
        </w:rPr>
      </w:pPr>
      <w:r>
        <w:rPr>
          <w:rFonts w:hint="eastAsia"/>
          <w:color w:val="auto"/>
        </w:rPr>
        <w:t>1.9“天”指日历天数（如无特别说明）。</w:t>
      </w:r>
    </w:p>
    <w:p>
      <w:pPr>
        <w:pStyle w:val="2"/>
        <w:ind w:firstLine="480"/>
        <w:rPr>
          <w:color w:val="auto"/>
        </w:rPr>
      </w:pPr>
      <w:r>
        <w:rPr>
          <w:rFonts w:hint="eastAsia"/>
          <w:color w:val="auto"/>
        </w:rPr>
        <w:t>1.10“第三人”是指本政府采购合同双方以外的任何中国境内外的自然人、法人或其它经济组织。</w:t>
      </w:r>
    </w:p>
    <w:p>
      <w:pPr>
        <w:pStyle w:val="2"/>
        <w:ind w:firstLine="480"/>
        <w:rPr>
          <w:color w:val="auto"/>
        </w:rPr>
      </w:pPr>
      <w:r>
        <w:rPr>
          <w:rFonts w:hint="eastAsia"/>
          <w:color w:val="auto"/>
        </w:rPr>
        <w:t>1.11“法律、法规”是指由中国各级政府及有关部门制定的法律、行政法规、地方性法规、规章及其它规范性文件的有关规定。</w:t>
      </w:r>
    </w:p>
    <w:p>
      <w:pPr>
        <w:pStyle w:val="2"/>
        <w:ind w:firstLine="480"/>
        <w:rPr>
          <w:color w:val="auto"/>
        </w:rPr>
      </w:pPr>
      <w:r>
        <w:rPr>
          <w:rFonts w:hint="eastAsia"/>
          <w:color w:val="auto"/>
        </w:rPr>
        <w:t>1.12“采购文件”指采购人或采购代理机构发布的采购文件。</w:t>
      </w:r>
    </w:p>
    <w:p>
      <w:pPr>
        <w:pStyle w:val="2"/>
        <w:ind w:firstLine="480"/>
        <w:rPr>
          <w:color w:val="auto"/>
        </w:rPr>
      </w:pPr>
      <w:r>
        <w:rPr>
          <w:rFonts w:hint="eastAsia"/>
          <w:color w:val="auto"/>
        </w:rPr>
        <w:t>1.13“响应文件”指供方按照采购代理机构采购文件的要求编制和递交，并最终被磋商小组接受的响应文件。</w:t>
      </w:r>
    </w:p>
    <w:p>
      <w:pPr>
        <w:pStyle w:val="7"/>
        <w:tabs>
          <w:tab w:val="left" w:pos="864"/>
        </w:tabs>
        <w:spacing w:before="120" w:after="120"/>
        <w:rPr>
          <w:color w:val="auto"/>
        </w:rPr>
      </w:pPr>
      <w:r>
        <w:rPr>
          <w:rFonts w:hint="eastAsia"/>
          <w:color w:val="auto"/>
        </w:rPr>
        <w:t>2.技术规范与服务内容</w:t>
      </w:r>
    </w:p>
    <w:p>
      <w:pPr>
        <w:pStyle w:val="2"/>
        <w:ind w:firstLine="480"/>
        <w:rPr>
          <w:color w:val="auto"/>
        </w:rPr>
      </w:pPr>
      <w:r>
        <w:rPr>
          <w:rFonts w:hint="eastAsia"/>
          <w:color w:val="auto"/>
        </w:rPr>
        <w:t>2.1所响应服务的技术规范应与采购文件规定的技术规范（如果有的话）相一致。若无相应说明，则以国家有关部门最新颁布的相应标准及规范为准。</w:t>
      </w:r>
    </w:p>
    <w:p>
      <w:pPr>
        <w:pStyle w:val="2"/>
        <w:ind w:firstLine="480"/>
        <w:rPr>
          <w:color w:val="auto"/>
        </w:rPr>
      </w:pPr>
      <w:r>
        <w:rPr>
          <w:rFonts w:hint="eastAsia"/>
          <w:color w:val="auto"/>
        </w:rPr>
        <w:t>2.2 所响应服务的服务内容应与采购文件规定服务内容及响应文件中的项目要求及投标响应表一致。</w:t>
      </w:r>
    </w:p>
    <w:p>
      <w:pPr>
        <w:pStyle w:val="7"/>
        <w:tabs>
          <w:tab w:val="left" w:pos="864"/>
        </w:tabs>
        <w:spacing w:before="120" w:after="120"/>
        <w:rPr>
          <w:color w:val="auto"/>
        </w:rPr>
      </w:pPr>
      <w:r>
        <w:rPr>
          <w:rFonts w:hint="eastAsia"/>
          <w:color w:val="auto"/>
        </w:rPr>
        <w:t>3.知识产权</w:t>
      </w:r>
    </w:p>
    <w:p>
      <w:pPr>
        <w:pStyle w:val="2"/>
        <w:ind w:firstLine="480"/>
        <w:rPr>
          <w:color w:val="auto"/>
        </w:rPr>
      </w:pPr>
      <w:r>
        <w:rPr>
          <w:rFonts w:hint="eastAsia"/>
          <w:color w:val="auto"/>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pStyle w:val="2"/>
        <w:ind w:firstLine="480"/>
        <w:rPr>
          <w:color w:val="auto"/>
        </w:rPr>
      </w:pPr>
      <w:r>
        <w:rPr>
          <w:rFonts w:hint="eastAsia"/>
          <w:color w:val="auto"/>
        </w:rPr>
        <w:t>3.2供方应保证所供服务符合国家的有关规定。</w:t>
      </w:r>
    </w:p>
    <w:p>
      <w:pPr>
        <w:pStyle w:val="2"/>
        <w:ind w:firstLine="480"/>
        <w:rPr>
          <w:color w:val="auto"/>
        </w:rPr>
      </w:pPr>
      <w:r>
        <w:rPr>
          <w:rFonts w:hint="eastAsia"/>
          <w:color w:val="auto"/>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pStyle w:val="7"/>
        <w:tabs>
          <w:tab w:val="left" w:pos="864"/>
        </w:tabs>
        <w:spacing w:before="120" w:after="120"/>
        <w:rPr>
          <w:color w:val="auto"/>
        </w:rPr>
      </w:pPr>
      <w:r>
        <w:rPr>
          <w:rFonts w:hint="eastAsia"/>
          <w:color w:val="auto"/>
        </w:rPr>
        <w:t>4.完成方式</w:t>
      </w:r>
    </w:p>
    <w:p>
      <w:pPr>
        <w:pStyle w:val="2"/>
        <w:ind w:firstLine="480"/>
        <w:rPr>
          <w:color w:val="auto"/>
        </w:rPr>
      </w:pPr>
      <w:r>
        <w:rPr>
          <w:rFonts w:hint="eastAsia"/>
          <w:color w:val="auto"/>
        </w:rPr>
        <w:t>供方按照合同约定的时间、地点完成服务。</w:t>
      </w:r>
    </w:p>
    <w:p>
      <w:pPr>
        <w:pStyle w:val="7"/>
        <w:tabs>
          <w:tab w:val="left" w:pos="864"/>
        </w:tabs>
        <w:spacing w:before="120" w:after="120"/>
        <w:rPr>
          <w:color w:val="auto"/>
        </w:rPr>
      </w:pPr>
      <w:r>
        <w:rPr>
          <w:rFonts w:hint="eastAsia"/>
          <w:color w:val="auto"/>
        </w:rPr>
        <w:t>5.付款</w:t>
      </w:r>
    </w:p>
    <w:p>
      <w:pPr>
        <w:pStyle w:val="2"/>
        <w:ind w:firstLine="480"/>
        <w:rPr>
          <w:color w:val="auto"/>
        </w:rPr>
      </w:pPr>
      <w:r>
        <w:rPr>
          <w:rFonts w:hint="eastAsia"/>
          <w:color w:val="auto"/>
        </w:rPr>
        <w:t>5.1政府采购合同以人民币付款。</w:t>
      </w:r>
    </w:p>
    <w:p>
      <w:pPr>
        <w:pStyle w:val="2"/>
        <w:ind w:firstLine="480"/>
        <w:rPr>
          <w:color w:val="auto"/>
        </w:rPr>
      </w:pPr>
      <w:r>
        <w:rPr>
          <w:rFonts w:hint="eastAsia"/>
          <w:color w:val="auto"/>
        </w:rPr>
        <w:t>5.2在供方按照政府采购合同的规定履行服务后，需方按照合同约定的方式和条件付款。</w:t>
      </w:r>
    </w:p>
    <w:p>
      <w:pPr>
        <w:pStyle w:val="7"/>
        <w:tabs>
          <w:tab w:val="left" w:pos="864"/>
        </w:tabs>
        <w:spacing w:before="120" w:after="120"/>
        <w:rPr>
          <w:color w:val="auto"/>
        </w:rPr>
      </w:pPr>
      <w:r>
        <w:rPr>
          <w:rFonts w:hint="eastAsia"/>
          <w:color w:val="auto"/>
        </w:rPr>
        <w:t>6.服务质量</w:t>
      </w:r>
    </w:p>
    <w:p>
      <w:pPr>
        <w:pStyle w:val="2"/>
        <w:ind w:firstLine="480"/>
        <w:rPr>
          <w:color w:val="auto"/>
        </w:rPr>
      </w:pPr>
      <w:r>
        <w:rPr>
          <w:rFonts w:hint="eastAsia"/>
          <w:color w:val="auto"/>
        </w:rPr>
        <w:t>6.1供方应保证政府采购合同项下所供服务是由供方提供的，并完全符合强制性的国家技术质量规范和政府采购合同规定的质量、性能和技术规范等要求。</w:t>
      </w:r>
    </w:p>
    <w:p>
      <w:pPr>
        <w:pStyle w:val="2"/>
        <w:ind w:firstLine="480"/>
        <w:rPr>
          <w:color w:val="auto"/>
        </w:rPr>
      </w:pPr>
      <w:r>
        <w:rPr>
          <w:rFonts w:hint="eastAsia"/>
          <w:color w:val="auto"/>
        </w:rPr>
        <w:t>6.2供方提供的服务质量应满足行业一般标准，符合合同约定。</w:t>
      </w:r>
    </w:p>
    <w:p>
      <w:pPr>
        <w:pStyle w:val="2"/>
        <w:ind w:firstLine="480"/>
        <w:rPr>
          <w:color w:val="auto"/>
        </w:rPr>
      </w:pPr>
      <w:r>
        <w:rPr>
          <w:rFonts w:hint="eastAsia"/>
          <w:color w:val="auto"/>
        </w:rPr>
        <w:t>6.3需方有权对供方的服务质量进行监督，发现服务存在不符合合同标准的情形的，可以要求供方改正服务方式、替换服务人员等补救方式，供方应按需方要求改正，并赔偿需方实际损失。</w:t>
      </w:r>
    </w:p>
    <w:p>
      <w:pPr>
        <w:pStyle w:val="2"/>
        <w:ind w:firstLine="480"/>
        <w:rPr>
          <w:color w:val="auto"/>
        </w:rPr>
      </w:pPr>
      <w:r>
        <w:rPr>
          <w:rFonts w:hint="eastAsia"/>
          <w:color w:val="auto"/>
        </w:rPr>
        <w:t>6.4对于委托开发等最终以产品形式交付需方使用的服务，供方需按照采购文件要求对产品提供售后服务及质量保证，供方响应文件承诺的售后服务及质量保证优于采购文件要求的，以响应文件承诺的售后服务及质量保证为准。</w:t>
      </w:r>
    </w:p>
    <w:p>
      <w:pPr>
        <w:pStyle w:val="7"/>
        <w:tabs>
          <w:tab w:val="left" w:pos="864"/>
        </w:tabs>
        <w:spacing w:before="120" w:after="120"/>
        <w:rPr>
          <w:color w:val="auto"/>
        </w:rPr>
      </w:pPr>
      <w:r>
        <w:rPr>
          <w:rFonts w:hint="eastAsia"/>
          <w:color w:val="auto"/>
        </w:rPr>
        <w:t>7.技术服务和保修责任</w:t>
      </w:r>
    </w:p>
    <w:p>
      <w:pPr>
        <w:pStyle w:val="2"/>
        <w:ind w:firstLine="480"/>
        <w:rPr>
          <w:color w:val="auto"/>
        </w:rPr>
      </w:pPr>
      <w:r>
        <w:rPr>
          <w:rFonts w:hint="eastAsia"/>
          <w:color w:val="auto"/>
        </w:rPr>
        <w:t>7.1本条适用于委托开发等最终以产品形式交付需方使用的服务。</w:t>
      </w:r>
    </w:p>
    <w:p>
      <w:pPr>
        <w:pStyle w:val="2"/>
        <w:ind w:firstLine="480"/>
        <w:rPr>
          <w:color w:val="auto"/>
        </w:rPr>
      </w:pPr>
      <w:r>
        <w:rPr>
          <w:rFonts w:hint="eastAsia"/>
          <w:color w:val="auto"/>
        </w:rPr>
        <w:t>7.2供方对交付的产品的保修期，以采购文件中的规定为准，如果响应文件中的承诺优于采购文件规定，则以响应文件为准。</w:t>
      </w:r>
    </w:p>
    <w:p>
      <w:pPr>
        <w:pStyle w:val="2"/>
        <w:ind w:firstLine="480"/>
        <w:rPr>
          <w:color w:val="auto"/>
        </w:rPr>
      </w:pPr>
      <w:r>
        <w:rPr>
          <w:rFonts w:hint="eastAsia"/>
          <w:color w:val="auto"/>
        </w:rPr>
        <w:t>7.3供方应按如下内容提供售后服务：</w:t>
      </w:r>
    </w:p>
    <w:p>
      <w:pPr>
        <w:pStyle w:val="2"/>
        <w:ind w:firstLine="480"/>
        <w:rPr>
          <w:color w:val="auto"/>
        </w:rPr>
      </w:pPr>
      <w:r>
        <w:rPr>
          <w:rFonts w:hint="eastAsia"/>
          <w:color w:val="auto"/>
        </w:rPr>
        <w:t>7.3.1产品经过试运行期，所有性能指标达到技术规范书的要求时，可按采购文件、响应文件内容进行初验。在试运行期间，由于产品质量等造成某些指标达不到要求，供方须更换或进行修复，试运行期重新计算。</w:t>
      </w:r>
    </w:p>
    <w:p>
      <w:pPr>
        <w:pStyle w:val="2"/>
        <w:ind w:firstLine="480"/>
        <w:rPr>
          <w:color w:val="auto"/>
        </w:rPr>
      </w:pPr>
      <w:r>
        <w:rPr>
          <w:rFonts w:hint="eastAsia"/>
          <w:color w:val="auto"/>
        </w:rPr>
        <w:t>7.3.2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pPr>
        <w:pStyle w:val="2"/>
        <w:ind w:firstLine="480"/>
        <w:rPr>
          <w:color w:val="auto"/>
        </w:rPr>
      </w:pPr>
      <w:r>
        <w:rPr>
          <w:rFonts w:hint="eastAsia"/>
          <w:color w:val="auto"/>
        </w:rPr>
        <w:t>7.3.3保修期间供方要保修除消耗品以外的所有产品。如果系统、设备等发生故障，供方要调查故障原因并修复直至满足最终验收指标和性能的要求，或者修理、更换整个或部分有缺陷的材料。</w:t>
      </w:r>
    </w:p>
    <w:p>
      <w:pPr>
        <w:pStyle w:val="2"/>
        <w:ind w:firstLine="480"/>
        <w:rPr>
          <w:color w:val="auto"/>
        </w:rPr>
      </w:pPr>
      <w:r>
        <w:rPr>
          <w:rFonts w:hint="eastAsia"/>
          <w:color w:val="auto"/>
        </w:rPr>
        <w:t>7.3.4保修期内，供方提供电话、电子邮件、Web、现场服务等方式的技术支持，对用户的现场服务要求，供方必须按响应文件做出的承诺进行响应。</w:t>
      </w:r>
    </w:p>
    <w:p>
      <w:pPr>
        <w:pStyle w:val="2"/>
        <w:ind w:firstLine="480"/>
        <w:rPr>
          <w:color w:val="auto"/>
        </w:rPr>
      </w:pPr>
      <w:r>
        <w:rPr>
          <w:rFonts w:hint="eastAsia"/>
          <w:color w:val="auto"/>
        </w:rPr>
        <w:t>7.3.5保修期内，供方应对出现故障无法修复的产品或无法正常运行的系统，提供替代产品以保证系统的正常工作。</w:t>
      </w:r>
    </w:p>
    <w:p>
      <w:pPr>
        <w:pStyle w:val="2"/>
        <w:ind w:firstLine="480"/>
        <w:rPr>
          <w:color w:val="auto"/>
        </w:rPr>
      </w:pPr>
      <w:r>
        <w:rPr>
          <w:rFonts w:hint="eastAsia"/>
          <w:color w:val="auto"/>
        </w:rPr>
        <w:t>7.3.6保修期内，供方应投标时的承诺提供相关服务。</w:t>
      </w:r>
    </w:p>
    <w:p>
      <w:pPr>
        <w:pStyle w:val="2"/>
        <w:ind w:firstLine="480"/>
        <w:rPr>
          <w:color w:val="auto"/>
        </w:rPr>
      </w:pPr>
      <w:r>
        <w:rPr>
          <w:rFonts w:hint="eastAsia"/>
          <w:color w:val="auto"/>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pStyle w:val="2"/>
        <w:ind w:firstLine="480"/>
        <w:rPr>
          <w:color w:val="auto"/>
        </w:rPr>
      </w:pPr>
      <w:r>
        <w:rPr>
          <w:rFonts w:hint="eastAsia"/>
          <w:color w:val="auto"/>
        </w:rPr>
        <w:t>7.3.8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pPr>
        <w:pStyle w:val="2"/>
        <w:ind w:firstLine="480"/>
        <w:rPr>
          <w:color w:val="auto"/>
        </w:rPr>
      </w:pPr>
      <w:r>
        <w:rPr>
          <w:rFonts w:hint="eastAsia"/>
          <w:color w:val="auto"/>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pStyle w:val="2"/>
        <w:ind w:firstLine="480"/>
        <w:rPr>
          <w:color w:val="auto"/>
        </w:rPr>
      </w:pPr>
      <w:r>
        <w:rPr>
          <w:rFonts w:hint="eastAsia"/>
          <w:color w:val="auto"/>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pStyle w:val="7"/>
        <w:tabs>
          <w:tab w:val="left" w:pos="864"/>
        </w:tabs>
        <w:spacing w:before="120" w:after="120"/>
        <w:rPr>
          <w:color w:val="auto"/>
        </w:rPr>
      </w:pPr>
      <w:r>
        <w:rPr>
          <w:rFonts w:hint="eastAsia"/>
          <w:color w:val="auto"/>
        </w:rPr>
        <w:t>8.检验和验收</w:t>
      </w:r>
    </w:p>
    <w:p>
      <w:pPr>
        <w:pStyle w:val="2"/>
        <w:ind w:firstLine="480"/>
        <w:rPr>
          <w:color w:val="auto"/>
        </w:rPr>
      </w:pPr>
      <w:r>
        <w:rPr>
          <w:rFonts w:hint="eastAsia"/>
          <w:color w:val="auto"/>
        </w:rPr>
        <w:t>8.1完成服务后，需方或采购代理机构（由具体项目决定）应在政府采购合同规定的时间内组织验收，并在“验收书”上签字。“验收书”将作为申请付款文件的一部分。</w:t>
      </w:r>
    </w:p>
    <w:p>
      <w:pPr>
        <w:pStyle w:val="2"/>
        <w:ind w:firstLine="480"/>
        <w:rPr>
          <w:color w:val="auto"/>
        </w:rPr>
      </w:pPr>
      <w:r>
        <w:rPr>
          <w:rFonts w:hint="eastAsia"/>
          <w:color w:val="auto"/>
        </w:rPr>
        <w:t>8.2对于委托开发等最终以产品形式交付需方使用的服务，保修期自验收书签署之日起计算。</w:t>
      </w:r>
    </w:p>
    <w:p>
      <w:pPr>
        <w:pStyle w:val="7"/>
        <w:tabs>
          <w:tab w:val="left" w:pos="864"/>
        </w:tabs>
        <w:spacing w:before="120" w:after="120"/>
        <w:rPr>
          <w:color w:val="auto"/>
        </w:rPr>
      </w:pPr>
      <w:r>
        <w:rPr>
          <w:rFonts w:hint="eastAsia"/>
          <w:color w:val="auto"/>
        </w:rPr>
        <w:t>9.违约责任</w:t>
      </w:r>
    </w:p>
    <w:p>
      <w:pPr>
        <w:pStyle w:val="2"/>
        <w:ind w:firstLine="480"/>
        <w:rPr>
          <w:color w:val="auto"/>
        </w:rPr>
      </w:pPr>
      <w:r>
        <w:rPr>
          <w:rFonts w:hint="eastAsia"/>
          <w:color w:val="auto"/>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pStyle w:val="2"/>
        <w:ind w:firstLine="480"/>
        <w:rPr>
          <w:color w:val="auto"/>
        </w:rPr>
      </w:pPr>
      <w:r>
        <w:rPr>
          <w:rFonts w:hint="eastAsia"/>
          <w:color w:val="auto"/>
        </w:rPr>
        <w:t>9.1.1在需方同意延长的期限内提供服务并承担由此给需方造成的一切损失；</w:t>
      </w:r>
    </w:p>
    <w:p>
      <w:pPr>
        <w:pStyle w:val="2"/>
        <w:ind w:firstLine="480"/>
        <w:rPr>
          <w:color w:val="auto"/>
        </w:rPr>
      </w:pPr>
      <w:r>
        <w:rPr>
          <w:rFonts w:hint="eastAsia"/>
          <w:color w:val="auto"/>
        </w:rPr>
        <w:t>9.1.2在需方规定的时间内，用符合政府采购合同规定的服务以达到政府采购合同规定的要求，供方应承担由此发生的一切费用和风险。此时，相关服务的期限也应相应延长；</w:t>
      </w:r>
    </w:p>
    <w:p>
      <w:pPr>
        <w:pStyle w:val="2"/>
        <w:ind w:firstLine="480"/>
        <w:rPr>
          <w:color w:val="auto"/>
        </w:rPr>
      </w:pPr>
      <w:r>
        <w:rPr>
          <w:rFonts w:hint="eastAsia"/>
          <w:color w:val="auto"/>
        </w:rPr>
        <w:t>9.1.3需方有权部分或全部解除政府采购合同并要求供方赔偿由此造成的损失。此时需方可采取必要的补救措施，相关费用由供方承担。</w:t>
      </w:r>
    </w:p>
    <w:p>
      <w:pPr>
        <w:pStyle w:val="2"/>
        <w:ind w:firstLine="480"/>
        <w:rPr>
          <w:color w:val="auto"/>
        </w:rPr>
      </w:pPr>
      <w:r>
        <w:rPr>
          <w:rFonts w:hint="eastAsia"/>
          <w:color w:val="auto"/>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pStyle w:val="2"/>
        <w:ind w:firstLine="480"/>
        <w:rPr>
          <w:color w:val="auto"/>
        </w:rPr>
      </w:pPr>
      <w:r>
        <w:rPr>
          <w:rFonts w:hint="eastAsia"/>
          <w:color w:val="auto"/>
        </w:rPr>
        <w:t>9.3延期服务的违约责任</w:t>
      </w:r>
    </w:p>
    <w:p>
      <w:pPr>
        <w:pStyle w:val="2"/>
        <w:ind w:firstLine="480"/>
        <w:rPr>
          <w:color w:val="auto"/>
        </w:rPr>
      </w:pPr>
      <w:r>
        <w:rPr>
          <w:rFonts w:hint="eastAsia"/>
          <w:color w:val="auto"/>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pStyle w:val="2"/>
        <w:ind w:firstLine="480"/>
        <w:rPr>
          <w:color w:val="auto"/>
        </w:rPr>
      </w:pPr>
      <w:r>
        <w:rPr>
          <w:rFonts w:hint="eastAsia"/>
          <w:color w:val="auto"/>
        </w:rPr>
        <w:t>9.4以上各项交付的违约金并不影响违约方履行政府采购合同的各项义务。</w:t>
      </w:r>
    </w:p>
    <w:p>
      <w:pPr>
        <w:pStyle w:val="7"/>
        <w:tabs>
          <w:tab w:val="left" w:pos="864"/>
        </w:tabs>
        <w:spacing w:before="120" w:after="120"/>
        <w:rPr>
          <w:color w:val="auto"/>
        </w:rPr>
      </w:pPr>
      <w:r>
        <w:rPr>
          <w:rFonts w:hint="eastAsia"/>
          <w:color w:val="auto"/>
        </w:rPr>
        <w:t>10.不可抗力</w:t>
      </w:r>
    </w:p>
    <w:p>
      <w:pPr>
        <w:pStyle w:val="2"/>
        <w:ind w:firstLine="480"/>
        <w:rPr>
          <w:color w:val="auto"/>
        </w:rPr>
      </w:pPr>
      <w:r>
        <w:rPr>
          <w:rFonts w:hint="eastAsia"/>
          <w:color w:val="auto"/>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pStyle w:val="2"/>
        <w:ind w:firstLine="480"/>
        <w:rPr>
          <w:color w:val="auto"/>
        </w:rPr>
      </w:pPr>
      <w:r>
        <w:rPr>
          <w:rFonts w:hint="eastAsia"/>
          <w:color w:val="auto"/>
        </w:rPr>
        <w:t>10.2本条所述的“不可抗力”系指那些双方无法控制，不可预见的事件，但不包括双方的违约或疏忽。这些事件包括但不限于：战争、严重火灾、洪水、台风、地震。</w:t>
      </w:r>
    </w:p>
    <w:p>
      <w:pPr>
        <w:pStyle w:val="2"/>
        <w:ind w:firstLine="480"/>
        <w:rPr>
          <w:color w:val="auto"/>
        </w:rPr>
      </w:pPr>
      <w:r>
        <w:rPr>
          <w:rFonts w:hint="eastAsia"/>
          <w:color w:val="auto"/>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pStyle w:val="7"/>
        <w:tabs>
          <w:tab w:val="left" w:pos="864"/>
        </w:tabs>
        <w:spacing w:before="120" w:after="120"/>
        <w:rPr>
          <w:color w:val="auto"/>
        </w:rPr>
      </w:pPr>
      <w:r>
        <w:rPr>
          <w:rFonts w:hint="eastAsia"/>
          <w:color w:val="auto"/>
        </w:rPr>
        <w:t>11.争端的解决</w:t>
      </w:r>
    </w:p>
    <w:p>
      <w:pPr>
        <w:pStyle w:val="2"/>
        <w:ind w:firstLine="480"/>
        <w:rPr>
          <w:color w:val="auto"/>
        </w:rPr>
      </w:pPr>
      <w:r>
        <w:rPr>
          <w:rFonts w:hint="eastAsia"/>
          <w:color w:val="auto"/>
        </w:rPr>
        <w:t>11.1需方和供方应通过友好协商，解决在执行本政府采购合同过程中所发生的或与本政府采购合同有关的一切争端。</w:t>
      </w:r>
    </w:p>
    <w:p>
      <w:pPr>
        <w:pStyle w:val="2"/>
        <w:ind w:firstLine="480"/>
        <w:rPr>
          <w:color w:val="auto"/>
        </w:rPr>
      </w:pPr>
      <w:r>
        <w:rPr>
          <w:rFonts w:hint="eastAsia"/>
          <w:color w:val="auto"/>
        </w:rPr>
        <w:t>11.2如果协商不成，双方中的任何一方可向需方所在地的人民法院提起诉讼。</w:t>
      </w:r>
    </w:p>
    <w:p>
      <w:pPr>
        <w:pStyle w:val="2"/>
        <w:ind w:firstLine="480"/>
        <w:rPr>
          <w:color w:val="auto"/>
        </w:rPr>
      </w:pPr>
      <w:r>
        <w:rPr>
          <w:rFonts w:hint="eastAsia"/>
          <w:color w:val="auto"/>
        </w:rPr>
        <w:t>11.3因政府采购合同部分履行引发诉讼的，在诉讼期间，除正在进行诉讼的部分外，本政府采购合同的其它部分应继续执行。</w:t>
      </w:r>
    </w:p>
    <w:p>
      <w:pPr>
        <w:pStyle w:val="7"/>
        <w:tabs>
          <w:tab w:val="left" w:pos="864"/>
        </w:tabs>
        <w:spacing w:before="120" w:after="120"/>
        <w:rPr>
          <w:color w:val="auto"/>
        </w:rPr>
      </w:pPr>
      <w:r>
        <w:rPr>
          <w:rFonts w:hint="eastAsia"/>
          <w:color w:val="auto"/>
        </w:rPr>
        <w:t>12.违约终止政府采购合同</w:t>
      </w:r>
    </w:p>
    <w:p>
      <w:pPr>
        <w:pStyle w:val="2"/>
        <w:ind w:firstLine="480"/>
        <w:rPr>
          <w:color w:val="auto"/>
        </w:rPr>
      </w:pPr>
      <w:r>
        <w:rPr>
          <w:rFonts w:hint="eastAsia"/>
          <w:color w:val="auto"/>
        </w:rPr>
        <w:t>12.1在需方因供方违约而按政府采购合同约定采取的任何补救措施不起作用的情况下，需方可在下列情况下向供方发出书面通知，提出终止部分或全部政府采购合同。</w:t>
      </w:r>
    </w:p>
    <w:p>
      <w:pPr>
        <w:pStyle w:val="2"/>
        <w:ind w:firstLine="480"/>
        <w:rPr>
          <w:color w:val="auto"/>
        </w:rPr>
      </w:pPr>
      <w:r>
        <w:rPr>
          <w:rFonts w:hint="eastAsia"/>
          <w:color w:val="auto"/>
        </w:rPr>
        <w:t>12.1.1如果供方未能在政府采购合同规定的限期或需方同意延长的限期内提供部分或全部服务；</w:t>
      </w:r>
    </w:p>
    <w:p>
      <w:pPr>
        <w:pStyle w:val="2"/>
        <w:ind w:firstLine="480"/>
        <w:rPr>
          <w:color w:val="auto"/>
        </w:rPr>
      </w:pPr>
      <w:r>
        <w:rPr>
          <w:rFonts w:hint="eastAsia"/>
          <w:color w:val="auto"/>
        </w:rPr>
        <w:t>12.1.2如果供方未能履行政府采购合同规定的其它任何义务。</w:t>
      </w:r>
    </w:p>
    <w:p>
      <w:pPr>
        <w:pStyle w:val="2"/>
        <w:ind w:firstLine="480"/>
        <w:rPr>
          <w:color w:val="auto"/>
        </w:rPr>
      </w:pPr>
      <w:r>
        <w:rPr>
          <w:rFonts w:hint="eastAsia"/>
          <w:color w:val="auto"/>
        </w:rPr>
        <w:t>12.1.3未经需方事先书面同意，供方部分转让和分包或全部转让和分包其应履行的政府采购合同义务。</w:t>
      </w:r>
    </w:p>
    <w:p>
      <w:pPr>
        <w:pStyle w:val="2"/>
        <w:ind w:firstLine="480"/>
        <w:rPr>
          <w:color w:val="auto"/>
        </w:rPr>
      </w:pPr>
      <w:r>
        <w:rPr>
          <w:rFonts w:hint="eastAsia"/>
          <w:color w:val="auto"/>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pStyle w:val="7"/>
        <w:tabs>
          <w:tab w:val="left" w:pos="864"/>
        </w:tabs>
        <w:spacing w:before="120" w:after="120"/>
        <w:rPr>
          <w:color w:val="auto"/>
        </w:rPr>
      </w:pPr>
      <w:r>
        <w:rPr>
          <w:rFonts w:hint="eastAsia"/>
          <w:color w:val="auto"/>
        </w:rPr>
        <w:t>13.政府采购法对政府采购合同变更终止的规定</w:t>
      </w:r>
    </w:p>
    <w:p>
      <w:pPr>
        <w:pStyle w:val="2"/>
        <w:ind w:firstLine="480"/>
        <w:rPr>
          <w:color w:val="auto"/>
        </w:rPr>
      </w:pPr>
      <w:r>
        <w:rPr>
          <w:rFonts w:hint="eastAsia"/>
          <w:color w:val="auto"/>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pStyle w:val="7"/>
        <w:tabs>
          <w:tab w:val="left" w:pos="864"/>
        </w:tabs>
        <w:spacing w:before="120" w:after="120"/>
        <w:rPr>
          <w:color w:val="auto"/>
        </w:rPr>
      </w:pPr>
      <w:r>
        <w:rPr>
          <w:rFonts w:hint="eastAsia"/>
          <w:color w:val="auto"/>
        </w:rPr>
        <w:t>14.政府采购合同转让和分包</w:t>
      </w:r>
    </w:p>
    <w:p>
      <w:pPr>
        <w:pStyle w:val="2"/>
        <w:ind w:firstLine="480"/>
        <w:rPr>
          <w:color w:val="auto"/>
        </w:rPr>
      </w:pPr>
      <w:r>
        <w:rPr>
          <w:rFonts w:hint="eastAsia"/>
          <w:color w:val="auto"/>
        </w:rPr>
        <w:t>除采购文件规定,并经需方事先书面同意外，供方不得部分转让和分包或全部转让和分包其应履行的政府采购合同义务。</w:t>
      </w:r>
    </w:p>
    <w:p>
      <w:pPr>
        <w:pStyle w:val="7"/>
        <w:tabs>
          <w:tab w:val="left" w:pos="864"/>
        </w:tabs>
        <w:spacing w:before="120" w:after="120"/>
        <w:rPr>
          <w:color w:val="auto"/>
        </w:rPr>
      </w:pPr>
      <w:r>
        <w:rPr>
          <w:rFonts w:hint="eastAsia"/>
          <w:color w:val="auto"/>
        </w:rPr>
        <w:t>15.适用法律：本政府采购合同按照中华人民共和国的现行法律进行解释。</w:t>
      </w:r>
    </w:p>
    <w:p>
      <w:pPr>
        <w:pStyle w:val="7"/>
        <w:tabs>
          <w:tab w:val="left" w:pos="864"/>
        </w:tabs>
        <w:spacing w:before="120" w:after="120"/>
        <w:rPr>
          <w:color w:val="auto"/>
        </w:rPr>
      </w:pPr>
      <w:r>
        <w:rPr>
          <w:rFonts w:hint="eastAsia"/>
          <w:color w:val="auto"/>
        </w:rPr>
        <w:t>16.政府采购合同生效</w:t>
      </w:r>
    </w:p>
    <w:p>
      <w:pPr>
        <w:pStyle w:val="2"/>
        <w:ind w:firstLine="480"/>
        <w:rPr>
          <w:color w:val="auto"/>
        </w:rPr>
      </w:pPr>
      <w:r>
        <w:rPr>
          <w:rFonts w:hint="eastAsia"/>
          <w:color w:val="auto"/>
        </w:rPr>
        <w:t>16.1本政府采购合同在供需双方法定代表人或其授权代理人签字和加盖公章后生效。</w:t>
      </w:r>
    </w:p>
    <w:p>
      <w:pPr>
        <w:pStyle w:val="2"/>
        <w:ind w:firstLine="480"/>
        <w:rPr>
          <w:color w:val="auto"/>
        </w:rPr>
      </w:pPr>
      <w:r>
        <w:rPr>
          <w:rFonts w:hint="eastAsia"/>
          <w:color w:val="auto"/>
        </w:rPr>
        <w:t xml:space="preserve">16.2本政府采购合同一式五份，需方执二份，供方、采购代理机构、财政部门各执一份。 </w:t>
      </w:r>
    </w:p>
    <w:p>
      <w:pPr>
        <w:pStyle w:val="2"/>
        <w:ind w:firstLine="480"/>
        <w:rPr>
          <w:color w:val="auto"/>
        </w:rPr>
      </w:pPr>
      <w:r>
        <w:rPr>
          <w:rFonts w:hint="eastAsia"/>
          <w:color w:val="auto"/>
        </w:rPr>
        <w:t>17.政府采购合同附件</w:t>
      </w:r>
    </w:p>
    <w:p>
      <w:pPr>
        <w:pStyle w:val="2"/>
        <w:ind w:firstLine="480"/>
        <w:rPr>
          <w:color w:val="auto"/>
        </w:rPr>
      </w:pPr>
      <w:r>
        <w:rPr>
          <w:rFonts w:hint="eastAsia"/>
          <w:color w:val="auto"/>
        </w:rPr>
        <w:t>下列文件构成本政府采购合同不可分割的组成部分，与本政府采购合同具有同等法律效力：</w:t>
      </w:r>
    </w:p>
    <w:p>
      <w:pPr>
        <w:pStyle w:val="7"/>
        <w:tabs>
          <w:tab w:val="left" w:pos="864"/>
        </w:tabs>
        <w:spacing w:before="120" w:after="120"/>
        <w:rPr>
          <w:color w:val="auto"/>
        </w:rPr>
      </w:pPr>
      <w:r>
        <w:rPr>
          <w:rFonts w:hint="eastAsia"/>
          <w:color w:val="auto"/>
        </w:rPr>
        <w:t>17.1采购文件；</w:t>
      </w:r>
    </w:p>
    <w:p>
      <w:pPr>
        <w:pStyle w:val="2"/>
        <w:ind w:firstLine="480"/>
        <w:rPr>
          <w:color w:val="auto"/>
        </w:rPr>
      </w:pPr>
      <w:r>
        <w:rPr>
          <w:rFonts w:hint="eastAsia"/>
          <w:color w:val="auto"/>
        </w:rPr>
        <w:t>17.2采购文件的更正公告、变更公告；</w:t>
      </w:r>
    </w:p>
    <w:p>
      <w:pPr>
        <w:pStyle w:val="2"/>
        <w:ind w:firstLine="480"/>
        <w:rPr>
          <w:color w:val="auto"/>
        </w:rPr>
      </w:pPr>
      <w:r>
        <w:rPr>
          <w:rFonts w:hint="eastAsia"/>
          <w:color w:val="auto"/>
        </w:rPr>
        <w:t xml:space="preserve">17.3成交供应商提交的响应文件；        </w:t>
      </w:r>
    </w:p>
    <w:p>
      <w:pPr>
        <w:pStyle w:val="2"/>
        <w:ind w:firstLine="480"/>
        <w:rPr>
          <w:color w:val="auto"/>
        </w:rPr>
      </w:pPr>
      <w:r>
        <w:rPr>
          <w:rFonts w:hint="eastAsia"/>
          <w:color w:val="auto"/>
        </w:rPr>
        <w:t>17.4政府采购合同条款；</w:t>
      </w:r>
    </w:p>
    <w:p>
      <w:pPr>
        <w:pStyle w:val="2"/>
        <w:ind w:firstLine="480"/>
        <w:rPr>
          <w:color w:val="auto"/>
        </w:rPr>
      </w:pPr>
      <w:r>
        <w:rPr>
          <w:rFonts w:hint="eastAsia"/>
          <w:color w:val="auto"/>
        </w:rPr>
        <w:t>17.5成交通知书；</w:t>
      </w:r>
    </w:p>
    <w:p>
      <w:pPr>
        <w:pStyle w:val="2"/>
        <w:ind w:firstLine="480"/>
        <w:rPr>
          <w:color w:val="auto"/>
        </w:rPr>
      </w:pPr>
      <w:r>
        <w:rPr>
          <w:rFonts w:hint="eastAsia"/>
          <w:color w:val="auto"/>
        </w:rPr>
        <w:t>17.6政府采购合同的其它附件。</w:t>
      </w:r>
      <w:bookmarkStart w:id="97" w:name="_Toc533340224"/>
      <w:bookmarkStart w:id="98" w:name="_Toc4485697"/>
    </w:p>
    <w:p>
      <w:pPr>
        <w:pStyle w:val="6"/>
        <w:rPr>
          <w:color w:val="auto"/>
        </w:rPr>
      </w:pPr>
      <w:r>
        <w:rPr>
          <w:rFonts w:hint="eastAsia"/>
          <w:color w:val="auto"/>
        </w:rPr>
        <w:br w:type="page"/>
      </w:r>
      <w:r>
        <w:rPr>
          <w:rFonts w:hint="eastAsia"/>
          <w:color w:val="auto"/>
        </w:rPr>
        <w:t>二、合同格式</w:t>
      </w:r>
      <w:bookmarkEnd w:id="97"/>
      <w:bookmarkEnd w:id="98"/>
    </w:p>
    <w:p>
      <w:pPr>
        <w:pStyle w:val="25"/>
        <w:rPr>
          <w:b/>
          <w:bCs/>
          <w:color w:val="auto"/>
        </w:rPr>
      </w:pPr>
      <w:r>
        <w:rPr>
          <w:rFonts w:hint="eastAsia"/>
          <w:b/>
          <w:bCs/>
          <w:color w:val="auto"/>
        </w:rPr>
        <w:t>政府采购合同格式</w:t>
      </w:r>
    </w:p>
    <w:p>
      <w:pPr>
        <w:pStyle w:val="2"/>
        <w:ind w:firstLine="0" w:firstLineChars="0"/>
        <w:rPr>
          <w:color w:val="auto"/>
        </w:rPr>
      </w:pPr>
      <w:r>
        <w:rPr>
          <w:rFonts w:hint="eastAsia"/>
          <w:color w:val="auto"/>
        </w:rPr>
        <w:t>政府采购合同编号：</w:t>
      </w:r>
    </w:p>
    <w:p>
      <w:pPr>
        <w:pStyle w:val="2"/>
        <w:ind w:firstLine="0" w:firstLineChars="0"/>
        <w:rPr>
          <w:color w:val="auto"/>
        </w:rPr>
      </w:pPr>
      <w:r>
        <w:rPr>
          <w:rFonts w:hint="eastAsia"/>
          <w:color w:val="auto"/>
        </w:rPr>
        <w:t>签订地点：</w:t>
      </w:r>
    </w:p>
    <w:p>
      <w:pPr>
        <w:pStyle w:val="2"/>
        <w:ind w:firstLine="480"/>
        <w:rPr>
          <w:color w:val="auto"/>
        </w:rPr>
      </w:pPr>
      <w:r>
        <w:rPr>
          <w:rFonts w:hint="eastAsia"/>
          <w:color w:val="auto"/>
          <w:u w:val="single"/>
        </w:rPr>
        <w:t xml:space="preserve">    (需方名称) </w:t>
      </w:r>
      <w:r>
        <w:rPr>
          <w:rFonts w:hint="eastAsia"/>
          <w:color w:val="auto"/>
        </w:rPr>
        <w:t>（以下简称需方）和</w:t>
      </w:r>
      <w:r>
        <w:rPr>
          <w:rFonts w:hint="eastAsia"/>
          <w:color w:val="auto"/>
          <w:u w:val="single"/>
        </w:rPr>
        <w:t xml:space="preserve">   (供方名称)     </w:t>
      </w:r>
      <w:r>
        <w:rPr>
          <w:rFonts w:hint="eastAsia"/>
          <w:color w:val="auto"/>
        </w:rPr>
        <w:t>（以下简称供方）根据《中华人民共和国民法典》和有关法律法规，遵循平等、自愿、公平和诚实信用原则，同意按照下面的条款和条件订立本政府采购合同，共同信守。</w:t>
      </w:r>
    </w:p>
    <w:p>
      <w:pPr>
        <w:pStyle w:val="7"/>
        <w:tabs>
          <w:tab w:val="left" w:pos="864"/>
        </w:tabs>
        <w:spacing w:before="120" w:after="120"/>
        <w:rPr>
          <w:color w:val="auto"/>
        </w:rPr>
      </w:pPr>
      <w:r>
        <w:rPr>
          <w:rFonts w:hint="eastAsia"/>
          <w:color w:val="auto"/>
        </w:rPr>
        <w:t>一、政府采购合同文件</w:t>
      </w:r>
    </w:p>
    <w:p>
      <w:pPr>
        <w:pStyle w:val="2"/>
        <w:ind w:firstLine="480"/>
        <w:rPr>
          <w:color w:val="auto"/>
        </w:rPr>
      </w:pPr>
      <w:r>
        <w:rPr>
          <w:rFonts w:hint="eastAsia"/>
          <w:color w:val="auto"/>
        </w:rPr>
        <w:t>本政府采购合同所附下列文件是构成本政府采购合同不可分割的部分：</w:t>
      </w:r>
    </w:p>
    <w:p>
      <w:pPr>
        <w:pStyle w:val="2"/>
        <w:ind w:firstLine="480"/>
        <w:rPr>
          <w:color w:val="auto"/>
        </w:rPr>
      </w:pPr>
      <w:r>
        <w:rPr>
          <w:rFonts w:hint="eastAsia"/>
          <w:color w:val="auto"/>
        </w:rPr>
        <w:t>1.采购文件（采购文件编号）；</w:t>
      </w:r>
    </w:p>
    <w:p>
      <w:pPr>
        <w:pStyle w:val="2"/>
        <w:ind w:firstLine="480"/>
        <w:rPr>
          <w:color w:val="auto"/>
        </w:rPr>
      </w:pPr>
      <w:r>
        <w:rPr>
          <w:rFonts w:hint="eastAsia"/>
          <w:color w:val="auto"/>
        </w:rPr>
        <w:t>2.采购文件的更正公告、变更公告；</w:t>
      </w:r>
    </w:p>
    <w:p>
      <w:pPr>
        <w:pStyle w:val="2"/>
        <w:ind w:firstLine="480"/>
        <w:rPr>
          <w:color w:val="auto"/>
        </w:rPr>
      </w:pPr>
      <w:r>
        <w:rPr>
          <w:rFonts w:hint="eastAsia"/>
          <w:color w:val="auto"/>
        </w:rPr>
        <w:t>3.成交供应商提交的响应文件；</w:t>
      </w:r>
    </w:p>
    <w:p>
      <w:pPr>
        <w:pStyle w:val="2"/>
        <w:ind w:firstLine="480"/>
        <w:rPr>
          <w:color w:val="auto"/>
        </w:rPr>
      </w:pPr>
      <w:r>
        <w:rPr>
          <w:rFonts w:hint="eastAsia"/>
          <w:color w:val="auto"/>
        </w:rPr>
        <w:t>4.政府采购合同条款；</w:t>
      </w:r>
    </w:p>
    <w:p>
      <w:pPr>
        <w:pStyle w:val="2"/>
        <w:ind w:firstLine="480"/>
        <w:rPr>
          <w:color w:val="auto"/>
        </w:rPr>
      </w:pPr>
      <w:r>
        <w:rPr>
          <w:rFonts w:hint="eastAsia"/>
          <w:color w:val="auto"/>
        </w:rPr>
        <w:t>5.成交通知书；</w:t>
      </w:r>
    </w:p>
    <w:p>
      <w:pPr>
        <w:pStyle w:val="2"/>
        <w:ind w:firstLine="480"/>
        <w:rPr>
          <w:color w:val="auto"/>
        </w:rPr>
      </w:pPr>
      <w:r>
        <w:rPr>
          <w:rFonts w:hint="eastAsia"/>
          <w:color w:val="auto"/>
        </w:rPr>
        <w:t>6.政府采购合同的其它附件。</w:t>
      </w:r>
    </w:p>
    <w:p>
      <w:pPr>
        <w:pStyle w:val="7"/>
        <w:tabs>
          <w:tab w:val="left" w:pos="864"/>
        </w:tabs>
        <w:spacing w:before="120" w:after="120"/>
        <w:rPr>
          <w:color w:val="auto"/>
        </w:rPr>
      </w:pPr>
      <w:r>
        <w:rPr>
          <w:rFonts w:hint="eastAsia"/>
          <w:color w:val="auto"/>
        </w:rPr>
        <w:t>二、政府采购合同范围和条件</w:t>
      </w:r>
    </w:p>
    <w:p>
      <w:pPr>
        <w:pStyle w:val="2"/>
        <w:ind w:firstLine="480"/>
        <w:rPr>
          <w:color w:val="auto"/>
        </w:rPr>
      </w:pPr>
      <w:r>
        <w:rPr>
          <w:rFonts w:hint="eastAsia"/>
          <w:color w:val="auto"/>
        </w:rPr>
        <w:t>本政府采购合同的范围和条件与上述政府采购合同文件的规定相一致。</w:t>
      </w:r>
    </w:p>
    <w:p>
      <w:pPr>
        <w:pStyle w:val="7"/>
        <w:tabs>
          <w:tab w:val="left" w:pos="864"/>
        </w:tabs>
        <w:spacing w:before="120" w:after="120"/>
        <w:rPr>
          <w:color w:val="auto"/>
        </w:rPr>
      </w:pPr>
      <w:r>
        <w:rPr>
          <w:rFonts w:hint="eastAsia"/>
          <w:color w:val="auto"/>
        </w:rPr>
        <w:t>三、政府采购合同标的</w:t>
      </w:r>
    </w:p>
    <w:p>
      <w:pPr>
        <w:pStyle w:val="2"/>
        <w:ind w:firstLine="480"/>
        <w:rPr>
          <w:color w:val="auto"/>
        </w:rPr>
      </w:pPr>
      <w:r>
        <w:rPr>
          <w:rFonts w:hint="eastAsia"/>
          <w:color w:val="auto"/>
        </w:rPr>
        <w:t>本政府采购合同的标的为采购文件中所列相关服务。</w:t>
      </w:r>
    </w:p>
    <w:p>
      <w:pPr>
        <w:pStyle w:val="7"/>
        <w:tabs>
          <w:tab w:val="left" w:pos="864"/>
        </w:tabs>
        <w:spacing w:before="120" w:after="120"/>
        <w:rPr>
          <w:color w:val="auto"/>
        </w:rPr>
      </w:pPr>
      <w:r>
        <w:rPr>
          <w:rFonts w:hint="eastAsia"/>
          <w:color w:val="auto"/>
        </w:rPr>
        <w:t>四、政府采购合同金额</w:t>
      </w:r>
    </w:p>
    <w:p>
      <w:pPr>
        <w:pStyle w:val="2"/>
        <w:ind w:firstLine="480"/>
        <w:rPr>
          <w:color w:val="auto"/>
        </w:rPr>
      </w:pPr>
      <w:r>
        <w:rPr>
          <w:rFonts w:hint="eastAsia"/>
          <w:color w:val="auto"/>
        </w:rPr>
        <w:t>根据上述政府采购合同文件要求，政府采购合同的总金额为人民币</w:t>
      </w:r>
      <w:r>
        <w:rPr>
          <w:rFonts w:hint="eastAsia"/>
          <w:color w:val="auto"/>
          <w:u w:val="single"/>
        </w:rPr>
        <w:t xml:space="preserve"> （大写）  </w:t>
      </w:r>
      <w:r>
        <w:rPr>
          <w:rFonts w:hint="eastAsia"/>
          <w:color w:val="auto"/>
        </w:rPr>
        <w:t>元。</w:t>
      </w:r>
    </w:p>
    <w:p>
      <w:pPr>
        <w:pStyle w:val="7"/>
        <w:tabs>
          <w:tab w:val="left" w:pos="864"/>
        </w:tabs>
        <w:spacing w:before="120" w:after="120"/>
        <w:rPr>
          <w:color w:val="auto"/>
        </w:rPr>
      </w:pPr>
      <w:r>
        <w:rPr>
          <w:rFonts w:hint="eastAsia"/>
          <w:color w:val="auto"/>
        </w:rPr>
        <w:t>五、付款方式及条件</w:t>
      </w:r>
    </w:p>
    <w:p>
      <w:pPr>
        <w:pStyle w:val="2"/>
        <w:ind w:firstLine="480"/>
        <w:rPr>
          <w:color w:val="auto"/>
          <w:u w:val="single"/>
        </w:rPr>
      </w:pPr>
      <w:r>
        <w:rPr>
          <w:rFonts w:hint="eastAsia"/>
          <w:color w:val="auto"/>
          <w:u w:val="single"/>
        </w:rPr>
        <w:t xml:space="preserve">                          </w:t>
      </w:r>
    </w:p>
    <w:p>
      <w:pPr>
        <w:pStyle w:val="7"/>
        <w:tabs>
          <w:tab w:val="left" w:pos="864"/>
        </w:tabs>
        <w:spacing w:before="120" w:after="120"/>
        <w:rPr>
          <w:color w:val="auto"/>
        </w:rPr>
      </w:pPr>
      <w:r>
        <w:rPr>
          <w:rFonts w:hint="eastAsia"/>
          <w:color w:val="auto"/>
        </w:rPr>
        <w:t>六、交付期和项目地点</w:t>
      </w:r>
    </w:p>
    <w:p>
      <w:pPr>
        <w:pStyle w:val="2"/>
        <w:ind w:firstLine="480"/>
        <w:rPr>
          <w:color w:val="auto"/>
        </w:rPr>
      </w:pPr>
      <w:r>
        <w:rPr>
          <w:rFonts w:hint="eastAsia"/>
          <w:color w:val="auto"/>
        </w:rPr>
        <w:t>1.交付期：</w:t>
      </w:r>
      <w:r>
        <w:rPr>
          <w:rFonts w:hint="eastAsia"/>
          <w:color w:val="auto"/>
          <w:u w:val="single"/>
        </w:rPr>
        <w:t xml:space="preserve">                      </w:t>
      </w:r>
    </w:p>
    <w:p>
      <w:pPr>
        <w:pStyle w:val="2"/>
        <w:ind w:firstLine="480"/>
        <w:rPr>
          <w:color w:val="auto"/>
        </w:rPr>
      </w:pPr>
      <w:r>
        <w:rPr>
          <w:rFonts w:hint="eastAsia"/>
          <w:color w:val="auto"/>
        </w:rPr>
        <w:t>2.项目地点：采购人指定地点</w:t>
      </w:r>
    </w:p>
    <w:p>
      <w:pPr>
        <w:pStyle w:val="2"/>
        <w:ind w:firstLine="0" w:firstLineChars="0"/>
        <w:rPr>
          <w:rStyle w:val="27"/>
          <w:color w:val="auto"/>
        </w:rPr>
      </w:pPr>
      <w:r>
        <w:rPr>
          <w:rStyle w:val="27"/>
          <w:rFonts w:hint="eastAsia"/>
          <w:color w:val="auto"/>
        </w:rPr>
        <w:t>七、验收要求</w:t>
      </w:r>
    </w:p>
    <w:p>
      <w:pPr>
        <w:pStyle w:val="2"/>
        <w:ind w:firstLine="480"/>
        <w:rPr>
          <w:color w:val="auto"/>
        </w:rPr>
      </w:pPr>
      <w:r>
        <w:rPr>
          <w:rFonts w:hint="eastAsia"/>
          <w:color w:val="auto"/>
        </w:rPr>
        <w:t>供方完全履行合同义务后，需方或需方的最终用户按照上述政府采购合同文件列明的标准进行验收，验收不合格的，供方需按照第八条的约定承担相应违约责任。</w:t>
      </w:r>
    </w:p>
    <w:p>
      <w:pPr>
        <w:pStyle w:val="7"/>
        <w:tabs>
          <w:tab w:val="left" w:pos="864"/>
        </w:tabs>
        <w:spacing w:before="120" w:after="120"/>
        <w:rPr>
          <w:color w:val="auto"/>
        </w:rPr>
      </w:pPr>
      <w:r>
        <w:rPr>
          <w:rFonts w:hint="eastAsia"/>
          <w:color w:val="auto"/>
        </w:rPr>
        <w:t>八、违约责任</w:t>
      </w:r>
    </w:p>
    <w:p>
      <w:pPr>
        <w:pStyle w:val="2"/>
        <w:ind w:firstLine="480"/>
        <w:rPr>
          <w:color w:val="auto"/>
        </w:rPr>
      </w:pPr>
      <w:r>
        <w:rPr>
          <w:rFonts w:hint="eastAsia"/>
          <w:color w:val="auto"/>
        </w:rPr>
        <w:t>1.供方逾期提供服务的，每逾期一天向需方支付合同金额</w:t>
      </w:r>
      <w:r>
        <w:rPr>
          <w:rFonts w:hint="eastAsia"/>
          <w:color w:val="auto"/>
          <w:u w:val="single"/>
        </w:rPr>
        <w:t xml:space="preserve">  </w:t>
      </w:r>
      <w:r>
        <w:rPr>
          <w:rFonts w:hint="eastAsia"/>
          <w:color w:val="auto"/>
        </w:rPr>
        <w:t>%的违约金，逾期</w:t>
      </w:r>
      <w:r>
        <w:rPr>
          <w:rFonts w:hint="eastAsia"/>
          <w:color w:val="auto"/>
          <w:u w:val="single"/>
        </w:rPr>
        <w:t xml:space="preserve">  </w:t>
      </w:r>
      <w:r>
        <w:rPr>
          <w:rFonts w:hint="eastAsia"/>
          <w:color w:val="auto"/>
        </w:rPr>
        <w:t>日的，需方有权单方面解除本协议。</w:t>
      </w:r>
    </w:p>
    <w:p>
      <w:pPr>
        <w:pStyle w:val="2"/>
        <w:ind w:firstLine="480"/>
        <w:rPr>
          <w:color w:val="auto"/>
        </w:rPr>
      </w:pPr>
      <w:r>
        <w:rPr>
          <w:rFonts w:hint="eastAsia"/>
          <w:color w:val="auto"/>
        </w:rPr>
        <w:t>2.供方提供的服务不符合约定的，需方有权向供方书面提出整改意见，供方需无条件整改至符合约定，自需方向供方提出书面意见之日起</w:t>
      </w:r>
      <w:r>
        <w:rPr>
          <w:rFonts w:hint="eastAsia"/>
          <w:color w:val="auto"/>
          <w:u w:val="single"/>
        </w:rPr>
        <w:t xml:space="preserve">  </w:t>
      </w:r>
      <w:r>
        <w:rPr>
          <w:rFonts w:hint="eastAsia"/>
          <w:color w:val="auto"/>
        </w:rPr>
        <w:t>日内，供方仍未整改或整改后服务仍不符合约定的，需方有权单方面解除本协议。</w:t>
      </w:r>
    </w:p>
    <w:p>
      <w:pPr>
        <w:pStyle w:val="2"/>
        <w:ind w:firstLine="480"/>
        <w:rPr>
          <w:color w:val="auto"/>
        </w:rPr>
      </w:pPr>
      <w:r>
        <w:rPr>
          <w:rFonts w:hint="eastAsia"/>
          <w:color w:val="auto"/>
        </w:rPr>
        <w:t>3.需方逾期付款的，每逾期一天向供方支付逾期金额</w:t>
      </w:r>
      <w:r>
        <w:rPr>
          <w:rFonts w:hint="eastAsia"/>
          <w:color w:val="auto"/>
          <w:u w:val="single"/>
        </w:rPr>
        <w:t xml:space="preserve">  </w:t>
      </w:r>
      <w:r>
        <w:rPr>
          <w:rFonts w:hint="eastAsia"/>
          <w:color w:val="auto"/>
        </w:rPr>
        <w:t>%的违约金，逾期</w:t>
      </w:r>
      <w:r>
        <w:rPr>
          <w:rFonts w:hint="eastAsia"/>
          <w:color w:val="auto"/>
          <w:u w:val="single"/>
        </w:rPr>
        <w:t xml:space="preserve">  </w:t>
      </w:r>
      <w:r>
        <w:rPr>
          <w:rFonts w:hint="eastAsia"/>
          <w:color w:val="auto"/>
        </w:rPr>
        <w:t>日的，供方有权单方面解除本协议。</w:t>
      </w:r>
    </w:p>
    <w:p>
      <w:pPr>
        <w:pStyle w:val="2"/>
        <w:ind w:firstLine="0" w:firstLineChars="0"/>
        <w:rPr>
          <w:b/>
          <w:bCs/>
          <w:color w:val="auto"/>
        </w:rPr>
      </w:pPr>
      <w:r>
        <w:rPr>
          <w:rFonts w:hint="eastAsia"/>
          <w:b/>
          <w:bCs/>
          <w:color w:val="auto"/>
        </w:rPr>
        <w:t>九、争议解决</w:t>
      </w:r>
    </w:p>
    <w:p>
      <w:pPr>
        <w:pStyle w:val="2"/>
        <w:ind w:firstLine="480"/>
        <w:rPr>
          <w:color w:val="auto"/>
        </w:rPr>
      </w:pPr>
      <w:r>
        <w:rPr>
          <w:rFonts w:hint="eastAsia"/>
          <w:color w:val="auto"/>
        </w:rPr>
        <w:t>双方因履行本协议而产生的争议，应友好协商解决，协商不成的，任何一方可向需方所在地的人民法院提起诉讼。</w:t>
      </w:r>
    </w:p>
    <w:p>
      <w:pPr>
        <w:pStyle w:val="2"/>
        <w:ind w:firstLine="0" w:firstLineChars="0"/>
        <w:rPr>
          <w:b/>
          <w:bCs/>
          <w:color w:val="auto"/>
        </w:rPr>
      </w:pPr>
      <w:r>
        <w:rPr>
          <w:rFonts w:hint="eastAsia"/>
          <w:b/>
          <w:bCs/>
          <w:color w:val="auto"/>
        </w:rPr>
        <w:t>十、合同生效</w:t>
      </w:r>
    </w:p>
    <w:p>
      <w:pPr>
        <w:pStyle w:val="2"/>
        <w:ind w:firstLine="480"/>
        <w:rPr>
          <w:color w:val="auto"/>
        </w:rPr>
      </w:pPr>
      <w:r>
        <w:rPr>
          <w:rFonts w:hint="eastAsia"/>
          <w:color w:val="auto"/>
        </w:rPr>
        <w:t>本政府采购合同经双方授权代表签字盖章后生效。</w:t>
      </w:r>
    </w:p>
    <w:p>
      <w:pPr>
        <w:adjustRightInd w:val="0"/>
        <w:snapToGrid w:val="0"/>
        <w:spacing w:line="360" w:lineRule="auto"/>
        <w:ind w:firstLine="420" w:firstLineChars="200"/>
        <w:jc w:val="left"/>
        <w:rPr>
          <w:rFonts w:hAnsi="宋体" w:cs="宋体"/>
          <w:color w:val="auto"/>
          <w:szCs w:val="21"/>
        </w:rPr>
      </w:pPr>
    </w:p>
    <w:p>
      <w:pPr>
        <w:adjustRightInd w:val="0"/>
        <w:snapToGrid w:val="0"/>
        <w:spacing w:line="360" w:lineRule="auto"/>
        <w:ind w:firstLine="420" w:firstLineChars="200"/>
        <w:jc w:val="left"/>
        <w:rPr>
          <w:rFonts w:hAnsi="宋体" w:cs="宋体"/>
          <w:color w:val="auto"/>
          <w:szCs w:val="21"/>
        </w:rPr>
      </w:pPr>
    </w:p>
    <w:p>
      <w:pPr>
        <w:pStyle w:val="2"/>
        <w:ind w:firstLine="480"/>
        <w:rPr>
          <w:color w:val="auto"/>
        </w:rPr>
      </w:pPr>
      <w:r>
        <w:rPr>
          <w:rFonts w:hint="eastAsia"/>
          <w:color w:val="auto"/>
        </w:rPr>
        <w:t>需方（公章）:                       供方(公章):</w:t>
      </w:r>
    </w:p>
    <w:p>
      <w:pPr>
        <w:pStyle w:val="2"/>
        <w:ind w:firstLine="480"/>
        <w:rPr>
          <w:color w:val="auto"/>
        </w:rPr>
      </w:pPr>
      <w:r>
        <w:rPr>
          <w:rFonts w:hint="eastAsia"/>
          <w:color w:val="auto"/>
        </w:rPr>
        <w:t>法定代表人或授权代表人(签字):       法定代表人或授权代表人(签字):</w:t>
      </w:r>
    </w:p>
    <w:p>
      <w:pPr>
        <w:pStyle w:val="2"/>
        <w:ind w:firstLine="480"/>
        <w:rPr>
          <w:color w:val="auto"/>
        </w:rPr>
      </w:pPr>
      <w:r>
        <w:rPr>
          <w:rFonts w:hint="eastAsia"/>
          <w:color w:val="auto"/>
        </w:rPr>
        <w:t>地址：                              地址：</w:t>
      </w:r>
    </w:p>
    <w:p>
      <w:pPr>
        <w:pStyle w:val="2"/>
        <w:ind w:firstLine="480"/>
        <w:rPr>
          <w:color w:val="auto"/>
        </w:rPr>
      </w:pPr>
      <w:r>
        <w:rPr>
          <w:rFonts w:hint="eastAsia"/>
          <w:color w:val="auto"/>
        </w:rPr>
        <w:t>联系人：                            联系人：</w:t>
      </w:r>
    </w:p>
    <w:p>
      <w:pPr>
        <w:pStyle w:val="2"/>
        <w:ind w:firstLine="480"/>
        <w:rPr>
          <w:color w:val="auto"/>
        </w:rPr>
      </w:pPr>
      <w:r>
        <w:rPr>
          <w:rFonts w:hint="eastAsia"/>
          <w:color w:val="auto"/>
        </w:rPr>
        <w:t>电话：                              电话：</w:t>
      </w:r>
    </w:p>
    <w:p>
      <w:pPr>
        <w:pStyle w:val="2"/>
        <w:ind w:firstLine="480"/>
        <w:rPr>
          <w:color w:val="auto"/>
        </w:rPr>
      </w:pPr>
      <w:r>
        <w:rPr>
          <w:rFonts w:hint="eastAsia"/>
          <w:color w:val="auto"/>
        </w:rPr>
        <w:t>传真：                              传真：</w:t>
      </w:r>
    </w:p>
    <w:p>
      <w:pPr>
        <w:pStyle w:val="2"/>
        <w:ind w:firstLine="480"/>
        <w:rPr>
          <w:rFonts w:hint="eastAsia"/>
          <w:color w:val="auto"/>
        </w:rPr>
      </w:pPr>
      <w:r>
        <w:rPr>
          <w:rFonts w:hint="eastAsia"/>
          <w:color w:val="auto"/>
        </w:rPr>
        <w:t>邮编：                              邮编：</w:t>
      </w:r>
    </w:p>
    <w:p>
      <w:pPr>
        <w:pStyle w:val="2"/>
        <w:ind w:firstLine="480"/>
        <w:rPr>
          <w:rFonts w:hint="eastAsia"/>
          <w:b/>
          <w:bCs/>
          <w:color w:val="auto"/>
          <w:sz w:val="28"/>
          <w:szCs w:val="28"/>
        </w:rPr>
      </w:pPr>
      <w:r>
        <w:rPr>
          <w:rFonts w:hint="eastAsia"/>
          <w:color w:val="auto"/>
        </w:rPr>
        <w:t>日期：      年      月      日      日期：       年      月     日</w:t>
      </w:r>
    </w:p>
    <w:p>
      <w:pPr>
        <w:pStyle w:val="4"/>
        <w:rPr>
          <w:rFonts w:hint="eastAsia" w:cs="宋体"/>
          <w:color w:val="auto"/>
        </w:rPr>
      </w:pPr>
      <w:bookmarkStart w:id="99" w:name="_Toc19872"/>
      <w:r>
        <w:rPr>
          <w:rFonts w:hint="eastAsia" w:cs="宋体"/>
          <w:color w:val="auto"/>
        </w:rPr>
        <w:t xml:space="preserve">第五章  </w:t>
      </w:r>
      <w:bookmarkEnd w:id="83"/>
      <w:bookmarkEnd w:id="84"/>
      <w:bookmarkEnd w:id="85"/>
      <w:bookmarkEnd w:id="86"/>
      <w:bookmarkEnd w:id="87"/>
      <w:bookmarkEnd w:id="88"/>
      <w:r>
        <w:rPr>
          <w:rFonts w:hint="eastAsia" w:cs="宋体"/>
          <w:color w:val="auto"/>
        </w:rPr>
        <w:t>竞争性磋商响应文件格式</w:t>
      </w:r>
      <w:bookmarkEnd w:id="99"/>
    </w:p>
    <w:bookmarkEnd w:id="89"/>
    <w:bookmarkEnd w:id="90"/>
    <w:bookmarkEnd w:id="91"/>
    <w:bookmarkEnd w:id="92"/>
    <w:bookmarkEnd w:id="93"/>
    <w:bookmarkEnd w:id="94"/>
    <w:bookmarkEnd w:id="95"/>
    <w:p>
      <w:pPr>
        <w:spacing w:line="336" w:lineRule="auto"/>
        <w:jc w:val="right"/>
        <w:rPr>
          <w:rFonts w:hint="eastAsia" w:ascii="宋体" w:hAnsi="宋体" w:cs="宋体"/>
          <w:b/>
          <w:color w:val="auto"/>
          <w:sz w:val="32"/>
          <w:szCs w:val="32"/>
        </w:rPr>
      </w:pPr>
      <w:bookmarkStart w:id="100" w:name="_Toc30434"/>
      <w:bookmarkStart w:id="101" w:name="_Toc246928962"/>
      <w:bookmarkStart w:id="102" w:name="_Toc497546922"/>
      <w:bookmarkStart w:id="103" w:name="_Toc389620244"/>
      <w:bookmarkStart w:id="104" w:name="_Toc128557264"/>
      <w:bookmarkStart w:id="105" w:name="_Toc497551824"/>
      <w:bookmarkStart w:id="106" w:name="_Toc385992404"/>
      <w:bookmarkStart w:id="107" w:name="_Toc492955463"/>
      <w:bookmarkStart w:id="108" w:name="_Toc497712137"/>
      <w:bookmarkStart w:id="109" w:name="_Toc246928961"/>
      <w:bookmarkStart w:id="110" w:name="_Toc497711589"/>
      <w:r>
        <w:rPr>
          <w:rFonts w:hint="eastAsia" w:ascii="宋体" w:hAnsi="宋体" w:cs="宋体"/>
          <w:b/>
          <w:color w:val="auto"/>
          <w:sz w:val="32"/>
          <w:szCs w:val="32"/>
        </w:rPr>
        <w:t xml:space="preserve">          </w:t>
      </w:r>
      <w:bookmarkEnd w:id="100"/>
      <w:r>
        <w:rPr>
          <w:rFonts w:hint="eastAsia" w:ascii="宋体" w:hAnsi="宋体" w:cs="宋体"/>
          <w:b/>
          <w:color w:val="auto"/>
          <w:sz w:val="32"/>
          <w:szCs w:val="32"/>
        </w:rPr>
        <w:t xml:space="preserve">                     </w:t>
      </w:r>
      <w:r>
        <w:rPr>
          <w:rFonts w:hint="eastAsia" w:ascii="宋体" w:hAnsi="宋体" w:cs="宋体"/>
          <w:b/>
          <w:color w:val="auto"/>
          <w:kern w:val="0"/>
          <w:sz w:val="32"/>
          <w:szCs w:val="32"/>
          <w:bdr w:val="single" w:color="auto" w:sz="4" w:space="0"/>
        </w:rPr>
        <w:t>正/副本</w:t>
      </w:r>
    </w:p>
    <w:p>
      <w:pPr>
        <w:spacing w:line="336" w:lineRule="auto"/>
        <w:jc w:val="center"/>
        <w:rPr>
          <w:rFonts w:hint="eastAsia" w:ascii="宋体" w:hAnsi="宋体" w:cs="宋体"/>
          <w:b/>
          <w:color w:val="auto"/>
          <w:sz w:val="32"/>
          <w:szCs w:val="32"/>
        </w:rPr>
      </w:pPr>
    </w:p>
    <w:p>
      <w:pPr>
        <w:spacing w:line="336" w:lineRule="auto"/>
        <w:jc w:val="center"/>
        <w:rPr>
          <w:rFonts w:hint="eastAsia" w:ascii="宋体" w:hAnsi="宋体" w:cs="宋体"/>
          <w:b/>
          <w:color w:val="auto"/>
          <w:sz w:val="52"/>
          <w:szCs w:val="52"/>
        </w:rPr>
      </w:pPr>
      <w:r>
        <w:rPr>
          <w:rFonts w:hint="eastAsia" w:ascii="宋体" w:hAnsi="宋体" w:cs="宋体"/>
          <w:b/>
          <w:color w:val="auto"/>
          <w:sz w:val="52"/>
          <w:szCs w:val="52"/>
        </w:rPr>
        <w:t>XXXX项目</w:t>
      </w:r>
    </w:p>
    <w:p>
      <w:pPr>
        <w:pStyle w:val="10"/>
        <w:jc w:val="center"/>
        <w:rPr>
          <w:rFonts w:hint="eastAsia" w:ascii="宋体" w:hAnsi="宋体" w:cs="宋体"/>
          <w:color w:val="auto"/>
          <w:sz w:val="36"/>
          <w:szCs w:val="36"/>
        </w:rPr>
      </w:pPr>
    </w:p>
    <w:p>
      <w:pPr>
        <w:spacing w:line="336" w:lineRule="auto"/>
        <w:jc w:val="center"/>
        <w:rPr>
          <w:rFonts w:hint="eastAsia" w:ascii="宋体" w:hAnsi="宋体" w:cs="宋体"/>
          <w:b/>
          <w:color w:val="auto"/>
          <w:sz w:val="32"/>
          <w:szCs w:val="32"/>
        </w:rPr>
      </w:pPr>
    </w:p>
    <w:p>
      <w:pPr>
        <w:spacing w:line="336" w:lineRule="auto"/>
        <w:jc w:val="center"/>
        <w:rPr>
          <w:rFonts w:hint="eastAsia" w:ascii="宋体" w:hAnsi="宋体" w:cs="宋体"/>
          <w:b/>
          <w:color w:val="auto"/>
          <w:sz w:val="84"/>
          <w:szCs w:val="84"/>
        </w:rPr>
      </w:pPr>
      <w:r>
        <w:rPr>
          <w:rFonts w:hint="eastAsia" w:ascii="宋体" w:hAnsi="宋体" w:cs="宋体"/>
          <w:b/>
          <w:color w:val="auto"/>
          <w:sz w:val="84"/>
          <w:szCs w:val="84"/>
        </w:rPr>
        <w:t xml:space="preserve">竞争性磋商响应文件 </w:t>
      </w:r>
    </w:p>
    <w:p>
      <w:pPr>
        <w:spacing w:line="336" w:lineRule="auto"/>
        <w:rPr>
          <w:rFonts w:hint="eastAsia" w:ascii="宋体" w:hAnsi="宋体" w:cs="宋体"/>
          <w:b/>
          <w:color w:val="auto"/>
          <w:sz w:val="32"/>
          <w:szCs w:val="32"/>
        </w:rPr>
      </w:pPr>
    </w:p>
    <w:p>
      <w:pPr>
        <w:spacing w:line="336" w:lineRule="auto"/>
        <w:jc w:val="center"/>
        <w:rPr>
          <w:rFonts w:hint="eastAsia" w:ascii="宋体" w:hAnsi="宋体" w:cs="宋体"/>
          <w:b/>
          <w:color w:val="auto"/>
          <w:sz w:val="32"/>
          <w:szCs w:val="32"/>
        </w:rPr>
      </w:pPr>
      <w:r>
        <w:rPr>
          <w:rFonts w:hint="eastAsia" w:ascii="宋体" w:hAnsi="宋体" w:cs="宋体"/>
          <w:b/>
          <w:color w:val="auto"/>
          <w:sz w:val="32"/>
          <w:szCs w:val="32"/>
        </w:rPr>
        <w:t>项目编号：ZHZB-2022-CS-XXXX</w:t>
      </w:r>
    </w:p>
    <w:p>
      <w:pPr>
        <w:spacing w:line="336" w:lineRule="auto"/>
        <w:ind w:firstLine="1446" w:firstLineChars="450"/>
        <w:jc w:val="center"/>
        <w:rPr>
          <w:rFonts w:hint="eastAsia" w:ascii="宋体" w:hAnsi="宋体" w:cs="宋体"/>
          <w:b/>
          <w:color w:val="auto"/>
          <w:sz w:val="32"/>
          <w:szCs w:val="32"/>
        </w:rPr>
      </w:pPr>
    </w:p>
    <w:p>
      <w:pPr>
        <w:pStyle w:val="10"/>
        <w:rPr>
          <w:rFonts w:hint="eastAsia" w:ascii="宋体" w:hAnsi="宋体" w:cs="宋体"/>
          <w:b w:val="0"/>
          <w:color w:val="auto"/>
          <w:sz w:val="32"/>
          <w:szCs w:val="32"/>
        </w:rPr>
      </w:pPr>
    </w:p>
    <w:p>
      <w:pPr>
        <w:rPr>
          <w:rFonts w:hint="eastAsia"/>
          <w:color w:val="auto"/>
        </w:rPr>
      </w:pPr>
    </w:p>
    <w:p>
      <w:pPr>
        <w:spacing w:line="336" w:lineRule="auto"/>
        <w:ind w:firstLine="1446" w:firstLineChars="450"/>
        <w:rPr>
          <w:rFonts w:hint="eastAsia" w:ascii="宋体" w:hAnsi="宋体" w:cs="宋体"/>
          <w:b/>
          <w:color w:val="auto"/>
          <w:sz w:val="32"/>
          <w:szCs w:val="32"/>
        </w:rPr>
      </w:pPr>
    </w:p>
    <w:p>
      <w:pPr>
        <w:spacing w:line="336" w:lineRule="auto"/>
        <w:ind w:firstLine="1446" w:firstLineChars="450"/>
        <w:rPr>
          <w:rFonts w:hint="eastAsia" w:ascii="宋体" w:hAnsi="宋体" w:cs="宋体"/>
          <w:b/>
          <w:color w:val="auto"/>
          <w:sz w:val="32"/>
          <w:szCs w:val="32"/>
        </w:rPr>
      </w:pPr>
    </w:p>
    <w:p>
      <w:pPr>
        <w:spacing w:line="336" w:lineRule="auto"/>
        <w:ind w:firstLine="1446" w:firstLineChars="450"/>
        <w:rPr>
          <w:rFonts w:hint="eastAsia" w:ascii="宋体" w:hAnsi="宋体" w:cs="宋体"/>
          <w:b/>
          <w:color w:val="auto"/>
          <w:sz w:val="32"/>
          <w:szCs w:val="32"/>
        </w:rPr>
      </w:pPr>
    </w:p>
    <w:p>
      <w:pPr>
        <w:spacing w:line="336" w:lineRule="auto"/>
        <w:ind w:firstLine="1446" w:firstLineChars="450"/>
        <w:rPr>
          <w:rFonts w:hint="eastAsia" w:ascii="宋体" w:hAnsi="宋体" w:cs="宋体"/>
          <w:b/>
          <w:color w:val="auto"/>
          <w:sz w:val="32"/>
          <w:szCs w:val="32"/>
        </w:rPr>
      </w:pPr>
    </w:p>
    <w:p>
      <w:pPr>
        <w:spacing w:line="336" w:lineRule="auto"/>
        <w:ind w:firstLine="1446" w:firstLineChars="450"/>
        <w:rPr>
          <w:rFonts w:hint="eastAsia" w:ascii="宋体" w:hAnsi="宋体" w:cs="宋体"/>
          <w:b/>
          <w:color w:val="auto"/>
          <w:sz w:val="32"/>
          <w:szCs w:val="32"/>
        </w:rPr>
      </w:pPr>
    </w:p>
    <w:p>
      <w:pPr>
        <w:spacing w:line="336" w:lineRule="auto"/>
        <w:ind w:firstLine="964" w:firstLineChars="300"/>
        <w:rPr>
          <w:rFonts w:hint="eastAsia" w:ascii="宋体" w:hAnsi="宋体" w:cs="宋体"/>
          <w:b/>
          <w:color w:val="auto"/>
          <w:sz w:val="32"/>
          <w:szCs w:val="32"/>
        </w:rPr>
      </w:pPr>
      <w:r>
        <w:rPr>
          <w:rFonts w:hint="eastAsia" w:ascii="宋体" w:hAnsi="宋体" w:cs="宋体"/>
          <w:b/>
          <w:color w:val="auto"/>
          <w:sz w:val="32"/>
          <w:szCs w:val="32"/>
        </w:rPr>
        <w:t>供应商：</w:t>
      </w:r>
      <w:r>
        <w:rPr>
          <w:rFonts w:hint="eastAsia" w:ascii="宋体" w:hAnsi="宋体" w:cs="宋体"/>
          <w:b/>
          <w:color w:val="auto"/>
          <w:sz w:val="32"/>
          <w:szCs w:val="32"/>
          <w:u w:val="single"/>
        </w:rPr>
        <w:t xml:space="preserve">                         </w:t>
      </w:r>
      <w:r>
        <w:rPr>
          <w:rFonts w:hint="eastAsia" w:ascii="宋体" w:hAnsi="宋体" w:cs="宋体"/>
          <w:b/>
          <w:color w:val="auto"/>
          <w:sz w:val="32"/>
          <w:szCs w:val="32"/>
        </w:rPr>
        <w:t>（盖章）</w:t>
      </w:r>
    </w:p>
    <w:p>
      <w:pPr>
        <w:pStyle w:val="2"/>
        <w:spacing w:before="120" w:beforeLines="50"/>
        <w:ind w:firstLine="964" w:firstLineChars="300"/>
        <w:rPr>
          <w:rFonts w:hint="eastAsia" w:cs="宋体"/>
          <w:b/>
          <w:color w:val="auto"/>
          <w:sz w:val="32"/>
          <w:szCs w:val="32"/>
        </w:rPr>
      </w:pPr>
      <w:r>
        <w:rPr>
          <w:rFonts w:hint="eastAsia" w:cs="宋体"/>
          <w:b/>
          <w:color w:val="auto"/>
          <w:sz w:val="32"/>
          <w:szCs w:val="32"/>
        </w:rPr>
        <w:t>法定代表人或被授权代表：</w:t>
      </w:r>
      <w:r>
        <w:rPr>
          <w:rFonts w:hint="eastAsia" w:cs="宋体"/>
          <w:b/>
          <w:color w:val="auto"/>
          <w:sz w:val="32"/>
          <w:szCs w:val="32"/>
          <w:u w:val="single"/>
        </w:rPr>
        <w:t xml:space="preserve">      </w:t>
      </w:r>
      <w:r>
        <w:rPr>
          <w:rFonts w:hint="eastAsia" w:cs="宋体"/>
          <w:b/>
          <w:color w:val="auto"/>
          <w:sz w:val="32"/>
          <w:szCs w:val="32"/>
        </w:rPr>
        <w:t>（签字或盖章）</w:t>
      </w:r>
    </w:p>
    <w:p>
      <w:pPr>
        <w:spacing w:line="336" w:lineRule="auto"/>
        <w:jc w:val="center"/>
        <w:rPr>
          <w:rFonts w:hint="eastAsia" w:ascii="宋体" w:hAnsi="宋体" w:cs="宋体"/>
          <w:b/>
          <w:color w:val="auto"/>
          <w:sz w:val="32"/>
          <w:szCs w:val="32"/>
        </w:rPr>
      </w:pPr>
      <w:r>
        <w:rPr>
          <w:rFonts w:hint="eastAsia" w:ascii="宋体" w:hAnsi="宋体" w:cs="宋体"/>
          <w:b/>
          <w:color w:val="auto"/>
          <w:sz w:val="32"/>
          <w:szCs w:val="32"/>
          <w:u w:val="single"/>
        </w:rPr>
        <w:t xml:space="preserve">   </w:t>
      </w:r>
      <w:r>
        <w:rPr>
          <w:rFonts w:hint="eastAsia" w:ascii="宋体" w:hAnsi="宋体" w:cs="宋体"/>
          <w:b/>
          <w:color w:val="auto"/>
          <w:sz w:val="32"/>
          <w:szCs w:val="32"/>
        </w:rPr>
        <w:t>年</w:t>
      </w:r>
      <w:r>
        <w:rPr>
          <w:rFonts w:hint="eastAsia" w:ascii="宋体" w:hAnsi="宋体" w:cs="宋体"/>
          <w:b/>
          <w:color w:val="auto"/>
          <w:sz w:val="32"/>
          <w:szCs w:val="32"/>
          <w:u w:val="single"/>
        </w:rPr>
        <w:t xml:space="preserve">   </w:t>
      </w:r>
      <w:r>
        <w:rPr>
          <w:rFonts w:hint="eastAsia" w:ascii="宋体" w:hAnsi="宋体" w:cs="宋体"/>
          <w:b/>
          <w:color w:val="auto"/>
          <w:sz w:val="32"/>
          <w:szCs w:val="32"/>
        </w:rPr>
        <w:t>月</w:t>
      </w:r>
      <w:bookmarkStart w:id="111" w:name="_Toc21305"/>
      <w:bookmarkStart w:id="112" w:name="_Toc357087380"/>
      <w:r>
        <w:rPr>
          <w:rFonts w:hint="eastAsia" w:ascii="宋体" w:hAnsi="宋体" w:cs="宋体"/>
          <w:b/>
          <w:color w:val="auto"/>
          <w:sz w:val="32"/>
          <w:szCs w:val="32"/>
          <w:u w:val="single"/>
        </w:rPr>
        <w:t xml:space="preserve">   </w:t>
      </w:r>
      <w:r>
        <w:rPr>
          <w:rFonts w:hint="eastAsia" w:ascii="宋体" w:hAnsi="宋体" w:cs="宋体"/>
          <w:b/>
          <w:color w:val="auto"/>
          <w:sz w:val="32"/>
          <w:szCs w:val="32"/>
        </w:rPr>
        <w:t>日</w:t>
      </w:r>
    </w:p>
    <w:p>
      <w:pPr>
        <w:pStyle w:val="10"/>
        <w:rPr>
          <w:rFonts w:hint="eastAsia" w:ascii="宋体" w:hAnsi="宋体" w:cs="宋体"/>
          <w:color w:val="auto"/>
          <w:sz w:val="32"/>
          <w:szCs w:val="32"/>
        </w:rPr>
      </w:pPr>
    </w:p>
    <w:p>
      <w:pPr>
        <w:spacing w:line="360" w:lineRule="atLeast"/>
        <w:jc w:val="center"/>
        <w:rPr>
          <w:rFonts w:hint="eastAsia" w:ascii="宋体" w:hAnsi="宋体" w:cs="宋体"/>
          <w:b/>
          <w:color w:val="auto"/>
          <w:sz w:val="44"/>
          <w:szCs w:val="44"/>
        </w:rPr>
      </w:pPr>
      <w:r>
        <w:rPr>
          <w:rFonts w:hint="eastAsia" w:ascii="宋体" w:hAnsi="宋体" w:cs="宋体"/>
          <w:color w:val="auto"/>
        </w:rPr>
        <w:br w:type="page"/>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cs="宋体"/>
          <w:b/>
          <w:color w:val="auto"/>
          <w:sz w:val="44"/>
          <w:szCs w:val="44"/>
        </w:rPr>
        <w:t>目    录</w:t>
      </w:r>
    </w:p>
    <w:p>
      <w:pPr>
        <w:spacing w:line="360" w:lineRule="atLeast"/>
        <w:rPr>
          <w:rFonts w:hint="eastAsia" w:ascii="宋体" w:hAnsi="宋体" w:cs="宋体"/>
          <w:color w:val="auto"/>
        </w:rPr>
      </w:pPr>
    </w:p>
    <w:p>
      <w:pPr>
        <w:spacing w:line="360" w:lineRule="atLeast"/>
        <w:rPr>
          <w:rFonts w:hint="eastAsia" w:ascii="宋体" w:hAnsi="宋体" w:cs="宋体"/>
          <w:color w:val="auto"/>
        </w:rPr>
      </w:pPr>
    </w:p>
    <w:p>
      <w:pPr>
        <w:pStyle w:val="12"/>
        <w:spacing w:line="500" w:lineRule="exact"/>
        <w:ind w:firstLine="602" w:firstLineChars="200"/>
        <w:rPr>
          <w:rFonts w:hint="eastAsia" w:hAnsi="宋体" w:cs="宋体"/>
          <w:b/>
          <w:bCs/>
          <w:color w:val="auto"/>
          <w:sz w:val="30"/>
          <w:szCs w:val="30"/>
        </w:rPr>
      </w:pPr>
      <w:r>
        <w:rPr>
          <w:rFonts w:hint="eastAsia" w:hAnsi="宋体" w:cs="宋体"/>
          <w:b/>
          <w:bCs/>
          <w:color w:val="auto"/>
          <w:sz w:val="30"/>
          <w:szCs w:val="30"/>
        </w:rPr>
        <w:t>一、响应函</w:t>
      </w:r>
    </w:p>
    <w:p>
      <w:pPr>
        <w:pStyle w:val="12"/>
        <w:spacing w:line="500" w:lineRule="exact"/>
        <w:rPr>
          <w:rFonts w:hint="eastAsia" w:hAnsi="宋体" w:cs="宋体"/>
          <w:b/>
          <w:bCs/>
          <w:color w:val="auto"/>
          <w:sz w:val="30"/>
          <w:szCs w:val="30"/>
        </w:rPr>
      </w:pPr>
    </w:p>
    <w:p>
      <w:pPr>
        <w:spacing w:line="360" w:lineRule="atLeast"/>
        <w:ind w:firstLine="602" w:firstLineChars="200"/>
        <w:rPr>
          <w:rFonts w:hint="eastAsia" w:ascii="宋体" w:hAnsi="宋体" w:cs="宋体"/>
          <w:b/>
          <w:color w:val="auto"/>
          <w:sz w:val="30"/>
          <w:szCs w:val="30"/>
        </w:rPr>
      </w:pPr>
      <w:r>
        <w:rPr>
          <w:rFonts w:hint="eastAsia" w:ascii="宋体" w:hAnsi="宋体" w:cs="宋体"/>
          <w:b/>
          <w:color w:val="auto"/>
          <w:sz w:val="30"/>
          <w:szCs w:val="30"/>
        </w:rPr>
        <w:t>二、响应报价表</w:t>
      </w:r>
    </w:p>
    <w:p>
      <w:pPr>
        <w:pStyle w:val="12"/>
        <w:spacing w:line="500" w:lineRule="exact"/>
        <w:rPr>
          <w:rFonts w:hint="eastAsia" w:hAnsi="宋体" w:cs="宋体"/>
          <w:b/>
          <w:color w:val="auto"/>
          <w:sz w:val="30"/>
          <w:szCs w:val="30"/>
        </w:rPr>
      </w:pPr>
    </w:p>
    <w:p>
      <w:pPr>
        <w:pStyle w:val="12"/>
        <w:spacing w:line="500" w:lineRule="exact"/>
        <w:ind w:firstLine="602" w:firstLineChars="200"/>
        <w:rPr>
          <w:rFonts w:hint="eastAsia" w:hAnsi="宋体" w:cs="宋体"/>
          <w:b/>
          <w:color w:val="auto"/>
          <w:sz w:val="30"/>
          <w:szCs w:val="30"/>
        </w:rPr>
      </w:pPr>
      <w:r>
        <w:rPr>
          <w:rFonts w:hint="eastAsia" w:hAnsi="宋体" w:cs="宋体"/>
          <w:b/>
          <w:bCs/>
          <w:color w:val="auto"/>
          <w:sz w:val="30"/>
          <w:szCs w:val="30"/>
        </w:rPr>
        <w:t>三、</w:t>
      </w:r>
      <w:r>
        <w:rPr>
          <w:rFonts w:hint="eastAsia" w:hAnsi="宋体" w:cs="宋体"/>
          <w:b/>
          <w:color w:val="auto"/>
          <w:sz w:val="30"/>
          <w:szCs w:val="30"/>
        </w:rPr>
        <w:t>响应方案说明</w:t>
      </w:r>
    </w:p>
    <w:p>
      <w:pPr>
        <w:pStyle w:val="12"/>
        <w:spacing w:line="500" w:lineRule="exact"/>
        <w:rPr>
          <w:rFonts w:hint="eastAsia" w:hAnsi="宋体" w:cs="宋体"/>
          <w:b/>
          <w:bCs/>
          <w:color w:val="auto"/>
          <w:sz w:val="30"/>
          <w:szCs w:val="30"/>
        </w:rPr>
      </w:pPr>
    </w:p>
    <w:p>
      <w:pPr>
        <w:pStyle w:val="12"/>
        <w:spacing w:line="500" w:lineRule="exact"/>
        <w:ind w:firstLine="602" w:firstLineChars="200"/>
        <w:rPr>
          <w:rFonts w:hAnsi="宋体" w:cs="宋体"/>
          <w:b/>
          <w:bCs/>
          <w:color w:val="auto"/>
          <w:sz w:val="30"/>
          <w:szCs w:val="30"/>
        </w:rPr>
      </w:pPr>
      <w:r>
        <w:rPr>
          <w:rFonts w:hint="eastAsia" w:hAnsi="宋体" w:cs="宋体"/>
          <w:b/>
          <w:bCs/>
          <w:color w:val="auto"/>
          <w:sz w:val="30"/>
          <w:szCs w:val="30"/>
        </w:rPr>
        <w:t>四、商务响应偏离表</w:t>
      </w:r>
    </w:p>
    <w:p>
      <w:pPr>
        <w:pStyle w:val="12"/>
        <w:spacing w:line="500" w:lineRule="exact"/>
        <w:rPr>
          <w:rFonts w:hint="eastAsia" w:hAnsi="宋体" w:cs="宋体"/>
          <w:b/>
          <w:bCs/>
          <w:color w:val="auto"/>
          <w:sz w:val="30"/>
          <w:szCs w:val="30"/>
        </w:rPr>
      </w:pPr>
    </w:p>
    <w:p>
      <w:pPr>
        <w:pStyle w:val="12"/>
        <w:spacing w:line="500" w:lineRule="exact"/>
        <w:ind w:firstLine="602" w:firstLineChars="200"/>
        <w:rPr>
          <w:rFonts w:hint="eastAsia" w:hAnsi="宋体" w:cs="宋体"/>
          <w:b/>
          <w:bCs/>
          <w:color w:val="auto"/>
          <w:sz w:val="30"/>
          <w:szCs w:val="30"/>
        </w:rPr>
      </w:pPr>
      <w:r>
        <w:rPr>
          <w:rFonts w:hint="eastAsia" w:hAnsi="宋体" w:cs="宋体"/>
          <w:b/>
          <w:bCs/>
          <w:color w:val="auto"/>
          <w:sz w:val="30"/>
          <w:szCs w:val="30"/>
          <w:lang w:val="en-US" w:eastAsia="zh-CN"/>
        </w:rPr>
        <w:t>五</w:t>
      </w:r>
      <w:r>
        <w:rPr>
          <w:rFonts w:hint="eastAsia" w:hAnsi="宋体" w:cs="宋体"/>
          <w:b/>
          <w:bCs/>
          <w:color w:val="auto"/>
          <w:sz w:val="30"/>
          <w:szCs w:val="30"/>
        </w:rPr>
        <w:t>、资</w:t>
      </w:r>
      <w:r>
        <w:rPr>
          <w:rFonts w:hint="eastAsia" w:hAnsi="宋体" w:cs="宋体"/>
          <w:b/>
          <w:bCs/>
          <w:color w:val="auto"/>
          <w:sz w:val="30"/>
          <w:szCs w:val="30"/>
          <w:lang w:val="en-US" w:eastAsia="zh-CN"/>
        </w:rPr>
        <w:t>格</w:t>
      </w:r>
      <w:r>
        <w:rPr>
          <w:rFonts w:hint="eastAsia" w:hAnsi="宋体" w:cs="宋体"/>
          <w:b/>
          <w:bCs/>
          <w:color w:val="auto"/>
          <w:sz w:val="30"/>
          <w:szCs w:val="30"/>
        </w:rPr>
        <w:t>证明文件</w:t>
      </w:r>
    </w:p>
    <w:p>
      <w:pPr>
        <w:spacing w:line="500" w:lineRule="exact"/>
        <w:rPr>
          <w:rFonts w:hint="eastAsia" w:ascii="宋体" w:hAnsi="宋体" w:cs="宋体"/>
          <w:b/>
          <w:bCs/>
          <w:color w:val="auto"/>
          <w:sz w:val="30"/>
          <w:szCs w:val="30"/>
        </w:rPr>
      </w:pPr>
    </w:p>
    <w:p>
      <w:pPr>
        <w:spacing w:line="500" w:lineRule="exact"/>
        <w:ind w:firstLine="602" w:firstLineChars="200"/>
        <w:rPr>
          <w:rFonts w:hint="eastAsia" w:ascii="宋体" w:hAnsi="宋体" w:cs="宋体"/>
          <w:b/>
          <w:color w:val="auto"/>
          <w:sz w:val="30"/>
          <w:szCs w:val="30"/>
        </w:rPr>
      </w:pPr>
      <w:r>
        <w:rPr>
          <w:rFonts w:hint="eastAsia" w:ascii="宋体" w:hAnsi="宋体" w:cs="宋体"/>
          <w:b/>
          <w:bCs/>
          <w:color w:val="auto"/>
          <w:sz w:val="30"/>
          <w:szCs w:val="30"/>
          <w:lang w:val="en-US" w:eastAsia="zh-CN"/>
        </w:rPr>
        <w:t>六</w:t>
      </w:r>
      <w:r>
        <w:rPr>
          <w:rFonts w:hint="eastAsia" w:ascii="宋体" w:hAnsi="宋体" w:cs="宋体"/>
          <w:b/>
          <w:bCs/>
          <w:color w:val="auto"/>
          <w:sz w:val="30"/>
          <w:szCs w:val="30"/>
        </w:rPr>
        <w:t>、供应商承诺书</w:t>
      </w:r>
    </w:p>
    <w:p>
      <w:pPr>
        <w:spacing w:line="500" w:lineRule="exact"/>
        <w:rPr>
          <w:rFonts w:hint="eastAsia" w:ascii="宋体" w:hAnsi="宋体" w:cs="宋体"/>
          <w:b/>
          <w:color w:val="auto"/>
          <w:sz w:val="30"/>
          <w:szCs w:val="30"/>
        </w:rPr>
      </w:pPr>
    </w:p>
    <w:p>
      <w:pPr>
        <w:spacing w:line="500" w:lineRule="exact"/>
        <w:ind w:firstLine="2259" w:firstLineChars="750"/>
        <w:rPr>
          <w:rFonts w:hint="eastAsia" w:ascii="宋体" w:hAnsi="宋体" w:cs="宋体"/>
          <w:b/>
          <w:bCs/>
          <w:color w:val="auto"/>
          <w:sz w:val="30"/>
          <w:szCs w:val="30"/>
        </w:rPr>
      </w:pPr>
    </w:p>
    <w:p>
      <w:pPr>
        <w:spacing w:line="360" w:lineRule="atLeast"/>
        <w:rPr>
          <w:rFonts w:hint="eastAsia" w:ascii="宋体" w:hAnsi="宋体" w:cs="宋体"/>
          <w:b/>
          <w:color w:val="auto"/>
          <w:sz w:val="32"/>
          <w:szCs w:val="32"/>
        </w:rPr>
      </w:pPr>
    </w:p>
    <w:p>
      <w:pPr>
        <w:pStyle w:val="5"/>
        <w:rPr>
          <w:rFonts w:hint="eastAsia" w:ascii="宋体" w:hAnsi="宋体" w:cs="宋体"/>
          <w:b w:val="0"/>
          <w:color w:val="auto"/>
          <w:sz w:val="44"/>
          <w:szCs w:val="44"/>
        </w:rPr>
      </w:pPr>
      <w:r>
        <w:rPr>
          <w:rFonts w:hint="eastAsia" w:ascii="宋体" w:hAnsi="宋体" w:cs="宋体"/>
          <w:color w:val="auto"/>
          <w:sz w:val="44"/>
          <w:szCs w:val="44"/>
        </w:rPr>
        <w:br w:type="page"/>
      </w:r>
      <w:bookmarkStart w:id="113" w:name="_Toc12250_WPSOffice_Level1"/>
      <w:r>
        <w:rPr>
          <w:rStyle w:val="28"/>
          <w:rFonts w:hint="eastAsia" w:ascii="宋体" w:hAnsi="宋体" w:cs="宋体"/>
          <w:b/>
          <w:color w:val="auto"/>
        </w:rPr>
        <w:t>一、响应函</w:t>
      </w:r>
      <w:bookmarkEnd w:id="113"/>
    </w:p>
    <w:p>
      <w:pPr>
        <w:spacing w:line="360" w:lineRule="auto"/>
        <w:rPr>
          <w:rFonts w:hint="eastAsia" w:ascii="宋体" w:hAnsi="宋体" w:cs="宋体"/>
          <w:color w:val="auto"/>
          <w:sz w:val="24"/>
          <w:szCs w:val="24"/>
        </w:rPr>
      </w:pPr>
      <w:bookmarkStart w:id="114" w:name="_Toc1495_WPSOffice_Level1"/>
      <w:r>
        <w:rPr>
          <w:rFonts w:hint="eastAsia" w:ascii="宋体" w:hAnsi="宋体" w:cs="宋体"/>
          <w:color w:val="auto"/>
          <w:sz w:val="24"/>
          <w:szCs w:val="24"/>
        </w:rPr>
        <w:t>致：陕西正鸿招标有限公司</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根据贵方</w:t>
      </w:r>
      <w:r>
        <w:rPr>
          <w:rFonts w:hint="eastAsia" w:ascii="宋体" w:hAnsi="宋体" w:cs="宋体"/>
          <w:color w:val="auto"/>
          <w:sz w:val="24"/>
          <w:szCs w:val="24"/>
          <w:u w:val="single"/>
        </w:rPr>
        <w:t xml:space="preserve">             </w:t>
      </w:r>
      <w:r>
        <w:rPr>
          <w:rFonts w:hint="eastAsia" w:ascii="宋体" w:hAnsi="宋体" w:cs="宋体"/>
          <w:color w:val="auto"/>
          <w:sz w:val="24"/>
          <w:szCs w:val="24"/>
        </w:rPr>
        <w:t>项目的竞争性磋商文件(项目编号：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)，签字代表</w:t>
      </w:r>
      <w:r>
        <w:rPr>
          <w:rFonts w:hint="eastAsia" w:ascii="宋体" w:hAnsi="宋体" w:cs="宋体"/>
          <w:color w:val="auto"/>
          <w:sz w:val="24"/>
          <w:szCs w:val="24"/>
          <w:u w:val="single"/>
        </w:rPr>
        <w:t>（全名、职务）</w:t>
      </w:r>
      <w:r>
        <w:rPr>
          <w:rFonts w:hint="eastAsia" w:ascii="宋体" w:hAnsi="宋体" w:cs="宋体"/>
          <w:color w:val="auto"/>
          <w:sz w:val="24"/>
          <w:szCs w:val="24"/>
        </w:rPr>
        <w:t>经正式授权并代表供应商</w:t>
      </w:r>
      <w:r>
        <w:rPr>
          <w:rFonts w:hint="eastAsia" w:ascii="宋体" w:hAnsi="宋体" w:cs="宋体"/>
          <w:color w:val="auto"/>
          <w:sz w:val="24"/>
          <w:szCs w:val="24"/>
          <w:u w:val="single"/>
        </w:rPr>
        <w:t>（供应商名称、地址）</w:t>
      </w:r>
      <w:r>
        <w:rPr>
          <w:rFonts w:hint="eastAsia" w:ascii="宋体" w:hAnsi="宋体" w:cs="宋体"/>
          <w:color w:val="auto"/>
          <w:sz w:val="24"/>
          <w:szCs w:val="24"/>
        </w:rPr>
        <w:t xml:space="preserve"> 提交响应文件正本壹份、副本一式</w:t>
      </w:r>
      <w:r>
        <w:rPr>
          <w:rFonts w:hint="eastAsia" w:ascii="宋体" w:hAnsi="宋体" w:cs="宋体"/>
          <w:color w:val="auto"/>
          <w:sz w:val="24"/>
          <w:szCs w:val="24"/>
          <w:u w:val="single"/>
        </w:rPr>
        <w:t xml:space="preserve">   </w:t>
      </w:r>
      <w:r>
        <w:rPr>
          <w:rFonts w:hint="eastAsia" w:ascii="宋体" w:hAnsi="宋体" w:cs="宋体"/>
          <w:color w:val="auto"/>
          <w:sz w:val="24"/>
          <w:szCs w:val="24"/>
        </w:rPr>
        <w:t>份、电子版</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我方承诺如下：</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1）磋商响应总报价为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每年</w:t>
      </w:r>
      <w:r>
        <w:rPr>
          <w:rFonts w:hint="eastAsia" w:ascii="宋体" w:hAnsi="宋体" w:cs="宋体"/>
          <w:color w:val="auto"/>
          <w:sz w:val="24"/>
          <w:szCs w:val="24"/>
          <w:lang w:eastAsia="zh-CN"/>
        </w:rPr>
        <w:t>）</w:t>
      </w:r>
      <w:r>
        <w:rPr>
          <w:rFonts w:hint="eastAsia" w:ascii="宋体" w:hAnsi="宋体" w:cs="宋体"/>
          <w:color w:val="auto"/>
          <w:sz w:val="24"/>
          <w:szCs w:val="24"/>
        </w:rPr>
        <w:t>：人民币（大写）：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；（小写）：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2）如果成交，我们根据竞争性磋商文件的规定，履行合同的责任和义务。</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3）我们已详细阅读和审核全部竞争性磋商文件（含修改部分，如有的话），及有关附件，我们知道必须放弃提出含糊不清或误解的问题的权利。</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4）我们同意在磋商响应有效期内（自响应文件递交截止之日起</w:t>
      </w:r>
      <w:r>
        <w:rPr>
          <w:rFonts w:hint="eastAsia" w:ascii="宋体" w:hAnsi="宋体" w:cs="宋体"/>
          <w:color w:val="auto"/>
          <w:sz w:val="24"/>
          <w:szCs w:val="24"/>
          <w:u w:val="single"/>
        </w:rPr>
        <w:t xml:space="preserve">   </w:t>
      </w:r>
      <w:r>
        <w:rPr>
          <w:rFonts w:hint="eastAsia" w:ascii="宋体" w:hAnsi="宋体" w:cs="宋体"/>
          <w:color w:val="auto"/>
          <w:sz w:val="24"/>
          <w:szCs w:val="24"/>
        </w:rPr>
        <w:t>天），本磋商响应函对我方具有约束力。</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5）如果在开标后规定的磋商响应有效期内撤回磋商响应，我们的磋商响应保证金（如有）可被贵方没收。</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6）同意提供贵方可能另外要求的与本磋商响应有关的任何证据和资料。 </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7）我们同意，如果成交，向陕西正鸿招标有限公司交纳招标代理服务费。</w:t>
      </w:r>
    </w:p>
    <w:p>
      <w:pPr>
        <w:spacing w:line="360" w:lineRule="auto"/>
        <w:ind w:firstLine="420"/>
        <w:rPr>
          <w:rFonts w:hint="eastAsia" w:ascii="宋体" w:hAnsi="宋体" w:cs="宋体"/>
          <w:color w:val="auto"/>
        </w:rPr>
      </w:pPr>
      <w:r>
        <w:rPr>
          <w:rFonts w:hint="eastAsia" w:ascii="宋体" w:hAnsi="宋体" w:cs="宋体"/>
          <w:color w:val="auto"/>
          <w:sz w:val="24"/>
          <w:szCs w:val="24"/>
        </w:rPr>
        <w:t>8）与本磋商响应有关的一切正式往来通讯为：</w:t>
      </w:r>
    </w:p>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邮编：</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ab/>
      </w:r>
      <w:r>
        <w:rPr>
          <w:rFonts w:hint="eastAsia" w:ascii="宋体" w:hAnsi="宋体" w:cs="宋体"/>
          <w:color w:val="auto"/>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传真：</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ab/>
      </w:r>
      <w:r>
        <w:rPr>
          <w:rFonts w:hint="eastAsia" w:ascii="宋体" w:hAnsi="宋体" w:cs="宋体"/>
          <w:color w:val="auto"/>
          <w:sz w:val="24"/>
          <w:szCs w:val="24"/>
        </w:rPr>
        <w:t>供应商代表姓名、职务（印刷体）：</w:t>
      </w:r>
      <w:r>
        <w:rPr>
          <w:rFonts w:hint="eastAsia" w:ascii="宋体" w:hAnsi="宋体" w:cs="宋体"/>
          <w:color w:val="auto"/>
          <w:sz w:val="24"/>
          <w:szCs w:val="24"/>
          <w:u w:val="single"/>
        </w:rPr>
        <w:t xml:space="preserve">                     </w:t>
      </w:r>
    </w:p>
    <w:p>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（公章）</w:t>
      </w:r>
    </w:p>
    <w:p>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spacing w:line="360" w:lineRule="auto"/>
        <w:ind w:firstLine="360" w:firstLineChars="150"/>
        <w:rPr>
          <w:rFonts w:hint="eastAsia" w:ascii="宋体" w:hAnsi="宋体" w:cs="宋体"/>
          <w:color w:val="auto"/>
          <w:sz w:val="28"/>
          <w:szCs w:val="28"/>
        </w:rPr>
      </w:pPr>
      <w:r>
        <w:rPr>
          <w:rFonts w:hint="eastAsia" w:ascii="宋体" w:hAnsi="宋体" w:cs="宋体"/>
          <w:color w:val="auto"/>
          <w:sz w:val="24"/>
          <w:szCs w:val="24"/>
        </w:rPr>
        <w:t xml:space="preserve">日期：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10"/>
        <w:ind w:firstLine="560" w:firstLineChars="200"/>
        <w:rPr>
          <w:rFonts w:hint="eastAsia" w:ascii="宋体" w:hAnsi="宋体" w:cs="宋体"/>
          <w:b w:val="0"/>
          <w:bCs/>
          <w:color w:val="auto"/>
          <w:szCs w:val="28"/>
        </w:rPr>
      </w:pPr>
    </w:p>
    <w:p>
      <w:pPr>
        <w:rPr>
          <w:rFonts w:hint="eastAsia" w:ascii="宋体" w:hAnsi="宋体" w:cs="宋体"/>
          <w:color w:val="auto"/>
          <w:sz w:val="28"/>
          <w:szCs w:val="28"/>
        </w:rPr>
      </w:pPr>
    </w:p>
    <w:p>
      <w:pPr>
        <w:pStyle w:val="5"/>
        <w:rPr>
          <w:rStyle w:val="28"/>
          <w:rFonts w:hint="eastAsia" w:ascii="宋体" w:hAnsi="宋体" w:cs="宋体"/>
          <w:b/>
          <w:color w:val="auto"/>
        </w:rPr>
      </w:pPr>
      <w:r>
        <w:rPr>
          <w:rFonts w:hint="eastAsia" w:ascii="宋体" w:hAnsi="宋体" w:cs="宋体"/>
          <w:color w:val="auto"/>
          <w:sz w:val="36"/>
          <w:szCs w:val="36"/>
        </w:rPr>
        <w:br w:type="page"/>
      </w:r>
      <w:r>
        <w:rPr>
          <w:rFonts w:hint="eastAsia" w:ascii="宋体" w:hAnsi="宋体" w:cs="宋体"/>
          <w:color w:val="auto"/>
          <w:sz w:val="36"/>
          <w:szCs w:val="36"/>
        </w:rPr>
        <w:t>二、</w:t>
      </w:r>
      <w:r>
        <w:rPr>
          <w:rStyle w:val="28"/>
          <w:rFonts w:hint="eastAsia" w:ascii="宋体" w:hAnsi="宋体" w:cs="宋体"/>
          <w:b/>
          <w:color w:val="auto"/>
        </w:rPr>
        <w:t>响应报价表</w:t>
      </w:r>
      <w:bookmarkEnd w:id="114"/>
    </w:p>
    <w:p>
      <w:pPr>
        <w:pStyle w:val="6"/>
        <w:rPr>
          <w:rFonts w:hint="eastAsia" w:ascii="宋体" w:hAnsi="宋体" w:cs="宋体"/>
          <w:color w:val="auto"/>
        </w:rPr>
      </w:pPr>
      <w:r>
        <w:rPr>
          <w:rFonts w:hint="eastAsia" w:ascii="宋体" w:hAnsi="宋体" w:cs="宋体"/>
          <w:color w:val="auto"/>
        </w:rPr>
        <w:t>2.1报价一览表</w:t>
      </w:r>
    </w:p>
    <w:tbl>
      <w:tblPr>
        <w:tblStyle w:val="19"/>
        <w:tblW w:w="0" w:type="auto"/>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35"/>
        <w:gridCol w:w="6524"/>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535" w:type="dxa"/>
            <w:tcBorders>
              <w:bottom w:val="single" w:color="auto" w:sz="4" w:space="0"/>
            </w:tcBorders>
            <w:noWrap w:val="0"/>
            <w:vAlign w:val="center"/>
          </w:tcPr>
          <w:p>
            <w:pPr>
              <w:spacing w:line="336" w:lineRule="auto"/>
              <w:jc w:val="center"/>
              <w:rPr>
                <w:rFonts w:hint="eastAsia" w:ascii="宋体" w:hAnsi="宋体" w:cs="宋体"/>
                <w:caps/>
                <w:color w:val="auto"/>
                <w:sz w:val="24"/>
                <w:szCs w:val="24"/>
              </w:rPr>
            </w:pPr>
            <w:r>
              <w:rPr>
                <w:rFonts w:hint="eastAsia" w:ascii="宋体" w:hAnsi="宋体" w:cs="宋体"/>
                <w:color w:val="auto"/>
                <w:sz w:val="24"/>
                <w:szCs w:val="24"/>
              </w:rPr>
              <w:t>项目名称</w:t>
            </w:r>
          </w:p>
        </w:tc>
        <w:tc>
          <w:tcPr>
            <w:tcW w:w="6524" w:type="dxa"/>
            <w:noWrap w:val="0"/>
            <w:vAlign w:val="center"/>
          </w:tcPr>
          <w:p>
            <w:pPr>
              <w:spacing w:line="336" w:lineRule="auto"/>
              <w:jc w:val="center"/>
              <w:rPr>
                <w:rFonts w:hint="eastAsia" w:ascii="宋体" w:hAnsi="宋体" w:cs="宋体"/>
                <w:caps/>
                <w:color w:val="auto"/>
                <w:sz w:val="24"/>
                <w:szCs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2535" w:type="dxa"/>
            <w:tcBorders>
              <w:bottom w:val="single" w:color="auto" w:sz="4" w:space="0"/>
            </w:tcBorders>
            <w:noWrap w:val="0"/>
            <w:vAlign w:val="center"/>
          </w:tcPr>
          <w:p>
            <w:pPr>
              <w:spacing w:line="336" w:lineRule="auto"/>
              <w:jc w:val="center"/>
              <w:rPr>
                <w:rFonts w:hint="eastAsia" w:ascii="宋体" w:hAnsi="宋体" w:cs="宋体"/>
                <w:color w:val="auto"/>
                <w:sz w:val="24"/>
                <w:szCs w:val="24"/>
              </w:rPr>
            </w:pPr>
            <w:r>
              <w:rPr>
                <w:rFonts w:hint="eastAsia" w:ascii="宋体" w:hAnsi="宋体" w:cs="宋体"/>
                <w:color w:val="auto"/>
                <w:sz w:val="24"/>
                <w:szCs w:val="24"/>
              </w:rPr>
              <w:t>项目编号</w:t>
            </w:r>
          </w:p>
        </w:tc>
        <w:tc>
          <w:tcPr>
            <w:tcW w:w="6524" w:type="dxa"/>
            <w:tcBorders>
              <w:bottom w:val="single" w:color="auto" w:sz="4" w:space="0"/>
            </w:tcBorders>
            <w:noWrap w:val="0"/>
            <w:vAlign w:val="center"/>
          </w:tcPr>
          <w:p>
            <w:pPr>
              <w:spacing w:line="336" w:lineRule="auto"/>
              <w:jc w:val="center"/>
              <w:rPr>
                <w:rFonts w:hint="eastAsia" w:ascii="宋体" w:hAnsi="宋体" w:cs="宋体"/>
                <w:caps/>
                <w:color w:val="auto"/>
                <w:sz w:val="24"/>
                <w:szCs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2535" w:type="dxa"/>
            <w:noWrap w:val="0"/>
            <w:vAlign w:val="center"/>
          </w:tcPr>
          <w:p>
            <w:pPr>
              <w:spacing w:line="336"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响应报价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每年</w:t>
            </w:r>
            <w:r>
              <w:rPr>
                <w:rFonts w:hint="eastAsia" w:ascii="宋体" w:hAnsi="宋体" w:cs="宋体"/>
                <w:color w:val="auto"/>
                <w:sz w:val="24"/>
                <w:szCs w:val="24"/>
                <w:lang w:eastAsia="zh-CN"/>
              </w:rPr>
              <w:t>）</w:t>
            </w:r>
          </w:p>
        </w:tc>
        <w:tc>
          <w:tcPr>
            <w:tcW w:w="6524" w:type="dxa"/>
            <w:noWrap w:val="0"/>
            <w:vAlign w:val="center"/>
          </w:tcPr>
          <w:p>
            <w:pPr>
              <w:spacing w:line="336" w:lineRule="auto"/>
              <w:jc w:val="center"/>
              <w:rPr>
                <w:rFonts w:hint="eastAsia" w:ascii="宋体" w:hAnsi="宋体" w:cs="宋体"/>
                <w:color w:val="auto"/>
                <w:sz w:val="24"/>
                <w:szCs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2535" w:type="dxa"/>
            <w:noWrap w:val="0"/>
            <w:vAlign w:val="center"/>
          </w:tcPr>
          <w:p>
            <w:pPr>
              <w:spacing w:line="336" w:lineRule="auto"/>
              <w:jc w:val="center"/>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服务期</w:t>
            </w:r>
          </w:p>
        </w:tc>
        <w:tc>
          <w:tcPr>
            <w:tcW w:w="6524" w:type="dxa"/>
            <w:noWrap w:val="0"/>
            <w:vAlign w:val="top"/>
          </w:tcPr>
          <w:p>
            <w:pPr>
              <w:spacing w:line="336" w:lineRule="auto"/>
              <w:rPr>
                <w:rFonts w:hint="eastAsia" w:ascii="宋体" w:hAnsi="宋体" w:cs="宋体"/>
                <w:color w:val="auto"/>
                <w:sz w:val="24"/>
                <w:szCs w:val="24"/>
              </w:rPr>
            </w:pPr>
          </w:p>
          <w:p>
            <w:pPr>
              <w:spacing w:line="336" w:lineRule="auto"/>
              <w:rPr>
                <w:rFonts w:hint="eastAsia" w:ascii="宋体" w:hAnsi="宋体" w:cs="宋体"/>
                <w:color w:val="auto"/>
                <w:sz w:val="24"/>
                <w:szCs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2535" w:type="dxa"/>
            <w:tcBorders>
              <w:right w:val="single" w:color="auto" w:sz="4" w:space="0"/>
            </w:tcBorders>
            <w:noWrap w:val="0"/>
            <w:vAlign w:val="center"/>
          </w:tcPr>
          <w:p>
            <w:pPr>
              <w:spacing w:line="336" w:lineRule="auto"/>
              <w:jc w:val="center"/>
              <w:rPr>
                <w:rFonts w:hint="eastAsia" w:ascii="宋体" w:hAnsi="宋体" w:cs="宋体"/>
                <w:bCs/>
                <w:color w:val="auto"/>
                <w:sz w:val="24"/>
                <w:szCs w:val="24"/>
              </w:rPr>
            </w:pPr>
            <w:r>
              <w:rPr>
                <w:rFonts w:hint="eastAsia" w:ascii="宋体" w:hAnsi="宋体" w:cs="宋体"/>
                <w:bCs/>
                <w:color w:val="auto"/>
                <w:sz w:val="24"/>
                <w:szCs w:val="24"/>
              </w:rPr>
              <w:t>付款方式是否响应</w:t>
            </w:r>
          </w:p>
        </w:tc>
        <w:tc>
          <w:tcPr>
            <w:tcW w:w="6524" w:type="dxa"/>
            <w:tcBorders>
              <w:left w:val="single" w:color="auto" w:sz="4" w:space="0"/>
            </w:tcBorders>
            <w:noWrap w:val="0"/>
            <w:vAlign w:val="center"/>
          </w:tcPr>
          <w:p>
            <w:pPr>
              <w:spacing w:line="336" w:lineRule="auto"/>
              <w:rPr>
                <w:rFonts w:hint="eastAsia" w:ascii="宋体" w:hAnsi="宋体" w:cs="宋体"/>
                <w:bCs/>
                <w:color w:val="auto"/>
                <w:sz w:val="24"/>
                <w:szCs w:val="24"/>
              </w:rPr>
            </w:pPr>
          </w:p>
        </w:tc>
      </w:tr>
    </w:tbl>
    <w:p>
      <w:pPr>
        <w:spacing w:line="336" w:lineRule="auto"/>
        <w:rPr>
          <w:rFonts w:hint="eastAsia" w:ascii="宋体" w:hAnsi="宋体" w:cs="宋体"/>
          <w:color w:val="auto"/>
          <w:sz w:val="28"/>
          <w:szCs w:val="28"/>
        </w:rPr>
      </w:pPr>
      <w:r>
        <w:rPr>
          <w:rFonts w:hint="eastAsia" w:ascii="宋体" w:hAnsi="宋体" w:cs="宋体"/>
          <w:color w:val="auto"/>
          <w:sz w:val="24"/>
          <w:szCs w:val="24"/>
        </w:rPr>
        <w:t>备注：表内报价内容以元为单位，保留小数点后（两位）。</w:t>
      </w:r>
    </w:p>
    <w:p>
      <w:pPr>
        <w:spacing w:line="336" w:lineRule="auto"/>
        <w:rPr>
          <w:rFonts w:hint="eastAsia" w:ascii="宋体" w:hAnsi="宋体" w:cs="宋体"/>
          <w:color w:val="auto"/>
          <w:sz w:val="28"/>
          <w:szCs w:val="28"/>
        </w:rPr>
      </w:pPr>
    </w:p>
    <w:p>
      <w:pPr>
        <w:spacing w:line="336" w:lineRule="auto"/>
        <w:ind w:right="-161" w:firstLine="3120" w:firstLineChars="13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（公章）</w:t>
      </w:r>
    </w:p>
    <w:p>
      <w:pPr>
        <w:spacing w:line="336" w:lineRule="auto"/>
        <w:ind w:right="-161" w:firstLine="3120" w:firstLineChars="13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pStyle w:val="2"/>
        <w:ind w:firstLine="3120" w:firstLineChars="1300"/>
        <w:rPr>
          <w:rFonts w:hint="eastAsia" w:cs="宋体"/>
          <w:color w:val="auto"/>
        </w:rPr>
      </w:pPr>
      <w:r>
        <w:rPr>
          <w:rFonts w:hint="eastAsia" w:cs="宋体"/>
          <w:color w:val="auto"/>
        </w:rPr>
        <w:t>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6"/>
        <w:rPr>
          <w:rFonts w:hint="eastAsia" w:ascii="宋体" w:hAnsi="宋体" w:cs="宋体"/>
          <w:color w:val="auto"/>
        </w:rPr>
      </w:pPr>
      <w:r>
        <w:rPr>
          <w:rFonts w:hint="eastAsia" w:ascii="宋体" w:hAnsi="宋体" w:cs="宋体"/>
          <w:color w:val="auto"/>
        </w:rPr>
        <w:br w:type="page"/>
      </w:r>
      <w:r>
        <w:rPr>
          <w:rFonts w:hint="eastAsia" w:ascii="宋体" w:hAnsi="宋体" w:cs="宋体"/>
          <w:color w:val="auto"/>
        </w:rPr>
        <w:t>2.2分项报价表</w:t>
      </w:r>
    </w:p>
    <w:p>
      <w:pPr>
        <w:pStyle w:val="2"/>
        <w:ind w:firstLine="0" w:firstLineChars="0"/>
        <w:rPr>
          <w:rFonts w:hint="eastAsia" w:cs="宋体"/>
          <w:color w:val="auto"/>
        </w:rPr>
      </w:pPr>
      <w:r>
        <w:rPr>
          <w:rFonts w:hint="eastAsia" w:cs="宋体"/>
          <w:color w:val="auto"/>
        </w:rPr>
        <w:t>项目名称：</w:t>
      </w:r>
    </w:p>
    <w:p>
      <w:pPr>
        <w:pStyle w:val="2"/>
        <w:ind w:firstLine="0" w:firstLineChars="0"/>
        <w:rPr>
          <w:rFonts w:hint="eastAsia" w:cs="宋体"/>
          <w:b/>
          <w:color w:val="auto"/>
        </w:rPr>
      </w:pPr>
      <w:r>
        <w:rPr>
          <w:rFonts w:hint="eastAsia" w:cs="宋体"/>
          <w:color w:val="auto"/>
        </w:rPr>
        <w:t>项目编号：</w:t>
      </w:r>
      <w:r>
        <w:rPr>
          <w:rFonts w:hint="eastAsia" w:cs="宋体"/>
          <w:bCs/>
          <w:color w:val="auto"/>
        </w:rPr>
        <w:t xml:space="preserve">                      </w:t>
      </w:r>
    </w:p>
    <w:tbl>
      <w:tblPr>
        <w:tblStyle w:val="19"/>
        <w:tblW w:w="9085" w:type="dxa"/>
        <w:jc w:val="center"/>
        <w:tblLayout w:type="fixed"/>
        <w:tblCellMar>
          <w:top w:w="0" w:type="dxa"/>
          <w:left w:w="28" w:type="dxa"/>
          <w:bottom w:w="0" w:type="dxa"/>
          <w:right w:w="28" w:type="dxa"/>
        </w:tblCellMar>
      </w:tblPr>
      <w:tblGrid>
        <w:gridCol w:w="672"/>
        <w:gridCol w:w="2235"/>
        <w:gridCol w:w="1489"/>
        <w:gridCol w:w="745"/>
        <w:gridCol w:w="851"/>
        <w:gridCol w:w="1031"/>
        <w:gridCol w:w="1031"/>
        <w:gridCol w:w="1031"/>
      </w:tblGrid>
      <w:tr>
        <w:tblPrEx>
          <w:tblCellMar>
            <w:top w:w="0" w:type="dxa"/>
            <w:left w:w="28" w:type="dxa"/>
            <w:bottom w:w="0" w:type="dxa"/>
            <w:right w:w="28" w:type="dxa"/>
          </w:tblCellMar>
        </w:tblPrEx>
        <w:trPr>
          <w:trHeight w:val="951" w:hRule="atLeast"/>
          <w:jc w:val="center"/>
        </w:trPr>
        <w:tc>
          <w:tcPr>
            <w:tcW w:w="672" w:type="dxa"/>
            <w:tcBorders>
              <w:top w:val="single" w:color="auto" w:sz="6" w:space="0"/>
              <w:left w:val="single" w:color="auto" w:sz="4" w:space="0"/>
              <w:bottom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序号</w:t>
            </w:r>
          </w:p>
        </w:tc>
        <w:tc>
          <w:tcPr>
            <w:tcW w:w="2235" w:type="dxa"/>
            <w:tcBorders>
              <w:top w:val="single" w:color="auto" w:sz="6"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名称</w:t>
            </w:r>
          </w:p>
        </w:tc>
        <w:tc>
          <w:tcPr>
            <w:tcW w:w="1489" w:type="dxa"/>
            <w:tcBorders>
              <w:top w:val="single" w:color="auto" w:sz="6" w:space="0"/>
              <w:left w:val="single" w:color="auto" w:sz="6" w:space="0"/>
              <w:bottom w:val="single" w:color="auto" w:sz="6" w:space="0"/>
              <w:right w:val="single" w:color="auto" w:sz="4"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数量</w:t>
            </w:r>
          </w:p>
        </w:tc>
        <w:tc>
          <w:tcPr>
            <w:tcW w:w="745" w:type="dxa"/>
            <w:tcBorders>
              <w:top w:val="single" w:color="auto" w:sz="6"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单位</w:t>
            </w:r>
          </w:p>
        </w:tc>
        <w:tc>
          <w:tcPr>
            <w:tcW w:w="851" w:type="dxa"/>
            <w:tcBorders>
              <w:top w:val="single" w:color="auto" w:sz="6"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单价</w:t>
            </w:r>
          </w:p>
          <w:p>
            <w:pPr>
              <w:pStyle w:val="25"/>
              <w:rPr>
                <w:rFonts w:cs="宋体"/>
                <w:color w:val="auto"/>
                <w:kern w:val="2"/>
                <w:szCs w:val="22"/>
                <w:lang w:val="en-US" w:eastAsia="zh-CN"/>
              </w:rPr>
            </w:pPr>
            <w:r>
              <w:rPr>
                <w:rFonts w:hint="eastAsia" w:cs="宋体"/>
                <w:color w:val="auto"/>
                <w:kern w:val="2"/>
                <w:szCs w:val="22"/>
                <w:lang w:val="en-US" w:eastAsia="zh-CN"/>
              </w:rPr>
              <w:t>（元）</w:t>
            </w:r>
          </w:p>
        </w:tc>
        <w:tc>
          <w:tcPr>
            <w:tcW w:w="1031" w:type="dxa"/>
            <w:tcBorders>
              <w:top w:val="single" w:color="auto" w:sz="6"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合价</w:t>
            </w:r>
          </w:p>
          <w:p>
            <w:pPr>
              <w:pStyle w:val="25"/>
              <w:rPr>
                <w:rFonts w:cs="宋体"/>
                <w:color w:val="auto"/>
                <w:kern w:val="2"/>
                <w:szCs w:val="22"/>
                <w:lang w:val="en-US" w:eastAsia="zh-CN"/>
              </w:rPr>
            </w:pPr>
            <w:r>
              <w:rPr>
                <w:rFonts w:hint="eastAsia" w:cs="宋体"/>
                <w:color w:val="auto"/>
                <w:kern w:val="2"/>
                <w:szCs w:val="22"/>
                <w:lang w:val="en-US" w:eastAsia="zh-CN"/>
              </w:rPr>
              <w:t>（元）</w:t>
            </w:r>
          </w:p>
        </w:tc>
        <w:tc>
          <w:tcPr>
            <w:tcW w:w="1031" w:type="dxa"/>
            <w:tcBorders>
              <w:top w:val="single" w:color="auto" w:sz="6" w:space="0"/>
              <w:left w:val="single" w:color="auto" w:sz="6" w:space="0"/>
              <w:bottom w:val="single" w:color="auto" w:sz="6" w:space="0"/>
              <w:right w:val="single" w:color="auto" w:sz="6" w:space="0"/>
            </w:tcBorders>
            <w:noWrap w:val="0"/>
            <w:vAlign w:val="center"/>
          </w:tcPr>
          <w:p>
            <w:pPr>
              <w:pStyle w:val="25"/>
              <w:rPr>
                <w:rFonts w:hint="eastAsia" w:cs="宋体"/>
                <w:color w:val="auto"/>
                <w:kern w:val="2"/>
                <w:szCs w:val="22"/>
                <w:lang w:val="en-US" w:eastAsia="zh-CN"/>
              </w:rPr>
            </w:pPr>
            <w:r>
              <w:rPr>
                <w:rFonts w:hint="eastAsia" w:cs="宋体"/>
                <w:color w:val="auto"/>
                <w:kern w:val="2"/>
                <w:szCs w:val="22"/>
                <w:lang w:val="en-US" w:eastAsia="zh-CN"/>
              </w:rPr>
              <w:t>中小企业</w:t>
            </w:r>
          </w:p>
        </w:tc>
        <w:tc>
          <w:tcPr>
            <w:tcW w:w="1031" w:type="dxa"/>
            <w:tcBorders>
              <w:top w:val="single" w:color="auto" w:sz="6"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备注</w:t>
            </w:r>
          </w:p>
        </w:tc>
      </w:tr>
      <w:tr>
        <w:tblPrEx>
          <w:tblCellMar>
            <w:top w:w="0" w:type="dxa"/>
            <w:left w:w="28" w:type="dxa"/>
            <w:bottom w:w="0" w:type="dxa"/>
            <w:right w:w="28" w:type="dxa"/>
          </w:tblCellMar>
        </w:tblPrEx>
        <w:trPr>
          <w:trHeight w:val="482" w:hRule="atLeast"/>
          <w:jc w:val="center"/>
        </w:trPr>
        <w:tc>
          <w:tcPr>
            <w:tcW w:w="672" w:type="dxa"/>
            <w:tcBorders>
              <w:top w:val="single" w:color="auto" w:sz="6" w:space="0"/>
              <w:left w:val="single" w:color="auto" w:sz="4" w:space="0"/>
              <w:bottom w:val="single" w:color="auto" w:sz="4"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1</w:t>
            </w:r>
          </w:p>
        </w:tc>
        <w:tc>
          <w:tcPr>
            <w:tcW w:w="2235" w:type="dxa"/>
            <w:tcBorders>
              <w:top w:val="single" w:color="auto" w:sz="6" w:space="0"/>
              <w:left w:val="single" w:color="auto" w:sz="6" w:space="0"/>
              <w:bottom w:val="single" w:color="auto" w:sz="4"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w:t>
            </w:r>
          </w:p>
        </w:tc>
        <w:tc>
          <w:tcPr>
            <w:tcW w:w="1489" w:type="dxa"/>
            <w:tcBorders>
              <w:top w:val="single" w:color="auto" w:sz="6" w:space="0"/>
              <w:left w:val="single" w:color="auto" w:sz="6" w:space="0"/>
              <w:bottom w:val="single" w:color="auto" w:sz="4" w:space="0"/>
              <w:right w:val="single" w:color="auto" w:sz="4" w:space="0"/>
            </w:tcBorders>
            <w:noWrap w:val="0"/>
            <w:vAlign w:val="center"/>
          </w:tcPr>
          <w:p>
            <w:pPr>
              <w:pStyle w:val="25"/>
              <w:rPr>
                <w:rFonts w:cs="宋体"/>
                <w:color w:val="auto"/>
                <w:kern w:val="2"/>
                <w:szCs w:val="22"/>
                <w:lang w:val="en-US" w:eastAsia="zh-CN"/>
              </w:rPr>
            </w:pPr>
          </w:p>
        </w:tc>
        <w:tc>
          <w:tcPr>
            <w:tcW w:w="745" w:type="dxa"/>
            <w:tcBorders>
              <w:top w:val="single" w:color="auto" w:sz="6" w:space="0"/>
              <w:left w:val="single" w:color="auto" w:sz="4" w:space="0"/>
              <w:bottom w:val="single" w:color="auto" w:sz="4" w:space="0"/>
              <w:right w:val="single" w:color="auto" w:sz="6" w:space="0"/>
            </w:tcBorders>
            <w:noWrap w:val="0"/>
            <w:vAlign w:val="center"/>
          </w:tcPr>
          <w:p>
            <w:pPr>
              <w:pStyle w:val="25"/>
              <w:rPr>
                <w:rFonts w:cs="宋体"/>
                <w:color w:val="auto"/>
                <w:kern w:val="2"/>
                <w:szCs w:val="22"/>
                <w:lang w:val="en-US" w:eastAsia="zh-CN"/>
              </w:rPr>
            </w:pPr>
          </w:p>
        </w:tc>
        <w:tc>
          <w:tcPr>
            <w:tcW w:w="851" w:type="dxa"/>
            <w:tcBorders>
              <w:top w:val="single" w:color="auto" w:sz="6" w:space="0"/>
              <w:left w:val="single" w:color="auto" w:sz="6" w:space="0"/>
              <w:bottom w:val="single" w:color="auto" w:sz="4"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6" w:space="0"/>
              <w:left w:val="single" w:color="auto" w:sz="6" w:space="0"/>
              <w:bottom w:val="single" w:color="auto" w:sz="4"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6" w:space="0"/>
              <w:left w:val="single" w:color="auto" w:sz="6" w:space="0"/>
              <w:bottom w:val="single" w:color="auto" w:sz="4"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6" w:space="0"/>
              <w:left w:val="single" w:color="auto" w:sz="6" w:space="0"/>
              <w:bottom w:val="single" w:color="auto" w:sz="4" w:space="0"/>
              <w:right w:val="single" w:color="auto" w:sz="6" w:space="0"/>
            </w:tcBorders>
            <w:noWrap w:val="0"/>
            <w:vAlign w:val="center"/>
          </w:tcPr>
          <w:p>
            <w:pPr>
              <w:pStyle w:val="25"/>
              <w:rPr>
                <w:rFonts w:cs="宋体"/>
                <w:color w:val="auto"/>
                <w:kern w:val="2"/>
                <w:szCs w:val="22"/>
                <w:lang w:val="en-US" w:eastAsia="zh-CN"/>
              </w:rPr>
            </w:pPr>
          </w:p>
        </w:tc>
      </w:tr>
      <w:tr>
        <w:tblPrEx>
          <w:tblCellMar>
            <w:top w:w="0" w:type="dxa"/>
            <w:left w:w="28" w:type="dxa"/>
            <w:bottom w:w="0" w:type="dxa"/>
            <w:right w:w="28" w:type="dxa"/>
          </w:tblCellMar>
        </w:tblPrEx>
        <w:trPr>
          <w:trHeight w:val="477" w:hRule="atLeast"/>
          <w:jc w:val="center"/>
        </w:trPr>
        <w:tc>
          <w:tcPr>
            <w:tcW w:w="672" w:type="dxa"/>
            <w:tcBorders>
              <w:top w:val="single" w:color="auto" w:sz="4" w:space="0"/>
              <w:left w:val="single" w:color="auto" w:sz="4" w:space="0"/>
              <w:bottom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2</w:t>
            </w:r>
          </w:p>
        </w:tc>
        <w:tc>
          <w:tcPr>
            <w:tcW w:w="2235"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489" w:type="dxa"/>
            <w:tcBorders>
              <w:top w:val="single" w:color="auto" w:sz="4" w:space="0"/>
              <w:left w:val="single" w:color="auto" w:sz="6" w:space="0"/>
              <w:bottom w:val="single" w:color="auto" w:sz="6" w:space="0"/>
              <w:right w:val="single" w:color="auto" w:sz="4" w:space="0"/>
            </w:tcBorders>
            <w:noWrap w:val="0"/>
            <w:vAlign w:val="center"/>
          </w:tcPr>
          <w:p>
            <w:pPr>
              <w:pStyle w:val="25"/>
              <w:rPr>
                <w:rFonts w:cs="宋体"/>
                <w:color w:val="auto"/>
                <w:kern w:val="2"/>
                <w:szCs w:val="22"/>
                <w:lang w:val="en-US" w:eastAsia="zh-CN"/>
              </w:rPr>
            </w:pPr>
          </w:p>
        </w:tc>
        <w:tc>
          <w:tcPr>
            <w:tcW w:w="745" w:type="dxa"/>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85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r>
      <w:tr>
        <w:tblPrEx>
          <w:tblCellMar>
            <w:top w:w="0" w:type="dxa"/>
            <w:left w:w="28" w:type="dxa"/>
            <w:bottom w:w="0" w:type="dxa"/>
            <w:right w:w="28" w:type="dxa"/>
          </w:tblCellMar>
        </w:tblPrEx>
        <w:trPr>
          <w:trHeight w:val="482" w:hRule="atLeast"/>
          <w:jc w:val="center"/>
        </w:trPr>
        <w:tc>
          <w:tcPr>
            <w:tcW w:w="672" w:type="dxa"/>
            <w:tcBorders>
              <w:top w:val="single" w:color="auto" w:sz="4" w:space="0"/>
              <w:left w:val="single" w:color="auto" w:sz="4" w:space="0"/>
              <w:bottom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3</w:t>
            </w:r>
          </w:p>
        </w:tc>
        <w:tc>
          <w:tcPr>
            <w:tcW w:w="2235"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489" w:type="dxa"/>
            <w:tcBorders>
              <w:top w:val="single" w:color="auto" w:sz="4" w:space="0"/>
              <w:left w:val="single" w:color="auto" w:sz="6" w:space="0"/>
              <w:bottom w:val="single" w:color="auto" w:sz="6" w:space="0"/>
              <w:right w:val="single" w:color="auto" w:sz="4" w:space="0"/>
            </w:tcBorders>
            <w:noWrap w:val="0"/>
            <w:vAlign w:val="center"/>
          </w:tcPr>
          <w:p>
            <w:pPr>
              <w:pStyle w:val="25"/>
              <w:rPr>
                <w:rFonts w:cs="宋体"/>
                <w:color w:val="auto"/>
                <w:kern w:val="2"/>
                <w:szCs w:val="22"/>
                <w:lang w:val="en-US" w:eastAsia="zh-CN"/>
              </w:rPr>
            </w:pPr>
          </w:p>
        </w:tc>
        <w:tc>
          <w:tcPr>
            <w:tcW w:w="745" w:type="dxa"/>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85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r>
      <w:tr>
        <w:tblPrEx>
          <w:tblCellMar>
            <w:top w:w="0" w:type="dxa"/>
            <w:left w:w="28" w:type="dxa"/>
            <w:bottom w:w="0" w:type="dxa"/>
            <w:right w:w="28" w:type="dxa"/>
          </w:tblCellMar>
        </w:tblPrEx>
        <w:trPr>
          <w:trHeight w:val="482" w:hRule="atLeast"/>
          <w:jc w:val="center"/>
        </w:trPr>
        <w:tc>
          <w:tcPr>
            <w:tcW w:w="672" w:type="dxa"/>
            <w:tcBorders>
              <w:top w:val="single" w:color="auto" w:sz="4" w:space="0"/>
              <w:left w:val="single" w:color="auto" w:sz="4" w:space="0"/>
              <w:bottom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w:t>
            </w:r>
          </w:p>
        </w:tc>
        <w:tc>
          <w:tcPr>
            <w:tcW w:w="2235"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489" w:type="dxa"/>
            <w:tcBorders>
              <w:top w:val="single" w:color="auto" w:sz="4" w:space="0"/>
              <w:left w:val="single" w:color="auto" w:sz="6" w:space="0"/>
              <w:bottom w:val="single" w:color="auto" w:sz="6" w:space="0"/>
              <w:right w:val="single" w:color="auto" w:sz="4" w:space="0"/>
            </w:tcBorders>
            <w:noWrap w:val="0"/>
            <w:vAlign w:val="center"/>
          </w:tcPr>
          <w:p>
            <w:pPr>
              <w:pStyle w:val="25"/>
              <w:rPr>
                <w:rFonts w:cs="宋体"/>
                <w:color w:val="auto"/>
                <w:kern w:val="2"/>
                <w:szCs w:val="22"/>
                <w:lang w:val="en-US" w:eastAsia="zh-CN"/>
              </w:rPr>
            </w:pPr>
          </w:p>
        </w:tc>
        <w:tc>
          <w:tcPr>
            <w:tcW w:w="745" w:type="dxa"/>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85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r>
      <w:tr>
        <w:tblPrEx>
          <w:tblCellMar>
            <w:top w:w="0" w:type="dxa"/>
            <w:left w:w="28" w:type="dxa"/>
            <w:bottom w:w="0" w:type="dxa"/>
            <w:right w:w="28" w:type="dxa"/>
          </w:tblCellMar>
        </w:tblPrEx>
        <w:trPr>
          <w:trHeight w:val="482" w:hRule="atLeast"/>
          <w:jc w:val="center"/>
        </w:trPr>
        <w:tc>
          <w:tcPr>
            <w:tcW w:w="672" w:type="dxa"/>
            <w:tcBorders>
              <w:top w:val="single" w:color="auto" w:sz="4" w:space="0"/>
              <w:left w:val="single" w:color="auto" w:sz="4" w:space="0"/>
              <w:bottom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w:t>
            </w:r>
          </w:p>
        </w:tc>
        <w:tc>
          <w:tcPr>
            <w:tcW w:w="2235"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489" w:type="dxa"/>
            <w:tcBorders>
              <w:top w:val="single" w:color="auto" w:sz="4" w:space="0"/>
              <w:left w:val="single" w:color="auto" w:sz="6" w:space="0"/>
              <w:bottom w:val="single" w:color="auto" w:sz="6" w:space="0"/>
              <w:right w:val="single" w:color="auto" w:sz="4" w:space="0"/>
            </w:tcBorders>
            <w:noWrap w:val="0"/>
            <w:vAlign w:val="center"/>
          </w:tcPr>
          <w:p>
            <w:pPr>
              <w:pStyle w:val="25"/>
              <w:rPr>
                <w:rFonts w:cs="宋体"/>
                <w:color w:val="auto"/>
                <w:kern w:val="2"/>
                <w:szCs w:val="22"/>
                <w:lang w:val="en-US" w:eastAsia="zh-CN"/>
              </w:rPr>
            </w:pPr>
          </w:p>
        </w:tc>
        <w:tc>
          <w:tcPr>
            <w:tcW w:w="745" w:type="dxa"/>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85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c>
          <w:tcPr>
            <w:tcW w:w="1031" w:type="dxa"/>
            <w:tcBorders>
              <w:top w:val="single" w:color="auto" w:sz="4" w:space="0"/>
              <w:left w:val="single" w:color="auto" w:sz="6" w:space="0"/>
              <w:bottom w:val="single" w:color="auto" w:sz="6" w:space="0"/>
              <w:right w:val="single" w:color="auto" w:sz="6" w:space="0"/>
            </w:tcBorders>
            <w:noWrap w:val="0"/>
            <w:vAlign w:val="center"/>
          </w:tcPr>
          <w:p>
            <w:pPr>
              <w:pStyle w:val="25"/>
              <w:rPr>
                <w:rFonts w:cs="宋体"/>
                <w:color w:val="auto"/>
                <w:kern w:val="2"/>
                <w:szCs w:val="22"/>
                <w:lang w:val="en-US" w:eastAsia="zh-CN"/>
              </w:rPr>
            </w:pPr>
          </w:p>
        </w:tc>
      </w:tr>
      <w:tr>
        <w:tblPrEx>
          <w:tblCellMar>
            <w:top w:w="0" w:type="dxa"/>
            <w:left w:w="28" w:type="dxa"/>
            <w:bottom w:w="0" w:type="dxa"/>
            <w:right w:w="28" w:type="dxa"/>
          </w:tblCellMar>
        </w:tblPrEx>
        <w:trPr>
          <w:trHeight w:val="482" w:hRule="atLeast"/>
          <w:jc w:val="center"/>
        </w:trPr>
        <w:tc>
          <w:tcPr>
            <w:tcW w:w="2907" w:type="dxa"/>
            <w:gridSpan w:val="2"/>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总报价</w:t>
            </w:r>
          </w:p>
        </w:tc>
        <w:tc>
          <w:tcPr>
            <w:tcW w:w="6178" w:type="dxa"/>
            <w:gridSpan w:val="6"/>
            <w:tcBorders>
              <w:top w:val="single" w:color="auto" w:sz="4" w:space="0"/>
              <w:left w:val="single" w:color="auto" w:sz="6" w:space="0"/>
              <w:bottom w:val="single" w:color="auto" w:sz="6" w:space="0"/>
              <w:right w:val="single" w:color="auto" w:sz="6" w:space="0"/>
            </w:tcBorders>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大写：                   小写：</w:t>
            </w:r>
          </w:p>
        </w:tc>
      </w:tr>
      <w:tr>
        <w:tblPrEx>
          <w:tblCellMar>
            <w:top w:w="0" w:type="dxa"/>
            <w:left w:w="28" w:type="dxa"/>
            <w:bottom w:w="0" w:type="dxa"/>
            <w:right w:w="28" w:type="dxa"/>
          </w:tblCellMar>
        </w:tblPrEx>
        <w:trPr>
          <w:trHeight w:val="520" w:hRule="atLeast"/>
          <w:jc w:val="center"/>
        </w:trPr>
        <w:tc>
          <w:tcPr>
            <w:tcW w:w="2907" w:type="dxa"/>
            <w:gridSpan w:val="2"/>
            <w:tcBorders>
              <w:top w:val="single" w:color="auto" w:sz="4" w:space="0"/>
              <w:left w:val="single" w:color="auto" w:sz="4" w:space="0"/>
              <w:bottom w:val="single" w:color="auto" w:sz="6" w:space="0"/>
              <w:right w:val="single" w:color="auto" w:sz="6" w:space="0"/>
            </w:tcBorders>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备注</w:t>
            </w:r>
          </w:p>
        </w:tc>
        <w:tc>
          <w:tcPr>
            <w:tcW w:w="6178" w:type="dxa"/>
            <w:gridSpan w:val="6"/>
            <w:tcBorders>
              <w:top w:val="single" w:color="auto" w:sz="4" w:space="0"/>
              <w:left w:val="single" w:color="auto" w:sz="6" w:space="0"/>
              <w:bottom w:val="single" w:color="auto" w:sz="6" w:space="0"/>
              <w:right w:val="single" w:color="auto" w:sz="6" w:space="0"/>
            </w:tcBorders>
            <w:noWrap w:val="0"/>
            <w:vAlign w:val="center"/>
          </w:tcPr>
          <w:p>
            <w:pPr>
              <w:pStyle w:val="25"/>
              <w:jc w:val="left"/>
              <w:rPr>
                <w:rFonts w:hint="eastAsia" w:cs="宋体"/>
                <w:color w:val="auto"/>
                <w:kern w:val="2"/>
                <w:szCs w:val="22"/>
                <w:lang w:val="en-US" w:eastAsia="zh-CN"/>
              </w:rPr>
            </w:pPr>
            <w:r>
              <w:rPr>
                <w:rFonts w:hint="eastAsia" w:cs="宋体"/>
                <w:color w:val="auto"/>
                <w:kern w:val="2"/>
                <w:szCs w:val="22"/>
                <w:lang w:val="en-US" w:eastAsia="zh-CN"/>
              </w:rPr>
              <w:t>保留小数点后两位。</w:t>
            </w:r>
          </w:p>
        </w:tc>
      </w:tr>
    </w:tbl>
    <w:p>
      <w:pPr>
        <w:tabs>
          <w:tab w:val="left" w:pos="7200"/>
          <w:tab w:val="left" w:pos="8504"/>
        </w:tabs>
        <w:spacing w:line="360" w:lineRule="auto"/>
        <w:ind w:right="-1"/>
        <w:rPr>
          <w:rFonts w:hint="eastAsia" w:ascii="宋体" w:hAnsi="宋体" w:cs="宋体"/>
          <w:color w:val="auto"/>
        </w:rPr>
      </w:pPr>
    </w:p>
    <w:p>
      <w:pPr>
        <w:spacing w:line="120" w:lineRule="exact"/>
        <w:rPr>
          <w:rFonts w:hint="eastAsia" w:ascii="宋体" w:hAnsi="宋体" w:cs="宋体"/>
          <w:color w:val="auto"/>
        </w:rPr>
      </w:pPr>
    </w:p>
    <w:p>
      <w:pPr>
        <w:pStyle w:val="2"/>
        <w:ind w:firstLine="2880" w:firstLineChars="1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（公章）</w:t>
      </w:r>
    </w:p>
    <w:p>
      <w:pPr>
        <w:pStyle w:val="2"/>
        <w:ind w:firstLine="2880" w:firstLineChars="1200"/>
        <w:rPr>
          <w:rFonts w:hint="eastAsia" w:cs="宋体"/>
          <w:color w:val="auto"/>
        </w:rPr>
      </w:pPr>
      <w:r>
        <w:rPr>
          <w:rFonts w:hint="eastAsia" w:cs="宋体"/>
          <w:color w:val="auto"/>
        </w:rPr>
        <w:t>法定代表人或被授权代表或自然人：</w:t>
      </w:r>
      <w:r>
        <w:rPr>
          <w:rFonts w:hint="eastAsia" w:cs="宋体"/>
          <w:color w:val="auto"/>
          <w:u w:val="single"/>
        </w:rPr>
        <w:t xml:space="preserve">      </w:t>
      </w:r>
      <w:r>
        <w:rPr>
          <w:rFonts w:hint="eastAsia" w:cs="宋体"/>
          <w:color w:val="auto"/>
        </w:rPr>
        <w:t xml:space="preserve">（签字或盖章）      </w:t>
      </w:r>
    </w:p>
    <w:p>
      <w:pPr>
        <w:pStyle w:val="2"/>
        <w:ind w:firstLine="2880" w:firstLineChars="1200"/>
        <w:rPr>
          <w:rFonts w:hint="eastAsia" w:cs="宋体"/>
          <w:color w:val="auto"/>
        </w:rPr>
      </w:pPr>
      <w:r>
        <w:rPr>
          <w:rFonts w:hint="eastAsia" w:cs="宋体"/>
          <w:color w:val="auto"/>
        </w:rPr>
        <w:t>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2"/>
        <w:ind w:firstLine="0" w:firstLineChars="0"/>
        <w:rPr>
          <w:rFonts w:hint="eastAsia" w:cs="宋体"/>
          <w:color w:val="auto"/>
          <w:szCs w:val="22"/>
        </w:rPr>
      </w:pPr>
      <w:r>
        <w:rPr>
          <w:rFonts w:hint="eastAsia" w:cs="宋体"/>
          <w:color w:val="auto"/>
          <w:szCs w:val="22"/>
        </w:rPr>
        <w:t>注：</w:t>
      </w:r>
    </w:p>
    <w:p>
      <w:pPr>
        <w:pStyle w:val="2"/>
        <w:ind w:firstLine="480"/>
        <w:rPr>
          <w:rFonts w:hint="eastAsia" w:cs="宋体"/>
          <w:color w:val="auto"/>
        </w:rPr>
      </w:pPr>
      <w:r>
        <w:rPr>
          <w:rFonts w:hint="eastAsia" w:cs="宋体"/>
          <w:color w:val="auto"/>
        </w:rPr>
        <w:t>1.如果按单价计算的结果与总价不一致，以单价为准修正总价。</w:t>
      </w:r>
    </w:p>
    <w:p>
      <w:pPr>
        <w:pStyle w:val="2"/>
        <w:ind w:firstLine="480"/>
        <w:rPr>
          <w:rFonts w:hint="eastAsia" w:cs="宋体"/>
          <w:color w:val="auto"/>
        </w:rPr>
      </w:pPr>
      <w:r>
        <w:rPr>
          <w:rFonts w:hint="eastAsia" w:cs="宋体"/>
          <w:color w:val="auto"/>
        </w:rPr>
        <w:t>2.如果不提供详细分项报价将视为没有实质性响应磋商文件。</w:t>
      </w:r>
    </w:p>
    <w:p>
      <w:pPr>
        <w:pStyle w:val="2"/>
        <w:ind w:firstLine="480"/>
        <w:rPr>
          <w:rFonts w:hint="eastAsia" w:cs="宋体"/>
          <w:color w:val="auto"/>
        </w:rPr>
      </w:pPr>
      <w:r>
        <w:rPr>
          <w:rFonts w:hint="eastAsia" w:cs="宋体"/>
          <w:color w:val="auto"/>
        </w:rPr>
        <w:t>3.供应商可适当调整该表格式，但不得减少信息内容。</w:t>
      </w:r>
    </w:p>
    <w:p>
      <w:pPr>
        <w:pStyle w:val="2"/>
        <w:ind w:firstLine="480"/>
        <w:rPr>
          <w:rFonts w:hint="eastAsia" w:cs="宋体"/>
          <w:color w:val="auto"/>
        </w:rPr>
      </w:pPr>
      <w:r>
        <w:rPr>
          <w:rFonts w:hint="eastAsia" w:cs="宋体"/>
          <w:color w:val="auto"/>
        </w:rPr>
        <w:t>4.本表中的中小企业是指供应商为“中型企业”或“小型企业”或“微型企业”（后附证明材料，格式及要求见附件“中小企业声明函（服务）”）</w:t>
      </w:r>
    </w:p>
    <w:p>
      <w:pPr>
        <w:pStyle w:val="2"/>
        <w:ind w:firstLine="3360" w:firstLineChars="1400"/>
        <w:rPr>
          <w:rFonts w:hint="eastAsia" w:cs="宋体"/>
          <w:color w:val="auto"/>
          <w:szCs w:val="24"/>
        </w:rPr>
      </w:pPr>
    </w:p>
    <w:p>
      <w:pPr>
        <w:spacing w:line="440" w:lineRule="exact"/>
        <w:rPr>
          <w:rFonts w:hint="eastAsia" w:ascii="宋体" w:hAnsi="宋体" w:cs="宋体"/>
          <w:color w:val="auto"/>
        </w:rPr>
      </w:pPr>
    </w:p>
    <w:p>
      <w:pPr>
        <w:pStyle w:val="2"/>
        <w:ind w:firstLine="0" w:firstLineChars="0"/>
        <w:rPr>
          <w:rFonts w:hint="eastAsia"/>
          <w:color w:val="auto"/>
          <w:szCs w:val="24"/>
        </w:rPr>
      </w:pPr>
    </w:p>
    <w:p>
      <w:pPr>
        <w:pStyle w:val="5"/>
        <w:rPr>
          <w:rFonts w:hint="eastAsia" w:ascii="宋体" w:hAnsi="宋体" w:cs="宋体"/>
          <w:color w:val="auto"/>
        </w:rPr>
      </w:pPr>
      <w:r>
        <w:rPr>
          <w:rStyle w:val="29"/>
          <w:rFonts w:hint="eastAsia" w:ascii="宋体" w:hAnsi="宋体" w:cs="宋体"/>
          <w:b/>
          <w:color w:val="auto"/>
        </w:rPr>
        <w:br w:type="page"/>
      </w:r>
      <w:r>
        <w:rPr>
          <w:rFonts w:hint="eastAsia" w:ascii="宋体" w:hAnsi="宋体" w:cs="宋体"/>
          <w:color w:val="auto"/>
        </w:rPr>
        <w:t>三、响应方案说明</w:t>
      </w:r>
    </w:p>
    <w:p>
      <w:pPr>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供应商按磋商文件的要求，依据</w:t>
      </w:r>
      <w:r>
        <w:rPr>
          <w:rFonts w:hint="eastAsia" w:ascii="宋体" w:hAnsi="宋体" w:cs="宋体"/>
          <w:b/>
          <w:bCs/>
          <w:color w:val="auto"/>
          <w:sz w:val="24"/>
          <w:szCs w:val="24"/>
        </w:rPr>
        <w:t>第二章“供应商须知”24.3.5综合评审《评审方法及标准》和第三章“采购内容及要求”</w:t>
      </w:r>
      <w:r>
        <w:rPr>
          <w:rFonts w:hint="eastAsia" w:ascii="宋体" w:hAnsi="宋体" w:cs="宋体"/>
          <w:color w:val="auto"/>
          <w:sz w:val="24"/>
          <w:szCs w:val="24"/>
        </w:rPr>
        <w:t>相关内容编写，格式自拟。</w:t>
      </w:r>
      <w:bookmarkStart w:id="115" w:name="_Toc1508"/>
      <w:bookmarkStart w:id="116" w:name="_Toc12596"/>
      <w:bookmarkStart w:id="117" w:name="_Toc7507"/>
      <w:bookmarkStart w:id="118" w:name="_Toc2546"/>
    </w:p>
    <w:p>
      <w:pPr>
        <w:rPr>
          <w:rFonts w:hint="eastAsia" w:ascii="宋体" w:hAnsi="宋体" w:cs="宋体"/>
          <w:color w:val="auto"/>
        </w:rPr>
      </w:pPr>
    </w:p>
    <w:p>
      <w:pPr>
        <w:pStyle w:val="7"/>
        <w:spacing w:before="120" w:after="120"/>
        <w:rPr>
          <w:rStyle w:val="30"/>
          <w:rFonts w:hint="eastAsia"/>
          <w:b/>
          <w:bCs/>
          <w:color w:val="auto"/>
        </w:rPr>
      </w:pPr>
      <w:r>
        <w:rPr>
          <w:rFonts w:hint="eastAsia" w:ascii="宋体" w:hAnsi="宋体" w:cs="宋体"/>
          <w:color w:val="auto"/>
        </w:rPr>
        <w:br w:type="page"/>
      </w:r>
      <w:r>
        <w:rPr>
          <w:rStyle w:val="30"/>
          <w:rFonts w:hint="eastAsia"/>
          <w:b/>
          <w:bCs/>
          <w:color w:val="auto"/>
        </w:rPr>
        <w:t>附表1：</w:t>
      </w:r>
      <w:bookmarkEnd w:id="115"/>
      <w:bookmarkEnd w:id="116"/>
      <w:bookmarkEnd w:id="117"/>
      <w:bookmarkEnd w:id="118"/>
      <w:r>
        <w:rPr>
          <w:rStyle w:val="30"/>
          <w:rFonts w:hint="eastAsia"/>
          <w:b/>
          <w:bCs/>
          <w:color w:val="auto"/>
        </w:rPr>
        <w:t>技术响应偏离表</w:t>
      </w:r>
    </w:p>
    <w:p>
      <w:pPr>
        <w:pStyle w:val="10"/>
        <w:rPr>
          <w:rFonts w:hint="eastAsia" w:ascii="宋体" w:hAnsi="宋体" w:cs="宋体"/>
          <w:color w:val="auto"/>
        </w:rPr>
      </w:pPr>
    </w:p>
    <w:p>
      <w:pPr>
        <w:spacing w:line="336" w:lineRule="auto"/>
        <w:rPr>
          <w:rFonts w:hint="eastAsia"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pPr>
        <w:spacing w:line="440" w:lineRule="exact"/>
        <w:rPr>
          <w:rFonts w:hint="eastAsia"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p>
      <w:pPr>
        <w:pStyle w:val="10"/>
        <w:rPr>
          <w:rFonts w:hint="eastAsia"/>
          <w:color w:val="auto"/>
        </w:rPr>
      </w:pPr>
    </w:p>
    <w:tbl>
      <w:tblPr>
        <w:tblStyle w:val="19"/>
        <w:tblW w:w="97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0"/>
        <w:gridCol w:w="2170"/>
        <w:gridCol w:w="2078"/>
        <w:gridCol w:w="1822"/>
        <w:gridCol w:w="1650"/>
        <w:gridCol w:w="11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850"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2170"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名称</w:t>
            </w:r>
          </w:p>
        </w:tc>
        <w:tc>
          <w:tcPr>
            <w:tcW w:w="2078"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磋商文件要求</w:t>
            </w:r>
          </w:p>
        </w:tc>
        <w:tc>
          <w:tcPr>
            <w:tcW w:w="1822"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响应内容</w:t>
            </w:r>
          </w:p>
        </w:tc>
        <w:tc>
          <w:tcPr>
            <w:tcW w:w="1650" w:type="dxa"/>
            <w:noWrap w:val="0"/>
            <w:vAlign w:val="center"/>
          </w:tcPr>
          <w:p>
            <w:pPr>
              <w:spacing w:line="336" w:lineRule="auto"/>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支持文件索引页（如有）</w:t>
            </w:r>
          </w:p>
        </w:tc>
        <w:tc>
          <w:tcPr>
            <w:tcW w:w="1132"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0" w:type="dxa"/>
            <w:noWrap w:val="0"/>
            <w:vAlign w:val="center"/>
          </w:tcPr>
          <w:p>
            <w:pPr>
              <w:spacing w:line="336" w:lineRule="auto"/>
              <w:jc w:val="center"/>
              <w:rPr>
                <w:rFonts w:hint="eastAsia" w:ascii="宋体" w:hAnsi="宋体" w:cs="宋体"/>
                <w:color w:val="auto"/>
                <w:sz w:val="24"/>
                <w:szCs w:val="24"/>
              </w:rPr>
            </w:pPr>
          </w:p>
        </w:tc>
        <w:tc>
          <w:tcPr>
            <w:tcW w:w="2170" w:type="dxa"/>
            <w:noWrap w:val="0"/>
            <w:vAlign w:val="center"/>
          </w:tcPr>
          <w:p>
            <w:pPr>
              <w:spacing w:line="336" w:lineRule="auto"/>
              <w:jc w:val="center"/>
              <w:rPr>
                <w:rFonts w:hint="eastAsia" w:ascii="宋体" w:hAnsi="宋体" w:cs="宋体"/>
                <w:color w:val="auto"/>
                <w:sz w:val="24"/>
                <w:szCs w:val="24"/>
              </w:rPr>
            </w:pPr>
          </w:p>
        </w:tc>
        <w:tc>
          <w:tcPr>
            <w:tcW w:w="2078" w:type="dxa"/>
            <w:noWrap w:val="0"/>
            <w:vAlign w:val="center"/>
          </w:tcPr>
          <w:p>
            <w:pPr>
              <w:spacing w:line="336" w:lineRule="auto"/>
              <w:jc w:val="center"/>
              <w:rPr>
                <w:rFonts w:hint="eastAsia" w:ascii="宋体" w:hAnsi="宋体" w:cs="宋体"/>
                <w:color w:val="auto"/>
                <w:sz w:val="24"/>
                <w:szCs w:val="24"/>
              </w:rPr>
            </w:pPr>
          </w:p>
        </w:tc>
        <w:tc>
          <w:tcPr>
            <w:tcW w:w="1822" w:type="dxa"/>
            <w:noWrap w:val="0"/>
            <w:vAlign w:val="center"/>
          </w:tcPr>
          <w:p>
            <w:pPr>
              <w:spacing w:line="336" w:lineRule="auto"/>
              <w:jc w:val="center"/>
              <w:rPr>
                <w:rFonts w:hint="eastAsia" w:ascii="宋体" w:hAnsi="宋体" w:cs="宋体"/>
                <w:color w:val="auto"/>
                <w:sz w:val="24"/>
                <w:szCs w:val="24"/>
              </w:rPr>
            </w:pPr>
          </w:p>
        </w:tc>
        <w:tc>
          <w:tcPr>
            <w:tcW w:w="1650" w:type="dxa"/>
            <w:noWrap w:val="0"/>
            <w:vAlign w:val="center"/>
          </w:tcPr>
          <w:p>
            <w:pPr>
              <w:spacing w:line="336" w:lineRule="auto"/>
              <w:jc w:val="center"/>
              <w:rPr>
                <w:rFonts w:hint="eastAsia" w:ascii="宋体" w:hAnsi="宋体" w:cs="宋体"/>
                <w:color w:val="auto"/>
                <w:sz w:val="24"/>
                <w:szCs w:val="24"/>
              </w:rPr>
            </w:pPr>
          </w:p>
        </w:tc>
        <w:tc>
          <w:tcPr>
            <w:tcW w:w="1132" w:type="dxa"/>
            <w:noWrap w:val="0"/>
            <w:vAlign w:val="center"/>
          </w:tcPr>
          <w:p>
            <w:pPr>
              <w:spacing w:line="336" w:lineRule="auto"/>
              <w:jc w:val="center"/>
              <w:rPr>
                <w:rFonts w:hint="eastAsia" w:ascii="宋体" w:hAnsi="宋体" w:cs="宋体"/>
                <w:color w:val="auto"/>
                <w:sz w:val="24"/>
                <w:szCs w:val="24"/>
              </w:rPr>
            </w:pPr>
          </w:p>
        </w:tc>
      </w:tr>
    </w:tbl>
    <w:p>
      <w:pPr>
        <w:spacing w:line="336" w:lineRule="auto"/>
        <w:rPr>
          <w:rFonts w:hint="eastAsia" w:ascii="宋体" w:hAnsi="宋体" w:cs="宋体"/>
          <w:color w:val="auto"/>
          <w:sz w:val="24"/>
          <w:szCs w:val="24"/>
        </w:rPr>
      </w:pPr>
    </w:p>
    <w:p>
      <w:pPr>
        <w:spacing w:line="336" w:lineRule="auto"/>
        <w:ind w:right="-161" w:firstLine="3120" w:firstLineChars="13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（公章）</w:t>
      </w:r>
    </w:p>
    <w:p>
      <w:pPr>
        <w:spacing w:line="336" w:lineRule="auto"/>
        <w:ind w:right="-161" w:firstLine="3120" w:firstLineChars="13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wordWrap w:val="0"/>
        <w:spacing w:line="336" w:lineRule="auto"/>
        <w:ind w:right="-159" w:firstLine="3120" w:firstLineChars="1300"/>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p>
    <w:p>
      <w:pPr>
        <w:spacing w:line="360" w:lineRule="auto"/>
        <w:rPr>
          <w:rFonts w:hint="eastAsia" w:ascii="宋体" w:hAnsi="宋体" w:cs="宋体"/>
          <w:b/>
          <w:bCs/>
          <w:color w:val="auto"/>
          <w:szCs w:val="21"/>
        </w:rPr>
      </w:pPr>
      <w:r>
        <w:rPr>
          <w:rFonts w:hint="eastAsia" w:ascii="宋体" w:hAnsi="宋体" w:cs="宋体"/>
          <w:b/>
          <w:bCs/>
          <w:color w:val="auto"/>
          <w:szCs w:val="21"/>
        </w:rPr>
        <w:t>注：</w:t>
      </w:r>
    </w:p>
    <w:p>
      <w:pPr>
        <w:pStyle w:val="2"/>
        <w:ind w:firstLine="420"/>
        <w:rPr>
          <w:rFonts w:hint="eastAsia" w:cs="宋体"/>
          <w:color w:val="auto"/>
          <w:sz w:val="21"/>
          <w:szCs w:val="21"/>
        </w:rPr>
      </w:pPr>
      <w:r>
        <w:rPr>
          <w:rFonts w:hint="eastAsia" w:cs="宋体"/>
          <w:color w:val="auto"/>
          <w:sz w:val="21"/>
          <w:szCs w:val="21"/>
        </w:rPr>
        <w:t>1.磋商文件要求指磋商文件第三章“采购内容及要求”中</w:t>
      </w:r>
      <w:r>
        <w:rPr>
          <w:rFonts w:hint="eastAsia" w:cs="宋体"/>
          <w:b/>
          <w:bCs/>
          <w:color w:val="auto"/>
          <w:sz w:val="21"/>
          <w:szCs w:val="21"/>
          <w:lang w:val="en-US" w:eastAsia="zh-CN"/>
        </w:rPr>
        <w:t>一</w:t>
      </w:r>
      <w:r>
        <w:rPr>
          <w:rFonts w:hint="eastAsia" w:cs="宋体"/>
          <w:b/>
          <w:bCs/>
          <w:color w:val="auto"/>
          <w:sz w:val="21"/>
          <w:szCs w:val="21"/>
        </w:rPr>
        <w:t>、</w:t>
      </w:r>
      <w:r>
        <w:rPr>
          <w:rFonts w:hint="eastAsia" w:cs="宋体"/>
          <w:b/>
          <w:bCs/>
          <w:color w:val="auto"/>
          <w:sz w:val="21"/>
          <w:szCs w:val="21"/>
          <w:lang w:val="en-US" w:eastAsia="zh-CN"/>
        </w:rPr>
        <w:t>采购内容</w:t>
      </w:r>
      <w:r>
        <w:rPr>
          <w:rFonts w:hint="eastAsia" w:cs="宋体"/>
          <w:color w:val="auto"/>
          <w:sz w:val="21"/>
          <w:szCs w:val="21"/>
        </w:rPr>
        <w:t>及</w:t>
      </w:r>
      <w:r>
        <w:rPr>
          <w:rFonts w:hint="eastAsia" w:cs="宋体"/>
          <w:b/>
          <w:bCs/>
          <w:color w:val="auto"/>
          <w:sz w:val="21"/>
          <w:szCs w:val="21"/>
          <w:lang w:val="en-US" w:eastAsia="zh-CN"/>
        </w:rPr>
        <w:t>二</w:t>
      </w:r>
      <w:r>
        <w:rPr>
          <w:rFonts w:hint="eastAsia" w:cs="宋体"/>
          <w:b/>
          <w:bCs/>
          <w:color w:val="auto"/>
          <w:sz w:val="21"/>
          <w:szCs w:val="21"/>
        </w:rPr>
        <w:t>、项目外包服务要求</w:t>
      </w:r>
      <w:r>
        <w:rPr>
          <w:rFonts w:hint="eastAsia" w:cs="宋体"/>
          <w:color w:val="auto"/>
          <w:sz w:val="21"/>
          <w:szCs w:val="21"/>
        </w:rPr>
        <w:t>所列内容，供应商应按照磋商文件中的内容逐项响应。</w:t>
      </w:r>
    </w:p>
    <w:p>
      <w:pPr>
        <w:pStyle w:val="2"/>
        <w:ind w:firstLine="420"/>
        <w:rPr>
          <w:rFonts w:hint="eastAsia" w:cs="宋体"/>
          <w:color w:val="auto"/>
          <w:sz w:val="21"/>
          <w:szCs w:val="21"/>
        </w:rPr>
      </w:pPr>
      <w:r>
        <w:rPr>
          <w:rFonts w:hint="eastAsia" w:cs="宋体"/>
          <w:color w:val="auto"/>
          <w:sz w:val="21"/>
          <w:szCs w:val="21"/>
        </w:rPr>
        <w:t>2.响应内容指供应商拟提供的响应内容,供应商应逐条如实填写并提供相应的支持文件。</w:t>
      </w:r>
    </w:p>
    <w:p>
      <w:pPr>
        <w:pStyle w:val="2"/>
        <w:ind w:firstLine="420"/>
        <w:rPr>
          <w:rFonts w:hint="eastAsia" w:cs="宋体"/>
          <w:color w:val="auto"/>
          <w:sz w:val="21"/>
          <w:szCs w:val="21"/>
        </w:rPr>
      </w:pPr>
      <w:r>
        <w:rPr>
          <w:rFonts w:hint="eastAsia" w:cs="宋体"/>
          <w:color w:val="auto"/>
          <w:sz w:val="21"/>
          <w:szCs w:val="21"/>
        </w:rPr>
        <w:t>3.偏离说明填写：优于、满足或低于。</w:t>
      </w:r>
    </w:p>
    <w:p>
      <w:pPr>
        <w:pStyle w:val="2"/>
        <w:ind w:firstLine="420"/>
        <w:rPr>
          <w:rFonts w:hint="eastAsia" w:cs="宋体"/>
          <w:color w:val="auto"/>
          <w:sz w:val="21"/>
          <w:szCs w:val="21"/>
        </w:rPr>
      </w:pPr>
      <w:r>
        <w:rPr>
          <w:rFonts w:hint="eastAsia" w:cs="宋体"/>
          <w:color w:val="auto"/>
          <w:sz w:val="21"/>
          <w:szCs w:val="21"/>
        </w:rPr>
        <w:t>4.供应商所填写的“偏离情况”与磋商小组判定不一致时，以磋商小组意见为主。</w:t>
      </w:r>
    </w:p>
    <w:p>
      <w:pPr>
        <w:pStyle w:val="2"/>
        <w:ind w:firstLine="420"/>
        <w:rPr>
          <w:rFonts w:hint="eastAsia" w:cs="宋体"/>
          <w:color w:val="auto"/>
          <w:sz w:val="21"/>
          <w:szCs w:val="21"/>
        </w:rPr>
      </w:pPr>
      <w:r>
        <w:rPr>
          <w:rFonts w:hint="eastAsia" w:cs="宋体"/>
          <w:color w:val="auto"/>
          <w:sz w:val="21"/>
          <w:szCs w:val="21"/>
        </w:rPr>
        <w:t>5.供应商必须据实填写，不得虚假响应，否则将取消其投标或中标（成交）资格。</w:t>
      </w:r>
    </w:p>
    <w:p>
      <w:pPr>
        <w:pStyle w:val="7"/>
        <w:spacing w:before="120" w:after="120"/>
        <w:rPr>
          <w:rStyle w:val="27"/>
          <w:rFonts w:hint="eastAsia" w:ascii="宋体" w:hAnsi="宋体" w:cs="宋体"/>
          <w:b/>
          <w:bCs/>
          <w:color w:val="auto"/>
        </w:rPr>
      </w:pPr>
      <w:r>
        <w:rPr>
          <w:rStyle w:val="27"/>
          <w:rFonts w:hint="eastAsia" w:ascii="宋体" w:hAnsi="宋体" w:cs="宋体"/>
          <w:b/>
          <w:bCs/>
          <w:color w:val="auto"/>
        </w:rPr>
        <w:br w:type="page"/>
      </w:r>
      <w:r>
        <w:rPr>
          <w:rStyle w:val="30"/>
          <w:rFonts w:hint="eastAsia"/>
          <w:b/>
          <w:bCs/>
          <w:color w:val="auto"/>
        </w:rPr>
        <w:t>附表2：</w:t>
      </w:r>
      <w:r>
        <w:rPr>
          <w:rStyle w:val="27"/>
          <w:rFonts w:hint="eastAsia" w:ascii="宋体" w:hAnsi="宋体" w:cs="宋体"/>
          <w:b/>
          <w:bCs/>
          <w:color w:val="auto"/>
        </w:rPr>
        <w:t>业绩一览表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7"/>
        <w:gridCol w:w="3663"/>
        <w:gridCol w:w="2241"/>
        <w:gridCol w:w="2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项目名称</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合同金额</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rPr>
            </w:pPr>
          </w:p>
        </w:tc>
      </w:tr>
    </w:tbl>
    <w:p>
      <w:pPr>
        <w:rPr>
          <w:rFonts w:hint="eastAsia" w:ascii="宋体" w:hAnsi="宋体" w:eastAsia="宋体" w:cs="宋体"/>
          <w:color w:val="auto"/>
          <w:kern w:val="0"/>
          <w:sz w:val="21"/>
          <w:szCs w:val="21"/>
          <w:lang w:val="en-US" w:eastAsia="zh-CN" w:bidi="ar-SA"/>
        </w:rPr>
      </w:pPr>
    </w:p>
    <w:p>
      <w:pPr>
        <w:pStyle w:val="2"/>
        <w:ind w:firstLine="0" w:firstLineChars="0"/>
        <w:rPr>
          <w:rFonts w:hint="eastAsia" w:ascii="宋体" w:hAnsi="宋体" w:eastAsia="宋体" w:cs="Times New Roman"/>
          <w:b w:val="0"/>
          <w:bCs w:val="0"/>
          <w:color w:val="auto"/>
          <w:lang w:val="en-US" w:eastAsia="zh-CN"/>
        </w:rPr>
      </w:pPr>
      <w:r>
        <w:rPr>
          <w:rFonts w:hint="eastAsia" w:ascii="宋体" w:hAnsi="宋体" w:eastAsia="宋体" w:cs="Times New Roman"/>
          <w:b/>
          <w:bCs/>
          <w:color w:val="auto"/>
          <w:lang w:val="en-US" w:eastAsia="zh-CN"/>
        </w:rPr>
        <w:t>注：</w:t>
      </w:r>
      <w:r>
        <w:rPr>
          <w:rFonts w:hint="eastAsia" w:ascii="宋体" w:hAnsi="宋体" w:eastAsia="宋体" w:cs="Times New Roman"/>
          <w:b w:val="0"/>
          <w:bCs w:val="0"/>
          <w:color w:val="auto"/>
          <w:lang w:val="en-US" w:eastAsia="zh-CN"/>
        </w:rPr>
        <w:t>须根据《评审方法及标准》附证明材料。</w:t>
      </w:r>
    </w:p>
    <w:p>
      <w:pPr>
        <w:pStyle w:val="7"/>
        <w:spacing w:before="120" w:after="120"/>
        <w:rPr>
          <w:rStyle w:val="31"/>
          <w:rFonts w:ascii="宋体" w:hAnsi="宋体" w:cs="宋体"/>
          <w:b/>
          <w:color w:val="auto"/>
        </w:rPr>
      </w:pPr>
      <w:r>
        <w:rPr>
          <w:rFonts w:hint="eastAsia"/>
          <w:color w:val="auto"/>
        </w:rPr>
        <w:br w:type="page"/>
      </w:r>
      <w:r>
        <w:rPr>
          <w:rStyle w:val="27"/>
          <w:rFonts w:hint="eastAsia"/>
          <w:b/>
          <w:bCs/>
          <w:color w:val="auto"/>
        </w:rPr>
        <w:t>附表3  本项目拟投入人员汇总表</w:t>
      </w:r>
    </w:p>
    <w:p>
      <w:pPr>
        <w:pStyle w:val="25"/>
        <w:rPr>
          <w:b/>
          <w:bCs/>
          <w:color w:val="auto"/>
        </w:rPr>
      </w:pPr>
      <w:bookmarkStart w:id="119" w:name="_Toc14631"/>
      <w:bookmarkStart w:id="120" w:name="_Toc403077652"/>
      <w:bookmarkStart w:id="121" w:name="_Toc19082"/>
      <w:bookmarkStart w:id="122" w:name="_Toc13827"/>
      <w:bookmarkStart w:id="123" w:name="_Toc4115"/>
      <w:bookmarkStart w:id="124" w:name="_Toc17592"/>
      <w:bookmarkStart w:id="125" w:name="_Toc25551"/>
      <w:bookmarkStart w:id="126" w:name="_Toc214"/>
      <w:bookmarkStart w:id="127" w:name="_Toc26523"/>
      <w:bookmarkStart w:id="128" w:name="_Toc396304714"/>
      <w:bookmarkStart w:id="129" w:name="_Toc426457710"/>
      <w:bookmarkStart w:id="130" w:name="_Toc2768"/>
      <w:r>
        <w:rPr>
          <w:rFonts w:hint="eastAsia"/>
          <w:b/>
          <w:bCs/>
          <w:color w:val="auto"/>
        </w:rPr>
        <w:t>（一）本项目拟投入人员汇总表</w:t>
      </w:r>
      <w:bookmarkEnd w:id="119"/>
      <w:bookmarkEnd w:id="120"/>
      <w:bookmarkEnd w:id="121"/>
      <w:bookmarkEnd w:id="122"/>
      <w:bookmarkEnd w:id="123"/>
      <w:bookmarkEnd w:id="124"/>
      <w:bookmarkEnd w:id="125"/>
      <w:bookmarkEnd w:id="126"/>
      <w:bookmarkEnd w:id="127"/>
      <w:bookmarkEnd w:id="128"/>
      <w:bookmarkEnd w:id="129"/>
      <w:bookmarkEnd w:id="130"/>
    </w:p>
    <w:tbl>
      <w:tblPr>
        <w:tblStyle w:val="19"/>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序号</w:t>
            </w:r>
          </w:p>
        </w:tc>
        <w:tc>
          <w:tcPr>
            <w:tcW w:w="1240"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姓  名</w:t>
            </w:r>
          </w:p>
        </w:tc>
        <w:tc>
          <w:tcPr>
            <w:tcW w:w="570"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性别</w:t>
            </w:r>
          </w:p>
        </w:tc>
        <w:tc>
          <w:tcPr>
            <w:tcW w:w="570"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年龄</w:t>
            </w:r>
          </w:p>
        </w:tc>
        <w:tc>
          <w:tcPr>
            <w:tcW w:w="570"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学历</w:t>
            </w:r>
          </w:p>
        </w:tc>
        <w:tc>
          <w:tcPr>
            <w:tcW w:w="835"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技术</w:t>
            </w:r>
          </w:p>
          <w:p>
            <w:pPr>
              <w:pStyle w:val="25"/>
              <w:rPr>
                <w:rFonts w:cs="宋体"/>
                <w:b/>
                <w:bCs/>
                <w:color w:val="auto"/>
                <w:kern w:val="2"/>
                <w:szCs w:val="22"/>
                <w:lang w:val="en-US" w:eastAsia="zh-CN"/>
              </w:rPr>
            </w:pPr>
            <w:r>
              <w:rPr>
                <w:rFonts w:hint="eastAsia" w:cs="宋体"/>
                <w:b/>
                <w:bCs/>
                <w:color w:val="auto"/>
                <w:kern w:val="2"/>
                <w:szCs w:val="22"/>
                <w:lang w:val="en-US" w:eastAsia="zh-CN"/>
              </w:rPr>
              <w:t>职称</w:t>
            </w:r>
          </w:p>
        </w:tc>
        <w:tc>
          <w:tcPr>
            <w:tcW w:w="1157" w:type="dxa"/>
            <w:noWrap w:val="0"/>
            <w:tcMar>
              <w:top w:w="15" w:type="dxa"/>
              <w:left w:w="15" w:type="dxa"/>
              <w:bottom w:w="0" w:type="dxa"/>
              <w:right w:w="15" w:type="dxa"/>
            </w:tcMar>
            <w:vAlign w:val="top"/>
          </w:tcPr>
          <w:p>
            <w:pPr>
              <w:pStyle w:val="25"/>
              <w:rPr>
                <w:rFonts w:cs="宋体"/>
                <w:b/>
                <w:bCs/>
                <w:color w:val="auto"/>
                <w:kern w:val="2"/>
                <w:szCs w:val="22"/>
                <w:lang w:val="en-US" w:eastAsia="zh-CN"/>
              </w:rPr>
            </w:pPr>
            <w:r>
              <w:rPr>
                <w:rFonts w:hint="eastAsia" w:cs="宋体"/>
                <w:b/>
                <w:bCs/>
                <w:color w:val="auto"/>
                <w:kern w:val="2"/>
                <w:szCs w:val="22"/>
                <w:lang w:val="en-US" w:eastAsia="zh-CN"/>
              </w:rPr>
              <w:t>资格证</w:t>
            </w:r>
          </w:p>
          <w:p>
            <w:pPr>
              <w:pStyle w:val="25"/>
              <w:rPr>
                <w:rFonts w:cs="宋体"/>
                <w:b/>
                <w:bCs/>
                <w:color w:val="auto"/>
                <w:kern w:val="2"/>
                <w:szCs w:val="22"/>
                <w:lang w:val="en-US" w:eastAsia="zh-CN"/>
              </w:rPr>
            </w:pPr>
            <w:r>
              <w:rPr>
                <w:rFonts w:hint="eastAsia" w:cs="宋体"/>
                <w:b/>
                <w:bCs/>
                <w:color w:val="auto"/>
                <w:kern w:val="2"/>
                <w:szCs w:val="22"/>
                <w:lang w:val="en-US" w:eastAsia="zh-CN"/>
              </w:rPr>
              <w:t>书种类</w:t>
            </w:r>
          </w:p>
        </w:tc>
        <w:tc>
          <w:tcPr>
            <w:tcW w:w="748"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工作</w:t>
            </w:r>
          </w:p>
          <w:p>
            <w:pPr>
              <w:pStyle w:val="25"/>
              <w:rPr>
                <w:rFonts w:cs="宋体"/>
                <w:b/>
                <w:bCs/>
                <w:color w:val="auto"/>
                <w:kern w:val="2"/>
                <w:szCs w:val="22"/>
                <w:lang w:val="en-US" w:eastAsia="zh-CN"/>
              </w:rPr>
            </w:pPr>
            <w:r>
              <w:rPr>
                <w:rFonts w:hint="eastAsia" w:cs="宋体"/>
                <w:b/>
                <w:bCs/>
                <w:color w:val="auto"/>
                <w:kern w:val="2"/>
                <w:szCs w:val="22"/>
                <w:lang w:val="en-US" w:eastAsia="zh-CN"/>
              </w:rPr>
              <w:t>年限</w:t>
            </w:r>
          </w:p>
        </w:tc>
        <w:tc>
          <w:tcPr>
            <w:tcW w:w="1877"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拟担任的职务</w:t>
            </w:r>
          </w:p>
        </w:tc>
        <w:tc>
          <w:tcPr>
            <w:tcW w:w="680" w:type="dxa"/>
            <w:noWrap w:val="0"/>
            <w:tcMar>
              <w:top w:w="15" w:type="dxa"/>
              <w:left w:w="15" w:type="dxa"/>
              <w:bottom w:w="0" w:type="dxa"/>
              <w:right w:w="15" w:type="dxa"/>
            </w:tcMar>
            <w:vAlign w:val="center"/>
          </w:tcPr>
          <w:p>
            <w:pPr>
              <w:pStyle w:val="25"/>
              <w:rPr>
                <w:rFonts w:cs="宋体"/>
                <w:b/>
                <w:bCs/>
                <w:color w:val="auto"/>
                <w:kern w:val="2"/>
                <w:szCs w:val="22"/>
                <w:lang w:val="en-US" w:eastAsia="zh-CN"/>
              </w:rPr>
            </w:pPr>
            <w:r>
              <w:rPr>
                <w:rFonts w:hint="eastAsia" w:cs="宋体"/>
                <w:b/>
                <w:bCs/>
                <w:color w:val="auto"/>
                <w:kern w:val="2"/>
                <w:szCs w:val="22"/>
                <w:lang w:val="en-US" w:eastAsia="zh-CN"/>
              </w:rPr>
              <w:t>岗位</w:t>
            </w:r>
          </w:p>
          <w:p>
            <w:pPr>
              <w:pStyle w:val="25"/>
              <w:rPr>
                <w:rFonts w:cs="宋体"/>
                <w:b/>
                <w:bCs/>
                <w:color w:val="auto"/>
                <w:kern w:val="2"/>
                <w:szCs w:val="22"/>
                <w:lang w:val="en-US" w:eastAsia="zh-CN"/>
              </w:rPr>
            </w:pPr>
            <w:r>
              <w:rPr>
                <w:rFonts w:hint="eastAsia" w:cs="宋体"/>
                <w:b/>
                <w:bCs/>
                <w:color w:val="auto"/>
                <w:kern w:val="2"/>
                <w:szCs w:val="22"/>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24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57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835"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157" w:type="dxa"/>
            <w:noWrap w:val="0"/>
            <w:tcMar>
              <w:top w:w="15" w:type="dxa"/>
              <w:left w:w="15" w:type="dxa"/>
              <w:bottom w:w="0" w:type="dxa"/>
              <w:right w:w="15" w:type="dxa"/>
            </w:tcMar>
            <w:vAlign w:val="top"/>
          </w:tcPr>
          <w:p>
            <w:pPr>
              <w:pStyle w:val="25"/>
              <w:rPr>
                <w:rFonts w:cs="宋体"/>
                <w:color w:val="auto"/>
                <w:kern w:val="2"/>
                <w:szCs w:val="22"/>
                <w:lang w:val="en-US" w:eastAsia="zh-CN"/>
              </w:rPr>
            </w:pPr>
          </w:p>
        </w:tc>
        <w:tc>
          <w:tcPr>
            <w:tcW w:w="748"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1877" w:type="dxa"/>
            <w:noWrap w:val="0"/>
            <w:tcMar>
              <w:top w:w="15" w:type="dxa"/>
              <w:left w:w="15" w:type="dxa"/>
              <w:bottom w:w="0" w:type="dxa"/>
              <w:right w:w="15" w:type="dxa"/>
            </w:tcMar>
            <w:vAlign w:val="bottom"/>
          </w:tcPr>
          <w:p>
            <w:pPr>
              <w:pStyle w:val="25"/>
              <w:rPr>
                <w:rFonts w:cs="宋体"/>
                <w:color w:val="auto"/>
                <w:kern w:val="2"/>
                <w:szCs w:val="22"/>
                <w:lang w:val="en-US" w:eastAsia="zh-CN"/>
              </w:rPr>
            </w:pPr>
          </w:p>
        </w:tc>
        <w:tc>
          <w:tcPr>
            <w:tcW w:w="680" w:type="dxa"/>
            <w:noWrap w:val="0"/>
            <w:tcMar>
              <w:top w:w="15" w:type="dxa"/>
              <w:left w:w="15" w:type="dxa"/>
              <w:bottom w:w="0" w:type="dxa"/>
              <w:right w:w="15" w:type="dxa"/>
            </w:tcMar>
            <w:vAlign w:val="bottom"/>
          </w:tcPr>
          <w:p>
            <w:pPr>
              <w:pStyle w:val="25"/>
              <w:rPr>
                <w:rFonts w:cs="宋体"/>
                <w:color w:val="auto"/>
                <w:kern w:val="2"/>
                <w:szCs w:val="22"/>
                <w:lang w:val="en-US" w:eastAsia="zh-CN"/>
              </w:rPr>
            </w:pPr>
          </w:p>
        </w:tc>
      </w:tr>
    </w:tbl>
    <w:p>
      <w:pPr>
        <w:pStyle w:val="2"/>
        <w:ind w:firstLine="480"/>
        <w:rPr>
          <w:color w:val="auto"/>
        </w:rPr>
      </w:pPr>
    </w:p>
    <w:p>
      <w:pPr>
        <w:pStyle w:val="2"/>
        <w:ind w:firstLine="0" w:firstLineChars="0"/>
        <w:rPr>
          <w:b/>
          <w:bCs/>
          <w:color w:val="auto"/>
        </w:rPr>
      </w:pPr>
      <w:r>
        <w:rPr>
          <w:rFonts w:hint="eastAsia"/>
          <w:b/>
          <w:bCs/>
          <w:color w:val="auto"/>
        </w:rPr>
        <w:t>注：</w:t>
      </w:r>
    </w:p>
    <w:p>
      <w:pPr>
        <w:pStyle w:val="2"/>
        <w:ind w:firstLine="480"/>
        <w:rPr>
          <w:color w:val="auto"/>
        </w:rPr>
      </w:pPr>
      <w:r>
        <w:rPr>
          <w:rFonts w:hint="eastAsia"/>
          <w:color w:val="auto"/>
        </w:rPr>
        <w:t>1.“岗位情况”须注明该人在本单位是在岗、返聘还是外聘。</w:t>
      </w:r>
    </w:p>
    <w:p>
      <w:pPr>
        <w:pStyle w:val="2"/>
        <w:ind w:firstLine="480"/>
        <w:rPr>
          <w:color w:val="auto"/>
          <w:szCs w:val="21"/>
        </w:rPr>
      </w:pPr>
      <w:r>
        <w:rPr>
          <w:rFonts w:hint="eastAsia"/>
          <w:color w:val="auto"/>
        </w:rPr>
        <w:t>2.供应商可适当调整该表格式，但不得减少信息内容。</w:t>
      </w:r>
      <w:bookmarkStart w:id="131" w:name="_Toc225415861"/>
      <w:bookmarkStart w:id="132" w:name="_Toc4548"/>
      <w:bookmarkStart w:id="133" w:name="_Toc225410182"/>
      <w:bookmarkStart w:id="134" w:name="_Toc396304715"/>
      <w:bookmarkStart w:id="135" w:name="_Toc225415660"/>
      <w:bookmarkStart w:id="136" w:name="_Toc225416062"/>
      <w:bookmarkStart w:id="137" w:name="_Toc225412374"/>
      <w:bookmarkStart w:id="138" w:name="_Toc403077653"/>
      <w:bookmarkStart w:id="139" w:name="_Toc26060"/>
      <w:bookmarkStart w:id="140" w:name="_Toc426457711"/>
      <w:bookmarkStart w:id="141" w:name="_Toc8175"/>
      <w:bookmarkStart w:id="142" w:name="_Toc341541376"/>
      <w:bookmarkStart w:id="143" w:name="_Toc15882"/>
      <w:bookmarkStart w:id="144" w:name="_Toc225567482"/>
      <w:bookmarkStart w:id="145" w:name="_Toc225412172"/>
      <w:bookmarkStart w:id="146" w:name="_Toc225409966"/>
      <w:bookmarkStart w:id="147" w:name="_Toc225410808"/>
      <w:bookmarkStart w:id="148" w:name="_Toc6668"/>
      <w:bookmarkStart w:id="149" w:name="_Toc5833"/>
      <w:bookmarkStart w:id="150" w:name="_Toc14010"/>
      <w:bookmarkStart w:id="151" w:name="_Toc225566702"/>
      <w:bookmarkStart w:id="152" w:name="_Toc225566883"/>
      <w:bookmarkStart w:id="153" w:name="_Toc5691"/>
      <w:bookmarkStart w:id="154" w:name="_Toc16685"/>
    </w:p>
    <w:p>
      <w:pPr>
        <w:pStyle w:val="25"/>
        <w:rPr>
          <w:rStyle w:val="32"/>
          <w:b/>
          <w:bCs/>
          <w:color w:val="auto"/>
        </w:rPr>
      </w:pPr>
      <w:r>
        <w:rPr>
          <w:rFonts w:hint="eastAsia"/>
          <w:color w:val="auto"/>
          <w:szCs w:val="24"/>
        </w:rPr>
        <w:br w:type="page"/>
      </w:r>
      <w:r>
        <w:rPr>
          <w:rStyle w:val="32"/>
          <w:rFonts w:hint="eastAsia"/>
          <w:b/>
          <w:bCs/>
          <w:color w:val="auto"/>
        </w:rPr>
        <w:t>（二） 本项目拟投入主要人员简历表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姓  名</w:t>
            </w:r>
          </w:p>
        </w:tc>
        <w:tc>
          <w:tcPr>
            <w:tcW w:w="1577" w:type="dxa"/>
            <w:noWrap w:val="0"/>
            <w:vAlign w:val="center"/>
          </w:tcPr>
          <w:p>
            <w:pPr>
              <w:pStyle w:val="25"/>
              <w:rPr>
                <w:rFonts w:cs="宋体"/>
                <w:color w:val="auto"/>
                <w:kern w:val="2"/>
                <w:szCs w:val="22"/>
                <w:lang w:val="en-US" w:eastAsia="zh-CN"/>
              </w:rPr>
            </w:pPr>
          </w:p>
        </w:tc>
        <w:tc>
          <w:tcPr>
            <w:tcW w:w="1525"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性 别</w:t>
            </w:r>
          </w:p>
        </w:tc>
        <w:tc>
          <w:tcPr>
            <w:tcW w:w="1331" w:type="dxa"/>
            <w:gridSpan w:val="2"/>
            <w:noWrap w:val="0"/>
            <w:vAlign w:val="center"/>
          </w:tcPr>
          <w:p>
            <w:pPr>
              <w:pStyle w:val="25"/>
              <w:rPr>
                <w:rFonts w:cs="宋体"/>
                <w:color w:val="auto"/>
                <w:kern w:val="2"/>
                <w:szCs w:val="22"/>
                <w:lang w:val="en-US" w:eastAsia="zh-CN"/>
              </w:rPr>
            </w:pPr>
          </w:p>
        </w:tc>
        <w:tc>
          <w:tcPr>
            <w:tcW w:w="1709"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年 龄</w:t>
            </w:r>
          </w:p>
        </w:tc>
        <w:tc>
          <w:tcPr>
            <w:tcW w:w="1139" w:type="dxa"/>
            <w:gridSpan w:val="2"/>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职  称</w:t>
            </w:r>
          </w:p>
        </w:tc>
        <w:tc>
          <w:tcPr>
            <w:tcW w:w="1577" w:type="dxa"/>
            <w:noWrap w:val="0"/>
            <w:vAlign w:val="center"/>
          </w:tcPr>
          <w:p>
            <w:pPr>
              <w:pStyle w:val="25"/>
              <w:rPr>
                <w:rFonts w:cs="宋体"/>
                <w:color w:val="auto"/>
                <w:kern w:val="2"/>
                <w:szCs w:val="22"/>
                <w:lang w:val="en-US" w:eastAsia="zh-CN"/>
              </w:rPr>
            </w:pPr>
          </w:p>
        </w:tc>
        <w:tc>
          <w:tcPr>
            <w:tcW w:w="1525"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身份证号</w:t>
            </w:r>
          </w:p>
        </w:tc>
        <w:tc>
          <w:tcPr>
            <w:tcW w:w="1331" w:type="dxa"/>
            <w:gridSpan w:val="2"/>
            <w:noWrap w:val="0"/>
            <w:vAlign w:val="center"/>
          </w:tcPr>
          <w:p>
            <w:pPr>
              <w:pStyle w:val="25"/>
              <w:rPr>
                <w:rFonts w:cs="宋体"/>
                <w:color w:val="auto"/>
                <w:kern w:val="2"/>
                <w:szCs w:val="22"/>
                <w:lang w:val="en-US" w:eastAsia="zh-CN"/>
              </w:rPr>
            </w:pPr>
          </w:p>
        </w:tc>
        <w:tc>
          <w:tcPr>
            <w:tcW w:w="1709"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专业/年限</w:t>
            </w:r>
          </w:p>
        </w:tc>
        <w:tc>
          <w:tcPr>
            <w:tcW w:w="1139" w:type="dxa"/>
            <w:gridSpan w:val="2"/>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毕业时间</w:t>
            </w:r>
          </w:p>
        </w:tc>
        <w:tc>
          <w:tcPr>
            <w:tcW w:w="1577" w:type="dxa"/>
            <w:noWrap w:val="0"/>
            <w:vAlign w:val="center"/>
          </w:tcPr>
          <w:p>
            <w:pPr>
              <w:pStyle w:val="25"/>
              <w:rPr>
                <w:rFonts w:cs="宋体"/>
                <w:color w:val="auto"/>
                <w:kern w:val="2"/>
                <w:szCs w:val="22"/>
                <w:lang w:val="en-US" w:eastAsia="zh-CN"/>
              </w:rPr>
            </w:pPr>
          </w:p>
        </w:tc>
        <w:tc>
          <w:tcPr>
            <w:tcW w:w="1525"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毕业学校</w:t>
            </w:r>
          </w:p>
        </w:tc>
        <w:tc>
          <w:tcPr>
            <w:tcW w:w="1331" w:type="dxa"/>
            <w:gridSpan w:val="2"/>
            <w:noWrap w:val="0"/>
            <w:vAlign w:val="center"/>
          </w:tcPr>
          <w:p>
            <w:pPr>
              <w:pStyle w:val="25"/>
              <w:rPr>
                <w:rFonts w:cs="宋体"/>
                <w:color w:val="auto"/>
                <w:kern w:val="2"/>
                <w:szCs w:val="22"/>
                <w:lang w:val="en-US" w:eastAsia="zh-CN"/>
              </w:rPr>
            </w:pPr>
          </w:p>
        </w:tc>
        <w:tc>
          <w:tcPr>
            <w:tcW w:w="1709"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学历/专业</w:t>
            </w:r>
          </w:p>
        </w:tc>
        <w:tc>
          <w:tcPr>
            <w:tcW w:w="1139" w:type="dxa"/>
            <w:gridSpan w:val="2"/>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资格证书</w:t>
            </w:r>
          </w:p>
        </w:tc>
        <w:tc>
          <w:tcPr>
            <w:tcW w:w="1577" w:type="dxa"/>
            <w:noWrap w:val="0"/>
            <w:vAlign w:val="center"/>
          </w:tcPr>
          <w:p>
            <w:pPr>
              <w:pStyle w:val="25"/>
              <w:rPr>
                <w:rFonts w:cs="宋体"/>
                <w:color w:val="auto"/>
                <w:kern w:val="2"/>
                <w:szCs w:val="22"/>
                <w:lang w:val="en-US" w:eastAsia="zh-CN"/>
              </w:rPr>
            </w:pPr>
          </w:p>
        </w:tc>
        <w:tc>
          <w:tcPr>
            <w:tcW w:w="1525"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注册时间</w:t>
            </w:r>
          </w:p>
        </w:tc>
        <w:tc>
          <w:tcPr>
            <w:tcW w:w="1331" w:type="dxa"/>
            <w:gridSpan w:val="2"/>
            <w:noWrap w:val="0"/>
            <w:vAlign w:val="center"/>
          </w:tcPr>
          <w:p>
            <w:pPr>
              <w:pStyle w:val="25"/>
              <w:rPr>
                <w:rFonts w:cs="宋体"/>
                <w:color w:val="auto"/>
                <w:kern w:val="2"/>
                <w:szCs w:val="22"/>
                <w:lang w:val="en-US" w:eastAsia="zh-CN"/>
              </w:rPr>
            </w:pPr>
          </w:p>
        </w:tc>
        <w:tc>
          <w:tcPr>
            <w:tcW w:w="1709"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从业时间</w:t>
            </w:r>
          </w:p>
        </w:tc>
        <w:tc>
          <w:tcPr>
            <w:tcW w:w="1139" w:type="dxa"/>
            <w:gridSpan w:val="2"/>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是否属供应商固定雇员</w:t>
            </w:r>
          </w:p>
        </w:tc>
        <w:tc>
          <w:tcPr>
            <w:tcW w:w="1525" w:type="dxa"/>
            <w:noWrap w:val="0"/>
            <w:vAlign w:val="center"/>
          </w:tcPr>
          <w:p>
            <w:pPr>
              <w:pStyle w:val="25"/>
              <w:rPr>
                <w:rFonts w:cs="宋体"/>
                <w:color w:val="auto"/>
                <w:kern w:val="2"/>
                <w:szCs w:val="22"/>
                <w:lang w:val="en-US" w:eastAsia="zh-CN"/>
              </w:rPr>
            </w:pPr>
          </w:p>
        </w:tc>
        <w:tc>
          <w:tcPr>
            <w:tcW w:w="3040" w:type="dxa"/>
            <w:gridSpan w:val="3"/>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为供应商服务时间</w:t>
            </w:r>
          </w:p>
        </w:tc>
        <w:tc>
          <w:tcPr>
            <w:tcW w:w="1139" w:type="dxa"/>
            <w:gridSpan w:val="2"/>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拟在本项目担任职务</w:t>
            </w:r>
          </w:p>
        </w:tc>
        <w:tc>
          <w:tcPr>
            <w:tcW w:w="5704" w:type="dxa"/>
            <w:gridSpan w:val="6"/>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noWrap w:val="0"/>
            <w:vAlign w:val="top"/>
          </w:tcPr>
          <w:p>
            <w:pPr>
              <w:pStyle w:val="25"/>
              <w:rPr>
                <w:rFonts w:cs="宋体"/>
                <w:color w:val="auto"/>
                <w:kern w:val="2"/>
                <w:szCs w:val="22"/>
                <w:lang w:val="en-US" w:eastAsia="zh-CN"/>
              </w:rPr>
            </w:pPr>
            <w:r>
              <w:rPr>
                <w:rFonts w:hint="eastAsia" w:cs="宋体"/>
                <w:color w:val="auto"/>
                <w:kern w:val="2"/>
                <w:szCs w:val="22"/>
                <w:lang w:val="en-US" w:eastAsia="zh-CN"/>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时  间</w:t>
            </w:r>
          </w:p>
        </w:tc>
        <w:tc>
          <w:tcPr>
            <w:tcW w:w="3374" w:type="dxa"/>
            <w:gridSpan w:val="3"/>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参加过的项目名称</w:t>
            </w:r>
          </w:p>
          <w:p>
            <w:pPr>
              <w:pStyle w:val="25"/>
              <w:rPr>
                <w:rFonts w:cs="宋体"/>
                <w:color w:val="auto"/>
                <w:kern w:val="2"/>
                <w:szCs w:val="22"/>
                <w:lang w:val="en-US" w:eastAsia="zh-CN"/>
              </w:rPr>
            </w:pPr>
            <w:r>
              <w:rPr>
                <w:rFonts w:hint="eastAsia" w:cs="宋体"/>
                <w:color w:val="auto"/>
                <w:kern w:val="2"/>
                <w:szCs w:val="22"/>
                <w:lang w:val="en-US" w:eastAsia="zh-CN"/>
              </w:rPr>
              <w:t>及当时所在单位</w:t>
            </w:r>
          </w:p>
        </w:tc>
        <w:tc>
          <w:tcPr>
            <w:tcW w:w="1286"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担任何职</w:t>
            </w:r>
          </w:p>
        </w:tc>
        <w:tc>
          <w:tcPr>
            <w:tcW w:w="1761" w:type="dxa"/>
            <w:gridSpan w:val="3"/>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主要工作内容</w:t>
            </w:r>
          </w:p>
        </w:tc>
        <w:tc>
          <w:tcPr>
            <w:tcW w:w="1132" w:type="dxa"/>
            <w:noWrap w:val="0"/>
            <w:vAlign w:val="center"/>
          </w:tcPr>
          <w:p>
            <w:pPr>
              <w:pStyle w:val="25"/>
              <w:rPr>
                <w:rFonts w:cs="宋体"/>
                <w:color w:val="auto"/>
                <w:kern w:val="2"/>
                <w:szCs w:val="22"/>
                <w:lang w:val="en-US" w:eastAsia="zh-CN"/>
              </w:rPr>
            </w:pPr>
            <w:r>
              <w:rPr>
                <w:rFonts w:hint="eastAsia" w:cs="宋体"/>
                <w:color w:val="auto"/>
                <w:kern w:val="2"/>
                <w:szCs w:val="22"/>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5"/>
              <w:rPr>
                <w:rFonts w:cs="宋体"/>
                <w:color w:val="auto"/>
                <w:kern w:val="2"/>
                <w:szCs w:val="22"/>
                <w:lang w:val="en-US" w:eastAsia="zh-CN"/>
              </w:rPr>
            </w:pPr>
          </w:p>
        </w:tc>
        <w:tc>
          <w:tcPr>
            <w:tcW w:w="3374" w:type="dxa"/>
            <w:gridSpan w:val="3"/>
            <w:noWrap w:val="0"/>
            <w:vAlign w:val="center"/>
          </w:tcPr>
          <w:p>
            <w:pPr>
              <w:pStyle w:val="25"/>
              <w:rPr>
                <w:rFonts w:cs="宋体"/>
                <w:color w:val="auto"/>
                <w:kern w:val="2"/>
                <w:szCs w:val="22"/>
                <w:lang w:val="en-US" w:eastAsia="zh-CN"/>
              </w:rPr>
            </w:pPr>
          </w:p>
        </w:tc>
        <w:tc>
          <w:tcPr>
            <w:tcW w:w="1286" w:type="dxa"/>
            <w:noWrap w:val="0"/>
            <w:vAlign w:val="center"/>
          </w:tcPr>
          <w:p>
            <w:pPr>
              <w:pStyle w:val="25"/>
              <w:rPr>
                <w:rFonts w:cs="宋体"/>
                <w:color w:val="auto"/>
                <w:kern w:val="2"/>
                <w:szCs w:val="22"/>
                <w:lang w:val="en-US" w:eastAsia="zh-CN"/>
              </w:rPr>
            </w:pPr>
          </w:p>
        </w:tc>
        <w:tc>
          <w:tcPr>
            <w:tcW w:w="1761" w:type="dxa"/>
            <w:gridSpan w:val="3"/>
            <w:noWrap w:val="0"/>
            <w:vAlign w:val="center"/>
          </w:tcPr>
          <w:p>
            <w:pPr>
              <w:pStyle w:val="25"/>
              <w:rPr>
                <w:rFonts w:cs="宋体"/>
                <w:color w:val="auto"/>
                <w:kern w:val="2"/>
                <w:szCs w:val="22"/>
                <w:lang w:val="en-US" w:eastAsia="zh-CN"/>
              </w:rPr>
            </w:pPr>
          </w:p>
        </w:tc>
        <w:tc>
          <w:tcPr>
            <w:tcW w:w="1132" w:type="dxa"/>
            <w:noWrap w:val="0"/>
            <w:vAlign w:val="center"/>
          </w:tcPr>
          <w:p>
            <w:pPr>
              <w:pStyle w:val="25"/>
              <w:rPr>
                <w:rFonts w:cs="宋体"/>
                <w:color w:val="auto"/>
                <w:kern w:val="2"/>
                <w:szCs w:val="22"/>
                <w:lang w:val="en-US" w:eastAsia="zh-CN"/>
              </w:rPr>
            </w:pPr>
          </w:p>
        </w:tc>
      </w:tr>
    </w:tbl>
    <w:p>
      <w:pPr>
        <w:pStyle w:val="2"/>
        <w:ind w:firstLine="0" w:firstLineChars="0"/>
        <w:rPr>
          <w:color w:val="auto"/>
          <w:sz w:val="21"/>
          <w:szCs w:val="21"/>
        </w:rPr>
      </w:pPr>
    </w:p>
    <w:p>
      <w:pPr>
        <w:pStyle w:val="2"/>
        <w:ind w:firstLine="0" w:firstLineChars="0"/>
        <w:rPr>
          <w:b/>
          <w:bCs/>
          <w:color w:val="auto"/>
        </w:rPr>
      </w:pPr>
      <w:r>
        <w:rPr>
          <w:rFonts w:hint="eastAsia"/>
          <w:b/>
          <w:bCs/>
          <w:color w:val="auto"/>
        </w:rPr>
        <w:t>注：</w:t>
      </w:r>
    </w:p>
    <w:p>
      <w:pPr>
        <w:pStyle w:val="2"/>
        <w:ind w:firstLine="480"/>
        <w:rPr>
          <w:color w:val="auto"/>
        </w:rPr>
      </w:pPr>
      <w:r>
        <w:rPr>
          <w:rFonts w:hint="eastAsia"/>
          <w:color w:val="auto"/>
        </w:rPr>
        <w:t>1.表后须须提供具备专业人员相关证明材料（包括但不限于职称证、劳动合同或社保证明等）、获奖证书（如果有）复印件。</w:t>
      </w:r>
    </w:p>
    <w:p>
      <w:pPr>
        <w:rPr>
          <w:rFonts w:hint="eastAsia"/>
          <w:color w:val="auto"/>
        </w:rPr>
      </w:pPr>
      <w:r>
        <w:rPr>
          <w:rFonts w:hint="eastAsia" w:ascii="宋体" w:hAnsi="宋体" w:cs="宋体"/>
          <w:color w:val="auto"/>
          <w:sz w:val="24"/>
        </w:rPr>
        <w:t>2.获奖情况包括项目、集体或个人获奖情况，如有，应附复印件或者扫描件。</w:t>
      </w:r>
    </w:p>
    <w:p>
      <w:pPr>
        <w:pStyle w:val="5"/>
        <w:rPr>
          <w:rStyle w:val="28"/>
          <w:rFonts w:hint="eastAsia"/>
          <w:b/>
          <w:color w:val="auto"/>
        </w:rPr>
      </w:pPr>
      <w:r>
        <w:rPr>
          <w:rFonts w:hint="eastAsia" w:ascii="宋体" w:hAnsi="宋体" w:cs="宋体"/>
          <w:color w:val="auto"/>
        </w:rPr>
        <w:br w:type="page"/>
      </w:r>
      <w:bookmarkStart w:id="155" w:name="_Toc23030"/>
      <w:bookmarkStart w:id="156" w:name="_Toc28657"/>
      <w:bookmarkStart w:id="157" w:name="_Toc15203"/>
      <w:bookmarkStart w:id="158" w:name="_Toc497711599"/>
      <w:bookmarkStart w:id="159" w:name="_Toc492955473"/>
      <w:bookmarkStart w:id="160" w:name="_Toc497551834"/>
      <w:bookmarkStart w:id="161" w:name="_Toc497546932"/>
      <w:bookmarkStart w:id="162" w:name="_Toc246928972"/>
      <w:bookmarkStart w:id="163" w:name="_Toc4468"/>
      <w:bookmarkStart w:id="164" w:name="_Toc497712147"/>
      <w:r>
        <w:rPr>
          <w:rStyle w:val="28"/>
          <w:rFonts w:hint="eastAsia"/>
          <w:b/>
          <w:color w:val="auto"/>
        </w:rPr>
        <w:t>四、商务响应偏离表</w:t>
      </w:r>
    </w:p>
    <w:p>
      <w:pPr>
        <w:rPr>
          <w:rFonts w:hint="eastAsia" w:ascii="宋体" w:hAnsi="宋体" w:cs="宋体"/>
          <w:color w:val="auto"/>
        </w:rPr>
      </w:pP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tbl>
      <w:tblPr>
        <w:tblStyle w:val="19"/>
        <w:tblW w:w="84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1"/>
        <w:gridCol w:w="1882"/>
        <w:gridCol w:w="2469"/>
        <w:gridCol w:w="1968"/>
        <w:gridCol w:w="12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0" w:hRule="atLeast"/>
          <w:jc w:val="center"/>
        </w:trPr>
        <w:tc>
          <w:tcPr>
            <w:tcW w:w="941"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1882"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磋商文件要求</w:t>
            </w:r>
          </w:p>
        </w:tc>
        <w:tc>
          <w:tcPr>
            <w:tcW w:w="2469"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响应内容</w:t>
            </w:r>
          </w:p>
        </w:tc>
        <w:tc>
          <w:tcPr>
            <w:tcW w:w="1968"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lang w:val="en-US" w:eastAsia="zh-CN"/>
              </w:rPr>
              <w:t>支持文件索引页（如有）</w:t>
            </w:r>
          </w:p>
        </w:tc>
        <w:tc>
          <w:tcPr>
            <w:tcW w:w="1218" w:type="dxa"/>
            <w:noWrap w:val="0"/>
            <w:vAlign w:val="center"/>
          </w:tcPr>
          <w:p>
            <w:pPr>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2" w:hRule="atLeast"/>
          <w:jc w:val="center"/>
        </w:trPr>
        <w:tc>
          <w:tcPr>
            <w:tcW w:w="941" w:type="dxa"/>
            <w:noWrap w:val="0"/>
            <w:vAlign w:val="top"/>
          </w:tcPr>
          <w:p>
            <w:pPr>
              <w:spacing w:line="336" w:lineRule="auto"/>
              <w:jc w:val="center"/>
              <w:rPr>
                <w:rFonts w:hint="eastAsia" w:ascii="宋体" w:hAnsi="宋体" w:cs="宋体"/>
                <w:color w:val="auto"/>
                <w:sz w:val="24"/>
                <w:szCs w:val="24"/>
              </w:rPr>
            </w:pPr>
          </w:p>
        </w:tc>
        <w:tc>
          <w:tcPr>
            <w:tcW w:w="1882" w:type="dxa"/>
            <w:noWrap w:val="0"/>
            <w:vAlign w:val="top"/>
          </w:tcPr>
          <w:p>
            <w:pPr>
              <w:spacing w:line="336" w:lineRule="auto"/>
              <w:jc w:val="center"/>
              <w:rPr>
                <w:rFonts w:hint="eastAsia" w:ascii="宋体" w:hAnsi="宋体" w:cs="宋体"/>
                <w:color w:val="auto"/>
                <w:sz w:val="24"/>
                <w:szCs w:val="24"/>
              </w:rPr>
            </w:pPr>
          </w:p>
        </w:tc>
        <w:tc>
          <w:tcPr>
            <w:tcW w:w="2469" w:type="dxa"/>
            <w:noWrap w:val="0"/>
            <w:vAlign w:val="top"/>
          </w:tcPr>
          <w:p>
            <w:pPr>
              <w:spacing w:line="336" w:lineRule="auto"/>
              <w:jc w:val="center"/>
              <w:rPr>
                <w:rFonts w:hint="eastAsia" w:ascii="宋体" w:hAnsi="宋体" w:cs="宋体"/>
                <w:color w:val="auto"/>
                <w:sz w:val="24"/>
                <w:szCs w:val="24"/>
              </w:rPr>
            </w:pPr>
          </w:p>
        </w:tc>
        <w:tc>
          <w:tcPr>
            <w:tcW w:w="1968" w:type="dxa"/>
            <w:noWrap w:val="0"/>
            <w:vAlign w:val="top"/>
          </w:tcPr>
          <w:p>
            <w:pPr>
              <w:spacing w:line="336" w:lineRule="auto"/>
              <w:jc w:val="center"/>
              <w:rPr>
                <w:rFonts w:hint="eastAsia" w:ascii="宋体" w:hAnsi="宋体" w:cs="宋体"/>
                <w:color w:val="auto"/>
                <w:sz w:val="24"/>
                <w:szCs w:val="24"/>
              </w:rPr>
            </w:pPr>
          </w:p>
        </w:tc>
        <w:tc>
          <w:tcPr>
            <w:tcW w:w="1218" w:type="dxa"/>
            <w:noWrap w:val="0"/>
            <w:vAlign w:val="top"/>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2" w:hRule="atLeast"/>
          <w:jc w:val="center"/>
        </w:trPr>
        <w:tc>
          <w:tcPr>
            <w:tcW w:w="941" w:type="dxa"/>
            <w:noWrap w:val="0"/>
            <w:vAlign w:val="top"/>
          </w:tcPr>
          <w:p>
            <w:pPr>
              <w:spacing w:line="336" w:lineRule="auto"/>
              <w:jc w:val="center"/>
              <w:rPr>
                <w:rFonts w:hint="eastAsia" w:ascii="宋体" w:hAnsi="宋体" w:cs="宋体"/>
                <w:color w:val="auto"/>
                <w:sz w:val="24"/>
                <w:szCs w:val="24"/>
              </w:rPr>
            </w:pPr>
          </w:p>
        </w:tc>
        <w:tc>
          <w:tcPr>
            <w:tcW w:w="1882" w:type="dxa"/>
            <w:noWrap w:val="0"/>
            <w:vAlign w:val="top"/>
          </w:tcPr>
          <w:p>
            <w:pPr>
              <w:spacing w:line="336" w:lineRule="auto"/>
              <w:jc w:val="center"/>
              <w:rPr>
                <w:rFonts w:hint="eastAsia" w:ascii="宋体" w:hAnsi="宋体" w:cs="宋体"/>
                <w:color w:val="auto"/>
                <w:sz w:val="24"/>
                <w:szCs w:val="24"/>
              </w:rPr>
            </w:pPr>
          </w:p>
        </w:tc>
        <w:tc>
          <w:tcPr>
            <w:tcW w:w="2469" w:type="dxa"/>
            <w:noWrap w:val="0"/>
            <w:vAlign w:val="top"/>
          </w:tcPr>
          <w:p>
            <w:pPr>
              <w:spacing w:line="336" w:lineRule="auto"/>
              <w:jc w:val="center"/>
              <w:rPr>
                <w:rFonts w:hint="eastAsia" w:ascii="宋体" w:hAnsi="宋体" w:cs="宋体"/>
                <w:color w:val="auto"/>
                <w:sz w:val="24"/>
                <w:szCs w:val="24"/>
              </w:rPr>
            </w:pPr>
          </w:p>
        </w:tc>
        <w:tc>
          <w:tcPr>
            <w:tcW w:w="1968" w:type="dxa"/>
            <w:noWrap w:val="0"/>
            <w:vAlign w:val="top"/>
          </w:tcPr>
          <w:p>
            <w:pPr>
              <w:spacing w:line="336" w:lineRule="auto"/>
              <w:jc w:val="center"/>
              <w:rPr>
                <w:rFonts w:hint="eastAsia" w:ascii="宋体" w:hAnsi="宋体" w:cs="宋体"/>
                <w:color w:val="auto"/>
                <w:sz w:val="24"/>
                <w:szCs w:val="24"/>
              </w:rPr>
            </w:pPr>
          </w:p>
        </w:tc>
        <w:tc>
          <w:tcPr>
            <w:tcW w:w="1218" w:type="dxa"/>
            <w:noWrap w:val="0"/>
            <w:vAlign w:val="top"/>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2" w:hRule="atLeast"/>
          <w:jc w:val="center"/>
        </w:trPr>
        <w:tc>
          <w:tcPr>
            <w:tcW w:w="941" w:type="dxa"/>
            <w:noWrap w:val="0"/>
            <w:vAlign w:val="top"/>
          </w:tcPr>
          <w:p>
            <w:pPr>
              <w:spacing w:line="336" w:lineRule="auto"/>
              <w:jc w:val="center"/>
              <w:rPr>
                <w:rFonts w:hint="eastAsia" w:ascii="宋体" w:hAnsi="宋体" w:cs="宋体"/>
                <w:color w:val="auto"/>
                <w:sz w:val="24"/>
                <w:szCs w:val="24"/>
              </w:rPr>
            </w:pPr>
          </w:p>
        </w:tc>
        <w:tc>
          <w:tcPr>
            <w:tcW w:w="1882" w:type="dxa"/>
            <w:noWrap w:val="0"/>
            <w:vAlign w:val="top"/>
          </w:tcPr>
          <w:p>
            <w:pPr>
              <w:spacing w:line="336" w:lineRule="auto"/>
              <w:jc w:val="center"/>
              <w:rPr>
                <w:rFonts w:hint="eastAsia" w:ascii="宋体" w:hAnsi="宋体" w:cs="宋体"/>
                <w:color w:val="auto"/>
                <w:sz w:val="24"/>
                <w:szCs w:val="24"/>
              </w:rPr>
            </w:pPr>
          </w:p>
        </w:tc>
        <w:tc>
          <w:tcPr>
            <w:tcW w:w="2469" w:type="dxa"/>
            <w:noWrap w:val="0"/>
            <w:vAlign w:val="top"/>
          </w:tcPr>
          <w:p>
            <w:pPr>
              <w:spacing w:line="336" w:lineRule="auto"/>
              <w:jc w:val="center"/>
              <w:rPr>
                <w:rFonts w:hint="eastAsia" w:ascii="宋体" w:hAnsi="宋体" w:cs="宋体"/>
                <w:color w:val="auto"/>
                <w:sz w:val="24"/>
                <w:szCs w:val="24"/>
              </w:rPr>
            </w:pPr>
          </w:p>
        </w:tc>
        <w:tc>
          <w:tcPr>
            <w:tcW w:w="1968" w:type="dxa"/>
            <w:noWrap w:val="0"/>
            <w:vAlign w:val="top"/>
          </w:tcPr>
          <w:p>
            <w:pPr>
              <w:spacing w:line="336" w:lineRule="auto"/>
              <w:jc w:val="center"/>
              <w:rPr>
                <w:rFonts w:hint="eastAsia" w:ascii="宋体" w:hAnsi="宋体" w:cs="宋体"/>
                <w:color w:val="auto"/>
                <w:sz w:val="24"/>
                <w:szCs w:val="24"/>
              </w:rPr>
            </w:pPr>
          </w:p>
        </w:tc>
        <w:tc>
          <w:tcPr>
            <w:tcW w:w="1218" w:type="dxa"/>
            <w:noWrap w:val="0"/>
            <w:vAlign w:val="top"/>
          </w:tcPr>
          <w:p>
            <w:pPr>
              <w:spacing w:line="336" w:lineRule="auto"/>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2" w:hRule="atLeast"/>
          <w:jc w:val="center"/>
        </w:trPr>
        <w:tc>
          <w:tcPr>
            <w:tcW w:w="941" w:type="dxa"/>
            <w:noWrap w:val="0"/>
            <w:vAlign w:val="top"/>
          </w:tcPr>
          <w:p>
            <w:pPr>
              <w:spacing w:line="336" w:lineRule="auto"/>
              <w:jc w:val="center"/>
              <w:rPr>
                <w:rFonts w:hint="eastAsia" w:ascii="宋体" w:hAnsi="宋体" w:cs="宋体"/>
                <w:color w:val="auto"/>
                <w:sz w:val="24"/>
                <w:szCs w:val="24"/>
              </w:rPr>
            </w:pPr>
          </w:p>
        </w:tc>
        <w:tc>
          <w:tcPr>
            <w:tcW w:w="1882" w:type="dxa"/>
            <w:noWrap w:val="0"/>
            <w:vAlign w:val="top"/>
          </w:tcPr>
          <w:p>
            <w:pPr>
              <w:spacing w:line="336" w:lineRule="auto"/>
              <w:jc w:val="center"/>
              <w:rPr>
                <w:rFonts w:hint="eastAsia" w:ascii="宋体" w:hAnsi="宋体" w:cs="宋体"/>
                <w:color w:val="auto"/>
                <w:sz w:val="24"/>
                <w:szCs w:val="24"/>
              </w:rPr>
            </w:pPr>
          </w:p>
        </w:tc>
        <w:tc>
          <w:tcPr>
            <w:tcW w:w="2469" w:type="dxa"/>
            <w:noWrap w:val="0"/>
            <w:vAlign w:val="top"/>
          </w:tcPr>
          <w:p>
            <w:pPr>
              <w:spacing w:line="336" w:lineRule="auto"/>
              <w:jc w:val="center"/>
              <w:rPr>
                <w:rFonts w:hint="eastAsia" w:ascii="宋体" w:hAnsi="宋体" w:cs="宋体"/>
                <w:color w:val="auto"/>
                <w:sz w:val="24"/>
                <w:szCs w:val="24"/>
              </w:rPr>
            </w:pPr>
          </w:p>
        </w:tc>
        <w:tc>
          <w:tcPr>
            <w:tcW w:w="1968" w:type="dxa"/>
            <w:noWrap w:val="0"/>
            <w:vAlign w:val="top"/>
          </w:tcPr>
          <w:p>
            <w:pPr>
              <w:spacing w:line="336" w:lineRule="auto"/>
              <w:jc w:val="center"/>
              <w:rPr>
                <w:rFonts w:hint="eastAsia" w:ascii="宋体" w:hAnsi="宋体" w:cs="宋体"/>
                <w:color w:val="auto"/>
                <w:sz w:val="24"/>
                <w:szCs w:val="24"/>
              </w:rPr>
            </w:pPr>
          </w:p>
        </w:tc>
        <w:tc>
          <w:tcPr>
            <w:tcW w:w="1218" w:type="dxa"/>
            <w:noWrap w:val="0"/>
            <w:vAlign w:val="top"/>
          </w:tcPr>
          <w:p>
            <w:pPr>
              <w:spacing w:line="336" w:lineRule="auto"/>
              <w:jc w:val="center"/>
              <w:rPr>
                <w:rFonts w:hint="eastAsia" w:ascii="宋体" w:hAnsi="宋体" w:cs="宋体"/>
                <w:color w:val="auto"/>
                <w:sz w:val="24"/>
                <w:szCs w:val="24"/>
              </w:rPr>
            </w:pPr>
          </w:p>
        </w:tc>
      </w:tr>
    </w:tbl>
    <w:p>
      <w:pPr>
        <w:spacing w:line="336" w:lineRule="auto"/>
        <w:rPr>
          <w:rFonts w:hint="eastAsia" w:ascii="宋体" w:hAnsi="宋体" w:cs="宋体"/>
          <w:color w:val="auto"/>
          <w:sz w:val="24"/>
          <w:szCs w:val="24"/>
        </w:rPr>
      </w:pPr>
    </w:p>
    <w:p>
      <w:pPr>
        <w:spacing w:line="336" w:lineRule="auto"/>
        <w:ind w:right="-161" w:firstLine="2520" w:firstLineChars="1050"/>
        <w:rPr>
          <w:rFonts w:hint="eastAsia" w:ascii="宋体" w:hAnsi="宋体" w:cs="宋体"/>
          <w:color w:val="auto"/>
          <w:sz w:val="24"/>
          <w:szCs w:val="24"/>
        </w:rPr>
      </w:pPr>
      <w:r>
        <w:rPr>
          <w:rFonts w:hint="eastAsia" w:ascii="宋体" w:hAnsi="宋体" w:cs="宋体"/>
          <w:color w:val="auto"/>
          <w:sz w:val="24"/>
          <w:szCs w:val="24"/>
        </w:rPr>
        <w:t xml:space="preserve"> </w:t>
      </w:r>
    </w:p>
    <w:p>
      <w:pPr>
        <w:spacing w:line="336" w:lineRule="auto"/>
        <w:ind w:right="-161" w:firstLine="3120" w:firstLineChars="13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（公章）</w:t>
      </w:r>
    </w:p>
    <w:p>
      <w:pPr>
        <w:spacing w:line="336" w:lineRule="auto"/>
        <w:ind w:right="-161" w:firstLine="3120" w:firstLineChars="13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wordWrap w:val="0"/>
        <w:spacing w:line="336" w:lineRule="auto"/>
        <w:ind w:right="-159" w:firstLine="3120" w:firstLineChars="1300"/>
        <w:rPr>
          <w:rFonts w:hint="eastAsia" w:ascii="宋体" w:hAnsi="宋体" w:cs="宋体"/>
          <w:color w:val="auto"/>
          <w:sz w:val="32"/>
          <w:szCs w:val="32"/>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spacing w:line="336" w:lineRule="auto"/>
        <w:rPr>
          <w:rFonts w:hint="eastAsia" w:ascii="宋体" w:hAnsi="宋体" w:cs="宋体"/>
          <w:b/>
          <w:bCs/>
          <w:color w:val="auto"/>
          <w:szCs w:val="21"/>
        </w:rPr>
      </w:pPr>
      <w:r>
        <w:rPr>
          <w:rFonts w:hint="eastAsia" w:ascii="宋体" w:hAnsi="宋体" w:cs="宋体"/>
          <w:b/>
          <w:bCs/>
          <w:color w:val="auto"/>
          <w:szCs w:val="21"/>
        </w:rPr>
        <w:t>注：</w:t>
      </w:r>
    </w:p>
    <w:p>
      <w:pPr>
        <w:pStyle w:val="2"/>
        <w:ind w:firstLine="420"/>
        <w:rPr>
          <w:rFonts w:hint="eastAsia" w:cs="宋体"/>
          <w:color w:val="auto"/>
          <w:sz w:val="21"/>
          <w:szCs w:val="21"/>
        </w:rPr>
      </w:pPr>
      <w:r>
        <w:rPr>
          <w:rFonts w:hint="eastAsia" w:cs="宋体"/>
          <w:color w:val="auto"/>
          <w:sz w:val="21"/>
          <w:szCs w:val="21"/>
        </w:rPr>
        <w:t>1.本表只填写响应文件中与磋商文件</w:t>
      </w:r>
      <w:r>
        <w:rPr>
          <w:rFonts w:hint="eastAsia" w:cs="宋体"/>
          <w:b/>
          <w:bCs/>
          <w:color w:val="auto"/>
          <w:sz w:val="21"/>
          <w:szCs w:val="21"/>
        </w:rPr>
        <w:t>第三章“采购内容及要求”中</w:t>
      </w:r>
      <w:r>
        <w:rPr>
          <w:rFonts w:hint="eastAsia" w:cs="宋体"/>
          <w:b/>
          <w:bCs/>
          <w:color w:val="auto"/>
          <w:sz w:val="21"/>
          <w:szCs w:val="21"/>
          <w:lang w:val="en-US" w:eastAsia="zh-CN"/>
        </w:rPr>
        <w:t>三</w:t>
      </w:r>
      <w:r>
        <w:rPr>
          <w:rFonts w:hint="eastAsia" w:cs="宋体"/>
          <w:b/>
          <w:bCs/>
          <w:color w:val="auto"/>
          <w:sz w:val="21"/>
          <w:szCs w:val="21"/>
        </w:rPr>
        <w:t>、商务要求</w:t>
      </w:r>
      <w:r>
        <w:rPr>
          <w:rFonts w:hint="eastAsia" w:cs="宋体"/>
          <w:color w:val="auto"/>
          <w:sz w:val="21"/>
          <w:szCs w:val="21"/>
        </w:rPr>
        <w:t>及</w:t>
      </w:r>
      <w:r>
        <w:rPr>
          <w:rFonts w:hint="eastAsia" w:cs="宋体"/>
          <w:b/>
          <w:bCs/>
          <w:color w:val="auto"/>
          <w:sz w:val="21"/>
          <w:szCs w:val="21"/>
        </w:rPr>
        <w:t>第四章“合同主要条款”</w:t>
      </w:r>
      <w:r>
        <w:rPr>
          <w:rFonts w:hint="eastAsia" w:cs="宋体"/>
          <w:color w:val="auto"/>
          <w:sz w:val="21"/>
          <w:szCs w:val="21"/>
        </w:rPr>
        <w:t>有偏离（包括正偏离和负偏离）的内容，响应文件中商务响应与磋商文件要求完全致的，不用在此表中列出，但必须提交空白表。</w:t>
      </w:r>
    </w:p>
    <w:p>
      <w:pPr>
        <w:pStyle w:val="2"/>
        <w:ind w:firstLine="420"/>
        <w:rPr>
          <w:rFonts w:hint="eastAsia" w:cs="宋体"/>
          <w:color w:val="auto"/>
          <w:sz w:val="21"/>
          <w:szCs w:val="21"/>
        </w:rPr>
      </w:pPr>
      <w:r>
        <w:rPr>
          <w:rFonts w:hint="eastAsia" w:cs="宋体"/>
          <w:color w:val="auto"/>
          <w:sz w:val="21"/>
          <w:szCs w:val="21"/>
        </w:rPr>
        <w:t>2.凡是响应文件的商务响应与磋商文件的要求之间存在负偏离（即不能满足磋商文件要求）的或者正偏离（即优于磋商文件要求），必须在响应文件的“商务响应偏离表”中予以明确响应（偏离填写：正偏离或负偏离）。</w:t>
      </w:r>
    </w:p>
    <w:p>
      <w:pPr>
        <w:pStyle w:val="2"/>
        <w:ind w:firstLine="420"/>
        <w:rPr>
          <w:rFonts w:hint="eastAsia" w:cs="宋体"/>
          <w:color w:val="auto"/>
          <w:sz w:val="21"/>
          <w:szCs w:val="21"/>
        </w:rPr>
      </w:pPr>
      <w:r>
        <w:rPr>
          <w:rFonts w:hint="eastAsia" w:cs="宋体"/>
          <w:color w:val="auto"/>
          <w:sz w:val="21"/>
          <w:szCs w:val="21"/>
        </w:rPr>
        <w:t>3.如果在响应文件的“商务响应偏离表”之外发现上述负偏离的，评标时磋商小组将作出对供应商不利的评估。</w:t>
      </w:r>
    </w:p>
    <w:p>
      <w:pPr>
        <w:pStyle w:val="2"/>
        <w:ind w:firstLine="420"/>
        <w:rPr>
          <w:rFonts w:hint="eastAsia" w:cs="宋体"/>
          <w:color w:val="auto"/>
          <w:sz w:val="21"/>
          <w:szCs w:val="21"/>
        </w:rPr>
      </w:pPr>
      <w:r>
        <w:rPr>
          <w:rFonts w:hint="eastAsia" w:cs="宋体"/>
          <w:color w:val="auto"/>
          <w:sz w:val="21"/>
          <w:szCs w:val="21"/>
        </w:rPr>
        <w:t>4.供应商必须据实填写，不得虚假响应，否则将取消其投标或中标资格，并按有关规定进处罚。</w:t>
      </w:r>
    </w:p>
    <w:p>
      <w:pPr>
        <w:pStyle w:val="5"/>
        <w:rPr>
          <w:rFonts w:hint="eastAsia"/>
          <w:color w:val="auto"/>
        </w:rPr>
      </w:pPr>
      <w:r>
        <w:rPr>
          <w:rFonts w:hint="eastAsia"/>
          <w:color w:val="auto"/>
        </w:rPr>
        <w:br w:type="page"/>
      </w:r>
      <w:r>
        <w:rPr>
          <w:rStyle w:val="28"/>
          <w:rFonts w:hint="eastAsia" w:eastAsia="宋体" w:cs="Times New Roman"/>
          <w:b/>
          <w:color w:val="auto"/>
          <w:lang w:val="en-US" w:eastAsia="zh-CN"/>
        </w:rPr>
        <w:t>五</w:t>
      </w:r>
      <w:r>
        <w:rPr>
          <w:rStyle w:val="28"/>
          <w:rFonts w:hint="eastAsia" w:eastAsia="宋体" w:cs="Times New Roman"/>
          <w:b/>
          <w:color w:val="auto"/>
        </w:rPr>
        <w:t>、资格证明文件</w:t>
      </w:r>
      <w:bookmarkEnd w:id="155"/>
      <w:bookmarkEnd w:id="156"/>
      <w:bookmarkEnd w:id="157"/>
    </w:p>
    <w:bookmarkEnd w:id="158"/>
    <w:bookmarkEnd w:id="159"/>
    <w:bookmarkEnd w:id="160"/>
    <w:bookmarkEnd w:id="161"/>
    <w:bookmarkEnd w:id="162"/>
    <w:bookmarkEnd w:id="163"/>
    <w:bookmarkEnd w:id="164"/>
    <w:p>
      <w:pPr>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供应商按磋商文件的要求，依据</w:t>
      </w:r>
      <w:r>
        <w:rPr>
          <w:rFonts w:hint="eastAsia" w:ascii="宋体" w:hAnsi="宋体" w:cs="宋体"/>
          <w:b/>
          <w:bCs/>
          <w:color w:val="auto"/>
          <w:sz w:val="24"/>
          <w:szCs w:val="24"/>
        </w:rPr>
        <w:t>第二章“供应商须知”24.3.1对响应文件的初审（1）资格性审查</w:t>
      </w:r>
      <w:r>
        <w:rPr>
          <w:rFonts w:hint="eastAsia" w:ascii="宋体" w:hAnsi="宋体" w:cs="宋体"/>
          <w:color w:val="auto"/>
          <w:sz w:val="24"/>
          <w:szCs w:val="24"/>
        </w:rPr>
        <w:t>内容逐项提供加盖公章的复印件，缺少其中任何一项，其磋商响应文件将被视为无效文件。</w:t>
      </w:r>
    </w:p>
    <w:p>
      <w:pPr>
        <w:bidi w:val="0"/>
        <w:spacing w:line="480" w:lineRule="auto"/>
        <w:jc w:val="center"/>
        <w:rPr>
          <w:rFonts w:hint="eastAsia"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rPr>
        <w:t>供应商基本情况表</w:t>
      </w:r>
    </w:p>
    <w:p>
      <w:pPr>
        <w:rPr>
          <w:rFonts w:hint="eastAsia" w:ascii="宋体" w:hAnsi="宋体" w:cs="宋体"/>
          <w:color w:val="auto"/>
        </w:rPr>
      </w:pPr>
    </w:p>
    <w:p>
      <w:pPr>
        <w:jc w:val="left"/>
        <w:rPr>
          <w:rFonts w:hint="eastAsia" w:ascii="宋体" w:hAnsi="宋体" w:cs="宋体"/>
          <w:color w:val="auto"/>
          <w:sz w:val="24"/>
          <w:szCs w:val="24"/>
        </w:rPr>
      </w:pPr>
      <w:r>
        <w:rPr>
          <w:rFonts w:hint="eastAsia" w:ascii="宋体" w:hAnsi="宋体" w:cs="宋体"/>
          <w:color w:val="auto"/>
          <w:sz w:val="24"/>
          <w:szCs w:val="24"/>
        </w:rPr>
        <w:t xml:space="preserve">项目名称：                                           项目编号：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495"/>
        <w:gridCol w:w="642"/>
        <w:gridCol w:w="1523"/>
        <w:gridCol w:w="2165"/>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4"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供应商名称</w:t>
            </w:r>
          </w:p>
        </w:tc>
        <w:tc>
          <w:tcPr>
            <w:tcW w:w="2165" w:type="dxa"/>
            <w:gridSpan w:val="2"/>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4"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企业统一社会信</w:t>
            </w:r>
          </w:p>
          <w:p>
            <w:pPr>
              <w:jc w:val="center"/>
              <w:rPr>
                <w:rFonts w:hint="eastAsia" w:ascii="宋体" w:hAnsi="宋体" w:cs="宋体"/>
                <w:color w:val="auto"/>
                <w:sz w:val="24"/>
                <w:szCs w:val="24"/>
              </w:rPr>
            </w:pPr>
            <w:r>
              <w:rPr>
                <w:rFonts w:hint="eastAsia" w:ascii="宋体" w:hAnsi="宋体" w:cs="宋体"/>
                <w:color w:val="auto"/>
                <w:sz w:val="24"/>
                <w:szCs w:val="24"/>
              </w:rPr>
              <w:t>用代码</w:t>
            </w:r>
          </w:p>
        </w:tc>
        <w:tc>
          <w:tcPr>
            <w:tcW w:w="2165" w:type="dxa"/>
            <w:gridSpan w:val="2"/>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邮政编码</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4"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委托代理人</w:t>
            </w:r>
          </w:p>
        </w:tc>
        <w:tc>
          <w:tcPr>
            <w:tcW w:w="2165" w:type="dxa"/>
            <w:gridSpan w:val="2"/>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电子邮箱</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4"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上年营业收入</w:t>
            </w:r>
          </w:p>
        </w:tc>
        <w:tc>
          <w:tcPr>
            <w:tcW w:w="2165" w:type="dxa"/>
            <w:gridSpan w:val="2"/>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员工总人数</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69" w:type="dxa"/>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营业</w:t>
            </w:r>
          </w:p>
          <w:p>
            <w:pPr>
              <w:jc w:val="center"/>
              <w:rPr>
                <w:rFonts w:hint="eastAsia" w:ascii="宋体" w:hAnsi="宋体" w:cs="宋体"/>
                <w:color w:val="auto"/>
                <w:sz w:val="24"/>
                <w:szCs w:val="24"/>
              </w:rPr>
            </w:pPr>
            <w:r>
              <w:rPr>
                <w:rFonts w:hint="eastAsia" w:ascii="宋体" w:hAnsi="宋体" w:cs="宋体"/>
                <w:color w:val="auto"/>
                <w:sz w:val="24"/>
                <w:szCs w:val="24"/>
              </w:rPr>
              <w:t>执照</w:t>
            </w:r>
          </w:p>
        </w:tc>
        <w:tc>
          <w:tcPr>
            <w:tcW w:w="2137" w:type="dxa"/>
            <w:gridSpan w:val="2"/>
            <w:tcBorders>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注册地址</w:t>
            </w:r>
          </w:p>
        </w:tc>
        <w:tc>
          <w:tcPr>
            <w:tcW w:w="1523" w:type="dxa"/>
            <w:tcBorders>
              <w:left w:val="single" w:color="000000" w:sz="4" w:space="0"/>
            </w:tcBorders>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注册时间</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69" w:type="dxa"/>
            <w:vMerge w:val="continue"/>
            <w:noWrap w:val="0"/>
            <w:vAlign w:val="center"/>
          </w:tcPr>
          <w:p>
            <w:pPr>
              <w:jc w:val="center"/>
              <w:rPr>
                <w:rFonts w:hint="eastAsia" w:ascii="宋体" w:hAnsi="宋体" w:cs="宋体"/>
                <w:color w:val="auto"/>
                <w:sz w:val="24"/>
                <w:szCs w:val="24"/>
              </w:rPr>
            </w:pPr>
          </w:p>
        </w:tc>
        <w:tc>
          <w:tcPr>
            <w:tcW w:w="2137" w:type="dxa"/>
            <w:gridSpan w:val="2"/>
            <w:tcBorders>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发证机关</w:t>
            </w:r>
          </w:p>
        </w:tc>
        <w:tc>
          <w:tcPr>
            <w:tcW w:w="1523" w:type="dxa"/>
            <w:tcBorders>
              <w:left w:val="single" w:color="000000" w:sz="4" w:space="0"/>
            </w:tcBorders>
            <w:noWrap w:val="0"/>
            <w:vAlign w:val="center"/>
          </w:tcPr>
          <w:p>
            <w:pPr>
              <w:jc w:val="center"/>
              <w:rPr>
                <w:rFonts w:hint="eastAsia" w:ascii="宋体" w:hAnsi="宋体" w:cs="宋体"/>
                <w:color w:val="auto"/>
                <w:sz w:val="24"/>
                <w:szCs w:val="24"/>
              </w:rPr>
            </w:pPr>
          </w:p>
        </w:tc>
        <w:tc>
          <w:tcPr>
            <w:tcW w:w="2165" w:type="dxa"/>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发证日期</w:t>
            </w:r>
          </w:p>
        </w:tc>
        <w:tc>
          <w:tcPr>
            <w:tcW w:w="2165" w:type="dxa"/>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69" w:type="dxa"/>
            <w:vMerge w:val="continue"/>
            <w:noWrap w:val="0"/>
            <w:vAlign w:val="center"/>
          </w:tcPr>
          <w:p>
            <w:pPr>
              <w:jc w:val="center"/>
              <w:rPr>
                <w:rFonts w:hint="eastAsia" w:ascii="宋体" w:hAnsi="宋体" w:cs="宋体"/>
                <w:color w:val="auto"/>
                <w:sz w:val="24"/>
                <w:szCs w:val="24"/>
              </w:rPr>
            </w:pPr>
          </w:p>
        </w:tc>
        <w:tc>
          <w:tcPr>
            <w:tcW w:w="2137" w:type="dxa"/>
            <w:gridSpan w:val="2"/>
            <w:tcBorders>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营业范围（主营）</w:t>
            </w:r>
          </w:p>
        </w:tc>
        <w:tc>
          <w:tcPr>
            <w:tcW w:w="5853" w:type="dxa"/>
            <w:gridSpan w:val="3"/>
            <w:tcBorders>
              <w:left w:val="single" w:color="000000" w:sz="4" w:space="0"/>
            </w:tcBorders>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9" w:type="dxa"/>
            <w:vMerge w:val="continue"/>
            <w:noWrap w:val="0"/>
            <w:vAlign w:val="center"/>
          </w:tcPr>
          <w:p>
            <w:pPr>
              <w:jc w:val="center"/>
              <w:rPr>
                <w:rFonts w:hint="eastAsia" w:ascii="宋体" w:hAnsi="宋体" w:cs="宋体"/>
                <w:color w:val="auto"/>
                <w:sz w:val="24"/>
                <w:szCs w:val="24"/>
              </w:rPr>
            </w:pPr>
          </w:p>
        </w:tc>
        <w:tc>
          <w:tcPr>
            <w:tcW w:w="2137" w:type="dxa"/>
            <w:gridSpan w:val="2"/>
            <w:tcBorders>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营业范围（兼营）</w:t>
            </w:r>
          </w:p>
        </w:tc>
        <w:tc>
          <w:tcPr>
            <w:tcW w:w="5853" w:type="dxa"/>
            <w:gridSpan w:val="3"/>
            <w:tcBorders>
              <w:left w:val="single" w:color="000000" w:sz="4" w:space="0"/>
            </w:tcBorders>
            <w:noWrap w:val="0"/>
            <w:vAlign w:val="center"/>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801" w:type="dxa"/>
            <w:gridSpan w:val="3"/>
            <w:tcBorders>
              <w:right w:val="single" w:color="000000" w:sz="4" w:space="0"/>
            </w:tcBorders>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基本账户开户行及账号</w:t>
            </w:r>
          </w:p>
        </w:tc>
        <w:tc>
          <w:tcPr>
            <w:tcW w:w="5858" w:type="dxa"/>
            <w:gridSpan w:val="3"/>
            <w:tcBorders>
              <w:left w:val="single" w:color="000000" w:sz="4" w:space="0"/>
            </w:tcBorders>
            <w:noWrap w:val="0"/>
            <w:vAlign w:val="center"/>
          </w:tcPr>
          <w:p>
            <w:pPr>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801" w:type="dxa"/>
            <w:gridSpan w:val="3"/>
            <w:tcBorders>
              <w:right w:val="single" w:color="000000" w:sz="4" w:space="0"/>
            </w:tcBorders>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税务登记机关</w:t>
            </w:r>
          </w:p>
        </w:tc>
        <w:tc>
          <w:tcPr>
            <w:tcW w:w="5858" w:type="dxa"/>
            <w:gridSpan w:val="3"/>
            <w:tcBorders>
              <w:left w:val="single" w:color="000000" w:sz="4" w:space="0"/>
            </w:tcBorders>
            <w:noWrap w:val="0"/>
            <w:vAlign w:val="center"/>
          </w:tcPr>
          <w:p>
            <w:pPr>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59" w:type="dxa"/>
            <w:gridSpan w:val="6"/>
            <w:noWrap w:val="0"/>
            <w:vAlign w:val="center"/>
          </w:tcPr>
          <w:p>
            <w:pPr>
              <w:jc w:val="left"/>
              <w:rPr>
                <w:rFonts w:hint="eastAsia" w:ascii="宋体" w:hAnsi="宋体" w:cs="宋体"/>
                <w:color w:val="auto"/>
                <w:sz w:val="24"/>
                <w:szCs w:val="24"/>
              </w:rPr>
            </w:pPr>
            <w:r>
              <w:rPr>
                <w:rFonts w:hint="eastAsia" w:ascii="宋体" w:hAnsi="宋体" w:cs="宋体"/>
                <w:color w:val="auto"/>
                <w:sz w:val="24"/>
                <w:szCs w:val="24"/>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64" w:type="dxa"/>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备注</w:t>
            </w:r>
          </w:p>
        </w:tc>
        <w:tc>
          <w:tcPr>
            <w:tcW w:w="6495" w:type="dxa"/>
            <w:gridSpan w:val="4"/>
            <w:noWrap w:val="0"/>
            <w:vAlign w:val="center"/>
          </w:tcPr>
          <w:p>
            <w:pPr>
              <w:jc w:val="center"/>
              <w:rPr>
                <w:rFonts w:hint="eastAsia" w:ascii="宋体" w:hAnsi="宋体" w:cs="宋体"/>
                <w:color w:val="auto"/>
                <w:sz w:val="24"/>
                <w:szCs w:val="24"/>
              </w:rPr>
            </w:pPr>
          </w:p>
        </w:tc>
      </w:tr>
    </w:tbl>
    <w:p>
      <w:pPr>
        <w:rPr>
          <w:rFonts w:hint="eastAsia" w:ascii="宋体" w:hAnsi="宋体" w:cs="宋体"/>
          <w:color w:val="auto"/>
        </w:rPr>
      </w:pPr>
    </w:p>
    <w:p>
      <w:pPr>
        <w:spacing w:line="336" w:lineRule="auto"/>
        <w:ind w:right="-161" w:firstLine="3120" w:firstLineChars="13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（公章）</w:t>
      </w:r>
    </w:p>
    <w:p>
      <w:pPr>
        <w:spacing w:line="336" w:lineRule="auto"/>
        <w:ind w:right="-161" w:firstLine="3120" w:firstLineChars="13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wordWrap w:val="0"/>
        <w:spacing w:line="336" w:lineRule="auto"/>
        <w:ind w:right="-159" w:firstLine="3120" w:firstLineChars="1300"/>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0"/>
        <w:rPr>
          <w:rFonts w:hint="eastAsia" w:ascii="宋体" w:hAnsi="宋体" w:cs="宋体"/>
          <w:color w:val="auto"/>
          <w:sz w:val="24"/>
          <w:szCs w:val="24"/>
          <w:u w:val="single"/>
        </w:rPr>
      </w:pPr>
    </w:p>
    <w:p>
      <w:pPr>
        <w:spacing w:line="36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br w:type="page"/>
      </w:r>
      <w:r>
        <w:rPr>
          <w:rFonts w:hint="eastAsia" w:ascii="宋体" w:hAnsi="宋体" w:cs="宋体"/>
          <w:b/>
          <w:bCs/>
          <w:color w:val="auto"/>
          <w:kern w:val="0"/>
          <w:sz w:val="24"/>
          <w:szCs w:val="24"/>
        </w:rPr>
        <w:t>后附证明资料（</w:t>
      </w:r>
      <w:r>
        <w:rPr>
          <w:rFonts w:hint="eastAsia" w:ascii="宋体" w:hAnsi="宋体" w:cs="宋体"/>
          <w:b/>
          <w:bCs/>
          <w:color w:val="auto"/>
          <w:sz w:val="24"/>
          <w:szCs w:val="24"/>
        </w:rPr>
        <w:t>逐项提供加盖公章的复印件</w:t>
      </w:r>
      <w:r>
        <w:rPr>
          <w:rFonts w:hint="eastAsia" w:ascii="宋体" w:hAnsi="宋体" w:cs="宋体"/>
          <w:b/>
          <w:bCs/>
          <w:color w:val="auto"/>
          <w:kern w:val="0"/>
          <w:sz w:val="24"/>
          <w:szCs w:val="24"/>
        </w:rPr>
        <w:t>）：</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（1）基本资格条件：符合《中华人民共和国政府采购法》第二十二条的规定：</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1）具有独立承担民事责任能力的法人、其他组织或自然人，提供合法有效的统一社会信用代码营业执照（事业单位提供法人证书，自然人提供身份证）；</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财务状况报告：法人提供经审计的2020或2021年度的财务报告（成立时间至递交响应文件截止时间不足一年的可提供成立后任意时段的资产负债表）或递交响应文件截止时间前六个月内银行出具的资信证明；其他组织和自然人提供银行出具的资信证明或财务报表；</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税收缴纳证明：法人提供递交响应文件截止时间前一年内至少一个月依法缴纳税收的相关凭据（时间以税款所属日期为准，税种须包含增值税或企业所得税或营业税，凭据应有税务机关或代收机关的公章或业务专用章）；其他组织和自然人提供缴纳税收的凭据；依法免税的供应商应提供相关文件证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社会保障资金缴纳证明：提供递交响应文件截止时间前一年内至少一个月已缴纳的社会保障资金的凭据（社会保障资金缴存单据或社保机构开具的社会保险参保缴费情况证明）；依法不需要缴纳社会保障资金的供应商应提供相关文件证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5）提供具有履行本合同所必需的设备和专业技术能力的说明及承诺；</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6）提供参加本次政府采购活动前三年内在经营活动中没有重大违法记录的书面声明；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（2）本项目的特定资格要求：</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olor w:val="auto"/>
          <w:sz w:val="24"/>
        </w:rPr>
        <w:t>1)</w:t>
      </w:r>
      <w:r>
        <w:rPr>
          <w:rFonts w:hint="eastAsia" w:ascii="宋体" w:hAnsi="宋体" w:cs="宋体"/>
          <w:color w:val="auto"/>
          <w:sz w:val="24"/>
          <w:szCs w:val="24"/>
        </w:rPr>
        <w:t xml:space="preserve">法定代表人授权书（附法定代表人、被授权人身份证复印件）、被授权人身份证（法定代表人直接参加投标，须提供法定代表人身份证明及身份证原件）； </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ascii="宋体" w:hAnsi="宋体" w:cs="宋体"/>
          <w:color w:val="auto"/>
        </w:rPr>
      </w:pPr>
      <w:r>
        <w:rPr>
          <w:rFonts w:hint="eastAsia" w:ascii="宋体" w:hAnsi="宋体" w:cs="宋体"/>
          <w:color w:val="auto"/>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rPr>
        <w:t>；</w:t>
      </w:r>
    </w:p>
    <w:p>
      <w:pPr>
        <w:pStyle w:val="16"/>
        <w:keepNext w:val="0"/>
        <w:keepLines w:val="0"/>
        <w:pageBreakBefore w:val="0"/>
        <w:widowControl/>
        <w:shd w:val="clear" w:color="auto" w:fill="auto"/>
        <w:kinsoku/>
        <w:wordWrap/>
        <w:overflowPunct/>
        <w:topLinePunct w:val="0"/>
        <w:autoSpaceDE/>
        <w:autoSpaceDN/>
        <w:bidi w:val="0"/>
        <w:snapToGrid/>
        <w:spacing w:before="0" w:beforeAutospacing="0" w:after="0" w:afterAutospacing="0" w:line="480" w:lineRule="exact"/>
        <w:ind w:firstLine="480" w:firstLineChars="200"/>
        <w:jc w:val="both"/>
        <w:textAlignment w:val="auto"/>
        <w:rPr>
          <w:rFonts w:hint="eastAsia" w:cs="宋体"/>
          <w:color w:val="auto"/>
          <w:sz w:val="24"/>
          <w:szCs w:val="24"/>
          <w:highlight w:val="none"/>
          <w:shd w:val="clear" w:color="auto" w:fill="FFFFFF"/>
          <w:lang w:eastAsia="zh-CN"/>
        </w:rPr>
      </w:pPr>
      <w:r>
        <w:rPr>
          <w:rFonts w:hint="eastAsia"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cs="宋体"/>
          <w:color w:val="auto"/>
          <w:sz w:val="24"/>
          <w:szCs w:val="24"/>
          <w:highlight w:val="none"/>
          <w:shd w:val="clear" w:color="auto" w:fill="FFFFFF"/>
          <w:lang w:eastAsia="zh-CN"/>
        </w:rPr>
        <w:t>供应商须具有建设行政主管部门核发的建筑工程施工总承包三级（含）以上资质或建筑装修装饰工程专业承包二级（含）以上资质或机电工程施工总承包三级（含）以上资质或建筑机电安装工程专业承包三级（含）以上资质。</w:t>
      </w:r>
    </w:p>
    <w:p>
      <w:pPr>
        <w:rPr>
          <w:rFonts w:hint="eastAsia"/>
          <w:color w:val="auto"/>
        </w:rPr>
      </w:pPr>
      <w:r>
        <w:rPr>
          <w:rFonts w:hint="eastAsia"/>
          <w:color w:val="auto"/>
        </w:rPr>
        <w:br w:type="page"/>
      </w:r>
    </w:p>
    <w:p>
      <w:pPr>
        <w:pStyle w:val="7"/>
        <w:spacing w:before="120" w:after="120"/>
        <w:rPr>
          <w:rFonts w:hint="eastAsia" w:ascii="宋体" w:hAnsi="宋体" w:cs="宋体"/>
          <w:color w:val="auto"/>
          <w:szCs w:val="24"/>
        </w:rPr>
      </w:pPr>
      <w:bookmarkStart w:id="165" w:name="_Toc2175"/>
      <w:r>
        <w:rPr>
          <w:rFonts w:hint="eastAsia" w:ascii="宋体" w:hAnsi="宋体" w:cs="宋体"/>
          <w:color w:val="auto"/>
          <w:szCs w:val="24"/>
        </w:rPr>
        <w:t>附件</w:t>
      </w:r>
      <w:r>
        <w:rPr>
          <w:rFonts w:hint="eastAsia" w:ascii="宋体" w:hAnsi="宋体" w:cs="宋体"/>
          <w:color w:val="auto"/>
          <w:szCs w:val="24"/>
          <w:lang w:val="en-US" w:eastAsia="zh-CN"/>
        </w:rPr>
        <w:t>1</w:t>
      </w:r>
      <w:r>
        <w:rPr>
          <w:rFonts w:hint="eastAsia" w:ascii="宋体" w:hAnsi="宋体" w:cs="宋体"/>
          <w:color w:val="auto"/>
          <w:szCs w:val="24"/>
        </w:rPr>
        <w:t xml:space="preserve">  </w:t>
      </w:r>
      <w:r>
        <w:rPr>
          <w:rFonts w:hint="eastAsia" w:ascii="宋体" w:hAnsi="宋体" w:eastAsia="宋体" w:cs="宋体"/>
          <w:b/>
          <w:bCs/>
          <w:color w:val="auto"/>
          <w:kern w:val="0"/>
          <w:sz w:val="24"/>
          <w:szCs w:val="24"/>
          <w:lang w:val="en-US" w:eastAsia="zh-CN" w:bidi="ar-SA"/>
        </w:rPr>
        <w:t>法定代表人身份证明/法定代表人授权委托书</w:t>
      </w:r>
    </w:p>
    <w:bookmarkEnd w:id="165"/>
    <w:p>
      <w:pPr>
        <w:pStyle w:val="10"/>
        <w:jc w:val="center"/>
        <w:rPr>
          <w:rFonts w:hint="eastAsia" w:ascii="宋体" w:hAnsi="宋体" w:cs="宋体"/>
          <w:bCs/>
          <w:color w:val="auto"/>
          <w:sz w:val="24"/>
          <w:szCs w:val="24"/>
        </w:rPr>
      </w:pPr>
    </w:p>
    <w:p>
      <w:pPr>
        <w:pStyle w:val="10"/>
        <w:jc w:val="center"/>
        <w:rPr>
          <w:rFonts w:hint="eastAsia" w:ascii="宋体" w:hAnsi="宋体" w:cs="宋体"/>
          <w:bCs/>
          <w:color w:val="auto"/>
          <w:sz w:val="24"/>
          <w:szCs w:val="24"/>
        </w:rPr>
      </w:pPr>
      <w:r>
        <w:rPr>
          <w:rFonts w:hint="eastAsia" w:ascii="宋体" w:hAnsi="宋体" w:cs="宋体"/>
          <w:bCs/>
          <w:color w:val="auto"/>
          <w:sz w:val="24"/>
          <w:szCs w:val="24"/>
        </w:rPr>
        <w:t>法定代表人身份证明</w:t>
      </w:r>
      <w:r>
        <w:rPr>
          <w:rStyle w:val="29"/>
          <w:rFonts w:hint="eastAsia" w:ascii="宋体" w:hAnsi="宋体" w:cs="宋体"/>
          <w:b/>
          <w:color w:val="auto"/>
          <w:sz w:val="24"/>
          <w:szCs w:val="24"/>
        </w:rPr>
        <w:t>（格式）</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统一社会信用代码：</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注册地址：</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性别：</w:t>
      </w:r>
      <w:r>
        <w:rPr>
          <w:rFonts w:hint="eastAsia"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rPr>
        <w:t>系</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（供应商名称）的法定代表人。</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特此证明。</w:t>
      </w: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附：法定代表人身份证复印件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947" w:type="dxa"/>
            <w:noWrap w:val="0"/>
            <w:vAlign w:val="center"/>
          </w:tcPr>
          <w:p>
            <w:pPr>
              <w:spacing w:line="336" w:lineRule="auto"/>
              <w:jc w:val="center"/>
              <w:rPr>
                <w:rFonts w:hint="eastAsia" w:ascii="宋体" w:hAnsi="宋体" w:cs="宋体"/>
                <w:color w:val="auto"/>
                <w:sz w:val="24"/>
                <w:szCs w:val="24"/>
              </w:rPr>
            </w:pPr>
            <w:r>
              <w:rPr>
                <w:rFonts w:hint="eastAsia" w:ascii="宋体" w:hAnsi="宋体" w:cs="宋体"/>
                <w:color w:val="auto"/>
                <w:sz w:val="24"/>
                <w:szCs w:val="24"/>
              </w:rPr>
              <w:t>法人身份证复印件</w:t>
            </w:r>
          </w:p>
          <w:p>
            <w:pPr>
              <w:pStyle w:val="10"/>
              <w:jc w:val="center"/>
              <w:rPr>
                <w:rFonts w:hint="eastAsia" w:ascii="宋体" w:hAnsi="宋体" w:cs="宋体"/>
                <w:color w:val="auto"/>
                <w:kern w:val="2"/>
                <w:sz w:val="24"/>
                <w:szCs w:val="24"/>
                <w:lang w:val="en-US" w:eastAsia="zh-CN"/>
              </w:rPr>
            </w:pPr>
            <w:r>
              <w:rPr>
                <w:rFonts w:hint="eastAsia" w:ascii="宋体" w:hAnsi="宋体" w:cs="宋体"/>
                <w:b w:val="0"/>
                <w:color w:val="auto"/>
                <w:kern w:val="2"/>
                <w:sz w:val="24"/>
                <w:szCs w:val="24"/>
                <w:lang w:val="en-US" w:eastAsia="zh-CN"/>
              </w:rPr>
              <w:t>正、反面</w:t>
            </w:r>
          </w:p>
        </w:tc>
      </w:tr>
    </w:tbl>
    <w:p>
      <w:pPr>
        <w:tabs>
          <w:tab w:val="left" w:pos="8820"/>
        </w:tabs>
        <w:spacing w:line="336" w:lineRule="auto"/>
        <w:jc w:val="center"/>
        <w:rPr>
          <w:rFonts w:hint="eastAsia" w:ascii="宋体" w:hAnsi="宋体" w:cs="宋体"/>
          <w:b/>
          <w:bCs/>
          <w:color w:val="auto"/>
          <w:sz w:val="24"/>
          <w:szCs w:val="24"/>
        </w:rPr>
      </w:pPr>
    </w:p>
    <w:p>
      <w:pPr>
        <w:spacing w:line="336" w:lineRule="auto"/>
        <w:ind w:right="-161" w:firstLine="3120" w:firstLineChars="13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（公章）</w:t>
      </w:r>
    </w:p>
    <w:p>
      <w:pPr>
        <w:spacing w:line="336" w:lineRule="auto"/>
        <w:ind w:right="-161" w:firstLine="3120" w:firstLineChars="13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wordWrap w:val="0"/>
        <w:spacing w:line="336" w:lineRule="auto"/>
        <w:ind w:right="-159" w:firstLine="3120" w:firstLineChars="1300"/>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0"/>
        <w:rPr>
          <w:rFonts w:hint="eastAsia" w:ascii="宋体" w:hAnsi="宋体" w:cs="宋体"/>
          <w:color w:val="auto"/>
          <w:sz w:val="24"/>
          <w:szCs w:val="24"/>
        </w:rPr>
      </w:pPr>
    </w:p>
    <w:p>
      <w:pPr>
        <w:tabs>
          <w:tab w:val="left" w:pos="8820"/>
        </w:tabs>
        <w:spacing w:line="336"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法定代表人授权委托书</w:t>
      </w:r>
      <w:r>
        <w:rPr>
          <w:rStyle w:val="29"/>
          <w:rFonts w:hint="eastAsia" w:ascii="宋体" w:hAnsi="宋体" w:cs="宋体"/>
          <w:color w:val="auto"/>
          <w:sz w:val="24"/>
          <w:szCs w:val="24"/>
        </w:rPr>
        <w:t>（格式）</w:t>
      </w:r>
    </w:p>
    <w:p>
      <w:pPr>
        <w:tabs>
          <w:tab w:val="left" w:pos="8820"/>
        </w:tabs>
        <w:spacing w:line="336" w:lineRule="auto"/>
        <w:ind w:firstLine="570"/>
        <w:rPr>
          <w:rFonts w:hint="eastAsia" w:ascii="宋体" w:hAnsi="宋体" w:cs="宋体"/>
          <w:color w:val="auto"/>
          <w:sz w:val="24"/>
          <w:szCs w:val="24"/>
        </w:rPr>
      </w:pPr>
    </w:p>
    <w:p>
      <w:pPr>
        <w:tabs>
          <w:tab w:val="left" w:pos="8820"/>
        </w:tabs>
        <w:spacing w:line="336" w:lineRule="auto"/>
        <w:ind w:firstLine="570"/>
        <w:rPr>
          <w:rFonts w:hint="eastAsia" w:ascii="宋体" w:hAnsi="宋体" w:cs="宋体"/>
          <w:color w:val="auto"/>
          <w:sz w:val="24"/>
          <w:szCs w:val="24"/>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系注册于</w:t>
      </w:r>
      <w:r>
        <w:rPr>
          <w:rFonts w:hint="eastAsia" w:ascii="宋体" w:hAnsi="宋体" w:cs="宋体"/>
          <w:color w:val="auto"/>
          <w:sz w:val="24"/>
          <w:szCs w:val="24"/>
          <w:u w:val="single"/>
        </w:rPr>
        <w:t xml:space="preserve">  （供应商地址）           </w:t>
      </w:r>
      <w:r>
        <w:rPr>
          <w:rFonts w:hint="eastAsia" w:ascii="宋体" w:hAnsi="宋体" w:cs="宋体"/>
          <w:color w:val="auto"/>
          <w:sz w:val="24"/>
          <w:szCs w:val="24"/>
        </w:rPr>
        <w:t>的</w:t>
      </w:r>
      <w:r>
        <w:rPr>
          <w:rFonts w:hint="eastAsia" w:ascii="宋体" w:hAnsi="宋体" w:cs="宋体"/>
          <w:color w:val="auto"/>
          <w:sz w:val="24"/>
          <w:szCs w:val="24"/>
          <w:u w:val="single"/>
        </w:rPr>
        <w:t xml:space="preserve">（供应商名称）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hint="eastAsia" w:ascii="宋体" w:hAnsi="宋体" w:cs="宋体"/>
          <w:color w:val="auto"/>
          <w:sz w:val="24"/>
          <w:szCs w:val="24"/>
        </w:rPr>
        <w:t>为我公司合法代理人，代表本公司参加</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的磋商响应活动。代理人在本次磋商响应中所签署的一切文件和处理的一切有关事物，我公司均予承认。</w:t>
      </w:r>
    </w:p>
    <w:tbl>
      <w:tblPr>
        <w:tblStyle w:val="19"/>
        <w:tblW w:w="8539" w:type="dxa"/>
        <w:tblInd w:w="633" w:type="dxa"/>
        <w:tblLayout w:type="fixed"/>
        <w:tblCellMar>
          <w:top w:w="0" w:type="dxa"/>
          <w:left w:w="108" w:type="dxa"/>
          <w:bottom w:w="0" w:type="dxa"/>
          <w:right w:w="108" w:type="dxa"/>
        </w:tblCellMar>
      </w:tblPr>
      <w:tblGrid>
        <w:gridCol w:w="4379"/>
        <w:gridCol w:w="4160"/>
      </w:tblGrid>
      <w:tr>
        <w:tblPrEx>
          <w:tblCellMar>
            <w:top w:w="0" w:type="dxa"/>
            <w:left w:w="108" w:type="dxa"/>
            <w:bottom w:w="0" w:type="dxa"/>
            <w:right w:w="108" w:type="dxa"/>
          </w:tblCellMar>
        </w:tblPrEx>
        <w:trPr>
          <w:trHeight w:val="617" w:hRule="atLeast"/>
        </w:trPr>
        <w:tc>
          <w:tcPr>
            <w:tcW w:w="4379"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被授权人</w:t>
            </w:r>
            <w:r>
              <w:rPr>
                <w:rFonts w:hint="eastAsia" w:ascii="宋体" w:hAnsi="宋体" w:cs="宋体"/>
                <w:b/>
                <w:bCs/>
                <w:color w:val="auto"/>
                <w:spacing w:val="4"/>
                <w:sz w:val="24"/>
                <w:szCs w:val="24"/>
              </w:rPr>
              <w:t>签字或盖章</w:t>
            </w:r>
            <w:r>
              <w:rPr>
                <w:rFonts w:hint="eastAsia" w:ascii="宋体" w:hAnsi="宋体" w:cs="宋体"/>
                <w:color w:val="auto"/>
                <w:spacing w:val="4"/>
                <w:sz w:val="24"/>
                <w:szCs w:val="24"/>
              </w:rPr>
              <w:t>：</w:t>
            </w:r>
          </w:p>
        </w:tc>
        <w:tc>
          <w:tcPr>
            <w:tcW w:w="4160"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法定代表人</w:t>
            </w:r>
            <w:r>
              <w:rPr>
                <w:rFonts w:hint="eastAsia" w:ascii="宋体" w:hAnsi="宋体" w:cs="宋体"/>
                <w:b/>
                <w:bCs/>
                <w:color w:val="auto"/>
                <w:spacing w:val="4"/>
                <w:sz w:val="24"/>
                <w:szCs w:val="24"/>
              </w:rPr>
              <w:t>签字或盖章</w:t>
            </w:r>
            <w:r>
              <w:rPr>
                <w:rFonts w:hint="eastAsia" w:ascii="宋体" w:hAnsi="宋体" w:cs="宋体"/>
                <w:color w:val="auto"/>
                <w:spacing w:val="4"/>
                <w:sz w:val="24"/>
                <w:szCs w:val="24"/>
              </w:rPr>
              <w:t>：</w:t>
            </w:r>
          </w:p>
        </w:tc>
      </w:tr>
      <w:tr>
        <w:tblPrEx>
          <w:tblCellMar>
            <w:top w:w="0" w:type="dxa"/>
            <w:left w:w="108" w:type="dxa"/>
            <w:bottom w:w="0" w:type="dxa"/>
            <w:right w:w="108" w:type="dxa"/>
          </w:tblCellMar>
        </w:tblPrEx>
        <w:trPr>
          <w:trHeight w:val="617" w:hRule="atLeast"/>
        </w:trPr>
        <w:tc>
          <w:tcPr>
            <w:tcW w:w="4379"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职务：</w:t>
            </w:r>
          </w:p>
        </w:tc>
        <w:tc>
          <w:tcPr>
            <w:tcW w:w="4160"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职务：</w:t>
            </w:r>
          </w:p>
        </w:tc>
      </w:tr>
      <w:tr>
        <w:tblPrEx>
          <w:tblCellMar>
            <w:top w:w="0" w:type="dxa"/>
            <w:left w:w="108" w:type="dxa"/>
            <w:bottom w:w="0" w:type="dxa"/>
            <w:right w:w="108" w:type="dxa"/>
          </w:tblCellMar>
        </w:tblPrEx>
        <w:trPr>
          <w:trHeight w:val="617" w:hRule="atLeast"/>
        </w:trPr>
        <w:tc>
          <w:tcPr>
            <w:tcW w:w="4379"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身份证号：</w:t>
            </w:r>
          </w:p>
        </w:tc>
        <w:tc>
          <w:tcPr>
            <w:tcW w:w="4160"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身份证号：</w:t>
            </w:r>
          </w:p>
        </w:tc>
      </w:tr>
      <w:tr>
        <w:tblPrEx>
          <w:tblCellMar>
            <w:top w:w="0" w:type="dxa"/>
            <w:left w:w="108" w:type="dxa"/>
            <w:bottom w:w="0" w:type="dxa"/>
            <w:right w:w="108" w:type="dxa"/>
          </w:tblCellMar>
        </w:tblPrEx>
        <w:trPr>
          <w:trHeight w:val="617" w:hRule="atLeast"/>
        </w:trPr>
        <w:tc>
          <w:tcPr>
            <w:tcW w:w="4379"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所在部门：</w:t>
            </w:r>
          </w:p>
        </w:tc>
        <w:tc>
          <w:tcPr>
            <w:tcW w:w="4160" w:type="dxa"/>
            <w:noWrap w:val="0"/>
            <w:vAlign w:val="center"/>
          </w:tcPr>
          <w:p>
            <w:pPr>
              <w:spacing w:line="360" w:lineRule="auto"/>
              <w:rPr>
                <w:rFonts w:hint="eastAsia" w:ascii="宋体" w:hAnsi="宋体" w:cs="宋体"/>
                <w:color w:val="auto"/>
                <w:spacing w:val="4"/>
                <w:sz w:val="24"/>
                <w:szCs w:val="24"/>
              </w:rPr>
            </w:pPr>
          </w:p>
        </w:tc>
      </w:tr>
      <w:tr>
        <w:tblPrEx>
          <w:tblCellMar>
            <w:top w:w="0" w:type="dxa"/>
            <w:left w:w="108" w:type="dxa"/>
            <w:bottom w:w="0" w:type="dxa"/>
            <w:right w:w="108" w:type="dxa"/>
          </w:tblCellMar>
        </w:tblPrEx>
        <w:trPr>
          <w:trHeight w:val="617" w:hRule="atLeast"/>
        </w:trPr>
        <w:tc>
          <w:tcPr>
            <w:tcW w:w="4379" w:type="dxa"/>
            <w:noWrap w:val="0"/>
            <w:vAlign w:val="center"/>
          </w:tcPr>
          <w:p>
            <w:pPr>
              <w:spacing w:line="360" w:lineRule="auto"/>
              <w:rPr>
                <w:rFonts w:hint="eastAsia" w:ascii="宋体" w:hAnsi="宋体" w:cs="宋体"/>
                <w:color w:val="auto"/>
                <w:spacing w:val="4"/>
                <w:sz w:val="24"/>
                <w:szCs w:val="24"/>
              </w:rPr>
            </w:pPr>
            <w:r>
              <w:rPr>
                <w:rFonts w:hint="eastAsia" w:ascii="宋体" w:hAnsi="宋体" w:cs="宋体"/>
                <w:color w:val="auto"/>
                <w:spacing w:val="4"/>
                <w:sz w:val="24"/>
                <w:szCs w:val="24"/>
              </w:rPr>
              <w:t>联系电话：</w:t>
            </w:r>
          </w:p>
        </w:tc>
        <w:tc>
          <w:tcPr>
            <w:tcW w:w="4160" w:type="dxa"/>
            <w:noWrap w:val="0"/>
            <w:vAlign w:val="center"/>
          </w:tcPr>
          <w:p>
            <w:pPr>
              <w:spacing w:line="360" w:lineRule="auto"/>
              <w:rPr>
                <w:rFonts w:hint="eastAsia" w:ascii="宋体" w:hAnsi="宋体" w:cs="宋体"/>
                <w:color w:val="auto"/>
                <w:spacing w:val="4"/>
                <w:sz w:val="24"/>
                <w:szCs w:val="24"/>
              </w:rPr>
            </w:pPr>
          </w:p>
        </w:tc>
      </w:tr>
    </w:tbl>
    <w:p>
      <w:pPr>
        <w:pStyle w:val="10"/>
        <w:rPr>
          <w:rFonts w:hint="eastAsia" w:ascii="宋体" w:hAnsi="宋体" w:cs="宋体"/>
          <w:color w:val="auto"/>
          <w:sz w:val="24"/>
          <w:szCs w:val="24"/>
        </w:rPr>
      </w:pPr>
    </w:p>
    <w:p>
      <w:pPr>
        <w:spacing w:line="336"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本授权书有效期自响应文件递交截止之日起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天，特此声明。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4473" w:type="dxa"/>
            <w:noWrap w:val="0"/>
            <w:vAlign w:val="center"/>
          </w:tcPr>
          <w:p>
            <w:pPr>
              <w:spacing w:line="336" w:lineRule="auto"/>
              <w:jc w:val="center"/>
              <w:rPr>
                <w:rFonts w:hint="eastAsia" w:ascii="宋体" w:hAnsi="宋体" w:cs="宋体"/>
                <w:color w:val="auto"/>
                <w:sz w:val="24"/>
                <w:szCs w:val="24"/>
              </w:rPr>
            </w:pPr>
            <w:r>
              <w:rPr>
                <w:rFonts w:hint="eastAsia" w:ascii="宋体" w:hAnsi="宋体" w:cs="宋体"/>
                <w:color w:val="auto"/>
                <w:sz w:val="24"/>
                <w:szCs w:val="24"/>
              </w:rPr>
              <w:t>法人身份证复印件</w:t>
            </w:r>
          </w:p>
          <w:p>
            <w:pPr>
              <w:pStyle w:val="10"/>
              <w:jc w:val="center"/>
              <w:rPr>
                <w:rFonts w:hint="eastAsia" w:ascii="宋体" w:hAnsi="宋体" w:cs="宋体"/>
                <w:color w:val="auto"/>
                <w:kern w:val="2"/>
                <w:sz w:val="24"/>
                <w:szCs w:val="24"/>
                <w:lang w:val="en-US" w:eastAsia="zh-CN"/>
              </w:rPr>
            </w:pPr>
            <w:r>
              <w:rPr>
                <w:rFonts w:hint="eastAsia" w:ascii="宋体" w:hAnsi="宋体" w:cs="宋体"/>
                <w:b w:val="0"/>
                <w:color w:val="auto"/>
                <w:kern w:val="2"/>
                <w:sz w:val="24"/>
                <w:szCs w:val="24"/>
                <w:lang w:val="en-US" w:eastAsia="zh-CN"/>
              </w:rPr>
              <w:t>正、反面</w:t>
            </w:r>
          </w:p>
        </w:tc>
        <w:tc>
          <w:tcPr>
            <w:tcW w:w="4474" w:type="dxa"/>
            <w:noWrap w:val="0"/>
            <w:vAlign w:val="center"/>
          </w:tcPr>
          <w:p>
            <w:pPr>
              <w:widowControl/>
              <w:spacing w:line="336" w:lineRule="auto"/>
              <w:jc w:val="center"/>
              <w:rPr>
                <w:rFonts w:hint="eastAsia" w:ascii="宋体" w:hAnsi="宋体" w:cs="宋体"/>
                <w:color w:val="auto"/>
                <w:sz w:val="24"/>
                <w:szCs w:val="24"/>
              </w:rPr>
            </w:pPr>
            <w:r>
              <w:rPr>
                <w:rFonts w:hint="eastAsia" w:ascii="宋体" w:hAnsi="宋体" w:cs="宋体"/>
                <w:color w:val="auto"/>
                <w:sz w:val="24"/>
                <w:szCs w:val="24"/>
              </w:rPr>
              <w:t>被授权人身份证复印件</w:t>
            </w:r>
          </w:p>
          <w:p>
            <w:pPr>
              <w:widowControl/>
              <w:spacing w:line="336" w:lineRule="auto"/>
              <w:jc w:val="center"/>
              <w:rPr>
                <w:rFonts w:hint="eastAsia" w:ascii="宋体" w:hAnsi="宋体" w:cs="宋体"/>
                <w:color w:val="auto"/>
                <w:sz w:val="24"/>
                <w:szCs w:val="24"/>
              </w:rPr>
            </w:pPr>
            <w:r>
              <w:rPr>
                <w:rFonts w:hint="eastAsia" w:ascii="宋体" w:hAnsi="宋体" w:cs="宋体"/>
                <w:color w:val="auto"/>
                <w:sz w:val="24"/>
                <w:szCs w:val="24"/>
              </w:rPr>
              <w:t>正、反面</w:t>
            </w:r>
          </w:p>
          <w:p>
            <w:pPr>
              <w:pStyle w:val="10"/>
              <w:jc w:val="center"/>
              <w:rPr>
                <w:rFonts w:hint="eastAsia" w:ascii="宋体" w:hAnsi="宋体" w:cs="宋体"/>
                <w:color w:val="auto"/>
                <w:kern w:val="2"/>
                <w:sz w:val="24"/>
                <w:szCs w:val="24"/>
                <w:lang w:val="en-US" w:eastAsia="zh-CN"/>
              </w:rPr>
            </w:pPr>
          </w:p>
        </w:tc>
      </w:tr>
    </w:tbl>
    <w:p>
      <w:pPr>
        <w:pStyle w:val="10"/>
        <w:rPr>
          <w:rFonts w:hint="eastAsia" w:ascii="宋体" w:hAnsi="宋体" w:cs="宋体"/>
          <w:color w:val="auto"/>
          <w:sz w:val="24"/>
          <w:szCs w:val="24"/>
        </w:rPr>
      </w:pPr>
    </w:p>
    <w:p>
      <w:pPr>
        <w:wordWrap w:val="0"/>
        <w:spacing w:line="336" w:lineRule="auto"/>
        <w:ind w:firstLine="5040" w:firstLineChars="2100"/>
        <w:rPr>
          <w:rFonts w:hint="eastAsia" w:ascii="宋体" w:hAnsi="宋体" w:cs="宋体"/>
          <w:color w:val="auto"/>
          <w:sz w:val="24"/>
          <w:szCs w:val="24"/>
        </w:rPr>
      </w:pPr>
      <w:bookmarkStart w:id="166" w:name="_Hlt492284272"/>
      <w:bookmarkEnd w:id="166"/>
      <w:bookmarkStart w:id="167" w:name="_Hlt491573490"/>
      <w:bookmarkEnd w:id="167"/>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（公章）</w:t>
      </w:r>
    </w:p>
    <w:p>
      <w:pPr>
        <w:wordWrap w:val="0"/>
        <w:spacing w:line="336" w:lineRule="auto"/>
        <w:rPr>
          <w:rFonts w:hint="eastAsia" w:ascii="宋体" w:hAnsi="宋体" w:cs="宋体"/>
          <w:color w:val="auto"/>
          <w:sz w:val="24"/>
          <w:szCs w:val="24"/>
          <w:u w:val="single"/>
        </w:rPr>
      </w:pPr>
      <w:r>
        <w:rPr>
          <w:rFonts w:hint="eastAsia" w:ascii="宋体" w:hAnsi="宋体" w:cs="宋体"/>
          <w:color w:val="auto"/>
          <w:sz w:val="24"/>
          <w:szCs w:val="24"/>
        </w:rPr>
        <w:t xml:space="preserve">                                          日  期：</w:t>
      </w:r>
      <w:r>
        <w:rPr>
          <w:rFonts w:hint="eastAsia" w:ascii="宋体" w:hAnsi="宋体" w:cs="宋体"/>
          <w:color w:val="auto"/>
          <w:sz w:val="24"/>
          <w:szCs w:val="24"/>
          <w:u w:val="single"/>
        </w:rPr>
        <w:t xml:space="preserve">                       </w:t>
      </w:r>
    </w:p>
    <w:p>
      <w:pPr>
        <w:pStyle w:val="10"/>
        <w:rPr>
          <w:rFonts w:hint="eastAsia" w:ascii="宋体" w:hAnsi="宋体" w:cs="宋体"/>
          <w:color w:val="auto"/>
          <w:sz w:val="24"/>
          <w:szCs w:val="24"/>
        </w:rPr>
      </w:pPr>
    </w:p>
    <w:p>
      <w:pPr>
        <w:spacing w:line="336" w:lineRule="auto"/>
        <w:rPr>
          <w:rFonts w:hint="eastAsia" w:ascii="宋体" w:hAnsi="宋体" w:cs="宋体"/>
          <w:color w:val="auto"/>
          <w:sz w:val="24"/>
          <w:szCs w:val="24"/>
        </w:rPr>
      </w:pPr>
      <w:r>
        <w:rPr>
          <w:rFonts w:hint="eastAsia" w:ascii="宋体" w:hAnsi="宋体" w:cs="宋体"/>
          <w:color w:val="auto"/>
          <w:sz w:val="24"/>
          <w:szCs w:val="24"/>
        </w:rPr>
        <w:t>注：1.此授权书的有效期应与响应文件有效期一致；</w:t>
      </w:r>
    </w:p>
    <w:p>
      <w:pPr>
        <w:pStyle w:val="10"/>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w:t>
      </w:r>
      <w:r>
        <w:rPr>
          <w:rFonts w:hint="eastAsia" w:ascii="宋体" w:hAnsi="宋体" w:cs="宋体"/>
          <w:b w:val="0"/>
          <w:color w:val="auto"/>
          <w:sz w:val="24"/>
          <w:szCs w:val="24"/>
          <w:lang w:val="zh-CN"/>
        </w:rPr>
        <w:t>法定代表人直接</w:t>
      </w:r>
      <w:r>
        <w:rPr>
          <w:rFonts w:hint="eastAsia" w:ascii="宋体" w:hAnsi="宋体" w:cs="宋体"/>
          <w:b w:val="0"/>
          <w:color w:val="auto"/>
          <w:sz w:val="24"/>
          <w:szCs w:val="24"/>
        </w:rPr>
        <w:t>磋商响应</w:t>
      </w:r>
      <w:r>
        <w:rPr>
          <w:rFonts w:hint="eastAsia" w:ascii="宋体" w:hAnsi="宋体" w:cs="宋体"/>
          <w:b w:val="0"/>
          <w:color w:val="auto"/>
          <w:sz w:val="24"/>
          <w:szCs w:val="24"/>
          <w:lang w:val="zh-CN"/>
        </w:rPr>
        <w:t>时无需提供。</w:t>
      </w:r>
    </w:p>
    <w:p>
      <w:pPr>
        <w:pStyle w:val="7"/>
        <w:spacing w:before="120" w:after="120"/>
        <w:rPr>
          <w:rFonts w:hint="eastAsia" w:ascii="宋体" w:hAnsi="宋体" w:cs="宋体"/>
          <w:color w:val="auto"/>
          <w:szCs w:val="24"/>
        </w:rPr>
      </w:pPr>
      <w:bookmarkStart w:id="168" w:name="_Toc14599"/>
      <w:r>
        <w:rPr>
          <w:rFonts w:hint="eastAsia" w:ascii="宋体" w:hAnsi="宋体" w:cs="宋体"/>
          <w:color w:val="auto"/>
          <w:szCs w:val="24"/>
        </w:rPr>
        <w:br w:type="page"/>
      </w:r>
      <w:r>
        <w:rPr>
          <w:rFonts w:hint="eastAsia" w:ascii="宋体" w:hAnsi="宋体" w:cs="宋体"/>
          <w:color w:val="auto"/>
          <w:szCs w:val="24"/>
        </w:rPr>
        <w:t>附件2  履行合同所必需的设备和专业技术能力的承诺（格式）</w:t>
      </w:r>
      <w:bookmarkEnd w:id="168"/>
    </w:p>
    <w:p>
      <w:pPr>
        <w:rPr>
          <w:rFonts w:hint="eastAsia" w:ascii="宋体" w:hAnsi="宋体" w:cs="宋体"/>
          <w:color w:val="auto"/>
          <w:sz w:val="24"/>
          <w:szCs w:val="24"/>
        </w:rPr>
      </w:pPr>
    </w:p>
    <w:p>
      <w:pPr>
        <w:bidi w:val="0"/>
        <w:spacing w:line="480" w:lineRule="auto"/>
        <w:jc w:val="center"/>
        <w:rPr>
          <w:rFonts w:hint="eastAsia"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rPr>
        <w:t>履行合同所必需的设备和专业技术能力的承诺</w:t>
      </w:r>
    </w:p>
    <w:p>
      <w:pPr>
        <w:spacing w:line="336" w:lineRule="auto"/>
        <w:rPr>
          <w:rFonts w:hint="eastAsia" w:ascii="宋体" w:hAnsi="宋体" w:cs="宋体"/>
          <w:color w:val="auto"/>
          <w:spacing w:val="4"/>
          <w:sz w:val="24"/>
          <w:szCs w:val="24"/>
          <w:u w:val="single"/>
        </w:rPr>
      </w:pPr>
      <w:r>
        <w:rPr>
          <w:rFonts w:hint="eastAsia" w:ascii="宋体" w:hAnsi="宋体" w:cs="宋体"/>
          <w:color w:val="auto"/>
          <w:spacing w:val="4"/>
          <w:sz w:val="24"/>
          <w:szCs w:val="24"/>
          <w:u w:val="single"/>
        </w:rPr>
        <w:t>（采购人名称）：</w:t>
      </w:r>
    </w:p>
    <w:p>
      <w:pPr>
        <w:pStyle w:val="10"/>
        <w:rPr>
          <w:rFonts w:hint="eastAsia" w:ascii="宋体" w:hAnsi="宋体" w:cs="宋体"/>
          <w:color w:val="auto"/>
          <w:sz w:val="24"/>
          <w:szCs w:val="24"/>
        </w:rPr>
      </w:pPr>
    </w:p>
    <w:p>
      <w:pPr>
        <w:pStyle w:val="12"/>
        <w:adjustRightInd w:val="0"/>
        <w:snapToGrid w:val="0"/>
        <w:spacing w:line="336" w:lineRule="auto"/>
        <w:ind w:firstLine="493"/>
        <w:rPr>
          <w:rFonts w:hint="eastAsia" w:hAnsi="宋体" w:cs="宋体"/>
          <w:color w:val="auto"/>
          <w:spacing w:val="4"/>
          <w:sz w:val="24"/>
          <w:szCs w:val="24"/>
        </w:rPr>
      </w:pPr>
      <w:r>
        <w:rPr>
          <w:rFonts w:hint="eastAsia" w:hAnsi="宋体" w:cs="宋体"/>
          <w:color w:val="auto"/>
          <w:spacing w:val="4"/>
          <w:sz w:val="24"/>
          <w:szCs w:val="24"/>
        </w:rPr>
        <w:t xml:space="preserve">   </w:t>
      </w:r>
      <w:r>
        <w:rPr>
          <w:rFonts w:hint="eastAsia" w:hAnsi="宋体" w:cs="宋体"/>
          <w:color w:val="auto"/>
          <w:spacing w:val="4"/>
          <w:sz w:val="24"/>
          <w:szCs w:val="24"/>
          <w:u w:val="single"/>
        </w:rPr>
        <w:t>（供应商名称）</w:t>
      </w:r>
      <w:r>
        <w:rPr>
          <w:rFonts w:hint="eastAsia" w:hAnsi="宋体" w:cs="宋体"/>
          <w:color w:val="auto"/>
          <w:spacing w:val="4"/>
          <w:sz w:val="24"/>
          <w:szCs w:val="24"/>
        </w:rPr>
        <w:t xml:space="preserve"> 于</w:t>
      </w:r>
      <w:r>
        <w:rPr>
          <w:rFonts w:hint="eastAsia" w:hAnsi="宋体" w:cs="宋体"/>
          <w:color w:val="auto"/>
          <w:spacing w:val="4"/>
          <w:sz w:val="24"/>
          <w:szCs w:val="24"/>
          <w:u w:val="single"/>
        </w:rPr>
        <w:t xml:space="preserve">     </w:t>
      </w:r>
      <w:r>
        <w:rPr>
          <w:rFonts w:hint="eastAsia" w:hAnsi="宋体" w:cs="宋体"/>
          <w:color w:val="auto"/>
          <w:spacing w:val="4"/>
          <w:sz w:val="24"/>
          <w:szCs w:val="24"/>
        </w:rPr>
        <w:t>年</w:t>
      </w:r>
      <w:r>
        <w:rPr>
          <w:rFonts w:hint="eastAsia" w:hAnsi="宋体" w:cs="宋体"/>
          <w:color w:val="auto"/>
          <w:spacing w:val="4"/>
          <w:sz w:val="24"/>
          <w:szCs w:val="24"/>
          <w:u w:val="single"/>
        </w:rPr>
        <w:t xml:space="preserve">    </w:t>
      </w:r>
      <w:r>
        <w:rPr>
          <w:rFonts w:hint="eastAsia" w:hAnsi="宋体" w:cs="宋体"/>
          <w:color w:val="auto"/>
          <w:spacing w:val="4"/>
          <w:sz w:val="24"/>
          <w:szCs w:val="24"/>
        </w:rPr>
        <w:t>月</w:t>
      </w:r>
      <w:r>
        <w:rPr>
          <w:rFonts w:hint="eastAsia" w:hAnsi="宋体" w:cs="宋体"/>
          <w:color w:val="auto"/>
          <w:spacing w:val="4"/>
          <w:sz w:val="24"/>
          <w:szCs w:val="24"/>
          <w:u w:val="single"/>
        </w:rPr>
        <w:t xml:space="preserve">   </w:t>
      </w:r>
      <w:r>
        <w:rPr>
          <w:rFonts w:hint="eastAsia" w:hAnsi="宋体" w:cs="宋体"/>
          <w:color w:val="auto"/>
          <w:spacing w:val="4"/>
          <w:sz w:val="24"/>
          <w:szCs w:val="24"/>
        </w:rPr>
        <w:t>日在中华人民共和国境内</w:t>
      </w:r>
      <w:r>
        <w:rPr>
          <w:rFonts w:hint="eastAsia" w:hAnsi="宋体" w:cs="宋体"/>
          <w:color w:val="auto"/>
          <w:spacing w:val="4"/>
          <w:sz w:val="24"/>
          <w:szCs w:val="24"/>
          <w:u w:val="single"/>
        </w:rPr>
        <w:t xml:space="preserve">     （详细注册地址）                  </w:t>
      </w:r>
      <w:r>
        <w:rPr>
          <w:rFonts w:hint="eastAsia" w:hAnsi="宋体" w:cs="宋体"/>
          <w:color w:val="auto"/>
          <w:spacing w:val="4"/>
          <w:sz w:val="24"/>
          <w:szCs w:val="24"/>
        </w:rPr>
        <w:t>合法注册并经营，公司主营业务为</w:t>
      </w:r>
      <w:r>
        <w:rPr>
          <w:rFonts w:hint="eastAsia" w:hAnsi="宋体" w:cs="宋体"/>
          <w:color w:val="auto"/>
          <w:spacing w:val="4"/>
          <w:sz w:val="24"/>
          <w:szCs w:val="24"/>
          <w:u w:val="single"/>
        </w:rPr>
        <w:t xml:space="preserve">                          </w:t>
      </w:r>
      <w:r>
        <w:rPr>
          <w:rFonts w:hint="eastAsia" w:hAnsi="宋体" w:cs="宋体"/>
          <w:color w:val="auto"/>
          <w:spacing w:val="4"/>
          <w:sz w:val="24"/>
          <w:szCs w:val="24"/>
        </w:rPr>
        <w:t>，营业（生产经营）面积为</w:t>
      </w:r>
      <w:r>
        <w:rPr>
          <w:rFonts w:hint="eastAsia" w:hAnsi="宋体" w:cs="宋体"/>
          <w:color w:val="auto"/>
          <w:spacing w:val="4"/>
          <w:sz w:val="24"/>
          <w:szCs w:val="24"/>
          <w:u w:val="single"/>
        </w:rPr>
        <w:t xml:space="preserve">             </w:t>
      </w:r>
      <w:r>
        <w:rPr>
          <w:rFonts w:hint="eastAsia" w:hAnsi="宋体" w:cs="宋体"/>
          <w:color w:val="auto"/>
          <w:spacing w:val="4"/>
          <w:sz w:val="24"/>
          <w:szCs w:val="24"/>
        </w:rPr>
        <w:t xml:space="preserve"> ，现有员工数量为</w:t>
      </w:r>
      <w:r>
        <w:rPr>
          <w:rFonts w:hint="eastAsia" w:hAnsi="宋体" w:cs="宋体"/>
          <w:color w:val="auto"/>
          <w:spacing w:val="4"/>
          <w:sz w:val="24"/>
          <w:szCs w:val="24"/>
          <w:u w:val="single"/>
        </w:rPr>
        <w:t xml:space="preserve">         </w:t>
      </w:r>
      <w:r>
        <w:rPr>
          <w:rFonts w:hint="eastAsia" w:hAnsi="宋体" w:cs="宋体"/>
          <w:color w:val="auto"/>
          <w:spacing w:val="4"/>
          <w:sz w:val="24"/>
          <w:szCs w:val="24"/>
        </w:rPr>
        <w:t>，本公司郑重承诺，具有履行本合同所必需的设备和专业技术能力。</w:t>
      </w:r>
    </w:p>
    <w:p>
      <w:pPr>
        <w:pStyle w:val="12"/>
        <w:adjustRightInd w:val="0"/>
        <w:snapToGrid w:val="0"/>
        <w:ind w:firstLine="496"/>
        <w:rPr>
          <w:rFonts w:hint="eastAsia" w:hAnsi="宋体" w:cs="宋体"/>
          <w:color w:val="auto"/>
          <w:spacing w:val="4"/>
          <w:sz w:val="24"/>
          <w:szCs w:val="24"/>
        </w:rPr>
      </w:pPr>
    </w:p>
    <w:p>
      <w:pPr>
        <w:pStyle w:val="12"/>
        <w:adjustRightInd w:val="0"/>
        <w:snapToGrid w:val="0"/>
        <w:ind w:firstLine="496"/>
        <w:rPr>
          <w:rFonts w:hint="eastAsia" w:hAnsi="宋体" w:cs="宋体"/>
          <w:color w:val="auto"/>
          <w:spacing w:val="4"/>
          <w:sz w:val="24"/>
          <w:szCs w:val="24"/>
        </w:rPr>
      </w:pPr>
    </w:p>
    <w:p>
      <w:pPr>
        <w:pStyle w:val="12"/>
        <w:adjustRightInd w:val="0"/>
        <w:snapToGrid w:val="0"/>
        <w:ind w:firstLine="496"/>
        <w:rPr>
          <w:rFonts w:hint="eastAsia" w:hAnsi="宋体" w:cs="宋体"/>
          <w:color w:val="auto"/>
          <w:spacing w:val="4"/>
          <w:sz w:val="24"/>
          <w:szCs w:val="24"/>
        </w:rPr>
      </w:pPr>
    </w:p>
    <w:p>
      <w:pPr>
        <w:spacing w:line="336" w:lineRule="auto"/>
        <w:ind w:right="-161" w:firstLine="3360" w:firstLineChars="140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（公章）</w:t>
      </w:r>
    </w:p>
    <w:p>
      <w:pPr>
        <w:spacing w:line="336" w:lineRule="auto"/>
        <w:ind w:right="-161" w:firstLine="3360" w:firstLineChars="1400"/>
        <w:rPr>
          <w:rFonts w:hint="eastAsia" w:ascii="宋体" w:hAnsi="宋体" w:cs="宋体"/>
          <w:color w:val="auto"/>
        </w:rPr>
      </w:pPr>
      <w:r>
        <w:rPr>
          <w:rFonts w:hint="eastAsia" w:ascii="宋体" w:hAnsi="宋体" w:cs="宋体"/>
          <w:color w:val="auto"/>
          <w:sz w:val="24"/>
          <w:szCs w:val="24"/>
        </w:rPr>
        <w:t>法定代表人或被授权代表（签字或盖章）：</w:t>
      </w:r>
      <w:r>
        <w:rPr>
          <w:rFonts w:hint="eastAsia" w:ascii="宋体" w:hAnsi="宋体" w:cs="宋体"/>
          <w:color w:val="auto"/>
          <w:sz w:val="24"/>
          <w:szCs w:val="24"/>
          <w:u w:val="single"/>
        </w:rPr>
        <w:t xml:space="preserve">       </w:t>
      </w:r>
    </w:p>
    <w:p>
      <w:pPr>
        <w:wordWrap w:val="0"/>
        <w:spacing w:line="336" w:lineRule="auto"/>
        <w:ind w:right="-159" w:firstLine="3360" w:firstLineChars="1400"/>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spacing w:line="360" w:lineRule="auto"/>
        <w:rPr>
          <w:rFonts w:hint="eastAsia" w:ascii="宋体" w:hAnsi="宋体" w:cs="宋体"/>
          <w:color w:val="auto"/>
          <w:sz w:val="24"/>
          <w:szCs w:val="24"/>
        </w:rPr>
      </w:pPr>
    </w:p>
    <w:p>
      <w:pPr>
        <w:pStyle w:val="10"/>
        <w:rPr>
          <w:rFonts w:hint="eastAsia" w:ascii="宋体" w:hAnsi="宋体" w:cs="宋体"/>
          <w:color w:val="auto"/>
          <w:sz w:val="24"/>
          <w:szCs w:val="24"/>
        </w:rPr>
      </w:pPr>
    </w:p>
    <w:p>
      <w:pPr>
        <w:pStyle w:val="7"/>
        <w:spacing w:before="120" w:after="120"/>
        <w:rPr>
          <w:rStyle w:val="29"/>
          <w:rFonts w:hint="eastAsia" w:ascii="宋体" w:hAnsi="宋体" w:cs="宋体"/>
          <w:b/>
          <w:color w:val="auto"/>
          <w:sz w:val="24"/>
          <w:szCs w:val="24"/>
        </w:rPr>
      </w:pPr>
      <w:r>
        <w:rPr>
          <w:rFonts w:hint="eastAsia" w:ascii="宋体" w:hAnsi="宋体" w:cs="宋体"/>
          <w:color w:val="auto"/>
          <w:szCs w:val="24"/>
        </w:rPr>
        <w:br w:type="page"/>
      </w:r>
      <w:bookmarkStart w:id="169" w:name="_Toc31818"/>
      <w:r>
        <w:rPr>
          <w:rStyle w:val="29"/>
          <w:rFonts w:hint="eastAsia" w:ascii="宋体" w:hAnsi="宋体" w:cs="宋体"/>
          <w:b/>
          <w:color w:val="auto"/>
          <w:sz w:val="24"/>
          <w:szCs w:val="24"/>
        </w:rPr>
        <w:t>附件3  参加政府采购活动前3年内在经营活动中没有重大违法记录的书面声明（格式）</w:t>
      </w:r>
      <w:bookmarkEnd w:id="169"/>
    </w:p>
    <w:p>
      <w:pPr>
        <w:pStyle w:val="10"/>
        <w:rPr>
          <w:rFonts w:hint="eastAsia" w:ascii="宋体" w:hAnsi="宋体" w:cs="宋体"/>
          <w:color w:val="auto"/>
          <w:sz w:val="24"/>
          <w:szCs w:val="24"/>
        </w:rPr>
      </w:pPr>
    </w:p>
    <w:p>
      <w:pPr>
        <w:pStyle w:val="12"/>
        <w:spacing w:line="336" w:lineRule="auto"/>
        <w:rPr>
          <w:rFonts w:hint="eastAsia" w:hAnsi="宋体" w:cs="宋体"/>
          <w:color w:val="auto"/>
          <w:sz w:val="24"/>
          <w:szCs w:val="24"/>
        </w:rPr>
      </w:pPr>
      <w:r>
        <w:rPr>
          <w:rFonts w:hint="eastAsia" w:hAnsi="宋体" w:cs="宋体"/>
          <w:color w:val="auto"/>
          <w:sz w:val="24"/>
          <w:szCs w:val="24"/>
        </w:rPr>
        <w:t>本单位郑重声明：</w:t>
      </w:r>
    </w:p>
    <w:p>
      <w:pPr>
        <w:pStyle w:val="12"/>
        <w:spacing w:line="336" w:lineRule="auto"/>
        <w:ind w:firstLine="480" w:firstLineChars="200"/>
        <w:rPr>
          <w:rFonts w:hint="eastAsia" w:hAnsi="宋体" w:cs="宋体"/>
          <w:color w:val="auto"/>
          <w:sz w:val="24"/>
          <w:szCs w:val="24"/>
        </w:rPr>
      </w:pPr>
      <w:r>
        <w:rPr>
          <w:rFonts w:hint="eastAsia" w:hAnsi="宋体" w:cs="宋体"/>
          <w:color w:val="auto"/>
          <w:sz w:val="24"/>
          <w:szCs w:val="24"/>
        </w:rPr>
        <w:t>我单位在参加采购活动前3年内在经营活动中没有《政府采购法》第二十二条第一款第(五)项所称重大违法记录，包括：</w:t>
      </w:r>
    </w:p>
    <w:p>
      <w:pPr>
        <w:pStyle w:val="12"/>
        <w:spacing w:line="336" w:lineRule="auto"/>
        <w:ind w:firstLine="480" w:firstLineChars="200"/>
        <w:rPr>
          <w:rFonts w:hint="eastAsia" w:hAnsi="宋体" w:cs="宋体"/>
          <w:color w:val="auto"/>
          <w:sz w:val="24"/>
          <w:szCs w:val="24"/>
        </w:rPr>
      </w:pPr>
      <w:r>
        <w:rPr>
          <w:rFonts w:hint="eastAsia" w:hAnsi="宋体" w:cs="宋体"/>
          <w:color w:val="auto"/>
          <w:sz w:val="24"/>
          <w:szCs w:val="24"/>
        </w:rPr>
        <w:t>我单位或者其法定代表人、董事、监事、高级管理人员未因经营活动中的违法行为受到刑事处罚或者责令停产停业、吊销许可证或者执照、较大数额罚款等行政处罚。</w:t>
      </w:r>
    </w:p>
    <w:p>
      <w:pPr>
        <w:pStyle w:val="12"/>
        <w:spacing w:line="336"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pStyle w:val="12"/>
        <w:spacing w:line="336" w:lineRule="auto"/>
        <w:ind w:firstLine="480" w:firstLineChars="200"/>
        <w:rPr>
          <w:rFonts w:hint="eastAsia" w:hAnsi="宋体" w:cs="宋体"/>
          <w:color w:val="auto"/>
          <w:sz w:val="24"/>
          <w:szCs w:val="24"/>
        </w:rPr>
      </w:pPr>
    </w:p>
    <w:p>
      <w:pPr>
        <w:pStyle w:val="2"/>
        <w:ind w:firstLine="3360" w:firstLineChars="14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（公章）</w:t>
      </w:r>
    </w:p>
    <w:p>
      <w:pPr>
        <w:pStyle w:val="2"/>
        <w:ind w:firstLine="3360" w:firstLineChars="1400"/>
        <w:rPr>
          <w:rFonts w:hint="eastAsia" w:cs="宋体"/>
          <w:color w:val="auto"/>
        </w:rPr>
      </w:pPr>
      <w:r>
        <w:rPr>
          <w:rFonts w:hint="eastAsia" w:cs="宋体"/>
          <w:color w:val="auto"/>
        </w:rPr>
        <w:t>法定代表人或被授权代表：</w:t>
      </w:r>
      <w:r>
        <w:rPr>
          <w:rFonts w:hint="eastAsia" w:cs="宋体"/>
          <w:color w:val="auto"/>
          <w:u w:val="single"/>
        </w:rPr>
        <w:t xml:space="preserve">      </w:t>
      </w:r>
      <w:r>
        <w:rPr>
          <w:rFonts w:hint="eastAsia" w:cs="宋体"/>
          <w:color w:val="auto"/>
        </w:rPr>
        <w:t xml:space="preserve">（签字或盖章） </w:t>
      </w:r>
    </w:p>
    <w:p>
      <w:pPr>
        <w:pStyle w:val="2"/>
        <w:ind w:firstLine="3360" w:firstLineChars="1400"/>
        <w:rPr>
          <w:rFonts w:hint="eastAsia" w:cs="宋体"/>
          <w:color w:val="auto"/>
        </w:rPr>
      </w:pPr>
      <w:r>
        <w:rPr>
          <w:rFonts w:hint="eastAsia" w:cs="宋体"/>
          <w:color w:val="auto"/>
        </w:rPr>
        <w:t>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2"/>
        <w:ind w:firstLine="482"/>
        <w:rPr>
          <w:rFonts w:hint="eastAsia"/>
          <w:b/>
          <w:bCs/>
          <w:color w:val="auto"/>
        </w:rPr>
      </w:pPr>
      <w:r>
        <w:rPr>
          <w:rFonts w:hint="eastAsia"/>
          <w:b/>
          <w:bCs/>
          <w:color w:val="auto"/>
        </w:rPr>
        <w:t>备注：</w:t>
      </w:r>
    </w:p>
    <w:p>
      <w:pPr>
        <w:pStyle w:val="2"/>
        <w:ind w:firstLine="420"/>
        <w:rPr>
          <w:rFonts w:hint="eastAsia"/>
          <w:color w:val="auto"/>
          <w:sz w:val="21"/>
          <w:szCs w:val="16"/>
        </w:rPr>
      </w:pPr>
      <w:r>
        <w:rPr>
          <w:rFonts w:hint="eastAsia"/>
          <w:color w:val="auto"/>
          <w:sz w:val="21"/>
          <w:szCs w:val="16"/>
        </w:rPr>
        <w:t>1、供应商在参加政府采购活动前3年内因违法经营被禁止在一定期限内参加政府采购活动，期限届满的，可以参加政府采购活动，但应提供期限届满的证明材料。</w:t>
      </w:r>
    </w:p>
    <w:p>
      <w:pPr>
        <w:pStyle w:val="2"/>
        <w:ind w:firstLine="420"/>
        <w:rPr>
          <w:rFonts w:hint="eastAsia"/>
          <w:color w:val="auto"/>
          <w:sz w:val="21"/>
          <w:szCs w:val="16"/>
        </w:rPr>
      </w:pPr>
      <w:r>
        <w:rPr>
          <w:rFonts w:hint="eastAsia"/>
          <w:color w:val="auto"/>
          <w:sz w:val="21"/>
          <w:szCs w:val="16"/>
        </w:rPr>
        <w:t>2、《中华人民共和国政府采购法实施条例》第十九条 重大违法记录，是指供应商因违法经营受到刑事处罚或者责令停产停业、吊销许可证后者执照、较大数额罚款等行政处罚。</w:t>
      </w:r>
    </w:p>
    <w:p>
      <w:pPr>
        <w:pStyle w:val="2"/>
        <w:ind w:firstLine="420"/>
        <w:rPr>
          <w:rFonts w:hint="eastAsia"/>
          <w:color w:val="auto"/>
          <w:sz w:val="21"/>
          <w:szCs w:val="16"/>
        </w:rPr>
      </w:pPr>
      <w:r>
        <w:rPr>
          <w:rFonts w:hint="eastAsia"/>
          <w:color w:val="auto"/>
          <w:sz w:val="21"/>
          <w:szCs w:val="16"/>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5"/>
        <w:rPr>
          <w:rStyle w:val="28"/>
          <w:rFonts w:hint="eastAsia" w:ascii="宋体" w:hAnsi="宋体" w:cs="宋体"/>
          <w:b/>
          <w:color w:val="auto"/>
        </w:rPr>
      </w:pPr>
      <w:r>
        <w:rPr>
          <w:rFonts w:hint="eastAsia" w:ascii="宋体" w:hAnsi="宋体" w:cs="宋体"/>
          <w:color w:val="auto"/>
          <w:szCs w:val="24"/>
          <w:u w:val="single"/>
        </w:rPr>
        <w:br w:type="page"/>
      </w:r>
      <w:r>
        <w:rPr>
          <w:rStyle w:val="28"/>
          <w:rFonts w:hint="eastAsia" w:ascii="宋体" w:hAnsi="宋体" w:cs="宋体"/>
          <w:b/>
          <w:color w:val="auto"/>
          <w:lang w:val="en-US" w:eastAsia="zh-CN"/>
        </w:rPr>
        <w:t>六</w:t>
      </w:r>
      <w:r>
        <w:rPr>
          <w:rStyle w:val="28"/>
          <w:rFonts w:hint="eastAsia" w:ascii="宋体" w:hAnsi="宋体" w:cs="宋体"/>
          <w:b/>
          <w:color w:val="auto"/>
        </w:rPr>
        <w:t>、供应商承诺书</w:t>
      </w:r>
    </w:p>
    <w:p>
      <w:pPr>
        <w:pStyle w:val="6"/>
        <w:rPr>
          <w:rFonts w:hint="eastAsia" w:ascii="宋体" w:hAnsi="宋体" w:cs="宋体"/>
          <w:color w:val="auto"/>
        </w:rPr>
      </w:pPr>
      <w:r>
        <w:rPr>
          <w:rFonts w:hint="eastAsia" w:ascii="宋体" w:hAnsi="宋体" w:cs="宋体"/>
          <w:color w:val="auto"/>
        </w:rPr>
        <w:t>陕西省政府采购供应商拒绝政府采购领域商业贿赂承诺书Ⅰ</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 为响应党中央、国务院关于治理政府采购领域商业贿赂行为的号召，我公司在此庄严承诺：</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1、自觉遵守各项法律、法规、规章、制度以及社会公德，诚信经营，维护廉洁环境，与同场竞争的供应商平等参加政府采购活动。</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2、不向政府采购人、采购代理机构和政府采购磋商小组进行任何形式的商业贿赂以谋取交易机会。</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3、不向政府采购代理机构和采购人提供虚假资质文件或采用虚假应标方式参与政府采购市场竞争并谋取成交。</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4、不采取“围标、陪标”等商业欺诈手段获得政府采购订单。</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5、不采取不正当手段诋毁、排挤其他供应商。</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6、不在提供商品和服务时“偷梁换柱、以次充好”损害采购人的合法权益。</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7、不与采购人、采购代理机构政府采购磋商小组或其它供应商恶意串通，进行质疑和投诉，维护政府采购市场秩序。</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8、尊重和接受政府采购监督管理部门的监督和政府采购代理机构的采购要求，承担因违约行为给采购人造成的损失。</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9、不发生其它有悖于政府采购公开、公平、公正和诚信原则的行为。</w:t>
      </w:r>
    </w:p>
    <w:p>
      <w:pPr>
        <w:spacing w:line="360" w:lineRule="auto"/>
        <w:ind w:firstLine="420"/>
        <w:rPr>
          <w:rFonts w:hint="eastAsia" w:ascii="宋体" w:hAnsi="宋体" w:cs="宋体"/>
          <w:color w:val="auto"/>
          <w:sz w:val="24"/>
          <w:szCs w:val="24"/>
        </w:rPr>
      </w:pPr>
    </w:p>
    <w:p>
      <w:pPr>
        <w:pStyle w:val="2"/>
        <w:ind w:firstLine="480"/>
        <w:rPr>
          <w:rFonts w:hint="eastAsia" w:cs="宋体"/>
          <w:color w:val="auto"/>
        </w:rPr>
      </w:pPr>
      <w:r>
        <w:rPr>
          <w:rFonts w:hint="eastAsia" w:cs="宋体"/>
          <w:color w:val="auto"/>
        </w:rPr>
        <w:t>承诺单位：</w:t>
      </w:r>
      <w:r>
        <w:rPr>
          <w:rFonts w:hint="eastAsia" w:cs="宋体"/>
          <w:color w:val="auto"/>
          <w:u w:val="single"/>
        </w:rPr>
        <w:t xml:space="preserve">                          </w:t>
      </w:r>
      <w:r>
        <w:rPr>
          <w:rFonts w:hint="eastAsia" w:cs="宋体"/>
          <w:color w:val="auto"/>
        </w:rPr>
        <w:t>（公章）</w:t>
      </w:r>
    </w:p>
    <w:p>
      <w:pPr>
        <w:pStyle w:val="2"/>
        <w:ind w:firstLine="480"/>
        <w:rPr>
          <w:rFonts w:hint="eastAsia" w:cs="宋体"/>
          <w:color w:val="auto"/>
        </w:rPr>
      </w:pPr>
      <w:r>
        <w:rPr>
          <w:rFonts w:hint="eastAsia" w:cs="宋体"/>
          <w:color w:val="auto"/>
        </w:rPr>
        <w:t>法定代表人或被授权代表：</w:t>
      </w:r>
      <w:r>
        <w:rPr>
          <w:rFonts w:hint="eastAsia" w:cs="宋体"/>
          <w:color w:val="auto"/>
          <w:u w:val="single"/>
        </w:rPr>
        <w:t xml:space="preserve">      </w:t>
      </w:r>
      <w:r>
        <w:rPr>
          <w:rFonts w:hint="eastAsia" w:cs="宋体"/>
          <w:color w:val="auto"/>
        </w:rPr>
        <w:t>（签字或盖章）</w:t>
      </w:r>
    </w:p>
    <w:p>
      <w:pPr>
        <w:pStyle w:val="2"/>
        <w:ind w:firstLine="480"/>
        <w:rPr>
          <w:rFonts w:hint="eastAsia" w:cs="宋体"/>
          <w:color w:val="auto"/>
        </w:rPr>
      </w:pPr>
      <w:r>
        <w:rPr>
          <w:rFonts w:hint="eastAsia" w:cs="宋体"/>
          <w:color w:val="auto"/>
        </w:rPr>
        <w:t>地址：</w:t>
      </w:r>
      <w:r>
        <w:rPr>
          <w:rFonts w:hint="eastAsia" w:cs="宋体"/>
          <w:color w:val="auto"/>
          <w:u w:val="single"/>
        </w:rPr>
        <w:t xml:space="preserve">                                     </w:t>
      </w:r>
    </w:p>
    <w:p>
      <w:pPr>
        <w:pStyle w:val="2"/>
        <w:ind w:firstLine="480"/>
        <w:rPr>
          <w:rFonts w:hint="eastAsia" w:cs="宋体"/>
          <w:color w:val="auto"/>
        </w:rPr>
      </w:pPr>
      <w:r>
        <w:rPr>
          <w:rFonts w:hint="eastAsia" w:cs="宋体"/>
          <w:color w:val="auto"/>
        </w:rPr>
        <w:t>邮编：</w:t>
      </w:r>
      <w:r>
        <w:rPr>
          <w:rFonts w:hint="eastAsia" w:cs="宋体"/>
          <w:color w:val="auto"/>
          <w:u w:val="single"/>
        </w:rPr>
        <w:t xml:space="preserve">                                     </w:t>
      </w:r>
    </w:p>
    <w:p>
      <w:pPr>
        <w:pStyle w:val="2"/>
        <w:ind w:firstLine="480"/>
        <w:rPr>
          <w:rFonts w:hint="eastAsia" w:cs="宋体"/>
          <w:color w:val="auto"/>
        </w:rPr>
      </w:pPr>
      <w:r>
        <w:rPr>
          <w:rFonts w:hint="eastAsia" w:cs="宋体"/>
          <w:color w:val="auto"/>
        </w:rPr>
        <w:t>电话：</w:t>
      </w:r>
      <w:r>
        <w:rPr>
          <w:rFonts w:hint="eastAsia" w:cs="宋体"/>
          <w:color w:val="auto"/>
          <w:u w:val="single"/>
        </w:rPr>
        <w:t xml:space="preserve">                                     </w:t>
      </w:r>
    </w:p>
    <w:p>
      <w:pPr>
        <w:pStyle w:val="2"/>
        <w:ind w:firstLine="480"/>
        <w:rPr>
          <w:rFonts w:hint="eastAsia" w:cs="宋体"/>
          <w:color w:val="auto"/>
          <w:szCs w:val="24"/>
        </w:rPr>
      </w:pPr>
      <w:r>
        <w:rPr>
          <w:rFonts w:hint="eastAsia" w:cs="宋体"/>
          <w:color w:val="auto"/>
        </w:rPr>
        <w:t>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6"/>
        <w:rPr>
          <w:rStyle w:val="29"/>
          <w:rFonts w:hint="eastAsia" w:ascii="宋体" w:hAnsi="宋体" w:cs="宋体"/>
          <w:b/>
          <w:color w:val="auto"/>
        </w:rPr>
      </w:pPr>
      <w:r>
        <w:rPr>
          <w:rFonts w:hint="eastAsia" w:ascii="宋体" w:hAnsi="宋体" w:cs="宋体"/>
          <w:color w:val="auto"/>
          <w:sz w:val="32"/>
          <w:szCs w:val="32"/>
        </w:rPr>
        <w:br w:type="page"/>
      </w:r>
      <w:r>
        <w:rPr>
          <w:rStyle w:val="29"/>
          <w:rFonts w:hint="eastAsia" w:ascii="宋体" w:hAnsi="宋体" w:cs="宋体"/>
          <w:b/>
          <w:color w:val="auto"/>
        </w:rPr>
        <w:t>承诺书Ⅱ</w:t>
      </w:r>
    </w:p>
    <w:p>
      <w:pPr>
        <w:spacing w:line="360" w:lineRule="auto"/>
        <w:rPr>
          <w:rFonts w:hint="eastAsia" w:ascii="宋体" w:hAnsi="宋体" w:cs="宋体"/>
          <w:color w:val="auto"/>
          <w:sz w:val="24"/>
          <w:szCs w:val="24"/>
        </w:rPr>
      </w:pPr>
      <w:r>
        <w:rPr>
          <w:rFonts w:hint="eastAsia" w:ascii="宋体" w:hAnsi="宋体" w:cs="宋体"/>
          <w:color w:val="auto"/>
          <w:sz w:val="24"/>
          <w:szCs w:val="24"/>
        </w:rPr>
        <w:t>致：陕西正鸿招标有限公司</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为了诚实、客观、有序地参与陕西省政府采购活动，愿就以下内容作出承诺：</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1、参加采购代理机构组织的政府采购活动时，严格按照磋商文件的规定和要求提供所需的相关材料，并对所提供的各类资料的真实性负责，不虚假应标，不虚列业绩。</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2、尊重参与政府采购活动各相关方的合法行为，接受政府采购活动依法形成的意见、结果。</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lang w:val="zh-CN"/>
        </w:rPr>
        <w:t>3、依法参加政府采购活动，不围标、串标，维护市场秩序，不提供“三无”产品、以次充好，保证为正品。</w:t>
      </w:r>
      <w:r>
        <w:rPr>
          <w:rFonts w:hint="eastAsia" w:ascii="宋体" w:hAnsi="宋体" w:cs="宋体"/>
          <w:color w:val="auto"/>
          <w:sz w:val="24"/>
          <w:szCs w:val="24"/>
        </w:rPr>
        <w:t>近三年因产品供货问题的不法行为记录为</w:t>
      </w:r>
      <w:r>
        <w:rPr>
          <w:rFonts w:hint="eastAsia" w:ascii="宋体" w:hAnsi="宋体" w:cs="宋体"/>
          <w:color w:val="auto"/>
          <w:sz w:val="24"/>
          <w:szCs w:val="24"/>
          <w:u w:val="single"/>
        </w:rPr>
        <w:t xml:space="preserve">   </w:t>
      </w:r>
      <w:r>
        <w:rPr>
          <w:rFonts w:hint="eastAsia" w:ascii="宋体" w:hAnsi="宋体" w:cs="宋体"/>
          <w:color w:val="auto"/>
          <w:sz w:val="24"/>
          <w:szCs w:val="24"/>
        </w:rPr>
        <w:t>次（没有填零），如有隐瞒实情，愿承担一切责任及后果。</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lang w:val="zh-CN"/>
        </w:rPr>
        <w:t>4、</w:t>
      </w:r>
      <w:r>
        <w:rPr>
          <w:rFonts w:hint="eastAsia" w:ascii="宋体" w:hAnsi="宋体" w:cs="宋体"/>
          <w:color w:val="auto"/>
          <w:sz w:val="24"/>
          <w:szCs w:val="24"/>
        </w:rPr>
        <w:t>作为参加贵公司组织的采购项目的供应商，本公司承诺：在参加本项目磋商之前不存在被依法禁止经营行为、财产被接管或冻结的情况，如有隐瞒实情，愿承担一切责任及后果。</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5、近三年受到有关行政主管部门的行政处理、不良行为记录为</w:t>
      </w:r>
      <w:r>
        <w:rPr>
          <w:rFonts w:hint="eastAsia" w:ascii="宋体" w:hAnsi="宋体" w:cs="宋体"/>
          <w:color w:val="auto"/>
          <w:sz w:val="24"/>
          <w:szCs w:val="24"/>
          <w:u w:val="single"/>
        </w:rPr>
        <w:t xml:space="preserve">    </w:t>
      </w:r>
      <w:r>
        <w:rPr>
          <w:rFonts w:hint="eastAsia" w:ascii="宋体" w:hAnsi="宋体" w:cs="宋体"/>
          <w:color w:val="auto"/>
          <w:sz w:val="24"/>
          <w:szCs w:val="24"/>
        </w:rPr>
        <w:t>次（没有填零），如有隐瞒实情，愿承担一切责任及后果。</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rPr>
        <w:t>6、参加本次磋商提交的所有资质证明文件及业绩证明是真实的、有效的，如有隐瞒实情，愿承担一切责任及后果。</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7、积极推动政府采购活动健康开展，对采购活动有疑问、异议时，按法律规定的程序实名（加盖单位章和法定代表人签名）反映情况，不恶意中伤、无事生非，以和谐、平等的心态参加政府采购活动。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8、认真履行成交单位应承担的责任和义务，全面执行采购合同规定的各项内容，保质保量地按时提供采购物品。</w:t>
      </w:r>
    </w:p>
    <w:p>
      <w:pPr>
        <w:spacing w:line="360" w:lineRule="auto"/>
        <w:ind w:firstLine="420"/>
        <w:rPr>
          <w:rFonts w:hint="eastAsia" w:ascii="宋体" w:hAnsi="宋体" w:cs="宋体"/>
          <w:color w:val="auto"/>
          <w:sz w:val="24"/>
          <w:szCs w:val="24"/>
          <w:lang w:val="zh-CN"/>
        </w:rPr>
      </w:pPr>
      <w:r>
        <w:rPr>
          <w:rFonts w:hint="eastAsia" w:ascii="宋体" w:hAnsi="宋体" w:cs="宋体"/>
          <w:color w:val="auto"/>
          <w:sz w:val="24"/>
          <w:szCs w:val="24"/>
          <w:lang w:val="zh-CN"/>
        </w:rPr>
        <w:t>若本企业（单位）发生有悖于上述承诺的行为，愿意接受《中华人民共和国政府采购法》和《中华人民共和国政府采购法实施条例》中对供应商的相关处理。</w:t>
      </w:r>
    </w:p>
    <w:p>
      <w:pPr>
        <w:spacing w:line="360" w:lineRule="auto"/>
        <w:ind w:firstLine="420"/>
        <w:rPr>
          <w:rFonts w:hint="eastAsia" w:ascii="宋体" w:hAnsi="宋体" w:cs="宋体"/>
          <w:color w:val="auto"/>
          <w:sz w:val="24"/>
          <w:szCs w:val="24"/>
        </w:rPr>
      </w:pPr>
      <w:r>
        <w:rPr>
          <w:rFonts w:hint="eastAsia" w:ascii="宋体" w:hAnsi="宋体" w:cs="宋体"/>
          <w:color w:val="auto"/>
          <w:sz w:val="24"/>
          <w:szCs w:val="24"/>
          <w:lang w:val="zh-CN"/>
        </w:rPr>
        <w:t>本承诺是采购项目响应文件的组成部分。</w:t>
      </w:r>
    </w:p>
    <w:p>
      <w:pPr>
        <w:spacing w:line="360" w:lineRule="auto"/>
        <w:ind w:firstLine="420"/>
        <w:rPr>
          <w:rFonts w:hint="eastAsia" w:ascii="宋体" w:hAnsi="宋体" w:cs="宋体"/>
          <w:color w:val="auto"/>
          <w:sz w:val="24"/>
          <w:szCs w:val="24"/>
        </w:rPr>
      </w:pPr>
    </w:p>
    <w:p>
      <w:pPr>
        <w:pStyle w:val="2"/>
        <w:ind w:firstLine="480"/>
        <w:rPr>
          <w:rFonts w:hint="eastAsia" w:cs="宋体"/>
          <w:color w:val="auto"/>
        </w:rPr>
      </w:pPr>
      <w:bookmarkStart w:id="170" w:name="_Toc749"/>
      <w:r>
        <w:rPr>
          <w:rFonts w:hint="eastAsia" w:cs="宋体"/>
          <w:color w:val="auto"/>
        </w:rPr>
        <w:t>承诺单位：</w:t>
      </w:r>
      <w:r>
        <w:rPr>
          <w:rFonts w:hint="eastAsia" w:cs="宋体"/>
          <w:color w:val="auto"/>
          <w:u w:val="single"/>
        </w:rPr>
        <w:t xml:space="preserve">                          </w:t>
      </w:r>
      <w:r>
        <w:rPr>
          <w:rFonts w:hint="eastAsia" w:cs="宋体"/>
          <w:color w:val="auto"/>
        </w:rPr>
        <w:t>（公章）</w:t>
      </w:r>
    </w:p>
    <w:p>
      <w:pPr>
        <w:pStyle w:val="2"/>
        <w:ind w:firstLine="480"/>
        <w:rPr>
          <w:rFonts w:hint="eastAsia" w:cs="宋体"/>
          <w:color w:val="auto"/>
        </w:rPr>
      </w:pPr>
      <w:r>
        <w:rPr>
          <w:rFonts w:hint="eastAsia" w:cs="宋体"/>
          <w:color w:val="auto"/>
        </w:rPr>
        <w:t>法定代表人或被授权代表：</w:t>
      </w:r>
      <w:r>
        <w:rPr>
          <w:rFonts w:hint="eastAsia" w:cs="宋体"/>
          <w:color w:val="auto"/>
          <w:u w:val="single"/>
        </w:rPr>
        <w:t xml:space="preserve">      </w:t>
      </w:r>
      <w:r>
        <w:rPr>
          <w:rFonts w:hint="eastAsia" w:cs="宋体"/>
          <w:color w:val="auto"/>
        </w:rPr>
        <w:t>（签字或盖章）</w:t>
      </w:r>
    </w:p>
    <w:p>
      <w:pPr>
        <w:pStyle w:val="2"/>
        <w:ind w:firstLine="480"/>
        <w:rPr>
          <w:rFonts w:hint="eastAsia" w:cs="宋体"/>
          <w:color w:val="auto"/>
        </w:rPr>
      </w:pPr>
      <w:r>
        <w:rPr>
          <w:rFonts w:hint="eastAsia" w:cs="宋体"/>
          <w:color w:val="auto"/>
        </w:rPr>
        <w:t>地址：</w:t>
      </w:r>
      <w:r>
        <w:rPr>
          <w:rFonts w:hint="eastAsia" w:cs="宋体"/>
          <w:color w:val="auto"/>
          <w:u w:val="single"/>
        </w:rPr>
        <w:t xml:space="preserve">                                     </w:t>
      </w:r>
    </w:p>
    <w:p>
      <w:pPr>
        <w:pStyle w:val="2"/>
        <w:ind w:firstLine="480"/>
        <w:rPr>
          <w:rFonts w:hint="eastAsia" w:cs="宋体"/>
          <w:color w:val="auto"/>
        </w:rPr>
      </w:pPr>
      <w:r>
        <w:rPr>
          <w:rFonts w:hint="eastAsia" w:cs="宋体"/>
          <w:color w:val="auto"/>
        </w:rPr>
        <w:t>邮编：</w:t>
      </w:r>
      <w:r>
        <w:rPr>
          <w:rFonts w:hint="eastAsia" w:cs="宋体"/>
          <w:color w:val="auto"/>
          <w:u w:val="single"/>
        </w:rPr>
        <w:t xml:space="preserve">                                     </w:t>
      </w:r>
    </w:p>
    <w:p>
      <w:pPr>
        <w:pStyle w:val="2"/>
        <w:ind w:firstLine="480"/>
        <w:rPr>
          <w:rFonts w:hint="eastAsia" w:cs="宋体"/>
          <w:color w:val="auto"/>
        </w:rPr>
      </w:pPr>
      <w:r>
        <w:rPr>
          <w:rFonts w:hint="eastAsia" w:cs="宋体"/>
          <w:color w:val="auto"/>
        </w:rPr>
        <w:t>电话：</w:t>
      </w:r>
      <w:r>
        <w:rPr>
          <w:rFonts w:hint="eastAsia" w:cs="宋体"/>
          <w:color w:val="auto"/>
          <w:u w:val="single"/>
        </w:rPr>
        <w:t xml:space="preserve">                                     </w:t>
      </w:r>
    </w:p>
    <w:p>
      <w:pPr>
        <w:pStyle w:val="2"/>
        <w:ind w:firstLine="480"/>
        <w:rPr>
          <w:rFonts w:hint="eastAsia" w:cs="宋体"/>
          <w:color w:val="auto"/>
          <w:szCs w:val="24"/>
        </w:rPr>
      </w:pPr>
      <w:r>
        <w:rPr>
          <w:rFonts w:hint="eastAsia" w:cs="宋体"/>
          <w:color w:val="auto"/>
        </w:rPr>
        <w:t>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7"/>
        <w:tabs>
          <w:tab w:val="left" w:pos="864"/>
        </w:tabs>
        <w:spacing w:before="120" w:after="120" w:line="240" w:lineRule="auto"/>
        <w:rPr>
          <w:rFonts w:hint="eastAsia" w:ascii="宋体" w:hAnsi="宋体" w:cs="宋体"/>
          <w:color w:val="auto"/>
        </w:rPr>
      </w:pPr>
      <w:r>
        <w:rPr>
          <w:rFonts w:hint="eastAsia" w:ascii="宋体" w:hAnsi="宋体" w:cs="宋体"/>
          <w:color w:val="auto"/>
        </w:rPr>
        <w:br w:type="page"/>
      </w:r>
      <w:bookmarkEnd w:id="170"/>
      <w:bookmarkStart w:id="171" w:name="_Toc61531865"/>
      <w:bookmarkStart w:id="172" w:name="_Toc28634"/>
      <w:bookmarkStart w:id="173" w:name="OLE_LINK14"/>
      <w:bookmarkStart w:id="174" w:name="OLE_LINK13"/>
      <w:r>
        <w:rPr>
          <w:rFonts w:hint="eastAsia" w:ascii="宋体" w:hAnsi="宋体" w:cs="宋体"/>
          <w:color w:val="auto"/>
        </w:rPr>
        <w:t>附（如有）：</w:t>
      </w:r>
    </w:p>
    <w:p>
      <w:pPr>
        <w:jc w:val="center"/>
        <w:rPr>
          <w:rFonts w:hint="eastAsia" w:ascii="宋体" w:hAnsi="宋体" w:cs="宋体"/>
          <w:b/>
          <w:color w:val="auto"/>
          <w:sz w:val="24"/>
          <w:szCs w:val="24"/>
        </w:rPr>
      </w:pPr>
      <w:r>
        <w:rPr>
          <w:rFonts w:hint="eastAsia" w:ascii="宋体" w:hAnsi="宋体" w:cs="宋体"/>
          <w:b/>
          <w:color w:val="auto"/>
          <w:sz w:val="24"/>
          <w:szCs w:val="24"/>
        </w:rPr>
        <w:t>中小企业声明函（工程、服务）（如有）</w:t>
      </w:r>
    </w:p>
    <w:p>
      <w:pPr>
        <w:rPr>
          <w:rFonts w:hint="eastAsia"/>
          <w:color w:val="auto"/>
        </w:rPr>
      </w:pP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 xml:space="preserve">   </w:t>
      </w:r>
      <w:r>
        <w:rPr>
          <w:rFonts w:hint="eastAsia" w:ascii="宋体" w:hAnsi="宋体" w:cs="宋体"/>
          <w:color w:val="auto"/>
          <w:sz w:val="24"/>
          <w:szCs w:val="24"/>
        </w:rPr>
        <w:t>万元1，属于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万元，属于（中型企业、小型企业、微型企业）；</w:t>
      </w: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autoSpaceDE w:val="0"/>
        <w:autoSpaceDN w:val="0"/>
        <w:spacing w:line="360" w:lineRule="auto"/>
        <w:ind w:firstLine="480" w:firstLineChars="200"/>
        <w:rPr>
          <w:rFonts w:hint="eastAsia" w:ascii="宋体" w:hAnsi="宋体" w:cs="宋体"/>
          <w:color w:val="auto"/>
          <w:sz w:val="24"/>
          <w:szCs w:val="24"/>
        </w:rPr>
      </w:pPr>
    </w:p>
    <w:p>
      <w:pPr>
        <w:autoSpaceDE w:val="0"/>
        <w:autoSpaceDN w:val="0"/>
        <w:spacing w:line="360" w:lineRule="auto"/>
        <w:ind w:firstLine="5520" w:firstLineChars="2300"/>
        <w:rPr>
          <w:rFonts w:hint="eastAsia" w:ascii="宋体" w:hAnsi="宋体" w:cs="宋体"/>
          <w:color w:val="auto"/>
          <w:sz w:val="24"/>
          <w:szCs w:val="24"/>
        </w:rPr>
      </w:pPr>
      <w:r>
        <w:rPr>
          <w:rFonts w:hint="eastAsia" w:ascii="宋体" w:hAnsi="宋体" w:cs="宋体"/>
          <w:color w:val="auto"/>
          <w:sz w:val="24"/>
          <w:szCs w:val="24"/>
        </w:rPr>
        <w:t>企业名称（盖章）：</w:t>
      </w:r>
    </w:p>
    <w:p>
      <w:pPr>
        <w:autoSpaceDE w:val="0"/>
        <w:autoSpaceDN w:val="0"/>
        <w:spacing w:line="360" w:lineRule="auto"/>
        <w:ind w:firstLine="5520" w:firstLineChars="2300"/>
        <w:rPr>
          <w:color w:val="auto"/>
          <w:sz w:val="24"/>
          <w:szCs w:val="24"/>
          <w:u w:val="single"/>
        </w:rPr>
      </w:pPr>
      <w:r>
        <w:rPr>
          <w:rFonts w:hint="eastAsia" w:ascii="宋体" w:hAnsi="宋体" w:cs="宋体"/>
          <w:color w:val="auto"/>
          <w:sz w:val="24"/>
          <w:szCs w:val="24"/>
        </w:rPr>
        <w:t>日期：</w:t>
      </w:r>
    </w:p>
    <w:p>
      <w:pPr>
        <w:rPr>
          <w:rFonts w:hint="eastAsia"/>
          <w:color w:val="auto"/>
        </w:rPr>
      </w:pPr>
    </w:p>
    <w:p>
      <w:pPr>
        <w:rPr>
          <w:rFonts w:hint="eastAsia" w:ascii="宋体" w:hAnsi="宋体" w:cs="宋体"/>
          <w:color w:val="auto"/>
          <w:szCs w:val="21"/>
        </w:rPr>
      </w:pPr>
      <w:r>
        <w:rPr>
          <w:rFonts w:hint="eastAsia" w:ascii="宋体" w:hAnsi="宋体" w:cs="宋体"/>
          <w:color w:val="auto"/>
          <w:szCs w:val="21"/>
        </w:rPr>
        <w:t>1从业人员、营业收入、资产总额填报上一年度数据，无上一年度数据的新成立企业可不填报。</w:t>
      </w:r>
    </w:p>
    <w:p>
      <w:pPr>
        <w:ind w:left="315" w:leftChars="150" w:firstLine="360" w:firstLineChars="150"/>
        <w:rPr>
          <w:rFonts w:hint="eastAsia" w:ascii="宋体" w:hAnsi="宋体" w:cs="宋体"/>
          <w:color w:val="auto"/>
          <w:kern w:val="0"/>
          <w:sz w:val="24"/>
          <w:szCs w:val="24"/>
        </w:rPr>
      </w:pPr>
    </w:p>
    <w:p>
      <w:pPr>
        <w:spacing w:line="360" w:lineRule="auto"/>
        <w:rPr>
          <w:rFonts w:hint="eastAsia" w:ascii="宋体" w:hAnsi="宋体" w:cs="宋体"/>
          <w:b/>
          <w:bCs/>
          <w:color w:val="auto"/>
          <w:kern w:val="0"/>
          <w:szCs w:val="21"/>
        </w:rPr>
      </w:pPr>
    </w:p>
    <w:p>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特别提醒：</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1.《中小企业声明函》随成交结果同时公开。</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ind w:firstLine="420" w:firstLineChars="200"/>
        <w:rPr>
          <w:rFonts w:hint="eastAsia" w:ascii="宋体" w:hAnsi="宋体" w:cs="宋体"/>
          <w:color w:val="auto"/>
          <w:kern w:val="0"/>
          <w:szCs w:val="21"/>
        </w:rPr>
      </w:pPr>
    </w:p>
    <w:bookmarkEnd w:id="171"/>
    <w:p>
      <w:pPr>
        <w:pStyle w:val="2"/>
        <w:ind w:left="0" w:leftChars="0" w:firstLine="0" w:firstLineChars="0"/>
        <w:rPr>
          <w:rFonts w:hint="eastAsia"/>
          <w:color w:val="auto"/>
          <w:sz w:val="21"/>
          <w:szCs w:val="21"/>
        </w:rPr>
      </w:pPr>
    </w:p>
    <w:p>
      <w:pPr>
        <w:pStyle w:val="6"/>
        <w:rPr>
          <w:rStyle w:val="33"/>
          <w:rFonts w:hint="eastAsia"/>
          <w:b/>
          <w:color w:val="auto"/>
        </w:rPr>
      </w:pPr>
      <w:r>
        <w:rPr>
          <w:rFonts w:hint="eastAsia" w:ascii="宋体" w:hAnsi="宋体" w:cs="宋体"/>
          <w:color w:val="auto"/>
          <w:sz w:val="21"/>
          <w:szCs w:val="21"/>
        </w:rPr>
        <w:br w:type="page"/>
      </w:r>
      <w:r>
        <w:rPr>
          <w:rStyle w:val="33"/>
          <w:rFonts w:hint="eastAsia"/>
          <w:b/>
          <w:color w:val="auto"/>
        </w:rPr>
        <w:t>残疾人福利性单位声明函（如有）</w:t>
      </w:r>
      <w:bookmarkEnd w:id="172"/>
    </w:p>
    <w:p>
      <w:pPr>
        <w:pStyle w:val="10"/>
        <w:rPr>
          <w:rFonts w:hint="eastAsia" w:ascii="宋体" w:hAnsi="宋体" w:cs="宋体"/>
          <w:color w:val="auto"/>
          <w:sz w:val="24"/>
          <w:szCs w:val="24"/>
        </w:rPr>
      </w:pPr>
    </w:p>
    <w:bookmarkEnd w:id="173"/>
    <w:bookmarkEnd w:id="174"/>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w:t>
      </w:r>
      <w:r>
        <w:rPr>
          <w:rFonts w:hint="eastAsia" w:ascii="宋体" w:hAnsi="宋体" w:cs="宋体"/>
          <w:color w:val="auto"/>
          <w:sz w:val="24"/>
          <w:szCs w:val="24"/>
        </w:rPr>
        <w:t>〔2017〕 141</w:t>
      </w:r>
      <w:r>
        <w:rPr>
          <w:rFonts w:hint="eastAsia" w:ascii="宋体" w:hAnsi="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tabs>
          <w:tab w:val="left" w:pos="1620"/>
          <w:tab w:val="left" w:pos="1800"/>
        </w:tabs>
        <w:spacing w:line="500" w:lineRule="exact"/>
        <w:rPr>
          <w:rFonts w:hint="eastAsia" w:ascii="宋体" w:hAnsi="宋体" w:cs="宋体"/>
          <w:color w:val="auto"/>
          <w:spacing w:val="6"/>
          <w:sz w:val="24"/>
          <w:szCs w:val="24"/>
        </w:rPr>
      </w:pPr>
      <w:r>
        <w:rPr>
          <w:rFonts w:hint="eastAsia" w:ascii="宋体" w:hAnsi="宋体" w:cs="宋体"/>
          <w:color w:val="auto"/>
          <w:spacing w:val="6"/>
          <w:sz w:val="24"/>
          <w:szCs w:val="24"/>
        </w:rPr>
        <w:t xml:space="preserve">                          </w:t>
      </w:r>
    </w:p>
    <w:p>
      <w:pPr>
        <w:tabs>
          <w:tab w:val="left" w:pos="1620"/>
          <w:tab w:val="left" w:pos="1800"/>
        </w:tabs>
        <w:spacing w:line="500" w:lineRule="exact"/>
        <w:ind w:firstLine="4800" w:firstLineChars="2000"/>
        <w:rPr>
          <w:rFonts w:hint="eastAsia" w:ascii="宋体" w:hAnsi="宋体" w:cs="宋体"/>
          <w:color w:val="auto"/>
          <w:sz w:val="24"/>
          <w:szCs w:val="24"/>
        </w:rPr>
      </w:pPr>
      <w:r>
        <w:rPr>
          <w:rFonts w:hint="eastAsia" w:ascii="宋体" w:hAnsi="宋体" w:cs="宋体"/>
          <w:color w:val="auto"/>
          <w:sz w:val="24"/>
          <w:szCs w:val="24"/>
        </w:rPr>
        <w:t>单位名称（公章）：</w:t>
      </w:r>
      <w:r>
        <w:rPr>
          <w:rFonts w:hint="eastAsia" w:ascii="宋体" w:hAnsi="宋体" w:cs="宋体"/>
          <w:color w:val="auto"/>
          <w:sz w:val="24"/>
          <w:szCs w:val="24"/>
          <w:u w:val="single"/>
        </w:rPr>
        <w:t xml:space="preserve">                </w:t>
      </w:r>
    </w:p>
    <w:p>
      <w:pPr>
        <w:tabs>
          <w:tab w:val="left" w:pos="1620"/>
          <w:tab w:val="left" w:pos="1800"/>
        </w:tabs>
        <w:spacing w:line="500" w:lineRule="exact"/>
        <w:rPr>
          <w:rFonts w:hint="eastAsia" w:ascii="宋体" w:hAnsi="宋体" w:cs="宋体"/>
          <w:color w:val="auto"/>
          <w:sz w:val="24"/>
          <w:szCs w:val="24"/>
          <w:u w:val="single"/>
        </w:rPr>
      </w:pPr>
      <w:r>
        <w:rPr>
          <w:rFonts w:hint="eastAsia" w:ascii="宋体" w:hAnsi="宋体" w:cs="宋体"/>
          <w:color w:val="auto"/>
          <w:sz w:val="24"/>
          <w:szCs w:val="24"/>
        </w:rPr>
        <w:t xml:space="preserve">                                        日   期：</w:t>
      </w:r>
      <w:r>
        <w:rPr>
          <w:rFonts w:hint="eastAsia" w:ascii="宋体" w:hAnsi="宋体" w:cs="宋体"/>
          <w:color w:val="auto"/>
          <w:sz w:val="24"/>
          <w:szCs w:val="24"/>
          <w:u w:val="single"/>
        </w:rPr>
        <w:t xml:space="preserve">                          </w:t>
      </w:r>
    </w:p>
    <w:p>
      <w:pPr>
        <w:tabs>
          <w:tab w:val="left" w:pos="4860"/>
        </w:tabs>
        <w:spacing w:line="588" w:lineRule="exact"/>
        <w:ind w:right="1560" w:firstLine="504" w:firstLineChars="200"/>
        <w:jc w:val="center"/>
        <w:rPr>
          <w:rFonts w:hint="eastAsia" w:ascii="宋体" w:hAnsi="宋体" w:cs="宋体"/>
          <w:color w:val="auto"/>
          <w:spacing w:val="6"/>
          <w:sz w:val="24"/>
          <w:szCs w:val="24"/>
        </w:rPr>
      </w:pPr>
    </w:p>
    <w:p>
      <w:pPr>
        <w:pStyle w:val="12"/>
        <w:spacing w:line="360" w:lineRule="auto"/>
        <w:ind w:firstLine="240" w:firstLineChars="100"/>
        <w:rPr>
          <w:rFonts w:hint="eastAsia" w:hAnsi="宋体" w:cs="宋体"/>
          <w:color w:val="auto"/>
          <w:sz w:val="24"/>
        </w:rPr>
      </w:pPr>
      <w:r>
        <w:rPr>
          <w:rFonts w:hint="eastAsia" w:hAnsi="宋体" w:cs="宋体"/>
          <w:color w:val="auto"/>
          <w:sz w:val="24"/>
        </w:rPr>
        <w:t>特别提醒：</w:t>
      </w:r>
    </w:p>
    <w:p>
      <w:pPr>
        <w:pStyle w:val="12"/>
        <w:spacing w:line="360" w:lineRule="auto"/>
        <w:ind w:firstLine="240" w:firstLineChars="100"/>
        <w:rPr>
          <w:rFonts w:hint="eastAsia" w:hAnsi="宋体" w:cs="宋体"/>
          <w:color w:val="auto"/>
          <w:sz w:val="24"/>
        </w:rPr>
      </w:pPr>
      <w:r>
        <w:rPr>
          <w:rFonts w:hint="eastAsia" w:hAnsi="宋体" w:cs="宋体"/>
          <w:color w:val="auto"/>
          <w:sz w:val="24"/>
        </w:rPr>
        <w:t>1.填写前请认真阅读《财政部 民政部 中国残疾人联合会关于促进残疾人就业政府采购政采的通知》(财库〔2017〕141号)相关规定。</w:t>
      </w:r>
    </w:p>
    <w:p>
      <w:pPr>
        <w:tabs>
          <w:tab w:val="left" w:pos="1620"/>
          <w:tab w:val="left" w:pos="1800"/>
        </w:tabs>
        <w:spacing w:line="440" w:lineRule="exact"/>
        <w:ind w:right="540" w:rightChars="257"/>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p>
    <w:p>
      <w:pPr>
        <w:pStyle w:val="6"/>
        <w:rPr>
          <w:rStyle w:val="33"/>
          <w:rFonts w:hint="eastAsia"/>
          <w:b/>
          <w:color w:val="auto"/>
        </w:rPr>
      </w:pPr>
      <w:r>
        <w:rPr>
          <w:rFonts w:hint="eastAsia" w:ascii="宋体" w:hAnsi="宋体" w:cs="宋体"/>
          <w:color w:val="auto"/>
          <w:sz w:val="24"/>
          <w:szCs w:val="24"/>
        </w:rPr>
        <w:br w:type="page"/>
      </w:r>
      <w:bookmarkStart w:id="175" w:name="_Toc26028"/>
      <w:r>
        <w:rPr>
          <w:rStyle w:val="33"/>
          <w:rFonts w:hint="eastAsia"/>
          <w:b/>
          <w:color w:val="auto"/>
        </w:rPr>
        <w:t>监狱企业证明文件（如有）</w:t>
      </w:r>
      <w:bookmarkEnd w:id="175"/>
    </w:p>
    <w:p>
      <w:pPr>
        <w:pStyle w:val="10"/>
        <w:rPr>
          <w:rFonts w:hint="eastAsia" w:ascii="宋体" w:hAnsi="宋体" w:cs="宋体"/>
          <w:color w:val="auto"/>
          <w:sz w:val="24"/>
          <w:szCs w:val="24"/>
        </w:rPr>
      </w:pPr>
    </w:p>
    <w:p>
      <w:pPr>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监狱企业参加政府采购活动时，应当提供由省级以上监狱管理局、戒毒管理局（含新疆生产建设兵团）出具的属于监狱企业的证明文件。</w:t>
      </w:r>
    </w:p>
    <w:p>
      <w:pPr>
        <w:pStyle w:val="18"/>
        <w:ind w:firstLine="480"/>
        <w:rPr>
          <w:rFonts w:hint="eastAsia" w:ascii="宋体" w:hAnsi="宋体" w:cs="宋体"/>
          <w:color w:val="auto"/>
          <w:sz w:val="24"/>
          <w:szCs w:val="24"/>
        </w:rPr>
      </w:pPr>
    </w:p>
    <w:p>
      <w:pPr>
        <w:rPr>
          <w:rFonts w:hint="eastAsia" w:ascii="宋体" w:hAnsi="宋体" w:cs="宋体"/>
          <w:color w:val="auto"/>
          <w:sz w:val="24"/>
          <w:szCs w:val="24"/>
        </w:rPr>
      </w:pPr>
    </w:p>
    <w:p>
      <w:pPr>
        <w:pStyle w:val="18"/>
        <w:ind w:firstLine="480"/>
        <w:rPr>
          <w:rFonts w:hint="eastAsia" w:ascii="宋体" w:hAnsi="宋体" w:cs="宋体"/>
          <w:color w:val="auto"/>
          <w:sz w:val="24"/>
          <w:szCs w:val="24"/>
        </w:rPr>
      </w:pPr>
    </w:p>
    <w:p>
      <w:pPr>
        <w:pStyle w:val="12"/>
        <w:spacing w:line="360" w:lineRule="auto"/>
        <w:ind w:firstLine="240" w:firstLineChars="100"/>
        <w:rPr>
          <w:rFonts w:hint="eastAsia" w:hAnsi="宋体" w:cs="宋体"/>
          <w:color w:val="auto"/>
          <w:sz w:val="24"/>
        </w:rPr>
      </w:pPr>
      <w:r>
        <w:rPr>
          <w:rFonts w:hint="eastAsia" w:hAnsi="宋体" w:cs="宋体"/>
          <w:color w:val="auto"/>
          <w:sz w:val="24"/>
        </w:rPr>
        <w:t>特别提醒：</w:t>
      </w:r>
    </w:p>
    <w:p>
      <w:pPr>
        <w:pStyle w:val="12"/>
        <w:spacing w:line="360" w:lineRule="auto"/>
        <w:ind w:firstLine="240" w:firstLineChars="100"/>
        <w:rPr>
          <w:rFonts w:hint="eastAsia"/>
          <w:color w:val="auto"/>
        </w:rPr>
      </w:pPr>
      <w:r>
        <w:rPr>
          <w:rFonts w:hint="eastAsia" w:hAnsi="宋体" w:cs="宋体"/>
          <w:color w:val="auto"/>
          <w:sz w:val="24"/>
        </w:rPr>
        <w:t>1.填写前请认真阅读财政部、司法部《关于政府采购支持监狱企业发展有关问题的通知》（财库〔2014〕68号）相关规定。</w:t>
      </w:r>
    </w:p>
    <w:p>
      <w:pPr>
        <w:pStyle w:val="2"/>
        <w:ind w:firstLine="0" w:firstLineChars="0"/>
        <w:rPr>
          <w:rFonts w:hint="eastAsia"/>
          <w:color w:val="auto"/>
        </w:rPr>
      </w:pPr>
    </w:p>
    <w:p>
      <w:pPr>
        <w:tabs>
          <w:tab w:val="left" w:pos="1321"/>
          <w:tab w:val="center" w:pos="4216"/>
        </w:tabs>
        <w:spacing w:line="480" w:lineRule="auto"/>
        <w:rPr>
          <w:rStyle w:val="27"/>
          <w:rFonts w:hint="eastAsia" w:ascii="宋体" w:hAnsi="宋体" w:cs="宋体"/>
          <w:bCs w:val="0"/>
          <w:color w:val="auto"/>
        </w:rPr>
      </w:pPr>
    </w:p>
    <w:p>
      <w:pPr>
        <w:rPr>
          <w:rFonts w:hint="eastAsia" w:ascii="宋体" w:hAnsi="宋体" w:cs="宋体"/>
          <w:b/>
          <w:color w:val="auto"/>
          <w:sz w:val="44"/>
          <w:szCs w:val="44"/>
        </w:rPr>
        <w:sectPr>
          <w:footerReference r:id="rId11" w:type="first"/>
          <w:footerReference r:id="rId10" w:type="default"/>
          <w:pgSz w:w="11905" w:h="16838"/>
          <w:pgMar w:top="1440" w:right="1417" w:bottom="1440" w:left="1417" w:header="964"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2"/>
        <w:rPr>
          <w:rFonts w:hint="eastAsia"/>
          <w:color w:val="auto"/>
        </w:rPr>
      </w:pPr>
    </w:p>
    <w:p>
      <w:pPr>
        <w:pStyle w:val="10"/>
        <w:rPr>
          <w:rFonts w:hint="eastAsia" w:ascii="宋体" w:hAnsi="宋体" w:cs="宋体"/>
          <w:b w:val="0"/>
          <w:color w:val="auto"/>
          <w:sz w:val="44"/>
          <w:szCs w:val="44"/>
        </w:rPr>
      </w:pPr>
    </w:p>
    <w:p>
      <w:pPr>
        <w:rPr>
          <w:rFonts w:hint="eastAsia" w:ascii="宋体" w:hAnsi="宋体" w:cs="宋体"/>
          <w:b/>
          <w:color w:val="auto"/>
          <w:sz w:val="44"/>
          <w:szCs w:val="44"/>
        </w:rPr>
      </w:pPr>
    </w:p>
    <w:p>
      <w:pPr>
        <w:pStyle w:val="10"/>
        <w:rPr>
          <w:rFonts w:hint="eastAsia" w:ascii="宋体" w:hAnsi="宋体" w:cs="宋体"/>
          <w:b w:val="0"/>
          <w:color w:val="auto"/>
          <w:sz w:val="44"/>
          <w:szCs w:val="44"/>
        </w:rPr>
      </w:pPr>
    </w:p>
    <w:p>
      <w:pPr>
        <w:pStyle w:val="10"/>
        <w:rPr>
          <w:rFonts w:hint="eastAsia" w:ascii="宋体" w:hAnsi="宋体" w:cs="宋体"/>
          <w:b w:val="0"/>
          <w:color w:val="auto"/>
          <w:sz w:val="44"/>
          <w:szCs w:val="44"/>
        </w:rPr>
      </w:pPr>
    </w:p>
    <w:p>
      <w:pPr>
        <w:rPr>
          <w:rFonts w:hint="eastAsia" w:ascii="宋体" w:hAnsi="宋体" w:cs="宋体"/>
          <w:b/>
          <w:color w:val="auto"/>
          <w:sz w:val="44"/>
          <w:szCs w:val="44"/>
        </w:rPr>
      </w:pPr>
    </w:p>
    <w:p>
      <w:pPr>
        <w:pStyle w:val="10"/>
        <w:rPr>
          <w:rFonts w:hint="eastAsia" w:ascii="宋体" w:hAnsi="宋体" w:cs="宋体"/>
          <w:color w:val="auto"/>
        </w:rPr>
      </w:pPr>
    </w:p>
    <w:p>
      <w:pPr>
        <w:pStyle w:val="10"/>
        <w:rPr>
          <w:rFonts w:hint="eastAsia" w:ascii="宋体" w:hAnsi="宋体" w:cs="宋体"/>
          <w:b w:val="0"/>
          <w:color w:val="auto"/>
          <w:sz w:val="44"/>
          <w:szCs w:val="44"/>
        </w:rPr>
      </w:pPr>
    </w:p>
    <w:p>
      <w:pPr>
        <w:rPr>
          <w:rFonts w:hint="eastAsia" w:ascii="宋体" w:hAnsi="宋体" w:cs="宋体"/>
          <w:b/>
          <w:color w:val="auto"/>
          <w:sz w:val="44"/>
          <w:szCs w:val="44"/>
        </w:rPr>
      </w:pPr>
    </w:p>
    <w:p>
      <w:pPr>
        <w:pStyle w:val="10"/>
        <w:rPr>
          <w:rFonts w:hint="eastAsia" w:ascii="宋体" w:hAnsi="宋体" w:cs="宋体"/>
          <w:b w:val="0"/>
          <w:color w:val="auto"/>
          <w:sz w:val="44"/>
          <w:szCs w:val="44"/>
        </w:rPr>
      </w:pPr>
    </w:p>
    <w:p>
      <w:pPr>
        <w:rPr>
          <w:rFonts w:hint="eastAsia" w:ascii="宋体" w:hAnsi="宋体" w:cs="宋体"/>
          <w:b/>
          <w:color w:val="auto"/>
          <w:sz w:val="44"/>
          <w:szCs w:val="44"/>
        </w:rPr>
      </w:pPr>
    </w:p>
    <w:p>
      <w:pPr>
        <w:pStyle w:val="10"/>
        <w:rPr>
          <w:rFonts w:hint="eastAsia" w:ascii="宋体" w:hAnsi="宋体" w:cs="宋体"/>
          <w:b w:val="0"/>
          <w:color w:val="auto"/>
          <w:sz w:val="44"/>
          <w:szCs w:val="44"/>
        </w:rPr>
      </w:pPr>
    </w:p>
    <w:p>
      <w:pPr>
        <w:rPr>
          <w:rFonts w:hint="eastAsia" w:ascii="宋体" w:hAnsi="宋体" w:cs="宋体"/>
          <w:color w:val="auto"/>
        </w:rPr>
      </w:pPr>
    </w:p>
    <w:p>
      <w:pPr>
        <w:spacing w:line="336" w:lineRule="auto"/>
        <w:ind w:firstLine="221" w:firstLineChars="50"/>
        <w:rPr>
          <w:rFonts w:hint="eastAsia" w:ascii="宋体" w:hAnsi="宋体" w:cs="宋体"/>
          <w:b/>
          <w:color w:val="auto"/>
          <w:sz w:val="44"/>
          <w:szCs w:val="44"/>
        </w:rPr>
      </w:pPr>
    </w:p>
    <w:p>
      <w:pPr>
        <w:spacing w:line="336" w:lineRule="auto"/>
        <w:rPr>
          <w:rFonts w:hint="eastAsia" w:ascii="宋体" w:hAnsi="宋体" w:cs="宋体"/>
          <w:b/>
          <w:color w:val="auto"/>
          <w:sz w:val="44"/>
          <w:szCs w:val="44"/>
        </w:rPr>
      </w:pPr>
    </w:p>
    <w:p>
      <w:pPr>
        <w:spacing w:line="336" w:lineRule="auto"/>
        <w:rPr>
          <w:rFonts w:hint="eastAsia" w:ascii="宋体" w:hAnsi="宋体" w:cs="宋体"/>
          <w:b/>
          <w:color w:val="auto"/>
          <w:sz w:val="44"/>
          <w:szCs w:val="44"/>
        </w:rPr>
      </w:pPr>
    </w:p>
    <w:p>
      <w:pPr>
        <w:spacing w:line="336" w:lineRule="auto"/>
        <w:rPr>
          <w:rFonts w:hint="eastAsia" w:ascii="宋体" w:hAnsi="宋体" w:cs="宋体"/>
          <w:b/>
          <w:color w:val="auto"/>
          <w:sz w:val="36"/>
          <w:szCs w:val="36"/>
        </w:rPr>
      </w:pPr>
    </w:p>
    <w:p>
      <w:pPr>
        <w:spacing w:line="336" w:lineRule="auto"/>
        <w:rPr>
          <w:rFonts w:hint="eastAsia" w:ascii="宋体" w:hAnsi="宋体" w:cs="宋体"/>
          <w:b/>
          <w:color w:val="auto"/>
          <w:sz w:val="36"/>
          <w:szCs w:val="36"/>
        </w:rPr>
      </w:pPr>
      <w:r>
        <w:rPr>
          <w:rFonts w:hint="eastAsia" w:ascii="宋体" w:hAnsi="宋体" w:cs="宋体"/>
          <w:b/>
          <w:color w:val="auto"/>
          <w:sz w:val="36"/>
          <w:szCs w:val="36"/>
        </w:rPr>
        <w:t>陕西正鸿招标有限公司</w:t>
      </w:r>
    </w:p>
    <w:p>
      <w:pPr>
        <w:spacing w:line="336" w:lineRule="auto"/>
        <w:ind w:firstLine="160" w:firstLineChars="50"/>
        <w:rPr>
          <w:rFonts w:hint="eastAsia" w:ascii="宋体" w:hAnsi="宋体" w:cs="宋体"/>
          <w:color w:val="auto"/>
          <w:sz w:val="32"/>
          <w:szCs w:val="32"/>
        </w:rPr>
      </w:pPr>
    </w:p>
    <w:p>
      <w:pPr>
        <w:autoSpaceDE w:val="0"/>
        <w:autoSpaceDN w:val="0"/>
        <w:spacing w:line="336" w:lineRule="auto"/>
        <w:ind w:firstLine="151" w:firstLineChars="50"/>
        <w:rPr>
          <w:rFonts w:hint="eastAsia" w:ascii="宋体" w:hAnsi="宋体" w:cs="宋体"/>
          <w:b/>
          <w:color w:val="auto"/>
          <w:sz w:val="30"/>
          <w:szCs w:val="30"/>
        </w:rPr>
      </w:pPr>
      <w:r>
        <w:rPr>
          <w:rFonts w:hint="eastAsia" w:ascii="宋体" w:hAnsi="宋体" w:cs="宋体"/>
          <w:b/>
          <w:color w:val="auto"/>
          <w:sz w:val="30"/>
          <w:szCs w:val="30"/>
        </w:rPr>
        <w:t>地    址</w:t>
      </w:r>
      <w:r>
        <w:rPr>
          <w:rFonts w:hint="eastAsia" w:ascii="宋体" w:hAnsi="宋体" w:cs="宋体"/>
          <w:b/>
          <w:color w:val="auto"/>
          <w:spacing w:val="-6"/>
          <w:sz w:val="30"/>
          <w:szCs w:val="30"/>
        </w:rPr>
        <w:t>：西安市雁塔区南二环凯森盛世1号A座408室</w:t>
      </w:r>
    </w:p>
    <w:p>
      <w:pPr>
        <w:autoSpaceDE w:val="0"/>
        <w:autoSpaceDN w:val="0"/>
        <w:spacing w:line="336" w:lineRule="auto"/>
        <w:ind w:firstLine="151" w:firstLineChars="50"/>
        <w:rPr>
          <w:rFonts w:hint="eastAsia" w:ascii="宋体" w:hAnsi="宋体" w:cs="宋体"/>
          <w:b/>
          <w:color w:val="auto"/>
          <w:sz w:val="30"/>
          <w:szCs w:val="30"/>
        </w:rPr>
      </w:pPr>
      <w:r>
        <w:rPr>
          <w:rFonts w:hint="eastAsia" w:ascii="宋体" w:hAnsi="宋体" w:cs="宋体"/>
          <w:b/>
          <w:color w:val="auto"/>
          <w:sz w:val="30"/>
          <w:szCs w:val="30"/>
        </w:rPr>
        <w:t>电    话： 029-89338755/81511576</w:t>
      </w:r>
    </w:p>
    <w:p>
      <w:pPr>
        <w:autoSpaceDE w:val="0"/>
        <w:autoSpaceDN w:val="0"/>
        <w:spacing w:line="336" w:lineRule="auto"/>
        <w:ind w:firstLine="151" w:firstLineChars="50"/>
        <w:rPr>
          <w:rFonts w:hint="eastAsia" w:ascii="宋体" w:hAnsi="宋体" w:cs="宋体"/>
          <w:b/>
          <w:color w:val="auto"/>
          <w:sz w:val="30"/>
          <w:szCs w:val="30"/>
        </w:rPr>
      </w:pPr>
      <w:r>
        <w:rPr>
          <w:rFonts w:hint="eastAsia" w:ascii="宋体" w:hAnsi="宋体" w:cs="宋体"/>
          <w:b/>
          <w:color w:val="auto"/>
          <w:sz w:val="30"/>
          <w:szCs w:val="30"/>
        </w:rPr>
        <w:t>传    真： 029-89338755/81511576</w:t>
      </w:r>
    </w:p>
    <w:p>
      <w:pPr>
        <w:autoSpaceDE w:val="0"/>
        <w:autoSpaceDN w:val="0"/>
        <w:spacing w:line="336" w:lineRule="auto"/>
        <w:ind w:firstLine="151" w:firstLineChars="50"/>
        <w:rPr>
          <w:rFonts w:hint="eastAsia" w:ascii="宋体" w:hAnsi="宋体" w:cs="宋体"/>
          <w:color w:val="auto"/>
          <w:sz w:val="30"/>
          <w:szCs w:val="30"/>
        </w:rPr>
      </w:pPr>
      <w:r>
        <w:rPr>
          <w:rFonts w:hint="eastAsia" w:ascii="宋体" w:hAnsi="宋体" w:cs="宋体"/>
          <w:b/>
          <w:color w:val="auto"/>
          <w:sz w:val="30"/>
          <w:szCs w:val="30"/>
        </w:rPr>
        <w:t>邮    编：710054</w:t>
      </w:r>
    </w:p>
    <w:sectPr>
      <w:footerReference r:id="rId12" w:type="default"/>
      <w:pgSz w:w="11905" w:h="16838"/>
      <w:pgMar w:top="1440" w:right="1417" w:bottom="1440" w:left="1417" w:header="964" w:footer="992"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rPr>
        <w:rFonts w:hint="eastAsia" w:ascii="仿宋_GB2312" w:eastAsia="仿宋_GB2312"/>
        <w:u w:val="single"/>
      </w:rPr>
    </w:pPr>
  </w:p>
  <w:p>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jc w:val="both"/>
      <w:rPr>
        <w:rFonts w:hint="eastAsia" w:ascii="仿宋_GB2312" w:eastAsia="仿宋_GB2312"/>
      </w:rPr>
    </w:pPr>
    <w:r>
      <w:rPr>
        <w:rFonts w:hint="eastAsia" w:ascii="宋体" w:hAnsi="宋体" w:cs="宋体"/>
      </w:rPr>
      <w:t>陕西正鸿招标有限公司                                                          029-89338755/81511576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jc w:val="right"/>
      <w:rPr>
        <w:rStyle w:val="23"/>
        <w:rFonts w:hint="eastAsia"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陕西正鸿招标有限公司</w:t>
    </w:r>
    <w:r>
      <w:rPr>
        <w:rFonts w:hint="eastAsia" w:ascii="仿宋_GB2312" w:eastAsia="仿宋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jc w:val="both"/>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rPr>
      <w:t>陕西正鸿招标有限公司                                                         029-89338755/81511576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jc w:val="right"/>
      <w:rPr>
        <w:rFonts w:ascii="仿宋_GB2312" w:eastAsia="仿宋_GB2312"/>
      </w:rPr>
    </w:pPr>
    <w:r>
      <w:rPr>
        <w:rFonts w:hint="eastAsia" w:ascii="宋体" w:hAnsi="宋体" w:cs="宋体"/>
      </w:rPr>
      <w:t>陕西正鸿招标有限公司</w:t>
    </w:r>
  </w:p>
  <w:p>
    <w:pPr>
      <w:pStyle w:val="13"/>
      <w:jc w:val="both"/>
      <w:rPr>
        <w:rFonts w:hint="eastAsia"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jc w:val="both"/>
      <w:rPr>
        <w:rFonts w:hint="eastAsia" w:ascii="仿宋_GB2312" w:eastAsia="仿宋_GB2312"/>
      </w:rPr>
    </w:pPr>
    <w:r>
      <w:rPr>
        <w:rFonts w:hint="eastAsia" w:ascii="宋体" w:hAnsi="宋体" w:cs="宋体"/>
      </w:rPr>
      <w:t>陕西正鸿招标有限公司                                                         029-89338755/81511576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300" w:rightChars="143"/>
      <w:jc w:val="both"/>
      <w:rPr>
        <w:rFonts w:hint="eastAsia" w:eastAsia="宋体"/>
        <w:lang w:eastAsia="zh-CN"/>
      </w:rPr>
    </w:pPr>
    <w:r>
      <w:rPr>
        <w:rFonts w:hint="eastAsia" w:ascii="宋体" w:hAnsi="宋体" w:cs="宋体"/>
        <w:szCs w:val="18"/>
      </w:rPr>
      <w:t>项目名称：</w:t>
    </w:r>
    <w:r>
      <w:rPr>
        <w:rFonts w:hint="eastAsia" w:ascii="宋体" w:hAnsi="宋体" w:cs="宋体"/>
        <w:szCs w:val="18"/>
        <w:lang w:eastAsia="zh-CN"/>
      </w:rPr>
      <w:t>咸阳师范学院水电设备设施运行管理及零星维修服务外包项目</w:t>
    </w:r>
    <w:r>
      <w:rPr>
        <w:rFonts w:hint="eastAsia" w:ascii="宋体" w:hAnsi="宋体" w:cs="宋体"/>
        <w:szCs w:val="18"/>
      </w:rPr>
      <w:t xml:space="preserve">      项目编号：</w:t>
    </w:r>
    <w:r>
      <w:rPr>
        <w:rFonts w:hint="eastAsia" w:ascii="宋体" w:hAnsi="宋体" w:cs="宋体"/>
        <w:szCs w:val="18"/>
        <w:lang w:eastAsia="zh-CN"/>
      </w:rPr>
      <w:t>ZHZB-2022-CS-1199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300" w:rightChars="143"/>
      <w:jc w:val="both"/>
      <w:rPr>
        <w:rFonts w:hint="eastAsia" w:ascii="宋体" w:hAnsi="宋体" w:cs="宋体"/>
        <w:szCs w:val="18"/>
      </w:rPr>
    </w:pPr>
    <w:r>
      <w:rPr>
        <w:rFonts w:hint="eastAsia" w:ascii="宋体" w:hAnsi="宋体" w:cs="宋体"/>
        <w:szCs w:val="18"/>
      </w:rPr>
      <w:t>项目名称：</w:t>
    </w:r>
    <w:r>
      <w:rPr>
        <w:rFonts w:hint="eastAsia" w:ascii="宋体" w:hAnsi="宋体" w:cs="宋体"/>
        <w:bCs/>
        <w:szCs w:val="18"/>
        <w:lang w:eastAsia="zh-CN"/>
      </w:rPr>
      <w:t>咸阳师范学院</w:t>
    </w:r>
    <w:r>
      <w:rPr>
        <w:rFonts w:hint="eastAsia" w:ascii="宋体" w:hAnsi="宋体" w:cs="宋体"/>
        <w:bCs/>
        <w:szCs w:val="18"/>
      </w:rPr>
      <w:t>工业火灾与爆炸防控研究平台建设项目</w:t>
    </w:r>
    <w:r>
      <w:rPr>
        <w:rFonts w:hint="eastAsia" w:ascii="宋体" w:hAnsi="宋体" w:cs="宋体"/>
        <w:szCs w:val="18"/>
      </w:rPr>
      <w:t xml:space="preserve">           项目编号：ZHZB-2022-CS-1077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6F34D"/>
    <w:multiLevelType w:val="singleLevel"/>
    <w:tmpl w:val="92D6F34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ZTdmZWNkZThhYzU1MTNmMWJlNWM0M2ExM2M5MDQifQ=="/>
  </w:docVars>
  <w:rsids>
    <w:rsidRoot w:val="00000000"/>
    <w:rsid w:val="00B76409"/>
    <w:rsid w:val="052878D5"/>
    <w:rsid w:val="05573338"/>
    <w:rsid w:val="05C97B1C"/>
    <w:rsid w:val="069D7E4F"/>
    <w:rsid w:val="08002443"/>
    <w:rsid w:val="09C4391D"/>
    <w:rsid w:val="0A0F4BBF"/>
    <w:rsid w:val="0A9F23E7"/>
    <w:rsid w:val="0B772676"/>
    <w:rsid w:val="0C3954EE"/>
    <w:rsid w:val="0CA5180B"/>
    <w:rsid w:val="0DD90978"/>
    <w:rsid w:val="0DF30354"/>
    <w:rsid w:val="0E7E2314"/>
    <w:rsid w:val="0F781459"/>
    <w:rsid w:val="100D1BA1"/>
    <w:rsid w:val="10DE7329"/>
    <w:rsid w:val="10FA2DD1"/>
    <w:rsid w:val="14E60C13"/>
    <w:rsid w:val="152F4EEB"/>
    <w:rsid w:val="188350F6"/>
    <w:rsid w:val="19A370D2"/>
    <w:rsid w:val="1AFC1190"/>
    <w:rsid w:val="1BFB31F6"/>
    <w:rsid w:val="1D6B6159"/>
    <w:rsid w:val="1DC53ABB"/>
    <w:rsid w:val="1DE06B47"/>
    <w:rsid w:val="1F3C5FFF"/>
    <w:rsid w:val="21771570"/>
    <w:rsid w:val="22AA1921"/>
    <w:rsid w:val="26396DF4"/>
    <w:rsid w:val="27651E6B"/>
    <w:rsid w:val="27F136FF"/>
    <w:rsid w:val="29312005"/>
    <w:rsid w:val="2B035C23"/>
    <w:rsid w:val="2CB16D21"/>
    <w:rsid w:val="2D7921CC"/>
    <w:rsid w:val="2DCC054E"/>
    <w:rsid w:val="306E1D90"/>
    <w:rsid w:val="38460EE4"/>
    <w:rsid w:val="3ABA655B"/>
    <w:rsid w:val="3C2E1FBE"/>
    <w:rsid w:val="3D510A70"/>
    <w:rsid w:val="3DBE2A10"/>
    <w:rsid w:val="3F5F0E4C"/>
    <w:rsid w:val="417E5BAB"/>
    <w:rsid w:val="434F77FF"/>
    <w:rsid w:val="46721FA3"/>
    <w:rsid w:val="471F573B"/>
    <w:rsid w:val="4B105AC6"/>
    <w:rsid w:val="4D97427D"/>
    <w:rsid w:val="4E0336C0"/>
    <w:rsid w:val="4EC56BC8"/>
    <w:rsid w:val="4ED27537"/>
    <w:rsid w:val="4F5F1AFB"/>
    <w:rsid w:val="50A82C45"/>
    <w:rsid w:val="523429E2"/>
    <w:rsid w:val="547C41CC"/>
    <w:rsid w:val="54D7654E"/>
    <w:rsid w:val="5B9C5154"/>
    <w:rsid w:val="5C5F065B"/>
    <w:rsid w:val="5E7F7645"/>
    <w:rsid w:val="5EFB03E4"/>
    <w:rsid w:val="60112B67"/>
    <w:rsid w:val="602A5424"/>
    <w:rsid w:val="6126799A"/>
    <w:rsid w:val="64CA2D32"/>
    <w:rsid w:val="666A0329"/>
    <w:rsid w:val="67185FD7"/>
    <w:rsid w:val="67D619EE"/>
    <w:rsid w:val="6C586E75"/>
    <w:rsid w:val="728E35F1"/>
    <w:rsid w:val="7294672D"/>
    <w:rsid w:val="74D15A17"/>
    <w:rsid w:val="74E55F70"/>
    <w:rsid w:val="7621477C"/>
    <w:rsid w:val="76EC6B1D"/>
    <w:rsid w:val="79776C77"/>
    <w:rsid w:val="7B3A4316"/>
    <w:rsid w:val="7D63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pageBreakBefore/>
      <w:adjustRightInd w:val="0"/>
      <w:snapToGrid w:val="0"/>
      <w:spacing w:before="140" w:beforeLines="0" w:beforeAutospacing="0" w:after="130" w:afterLines="0" w:afterAutospacing="0" w:line="360" w:lineRule="auto"/>
      <w:jc w:val="center"/>
      <w:outlineLvl w:val="0"/>
    </w:pPr>
    <w:rPr>
      <w:rFonts w:ascii="宋体" w:hAnsi="宋体"/>
      <w:b/>
      <w:kern w:val="44"/>
      <w:sz w:val="32"/>
      <w:szCs w:val="20"/>
    </w:rPr>
  </w:style>
  <w:style w:type="paragraph" w:styleId="5">
    <w:name w:val="heading 2"/>
    <w:basedOn w:val="1"/>
    <w:next w:val="1"/>
    <w:link w:val="28"/>
    <w:qFormat/>
    <w:uiPriority w:val="0"/>
    <w:pPr>
      <w:keepNext/>
      <w:keepLines/>
      <w:pageBreakBefore w:val="0"/>
      <w:spacing w:before="260" w:beforeLines="0" w:beforeAutospacing="0" w:after="260" w:afterLines="0" w:afterAutospacing="0" w:line="240" w:lineRule="auto"/>
      <w:jc w:val="center"/>
      <w:outlineLvl w:val="1"/>
    </w:pPr>
    <w:rPr>
      <w:rFonts w:ascii="仿宋" w:hAnsi="仿宋"/>
      <w:b/>
      <w:kern w:val="0"/>
      <w:sz w:val="30"/>
      <w:szCs w:val="20"/>
    </w:rPr>
  </w:style>
  <w:style w:type="paragraph" w:styleId="6">
    <w:name w:val="heading 3"/>
    <w:basedOn w:val="1"/>
    <w:next w:val="2"/>
    <w:link w:val="33"/>
    <w:qFormat/>
    <w:uiPriority w:val="0"/>
    <w:pPr>
      <w:keepNext/>
      <w:keepLines/>
      <w:adjustRightInd w:val="0"/>
      <w:snapToGrid w:val="0"/>
      <w:spacing w:before="140" w:beforeLines="0" w:beforeAutospacing="0" w:after="140" w:afterLines="0" w:afterAutospacing="0" w:line="360" w:lineRule="auto"/>
      <w:jc w:val="center"/>
      <w:outlineLvl w:val="2"/>
    </w:pPr>
    <w:rPr>
      <w:rFonts w:ascii="仿宋" w:hAnsi="仿宋"/>
      <w:b/>
      <w:kern w:val="0"/>
      <w:sz w:val="28"/>
      <w:szCs w:val="20"/>
    </w:rPr>
  </w:style>
  <w:style w:type="paragraph" w:styleId="7">
    <w:name w:val="heading 4"/>
    <w:basedOn w:val="1"/>
    <w:next w:val="1"/>
    <w:link w:val="27"/>
    <w:qFormat/>
    <w:uiPriority w:val="9"/>
    <w:pPr>
      <w:keepNext/>
      <w:keepLines/>
      <w:spacing w:before="50" w:beforeLines="50" w:after="50" w:afterLines="50" w:line="360" w:lineRule="auto"/>
      <w:jc w:val="left"/>
      <w:outlineLvl w:val="3"/>
    </w:pPr>
    <w:rPr>
      <w:rFonts w:ascii="Cambria" w:hAnsi="Cambria"/>
      <w:b/>
      <w:bCs/>
      <w:kern w:val="0"/>
      <w:sz w:val="24"/>
      <w:szCs w:val="28"/>
    </w:rPr>
  </w:style>
  <w:style w:type="paragraph" w:styleId="8">
    <w:name w:val="heading 6"/>
    <w:basedOn w:val="1"/>
    <w:next w:val="1"/>
    <w:qFormat/>
    <w:uiPriority w:val="0"/>
    <w:pPr>
      <w:keepNext/>
      <w:keepLines/>
      <w:adjustRightInd w:val="0"/>
      <w:spacing w:line="320" w:lineRule="atLeast"/>
      <w:outlineLvl w:val="5"/>
    </w:pPr>
    <w:rPr>
      <w:rFonts w:ascii="Arial" w:hAnsi="Arial" w:eastAsia="黑体"/>
      <w:b/>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ind w:firstLine="602" w:firstLineChars="200"/>
    </w:pPr>
    <w:rPr>
      <w:rFonts w:ascii="宋体" w:hAnsi="宋体"/>
      <w:kern w:val="0"/>
      <w:sz w:val="24"/>
      <w:szCs w:val="20"/>
    </w:rPr>
  </w:style>
  <w:style w:type="paragraph" w:styleId="3">
    <w:name w:val="toc 4"/>
    <w:basedOn w:val="1"/>
    <w:next w:val="1"/>
    <w:qFormat/>
    <w:uiPriority w:val="39"/>
    <w:pPr>
      <w:ind w:left="1260" w:leftChars="600"/>
    </w:pPr>
  </w:style>
  <w:style w:type="paragraph" w:styleId="9">
    <w:name w:val="annotation text"/>
    <w:basedOn w:val="1"/>
    <w:qFormat/>
    <w:uiPriority w:val="0"/>
    <w:pPr>
      <w:jc w:val="left"/>
    </w:pPr>
    <w:rPr>
      <w:rFonts w:ascii="Calibri" w:hAnsi="Calibri"/>
    </w:rPr>
  </w:style>
  <w:style w:type="paragraph" w:styleId="10">
    <w:name w:val="Body Text"/>
    <w:basedOn w:val="1"/>
    <w:next w:val="1"/>
    <w:qFormat/>
    <w:uiPriority w:val="0"/>
    <w:rPr>
      <w:rFonts w:ascii="Calibri" w:hAnsi="Calibri"/>
      <w:b/>
      <w:kern w:val="0"/>
      <w:sz w:val="28"/>
      <w:szCs w:val="20"/>
    </w:rPr>
  </w:style>
  <w:style w:type="paragraph" w:styleId="11">
    <w:name w:val="Body Text Indent"/>
    <w:basedOn w:val="1"/>
    <w:next w:val="1"/>
    <w:qFormat/>
    <w:uiPriority w:val="0"/>
    <w:pPr>
      <w:widowControl/>
      <w:ind w:firstLine="652" w:firstLineChars="233"/>
    </w:pPr>
    <w:rPr>
      <w:rFonts w:hAnsi="Calibri"/>
      <w:kern w:val="0"/>
      <w:sz w:val="28"/>
      <w:szCs w:val="20"/>
    </w:rPr>
  </w:style>
  <w:style w:type="paragraph" w:styleId="12">
    <w:name w:val="Plain Text"/>
    <w:basedOn w:val="1"/>
    <w:qFormat/>
    <w:uiPriority w:val="99"/>
    <w:rPr>
      <w:rFonts w:ascii="宋体" w:hAnsi="Courier New"/>
      <w:szCs w:val="21"/>
    </w:rPr>
  </w:style>
  <w:style w:type="paragraph" w:styleId="13">
    <w:name w:val="footer"/>
    <w:basedOn w:val="1"/>
    <w:qFormat/>
    <w:uiPriority w:val="99"/>
    <w:pPr>
      <w:tabs>
        <w:tab w:val="center" w:pos="4153"/>
        <w:tab w:val="right" w:pos="8306"/>
      </w:tabs>
      <w:snapToGrid w:val="0"/>
      <w:jc w:val="left"/>
    </w:pPr>
    <w:rPr>
      <w:rFonts w:ascii="Calibri" w:hAnsi="Calibri"/>
      <w:sz w:val="18"/>
    </w:rPr>
  </w:style>
  <w:style w:type="paragraph" w:styleId="14">
    <w:name w:val="header"/>
    <w:basedOn w:val="1"/>
    <w:qFormat/>
    <w:uiPriority w:val="0"/>
    <w:pPr>
      <w:pBdr>
        <w:bottom w:val="single" w:color="auto" w:sz="6" w:space="1"/>
      </w:pBdr>
      <w:tabs>
        <w:tab w:val="center" w:pos="4153"/>
        <w:tab w:val="right" w:pos="8306"/>
      </w:tabs>
      <w:adjustRightInd w:val="0"/>
      <w:spacing w:line="240" w:lineRule="atLeast"/>
      <w:jc w:val="center"/>
    </w:pPr>
    <w:rPr>
      <w:rFonts w:ascii="Calibri" w:hAnsi="Calibri" w:eastAsia="宋体" w:cs="Times New Roman"/>
      <w:kern w:val="0"/>
      <w:sz w:val="18"/>
    </w:rPr>
  </w:style>
  <w:style w:type="paragraph" w:styleId="15">
    <w:name w:val="toc 1"/>
    <w:basedOn w:val="1"/>
    <w:next w:val="1"/>
    <w:qFormat/>
    <w:uiPriority w:val="0"/>
    <w:pPr>
      <w:spacing w:before="120" w:beforeLines="0" w:after="120" w:afterLines="0" w:line="480" w:lineRule="auto"/>
      <w:jc w:val="left"/>
    </w:pPr>
    <w:rPr>
      <w:rFonts w:ascii="宋体" w:hAnsi="宋体" w:cs="宋体"/>
      <w:b/>
      <w:bCs/>
      <w:caps/>
      <w:sz w:val="2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Body Text First Indent"/>
    <w:basedOn w:val="10"/>
    <w:next w:val="1"/>
    <w:qFormat/>
    <w:uiPriority w:val="0"/>
    <w:pPr>
      <w:adjustRightInd w:val="0"/>
      <w:ind w:firstLine="420"/>
      <w:jc w:val="left"/>
      <w:textAlignment w:val="baseline"/>
    </w:pPr>
    <w:rPr>
      <w:rFonts w:ascii="Calibri" w:hAnsi="Calibri" w:eastAsia="宋体" w:cs="Times New Roman"/>
      <w:b w:val="0"/>
      <w:kern w:val="0"/>
      <w:sz w:val="21"/>
    </w:rPr>
  </w:style>
  <w:style w:type="paragraph" w:styleId="18">
    <w:name w:val="Body Text First Indent 2"/>
    <w:basedOn w:val="11"/>
    <w:next w:val="17"/>
    <w:qFormat/>
    <w:uiPriority w:val="0"/>
    <w:pPr>
      <w:spacing w:after="120"/>
      <w:ind w:left="420" w:leftChars="200" w:firstLine="420" w:firstLineChars="200"/>
    </w:pPr>
    <w:rPr>
      <w:rFonts w:ascii="Times New Roman" w:hAnsi="Times New Roman"/>
      <w:sz w:val="21"/>
    </w:rPr>
  </w:style>
  <w:style w:type="table" w:styleId="20">
    <w:name w:val="Table Grid"/>
    <w:basedOn w:val="1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b/>
      <w:vanish/>
    </w:rPr>
  </w:style>
  <w:style w:type="character" w:styleId="23">
    <w:name w:val="page number"/>
    <w:qFormat/>
    <w:uiPriority w:val="0"/>
    <w:rPr>
      <w:rFonts w:ascii="Calibri" w:hAnsi="Calibri" w:eastAsia="宋体" w:cs="Times New Roman"/>
    </w:rPr>
  </w:style>
  <w:style w:type="character" w:styleId="24">
    <w:name w:val="annotation reference"/>
    <w:qFormat/>
    <w:uiPriority w:val="99"/>
    <w:rPr>
      <w:sz w:val="21"/>
      <w:szCs w:val="21"/>
    </w:rPr>
  </w:style>
  <w:style w:type="paragraph" w:customStyle="1" w:styleId="25">
    <w:name w:val="表格"/>
    <w:basedOn w:val="1"/>
    <w:link w:val="32"/>
    <w:qFormat/>
    <w:uiPriority w:val="0"/>
    <w:pPr>
      <w:spacing w:line="360" w:lineRule="auto"/>
      <w:jc w:val="center"/>
    </w:pPr>
    <w:rPr>
      <w:rFonts w:ascii="宋体" w:hAnsi="宋体"/>
      <w:kern w:val="0"/>
      <w:sz w:val="24"/>
      <w:szCs w:val="20"/>
    </w:rPr>
  </w:style>
  <w:style w:type="paragraph" w:customStyle="1" w:styleId="26">
    <w:name w:val="List Paragraph"/>
    <w:basedOn w:val="1"/>
    <w:qFormat/>
    <w:uiPriority w:val="0"/>
    <w:pPr>
      <w:ind w:firstLine="420" w:firstLineChars="200"/>
    </w:pPr>
    <w:rPr>
      <w:rFonts w:ascii="Calibri" w:hAnsi="Calibri" w:eastAsia="宋体" w:cs="Times New Roman"/>
      <w:szCs w:val="24"/>
    </w:rPr>
  </w:style>
  <w:style w:type="character" w:customStyle="1" w:styleId="27">
    <w:name w:val="标题 4 字符"/>
    <w:link w:val="7"/>
    <w:qFormat/>
    <w:uiPriority w:val="9"/>
    <w:rPr>
      <w:rFonts w:ascii="Cambria" w:hAnsi="Cambria"/>
      <w:b/>
      <w:bCs/>
      <w:kern w:val="0"/>
      <w:sz w:val="24"/>
      <w:szCs w:val="28"/>
    </w:rPr>
  </w:style>
  <w:style w:type="character" w:customStyle="1" w:styleId="28">
    <w:name w:val="标题 2 字符"/>
    <w:link w:val="5"/>
    <w:qFormat/>
    <w:uiPriority w:val="0"/>
    <w:rPr>
      <w:rFonts w:ascii="仿宋" w:hAnsi="仿宋"/>
      <w:b/>
      <w:kern w:val="0"/>
      <w:sz w:val="30"/>
      <w:szCs w:val="20"/>
    </w:rPr>
  </w:style>
  <w:style w:type="character" w:customStyle="1" w:styleId="29">
    <w:name w:val="标题 3 字符1"/>
    <w:qFormat/>
    <w:uiPriority w:val="0"/>
    <w:rPr>
      <w:rFonts w:ascii="仿宋" w:hAnsi="仿宋" w:eastAsia="宋体" w:cs="Times New Roman"/>
      <w:b/>
      <w:sz w:val="28"/>
    </w:rPr>
  </w:style>
  <w:style w:type="character" w:customStyle="1" w:styleId="30">
    <w:name w:val="标题 4 Char"/>
    <w:qFormat/>
    <w:uiPriority w:val="0"/>
    <w:rPr>
      <w:rFonts w:ascii="宋体" w:hAnsi="宋体" w:eastAsia="宋体" w:cs="宋体"/>
      <w:b/>
      <w:bCs/>
      <w:kern w:val="2"/>
      <w:szCs w:val="28"/>
    </w:rPr>
  </w:style>
  <w:style w:type="character" w:customStyle="1" w:styleId="31">
    <w:name w:val="标题 3 字符"/>
    <w:qFormat/>
    <w:uiPriority w:val="0"/>
    <w:rPr>
      <w:rFonts w:ascii="仿宋" w:hAnsi="仿宋" w:eastAsia="宋体" w:cs="Times New Roman"/>
      <w:b/>
      <w:sz w:val="28"/>
    </w:rPr>
  </w:style>
  <w:style w:type="character" w:customStyle="1" w:styleId="32">
    <w:name w:val="表格 Char"/>
    <w:link w:val="25"/>
    <w:qFormat/>
    <w:uiPriority w:val="0"/>
    <w:rPr>
      <w:rFonts w:ascii="宋体" w:hAnsi="宋体"/>
      <w:kern w:val="0"/>
      <w:sz w:val="24"/>
      <w:szCs w:val="20"/>
    </w:rPr>
  </w:style>
  <w:style w:type="character" w:customStyle="1" w:styleId="33">
    <w:name w:val="标题 3 字符2"/>
    <w:link w:val="6"/>
    <w:qFormat/>
    <w:uiPriority w:val="0"/>
    <w:rPr>
      <w:rFonts w:ascii="仿宋" w:hAnsi="仿宋"/>
      <w:b/>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36498</Words>
  <Characters>38760</Characters>
  <Lines>0</Lines>
  <Paragraphs>0</Paragraphs>
  <TotalTime>15</TotalTime>
  <ScaleCrop>false</ScaleCrop>
  <LinksUpToDate>false</LinksUpToDate>
  <CharactersWithSpaces>41124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2022-11-26T15:51:00Z</dcterms:created>
  <dc:creator>Administrator</dc:creator>
  <cp:lastModifiedBy>好好的</cp:lastModifiedBy>
  <dcterms:modified xsi:type="dcterms:W3CDTF">2022-12-02T06:22:23Z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90B5C97577B240B28D5DC4F2A419DA85</vt:lpwstr>
  </property>
</Properties>
</file>