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</w:pPr>
      <w:r>
        <w:rPr>
          <w:rFonts w:hint="eastAsia"/>
        </w:rPr>
        <w:t>采购需求</w:t>
      </w:r>
    </w:p>
    <w:tbl>
      <w:tblPr>
        <w:tblStyle w:val="5"/>
        <w:tblW w:w="50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2935"/>
        <w:gridCol w:w="798"/>
        <w:gridCol w:w="1009"/>
        <w:gridCol w:w="1581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448" w:type="pct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仿宋" w:hAnsi="仿宋"/>
                <w:bCs/>
                <w:sz w:val="24"/>
              </w:rPr>
            </w:pPr>
            <w:r>
              <w:rPr>
                <w:rFonts w:hint="eastAsia" w:ascii="仿宋" w:hAnsi="仿宋"/>
                <w:bCs/>
                <w:sz w:val="24"/>
              </w:rPr>
              <w:t>序号</w:t>
            </w:r>
          </w:p>
        </w:tc>
        <w:tc>
          <w:tcPr>
            <w:tcW w:w="1710" w:type="pct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仿宋" w:hAnsi="仿宋"/>
                <w:bCs/>
                <w:sz w:val="24"/>
              </w:rPr>
            </w:pPr>
            <w:r>
              <w:rPr>
                <w:rFonts w:hint="eastAsia" w:ascii="仿宋" w:hAnsi="仿宋"/>
                <w:bCs/>
                <w:sz w:val="24"/>
              </w:rPr>
              <w:t>设备名称</w:t>
            </w:r>
          </w:p>
        </w:tc>
        <w:tc>
          <w:tcPr>
            <w:tcW w:w="465" w:type="pct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仿宋" w:hAnsi="仿宋"/>
                <w:bCs/>
                <w:sz w:val="24"/>
              </w:rPr>
            </w:pPr>
            <w:r>
              <w:rPr>
                <w:rFonts w:hint="eastAsia" w:ascii="仿宋" w:hAnsi="仿宋"/>
                <w:bCs/>
                <w:sz w:val="24"/>
              </w:rPr>
              <w:t>数量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仿宋" w:hAnsi="仿宋"/>
                <w:bCs/>
                <w:sz w:val="24"/>
              </w:rPr>
            </w:pPr>
            <w:r>
              <w:rPr>
                <w:rFonts w:hint="eastAsia" w:ascii="仿宋" w:hAnsi="仿宋"/>
                <w:bCs/>
                <w:sz w:val="24"/>
              </w:rPr>
              <w:t>单位</w:t>
            </w:r>
          </w:p>
        </w:tc>
        <w:tc>
          <w:tcPr>
            <w:tcW w:w="921" w:type="pct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仿宋" w:hAnsi="仿宋"/>
                <w:bCs/>
                <w:sz w:val="24"/>
              </w:rPr>
            </w:pPr>
            <w:r>
              <w:rPr>
                <w:rFonts w:hint="eastAsia" w:ascii="仿宋" w:hAnsi="仿宋"/>
                <w:bCs/>
                <w:sz w:val="24"/>
              </w:rPr>
              <w:t>所属行业属性</w:t>
            </w:r>
          </w:p>
        </w:tc>
        <w:tc>
          <w:tcPr>
            <w:tcW w:w="865" w:type="pct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仿宋" w:hAnsi="仿宋"/>
                <w:bCs/>
                <w:sz w:val="24"/>
              </w:rPr>
            </w:pPr>
            <w:r>
              <w:rPr>
                <w:rFonts w:hint="eastAsia" w:ascii="仿宋" w:hAnsi="仿宋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448" w:type="pct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仿宋" w:hAnsi="仿宋"/>
                <w:bCs/>
                <w:sz w:val="24"/>
              </w:rPr>
            </w:pPr>
            <w:r>
              <w:rPr>
                <w:rFonts w:hint="eastAsia" w:ascii="仿宋" w:hAnsi="仿宋"/>
                <w:bCs/>
                <w:sz w:val="24"/>
              </w:rPr>
              <w:t>1</w:t>
            </w:r>
          </w:p>
        </w:tc>
        <w:tc>
          <w:tcPr>
            <w:tcW w:w="1710" w:type="pct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仿宋" w:hAnsi="仿宋"/>
                <w:bCs/>
                <w:sz w:val="24"/>
              </w:rPr>
            </w:pPr>
            <w:r>
              <w:rPr>
                <w:rFonts w:hint="eastAsia" w:ascii="仿宋" w:hAnsi="仿宋"/>
                <w:bCs/>
                <w:sz w:val="24"/>
              </w:rPr>
              <w:t>高气密展示试验箱</w:t>
            </w:r>
          </w:p>
        </w:tc>
        <w:tc>
          <w:tcPr>
            <w:tcW w:w="465" w:type="pct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仿宋" w:hAnsi="仿宋"/>
                <w:bCs/>
                <w:sz w:val="24"/>
              </w:rPr>
            </w:pPr>
            <w:r>
              <w:rPr>
                <w:rFonts w:hint="eastAsia" w:ascii="仿宋" w:hAnsi="仿宋"/>
                <w:bCs/>
                <w:sz w:val="24"/>
              </w:rPr>
              <w:t>1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仿宋" w:hAnsi="仿宋"/>
                <w:bCs/>
                <w:sz w:val="24"/>
              </w:rPr>
            </w:pPr>
            <w:r>
              <w:rPr>
                <w:rFonts w:hint="eastAsia" w:ascii="仿宋" w:hAnsi="仿宋"/>
                <w:bCs/>
                <w:sz w:val="24"/>
              </w:rPr>
              <w:t>个</w:t>
            </w:r>
          </w:p>
        </w:tc>
        <w:tc>
          <w:tcPr>
            <w:tcW w:w="921" w:type="pct"/>
            <w:vMerge w:val="restart"/>
            <w:noWrap w:val="0"/>
            <w:vAlign w:val="center"/>
          </w:tcPr>
          <w:p>
            <w:pPr>
              <w:spacing w:line="336" w:lineRule="auto"/>
              <w:jc w:val="center"/>
              <w:rPr>
                <w:rFonts w:ascii="仿宋" w:hAnsi="仿宋"/>
                <w:bCs/>
                <w:sz w:val="24"/>
              </w:rPr>
            </w:pPr>
            <w:r>
              <w:rPr>
                <w:rFonts w:hint="eastAsia" w:ascii="仿宋" w:hAnsi="仿宋"/>
                <w:bCs/>
                <w:sz w:val="24"/>
              </w:rPr>
              <w:t>工业</w:t>
            </w:r>
          </w:p>
          <w:p>
            <w:pPr>
              <w:spacing w:line="336" w:lineRule="auto"/>
              <w:jc w:val="center"/>
              <w:rPr>
                <w:rFonts w:hint="eastAsia" w:ascii="仿宋" w:hAnsi="仿宋"/>
                <w:bCs/>
                <w:sz w:val="24"/>
              </w:rPr>
            </w:pPr>
            <w:r>
              <w:rPr>
                <w:rFonts w:hint="eastAsia" w:ascii="仿宋" w:hAnsi="仿宋"/>
                <w:bCs/>
                <w:sz w:val="24"/>
              </w:rPr>
              <w:t>（制造业）</w:t>
            </w:r>
          </w:p>
        </w:tc>
        <w:tc>
          <w:tcPr>
            <w:tcW w:w="865" w:type="pct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仿宋" w:hAnsi="仿宋"/>
                <w:bCs/>
                <w:sz w:val="24"/>
              </w:rPr>
            </w:pPr>
            <w:r>
              <w:rPr>
                <w:rFonts w:hint="eastAsia" w:ascii="仿宋" w:hAnsi="仿宋"/>
                <w:bCs/>
                <w:sz w:val="24"/>
              </w:rPr>
              <w:t>核心产品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448" w:type="pct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仿宋" w:hAnsi="仿宋"/>
                <w:bCs/>
                <w:sz w:val="24"/>
              </w:rPr>
            </w:pPr>
            <w:r>
              <w:rPr>
                <w:rFonts w:hint="eastAsia" w:ascii="仿宋" w:hAnsi="仿宋"/>
                <w:bCs/>
                <w:sz w:val="24"/>
              </w:rPr>
              <w:t>2</w:t>
            </w:r>
          </w:p>
        </w:tc>
        <w:tc>
          <w:tcPr>
            <w:tcW w:w="1710" w:type="pct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仿宋" w:hAnsi="仿宋"/>
                <w:bCs/>
                <w:sz w:val="24"/>
              </w:rPr>
            </w:pPr>
            <w:r>
              <w:rPr>
                <w:rFonts w:hint="eastAsia" w:ascii="仿宋" w:hAnsi="仿宋"/>
                <w:bCs/>
                <w:sz w:val="24"/>
              </w:rPr>
              <w:t>压力检测及安全保护装置</w:t>
            </w:r>
          </w:p>
        </w:tc>
        <w:tc>
          <w:tcPr>
            <w:tcW w:w="465" w:type="pct"/>
            <w:noWrap w:val="0"/>
            <w:vAlign w:val="center"/>
          </w:tcPr>
          <w:p>
            <w:pPr>
              <w:spacing w:line="336" w:lineRule="auto"/>
              <w:jc w:val="center"/>
              <w:rPr>
                <w:rFonts w:ascii="仿宋" w:hAnsi="仿宋"/>
                <w:bCs/>
                <w:sz w:val="24"/>
              </w:rPr>
            </w:pPr>
            <w:r>
              <w:rPr>
                <w:rFonts w:hint="eastAsia" w:ascii="仿宋" w:hAnsi="仿宋"/>
                <w:bCs/>
                <w:sz w:val="24"/>
              </w:rPr>
              <w:t>5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仿宋" w:hAnsi="仿宋"/>
                <w:bCs/>
                <w:sz w:val="24"/>
              </w:rPr>
            </w:pPr>
            <w:r>
              <w:rPr>
                <w:rFonts w:hint="eastAsia" w:ascii="仿宋" w:hAnsi="仿宋"/>
                <w:bCs/>
                <w:sz w:val="24"/>
              </w:rPr>
              <w:t>套</w:t>
            </w:r>
          </w:p>
        </w:tc>
        <w:tc>
          <w:tcPr>
            <w:tcW w:w="921" w:type="pct"/>
            <w:vMerge w:val="continue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仿宋" w:hAnsi="仿宋"/>
                <w:bCs/>
                <w:sz w:val="24"/>
              </w:rPr>
            </w:pPr>
          </w:p>
        </w:tc>
        <w:tc>
          <w:tcPr>
            <w:tcW w:w="865" w:type="pct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仿宋" w:hAnsi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448" w:type="pct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仿宋" w:hAnsi="仿宋"/>
                <w:bCs/>
                <w:sz w:val="24"/>
              </w:rPr>
            </w:pPr>
            <w:r>
              <w:rPr>
                <w:rFonts w:hint="eastAsia" w:ascii="仿宋" w:hAnsi="仿宋"/>
                <w:bCs/>
                <w:sz w:val="24"/>
              </w:rPr>
              <w:t>3</w:t>
            </w:r>
          </w:p>
        </w:tc>
        <w:tc>
          <w:tcPr>
            <w:tcW w:w="1710" w:type="pct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仿宋" w:hAnsi="仿宋"/>
                <w:bCs/>
                <w:sz w:val="24"/>
              </w:rPr>
            </w:pPr>
            <w:r>
              <w:rPr>
                <w:rFonts w:hint="eastAsia" w:ascii="仿宋" w:hAnsi="仿宋"/>
                <w:bCs/>
                <w:sz w:val="24"/>
              </w:rPr>
              <w:t>气体复合带压净化装置</w:t>
            </w:r>
          </w:p>
        </w:tc>
        <w:tc>
          <w:tcPr>
            <w:tcW w:w="465" w:type="pct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仿宋" w:hAnsi="仿宋"/>
                <w:bCs/>
                <w:sz w:val="24"/>
              </w:rPr>
            </w:pPr>
            <w:r>
              <w:rPr>
                <w:rFonts w:hint="eastAsia" w:ascii="仿宋" w:hAnsi="仿宋"/>
                <w:bCs/>
                <w:sz w:val="24"/>
              </w:rPr>
              <w:t>1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仿宋" w:hAnsi="仿宋"/>
                <w:bCs/>
                <w:sz w:val="24"/>
              </w:rPr>
            </w:pPr>
            <w:r>
              <w:rPr>
                <w:rFonts w:hint="eastAsia" w:ascii="仿宋" w:hAnsi="仿宋"/>
                <w:bCs/>
                <w:sz w:val="24"/>
              </w:rPr>
              <w:t>套</w:t>
            </w:r>
          </w:p>
        </w:tc>
        <w:tc>
          <w:tcPr>
            <w:tcW w:w="921" w:type="pct"/>
            <w:vMerge w:val="continue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仿宋" w:hAnsi="仿宋"/>
                <w:bCs/>
                <w:sz w:val="24"/>
              </w:rPr>
            </w:pPr>
          </w:p>
        </w:tc>
        <w:tc>
          <w:tcPr>
            <w:tcW w:w="865" w:type="pct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仿宋" w:hAnsi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448" w:type="pct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仿宋" w:hAnsi="仿宋"/>
                <w:bCs/>
                <w:sz w:val="24"/>
              </w:rPr>
            </w:pPr>
            <w:r>
              <w:rPr>
                <w:rFonts w:hint="eastAsia" w:ascii="仿宋" w:hAnsi="仿宋"/>
                <w:bCs/>
                <w:sz w:val="24"/>
              </w:rPr>
              <w:t>4</w:t>
            </w:r>
          </w:p>
        </w:tc>
        <w:tc>
          <w:tcPr>
            <w:tcW w:w="1710" w:type="pct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仿宋" w:hAnsi="仿宋"/>
                <w:bCs/>
                <w:sz w:val="24"/>
              </w:rPr>
            </w:pPr>
            <w:r>
              <w:rPr>
                <w:rFonts w:hint="eastAsia" w:ascii="仿宋" w:hAnsi="仿宋"/>
                <w:bCs/>
                <w:sz w:val="24"/>
              </w:rPr>
              <w:t>气体恒湿及显控装置</w:t>
            </w:r>
          </w:p>
        </w:tc>
        <w:tc>
          <w:tcPr>
            <w:tcW w:w="465" w:type="pct"/>
            <w:noWrap w:val="0"/>
            <w:vAlign w:val="center"/>
          </w:tcPr>
          <w:p>
            <w:pPr>
              <w:spacing w:line="336" w:lineRule="auto"/>
              <w:jc w:val="center"/>
              <w:rPr>
                <w:rFonts w:ascii="仿宋" w:hAnsi="仿宋"/>
                <w:bCs/>
                <w:sz w:val="24"/>
              </w:rPr>
            </w:pPr>
            <w:r>
              <w:rPr>
                <w:rFonts w:hint="eastAsia" w:ascii="仿宋" w:hAnsi="仿宋"/>
                <w:bCs/>
                <w:sz w:val="24"/>
              </w:rPr>
              <w:t>1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仿宋" w:hAnsi="仿宋"/>
                <w:bCs/>
                <w:sz w:val="24"/>
              </w:rPr>
            </w:pPr>
            <w:r>
              <w:rPr>
                <w:rFonts w:hint="eastAsia" w:ascii="仿宋" w:hAnsi="仿宋"/>
                <w:bCs/>
                <w:sz w:val="24"/>
              </w:rPr>
              <w:t>套</w:t>
            </w:r>
          </w:p>
        </w:tc>
        <w:tc>
          <w:tcPr>
            <w:tcW w:w="921" w:type="pct"/>
            <w:vMerge w:val="continue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仿宋" w:hAnsi="仿宋"/>
                <w:bCs/>
                <w:sz w:val="24"/>
              </w:rPr>
            </w:pPr>
          </w:p>
        </w:tc>
        <w:tc>
          <w:tcPr>
            <w:tcW w:w="865" w:type="pct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仿宋" w:hAnsi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448" w:type="pct"/>
            <w:noWrap w:val="0"/>
            <w:vAlign w:val="center"/>
          </w:tcPr>
          <w:p>
            <w:pPr>
              <w:spacing w:line="336" w:lineRule="auto"/>
              <w:jc w:val="center"/>
              <w:rPr>
                <w:rFonts w:ascii="仿宋" w:hAnsi="仿宋"/>
                <w:bCs/>
                <w:sz w:val="24"/>
              </w:rPr>
            </w:pPr>
            <w:r>
              <w:rPr>
                <w:rFonts w:hint="eastAsia" w:ascii="仿宋" w:hAnsi="仿宋"/>
                <w:bCs/>
                <w:sz w:val="24"/>
              </w:rPr>
              <w:t>5</w:t>
            </w:r>
          </w:p>
        </w:tc>
        <w:tc>
          <w:tcPr>
            <w:tcW w:w="1710" w:type="pct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仿宋" w:hAnsi="仿宋"/>
                <w:bCs/>
                <w:sz w:val="24"/>
              </w:rPr>
            </w:pPr>
            <w:r>
              <w:rPr>
                <w:rFonts w:hint="eastAsia" w:ascii="仿宋" w:hAnsi="仿宋"/>
                <w:bCs/>
                <w:sz w:val="24"/>
              </w:rPr>
              <w:t>气调调节及检测装置</w:t>
            </w:r>
          </w:p>
        </w:tc>
        <w:tc>
          <w:tcPr>
            <w:tcW w:w="465" w:type="pct"/>
            <w:noWrap w:val="0"/>
            <w:vAlign w:val="center"/>
          </w:tcPr>
          <w:p>
            <w:pPr>
              <w:spacing w:line="336" w:lineRule="auto"/>
              <w:jc w:val="center"/>
              <w:rPr>
                <w:rFonts w:ascii="仿宋" w:hAnsi="仿宋"/>
                <w:bCs/>
                <w:sz w:val="24"/>
              </w:rPr>
            </w:pPr>
            <w:r>
              <w:rPr>
                <w:rFonts w:hint="eastAsia" w:ascii="仿宋" w:hAnsi="仿宋"/>
                <w:bCs/>
                <w:sz w:val="24"/>
              </w:rPr>
              <w:t>5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仿宋" w:hAnsi="仿宋"/>
                <w:bCs/>
                <w:sz w:val="24"/>
              </w:rPr>
            </w:pPr>
            <w:r>
              <w:rPr>
                <w:rFonts w:hint="eastAsia" w:ascii="仿宋" w:hAnsi="仿宋"/>
                <w:bCs/>
                <w:sz w:val="24"/>
              </w:rPr>
              <w:t>路</w:t>
            </w:r>
          </w:p>
        </w:tc>
        <w:tc>
          <w:tcPr>
            <w:tcW w:w="921" w:type="pct"/>
            <w:vMerge w:val="continue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仿宋" w:hAnsi="仿宋"/>
                <w:bCs/>
                <w:sz w:val="24"/>
              </w:rPr>
            </w:pPr>
          </w:p>
        </w:tc>
        <w:tc>
          <w:tcPr>
            <w:tcW w:w="865" w:type="pct"/>
            <w:noWrap w:val="0"/>
            <w:vAlign w:val="center"/>
          </w:tcPr>
          <w:p>
            <w:pPr>
              <w:spacing w:line="336" w:lineRule="auto"/>
              <w:jc w:val="center"/>
              <w:rPr>
                <w:rFonts w:hint="eastAsia" w:ascii="仿宋" w:hAnsi="仿宋"/>
                <w:bCs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OGU3YTExNDgxNjlhMjk2OGE5N2I2NWU0ODE5NWMifQ=="/>
  </w:docVars>
  <w:rsids>
    <w:rsidRoot w:val="20741D43"/>
    <w:rsid w:val="2074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4"/>
    <w:qFormat/>
    <w:uiPriority w:val="99"/>
    <w:pPr>
      <w:keepNext/>
      <w:keepLines/>
      <w:spacing w:before="120" w:beforeLines="0" w:after="120" w:afterLines="0" w:line="360" w:lineRule="auto"/>
      <w:jc w:val="center"/>
      <w:outlineLvl w:val="1"/>
    </w:pPr>
    <w:rPr>
      <w:rFonts w:ascii="Arial" w:hAnsi="Arial"/>
      <w:b/>
      <w:bCs/>
      <w:sz w:val="36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rPr>
      <w:color w:val="993300"/>
      <w:sz w:val="24"/>
    </w:rPr>
  </w:style>
  <w:style w:type="paragraph" w:styleId="4">
    <w:name w:val="Normal Indent"/>
    <w:basedOn w:val="1"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楷体_GB2312" w:eastAsia="楷体_GB2312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2022-12-14T09:55:00Z</dcterms:created>
  <dc:creator>编号9527</dc:creator>
  <cp:lastModifiedBy>编号9527</cp:lastModifiedBy>
  <dcterms:modified xsi:type="dcterms:W3CDTF">2022-12-14T09:55:20Z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2CFB8078184E465EA1CD39D2A0FF3383</vt:lpwstr>
  </property>
</Properties>
</file>