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067"/>
        <w:gridCol w:w="5753"/>
        <w:gridCol w:w="1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shd w:val="clear" w:color="auto" w:fill="auto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067" w:type="dxa"/>
            <w:shd w:val="clear" w:color="auto" w:fill="auto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产品名称</w:t>
            </w:r>
          </w:p>
        </w:tc>
        <w:tc>
          <w:tcPr>
            <w:tcW w:w="5753" w:type="dxa"/>
            <w:shd w:val="clear" w:color="auto" w:fill="auto"/>
            <w:noWrap w:val="0"/>
            <w:vAlign w:val="top"/>
          </w:tcPr>
          <w:p>
            <w:pPr>
              <w:pStyle w:val="2"/>
              <w:ind w:firstLine="48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技术参数</w:t>
            </w:r>
          </w:p>
        </w:tc>
        <w:tc>
          <w:tcPr>
            <w:tcW w:w="1008" w:type="dxa"/>
            <w:shd w:val="clear" w:color="auto" w:fill="auto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shd w:val="clear" w:color="auto" w:fill="auto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067" w:type="dxa"/>
            <w:shd w:val="clear" w:color="auto" w:fill="auto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电感耦合等离子体质谱仪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（允许采购进口产品）</w:t>
            </w:r>
          </w:p>
        </w:tc>
        <w:tc>
          <w:tcPr>
            <w:tcW w:w="5753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1、能实现化工、食品、药品、农产品、卫生、环境（水、气、土）等行业中样品的重金属以及微量元素检测。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2、分</w:t>
            </w:r>
            <w:r>
              <w:rPr>
                <w:rFonts w:hint="eastAsia" w:ascii="宋体" w:hAnsi="宋体" w:cs="宋体"/>
                <w:sz w:val="24"/>
                <w:szCs w:val="24"/>
              </w:rPr>
              <w:t>析速度快、检测限低、检测样品种类多样化、涵盖整个元素周期表中的所有金属元素及部分非金属元素。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3、技术参数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3.1 仪器具有至少一次偏转的离子偏转系统+四级杆碰撞反应池+四极杆结构。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3.2 雾化器：石英或PFA雾化器。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★3.3 雾化室：具有原装进口半导体制冷功能，最低可达到-10 ℃。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★3.4 中心管：一体式或分体式设计，便于拆卸和安装。使用目前市面上最成熟的内径大于2.0mm中心管的炬管，利于离子化效率更高。（需提供官方参数证明炬管中心管大小） 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3.5 等离子体可视系统：可以实时通过电脑显示器观监控等离子体及锥口和中心管的状态，便于及时判断仪器是否需要维护。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3.6 工作气体控制：等离子体部分有五路工作气体，可由ICP-MS操作软件自动控制。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★3.7离子源：不大于27.12MHz工作频率驱动的自激式全固态RF发生器；功率在500-1600W范围内连续可调。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★3.8接口：接口部分的设计应兼顾保护分析腔真空度和耐盐两个方面，采样锥口径应控制在≤1.2mm，截取锥口径应在≤0.5mm。（需提供官方参数证明锥孔大小）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★3.9 具有可直接分析不经稀释的25% 含盐量样品的耐高盐系统。采用抗高盐设计，使等离子体加热能量更集中，干扰离子团解离更彻底。（需提供图片证明含有此耐高盐系统并配置在仪器里) 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★3.10 碰撞反应池：杆数≥四级杆，可与四极杆质量分析器动态调谐，具有质量数剔除功能（需提供具有质量数剔除功能碰撞反应池证明）。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★3.11 四极杆。质量分析器四极杆采用高纯钼材质，可耐受高含量汞元素而不被腐蚀，双曲面四极杆完全匹配电磁场分布，驱动射频≥2.5 MHz使四极杆具有最佳的质量分离效果。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3.12检测器。脉冲/模拟双通道模式高速检测器，在进入检测器前应再经过一次90°偏转，彻底过滤碰撞反应池及四极杆产生的噪音，进一步提升信噪比。具有10个数量级线性动态范围(0.1-10×10^10cps)。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3.13质谱范围：2-260 amu。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3.14可扩展使用单粒子分析软件，积分时间可达0.1ms，需提供软件截图证明。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3.15 配置色谱连用内触发软件，可直接触发色谱仪器，无需再购置软件。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4． ICP-MS操作软件及应用软件: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4.1 全自动调谐及打印所有仪器工作参数报告功能。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4.2 可与色谱技术联用的控制软件以及数据处理软件。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4.3 用户自定义报告格式功能。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4.4 原厂计算机。</w:t>
            </w:r>
          </w:p>
          <w:p>
            <w:pPr>
              <w:tabs>
                <w:tab w:val="left" w:pos="1133"/>
                <w:tab w:val="left" w:pos="2402"/>
                <w:tab w:val="left" w:pos="3562"/>
                <w:tab w:val="left" w:pos="5743"/>
                <w:tab w:val="left" w:pos="6986"/>
                <w:tab w:val="left" w:pos="8131"/>
              </w:tabs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sz w:val="24"/>
                <w:szCs w:val="24"/>
              </w:rPr>
              <w:t>．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 xml:space="preserve"> 性能指标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5.1 低质量数灵敏度Li7或B9   60 Mcps/ppm</w:t>
            </w:r>
          </w:p>
          <w:p>
            <w:pPr>
              <w:tabs>
                <w:tab w:val="left" w:pos="0"/>
              </w:tabs>
              <w:spacing w:line="360" w:lineRule="auto"/>
              <w:ind w:firstLine="42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中质量数灵敏度Y89或In115 250 Mcps/ppm</w:t>
            </w:r>
          </w:p>
          <w:p>
            <w:pPr>
              <w:tabs>
                <w:tab w:val="left" w:pos="0"/>
              </w:tabs>
              <w:spacing w:line="360" w:lineRule="auto"/>
              <w:ind w:firstLine="42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高质量数灵敏度U238  150 Mcps/ppm 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5.2 低质量数检测限  0.5 ppt</w:t>
            </w:r>
          </w:p>
          <w:p>
            <w:pPr>
              <w:tabs>
                <w:tab w:val="left" w:pos="0"/>
              </w:tabs>
              <w:spacing w:line="360" w:lineRule="auto"/>
              <w:ind w:firstLine="42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中质量数检测限  0.1 ppt</w:t>
            </w:r>
          </w:p>
          <w:p>
            <w:pPr>
              <w:tabs>
                <w:tab w:val="left" w:pos="0"/>
              </w:tabs>
              <w:spacing w:line="360" w:lineRule="auto"/>
              <w:ind w:firstLine="42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高质量数检测限  0.1 ppt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★5.3 氧化物 CeO+/Ce+  2.0 %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5.4 背景噪音: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在4.5amu或220amu或9amu处 &lt; 1.0 cps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5.5 丰度灵敏度：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低质量端:  5 x 10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superscript"/>
              </w:rPr>
              <w:t>-7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高质量端:  1 x 10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vertAlign w:val="superscript"/>
              </w:rPr>
              <w:t>-7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5.6 短期稳定性(RSD):  2 % (20 min)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5.7 长期稳定性(RSD):  3 % (2 hrs)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 配置要求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6.1 主机 1台 ，包含炬管、雾室、雾化器等进样系统、5路质量流量计、锥、离子透镜、四极杆碰撞/反应池、四极杆质量分析器及检测器；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6.2配原厂半导体制冷（控温范围：-10 ℃-室温，控温精度：1℃）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6.3配原厂稀释功能（可耐25%盐分）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6.4耐氢氟酸进样系统  1套（含进样管、雾化器、雾化室、炬管）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6.5 配原厂有机进样系统 1套（满足各种油品、有机类化合物的分析）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6.6 ICP-MS 操作软件 1套、计算机系统 2套；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6.7原装进口循环冷却水机 1台；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6.8 ICP-MS仪器安装调试溶液包、仪器专用工具等附件；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6.9 原厂多元素调谐液 1瓶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6.10 原厂混合内标     1瓶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6.11 原厂机械泵泵油（润滑剂） 1瓶；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6.12进样管、废液管、内标管各24根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6.13 不锈钢管路（6米长）；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6.14 排风管 1套；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6.15 10KVA工频稳压电源1台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6.16 8L高纯氦气钢瓶气（含气、瓶、阀）1瓶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6.17 40L高纯氩气钢瓶气（含气、瓶、阀）2瓶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6.18知名品牌电脑一台，多功能打印复印一体机1台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6.19 技术培训不少于3次。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6.20 主机及所有配件质保1年。</w:t>
            </w:r>
          </w:p>
        </w:tc>
        <w:tc>
          <w:tcPr>
            <w:tcW w:w="1008" w:type="dxa"/>
            <w:shd w:val="clear" w:color="auto" w:fill="auto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shd w:val="clear" w:color="auto" w:fill="auto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1067" w:type="dxa"/>
            <w:shd w:val="clear" w:color="auto" w:fill="auto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化学吸附仪</w:t>
            </w:r>
            <w:r>
              <w:rPr>
                <w:rFonts w:hint="eastAsia" w:ascii="宋体" w:hAnsi="宋体" w:cs="宋体"/>
                <w:sz w:val="24"/>
                <w:szCs w:val="24"/>
              </w:rPr>
              <w:t>（允许采购进口产品）</w:t>
            </w:r>
          </w:p>
        </w:tc>
        <w:tc>
          <w:tcPr>
            <w:tcW w:w="5753" w:type="dxa"/>
            <w:shd w:val="clear" w:color="auto" w:fill="auto"/>
            <w:noWrap w:val="0"/>
            <w:vAlign w:val="top"/>
          </w:tcPr>
          <w:p>
            <w:pPr>
              <w:tabs>
                <w:tab w:val="left" w:pos="540"/>
              </w:tabs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1、样品预处理和实验分析过程，TCD数据采集全部由电脑自动控制进行，仪器面板无校准控制、 气体切换等按键。 </w:t>
            </w:r>
          </w:p>
          <w:p>
            <w:pPr>
              <w:tabs>
                <w:tab w:val="left" w:pos="540"/>
              </w:tabs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★2、</w:t>
            </w:r>
            <w:r>
              <w:rPr>
                <w:rFonts w:hint="eastAsia" w:ascii="宋体" w:hAnsi="宋体" w:cs="宋体"/>
                <w:sz w:val="24"/>
                <w:szCs w:val="24"/>
              </w:rPr>
              <w:t>开合式加热电热炉最高温度1200度，程序升温温度控制范围为环境温度-120—1200℃。</w:t>
            </w:r>
          </w:p>
          <w:p>
            <w:pPr>
              <w:tabs>
                <w:tab w:val="left" w:pos="540"/>
              </w:tabs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★3、</w:t>
            </w:r>
            <w:r>
              <w:rPr>
                <w:rFonts w:hint="eastAsia" w:ascii="宋体" w:hAnsi="宋体" w:cs="宋体"/>
                <w:sz w:val="24"/>
                <w:szCs w:val="24"/>
              </w:rPr>
              <w:t>升温速率：在室温50-500℃范围，110℃/min；在50℃—1200℃范围,80℃/min。</w:t>
            </w:r>
          </w:p>
          <w:p>
            <w:pPr>
              <w:tabs>
                <w:tab w:val="left" w:pos="540"/>
              </w:tabs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4、开合式炉子,结合内部风扇强制冷却冷却速率：快速冷却，1000度降温至100度时间不超过1小时。</w:t>
            </w:r>
          </w:p>
          <w:p>
            <w:pPr>
              <w:tabs>
                <w:tab w:val="left" w:pos="540"/>
              </w:tabs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5、载气和分析气体和混合气体的气路流速全部由质量流量计控制，仪器配备3个MFC质量流量计。</w:t>
            </w:r>
          </w:p>
          <w:p>
            <w:pPr>
              <w:tabs>
                <w:tab w:val="left" w:pos="540"/>
              </w:tabs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6、气体流量控制范围(参比氢气)：2-100ml/min，由软件控制。</w:t>
            </w:r>
          </w:p>
          <w:p>
            <w:pPr>
              <w:tabs>
                <w:tab w:val="left" w:pos="540"/>
              </w:tabs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7、进气口数量：≥8路进气口，其中3路可以选择载气，8路可以选择混合气进气，8路可以选择制备，相当于19路进气选择。</w:t>
            </w:r>
          </w:p>
          <w:p>
            <w:pPr>
              <w:widowControl/>
              <w:tabs>
                <w:tab w:val="left" w:pos="540"/>
              </w:tabs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8、仪器内部管路和六通阀处于加热保温区，保温温度最高到150℃。</w:t>
            </w:r>
          </w:p>
          <w:p>
            <w:pPr>
              <w:widowControl/>
              <w:tabs>
                <w:tab w:val="left" w:pos="540"/>
              </w:tabs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9、保护机制：仪器内部管路配有过压阀门，超过120KPa（1.2个大气压），测试停止，仪器显示出过压阀门关闭。</w:t>
            </w:r>
          </w:p>
          <w:p>
            <w:pPr>
              <w:widowControl/>
              <w:tabs>
                <w:tab w:val="left" w:pos="540"/>
              </w:tabs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★10、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TCD检测器：铼钨丝或镀金铼钨丝,可以在低灵敏度和高灵敏度之间调节; 提高灵敏度同时方便根据反应延长</w:t>
            </w:r>
            <w:r>
              <w:rPr>
                <w:rFonts w:hint="eastAsia" w:ascii="宋体" w:hAnsi="宋体" w:cs="宋体"/>
                <w:sz w:val="24"/>
                <w:szCs w:val="24"/>
              </w:rPr>
              <w:t>TCD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寿命。</w:t>
            </w:r>
          </w:p>
          <w:p>
            <w:pPr>
              <w:widowControl/>
              <w:tabs>
                <w:tab w:val="left" w:pos="54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★</w:t>
            </w:r>
            <w:r>
              <w:rPr>
                <w:rFonts w:hint="eastAsia" w:ascii="宋体" w:hAnsi="宋体" w:cs="宋体"/>
                <w:sz w:val="24"/>
                <w:szCs w:val="24"/>
              </w:rPr>
              <w:t>11、TCD 检测信号范围：±10mV（毫伏）。TCD检测精度: ≤1μV（微伏），并且TCD精度可调高灵敏度和低灵敏度。</w:t>
            </w:r>
          </w:p>
          <w:p>
            <w:pPr>
              <w:widowControl/>
              <w:tabs>
                <w:tab w:val="left" w:pos="54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12、TCD保温到250℃，提高TCD检测灵敏度。</w:t>
            </w:r>
          </w:p>
          <w:p>
            <w:pPr>
              <w:widowControl/>
              <w:tabs>
                <w:tab w:val="left" w:pos="54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13、仪器具有混气功能，可以混合两个气体的特定浓度的混气。</w:t>
            </w:r>
          </w:p>
          <w:p>
            <w:pPr>
              <w:widowControl/>
              <w:tabs>
                <w:tab w:val="left" w:pos="54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14、脉冲化学吸附loop环体积为o.1ml，0.5ml或者其他体积loop环。</w:t>
            </w:r>
          </w:p>
          <w:p>
            <w:pPr>
              <w:widowControl/>
              <w:tabs>
                <w:tab w:val="left" w:pos="540"/>
              </w:tabs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15、分析软件具备TPD/TPR/TPO谱图的反卷积变换计算分析功能, 可以把谱图自动分解成若干个不同的峰，从而能够得到更准确的化学吸附量数值。</w:t>
            </w:r>
          </w:p>
          <w:p>
            <w:pPr>
              <w:widowControl/>
              <w:tabs>
                <w:tab w:val="left" w:pos="540"/>
              </w:tabs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★</w:t>
            </w:r>
            <w:r>
              <w:rPr>
                <w:rFonts w:hint="eastAsia" w:ascii="宋体" w:hAnsi="宋体" w:cs="宋体"/>
                <w:sz w:val="24"/>
                <w:szCs w:val="24"/>
              </w:rPr>
              <w:t>16、冷径管既可以采用“冰泥”，也可以采用填充分子筛吸附，有些需要冷凝的气体反应不适用冰泥。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★</w:t>
            </w:r>
            <w:r>
              <w:rPr>
                <w:rFonts w:hint="eastAsia" w:ascii="宋体" w:hAnsi="宋体" w:cs="宋体"/>
                <w:sz w:val="24"/>
                <w:szCs w:val="24"/>
              </w:rPr>
              <w:t>17、必须提供Pt负载Al2O3的标准物（CO脉冲测试）和ZSM-5标准物（NH3-TPD测试），并附上标准值。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18、仪器提供催化剂的穿透曲线（Breakthrough Curve）功能,提供常压下的分子筛的CO2/He穿透曲线报告；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19、后期可加配原厂在线质谱可以和化学吸附仪进行通讯，提供数据连接线，实现同步测试和信号互通，蒸汽功能</w:t>
            </w:r>
          </w:p>
          <w:p>
            <w:pPr>
              <w:spacing w:line="360" w:lineRule="auto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配置清单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1、全自动程序升温化学吸附仪（一套）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2、低温套件（一套）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3、穿透曲线功能软件（一套）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4、在线质谱软件（一套）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5、在线质谱接口（一套）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6、耗材套件（一套）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标准样品MFI, 0.5g（一瓶）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标准样品CO-脉冲0.5g（一瓶）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样品管 18根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垫圈  18套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杜瓦瓶 1套   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7、工作站电脑（32位操作系统）双屏显示操作简单，另配置知名品牌电脑一台（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12代酷睿i5-12500， 六核，</w:t>
            </w:r>
            <w:r>
              <w:rPr>
                <w:rFonts w:hint="eastAsia" w:ascii="宋体" w:hAnsi="宋体" w:cs="宋体"/>
                <w:sz w:val="24"/>
                <w:szCs w:val="24"/>
              </w:rPr>
              <w:t>≥16G, ≥256GSSD, ≥23.8英寸显示器）。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8、打印复印一体机（一套）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9、国内采购配件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氢氩混气（10%/90%）含钢瓶、减压阀（出口端压力0-0.4MPa） 1套；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高纯氦气（99.999%）含钢瓶、减压阀（出口端压力0-0.4MPa） 1套；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高纯氩气（99.999%）含钢瓶、减压阀（出口端压力0-0.4MPa） 1套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10、质保：整机质保1年   </w:t>
            </w:r>
          </w:p>
          <w:p>
            <w:pPr>
              <w:spacing w:line="360" w:lineRule="auto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售后服务：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响应速度2小时响应，48小时到现场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auto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shd w:val="clear" w:color="auto" w:fill="auto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067" w:type="dxa"/>
            <w:shd w:val="clear" w:color="auto" w:fill="auto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服务和培训</w:t>
            </w:r>
          </w:p>
        </w:tc>
        <w:tc>
          <w:tcPr>
            <w:tcW w:w="5753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投标方负责房间内部的通风设备改造。安装截止时间为2023年12月，至少提供3次以上的技术培训 </w:t>
            </w:r>
          </w:p>
        </w:tc>
        <w:tc>
          <w:tcPr>
            <w:tcW w:w="1008" w:type="dxa"/>
            <w:shd w:val="clear" w:color="auto" w:fill="auto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jRkMGE3NzQxYjczMTVhMGMzZWI2OGY4N2I2NjYifQ=="/>
  </w:docVars>
  <w:rsids>
    <w:rsidRoot w:val="696220DC"/>
    <w:rsid w:val="696220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2022-12-18T04:57:00Z</dcterms:created>
  <dc:creator>趁早</dc:creator>
  <cp:lastModifiedBy>趁早</cp:lastModifiedBy>
  <dcterms:modified xsi:type="dcterms:W3CDTF">2022-12-18T04:59:01Z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99C27CF48189463C921C8CE28D7FC12F</vt:lpwstr>
  </property>
</Properties>
</file>