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一、技术参数</w:t>
      </w:r>
    </w:p>
    <w:p>
      <w:pPr>
        <w:pStyle w:val="3"/>
        <w:spacing w:line="336" w:lineRule="auto"/>
        <w:ind w:firstLine="241"/>
        <w:rPr>
          <w:rFonts w:hint="eastAsia" w:ascii="宋体" w:hAnsi="宋体" w:cs="宋体"/>
          <w:b/>
          <w:color w:val="auto"/>
          <w:kern w:val="2"/>
        </w:rPr>
      </w:pPr>
      <w:r>
        <w:rPr>
          <w:rFonts w:hint="eastAsia" w:ascii="宋体" w:hAnsi="宋体" w:cs="宋体"/>
          <w:b/>
          <w:color w:val="auto"/>
          <w:kern w:val="2"/>
        </w:rPr>
        <w:t>（一）、基本要求</w:t>
      </w:r>
    </w:p>
    <w:p>
      <w:pPr>
        <w:pStyle w:val="3"/>
        <w:spacing w:line="336" w:lineRule="auto"/>
        <w:ind w:firstLine="557" w:firstLineChars="231"/>
        <w:rPr>
          <w:rFonts w:hint="eastAsia" w:ascii="宋体" w:hAnsi="宋体" w:cs="宋体"/>
          <w:b/>
          <w:color w:val="auto"/>
          <w:kern w:val="2"/>
        </w:rPr>
      </w:pPr>
      <w:r>
        <w:rPr>
          <w:rFonts w:hint="eastAsia" w:ascii="宋体" w:hAnsi="宋体" w:cs="宋体"/>
          <w:b/>
          <w:color w:val="auto"/>
          <w:kern w:val="2"/>
        </w:rPr>
        <w:t>合同包1内容：科技类中文纸质图书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备注：项目合同包1招标内容为科技类图书，所订图书题名、责任者、ISBN号、版本、出版社、出版时间、编（著）者、版本待定，具体情况以采购方订单为准。</w:t>
      </w:r>
    </w:p>
    <w:p>
      <w:pPr>
        <w:spacing w:line="336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合同包2内容：社科类中文纸质图书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备注：项目合同包2招标内容为社科类图书，所订图书题名、责任者、ISBN号、版本、出版社、出版时间、编（著）者、版本待定，具体情况以采购方订单为准。</w:t>
      </w:r>
    </w:p>
    <w:p>
      <w:pPr>
        <w:spacing w:line="336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合同包3内容：石油地质类及综合类中文纸质图书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备注：项目合同包3招标内容为石油地质类及综合类图书，所订图书题名、责任者、ISBN号、版本、出版社、出版时间、编（著）者、版本待定，具体情况以采购方订单为准。</w:t>
      </w:r>
    </w:p>
    <w:p>
      <w:pPr>
        <w:spacing w:line="336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合同包4内容：经管类及综合类中文纸质图书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备注：项目合同包4招标内容为经管类及综合类图书，所订图书题名、责任者、ISBN号、版本、出版社、出版时间、编（著）者、版本待定，具体情况以采购方订单为准。</w:t>
      </w:r>
    </w:p>
    <w:p>
      <w:pPr>
        <w:spacing w:line="336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（二）采购要求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1.必须定期提供、定期更新图书书目（MARC格式），且书目信息收集全面、无遗漏，书目信息含题名、责任者、ISBN号、版本、出版社、出版时间、读者对象及内容摘要等详尽内容。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2.必须提供可供预订使用的电子版采访数据（MARC格式），要求著录规范、内容完备全面；提供CALIS标准编目数据（MARC格式），并与所购图书同时到馆。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3.提供卖场采购和样书采购。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到书率及到书周期：</w:t>
      </w:r>
      <w:r>
        <w:rPr>
          <w:rFonts w:hint="eastAsia" w:ascii="宋体" w:hAnsi="宋体" w:cs="宋体"/>
          <w:bCs/>
          <w:sz w:val="24"/>
          <w:szCs w:val="24"/>
        </w:rPr>
        <w:t>现货（自科、社科）到书率均不低于95%，期货（自科、社科）到书率均不低于90%；现货到书周期30天之内，期货到书周期90天之内。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5.及时提供信息反馈，每季度反馈新书配送信息、每半年反馈未到图书及原因。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6.提供合作高校图书馆证明。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7.送货方式：预先通知送书时间，并免费送达指定地点。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8.提供验收清单：发书清单一式两份，内容一致，加盖公章，清单注明包号、题名、ISBN号、出版社、单价及复本量，一包一单。每包有小计，整批合计单显示总种数、总册数与总金额。</w:t>
      </w:r>
    </w:p>
    <w:p>
      <w:pPr>
        <w:spacing w:line="336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（三）图书要求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．图书质量：承诺所供图书均为正版，如一旦发现盗版图书，成交单位将承担一切责任。如图书印刷、装帧质量等与要求不符，并在使用过程中，出现缺页、错页、倒装、破损等质量问题，中标单位应无条件调换；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．订准率：成交单位须严格依图书馆采购人员提供订单发书，严禁肆意搭配，非本馆订购图书一概退回；如由于订购信息中未明确标明读者对象与图书类型等，致使到书与馆藏建设要求不符，在不影响二次销售的前提下应同意退回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3．涨价率：价格上涨超过原订价的20%，中标单位应通知订户，询问是否继续订购。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4．数据质量：成交单位须提供信息完整准确的采访数据（MARC格式）与CALIS标准的、规范完备的编目数据；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5．加工要求：成交单位须提供到馆加工服务，</w:t>
      </w:r>
      <w:r>
        <w:rPr>
          <w:rFonts w:hint="eastAsia" w:ascii="宋体" w:hAnsi="宋体" w:cs="宋体"/>
          <w:sz w:val="24"/>
          <w:szCs w:val="24"/>
        </w:rPr>
        <w:t>提供盖章、贴防盗磁条（16cm的复合钴基防盗磁条）、贴书标、贴塑膜及随书光盘的加工等图书加工服务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6．如由采购单位原因造成的图书污损、撕毁、丢失等，中标单位应协助补配（书款另计）。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7. 所供图书确系正版图书；错页、缺页、折页、破损、开胶、倒装与配送错误及实际图书内容不适合图书馆收藏的，无条件退换。</w:t>
      </w:r>
    </w:p>
    <w:p>
      <w:r>
        <w:rPr>
          <w:rFonts w:hint="eastAsia" w:ascii="宋体" w:hAnsi="宋体" w:cs="宋体"/>
          <w:bCs/>
          <w:sz w:val="24"/>
          <w:szCs w:val="24"/>
        </w:rPr>
        <w:t>8. 随时满足零订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及追补订需求。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089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kern w:val="0"/>
      <w:sz w:val="24"/>
      <w:szCs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2022-12-02T10:48:52Z</dcterms:created>
  <dc:creator>Administrator</dc:creator>
  <cp:lastModifiedBy>じ☆veSunny</cp:lastModifiedBy>
  <dcterms:modified xsi:type="dcterms:W3CDTF">2022-12-02T10:48:55Z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6311666816AB4981AB960A443145FE1A</vt:lpwstr>
  </property>
</Properties>
</file>