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sz w:val="36"/>
          <w:szCs w:val="36"/>
          <w:highlight w:val="none"/>
        </w:rPr>
      </w:pPr>
    </w:p>
    <w:p>
      <w:pP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项目编号：</w:t>
      </w:r>
      <w:r>
        <w:rPr>
          <w:rFonts w:asciiTheme="minorEastAsia" w:hAnsiTheme="minorEastAsia" w:eastAsiaTheme="minorEastAsia"/>
          <w:b/>
          <w:color w:val="auto"/>
          <w:sz w:val="32"/>
          <w:szCs w:val="32"/>
          <w:highlight w:val="none"/>
        </w:rPr>
        <w:t>SZ2022-GP-SC-219H</w:t>
      </w:r>
    </w:p>
    <w:p>
      <w:pPr>
        <w:jc w:val="center"/>
        <w:rPr>
          <w:rFonts w:ascii="宋体" w:hAnsi="宋体"/>
          <w:b/>
          <w:bCs/>
          <w:color w:val="auto"/>
          <w:kern w:val="0"/>
          <w:sz w:val="52"/>
          <w:szCs w:val="52"/>
          <w:highlight w:val="none"/>
        </w:rPr>
      </w:pPr>
    </w:p>
    <w:p>
      <w:pPr>
        <w:pStyle w:val="37"/>
        <w:rPr>
          <w:rFonts w:ascii="宋体" w:hAnsi="宋体"/>
          <w:color w:val="auto"/>
          <w:highlight w:val="none"/>
        </w:rPr>
      </w:pPr>
    </w:p>
    <w:p>
      <w:pPr>
        <w:jc w:val="center"/>
        <w:rPr>
          <w:rFonts w:ascii="宋体" w:hAnsi="宋体"/>
          <w:b/>
          <w:bCs/>
          <w:color w:val="auto"/>
          <w:kern w:val="0"/>
          <w:sz w:val="36"/>
          <w:szCs w:val="36"/>
          <w:highlight w:val="none"/>
        </w:rPr>
      </w:pPr>
      <w:r>
        <w:rPr>
          <w:rFonts w:hint="eastAsia" w:ascii="宋体" w:hAnsi="宋体"/>
          <w:b/>
          <w:bCs/>
          <w:color w:val="auto"/>
          <w:kern w:val="0"/>
          <w:sz w:val="36"/>
          <w:szCs w:val="36"/>
          <w:highlight w:val="none"/>
        </w:rPr>
        <w:t>儿康中心三维步态评估与训练系统等</w:t>
      </w:r>
    </w:p>
    <w:p>
      <w:pPr>
        <w:jc w:val="center"/>
        <w:rPr>
          <w:rFonts w:ascii="宋体" w:hAnsi="宋体"/>
          <w:b/>
          <w:bCs/>
          <w:color w:val="auto"/>
          <w:kern w:val="0"/>
          <w:sz w:val="36"/>
          <w:szCs w:val="36"/>
          <w:highlight w:val="none"/>
        </w:rPr>
      </w:pPr>
      <w:r>
        <w:rPr>
          <w:rFonts w:hint="eastAsia" w:ascii="宋体" w:hAnsi="宋体"/>
          <w:b/>
          <w:bCs/>
          <w:color w:val="auto"/>
          <w:kern w:val="0"/>
          <w:sz w:val="36"/>
          <w:szCs w:val="36"/>
          <w:highlight w:val="none"/>
        </w:rPr>
        <w:t>一批设备采购项目</w:t>
      </w:r>
    </w:p>
    <w:p>
      <w:pPr>
        <w:rPr>
          <w:rFonts w:ascii="宋体" w:hAnsi="宋体"/>
          <w:b/>
          <w:bCs/>
          <w:color w:val="auto"/>
          <w:spacing w:val="80"/>
          <w:sz w:val="52"/>
          <w:szCs w:val="52"/>
          <w:highlight w:val="none"/>
        </w:rPr>
      </w:pPr>
    </w:p>
    <w:p>
      <w:pPr>
        <w:jc w:val="center"/>
        <w:rPr>
          <w:rFonts w:ascii="宋体" w:hAnsi="宋体"/>
          <w:color w:val="auto"/>
          <w:sz w:val="84"/>
          <w:szCs w:val="84"/>
          <w:highlight w:val="none"/>
        </w:rPr>
      </w:pPr>
      <w:r>
        <w:rPr>
          <w:rFonts w:hint="eastAsia" w:ascii="宋体" w:hAnsi="宋体"/>
          <w:b/>
          <w:bCs/>
          <w:color w:val="auto"/>
          <w:spacing w:val="80"/>
          <w:sz w:val="84"/>
          <w:szCs w:val="84"/>
          <w:highlight w:val="none"/>
        </w:rPr>
        <w:t>招标文件</w:t>
      </w:r>
    </w:p>
    <w:p>
      <w:pPr>
        <w:rPr>
          <w:rFonts w:ascii="宋体" w:hAnsi="宋体"/>
          <w:b/>
          <w:bCs/>
          <w:color w:val="auto"/>
          <w:sz w:val="30"/>
          <w:szCs w:val="30"/>
          <w:highlight w:val="none"/>
        </w:rPr>
      </w:pPr>
    </w:p>
    <w:p>
      <w:pPr>
        <w:pStyle w:val="2"/>
        <w:rPr>
          <w:color w:val="auto"/>
          <w:highlight w:val="none"/>
        </w:rPr>
      </w:pPr>
    </w:p>
    <w:p>
      <w:pPr>
        <w:pStyle w:val="2"/>
        <w:rPr>
          <w:color w:val="auto"/>
          <w:highlight w:val="none"/>
        </w:rPr>
      </w:pPr>
    </w:p>
    <w:p>
      <w:pPr>
        <w:rPr>
          <w:rFonts w:ascii="宋体" w:hAnsi="宋体"/>
          <w:b/>
          <w:bCs/>
          <w:color w:val="auto"/>
          <w:sz w:val="30"/>
          <w:szCs w:val="30"/>
          <w:highlight w:val="none"/>
        </w:rPr>
      </w:pPr>
    </w:p>
    <w:p>
      <w:pPr>
        <w:jc w:val="center"/>
        <w:rPr>
          <w:rFonts w:ascii="宋体" w:hAnsi="宋体"/>
          <w:color w:val="auto"/>
          <w:sz w:val="52"/>
          <w:szCs w:val="52"/>
          <w:highlight w:val="none"/>
        </w:rPr>
      </w:pPr>
      <w:r>
        <w:rPr>
          <w:color w:val="auto"/>
          <w:highlight w:val="none"/>
        </w:rPr>
        <w:drawing>
          <wp:inline distT="0" distB="0" distL="0" distR="0">
            <wp:extent cx="1440815" cy="1759585"/>
            <wp:effectExtent l="19050" t="0" r="6985" b="0"/>
            <wp:docPr id="1" name="图片 1" descr="C:\Users\Kapo\AppData\Local\Temp\ksohtml1020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Kapo\AppData\Local\Temp\ksohtml10208\wps1.png"/>
                    <pic:cNvPicPr>
                      <a:picLocks noChangeAspect="1" noChangeArrowheads="1"/>
                    </pic:cNvPicPr>
                  </pic:nvPicPr>
                  <pic:blipFill>
                    <a:blip r:embed="rId13"/>
                    <a:srcRect/>
                    <a:stretch>
                      <a:fillRect/>
                    </a:stretch>
                  </pic:blipFill>
                  <pic:spPr>
                    <a:xfrm>
                      <a:off x="0" y="0"/>
                      <a:ext cx="1440815" cy="1759585"/>
                    </a:xfrm>
                    <a:prstGeom prst="rect">
                      <a:avLst/>
                    </a:prstGeom>
                    <a:noFill/>
                    <a:ln w="9525">
                      <a:noFill/>
                      <a:miter lim="800000"/>
                      <a:headEnd/>
                      <a:tailEnd/>
                    </a:ln>
                  </pic:spPr>
                </pic:pic>
              </a:graphicData>
            </a:graphic>
          </wp:inline>
        </w:drawing>
      </w:r>
    </w:p>
    <w:p>
      <w:pPr>
        <w:pStyle w:val="2"/>
        <w:rPr>
          <w:color w:val="auto"/>
          <w:highlight w:val="none"/>
        </w:rPr>
      </w:pPr>
    </w:p>
    <w:p>
      <w:pPr>
        <w:pStyle w:val="2"/>
        <w:rPr>
          <w:color w:val="auto"/>
          <w:highlight w:val="none"/>
        </w:rPr>
      </w:pPr>
    </w:p>
    <w:p>
      <w:pPr>
        <w:rPr>
          <w:rFonts w:ascii="宋体" w:hAnsi="宋体"/>
          <w:color w:val="auto"/>
          <w:sz w:val="18"/>
          <w:szCs w:val="18"/>
          <w:highlight w:val="none"/>
        </w:rPr>
      </w:pPr>
    </w:p>
    <w:p>
      <w:pPr>
        <w:spacing w:line="360" w:lineRule="auto"/>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采   购   人：陕西省康复医院</w:t>
      </w:r>
    </w:p>
    <w:p>
      <w:pPr>
        <w:spacing w:line="360" w:lineRule="auto"/>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 xml:space="preserve">采购代理机构：陕西省招标有限责任公司 </w:t>
      </w:r>
    </w:p>
    <w:p>
      <w:pPr>
        <w:jc w:val="center"/>
        <w:rPr>
          <w:rFonts w:ascii="宋体" w:hAnsi="宋体"/>
          <w:b/>
          <w:bCs/>
          <w:color w:val="auto"/>
          <w:sz w:val="32"/>
          <w:szCs w:val="32"/>
          <w:highlight w:val="none"/>
        </w:rPr>
        <w:sectPr>
          <w:pgSz w:w="11906" w:h="16838"/>
          <w:pgMar w:top="1361" w:right="1644" w:bottom="1361" w:left="1644" w:header="720" w:footer="720" w:gutter="0"/>
          <w:cols w:space="720" w:num="1"/>
          <w:docGrid w:type="lines" w:linePitch="312" w:charSpace="0"/>
        </w:sectPr>
      </w:pPr>
      <w:r>
        <w:rPr>
          <w:rFonts w:hint="eastAsia" w:ascii="宋体" w:hAnsi="宋体"/>
          <w:b/>
          <w:bCs/>
          <w:color w:val="auto"/>
          <w:sz w:val="32"/>
          <w:szCs w:val="32"/>
          <w:highlight w:val="none"/>
        </w:rPr>
        <w:t>二○二二年十一月</w:t>
      </w:r>
    </w:p>
    <w:p>
      <w:pPr>
        <w:pStyle w:val="2"/>
        <w:rPr>
          <w:color w:val="auto"/>
          <w:highlight w:val="none"/>
        </w:rPr>
      </w:pPr>
    </w:p>
    <w:sdt>
      <w:sdtPr>
        <w:rPr>
          <w:rFonts w:ascii="宋体" w:hAnsi="宋体"/>
          <w:b/>
          <w:bCs/>
          <w:color w:val="auto"/>
          <w:kern w:val="44"/>
          <w:sz w:val="44"/>
          <w:szCs w:val="44"/>
          <w:highlight w:val="none"/>
        </w:rPr>
        <w:id w:val="147471791"/>
        <w:docPartObj>
          <w:docPartGallery w:val="Table of Contents"/>
          <w:docPartUnique/>
        </w:docPartObj>
      </w:sdtPr>
      <w:sdtEndPr>
        <w:rPr>
          <w:rFonts w:hint="eastAsia" w:asciiTheme="minorEastAsia" w:hAnsiTheme="minorEastAsia" w:eastAsiaTheme="minorEastAsia"/>
          <w:b/>
          <w:bCs/>
          <w:color w:val="auto"/>
          <w:kern w:val="44"/>
          <w:sz w:val="28"/>
          <w:szCs w:val="28"/>
          <w:highlight w:val="none"/>
        </w:rPr>
      </w:sdtEndPr>
      <w:sdtContent>
        <w:p>
          <w:pPr>
            <w:jc w:val="center"/>
            <w:rPr>
              <w:color w:val="auto"/>
              <w:sz w:val="44"/>
              <w:szCs w:val="44"/>
              <w:highlight w:val="none"/>
            </w:rPr>
          </w:pPr>
          <w:r>
            <w:rPr>
              <w:rFonts w:ascii="宋体" w:hAnsi="宋体"/>
              <w:color w:val="auto"/>
              <w:sz w:val="44"/>
              <w:szCs w:val="44"/>
              <w:highlight w:val="none"/>
            </w:rPr>
            <w:t>目录</w:t>
          </w:r>
        </w:p>
        <w:p>
          <w:pPr>
            <w:pStyle w:val="19"/>
            <w:tabs>
              <w:tab w:val="right" w:leader="dot" w:pos="8608"/>
            </w:tabs>
            <w:spacing w:line="360" w:lineRule="auto"/>
            <w:rPr>
              <w:rFonts w:asciiTheme="minorEastAsia" w:hAnsiTheme="minorEastAsia" w:eastAsiaTheme="minorEastAsia" w:cstheme="minorBidi"/>
              <w:color w:val="auto"/>
              <w:sz w:val="24"/>
              <w:szCs w:val="24"/>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TOC \o "1-1" \h \u </w:instrText>
          </w:r>
          <w:r>
            <w:rPr>
              <w:rFonts w:asciiTheme="minorEastAsia" w:hAnsiTheme="minorEastAsia" w:eastAsiaTheme="minorEastAsia"/>
              <w:color w:val="auto"/>
              <w:sz w:val="28"/>
              <w:szCs w:val="28"/>
              <w:highlight w:val="none"/>
            </w:rPr>
            <w:fldChar w:fldCharType="separate"/>
          </w:r>
          <w:r>
            <w:rPr>
              <w:color w:val="auto"/>
              <w:highlight w:val="none"/>
            </w:rPr>
            <w:fldChar w:fldCharType="begin"/>
          </w:r>
          <w:r>
            <w:rPr>
              <w:color w:val="auto"/>
              <w:highlight w:val="none"/>
            </w:rPr>
            <w:instrText xml:space="preserve"> HYPERLINK \l "_Toc108168982" </w:instrText>
          </w:r>
          <w:r>
            <w:rPr>
              <w:color w:val="auto"/>
              <w:highlight w:val="none"/>
            </w:rPr>
            <w:fldChar w:fldCharType="separate"/>
          </w:r>
          <w:r>
            <w:rPr>
              <w:rStyle w:val="32"/>
              <w:rFonts w:hint="eastAsia" w:asciiTheme="minorEastAsia" w:hAnsiTheme="minorEastAsia" w:eastAsiaTheme="minorEastAsia"/>
              <w:color w:val="auto"/>
              <w:sz w:val="24"/>
              <w:szCs w:val="24"/>
              <w:highlight w:val="none"/>
            </w:rPr>
            <w:t>第一章招标公告</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_Toc108168982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19"/>
            <w:tabs>
              <w:tab w:val="right" w:leader="dot" w:pos="8608"/>
            </w:tabs>
            <w:spacing w:line="360" w:lineRule="auto"/>
            <w:rPr>
              <w:rFonts w:asciiTheme="minorEastAsia" w:hAnsiTheme="minorEastAsia" w:eastAsiaTheme="minorEastAsia" w:cstheme="minorBidi"/>
              <w:color w:val="auto"/>
              <w:sz w:val="24"/>
              <w:szCs w:val="24"/>
              <w:highlight w:val="none"/>
            </w:rPr>
          </w:pPr>
          <w:r>
            <w:rPr>
              <w:color w:val="auto"/>
              <w:highlight w:val="none"/>
            </w:rPr>
            <w:fldChar w:fldCharType="begin"/>
          </w:r>
          <w:r>
            <w:rPr>
              <w:color w:val="auto"/>
              <w:highlight w:val="none"/>
            </w:rPr>
            <w:instrText xml:space="preserve"> HYPERLINK \l "_Toc108168983" </w:instrText>
          </w:r>
          <w:r>
            <w:rPr>
              <w:color w:val="auto"/>
              <w:highlight w:val="none"/>
            </w:rPr>
            <w:fldChar w:fldCharType="separate"/>
          </w:r>
          <w:r>
            <w:rPr>
              <w:rStyle w:val="32"/>
              <w:rFonts w:hint="eastAsia" w:asciiTheme="minorEastAsia" w:hAnsiTheme="minorEastAsia" w:eastAsiaTheme="minorEastAsia"/>
              <w:color w:val="auto"/>
              <w:kern w:val="0"/>
              <w:sz w:val="24"/>
              <w:szCs w:val="24"/>
              <w:highlight w:val="none"/>
            </w:rPr>
            <w:t>第二章投标供应商须知</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_Toc108168983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19"/>
            <w:tabs>
              <w:tab w:val="right" w:leader="dot" w:pos="8608"/>
            </w:tabs>
            <w:spacing w:line="360" w:lineRule="auto"/>
            <w:rPr>
              <w:rFonts w:asciiTheme="minorEastAsia" w:hAnsiTheme="minorEastAsia" w:eastAsiaTheme="minorEastAsia" w:cstheme="minorBidi"/>
              <w:color w:val="auto"/>
              <w:sz w:val="24"/>
              <w:szCs w:val="24"/>
              <w:highlight w:val="none"/>
            </w:rPr>
          </w:pPr>
          <w:r>
            <w:rPr>
              <w:color w:val="auto"/>
              <w:highlight w:val="none"/>
            </w:rPr>
            <w:fldChar w:fldCharType="begin"/>
          </w:r>
          <w:r>
            <w:rPr>
              <w:color w:val="auto"/>
              <w:highlight w:val="none"/>
            </w:rPr>
            <w:instrText xml:space="preserve"> HYPERLINK \l "_Toc108168984" </w:instrText>
          </w:r>
          <w:r>
            <w:rPr>
              <w:color w:val="auto"/>
              <w:highlight w:val="none"/>
            </w:rPr>
            <w:fldChar w:fldCharType="separate"/>
          </w:r>
          <w:r>
            <w:rPr>
              <w:rStyle w:val="32"/>
              <w:rFonts w:hint="eastAsia" w:asciiTheme="minorEastAsia" w:hAnsiTheme="minorEastAsia" w:eastAsiaTheme="minorEastAsia"/>
              <w:color w:val="auto"/>
              <w:sz w:val="24"/>
              <w:szCs w:val="24"/>
              <w:highlight w:val="none"/>
            </w:rPr>
            <w:t>第三章评标办法（综合评分法）</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_Toc108168984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30</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19"/>
            <w:tabs>
              <w:tab w:val="right" w:leader="dot" w:pos="8608"/>
            </w:tabs>
            <w:spacing w:line="360" w:lineRule="auto"/>
            <w:rPr>
              <w:rFonts w:asciiTheme="minorEastAsia" w:hAnsiTheme="minorEastAsia" w:eastAsiaTheme="minorEastAsia" w:cstheme="minorBidi"/>
              <w:color w:val="auto"/>
              <w:sz w:val="24"/>
              <w:szCs w:val="24"/>
              <w:highlight w:val="none"/>
            </w:rPr>
          </w:pPr>
          <w:r>
            <w:rPr>
              <w:color w:val="auto"/>
              <w:highlight w:val="none"/>
            </w:rPr>
            <w:fldChar w:fldCharType="begin"/>
          </w:r>
          <w:r>
            <w:rPr>
              <w:color w:val="auto"/>
              <w:highlight w:val="none"/>
            </w:rPr>
            <w:instrText xml:space="preserve"> HYPERLINK \l "_Toc108168985" </w:instrText>
          </w:r>
          <w:r>
            <w:rPr>
              <w:color w:val="auto"/>
              <w:highlight w:val="none"/>
            </w:rPr>
            <w:fldChar w:fldCharType="separate"/>
          </w:r>
          <w:r>
            <w:rPr>
              <w:rStyle w:val="32"/>
              <w:rFonts w:hint="eastAsia" w:cs="宋体" w:asciiTheme="minorEastAsia" w:hAnsiTheme="minorEastAsia" w:eastAsiaTheme="minorEastAsia"/>
              <w:color w:val="auto"/>
              <w:sz w:val="24"/>
              <w:szCs w:val="24"/>
              <w:highlight w:val="none"/>
            </w:rPr>
            <w:t>第四章合同条款</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_Toc108168985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38</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19"/>
            <w:tabs>
              <w:tab w:val="right" w:leader="dot" w:pos="8608"/>
            </w:tabs>
            <w:spacing w:line="360" w:lineRule="auto"/>
            <w:rPr>
              <w:rFonts w:asciiTheme="minorEastAsia" w:hAnsiTheme="minorEastAsia" w:eastAsiaTheme="minorEastAsia" w:cstheme="minorBidi"/>
              <w:color w:val="auto"/>
              <w:sz w:val="24"/>
              <w:szCs w:val="24"/>
              <w:highlight w:val="none"/>
            </w:rPr>
          </w:pPr>
          <w:r>
            <w:rPr>
              <w:color w:val="auto"/>
              <w:highlight w:val="none"/>
            </w:rPr>
            <w:fldChar w:fldCharType="begin"/>
          </w:r>
          <w:r>
            <w:rPr>
              <w:color w:val="auto"/>
              <w:highlight w:val="none"/>
            </w:rPr>
            <w:instrText xml:space="preserve"> HYPERLINK \l "_Toc108168986" </w:instrText>
          </w:r>
          <w:r>
            <w:rPr>
              <w:color w:val="auto"/>
              <w:highlight w:val="none"/>
            </w:rPr>
            <w:fldChar w:fldCharType="separate"/>
          </w:r>
          <w:r>
            <w:rPr>
              <w:rStyle w:val="32"/>
              <w:rFonts w:hint="eastAsia" w:cs="宋体" w:asciiTheme="minorEastAsia" w:hAnsiTheme="minorEastAsia" w:eastAsiaTheme="minorEastAsia"/>
              <w:color w:val="auto"/>
              <w:sz w:val="24"/>
              <w:szCs w:val="24"/>
              <w:highlight w:val="none"/>
            </w:rPr>
            <w:t>第五章招标内容</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_Toc108168986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45</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19"/>
            <w:tabs>
              <w:tab w:val="right" w:leader="dot" w:pos="8608"/>
            </w:tabs>
            <w:spacing w:line="360" w:lineRule="auto"/>
            <w:rPr>
              <w:rFonts w:asciiTheme="minorEastAsia" w:hAnsiTheme="minorEastAsia"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"_Toc108168987" </w:instrText>
          </w:r>
          <w:r>
            <w:rPr>
              <w:color w:val="auto"/>
              <w:highlight w:val="none"/>
            </w:rPr>
            <w:fldChar w:fldCharType="separate"/>
          </w:r>
          <w:r>
            <w:rPr>
              <w:rStyle w:val="32"/>
              <w:rFonts w:hint="eastAsia" w:cs="宋体" w:asciiTheme="minorEastAsia" w:hAnsiTheme="minorEastAsia" w:eastAsiaTheme="minorEastAsia"/>
              <w:color w:val="auto"/>
              <w:sz w:val="24"/>
              <w:szCs w:val="24"/>
              <w:highlight w:val="none"/>
            </w:rPr>
            <w:t>第六章投标文件格式</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_Toc108168987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73</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3"/>
            <w:spacing w:before="0" w:after="0" w:line="360" w:lineRule="auto"/>
            <w:jc w:val="center"/>
            <w:rPr>
              <w:rFonts w:asciiTheme="minorEastAsia" w:hAnsiTheme="minorEastAsia" w:eastAsiaTheme="minorEastAsia"/>
              <w:color w:val="auto"/>
              <w:sz w:val="28"/>
              <w:szCs w:val="28"/>
              <w:highlight w:val="none"/>
            </w:rPr>
            <w:sectPr>
              <w:pgSz w:w="11906" w:h="16838"/>
              <w:pgMar w:top="1361" w:right="1644" w:bottom="1361" w:left="1644" w:header="720" w:footer="720" w:gutter="0"/>
              <w:cols w:space="720" w:num="1"/>
              <w:docGrid w:type="lines" w:linePitch="312" w:charSpace="0"/>
            </w:sectPr>
          </w:pPr>
          <w:r>
            <w:rPr>
              <w:rFonts w:asciiTheme="minorEastAsia" w:hAnsiTheme="minorEastAsia" w:eastAsiaTheme="minorEastAsia"/>
              <w:color w:val="auto"/>
              <w:sz w:val="28"/>
              <w:szCs w:val="28"/>
              <w:highlight w:val="none"/>
            </w:rPr>
            <w:fldChar w:fldCharType="end"/>
          </w:r>
        </w:p>
      </w:sdtContent>
    </w:sdt>
    <w:p>
      <w:pPr>
        <w:pStyle w:val="3"/>
        <w:jc w:val="center"/>
        <w:rPr>
          <w:color w:val="auto"/>
          <w:highlight w:val="none"/>
        </w:rPr>
      </w:pPr>
      <w:bookmarkStart w:id="0" w:name="_Toc108168982"/>
      <w:bookmarkStart w:id="1" w:name="_Hlk120182483"/>
      <w:r>
        <w:rPr>
          <w:rFonts w:hint="eastAsia"/>
          <w:color w:val="auto"/>
          <w:sz w:val="32"/>
          <w:highlight w:val="none"/>
        </w:rPr>
        <w:t>第一章招标公告</w:t>
      </w:r>
      <w:bookmarkEnd w:id="0"/>
    </w:p>
    <w:bookmarkEnd w:id="1"/>
    <w:p>
      <w:pPr>
        <w:pStyle w:val="21"/>
        <w:wordWrap w:val="0"/>
        <w:spacing w:before="0" w:beforeAutospacing="0" w:after="0" w:afterAutospacing="0" w:line="400" w:lineRule="exact"/>
        <w:jc w:val="both"/>
        <w:rPr>
          <w:rFonts w:asciiTheme="minorEastAsia" w:hAnsiTheme="minorEastAsia" w:eastAsiaTheme="minorEastAsia"/>
          <w:bCs/>
          <w:color w:val="auto"/>
          <w:sz w:val="21"/>
          <w:szCs w:val="21"/>
          <w:highlight w:val="none"/>
        </w:rPr>
      </w:pPr>
      <w:r>
        <w:rPr>
          <w:rStyle w:val="28"/>
          <w:rFonts w:asciiTheme="minorEastAsia" w:hAnsiTheme="minorEastAsia" w:eastAsiaTheme="minorEastAsia"/>
          <w:color w:val="auto"/>
          <w:sz w:val="21"/>
          <w:szCs w:val="21"/>
          <w:highlight w:val="none"/>
          <w:shd w:val="clear" w:color="auto" w:fill="FFFFFF"/>
        </w:rPr>
        <w:t>项目概况</w:t>
      </w:r>
    </w:p>
    <w:p>
      <w:pPr>
        <w:pStyle w:val="21"/>
        <w:wordWrap w:val="0"/>
        <w:spacing w:before="0" w:beforeAutospacing="0" w:after="0" w:afterAutospacing="0" w:line="400" w:lineRule="exact"/>
        <w:ind w:firstLine="480"/>
        <w:jc w:val="both"/>
        <w:rPr>
          <w:rFonts w:asciiTheme="minorEastAsia" w:hAnsiTheme="minorEastAsia"/>
          <w:color w:val="auto"/>
          <w:sz w:val="21"/>
          <w:szCs w:val="21"/>
          <w:highlight w:val="none"/>
        </w:rPr>
      </w:pPr>
      <w:r>
        <w:rPr>
          <w:rFonts w:cs="微软雅黑" w:asciiTheme="minorEastAsia" w:hAnsiTheme="minorEastAsia"/>
          <w:color w:val="auto"/>
          <w:sz w:val="21"/>
          <w:szCs w:val="21"/>
          <w:highlight w:val="none"/>
          <w:shd w:val="clear" w:color="auto" w:fill="FFFFFF"/>
        </w:rPr>
        <w:t>儿康中心三维步态评估与训练系统等一批设备采购项目</w:t>
      </w:r>
      <w:r>
        <w:rPr>
          <w:rFonts w:hint="eastAsia" w:cs="微软雅黑" w:asciiTheme="minorEastAsia" w:hAnsiTheme="minorEastAsia"/>
          <w:color w:val="auto"/>
          <w:sz w:val="21"/>
          <w:szCs w:val="21"/>
          <w:highlight w:val="none"/>
          <w:shd w:val="clear" w:color="auto" w:fill="FFFFFF"/>
        </w:rPr>
        <w:t>招标项目的潜在投标人应在陕西省西安市和平路108号佳腾大厦十层陕西省招标有限责任公司招标一部（法定节假日除外）获取招标文件，并于2022年12月19日 14时00分（北京时间）前递交投标文件。</w:t>
      </w:r>
    </w:p>
    <w:p>
      <w:pPr>
        <w:pStyle w:val="6"/>
        <w:widowControl/>
        <w:shd w:val="clear" w:color="auto" w:fill="FFFFFF"/>
        <w:wordWrap w:val="0"/>
        <w:spacing w:before="0" w:after="0" w:line="400" w:lineRule="exact"/>
        <w:rPr>
          <w:rFonts w:cs="微软雅黑" w:asciiTheme="minorEastAsia" w:hAnsiTheme="minorEastAsia" w:eastAsiaTheme="minorEastAsia"/>
          <w:b w:val="0"/>
          <w:bCs w:val="0"/>
          <w:color w:val="auto"/>
          <w:sz w:val="21"/>
          <w:szCs w:val="21"/>
          <w:highlight w:val="none"/>
        </w:rPr>
      </w:pPr>
      <w:r>
        <w:rPr>
          <w:rStyle w:val="28"/>
          <w:rFonts w:cs="微软雅黑" w:asciiTheme="minorEastAsia" w:hAnsiTheme="minorEastAsia" w:eastAsiaTheme="minorEastAsia"/>
          <w:b w:val="0"/>
          <w:bCs w:val="0"/>
          <w:color w:val="auto"/>
          <w:sz w:val="21"/>
          <w:szCs w:val="21"/>
          <w:highlight w:val="none"/>
          <w:shd w:val="clear" w:color="auto" w:fill="FFFFFF"/>
        </w:rPr>
        <w:t>一、项目基本情况</w:t>
      </w:r>
    </w:p>
    <w:p>
      <w:pPr>
        <w:pStyle w:val="21"/>
        <w:shd w:val="clear" w:color="auto" w:fill="FFFFFF"/>
        <w:wordWrap w:val="0"/>
        <w:spacing w:before="0" w:beforeAutospacing="0" w:after="0" w:afterAutospacing="0" w:line="400" w:lineRule="exact"/>
        <w:ind w:firstLine="480"/>
        <w:jc w:val="both"/>
        <w:rPr>
          <w:rFonts w:cs="微软雅黑" w:asciiTheme="minorEastAsia" w:hAnsiTheme="minorEastAsia"/>
          <w:color w:val="auto"/>
          <w:sz w:val="21"/>
          <w:szCs w:val="21"/>
          <w:highlight w:val="none"/>
        </w:rPr>
      </w:pPr>
      <w:r>
        <w:rPr>
          <w:rFonts w:hint="eastAsia" w:cs="微软雅黑" w:asciiTheme="minorEastAsia" w:hAnsiTheme="minorEastAsia"/>
          <w:color w:val="auto"/>
          <w:sz w:val="21"/>
          <w:szCs w:val="21"/>
          <w:highlight w:val="none"/>
          <w:shd w:val="clear" w:color="auto" w:fill="FFFFFF"/>
        </w:rPr>
        <w:t>项目编号：SZ2022-GP-SC-219H</w:t>
      </w:r>
    </w:p>
    <w:p>
      <w:pPr>
        <w:pStyle w:val="21"/>
        <w:shd w:val="clear" w:color="auto" w:fill="FFFFFF"/>
        <w:wordWrap w:val="0"/>
        <w:spacing w:before="0" w:beforeAutospacing="0" w:after="0" w:afterAutospacing="0" w:line="400" w:lineRule="exact"/>
        <w:ind w:firstLine="480"/>
        <w:jc w:val="both"/>
        <w:rPr>
          <w:rFonts w:cs="微软雅黑" w:asciiTheme="minorEastAsia" w:hAnsiTheme="minorEastAsia"/>
          <w:color w:val="auto"/>
          <w:sz w:val="21"/>
          <w:szCs w:val="21"/>
          <w:highlight w:val="none"/>
        </w:rPr>
      </w:pPr>
      <w:r>
        <w:rPr>
          <w:rFonts w:hint="eastAsia" w:cs="微软雅黑" w:asciiTheme="minorEastAsia" w:hAnsiTheme="minorEastAsia"/>
          <w:color w:val="auto"/>
          <w:sz w:val="21"/>
          <w:szCs w:val="21"/>
          <w:highlight w:val="none"/>
          <w:shd w:val="clear" w:color="auto" w:fill="FFFFFF"/>
        </w:rPr>
        <w:t>项目名称：儿康中心三维步态评估与训练系统等一批设备采购项目</w:t>
      </w:r>
    </w:p>
    <w:p>
      <w:pPr>
        <w:pStyle w:val="21"/>
        <w:shd w:val="clear" w:color="auto" w:fill="FFFFFF"/>
        <w:wordWrap w:val="0"/>
        <w:spacing w:before="0" w:beforeAutospacing="0" w:after="0" w:afterAutospacing="0" w:line="400" w:lineRule="exact"/>
        <w:ind w:firstLine="480"/>
        <w:jc w:val="both"/>
        <w:rPr>
          <w:rFonts w:cs="微软雅黑" w:asciiTheme="minorEastAsia" w:hAnsiTheme="minorEastAsia"/>
          <w:color w:val="auto"/>
          <w:sz w:val="21"/>
          <w:szCs w:val="21"/>
          <w:highlight w:val="none"/>
        </w:rPr>
      </w:pPr>
      <w:r>
        <w:rPr>
          <w:rFonts w:hint="eastAsia" w:cs="微软雅黑" w:asciiTheme="minorEastAsia" w:hAnsiTheme="minorEastAsia"/>
          <w:color w:val="auto"/>
          <w:sz w:val="21"/>
          <w:szCs w:val="21"/>
          <w:highlight w:val="none"/>
          <w:shd w:val="clear" w:color="auto" w:fill="FFFFFF"/>
        </w:rPr>
        <w:t>采购方式：公开招标</w:t>
      </w:r>
    </w:p>
    <w:p>
      <w:pPr>
        <w:pStyle w:val="21"/>
        <w:shd w:val="clear" w:color="auto" w:fill="FFFFFF"/>
        <w:wordWrap w:val="0"/>
        <w:spacing w:before="0" w:beforeAutospacing="0" w:after="0" w:afterAutospacing="0" w:line="400" w:lineRule="exact"/>
        <w:ind w:firstLine="480"/>
        <w:jc w:val="both"/>
        <w:rPr>
          <w:rFonts w:cs="微软雅黑" w:asciiTheme="minorEastAsia" w:hAnsiTheme="minorEastAsia"/>
          <w:color w:val="auto"/>
          <w:sz w:val="21"/>
          <w:szCs w:val="21"/>
          <w:highlight w:val="none"/>
        </w:rPr>
      </w:pPr>
      <w:r>
        <w:rPr>
          <w:rFonts w:hint="eastAsia" w:cs="微软雅黑" w:asciiTheme="minorEastAsia" w:hAnsiTheme="minorEastAsia"/>
          <w:color w:val="auto"/>
          <w:sz w:val="21"/>
          <w:szCs w:val="21"/>
          <w:highlight w:val="none"/>
          <w:shd w:val="clear" w:color="auto" w:fill="FFFFFF"/>
        </w:rPr>
        <w:t>预算金额：4,080,000.00元</w:t>
      </w:r>
    </w:p>
    <w:p>
      <w:pPr>
        <w:pStyle w:val="21"/>
        <w:shd w:val="clear" w:color="auto" w:fill="FFFFFF"/>
        <w:wordWrap w:val="0"/>
        <w:spacing w:before="0" w:beforeAutospacing="0" w:after="0" w:afterAutospacing="0" w:line="400" w:lineRule="exact"/>
        <w:ind w:firstLine="480"/>
        <w:jc w:val="both"/>
        <w:rPr>
          <w:rFonts w:cs="微软雅黑" w:asciiTheme="minorEastAsia" w:hAnsiTheme="minorEastAsia"/>
          <w:color w:val="auto"/>
          <w:sz w:val="21"/>
          <w:szCs w:val="21"/>
          <w:highlight w:val="none"/>
        </w:rPr>
      </w:pPr>
      <w:r>
        <w:rPr>
          <w:rFonts w:hint="eastAsia" w:cs="微软雅黑" w:asciiTheme="minorEastAsia" w:hAnsiTheme="minorEastAsia"/>
          <w:color w:val="auto"/>
          <w:sz w:val="21"/>
          <w:szCs w:val="21"/>
          <w:highlight w:val="none"/>
          <w:shd w:val="clear" w:color="auto" w:fill="FFFFFF"/>
        </w:rPr>
        <w:t>采购需求：</w:t>
      </w:r>
    </w:p>
    <w:p>
      <w:pPr>
        <w:pStyle w:val="21"/>
        <w:wordWrap w:val="0"/>
        <w:spacing w:before="0" w:beforeAutospacing="0" w:after="0" w:afterAutospacing="0" w:line="400" w:lineRule="exact"/>
        <w:ind w:firstLine="480"/>
        <w:jc w:val="both"/>
        <w:rPr>
          <w:rFonts w:asciiTheme="minorEastAsia" w:hAnsiTheme="minorEastAsia"/>
          <w:color w:val="auto"/>
          <w:sz w:val="21"/>
          <w:szCs w:val="21"/>
          <w:highlight w:val="none"/>
        </w:rPr>
      </w:pPr>
      <w:r>
        <w:rPr>
          <w:rFonts w:hint="eastAsia" w:cs="微软雅黑" w:asciiTheme="minorEastAsia" w:hAnsiTheme="minorEastAsia"/>
          <w:color w:val="auto"/>
          <w:sz w:val="21"/>
          <w:szCs w:val="21"/>
          <w:highlight w:val="none"/>
          <w:shd w:val="clear" w:color="auto" w:fill="FFFFFF"/>
        </w:rPr>
        <w:t>合同包1(儿康中心三维步态评估与训练系统等一批设备采购项目):</w:t>
      </w:r>
    </w:p>
    <w:p>
      <w:pPr>
        <w:pStyle w:val="21"/>
        <w:wordWrap w:val="0"/>
        <w:spacing w:before="0" w:beforeAutospacing="0" w:after="0" w:afterAutospacing="0" w:line="400" w:lineRule="exact"/>
        <w:ind w:firstLine="525" w:firstLineChars="250"/>
        <w:jc w:val="both"/>
        <w:rPr>
          <w:rFonts w:asciiTheme="minorEastAsia" w:hAnsiTheme="minorEastAsia"/>
          <w:color w:val="auto"/>
          <w:sz w:val="21"/>
          <w:szCs w:val="21"/>
          <w:highlight w:val="none"/>
        </w:rPr>
      </w:pPr>
      <w:r>
        <w:rPr>
          <w:rFonts w:hint="eastAsia" w:cs="微软雅黑" w:asciiTheme="minorEastAsia" w:hAnsiTheme="minorEastAsia"/>
          <w:color w:val="auto"/>
          <w:sz w:val="21"/>
          <w:szCs w:val="21"/>
          <w:highlight w:val="none"/>
          <w:shd w:val="clear" w:color="auto" w:fill="FFFFFF"/>
        </w:rPr>
        <w:t>合同包预算金额：4,080,000.00元</w:t>
      </w:r>
    </w:p>
    <w:p>
      <w:pPr>
        <w:pStyle w:val="21"/>
        <w:wordWrap w:val="0"/>
        <w:spacing w:before="0" w:beforeAutospacing="0" w:after="0" w:afterAutospacing="0" w:line="400" w:lineRule="exact"/>
        <w:ind w:firstLine="525" w:firstLineChars="250"/>
        <w:jc w:val="both"/>
        <w:rPr>
          <w:rFonts w:asciiTheme="minorEastAsia" w:hAnsiTheme="minorEastAsia"/>
          <w:color w:val="auto"/>
          <w:sz w:val="21"/>
          <w:szCs w:val="21"/>
          <w:highlight w:val="none"/>
        </w:rPr>
      </w:pPr>
      <w:r>
        <w:rPr>
          <w:rFonts w:hint="eastAsia" w:cs="微软雅黑" w:asciiTheme="minorEastAsia" w:hAnsiTheme="minorEastAsia"/>
          <w:color w:val="auto"/>
          <w:sz w:val="21"/>
          <w:szCs w:val="21"/>
          <w:highlight w:val="none"/>
          <w:shd w:val="clear" w:color="auto" w:fill="FFFFFF"/>
        </w:rPr>
        <w:t>合同包最高限价：4,080,000.00元</w:t>
      </w:r>
    </w:p>
    <w:tbl>
      <w:tblPr>
        <w:tblStyle w:val="25"/>
        <w:tblW w:w="980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90"/>
        <w:gridCol w:w="1146"/>
        <w:gridCol w:w="2217"/>
        <w:gridCol w:w="1101"/>
        <w:gridCol w:w="1410"/>
        <w:gridCol w:w="1500"/>
        <w:gridCol w:w="15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cs="微软雅黑" w:asciiTheme="minorEastAsia" w:hAnsiTheme="minorEastAsia"/>
                <w:color w:val="auto"/>
                <w:kern w:val="0"/>
                <w:highlight w:val="none"/>
                <w:shd w:val="clear" w:color="auto" w:fill="FFFFFF"/>
              </w:rPr>
            </w:pPr>
            <w:r>
              <w:rPr>
                <w:rFonts w:cs="微软雅黑" w:asciiTheme="minorEastAsia" w:hAnsiTheme="minorEastAsia"/>
                <w:color w:val="auto"/>
                <w:kern w:val="0"/>
                <w:highlight w:val="none"/>
                <w:shd w:val="clear" w:color="auto" w:fill="FFFFFF"/>
              </w:rPr>
              <w:t>品目号</w:t>
            </w:r>
          </w:p>
        </w:tc>
        <w:tc>
          <w:tcPr>
            <w:tcW w:w="11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cs="微软雅黑" w:asciiTheme="minorEastAsia" w:hAnsiTheme="minorEastAsia"/>
                <w:color w:val="auto"/>
                <w:kern w:val="0"/>
                <w:highlight w:val="none"/>
                <w:shd w:val="clear" w:color="auto" w:fill="FFFFFF"/>
              </w:rPr>
            </w:pPr>
            <w:r>
              <w:rPr>
                <w:rFonts w:cs="微软雅黑" w:asciiTheme="minorEastAsia" w:hAnsiTheme="minorEastAsia"/>
                <w:color w:val="auto"/>
                <w:kern w:val="0"/>
                <w:highlight w:val="none"/>
                <w:shd w:val="clear" w:color="auto" w:fill="FFFFFF"/>
              </w:rPr>
              <w:t>品目名称</w:t>
            </w:r>
          </w:p>
        </w:tc>
        <w:tc>
          <w:tcPr>
            <w:tcW w:w="22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cs="微软雅黑" w:asciiTheme="minorEastAsia" w:hAnsiTheme="minorEastAsia"/>
                <w:color w:val="auto"/>
                <w:kern w:val="0"/>
                <w:highlight w:val="none"/>
                <w:shd w:val="clear" w:color="auto" w:fill="FFFFFF"/>
              </w:rPr>
            </w:pPr>
            <w:r>
              <w:rPr>
                <w:rFonts w:cs="微软雅黑" w:asciiTheme="minorEastAsia" w:hAnsiTheme="minorEastAsia"/>
                <w:color w:val="auto"/>
                <w:kern w:val="0"/>
                <w:highlight w:val="none"/>
                <w:shd w:val="clear" w:color="auto" w:fill="FFFFFF"/>
              </w:rPr>
              <w:t>采购标的</w:t>
            </w:r>
          </w:p>
        </w:tc>
        <w:tc>
          <w:tcPr>
            <w:tcW w:w="11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cs="微软雅黑" w:asciiTheme="minorEastAsia" w:hAnsiTheme="minorEastAsia"/>
                <w:color w:val="auto"/>
                <w:kern w:val="0"/>
                <w:highlight w:val="none"/>
                <w:shd w:val="clear" w:color="auto" w:fill="FFFFFF"/>
              </w:rPr>
            </w:pPr>
            <w:r>
              <w:rPr>
                <w:rFonts w:cs="微软雅黑" w:asciiTheme="minorEastAsia" w:hAnsiTheme="minorEastAsia"/>
                <w:color w:val="auto"/>
                <w:kern w:val="0"/>
                <w:highlight w:val="none"/>
                <w:shd w:val="clear" w:color="auto" w:fill="FFFFFF"/>
              </w:rPr>
              <w:t>数量</w:t>
            </w:r>
            <w:r>
              <w:rPr>
                <w:rFonts w:hint="eastAsia" w:cs="微软雅黑" w:asciiTheme="minorEastAsia" w:hAnsiTheme="minorEastAsia"/>
                <w:color w:val="auto"/>
                <w:kern w:val="0"/>
                <w:highlight w:val="none"/>
                <w:shd w:val="clear" w:color="auto" w:fill="FFFFFF"/>
              </w:rPr>
              <w:t xml:space="preserve">  </w:t>
            </w:r>
            <w:r>
              <w:rPr>
                <w:rFonts w:cs="微软雅黑" w:asciiTheme="minorEastAsia" w:hAnsiTheme="minorEastAsia"/>
                <w:color w:val="auto"/>
                <w:kern w:val="0"/>
                <w:highlight w:val="none"/>
                <w:shd w:val="clear" w:color="auto" w:fill="FFFFFF"/>
              </w:rPr>
              <w:t>（单位）</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cs="微软雅黑" w:asciiTheme="minorEastAsia" w:hAnsiTheme="minorEastAsia"/>
                <w:color w:val="auto"/>
                <w:kern w:val="0"/>
                <w:highlight w:val="none"/>
                <w:shd w:val="clear" w:color="auto" w:fill="FFFFFF"/>
              </w:rPr>
            </w:pPr>
            <w:r>
              <w:rPr>
                <w:rFonts w:cs="微软雅黑" w:asciiTheme="minorEastAsia" w:hAnsiTheme="minorEastAsia"/>
                <w:color w:val="auto"/>
                <w:kern w:val="0"/>
                <w:highlight w:val="none"/>
                <w:shd w:val="clear" w:color="auto" w:fill="FFFFFF"/>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cs="微软雅黑" w:asciiTheme="minorEastAsia" w:hAnsiTheme="minorEastAsia"/>
                <w:color w:val="auto"/>
                <w:kern w:val="0"/>
                <w:highlight w:val="none"/>
                <w:shd w:val="clear" w:color="auto" w:fill="FFFFFF"/>
              </w:rPr>
            </w:pPr>
            <w:r>
              <w:rPr>
                <w:rFonts w:cs="微软雅黑" w:asciiTheme="minorEastAsia" w:hAnsiTheme="minorEastAsia"/>
                <w:color w:val="auto"/>
                <w:kern w:val="0"/>
                <w:highlight w:val="none"/>
                <w:shd w:val="clear" w:color="auto" w:fill="FFFFFF"/>
              </w:rPr>
              <w:t>品目预算(元)</w:t>
            </w:r>
          </w:p>
        </w:tc>
        <w:tc>
          <w:tcPr>
            <w:tcW w:w="15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cs="微软雅黑" w:asciiTheme="minorEastAsia" w:hAnsiTheme="minorEastAsia"/>
                <w:color w:val="auto"/>
                <w:kern w:val="0"/>
                <w:highlight w:val="none"/>
                <w:shd w:val="clear" w:color="auto" w:fill="FFFFFF"/>
              </w:rPr>
            </w:pPr>
            <w:r>
              <w:rPr>
                <w:rFonts w:cs="微软雅黑" w:asciiTheme="minorEastAsia" w:hAnsiTheme="minorEastAsia"/>
                <w:color w:val="auto"/>
                <w:kern w:val="0"/>
                <w:highlight w:val="none"/>
                <w:shd w:val="clear" w:color="auto" w:fill="FFFFFF"/>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color w:val="auto"/>
                <w:highlight w:val="none"/>
              </w:rPr>
            </w:pPr>
            <w:r>
              <w:rPr>
                <w:rFonts w:ascii="宋体" w:hAnsi="宋体" w:cs="宋体"/>
                <w:color w:val="auto"/>
                <w:kern w:val="0"/>
                <w:highlight w:val="none"/>
              </w:rPr>
              <w:t>1-1</w:t>
            </w:r>
          </w:p>
        </w:tc>
        <w:tc>
          <w:tcPr>
            <w:tcW w:w="11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color w:val="auto"/>
                <w:highlight w:val="none"/>
              </w:rPr>
            </w:pPr>
            <w:r>
              <w:rPr>
                <w:rFonts w:ascii="宋体" w:hAnsi="宋体" w:cs="宋体"/>
                <w:color w:val="auto"/>
                <w:kern w:val="0"/>
                <w:highlight w:val="none"/>
              </w:rPr>
              <w:t>其他医疗设备</w:t>
            </w:r>
          </w:p>
        </w:tc>
        <w:tc>
          <w:tcPr>
            <w:tcW w:w="22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color w:val="auto"/>
                <w:highlight w:val="none"/>
              </w:rPr>
            </w:pPr>
            <w:r>
              <w:rPr>
                <w:rFonts w:ascii="宋体" w:hAnsi="宋体" w:cs="宋体"/>
                <w:color w:val="auto"/>
                <w:kern w:val="0"/>
                <w:highlight w:val="none"/>
              </w:rPr>
              <w:t>儿康中心三维步态评估与训练系统等一批设备</w:t>
            </w:r>
          </w:p>
        </w:tc>
        <w:tc>
          <w:tcPr>
            <w:tcW w:w="11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color w:val="auto"/>
                <w:highlight w:val="none"/>
              </w:rPr>
            </w:pPr>
            <w:r>
              <w:rPr>
                <w:rFonts w:ascii="宋体" w:hAnsi="宋体" w:cs="宋体"/>
                <w:color w:val="auto"/>
                <w:kern w:val="0"/>
                <w:highlight w:val="none"/>
              </w:rPr>
              <w:t>1(批)</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color w:val="auto"/>
                <w:highlight w:val="none"/>
              </w:rPr>
            </w:pPr>
            <w:r>
              <w:rPr>
                <w:rFonts w:ascii="宋体" w:hAnsi="宋体" w:cs="宋体"/>
                <w:color w:val="auto"/>
                <w:kern w:val="0"/>
                <w:highlight w:val="none"/>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right"/>
              <w:rPr>
                <w:color w:val="auto"/>
                <w:highlight w:val="none"/>
              </w:rPr>
            </w:pPr>
            <w:r>
              <w:rPr>
                <w:rFonts w:ascii="宋体" w:hAnsi="宋体" w:cs="宋体"/>
                <w:color w:val="auto"/>
                <w:kern w:val="0"/>
                <w:highlight w:val="none"/>
              </w:rPr>
              <w:t>4,080,000.00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right"/>
              <w:rPr>
                <w:color w:val="auto"/>
                <w:highlight w:val="none"/>
              </w:rPr>
            </w:pPr>
            <w:r>
              <w:rPr>
                <w:rFonts w:ascii="宋体" w:hAnsi="宋体" w:cs="宋体"/>
                <w:color w:val="auto"/>
                <w:kern w:val="0"/>
                <w:highlight w:val="none"/>
              </w:rPr>
              <w:t>4,080,000.00</w:t>
            </w:r>
          </w:p>
        </w:tc>
      </w:tr>
    </w:tbl>
    <w:p>
      <w:pPr>
        <w:pStyle w:val="21"/>
        <w:wordWrap w:val="0"/>
        <w:spacing w:before="0" w:beforeAutospacing="0" w:after="0" w:afterAutospacing="0" w:line="400" w:lineRule="exact"/>
        <w:ind w:firstLine="630"/>
        <w:jc w:val="both"/>
        <w:rPr>
          <w:rFonts w:cs="微软雅黑" w:asciiTheme="minorEastAsia" w:hAnsiTheme="minorEastAsia"/>
          <w:color w:val="auto"/>
          <w:sz w:val="21"/>
          <w:szCs w:val="21"/>
          <w:highlight w:val="none"/>
          <w:shd w:val="clear" w:color="auto" w:fill="FFFFFF"/>
        </w:rPr>
      </w:pPr>
      <w:r>
        <w:rPr>
          <w:rFonts w:hint="eastAsia" w:cs="微软雅黑" w:asciiTheme="minorEastAsia" w:hAnsiTheme="minorEastAsia"/>
          <w:color w:val="auto"/>
          <w:sz w:val="21"/>
          <w:szCs w:val="21"/>
          <w:highlight w:val="none"/>
          <w:shd w:val="clear" w:color="auto" w:fill="FFFFFF"/>
        </w:rPr>
        <w:t>本合同包不接受联合体投标</w:t>
      </w:r>
    </w:p>
    <w:p>
      <w:pPr>
        <w:pStyle w:val="21"/>
        <w:wordWrap w:val="0"/>
        <w:spacing w:before="0" w:beforeAutospacing="0" w:after="0" w:afterAutospacing="0" w:line="400" w:lineRule="exact"/>
        <w:ind w:firstLine="630"/>
        <w:jc w:val="both"/>
        <w:rPr>
          <w:rFonts w:cs="微软雅黑" w:asciiTheme="minorEastAsia" w:hAnsiTheme="minorEastAsia"/>
          <w:color w:val="auto"/>
          <w:sz w:val="21"/>
          <w:szCs w:val="21"/>
          <w:highlight w:val="none"/>
          <w:shd w:val="clear" w:color="auto" w:fill="FFFFFF"/>
        </w:rPr>
      </w:pPr>
      <w:r>
        <w:rPr>
          <w:rFonts w:hint="eastAsia" w:cs="微软雅黑" w:asciiTheme="minorEastAsia" w:hAnsiTheme="minorEastAsia"/>
          <w:color w:val="auto"/>
          <w:sz w:val="21"/>
          <w:szCs w:val="21"/>
          <w:highlight w:val="none"/>
          <w:shd w:val="clear" w:color="auto" w:fill="FFFFFF"/>
        </w:rPr>
        <w:t>合同履行期限：合同签订后30日历天</w:t>
      </w:r>
    </w:p>
    <w:p>
      <w:pPr>
        <w:pStyle w:val="6"/>
        <w:widowControl/>
        <w:shd w:val="clear" w:color="auto" w:fill="FFFFFF"/>
        <w:wordWrap w:val="0"/>
        <w:spacing w:before="0" w:after="0" w:line="400" w:lineRule="exact"/>
        <w:rPr>
          <w:rFonts w:cs="微软雅黑" w:asciiTheme="majorEastAsia" w:hAnsiTheme="majorEastAsia"/>
          <w:b w:val="0"/>
          <w:bCs w:val="0"/>
          <w:color w:val="auto"/>
          <w:sz w:val="21"/>
          <w:szCs w:val="21"/>
          <w:highlight w:val="none"/>
        </w:rPr>
      </w:pPr>
      <w:r>
        <w:rPr>
          <w:rStyle w:val="28"/>
          <w:rFonts w:cs="微软雅黑" w:asciiTheme="majorEastAsia" w:hAnsiTheme="majorEastAsia"/>
          <w:b w:val="0"/>
          <w:bCs w:val="0"/>
          <w:color w:val="auto"/>
          <w:sz w:val="21"/>
          <w:szCs w:val="21"/>
          <w:highlight w:val="none"/>
          <w:shd w:val="clear" w:color="auto" w:fill="FFFFFF"/>
        </w:rPr>
        <w:t>二、申请人的资格要求：</w:t>
      </w:r>
    </w:p>
    <w:p>
      <w:pPr>
        <w:pStyle w:val="21"/>
        <w:wordWrap w:val="0"/>
        <w:spacing w:before="0" w:beforeAutospacing="0" w:after="0" w:afterAutospacing="0" w:line="400" w:lineRule="exact"/>
        <w:ind w:firstLine="480"/>
        <w:jc w:val="both"/>
        <w:rPr>
          <w:rFonts w:asciiTheme="majorEastAsia" w:hAnsiTheme="majorEastAsia" w:eastAsiaTheme="majorEastAsia"/>
          <w:color w:val="auto"/>
          <w:sz w:val="21"/>
          <w:szCs w:val="21"/>
          <w:highlight w:val="none"/>
        </w:rPr>
      </w:pPr>
      <w:r>
        <w:rPr>
          <w:rFonts w:hint="eastAsia" w:cs="微软雅黑" w:asciiTheme="majorEastAsia" w:hAnsiTheme="majorEastAsia" w:eastAsiaTheme="majorEastAsia"/>
          <w:color w:val="auto"/>
          <w:sz w:val="21"/>
          <w:szCs w:val="21"/>
          <w:highlight w:val="none"/>
          <w:shd w:val="clear" w:color="auto" w:fill="FFFFFF"/>
        </w:rPr>
        <w:t>1.满足《中华人民共和国政府采购法》第二十二条规定;</w:t>
      </w:r>
    </w:p>
    <w:p>
      <w:pPr>
        <w:pStyle w:val="21"/>
        <w:wordWrap w:val="0"/>
        <w:spacing w:before="0" w:beforeAutospacing="0" w:after="0" w:afterAutospacing="0" w:line="400" w:lineRule="exact"/>
        <w:ind w:firstLine="480"/>
        <w:jc w:val="both"/>
        <w:rPr>
          <w:rFonts w:asciiTheme="majorEastAsia" w:hAnsiTheme="majorEastAsia" w:eastAsiaTheme="majorEastAsia"/>
          <w:color w:val="auto"/>
          <w:sz w:val="21"/>
          <w:szCs w:val="21"/>
          <w:highlight w:val="none"/>
        </w:rPr>
      </w:pPr>
      <w:r>
        <w:rPr>
          <w:rFonts w:hint="eastAsia" w:cs="微软雅黑" w:asciiTheme="majorEastAsia" w:hAnsiTheme="majorEastAsia" w:eastAsiaTheme="majorEastAsia"/>
          <w:color w:val="auto"/>
          <w:sz w:val="21"/>
          <w:szCs w:val="21"/>
          <w:highlight w:val="none"/>
          <w:shd w:val="clear" w:color="auto" w:fill="FFFFFF"/>
        </w:rPr>
        <w:t>2.落实政府采购政策需满足的资格要求：</w:t>
      </w:r>
    </w:p>
    <w:p>
      <w:pPr>
        <w:pStyle w:val="21"/>
        <w:wordWrap w:val="0"/>
        <w:spacing w:before="0" w:beforeAutospacing="0" w:after="0" w:afterAutospacing="0" w:line="400" w:lineRule="exact"/>
        <w:ind w:firstLine="480"/>
        <w:jc w:val="both"/>
        <w:rPr>
          <w:rFonts w:asciiTheme="majorEastAsia" w:hAnsiTheme="majorEastAsia" w:eastAsiaTheme="majorEastAsia"/>
          <w:color w:val="auto"/>
          <w:sz w:val="21"/>
          <w:szCs w:val="21"/>
          <w:highlight w:val="none"/>
        </w:rPr>
      </w:pPr>
      <w:r>
        <w:rPr>
          <w:rFonts w:hint="eastAsia" w:cs="微软雅黑" w:asciiTheme="majorEastAsia" w:hAnsiTheme="majorEastAsia" w:eastAsiaTheme="majorEastAsia"/>
          <w:color w:val="auto"/>
          <w:sz w:val="21"/>
          <w:szCs w:val="21"/>
          <w:highlight w:val="none"/>
          <w:shd w:val="clear" w:color="auto" w:fill="FFFFFF"/>
        </w:rPr>
        <w:t>合同包1(儿康中心三维步态评估与训练系统等一批设备采购项目)落实政府采购政策需满足的资格要求如下:</w:t>
      </w:r>
    </w:p>
    <w:p>
      <w:pPr>
        <w:pStyle w:val="21"/>
        <w:wordWrap w:val="0"/>
        <w:spacing w:before="0" w:beforeAutospacing="0" w:after="0" w:afterAutospacing="0" w:line="400" w:lineRule="exact"/>
        <w:jc w:val="both"/>
        <w:rPr>
          <w:rFonts w:asciiTheme="majorEastAsia" w:hAnsiTheme="majorEastAsia" w:eastAsiaTheme="majorEastAsia"/>
          <w:color w:val="auto"/>
          <w:sz w:val="21"/>
          <w:szCs w:val="21"/>
          <w:highlight w:val="none"/>
        </w:rPr>
      </w:pPr>
      <w:r>
        <w:rPr>
          <w:rFonts w:hint="eastAsia" w:cs="微软雅黑" w:asciiTheme="majorEastAsia" w:hAnsiTheme="majorEastAsia" w:eastAsiaTheme="majorEastAsia"/>
          <w:color w:val="auto"/>
          <w:sz w:val="21"/>
          <w:szCs w:val="21"/>
          <w:highlight w:val="none"/>
          <w:shd w:val="clear" w:color="auto" w:fill="FFFFFF"/>
        </w:rPr>
        <w:t>2.1 《节能产品政府采购实施意见》（财库[2004]185号）；2.2 《环境标志产品政府采购实施的意见》（财库[2006]90号）；2.3 《国务院办公厅关于建立政府强制采购节能产品制度的通知》（国办发〔2007〕51号）；2.4 《财政部 司法部关于政府采购支持监狱企业发展有关问题的通知》（财库〔2014〕68号）；2.5 《财政部、民政部、中国残疾人联合会关于促进残疾人就业政府采购政策的通知》财库〔2017〕141号；2.6 陕西省财政厅关于印发《陕西省中小企业政府采购信用融资办法》（陕财办采〔2018〕23号）；2.7 《财政部 发展改革委 生态环境部 市场监管总局关于调整优化节能产品、环境标志产品政府采购执行机制的通知》（财库〔2019〕9号）；2.8 财政部、工业和信息化部关于印发《政府采购促进中小企业发展管理办法》的通知（财库〔2020〕46号）；2.9 《关于运用政府采购政策支持乡村产业振兴的通知》（财库〔2021〕19号）；2.10 《关于进一步加大政府采购支持中小企业力度的通知》（财库〔2022〕19号）；2.11 本项目为非专门面向中小企业的采购；2.12 其他需要落实的政府采购政策。</w:t>
      </w:r>
    </w:p>
    <w:p>
      <w:pPr>
        <w:pStyle w:val="21"/>
        <w:wordWrap w:val="0"/>
        <w:spacing w:before="0" w:beforeAutospacing="0" w:after="0" w:afterAutospacing="0" w:line="400" w:lineRule="exact"/>
        <w:ind w:firstLine="480"/>
        <w:jc w:val="both"/>
        <w:rPr>
          <w:rFonts w:asciiTheme="majorEastAsia" w:hAnsiTheme="majorEastAsia" w:eastAsiaTheme="majorEastAsia"/>
          <w:color w:val="auto"/>
          <w:sz w:val="21"/>
          <w:szCs w:val="21"/>
          <w:highlight w:val="none"/>
        </w:rPr>
      </w:pPr>
      <w:r>
        <w:rPr>
          <w:rFonts w:hint="eastAsia" w:cs="微软雅黑" w:asciiTheme="majorEastAsia" w:hAnsiTheme="majorEastAsia" w:eastAsiaTheme="majorEastAsia"/>
          <w:color w:val="auto"/>
          <w:sz w:val="21"/>
          <w:szCs w:val="21"/>
          <w:highlight w:val="none"/>
          <w:shd w:val="clear" w:color="auto" w:fill="FFFFFF"/>
        </w:rPr>
        <w:t>3.本项目的特定资格要求：</w:t>
      </w:r>
    </w:p>
    <w:p>
      <w:pPr>
        <w:pStyle w:val="21"/>
        <w:wordWrap w:val="0"/>
        <w:spacing w:before="0" w:beforeAutospacing="0" w:after="0" w:afterAutospacing="0" w:line="400" w:lineRule="exact"/>
        <w:ind w:firstLine="480"/>
        <w:jc w:val="both"/>
        <w:rPr>
          <w:rFonts w:asciiTheme="majorEastAsia" w:hAnsiTheme="majorEastAsia" w:eastAsiaTheme="majorEastAsia"/>
          <w:color w:val="auto"/>
          <w:sz w:val="21"/>
          <w:szCs w:val="21"/>
          <w:highlight w:val="none"/>
        </w:rPr>
      </w:pPr>
      <w:r>
        <w:rPr>
          <w:rFonts w:hint="eastAsia" w:cs="微软雅黑" w:asciiTheme="majorEastAsia" w:hAnsiTheme="majorEastAsia" w:eastAsiaTheme="majorEastAsia"/>
          <w:color w:val="auto"/>
          <w:sz w:val="21"/>
          <w:szCs w:val="21"/>
          <w:highlight w:val="none"/>
          <w:shd w:val="clear" w:color="auto" w:fill="FFFFFF"/>
        </w:rPr>
        <w:t>合同包1(儿康中心三维步态评估与训练系统等一批设备采购项目)特定资格要求如下:</w:t>
      </w:r>
    </w:p>
    <w:p>
      <w:pPr>
        <w:pStyle w:val="21"/>
        <w:wordWrap w:val="0"/>
        <w:spacing w:before="0" w:beforeAutospacing="0" w:after="0" w:afterAutospacing="0" w:line="400" w:lineRule="exact"/>
        <w:jc w:val="both"/>
        <w:rPr>
          <w:rFonts w:asciiTheme="majorEastAsia" w:hAnsiTheme="majorEastAsia" w:eastAsiaTheme="majorEastAsia"/>
          <w:color w:val="auto"/>
          <w:sz w:val="21"/>
          <w:szCs w:val="21"/>
          <w:highlight w:val="none"/>
        </w:rPr>
      </w:pPr>
      <w:r>
        <w:rPr>
          <w:rFonts w:hint="eastAsia" w:cs="微软雅黑" w:asciiTheme="majorEastAsia" w:hAnsiTheme="majorEastAsia" w:eastAsiaTheme="majorEastAsia"/>
          <w:color w:val="auto"/>
          <w:sz w:val="21"/>
          <w:szCs w:val="21"/>
          <w:highlight w:val="none"/>
          <w:shd w:val="clear" w:color="auto" w:fill="FFFFFF"/>
        </w:rPr>
        <w:t>3.1 法定代表人授权书及被授权人身份证（法人参加只需提供法定代表人（单位负责人）身份证明）；3.2提供统一社会信用代码的营业执照或其他组织经营的合法凭证或自然人的提供身份证明文件；3.3 供应商为经销商或代理商的，所投产品如属于医疗器械的需提供《医疗器械经营许可证》及所投医疗器械产品在有效期内的《医疗器械注册证》、《医疗器械产品生产制造认可表》或《医疗器械注册登记表》，如是制造商的同时提供医疗器械生产许可证；3.4 财务状况证明：提供2020年度至2021年度任一年度的经会计师事务所或审计机构出具的报告或在开标日期前六个月内其基本开户银行出具的资信证明或财政部门认可的政府采购专业担保机构出具的投标担保函，以上形式的证明资料提供任何一种即可；3.5税收缴纳证明：提供已缴纳的本年度或上年度任一月份的缴税凭证。依法免税的供应商应提供相关文件证明；3.6 社会保障资金缴纳证明：提供已缴存的本年度或上年度任一月份的社会保障资金缴存单据或社保机构开具的社会保险参保缴费情况证明或提供其它相关证明资料，单据或证明上应有社保机构或代收机构的公章。依法不需要缴纳社会保障资金的服务商应提供相关文件证明；3.7 供应商未被列入“信用中国”网站（www.creditchina.gov.cn）“失信被执行人”和“重大税收违法案件当事人名单”及中国政府采购网（www.ccgp.gov.cn）“政府采购严重违法失信行为记录名单”，提供书面信用承诺函；3.8 供应商应出具参加政府采购活动前3年内在经营活动中没有重大违法记录的书面声明；3.9 本项目不接受联合体。</w:t>
      </w:r>
    </w:p>
    <w:p>
      <w:pPr>
        <w:pStyle w:val="6"/>
        <w:widowControl/>
        <w:shd w:val="clear" w:color="auto" w:fill="FFFFFF"/>
        <w:wordWrap w:val="0"/>
        <w:spacing w:before="0" w:after="0" w:line="400" w:lineRule="exact"/>
        <w:rPr>
          <w:rFonts w:cs="微软雅黑" w:asciiTheme="majorEastAsia" w:hAnsiTheme="majorEastAsia"/>
          <w:b w:val="0"/>
          <w:bCs w:val="0"/>
          <w:color w:val="auto"/>
          <w:sz w:val="21"/>
          <w:szCs w:val="21"/>
          <w:highlight w:val="none"/>
        </w:rPr>
      </w:pPr>
      <w:r>
        <w:rPr>
          <w:rStyle w:val="28"/>
          <w:rFonts w:cs="微软雅黑" w:asciiTheme="majorEastAsia" w:hAnsiTheme="majorEastAsia"/>
          <w:b w:val="0"/>
          <w:bCs w:val="0"/>
          <w:color w:val="auto"/>
          <w:sz w:val="21"/>
          <w:szCs w:val="21"/>
          <w:highlight w:val="none"/>
          <w:shd w:val="clear" w:color="auto" w:fill="FFFFFF"/>
        </w:rPr>
        <w:t>三、获取招标文件</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rPr>
      </w:pPr>
      <w:r>
        <w:rPr>
          <w:rFonts w:hint="eastAsia" w:cs="微软雅黑" w:asciiTheme="majorEastAsia" w:hAnsiTheme="majorEastAsia" w:eastAsiaTheme="majorEastAsia"/>
          <w:color w:val="auto"/>
          <w:sz w:val="21"/>
          <w:szCs w:val="21"/>
          <w:highlight w:val="none"/>
          <w:shd w:val="clear" w:color="auto" w:fill="FFFFFF"/>
        </w:rPr>
        <w:t>时间： 2022年11月29日 至 2022年12月05日 ，每天上午 09:00:00 至 12:00:00 ，下午 14:00:00 至 17:00:00 （北京时间）</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rPr>
      </w:pPr>
      <w:r>
        <w:rPr>
          <w:rFonts w:hint="eastAsia" w:cs="微软雅黑" w:asciiTheme="majorEastAsia" w:hAnsiTheme="majorEastAsia" w:eastAsiaTheme="majorEastAsia"/>
          <w:color w:val="auto"/>
          <w:sz w:val="21"/>
          <w:szCs w:val="21"/>
          <w:highlight w:val="none"/>
          <w:shd w:val="clear" w:color="auto" w:fill="FFFFFF"/>
        </w:rPr>
        <w:t>途径：陕西省西安市和平路108号佳腾大厦十层陕西省招标有限责任公司招标一部（法定节假日除外）</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rPr>
      </w:pPr>
      <w:r>
        <w:rPr>
          <w:rFonts w:hint="eastAsia" w:cs="微软雅黑" w:asciiTheme="majorEastAsia" w:hAnsiTheme="majorEastAsia" w:eastAsiaTheme="majorEastAsia"/>
          <w:color w:val="auto"/>
          <w:sz w:val="21"/>
          <w:szCs w:val="21"/>
          <w:highlight w:val="none"/>
          <w:shd w:val="clear" w:color="auto" w:fill="FFFFFF"/>
        </w:rPr>
        <w:t>方式：现场获取</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rPr>
      </w:pPr>
      <w:r>
        <w:rPr>
          <w:rFonts w:hint="eastAsia" w:cs="微软雅黑" w:asciiTheme="majorEastAsia" w:hAnsiTheme="majorEastAsia" w:eastAsiaTheme="majorEastAsia"/>
          <w:color w:val="auto"/>
          <w:sz w:val="21"/>
          <w:szCs w:val="21"/>
          <w:highlight w:val="none"/>
          <w:shd w:val="clear" w:color="auto" w:fill="FFFFFF"/>
        </w:rPr>
        <w:t>售价：500元</w:t>
      </w:r>
    </w:p>
    <w:p>
      <w:pPr>
        <w:pStyle w:val="6"/>
        <w:widowControl/>
        <w:shd w:val="clear" w:color="auto" w:fill="FFFFFF"/>
        <w:wordWrap w:val="0"/>
        <w:spacing w:before="0" w:after="0" w:line="400" w:lineRule="exact"/>
        <w:rPr>
          <w:rFonts w:cs="微软雅黑" w:asciiTheme="majorEastAsia" w:hAnsiTheme="majorEastAsia"/>
          <w:b w:val="0"/>
          <w:bCs w:val="0"/>
          <w:color w:val="auto"/>
          <w:sz w:val="21"/>
          <w:szCs w:val="21"/>
          <w:highlight w:val="none"/>
        </w:rPr>
      </w:pPr>
      <w:r>
        <w:rPr>
          <w:rStyle w:val="28"/>
          <w:rFonts w:cs="微软雅黑" w:asciiTheme="majorEastAsia" w:hAnsiTheme="majorEastAsia"/>
          <w:b w:val="0"/>
          <w:bCs w:val="0"/>
          <w:color w:val="auto"/>
          <w:sz w:val="21"/>
          <w:szCs w:val="21"/>
          <w:highlight w:val="none"/>
          <w:shd w:val="clear" w:color="auto" w:fill="FFFFFF"/>
        </w:rPr>
        <w:t>四、提交投标文件截止时间、开标时间和地点</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rPr>
      </w:pPr>
      <w:r>
        <w:rPr>
          <w:rFonts w:hint="eastAsia" w:cs="微软雅黑" w:asciiTheme="majorEastAsia" w:hAnsiTheme="majorEastAsia" w:eastAsiaTheme="majorEastAsia"/>
          <w:color w:val="auto"/>
          <w:sz w:val="21"/>
          <w:szCs w:val="21"/>
          <w:highlight w:val="none"/>
          <w:shd w:val="clear" w:color="auto" w:fill="FFFFFF"/>
        </w:rPr>
        <w:t>时间：2022年12月19日 14时00分00秒 （北京时间）</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rPr>
      </w:pPr>
      <w:r>
        <w:rPr>
          <w:rFonts w:hint="eastAsia" w:cs="微软雅黑" w:asciiTheme="majorEastAsia" w:hAnsiTheme="majorEastAsia" w:eastAsiaTheme="majorEastAsia"/>
          <w:color w:val="auto"/>
          <w:sz w:val="21"/>
          <w:szCs w:val="21"/>
          <w:highlight w:val="none"/>
          <w:shd w:val="clear" w:color="auto" w:fill="FFFFFF"/>
        </w:rPr>
        <w:t>提交投标文件地点：西安市和平路108号佳腾大厦7层陕西省招标有限责任公司会议室</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rPr>
      </w:pPr>
      <w:r>
        <w:rPr>
          <w:rFonts w:hint="eastAsia" w:cs="微软雅黑" w:asciiTheme="majorEastAsia" w:hAnsiTheme="majorEastAsia" w:eastAsiaTheme="majorEastAsia"/>
          <w:color w:val="auto"/>
          <w:sz w:val="21"/>
          <w:szCs w:val="21"/>
          <w:highlight w:val="none"/>
          <w:shd w:val="clear" w:color="auto" w:fill="FFFFFF"/>
        </w:rPr>
        <w:t>开标地点：西安市和平路108号佳腾大厦7层陕西省招标有限责任公司会议室</w:t>
      </w:r>
    </w:p>
    <w:p>
      <w:pPr>
        <w:pStyle w:val="6"/>
        <w:widowControl/>
        <w:shd w:val="clear" w:color="auto" w:fill="FFFFFF"/>
        <w:wordWrap w:val="0"/>
        <w:spacing w:before="0" w:after="0" w:line="400" w:lineRule="exact"/>
        <w:rPr>
          <w:rFonts w:cs="微软雅黑" w:asciiTheme="majorEastAsia" w:hAnsiTheme="majorEastAsia"/>
          <w:b w:val="0"/>
          <w:bCs w:val="0"/>
          <w:color w:val="auto"/>
          <w:sz w:val="21"/>
          <w:szCs w:val="21"/>
          <w:highlight w:val="none"/>
        </w:rPr>
      </w:pPr>
      <w:r>
        <w:rPr>
          <w:rStyle w:val="28"/>
          <w:rFonts w:cs="微软雅黑" w:asciiTheme="majorEastAsia" w:hAnsiTheme="majorEastAsia"/>
          <w:b w:val="0"/>
          <w:bCs w:val="0"/>
          <w:color w:val="auto"/>
          <w:sz w:val="21"/>
          <w:szCs w:val="21"/>
          <w:highlight w:val="none"/>
          <w:shd w:val="clear" w:color="auto" w:fill="FFFFFF"/>
        </w:rPr>
        <w:t>五、公告期限</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rPr>
      </w:pPr>
      <w:r>
        <w:rPr>
          <w:rFonts w:hint="eastAsia" w:cs="微软雅黑" w:asciiTheme="majorEastAsia" w:hAnsiTheme="majorEastAsia" w:eastAsiaTheme="majorEastAsia"/>
          <w:color w:val="auto"/>
          <w:sz w:val="21"/>
          <w:szCs w:val="21"/>
          <w:highlight w:val="none"/>
          <w:shd w:val="clear" w:color="auto" w:fill="FFFFFF"/>
        </w:rPr>
        <w:t>自本公告发布之日起5个工作日。</w:t>
      </w:r>
    </w:p>
    <w:p>
      <w:pPr>
        <w:pStyle w:val="6"/>
        <w:widowControl/>
        <w:shd w:val="clear" w:color="auto" w:fill="FFFFFF"/>
        <w:wordWrap w:val="0"/>
        <w:spacing w:before="0" w:after="0" w:line="400" w:lineRule="exact"/>
        <w:rPr>
          <w:rFonts w:cs="微软雅黑" w:asciiTheme="majorEastAsia" w:hAnsiTheme="majorEastAsia"/>
          <w:b w:val="0"/>
          <w:bCs w:val="0"/>
          <w:color w:val="auto"/>
          <w:sz w:val="21"/>
          <w:szCs w:val="21"/>
          <w:highlight w:val="none"/>
        </w:rPr>
      </w:pPr>
      <w:r>
        <w:rPr>
          <w:rStyle w:val="28"/>
          <w:rFonts w:cs="微软雅黑" w:asciiTheme="majorEastAsia" w:hAnsiTheme="majorEastAsia"/>
          <w:b w:val="0"/>
          <w:bCs w:val="0"/>
          <w:color w:val="auto"/>
          <w:sz w:val="21"/>
          <w:szCs w:val="21"/>
          <w:highlight w:val="none"/>
          <w:shd w:val="clear" w:color="auto" w:fill="FFFFFF"/>
        </w:rPr>
        <w:t>六、其他补充事宜</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shd w:val="clear" w:color="auto" w:fill="FFFFFF"/>
        </w:rPr>
      </w:pPr>
      <w:r>
        <w:rPr>
          <w:rFonts w:hint="eastAsia" w:cs="微软雅黑" w:asciiTheme="majorEastAsia" w:hAnsiTheme="majorEastAsia" w:eastAsiaTheme="majorEastAsia"/>
          <w:color w:val="auto"/>
          <w:sz w:val="21"/>
          <w:szCs w:val="21"/>
          <w:highlight w:val="none"/>
          <w:shd w:val="clear" w:color="auto" w:fill="FFFFFF"/>
        </w:rPr>
        <w:t>6.1领购招标文件时请携带身份证原件和复印件及单位介绍信原件加盖公章，谢绝邮寄。6.2注意事项：根据《陕西省财政厅关于政府采购供应商注册登记有关事项的通知》的规定，供应商在领取文件后，应及时注册登记加入政府采购供应商库。因供应商自身原因未及时登记入库而导致的一切后果由供应商自行承担。6.3如因疫情管控不能到现场确认领取文件的，可与代理公司工作人员联系将资料扫描后发送至邮箱：sxzb_01@163.com 。</w:t>
      </w:r>
    </w:p>
    <w:p>
      <w:pPr>
        <w:pStyle w:val="6"/>
        <w:widowControl/>
        <w:shd w:val="clear" w:color="auto" w:fill="FFFFFF"/>
        <w:wordWrap w:val="0"/>
        <w:spacing w:before="0" w:after="0" w:line="400" w:lineRule="exact"/>
        <w:rPr>
          <w:rFonts w:cs="微软雅黑" w:asciiTheme="majorEastAsia" w:hAnsiTheme="majorEastAsia"/>
          <w:b w:val="0"/>
          <w:bCs w:val="0"/>
          <w:color w:val="auto"/>
          <w:sz w:val="21"/>
          <w:szCs w:val="21"/>
          <w:highlight w:val="none"/>
        </w:rPr>
      </w:pPr>
      <w:r>
        <w:rPr>
          <w:rStyle w:val="28"/>
          <w:rFonts w:cs="微软雅黑" w:asciiTheme="majorEastAsia" w:hAnsiTheme="majorEastAsia"/>
          <w:b w:val="0"/>
          <w:bCs w:val="0"/>
          <w:color w:val="auto"/>
          <w:sz w:val="21"/>
          <w:szCs w:val="21"/>
          <w:highlight w:val="none"/>
          <w:shd w:val="clear" w:color="auto" w:fill="FFFFFF"/>
        </w:rPr>
        <w:t>七、对本次招标提出询问，请按以下方式联系。</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shd w:val="clear" w:color="auto" w:fill="FFFFFF"/>
        </w:rPr>
      </w:pPr>
      <w:r>
        <w:rPr>
          <w:rFonts w:hint="eastAsia" w:cs="微软雅黑" w:asciiTheme="majorEastAsia" w:hAnsiTheme="majorEastAsia" w:eastAsiaTheme="majorEastAsia"/>
          <w:color w:val="auto"/>
          <w:sz w:val="21"/>
          <w:szCs w:val="21"/>
          <w:highlight w:val="none"/>
          <w:shd w:val="clear" w:color="auto" w:fill="FFFFFF"/>
        </w:rPr>
        <w:t>1.采购人信息</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shd w:val="clear" w:color="auto" w:fill="FFFFFF"/>
        </w:rPr>
      </w:pPr>
      <w:r>
        <w:rPr>
          <w:rFonts w:hint="eastAsia" w:cs="微软雅黑" w:asciiTheme="majorEastAsia" w:hAnsiTheme="majorEastAsia" w:eastAsiaTheme="majorEastAsia"/>
          <w:color w:val="auto"/>
          <w:sz w:val="21"/>
          <w:szCs w:val="21"/>
          <w:highlight w:val="none"/>
          <w:shd w:val="clear" w:color="auto" w:fill="FFFFFF"/>
        </w:rPr>
        <w:t>名称：陕西省康复医院</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shd w:val="clear" w:color="auto" w:fill="FFFFFF"/>
        </w:rPr>
      </w:pPr>
      <w:r>
        <w:rPr>
          <w:rFonts w:hint="eastAsia" w:cs="微软雅黑" w:asciiTheme="majorEastAsia" w:hAnsiTheme="majorEastAsia" w:eastAsiaTheme="majorEastAsia"/>
          <w:color w:val="auto"/>
          <w:sz w:val="21"/>
          <w:szCs w:val="21"/>
          <w:highlight w:val="none"/>
          <w:shd w:val="clear" w:color="auto" w:fill="FFFFFF"/>
        </w:rPr>
        <w:t>地址：西安市电子二路52号</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shd w:val="clear" w:color="auto" w:fill="FFFFFF"/>
        </w:rPr>
      </w:pPr>
      <w:r>
        <w:rPr>
          <w:rFonts w:hint="eastAsia" w:cs="微软雅黑" w:asciiTheme="majorEastAsia" w:hAnsiTheme="majorEastAsia" w:eastAsiaTheme="majorEastAsia"/>
          <w:color w:val="auto"/>
          <w:sz w:val="21"/>
          <w:szCs w:val="21"/>
          <w:highlight w:val="none"/>
          <w:shd w:val="clear" w:color="auto" w:fill="FFFFFF"/>
        </w:rPr>
        <w:t>联系方式：029-89288722</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shd w:val="clear" w:color="auto" w:fill="FFFFFF"/>
        </w:rPr>
      </w:pPr>
      <w:r>
        <w:rPr>
          <w:rFonts w:hint="eastAsia" w:cs="微软雅黑" w:asciiTheme="majorEastAsia" w:hAnsiTheme="majorEastAsia" w:eastAsiaTheme="majorEastAsia"/>
          <w:color w:val="auto"/>
          <w:sz w:val="21"/>
          <w:szCs w:val="21"/>
          <w:highlight w:val="none"/>
          <w:shd w:val="clear" w:color="auto" w:fill="FFFFFF"/>
        </w:rPr>
        <w:t>2.采购代理机构信息</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shd w:val="clear" w:color="auto" w:fill="FFFFFF"/>
        </w:rPr>
      </w:pPr>
      <w:r>
        <w:rPr>
          <w:rFonts w:hint="eastAsia" w:cs="微软雅黑" w:asciiTheme="majorEastAsia" w:hAnsiTheme="majorEastAsia" w:eastAsiaTheme="majorEastAsia"/>
          <w:color w:val="auto"/>
          <w:sz w:val="21"/>
          <w:szCs w:val="21"/>
          <w:highlight w:val="none"/>
          <w:shd w:val="clear" w:color="auto" w:fill="FFFFFF"/>
        </w:rPr>
        <w:t>名称：陕西省招标有限责任公司</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shd w:val="clear" w:color="auto" w:fill="FFFFFF"/>
        </w:rPr>
      </w:pPr>
      <w:r>
        <w:rPr>
          <w:rFonts w:hint="eastAsia" w:cs="微软雅黑" w:asciiTheme="majorEastAsia" w:hAnsiTheme="majorEastAsia" w:eastAsiaTheme="majorEastAsia"/>
          <w:color w:val="auto"/>
          <w:sz w:val="21"/>
          <w:szCs w:val="21"/>
          <w:highlight w:val="none"/>
          <w:shd w:val="clear" w:color="auto" w:fill="FFFFFF"/>
        </w:rPr>
        <w:t>地址：西安市和平路108号佳腾大厦</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shd w:val="clear" w:color="auto" w:fill="FFFFFF"/>
        </w:rPr>
      </w:pPr>
      <w:r>
        <w:rPr>
          <w:rFonts w:hint="eastAsia" w:cs="微软雅黑" w:asciiTheme="majorEastAsia" w:hAnsiTheme="majorEastAsia" w:eastAsiaTheme="majorEastAsia"/>
          <w:color w:val="auto"/>
          <w:sz w:val="21"/>
          <w:szCs w:val="21"/>
          <w:highlight w:val="none"/>
          <w:shd w:val="clear" w:color="auto" w:fill="FFFFFF"/>
        </w:rPr>
        <w:t>联系方式：029-87521311</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shd w:val="clear" w:color="auto" w:fill="FFFFFF"/>
        </w:rPr>
      </w:pPr>
      <w:r>
        <w:rPr>
          <w:rFonts w:hint="eastAsia" w:cs="微软雅黑" w:asciiTheme="majorEastAsia" w:hAnsiTheme="majorEastAsia" w:eastAsiaTheme="majorEastAsia"/>
          <w:color w:val="auto"/>
          <w:sz w:val="21"/>
          <w:szCs w:val="21"/>
          <w:highlight w:val="none"/>
          <w:shd w:val="clear" w:color="auto" w:fill="FFFFFF"/>
        </w:rPr>
        <w:t>3.项目联系方式</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shd w:val="clear" w:color="auto" w:fill="FFFFFF"/>
        </w:rPr>
      </w:pPr>
      <w:r>
        <w:rPr>
          <w:rFonts w:hint="eastAsia" w:cs="微软雅黑" w:asciiTheme="majorEastAsia" w:hAnsiTheme="majorEastAsia" w:eastAsiaTheme="majorEastAsia"/>
          <w:color w:val="auto"/>
          <w:sz w:val="21"/>
          <w:szCs w:val="21"/>
          <w:highlight w:val="none"/>
          <w:shd w:val="clear" w:color="auto" w:fill="FFFFFF"/>
        </w:rPr>
        <w:t>项目联系人：朱颖华、王祎玮</w:t>
      </w:r>
    </w:p>
    <w:p>
      <w:pPr>
        <w:pStyle w:val="21"/>
        <w:shd w:val="clear" w:color="auto" w:fill="FFFFFF"/>
        <w:wordWrap w:val="0"/>
        <w:spacing w:before="0" w:beforeAutospacing="0" w:after="0" w:afterAutospacing="0" w:line="400" w:lineRule="exact"/>
        <w:ind w:firstLine="480"/>
        <w:jc w:val="both"/>
        <w:rPr>
          <w:rFonts w:cs="微软雅黑" w:asciiTheme="majorEastAsia" w:hAnsiTheme="majorEastAsia" w:eastAsiaTheme="majorEastAsia"/>
          <w:color w:val="auto"/>
          <w:sz w:val="21"/>
          <w:szCs w:val="21"/>
          <w:highlight w:val="none"/>
          <w:shd w:val="clear" w:color="auto" w:fill="FFFFFF"/>
        </w:rPr>
      </w:pPr>
      <w:r>
        <w:rPr>
          <w:rFonts w:hint="eastAsia" w:cs="微软雅黑" w:asciiTheme="majorEastAsia" w:hAnsiTheme="majorEastAsia" w:eastAsiaTheme="majorEastAsia"/>
          <w:color w:val="auto"/>
          <w:sz w:val="21"/>
          <w:szCs w:val="21"/>
          <w:highlight w:val="none"/>
          <w:shd w:val="clear" w:color="auto" w:fill="FFFFFF"/>
        </w:rPr>
        <w:t>电话：029-87521311 13289833105</w:t>
      </w:r>
    </w:p>
    <w:p>
      <w:pPr>
        <w:pStyle w:val="21"/>
        <w:shd w:val="clear" w:color="auto" w:fill="FFFFFF"/>
        <w:wordWrap w:val="0"/>
        <w:spacing w:beforeAutospacing="0" w:afterAutospacing="0" w:line="480" w:lineRule="atLeast"/>
        <w:ind w:right="420"/>
        <w:rPr>
          <w:rFonts w:ascii="微软雅黑" w:hAnsi="微软雅黑" w:eastAsia="微软雅黑" w:cs="微软雅黑"/>
          <w:color w:val="auto"/>
          <w:sz w:val="21"/>
          <w:szCs w:val="21"/>
          <w:highlight w:val="none"/>
          <w:shd w:val="clear" w:color="auto" w:fill="FFFFFF"/>
        </w:rPr>
      </w:pPr>
    </w:p>
    <w:p>
      <w:pPr>
        <w:pStyle w:val="21"/>
        <w:shd w:val="clear" w:color="auto" w:fill="FFFFFF"/>
        <w:wordWrap w:val="0"/>
        <w:spacing w:beforeAutospacing="0" w:afterAutospacing="0" w:line="480" w:lineRule="atLeast"/>
        <w:ind w:right="210" w:firstLine="480"/>
        <w:jc w:val="right"/>
        <w:rPr>
          <w:rFonts w:cs="微软雅黑" w:asciiTheme="majorEastAsia" w:hAnsiTheme="majorEastAsia" w:eastAsiaTheme="majorEastAsia"/>
          <w:color w:val="auto"/>
          <w:sz w:val="21"/>
          <w:szCs w:val="21"/>
          <w:highlight w:val="none"/>
          <w:shd w:val="clear" w:color="auto" w:fill="FFFFFF"/>
        </w:rPr>
      </w:pPr>
      <w:r>
        <w:rPr>
          <w:rFonts w:hint="eastAsia" w:cs="微软雅黑" w:asciiTheme="majorEastAsia" w:hAnsiTheme="majorEastAsia" w:eastAsiaTheme="majorEastAsia"/>
          <w:color w:val="auto"/>
          <w:sz w:val="21"/>
          <w:szCs w:val="21"/>
          <w:highlight w:val="none"/>
          <w:shd w:val="clear" w:color="auto" w:fill="FFFFFF"/>
        </w:rPr>
        <w:t>陕西省招标有限责任公司</w:t>
      </w:r>
    </w:p>
    <w:p>
      <w:pPr>
        <w:pStyle w:val="21"/>
        <w:shd w:val="clear" w:color="auto" w:fill="FFFFFF"/>
        <w:spacing w:beforeAutospacing="0" w:afterAutospacing="0" w:line="480" w:lineRule="atLeast"/>
        <w:ind w:right="420" w:firstLine="480"/>
        <w:jc w:val="right"/>
        <w:rPr>
          <w:rFonts w:cs="微软雅黑" w:asciiTheme="majorEastAsia" w:hAnsiTheme="majorEastAsia" w:eastAsiaTheme="majorEastAsia"/>
          <w:color w:val="auto"/>
          <w:sz w:val="21"/>
          <w:szCs w:val="21"/>
          <w:highlight w:val="none"/>
          <w:shd w:val="clear" w:color="auto" w:fill="FFFFFF"/>
        </w:rPr>
      </w:pPr>
      <w:r>
        <w:rPr>
          <w:rFonts w:hint="eastAsia" w:cs="微软雅黑" w:asciiTheme="majorEastAsia" w:hAnsiTheme="majorEastAsia" w:eastAsiaTheme="majorEastAsia"/>
          <w:color w:val="auto"/>
          <w:sz w:val="21"/>
          <w:szCs w:val="21"/>
          <w:highlight w:val="none"/>
          <w:shd w:val="clear" w:color="auto" w:fill="FFFFFF"/>
        </w:rPr>
        <w:t>2022年11月</w:t>
      </w:r>
      <w:r>
        <w:rPr>
          <w:rFonts w:hint="eastAsia" w:cs="微软雅黑" w:asciiTheme="majorEastAsia" w:hAnsiTheme="majorEastAsia" w:eastAsiaTheme="majorEastAsia"/>
          <w:color w:val="auto"/>
          <w:sz w:val="21"/>
          <w:szCs w:val="21"/>
          <w:highlight w:val="none"/>
          <w:shd w:val="clear" w:color="auto" w:fill="FFFFFF"/>
          <w:lang w:val="en-US" w:eastAsia="zh-CN"/>
        </w:rPr>
        <w:t>28</w:t>
      </w:r>
      <w:r>
        <w:rPr>
          <w:rFonts w:hint="eastAsia" w:cs="微软雅黑" w:asciiTheme="majorEastAsia" w:hAnsiTheme="majorEastAsia" w:eastAsiaTheme="majorEastAsia"/>
          <w:color w:val="auto"/>
          <w:sz w:val="21"/>
          <w:szCs w:val="21"/>
          <w:highlight w:val="none"/>
          <w:shd w:val="clear" w:color="auto" w:fill="FFFFFF"/>
        </w:rPr>
        <w:t>日</w:t>
      </w:r>
    </w:p>
    <w:p>
      <w:pPr>
        <w:widowControl/>
        <w:wordWrap w:val="0"/>
        <w:spacing w:line="480" w:lineRule="atLeast"/>
        <w:rPr>
          <w:rFonts w:ascii="微软雅黑" w:hAnsi="微软雅黑" w:eastAsia="微软雅黑" w:cs="微软雅黑"/>
          <w:color w:val="auto"/>
          <w:highlight w:val="none"/>
        </w:rPr>
      </w:pPr>
    </w:p>
    <w:p>
      <w:pPr>
        <w:widowControl/>
        <w:spacing w:line="440" w:lineRule="exact"/>
        <w:ind w:firstLine="480" w:firstLineChars="200"/>
        <w:rPr>
          <w:rFonts w:ascii="宋体" w:hAnsi="宋体" w:cs="宋体"/>
          <w:color w:val="auto"/>
          <w:kern w:val="0"/>
          <w:sz w:val="24"/>
          <w:szCs w:val="24"/>
          <w:highlight w:val="none"/>
        </w:rPr>
      </w:pPr>
      <w:bookmarkStart w:id="101" w:name="_GoBack"/>
      <w:bookmarkEnd w:id="101"/>
    </w:p>
    <w:p>
      <w:pPr>
        <w:pStyle w:val="3"/>
        <w:jc w:val="center"/>
        <w:rPr>
          <w:rFonts w:ascii="宋体" w:hAnsi="宋体"/>
          <w:color w:val="auto"/>
          <w:sz w:val="32"/>
          <w:szCs w:val="32"/>
          <w:highlight w:val="none"/>
        </w:rPr>
      </w:pPr>
      <w:bookmarkStart w:id="2" w:name="_Toc108168983"/>
      <w:r>
        <w:rPr>
          <w:rFonts w:hint="eastAsia"/>
          <w:color w:val="auto"/>
          <w:kern w:val="0"/>
          <w:sz w:val="32"/>
          <w:szCs w:val="32"/>
          <w:highlight w:val="none"/>
        </w:rPr>
        <w:t>第二章投标供应商须知</w:t>
      </w:r>
      <w:bookmarkEnd w:id="2"/>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投标供应商须知前附表</w:t>
      </w:r>
    </w:p>
    <w:tbl>
      <w:tblPr>
        <w:tblStyle w:val="25"/>
        <w:tblW w:w="94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268"/>
        <w:gridCol w:w="61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68" w:type="dxa"/>
            <w:vAlign w:val="center"/>
          </w:tcPr>
          <w:p>
            <w:pPr>
              <w:spacing w:line="360" w:lineRule="auto"/>
              <w:jc w:val="center"/>
              <w:rPr>
                <w:rFonts w:ascii="宋体" w:hAnsi="宋体" w:cs="宋体"/>
                <w:b/>
                <w:color w:val="auto"/>
                <w:highlight w:val="none"/>
              </w:rPr>
            </w:pPr>
            <w:r>
              <w:rPr>
                <w:rFonts w:hint="eastAsia" w:ascii="宋体" w:hAnsi="宋体" w:cs="宋体"/>
                <w:b/>
                <w:color w:val="auto"/>
                <w:highlight w:val="none"/>
              </w:rPr>
              <w:t>条款号</w:t>
            </w:r>
          </w:p>
        </w:tc>
        <w:tc>
          <w:tcPr>
            <w:tcW w:w="2268" w:type="dxa"/>
            <w:vAlign w:val="center"/>
          </w:tcPr>
          <w:p>
            <w:pPr>
              <w:spacing w:line="360" w:lineRule="auto"/>
              <w:jc w:val="center"/>
              <w:rPr>
                <w:rFonts w:ascii="宋体" w:hAnsi="宋体" w:cs="宋体"/>
                <w:b/>
                <w:color w:val="auto"/>
                <w:highlight w:val="none"/>
              </w:rPr>
            </w:pPr>
            <w:r>
              <w:rPr>
                <w:rFonts w:hint="eastAsia" w:ascii="宋体" w:hAnsi="宋体" w:cs="宋体"/>
                <w:b/>
                <w:color w:val="auto"/>
                <w:highlight w:val="none"/>
              </w:rPr>
              <w:t>条款名称</w:t>
            </w:r>
          </w:p>
        </w:tc>
        <w:tc>
          <w:tcPr>
            <w:tcW w:w="6147" w:type="dxa"/>
            <w:vAlign w:val="center"/>
          </w:tcPr>
          <w:p>
            <w:pPr>
              <w:spacing w:line="360" w:lineRule="auto"/>
              <w:jc w:val="center"/>
              <w:rPr>
                <w:rFonts w:ascii="宋体" w:hAnsi="宋体" w:cs="宋体"/>
                <w:b/>
                <w:color w:val="auto"/>
                <w:highlight w:val="none"/>
              </w:rPr>
            </w:pPr>
            <w:r>
              <w:rPr>
                <w:rFonts w:hint="eastAsia" w:ascii="宋体" w:hAnsi="宋体" w:cs="宋体"/>
                <w:b/>
                <w:color w:val="auto"/>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1.1.2</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采购人</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名称：陕西省康复医院</w:t>
            </w:r>
          </w:p>
          <w:p>
            <w:pPr>
              <w:spacing w:line="360" w:lineRule="auto"/>
              <w:rPr>
                <w:rFonts w:ascii="宋体" w:hAnsi="宋体" w:cs="宋体"/>
                <w:color w:val="auto"/>
                <w:highlight w:val="none"/>
              </w:rPr>
            </w:pPr>
            <w:r>
              <w:rPr>
                <w:rFonts w:hint="eastAsia" w:ascii="宋体" w:hAnsi="宋体" w:cs="宋体"/>
                <w:color w:val="auto"/>
                <w:highlight w:val="none"/>
              </w:rPr>
              <w:t>地址：西安市电子二路52号</w:t>
            </w:r>
          </w:p>
          <w:p>
            <w:pPr>
              <w:spacing w:line="360" w:lineRule="auto"/>
              <w:rPr>
                <w:rFonts w:ascii="宋体" w:hAnsi="宋体" w:cs="宋体"/>
                <w:color w:val="auto"/>
                <w:highlight w:val="none"/>
              </w:rPr>
            </w:pPr>
            <w:r>
              <w:rPr>
                <w:rFonts w:hint="eastAsia" w:ascii="宋体" w:hAnsi="宋体" w:cs="宋体"/>
                <w:color w:val="auto"/>
                <w:highlight w:val="none"/>
              </w:rPr>
              <w:t>联系人：艾老师</w:t>
            </w:r>
          </w:p>
          <w:p>
            <w:pPr>
              <w:spacing w:line="360" w:lineRule="auto"/>
              <w:rPr>
                <w:rFonts w:ascii="宋体" w:hAnsi="宋体" w:cs="宋体"/>
                <w:color w:val="auto"/>
                <w:highlight w:val="none"/>
              </w:rPr>
            </w:pPr>
            <w:r>
              <w:rPr>
                <w:rFonts w:hint="eastAsia" w:ascii="宋体" w:hAnsi="宋体" w:cs="宋体"/>
                <w:color w:val="auto"/>
                <w:highlight w:val="none"/>
              </w:rPr>
              <w:t>电话：029-89288722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1.1.3</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采购代理机构</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名称：陕西省招标有限责任公司</w:t>
            </w:r>
          </w:p>
          <w:p>
            <w:pPr>
              <w:spacing w:line="360" w:lineRule="auto"/>
              <w:rPr>
                <w:rFonts w:ascii="宋体" w:hAnsi="宋体" w:cs="宋体"/>
                <w:color w:val="auto"/>
                <w:highlight w:val="none"/>
              </w:rPr>
            </w:pPr>
            <w:r>
              <w:rPr>
                <w:rFonts w:hint="eastAsia" w:ascii="宋体" w:hAnsi="宋体" w:cs="宋体"/>
                <w:color w:val="auto"/>
                <w:highlight w:val="none"/>
              </w:rPr>
              <w:t>地址：西安市和平路108号佳腾大厦十层</w:t>
            </w:r>
          </w:p>
          <w:p>
            <w:pPr>
              <w:widowControl/>
              <w:spacing w:line="360" w:lineRule="auto"/>
              <w:rPr>
                <w:rFonts w:ascii="宋体" w:hAnsi="宋体" w:cs="宋体"/>
                <w:color w:val="auto"/>
                <w:highlight w:val="none"/>
              </w:rPr>
            </w:pPr>
            <w:r>
              <w:rPr>
                <w:rFonts w:hint="eastAsia" w:ascii="宋体" w:hAnsi="宋体" w:cs="宋体"/>
                <w:color w:val="auto"/>
                <w:highlight w:val="none"/>
              </w:rPr>
              <w:t>联系人：朱颖华、王祎玮</w:t>
            </w:r>
          </w:p>
          <w:p>
            <w:pPr>
              <w:spacing w:line="360" w:lineRule="auto"/>
              <w:rPr>
                <w:rFonts w:ascii="宋体" w:hAnsi="宋体" w:cs="宋体"/>
                <w:color w:val="auto"/>
                <w:highlight w:val="none"/>
              </w:rPr>
            </w:pPr>
            <w:r>
              <w:rPr>
                <w:rFonts w:hint="eastAsia" w:ascii="宋体" w:hAnsi="宋体" w:cs="宋体"/>
                <w:color w:val="auto"/>
                <w:highlight w:val="none"/>
              </w:rPr>
              <w:t>电话：029-87521311</w:t>
            </w:r>
            <w:r>
              <w:rPr>
                <w:rFonts w:ascii="宋体" w:hAnsi="宋体" w:cs="宋体"/>
                <w:color w:val="auto"/>
                <w:highlight w:val="none"/>
              </w:rPr>
              <w:t xml:space="preserve"> 13289833105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1.1.4</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招标项目名称</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kern w:val="0"/>
                <w:highlight w:val="none"/>
              </w:rPr>
              <w:t>儿康中心三维步态评估与训练系统等一批设备采购项目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1.1.5</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项目建设地点</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陕西省西安市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1.2.1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资金来源及比例</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其他资金、100%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1.2.2</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资金落实情况</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项目资金已落实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1.3.1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招标范围</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采购货物（设备、产品）的供货、运输、安装、调试及初验、试运行、最终验收及售后服务、培训等工作，具体采购内容详见招标文件《第五章招标内容》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1.3.2</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交货期（含安装期）</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合同签订后</w:t>
            </w:r>
            <w:r>
              <w:rPr>
                <w:rFonts w:ascii="宋体" w:hAnsi="宋体" w:cs="宋体"/>
                <w:color w:val="auto"/>
                <w:highlight w:val="none"/>
              </w:rPr>
              <w:t>30</w:t>
            </w:r>
            <w:r>
              <w:rPr>
                <w:rFonts w:hint="eastAsia" w:ascii="宋体" w:hAnsi="宋体" w:cs="宋体"/>
                <w:color w:val="auto"/>
                <w:highlight w:val="none"/>
              </w:rPr>
              <w:t>日历日，完成货物的安装、调试并正常运行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1.3.3</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交货地点</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1.3.4</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技术性能指标</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详见《第五章招标内容》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1.4.1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投标供应商资质条件、能力、信誉</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详见《第一章招标公告》中“二、申请人的资格要求”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1.4.2</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是否接受联合体投标</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不接受</w:t>
            </w:r>
          </w:p>
          <w:p>
            <w:pPr>
              <w:spacing w:line="360" w:lineRule="auto"/>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1.4.3</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投标供应商不得存在的其他情形</w:t>
            </w:r>
          </w:p>
        </w:tc>
        <w:tc>
          <w:tcPr>
            <w:tcW w:w="6147" w:type="dxa"/>
            <w:vAlign w:val="center"/>
          </w:tcPr>
          <w:p>
            <w:pPr>
              <w:pStyle w:val="40"/>
              <w:spacing w:line="360" w:lineRule="auto"/>
              <w:rPr>
                <w:rFonts w:ascii="宋体" w:hAnsi="宋体" w:cs="宋体"/>
                <w:color w:val="auto"/>
                <w:highlight w:val="none"/>
              </w:rPr>
            </w:pPr>
            <w:r>
              <w:rPr>
                <w:rFonts w:hint="eastAsia" w:ascii="宋体" w:hAnsi="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1.9.1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投标预备会</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不召开</w:t>
            </w:r>
          </w:p>
          <w:p>
            <w:pPr>
              <w:spacing w:line="360" w:lineRule="auto"/>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召开，召开时间：</w:t>
            </w:r>
          </w:p>
          <w:p>
            <w:pPr>
              <w:spacing w:line="360" w:lineRule="auto"/>
              <w:ind w:firstLine="840" w:firstLineChars="400"/>
              <w:rPr>
                <w:rFonts w:ascii="宋体" w:hAnsi="宋体" w:cs="宋体"/>
                <w:color w:val="auto"/>
                <w:highlight w:val="none"/>
              </w:rPr>
            </w:pPr>
            <w:r>
              <w:rPr>
                <w:rFonts w:hint="eastAsia" w:ascii="宋体" w:hAnsi="宋体" w:cs="宋体"/>
                <w:color w:val="auto"/>
                <w:highlight w:val="none"/>
              </w:rPr>
              <w:t>召开地点：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1.9.2</w:t>
            </w:r>
          </w:p>
        </w:tc>
        <w:tc>
          <w:tcPr>
            <w:tcW w:w="2268"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投标供应商在投标预备会前提出问题</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Merge w:val="continue"/>
            <w:vAlign w:val="center"/>
          </w:tcPr>
          <w:p>
            <w:pPr>
              <w:spacing w:line="360" w:lineRule="auto"/>
              <w:jc w:val="center"/>
              <w:rPr>
                <w:rFonts w:ascii="宋体" w:hAnsi="宋体" w:cs="宋体"/>
                <w:color w:val="auto"/>
                <w:highlight w:val="none"/>
              </w:rPr>
            </w:pPr>
          </w:p>
        </w:tc>
        <w:tc>
          <w:tcPr>
            <w:tcW w:w="2268" w:type="dxa"/>
            <w:vMerge w:val="continue"/>
            <w:vAlign w:val="center"/>
          </w:tcPr>
          <w:p>
            <w:pPr>
              <w:spacing w:line="360" w:lineRule="auto"/>
              <w:jc w:val="center"/>
              <w:rPr>
                <w:rFonts w:ascii="宋体" w:hAnsi="宋体" w:cs="宋体"/>
                <w:color w:val="auto"/>
                <w:w w:val="99"/>
                <w:highlight w:val="none"/>
              </w:rPr>
            </w:pP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1.9.3</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招标文件澄清发出的形式</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1.10.1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分包</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不允许</w:t>
            </w:r>
          </w:p>
          <w:p>
            <w:pPr>
              <w:spacing w:line="360" w:lineRule="auto"/>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允许，分包内容要求：</w:t>
            </w:r>
          </w:p>
          <w:p>
            <w:pPr>
              <w:spacing w:line="360" w:lineRule="auto"/>
              <w:ind w:firstLine="840" w:firstLineChars="400"/>
              <w:rPr>
                <w:rFonts w:ascii="宋体" w:hAnsi="宋体" w:cs="宋体"/>
                <w:color w:val="auto"/>
                <w:highlight w:val="none"/>
              </w:rPr>
            </w:pPr>
            <w:r>
              <w:rPr>
                <w:rFonts w:hint="eastAsia" w:ascii="宋体" w:hAnsi="宋体" w:cs="宋体"/>
                <w:color w:val="auto"/>
                <w:highlight w:val="none"/>
              </w:rPr>
              <w:t>分包金额要求：</w:t>
            </w:r>
          </w:p>
          <w:p>
            <w:pPr>
              <w:spacing w:line="360" w:lineRule="auto"/>
              <w:ind w:firstLine="840" w:firstLineChars="400"/>
              <w:rPr>
                <w:rFonts w:ascii="宋体" w:hAnsi="宋体" w:cs="宋体"/>
                <w:color w:val="auto"/>
                <w:highlight w:val="none"/>
              </w:rPr>
            </w:pPr>
            <w:r>
              <w:rPr>
                <w:rFonts w:hint="eastAsia" w:ascii="宋体" w:hAnsi="宋体" w:cs="宋体"/>
                <w:color w:val="auto"/>
                <w:highlight w:val="none"/>
              </w:rPr>
              <w:t>对分包人的资质要求：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1.11.1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实质性要求和条件</w:t>
            </w:r>
          </w:p>
        </w:tc>
        <w:tc>
          <w:tcPr>
            <w:tcW w:w="6147" w:type="dxa"/>
            <w:vAlign w:val="center"/>
          </w:tcPr>
          <w:p>
            <w:pPr>
              <w:pStyle w:val="10"/>
              <w:topLinePunct/>
              <w:spacing w:line="360" w:lineRule="auto"/>
              <w:rPr>
                <w:rFonts w:hAnsi="宋体" w:cs="宋体"/>
                <w:color w:val="auto"/>
                <w:sz w:val="21"/>
                <w:szCs w:val="21"/>
                <w:highlight w:val="none"/>
              </w:rPr>
            </w:pPr>
            <w:r>
              <w:rPr>
                <w:rFonts w:hint="eastAsia" w:hAnsi="宋体" w:cs="宋体"/>
                <w:color w:val="auto"/>
                <w:sz w:val="21"/>
                <w:szCs w:val="21"/>
                <w:highlight w:val="none"/>
              </w:rPr>
              <w:t>招标文件规定的废标及其投标将被否决的条款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1.11.3</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其他可以被接受的技术支持资料</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生产厂家确认的、相应的功能证明材料（包括但不限于生产厂家公开发布的印刷资料或权威机构出具的检验报告或说明书或官网和功能截图等）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1.11.4</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偏差</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不允许</w:t>
            </w:r>
          </w:p>
          <w:p>
            <w:pPr>
              <w:spacing w:line="360" w:lineRule="auto"/>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允许，偏差范围：除实质性条款和规定以外的内容</w:t>
            </w:r>
          </w:p>
          <w:p>
            <w:pPr>
              <w:spacing w:line="360" w:lineRule="auto"/>
              <w:ind w:firstLine="840" w:firstLineChars="400"/>
              <w:rPr>
                <w:rFonts w:ascii="宋体" w:hAnsi="宋体" w:cs="宋体"/>
                <w:color w:val="auto"/>
                <w:highlight w:val="none"/>
              </w:rPr>
            </w:pPr>
            <w:r>
              <w:rPr>
                <w:rFonts w:hint="eastAsia" w:ascii="宋体" w:hAnsi="宋体" w:cs="宋体"/>
                <w:color w:val="auto"/>
                <w:highlight w:val="none"/>
              </w:rPr>
              <w:t>最高项数：/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构成招标文件的其他资料</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2.2.1</w:t>
            </w:r>
          </w:p>
        </w:tc>
        <w:tc>
          <w:tcPr>
            <w:tcW w:w="2268"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投标供应商要求澄清招标</w:t>
            </w:r>
          </w:p>
          <w:p>
            <w:pPr>
              <w:spacing w:line="360" w:lineRule="auto"/>
              <w:jc w:val="center"/>
              <w:rPr>
                <w:rFonts w:ascii="宋体" w:hAnsi="宋体" w:cs="宋体"/>
                <w:color w:val="auto"/>
                <w:highlight w:val="none"/>
              </w:rPr>
            </w:pPr>
            <w:r>
              <w:rPr>
                <w:rFonts w:hint="eastAsia" w:ascii="宋体" w:hAnsi="宋体" w:cs="宋体"/>
                <w:color w:val="auto"/>
                <w:highlight w:val="none"/>
              </w:rPr>
              <w:t>文件</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时间：投标截止时间10日前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Merge w:val="continue"/>
            <w:vAlign w:val="center"/>
          </w:tcPr>
          <w:p>
            <w:pPr>
              <w:spacing w:line="360" w:lineRule="auto"/>
              <w:jc w:val="center"/>
              <w:rPr>
                <w:rFonts w:ascii="宋体" w:hAnsi="宋体" w:cs="宋体"/>
                <w:color w:val="auto"/>
                <w:highlight w:val="none"/>
              </w:rPr>
            </w:pPr>
          </w:p>
        </w:tc>
        <w:tc>
          <w:tcPr>
            <w:tcW w:w="2268" w:type="dxa"/>
            <w:vMerge w:val="continue"/>
            <w:vAlign w:val="center"/>
          </w:tcPr>
          <w:p>
            <w:pPr>
              <w:spacing w:line="360" w:lineRule="auto"/>
              <w:jc w:val="center"/>
              <w:rPr>
                <w:rFonts w:ascii="宋体" w:hAnsi="宋体" w:cs="宋体"/>
                <w:color w:val="auto"/>
                <w:highlight w:val="none"/>
              </w:rPr>
            </w:pP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形式：书面形式递交至采购代理机构，并将可编辑的电子版发送至邮箱：sxzb_01@163.com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2.2.2</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招标文件澄清发出的形式</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书面形式在采购代理机构现场领取或电子邮件发送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2.2.3</w:t>
            </w:r>
          </w:p>
        </w:tc>
        <w:tc>
          <w:tcPr>
            <w:tcW w:w="2268"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投标供应商确认收到招标文件澄清</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时间：1日内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Merge w:val="continue"/>
            <w:vAlign w:val="center"/>
          </w:tcPr>
          <w:p>
            <w:pPr>
              <w:spacing w:line="360" w:lineRule="auto"/>
              <w:jc w:val="center"/>
              <w:rPr>
                <w:rFonts w:ascii="宋体" w:hAnsi="宋体" w:cs="宋体"/>
                <w:color w:val="auto"/>
                <w:highlight w:val="none"/>
              </w:rPr>
            </w:pPr>
          </w:p>
        </w:tc>
        <w:tc>
          <w:tcPr>
            <w:tcW w:w="2268" w:type="dxa"/>
            <w:vMerge w:val="continue"/>
            <w:vAlign w:val="center"/>
          </w:tcPr>
          <w:p>
            <w:pPr>
              <w:spacing w:line="360" w:lineRule="auto"/>
              <w:jc w:val="center"/>
              <w:rPr>
                <w:rFonts w:ascii="宋体" w:hAnsi="宋体" w:cs="宋体"/>
                <w:color w:val="auto"/>
                <w:w w:val="99"/>
                <w:highlight w:val="none"/>
              </w:rPr>
            </w:pP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形式：在采购代理机构现场签收或电子邮件回执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2.3.1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招标文件修改发出的形式</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书面形式在采购代理机构现场领取或电子邮件发送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2.3.2</w:t>
            </w:r>
          </w:p>
        </w:tc>
        <w:tc>
          <w:tcPr>
            <w:tcW w:w="2268"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投标供应商确认收到招标文件修改</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时间：1日内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Merge w:val="continue"/>
            <w:vAlign w:val="center"/>
          </w:tcPr>
          <w:p>
            <w:pPr>
              <w:spacing w:line="360" w:lineRule="auto"/>
              <w:jc w:val="center"/>
              <w:rPr>
                <w:rFonts w:ascii="宋体" w:hAnsi="宋体" w:cs="宋体"/>
                <w:color w:val="auto"/>
                <w:highlight w:val="none"/>
              </w:rPr>
            </w:pPr>
          </w:p>
        </w:tc>
        <w:tc>
          <w:tcPr>
            <w:tcW w:w="2268" w:type="dxa"/>
            <w:vMerge w:val="continue"/>
            <w:vAlign w:val="center"/>
          </w:tcPr>
          <w:p>
            <w:pPr>
              <w:spacing w:line="360" w:lineRule="auto"/>
              <w:jc w:val="center"/>
              <w:rPr>
                <w:rFonts w:ascii="宋体" w:hAnsi="宋体" w:cs="宋体"/>
                <w:color w:val="auto"/>
                <w:highlight w:val="none"/>
              </w:rPr>
            </w:pP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形式：在采购代理机构现场签收或电子邮件回执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3.1.1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构成投标文件的其他资料</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3.2.1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增值税税金的计算方法</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3.2.4</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最高投标限价</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无</w:t>
            </w:r>
          </w:p>
          <w:p>
            <w:pPr>
              <w:spacing w:line="420" w:lineRule="exact"/>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有，最高投标限价：4080000.00元</w:t>
            </w:r>
          </w:p>
          <w:p>
            <w:pPr>
              <w:pStyle w:val="2"/>
              <w:spacing w:line="420" w:lineRule="exact"/>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各分项限价：三维步态评估及训练系统，60</w:t>
            </w:r>
            <w:r>
              <w:rPr>
                <w:rFonts w:ascii="宋体" w:hAnsi="宋体" w:eastAsia="宋体"/>
                <w:color w:val="auto"/>
                <w:kern w:val="2"/>
                <w:sz w:val="21"/>
                <w:szCs w:val="21"/>
                <w:highlight w:val="none"/>
              </w:rPr>
              <w:t>0000.00</w:t>
            </w:r>
            <w:r>
              <w:rPr>
                <w:rFonts w:hint="eastAsia" w:ascii="宋体" w:hAnsi="宋体" w:eastAsia="宋体"/>
                <w:color w:val="auto"/>
                <w:kern w:val="2"/>
                <w:sz w:val="21"/>
                <w:szCs w:val="21"/>
                <w:highlight w:val="none"/>
              </w:rPr>
              <w:t>元；24小时可视动态脑电图，55</w:t>
            </w:r>
            <w:r>
              <w:rPr>
                <w:rFonts w:ascii="宋体" w:hAnsi="宋体" w:eastAsia="宋体"/>
                <w:color w:val="auto"/>
                <w:kern w:val="2"/>
                <w:sz w:val="21"/>
                <w:szCs w:val="21"/>
                <w:highlight w:val="none"/>
              </w:rPr>
              <w:t>0000.00</w:t>
            </w:r>
            <w:r>
              <w:rPr>
                <w:rFonts w:hint="eastAsia" w:ascii="宋体" w:hAnsi="宋体" w:eastAsia="宋体"/>
                <w:color w:val="auto"/>
                <w:kern w:val="2"/>
                <w:sz w:val="21"/>
                <w:szCs w:val="21"/>
                <w:highlight w:val="none"/>
              </w:rPr>
              <w:t>元（已通过财政核准，允许采购进口设备）；电动震动起立床，2</w:t>
            </w:r>
            <w:r>
              <w:rPr>
                <w:rFonts w:ascii="宋体" w:hAnsi="宋体" w:eastAsia="宋体"/>
                <w:color w:val="auto"/>
                <w:kern w:val="2"/>
                <w:sz w:val="21"/>
                <w:szCs w:val="21"/>
                <w:highlight w:val="none"/>
              </w:rPr>
              <w:t>00000.00</w:t>
            </w:r>
            <w:r>
              <w:rPr>
                <w:rFonts w:hint="eastAsia" w:ascii="宋体" w:hAnsi="宋体" w:eastAsia="宋体"/>
                <w:color w:val="auto"/>
                <w:kern w:val="2"/>
                <w:sz w:val="21"/>
                <w:szCs w:val="21"/>
                <w:highlight w:val="none"/>
              </w:rPr>
              <w:t>元；主被动功率车（儿童型），</w:t>
            </w:r>
            <w:r>
              <w:rPr>
                <w:rFonts w:ascii="宋体" w:hAnsi="宋体" w:eastAsia="宋体"/>
                <w:color w:val="auto"/>
                <w:kern w:val="2"/>
                <w:sz w:val="21"/>
                <w:szCs w:val="21"/>
                <w:highlight w:val="none"/>
              </w:rPr>
              <w:t>250000.00</w:t>
            </w:r>
            <w:r>
              <w:rPr>
                <w:rFonts w:hint="eastAsia" w:ascii="宋体" w:hAnsi="宋体" w:eastAsia="宋体"/>
                <w:color w:val="auto"/>
                <w:kern w:val="2"/>
                <w:sz w:val="21"/>
                <w:szCs w:val="21"/>
                <w:highlight w:val="none"/>
              </w:rPr>
              <w:t>元（已通过财政核准，允许采购进口设备）；儿童减重支持训练系统，</w:t>
            </w:r>
            <w:r>
              <w:rPr>
                <w:rFonts w:ascii="宋体" w:hAnsi="宋体" w:eastAsia="宋体"/>
                <w:color w:val="auto"/>
                <w:kern w:val="2"/>
                <w:sz w:val="21"/>
                <w:szCs w:val="21"/>
                <w:highlight w:val="none"/>
              </w:rPr>
              <w:t>100000.00</w:t>
            </w:r>
            <w:r>
              <w:rPr>
                <w:rFonts w:hint="eastAsia" w:ascii="宋体" w:hAnsi="宋体" w:eastAsia="宋体"/>
                <w:color w:val="auto"/>
                <w:kern w:val="2"/>
                <w:sz w:val="21"/>
                <w:szCs w:val="21"/>
                <w:highlight w:val="none"/>
              </w:rPr>
              <w:t>元；生物刺激反馈仪，</w:t>
            </w:r>
            <w:r>
              <w:rPr>
                <w:rFonts w:ascii="宋体" w:hAnsi="宋体" w:eastAsia="宋体"/>
                <w:color w:val="auto"/>
                <w:kern w:val="2"/>
                <w:sz w:val="21"/>
                <w:szCs w:val="21"/>
                <w:highlight w:val="none"/>
              </w:rPr>
              <w:t>80000.00</w:t>
            </w:r>
            <w:r>
              <w:rPr>
                <w:rFonts w:hint="eastAsia" w:ascii="宋体" w:hAnsi="宋体" w:eastAsia="宋体"/>
                <w:color w:val="auto"/>
                <w:kern w:val="2"/>
                <w:sz w:val="21"/>
                <w:szCs w:val="21"/>
                <w:highlight w:val="none"/>
              </w:rPr>
              <w:t>元；肌兴奋治疗仪，</w:t>
            </w:r>
            <w:r>
              <w:rPr>
                <w:rFonts w:ascii="宋体" w:hAnsi="宋体" w:eastAsia="宋体"/>
                <w:color w:val="auto"/>
                <w:kern w:val="2"/>
                <w:sz w:val="21"/>
                <w:szCs w:val="21"/>
                <w:highlight w:val="none"/>
              </w:rPr>
              <w:t>120000.00</w:t>
            </w:r>
            <w:r>
              <w:rPr>
                <w:rFonts w:hint="eastAsia" w:ascii="宋体" w:hAnsi="宋体" w:eastAsia="宋体"/>
                <w:color w:val="auto"/>
                <w:kern w:val="2"/>
                <w:sz w:val="21"/>
                <w:szCs w:val="21"/>
                <w:highlight w:val="none"/>
              </w:rPr>
              <w:t>元；脑循环治疗仪，</w:t>
            </w:r>
            <w:r>
              <w:rPr>
                <w:rFonts w:ascii="宋体" w:hAnsi="宋体" w:eastAsia="宋体"/>
                <w:color w:val="auto"/>
                <w:kern w:val="2"/>
                <w:sz w:val="21"/>
                <w:szCs w:val="21"/>
                <w:highlight w:val="none"/>
              </w:rPr>
              <w:t>110000.00</w:t>
            </w:r>
            <w:r>
              <w:rPr>
                <w:rFonts w:hint="eastAsia" w:ascii="宋体" w:hAnsi="宋体" w:eastAsia="宋体"/>
                <w:color w:val="auto"/>
                <w:kern w:val="2"/>
                <w:sz w:val="21"/>
                <w:szCs w:val="21"/>
                <w:highlight w:val="none"/>
              </w:rPr>
              <w:t>元；痉挛肌治疗仪，</w:t>
            </w:r>
            <w:r>
              <w:rPr>
                <w:rFonts w:ascii="宋体" w:hAnsi="宋体" w:eastAsia="宋体"/>
                <w:color w:val="auto"/>
                <w:kern w:val="2"/>
                <w:sz w:val="21"/>
                <w:szCs w:val="21"/>
                <w:highlight w:val="none"/>
              </w:rPr>
              <w:t>70000.00</w:t>
            </w:r>
            <w:r>
              <w:rPr>
                <w:rFonts w:hint="eastAsia" w:ascii="宋体" w:hAnsi="宋体" w:eastAsia="宋体"/>
                <w:color w:val="auto"/>
                <w:kern w:val="2"/>
                <w:sz w:val="21"/>
                <w:szCs w:val="21"/>
                <w:highlight w:val="none"/>
              </w:rPr>
              <w:t>元；脑电生物反馈治疗仪（四通道），</w:t>
            </w:r>
            <w:r>
              <w:rPr>
                <w:rFonts w:ascii="宋体" w:hAnsi="宋体" w:eastAsia="宋体"/>
                <w:color w:val="auto"/>
                <w:kern w:val="2"/>
                <w:sz w:val="21"/>
                <w:szCs w:val="21"/>
                <w:highlight w:val="none"/>
              </w:rPr>
              <w:t>200000.00</w:t>
            </w:r>
            <w:r>
              <w:rPr>
                <w:rFonts w:hint="eastAsia" w:ascii="宋体" w:hAnsi="宋体" w:eastAsia="宋体"/>
                <w:color w:val="auto"/>
                <w:kern w:val="2"/>
                <w:sz w:val="21"/>
                <w:szCs w:val="21"/>
                <w:highlight w:val="none"/>
              </w:rPr>
              <w:t>元；气动式手康复装置，</w:t>
            </w:r>
            <w:r>
              <w:rPr>
                <w:rFonts w:ascii="宋体" w:hAnsi="宋体" w:eastAsia="宋体"/>
                <w:color w:val="auto"/>
                <w:kern w:val="2"/>
                <w:sz w:val="21"/>
                <w:szCs w:val="21"/>
                <w:highlight w:val="none"/>
              </w:rPr>
              <w:t>4</w:t>
            </w:r>
            <w:r>
              <w:rPr>
                <w:rFonts w:hint="eastAsia" w:ascii="宋体" w:hAnsi="宋体" w:eastAsia="宋体"/>
                <w:color w:val="auto"/>
                <w:kern w:val="2"/>
                <w:sz w:val="21"/>
                <w:szCs w:val="21"/>
                <w:highlight w:val="none"/>
              </w:rPr>
              <w:t>0</w:t>
            </w:r>
            <w:r>
              <w:rPr>
                <w:rFonts w:ascii="宋体" w:hAnsi="宋体" w:eastAsia="宋体"/>
                <w:color w:val="auto"/>
                <w:kern w:val="2"/>
                <w:sz w:val="21"/>
                <w:szCs w:val="21"/>
                <w:highlight w:val="none"/>
              </w:rPr>
              <w:t>0000.00</w:t>
            </w:r>
            <w:r>
              <w:rPr>
                <w:rFonts w:hint="eastAsia" w:ascii="宋体" w:hAnsi="宋体" w:eastAsia="宋体"/>
                <w:color w:val="auto"/>
                <w:kern w:val="2"/>
                <w:sz w:val="21"/>
                <w:szCs w:val="21"/>
                <w:highlight w:val="none"/>
              </w:rPr>
              <w:t>元；眼动认知康复训练系统，30</w:t>
            </w:r>
            <w:r>
              <w:rPr>
                <w:rFonts w:ascii="宋体" w:hAnsi="宋体" w:eastAsia="宋体"/>
                <w:color w:val="auto"/>
                <w:kern w:val="2"/>
                <w:sz w:val="21"/>
                <w:szCs w:val="21"/>
                <w:highlight w:val="none"/>
              </w:rPr>
              <w:t>0000.00</w:t>
            </w:r>
            <w:r>
              <w:rPr>
                <w:rFonts w:hint="eastAsia" w:ascii="宋体" w:hAnsi="宋体" w:eastAsia="宋体"/>
                <w:color w:val="auto"/>
                <w:kern w:val="2"/>
                <w:sz w:val="21"/>
                <w:szCs w:val="21"/>
                <w:highlight w:val="none"/>
              </w:rPr>
              <w:t>元；吞咽神经刺激系统，</w:t>
            </w:r>
            <w:r>
              <w:rPr>
                <w:rFonts w:ascii="宋体" w:hAnsi="宋体" w:eastAsia="宋体"/>
                <w:color w:val="auto"/>
                <w:kern w:val="2"/>
                <w:sz w:val="21"/>
                <w:szCs w:val="21"/>
                <w:highlight w:val="none"/>
              </w:rPr>
              <w:t>2</w:t>
            </w:r>
            <w:r>
              <w:rPr>
                <w:rFonts w:hint="eastAsia" w:ascii="宋体" w:hAnsi="宋体" w:eastAsia="宋体"/>
                <w:color w:val="auto"/>
                <w:kern w:val="2"/>
                <w:sz w:val="21"/>
                <w:szCs w:val="21"/>
                <w:highlight w:val="none"/>
              </w:rPr>
              <w:t>5</w:t>
            </w:r>
            <w:r>
              <w:rPr>
                <w:rFonts w:ascii="宋体" w:hAnsi="宋体" w:eastAsia="宋体"/>
                <w:color w:val="auto"/>
                <w:kern w:val="2"/>
                <w:sz w:val="21"/>
                <w:szCs w:val="21"/>
                <w:highlight w:val="none"/>
              </w:rPr>
              <w:t>0000.00</w:t>
            </w:r>
            <w:r>
              <w:rPr>
                <w:rFonts w:hint="eastAsia" w:ascii="宋体" w:hAnsi="宋体" w:eastAsia="宋体"/>
                <w:color w:val="auto"/>
                <w:kern w:val="2"/>
                <w:sz w:val="21"/>
                <w:szCs w:val="21"/>
                <w:highlight w:val="none"/>
              </w:rPr>
              <w:t>元；社交技能训练仪，500</w:t>
            </w:r>
            <w:r>
              <w:rPr>
                <w:rFonts w:ascii="宋体" w:hAnsi="宋体" w:eastAsia="宋体"/>
                <w:color w:val="auto"/>
                <w:kern w:val="2"/>
                <w:sz w:val="21"/>
                <w:szCs w:val="21"/>
                <w:highlight w:val="none"/>
              </w:rPr>
              <w:t>000.00</w:t>
            </w:r>
            <w:r>
              <w:rPr>
                <w:rFonts w:hint="eastAsia" w:ascii="宋体" w:hAnsi="宋体" w:eastAsia="宋体"/>
                <w:color w:val="auto"/>
                <w:kern w:val="2"/>
                <w:sz w:val="21"/>
                <w:szCs w:val="21"/>
                <w:highlight w:val="none"/>
              </w:rPr>
              <w:t>元；自闭症与多动障碍干预仪，</w:t>
            </w:r>
            <w:r>
              <w:rPr>
                <w:rFonts w:ascii="宋体" w:hAnsi="宋体" w:eastAsia="宋体"/>
                <w:color w:val="auto"/>
                <w:kern w:val="2"/>
                <w:sz w:val="21"/>
                <w:szCs w:val="21"/>
                <w:highlight w:val="none"/>
              </w:rPr>
              <w:t>300000.00</w:t>
            </w:r>
            <w:r>
              <w:rPr>
                <w:rFonts w:hint="eastAsia" w:ascii="宋体" w:hAnsi="宋体" w:eastAsia="宋体"/>
                <w:color w:val="auto"/>
                <w:kern w:val="2"/>
                <w:sz w:val="21"/>
                <w:szCs w:val="21"/>
                <w:highlight w:val="none"/>
              </w:rPr>
              <w:t>元；基础能力训练（可穿戴脑神经反馈训练系统），</w:t>
            </w:r>
            <w:r>
              <w:rPr>
                <w:rFonts w:ascii="宋体" w:hAnsi="宋体" w:eastAsia="宋体"/>
                <w:color w:val="auto"/>
                <w:kern w:val="2"/>
                <w:sz w:val="21"/>
                <w:szCs w:val="21"/>
                <w:highlight w:val="none"/>
              </w:rPr>
              <w:t>5</w:t>
            </w:r>
            <w:r>
              <w:rPr>
                <w:rFonts w:hint="eastAsia" w:ascii="宋体" w:hAnsi="宋体" w:eastAsia="宋体"/>
                <w:color w:val="auto"/>
                <w:kern w:val="2"/>
                <w:sz w:val="21"/>
                <w:szCs w:val="21"/>
                <w:highlight w:val="none"/>
              </w:rPr>
              <w:t>0</w:t>
            </w:r>
            <w:r>
              <w:rPr>
                <w:rFonts w:ascii="宋体" w:hAnsi="宋体" w:eastAsia="宋体"/>
                <w:color w:val="auto"/>
                <w:kern w:val="2"/>
                <w:sz w:val="21"/>
                <w:szCs w:val="21"/>
                <w:highlight w:val="none"/>
              </w:rPr>
              <w:t>000.00</w:t>
            </w:r>
            <w:r>
              <w:rPr>
                <w:rFonts w:hint="eastAsia" w:ascii="宋体" w:hAnsi="宋体" w:eastAsia="宋体"/>
                <w:color w:val="auto"/>
                <w:kern w:val="2"/>
                <w:sz w:val="21"/>
                <w:szCs w:val="21"/>
                <w:highlight w:val="none"/>
              </w:rPr>
              <w:t>元；</w:t>
            </w:r>
          </w:p>
          <w:p>
            <w:pPr>
              <w:spacing w:line="420" w:lineRule="exact"/>
              <w:rPr>
                <w:rFonts w:ascii="宋体" w:hAnsi="宋体" w:cs="宋体"/>
                <w:color w:val="auto"/>
                <w:highlight w:val="none"/>
              </w:rPr>
            </w:pPr>
            <w:r>
              <w:rPr>
                <w:rFonts w:hint="eastAsia" w:ascii="宋体" w:hAnsi="宋体" w:cs="宋体"/>
                <w:color w:val="auto"/>
                <w:highlight w:val="none"/>
              </w:rPr>
              <w:t>注：投标供应商的报价不得超过最高限价及各分项报价，否则按无效标处理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3.2.5</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投标报价的其他要求</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投标报价是完成本次采购货物（设备本体及附件、备品备件及专用工具）的供货、安装（包含所需的配件及辅材等）、调试、验收、试运行、接口费(医院his、lis等系统接口费)、售后服务及税金等一切费用的报价，投标供应商应在招标文件所附的货物报价清单上写明所有投标货物的单价和投标总价。以招标文件的内容和要求作为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3.3.1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投标有效期</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投标截止时间后90天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3.4.1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投标保证金</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是否要求投标供应商递交投标保证金：</w:t>
            </w:r>
          </w:p>
          <w:p>
            <w:pPr>
              <w:spacing w:line="360" w:lineRule="auto"/>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要求，投标保证金的形式：转账或信用担保方式（担保机构或按规定指定合作的担保机构提供担保的，需提供指定合作证明资料。）</w:t>
            </w:r>
          </w:p>
          <w:p>
            <w:pPr>
              <w:spacing w:line="360" w:lineRule="auto"/>
              <w:rPr>
                <w:rFonts w:ascii="宋体" w:hAnsi="宋体" w:cs="宋体"/>
                <w:b/>
                <w:bCs/>
                <w:color w:val="auto"/>
                <w:highlight w:val="none"/>
              </w:rPr>
            </w:pPr>
            <w:r>
              <w:rPr>
                <w:rFonts w:hint="eastAsia" w:ascii="宋体" w:hAnsi="宋体" w:cs="宋体"/>
                <w:color w:val="auto"/>
                <w:highlight w:val="none"/>
              </w:rPr>
              <w:t>投标保证金的金额：</w:t>
            </w:r>
            <w:r>
              <w:rPr>
                <w:rFonts w:hint="eastAsia" w:ascii="宋体" w:hAnsi="宋体" w:cs="宋体"/>
                <w:b/>
                <w:bCs/>
                <w:color w:val="auto"/>
                <w:highlight w:val="none"/>
              </w:rPr>
              <w:t>贰万元整</w:t>
            </w:r>
          </w:p>
          <w:p>
            <w:pPr>
              <w:spacing w:line="360" w:lineRule="auto"/>
              <w:rPr>
                <w:rFonts w:ascii="宋体" w:hAnsi="宋体" w:cs="宋体"/>
                <w:color w:val="auto"/>
                <w:sz w:val="24"/>
                <w:highlight w:val="none"/>
              </w:rPr>
            </w:pPr>
            <w:r>
              <w:rPr>
                <w:rFonts w:hint="eastAsia" w:ascii="宋体" w:hAnsi="宋体" w:cs="宋体"/>
                <w:color w:val="auto"/>
                <w:highlight w:val="none"/>
              </w:rPr>
              <w:t>以转账形式递交的投标供应商应保证在投标文件递交截止前将投标保证金</w:t>
            </w:r>
            <w:r>
              <w:rPr>
                <w:rFonts w:hint="eastAsia" w:ascii="宋体" w:hAnsi="宋体" w:cs="宋体"/>
                <w:b/>
                <w:bCs/>
                <w:color w:val="auto"/>
                <w:highlight w:val="none"/>
              </w:rPr>
              <w:t>以对公基本账户</w:t>
            </w:r>
            <w:r>
              <w:rPr>
                <w:rFonts w:hint="eastAsia" w:ascii="宋体" w:hAnsi="宋体" w:cs="宋体"/>
                <w:color w:val="auto"/>
                <w:highlight w:val="none"/>
              </w:rPr>
              <w:t>汇到以下账号，未能按时递交的其投标将被否决：</w:t>
            </w:r>
          </w:p>
          <w:p>
            <w:pPr>
              <w:spacing w:line="360" w:lineRule="auto"/>
              <w:rPr>
                <w:rFonts w:ascii="宋体" w:hAnsi="宋体" w:cs="宋体"/>
                <w:color w:val="auto"/>
                <w:sz w:val="24"/>
                <w:highlight w:val="none"/>
              </w:rPr>
            </w:pPr>
            <w:r>
              <w:rPr>
                <w:rFonts w:hint="eastAsia" w:ascii="宋体" w:hAnsi="宋体" w:cs="宋体"/>
                <w:color w:val="auto"/>
                <w:highlight w:val="none"/>
              </w:rPr>
              <w:t>户名：陕西省招标有限责任公司</w:t>
            </w:r>
          </w:p>
          <w:p>
            <w:pPr>
              <w:spacing w:line="360" w:lineRule="auto"/>
              <w:rPr>
                <w:rFonts w:ascii="宋体" w:hAnsi="宋体" w:cs="宋体"/>
                <w:color w:val="auto"/>
                <w:sz w:val="24"/>
                <w:highlight w:val="none"/>
              </w:rPr>
            </w:pPr>
            <w:r>
              <w:rPr>
                <w:rFonts w:hint="eastAsia" w:ascii="宋体" w:hAnsi="宋体" w:cs="宋体"/>
                <w:color w:val="auto"/>
                <w:highlight w:val="none"/>
              </w:rPr>
              <w:t>开户行：中国民生银行股份有限公司西安雁塔路支行</w:t>
            </w:r>
          </w:p>
          <w:p>
            <w:pPr>
              <w:spacing w:line="360" w:lineRule="auto"/>
              <w:rPr>
                <w:rFonts w:ascii="宋体" w:hAnsi="宋体" w:cs="宋体"/>
                <w:color w:val="auto"/>
                <w:sz w:val="24"/>
                <w:highlight w:val="none"/>
              </w:rPr>
            </w:pPr>
            <w:r>
              <w:rPr>
                <w:rFonts w:hint="eastAsia" w:ascii="宋体" w:hAnsi="宋体" w:cs="宋体"/>
                <w:color w:val="auto"/>
                <w:highlight w:val="none"/>
              </w:rPr>
              <w:t>账号：9902001766572554</w:t>
            </w:r>
          </w:p>
          <w:p>
            <w:pPr>
              <w:spacing w:line="360" w:lineRule="auto"/>
              <w:rPr>
                <w:rFonts w:ascii="宋体" w:hAnsi="宋体" w:cs="宋体"/>
                <w:b/>
                <w:bCs/>
                <w:color w:val="auto"/>
                <w:highlight w:val="none"/>
              </w:rPr>
            </w:pPr>
            <w:r>
              <w:rPr>
                <w:rFonts w:hint="eastAsia" w:ascii="宋体" w:hAnsi="宋体" w:cs="宋体"/>
                <w:b/>
                <w:bCs/>
                <w:color w:val="auto"/>
                <w:highlight w:val="none"/>
              </w:rPr>
              <w:t>注：投标供应商转账时请从基本账户转出，备注“保证金”及项目编号等信息</w:t>
            </w:r>
          </w:p>
          <w:p>
            <w:pPr>
              <w:spacing w:line="360" w:lineRule="auto"/>
              <w:ind w:firstLine="210"/>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 xml:space="preserve"> 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3.4.4</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其他可以不予退还投标保证金的情形</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3.5</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资格审查资料的特殊要求</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无</w:t>
            </w:r>
          </w:p>
          <w:p>
            <w:pPr>
              <w:spacing w:line="360" w:lineRule="auto"/>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有，具体要求：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3.5.2</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近年财务状况的年份要求</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1、经会计师事务所或审计机构出具的报告的年份要求为2020年度至2021的任意一年；</w:t>
            </w:r>
          </w:p>
          <w:p>
            <w:pPr>
              <w:spacing w:line="360" w:lineRule="auto"/>
              <w:rPr>
                <w:rFonts w:ascii="宋体" w:hAnsi="宋体" w:cs="宋体"/>
                <w:color w:val="auto"/>
                <w:highlight w:val="none"/>
              </w:rPr>
            </w:pPr>
            <w:r>
              <w:rPr>
                <w:rFonts w:hint="eastAsia" w:ascii="宋体" w:hAnsi="宋体" w:cs="宋体"/>
                <w:color w:val="auto"/>
                <w:highlight w:val="none"/>
              </w:rPr>
              <w:t>2、资信证明为在开标日期前六个月内其基本开户银行出具的；</w:t>
            </w:r>
          </w:p>
          <w:p>
            <w:pPr>
              <w:spacing w:line="360" w:lineRule="auto"/>
              <w:rPr>
                <w:rFonts w:ascii="宋体" w:hAnsi="宋体" w:cs="宋体"/>
                <w:color w:val="auto"/>
                <w:highlight w:val="none"/>
              </w:rPr>
            </w:pPr>
            <w:r>
              <w:rPr>
                <w:rFonts w:hint="eastAsia" w:ascii="宋体" w:hAnsi="宋体" w:cs="宋体"/>
                <w:color w:val="auto"/>
                <w:highlight w:val="none"/>
              </w:rPr>
              <w:t>3、投标担保函为招标公告发出之日起至投标文件截止时间前。</w:t>
            </w:r>
          </w:p>
          <w:p>
            <w:pPr>
              <w:spacing w:line="360" w:lineRule="auto"/>
              <w:rPr>
                <w:rFonts w:ascii="宋体" w:hAnsi="宋体" w:cs="宋体"/>
                <w:color w:val="auto"/>
                <w:highlight w:val="none"/>
              </w:rPr>
            </w:pPr>
            <w:r>
              <w:rPr>
                <w:rFonts w:hint="eastAsia" w:ascii="宋体" w:hAnsi="宋体" w:cs="宋体"/>
                <w:color w:val="auto"/>
                <w:highlight w:val="none"/>
              </w:rPr>
              <w:t>注：以上形式的证明资料提供任何一种即可，投标供应商的成立时间少于投标供应商须知前附表规定年份的，应提供成立以来的财务状况表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3.5.3</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近年完成的类似项目情况的时间要求</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3.5.5</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近年发生的诉讼及仲裁情况的时间要求</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近三年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3.5.6</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接受联合体投标</w:t>
            </w:r>
          </w:p>
        </w:tc>
        <w:tc>
          <w:tcPr>
            <w:tcW w:w="6147" w:type="dxa"/>
            <w:vAlign w:val="center"/>
          </w:tcPr>
          <w:p>
            <w:pPr>
              <w:pStyle w:val="10"/>
              <w:topLinePunct/>
              <w:spacing w:line="360" w:lineRule="auto"/>
              <w:jc w:val="left"/>
              <w:rPr>
                <w:rFonts w:hAnsi="宋体" w:cs="宋体"/>
                <w:color w:val="auto"/>
                <w:sz w:val="21"/>
                <w:szCs w:val="21"/>
                <w:highlight w:val="none"/>
              </w:rPr>
            </w:pPr>
            <w:r>
              <w:rPr>
                <w:rFonts w:hint="eastAsia" w:hAnsi="宋体" w:cs="宋体"/>
                <w:color w:val="auto"/>
                <w:sz w:val="21"/>
                <w:szCs w:val="21"/>
                <w:highlight w:val="none"/>
              </w:rPr>
              <w:sym w:font="Wingdings 2" w:char="0052"/>
            </w:r>
            <w:r>
              <w:rPr>
                <w:rFonts w:hint="eastAsia" w:hAnsi="宋体" w:cs="宋体"/>
                <w:color w:val="auto"/>
                <w:sz w:val="21"/>
                <w:szCs w:val="21"/>
                <w:highlight w:val="none"/>
              </w:rPr>
              <w:t>不接受</w:t>
            </w:r>
          </w:p>
          <w:p>
            <w:pPr>
              <w:spacing w:line="360" w:lineRule="auto"/>
              <w:rPr>
                <w:rFonts w:ascii="宋体" w:hAnsi="宋体" w:cs="宋体"/>
                <w:color w:val="auto"/>
                <w:highlight w:val="none"/>
                <w:u w:val="single"/>
              </w:rPr>
            </w:pPr>
            <w:r>
              <w:rPr>
                <w:rFonts w:hint="eastAsia" w:ascii="宋体" w:hAnsi="宋体" w:cs="宋体"/>
                <w:color w:val="auto"/>
                <w:highlight w:val="none"/>
              </w:rPr>
              <w:sym w:font="Wingdings 2" w:char="00A3"/>
            </w:r>
            <w:r>
              <w:rPr>
                <w:rFonts w:hint="eastAsia" w:ascii="宋体" w:hAnsi="宋体" w:cs="宋体"/>
                <w:color w:val="auto"/>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3.6.1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是否允许递交备选投标方案</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不允许</w:t>
            </w:r>
          </w:p>
          <w:p>
            <w:pPr>
              <w:spacing w:line="360" w:lineRule="auto"/>
              <w:rPr>
                <w:rFonts w:ascii="宋体" w:hAnsi="宋体" w:cs="宋体"/>
                <w:color w:val="auto"/>
                <w:highlight w:val="none"/>
                <w:u w:val="single"/>
              </w:rPr>
            </w:pPr>
            <w:r>
              <w:rPr>
                <w:rFonts w:hint="eastAsia" w:ascii="宋体" w:hAnsi="宋体" w:cs="宋体"/>
                <w:color w:val="auto"/>
                <w:highlight w:val="none"/>
              </w:rPr>
              <w:sym w:font="Wingdings 2" w:char="00A3"/>
            </w:r>
            <w:r>
              <w:rPr>
                <w:rFonts w:hint="eastAsia" w:ascii="宋体" w:hAnsi="宋体" w:cs="宋体"/>
                <w:color w:val="auto"/>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3.7.3（2）</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投标文件副本份数及其他要求</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投标文件副本份数：叁份</w:t>
            </w:r>
          </w:p>
          <w:p>
            <w:pPr>
              <w:spacing w:line="360" w:lineRule="auto"/>
              <w:rPr>
                <w:rFonts w:ascii="宋体" w:hAnsi="宋体" w:cs="宋体"/>
                <w:color w:val="auto"/>
                <w:highlight w:val="none"/>
              </w:rPr>
            </w:pPr>
            <w:r>
              <w:rPr>
                <w:rFonts w:hint="eastAsia" w:ascii="宋体" w:hAnsi="宋体" w:cs="宋体"/>
                <w:color w:val="auto"/>
                <w:highlight w:val="none"/>
              </w:rPr>
              <w:t>是否要求提供电子版投标文件：</w:t>
            </w:r>
          </w:p>
          <w:p>
            <w:pPr>
              <w:spacing w:line="360" w:lineRule="auto"/>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不要求：</w:t>
            </w:r>
          </w:p>
          <w:p>
            <w:pPr>
              <w:spacing w:line="360" w:lineRule="auto"/>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要求：投标供应商须另行提供与纸质投标文件正本一致的PDF格式电子版投标文件，载体为U盘（电子版不退）；</w:t>
            </w:r>
          </w:p>
          <w:p>
            <w:pPr>
              <w:spacing w:line="360" w:lineRule="auto"/>
              <w:rPr>
                <w:rFonts w:ascii="宋体" w:hAnsi="宋体" w:cs="宋体"/>
                <w:color w:val="auto"/>
                <w:highlight w:val="none"/>
              </w:rPr>
            </w:pPr>
            <w:r>
              <w:rPr>
                <w:rFonts w:hint="eastAsia" w:ascii="宋体" w:hAnsi="宋体" w:cs="宋体"/>
                <w:color w:val="auto"/>
                <w:highlight w:val="none"/>
              </w:rPr>
              <w:t>其他要求：如要求提供电子版投标文件，投标供应商须保证投标文件的纸质文件与电子文档保持一致；电子文档表面需标明项目编号、投标供应商名称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3.7.3（3）</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投标文件是否需分册装订</w:t>
            </w:r>
          </w:p>
        </w:tc>
        <w:tc>
          <w:tcPr>
            <w:tcW w:w="6147" w:type="dxa"/>
            <w:vAlign w:val="center"/>
          </w:tcPr>
          <w:p>
            <w:pPr>
              <w:pStyle w:val="56"/>
              <w:snapToGrid w:val="0"/>
              <w:spacing w:beforeLines="50" w:after="0" w:line="360" w:lineRule="auto"/>
              <w:rPr>
                <w:rFonts w:ascii="宋体" w:hAnsi="宋体" w:cs="宋体"/>
                <w:color w:val="auto"/>
                <w:spacing w:val="1"/>
                <w:sz w:val="21"/>
                <w:szCs w:val="21"/>
                <w:highlight w:val="none"/>
                <w:lang w:eastAsia="zh-CN"/>
              </w:rPr>
            </w:pPr>
            <w:r>
              <w:rPr>
                <w:rFonts w:hint="eastAsia" w:ascii="宋体" w:hAnsi="宋体" w:cs="宋体"/>
                <w:color w:val="auto"/>
                <w:spacing w:val="1"/>
                <w:sz w:val="21"/>
                <w:szCs w:val="21"/>
                <w:highlight w:val="none"/>
                <w:lang w:eastAsia="zh-CN"/>
              </w:rPr>
              <w:sym w:font="Wingdings 2" w:char="00A3"/>
            </w:r>
            <w:r>
              <w:rPr>
                <w:rFonts w:hint="eastAsia" w:ascii="宋体" w:hAnsi="宋体" w:cs="宋体"/>
                <w:color w:val="auto"/>
                <w:spacing w:val="1"/>
                <w:sz w:val="21"/>
                <w:szCs w:val="21"/>
                <w:highlight w:val="none"/>
                <w:lang w:eastAsia="zh-CN"/>
              </w:rPr>
              <w:t>不需要</w:t>
            </w:r>
          </w:p>
          <w:p>
            <w:pPr>
              <w:pStyle w:val="56"/>
              <w:snapToGrid w:val="0"/>
              <w:spacing w:beforeLines="50" w:after="0" w:line="360" w:lineRule="auto"/>
              <w:rPr>
                <w:rFonts w:ascii="宋体" w:hAnsi="宋体" w:cs="宋体"/>
                <w:color w:val="auto"/>
                <w:spacing w:val="1"/>
                <w:sz w:val="21"/>
                <w:szCs w:val="21"/>
                <w:highlight w:val="none"/>
                <w:lang w:eastAsia="zh-CN"/>
              </w:rPr>
            </w:pPr>
            <w:r>
              <w:rPr>
                <w:rFonts w:hint="eastAsia" w:ascii="宋体" w:hAnsi="宋体" w:cs="宋体"/>
                <w:color w:val="auto"/>
                <w:spacing w:val="1"/>
                <w:sz w:val="21"/>
                <w:szCs w:val="21"/>
                <w:highlight w:val="none"/>
                <w:lang w:eastAsia="zh-CN"/>
              </w:rPr>
              <w:sym w:font="Wingdings" w:char="00FE"/>
            </w:r>
            <w:r>
              <w:rPr>
                <w:rFonts w:hint="eastAsia" w:ascii="宋体" w:hAnsi="宋体" w:cs="宋体"/>
                <w:color w:val="auto"/>
                <w:spacing w:val="1"/>
                <w:sz w:val="21"/>
                <w:szCs w:val="21"/>
                <w:highlight w:val="none"/>
                <w:lang w:eastAsia="zh-CN"/>
              </w:rPr>
              <w:t>需要，分册装订要求：</w:t>
            </w:r>
          </w:p>
          <w:p>
            <w:pPr>
              <w:spacing w:line="360" w:lineRule="auto"/>
              <w:rPr>
                <w:rFonts w:ascii="宋体" w:hAnsi="宋体" w:cs="宋体"/>
                <w:color w:val="auto"/>
                <w:highlight w:val="none"/>
              </w:rPr>
            </w:pPr>
            <w:r>
              <w:rPr>
                <w:rFonts w:hint="eastAsia" w:ascii="宋体" w:hAnsi="宋体" w:cs="宋体"/>
                <w:color w:val="auto"/>
                <w:spacing w:val="1"/>
                <w:highlight w:val="none"/>
              </w:rPr>
              <w:t>投标文件厚度不得超过4CM，如超过4CM，则需分册装订。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4.1.2</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封套上应载明的信息</w:t>
            </w:r>
          </w:p>
        </w:tc>
        <w:tc>
          <w:tcPr>
            <w:tcW w:w="6147" w:type="dxa"/>
            <w:vAlign w:val="center"/>
          </w:tcPr>
          <w:p>
            <w:pPr>
              <w:spacing w:line="360" w:lineRule="auto"/>
              <w:jc w:val="right"/>
              <w:rPr>
                <w:rFonts w:ascii="宋体" w:hAnsi="宋体" w:cs="宋体"/>
                <w:color w:val="auto"/>
                <w:highlight w:val="none"/>
                <w:bdr w:val="single" w:color="auto" w:sz="4" w:space="0"/>
              </w:rPr>
            </w:pPr>
            <w:r>
              <w:rPr>
                <w:rFonts w:hint="eastAsia" w:ascii="宋体" w:hAnsi="宋体" w:cs="宋体"/>
                <w:color w:val="auto"/>
                <w:highlight w:val="none"/>
                <w:bdr w:val="single" w:color="auto" w:sz="4" w:space="0"/>
              </w:rPr>
              <w:t>正本/副本</w:t>
            </w:r>
          </w:p>
          <w:p>
            <w:pPr>
              <w:spacing w:line="360" w:lineRule="auto"/>
              <w:jc w:val="center"/>
              <w:rPr>
                <w:rFonts w:ascii="宋体" w:hAnsi="宋体" w:cs="宋体"/>
                <w:color w:val="auto"/>
                <w:highlight w:val="none"/>
                <w:u w:val="single"/>
              </w:rPr>
            </w:pPr>
            <w:r>
              <w:rPr>
                <w:rFonts w:hint="eastAsia" w:ascii="宋体" w:hAnsi="宋体" w:cs="宋体"/>
                <w:color w:val="auto"/>
                <w:highlight w:val="none"/>
                <w:u w:val="single"/>
              </w:rPr>
              <w:t>（项目名称）</w:t>
            </w:r>
          </w:p>
          <w:p>
            <w:pPr>
              <w:spacing w:line="360" w:lineRule="auto"/>
              <w:ind w:firstLine="1680" w:firstLineChars="800"/>
              <w:rPr>
                <w:rFonts w:ascii="宋体" w:hAnsi="宋体" w:cs="宋体"/>
                <w:color w:val="auto"/>
                <w:highlight w:val="none"/>
                <w:u w:val="single"/>
              </w:rPr>
            </w:pPr>
            <w:r>
              <w:rPr>
                <w:rFonts w:hint="eastAsia" w:ascii="宋体" w:hAnsi="宋体" w:cs="宋体"/>
                <w:color w:val="auto"/>
                <w:highlight w:val="none"/>
                <w:u w:val="single"/>
              </w:rPr>
              <w:t>（项目编号）</w:t>
            </w:r>
          </w:p>
          <w:p>
            <w:pPr>
              <w:spacing w:line="360" w:lineRule="auto"/>
              <w:jc w:val="center"/>
              <w:rPr>
                <w:rFonts w:ascii="宋体" w:hAnsi="宋体" w:cs="宋体"/>
                <w:b/>
                <w:color w:val="auto"/>
                <w:highlight w:val="none"/>
              </w:rPr>
            </w:pPr>
            <w:r>
              <w:rPr>
                <w:rFonts w:hint="eastAsia" w:ascii="宋体" w:hAnsi="宋体" w:cs="宋体"/>
                <w:b/>
                <w:color w:val="auto"/>
                <w:highlight w:val="none"/>
              </w:rPr>
              <w:t>投标文件</w:t>
            </w:r>
          </w:p>
          <w:p>
            <w:pPr>
              <w:spacing w:line="360" w:lineRule="auto"/>
              <w:ind w:firstLine="630" w:firstLineChars="300"/>
              <w:rPr>
                <w:rFonts w:ascii="宋体" w:hAnsi="宋体" w:cs="宋体"/>
                <w:color w:val="auto"/>
                <w:highlight w:val="none"/>
                <w:u w:val="single"/>
              </w:rPr>
            </w:pPr>
            <w:r>
              <w:rPr>
                <w:rFonts w:hint="eastAsia" w:ascii="宋体" w:hAnsi="宋体" w:cs="宋体"/>
                <w:color w:val="auto"/>
                <w:highlight w:val="none"/>
              </w:rPr>
              <w:t>投标供应商名称：</w:t>
            </w:r>
          </w:p>
          <w:p>
            <w:pPr>
              <w:spacing w:line="360" w:lineRule="auto"/>
              <w:rPr>
                <w:rFonts w:ascii="宋体" w:hAnsi="宋体" w:cs="宋体"/>
                <w:color w:val="auto"/>
                <w:highlight w:val="none"/>
                <w:u w:val="single"/>
              </w:rPr>
            </w:pPr>
            <w:r>
              <w:rPr>
                <w:rFonts w:hint="eastAsia" w:ascii="宋体" w:hAnsi="宋体" w:cs="宋体"/>
                <w:color w:val="auto"/>
                <w:highlight w:val="none"/>
              </w:rPr>
              <w:t>在 年 月 日 时 分（填投标截止时间）前不得开启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4.2.1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投标截止时间</w:t>
            </w:r>
          </w:p>
        </w:tc>
        <w:tc>
          <w:tcPr>
            <w:tcW w:w="6147" w:type="dxa"/>
            <w:vAlign w:val="center"/>
          </w:tcPr>
          <w:p>
            <w:pPr>
              <w:spacing w:line="360" w:lineRule="auto"/>
              <w:rPr>
                <w:rFonts w:ascii="宋体" w:hAnsi="宋体" w:cs="宋体"/>
                <w:color w:val="auto"/>
                <w:highlight w:val="none"/>
                <w:u w:val="single"/>
              </w:rPr>
            </w:pPr>
            <w:r>
              <w:rPr>
                <w:rFonts w:hint="eastAsia" w:ascii="宋体" w:hAnsi="宋体" w:cs="宋体"/>
                <w:color w:val="auto"/>
                <w:highlight w:val="none"/>
              </w:rPr>
              <w:t>见招标公告中要求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4.2.2</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递交投标文件地点</w:t>
            </w:r>
          </w:p>
        </w:tc>
        <w:tc>
          <w:tcPr>
            <w:tcW w:w="6147" w:type="dxa"/>
            <w:vAlign w:val="center"/>
          </w:tcPr>
          <w:p>
            <w:pPr>
              <w:spacing w:line="360" w:lineRule="auto"/>
              <w:rPr>
                <w:rFonts w:ascii="宋体" w:hAnsi="宋体" w:cs="宋体"/>
                <w:color w:val="auto"/>
                <w:highlight w:val="none"/>
                <w:u w:val="single"/>
              </w:rPr>
            </w:pPr>
            <w:r>
              <w:rPr>
                <w:rFonts w:hint="eastAsia" w:ascii="宋体" w:hAnsi="宋体" w:cs="宋体"/>
                <w:color w:val="auto"/>
                <w:highlight w:val="none"/>
              </w:rPr>
              <w:t>见招标公告中要求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4.2.3</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投标文件是否退还</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否</w:t>
            </w:r>
          </w:p>
          <w:p>
            <w:pPr>
              <w:spacing w:line="360" w:lineRule="auto"/>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是，退还时间：/</w:t>
            </w:r>
          </w:p>
          <w:p>
            <w:pPr>
              <w:spacing w:line="360" w:lineRule="auto"/>
              <w:rPr>
                <w:rFonts w:ascii="宋体" w:hAnsi="宋体" w:cs="宋体"/>
                <w:color w:val="auto"/>
                <w:highlight w:val="none"/>
              </w:rPr>
            </w:pPr>
            <w:r>
              <w:rPr>
                <w:rFonts w:hint="eastAsia" w:ascii="宋体" w:hAnsi="宋体" w:cs="宋体"/>
                <w:color w:val="auto"/>
                <w:highlight w:val="none"/>
              </w:rPr>
              <w:t>注：至投标截止时间，递交投标文件的投标供应商不足三家时，现场退还已递交的投标文件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5.1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开标时间和地点</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开标时间：同投标截止时间</w:t>
            </w:r>
          </w:p>
          <w:p>
            <w:pPr>
              <w:spacing w:line="360" w:lineRule="auto"/>
              <w:rPr>
                <w:rFonts w:ascii="宋体" w:hAnsi="宋体" w:cs="宋体"/>
                <w:color w:val="auto"/>
                <w:highlight w:val="none"/>
              </w:rPr>
            </w:pPr>
            <w:r>
              <w:rPr>
                <w:rFonts w:hint="eastAsia" w:ascii="宋体" w:hAnsi="宋体" w:cs="宋体"/>
                <w:color w:val="auto"/>
                <w:highlight w:val="none"/>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5.2（4）</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开标程序</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开标顺序：随机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6.1.1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评标委员会的组建</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评标委员会构成：5人及以上单数。</w:t>
            </w:r>
          </w:p>
          <w:p>
            <w:pPr>
              <w:spacing w:line="360" w:lineRule="auto"/>
              <w:rPr>
                <w:rFonts w:ascii="宋体" w:hAnsi="宋体" w:cs="宋体"/>
                <w:color w:val="auto"/>
                <w:highlight w:val="none"/>
              </w:rPr>
            </w:pPr>
            <w:r>
              <w:rPr>
                <w:rFonts w:hint="eastAsia" w:ascii="宋体" w:hAnsi="宋体" w:cs="宋体"/>
                <w:color w:val="auto"/>
                <w:highlight w:val="none"/>
              </w:rPr>
              <w:t>由采购人代表和相关专家组成。</w:t>
            </w:r>
          </w:p>
          <w:p>
            <w:pPr>
              <w:spacing w:line="360" w:lineRule="auto"/>
              <w:rPr>
                <w:rFonts w:ascii="宋体" w:hAnsi="宋体" w:cs="宋体"/>
                <w:color w:val="auto"/>
                <w:highlight w:val="none"/>
              </w:rPr>
            </w:pPr>
            <w:r>
              <w:rPr>
                <w:rFonts w:hint="eastAsia" w:ascii="宋体" w:hAnsi="宋体" w:cs="宋体"/>
                <w:color w:val="auto"/>
                <w:highlight w:val="none"/>
              </w:rPr>
              <w:t>评标专家确定方式：按规定在政府采购专家库中随机抽取。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6.3.2</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评标委员会推荐中标候选人的人数</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不超过3人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7.1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中标结果公示媒介及期限</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公示媒介：陕西省政府采购网</w:t>
            </w:r>
          </w:p>
          <w:p>
            <w:pPr>
              <w:spacing w:line="360" w:lineRule="auto"/>
              <w:rPr>
                <w:rFonts w:ascii="宋体" w:hAnsi="宋体" w:cs="宋体"/>
                <w:color w:val="auto"/>
                <w:highlight w:val="none"/>
              </w:rPr>
            </w:pPr>
            <w:r>
              <w:rPr>
                <w:rFonts w:hint="eastAsia" w:ascii="宋体" w:hAnsi="宋体" w:cs="宋体"/>
                <w:color w:val="auto"/>
                <w:highlight w:val="none"/>
              </w:rPr>
              <w:t>公示期限：1个工作日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7.4.1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是否授权评标委员会确定中标供应商</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是</w:t>
            </w:r>
          </w:p>
          <w:p>
            <w:pPr>
              <w:spacing w:line="360" w:lineRule="auto"/>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否：由采购人根据评标委员会推荐的中标候选人按顺序确定中标供应商。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7.6.1</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履约保证金</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是否要求中标供应商提交履约保证金：</w:t>
            </w:r>
          </w:p>
          <w:p>
            <w:pPr>
              <w:spacing w:line="360" w:lineRule="auto"/>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要求，履约保证金的形式：/。</w:t>
            </w:r>
          </w:p>
          <w:p>
            <w:pPr>
              <w:spacing w:line="360" w:lineRule="auto"/>
              <w:rPr>
                <w:rFonts w:ascii="宋体" w:hAnsi="宋体" w:cs="宋体"/>
                <w:color w:val="auto"/>
                <w:highlight w:val="none"/>
              </w:rPr>
            </w:pPr>
            <w:r>
              <w:rPr>
                <w:rFonts w:hint="eastAsia" w:ascii="宋体" w:hAnsi="宋体" w:cs="宋体"/>
                <w:color w:val="auto"/>
                <w:highlight w:val="none"/>
              </w:rPr>
              <w:t>履约保证金的金额：/。</w:t>
            </w:r>
          </w:p>
          <w:p>
            <w:pPr>
              <w:spacing w:line="360" w:lineRule="auto"/>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 xml:space="preserve">不要求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9</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是否采用电子招标投标</w:t>
            </w:r>
          </w:p>
        </w:tc>
        <w:tc>
          <w:tcPr>
            <w:tcW w:w="6147" w:type="dxa"/>
            <w:vAlign w:val="center"/>
          </w:tcPr>
          <w:p>
            <w:pPr>
              <w:spacing w:line="360" w:lineRule="auto"/>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否</w:t>
            </w:r>
          </w:p>
          <w:p>
            <w:pPr>
              <w:spacing w:line="360" w:lineRule="auto"/>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是，具体要求：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w:t>
            </w:r>
          </w:p>
        </w:tc>
        <w:tc>
          <w:tcPr>
            <w:tcW w:w="22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需要补充的其他内容</w:t>
            </w:r>
          </w:p>
        </w:tc>
        <w:tc>
          <w:tcPr>
            <w:tcW w:w="6147" w:type="dxa"/>
            <w:vAlign w:val="center"/>
          </w:tcPr>
          <w:p>
            <w:pPr>
              <w:pStyle w:val="40"/>
              <w:spacing w:line="360" w:lineRule="auto"/>
              <w:rPr>
                <w:rFonts w:ascii="宋体" w:hAnsi="宋体" w:cs="宋体"/>
                <w:color w:val="auto"/>
                <w:highlight w:val="none"/>
              </w:rPr>
            </w:pPr>
            <w:r>
              <w:rPr>
                <w:rFonts w:hint="eastAsia" w:ascii="宋体" w:hAnsi="宋体" w:cs="宋体"/>
                <w:color w:val="auto"/>
                <w:highlight w:val="none"/>
              </w:rPr>
              <w:t>1、本项目行政监督部门为陕西省财政厅。</w:t>
            </w:r>
          </w:p>
          <w:p>
            <w:pPr>
              <w:spacing w:line="360" w:lineRule="auto"/>
              <w:rPr>
                <w:rFonts w:ascii="宋体" w:hAnsi="宋体" w:cs="宋体"/>
                <w:color w:val="auto"/>
                <w:highlight w:val="none"/>
              </w:rPr>
            </w:pPr>
            <w:r>
              <w:rPr>
                <w:rFonts w:hint="eastAsia" w:ascii="宋体" w:hAnsi="宋体" w:cs="宋体"/>
                <w:b/>
                <w:bCs/>
                <w:color w:val="auto"/>
                <w:highlight w:val="none"/>
              </w:rPr>
              <w:t>2、采购代理服务费：</w:t>
            </w:r>
            <w:r>
              <w:rPr>
                <w:rFonts w:hint="eastAsia" w:ascii="宋体" w:hAnsi="宋体" w:cs="宋体"/>
                <w:color w:val="auto"/>
                <w:highlight w:val="none"/>
              </w:rPr>
              <w:t>本次招标代理服务费以中标金额为基数，由中标单位参照国家计委计价格[2002]1980号文、国家发改办价格[2003]857号文和国家发改办价格[2011]534号文件规定的标准下浮15%向代理机构支付，此项费用含于投标报价中。</w:t>
            </w:r>
          </w:p>
          <w:p>
            <w:pPr>
              <w:spacing w:line="360" w:lineRule="auto"/>
              <w:rPr>
                <w:rFonts w:ascii="宋体" w:hAnsi="宋体" w:cs="宋体"/>
                <w:color w:val="auto"/>
                <w:highlight w:val="none"/>
              </w:rPr>
            </w:pPr>
            <w:r>
              <w:rPr>
                <w:rFonts w:hint="eastAsia" w:ascii="宋体" w:hAnsi="宋体" w:cs="宋体"/>
                <w:color w:val="auto"/>
                <w:highlight w:val="none"/>
              </w:rPr>
              <w:t>收款单位：陕西省招标有限责任公司</w:t>
            </w:r>
          </w:p>
          <w:p>
            <w:pPr>
              <w:spacing w:line="360" w:lineRule="auto"/>
              <w:rPr>
                <w:rFonts w:ascii="宋体" w:hAnsi="宋体" w:cs="宋体"/>
                <w:color w:val="auto"/>
                <w:highlight w:val="none"/>
              </w:rPr>
            </w:pPr>
            <w:r>
              <w:rPr>
                <w:rFonts w:hint="eastAsia" w:ascii="宋体" w:hAnsi="宋体" w:cs="宋体"/>
                <w:color w:val="auto"/>
                <w:highlight w:val="none"/>
              </w:rPr>
              <w:t>开户银行：招商银行西安朝阳门支行</w:t>
            </w:r>
          </w:p>
          <w:p>
            <w:pPr>
              <w:pStyle w:val="40"/>
              <w:spacing w:line="360" w:lineRule="auto"/>
              <w:rPr>
                <w:rFonts w:ascii="宋体" w:hAnsi="宋体" w:cs="宋体"/>
                <w:color w:val="auto"/>
                <w:highlight w:val="none"/>
              </w:rPr>
            </w:pPr>
            <w:r>
              <w:rPr>
                <w:rFonts w:hint="eastAsia" w:ascii="宋体" w:hAnsi="宋体" w:cs="宋体"/>
                <w:color w:val="auto"/>
                <w:highlight w:val="none"/>
              </w:rPr>
              <w:t>账    号：129904242010801</w:t>
            </w:r>
          </w:p>
          <w:p>
            <w:pPr>
              <w:pStyle w:val="40"/>
              <w:spacing w:line="360" w:lineRule="auto"/>
              <w:rPr>
                <w:rFonts w:ascii="宋体" w:hAnsi="宋体" w:cs="宋体"/>
                <w:b/>
                <w:bCs/>
                <w:color w:val="auto"/>
                <w:highlight w:val="none"/>
              </w:rPr>
            </w:pPr>
            <w:r>
              <w:rPr>
                <w:rFonts w:hint="eastAsia" w:ascii="宋体" w:hAnsi="宋体" w:cs="宋体"/>
                <w:b/>
                <w:bCs/>
                <w:color w:val="auto"/>
                <w:highlight w:val="none"/>
              </w:rPr>
              <w:t>注：供应商转账时请从基本账户转出，备注“代理服务费”及项目编号或名称等信息</w:t>
            </w:r>
          </w:p>
          <w:p>
            <w:pPr>
              <w:pStyle w:val="40"/>
              <w:spacing w:line="360" w:lineRule="auto"/>
              <w:rPr>
                <w:rFonts w:ascii="宋体" w:hAnsi="宋体" w:cs="宋体"/>
                <w:b/>
                <w:bCs/>
                <w:color w:val="auto"/>
                <w:highlight w:val="none"/>
              </w:rPr>
            </w:pPr>
            <w:r>
              <w:rPr>
                <w:rFonts w:hint="eastAsia" w:ascii="宋体" w:hAnsi="宋体" w:cs="宋体"/>
                <w:b/>
                <w:bCs/>
                <w:color w:val="auto"/>
                <w:highlight w:val="none"/>
              </w:rPr>
              <w:t>3、恶意质疑或投诉的供应商，采购人将会上报行政主管部门并列入供应商失信名单</w:t>
            </w:r>
          </w:p>
          <w:p>
            <w:pPr>
              <w:pStyle w:val="40"/>
              <w:spacing w:line="360" w:lineRule="auto"/>
              <w:rPr>
                <w:rFonts w:ascii="宋体" w:hAnsi="宋体" w:cs="宋体"/>
                <w:b/>
                <w:bCs/>
                <w:color w:val="auto"/>
                <w:highlight w:val="none"/>
              </w:rPr>
            </w:pPr>
            <w:r>
              <w:rPr>
                <w:rFonts w:hint="eastAsia" w:ascii="宋体" w:hAnsi="宋体" w:cs="宋体"/>
                <w:b/>
                <w:bCs/>
                <w:color w:val="auto"/>
                <w:highlight w:val="none"/>
              </w:rPr>
              <w:t>4、是否接受进口产品：</w:t>
            </w:r>
          </w:p>
          <w:p>
            <w:pPr>
              <w:pStyle w:val="40"/>
              <w:spacing w:line="360" w:lineRule="auto"/>
              <w:rPr>
                <w:rFonts w:ascii="宋体" w:hAnsi="宋体" w:cs="宋体"/>
                <w:b/>
                <w:bCs/>
                <w:color w:val="auto"/>
                <w:highlight w:val="none"/>
              </w:rPr>
            </w:pPr>
            <w:r>
              <w:rPr>
                <w:rFonts w:hint="eastAsia" w:ascii="宋体" w:hAnsi="宋体" w:cs="宋体"/>
                <w:b/>
                <w:bCs/>
                <w:color w:val="auto"/>
                <w:highlight w:val="none"/>
              </w:rPr>
              <w:sym w:font="Wingdings 2" w:char="00A3"/>
            </w:r>
            <w:r>
              <w:rPr>
                <w:rFonts w:hint="eastAsia" w:ascii="宋体" w:hAnsi="宋体" w:cs="宋体"/>
                <w:b/>
                <w:bCs/>
                <w:color w:val="auto"/>
                <w:highlight w:val="none"/>
              </w:rPr>
              <w:t>否</w:t>
            </w:r>
          </w:p>
          <w:p>
            <w:pPr>
              <w:pStyle w:val="40"/>
              <w:spacing w:line="360" w:lineRule="auto"/>
              <w:rPr>
                <w:rFonts w:ascii="宋体" w:hAnsi="宋体" w:cs="宋体"/>
                <w:b/>
                <w:bCs/>
                <w:color w:val="auto"/>
                <w:highlight w:val="none"/>
              </w:rPr>
            </w:pPr>
            <w:r>
              <w:rPr>
                <w:rFonts w:hint="eastAsia" w:ascii="宋体" w:hAnsi="宋体" w:cs="宋体"/>
                <w:b/>
                <w:bCs/>
                <w:color w:val="auto"/>
                <w:highlight w:val="none"/>
              </w:rPr>
              <w:sym w:font="Wingdings 2" w:char="0052"/>
            </w:r>
            <w:r>
              <w:rPr>
                <w:rFonts w:hint="eastAsia" w:ascii="宋体" w:hAnsi="宋体" w:cs="宋体"/>
                <w:b/>
                <w:bCs/>
                <w:color w:val="auto"/>
                <w:highlight w:val="none"/>
              </w:rPr>
              <w:t>是，具体要求：标明进口产品的为同意购买进口产品的设备（产品），进口产品是指通过中国海关报关验放进入中国境内且产自关境外的产品，同意购买进口产品的设备（产品）不限制满足招标文件要求的国产产品参与本次采购</w:t>
            </w:r>
          </w:p>
          <w:p>
            <w:pPr>
              <w:pStyle w:val="40"/>
              <w:spacing w:line="360" w:lineRule="auto"/>
              <w:rPr>
                <w:rFonts w:ascii="宋体" w:hAnsi="宋体" w:cs="宋体"/>
                <w:b/>
                <w:bCs/>
                <w:color w:val="auto"/>
                <w:highlight w:val="none"/>
              </w:rPr>
            </w:pPr>
            <w:r>
              <w:rPr>
                <w:rFonts w:ascii="宋体" w:hAnsi="宋体" w:cs="宋体"/>
                <w:b/>
                <w:bCs/>
                <w:color w:val="auto"/>
                <w:highlight w:val="none"/>
              </w:rPr>
              <w:t>5、是否为专门面向中小企业采购：</w:t>
            </w:r>
            <w:r>
              <w:rPr>
                <w:rFonts w:ascii="宋体" w:hAnsi="宋体" w:cs="宋体"/>
                <w:b/>
                <w:bCs/>
                <w:color w:val="auto"/>
                <w:highlight w:val="none"/>
              </w:rPr>
              <w:sym w:font="Wingdings 2" w:char="0052"/>
            </w:r>
            <w:r>
              <w:rPr>
                <w:rFonts w:hint="eastAsia" w:ascii="宋体" w:hAnsi="宋体" w:cs="宋体"/>
                <w:b/>
                <w:bCs/>
                <w:color w:val="auto"/>
                <w:highlight w:val="none"/>
              </w:rPr>
              <w:t>否</w:t>
            </w:r>
            <w:r>
              <w:rPr>
                <w:rFonts w:ascii="宋体" w:hAnsi="宋体" w:cs="宋体"/>
                <w:b/>
                <w:bCs/>
                <w:color w:val="auto"/>
                <w:highlight w:val="none"/>
              </w:rPr>
              <w:sym w:font="Wingdings 2" w:char="00A3"/>
            </w:r>
            <w:r>
              <w:rPr>
                <w:rFonts w:hint="eastAsia" w:ascii="宋体" w:hAnsi="宋体" w:cs="宋体"/>
                <w:b/>
                <w:bCs/>
                <w:color w:val="auto"/>
                <w:highlight w:val="none"/>
              </w:rPr>
              <w:t>是</w:t>
            </w:r>
          </w:p>
          <w:p>
            <w:pPr>
              <w:pStyle w:val="40"/>
              <w:spacing w:line="360" w:lineRule="auto"/>
              <w:rPr>
                <w:rFonts w:ascii="宋体" w:hAnsi="宋体" w:cs="宋体"/>
                <w:b/>
                <w:bCs/>
                <w:color w:val="auto"/>
                <w:highlight w:val="none"/>
              </w:rPr>
            </w:pPr>
            <w:r>
              <w:rPr>
                <w:rFonts w:ascii="宋体" w:hAnsi="宋体" w:cs="宋体"/>
                <w:b/>
                <w:bCs/>
                <w:color w:val="auto"/>
                <w:highlight w:val="none"/>
              </w:rPr>
              <w:t>6、所属行业</w:t>
            </w:r>
            <w:r>
              <w:rPr>
                <w:rFonts w:hint="eastAsia" w:ascii="宋体" w:hAnsi="宋体" w:cs="宋体"/>
                <w:b/>
                <w:bCs/>
                <w:color w:val="auto"/>
                <w:highlight w:val="none"/>
              </w:rPr>
              <w:t>：工业</w:t>
            </w:r>
          </w:p>
        </w:tc>
      </w:tr>
    </w:tbl>
    <w:p>
      <w:pPr>
        <w:spacing w:line="360" w:lineRule="auto"/>
        <w:rPr>
          <w:rFonts w:hAnsi="宋体"/>
          <w:color w:val="auto"/>
          <w:highlight w:val="none"/>
        </w:rPr>
      </w:pPr>
    </w:p>
    <w:p>
      <w:pPr>
        <w:rPr>
          <w:color w:val="auto"/>
          <w:highlight w:val="none"/>
        </w:rPr>
      </w:pPr>
      <w:r>
        <w:rPr>
          <w:color w:val="auto"/>
          <w:highlight w:val="none"/>
        </w:rPr>
        <w:br w:type="page"/>
      </w:r>
    </w:p>
    <w:p>
      <w:pPr>
        <w:pageBreakBefore/>
        <w:spacing w:line="360" w:lineRule="auto"/>
        <w:jc w:val="left"/>
        <w:rPr>
          <w:b/>
          <w:color w:val="auto"/>
          <w:highlight w:val="none"/>
        </w:rPr>
      </w:pPr>
      <w:r>
        <w:rPr>
          <w:b/>
          <w:color w:val="auto"/>
          <w:highlight w:val="none"/>
        </w:rPr>
        <w:t>1. 总则</w:t>
      </w:r>
    </w:p>
    <w:p>
      <w:pPr>
        <w:spacing w:line="360" w:lineRule="auto"/>
        <w:jc w:val="left"/>
        <w:rPr>
          <w:color w:val="auto"/>
          <w:highlight w:val="none"/>
        </w:rPr>
      </w:pPr>
      <w:r>
        <w:rPr>
          <w:color w:val="auto"/>
          <w:highlight w:val="none"/>
        </w:rPr>
        <w:t>1.1 招标项目概况</w:t>
      </w:r>
    </w:p>
    <w:p>
      <w:pPr>
        <w:spacing w:line="360" w:lineRule="auto"/>
        <w:ind w:firstLine="420"/>
        <w:rPr>
          <w:color w:val="auto"/>
          <w:highlight w:val="none"/>
        </w:rPr>
      </w:pPr>
      <w:r>
        <w:rPr>
          <w:color w:val="auto"/>
          <w:highlight w:val="none"/>
        </w:rPr>
        <w:t>1.1.1根据《中华人民共和国政府采购法》、《中华人民共和国政府采购法实施条例》、《政府采购货物和服务招标投标管理办法》等有关法律、法规和规章的规定，本招标项目已具备招标条件，现对本项目进行招标。</w:t>
      </w:r>
    </w:p>
    <w:p>
      <w:pPr>
        <w:spacing w:line="360" w:lineRule="auto"/>
        <w:ind w:firstLine="420" w:firstLineChars="200"/>
        <w:jc w:val="left"/>
        <w:rPr>
          <w:color w:val="auto"/>
          <w:highlight w:val="none"/>
        </w:rPr>
      </w:pPr>
      <w:r>
        <w:rPr>
          <w:color w:val="auto"/>
          <w:highlight w:val="none"/>
        </w:rPr>
        <w:t>1.1.2 采购人：见投标供应商须知前附表。</w:t>
      </w:r>
    </w:p>
    <w:p>
      <w:pPr>
        <w:spacing w:line="360" w:lineRule="auto"/>
        <w:ind w:firstLine="420" w:firstLineChars="200"/>
        <w:jc w:val="left"/>
        <w:rPr>
          <w:color w:val="auto"/>
          <w:highlight w:val="none"/>
        </w:rPr>
      </w:pPr>
      <w:r>
        <w:rPr>
          <w:color w:val="auto"/>
          <w:highlight w:val="none"/>
        </w:rPr>
        <w:t>1.1.3 采购代理机构：见投标供应商须知前附表。</w:t>
      </w:r>
    </w:p>
    <w:p>
      <w:pPr>
        <w:spacing w:line="360" w:lineRule="auto"/>
        <w:ind w:firstLine="420" w:firstLineChars="200"/>
        <w:jc w:val="left"/>
        <w:rPr>
          <w:color w:val="auto"/>
          <w:highlight w:val="none"/>
        </w:rPr>
      </w:pPr>
      <w:r>
        <w:rPr>
          <w:color w:val="auto"/>
          <w:highlight w:val="none"/>
        </w:rPr>
        <w:t>1.1.4 招标项目名称：见投标供应商须知前附表。</w:t>
      </w:r>
    </w:p>
    <w:p>
      <w:pPr>
        <w:spacing w:line="360" w:lineRule="auto"/>
        <w:ind w:firstLine="420" w:firstLineChars="200"/>
        <w:jc w:val="left"/>
        <w:rPr>
          <w:color w:val="auto"/>
          <w:highlight w:val="none"/>
        </w:rPr>
      </w:pPr>
      <w:r>
        <w:rPr>
          <w:color w:val="auto"/>
          <w:highlight w:val="none"/>
        </w:rPr>
        <w:t>1.1.5 项目建设地点：见投标供应商须知前附表。</w:t>
      </w:r>
    </w:p>
    <w:p>
      <w:pPr>
        <w:spacing w:line="360" w:lineRule="auto"/>
        <w:jc w:val="left"/>
        <w:rPr>
          <w:color w:val="auto"/>
          <w:highlight w:val="none"/>
        </w:rPr>
      </w:pPr>
      <w:r>
        <w:rPr>
          <w:color w:val="auto"/>
          <w:highlight w:val="none"/>
        </w:rPr>
        <w:t>1.2 招标项目的资金来源和落实情况</w:t>
      </w:r>
    </w:p>
    <w:p>
      <w:pPr>
        <w:spacing w:line="360" w:lineRule="auto"/>
        <w:ind w:firstLine="420" w:firstLineChars="200"/>
        <w:jc w:val="left"/>
        <w:rPr>
          <w:color w:val="auto"/>
          <w:highlight w:val="none"/>
        </w:rPr>
      </w:pPr>
      <w:r>
        <w:rPr>
          <w:color w:val="auto"/>
          <w:highlight w:val="none"/>
        </w:rPr>
        <w:t>1.2.1 资金来源及比例：见投标供应商须知前附表。</w:t>
      </w:r>
    </w:p>
    <w:p>
      <w:pPr>
        <w:spacing w:line="360" w:lineRule="auto"/>
        <w:ind w:firstLine="420" w:firstLineChars="200"/>
        <w:jc w:val="left"/>
        <w:rPr>
          <w:color w:val="auto"/>
          <w:highlight w:val="none"/>
        </w:rPr>
      </w:pPr>
      <w:r>
        <w:rPr>
          <w:color w:val="auto"/>
          <w:highlight w:val="none"/>
        </w:rPr>
        <w:t>1.2.2 资金落实情况：见投标供应商须知前附表。</w:t>
      </w:r>
    </w:p>
    <w:p>
      <w:pPr>
        <w:spacing w:line="360" w:lineRule="auto"/>
        <w:jc w:val="left"/>
        <w:rPr>
          <w:color w:val="auto"/>
          <w:highlight w:val="none"/>
        </w:rPr>
      </w:pPr>
      <w:r>
        <w:rPr>
          <w:color w:val="auto"/>
          <w:highlight w:val="none"/>
        </w:rPr>
        <w:t>1.3招标范围、</w:t>
      </w:r>
      <w:r>
        <w:rPr>
          <w:rFonts w:hint="eastAsia"/>
          <w:color w:val="auto"/>
          <w:highlight w:val="none"/>
        </w:rPr>
        <w:t>交货期（含安装期）</w:t>
      </w:r>
      <w:r>
        <w:rPr>
          <w:color w:val="auto"/>
          <w:highlight w:val="none"/>
        </w:rPr>
        <w:t>、交货地点和技术性能指标</w:t>
      </w:r>
    </w:p>
    <w:p>
      <w:pPr>
        <w:spacing w:line="360" w:lineRule="auto"/>
        <w:ind w:firstLine="420" w:firstLineChars="200"/>
        <w:jc w:val="left"/>
        <w:rPr>
          <w:color w:val="auto"/>
          <w:highlight w:val="none"/>
        </w:rPr>
      </w:pPr>
      <w:r>
        <w:rPr>
          <w:color w:val="auto"/>
          <w:highlight w:val="none"/>
        </w:rPr>
        <w:t>1.3.1 招标范围：见投标供应商须知前附表。</w:t>
      </w:r>
    </w:p>
    <w:p>
      <w:pPr>
        <w:spacing w:line="360" w:lineRule="auto"/>
        <w:ind w:firstLine="420" w:firstLineChars="200"/>
        <w:jc w:val="left"/>
        <w:rPr>
          <w:color w:val="auto"/>
          <w:highlight w:val="none"/>
        </w:rPr>
      </w:pPr>
      <w:r>
        <w:rPr>
          <w:color w:val="auto"/>
          <w:highlight w:val="none"/>
        </w:rPr>
        <w:t xml:space="preserve">1.3.2 </w:t>
      </w:r>
      <w:r>
        <w:rPr>
          <w:rFonts w:hint="eastAsia"/>
          <w:color w:val="auto"/>
          <w:highlight w:val="none"/>
        </w:rPr>
        <w:t>交货期（含安装期）</w:t>
      </w:r>
      <w:r>
        <w:rPr>
          <w:color w:val="auto"/>
          <w:highlight w:val="none"/>
        </w:rPr>
        <w:t>：见投标供应商须知前附表。</w:t>
      </w:r>
    </w:p>
    <w:p>
      <w:pPr>
        <w:spacing w:line="360" w:lineRule="auto"/>
        <w:ind w:firstLine="420" w:firstLineChars="200"/>
        <w:jc w:val="left"/>
        <w:rPr>
          <w:color w:val="auto"/>
          <w:highlight w:val="none"/>
        </w:rPr>
      </w:pPr>
      <w:r>
        <w:rPr>
          <w:color w:val="auto"/>
          <w:highlight w:val="none"/>
        </w:rPr>
        <w:t>1.3.3 交货地点：见投标供应商须知前附表。</w:t>
      </w:r>
    </w:p>
    <w:p>
      <w:pPr>
        <w:spacing w:line="360" w:lineRule="auto"/>
        <w:ind w:firstLine="420" w:firstLineChars="200"/>
        <w:jc w:val="left"/>
        <w:rPr>
          <w:color w:val="auto"/>
          <w:highlight w:val="none"/>
        </w:rPr>
      </w:pPr>
      <w:r>
        <w:rPr>
          <w:color w:val="auto"/>
          <w:highlight w:val="none"/>
        </w:rPr>
        <w:t>1.3.4 技术性能指标：见投标供应商须知前附表。</w:t>
      </w:r>
    </w:p>
    <w:p>
      <w:pPr>
        <w:spacing w:line="360" w:lineRule="auto"/>
        <w:jc w:val="left"/>
        <w:rPr>
          <w:color w:val="auto"/>
          <w:highlight w:val="none"/>
        </w:rPr>
      </w:pPr>
      <w:r>
        <w:rPr>
          <w:color w:val="auto"/>
          <w:highlight w:val="none"/>
        </w:rPr>
        <w:t>1.4投标供应商资格要求</w:t>
      </w:r>
    </w:p>
    <w:p>
      <w:pPr>
        <w:spacing w:line="360" w:lineRule="auto"/>
        <w:ind w:firstLine="420" w:firstLineChars="200"/>
        <w:jc w:val="left"/>
        <w:rPr>
          <w:color w:val="auto"/>
          <w:highlight w:val="none"/>
        </w:rPr>
      </w:pPr>
      <w:r>
        <w:rPr>
          <w:color w:val="auto"/>
          <w:highlight w:val="none"/>
        </w:rPr>
        <w:t>1.4.1 投标供应商应具备承担本招标项目资质要求、财务要求、信誉要求、其他要求：见投标供应商须知前附表。</w:t>
      </w:r>
    </w:p>
    <w:p>
      <w:pPr>
        <w:spacing w:line="360" w:lineRule="auto"/>
        <w:ind w:firstLine="420" w:firstLineChars="200"/>
        <w:jc w:val="left"/>
        <w:rPr>
          <w:color w:val="auto"/>
          <w:highlight w:val="none"/>
        </w:rPr>
      </w:pPr>
      <w:r>
        <w:rPr>
          <w:color w:val="auto"/>
          <w:highlight w:val="none"/>
        </w:rPr>
        <w:t>需要提交的相关证明材料见本章《资格审查资料》的规定。</w:t>
      </w:r>
    </w:p>
    <w:p>
      <w:pPr>
        <w:spacing w:line="360" w:lineRule="auto"/>
        <w:ind w:firstLine="420" w:firstLineChars="200"/>
        <w:jc w:val="left"/>
        <w:rPr>
          <w:color w:val="auto"/>
          <w:highlight w:val="none"/>
        </w:rPr>
      </w:pPr>
      <w:r>
        <w:rPr>
          <w:color w:val="auto"/>
          <w:highlight w:val="none"/>
        </w:rPr>
        <w:t>1.4.2投标供应商须知前附表规定接受联合体投标的，联合体除应符合本章对投标供应商应具备承担本招标项目资质条件、能力和信誉和投标供应商须知前附表的要求外，还应遵守以下规定：</w:t>
      </w:r>
    </w:p>
    <w:p>
      <w:pPr>
        <w:spacing w:line="360" w:lineRule="auto"/>
        <w:ind w:firstLine="420"/>
        <w:rPr>
          <w:color w:val="auto"/>
          <w:highlight w:val="none"/>
        </w:rPr>
      </w:pPr>
      <w:r>
        <w:rPr>
          <w:color w:val="auto"/>
          <w:highlight w:val="none"/>
        </w:rPr>
        <w:t>（1）联合体各方应按招标文件提供的格式签订联合体协议书，明确联合体牵头人和各方权利义务，并承诺就中标项目向采购人承担连带责任；</w:t>
      </w:r>
    </w:p>
    <w:p>
      <w:pPr>
        <w:spacing w:line="360" w:lineRule="auto"/>
        <w:ind w:firstLine="420"/>
        <w:rPr>
          <w:color w:val="auto"/>
          <w:highlight w:val="none"/>
        </w:rPr>
      </w:pPr>
      <w:r>
        <w:rPr>
          <w:color w:val="auto"/>
          <w:highlight w:val="none"/>
        </w:rPr>
        <w:t>（2）由同一专业的单位组成的联合体，按照资质等级较低的单位确定资质等级；</w:t>
      </w:r>
    </w:p>
    <w:p>
      <w:pPr>
        <w:spacing w:line="360" w:lineRule="auto"/>
        <w:ind w:firstLine="420"/>
        <w:rPr>
          <w:color w:val="auto"/>
          <w:highlight w:val="none"/>
        </w:rPr>
      </w:pPr>
      <w:r>
        <w:rPr>
          <w:color w:val="auto"/>
          <w:highlight w:val="none"/>
        </w:rPr>
        <w:t>（3）联合体各方不得再以自己名义单独或参加其他联合体在本招标项目中投标，否则各相关投标均无效。</w:t>
      </w:r>
    </w:p>
    <w:p>
      <w:pPr>
        <w:spacing w:line="360" w:lineRule="auto"/>
        <w:ind w:firstLine="420"/>
        <w:rPr>
          <w:color w:val="auto"/>
          <w:highlight w:val="none"/>
        </w:rPr>
      </w:pPr>
      <w:r>
        <w:rPr>
          <w:color w:val="auto"/>
          <w:highlight w:val="none"/>
        </w:rPr>
        <w:t>1.4.3 投标供应商不得存在下列情形之一：</w:t>
      </w:r>
    </w:p>
    <w:p>
      <w:pPr>
        <w:spacing w:line="360" w:lineRule="auto"/>
        <w:ind w:firstLine="420"/>
        <w:rPr>
          <w:color w:val="auto"/>
          <w:highlight w:val="none"/>
        </w:rPr>
      </w:pPr>
      <w:r>
        <w:rPr>
          <w:color w:val="auto"/>
          <w:highlight w:val="none"/>
        </w:rPr>
        <w:t>（1）为采购人不具有独立法人资格的附属机构（单位）；</w:t>
      </w:r>
    </w:p>
    <w:p>
      <w:pPr>
        <w:spacing w:line="360" w:lineRule="auto"/>
        <w:ind w:firstLine="420"/>
        <w:rPr>
          <w:color w:val="auto"/>
          <w:highlight w:val="none"/>
        </w:rPr>
      </w:pPr>
      <w:r>
        <w:rPr>
          <w:color w:val="auto"/>
          <w:highlight w:val="none"/>
        </w:rPr>
        <w:t>（2）与采购人（项目单位）存在利害关系且可能影响招标公正性；</w:t>
      </w:r>
    </w:p>
    <w:p>
      <w:pPr>
        <w:spacing w:line="360" w:lineRule="auto"/>
        <w:ind w:firstLine="420"/>
        <w:rPr>
          <w:color w:val="auto"/>
          <w:highlight w:val="none"/>
        </w:rPr>
      </w:pPr>
      <w:r>
        <w:rPr>
          <w:color w:val="auto"/>
          <w:highlight w:val="none"/>
        </w:rPr>
        <w:t>（3）与本招标项目的其他投标供应商为同一个单位负责人；</w:t>
      </w:r>
    </w:p>
    <w:p>
      <w:pPr>
        <w:spacing w:line="360" w:lineRule="auto"/>
        <w:ind w:firstLine="420"/>
        <w:rPr>
          <w:color w:val="auto"/>
          <w:highlight w:val="none"/>
        </w:rPr>
      </w:pPr>
      <w:r>
        <w:rPr>
          <w:color w:val="auto"/>
          <w:highlight w:val="none"/>
        </w:rPr>
        <w:t>（4）与本招标项目的其他投标供应商存在控股、管理关系；</w:t>
      </w:r>
    </w:p>
    <w:p>
      <w:pPr>
        <w:spacing w:line="360" w:lineRule="auto"/>
        <w:ind w:firstLine="420"/>
        <w:rPr>
          <w:color w:val="auto"/>
          <w:highlight w:val="none"/>
        </w:rPr>
      </w:pPr>
      <w:r>
        <w:rPr>
          <w:color w:val="auto"/>
          <w:highlight w:val="none"/>
        </w:rPr>
        <w:t>（5）为本招标项目的代建人；</w:t>
      </w:r>
    </w:p>
    <w:p>
      <w:pPr>
        <w:spacing w:line="360" w:lineRule="auto"/>
        <w:ind w:firstLine="420"/>
        <w:rPr>
          <w:color w:val="auto"/>
          <w:highlight w:val="none"/>
        </w:rPr>
      </w:pPr>
      <w:r>
        <w:rPr>
          <w:color w:val="auto"/>
          <w:highlight w:val="none"/>
        </w:rPr>
        <w:t>（6）为本招标项目的采购代理机构；</w:t>
      </w:r>
    </w:p>
    <w:p>
      <w:pPr>
        <w:spacing w:line="360" w:lineRule="auto"/>
        <w:ind w:firstLine="420"/>
        <w:rPr>
          <w:color w:val="auto"/>
          <w:highlight w:val="none"/>
        </w:rPr>
      </w:pPr>
      <w:r>
        <w:rPr>
          <w:color w:val="auto"/>
          <w:highlight w:val="none"/>
        </w:rPr>
        <w:t>（7）与本招标项目的代建人或采购代理机构同为一个法定代表人；</w:t>
      </w:r>
    </w:p>
    <w:p>
      <w:pPr>
        <w:spacing w:line="360" w:lineRule="auto"/>
        <w:ind w:firstLine="420"/>
        <w:rPr>
          <w:color w:val="auto"/>
          <w:highlight w:val="none"/>
        </w:rPr>
      </w:pPr>
      <w:r>
        <w:rPr>
          <w:color w:val="auto"/>
          <w:highlight w:val="none"/>
        </w:rPr>
        <w:t>（8）与本招标项目的代建人或采购代理机构存在控股或参股关系；</w:t>
      </w:r>
    </w:p>
    <w:p>
      <w:pPr>
        <w:spacing w:line="360" w:lineRule="auto"/>
        <w:ind w:firstLine="420"/>
        <w:rPr>
          <w:color w:val="auto"/>
          <w:highlight w:val="none"/>
        </w:rPr>
      </w:pPr>
      <w:r>
        <w:rPr>
          <w:color w:val="auto"/>
          <w:highlight w:val="none"/>
        </w:rPr>
        <w:t>（9）被依法暂停或者取消投标资格；</w:t>
      </w:r>
    </w:p>
    <w:p>
      <w:pPr>
        <w:spacing w:line="360" w:lineRule="auto"/>
        <w:ind w:firstLine="420"/>
        <w:rPr>
          <w:color w:val="auto"/>
          <w:highlight w:val="none"/>
        </w:rPr>
      </w:pPr>
      <w:r>
        <w:rPr>
          <w:color w:val="auto"/>
          <w:highlight w:val="none"/>
        </w:rPr>
        <w:t>（10）被责令停产停业、暂扣或者吊销许可证、暂扣或者吊销执照；</w:t>
      </w:r>
    </w:p>
    <w:p>
      <w:pPr>
        <w:spacing w:line="360" w:lineRule="auto"/>
        <w:ind w:firstLine="420"/>
        <w:rPr>
          <w:color w:val="auto"/>
          <w:highlight w:val="none"/>
        </w:rPr>
      </w:pPr>
      <w:r>
        <w:rPr>
          <w:color w:val="auto"/>
          <w:highlight w:val="none"/>
        </w:rPr>
        <w:t>（11）进入清算程序，或被宣告破产，或其他丧失履约能力的情形；</w:t>
      </w:r>
    </w:p>
    <w:p>
      <w:pPr>
        <w:spacing w:line="360" w:lineRule="auto"/>
        <w:ind w:firstLine="420"/>
        <w:rPr>
          <w:color w:val="auto"/>
          <w:highlight w:val="none"/>
        </w:rPr>
      </w:pPr>
      <w:r>
        <w:rPr>
          <w:color w:val="auto"/>
          <w:highlight w:val="none"/>
        </w:rPr>
        <w:t>（12）在最近三年内发生重大质量问题（以相关行业主管部门的行政处罚决定或司法机关出具的有关法律文书为准）；</w:t>
      </w:r>
    </w:p>
    <w:p>
      <w:pPr>
        <w:spacing w:line="360" w:lineRule="auto"/>
        <w:ind w:firstLine="420"/>
        <w:rPr>
          <w:color w:val="auto"/>
          <w:highlight w:val="none"/>
        </w:rPr>
      </w:pPr>
      <w:r>
        <w:rPr>
          <w:color w:val="auto"/>
          <w:highlight w:val="none"/>
        </w:rPr>
        <w:t>（13）被工商行政管理机关在全国企业信用信息公示系统中列入严重违法失信企业名单；</w:t>
      </w:r>
    </w:p>
    <w:p>
      <w:pPr>
        <w:spacing w:line="360" w:lineRule="auto"/>
        <w:ind w:firstLine="420"/>
        <w:rPr>
          <w:color w:val="auto"/>
          <w:highlight w:val="none"/>
        </w:rPr>
      </w:pPr>
      <w:r>
        <w:rPr>
          <w:color w:val="auto"/>
          <w:highlight w:val="none"/>
        </w:rPr>
        <w:t>（14）被最高人民法院在“信用中国”网站（www.creditchina.gov.cn）或各级信用信息共享平台中列入失信被执行人名单；</w:t>
      </w:r>
    </w:p>
    <w:p>
      <w:pPr>
        <w:spacing w:line="360" w:lineRule="auto"/>
        <w:ind w:firstLine="420"/>
        <w:rPr>
          <w:color w:val="auto"/>
          <w:highlight w:val="none"/>
        </w:rPr>
      </w:pPr>
      <w:r>
        <w:rPr>
          <w:color w:val="auto"/>
          <w:highlight w:val="none"/>
        </w:rPr>
        <w:t>（1</w:t>
      </w:r>
      <w:r>
        <w:rPr>
          <w:rFonts w:hint="eastAsia"/>
          <w:color w:val="auto"/>
          <w:highlight w:val="none"/>
        </w:rPr>
        <w:t>5</w:t>
      </w:r>
      <w:r>
        <w:rPr>
          <w:color w:val="auto"/>
          <w:highlight w:val="none"/>
        </w:rPr>
        <w:t>）法律法规或投标供应商须知前附表规定的其他情形。</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6</w:t>
      </w:r>
      <w:r>
        <w:rPr>
          <w:color w:val="auto"/>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同一项目同一包号的其他采购活动。</w:t>
      </w:r>
    </w:p>
    <w:p>
      <w:pPr>
        <w:spacing w:line="360" w:lineRule="auto"/>
        <w:jc w:val="left"/>
        <w:rPr>
          <w:color w:val="auto"/>
          <w:highlight w:val="none"/>
        </w:rPr>
      </w:pPr>
      <w:r>
        <w:rPr>
          <w:color w:val="auto"/>
          <w:highlight w:val="none"/>
        </w:rPr>
        <w:t>1.5 费用承担</w:t>
      </w:r>
    </w:p>
    <w:p>
      <w:pPr>
        <w:spacing w:line="360" w:lineRule="auto"/>
        <w:ind w:firstLine="420" w:firstLineChars="200"/>
        <w:jc w:val="left"/>
        <w:rPr>
          <w:color w:val="auto"/>
          <w:highlight w:val="none"/>
        </w:rPr>
      </w:pPr>
      <w:r>
        <w:rPr>
          <w:color w:val="auto"/>
          <w:highlight w:val="none"/>
        </w:rPr>
        <w:t>投标供应商准备和参加投标活动发生的费用自理。</w:t>
      </w:r>
    </w:p>
    <w:p>
      <w:pPr>
        <w:spacing w:line="360" w:lineRule="auto"/>
        <w:jc w:val="left"/>
        <w:rPr>
          <w:color w:val="auto"/>
          <w:highlight w:val="none"/>
        </w:rPr>
      </w:pPr>
      <w:r>
        <w:rPr>
          <w:color w:val="auto"/>
          <w:highlight w:val="none"/>
        </w:rPr>
        <w:t>1.6保密</w:t>
      </w:r>
    </w:p>
    <w:p>
      <w:pPr>
        <w:spacing w:line="360" w:lineRule="auto"/>
        <w:ind w:firstLine="420" w:firstLineChars="200"/>
        <w:jc w:val="left"/>
        <w:rPr>
          <w:color w:val="auto"/>
          <w:highlight w:val="none"/>
        </w:rPr>
      </w:pPr>
      <w:r>
        <w:rPr>
          <w:color w:val="auto"/>
          <w:highlight w:val="none"/>
        </w:rPr>
        <w:t>参与招标投标活动的各方应对招标文件和投标文件中的商业和技术等秘密保密，否则应承担相应的法律责任。</w:t>
      </w:r>
    </w:p>
    <w:p>
      <w:pPr>
        <w:spacing w:line="360" w:lineRule="auto"/>
        <w:jc w:val="left"/>
        <w:rPr>
          <w:color w:val="auto"/>
          <w:highlight w:val="none"/>
        </w:rPr>
      </w:pPr>
      <w:r>
        <w:rPr>
          <w:color w:val="auto"/>
          <w:highlight w:val="none"/>
        </w:rPr>
        <w:t>1.7 语言文字</w:t>
      </w:r>
    </w:p>
    <w:p>
      <w:pPr>
        <w:spacing w:line="360" w:lineRule="auto"/>
        <w:ind w:firstLine="420" w:firstLineChars="200"/>
        <w:jc w:val="left"/>
        <w:rPr>
          <w:color w:val="auto"/>
          <w:highlight w:val="none"/>
        </w:rPr>
      </w:pPr>
      <w:r>
        <w:rPr>
          <w:color w:val="auto"/>
          <w:highlight w:val="none"/>
        </w:rPr>
        <w:t>招标投标文件使用的语言文字为中文。专用术语使用外文的，应附有中文注释。</w:t>
      </w:r>
    </w:p>
    <w:p>
      <w:pPr>
        <w:spacing w:line="360" w:lineRule="auto"/>
        <w:jc w:val="left"/>
        <w:rPr>
          <w:color w:val="auto"/>
          <w:highlight w:val="none"/>
        </w:rPr>
      </w:pPr>
      <w:r>
        <w:rPr>
          <w:color w:val="auto"/>
          <w:highlight w:val="none"/>
        </w:rPr>
        <w:t>1.8计量单位</w:t>
      </w:r>
    </w:p>
    <w:p>
      <w:pPr>
        <w:spacing w:line="360" w:lineRule="auto"/>
        <w:ind w:firstLine="420" w:firstLineChars="200"/>
        <w:jc w:val="left"/>
        <w:rPr>
          <w:color w:val="auto"/>
          <w:highlight w:val="none"/>
        </w:rPr>
      </w:pPr>
      <w:r>
        <w:rPr>
          <w:color w:val="auto"/>
          <w:highlight w:val="none"/>
        </w:rPr>
        <w:t>所有计量均采用中华人民共和国法定计量单位。</w:t>
      </w:r>
    </w:p>
    <w:p>
      <w:pPr>
        <w:spacing w:line="360" w:lineRule="auto"/>
        <w:jc w:val="left"/>
        <w:rPr>
          <w:color w:val="auto"/>
          <w:highlight w:val="none"/>
        </w:rPr>
      </w:pPr>
      <w:r>
        <w:rPr>
          <w:color w:val="auto"/>
          <w:highlight w:val="none"/>
        </w:rPr>
        <w:t>1.9投标预备会</w:t>
      </w:r>
    </w:p>
    <w:p>
      <w:pPr>
        <w:spacing w:line="360" w:lineRule="auto"/>
        <w:ind w:firstLine="420" w:firstLineChars="200"/>
        <w:jc w:val="left"/>
        <w:rPr>
          <w:color w:val="auto"/>
          <w:highlight w:val="none"/>
        </w:rPr>
      </w:pPr>
      <w:r>
        <w:rPr>
          <w:color w:val="auto"/>
          <w:highlight w:val="none"/>
        </w:rPr>
        <w:t>1.9.1 投标供应商须知前附表规定召开投标预备会的，采购人按投标供应商须知前附表规定的时间和地点召开投标预备会，澄清投标供应商提出的问题。</w:t>
      </w:r>
    </w:p>
    <w:p>
      <w:pPr>
        <w:spacing w:line="360" w:lineRule="auto"/>
        <w:ind w:firstLine="420" w:firstLineChars="200"/>
        <w:jc w:val="left"/>
        <w:rPr>
          <w:color w:val="auto"/>
          <w:highlight w:val="none"/>
        </w:rPr>
      </w:pPr>
      <w:r>
        <w:rPr>
          <w:color w:val="auto"/>
          <w:highlight w:val="none"/>
        </w:rPr>
        <w:t>1.9.2 投标供应商应按投标供应商须知前附表规定的时间和形式将提出的问题送达采购人，以便采购人在会议期间澄清。</w:t>
      </w:r>
    </w:p>
    <w:p>
      <w:pPr>
        <w:spacing w:line="360" w:lineRule="auto"/>
        <w:ind w:firstLine="420" w:firstLineChars="200"/>
        <w:jc w:val="left"/>
        <w:rPr>
          <w:color w:val="auto"/>
          <w:highlight w:val="none"/>
        </w:rPr>
      </w:pPr>
      <w:r>
        <w:rPr>
          <w:color w:val="auto"/>
          <w:highlight w:val="none"/>
        </w:rPr>
        <w:t>1.9.3 投标预备会后，采购人将对投标供应商所提问题的澄清，以投标供应商须知前附表规定的形式通知所有购买招标文件的投标供应商。该澄清内容为招标文件的组成部分。</w:t>
      </w:r>
    </w:p>
    <w:p>
      <w:pPr>
        <w:spacing w:line="360" w:lineRule="auto"/>
        <w:jc w:val="left"/>
        <w:rPr>
          <w:color w:val="auto"/>
          <w:highlight w:val="none"/>
        </w:rPr>
      </w:pPr>
      <w:r>
        <w:rPr>
          <w:color w:val="auto"/>
          <w:highlight w:val="none"/>
        </w:rPr>
        <w:t>1.10 分包</w:t>
      </w:r>
    </w:p>
    <w:p>
      <w:pPr>
        <w:spacing w:line="360" w:lineRule="auto"/>
        <w:ind w:firstLine="420" w:firstLineChars="200"/>
        <w:jc w:val="left"/>
        <w:rPr>
          <w:color w:val="auto"/>
          <w:highlight w:val="none"/>
        </w:rPr>
      </w:pPr>
      <w:r>
        <w:rPr>
          <w:color w:val="auto"/>
          <w:highlight w:val="none"/>
        </w:rPr>
        <w:t>1.10.1 投标供应商拟在中标后将中标项目的非主体货物（设备、产品）进行分包的，应符合投标供应商须知前附表规定的分包内容、分包金额和资质要求等限制性条件，除投标供应商须知前附表规定的非主体货物（设备、产品）外，其他工作不得分包。</w:t>
      </w:r>
    </w:p>
    <w:p>
      <w:pPr>
        <w:spacing w:line="360" w:lineRule="auto"/>
        <w:ind w:firstLine="420" w:firstLineChars="200"/>
        <w:jc w:val="left"/>
        <w:rPr>
          <w:color w:val="auto"/>
          <w:highlight w:val="none"/>
        </w:rPr>
      </w:pPr>
      <w:r>
        <w:rPr>
          <w:color w:val="auto"/>
          <w:highlight w:val="none"/>
        </w:rPr>
        <w:t>1.10.2</w:t>
      </w:r>
      <w:r>
        <w:rPr>
          <w:rFonts w:hint="eastAsia"/>
          <w:color w:val="auto"/>
          <w:highlight w:val="none"/>
        </w:rPr>
        <w:t>中标供应商</w:t>
      </w:r>
      <w:r>
        <w:rPr>
          <w:color w:val="auto"/>
          <w:highlight w:val="none"/>
        </w:rPr>
        <w:t>不得向他人转让中标项目，接受分包的人不得再次分包。</w:t>
      </w:r>
      <w:r>
        <w:rPr>
          <w:rFonts w:hint="eastAsia"/>
          <w:color w:val="auto"/>
          <w:highlight w:val="none"/>
        </w:rPr>
        <w:t>中标供应商</w:t>
      </w:r>
      <w:r>
        <w:rPr>
          <w:color w:val="auto"/>
          <w:highlight w:val="none"/>
        </w:rPr>
        <w:t>应当就分包项目向采购人负责，接受分包的人就分包项目承担连带责任。</w:t>
      </w:r>
    </w:p>
    <w:p>
      <w:pPr>
        <w:spacing w:line="360" w:lineRule="auto"/>
        <w:jc w:val="left"/>
        <w:rPr>
          <w:color w:val="auto"/>
          <w:highlight w:val="none"/>
        </w:rPr>
      </w:pPr>
      <w:r>
        <w:rPr>
          <w:color w:val="auto"/>
          <w:highlight w:val="none"/>
        </w:rPr>
        <w:t>1.11响应和偏差</w:t>
      </w:r>
    </w:p>
    <w:p>
      <w:pPr>
        <w:spacing w:line="360" w:lineRule="auto"/>
        <w:ind w:firstLine="420" w:firstLineChars="200"/>
        <w:jc w:val="left"/>
        <w:rPr>
          <w:color w:val="auto"/>
          <w:highlight w:val="none"/>
        </w:rPr>
      </w:pPr>
      <w:r>
        <w:rPr>
          <w:color w:val="auto"/>
          <w:highlight w:val="none"/>
        </w:rPr>
        <w:t>1.11.1投标文件应当对招标文件的实质性要求和条件作出满足性或更有利于采购人的响应，否则，投标供应商的投标将被否决。实质性要求和条件见投标供应商须知前附表。</w:t>
      </w:r>
    </w:p>
    <w:p>
      <w:pPr>
        <w:spacing w:line="360" w:lineRule="auto"/>
        <w:ind w:firstLine="420" w:firstLineChars="200"/>
        <w:jc w:val="left"/>
        <w:rPr>
          <w:color w:val="auto"/>
          <w:highlight w:val="none"/>
        </w:rPr>
      </w:pPr>
      <w:r>
        <w:rPr>
          <w:color w:val="auto"/>
          <w:highlight w:val="none"/>
        </w:rPr>
        <w:t>1.11.2 投标供应商应根据招标文件的要求提供投标货物（设备、产品）技术性能指标的详细描述、技术支持资料及技术服务和质保期服务计划等内容以对招标文件作出响应。</w:t>
      </w:r>
    </w:p>
    <w:p>
      <w:pPr>
        <w:spacing w:line="360" w:lineRule="auto"/>
        <w:ind w:firstLine="420" w:firstLineChars="200"/>
        <w:jc w:val="left"/>
        <w:rPr>
          <w:color w:val="auto"/>
          <w:highlight w:val="none"/>
        </w:rPr>
      </w:pPr>
      <w:r>
        <w:rPr>
          <w:color w:val="auto"/>
          <w:highlight w:val="none"/>
        </w:rPr>
        <w:t>1.11.3 投标文件中应针对实质性要求和条件中列明的技术要求提供技术支持资料。技术支持资料以制造商公开发布的印刷资料，或检测机构出具的检测报告或投标供应商须知前附表允许的其他形式为准，不符合前述要求的，视为无技术支持资料，其投标将被否决。</w:t>
      </w:r>
    </w:p>
    <w:p>
      <w:pPr>
        <w:spacing w:line="360" w:lineRule="auto"/>
        <w:ind w:firstLine="420" w:firstLineChars="200"/>
        <w:jc w:val="left"/>
        <w:rPr>
          <w:color w:val="auto"/>
          <w:highlight w:val="none"/>
        </w:rPr>
      </w:pPr>
      <w:r>
        <w:rPr>
          <w:color w:val="auto"/>
          <w:highlight w:val="none"/>
        </w:rPr>
        <w:t>1.11.4 投标供应商须知前附表规定了可以偏差的范围和最高偏差项数的，偏差应当符合投标供应商须知前附表规定的偏差范围和最高项数，超出偏差范围和最高偏差项数的投标将被否决。</w:t>
      </w:r>
    </w:p>
    <w:p>
      <w:pPr>
        <w:spacing w:line="360" w:lineRule="auto"/>
        <w:ind w:firstLine="420" w:firstLineChars="200"/>
        <w:jc w:val="left"/>
        <w:rPr>
          <w:color w:val="auto"/>
          <w:highlight w:val="none"/>
        </w:rPr>
      </w:pPr>
      <w:r>
        <w:rPr>
          <w:color w:val="auto"/>
          <w:highlight w:val="none"/>
        </w:rPr>
        <w:t>1.11.5 投标文件对招标文件的全部偏差，均应在投标文件的商务和技术偏差表中列明，除列明的内容外，视为投标供应商响应招标文件的全部要求。</w:t>
      </w:r>
    </w:p>
    <w:p>
      <w:pPr>
        <w:spacing w:line="360" w:lineRule="auto"/>
        <w:jc w:val="left"/>
        <w:rPr>
          <w:b/>
          <w:color w:val="auto"/>
          <w:highlight w:val="none"/>
        </w:rPr>
      </w:pPr>
      <w:r>
        <w:rPr>
          <w:b/>
          <w:color w:val="auto"/>
          <w:highlight w:val="none"/>
        </w:rPr>
        <w:t>2. 招标文件</w:t>
      </w:r>
    </w:p>
    <w:p>
      <w:pPr>
        <w:spacing w:line="360" w:lineRule="auto"/>
        <w:jc w:val="left"/>
        <w:rPr>
          <w:color w:val="auto"/>
          <w:highlight w:val="none"/>
        </w:rPr>
      </w:pPr>
      <w:r>
        <w:rPr>
          <w:color w:val="auto"/>
          <w:highlight w:val="none"/>
        </w:rPr>
        <w:t>2.1 招标文件的组成</w:t>
      </w:r>
    </w:p>
    <w:p>
      <w:pPr>
        <w:spacing w:line="360" w:lineRule="auto"/>
        <w:ind w:firstLine="420" w:firstLineChars="200"/>
        <w:jc w:val="left"/>
        <w:rPr>
          <w:color w:val="auto"/>
          <w:highlight w:val="none"/>
        </w:rPr>
      </w:pPr>
      <w:r>
        <w:rPr>
          <w:color w:val="auto"/>
          <w:highlight w:val="none"/>
        </w:rPr>
        <w:t>本招标文件包括：</w:t>
      </w:r>
    </w:p>
    <w:p>
      <w:pPr>
        <w:spacing w:line="360" w:lineRule="auto"/>
        <w:ind w:firstLine="420" w:firstLineChars="200"/>
        <w:jc w:val="left"/>
        <w:rPr>
          <w:color w:val="auto"/>
          <w:highlight w:val="none"/>
        </w:rPr>
      </w:pPr>
      <w:r>
        <w:rPr>
          <w:color w:val="auto"/>
          <w:highlight w:val="none"/>
        </w:rPr>
        <w:t>（1）招标公告；</w:t>
      </w:r>
    </w:p>
    <w:p>
      <w:pPr>
        <w:spacing w:line="360" w:lineRule="auto"/>
        <w:ind w:firstLine="420" w:firstLineChars="200"/>
        <w:jc w:val="left"/>
        <w:rPr>
          <w:color w:val="auto"/>
          <w:highlight w:val="none"/>
        </w:rPr>
      </w:pPr>
      <w:r>
        <w:rPr>
          <w:color w:val="auto"/>
          <w:highlight w:val="none"/>
        </w:rPr>
        <w:t>（2）投标供应商须知；</w:t>
      </w:r>
    </w:p>
    <w:p>
      <w:pPr>
        <w:spacing w:line="360" w:lineRule="auto"/>
        <w:ind w:firstLine="420" w:firstLineChars="200"/>
        <w:jc w:val="left"/>
        <w:rPr>
          <w:color w:val="auto"/>
          <w:highlight w:val="none"/>
        </w:rPr>
      </w:pPr>
      <w:r>
        <w:rPr>
          <w:color w:val="auto"/>
          <w:highlight w:val="none"/>
        </w:rPr>
        <w:t>（3）评标办法；</w:t>
      </w:r>
    </w:p>
    <w:p>
      <w:pPr>
        <w:spacing w:line="360" w:lineRule="auto"/>
        <w:ind w:firstLine="420" w:firstLineChars="200"/>
        <w:jc w:val="left"/>
        <w:rPr>
          <w:color w:val="auto"/>
          <w:highlight w:val="none"/>
        </w:rPr>
      </w:pPr>
      <w:r>
        <w:rPr>
          <w:color w:val="auto"/>
          <w:highlight w:val="none"/>
        </w:rPr>
        <w:t>（4）合同条款及格式；</w:t>
      </w:r>
    </w:p>
    <w:p>
      <w:pPr>
        <w:spacing w:line="360" w:lineRule="auto"/>
        <w:ind w:firstLine="420" w:firstLineChars="200"/>
        <w:jc w:val="left"/>
        <w:rPr>
          <w:color w:val="auto"/>
          <w:highlight w:val="none"/>
        </w:rPr>
      </w:pPr>
      <w:r>
        <w:rPr>
          <w:color w:val="auto"/>
          <w:highlight w:val="none"/>
        </w:rPr>
        <w:t>（5）招标内容；</w:t>
      </w:r>
    </w:p>
    <w:p>
      <w:pPr>
        <w:spacing w:line="360" w:lineRule="auto"/>
        <w:ind w:firstLine="420" w:firstLineChars="200"/>
        <w:jc w:val="left"/>
        <w:rPr>
          <w:color w:val="auto"/>
          <w:highlight w:val="none"/>
        </w:rPr>
      </w:pPr>
      <w:r>
        <w:rPr>
          <w:color w:val="auto"/>
          <w:highlight w:val="none"/>
        </w:rPr>
        <w:t>（6）投标文件格式；</w:t>
      </w:r>
    </w:p>
    <w:p>
      <w:pPr>
        <w:spacing w:line="360" w:lineRule="auto"/>
        <w:ind w:firstLine="420" w:firstLineChars="200"/>
        <w:jc w:val="left"/>
        <w:rPr>
          <w:color w:val="auto"/>
          <w:highlight w:val="none"/>
        </w:rPr>
      </w:pPr>
      <w:r>
        <w:rPr>
          <w:color w:val="auto"/>
          <w:highlight w:val="none"/>
        </w:rPr>
        <w:t>（7）投标供应商须知前附表规定的其他资料及投标供应商认为有必要说明的其它内容或资料。</w:t>
      </w:r>
    </w:p>
    <w:p>
      <w:pPr>
        <w:spacing w:line="360" w:lineRule="auto"/>
        <w:ind w:firstLine="420" w:firstLineChars="200"/>
        <w:jc w:val="left"/>
        <w:rPr>
          <w:color w:val="auto"/>
          <w:highlight w:val="none"/>
        </w:rPr>
      </w:pPr>
      <w:r>
        <w:rPr>
          <w:color w:val="auto"/>
          <w:highlight w:val="none"/>
        </w:rPr>
        <w:t>根据本章规定对招标文件所作的澄清、修改，构成招标文件的组成部分。</w:t>
      </w:r>
    </w:p>
    <w:p>
      <w:pPr>
        <w:spacing w:line="360" w:lineRule="auto"/>
        <w:jc w:val="left"/>
        <w:rPr>
          <w:color w:val="auto"/>
          <w:highlight w:val="none"/>
        </w:rPr>
      </w:pPr>
      <w:r>
        <w:rPr>
          <w:color w:val="auto"/>
          <w:highlight w:val="none"/>
        </w:rPr>
        <w:t>2.2 招标文件的澄清</w:t>
      </w:r>
    </w:p>
    <w:p>
      <w:pPr>
        <w:spacing w:line="360" w:lineRule="auto"/>
        <w:ind w:firstLine="420" w:firstLineChars="200"/>
        <w:jc w:val="left"/>
        <w:rPr>
          <w:color w:val="auto"/>
          <w:highlight w:val="none"/>
        </w:rPr>
      </w:pPr>
      <w:r>
        <w:rPr>
          <w:color w:val="auto"/>
          <w:highlight w:val="none"/>
        </w:rPr>
        <w:t>2.2.1 投标供应商应仔细阅读和检查招标文件的全部内容。如发现缺页或附件不全，应及时向采购人提出，以便补齐。如有疑问，应按投标供应商须知前附表规定的时间和形式将提出的问题送达采购人，要求采购人对招标文件予以澄清。</w:t>
      </w:r>
    </w:p>
    <w:p>
      <w:pPr>
        <w:spacing w:line="360" w:lineRule="auto"/>
        <w:ind w:firstLine="420" w:firstLineChars="200"/>
        <w:jc w:val="left"/>
        <w:rPr>
          <w:color w:val="auto"/>
          <w:highlight w:val="none"/>
        </w:rPr>
      </w:pPr>
      <w:r>
        <w:rPr>
          <w:color w:val="auto"/>
          <w:highlight w:val="none"/>
        </w:rPr>
        <w:t>2.2.2招标文件的澄清以投标供应商须知前附表规定的形式发给所有购买招标文件的投标供应商，但不指明澄清问题的来源。澄清发出的时间距本章规定的投标截止时间不足15日的，并且澄清内容可能影响投标文件编制的，将相应延长投标截止时间。</w:t>
      </w:r>
    </w:p>
    <w:p>
      <w:pPr>
        <w:spacing w:line="360" w:lineRule="auto"/>
        <w:ind w:firstLine="420" w:firstLineChars="200"/>
        <w:jc w:val="left"/>
        <w:rPr>
          <w:color w:val="auto"/>
          <w:highlight w:val="none"/>
        </w:rPr>
      </w:pPr>
      <w:r>
        <w:rPr>
          <w:color w:val="auto"/>
          <w:highlight w:val="none"/>
        </w:rPr>
        <w:t>2.2.3 投标供应商在收到澄清后，应按投标供应商须知前附表规定的时间和形式通知采购人，确认已收到该澄清。</w:t>
      </w:r>
    </w:p>
    <w:p>
      <w:pPr>
        <w:spacing w:line="360" w:lineRule="auto"/>
        <w:ind w:firstLine="420" w:firstLineChars="200"/>
        <w:jc w:val="left"/>
        <w:rPr>
          <w:color w:val="auto"/>
          <w:highlight w:val="none"/>
        </w:rPr>
      </w:pPr>
      <w:r>
        <w:rPr>
          <w:color w:val="auto"/>
          <w:highlight w:val="none"/>
        </w:rPr>
        <w:t>2.2.4 除非采购人认为确有必要答复，否则，采购人有权拒绝回复投标供应商在本章规定的时间后的任何澄清要求。</w:t>
      </w:r>
    </w:p>
    <w:p>
      <w:pPr>
        <w:spacing w:line="360" w:lineRule="auto"/>
        <w:jc w:val="left"/>
        <w:rPr>
          <w:color w:val="auto"/>
          <w:highlight w:val="none"/>
        </w:rPr>
      </w:pPr>
      <w:r>
        <w:rPr>
          <w:color w:val="auto"/>
          <w:highlight w:val="none"/>
        </w:rPr>
        <w:t>2.3 招标文件的修改</w:t>
      </w:r>
    </w:p>
    <w:p>
      <w:pPr>
        <w:spacing w:line="360" w:lineRule="auto"/>
        <w:ind w:firstLine="420" w:firstLineChars="200"/>
        <w:jc w:val="left"/>
        <w:rPr>
          <w:color w:val="auto"/>
          <w:highlight w:val="none"/>
        </w:rPr>
      </w:pPr>
      <w:r>
        <w:rPr>
          <w:color w:val="auto"/>
          <w:highlight w:val="none"/>
        </w:rPr>
        <w:t>2.3.1采购人以投标供应商须知前附表规定的形式修改招标文件，并通知所有已购买招标文件的投标供应商。修改招标文件的时间距本章规定的投标截止时间不足15日的，并且修改内容可能影响投标文件编制的，将相应延长投标截止时间。</w:t>
      </w:r>
    </w:p>
    <w:p>
      <w:pPr>
        <w:spacing w:line="360" w:lineRule="auto"/>
        <w:ind w:firstLine="420" w:firstLineChars="200"/>
        <w:jc w:val="left"/>
        <w:rPr>
          <w:color w:val="auto"/>
          <w:highlight w:val="none"/>
        </w:rPr>
      </w:pPr>
      <w:r>
        <w:rPr>
          <w:color w:val="auto"/>
          <w:highlight w:val="none"/>
        </w:rPr>
        <w:t>2.3.2 投标供应商收到修改内容后，应按投标供应商须知前附表规定的时间和形式通知采购人，确认已收到该修改。</w:t>
      </w:r>
    </w:p>
    <w:p>
      <w:pPr>
        <w:spacing w:line="360" w:lineRule="auto"/>
        <w:jc w:val="left"/>
        <w:rPr>
          <w:color w:val="auto"/>
          <w:highlight w:val="none"/>
        </w:rPr>
      </w:pPr>
      <w:r>
        <w:rPr>
          <w:color w:val="auto"/>
          <w:highlight w:val="none"/>
        </w:rPr>
        <w:t>2.4 招标文件的异议</w:t>
      </w:r>
    </w:p>
    <w:p>
      <w:pPr>
        <w:spacing w:line="360" w:lineRule="auto"/>
        <w:ind w:firstLine="420" w:firstLineChars="200"/>
        <w:jc w:val="left"/>
        <w:rPr>
          <w:color w:val="auto"/>
          <w:highlight w:val="none"/>
        </w:rPr>
      </w:pPr>
      <w:r>
        <w:rPr>
          <w:color w:val="auto"/>
          <w:highlight w:val="none"/>
        </w:rPr>
        <w:t>投标供应商或者其他利害关系人对招标文件有异议的，应当在获取招标文件或者招标公告期限届满之日起7个工作日内以书面形式提出。采购人将在收到异议后作出答复；作出答复前，将暂停招标投标活动。</w:t>
      </w:r>
    </w:p>
    <w:p>
      <w:pPr>
        <w:spacing w:line="360" w:lineRule="auto"/>
        <w:jc w:val="left"/>
        <w:rPr>
          <w:b/>
          <w:color w:val="auto"/>
          <w:highlight w:val="none"/>
        </w:rPr>
      </w:pPr>
      <w:r>
        <w:rPr>
          <w:b/>
          <w:color w:val="auto"/>
          <w:highlight w:val="none"/>
        </w:rPr>
        <w:t>3. 投标文件</w:t>
      </w:r>
    </w:p>
    <w:p>
      <w:pPr>
        <w:spacing w:line="360" w:lineRule="auto"/>
        <w:jc w:val="left"/>
        <w:rPr>
          <w:color w:val="auto"/>
          <w:highlight w:val="none"/>
        </w:rPr>
      </w:pPr>
      <w:r>
        <w:rPr>
          <w:color w:val="auto"/>
          <w:highlight w:val="none"/>
        </w:rPr>
        <w:t>3.1 投标文件的组成</w:t>
      </w:r>
    </w:p>
    <w:p>
      <w:pPr>
        <w:spacing w:line="360" w:lineRule="auto"/>
        <w:ind w:firstLine="420" w:firstLineChars="200"/>
        <w:jc w:val="left"/>
        <w:rPr>
          <w:color w:val="auto"/>
          <w:highlight w:val="none"/>
        </w:rPr>
      </w:pPr>
      <w:r>
        <w:rPr>
          <w:color w:val="auto"/>
          <w:highlight w:val="none"/>
        </w:rPr>
        <w:t xml:space="preserve"> 3.1.1 投标文件应包括下列内容：</w:t>
      </w:r>
    </w:p>
    <w:p>
      <w:pPr>
        <w:spacing w:line="360" w:lineRule="auto"/>
        <w:ind w:firstLine="420" w:firstLineChars="200"/>
        <w:jc w:val="left"/>
        <w:rPr>
          <w:color w:val="auto"/>
          <w:highlight w:val="none"/>
        </w:rPr>
      </w:pPr>
      <w:r>
        <w:rPr>
          <w:color w:val="auto"/>
          <w:highlight w:val="none"/>
        </w:rPr>
        <w:t>（1）投标函；</w:t>
      </w:r>
    </w:p>
    <w:p>
      <w:pPr>
        <w:spacing w:line="360" w:lineRule="auto"/>
        <w:ind w:firstLine="420" w:firstLineChars="200"/>
        <w:jc w:val="left"/>
        <w:rPr>
          <w:color w:val="auto"/>
          <w:highlight w:val="none"/>
        </w:rPr>
      </w:pPr>
      <w:r>
        <w:rPr>
          <w:color w:val="auto"/>
          <w:highlight w:val="none"/>
        </w:rPr>
        <w:t>（2）法定代表人（单位负责人）身份证明；</w:t>
      </w:r>
    </w:p>
    <w:p>
      <w:pPr>
        <w:spacing w:line="360" w:lineRule="auto"/>
        <w:ind w:firstLine="420" w:firstLineChars="200"/>
        <w:jc w:val="left"/>
        <w:rPr>
          <w:color w:val="auto"/>
          <w:highlight w:val="none"/>
        </w:rPr>
      </w:pPr>
      <w:r>
        <w:rPr>
          <w:color w:val="auto"/>
          <w:highlight w:val="none"/>
        </w:rPr>
        <w:t>（3）授权委托书；</w:t>
      </w:r>
    </w:p>
    <w:p>
      <w:pPr>
        <w:spacing w:line="360" w:lineRule="auto"/>
        <w:ind w:firstLine="420" w:firstLineChars="200"/>
        <w:jc w:val="left"/>
        <w:rPr>
          <w:color w:val="auto"/>
          <w:highlight w:val="none"/>
        </w:rPr>
      </w:pPr>
      <w:r>
        <w:rPr>
          <w:color w:val="auto"/>
          <w:highlight w:val="none"/>
        </w:rPr>
        <w:t>（4）商务和技术偏差表；</w:t>
      </w:r>
    </w:p>
    <w:p>
      <w:pPr>
        <w:spacing w:line="360" w:lineRule="auto"/>
        <w:ind w:firstLine="420" w:firstLineChars="200"/>
        <w:rPr>
          <w:color w:val="auto"/>
          <w:szCs w:val="22"/>
          <w:highlight w:val="none"/>
        </w:rPr>
      </w:pPr>
      <w:r>
        <w:rPr>
          <w:color w:val="auto"/>
          <w:highlight w:val="none"/>
        </w:rPr>
        <w:t>（5）</w:t>
      </w:r>
      <w:r>
        <w:rPr>
          <w:color w:val="auto"/>
          <w:szCs w:val="22"/>
          <w:highlight w:val="none"/>
        </w:rPr>
        <w:t>资格审查及</w:t>
      </w:r>
      <w:r>
        <w:rPr>
          <w:color w:val="auto"/>
          <w:highlight w:val="none"/>
        </w:rPr>
        <w:t>评审响应</w:t>
      </w:r>
      <w:r>
        <w:rPr>
          <w:color w:val="auto"/>
          <w:szCs w:val="22"/>
          <w:highlight w:val="none"/>
        </w:rPr>
        <w:t>资料；</w:t>
      </w:r>
    </w:p>
    <w:p>
      <w:pPr>
        <w:spacing w:line="360" w:lineRule="auto"/>
        <w:ind w:firstLine="420" w:firstLineChars="200"/>
        <w:jc w:val="left"/>
        <w:rPr>
          <w:color w:val="auto"/>
          <w:highlight w:val="none"/>
        </w:rPr>
      </w:pPr>
      <w:r>
        <w:rPr>
          <w:color w:val="auto"/>
          <w:highlight w:val="none"/>
        </w:rPr>
        <w:t>（6）投标供应商须知前附表规定的其他资料及投标供应商认为有必要说明的其它内容或资料。</w:t>
      </w:r>
    </w:p>
    <w:p>
      <w:pPr>
        <w:spacing w:line="360" w:lineRule="auto"/>
        <w:ind w:firstLine="420" w:firstLineChars="200"/>
        <w:jc w:val="left"/>
        <w:rPr>
          <w:color w:val="auto"/>
          <w:highlight w:val="none"/>
        </w:rPr>
      </w:pPr>
      <w:r>
        <w:rPr>
          <w:color w:val="auto"/>
          <w:highlight w:val="none"/>
        </w:rPr>
        <w:t>投标供应商在评标过程中作出的符合法律法规和招标文件规定的澄清确认，构成投标文件的组成部分。</w:t>
      </w:r>
    </w:p>
    <w:p>
      <w:pPr>
        <w:spacing w:line="360" w:lineRule="auto"/>
        <w:ind w:firstLine="420" w:firstLineChars="200"/>
        <w:jc w:val="left"/>
        <w:rPr>
          <w:color w:val="auto"/>
          <w:highlight w:val="none"/>
        </w:rPr>
      </w:pPr>
      <w:r>
        <w:rPr>
          <w:color w:val="auto"/>
          <w:highlight w:val="none"/>
        </w:rPr>
        <w:t>3.1.2 投标供应商须知前附表规定不接受联合体投标的，或投标供应商没有组成联合体的，投标文件不包括本章所指的联合体协议书。</w:t>
      </w:r>
    </w:p>
    <w:p>
      <w:pPr>
        <w:spacing w:line="360" w:lineRule="auto"/>
        <w:ind w:firstLine="420" w:firstLineChars="200"/>
        <w:jc w:val="left"/>
        <w:rPr>
          <w:color w:val="auto"/>
          <w:highlight w:val="none"/>
        </w:rPr>
      </w:pPr>
      <w:r>
        <w:rPr>
          <w:color w:val="auto"/>
          <w:highlight w:val="none"/>
        </w:rPr>
        <w:t>3.1.3 投标供应商须知前附表未要求提交投标保证金的，投标文件不包括本章所指的投标保证金。</w:t>
      </w:r>
    </w:p>
    <w:p>
      <w:pPr>
        <w:spacing w:line="360" w:lineRule="auto"/>
        <w:jc w:val="left"/>
        <w:rPr>
          <w:color w:val="auto"/>
          <w:highlight w:val="none"/>
        </w:rPr>
      </w:pPr>
      <w:r>
        <w:rPr>
          <w:color w:val="auto"/>
          <w:highlight w:val="none"/>
        </w:rPr>
        <w:t>3.2 投标报价</w:t>
      </w:r>
    </w:p>
    <w:p>
      <w:pPr>
        <w:spacing w:line="360" w:lineRule="auto"/>
        <w:ind w:firstLine="420" w:firstLineChars="200"/>
        <w:jc w:val="left"/>
        <w:rPr>
          <w:color w:val="auto"/>
          <w:highlight w:val="none"/>
        </w:rPr>
      </w:pPr>
      <w:r>
        <w:rPr>
          <w:color w:val="auto"/>
          <w:highlight w:val="none"/>
        </w:rPr>
        <w:t>3.2.1 投标报价应包括国家规定的增值税税金，除投标供应商须知前附表另有规定外，增值税税金按一般计税方法计算。投标供应商应按第六章“投标文件格式”的要求在投标函中进行报价并填写分项报价表。</w:t>
      </w:r>
    </w:p>
    <w:p>
      <w:pPr>
        <w:spacing w:line="360" w:lineRule="auto"/>
        <w:ind w:firstLine="420" w:firstLineChars="200"/>
        <w:jc w:val="left"/>
        <w:rPr>
          <w:color w:val="auto"/>
          <w:highlight w:val="none"/>
        </w:rPr>
      </w:pPr>
      <w:r>
        <w:rPr>
          <w:color w:val="auto"/>
          <w:highlight w:val="none"/>
        </w:rPr>
        <w:t>3.2.2 投标供应商应充分了解该项目的总体情况以及影响投标报价的其他要素。</w:t>
      </w:r>
    </w:p>
    <w:p>
      <w:pPr>
        <w:spacing w:line="360" w:lineRule="auto"/>
        <w:ind w:firstLine="420" w:firstLineChars="200"/>
        <w:jc w:val="left"/>
        <w:rPr>
          <w:color w:val="auto"/>
          <w:highlight w:val="none"/>
        </w:rPr>
      </w:pPr>
      <w:r>
        <w:rPr>
          <w:color w:val="auto"/>
          <w:highlight w:val="none"/>
        </w:rPr>
        <w:t>3.2.3 投标报价为各分项报价金额之和，投标报价与分项报价的合价不一致的，应以各分项合价累计数为准，修正投标报价。投标供应商在投标截止时间前修改投标函中的投标报价总额，应同时修改投标文件“分项报价表”中的相应报价。此修改须符合本章规定的有关要求。</w:t>
      </w:r>
    </w:p>
    <w:p>
      <w:pPr>
        <w:spacing w:line="360" w:lineRule="auto"/>
        <w:ind w:firstLine="420" w:firstLineChars="200"/>
        <w:jc w:val="left"/>
        <w:rPr>
          <w:color w:val="auto"/>
          <w:highlight w:val="none"/>
        </w:rPr>
      </w:pPr>
      <w:r>
        <w:rPr>
          <w:color w:val="auto"/>
          <w:highlight w:val="none"/>
        </w:rPr>
        <w:t>3.2.4 采购人设有最高投标限价的，投标供应商的投标报价不得超过最高投标限价，最高投标限价在投标供应商须知前附表中载明。</w:t>
      </w:r>
    </w:p>
    <w:p>
      <w:pPr>
        <w:spacing w:line="360" w:lineRule="auto"/>
        <w:ind w:firstLine="420" w:firstLineChars="200"/>
        <w:jc w:val="left"/>
        <w:rPr>
          <w:color w:val="auto"/>
          <w:highlight w:val="none"/>
        </w:rPr>
      </w:pPr>
      <w:r>
        <w:rPr>
          <w:color w:val="auto"/>
          <w:highlight w:val="none"/>
        </w:rPr>
        <w:t>3.2.5 投标报价的其他要求见投标供应商须知前附表。</w:t>
      </w:r>
    </w:p>
    <w:p>
      <w:pPr>
        <w:spacing w:line="360" w:lineRule="auto"/>
        <w:jc w:val="left"/>
        <w:rPr>
          <w:color w:val="auto"/>
          <w:highlight w:val="none"/>
        </w:rPr>
      </w:pPr>
      <w:r>
        <w:rPr>
          <w:color w:val="auto"/>
          <w:highlight w:val="none"/>
        </w:rPr>
        <w:t>3.3 投标有效期</w:t>
      </w:r>
    </w:p>
    <w:p>
      <w:pPr>
        <w:spacing w:line="360" w:lineRule="auto"/>
        <w:ind w:firstLine="420" w:firstLineChars="200"/>
        <w:jc w:val="left"/>
        <w:rPr>
          <w:color w:val="auto"/>
          <w:highlight w:val="none"/>
        </w:rPr>
      </w:pPr>
      <w:r>
        <w:rPr>
          <w:color w:val="auto"/>
          <w:highlight w:val="none"/>
        </w:rPr>
        <w:t>3.3.1 除投标供应商须知前附表另有规定外，投标有效期为90天。</w:t>
      </w:r>
    </w:p>
    <w:p>
      <w:pPr>
        <w:spacing w:line="360" w:lineRule="auto"/>
        <w:ind w:firstLine="420" w:firstLineChars="200"/>
        <w:jc w:val="left"/>
        <w:rPr>
          <w:color w:val="auto"/>
          <w:highlight w:val="none"/>
        </w:rPr>
      </w:pPr>
      <w:r>
        <w:rPr>
          <w:color w:val="auto"/>
          <w:highlight w:val="none"/>
        </w:rPr>
        <w:t>3.3.2 在投标有效期内，投标供应商撤销投标文件的，应承担招标文件和法律规定的责任。</w:t>
      </w:r>
    </w:p>
    <w:p>
      <w:pPr>
        <w:spacing w:line="360" w:lineRule="auto"/>
        <w:ind w:firstLine="420" w:firstLineChars="200"/>
        <w:jc w:val="left"/>
        <w:rPr>
          <w:color w:val="auto"/>
          <w:highlight w:val="none"/>
        </w:rPr>
      </w:pPr>
      <w:r>
        <w:rPr>
          <w:color w:val="auto"/>
          <w:highlight w:val="none"/>
        </w:rPr>
        <w:t>3.3.3 出现特殊情况需要延长投标有效期的，采购人以书面形式通知所有投标供应商延长投标有效期。投标供应商应予以书面答复，同意延长的，应相应延长其投标保证金的有效期，但不得要求或被允许修改其投标文件；投标供应商拒绝延长的，其投标失效，但投标供应商有权收回其投标保证金及以现金或者支票形式递交的投标保证金的银行同期存款利息。</w:t>
      </w:r>
    </w:p>
    <w:p>
      <w:pPr>
        <w:spacing w:line="360" w:lineRule="auto"/>
        <w:jc w:val="left"/>
        <w:rPr>
          <w:color w:val="auto"/>
          <w:highlight w:val="none"/>
        </w:rPr>
      </w:pPr>
      <w:r>
        <w:rPr>
          <w:color w:val="auto"/>
          <w:highlight w:val="none"/>
        </w:rPr>
        <w:t>3.4 投标保证金</w:t>
      </w:r>
    </w:p>
    <w:p>
      <w:pPr>
        <w:spacing w:line="360" w:lineRule="auto"/>
        <w:ind w:firstLine="420" w:firstLineChars="200"/>
        <w:jc w:val="left"/>
        <w:rPr>
          <w:color w:val="auto"/>
          <w:highlight w:val="none"/>
        </w:rPr>
      </w:pPr>
      <w:r>
        <w:rPr>
          <w:color w:val="auto"/>
          <w:highlight w:val="none"/>
        </w:rPr>
        <w:t>3.4.1 投标供应商在递交投标文件的同时，应按投标供应商须知前附表规定的金额、形式和第六章“投标文件格式”规定的投标保证金格式递交投标保证金，并作为其投标文件的组成部分。境内投标供应商以现金或者支票形式提交的投标保证金，应当从其基本账户转出并在投标文件中附上基本账户开户证明。联合体投标的，其投标保证金可以由牵头人递交，并应符合投标供应商须知前附表的规定。</w:t>
      </w:r>
    </w:p>
    <w:p>
      <w:pPr>
        <w:spacing w:line="360" w:lineRule="auto"/>
        <w:ind w:firstLine="420" w:firstLineChars="200"/>
        <w:jc w:val="left"/>
        <w:rPr>
          <w:color w:val="auto"/>
          <w:highlight w:val="none"/>
        </w:rPr>
      </w:pPr>
      <w:r>
        <w:rPr>
          <w:color w:val="auto"/>
          <w:highlight w:val="none"/>
        </w:rPr>
        <w:t>3.4.2 投标供应商不按本章规定要求提交投标保证金的，评标委员会将否决其投标。</w:t>
      </w:r>
    </w:p>
    <w:p>
      <w:pPr>
        <w:spacing w:line="360" w:lineRule="auto"/>
        <w:ind w:firstLine="420" w:firstLineChars="200"/>
        <w:jc w:val="left"/>
        <w:rPr>
          <w:color w:val="auto"/>
          <w:highlight w:val="none"/>
        </w:rPr>
      </w:pPr>
      <w:r>
        <w:rPr>
          <w:color w:val="auto"/>
          <w:highlight w:val="none"/>
        </w:rPr>
        <w:t>3.4.3 采购人应当自中标通知书发出之日起5个工作日内退还未</w:t>
      </w:r>
      <w:r>
        <w:rPr>
          <w:rFonts w:hint="eastAsia"/>
          <w:color w:val="auto"/>
          <w:highlight w:val="none"/>
        </w:rPr>
        <w:t>中标供应商</w:t>
      </w:r>
      <w:r>
        <w:rPr>
          <w:color w:val="auto"/>
          <w:highlight w:val="none"/>
        </w:rPr>
        <w:t>的投标保证金，自采购合同签订之日起5个工作日内退还</w:t>
      </w:r>
      <w:r>
        <w:rPr>
          <w:rFonts w:hint="eastAsia"/>
          <w:color w:val="auto"/>
          <w:highlight w:val="none"/>
        </w:rPr>
        <w:t>中标供应商</w:t>
      </w:r>
      <w:r>
        <w:rPr>
          <w:color w:val="auto"/>
          <w:highlight w:val="none"/>
        </w:rPr>
        <w:t>的投标保证金。</w:t>
      </w:r>
    </w:p>
    <w:p>
      <w:pPr>
        <w:spacing w:line="360" w:lineRule="auto"/>
        <w:ind w:firstLine="420" w:firstLineChars="200"/>
        <w:jc w:val="left"/>
        <w:rPr>
          <w:color w:val="auto"/>
          <w:highlight w:val="none"/>
        </w:rPr>
      </w:pPr>
      <w:r>
        <w:rPr>
          <w:color w:val="auto"/>
          <w:highlight w:val="none"/>
        </w:rPr>
        <w:t>3.4.4 有下列情形之一的，投标保证金将不予退还：</w:t>
      </w:r>
    </w:p>
    <w:p>
      <w:pPr>
        <w:spacing w:line="360" w:lineRule="auto"/>
        <w:ind w:firstLine="420" w:firstLineChars="200"/>
        <w:jc w:val="left"/>
        <w:rPr>
          <w:color w:val="auto"/>
          <w:highlight w:val="none"/>
        </w:rPr>
      </w:pPr>
      <w:r>
        <w:rPr>
          <w:color w:val="auto"/>
          <w:highlight w:val="none"/>
        </w:rPr>
        <w:t>（1）投标供应商在投标有效期内撤销投标文件；</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中标供应商</w:t>
      </w:r>
      <w:r>
        <w:rPr>
          <w:color w:val="auto"/>
          <w:highlight w:val="none"/>
        </w:rPr>
        <w:t>在收到中标通知书后，无正当理由不与采购人订立合同，在签订合同时向采购人提出附加条件，或者不按照招标文件要求提交履约保证金；</w:t>
      </w:r>
    </w:p>
    <w:p>
      <w:pPr>
        <w:spacing w:line="360" w:lineRule="auto"/>
        <w:ind w:firstLine="420" w:firstLineChars="200"/>
        <w:jc w:val="left"/>
        <w:rPr>
          <w:color w:val="auto"/>
          <w:highlight w:val="none"/>
        </w:rPr>
      </w:pPr>
      <w:r>
        <w:rPr>
          <w:color w:val="auto"/>
          <w:highlight w:val="none"/>
        </w:rPr>
        <w:t>（3）在招标投标阶段提弄虚作假或有其它违规行为，给采购人或采购代理机构造成损失。</w:t>
      </w:r>
    </w:p>
    <w:p>
      <w:pPr>
        <w:spacing w:line="360" w:lineRule="auto"/>
        <w:ind w:firstLine="420" w:firstLineChars="200"/>
        <w:jc w:val="left"/>
        <w:rPr>
          <w:color w:val="auto"/>
          <w:highlight w:val="none"/>
        </w:rPr>
      </w:pPr>
      <w:r>
        <w:rPr>
          <w:color w:val="auto"/>
          <w:highlight w:val="none"/>
        </w:rPr>
        <w:t>（4）发生投标供应商须知前附表规定的其他可以不予退还投标保证金的情形。</w:t>
      </w:r>
    </w:p>
    <w:p>
      <w:pPr>
        <w:spacing w:line="360" w:lineRule="auto"/>
        <w:jc w:val="left"/>
        <w:rPr>
          <w:color w:val="auto"/>
          <w:highlight w:val="none"/>
        </w:rPr>
      </w:pPr>
      <w:r>
        <w:rPr>
          <w:color w:val="auto"/>
          <w:highlight w:val="none"/>
        </w:rPr>
        <w:t>3.5 资格审查资料</w:t>
      </w:r>
    </w:p>
    <w:p>
      <w:pPr>
        <w:spacing w:line="360" w:lineRule="auto"/>
        <w:ind w:firstLine="420" w:firstLineChars="200"/>
        <w:jc w:val="left"/>
        <w:rPr>
          <w:color w:val="auto"/>
          <w:highlight w:val="none"/>
        </w:rPr>
      </w:pPr>
      <w:r>
        <w:rPr>
          <w:color w:val="auto"/>
          <w:highlight w:val="none"/>
        </w:rPr>
        <w:t>除投标供应商须知前附表另有规定外，投标供应商应按下列规定提供资格审查资料，以证明其满足本章规定的资质、财务、信誉等要求。</w:t>
      </w:r>
    </w:p>
    <w:p>
      <w:pPr>
        <w:spacing w:line="360" w:lineRule="auto"/>
        <w:ind w:firstLine="420" w:firstLineChars="200"/>
        <w:jc w:val="left"/>
        <w:rPr>
          <w:color w:val="auto"/>
          <w:highlight w:val="none"/>
        </w:rPr>
      </w:pPr>
      <w:r>
        <w:rPr>
          <w:color w:val="auto"/>
          <w:highlight w:val="none"/>
        </w:rPr>
        <w:t>3.5.1 “投标供应商基本情况表”应附投标供应商合法有效的营业执照等相关资料的复印件；</w:t>
      </w:r>
    </w:p>
    <w:p>
      <w:pPr>
        <w:spacing w:line="360" w:lineRule="auto"/>
        <w:ind w:firstLine="420" w:firstLineChars="200"/>
        <w:jc w:val="left"/>
        <w:rPr>
          <w:color w:val="auto"/>
          <w:highlight w:val="none"/>
        </w:rPr>
      </w:pPr>
      <w:r>
        <w:rPr>
          <w:color w:val="auto"/>
          <w:highlight w:val="none"/>
        </w:rPr>
        <w:t>3.5.2 “近年财务状况表”应附经会计师事务所或审计机构出具的报告或在开标日期前六个月内其基本开户银行出具的资信证明或财政部门认可的政府采购专业担保机构出具的投标担保函，具体年份要求见投标供应商须知前附表。投标供应商的成立时间少于投标供应商须知前附表规定年份的，应提供成立以来的财务状况表。</w:t>
      </w:r>
    </w:p>
    <w:p>
      <w:pPr>
        <w:spacing w:line="360" w:lineRule="auto"/>
        <w:ind w:firstLine="420" w:firstLineChars="200"/>
        <w:jc w:val="left"/>
        <w:rPr>
          <w:color w:val="auto"/>
          <w:highlight w:val="none"/>
        </w:rPr>
      </w:pPr>
      <w:r>
        <w:rPr>
          <w:color w:val="auto"/>
          <w:highlight w:val="none"/>
        </w:rPr>
        <w:t>3.5.3 “近年完成的类似项目情况表”应附中标通知书或合同协议书的复印件，具体时间要求见投标供应商须知前附表。</w:t>
      </w:r>
    </w:p>
    <w:p>
      <w:pPr>
        <w:spacing w:line="360" w:lineRule="auto"/>
        <w:ind w:firstLine="420" w:firstLineChars="200"/>
        <w:jc w:val="left"/>
        <w:rPr>
          <w:color w:val="auto"/>
          <w:highlight w:val="none"/>
        </w:rPr>
      </w:pPr>
      <w:r>
        <w:rPr>
          <w:color w:val="auto"/>
          <w:highlight w:val="none"/>
        </w:rPr>
        <w:t>3.5.4 “正在供货和新承接的项目情况表”应附中标通知书或合同协议书复印件。</w:t>
      </w:r>
    </w:p>
    <w:p>
      <w:pPr>
        <w:spacing w:line="360" w:lineRule="auto"/>
        <w:ind w:firstLine="420" w:firstLineChars="200"/>
        <w:jc w:val="left"/>
        <w:rPr>
          <w:color w:val="auto"/>
          <w:highlight w:val="none"/>
        </w:rPr>
      </w:pPr>
      <w:r>
        <w:rPr>
          <w:color w:val="auto"/>
          <w:highlight w:val="none"/>
        </w:rPr>
        <w:t>3.5.5 “近年发生的诉讼及仲裁情况”应说明投标供应商败诉的货物（设备、产品）买卖合同的相关情况，并附法院或仲裁机构作出的判决、裁决等有关法律文书复印件，具体时间要求见投标供应商须知前附表。</w:t>
      </w:r>
    </w:p>
    <w:p>
      <w:pPr>
        <w:spacing w:line="360" w:lineRule="auto"/>
        <w:ind w:firstLine="420" w:firstLineChars="200"/>
        <w:jc w:val="left"/>
        <w:rPr>
          <w:color w:val="auto"/>
          <w:highlight w:val="none"/>
        </w:rPr>
      </w:pPr>
      <w:r>
        <w:rPr>
          <w:color w:val="auto"/>
          <w:highlight w:val="none"/>
        </w:rPr>
        <w:t>3.5.6 投标供应商须知前附表规定接受联合体投标的，本章规定的表格和资料应包括联合体各方相关情况。</w:t>
      </w:r>
    </w:p>
    <w:p>
      <w:pPr>
        <w:pStyle w:val="40"/>
        <w:spacing w:line="360" w:lineRule="auto"/>
        <w:ind w:firstLine="420" w:firstLineChars="200"/>
        <w:rPr>
          <w:color w:val="auto"/>
          <w:highlight w:val="none"/>
        </w:rPr>
      </w:pPr>
      <w:r>
        <w:rPr>
          <w:color w:val="auto"/>
          <w:highlight w:val="none"/>
        </w:rPr>
        <w:t>3.5.7 如投标供应商须知前附表未规定“近年完成的类似项目情况的时间要求”及“近年发生的诉讼及仲裁情况”的具体时间要求，则在资格审查中无需提供“近年完成的类似项目情况表”和“正在供货和新承接的项目情况表”及“近年发生的诉讼及仲裁情况”。</w:t>
      </w:r>
    </w:p>
    <w:p>
      <w:pPr>
        <w:spacing w:line="360" w:lineRule="auto"/>
        <w:jc w:val="left"/>
        <w:rPr>
          <w:color w:val="auto"/>
          <w:highlight w:val="none"/>
        </w:rPr>
      </w:pPr>
      <w:r>
        <w:rPr>
          <w:color w:val="auto"/>
          <w:highlight w:val="none"/>
        </w:rPr>
        <w:t>3.6 备选投标方案</w:t>
      </w:r>
    </w:p>
    <w:p>
      <w:pPr>
        <w:spacing w:line="360" w:lineRule="auto"/>
        <w:ind w:firstLine="420" w:firstLineChars="200"/>
        <w:jc w:val="left"/>
        <w:rPr>
          <w:color w:val="auto"/>
          <w:highlight w:val="none"/>
        </w:rPr>
      </w:pPr>
      <w:r>
        <w:rPr>
          <w:color w:val="auto"/>
          <w:highlight w:val="none"/>
        </w:rPr>
        <w:t>3.6.1 除投标供应商须知前附表规定允许外，投标供应商不得递交备选投标方案，否则其投标将被否决。</w:t>
      </w:r>
    </w:p>
    <w:p>
      <w:pPr>
        <w:spacing w:line="360" w:lineRule="auto"/>
        <w:ind w:firstLine="420" w:firstLineChars="200"/>
        <w:jc w:val="left"/>
        <w:rPr>
          <w:color w:val="auto"/>
          <w:highlight w:val="none"/>
        </w:rPr>
      </w:pPr>
      <w:r>
        <w:rPr>
          <w:color w:val="auto"/>
          <w:highlight w:val="none"/>
        </w:rPr>
        <w:t>3.6.2 允许投标供应商递交备选投标方案的，只有</w:t>
      </w:r>
      <w:r>
        <w:rPr>
          <w:rFonts w:hint="eastAsia"/>
          <w:color w:val="auto"/>
          <w:highlight w:val="none"/>
        </w:rPr>
        <w:t>中标供应商</w:t>
      </w:r>
      <w:r>
        <w:rPr>
          <w:color w:val="auto"/>
          <w:highlight w:val="none"/>
        </w:rPr>
        <w:t>所递交的备选投标方案方可予以考虑。评标委员会认为</w:t>
      </w:r>
      <w:r>
        <w:rPr>
          <w:rFonts w:hint="eastAsia"/>
          <w:color w:val="auto"/>
          <w:highlight w:val="none"/>
        </w:rPr>
        <w:t>中标供应商</w:t>
      </w:r>
      <w:r>
        <w:rPr>
          <w:color w:val="auto"/>
          <w:highlight w:val="none"/>
        </w:rPr>
        <w:t>的备选投标方案优于其按照招标文件要求编制的投标方案的，采购人可以接受该备选投标方案。</w:t>
      </w:r>
    </w:p>
    <w:p>
      <w:pPr>
        <w:spacing w:line="360" w:lineRule="auto"/>
        <w:ind w:firstLine="420" w:firstLineChars="200"/>
        <w:jc w:val="left"/>
        <w:rPr>
          <w:color w:val="auto"/>
          <w:highlight w:val="none"/>
        </w:rPr>
      </w:pPr>
      <w:r>
        <w:rPr>
          <w:color w:val="auto"/>
          <w:highlight w:val="none"/>
        </w:rPr>
        <w:t>3.6.3 投标供应商提供两个或两个以上投标报价，或者在投标文件中提供一个报价，但同时提供两个或两个以上供货方案的，视为提供备选方案。</w:t>
      </w:r>
    </w:p>
    <w:p>
      <w:pPr>
        <w:spacing w:line="360" w:lineRule="auto"/>
        <w:jc w:val="left"/>
        <w:rPr>
          <w:color w:val="auto"/>
          <w:highlight w:val="none"/>
        </w:rPr>
      </w:pPr>
      <w:r>
        <w:rPr>
          <w:color w:val="auto"/>
          <w:highlight w:val="none"/>
        </w:rPr>
        <w:t>3.7 投标文件的编制</w:t>
      </w:r>
    </w:p>
    <w:p>
      <w:pPr>
        <w:spacing w:line="360" w:lineRule="auto"/>
        <w:ind w:firstLine="420" w:firstLineChars="200"/>
        <w:jc w:val="left"/>
        <w:rPr>
          <w:color w:val="auto"/>
          <w:highlight w:val="none"/>
        </w:rPr>
      </w:pPr>
      <w:r>
        <w:rPr>
          <w:color w:val="auto"/>
          <w:highlight w:val="none"/>
        </w:rPr>
        <w:t>3.7.1 投标文件应按第六章“投标文件格式”进行编写，如有必要，可以增加附页，作为投标文件的组成部分。</w:t>
      </w:r>
    </w:p>
    <w:p>
      <w:pPr>
        <w:spacing w:line="360" w:lineRule="auto"/>
        <w:ind w:firstLine="420" w:firstLineChars="200"/>
        <w:jc w:val="left"/>
        <w:rPr>
          <w:color w:val="auto"/>
          <w:highlight w:val="none"/>
        </w:rPr>
      </w:pPr>
      <w:r>
        <w:rPr>
          <w:color w:val="auto"/>
          <w:highlight w:val="none"/>
        </w:rPr>
        <w:t>3.7.2 投标文件应当对招标文件有关供货期、投标有效期、技术要求、招标范围等实质性内容作出响应。投标文件在满足招标文件实质性要求的基础上，可以提出比招标文件要求更有利于采购人的承诺。</w:t>
      </w:r>
    </w:p>
    <w:p>
      <w:pPr>
        <w:spacing w:line="360" w:lineRule="auto"/>
        <w:ind w:firstLine="420" w:firstLineChars="200"/>
        <w:jc w:val="left"/>
        <w:rPr>
          <w:color w:val="auto"/>
          <w:highlight w:val="none"/>
        </w:rPr>
      </w:pPr>
      <w:r>
        <w:rPr>
          <w:color w:val="auto"/>
          <w:highlight w:val="none"/>
        </w:rPr>
        <w:t>3.7.3（1）投标文件应用不褪色的材料书写或打印，投标函及对投标文件的澄清、说明和补正应由投标供应商的法定代表人（单位负责人）或其授权的代理人签字或盖单位章。由投标供应商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供应商加盖单位公章或其法定代表人（单位负责人）或其授权的代理人签字或盖章。</w:t>
      </w:r>
    </w:p>
    <w:p>
      <w:pPr>
        <w:spacing w:line="360" w:lineRule="auto"/>
        <w:ind w:firstLine="420" w:firstLineChars="200"/>
        <w:jc w:val="left"/>
        <w:rPr>
          <w:color w:val="auto"/>
          <w:highlight w:val="none"/>
        </w:rPr>
      </w:pPr>
      <w:r>
        <w:rPr>
          <w:color w:val="auto"/>
          <w:highlight w:val="none"/>
        </w:rPr>
        <w:t>（2）投标文件</w:t>
      </w:r>
      <w:r>
        <w:rPr>
          <w:b/>
          <w:bCs/>
          <w:color w:val="auto"/>
          <w:highlight w:val="none"/>
        </w:rPr>
        <w:t>正本壹份</w:t>
      </w:r>
      <w:r>
        <w:rPr>
          <w:color w:val="auto"/>
          <w:highlight w:val="none"/>
        </w:rPr>
        <w:t>，副本份数见投标供应商须知前附表。正本和副本的封面右上角上应清楚地标记“正本”或“副本”的字样。投标供应商应根据投标供应商须知前附表要求提供电子版文件。当副本和正本不一致或电子版文件和纸质正本文件不一致时，以纸质正本文件为准。</w:t>
      </w:r>
    </w:p>
    <w:p>
      <w:pPr>
        <w:spacing w:line="360" w:lineRule="auto"/>
        <w:ind w:firstLine="420" w:firstLineChars="200"/>
        <w:jc w:val="left"/>
        <w:rPr>
          <w:color w:val="auto"/>
          <w:highlight w:val="none"/>
        </w:rPr>
      </w:pPr>
      <w:r>
        <w:rPr>
          <w:color w:val="auto"/>
          <w:highlight w:val="none"/>
        </w:rPr>
        <w:t>（3）投标文件的正本与副本应分别装订，并编制目录，投标文件需分册装订的，具体分册装订要求见投标供应商须知前附表规定。</w:t>
      </w:r>
    </w:p>
    <w:p>
      <w:pPr>
        <w:spacing w:line="360" w:lineRule="auto"/>
        <w:jc w:val="left"/>
        <w:rPr>
          <w:b/>
          <w:color w:val="auto"/>
          <w:highlight w:val="none"/>
        </w:rPr>
      </w:pPr>
      <w:r>
        <w:rPr>
          <w:b/>
          <w:color w:val="auto"/>
          <w:highlight w:val="none"/>
        </w:rPr>
        <w:t>4. 投标</w:t>
      </w:r>
    </w:p>
    <w:p>
      <w:pPr>
        <w:spacing w:line="360" w:lineRule="auto"/>
        <w:jc w:val="left"/>
        <w:rPr>
          <w:color w:val="auto"/>
          <w:highlight w:val="none"/>
        </w:rPr>
      </w:pPr>
      <w:r>
        <w:rPr>
          <w:color w:val="auto"/>
          <w:highlight w:val="none"/>
        </w:rPr>
        <w:t>4.1 投标文件的密封和标记</w:t>
      </w:r>
    </w:p>
    <w:p>
      <w:pPr>
        <w:spacing w:line="360" w:lineRule="auto"/>
        <w:ind w:firstLine="420" w:firstLineChars="200"/>
        <w:jc w:val="left"/>
        <w:rPr>
          <w:color w:val="auto"/>
          <w:highlight w:val="none"/>
        </w:rPr>
      </w:pPr>
      <w:r>
        <w:rPr>
          <w:color w:val="auto"/>
          <w:highlight w:val="none"/>
        </w:rPr>
        <w:t>4.1.1 投标文件应密封包装。</w:t>
      </w:r>
    </w:p>
    <w:p>
      <w:pPr>
        <w:spacing w:line="360" w:lineRule="auto"/>
        <w:ind w:firstLine="420" w:firstLineChars="200"/>
        <w:jc w:val="left"/>
        <w:rPr>
          <w:color w:val="auto"/>
          <w:highlight w:val="none"/>
        </w:rPr>
      </w:pPr>
      <w:r>
        <w:rPr>
          <w:color w:val="auto"/>
          <w:highlight w:val="none"/>
        </w:rPr>
        <w:t>4.1.2 投标文件封套上应写明的内容见投标供应商须知前附表。</w:t>
      </w:r>
    </w:p>
    <w:p>
      <w:pPr>
        <w:spacing w:line="360" w:lineRule="auto"/>
        <w:ind w:firstLine="420" w:firstLineChars="200"/>
        <w:jc w:val="left"/>
        <w:rPr>
          <w:color w:val="auto"/>
          <w:highlight w:val="none"/>
        </w:rPr>
      </w:pPr>
      <w:r>
        <w:rPr>
          <w:color w:val="auto"/>
          <w:highlight w:val="none"/>
        </w:rPr>
        <w:t>4.1.3 未按本章要求密封的投标文件，采购人或采购代理机构将予以拒收。</w:t>
      </w:r>
    </w:p>
    <w:p>
      <w:pPr>
        <w:spacing w:line="360" w:lineRule="auto"/>
        <w:jc w:val="left"/>
        <w:rPr>
          <w:color w:val="auto"/>
          <w:highlight w:val="none"/>
        </w:rPr>
      </w:pPr>
      <w:r>
        <w:rPr>
          <w:color w:val="auto"/>
          <w:highlight w:val="none"/>
        </w:rPr>
        <w:t>4.2 投标文件的递交</w:t>
      </w:r>
    </w:p>
    <w:p>
      <w:pPr>
        <w:spacing w:line="360" w:lineRule="auto"/>
        <w:ind w:firstLine="420" w:firstLineChars="200"/>
        <w:jc w:val="left"/>
        <w:rPr>
          <w:color w:val="auto"/>
          <w:highlight w:val="none"/>
        </w:rPr>
      </w:pPr>
      <w:r>
        <w:rPr>
          <w:color w:val="auto"/>
          <w:highlight w:val="none"/>
        </w:rPr>
        <w:t>4.2.1 投标供应商应在投标供应商须知前附表规定的投标截止时间前递交投标文件。</w:t>
      </w:r>
    </w:p>
    <w:p>
      <w:pPr>
        <w:spacing w:line="360" w:lineRule="auto"/>
        <w:ind w:firstLine="420" w:firstLineChars="200"/>
        <w:jc w:val="left"/>
        <w:rPr>
          <w:color w:val="auto"/>
          <w:highlight w:val="none"/>
        </w:rPr>
      </w:pPr>
      <w:r>
        <w:rPr>
          <w:color w:val="auto"/>
          <w:highlight w:val="none"/>
        </w:rPr>
        <w:t>4.2.2 投标供应商递交投标文件的地点：见投标供应商须知前附表。</w:t>
      </w:r>
    </w:p>
    <w:p>
      <w:pPr>
        <w:spacing w:line="360" w:lineRule="auto"/>
        <w:ind w:firstLine="420" w:firstLineChars="200"/>
        <w:jc w:val="left"/>
        <w:rPr>
          <w:color w:val="auto"/>
          <w:highlight w:val="none"/>
        </w:rPr>
      </w:pPr>
      <w:r>
        <w:rPr>
          <w:color w:val="auto"/>
          <w:highlight w:val="none"/>
        </w:rPr>
        <w:t>4.2.3 除投标供应商须知前附表另有规定外，投标供应商所递交的投标文件不予退还。</w:t>
      </w:r>
    </w:p>
    <w:p>
      <w:pPr>
        <w:spacing w:line="360" w:lineRule="auto"/>
        <w:ind w:firstLine="420" w:firstLineChars="200"/>
        <w:jc w:val="left"/>
        <w:rPr>
          <w:color w:val="auto"/>
          <w:highlight w:val="none"/>
        </w:rPr>
      </w:pPr>
      <w:r>
        <w:rPr>
          <w:color w:val="auto"/>
          <w:highlight w:val="none"/>
        </w:rPr>
        <w:t>4.2.4 逾期送达的投标文件，采购人或采购代理机构将予以拒收。</w:t>
      </w:r>
    </w:p>
    <w:p>
      <w:pPr>
        <w:spacing w:line="360" w:lineRule="auto"/>
        <w:jc w:val="left"/>
        <w:rPr>
          <w:color w:val="auto"/>
          <w:highlight w:val="none"/>
        </w:rPr>
      </w:pPr>
      <w:r>
        <w:rPr>
          <w:color w:val="auto"/>
          <w:highlight w:val="none"/>
        </w:rPr>
        <w:t>4.3 投标文件的修改与撤回</w:t>
      </w:r>
    </w:p>
    <w:p>
      <w:pPr>
        <w:spacing w:line="360" w:lineRule="auto"/>
        <w:ind w:firstLine="420" w:firstLineChars="200"/>
        <w:jc w:val="left"/>
        <w:rPr>
          <w:color w:val="auto"/>
          <w:highlight w:val="none"/>
        </w:rPr>
      </w:pPr>
      <w:r>
        <w:rPr>
          <w:color w:val="auto"/>
          <w:highlight w:val="none"/>
        </w:rPr>
        <w:t>4.3.1 在本章规定的投标截止时间前，投标供应商可以修改或撤回已递交的投标文件，但应以书面形式通知采购人或采购代理机构。</w:t>
      </w:r>
    </w:p>
    <w:p>
      <w:pPr>
        <w:spacing w:line="360" w:lineRule="auto"/>
        <w:ind w:firstLine="420" w:firstLineChars="200"/>
        <w:jc w:val="left"/>
        <w:rPr>
          <w:color w:val="auto"/>
          <w:highlight w:val="none"/>
        </w:rPr>
      </w:pPr>
      <w:r>
        <w:rPr>
          <w:color w:val="auto"/>
          <w:highlight w:val="none"/>
        </w:rPr>
        <w:t>4.3.2 投标供应商修改或撤回已递交投标文件的书面通知应按照本章的要求签字或盖章。</w:t>
      </w:r>
    </w:p>
    <w:p>
      <w:pPr>
        <w:spacing w:line="360" w:lineRule="auto"/>
        <w:ind w:firstLine="420" w:firstLineChars="200"/>
        <w:jc w:val="left"/>
        <w:rPr>
          <w:color w:val="auto"/>
          <w:highlight w:val="none"/>
        </w:rPr>
      </w:pPr>
      <w:r>
        <w:rPr>
          <w:color w:val="auto"/>
          <w:highlight w:val="none"/>
        </w:rPr>
        <w:t>4.3.3 投标供应商撤回投标文件的，采购人或采购代理机构自收到投标供应商书面撤回通知之日起5日内退还已收取的投标保证金。</w:t>
      </w:r>
    </w:p>
    <w:p>
      <w:pPr>
        <w:spacing w:line="360" w:lineRule="auto"/>
        <w:ind w:firstLine="420" w:firstLineChars="200"/>
        <w:jc w:val="left"/>
        <w:rPr>
          <w:color w:val="auto"/>
          <w:highlight w:val="none"/>
        </w:rPr>
      </w:pPr>
      <w:r>
        <w:rPr>
          <w:color w:val="auto"/>
          <w:highlight w:val="none"/>
        </w:rPr>
        <w:t>4.3.4 修改的内容为投标文件的组成部分。修改的投标文件应按照本章的规定进行编制、密封、标记和递交，并标明“修改”字样。</w:t>
      </w:r>
    </w:p>
    <w:p>
      <w:pPr>
        <w:spacing w:line="360" w:lineRule="auto"/>
        <w:jc w:val="left"/>
        <w:rPr>
          <w:b/>
          <w:color w:val="auto"/>
          <w:highlight w:val="none"/>
        </w:rPr>
      </w:pPr>
      <w:r>
        <w:rPr>
          <w:b/>
          <w:color w:val="auto"/>
          <w:highlight w:val="none"/>
        </w:rPr>
        <w:t>5. 开标</w:t>
      </w:r>
    </w:p>
    <w:p>
      <w:pPr>
        <w:spacing w:line="360" w:lineRule="auto"/>
        <w:jc w:val="left"/>
        <w:rPr>
          <w:color w:val="auto"/>
          <w:highlight w:val="none"/>
        </w:rPr>
      </w:pPr>
      <w:r>
        <w:rPr>
          <w:color w:val="auto"/>
          <w:highlight w:val="none"/>
        </w:rPr>
        <w:t>5.1 开标时间和地点</w:t>
      </w:r>
    </w:p>
    <w:p>
      <w:pPr>
        <w:spacing w:line="360" w:lineRule="auto"/>
        <w:ind w:firstLine="420" w:firstLineChars="200"/>
        <w:jc w:val="left"/>
        <w:rPr>
          <w:color w:val="auto"/>
          <w:highlight w:val="none"/>
        </w:rPr>
      </w:pPr>
      <w:r>
        <w:rPr>
          <w:color w:val="auto"/>
          <w:highlight w:val="none"/>
        </w:rPr>
        <w:t>采购人或采购代理机构在本章规定的投标截止时间（开标时间）和投标供应商须知前附表规定的地点公开开标，并邀请所有投标供应商的法定代表人（单位负责人）或其委托代理人准时参加。</w:t>
      </w:r>
    </w:p>
    <w:p>
      <w:pPr>
        <w:spacing w:line="360" w:lineRule="auto"/>
        <w:jc w:val="left"/>
        <w:rPr>
          <w:color w:val="auto"/>
          <w:highlight w:val="none"/>
        </w:rPr>
      </w:pPr>
      <w:r>
        <w:rPr>
          <w:color w:val="auto"/>
          <w:highlight w:val="none"/>
        </w:rPr>
        <w:t>5.2 开标程序</w:t>
      </w:r>
    </w:p>
    <w:p>
      <w:pPr>
        <w:spacing w:line="360" w:lineRule="auto"/>
        <w:ind w:firstLine="420" w:firstLineChars="200"/>
        <w:jc w:val="left"/>
        <w:rPr>
          <w:color w:val="auto"/>
          <w:highlight w:val="none"/>
        </w:rPr>
      </w:pPr>
      <w:r>
        <w:rPr>
          <w:color w:val="auto"/>
          <w:highlight w:val="none"/>
        </w:rPr>
        <w:t>主持人按下列程序进行开标：</w:t>
      </w:r>
    </w:p>
    <w:p>
      <w:pPr>
        <w:spacing w:line="360" w:lineRule="auto"/>
        <w:ind w:firstLine="420" w:firstLineChars="200"/>
        <w:jc w:val="left"/>
        <w:rPr>
          <w:color w:val="auto"/>
          <w:highlight w:val="none"/>
        </w:rPr>
      </w:pPr>
      <w:r>
        <w:rPr>
          <w:color w:val="auto"/>
          <w:highlight w:val="none"/>
        </w:rPr>
        <w:t>（1）宣布开标纪律；</w:t>
      </w:r>
    </w:p>
    <w:p>
      <w:pPr>
        <w:spacing w:line="360" w:lineRule="auto"/>
        <w:ind w:firstLine="420" w:firstLineChars="200"/>
        <w:jc w:val="left"/>
        <w:rPr>
          <w:color w:val="auto"/>
          <w:highlight w:val="none"/>
        </w:rPr>
      </w:pPr>
      <w:r>
        <w:rPr>
          <w:color w:val="auto"/>
          <w:highlight w:val="none"/>
        </w:rPr>
        <w:t>（2）公布在投标截止时间前递交投标文件的投标供应商名称；</w:t>
      </w:r>
    </w:p>
    <w:p>
      <w:pPr>
        <w:spacing w:line="360" w:lineRule="auto"/>
        <w:ind w:firstLine="420" w:firstLineChars="200"/>
        <w:jc w:val="left"/>
        <w:rPr>
          <w:color w:val="auto"/>
          <w:highlight w:val="none"/>
        </w:rPr>
      </w:pPr>
      <w:r>
        <w:rPr>
          <w:color w:val="auto"/>
          <w:highlight w:val="none"/>
        </w:rPr>
        <w:t>（3）宣布唱标人、记录人等有关人员姓名；</w:t>
      </w:r>
    </w:p>
    <w:p>
      <w:pPr>
        <w:spacing w:line="360" w:lineRule="auto"/>
        <w:ind w:firstLine="420" w:firstLineChars="200"/>
        <w:jc w:val="left"/>
        <w:rPr>
          <w:color w:val="auto"/>
          <w:highlight w:val="none"/>
        </w:rPr>
      </w:pPr>
      <w:r>
        <w:rPr>
          <w:color w:val="auto"/>
          <w:highlight w:val="none"/>
        </w:rPr>
        <w:t>（4）检查投标文件的密封情况，按照投标供应商须知前附表规定的开标顺序当众开标，公布招标项目名称、投标供应商名称、投标报价等内容，并记录在案；</w:t>
      </w:r>
    </w:p>
    <w:p>
      <w:pPr>
        <w:spacing w:line="360" w:lineRule="auto"/>
        <w:ind w:firstLine="420" w:firstLineChars="200"/>
        <w:jc w:val="left"/>
        <w:rPr>
          <w:color w:val="auto"/>
          <w:highlight w:val="none"/>
        </w:rPr>
      </w:pPr>
      <w:r>
        <w:rPr>
          <w:color w:val="auto"/>
          <w:highlight w:val="none"/>
        </w:rPr>
        <w:t>（5）投标供应商代表、唱标人、记录人等有关人员在开标记录上签字确认；</w:t>
      </w:r>
    </w:p>
    <w:p>
      <w:pPr>
        <w:spacing w:line="360" w:lineRule="auto"/>
        <w:ind w:firstLine="420" w:firstLineChars="200"/>
        <w:jc w:val="left"/>
        <w:rPr>
          <w:color w:val="auto"/>
          <w:highlight w:val="none"/>
        </w:rPr>
      </w:pPr>
      <w:r>
        <w:rPr>
          <w:color w:val="auto"/>
          <w:highlight w:val="none"/>
        </w:rPr>
        <w:t>（6）开标结束。</w:t>
      </w:r>
    </w:p>
    <w:p>
      <w:pPr>
        <w:spacing w:line="360" w:lineRule="auto"/>
        <w:jc w:val="left"/>
        <w:rPr>
          <w:color w:val="auto"/>
          <w:highlight w:val="none"/>
        </w:rPr>
      </w:pPr>
      <w:r>
        <w:rPr>
          <w:color w:val="auto"/>
          <w:highlight w:val="none"/>
        </w:rPr>
        <w:t>5.3 开标异议</w:t>
      </w:r>
    </w:p>
    <w:p>
      <w:pPr>
        <w:spacing w:line="360" w:lineRule="auto"/>
        <w:ind w:firstLine="420" w:firstLineChars="200"/>
        <w:jc w:val="left"/>
        <w:rPr>
          <w:color w:val="auto"/>
          <w:highlight w:val="none"/>
        </w:rPr>
      </w:pPr>
      <w:r>
        <w:rPr>
          <w:color w:val="auto"/>
          <w:highlight w:val="none"/>
        </w:rPr>
        <w:t>投标供应商对开标有异议的，应当在开标现场提出，采购代理机构或采购人当场作出答复，并制作记录。</w:t>
      </w:r>
    </w:p>
    <w:p>
      <w:pPr>
        <w:spacing w:line="360" w:lineRule="auto"/>
        <w:jc w:val="left"/>
        <w:rPr>
          <w:b/>
          <w:color w:val="auto"/>
          <w:highlight w:val="none"/>
        </w:rPr>
      </w:pPr>
      <w:r>
        <w:rPr>
          <w:b/>
          <w:color w:val="auto"/>
          <w:highlight w:val="none"/>
        </w:rPr>
        <w:t>6. 评标</w:t>
      </w:r>
    </w:p>
    <w:p>
      <w:pPr>
        <w:spacing w:line="360" w:lineRule="auto"/>
        <w:jc w:val="left"/>
        <w:rPr>
          <w:color w:val="auto"/>
          <w:highlight w:val="none"/>
        </w:rPr>
      </w:pPr>
      <w:r>
        <w:rPr>
          <w:color w:val="auto"/>
          <w:highlight w:val="none"/>
        </w:rPr>
        <w:t>6.1 评标委员会</w:t>
      </w:r>
    </w:p>
    <w:p>
      <w:pPr>
        <w:spacing w:line="360" w:lineRule="auto"/>
        <w:ind w:firstLine="420" w:firstLineChars="200"/>
        <w:jc w:val="left"/>
        <w:rPr>
          <w:color w:val="auto"/>
          <w:highlight w:val="none"/>
        </w:rPr>
      </w:pPr>
      <w:r>
        <w:rPr>
          <w:color w:val="auto"/>
          <w:highlight w:val="none"/>
        </w:rPr>
        <w:t>6.1.1 评标由采购人依法组建的评标委员会负责。评标委员会由采购人或其委托的采购代理机构熟悉相关业务的代表，以及有关技术、经济等方面的专家组成。评标委员会成员人数以及技术、经济等方面专家的确定方式见投标供应商须知前附表。</w:t>
      </w:r>
    </w:p>
    <w:p>
      <w:pPr>
        <w:spacing w:line="360" w:lineRule="auto"/>
        <w:ind w:firstLine="420" w:firstLineChars="200"/>
        <w:jc w:val="left"/>
        <w:rPr>
          <w:color w:val="auto"/>
          <w:highlight w:val="none"/>
        </w:rPr>
      </w:pPr>
      <w:r>
        <w:rPr>
          <w:color w:val="auto"/>
          <w:highlight w:val="none"/>
        </w:rPr>
        <w:t>6.1.2 评标委员会成员有下列情形之一的，应当回避：</w:t>
      </w:r>
    </w:p>
    <w:p>
      <w:pPr>
        <w:spacing w:line="360" w:lineRule="auto"/>
        <w:ind w:firstLine="420" w:firstLineChars="200"/>
        <w:jc w:val="left"/>
        <w:rPr>
          <w:color w:val="auto"/>
          <w:highlight w:val="none"/>
        </w:rPr>
      </w:pPr>
      <w:r>
        <w:rPr>
          <w:color w:val="auto"/>
          <w:highlight w:val="none"/>
        </w:rPr>
        <w:t>（1）投标供应商或投标供应商主要负责人的近亲属；</w:t>
      </w:r>
    </w:p>
    <w:p>
      <w:pPr>
        <w:spacing w:line="360" w:lineRule="auto"/>
        <w:ind w:firstLine="420" w:firstLineChars="200"/>
        <w:jc w:val="left"/>
        <w:rPr>
          <w:color w:val="auto"/>
          <w:highlight w:val="none"/>
        </w:rPr>
      </w:pPr>
      <w:r>
        <w:rPr>
          <w:color w:val="auto"/>
          <w:highlight w:val="none"/>
        </w:rPr>
        <w:t>（2）项目主管部门或者行政监督部门的人员；</w:t>
      </w:r>
    </w:p>
    <w:p>
      <w:pPr>
        <w:spacing w:line="360" w:lineRule="auto"/>
        <w:ind w:firstLine="420" w:firstLineChars="200"/>
        <w:jc w:val="left"/>
        <w:rPr>
          <w:color w:val="auto"/>
          <w:highlight w:val="none"/>
        </w:rPr>
      </w:pPr>
      <w:r>
        <w:rPr>
          <w:color w:val="auto"/>
          <w:highlight w:val="none"/>
        </w:rPr>
        <w:t>（3）与投标供应商有经济利益关系，可能影响对投标公正评审的；</w:t>
      </w:r>
    </w:p>
    <w:p>
      <w:pPr>
        <w:spacing w:line="360" w:lineRule="auto"/>
        <w:ind w:firstLine="420" w:firstLineChars="200"/>
        <w:jc w:val="left"/>
        <w:rPr>
          <w:color w:val="auto"/>
          <w:highlight w:val="none"/>
        </w:rPr>
      </w:pPr>
      <w:r>
        <w:rPr>
          <w:color w:val="auto"/>
          <w:highlight w:val="none"/>
        </w:rPr>
        <w:t>（4）曾因在招标、评标以及其他与招标投标有关活动中从事违法行为而受过行政处罚或刑事处罚的；</w:t>
      </w:r>
    </w:p>
    <w:p>
      <w:pPr>
        <w:spacing w:line="360" w:lineRule="auto"/>
        <w:ind w:firstLine="420" w:firstLineChars="200"/>
        <w:jc w:val="left"/>
        <w:rPr>
          <w:color w:val="auto"/>
          <w:highlight w:val="none"/>
        </w:rPr>
      </w:pPr>
      <w:r>
        <w:rPr>
          <w:color w:val="auto"/>
          <w:highlight w:val="none"/>
        </w:rPr>
        <w:t>（5）与投标供应商有其他利害关系。</w:t>
      </w:r>
    </w:p>
    <w:p>
      <w:pPr>
        <w:spacing w:line="360" w:lineRule="auto"/>
        <w:ind w:firstLine="420" w:firstLineChars="200"/>
        <w:jc w:val="left"/>
        <w:rPr>
          <w:color w:val="auto"/>
          <w:highlight w:val="none"/>
        </w:rPr>
      </w:pPr>
      <w:r>
        <w:rPr>
          <w:color w:val="auto"/>
          <w:highlight w:val="none"/>
        </w:rPr>
        <w:t>6.1.3 评标过程中，评标委员会成员有回避事由、擅离职守或者因健康等原因不能继续评标的，采购人有权更换。被更换的评标委员会成员作出的评审结论无效，由更换后的评标委员会成员重新进行评审。</w:t>
      </w:r>
    </w:p>
    <w:p>
      <w:pPr>
        <w:spacing w:line="360" w:lineRule="auto"/>
        <w:jc w:val="left"/>
        <w:rPr>
          <w:color w:val="auto"/>
          <w:highlight w:val="none"/>
        </w:rPr>
      </w:pPr>
      <w:r>
        <w:rPr>
          <w:color w:val="auto"/>
          <w:highlight w:val="none"/>
        </w:rPr>
        <w:t>6.2 评标原则</w:t>
      </w:r>
    </w:p>
    <w:p>
      <w:pPr>
        <w:spacing w:line="360" w:lineRule="auto"/>
        <w:ind w:firstLine="420" w:firstLineChars="200"/>
        <w:jc w:val="left"/>
        <w:rPr>
          <w:color w:val="auto"/>
          <w:highlight w:val="none"/>
        </w:rPr>
      </w:pPr>
      <w:r>
        <w:rPr>
          <w:color w:val="auto"/>
          <w:highlight w:val="none"/>
        </w:rPr>
        <w:t>评标活动遵循公平、公正、科学择优的原则。</w:t>
      </w:r>
    </w:p>
    <w:p>
      <w:pPr>
        <w:spacing w:line="360" w:lineRule="auto"/>
        <w:jc w:val="left"/>
        <w:rPr>
          <w:color w:val="auto"/>
          <w:highlight w:val="none"/>
        </w:rPr>
      </w:pPr>
      <w:r>
        <w:rPr>
          <w:color w:val="auto"/>
          <w:highlight w:val="none"/>
        </w:rPr>
        <w:t>6.3 评标</w:t>
      </w:r>
    </w:p>
    <w:p>
      <w:pPr>
        <w:spacing w:line="360" w:lineRule="auto"/>
        <w:ind w:firstLine="420" w:firstLineChars="200"/>
        <w:jc w:val="left"/>
        <w:rPr>
          <w:color w:val="auto"/>
          <w:highlight w:val="none"/>
        </w:rPr>
      </w:pPr>
      <w:r>
        <w:rPr>
          <w:color w:val="auto"/>
          <w:highlight w:val="none"/>
        </w:rPr>
        <w:t>6.3.1评标委员会按照第三章“评标办法”规定的方法、评审因素、标准和程序对投标文件进行评审。第三章“评标办法”没有规定的方法、评审因素和标准，不作为评标依据。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jc w:val="left"/>
        <w:rPr>
          <w:color w:val="auto"/>
          <w:highlight w:val="none"/>
        </w:rPr>
      </w:pPr>
      <w:r>
        <w:rPr>
          <w:color w:val="auto"/>
          <w:highlight w:val="none"/>
        </w:rPr>
        <w:t>6.3.2评标完成后，评标委员会应当向采购人提交书面评标报告和中标候选人名单。评标委员会推荐中标候选人的人数见投标供应商须知前附表。</w:t>
      </w:r>
    </w:p>
    <w:p>
      <w:pPr>
        <w:spacing w:line="360" w:lineRule="auto"/>
        <w:jc w:val="left"/>
        <w:rPr>
          <w:b/>
          <w:color w:val="auto"/>
          <w:highlight w:val="none"/>
        </w:rPr>
      </w:pPr>
      <w:r>
        <w:rPr>
          <w:b/>
          <w:color w:val="auto"/>
          <w:highlight w:val="none"/>
        </w:rPr>
        <w:t>7. 合同授予</w:t>
      </w:r>
      <w:r>
        <w:rPr>
          <w:b/>
          <w:color w:val="auto"/>
          <w:highlight w:val="none"/>
        </w:rPr>
        <w:tab/>
      </w:r>
    </w:p>
    <w:p>
      <w:pPr>
        <w:spacing w:line="360" w:lineRule="auto"/>
        <w:jc w:val="left"/>
        <w:rPr>
          <w:color w:val="auto"/>
          <w:highlight w:val="none"/>
        </w:rPr>
      </w:pPr>
      <w:r>
        <w:rPr>
          <w:color w:val="auto"/>
          <w:highlight w:val="none"/>
        </w:rPr>
        <w:t>7.1 中标候选人公示</w:t>
      </w:r>
    </w:p>
    <w:p>
      <w:pPr>
        <w:spacing w:line="360" w:lineRule="auto"/>
        <w:ind w:firstLine="420" w:firstLineChars="200"/>
        <w:jc w:val="left"/>
        <w:rPr>
          <w:color w:val="auto"/>
          <w:highlight w:val="none"/>
        </w:rPr>
      </w:pPr>
      <w:r>
        <w:rPr>
          <w:color w:val="auto"/>
          <w:highlight w:val="none"/>
        </w:rPr>
        <w:t>采购人在收到评标报告之日起5个工作日内，按照投标供应商须知前附表规定的公示媒介和期限公示中标候选人，公示期不得少于1个工作日。</w:t>
      </w:r>
    </w:p>
    <w:p>
      <w:pPr>
        <w:spacing w:line="360" w:lineRule="auto"/>
        <w:jc w:val="left"/>
        <w:rPr>
          <w:color w:val="auto"/>
          <w:highlight w:val="none"/>
        </w:rPr>
      </w:pPr>
      <w:r>
        <w:rPr>
          <w:color w:val="auto"/>
          <w:highlight w:val="none"/>
        </w:rPr>
        <w:t>7.2 评标结果异议</w:t>
      </w:r>
    </w:p>
    <w:p>
      <w:pPr>
        <w:spacing w:line="360" w:lineRule="auto"/>
        <w:ind w:firstLine="420" w:firstLineChars="200"/>
        <w:jc w:val="left"/>
        <w:rPr>
          <w:color w:val="auto"/>
          <w:highlight w:val="none"/>
        </w:rPr>
      </w:pPr>
      <w:r>
        <w:rPr>
          <w:color w:val="auto"/>
          <w:highlight w:val="none"/>
        </w:rPr>
        <w:t>投标供应商或者其他利</w:t>
      </w:r>
      <w:bookmarkStart w:id="3" w:name="_Toc352691505"/>
      <w:bookmarkStart w:id="4" w:name="_Toc369531549"/>
      <w:bookmarkStart w:id="5" w:name="_Toc384308243"/>
      <w:bookmarkStart w:id="6" w:name="_Toc152042337"/>
      <w:bookmarkStart w:id="7" w:name="_Toc152045561"/>
      <w:bookmarkStart w:id="8" w:name="_Toc361508618"/>
      <w:bookmarkStart w:id="9" w:name="_Toc247513985"/>
      <w:bookmarkStart w:id="10" w:name="_Toc144974529"/>
      <w:bookmarkStart w:id="11" w:name="_Toc300834982"/>
      <w:bookmarkStart w:id="12" w:name="_Toc247527586"/>
      <w:bookmarkStart w:id="13" w:name="_Toc30095"/>
      <w:r>
        <w:rPr>
          <w:color w:val="auto"/>
          <w:highlight w:val="none"/>
        </w:rPr>
        <w:t>害关系人对评标结</w:t>
      </w:r>
      <w:bookmarkEnd w:id="3"/>
      <w:bookmarkEnd w:id="4"/>
      <w:bookmarkEnd w:id="5"/>
      <w:bookmarkEnd w:id="6"/>
      <w:bookmarkEnd w:id="7"/>
      <w:bookmarkEnd w:id="8"/>
      <w:bookmarkEnd w:id="9"/>
      <w:bookmarkEnd w:id="10"/>
      <w:bookmarkEnd w:id="11"/>
      <w:bookmarkEnd w:id="12"/>
      <w:bookmarkEnd w:id="13"/>
      <w:r>
        <w:rPr>
          <w:color w:val="auto"/>
          <w:highlight w:val="none"/>
        </w:rPr>
        <w:t>果有异议的，应当在规定的时间内提出。采购人将在收到异议后7个工作日内作出答复；作出答复前，将暂停招标投标活动。</w:t>
      </w:r>
    </w:p>
    <w:p>
      <w:pPr>
        <w:spacing w:line="360" w:lineRule="auto"/>
        <w:jc w:val="left"/>
        <w:rPr>
          <w:color w:val="auto"/>
          <w:highlight w:val="none"/>
        </w:rPr>
      </w:pPr>
      <w:r>
        <w:rPr>
          <w:color w:val="auto"/>
          <w:highlight w:val="none"/>
        </w:rPr>
        <w:t>7.3 中标候选人履约能力审查</w:t>
      </w:r>
    </w:p>
    <w:p>
      <w:pPr>
        <w:spacing w:line="360" w:lineRule="auto"/>
        <w:ind w:firstLine="420" w:firstLineChars="200"/>
        <w:jc w:val="left"/>
        <w:rPr>
          <w:color w:val="auto"/>
          <w:highlight w:val="none"/>
        </w:rPr>
      </w:pPr>
      <w:r>
        <w:rPr>
          <w:color w:val="auto"/>
          <w:highlight w:val="none"/>
        </w:rPr>
        <w:t>中标候选人的经营、财务状况发生较大变化或存在违法行为，采购人认为可能影响其履约能力的，将汇报同级财政部门并提请原评标委员会按照招标文件规定的标准和方法进行审查确认。</w:t>
      </w:r>
    </w:p>
    <w:p>
      <w:pPr>
        <w:spacing w:line="360" w:lineRule="auto"/>
        <w:jc w:val="left"/>
        <w:rPr>
          <w:color w:val="auto"/>
          <w:highlight w:val="none"/>
        </w:rPr>
      </w:pPr>
      <w:r>
        <w:rPr>
          <w:color w:val="auto"/>
          <w:highlight w:val="none"/>
        </w:rPr>
        <w:t>7.4 定标</w:t>
      </w:r>
    </w:p>
    <w:p>
      <w:pPr>
        <w:spacing w:line="360" w:lineRule="auto"/>
        <w:ind w:firstLine="420" w:firstLineChars="200"/>
        <w:jc w:val="left"/>
        <w:rPr>
          <w:color w:val="auto"/>
          <w:highlight w:val="none"/>
        </w:rPr>
      </w:pPr>
      <w:r>
        <w:rPr>
          <w:color w:val="auto"/>
          <w:highlight w:val="none"/>
        </w:rPr>
        <w:t>7.4.1按照投标供应商须知前附表的规定，采购人或采购人授权的评标委员会依法确定</w:t>
      </w:r>
      <w:r>
        <w:rPr>
          <w:rFonts w:hint="eastAsia"/>
          <w:color w:val="auto"/>
          <w:highlight w:val="none"/>
        </w:rPr>
        <w:t>中标供应商</w:t>
      </w:r>
      <w:r>
        <w:rPr>
          <w:color w:val="auto"/>
          <w:highlight w:val="none"/>
        </w:rPr>
        <w:t>。</w:t>
      </w:r>
    </w:p>
    <w:p>
      <w:pPr>
        <w:spacing w:line="360" w:lineRule="auto"/>
        <w:ind w:firstLine="420" w:firstLineChars="200"/>
        <w:jc w:val="left"/>
        <w:rPr>
          <w:color w:val="auto"/>
          <w:highlight w:val="none"/>
        </w:rPr>
      </w:pPr>
      <w:r>
        <w:rPr>
          <w:color w:val="auto"/>
          <w:highlight w:val="none"/>
        </w:rPr>
        <w:t>7.4.2 采购人应当自收到评标报告之日起5个工作日内，在评标报告确定的中标候选人名单中按顺序确定</w:t>
      </w:r>
      <w:r>
        <w:rPr>
          <w:rFonts w:hint="eastAsia"/>
          <w:color w:val="auto"/>
          <w:highlight w:val="none"/>
        </w:rPr>
        <w:t>中标供应商</w:t>
      </w:r>
      <w:r>
        <w:rPr>
          <w:color w:val="auto"/>
          <w:highlight w:val="none"/>
        </w:rPr>
        <w:t>。</w:t>
      </w:r>
    </w:p>
    <w:p>
      <w:pPr>
        <w:spacing w:line="360" w:lineRule="auto"/>
        <w:jc w:val="left"/>
        <w:rPr>
          <w:color w:val="auto"/>
          <w:highlight w:val="none"/>
        </w:rPr>
      </w:pPr>
      <w:r>
        <w:rPr>
          <w:color w:val="auto"/>
          <w:highlight w:val="none"/>
        </w:rPr>
        <w:t>7.5 中标通知</w:t>
      </w:r>
    </w:p>
    <w:p>
      <w:pPr>
        <w:spacing w:line="360" w:lineRule="auto"/>
        <w:ind w:firstLine="420" w:firstLineChars="200"/>
        <w:jc w:val="left"/>
        <w:rPr>
          <w:color w:val="auto"/>
          <w:highlight w:val="none"/>
        </w:rPr>
      </w:pPr>
      <w:r>
        <w:rPr>
          <w:color w:val="auto"/>
          <w:highlight w:val="none"/>
        </w:rPr>
        <w:t>在中标结果公告当天，以书面形式向</w:t>
      </w:r>
      <w:r>
        <w:rPr>
          <w:rFonts w:hint="eastAsia"/>
          <w:color w:val="auto"/>
          <w:highlight w:val="none"/>
        </w:rPr>
        <w:t>中标供应商</w:t>
      </w:r>
      <w:r>
        <w:rPr>
          <w:color w:val="auto"/>
          <w:highlight w:val="none"/>
        </w:rPr>
        <w:t>发出中标通知书，同时将中标结果通知未中标的投标供应商。</w:t>
      </w:r>
    </w:p>
    <w:p>
      <w:pPr>
        <w:spacing w:line="360" w:lineRule="auto"/>
        <w:jc w:val="left"/>
        <w:rPr>
          <w:color w:val="auto"/>
          <w:highlight w:val="none"/>
        </w:rPr>
      </w:pPr>
      <w:r>
        <w:rPr>
          <w:color w:val="auto"/>
          <w:highlight w:val="none"/>
        </w:rPr>
        <w:t>7.6 履约保证金</w:t>
      </w:r>
    </w:p>
    <w:p>
      <w:pPr>
        <w:spacing w:line="360" w:lineRule="auto"/>
        <w:ind w:firstLine="420" w:firstLineChars="200"/>
        <w:jc w:val="left"/>
        <w:rPr>
          <w:color w:val="auto"/>
          <w:highlight w:val="none"/>
        </w:rPr>
      </w:pPr>
      <w:r>
        <w:rPr>
          <w:color w:val="auto"/>
          <w:highlight w:val="none"/>
        </w:rPr>
        <w:t>7.6.1 在签订合同前，</w:t>
      </w:r>
      <w:r>
        <w:rPr>
          <w:rFonts w:hint="eastAsia"/>
          <w:color w:val="auto"/>
          <w:highlight w:val="none"/>
        </w:rPr>
        <w:t>中标供应商</w:t>
      </w:r>
      <w:r>
        <w:rPr>
          <w:color w:val="auto"/>
          <w:highlight w:val="none"/>
        </w:rPr>
        <w:t>应按投标供应商须知前附表规定的形式、金额和招标文件第四章“合同条款及格式”规定的或者事先经过采购人书面认可的履约保证金格式向采购人提交履约保证金。除投标供应商须知前附表另有规定外，履约保证金为中标合同金额的10%。联合体中标的，其履约保证金以联合体各方或者联合体中牵头人的名义提交。</w:t>
      </w:r>
    </w:p>
    <w:p>
      <w:pPr>
        <w:spacing w:line="360" w:lineRule="auto"/>
        <w:ind w:firstLine="420" w:firstLineChars="200"/>
        <w:jc w:val="left"/>
        <w:rPr>
          <w:color w:val="auto"/>
          <w:highlight w:val="none"/>
        </w:rPr>
      </w:pPr>
      <w:r>
        <w:rPr>
          <w:color w:val="auto"/>
          <w:highlight w:val="none"/>
        </w:rPr>
        <w:t xml:space="preserve">7.6.2 </w:t>
      </w:r>
      <w:r>
        <w:rPr>
          <w:rFonts w:hint="eastAsia"/>
          <w:color w:val="auto"/>
          <w:highlight w:val="none"/>
        </w:rPr>
        <w:t>中标供应商</w:t>
      </w:r>
      <w:r>
        <w:rPr>
          <w:color w:val="auto"/>
          <w:highlight w:val="none"/>
        </w:rPr>
        <w:t>不能按本章规定要求提交履约保证金的，视为放弃中标，其投标保证金有权不予退还，给采购人造成的损失超过投标保证金数额的，</w:t>
      </w:r>
      <w:r>
        <w:rPr>
          <w:rFonts w:hint="eastAsia"/>
          <w:color w:val="auto"/>
          <w:highlight w:val="none"/>
        </w:rPr>
        <w:t>中标供应商</w:t>
      </w:r>
      <w:r>
        <w:rPr>
          <w:color w:val="auto"/>
          <w:highlight w:val="none"/>
        </w:rPr>
        <w:t>还应当对超过部分予以赔偿。</w:t>
      </w:r>
    </w:p>
    <w:p>
      <w:pPr>
        <w:spacing w:line="360" w:lineRule="auto"/>
        <w:jc w:val="left"/>
        <w:rPr>
          <w:color w:val="auto"/>
          <w:highlight w:val="none"/>
        </w:rPr>
      </w:pPr>
      <w:r>
        <w:rPr>
          <w:color w:val="auto"/>
          <w:highlight w:val="none"/>
        </w:rPr>
        <w:t>7.7 签订合同</w:t>
      </w:r>
    </w:p>
    <w:p>
      <w:pPr>
        <w:spacing w:line="360" w:lineRule="auto"/>
        <w:ind w:firstLine="420" w:firstLineChars="200"/>
        <w:jc w:val="left"/>
        <w:rPr>
          <w:color w:val="auto"/>
          <w:highlight w:val="none"/>
        </w:rPr>
      </w:pPr>
      <w:r>
        <w:rPr>
          <w:color w:val="auto"/>
          <w:highlight w:val="none"/>
        </w:rPr>
        <w:t>7.7.1 采购人和</w:t>
      </w:r>
      <w:r>
        <w:rPr>
          <w:rFonts w:hint="eastAsia"/>
          <w:color w:val="auto"/>
          <w:highlight w:val="none"/>
        </w:rPr>
        <w:t>中标供应商</w:t>
      </w:r>
      <w:r>
        <w:rPr>
          <w:color w:val="auto"/>
          <w:highlight w:val="none"/>
        </w:rPr>
        <w:t>应当在中标通知书发出之日起30日内，根据招标文件和</w:t>
      </w:r>
      <w:r>
        <w:rPr>
          <w:rFonts w:hint="eastAsia"/>
          <w:color w:val="auto"/>
          <w:highlight w:val="none"/>
        </w:rPr>
        <w:t>中标供应商</w:t>
      </w:r>
      <w:r>
        <w:rPr>
          <w:color w:val="auto"/>
          <w:highlight w:val="none"/>
        </w:rPr>
        <w:t>的投标文件订立书面合同。</w:t>
      </w:r>
      <w:r>
        <w:rPr>
          <w:rFonts w:hint="eastAsia"/>
          <w:color w:val="auto"/>
          <w:highlight w:val="none"/>
        </w:rPr>
        <w:t>中标供应商</w:t>
      </w:r>
      <w:r>
        <w:rPr>
          <w:color w:val="auto"/>
          <w:highlight w:val="none"/>
        </w:rPr>
        <w:t>无正当理由拒签合同，在签订合同时向采购人提出附加条件，或者不按照招标文件要求提交履约保证金的，采购人有权取消其中标资格，其投标保证金有权不予退还；给采购人造成的损失超过投标保证金数额的，</w:t>
      </w:r>
      <w:r>
        <w:rPr>
          <w:rFonts w:hint="eastAsia"/>
          <w:color w:val="auto"/>
          <w:highlight w:val="none"/>
        </w:rPr>
        <w:t>中标供应商</w:t>
      </w:r>
      <w:r>
        <w:rPr>
          <w:color w:val="auto"/>
          <w:highlight w:val="none"/>
        </w:rPr>
        <w:t>还应当对超过部分予以赔偿。</w:t>
      </w:r>
    </w:p>
    <w:p>
      <w:pPr>
        <w:spacing w:line="360" w:lineRule="auto"/>
        <w:ind w:firstLine="420" w:firstLineChars="200"/>
        <w:jc w:val="left"/>
        <w:rPr>
          <w:color w:val="auto"/>
          <w:highlight w:val="none"/>
        </w:rPr>
      </w:pPr>
      <w:r>
        <w:rPr>
          <w:color w:val="auto"/>
          <w:highlight w:val="none"/>
        </w:rPr>
        <w:t>7.7.2 发出中标通知书后，采购人无正当理由拒签合同，或者在签订合同时向</w:t>
      </w:r>
      <w:r>
        <w:rPr>
          <w:rFonts w:hint="eastAsia"/>
          <w:color w:val="auto"/>
          <w:highlight w:val="none"/>
        </w:rPr>
        <w:t>中标供应商</w:t>
      </w:r>
      <w:r>
        <w:rPr>
          <w:color w:val="auto"/>
          <w:highlight w:val="none"/>
        </w:rPr>
        <w:t>提出附加条件的，采购人向</w:t>
      </w:r>
      <w:r>
        <w:rPr>
          <w:rFonts w:hint="eastAsia"/>
          <w:color w:val="auto"/>
          <w:highlight w:val="none"/>
        </w:rPr>
        <w:t>中标供应商</w:t>
      </w:r>
      <w:r>
        <w:rPr>
          <w:color w:val="auto"/>
          <w:highlight w:val="none"/>
        </w:rPr>
        <w:t>退还投标保证金；给</w:t>
      </w:r>
      <w:r>
        <w:rPr>
          <w:rFonts w:hint="eastAsia"/>
          <w:color w:val="auto"/>
          <w:highlight w:val="none"/>
        </w:rPr>
        <w:t>中标供应商</w:t>
      </w:r>
      <w:r>
        <w:rPr>
          <w:color w:val="auto"/>
          <w:highlight w:val="none"/>
        </w:rPr>
        <w:t>造成损失的，还应当赔偿损失。</w:t>
      </w:r>
    </w:p>
    <w:p>
      <w:pPr>
        <w:spacing w:line="360" w:lineRule="auto"/>
        <w:ind w:firstLine="420" w:firstLineChars="200"/>
        <w:jc w:val="left"/>
        <w:rPr>
          <w:color w:val="auto"/>
          <w:highlight w:val="none"/>
        </w:rPr>
      </w:pPr>
      <w:r>
        <w:rPr>
          <w:color w:val="auto"/>
          <w:highlight w:val="none"/>
        </w:rPr>
        <w:t>7.7.3 联合体中标的，联合体各方应当共同与采购人签订合同，就中标项目向采购人承担连带责任。</w:t>
      </w:r>
    </w:p>
    <w:p>
      <w:pPr>
        <w:spacing w:line="360" w:lineRule="auto"/>
        <w:jc w:val="left"/>
        <w:rPr>
          <w:b/>
          <w:color w:val="auto"/>
          <w:highlight w:val="none"/>
        </w:rPr>
      </w:pPr>
      <w:r>
        <w:rPr>
          <w:b/>
          <w:color w:val="auto"/>
          <w:highlight w:val="none"/>
        </w:rPr>
        <w:t>8.纪律和监督</w:t>
      </w:r>
    </w:p>
    <w:p>
      <w:pPr>
        <w:spacing w:line="360" w:lineRule="auto"/>
        <w:jc w:val="left"/>
        <w:rPr>
          <w:color w:val="auto"/>
          <w:highlight w:val="none"/>
        </w:rPr>
      </w:pPr>
      <w:r>
        <w:rPr>
          <w:color w:val="auto"/>
          <w:highlight w:val="none"/>
        </w:rPr>
        <w:t>8.1 对采购人的纪律要求</w:t>
      </w:r>
    </w:p>
    <w:p>
      <w:pPr>
        <w:spacing w:line="360" w:lineRule="auto"/>
        <w:ind w:firstLine="420" w:firstLineChars="200"/>
        <w:jc w:val="left"/>
        <w:rPr>
          <w:color w:val="auto"/>
          <w:highlight w:val="none"/>
        </w:rPr>
      </w:pPr>
      <w:r>
        <w:rPr>
          <w:color w:val="auto"/>
          <w:highlight w:val="none"/>
        </w:rPr>
        <w:t>采购人不得泄露招标投标活动中应当保密的情况和资料，不得与投标供应商串通损害国家利益、社会公共利益或者他人合法权益。</w:t>
      </w:r>
    </w:p>
    <w:p>
      <w:pPr>
        <w:spacing w:line="360" w:lineRule="auto"/>
        <w:jc w:val="left"/>
        <w:rPr>
          <w:color w:val="auto"/>
          <w:highlight w:val="none"/>
        </w:rPr>
      </w:pPr>
      <w:r>
        <w:rPr>
          <w:color w:val="auto"/>
          <w:highlight w:val="none"/>
        </w:rPr>
        <w:t>8.2 对投标供应商的纪律要求</w:t>
      </w:r>
    </w:p>
    <w:p>
      <w:pPr>
        <w:spacing w:line="360" w:lineRule="auto"/>
        <w:ind w:firstLine="420" w:firstLineChars="200"/>
        <w:jc w:val="left"/>
        <w:rPr>
          <w:color w:val="auto"/>
          <w:highlight w:val="none"/>
        </w:rPr>
      </w:pPr>
      <w:r>
        <w:rPr>
          <w:color w:val="auto"/>
          <w:highlight w:val="none"/>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pPr>
        <w:spacing w:line="360" w:lineRule="auto"/>
        <w:jc w:val="left"/>
        <w:rPr>
          <w:color w:val="auto"/>
          <w:highlight w:val="none"/>
        </w:rPr>
      </w:pPr>
      <w:r>
        <w:rPr>
          <w:color w:val="auto"/>
          <w:highlight w:val="none"/>
        </w:rPr>
        <w:t>8.3 对评标委员会成员的纪律要求</w:t>
      </w:r>
    </w:p>
    <w:p>
      <w:pPr>
        <w:spacing w:line="360" w:lineRule="auto"/>
        <w:ind w:firstLine="420" w:firstLineChars="200"/>
        <w:jc w:val="left"/>
        <w:rPr>
          <w:color w:val="auto"/>
          <w:highlight w:val="none"/>
        </w:rPr>
      </w:pPr>
      <w:r>
        <w:rPr>
          <w:color w:val="auto"/>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jc w:val="left"/>
        <w:rPr>
          <w:color w:val="auto"/>
          <w:highlight w:val="none"/>
        </w:rPr>
      </w:pPr>
      <w:r>
        <w:rPr>
          <w:color w:val="auto"/>
          <w:highlight w:val="none"/>
        </w:rPr>
        <w:t>8.4 对与评标活动有关的工作人员的纪律要求</w:t>
      </w:r>
    </w:p>
    <w:p>
      <w:pPr>
        <w:spacing w:line="360" w:lineRule="auto"/>
        <w:ind w:firstLine="420" w:firstLineChars="200"/>
        <w:jc w:val="left"/>
        <w:rPr>
          <w:color w:val="auto"/>
          <w:highlight w:val="none"/>
        </w:rPr>
      </w:pPr>
      <w:r>
        <w:rPr>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jc w:val="left"/>
        <w:rPr>
          <w:color w:val="auto"/>
          <w:highlight w:val="none"/>
        </w:rPr>
      </w:pPr>
      <w:r>
        <w:rPr>
          <w:color w:val="auto"/>
          <w:highlight w:val="none"/>
        </w:rPr>
        <w:t>8.5 投诉</w:t>
      </w:r>
    </w:p>
    <w:p>
      <w:pPr>
        <w:spacing w:line="360" w:lineRule="auto"/>
        <w:ind w:firstLine="420" w:firstLineChars="200"/>
        <w:jc w:val="left"/>
        <w:rPr>
          <w:color w:val="auto"/>
          <w:highlight w:val="none"/>
        </w:rPr>
      </w:pPr>
      <w:r>
        <w:rPr>
          <w:color w:val="auto"/>
          <w:highlight w:val="none"/>
        </w:rPr>
        <w:t>8.5.1 质疑投标供应商对采购人、采购代理机构的答复不满意，或者采购人、采购代理机构未在规定时间内作出答复的，可以在答复期满后15个工作日内向财政部门提起投诉。投诉应当有明确的请求和必要的证明材料。</w:t>
      </w:r>
    </w:p>
    <w:p>
      <w:pPr>
        <w:spacing w:line="360" w:lineRule="auto"/>
        <w:ind w:firstLine="420" w:firstLineChars="200"/>
        <w:jc w:val="left"/>
        <w:rPr>
          <w:color w:val="auto"/>
          <w:highlight w:val="none"/>
        </w:rPr>
      </w:pPr>
      <w:r>
        <w:rPr>
          <w:color w:val="auto"/>
          <w:highlight w:val="none"/>
        </w:rPr>
        <w:t>8.5.2 投标供应商或者其他利害关系人对招标文件、开标和评标结果提出投诉的，应当按照投标供应商须知的规定先向采购代理机构及采购人提出质疑。</w:t>
      </w:r>
    </w:p>
    <w:p>
      <w:pPr>
        <w:spacing w:line="360" w:lineRule="auto"/>
        <w:jc w:val="left"/>
        <w:rPr>
          <w:b/>
          <w:color w:val="auto"/>
          <w:highlight w:val="none"/>
        </w:rPr>
      </w:pPr>
      <w:r>
        <w:rPr>
          <w:b/>
          <w:color w:val="auto"/>
          <w:highlight w:val="none"/>
        </w:rPr>
        <w:t>9. 是否采用电子招标投标</w:t>
      </w:r>
    </w:p>
    <w:p>
      <w:pPr>
        <w:spacing w:line="360" w:lineRule="auto"/>
        <w:ind w:firstLine="420" w:firstLineChars="200"/>
        <w:jc w:val="left"/>
        <w:rPr>
          <w:color w:val="auto"/>
          <w:highlight w:val="none"/>
        </w:rPr>
      </w:pPr>
      <w:r>
        <w:rPr>
          <w:color w:val="auto"/>
          <w:highlight w:val="none"/>
        </w:rPr>
        <w:t>本招标项目是否采用电子招标投标方式，见投标供应商须知前附表。</w:t>
      </w:r>
    </w:p>
    <w:p>
      <w:pPr>
        <w:spacing w:line="360" w:lineRule="auto"/>
        <w:jc w:val="left"/>
        <w:rPr>
          <w:b/>
          <w:color w:val="auto"/>
          <w:highlight w:val="none"/>
        </w:rPr>
      </w:pPr>
      <w:r>
        <w:rPr>
          <w:b/>
          <w:color w:val="auto"/>
          <w:highlight w:val="none"/>
        </w:rPr>
        <w:t>10. 需要补充的其他内容</w:t>
      </w:r>
    </w:p>
    <w:p>
      <w:pPr>
        <w:spacing w:line="360" w:lineRule="auto"/>
        <w:ind w:firstLine="420" w:firstLineChars="200"/>
        <w:jc w:val="left"/>
        <w:rPr>
          <w:color w:val="auto"/>
          <w:highlight w:val="none"/>
        </w:rPr>
      </w:pPr>
      <w:r>
        <w:rPr>
          <w:color w:val="auto"/>
          <w:highlight w:val="none"/>
        </w:rPr>
        <w:t>需要补充的其他内容：见投标供应商须知前附表。</w:t>
      </w:r>
    </w:p>
    <w:p>
      <w:pPr>
        <w:numPr>
          <w:ilvl w:val="0"/>
          <w:numId w:val="1"/>
        </w:numPr>
        <w:spacing w:line="360" w:lineRule="auto"/>
        <w:jc w:val="left"/>
        <w:rPr>
          <w:b/>
          <w:bCs/>
          <w:color w:val="auto"/>
          <w:highlight w:val="none"/>
        </w:rPr>
      </w:pPr>
      <w:bookmarkStart w:id="14" w:name="_Toc22752"/>
      <w:r>
        <w:rPr>
          <w:b/>
          <w:bCs/>
          <w:color w:val="auto"/>
          <w:highlight w:val="none"/>
        </w:rPr>
        <w:t>知识产权</w:t>
      </w:r>
      <w:bookmarkEnd w:id="14"/>
    </w:p>
    <w:p>
      <w:pPr>
        <w:spacing w:line="360" w:lineRule="auto"/>
        <w:ind w:firstLine="420"/>
        <w:rPr>
          <w:color w:val="auto"/>
          <w:highlight w:val="none"/>
        </w:rPr>
      </w:pPr>
      <w:r>
        <w:rPr>
          <w:color w:val="auto"/>
          <w:highlight w:val="none"/>
        </w:rPr>
        <w:t>11.1 投标供应商应保证在本项目使用的任何货物和服务（包括部分使用）时，不会产生因第三方提出侵犯其专利权、商标权或其它知识产权而引起的法律和经济纠纷，如因专利权、商标权或其它知识产权而引起法律纠纷和经济纠纷，由投标供应商承担所有相关责任。</w:t>
      </w:r>
    </w:p>
    <w:p>
      <w:pPr>
        <w:spacing w:line="360" w:lineRule="auto"/>
        <w:ind w:firstLine="420"/>
        <w:rPr>
          <w:color w:val="auto"/>
          <w:highlight w:val="none"/>
        </w:rPr>
      </w:pPr>
      <w:r>
        <w:rPr>
          <w:color w:val="auto"/>
          <w:highlight w:val="none"/>
        </w:rPr>
        <w:t>11.2 采购人享有本项目在实施过程中产生的知识成果及知识产权。</w:t>
      </w:r>
    </w:p>
    <w:p>
      <w:pPr>
        <w:spacing w:line="360" w:lineRule="auto"/>
        <w:ind w:firstLine="420"/>
        <w:rPr>
          <w:color w:val="auto"/>
          <w:highlight w:val="none"/>
        </w:rPr>
      </w:pPr>
      <w:r>
        <w:rPr>
          <w:color w:val="auto"/>
          <w:highlight w:val="none"/>
        </w:rPr>
        <w:t>11.3 投标供应商如欲在项目实施过程中采用自有知识成果，需在投标文件中声明，并提供相关知识产权证明文件。使用该知识成果后，投标供应商须提供开发接口和开发手册等技术文档，并承诺提供无限期技术支持，采购人享有永久使用权。</w:t>
      </w:r>
    </w:p>
    <w:p>
      <w:pPr>
        <w:spacing w:line="360" w:lineRule="auto"/>
        <w:ind w:firstLine="420"/>
        <w:rPr>
          <w:color w:val="auto"/>
          <w:highlight w:val="none"/>
        </w:rPr>
      </w:pPr>
      <w:r>
        <w:rPr>
          <w:color w:val="auto"/>
          <w:highlight w:val="none"/>
        </w:rPr>
        <w:t>11.4 如投标供应商所不拥有的知识产权，则在投标报价中必须包括合法获取该知识产权的相关费用。</w:t>
      </w:r>
    </w:p>
    <w:p>
      <w:pPr>
        <w:spacing w:line="360" w:lineRule="auto"/>
        <w:jc w:val="left"/>
        <w:rPr>
          <w:b/>
          <w:bCs/>
          <w:color w:val="auto"/>
          <w:highlight w:val="none"/>
        </w:rPr>
      </w:pPr>
      <w:r>
        <w:rPr>
          <w:b/>
          <w:bCs/>
          <w:color w:val="auto"/>
          <w:highlight w:val="none"/>
        </w:rPr>
        <w:t>12. 废标与采购方式的变更</w:t>
      </w:r>
    </w:p>
    <w:p>
      <w:pPr>
        <w:spacing w:line="360" w:lineRule="auto"/>
        <w:ind w:firstLine="420"/>
        <w:rPr>
          <w:color w:val="auto"/>
          <w:highlight w:val="none"/>
        </w:rPr>
      </w:pPr>
      <w:bookmarkStart w:id="15" w:name="_Toc217446072"/>
      <w:r>
        <w:rPr>
          <w:color w:val="auto"/>
          <w:highlight w:val="none"/>
        </w:rPr>
        <w:t>12.1 投标供应商有以下情形之一的，其投标作废标处理：</w:t>
      </w:r>
    </w:p>
    <w:p>
      <w:pPr>
        <w:spacing w:line="360" w:lineRule="auto"/>
        <w:ind w:firstLine="420"/>
        <w:rPr>
          <w:color w:val="auto"/>
          <w:highlight w:val="none"/>
        </w:rPr>
      </w:pPr>
      <w:r>
        <w:rPr>
          <w:color w:val="auto"/>
          <w:highlight w:val="none"/>
        </w:rPr>
        <w:t>（1）投标供应商未经过正常渠道购买招标文件的或投标供应商名称与登记领取招标文件单位的名称不一致的；</w:t>
      </w:r>
    </w:p>
    <w:p>
      <w:pPr>
        <w:spacing w:line="360" w:lineRule="auto"/>
        <w:ind w:firstLine="420"/>
        <w:rPr>
          <w:color w:val="auto"/>
          <w:highlight w:val="none"/>
        </w:rPr>
      </w:pPr>
      <w:r>
        <w:rPr>
          <w:color w:val="auto"/>
          <w:highlight w:val="none"/>
        </w:rPr>
        <w:t>（2）未按照招标文件规定交纳投标保证金或提供保证金有瑕疵的；</w:t>
      </w:r>
    </w:p>
    <w:p>
      <w:pPr>
        <w:spacing w:line="360" w:lineRule="auto"/>
        <w:ind w:firstLine="420"/>
        <w:rPr>
          <w:color w:val="auto"/>
          <w:highlight w:val="none"/>
        </w:rPr>
      </w:pPr>
      <w:r>
        <w:rPr>
          <w:color w:val="auto"/>
          <w:highlight w:val="none"/>
        </w:rPr>
        <w:t>（3）未按照招标文件规定和要求密封、签署、盖章的；</w:t>
      </w:r>
    </w:p>
    <w:p>
      <w:pPr>
        <w:spacing w:line="360" w:lineRule="auto"/>
        <w:ind w:firstLine="420"/>
        <w:rPr>
          <w:color w:val="auto"/>
          <w:highlight w:val="none"/>
        </w:rPr>
      </w:pPr>
      <w:r>
        <w:rPr>
          <w:color w:val="auto"/>
          <w:highlight w:val="none"/>
        </w:rPr>
        <w:t>（4）未按照招标文件规定的格式要求编制的；</w:t>
      </w:r>
    </w:p>
    <w:p>
      <w:pPr>
        <w:spacing w:line="360" w:lineRule="auto"/>
        <w:ind w:firstLine="420"/>
        <w:rPr>
          <w:color w:val="auto"/>
          <w:highlight w:val="none"/>
        </w:rPr>
      </w:pPr>
      <w:r>
        <w:rPr>
          <w:color w:val="auto"/>
          <w:highlight w:val="none"/>
        </w:rPr>
        <w:t>（5）不具备招标文件中规定的资格条件和要求的或未按招标文件要求提交资质（资格）文件或提交资质（资格）文件有瑕疵的；</w:t>
      </w:r>
    </w:p>
    <w:p>
      <w:pPr>
        <w:spacing w:line="360" w:lineRule="auto"/>
        <w:ind w:firstLine="420"/>
        <w:rPr>
          <w:color w:val="auto"/>
          <w:highlight w:val="none"/>
        </w:rPr>
      </w:pPr>
      <w:r>
        <w:rPr>
          <w:color w:val="auto"/>
          <w:highlight w:val="none"/>
        </w:rPr>
        <w:t>（6）评标委员会需核查备查的原件（或资料）的未按要求时间及时提交合格原件（或资料）或所提交的原件不合格的；</w:t>
      </w:r>
    </w:p>
    <w:p>
      <w:pPr>
        <w:spacing w:line="360" w:lineRule="auto"/>
        <w:ind w:firstLine="420"/>
        <w:rPr>
          <w:color w:val="auto"/>
          <w:highlight w:val="none"/>
        </w:rPr>
      </w:pPr>
      <w:r>
        <w:rPr>
          <w:color w:val="auto"/>
          <w:highlight w:val="none"/>
        </w:rPr>
        <w:t>（7）供应商恶意竞标，供应商代表恶意扰乱开标会场秩序且不听劝阻的；</w:t>
      </w:r>
    </w:p>
    <w:p>
      <w:pPr>
        <w:spacing w:line="360" w:lineRule="auto"/>
        <w:ind w:firstLine="420"/>
        <w:rPr>
          <w:color w:val="auto"/>
          <w:highlight w:val="none"/>
        </w:rPr>
      </w:pPr>
      <w:r>
        <w:rPr>
          <w:color w:val="auto"/>
          <w:highlight w:val="none"/>
        </w:rPr>
        <w:t>（8）投标货物（服务）的采购需求、技术规格、技术标准明显不符合招标项目的要求；</w:t>
      </w:r>
    </w:p>
    <w:p>
      <w:pPr>
        <w:spacing w:line="360" w:lineRule="auto"/>
        <w:ind w:firstLine="420"/>
        <w:rPr>
          <w:color w:val="auto"/>
          <w:highlight w:val="none"/>
        </w:rPr>
      </w:pPr>
      <w:r>
        <w:rPr>
          <w:color w:val="auto"/>
          <w:highlight w:val="none"/>
        </w:rPr>
        <w:t>（9）投标供应商的投标报价超过了最高投标限价，采购人不能支付的；</w:t>
      </w:r>
    </w:p>
    <w:p>
      <w:pPr>
        <w:spacing w:line="360" w:lineRule="auto"/>
        <w:ind w:firstLine="420"/>
        <w:rPr>
          <w:color w:val="auto"/>
          <w:highlight w:val="none"/>
        </w:rPr>
      </w:pPr>
      <w:r>
        <w:rPr>
          <w:color w:val="auto"/>
          <w:highlight w:val="none"/>
        </w:rPr>
        <w:t>（10）投标有效期、</w:t>
      </w:r>
      <w:r>
        <w:rPr>
          <w:rFonts w:hint="eastAsia"/>
          <w:color w:val="auto"/>
          <w:highlight w:val="none"/>
        </w:rPr>
        <w:t>交货期（含安装期）</w:t>
      </w:r>
      <w:r>
        <w:rPr>
          <w:color w:val="auto"/>
          <w:highlight w:val="none"/>
        </w:rPr>
        <w:t>、售后服务等商务条款不能满足招标文件要求的；</w:t>
      </w:r>
    </w:p>
    <w:p>
      <w:pPr>
        <w:spacing w:line="360" w:lineRule="auto"/>
        <w:ind w:firstLine="420"/>
        <w:rPr>
          <w:color w:val="auto"/>
          <w:highlight w:val="none"/>
        </w:rPr>
      </w:pPr>
      <w:r>
        <w:rPr>
          <w:color w:val="auto"/>
          <w:highlight w:val="none"/>
        </w:rPr>
        <w:t>（11）拒绝或不按评标委员会要求澄清、说明或补正的；</w:t>
      </w:r>
    </w:p>
    <w:p>
      <w:pPr>
        <w:spacing w:line="360" w:lineRule="auto"/>
        <w:ind w:firstLine="420"/>
        <w:rPr>
          <w:color w:val="auto"/>
          <w:highlight w:val="none"/>
        </w:rPr>
      </w:pPr>
      <w:r>
        <w:rPr>
          <w:color w:val="auto"/>
          <w:highlight w:val="none"/>
        </w:rPr>
        <w:t>（12）投标文件中附有采购人不能接受的条件；</w:t>
      </w:r>
    </w:p>
    <w:p>
      <w:pPr>
        <w:spacing w:line="360" w:lineRule="auto"/>
        <w:ind w:firstLine="420"/>
        <w:rPr>
          <w:color w:val="auto"/>
          <w:highlight w:val="none"/>
        </w:rPr>
      </w:pPr>
      <w:r>
        <w:rPr>
          <w:color w:val="auto"/>
          <w:highlight w:val="none"/>
        </w:rPr>
        <w:t>（13）投标货物（服务）不符合强制执行的国家标准；</w:t>
      </w:r>
    </w:p>
    <w:p>
      <w:pPr>
        <w:spacing w:line="360" w:lineRule="auto"/>
        <w:ind w:firstLine="420"/>
        <w:rPr>
          <w:color w:val="auto"/>
          <w:highlight w:val="none"/>
        </w:rPr>
      </w:pPr>
      <w:r>
        <w:rPr>
          <w:color w:val="auto"/>
          <w:highlight w:val="none"/>
        </w:rPr>
        <w:t>（14）投标文件的关键内容字迹模糊和无法辨认的；</w:t>
      </w:r>
    </w:p>
    <w:p>
      <w:pPr>
        <w:spacing w:line="360" w:lineRule="auto"/>
        <w:ind w:firstLine="420"/>
        <w:rPr>
          <w:color w:val="auto"/>
          <w:highlight w:val="none"/>
        </w:rPr>
      </w:pPr>
      <w:r>
        <w:rPr>
          <w:color w:val="auto"/>
          <w:highlight w:val="none"/>
        </w:rPr>
        <w:t>（15）投标文件不符合招标文件规定的其投标将被否决的条款或其他无效情形的；</w:t>
      </w:r>
    </w:p>
    <w:p>
      <w:pPr>
        <w:spacing w:line="360" w:lineRule="auto"/>
        <w:ind w:firstLine="420"/>
        <w:rPr>
          <w:color w:val="auto"/>
          <w:highlight w:val="none"/>
        </w:rPr>
      </w:pPr>
      <w:r>
        <w:rPr>
          <w:color w:val="auto"/>
          <w:highlight w:val="none"/>
        </w:rPr>
        <w:t>（16）投标文件不符合法律、法规要求的；</w:t>
      </w:r>
    </w:p>
    <w:p>
      <w:pPr>
        <w:spacing w:line="360" w:lineRule="auto"/>
        <w:ind w:firstLine="420"/>
        <w:rPr>
          <w:color w:val="auto"/>
          <w:highlight w:val="none"/>
        </w:rPr>
      </w:pPr>
      <w:r>
        <w:rPr>
          <w:color w:val="auto"/>
          <w:highlight w:val="none"/>
        </w:rPr>
        <w:t>（17）投标供应商被列入失信被执行人或重大税收违法案件当事人名单或政府采购严重违法失信行为记录名单（以上处理时间未结束的）及其他不符合《中华人民共和国政府采购法》第二十二条规定条件；</w:t>
      </w:r>
    </w:p>
    <w:p>
      <w:pPr>
        <w:spacing w:line="360" w:lineRule="auto"/>
        <w:ind w:firstLine="420"/>
        <w:rPr>
          <w:color w:val="auto"/>
          <w:highlight w:val="none"/>
        </w:rPr>
      </w:pPr>
      <w:r>
        <w:rPr>
          <w:color w:val="auto"/>
          <w:highlight w:val="none"/>
        </w:rPr>
        <w:t>（18）提供虚假证明，开具虚假资质，除按无效投标文件处理外，还应由国家管理机关依据相关法律法规进行相应的处罚。</w:t>
      </w:r>
    </w:p>
    <w:p>
      <w:pPr>
        <w:spacing w:line="360" w:lineRule="auto"/>
        <w:ind w:firstLine="420"/>
        <w:jc w:val="left"/>
        <w:rPr>
          <w:color w:val="auto"/>
          <w:highlight w:val="none"/>
        </w:rPr>
      </w:pPr>
      <w:r>
        <w:rPr>
          <w:bCs/>
          <w:color w:val="auto"/>
          <w:highlight w:val="none"/>
        </w:rPr>
        <w:t xml:space="preserve">12.2 </w:t>
      </w:r>
      <w:bookmarkEnd w:id="15"/>
      <w:r>
        <w:rPr>
          <w:color w:val="auto"/>
          <w:highlight w:val="none"/>
        </w:rPr>
        <w:t>招标采购中，出现下列情形之一的，应予以废标：</w:t>
      </w:r>
    </w:p>
    <w:p>
      <w:pPr>
        <w:snapToGrid w:val="0"/>
        <w:spacing w:line="360" w:lineRule="auto"/>
        <w:ind w:firstLine="411" w:firstLineChars="196"/>
        <w:rPr>
          <w:color w:val="auto"/>
          <w:highlight w:val="none"/>
        </w:rPr>
      </w:pPr>
      <w:r>
        <w:rPr>
          <w:color w:val="auto"/>
          <w:highlight w:val="none"/>
        </w:rPr>
        <w:t>（1）符合专业条件的投标供应商或者对招标文件作实质响应的投标供应商不足3家的；</w:t>
      </w:r>
    </w:p>
    <w:p>
      <w:pPr>
        <w:snapToGrid w:val="0"/>
        <w:spacing w:line="360" w:lineRule="auto"/>
        <w:ind w:firstLine="411" w:firstLineChars="196"/>
        <w:rPr>
          <w:color w:val="auto"/>
          <w:highlight w:val="none"/>
        </w:rPr>
      </w:pPr>
      <w:r>
        <w:rPr>
          <w:color w:val="auto"/>
          <w:highlight w:val="none"/>
        </w:rPr>
        <w:t>（2）出现影响采购公正的违法、违规行为的；</w:t>
      </w:r>
    </w:p>
    <w:p>
      <w:pPr>
        <w:snapToGrid w:val="0"/>
        <w:spacing w:line="360" w:lineRule="auto"/>
        <w:ind w:firstLine="411" w:firstLineChars="196"/>
        <w:rPr>
          <w:color w:val="auto"/>
          <w:highlight w:val="none"/>
        </w:rPr>
      </w:pPr>
      <w:r>
        <w:rPr>
          <w:color w:val="auto"/>
          <w:highlight w:val="none"/>
        </w:rPr>
        <w:t>（3）投标供应商的报价均超过了采购预算，采购人不能支付的；</w:t>
      </w:r>
    </w:p>
    <w:p>
      <w:pPr>
        <w:snapToGrid w:val="0"/>
        <w:spacing w:line="360" w:lineRule="auto"/>
        <w:ind w:firstLine="411" w:firstLineChars="196"/>
        <w:rPr>
          <w:color w:val="auto"/>
          <w:highlight w:val="none"/>
        </w:rPr>
      </w:pPr>
      <w:r>
        <w:rPr>
          <w:color w:val="auto"/>
          <w:highlight w:val="none"/>
        </w:rPr>
        <w:t>（4）因重大变故，采购任务取消的。</w:t>
      </w:r>
    </w:p>
    <w:p>
      <w:pPr>
        <w:snapToGrid w:val="0"/>
        <w:spacing w:line="360" w:lineRule="auto"/>
        <w:ind w:firstLine="411" w:firstLineChars="196"/>
        <w:rPr>
          <w:color w:val="auto"/>
          <w:highlight w:val="none"/>
        </w:rPr>
      </w:pPr>
      <w:r>
        <w:rPr>
          <w:color w:val="auto"/>
          <w:highlight w:val="none"/>
        </w:rPr>
        <w:t>废标后，采购代理机构应在财政部门指定采购网上公告，并公告废标的详细理由。</w:t>
      </w:r>
    </w:p>
    <w:p>
      <w:pPr>
        <w:snapToGrid w:val="0"/>
        <w:spacing w:line="360" w:lineRule="auto"/>
        <w:ind w:firstLine="411" w:firstLineChars="196"/>
        <w:rPr>
          <w:color w:val="auto"/>
          <w:highlight w:val="none"/>
        </w:rPr>
      </w:pPr>
      <w:r>
        <w:rPr>
          <w:color w:val="auto"/>
          <w:highlight w:val="none"/>
        </w:rPr>
        <w:t>12.3 废标后，除采购任务取消情形外，按照以下方式处理：</w:t>
      </w:r>
    </w:p>
    <w:p>
      <w:pPr>
        <w:snapToGrid w:val="0"/>
        <w:spacing w:line="360" w:lineRule="auto"/>
        <w:ind w:firstLine="411" w:firstLineChars="196"/>
        <w:rPr>
          <w:color w:val="auto"/>
          <w:highlight w:val="none"/>
        </w:rPr>
      </w:pPr>
      <w:r>
        <w:rPr>
          <w:color w:val="auto"/>
          <w:highlight w:val="none"/>
        </w:rPr>
        <w:t>（1）招标文件存在不合理条款或者招标程序不符合规定的，采购人、采购代理机构改正后依法重新招标；</w:t>
      </w:r>
    </w:p>
    <w:p>
      <w:pPr>
        <w:snapToGrid w:val="0"/>
        <w:spacing w:line="360" w:lineRule="auto"/>
        <w:ind w:firstLine="411" w:firstLineChars="196"/>
        <w:rPr>
          <w:color w:val="auto"/>
          <w:highlight w:val="none"/>
        </w:rPr>
      </w:pPr>
      <w:r>
        <w:rPr>
          <w:color w:val="auto"/>
          <w:highlight w:val="none"/>
        </w:rPr>
        <w:t>（2）招标文件没有不合理条款、招标程序符合规定，需要采用其他采购方式采购的，采购人应当依法报财政部门批准。</w:t>
      </w:r>
    </w:p>
    <w:p>
      <w:pPr>
        <w:spacing w:line="360" w:lineRule="auto"/>
        <w:jc w:val="left"/>
        <w:rPr>
          <w:b/>
          <w:bCs/>
          <w:color w:val="auto"/>
          <w:highlight w:val="none"/>
        </w:rPr>
      </w:pPr>
      <w:r>
        <w:rPr>
          <w:b/>
          <w:bCs/>
          <w:color w:val="auto"/>
          <w:highlight w:val="none"/>
        </w:rPr>
        <w:t>13. 串标认定</w:t>
      </w:r>
    </w:p>
    <w:p>
      <w:pPr>
        <w:snapToGrid w:val="0"/>
        <w:spacing w:line="360" w:lineRule="auto"/>
        <w:ind w:firstLine="420" w:firstLineChars="200"/>
        <w:rPr>
          <w:color w:val="auto"/>
          <w:highlight w:val="none"/>
        </w:rPr>
      </w:pPr>
      <w:r>
        <w:rPr>
          <w:color w:val="auto"/>
          <w:highlight w:val="none"/>
        </w:rPr>
        <w:t>投标供应商有下列情形之一的，应认定为串通投标行为：</w:t>
      </w:r>
    </w:p>
    <w:p>
      <w:pPr>
        <w:snapToGrid w:val="0"/>
        <w:spacing w:line="360" w:lineRule="auto"/>
        <w:ind w:firstLine="411" w:firstLineChars="196"/>
        <w:rPr>
          <w:color w:val="auto"/>
          <w:highlight w:val="none"/>
        </w:rPr>
      </w:pPr>
      <w:r>
        <w:rPr>
          <w:color w:val="auto"/>
          <w:highlight w:val="none"/>
        </w:rPr>
        <w:t>（1）不同投标供应商的投标文件错漏之处一致的；</w:t>
      </w:r>
    </w:p>
    <w:p>
      <w:pPr>
        <w:snapToGrid w:val="0"/>
        <w:spacing w:line="360" w:lineRule="auto"/>
        <w:ind w:firstLine="411" w:firstLineChars="196"/>
        <w:rPr>
          <w:color w:val="auto"/>
          <w:highlight w:val="none"/>
        </w:rPr>
      </w:pPr>
      <w:r>
        <w:rPr>
          <w:color w:val="auto"/>
          <w:highlight w:val="none"/>
        </w:rPr>
        <w:t>（2）不同投标供应商的投标报价或者报价组成异常一致或者呈规律性变化的；</w:t>
      </w:r>
    </w:p>
    <w:p>
      <w:pPr>
        <w:snapToGrid w:val="0"/>
        <w:spacing w:line="360" w:lineRule="auto"/>
        <w:ind w:firstLine="411" w:firstLineChars="196"/>
        <w:rPr>
          <w:color w:val="auto"/>
          <w:highlight w:val="none"/>
        </w:rPr>
      </w:pPr>
      <w:r>
        <w:rPr>
          <w:color w:val="auto"/>
          <w:highlight w:val="none"/>
        </w:rPr>
        <w:t>（3）不同投标供应商的投标文件是由同一单位或者同一个人编制的；</w:t>
      </w:r>
    </w:p>
    <w:p>
      <w:pPr>
        <w:snapToGrid w:val="0"/>
        <w:spacing w:line="360" w:lineRule="auto"/>
        <w:ind w:firstLine="411" w:firstLineChars="196"/>
        <w:rPr>
          <w:color w:val="auto"/>
          <w:highlight w:val="none"/>
        </w:rPr>
      </w:pPr>
      <w:r>
        <w:rPr>
          <w:color w:val="auto"/>
          <w:highlight w:val="none"/>
        </w:rPr>
        <w:t>（4）不同投标供应商的投标文件载明的项目管理机构成员为同一人的；</w:t>
      </w:r>
    </w:p>
    <w:p>
      <w:pPr>
        <w:snapToGrid w:val="0"/>
        <w:spacing w:line="360" w:lineRule="auto"/>
        <w:ind w:firstLine="411" w:firstLineChars="196"/>
        <w:rPr>
          <w:color w:val="auto"/>
          <w:highlight w:val="none"/>
        </w:rPr>
      </w:pPr>
      <w:r>
        <w:rPr>
          <w:color w:val="auto"/>
          <w:highlight w:val="none"/>
        </w:rPr>
        <w:t>（5）不同投标供应商的投标文件相互混装的；</w:t>
      </w:r>
    </w:p>
    <w:p>
      <w:pPr>
        <w:snapToGrid w:val="0"/>
        <w:spacing w:line="360" w:lineRule="auto"/>
        <w:ind w:firstLine="411" w:firstLineChars="196"/>
        <w:rPr>
          <w:color w:val="auto"/>
          <w:highlight w:val="none"/>
        </w:rPr>
      </w:pPr>
      <w:r>
        <w:rPr>
          <w:color w:val="auto"/>
          <w:highlight w:val="none"/>
        </w:rPr>
        <w:t>（6）不同投标供应商的投标文件是由同一台电脑编制或者同一台附属设备打印的；</w:t>
      </w:r>
    </w:p>
    <w:p>
      <w:pPr>
        <w:snapToGrid w:val="0"/>
        <w:spacing w:line="360" w:lineRule="auto"/>
        <w:ind w:firstLine="411" w:firstLineChars="196"/>
        <w:rPr>
          <w:color w:val="auto"/>
          <w:highlight w:val="none"/>
        </w:rPr>
      </w:pPr>
      <w:r>
        <w:rPr>
          <w:color w:val="auto"/>
          <w:highlight w:val="none"/>
        </w:rPr>
        <w:t>（7）不同投标供应商委托同一人投标的；</w:t>
      </w:r>
    </w:p>
    <w:p>
      <w:pPr>
        <w:snapToGrid w:val="0"/>
        <w:spacing w:line="360" w:lineRule="auto"/>
        <w:ind w:firstLine="411" w:firstLineChars="196"/>
        <w:rPr>
          <w:color w:val="auto"/>
          <w:highlight w:val="none"/>
        </w:rPr>
      </w:pPr>
      <w:r>
        <w:rPr>
          <w:color w:val="auto"/>
          <w:highlight w:val="none"/>
        </w:rPr>
        <w:t>（8）不同投标供应商使用同一投标供应商的基本账户转账提交投标保证金的；</w:t>
      </w:r>
    </w:p>
    <w:p>
      <w:pPr>
        <w:snapToGrid w:val="0"/>
        <w:spacing w:line="360" w:lineRule="auto"/>
        <w:ind w:firstLine="411" w:firstLineChars="196"/>
        <w:rPr>
          <w:color w:val="auto"/>
          <w:highlight w:val="none"/>
        </w:rPr>
      </w:pPr>
      <w:r>
        <w:rPr>
          <w:color w:val="auto"/>
          <w:highlight w:val="none"/>
        </w:rPr>
        <w:t>（9）不同投标供应商聘请同一人为其投标提供技术或者经济咨询服务的（招标工程本身要求采用专有技术的除外）。</w:t>
      </w:r>
    </w:p>
    <w:p>
      <w:pPr>
        <w:spacing w:line="360" w:lineRule="auto"/>
        <w:jc w:val="left"/>
        <w:rPr>
          <w:b/>
          <w:color w:val="auto"/>
          <w:highlight w:val="none"/>
        </w:rPr>
      </w:pPr>
      <w:r>
        <w:rPr>
          <w:b/>
          <w:color w:val="auto"/>
          <w:highlight w:val="none"/>
        </w:rPr>
        <w:t>14. 质疑和投诉</w:t>
      </w:r>
    </w:p>
    <w:p>
      <w:pPr>
        <w:spacing w:line="360" w:lineRule="auto"/>
        <w:ind w:firstLine="420"/>
        <w:rPr>
          <w:color w:val="auto"/>
          <w:highlight w:val="none"/>
        </w:rPr>
      </w:pPr>
      <w:r>
        <w:rPr>
          <w:color w:val="auto"/>
          <w:highlight w:val="none"/>
        </w:rPr>
        <w:t>质疑、投诉的接收和处理严格按照《中华人共和国政府采购法》、《政府采购质疑和投诉办法》财政部令第94号、《财政部关于加强政府采购供应商投诉受理审查工作的通知》等的相关规定办理。</w:t>
      </w:r>
    </w:p>
    <w:p>
      <w:pPr>
        <w:spacing w:line="360" w:lineRule="auto"/>
        <w:ind w:firstLine="420"/>
        <w:rPr>
          <w:color w:val="auto"/>
          <w:highlight w:val="none"/>
        </w:rPr>
      </w:pPr>
      <w:r>
        <w:rPr>
          <w:color w:val="auto"/>
          <w:highlight w:val="none"/>
        </w:rPr>
        <w:t>14.1 投标供应商认为招标文件、采购过程和中标</w:t>
      </w:r>
      <w:r>
        <w:rPr>
          <w:rFonts w:hint="eastAsia"/>
          <w:color w:val="auto"/>
          <w:highlight w:val="none"/>
        </w:rPr>
        <w:t>或者</w:t>
      </w:r>
      <w:r>
        <w:rPr>
          <w:color w:val="auto"/>
          <w:highlight w:val="none"/>
        </w:rPr>
        <w:t>成交结果使自己的权益受到损害的，可以在知道或者应知其权益受到损害之日起七个工作日内，以书面原件形式向采购代理机构提出质疑，逾期质疑无效。质疑、投诉的接收和处理严格按照《中华人共和国政府采购法》、《政府采购供应商投诉处理办法》、《财政部关于加强政府采购供应商投诉受理审查工作的通知》等的相关规定办理。</w:t>
      </w:r>
    </w:p>
    <w:p>
      <w:pPr>
        <w:spacing w:line="360" w:lineRule="auto"/>
        <w:ind w:firstLine="420"/>
        <w:rPr>
          <w:color w:val="auto"/>
          <w:highlight w:val="none"/>
        </w:rPr>
      </w:pPr>
      <w:r>
        <w:rPr>
          <w:color w:val="auto"/>
          <w:highlight w:val="none"/>
        </w:rPr>
        <w:t>投标供应商应知其权益受到损害之日是指：</w:t>
      </w:r>
    </w:p>
    <w:p>
      <w:pPr>
        <w:spacing w:line="360" w:lineRule="auto"/>
        <w:ind w:firstLine="420"/>
        <w:rPr>
          <w:color w:val="auto"/>
          <w:highlight w:val="none"/>
        </w:rPr>
      </w:pPr>
      <w:r>
        <w:rPr>
          <w:color w:val="auto"/>
          <w:highlight w:val="none"/>
        </w:rPr>
        <w:t>1）对招标文件提出质疑的，为收到招标文件之日；</w:t>
      </w:r>
    </w:p>
    <w:p>
      <w:pPr>
        <w:spacing w:line="360" w:lineRule="auto"/>
        <w:ind w:firstLine="420"/>
        <w:rPr>
          <w:color w:val="auto"/>
          <w:highlight w:val="none"/>
        </w:rPr>
      </w:pPr>
      <w:r>
        <w:rPr>
          <w:color w:val="auto"/>
          <w:highlight w:val="none"/>
        </w:rPr>
        <w:t>2）对采购过程提出质疑的，为各采购程序环节结束之日；</w:t>
      </w:r>
    </w:p>
    <w:p>
      <w:pPr>
        <w:spacing w:line="360" w:lineRule="auto"/>
        <w:ind w:firstLine="420"/>
        <w:rPr>
          <w:color w:val="auto"/>
          <w:highlight w:val="none"/>
        </w:rPr>
      </w:pPr>
      <w:r>
        <w:rPr>
          <w:color w:val="auto"/>
          <w:highlight w:val="none"/>
        </w:rPr>
        <w:t>3）对中标</w:t>
      </w:r>
      <w:r>
        <w:rPr>
          <w:rFonts w:hint="eastAsia"/>
          <w:color w:val="auto"/>
          <w:highlight w:val="none"/>
        </w:rPr>
        <w:t>或者</w:t>
      </w:r>
      <w:r>
        <w:rPr>
          <w:color w:val="auto"/>
          <w:highlight w:val="none"/>
        </w:rPr>
        <w:t>成交结果提出质疑的，为中标</w:t>
      </w:r>
      <w:r>
        <w:rPr>
          <w:rFonts w:hint="eastAsia"/>
          <w:color w:val="auto"/>
          <w:highlight w:val="none"/>
        </w:rPr>
        <w:t>或者</w:t>
      </w:r>
      <w:r>
        <w:rPr>
          <w:color w:val="auto"/>
          <w:highlight w:val="none"/>
        </w:rPr>
        <w:t>成交结果公告发布之日。</w:t>
      </w:r>
    </w:p>
    <w:p>
      <w:pPr>
        <w:spacing w:line="360" w:lineRule="auto"/>
        <w:ind w:firstLine="420"/>
        <w:rPr>
          <w:color w:val="auto"/>
          <w:highlight w:val="none"/>
        </w:rPr>
      </w:pPr>
      <w:r>
        <w:rPr>
          <w:color w:val="auto"/>
          <w:highlight w:val="none"/>
        </w:rPr>
        <w:t>14.1.1 质疑文件应当包括下列主要内容：</w:t>
      </w:r>
    </w:p>
    <w:p>
      <w:pPr>
        <w:spacing w:line="360" w:lineRule="auto"/>
        <w:ind w:firstLine="420"/>
        <w:rPr>
          <w:color w:val="auto"/>
          <w:highlight w:val="none"/>
        </w:rPr>
      </w:pPr>
      <w:r>
        <w:rPr>
          <w:color w:val="auto"/>
          <w:highlight w:val="none"/>
        </w:rPr>
        <w:t>1）质疑投标供应商和相关投标供应商的名称、地址、联系人及联系电话等；</w:t>
      </w:r>
    </w:p>
    <w:p>
      <w:pPr>
        <w:spacing w:line="360" w:lineRule="auto"/>
        <w:ind w:firstLine="420"/>
        <w:rPr>
          <w:color w:val="auto"/>
          <w:highlight w:val="none"/>
        </w:rPr>
      </w:pPr>
      <w:r>
        <w:rPr>
          <w:color w:val="auto"/>
          <w:highlight w:val="none"/>
        </w:rPr>
        <w:t>2）质疑项目及编号、质疑事项；</w:t>
      </w:r>
    </w:p>
    <w:p>
      <w:pPr>
        <w:spacing w:line="360" w:lineRule="auto"/>
        <w:ind w:firstLine="420"/>
        <w:rPr>
          <w:color w:val="auto"/>
          <w:highlight w:val="none"/>
        </w:rPr>
      </w:pPr>
      <w:r>
        <w:rPr>
          <w:color w:val="auto"/>
          <w:highlight w:val="none"/>
        </w:rPr>
        <w:t>3）认为招标文件、采购过程、中标</w:t>
      </w:r>
      <w:r>
        <w:rPr>
          <w:rFonts w:hint="eastAsia"/>
          <w:color w:val="auto"/>
          <w:highlight w:val="none"/>
        </w:rPr>
        <w:t>或者</w:t>
      </w:r>
      <w:r>
        <w:rPr>
          <w:color w:val="auto"/>
          <w:highlight w:val="none"/>
        </w:rPr>
        <w:t>成交结果使自己的合法权益受到损害的法律依据、事实依据、相关证明材料及证据来源；</w:t>
      </w:r>
    </w:p>
    <w:p>
      <w:pPr>
        <w:spacing w:line="360" w:lineRule="auto"/>
        <w:ind w:firstLine="420"/>
        <w:rPr>
          <w:color w:val="auto"/>
          <w:highlight w:val="none"/>
        </w:rPr>
      </w:pPr>
      <w:r>
        <w:rPr>
          <w:color w:val="auto"/>
          <w:highlight w:val="none"/>
        </w:rPr>
        <w:t>4）提出质疑的日期。</w:t>
      </w:r>
    </w:p>
    <w:p>
      <w:pPr>
        <w:spacing w:line="360" w:lineRule="auto"/>
        <w:ind w:firstLine="420"/>
        <w:rPr>
          <w:color w:val="auto"/>
          <w:highlight w:val="none"/>
        </w:rPr>
      </w:pPr>
      <w:r>
        <w:rPr>
          <w:color w:val="auto"/>
          <w:highlight w:val="none"/>
        </w:rPr>
        <w:t>14.1.2 质疑函应当署名。质疑投标供应商为自然人的，应当由本人签字；质疑投标供应商为法人或者其他组织的，应当由法定代表人或者主要负责人签字盖章并加盖公章。</w:t>
      </w:r>
    </w:p>
    <w:p>
      <w:pPr>
        <w:spacing w:line="360" w:lineRule="auto"/>
        <w:ind w:firstLine="420"/>
        <w:rPr>
          <w:color w:val="auto"/>
          <w:highlight w:val="none"/>
        </w:rPr>
      </w:pPr>
      <w:r>
        <w:rPr>
          <w:color w:val="auto"/>
          <w:highlight w:val="none"/>
        </w:rPr>
        <w:t>14.1.3 投标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pPr>
        <w:wordWrap w:val="0"/>
        <w:spacing w:line="360" w:lineRule="auto"/>
        <w:ind w:firstLine="420"/>
        <w:rPr>
          <w:color w:val="auto"/>
          <w:highlight w:val="none"/>
        </w:rPr>
      </w:pPr>
      <w:r>
        <w:rPr>
          <w:color w:val="auto"/>
          <w:highlight w:val="none"/>
        </w:rPr>
        <w:t>14.1.4 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并将质疑文件的可编辑电子版发送至</w:t>
      </w:r>
      <w:r>
        <w:rPr>
          <w:rFonts w:hint="eastAsia" w:ascii="宋体" w:hAnsi="宋体" w:cs="宋体"/>
          <w:color w:val="auto"/>
          <w:highlight w:val="none"/>
        </w:rPr>
        <w:t>sxzb_01@163.com</w:t>
      </w:r>
      <w:r>
        <w:rPr>
          <w:color w:val="auto"/>
          <w:highlight w:val="none"/>
        </w:rPr>
        <w:t>电子邮箱中。</w:t>
      </w:r>
    </w:p>
    <w:p>
      <w:pPr>
        <w:spacing w:line="360" w:lineRule="auto"/>
        <w:ind w:firstLine="420"/>
        <w:rPr>
          <w:color w:val="auto"/>
          <w:highlight w:val="none"/>
        </w:rPr>
      </w:pPr>
      <w:r>
        <w:rPr>
          <w:color w:val="auto"/>
          <w:highlight w:val="none"/>
        </w:rPr>
        <w:t>14.1.5 投标供应商在法定质疑期内一次性提出针对同一采购程序环节的质疑。</w:t>
      </w:r>
    </w:p>
    <w:p>
      <w:pPr>
        <w:spacing w:line="360" w:lineRule="auto"/>
        <w:ind w:firstLine="420"/>
        <w:rPr>
          <w:color w:val="auto"/>
          <w:highlight w:val="none"/>
        </w:rPr>
      </w:pPr>
      <w:r>
        <w:rPr>
          <w:color w:val="auto"/>
          <w:highlight w:val="none"/>
        </w:rPr>
        <w:t>14.1.6 潜在投标供应商已依法获取其可质疑的招标文件的（必须为从合法渠道购买招标文件的投标供应商），可以对该文件提出质疑。</w:t>
      </w:r>
    </w:p>
    <w:p>
      <w:pPr>
        <w:spacing w:line="360" w:lineRule="auto"/>
        <w:ind w:firstLine="420"/>
        <w:rPr>
          <w:color w:val="auto"/>
          <w:highlight w:val="none"/>
        </w:rPr>
      </w:pPr>
      <w:r>
        <w:rPr>
          <w:color w:val="auto"/>
          <w:highlight w:val="none"/>
        </w:rPr>
        <w:t>14.1.7 质疑受理部门：陕西省招标有限责任公司</w:t>
      </w:r>
    </w:p>
    <w:p>
      <w:pPr>
        <w:spacing w:line="360" w:lineRule="auto"/>
        <w:ind w:firstLine="420"/>
        <w:rPr>
          <w:color w:val="auto"/>
          <w:highlight w:val="none"/>
        </w:rPr>
      </w:pPr>
      <w:r>
        <w:rPr>
          <w:color w:val="auto"/>
          <w:highlight w:val="none"/>
        </w:rPr>
        <w:t>14.1.8 提交质疑文件地点：陕西省招标有限责任公司</w:t>
      </w:r>
    </w:p>
    <w:p>
      <w:pPr>
        <w:spacing w:line="360" w:lineRule="auto"/>
        <w:ind w:firstLine="420"/>
        <w:rPr>
          <w:color w:val="auto"/>
          <w:highlight w:val="none"/>
        </w:rPr>
      </w:pPr>
      <w:r>
        <w:rPr>
          <w:color w:val="auto"/>
          <w:highlight w:val="none"/>
        </w:rPr>
        <w:t>14.1.9 联系人及联系电话：胡蕊  029-87517633</w:t>
      </w:r>
    </w:p>
    <w:p>
      <w:pPr>
        <w:spacing w:line="360" w:lineRule="auto"/>
        <w:ind w:firstLine="420"/>
        <w:rPr>
          <w:color w:val="auto"/>
          <w:highlight w:val="none"/>
        </w:rPr>
      </w:pPr>
      <w:r>
        <w:rPr>
          <w:color w:val="auto"/>
          <w:highlight w:val="none"/>
        </w:rPr>
        <w:t>14.1.10 采购人、采购代理机构不得拒收质疑投标供应商在法定质疑期内发出的质疑函，应当在收到质疑函后7个工作日内作出答复，并以书面形式通知质疑投标供应商和其他有关投标供应商。本次采购活动中，采购代理机构对质疑回复等文件的送达方式为现场取件或电子邮件。</w:t>
      </w:r>
    </w:p>
    <w:p>
      <w:pPr>
        <w:spacing w:line="360" w:lineRule="auto"/>
        <w:ind w:firstLine="420"/>
        <w:rPr>
          <w:color w:val="auto"/>
          <w:highlight w:val="none"/>
        </w:rPr>
      </w:pPr>
      <w:r>
        <w:rPr>
          <w:color w:val="auto"/>
          <w:highlight w:val="none"/>
        </w:rPr>
        <w:t>14.1.11 质疑函应当使用中文。质疑函范本详见财政部制定的范本即文件格式附件3。</w:t>
      </w:r>
    </w:p>
    <w:p>
      <w:pPr>
        <w:spacing w:line="360" w:lineRule="auto"/>
        <w:ind w:firstLine="420"/>
        <w:rPr>
          <w:color w:val="auto"/>
          <w:highlight w:val="none"/>
        </w:rPr>
      </w:pPr>
      <w:r>
        <w:rPr>
          <w:color w:val="auto"/>
          <w:highlight w:val="none"/>
        </w:rPr>
        <w:t>14.2 质疑投标供应商对采购代理机构的质疑答复不满意，或者采购代理机构未在规定期限内作出答复的，可以在答复期满后15个工作日内向采购人的同级监督管理部门提起投诉。</w:t>
      </w:r>
    </w:p>
    <w:p>
      <w:pPr>
        <w:spacing w:line="360" w:lineRule="auto"/>
        <w:ind w:firstLine="420"/>
        <w:rPr>
          <w:color w:val="auto"/>
          <w:highlight w:val="none"/>
        </w:rPr>
      </w:pPr>
      <w:r>
        <w:rPr>
          <w:color w:val="auto"/>
          <w:highlight w:val="none"/>
        </w:rPr>
        <w:t>14.3 投诉的事项不得超出已质疑事项的范围。</w:t>
      </w:r>
    </w:p>
    <w:p>
      <w:pPr>
        <w:spacing w:line="360" w:lineRule="auto"/>
        <w:ind w:firstLine="420"/>
        <w:rPr>
          <w:color w:val="auto"/>
          <w:highlight w:val="none"/>
        </w:rPr>
      </w:pPr>
      <w:r>
        <w:rPr>
          <w:color w:val="auto"/>
          <w:highlight w:val="none"/>
        </w:rPr>
        <w:t>14.4 投标供应商在全国范围12个月内三次以上投诉查无实据的，由财政部门列入不良行为记录名单。投标供应商捏造事实、提供虚假材料或者以非法手段取得证明材料进行投诉的，由财政部门列入不良行为记录名单，禁止其1至3年内参加政府采购活动。</w:t>
      </w:r>
    </w:p>
    <w:p>
      <w:pPr>
        <w:spacing w:line="360" w:lineRule="auto"/>
        <w:ind w:firstLine="420" w:firstLineChars="200"/>
        <w:jc w:val="left"/>
        <w:rPr>
          <w:color w:val="auto"/>
          <w:highlight w:val="none"/>
        </w:rPr>
      </w:pPr>
      <w:r>
        <w:rPr>
          <w:color w:val="auto"/>
          <w:highlight w:val="none"/>
        </w:rPr>
        <w:t>14.5 对捏造事实、提供虚假材料进行质疑的行为予以严肃处理：</w:t>
      </w:r>
    </w:p>
    <w:p>
      <w:pPr>
        <w:spacing w:line="360" w:lineRule="auto"/>
        <w:ind w:firstLine="420" w:firstLineChars="200"/>
        <w:jc w:val="left"/>
        <w:rPr>
          <w:color w:val="auto"/>
          <w:highlight w:val="none"/>
        </w:rPr>
      </w:pPr>
      <w:r>
        <w:rPr>
          <w:color w:val="auto"/>
          <w:highlight w:val="none"/>
        </w:rPr>
        <w:t>依据《中华人民共和国政府采购法》及其实施条例及其实施条例、《政府采购供应商投诉处理办法》等法律法规的规定，供应商质疑应当有明确的请求和必要的证明材料。对于捏造事实、提供虚假材料或者以非法手段取得证明材料进行质疑的，应上报同级财政部门予以处理，并将其列入不良行为记录名单，禁止其一至三年内参加政府采购活动。</w:t>
      </w:r>
    </w:p>
    <w:p>
      <w:pPr>
        <w:spacing w:line="360" w:lineRule="auto"/>
        <w:ind w:firstLine="420" w:firstLineChars="200"/>
        <w:jc w:val="left"/>
        <w:rPr>
          <w:color w:val="auto"/>
          <w:highlight w:val="none"/>
        </w:rPr>
      </w:pPr>
      <w:r>
        <w:rPr>
          <w:color w:val="auto"/>
          <w:highlight w:val="none"/>
        </w:rPr>
        <w:t>14.6 对捏造事实诬告陷害他人、诽谤他人的法律适用：</w:t>
      </w:r>
    </w:p>
    <w:p>
      <w:pPr>
        <w:spacing w:line="360" w:lineRule="auto"/>
        <w:ind w:firstLine="420" w:firstLineChars="200"/>
        <w:jc w:val="left"/>
        <w:rPr>
          <w:color w:val="auto"/>
          <w:highlight w:val="none"/>
        </w:rPr>
      </w:pPr>
      <w:r>
        <w:rPr>
          <w:color w:val="auto"/>
          <w:highlight w:val="none"/>
        </w:rPr>
        <w:t>《中华人民共和国刑法》第243条【诬告陷害罪】捏造事实诬告陷害他人，意图使他人受刑事追究，情节严重的，处三年以下有期徒刑、拘役或者管制；造成严重后果的，处三年以上十年以下有期徒刑。</w:t>
      </w:r>
    </w:p>
    <w:p>
      <w:pPr>
        <w:pStyle w:val="40"/>
        <w:spacing w:line="360" w:lineRule="auto"/>
        <w:ind w:firstLine="420" w:firstLineChars="200"/>
        <w:rPr>
          <w:color w:val="auto"/>
          <w:highlight w:val="none"/>
        </w:rPr>
      </w:pPr>
      <w:r>
        <w:rPr>
          <w:color w:val="auto"/>
          <w:highlight w:val="none"/>
        </w:rPr>
        <w:t>《中华人民共和国刑法》第246条【侮辱罪、诽谤罪】以暴力或者其他方法公然侮辱他人或者捏造事实诽谤他人，情节严重的，处三年以下有期徒刑、拘役、管制或者剥夺政治权利。</w:t>
      </w:r>
    </w:p>
    <w:p>
      <w:pPr>
        <w:spacing w:line="360" w:lineRule="auto"/>
        <w:jc w:val="left"/>
        <w:rPr>
          <w:b/>
          <w:color w:val="auto"/>
          <w:highlight w:val="none"/>
        </w:rPr>
      </w:pPr>
      <w:r>
        <w:rPr>
          <w:b/>
          <w:color w:val="auto"/>
          <w:highlight w:val="none"/>
        </w:rPr>
        <w:t>15. 需要落实的政府采购政策：</w:t>
      </w:r>
    </w:p>
    <w:p>
      <w:pPr>
        <w:spacing w:line="360" w:lineRule="auto"/>
        <w:ind w:firstLine="420"/>
        <w:rPr>
          <w:color w:val="auto"/>
          <w:highlight w:val="none"/>
        </w:rPr>
      </w:pPr>
      <w:r>
        <w:rPr>
          <w:color w:val="auto"/>
          <w:highlight w:val="none"/>
        </w:rPr>
        <w:t>15.1 财政部国家发展改革委关于印发《节能产品政府采购实施意见》的通知--（财库[2004]185号）</w:t>
      </w:r>
    </w:p>
    <w:p>
      <w:pPr>
        <w:spacing w:line="360" w:lineRule="auto"/>
        <w:ind w:firstLine="420"/>
        <w:rPr>
          <w:color w:val="auto"/>
          <w:highlight w:val="none"/>
        </w:rPr>
      </w:pPr>
      <w:r>
        <w:rPr>
          <w:color w:val="auto"/>
          <w:highlight w:val="none"/>
        </w:rPr>
        <w:t>所有投标产品具有国家节能产品认证且证书在有效期内的投标供应商，在投标时供应商应提供有效证明材料。</w:t>
      </w:r>
    </w:p>
    <w:p>
      <w:pPr>
        <w:spacing w:line="360" w:lineRule="auto"/>
        <w:ind w:firstLine="420"/>
        <w:rPr>
          <w:color w:val="auto"/>
          <w:highlight w:val="none"/>
        </w:rPr>
      </w:pPr>
      <w:r>
        <w:rPr>
          <w:color w:val="auto"/>
          <w:highlight w:val="none"/>
        </w:rPr>
        <w:t>15.2 《关于环境标志产品政府采购实施的意见》--财库[2006]90号</w:t>
      </w:r>
    </w:p>
    <w:p>
      <w:pPr>
        <w:spacing w:line="360" w:lineRule="auto"/>
        <w:ind w:firstLine="420"/>
        <w:rPr>
          <w:color w:val="auto"/>
          <w:spacing w:val="4"/>
          <w:highlight w:val="none"/>
        </w:rPr>
      </w:pPr>
      <w:r>
        <w:rPr>
          <w:color w:val="auto"/>
          <w:spacing w:val="4"/>
          <w:highlight w:val="none"/>
        </w:rPr>
        <w:t>所有投标产品具有中国环境标志产品认证证书且在有效期内</w:t>
      </w:r>
      <w:r>
        <w:rPr>
          <w:color w:val="auto"/>
          <w:highlight w:val="none"/>
        </w:rPr>
        <w:t>的投标供应商，在投标</w:t>
      </w:r>
      <w:r>
        <w:rPr>
          <w:color w:val="auto"/>
          <w:spacing w:val="4"/>
          <w:highlight w:val="none"/>
        </w:rPr>
        <w:t>时供应商应提供有效证明材料。</w:t>
      </w:r>
    </w:p>
    <w:p>
      <w:pPr>
        <w:spacing w:line="360" w:lineRule="auto"/>
        <w:ind w:firstLine="420"/>
        <w:rPr>
          <w:color w:val="auto"/>
          <w:highlight w:val="none"/>
        </w:rPr>
      </w:pPr>
      <w:r>
        <w:rPr>
          <w:color w:val="auto"/>
          <w:highlight w:val="none"/>
        </w:rPr>
        <w:t>15.3 《国务院办公厅关于建立政府强制采购节能产品制度的通知》--国办发〔2007〕51号</w:t>
      </w:r>
    </w:p>
    <w:p>
      <w:pPr>
        <w:spacing w:line="360" w:lineRule="auto"/>
        <w:ind w:firstLine="420"/>
        <w:rPr>
          <w:color w:val="auto"/>
          <w:highlight w:val="none"/>
        </w:rPr>
      </w:pPr>
      <w:r>
        <w:rPr>
          <w:color w:val="auto"/>
          <w:spacing w:val="4"/>
          <w:highlight w:val="none"/>
        </w:rPr>
        <w:t>所有投标产品具有国家</w:t>
      </w:r>
      <w:r>
        <w:rPr>
          <w:color w:val="auto"/>
          <w:highlight w:val="none"/>
        </w:rPr>
        <w:t>强制采购节能</w:t>
      </w:r>
      <w:r>
        <w:rPr>
          <w:color w:val="auto"/>
          <w:spacing w:val="4"/>
          <w:highlight w:val="none"/>
        </w:rPr>
        <w:t>产品认证证书且在有效期内</w:t>
      </w:r>
      <w:r>
        <w:rPr>
          <w:color w:val="auto"/>
          <w:highlight w:val="none"/>
        </w:rPr>
        <w:t>的投标供应商，在投标</w:t>
      </w:r>
      <w:r>
        <w:rPr>
          <w:color w:val="auto"/>
          <w:spacing w:val="4"/>
          <w:highlight w:val="none"/>
        </w:rPr>
        <w:t>时供应商应提供有效证明材料。</w:t>
      </w:r>
    </w:p>
    <w:p>
      <w:pPr>
        <w:spacing w:line="360" w:lineRule="auto"/>
        <w:ind w:firstLine="420"/>
        <w:rPr>
          <w:color w:val="auto"/>
          <w:spacing w:val="4"/>
          <w:highlight w:val="none"/>
        </w:rPr>
      </w:pPr>
      <w:r>
        <w:rPr>
          <w:color w:val="auto"/>
          <w:spacing w:val="4"/>
          <w:highlight w:val="none"/>
        </w:rPr>
        <w:t>以上财政部国家发展改革委关于印发《节能产品政府采购实施意见》的通知--（财库[2004]185号）和《关于环境标志产品政府采购实施的意见》--财库[2006]90号和</w:t>
      </w:r>
      <w:r>
        <w:rPr>
          <w:color w:val="auto"/>
          <w:highlight w:val="none"/>
        </w:rPr>
        <w:t>《国务院办公厅关于建立政府强制采购节能产品制度的通知》--国办发〔2007〕51号</w:t>
      </w:r>
      <w:r>
        <w:rPr>
          <w:color w:val="auto"/>
          <w:spacing w:val="4"/>
          <w:highlight w:val="none"/>
        </w:rPr>
        <w:t>的政策，同时具备的仅对其进行一次3%的价格扣除，不重复扣除。</w:t>
      </w:r>
    </w:p>
    <w:p>
      <w:pPr>
        <w:spacing w:line="360" w:lineRule="auto"/>
        <w:ind w:firstLine="420"/>
        <w:rPr>
          <w:color w:val="auto"/>
          <w:spacing w:val="4"/>
          <w:highlight w:val="none"/>
        </w:rPr>
      </w:pPr>
      <w:r>
        <w:rPr>
          <w:color w:val="auto"/>
          <w:spacing w:val="4"/>
          <w:highlight w:val="none"/>
        </w:rPr>
        <w:t>15.4 财政部、工业和信息化部关于印发《政府采购促进中小企业发展管理办法》的通知（财库〔2020〕46号）</w:t>
      </w:r>
      <w:r>
        <w:rPr>
          <w:rFonts w:hint="eastAsia"/>
          <w:color w:val="auto"/>
          <w:spacing w:val="4"/>
          <w:highlight w:val="none"/>
        </w:rPr>
        <w:t>、《关于进一步加大政府采购支持中小企业力度的通知》（财库〔2022〕19号）</w:t>
      </w:r>
      <w:r>
        <w:rPr>
          <w:color w:val="auto"/>
          <w:spacing w:val="4"/>
          <w:highlight w:val="none"/>
        </w:rPr>
        <w:t>及相关规定，供应商须符合国务院有关部门根据企业从业人员、营业收入、资产总额等指标制定的中小企业划型标准（工信部联企业〔2011〕300号），参加政府采购活动的中小企业应当提供《中小企业声明函》（见</w:t>
      </w:r>
      <w:r>
        <w:rPr>
          <w:rFonts w:hint="eastAsia"/>
          <w:color w:val="auto"/>
          <w:spacing w:val="4"/>
          <w:highlight w:val="none"/>
        </w:rPr>
        <w:t>招标</w:t>
      </w:r>
      <w:r>
        <w:rPr>
          <w:color w:val="auto"/>
          <w:spacing w:val="4"/>
          <w:highlight w:val="none"/>
        </w:rPr>
        <w:t>文件格式）。供应商提供的《中小企业声明函》资料必须真实，否则，按照有关规定予以处理。小型、微型企业提供中型企业制造的货物的，视同为中型企业。</w:t>
      </w:r>
      <w:r>
        <w:rPr>
          <w:rFonts w:hint="eastAsia"/>
          <w:color w:val="auto"/>
          <w:spacing w:val="4"/>
          <w:highlight w:val="none"/>
        </w:rPr>
        <w:t>评标委员会</w:t>
      </w:r>
      <w:r>
        <w:rPr>
          <w:color w:val="auto"/>
          <w:spacing w:val="4"/>
          <w:highlight w:val="none"/>
        </w:rPr>
        <w:t>根据供应商提供的《中小企业声明函》，按照评审规定进行评审 (详见评审方法)。</w:t>
      </w:r>
    </w:p>
    <w:p>
      <w:pPr>
        <w:spacing w:line="360" w:lineRule="auto"/>
        <w:ind w:firstLine="420"/>
        <w:rPr>
          <w:color w:val="auto"/>
          <w:highlight w:val="none"/>
        </w:rPr>
      </w:pPr>
      <w:r>
        <w:rPr>
          <w:color w:val="auto"/>
          <w:highlight w:val="none"/>
        </w:rPr>
        <w:t>15.5 财政部司法部关于政府采购支持监狱企业发展有关问题的通知--财库〔2014〕68号</w:t>
      </w:r>
    </w:p>
    <w:p>
      <w:pPr>
        <w:spacing w:line="360" w:lineRule="auto"/>
        <w:ind w:firstLine="420"/>
        <w:rPr>
          <w:color w:val="auto"/>
          <w:highlight w:val="none"/>
        </w:rPr>
      </w:pPr>
      <w:r>
        <w:rPr>
          <w:color w:val="auto"/>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评标委员会按照评标规定进行评审 (详见评标方法)。</w:t>
      </w:r>
    </w:p>
    <w:p>
      <w:pPr>
        <w:spacing w:line="360" w:lineRule="auto"/>
        <w:ind w:firstLine="420"/>
        <w:rPr>
          <w:color w:val="auto"/>
          <w:highlight w:val="none"/>
        </w:rPr>
      </w:pPr>
      <w:r>
        <w:rPr>
          <w:color w:val="auto"/>
          <w:highlight w:val="none"/>
        </w:rPr>
        <w:t>15.6 《三部门联合发布关于促进残疾人就业政府采购政策的通知》--财库〔2017〕141号</w:t>
      </w:r>
    </w:p>
    <w:p>
      <w:pPr>
        <w:spacing w:line="360" w:lineRule="auto"/>
        <w:ind w:firstLine="420"/>
        <w:rPr>
          <w:color w:val="auto"/>
          <w:highlight w:val="none"/>
        </w:rPr>
      </w:pPr>
      <w:r>
        <w:rPr>
          <w:color w:val="auto"/>
          <w:highlight w:val="none"/>
        </w:rPr>
        <w:t>符合条件的残疾人福利性单位在参加政府采购活动时，应当提供本通知规定的《残疾人福利性单位声明函》（见投标文件格式），并对声明的真实性负责。供应商提供的《残疾人福利性单位声明函》与事实不符的，依照《政府采购法》第七十七条第一款的规定追究法律责任。</w:t>
      </w:r>
    </w:p>
    <w:p>
      <w:pPr>
        <w:spacing w:line="360" w:lineRule="auto"/>
        <w:ind w:firstLine="420"/>
        <w:rPr>
          <w:color w:val="auto"/>
          <w:highlight w:val="none"/>
        </w:rPr>
      </w:pPr>
      <w:r>
        <w:rPr>
          <w:color w:val="auto"/>
          <w:highlight w:val="none"/>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20"/>
        <w:rPr>
          <w:color w:val="auto"/>
          <w:highlight w:val="none"/>
        </w:rPr>
      </w:pPr>
      <w:r>
        <w:rPr>
          <w:color w:val="auto"/>
          <w:highlight w:val="none"/>
        </w:rPr>
        <w:t>15.7 《财政部发展改革委生态环境部市场监管总局关于调整优化节能产品、环境标志产品政府采购执行机制的通知》（财库〔2019〕9号）</w:t>
      </w:r>
    </w:p>
    <w:p>
      <w:pPr>
        <w:spacing w:line="360" w:lineRule="auto"/>
        <w:ind w:firstLine="420"/>
        <w:rPr>
          <w:color w:val="auto"/>
          <w:highlight w:val="none"/>
        </w:rPr>
      </w:pPr>
      <w:r>
        <w:rPr>
          <w:color w:val="auto"/>
          <w:highlight w:val="none"/>
        </w:rPr>
        <w:t>各级政府机构使用财政性资金进行政府采购活动时，在技术、服务等指标满足采购需求的前提下，采购人拟采购的产品属于品目清单范围的，采购人及其委托的采购代理机构应当依据国家确定的认证机构出具的、处于有效期之内的节能产品、环境标志产品认证证书，对获得证书的产品实施政府优先采购。（注：产品属于品目清单范围中实施政府强制采购的，需提供依据国家确定的认证机构出具的、处于有效期之内的节能产品、环境标志产品认证证书。）</w:t>
      </w:r>
    </w:p>
    <w:p>
      <w:pPr>
        <w:spacing w:line="360" w:lineRule="auto"/>
        <w:ind w:firstLine="420"/>
        <w:rPr>
          <w:color w:val="auto"/>
          <w:highlight w:val="none"/>
        </w:rPr>
      </w:pPr>
      <w:r>
        <w:rPr>
          <w:color w:val="auto"/>
          <w:highlight w:val="none"/>
        </w:rPr>
        <w:t>若节能、环保、环境标志清单内的产品仅是构成投标产品的部件、组件或零件的，则该投标产品不享受鼓励优惠政策。同1包的节能、环保、环境标志产品部分只针对属于清单内的非强制类产品享受鼓励优惠政策，强制类产品不享受鼓励优惠政策，节能、环保、环境标志产品不重复享受鼓励优惠政策；同时列入国家级清单和省级清单的产品不重复享受鼓励优惠政策，投标供应商应如实提供以上证明文件，如存在虚假应标，将取消其投标资格。</w:t>
      </w:r>
    </w:p>
    <w:p>
      <w:pPr>
        <w:spacing w:line="360" w:lineRule="auto"/>
        <w:ind w:firstLine="420"/>
        <w:rPr>
          <w:color w:val="auto"/>
          <w:highlight w:val="none"/>
        </w:rPr>
      </w:pPr>
      <w:r>
        <w:rPr>
          <w:color w:val="auto"/>
          <w:highlight w:val="none"/>
        </w:rPr>
        <w:t>15.8 陕西省财政厅关于印发《陕西省中小企业政府采购信用融资办法》（陕财办采〔2018〕23号）；</w:t>
      </w:r>
    </w:p>
    <w:p>
      <w:pPr>
        <w:spacing w:line="360" w:lineRule="auto"/>
        <w:ind w:firstLine="420"/>
        <w:rPr>
          <w:color w:val="auto"/>
          <w:highlight w:val="none"/>
        </w:rPr>
      </w:pPr>
      <w:r>
        <w:rPr>
          <w:color w:val="auto"/>
          <w:highlight w:val="none"/>
        </w:rPr>
        <w:t>15.9 符合（财库[2019]27号）文件规定的投标产品或投标供应商：</w:t>
      </w:r>
    </w:p>
    <w:p>
      <w:pPr>
        <w:spacing w:line="360" w:lineRule="auto"/>
        <w:ind w:firstLine="420"/>
        <w:rPr>
          <w:color w:val="auto"/>
          <w:highlight w:val="none"/>
        </w:rPr>
      </w:pPr>
      <w:r>
        <w:rPr>
          <w:color w:val="auto"/>
          <w:highlight w:val="none"/>
        </w:rPr>
        <w:t>15.9.1 投标产品为贫困地区农副产品的进行3%的价格扣除；</w:t>
      </w:r>
    </w:p>
    <w:p>
      <w:pPr>
        <w:spacing w:line="360" w:lineRule="auto"/>
        <w:ind w:firstLine="420"/>
        <w:rPr>
          <w:color w:val="auto"/>
          <w:highlight w:val="none"/>
        </w:rPr>
      </w:pPr>
      <w:r>
        <w:rPr>
          <w:color w:val="auto"/>
          <w:highlight w:val="none"/>
        </w:rPr>
        <w:t>15.9.2 贫困地区农副产品是指832个国家级贫困县域内注册的企业、农民专业合作社、家庭农场等出产的农副产品。</w:t>
      </w:r>
    </w:p>
    <w:p>
      <w:pPr>
        <w:spacing w:line="360" w:lineRule="auto"/>
        <w:ind w:firstLine="420"/>
        <w:rPr>
          <w:color w:val="auto"/>
          <w:highlight w:val="none"/>
        </w:rPr>
      </w:pPr>
      <w:r>
        <w:rPr>
          <w:color w:val="auto"/>
          <w:highlight w:val="none"/>
        </w:rPr>
        <w:t>15.9.3 投标供应商为物业公司提供物业服务的进行3%的价格扣除；</w:t>
      </w:r>
    </w:p>
    <w:p>
      <w:pPr>
        <w:spacing w:line="360" w:lineRule="auto"/>
        <w:ind w:firstLine="420"/>
        <w:rPr>
          <w:color w:val="auto"/>
          <w:highlight w:val="none"/>
        </w:rPr>
      </w:pPr>
      <w:r>
        <w:rPr>
          <w:color w:val="auto"/>
          <w:highlight w:val="none"/>
        </w:rPr>
        <w:t>15.9.4 采购物业服务的，有条件的应当优先采购注册地在832个国家级贫困县域内，且聘用建档立卡贫困人员物业公司提供的物业服务。对注册地在832个国家级贫困县域内，且聘用建档立卡贫困人员达到公司员工（含服务外包用工）30%以上的物业公司提供的物业服务。</w:t>
      </w:r>
    </w:p>
    <w:p>
      <w:pPr>
        <w:snapToGrid w:val="0"/>
        <w:spacing w:line="360" w:lineRule="auto"/>
        <w:ind w:firstLine="420" w:firstLineChars="200"/>
        <w:rPr>
          <w:color w:val="auto"/>
          <w:highlight w:val="none"/>
        </w:rPr>
      </w:pPr>
      <w:r>
        <w:rPr>
          <w:color w:val="auto"/>
          <w:highlight w:val="none"/>
        </w:rPr>
        <w:t>15.10 本项目如采购进口产品，优先采购向我国企业转让技术、与我国企业签订消化吸收再创新方案的供应商的进口产品。</w:t>
      </w:r>
    </w:p>
    <w:p>
      <w:pPr>
        <w:pStyle w:val="40"/>
        <w:rPr>
          <w:color w:val="auto"/>
          <w:highlight w:val="none"/>
        </w:rPr>
        <w:sectPr>
          <w:headerReference r:id="rId3" w:type="default"/>
          <w:footerReference r:id="rId4" w:type="default"/>
          <w:pgSz w:w="11907" w:h="16840"/>
          <w:pgMar w:top="1247" w:right="1644" w:bottom="1247" w:left="2064" w:header="851" w:footer="851" w:gutter="0"/>
          <w:pgNumType w:start="1"/>
          <w:cols w:space="720" w:num="1"/>
          <w:docGrid w:type="linesAndChars" w:linePitch="312" w:charSpace="0"/>
        </w:sectPr>
      </w:pPr>
    </w:p>
    <w:p>
      <w:pPr>
        <w:pStyle w:val="3"/>
        <w:spacing w:before="100" w:after="100"/>
        <w:jc w:val="center"/>
        <w:rPr>
          <w:color w:val="auto"/>
          <w:sz w:val="32"/>
          <w:szCs w:val="32"/>
          <w:highlight w:val="none"/>
        </w:rPr>
      </w:pPr>
      <w:bookmarkStart w:id="16" w:name="_Toc7411"/>
      <w:bookmarkStart w:id="17" w:name="_Toc108168984"/>
      <w:bookmarkStart w:id="18" w:name="_Toc24639"/>
      <w:r>
        <w:rPr>
          <w:rFonts w:hint="eastAsia"/>
          <w:color w:val="auto"/>
          <w:sz w:val="32"/>
          <w:szCs w:val="32"/>
          <w:highlight w:val="none"/>
        </w:rPr>
        <w:t>第三章评标办法（综合评分法）</w:t>
      </w:r>
      <w:bookmarkEnd w:id="16"/>
      <w:bookmarkEnd w:id="17"/>
      <w:bookmarkEnd w:id="18"/>
    </w:p>
    <w:p>
      <w:pPr>
        <w:pStyle w:val="4"/>
        <w:spacing w:before="100" w:after="100"/>
        <w:jc w:val="center"/>
        <w:rPr>
          <w:rFonts w:ascii="宋体" w:hAnsi="宋体" w:eastAsia="宋体" w:cs="宋体"/>
          <w:color w:val="auto"/>
          <w:sz w:val="28"/>
          <w:szCs w:val="28"/>
          <w:highlight w:val="none"/>
        </w:rPr>
      </w:pPr>
      <w:bookmarkStart w:id="19" w:name="_Toc247085757"/>
      <w:bookmarkStart w:id="20" w:name="_Toc152042376"/>
      <w:bookmarkStart w:id="21" w:name="_Toc144974566"/>
      <w:bookmarkStart w:id="22" w:name="_Toc179632617"/>
      <w:bookmarkStart w:id="23" w:name="_Toc152045599"/>
      <w:bookmarkStart w:id="24" w:name="_Toc246996242"/>
      <w:bookmarkStart w:id="25" w:name="_Toc246996985"/>
      <w:bookmarkStart w:id="26" w:name="_Toc296602487"/>
      <w:r>
        <w:rPr>
          <w:rFonts w:hint="eastAsia" w:ascii="宋体" w:hAnsi="宋体" w:eastAsia="宋体" w:cs="宋体"/>
          <w:color w:val="auto"/>
          <w:sz w:val="28"/>
          <w:szCs w:val="28"/>
          <w:highlight w:val="none"/>
        </w:rPr>
        <w:t>评标办法前附表</w:t>
      </w:r>
      <w:bookmarkEnd w:id="19"/>
      <w:bookmarkEnd w:id="20"/>
      <w:bookmarkEnd w:id="21"/>
      <w:bookmarkEnd w:id="22"/>
      <w:bookmarkEnd w:id="23"/>
      <w:bookmarkEnd w:id="24"/>
      <w:bookmarkEnd w:id="25"/>
      <w:bookmarkEnd w:id="26"/>
    </w:p>
    <w:tbl>
      <w:tblPr>
        <w:tblStyle w:val="25"/>
        <w:tblW w:w="9075" w:type="dxa"/>
        <w:tblInd w:w="-4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1230"/>
        <w:gridCol w:w="2553"/>
        <w:gridCol w:w="4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2"/>
            <w:tcBorders>
              <w:top w:val="single" w:color="auto" w:sz="4" w:space="0"/>
              <w:bottom w:val="single" w:color="auto" w:sz="4" w:space="0"/>
              <w:right w:val="single" w:color="auto" w:sz="4" w:space="0"/>
            </w:tcBorders>
            <w:vAlign w:val="center"/>
          </w:tcPr>
          <w:p>
            <w:pPr>
              <w:spacing w:line="360" w:lineRule="auto"/>
              <w:jc w:val="center"/>
              <w:rPr>
                <w:b/>
                <w:color w:val="auto"/>
                <w:highlight w:val="none"/>
              </w:rPr>
            </w:pPr>
            <w:r>
              <w:rPr>
                <w:b/>
                <w:color w:val="auto"/>
                <w:highlight w:val="none"/>
              </w:rPr>
              <w:t>条款号</w:t>
            </w: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highlight w:val="none"/>
              </w:rPr>
            </w:pPr>
            <w:r>
              <w:rPr>
                <w:b/>
                <w:color w:val="auto"/>
                <w:highlight w:val="none"/>
              </w:rPr>
              <w:t>评审因素</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highlight w:val="none"/>
              </w:rPr>
            </w:pPr>
            <w:r>
              <w:rPr>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bottom w:val="single" w:color="auto" w:sz="4" w:space="0"/>
              <w:right w:val="single" w:color="auto" w:sz="4" w:space="0"/>
            </w:tcBorders>
            <w:vAlign w:val="center"/>
          </w:tcPr>
          <w:p>
            <w:pPr>
              <w:spacing w:line="360" w:lineRule="auto"/>
              <w:jc w:val="center"/>
              <w:rPr>
                <w:bCs/>
                <w:color w:val="auto"/>
                <w:highlight w:val="none"/>
              </w:rPr>
            </w:pPr>
            <w:r>
              <w:rPr>
                <w:bCs/>
                <w:color w:val="auto"/>
                <w:highlight w:val="none"/>
              </w:rPr>
              <w:t>1</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highlight w:val="none"/>
              </w:rPr>
            </w:pPr>
            <w:r>
              <w:rPr>
                <w:bCs/>
                <w:color w:val="auto"/>
                <w:highlight w:val="none"/>
              </w:rPr>
              <w:t>评标办法</w:t>
            </w: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highlight w:val="none"/>
              </w:rPr>
            </w:pPr>
            <w:r>
              <w:rPr>
                <w:bCs/>
                <w:color w:val="auto"/>
                <w:highlight w:val="none"/>
              </w:rPr>
              <w:t>中标候选人排名方法</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bCs/>
                <w:color w:val="auto"/>
                <w:highlight w:val="none"/>
              </w:rPr>
            </w:pPr>
            <w:r>
              <w:rPr>
                <w:color w:val="auto"/>
                <w:highlight w:val="none"/>
              </w:rPr>
              <w:t>综合评分相等时，以投标报价低的优先；投标报价也相等的，以技术得分高的优先；如果技术得分也相等，</w:t>
            </w:r>
            <w:r>
              <w:rPr>
                <w:bCs/>
                <w:color w:val="auto"/>
                <w:highlight w:val="none"/>
              </w:rPr>
              <w:t>由评标委员会推荐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restart"/>
            <w:tcBorders>
              <w:top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2.1.1</w:t>
            </w:r>
          </w:p>
        </w:tc>
        <w:tc>
          <w:tcPr>
            <w:tcW w:w="1230" w:type="dxa"/>
            <w:vMerge w:val="restart"/>
            <w:tcBorders>
              <w:top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形式评审标准</w:t>
            </w: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投标供应商名称</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与营业执照、资质证书</w:t>
            </w:r>
            <w:r>
              <w:rPr>
                <w:rFonts w:hint="eastAsia"/>
                <w:color w:val="auto"/>
                <w:highlight w:val="none"/>
              </w:rPr>
              <w:t>（如有）</w:t>
            </w:r>
            <w:r>
              <w:rPr>
                <w:color w:val="auto"/>
                <w:highlight w:val="none"/>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continue"/>
            <w:tcBorders>
              <w:top w:val="nil"/>
              <w:bottom w:val="single" w:color="auto" w:sz="4" w:space="0"/>
              <w:right w:val="single" w:color="auto" w:sz="4" w:space="0"/>
            </w:tcBorders>
            <w:vAlign w:val="center"/>
          </w:tcPr>
          <w:p>
            <w:pPr>
              <w:spacing w:line="360" w:lineRule="auto"/>
              <w:jc w:val="center"/>
              <w:rPr>
                <w:color w:val="auto"/>
                <w:highlight w:val="none"/>
              </w:rPr>
            </w:pPr>
          </w:p>
        </w:tc>
        <w:tc>
          <w:tcPr>
            <w:tcW w:w="1230" w:type="dxa"/>
            <w:vMerge w:val="continue"/>
            <w:tcBorders>
              <w:top w:val="nil"/>
              <w:bottom w:val="single" w:color="auto" w:sz="4" w:space="0"/>
              <w:right w:val="single" w:color="auto" w:sz="4" w:space="0"/>
            </w:tcBorders>
            <w:vAlign w:val="center"/>
          </w:tcPr>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投标函签字盖章</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由法定代表人（单位负责人）签字或盖章的，应附法定代表人（单位负责人）身份证明，由代理人签字或盖章的，应附授权委托书，身份证明或授权委托书应符合第六章“投标文件格式”的规定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continue"/>
            <w:tcBorders>
              <w:top w:val="nil"/>
              <w:bottom w:val="single" w:color="auto" w:sz="4" w:space="0"/>
              <w:right w:val="single" w:color="auto" w:sz="4" w:space="0"/>
            </w:tcBorders>
            <w:vAlign w:val="center"/>
          </w:tcPr>
          <w:p>
            <w:pPr>
              <w:spacing w:line="360" w:lineRule="auto"/>
              <w:jc w:val="center"/>
              <w:rPr>
                <w:color w:val="auto"/>
                <w:highlight w:val="none"/>
              </w:rPr>
            </w:pPr>
          </w:p>
        </w:tc>
        <w:tc>
          <w:tcPr>
            <w:tcW w:w="1230" w:type="dxa"/>
            <w:vMerge w:val="continue"/>
            <w:tcBorders>
              <w:top w:val="nil"/>
              <w:bottom w:val="single" w:color="auto" w:sz="4" w:space="0"/>
              <w:right w:val="single" w:color="auto" w:sz="4" w:space="0"/>
            </w:tcBorders>
            <w:vAlign w:val="center"/>
          </w:tcPr>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投标文件格式</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continue"/>
            <w:tcBorders>
              <w:top w:val="nil"/>
              <w:bottom w:val="single" w:color="auto" w:sz="4" w:space="0"/>
              <w:right w:val="single" w:color="auto" w:sz="4" w:space="0"/>
            </w:tcBorders>
            <w:vAlign w:val="center"/>
          </w:tcPr>
          <w:p>
            <w:pPr>
              <w:spacing w:line="360" w:lineRule="auto"/>
              <w:jc w:val="center"/>
              <w:rPr>
                <w:color w:val="auto"/>
                <w:highlight w:val="none"/>
              </w:rPr>
            </w:pPr>
          </w:p>
        </w:tc>
        <w:tc>
          <w:tcPr>
            <w:tcW w:w="1230" w:type="dxa"/>
            <w:vMerge w:val="continue"/>
            <w:tcBorders>
              <w:top w:val="nil"/>
              <w:bottom w:val="single" w:color="auto" w:sz="4" w:space="0"/>
              <w:right w:val="single" w:color="auto" w:sz="4" w:space="0"/>
            </w:tcBorders>
            <w:vAlign w:val="center"/>
          </w:tcPr>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报价唯一</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restart"/>
            <w:tcBorders>
              <w:top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2.1.2</w:t>
            </w:r>
          </w:p>
        </w:tc>
        <w:tc>
          <w:tcPr>
            <w:tcW w:w="1230" w:type="dxa"/>
            <w:vMerge w:val="restart"/>
            <w:tcBorders>
              <w:top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资格评审标准</w:t>
            </w: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营业执照</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符合第二章“投标供应商须知”第3.5.1项规定，具备合法有效的营业执照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continue"/>
            <w:tcBorders>
              <w:top w:val="single" w:color="auto" w:sz="4" w:space="0"/>
              <w:bottom w:val="single" w:color="auto" w:sz="4" w:space="0"/>
              <w:right w:val="single" w:color="auto" w:sz="4" w:space="0"/>
            </w:tcBorders>
            <w:vAlign w:val="center"/>
          </w:tcPr>
          <w:p>
            <w:pPr>
              <w:spacing w:line="360" w:lineRule="auto"/>
              <w:jc w:val="center"/>
              <w:rPr>
                <w:color w:val="auto"/>
                <w:highlight w:val="none"/>
              </w:rPr>
            </w:pPr>
          </w:p>
        </w:tc>
        <w:tc>
          <w:tcPr>
            <w:tcW w:w="1230" w:type="dxa"/>
            <w:vMerge w:val="continue"/>
            <w:tcBorders>
              <w:top w:val="single" w:color="auto" w:sz="4" w:space="0"/>
              <w:bottom w:val="single" w:color="auto" w:sz="4" w:space="0"/>
              <w:right w:val="single" w:color="auto" w:sz="4" w:space="0"/>
            </w:tcBorders>
            <w:vAlign w:val="center"/>
          </w:tcPr>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资质要求</w:t>
            </w:r>
          </w:p>
        </w:tc>
        <w:tc>
          <w:tcPr>
            <w:tcW w:w="4332" w:type="dxa"/>
            <w:tcBorders>
              <w:top w:val="single" w:color="auto" w:sz="4" w:space="0"/>
              <w:left w:val="single" w:color="auto" w:sz="4" w:space="0"/>
              <w:bottom w:val="single" w:color="auto" w:sz="4" w:space="0"/>
              <w:right w:val="single" w:color="auto" w:sz="4" w:space="0"/>
            </w:tcBorders>
          </w:tcPr>
          <w:p>
            <w:pPr>
              <w:spacing w:line="360" w:lineRule="auto"/>
              <w:rPr>
                <w:color w:val="auto"/>
                <w:highlight w:val="none"/>
              </w:rPr>
            </w:pPr>
            <w:r>
              <w:rPr>
                <w:color w:val="auto"/>
                <w:highlight w:val="none"/>
              </w:rPr>
              <w:t>符合第二章“投标供应商须知”第1.4.1项规定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continue"/>
            <w:tcBorders>
              <w:top w:val="nil"/>
              <w:bottom w:val="single" w:color="auto" w:sz="4" w:space="0"/>
              <w:right w:val="single" w:color="auto" w:sz="4" w:space="0"/>
            </w:tcBorders>
            <w:vAlign w:val="center"/>
          </w:tcPr>
          <w:p>
            <w:pPr>
              <w:spacing w:line="360" w:lineRule="auto"/>
              <w:jc w:val="center"/>
              <w:rPr>
                <w:color w:val="auto"/>
                <w:highlight w:val="none"/>
              </w:rPr>
            </w:pPr>
          </w:p>
        </w:tc>
        <w:tc>
          <w:tcPr>
            <w:tcW w:w="1230" w:type="dxa"/>
            <w:vMerge w:val="continue"/>
            <w:tcBorders>
              <w:top w:val="nil"/>
              <w:bottom w:val="single" w:color="auto" w:sz="4" w:space="0"/>
              <w:right w:val="single" w:color="auto" w:sz="4" w:space="0"/>
            </w:tcBorders>
            <w:vAlign w:val="center"/>
          </w:tcPr>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财务要求</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符合第二章“投标供应商须知”第1.4.1项规定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continue"/>
            <w:tcBorders>
              <w:top w:val="nil"/>
              <w:bottom w:val="single" w:color="auto" w:sz="4" w:space="0"/>
              <w:right w:val="single" w:color="auto" w:sz="4" w:space="0"/>
            </w:tcBorders>
            <w:vAlign w:val="center"/>
          </w:tcPr>
          <w:p>
            <w:pPr>
              <w:spacing w:line="360" w:lineRule="auto"/>
              <w:jc w:val="center"/>
              <w:rPr>
                <w:color w:val="auto"/>
                <w:highlight w:val="none"/>
              </w:rPr>
            </w:pPr>
          </w:p>
        </w:tc>
        <w:tc>
          <w:tcPr>
            <w:tcW w:w="1230" w:type="dxa"/>
            <w:vMerge w:val="continue"/>
            <w:tcBorders>
              <w:top w:val="nil"/>
              <w:bottom w:val="single" w:color="auto" w:sz="4" w:space="0"/>
              <w:right w:val="single" w:color="auto" w:sz="4" w:space="0"/>
            </w:tcBorders>
            <w:vAlign w:val="center"/>
          </w:tcPr>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信誉要求</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符合第二章“投标供应商须知”第1.4.1项规定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continue"/>
            <w:tcBorders>
              <w:top w:val="nil"/>
              <w:bottom w:val="single" w:color="auto" w:sz="4" w:space="0"/>
              <w:right w:val="single" w:color="auto" w:sz="4" w:space="0"/>
            </w:tcBorders>
            <w:vAlign w:val="center"/>
          </w:tcPr>
          <w:p>
            <w:pPr>
              <w:spacing w:line="360" w:lineRule="auto"/>
              <w:jc w:val="center"/>
              <w:rPr>
                <w:color w:val="auto"/>
                <w:highlight w:val="none"/>
              </w:rPr>
            </w:pPr>
          </w:p>
        </w:tc>
        <w:tc>
          <w:tcPr>
            <w:tcW w:w="1230" w:type="dxa"/>
            <w:vMerge w:val="continue"/>
            <w:tcBorders>
              <w:top w:val="nil"/>
              <w:bottom w:val="single" w:color="auto" w:sz="4" w:space="0"/>
              <w:right w:val="single" w:color="auto" w:sz="4" w:space="0"/>
            </w:tcBorders>
            <w:vAlign w:val="center"/>
          </w:tcPr>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其他要求</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符合第二章“投标供应商须知”第1.4.1项规定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continue"/>
            <w:tcBorders>
              <w:top w:val="single" w:color="auto" w:sz="4" w:space="0"/>
              <w:bottom w:val="single" w:color="auto" w:sz="4" w:space="0"/>
              <w:right w:val="single" w:color="auto" w:sz="4" w:space="0"/>
            </w:tcBorders>
            <w:vAlign w:val="center"/>
          </w:tcPr>
          <w:p>
            <w:pPr>
              <w:spacing w:line="360" w:lineRule="auto"/>
              <w:jc w:val="center"/>
              <w:rPr>
                <w:color w:val="auto"/>
                <w:highlight w:val="none"/>
              </w:rPr>
            </w:pPr>
          </w:p>
        </w:tc>
        <w:tc>
          <w:tcPr>
            <w:tcW w:w="1230" w:type="dxa"/>
            <w:vMerge w:val="continue"/>
            <w:tcBorders>
              <w:top w:val="single" w:color="auto" w:sz="4" w:space="0"/>
              <w:bottom w:val="single" w:color="auto" w:sz="4" w:space="0"/>
              <w:right w:val="single" w:color="auto" w:sz="4" w:space="0"/>
            </w:tcBorders>
            <w:vAlign w:val="center"/>
          </w:tcPr>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不存在禁止投标的情形</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不存在第二章“投标供应商须知”第1.4.3项规定的任何一种情形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restart"/>
            <w:tcBorders>
              <w:top w:val="single" w:color="auto" w:sz="4" w:space="0"/>
              <w:right w:val="single" w:color="auto" w:sz="4" w:space="0"/>
            </w:tcBorders>
            <w:vAlign w:val="center"/>
          </w:tcPr>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highlight w:val="none"/>
              </w:rPr>
            </w:pPr>
            <w:r>
              <w:rPr>
                <w:color w:val="auto"/>
                <w:highlight w:val="none"/>
              </w:rPr>
              <w:t>2.1.3</w:t>
            </w: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highlight w:val="none"/>
              </w:rPr>
            </w:pPr>
          </w:p>
        </w:tc>
        <w:tc>
          <w:tcPr>
            <w:tcW w:w="1230" w:type="dxa"/>
            <w:vMerge w:val="restart"/>
            <w:tcBorders>
              <w:top w:val="single" w:color="auto" w:sz="4" w:space="0"/>
              <w:right w:val="single" w:color="auto" w:sz="4" w:space="0"/>
            </w:tcBorders>
            <w:vAlign w:val="center"/>
          </w:tcPr>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highlight w:val="none"/>
              </w:rPr>
            </w:pPr>
            <w:r>
              <w:rPr>
                <w:color w:val="auto"/>
                <w:highlight w:val="none"/>
              </w:rPr>
              <w:t>响应性</w:t>
            </w:r>
          </w:p>
          <w:p>
            <w:pPr>
              <w:spacing w:line="360" w:lineRule="auto"/>
              <w:jc w:val="center"/>
              <w:rPr>
                <w:color w:val="auto"/>
                <w:highlight w:val="none"/>
              </w:rPr>
            </w:pPr>
            <w:r>
              <w:rPr>
                <w:color w:val="auto"/>
                <w:highlight w:val="none"/>
              </w:rPr>
              <w:t>评审</w:t>
            </w:r>
          </w:p>
          <w:p>
            <w:pPr>
              <w:spacing w:line="360" w:lineRule="auto"/>
              <w:jc w:val="center"/>
              <w:rPr>
                <w:color w:val="auto"/>
                <w:highlight w:val="none"/>
              </w:rPr>
            </w:pPr>
            <w:r>
              <w:rPr>
                <w:color w:val="auto"/>
                <w:highlight w:val="none"/>
              </w:rPr>
              <w:t>标准</w:t>
            </w: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投标报价</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符合第二章“投标供应商须知”第3.2项规定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continue"/>
            <w:tcBorders>
              <w:top w:val="single" w:color="auto" w:sz="4" w:space="0"/>
              <w:right w:val="single" w:color="auto" w:sz="4" w:space="0"/>
            </w:tcBorders>
            <w:vAlign w:val="center"/>
          </w:tcPr>
          <w:p>
            <w:pPr>
              <w:spacing w:line="360" w:lineRule="auto"/>
              <w:jc w:val="center"/>
              <w:rPr>
                <w:color w:val="auto"/>
                <w:highlight w:val="none"/>
              </w:rPr>
            </w:pPr>
          </w:p>
        </w:tc>
        <w:tc>
          <w:tcPr>
            <w:tcW w:w="1230" w:type="dxa"/>
            <w:vMerge w:val="continue"/>
            <w:tcBorders>
              <w:top w:val="single" w:color="auto" w:sz="4" w:space="0"/>
              <w:right w:val="single" w:color="auto" w:sz="4" w:space="0"/>
            </w:tcBorders>
            <w:vAlign w:val="center"/>
          </w:tcPr>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投标内容</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符合第二章“投标供应商须知”第1.3.1项规定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continue"/>
            <w:tcBorders>
              <w:right w:val="single" w:color="auto" w:sz="4" w:space="0"/>
            </w:tcBorders>
            <w:vAlign w:val="center"/>
          </w:tcPr>
          <w:p>
            <w:pPr>
              <w:spacing w:line="360" w:lineRule="auto"/>
              <w:jc w:val="center"/>
              <w:rPr>
                <w:color w:val="auto"/>
                <w:highlight w:val="none"/>
              </w:rPr>
            </w:pPr>
          </w:p>
        </w:tc>
        <w:tc>
          <w:tcPr>
            <w:tcW w:w="1230" w:type="dxa"/>
            <w:vMerge w:val="continue"/>
            <w:tcBorders>
              <w:right w:val="single" w:color="auto" w:sz="4" w:space="0"/>
            </w:tcBorders>
            <w:vAlign w:val="center"/>
          </w:tcPr>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rFonts w:hint="eastAsia"/>
                <w:color w:val="auto"/>
                <w:highlight w:val="none"/>
              </w:rPr>
              <w:t>交货期（含安装期）</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符合第二章“投标供应商须知”第1.3.2项规定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continue"/>
            <w:tcBorders>
              <w:right w:val="single" w:color="auto" w:sz="4" w:space="0"/>
            </w:tcBorders>
            <w:vAlign w:val="center"/>
          </w:tcPr>
          <w:p>
            <w:pPr>
              <w:spacing w:line="360" w:lineRule="auto"/>
              <w:jc w:val="center"/>
              <w:rPr>
                <w:color w:val="auto"/>
                <w:highlight w:val="none"/>
              </w:rPr>
            </w:pPr>
          </w:p>
        </w:tc>
        <w:tc>
          <w:tcPr>
            <w:tcW w:w="1230" w:type="dxa"/>
            <w:vMerge w:val="continue"/>
            <w:tcBorders>
              <w:right w:val="single" w:color="auto" w:sz="4" w:space="0"/>
            </w:tcBorders>
            <w:vAlign w:val="center"/>
          </w:tcPr>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交货地点</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符合第二章“投标供应商须知”第1.3.3项规定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continue"/>
            <w:tcBorders>
              <w:right w:val="single" w:color="auto" w:sz="4" w:space="0"/>
            </w:tcBorders>
            <w:vAlign w:val="center"/>
          </w:tcPr>
          <w:p>
            <w:pPr>
              <w:spacing w:line="360" w:lineRule="auto"/>
              <w:jc w:val="center"/>
              <w:rPr>
                <w:color w:val="auto"/>
                <w:highlight w:val="none"/>
              </w:rPr>
            </w:pPr>
          </w:p>
        </w:tc>
        <w:tc>
          <w:tcPr>
            <w:tcW w:w="1230" w:type="dxa"/>
            <w:vMerge w:val="continue"/>
            <w:tcBorders>
              <w:right w:val="single" w:color="auto" w:sz="4" w:space="0"/>
            </w:tcBorders>
            <w:vAlign w:val="center"/>
          </w:tcPr>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投标有效期</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符合第二章“投标供应商须知”第3.3.1项规定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continue"/>
            <w:tcBorders>
              <w:right w:val="single" w:color="auto" w:sz="4" w:space="0"/>
            </w:tcBorders>
            <w:vAlign w:val="center"/>
          </w:tcPr>
          <w:p>
            <w:pPr>
              <w:spacing w:line="360" w:lineRule="auto"/>
              <w:jc w:val="center"/>
              <w:rPr>
                <w:color w:val="auto"/>
                <w:highlight w:val="none"/>
              </w:rPr>
            </w:pPr>
          </w:p>
        </w:tc>
        <w:tc>
          <w:tcPr>
            <w:tcW w:w="1230" w:type="dxa"/>
            <w:vMerge w:val="continue"/>
            <w:tcBorders>
              <w:right w:val="single" w:color="auto" w:sz="4" w:space="0"/>
            </w:tcBorders>
            <w:vAlign w:val="center"/>
          </w:tcPr>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投标保证金</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符合第二章“投标供应商须知”第3.4.1项规定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continue"/>
            <w:tcBorders>
              <w:right w:val="single" w:color="auto" w:sz="4" w:space="0"/>
            </w:tcBorders>
            <w:vAlign w:val="center"/>
          </w:tcPr>
          <w:p>
            <w:pPr>
              <w:spacing w:line="360" w:lineRule="auto"/>
              <w:jc w:val="center"/>
              <w:rPr>
                <w:color w:val="auto"/>
                <w:highlight w:val="none"/>
              </w:rPr>
            </w:pPr>
          </w:p>
        </w:tc>
        <w:tc>
          <w:tcPr>
            <w:tcW w:w="1230" w:type="dxa"/>
            <w:vMerge w:val="continue"/>
            <w:tcBorders>
              <w:right w:val="single" w:color="auto" w:sz="4" w:space="0"/>
            </w:tcBorders>
            <w:vAlign w:val="center"/>
          </w:tcPr>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权利义务</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符合第二章“投标供应商须知”第1.11.1项规定和第四章“合同条款及格式”中的实质性要求和条件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0" w:type="dxa"/>
            <w:vMerge w:val="continue"/>
            <w:tcBorders>
              <w:bottom w:val="single" w:color="auto" w:sz="4" w:space="0"/>
              <w:right w:val="single" w:color="auto" w:sz="4" w:space="0"/>
            </w:tcBorders>
            <w:vAlign w:val="center"/>
          </w:tcPr>
          <w:p>
            <w:pPr>
              <w:spacing w:line="360" w:lineRule="auto"/>
              <w:jc w:val="center"/>
              <w:rPr>
                <w:color w:val="auto"/>
                <w:highlight w:val="none"/>
              </w:rPr>
            </w:pPr>
          </w:p>
        </w:tc>
        <w:tc>
          <w:tcPr>
            <w:tcW w:w="1230" w:type="dxa"/>
            <w:vMerge w:val="continue"/>
            <w:tcBorders>
              <w:bottom w:val="single" w:color="auto" w:sz="4" w:space="0"/>
              <w:right w:val="single" w:color="auto" w:sz="4" w:space="0"/>
            </w:tcBorders>
            <w:vAlign w:val="center"/>
          </w:tcPr>
          <w:p>
            <w:pPr>
              <w:spacing w:line="360" w:lineRule="auto"/>
              <w:jc w:val="center"/>
              <w:rPr>
                <w:color w:val="auto"/>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highlight w:val="none"/>
              </w:rPr>
            </w:pPr>
            <w:r>
              <w:rPr>
                <w:color w:val="auto"/>
                <w:highlight w:val="none"/>
              </w:rPr>
              <w:t>其他</w:t>
            </w:r>
          </w:p>
        </w:tc>
        <w:tc>
          <w:tcPr>
            <w:tcW w:w="43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auto"/>
                <w:highlight w:val="none"/>
              </w:rPr>
            </w:pPr>
            <w:r>
              <w:rPr>
                <w:color w:val="auto"/>
                <w:highlight w:val="none"/>
              </w:rPr>
              <w:t>未达到招标文件规定的废标条款及否决其投标的条款</w:t>
            </w:r>
          </w:p>
        </w:tc>
      </w:tr>
    </w:tbl>
    <w:p>
      <w:pPr>
        <w:pStyle w:val="40"/>
        <w:rPr>
          <w:color w:val="auto"/>
          <w:highlight w:val="none"/>
        </w:rPr>
        <w:sectPr>
          <w:pgSz w:w="11907" w:h="16840"/>
          <w:pgMar w:top="1247" w:right="1644" w:bottom="1247" w:left="2064" w:header="851" w:footer="851" w:gutter="0"/>
          <w:cols w:space="720" w:num="1"/>
          <w:docGrid w:type="linesAndChars" w:linePitch="312" w:charSpace="0"/>
        </w:sectPr>
      </w:pPr>
    </w:p>
    <w:p>
      <w:pPr>
        <w:pStyle w:val="40"/>
        <w:jc w:val="left"/>
        <w:rPr>
          <w:b/>
          <w:bCs/>
          <w:color w:val="auto"/>
          <w:highlight w:val="none"/>
        </w:rPr>
      </w:pPr>
      <w:r>
        <w:rPr>
          <w:b/>
          <w:bCs/>
          <w:color w:val="auto"/>
          <w:highlight w:val="none"/>
        </w:rPr>
        <w:t>分值构成与评分标准</w:t>
      </w:r>
    </w:p>
    <w:tbl>
      <w:tblPr>
        <w:tblStyle w:val="25"/>
        <w:tblW w:w="9090" w:type="dxa"/>
        <w:tblInd w:w="-6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8"/>
        <w:gridCol w:w="807"/>
        <w:gridCol w:w="1950"/>
        <w:gridCol w:w="52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75" w:type="dxa"/>
            <w:gridSpan w:val="2"/>
            <w:tcBorders>
              <w:top w:val="single" w:color="auto" w:sz="4" w:space="0"/>
              <w:bottom w:val="single" w:color="auto" w:sz="4" w:space="0"/>
              <w:right w:val="single" w:color="auto" w:sz="4" w:space="0"/>
            </w:tcBorders>
            <w:vAlign w:val="center"/>
          </w:tcPr>
          <w:p>
            <w:pPr>
              <w:spacing w:line="360" w:lineRule="auto"/>
              <w:jc w:val="center"/>
              <w:rPr>
                <w:b/>
                <w:color w:val="auto"/>
                <w:highlight w:val="none"/>
              </w:rPr>
            </w:pPr>
            <w:r>
              <w:rPr>
                <w:b/>
                <w:color w:val="auto"/>
                <w:highlight w:val="none"/>
              </w:rPr>
              <w:t>条款号</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highlight w:val="none"/>
              </w:rPr>
            </w:pPr>
            <w:r>
              <w:rPr>
                <w:b/>
                <w:color w:val="auto"/>
                <w:highlight w:val="none"/>
              </w:rPr>
              <w:t>条款内容</w:t>
            </w:r>
          </w:p>
        </w:tc>
        <w:tc>
          <w:tcPr>
            <w:tcW w:w="52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highlight w:val="none"/>
              </w:rPr>
            </w:pPr>
            <w:r>
              <w:rPr>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75" w:type="dxa"/>
            <w:gridSpan w:val="2"/>
            <w:tcBorders>
              <w:bottom w:val="single" w:color="auto" w:sz="4" w:space="0"/>
              <w:right w:val="single" w:color="auto" w:sz="4" w:space="0"/>
            </w:tcBorders>
            <w:vAlign w:val="center"/>
          </w:tcPr>
          <w:p>
            <w:pPr>
              <w:spacing w:line="360" w:lineRule="auto"/>
              <w:jc w:val="center"/>
              <w:rPr>
                <w:color w:val="auto"/>
                <w:highlight w:val="none"/>
              </w:rPr>
            </w:pPr>
            <w:r>
              <w:rPr>
                <w:color w:val="auto"/>
                <w:highlight w:val="none"/>
              </w:rPr>
              <w:t>2.2.1</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分值构成</w:t>
            </w:r>
          </w:p>
          <w:p>
            <w:pPr>
              <w:spacing w:line="360" w:lineRule="auto"/>
              <w:jc w:val="center"/>
              <w:rPr>
                <w:color w:val="auto"/>
                <w:highlight w:val="none"/>
              </w:rPr>
            </w:pPr>
            <w:r>
              <w:rPr>
                <w:color w:val="auto"/>
                <w:highlight w:val="none"/>
              </w:rPr>
              <w:t>(总分100分)</w:t>
            </w:r>
          </w:p>
        </w:tc>
        <w:tc>
          <w:tcPr>
            <w:tcW w:w="526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商务部分：15分</w:t>
            </w:r>
          </w:p>
          <w:p>
            <w:pPr>
              <w:spacing w:line="360" w:lineRule="auto"/>
              <w:rPr>
                <w:color w:val="auto"/>
                <w:highlight w:val="none"/>
              </w:rPr>
            </w:pPr>
            <w:r>
              <w:rPr>
                <w:color w:val="auto"/>
                <w:highlight w:val="none"/>
              </w:rPr>
              <w:t>技术部分：55分</w:t>
            </w:r>
          </w:p>
          <w:p>
            <w:pPr>
              <w:spacing w:line="360" w:lineRule="auto"/>
              <w:rPr>
                <w:color w:val="auto"/>
                <w:highlight w:val="none"/>
              </w:rPr>
            </w:pPr>
            <w:r>
              <w:rPr>
                <w:color w:val="auto"/>
                <w:highlight w:val="none"/>
              </w:rPr>
              <w:t>投标报价：30分</w:t>
            </w:r>
          </w:p>
          <w:p>
            <w:pPr>
              <w:spacing w:line="360" w:lineRule="auto"/>
              <w:rPr>
                <w:color w:val="auto"/>
                <w:highlight w:val="none"/>
              </w:rPr>
            </w:pPr>
            <w:r>
              <w:rPr>
                <w:color w:val="auto"/>
                <w:highlight w:val="none"/>
              </w:rPr>
              <w:t>其他评分因素：</w:t>
            </w:r>
            <w:r>
              <w:rPr>
                <w:rFonts w:hint="eastAsia"/>
                <w:color w:val="auto"/>
                <w:highlight w:val="none"/>
              </w:rPr>
              <w:t>/</w:t>
            </w:r>
            <w:r>
              <w:rPr>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75" w:type="dxa"/>
            <w:gridSpan w:val="2"/>
            <w:tcBorders>
              <w:top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2.2.2</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评标基准价计算方法</w:t>
            </w:r>
          </w:p>
        </w:tc>
        <w:tc>
          <w:tcPr>
            <w:tcW w:w="526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价格分应当采用低价优先法计算，即满足招标文件要求且投标价格最低的投标报价为评标基准价。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875" w:type="dxa"/>
            <w:gridSpan w:val="2"/>
            <w:tcBorders>
              <w:top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2.2.3</w:t>
            </w:r>
          </w:p>
        </w:tc>
        <w:tc>
          <w:tcPr>
            <w:tcW w:w="1950" w:type="dxa"/>
            <w:tcBorders>
              <w:top w:val="single" w:color="auto" w:sz="4" w:space="0"/>
              <w:left w:val="single" w:color="auto" w:sz="4" w:space="0"/>
              <w:right w:val="single" w:color="auto" w:sz="4" w:space="0"/>
            </w:tcBorders>
            <w:vAlign w:val="center"/>
          </w:tcPr>
          <w:p>
            <w:pPr>
              <w:spacing w:line="360" w:lineRule="auto"/>
              <w:jc w:val="center"/>
              <w:rPr>
                <w:color w:val="auto"/>
                <w:highlight w:val="none"/>
              </w:rPr>
            </w:pPr>
            <w:r>
              <w:rPr>
                <w:color w:val="auto"/>
                <w:highlight w:val="none"/>
              </w:rPr>
              <w:t>投标报价的偏差率</w:t>
            </w:r>
          </w:p>
          <w:p>
            <w:pPr>
              <w:spacing w:line="360" w:lineRule="auto"/>
              <w:jc w:val="center"/>
              <w:rPr>
                <w:color w:val="auto"/>
                <w:highlight w:val="none"/>
              </w:rPr>
            </w:pPr>
            <w:r>
              <w:rPr>
                <w:color w:val="auto"/>
                <w:highlight w:val="none"/>
              </w:rPr>
              <w:t>计算公式</w:t>
            </w:r>
          </w:p>
        </w:tc>
        <w:tc>
          <w:tcPr>
            <w:tcW w:w="5265" w:type="dxa"/>
            <w:tcBorders>
              <w:top w:val="single" w:color="auto" w:sz="4" w:space="0"/>
              <w:left w:val="single" w:color="auto" w:sz="4" w:space="0"/>
              <w:right w:val="single" w:color="auto" w:sz="4" w:space="0"/>
            </w:tcBorders>
            <w:vAlign w:val="center"/>
          </w:tcPr>
          <w:p>
            <w:pPr>
              <w:spacing w:line="360" w:lineRule="auto"/>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75" w:type="dxa"/>
            <w:gridSpan w:val="2"/>
            <w:tcBorders>
              <w:top w:val="nil"/>
              <w:bottom w:val="single" w:color="auto" w:sz="4" w:space="0"/>
              <w:right w:val="single" w:color="auto" w:sz="4" w:space="0"/>
            </w:tcBorders>
            <w:vAlign w:val="center"/>
          </w:tcPr>
          <w:p>
            <w:pPr>
              <w:spacing w:line="360" w:lineRule="auto"/>
              <w:jc w:val="center"/>
              <w:rPr>
                <w:color w:val="auto"/>
                <w:highlight w:val="none"/>
              </w:rPr>
            </w:pPr>
            <w:r>
              <w:rPr>
                <w:b/>
                <w:color w:val="auto"/>
                <w:highlight w:val="none"/>
              </w:rPr>
              <w:t>条款号</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评分因素</w:t>
            </w:r>
          </w:p>
        </w:tc>
        <w:tc>
          <w:tcPr>
            <w:tcW w:w="52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b/>
                <w:color w:val="auto"/>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68" w:type="dxa"/>
            <w:vMerge w:val="restart"/>
            <w:tcBorders>
              <w:top w:val="single" w:color="auto" w:sz="4" w:space="0"/>
              <w:right w:val="single" w:color="auto" w:sz="4" w:space="0"/>
            </w:tcBorders>
            <w:vAlign w:val="center"/>
          </w:tcPr>
          <w:p>
            <w:pPr>
              <w:spacing w:line="360" w:lineRule="auto"/>
              <w:jc w:val="center"/>
              <w:rPr>
                <w:color w:val="auto"/>
                <w:highlight w:val="none"/>
              </w:rPr>
            </w:pPr>
            <w:r>
              <w:rPr>
                <w:color w:val="auto"/>
                <w:highlight w:val="none"/>
              </w:rPr>
              <w:t>2.2.4（1）</w:t>
            </w:r>
          </w:p>
        </w:tc>
        <w:tc>
          <w:tcPr>
            <w:tcW w:w="807" w:type="dxa"/>
            <w:vMerge w:val="restart"/>
            <w:tcBorders>
              <w:top w:val="single" w:color="auto" w:sz="4" w:space="0"/>
              <w:right w:val="single" w:color="auto" w:sz="4" w:space="0"/>
            </w:tcBorders>
            <w:vAlign w:val="center"/>
          </w:tcPr>
          <w:p>
            <w:pPr>
              <w:spacing w:line="360" w:lineRule="auto"/>
              <w:jc w:val="center"/>
              <w:rPr>
                <w:color w:val="auto"/>
                <w:highlight w:val="none"/>
              </w:rPr>
            </w:pPr>
            <w:r>
              <w:rPr>
                <w:color w:val="auto"/>
                <w:highlight w:val="none"/>
              </w:rPr>
              <w:t>商务评分标准</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lang w:val="zh-CN"/>
              </w:rPr>
              <w:t>商务</w:t>
            </w:r>
            <w:r>
              <w:rPr>
                <w:color w:val="auto"/>
                <w:highlight w:val="none"/>
              </w:rPr>
              <w:t>响应</w:t>
            </w:r>
          </w:p>
        </w:tc>
        <w:tc>
          <w:tcPr>
            <w:tcW w:w="526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color w:val="auto"/>
                <w:highlight w:val="none"/>
              </w:rPr>
              <w:t>投标文件对招标文件《第五章招标内容》中提出的商务要求和招标文件提出的付款、</w:t>
            </w:r>
            <w:r>
              <w:rPr>
                <w:rFonts w:hint="eastAsia"/>
                <w:color w:val="auto"/>
                <w:highlight w:val="none"/>
              </w:rPr>
              <w:t>交货期（含安装期）</w:t>
            </w:r>
            <w:r>
              <w:rPr>
                <w:color w:val="auto"/>
                <w:highlight w:val="none"/>
              </w:rPr>
              <w:t>等商务要求进行响应说明，满足的计3分，满足且优于的计5分≥得分＞3分（优于的标准为</w:t>
            </w:r>
            <w:r>
              <w:rPr>
                <w:rFonts w:hint="eastAsia"/>
                <w:color w:val="auto"/>
                <w:highlight w:val="none"/>
              </w:rPr>
              <w:t>交货期（含安装期）</w:t>
            </w:r>
            <w:r>
              <w:rPr>
                <w:color w:val="auto"/>
                <w:highlight w:val="none"/>
              </w:rPr>
              <w:t>提前的或质保时间延长的）。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3" w:hRule="atLeast"/>
        </w:trPr>
        <w:tc>
          <w:tcPr>
            <w:tcW w:w="1068" w:type="dxa"/>
            <w:vMerge w:val="continue"/>
            <w:tcBorders>
              <w:right w:val="single" w:color="auto" w:sz="4" w:space="0"/>
            </w:tcBorders>
            <w:vAlign w:val="center"/>
          </w:tcPr>
          <w:p>
            <w:pPr>
              <w:spacing w:line="360" w:lineRule="auto"/>
              <w:jc w:val="center"/>
              <w:rPr>
                <w:color w:val="auto"/>
                <w:highlight w:val="none"/>
              </w:rPr>
            </w:pPr>
          </w:p>
        </w:tc>
        <w:tc>
          <w:tcPr>
            <w:tcW w:w="807" w:type="dxa"/>
            <w:vMerge w:val="continue"/>
            <w:tcBorders>
              <w:right w:val="single" w:color="auto" w:sz="4" w:space="0"/>
            </w:tcBorders>
            <w:vAlign w:val="center"/>
          </w:tcPr>
          <w:p>
            <w:pPr>
              <w:spacing w:line="360" w:lineRule="auto"/>
              <w:jc w:val="center"/>
              <w:rPr>
                <w:color w:val="auto"/>
                <w:highlight w:val="none"/>
              </w:rPr>
            </w:pPr>
          </w:p>
        </w:tc>
        <w:tc>
          <w:tcPr>
            <w:tcW w:w="1950" w:type="dxa"/>
            <w:tcBorders>
              <w:top w:val="single" w:color="auto" w:sz="4" w:space="0"/>
              <w:left w:val="single" w:color="auto" w:sz="4" w:space="0"/>
              <w:right w:val="single" w:color="auto" w:sz="4" w:space="0"/>
            </w:tcBorders>
            <w:vAlign w:val="center"/>
          </w:tcPr>
          <w:p>
            <w:pPr>
              <w:spacing w:line="360" w:lineRule="auto"/>
              <w:jc w:val="center"/>
              <w:rPr>
                <w:color w:val="auto"/>
                <w:highlight w:val="none"/>
              </w:rPr>
            </w:pPr>
            <w:r>
              <w:rPr>
                <w:color w:val="auto"/>
                <w:highlight w:val="none"/>
              </w:rPr>
              <w:t>业绩</w:t>
            </w:r>
          </w:p>
        </w:tc>
        <w:tc>
          <w:tcPr>
            <w:tcW w:w="52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auto"/>
                <w:highlight w:val="none"/>
              </w:rPr>
            </w:pPr>
            <w:r>
              <w:rPr>
                <w:color w:val="auto"/>
                <w:highlight w:val="none"/>
              </w:rPr>
              <w:t>自2019年1月1日至今的</w:t>
            </w:r>
            <w:r>
              <w:rPr>
                <w:rFonts w:hint="eastAsia"/>
                <w:color w:val="auto"/>
                <w:highlight w:val="none"/>
              </w:rPr>
              <w:t>类似</w:t>
            </w:r>
            <w:r>
              <w:rPr>
                <w:color w:val="auto"/>
                <w:highlight w:val="none"/>
              </w:rPr>
              <w:t>项目业绩（有效业绩以合同或协议书为准），每份业绩得2.5分，满分10分。未提供有效业绩的不得分。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68" w:type="dxa"/>
            <w:vMerge w:val="restart"/>
            <w:tcBorders>
              <w:top w:val="single" w:color="auto" w:sz="4" w:space="0"/>
              <w:right w:val="single" w:color="auto" w:sz="4" w:space="0"/>
            </w:tcBorders>
            <w:vAlign w:val="center"/>
          </w:tcPr>
          <w:p>
            <w:pPr>
              <w:spacing w:line="360" w:lineRule="auto"/>
              <w:jc w:val="center"/>
              <w:rPr>
                <w:color w:val="auto"/>
                <w:highlight w:val="none"/>
              </w:rPr>
            </w:pPr>
            <w:r>
              <w:rPr>
                <w:color w:val="auto"/>
                <w:w w:val="99"/>
                <w:highlight w:val="none"/>
              </w:rPr>
              <w:t>2.2.4（2）</w:t>
            </w:r>
          </w:p>
        </w:tc>
        <w:tc>
          <w:tcPr>
            <w:tcW w:w="807" w:type="dxa"/>
            <w:vMerge w:val="restart"/>
            <w:tcBorders>
              <w:top w:val="single" w:color="auto" w:sz="4" w:space="0"/>
              <w:right w:val="single" w:color="auto" w:sz="4" w:space="0"/>
            </w:tcBorders>
            <w:vAlign w:val="center"/>
          </w:tcPr>
          <w:p>
            <w:pPr>
              <w:spacing w:line="360" w:lineRule="auto"/>
              <w:jc w:val="center"/>
              <w:rPr>
                <w:color w:val="auto"/>
                <w:highlight w:val="none"/>
              </w:rPr>
            </w:pPr>
            <w:r>
              <w:rPr>
                <w:color w:val="auto"/>
                <w:highlight w:val="none"/>
              </w:rPr>
              <w:t>技术评分标准</w:t>
            </w:r>
          </w:p>
        </w:tc>
        <w:tc>
          <w:tcPr>
            <w:tcW w:w="1950" w:type="dxa"/>
            <w:vMerge w:val="restart"/>
            <w:tcBorders>
              <w:top w:val="single" w:color="auto" w:sz="4" w:space="0"/>
              <w:left w:val="single" w:color="auto" w:sz="4" w:space="0"/>
              <w:right w:val="single" w:color="auto" w:sz="4" w:space="0"/>
            </w:tcBorders>
            <w:vAlign w:val="center"/>
          </w:tcPr>
          <w:p>
            <w:pPr>
              <w:spacing w:line="360" w:lineRule="auto"/>
              <w:jc w:val="center"/>
              <w:rPr>
                <w:color w:val="auto"/>
                <w:highlight w:val="none"/>
              </w:rPr>
            </w:pPr>
            <w:r>
              <w:rPr>
                <w:rFonts w:hint="eastAsia" w:ascii="宋体" w:hAnsi="宋体" w:cs="宋体"/>
                <w:color w:val="auto"/>
                <w:highlight w:val="none"/>
              </w:rPr>
              <w:t>设备（产品）情况</w:t>
            </w:r>
          </w:p>
        </w:tc>
        <w:tc>
          <w:tcPr>
            <w:tcW w:w="52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highlight w:val="none"/>
              </w:rPr>
            </w:pPr>
            <w:r>
              <w:rPr>
                <w:rFonts w:hint="eastAsia" w:ascii="宋体" w:hAnsi="宋体" w:cs="宋体"/>
                <w:color w:val="auto"/>
                <w:highlight w:val="none"/>
              </w:rPr>
              <w:t>所投设备（产品）</w:t>
            </w:r>
            <w:r>
              <w:rPr>
                <w:rFonts w:hint="eastAsia"/>
                <w:color w:val="auto"/>
                <w:highlight w:val="none"/>
              </w:rPr>
              <w:t>的配置情况（包括但不限于</w:t>
            </w:r>
            <w:r>
              <w:rPr>
                <w:rFonts w:hint="eastAsia" w:ascii="宋体" w:hAnsi="宋体" w:cs="宋体"/>
                <w:color w:val="auto"/>
                <w:highlight w:val="none"/>
              </w:rPr>
              <w:t>数量准确、型号明确）</w:t>
            </w:r>
            <w:r>
              <w:rPr>
                <w:rFonts w:hint="eastAsia"/>
                <w:color w:val="auto"/>
                <w:highlight w:val="none"/>
              </w:rPr>
              <w:t>，且功能满足招标文件要求进行描述，</w:t>
            </w:r>
            <w:r>
              <w:rPr>
                <w:rFonts w:hint="eastAsia" w:ascii="宋体" w:hAnsi="宋体" w:cs="宋体"/>
                <w:color w:val="auto"/>
                <w:highlight w:val="none"/>
              </w:rPr>
              <w:t>描述无缺漏详细具体的计5分≥得分＞4分，描述无缺漏但不完整详尽的计4分≥得分＞3分，描述有缺漏且不完整详尽的计3分≥得分≥0分。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68" w:type="dxa"/>
            <w:vMerge w:val="continue"/>
            <w:tcBorders>
              <w:right w:val="single" w:color="auto" w:sz="4" w:space="0"/>
            </w:tcBorders>
            <w:vAlign w:val="center"/>
          </w:tcPr>
          <w:p>
            <w:pPr>
              <w:spacing w:line="360" w:lineRule="auto"/>
              <w:jc w:val="center"/>
              <w:rPr>
                <w:color w:val="auto"/>
                <w:w w:val="99"/>
                <w:highlight w:val="none"/>
              </w:rPr>
            </w:pPr>
          </w:p>
        </w:tc>
        <w:tc>
          <w:tcPr>
            <w:tcW w:w="807" w:type="dxa"/>
            <w:vMerge w:val="continue"/>
            <w:tcBorders>
              <w:right w:val="single" w:color="auto" w:sz="4" w:space="0"/>
            </w:tcBorders>
            <w:vAlign w:val="center"/>
          </w:tcPr>
          <w:p>
            <w:pPr>
              <w:spacing w:line="360" w:lineRule="auto"/>
              <w:jc w:val="center"/>
              <w:rPr>
                <w:color w:val="auto"/>
                <w:highlight w:val="none"/>
              </w:rPr>
            </w:pPr>
          </w:p>
        </w:tc>
        <w:tc>
          <w:tcPr>
            <w:tcW w:w="1950" w:type="dxa"/>
            <w:vMerge w:val="continue"/>
            <w:tcBorders>
              <w:left w:val="single" w:color="auto" w:sz="4" w:space="0"/>
              <w:bottom w:val="single" w:color="auto" w:sz="4" w:space="0"/>
              <w:right w:val="single" w:color="auto" w:sz="4" w:space="0"/>
            </w:tcBorders>
            <w:vAlign w:val="center"/>
          </w:tcPr>
          <w:p>
            <w:pPr>
              <w:spacing w:line="360" w:lineRule="auto"/>
              <w:jc w:val="center"/>
              <w:rPr>
                <w:color w:val="auto"/>
                <w:highlight w:val="none"/>
              </w:rPr>
            </w:pPr>
          </w:p>
        </w:tc>
        <w:tc>
          <w:tcPr>
            <w:tcW w:w="52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highlight w:val="none"/>
              </w:rPr>
            </w:pPr>
            <w:r>
              <w:rPr>
                <w:rFonts w:hint="eastAsia" w:ascii="宋体" w:hAnsi="宋体" w:cs="宋体"/>
                <w:color w:val="auto"/>
                <w:highlight w:val="none"/>
              </w:rPr>
              <w:t>所投设备（产品）各部分功能满足或优于招标文件要求，技术资料齐全计25分，每负偏离一项“*”条款，减2分，每负偏离一项非“*”条款，减1分，不计负分。需附有支持招标文件《第五章  招标内容》中“技术参数”的证明资料，需提供生产厂家确认的、相应的功能证明材料（包括但不限于权威机构出具的检验报告或说明书或技术白皮书或官网和功能截图等）。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68" w:type="dxa"/>
            <w:vMerge w:val="continue"/>
            <w:tcBorders>
              <w:right w:val="single" w:color="auto" w:sz="4" w:space="0"/>
            </w:tcBorders>
            <w:vAlign w:val="center"/>
          </w:tcPr>
          <w:p>
            <w:pPr>
              <w:spacing w:line="360" w:lineRule="auto"/>
              <w:jc w:val="center"/>
              <w:rPr>
                <w:color w:val="auto"/>
                <w:w w:val="99"/>
                <w:highlight w:val="none"/>
              </w:rPr>
            </w:pPr>
          </w:p>
        </w:tc>
        <w:tc>
          <w:tcPr>
            <w:tcW w:w="807" w:type="dxa"/>
            <w:vMerge w:val="continue"/>
            <w:tcBorders>
              <w:right w:val="single" w:color="auto" w:sz="4" w:space="0"/>
            </w:tcBorders>
            <w:vAlign w:val="center"/>
          </w:tcPr>
          <w:p>
            <w:pPr>
              <w:spacing w:line="360" w:lineRule="auto"/>
              <w:jc w:val="center"/>
              <w:rPr>
                <w:color w:val="auto"/>
                <w:highlight w:val="none"/>
              </w:rPr>
            </w:pPr>
          </w:p>
        </w:tc>
        <w:tc>
          <w:tcPr>
            <w:tcW w:w="1950" w:type="dxa"/>
            <w:vMerge w:val="restart"/>
            <w:tcBorders>
              <w:top w:val="single" w:color="auto" w:sz="4" w:space="0"/>
              <w:left w:val="single" w:color="auto" w:sz="4" w:space="0"/>
              <w:right w:val="single" w:color="auto" w:sz="4" w:space="0"/>
            </w:tcBorders>
            <w:vAlign w:val="center"/>
          </w:tcPr>
          <w:p>
            <w:pPr>
              <w:spacing w:line="360" w:lineRule="auto"/>
              <w:jc w:val="center"/>
              <w:rPr>
                <w:color w:val="auto"/>
                <w:highlight w:val="none"/>
              </w:rPr>
            </w:pPr>
            <w:r>
              <w:rPr>
                <w:rFonts w:hint="eastAsia" w:ascii="宋体" w:hAnsi="宋体" w:cs="宋体"/>
                <w:color w:val="auto"/>
                <w:highlight w:val="none"/>
              </w:rPr>
              <w:t>履约能力及售后</w:t>
            </w:r>
          </w:p>
        </w:tc>
        <w:tc>
          <w:tcPr>
            <w:tcW w:w="52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highlight w:val="none"/>
              </w:rPr>
            </w:pPr>
            <w:r>
              <w:rPr>
                <w:rFonts w:hint="eastAsia" w:ascii="宋体" w:hAnsi="宋体" w:cs="宋体"/>
                <w:color w:val="auto"/>
                <w:highlight w:val="none"/>
              </w:rPr>
              <w:t>提供详细具体可行的售后服务措施承诺，描述无缺漏详细具体的计5分≥得分＞4分，描述无缺漏但不完整详尽的计4分≥得分＞3分，描述有缺漏且不完整详尽的计3分≥得分≥0分。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68" w:type="dxa"/>
            <w:vMerge w:val="continue"/>
            <w:tcBorders>
              <w:right w:val="single" w:color="auto" w:sz="4" w:space="0"/>
            </w:tcBorders>
            <w:vAlign w:val="center"/>
          </w:tcPr>
          <w:p>
            <w:pPr>
              <w:spacing w:line="360" w:lineRule="auto"/>
              <w:jc w:val="center"/>
              <w:rPr>
                <w:color w:val="auto"/>
                <w:w w:val="99"/>
                <w:highlight w:val="none"/>
              </w:rPr>
            </w:pPr>
          </w:p>
        </w:tc>
        <w:tc>
          <w:tcPr>
            <w:tcW w:w="807" w:type="dxa"/>
            <w:vMerge w:val="continue"/>
            <w:tcBorders>
              <w:right w:val="single" w:color="auto" w:sz="4" w:space="0"/>
            </w:tcBorders>
            <w:vAlign w:val="center"/>
          </w:tcPr>
          <w:p>
            <w:pPr>
              <w:spacing w:line="360" w:lineRule="auto"/>
              <w:jc w:val="center"/>
              <w:rPr>
                <w:color w:val="auto"/>
                <w:highlight w:val="none"/>
              </w:rPr>
            </w:pPr>
          </w:p>
        </w:tc>
        <w:tc>
          <w:tcPr>
            <w:tcW w:w="1950" w:type="dxa"/>
            <w:vMerge w:val="continue"/>
            <w:tcBorders>
              <w:left w:val="single" w:color="auto" w:sz="4" w:space="0"/>
              <w:right w:val="single" w:color="auto" w:sz="4" w:space="0"/>
            </w:tcBorders>
            <w:vAlign w:val="center"/>
          </w:tcPr>
          <w:p>
            <w:pPr>
              <w:spacing w:line="360" w:lineRule="auto"/>
              <w:jc w:val="center"/>
              <w:rPr>
                <w:color w:val="auto"/>
                <w:highlight w:val="none"/>
              </w:rPr>
            </w:pPr>
          </w:p>
        </w:tc>
        <w:tc>
          <w:tcPr>
            <w:tcW w:w="52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highlight w:val="none"/>
              </w:rPr>
            </w:pPr>
            <w:r>
              <w:rPr>
                <w:rFonts w:hint="eastAsia" w:ascii="宋体" w:hAnsi="宋体" w:cs="宋体"/>
                <w:color w:val="auto"/>
                <w:highlight w:val="none"/>
              </w:rPr>
              <w:t>设备（产品）的供货、安装调试组织措施，做出合理计划及调配，由专业的技术人员提供设备（产品）安装服务，并帮助采购人将设备（产品）调试到最佳使用状态，能保证设备（产品）的顺利运行，描述无缺漏详细具体的计8分≥得分＞5分，描述无缺漏但不完整详尽的计5分≥得分＞2分，描述有缺漏且不完整详尽的计2分≥得分≥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68" w:type="dxa"/>
            <w:vMerge w:val="continue"/>
            <w:tcBorders>
              <w:right w:val="single" w:color="auto" w:sz="4" w:space="0"/>
            </w:tcBorders>
            <w:vAlign w:val="center"/>
          </w:tcPr>
          <w:p>
            <w:pPr>
              <w:spacing w:line="360" w:lineRule="auto"/>
              <w:jc w:val="center"/>
              <w:rPr>
                <w:color w:val="auto"/>
                <w:w w:val="99"/>
                <w:highlight w:val="none"/>
              </w:rPr>
            </w:pPr>
          </w:p>
        </w:tc>
        <w:tc>
          <w:tcPr>
            <w:tcW w:w="807" w:type="dxa"/>
            <w:vMerge w:val="continue"/>
            <w:tcBorders>
              <w:right w:val="single" w:color="auto" w:sz="4" w:space="0"/>
            </w:tcBorders>
            <w:vAlign w:val="center"/>
          </w:tcPr>
          <w:p>
            <w:pPr>
              <w:spacing w:line="360" w:lineRule="auto"/>
              <w:jc w:val="center"/>
              <w:rPr>
                <w:color w:val="auto"/>
                <w:highlight w:val="none"/>
              </w:rPr>
            </w:pPr>
          </w:p>
        </w:tc>
        <w:tc>
          <w:tcPr>
            <w:tcW w:w="1950" w:type="dxa"/>
            <w:vMerge w:val="continue"/>
            <w:tcBorders>
              <w:left w:val="single" w:color="auto" w:sz="4" w:space="0"/>
              <w:right w:val="single" w:color="auto" w:sz="4" w:space="0"/>
            </w:tcBorders>
            <w:vAlign w:val="center"/>
          </w:tcPr>
          <w:p>
            <w:pPr>
              <w:spacing w:line="360" w:lineRule="auto"/>
              <w:jc w:val="center"/>
              <w:rPr>
                <w:color w:val="auto"/>
                <w:highlight w:val="none"/>
              </w:rPr>
            </w:pPr>
          </w:p>
        </w:tc>
        <w:tc>
          <w:tcPr>
            <w:tcW w:w="52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highlight w:val="none"/>
              </w:rPr>
            </w:pPr>
            <w:r>
              <w:rPr>
                <w:rFonts w:hint="eastAsia" w:ascii="宋体" w:hAnsi="宋体" w:cs="宋体"/>
                <w:color w:val="auto"/>
                <w:highlight w:val="none"/>
              </w:rPr>
              <w:t>培训方案（包括但不限于培训人数、培训时间、培训及考核办法），保证使用方能熟练操作的情况说明，描述无缺漏详细具体的计5分≥得分＞3分，描述无缺漏但不完整详尽的计3分≥得分＞2分，描述有缺漏且不完整详尽的计2分≥得分≥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68" w:type="dxa"/>
            <w:vMerge w:val="continue"/>
            <w:tcBorders>
              <w:right w:val="single" w:color="auto" w:sz="4" w:space="0"/>
            </w:tcBorders>
            <w:vAlign w:val="center"/>
          </w:tcPr>
          <w:p>
            <w:pPr>
              <w:spacing w:line="360" w:lineRule="auto"/>
              <w:jc w:val="center"/>
              <w:rPr>
                <w:color w:val="auto"/>
                <w:w w:val="99"/>
                <w:highlight w:val="none"/>
              </w:rPr>
            </w:pPr>
          </w:p>
        </w:tc>
        <w:tc>
          <w:tcPr>
            <w:tcW w:w="807" w:type="dxa"/>
            <w:vMerge w:val="continue"/>
            <w:tcBorders>
              <w:right w:val="single" w:color="auto" w:sz="4" w:space="0"/>
            </w:tcBorders>
            <w:vAlign w:val="center"/>
          </w:tcPr>
          <w:p>
            <w:pPr>
              <w:spacing w:line="360" w:lineRule="auto"/>
              <w:jc w:val="center"/>
              <w:rPr>
                <w:color w:val="auto"/>
                <w:highlight w:val="none"/>
              </w:rPr>
            </w:pPr>
          </w:p>
        </w:tc>
        <w:tc>
          <w:tcPr>
            <w:tcW w:w="1950" w:type="dxa"/>
            <w:vMerge w:val="continue"/>
            <w:tcBorders>
              <w:left w:val="single" w:color="auto" w:sz="4" w:space="0"/>
              <w:bottom w:val="single" w:color="auto" w:sz="4" w:space="0"/>
              <w:right w:val="single" w:color="auto" w:sz="4" w:space="0"/>
            </w:tcBorders>
            <w:vAlign w:val="center"/>
          </w:tcPr>
          <w:p>
            <w:pPr>
              <w:spacing w:line="360" w:lineRule="auto"/>
              <w:jc w:val="center"/>
              <w:rPr>
                <w:color w:val="auto"/>
                <w:highlight w:val="none"/>
              </w:rPr>
            </w:pPr>
          </w:p>
        </w:tc>
        <w:tc>
          <w:tcPr>
            <w:tcW w:w="52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highlight w:val="none"/>
              </w:rPr>
            </w:pPr>
            <w:r>
              <w:rPr>
                <w:rFonts w:hint="eastAsia" w:ascii="宋体" w:hAnsi="宋体" w:cs="宋体"/>
                <w:color w:val="auto"/>
                <w:highlight w:val="none"/>
              </w:rPr>
              <w:t>维护保养及应急方案，包括但不限于设备（产品）出现问题的及时处理，替换设备（产品）预案，不能影响及延误采购人的正常使用承诺，描述无缺漏详细具体的计7分≥得分＞5分，描述无缺漏但不完整详尽的计5分≥得分＞3分，描述有缺漏且不完整详尽的计3分≥得分≥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Pr>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2.2.4（3）</w:t>
            </w:r>
          </w:p>
        </w:tc>
        <w:tc>
          <w:tcPr>
            <w:tcW w:w="80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投标报价评分标准</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偏差率</w:t>
            </w:r>
          </w:p>
        </w:tc>
        <w:tc>
          <w:tcPr>
            <w:tcW w:w="5265" w:type="dxa"/>
            <w:tcBorders>
              <w:top w:val="single" w:color="auto" w:sz="4" w:space="0"/>
              <w:left w:val="single" w:color="auto" w:sz="4" w:space="0"/>
              <w:bottom w:val="single" w:color="auto" w:sz="4" w:space="0"/>
              <w:right w:val="single" w:color="auto" w:sz="4" w:space="0"/>
            </w:tcBorders>
          </w:tcPr>
          <w:p>
            <w:pPr>
              <w:spacing w:line="440" w:lineRule="exact"/>
              <w:rPr>
                <w:color w:val="auto"/>
                <w:highlight w:val="none"/>
              </w:rPr>
            </w:pPr>
            <w:r>
              <w:rPr>
                <w:color w:val="auto"/>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166" w:hRule="atLeast"/>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投标报价评分标准</w:t>
            </w:r>
          </w:p>
          <w:p>
            <w:pPr>
              <w:spacing w:line="360" w:lineRule="auto"/>
              <w:jc w:val="center"/>
              <w:rPr>
                <w:color w:val="auto"/>
                <w:highlight w:val="none"/>
              </w:rPr>
            </w:pPr>
            <w:r>
              <w:rPr>
                <w:color w:val="auto"/>
                <w:highlight w:val="none"/>
              </w:rPr>
              <w:t>（满分30分）</w:t>
            </w:r>
          </w:p>
        </w:tc>
        <w:tc>
          <w:tcPr>
            <w:tcW w:w="52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highlight w:val="none"/>
              </w:rPr>
            </w:pPr>
            <w:r>
              <w:rPr>
                <w:color w:val="auto"/>
                <w:highlight w:val="none"/>
              </w:rPr>
              <w:t>(评标基准价／评标价)×30</w:t>
            </w:r>
          </w:p>
          <w:p>
            <w:pPr>
              <w:spacing w:line="360" w:lineRule="auto"/>
              <w:jc w:val="left"/>
              <w:rPr>
                <w:color w:val="auto"/>
                <w:highlight w:val="none"/>
              </w:rPr>
            </w:pPr>
            <w:r>
              <w:rPr>
                <w:color w:val="auto"/>
                <w:highlight w:val="none"/>
              </w:rPr>
              <w:t>1、享受价格扣除的：评标价=投标报价*价格扣除</w:t>
            </w:r>
          </w:p>
          <w:p>
            <w:pPr>
              <w:spacing w:line="360" w:lineRule="auto"/>
              <w:jc w:val="left"/>
              <w:rPr>
                <w:color w:val="auto"/>
                <w:highlight w:val="none"/>
              </w:rPr>
            </w:pPr>
            <w:r>
              <w:rPr>
                <w:color w:val="auto"/>
                <w:highlight w:val="none"/>
              </w:rPr>
              <w:t>2、不享受价格扣除的：评标价=投标报价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698" w:hRule="atLeast"/>
        </w:trPr>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2.2.4（4）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其他因素评分标准</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政府采购政策</w:t>
            </w:r>
          </w:p>
          <w:p>
            <w:pPr>
              <w:spacing w:line="360" w:lineRule="auto"/>
              <w:jc w:val="center"/>
              <w:rPr>
                <w:color w:val="auto"/>
                <w:highlight w:val="none"/>
              </w:rPr>
            </w:pPr>
          </w:p>
        </w:tc>
        <w:tc>
          <w:tcPr>
            <w:tcW w:w="5265"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2"/>
                <w:highlight w:val="none"/>
              </w:rPr>
            </w:pPr>
            <w:r>
              <w:rPr>
                <w:color w:val="auto"/>
                <w:highlight w:val="none"/>
              </w:rPr>
              <w:t>1、符合招标文件规定的《政府采购促进中小企业发展暂行办法》价格给予10%的扣除</w:t>
            </w:r>
            <w:r>
              <w:rPr>
                <w:rFonts w:hint="eastAsia"/>
                <w:color w:val="auto"/>
                <w:highlight w:val="none"/>
              </w:rPr>
              <w:t>，</w:t>
            </w:r>
            <w:r>
              <w:rPr>
                <w:color w:val="auto"/>
                <w:highlight w:val="none"/>
              </w:rPr>
              <w:t>《关于政府采购支持监狱企业发展有关问题的通知》或《三部门联合发布关于促进残疾人就业政府采购政策的通知》的投标供应商，价格给予</w:t>
            </w:r>
            <w:r>
              <w:rPr>
                <w:rFonts w:hint="eastAsia"/>
                <w:color w:val="auto"/>
                <w:highlight w:val="none"/>
              </w:rPr>
              <w:t>10</w:t>
            </w:r>
            <w:r>
              <w:rPr>
                <w:color w:val="auto"/>
                <w:highlight w:val="none"/>
              </w:rPr>
              <w:t>%的扣除，用扣除后的价格参与评审，以上政</w:t>
            </w:r>
            <w:r>
              <w:rPr>
                <w:color w:val="auto"/>
                <w:szCs w:val="22"/>
                <w:highlight w:val="none"/>
              </w:rPr>
              <w:t>策同时具备的仅对其进行一次10%的价格扣除，不重复扣除。</w:t>
            </w:r>
          </w:p>
          <w:p>
            <w:pPr>
              <w:spacing w:line="360" w:lineRule="auto"/>
              <w:jc w:val="left"/>
              <w:rPr>
                <w:color w:val="auto"/>
                <w:highlight w:val="none"/>
              </w:rPr>
            </w:pPr>
            <w:r>
              <w:rPr>
                <w:color w:val="auto"/>
                <w:szCs w:val="22"/>
                <w:highlight w:val="none"/>
              </w:rPr>
              <w:t>2、所有投标产品具有国家节能产品认证且证书在有效期内或所有投标产品具有中国环境标志产品认证证书且在有效期内或所有投标产品具有国家强制采购节能产品认证证书且在有效期内的投标供应商或符合（财库[2019]27号）文件规定的，价格给予3%的扣除，用扣除后的价格参与评审，以上政策同时具备的仅对其进行一次3%的价格扣除，不重复扣除。</w:t>
            </w:r>
          </w:p>
        </w:tc>
      </w:tr>
    </w:tbl>
    <w:p>
      <w:pPr>
        <w:rPr>
          <w:b/>
          <w:color w:val="auto"/>
          <w:highlight w:val="none"/>
        </w:rPr>
      </w:pPr>
      <w:r>
        <w:rPr>
          <w:rFonts w:hint="eastAsia" w:ascii="宋体" w:hAnsi="宋体"/>
          <w:color w:val="auto"/>
          <w:highlight w:val="none"/>
        </w:rPr>
        <w:br w:type="page"/>
      </w:r>
      <w:r>
        <w:rPr>
          <w:b/>
          <w:color w:val="auto"/>
          <w:highlight w:val="none"/>
        </w:rPr>
        <w:t>1. 评标方法</w:t>
      </w:r>
    </w:p>
    <w:p>
      <w:pPr>
        <w:pStyle w:val="40"/>
        <w:spacing w:line="360" w:lineRule="auto"/>
        <w:ind w:firstLine="420" w:firstLineChars="200"/>
        <w:rPr>
          <w:b/>
          <w:bCs/>
          <w:color w:val="auto"/>
          <w:highlight w:val="none"/>
        </w:rPr>
      </w:pPr>
      <w:r>
        <w:rPr>
          <w:color w:val="auto"/>
          <w:highlight w:val="none"/>
        </w:rPr>
        <w:t>1.1 本次评标采用综合评分法。评标委员会对满足招标文件实质性要求的投标文件，按照本章规定的评分标准进行打分，并按得分由高到低顺序推荐中标候选人，或根据采购人授权直接确定</w:t>
      </w:r>
      <w:r>
        <w:rPr>
          <w:rFonts w:hint="eastAsia"/>
          <w:color w:val="auto"/>
          <w:highlight w:val="none"/>
        </w:rPr>
        <w:t>中标供应商</w:t>
      </w:r>
      <w:r>
        <w:rPr>
          <w:color w:val="auto"/>
          <w:highlight w:val="none"/>
        </w:rPr>
        <w:t>，但投标报价低于其成本的除外。综合评分相等时，以投标报价低的优先；投标报价也相等的，以技术得分高的优先；如果技术得分也相等，按照评标办法前附表的规定确定中标候选人顺序。</w:t>
      </w:r>
    </w:p>
    <w:p>
      <w:pPr>
        <w:spacing w:line="360" w:lineRule="auto"/>
        <w:ind w:firstLine="420" w:firstLineChars="200"/>
        <w:rPr>
          <w:color w:val="auto"/>
          <w:highlight w:val="none"/>
        </w:rPr>
      </w:pPr>
      <w:bookmarkStart w:id="27" w:name="_Toc269407650"/>
      <w:r>
        <w:rPr>
          <w:color w:val="auto"/>
          <w:highlight w:val="none"/>
        </w:rPr>
        <w:t>1.2 投标截止时间结束后参加投标的投标供应商不足三家的或评标期间出现合格投标供应商不足三家情形的，除采购任务取消的，采购人应重新组织招标。</w:t>
      </w:r>
      <w:bookmarkEnd w:id="27"/>
    </w:p>
    <w:p>
      <w:pPr>
        <w:spacing w:line="360" w:lineRule="auto"/>
        <w:ind w:firstLine="420" w:firstLineChars="200"/>
        <w:rPr>
          <w:color w:val="auto"/>
          <w:highlight w:val="none"/>
        </w:rPr>
      </w:pPr>
      <w:r>
        <w:rPr>
          <w:color w:val="auto"/>
          <w:highlight w:val="none"/>
        </w:rPr>
        <w:t xml:space="preserve">1.3 </w:t>
      </w:r>
      <w:r>
        <w:rPr>
          <w:rFonts w:hint="eastAsia"/>
          <w:color w:val="auto"/>
          <w:highlight w:val="none"/>
        </w:rPr>
        <w:t>中标供应商</w:t>
      </w:r>
      <w:r>
        <w:rPr>
          <w:color w:val="auto"/>
          <w:highlight w:val="none"/>
        </w:rPr>
        <w:t>确定后，</w:t>
      </w:r>
      <w:r>
        <w:rPr>
          <w:rFonts w:hint="eastAsia"/>
          <w:color w:val="auto"/>
          <w:highlight w:val="none"/>
        </w:rPr>
        <w:t>中标供应商</w:t>
      </w:r>
      <w:r>
        <w:rPr>
          <w:color w:val="auto"/>
          <w:highlight w:val="none"/>
        </w:rPr>
        <w:t>无正当理由拖延或拒签合同的，其中标资格将被取消，并按评审顺序重新确定</w:t>
      </w:r>
      <w:r>
        <w:rPr>
          <w:rFonts w:hint="eastAsia"/>
          <w:color w:val="auto"/>
          <w:highlight w:val="none"/>
        </w:rPr>
        <w:t>中标供应商</w:t>
      </w:r>
      <w:r>
        <w:rPr>
          <w:color w:val="auto"/>
          <w:highlight w:val="none"/>
        </w:rPr>
        <w:t>或按照相关规定执行，同时报请陕西省财政厅通报，取消其进入政府采购市场的资格，并按规定予以处罚，采购人有权没收其投标保证金。</w:t>
      </w:r>
    </w:p>
    <w:p>
      <w:pPr>
        <w:spacing w:line="360" w:lineRule="auto"/>
        <w:jc w:val="left"/>
        <w:rPr>
          <w:b/>
          <w:color w:val="auto"/>
          <w:highlight w:val="none"/>
        </w:rPr>
      </w:pPr>
      <w:r>
        <w:rPr>
          <w:b/>
          <w:color w:val="auto"/>
          <w:highlight w:val="none"/>
        </w:rPr>
        <w:t>2. 评审标准</w:t>
      </w:r>
    </w:p>
    <w:p>
      <w:pPr>
        <w:spacing w:line="360" w:lineRule="auto"/>
        <w:jc w:val="left"/>
        <w:rPr>
          <w:color w:val="auto"/>
          <w:highlight w:val="none"/>
        </w:rPr>
      </w:pPr>
      <w:r>
        <w:rPr>
          <w:color w:val="auto"/>
          <w:highlight w:val="none"/>
        </w:rPr>
        <w:t>2.1 初步评审标准</w:t>
      </w:r>
    </w:p>
    <w:p>
      <w:pPr>
        <w:spacing w:line="360" w:lineRule="auto"/>
        <w:ind w:firstLine="420" w:firstLineChars="200"/>
        <w:jc w:val="left"/>
        <w:rPr>
          <w:color w:val="auto"/>
          <w:highlight w:val="none"/>
        </w:rPr>
      </w:pPr>
      <w:r>
        <w:rPr>
          <w:color w:val="auto"/>
          <w:highlight w:val="none"/>
        </w:rPr>
        <w:t>2.1.1 形式评审标准：见评标办法前附表。</w:t>
      </w:r>
    </w:p>
    <w:p>
      <w:pPr>
        <w:spacing w:line="360" w:lineRule="auto"/>
        <w:ind w:firstLine="420" w:firstLineChars="200"/>
        <w:jc w:val="left"/>
        <w:rPr>
          <w:color w:val="auto"/>
          <w:highlight w:val="none"/>
        </w:rPr>
      </w:pPr>
      <w:r>
        <w:rPr>
          <w:color w:val="auto"/>
          <w:highlight w:val="none"/>
        </w:rPr>
        <w:t>2.1.2 资格评审标准：见评标办法前附表。</w:t>
      </w:r>
    </w:p>
    <w:p>
      <w:pPr>
        <w:spacing w:line="360" w:lineRule="auto"/>
        <w:ind w:firstLine="420" w:firstLineChars="200"/>
        <w:jc w:val="left"/>
        <w:rPr>
          <w:color w:val="auto"/>
          <w:highlight w:val="none"/>
        </w:rPr>
      </w:pPr>
      <w:r>
        <w:rPr>
          <w:color w:val="auto"/>
          <w:highlight w:val="none"/>
        </w:rPr>
        <w:t>2.1.3 响应性评审标准：见评标办法前附表。</w:t>
      </w:r>
    </w:p>
    <w:p>
      <w:pPr>
        <w:spacing w:line="360" w:lineRule="auto"/>
        <w:jc w:val="left"/>
        <w:rPr>
          <w:color w:val="auto"/>
          <w:highlight w:val="none"/>
        </w:rPr>
      </w:pPr>
      <w:r>
        <w:rPr>
          <w:color w:val="auto"/>
          <w:highlight w:val="none"/>
        </w:rPr>
        <w:t>2.2 分值构成与评分标准</w:t>
      </w:r>
    </w:p>
    <w:p>
      <w:pPr>
        <w:spacing w:line="360" w:lineRule="auto"/>
        <w:ind w:firstLine="420" w:firstLineChars="200"/>
        <w:jc w:val="left"/>
        <w:rPr>
          <w:color w:val="auto"/>
          <w:highlight w:val="none"/>
        </w:rPr>
      </w:pPr>
      <w:r>
        <w:rPr>
          <w:color w:val="auto"/>
          <w:highlight w:val="none"/>
        </w:rPr>
        <w:t>2.2.1 分值构成</w:t>
      </w:r>
    </w:p>
    <w:p>
      <w:pPr>
        <w:spacing w:line="360" w:lineRule="auto"/>
        <w:ind w:firstLine="420" w:firstLineChars="200"/>
        <w:jc w:val="left"/>
        <w:rPr>
          <w:color w:val="auto"/>
          <w:highlight w:val="none"/>
        </w:rPr>
      </w:pPr>
      <w:r>
        <w:rPr>
          <w:color w:val="auto"/>
          <w:highlight w:val="none"/>
        </w:rPr>
        <w:t>（1）商务部分：见评标办法前附表；</w:t>
      </w:r>
    </w:p>
    <w:p>
      <w:pPr>
        <w:spacing w:line="360" w:lineRule="auto"/>
        <w:ind w:firstLine="420" w:firstLineChars="200"/>
        <w:jc w:val="left"/>
        <w:rPr>
          <w:color w:val="auto"/>
          <w:highlight w:val="none"/>
        </w:rPr>
      </w:pPr>
      <w:r>
        <w:rPr>
          <w:color w:val="auto"/>
          <w:highlight w:val="none"/>
        </w:rPr>
        <w:t>（2）技术部分：见评标办法前附表；</w:t>
      </w:r>
    </w:p>
    <w:p>
      <w:pPr>
        <w:spacing w:line="360" w:lineRule="auto"/>
        <w:ind w:firstLine="420" w:firstLineChars="200"/>
        <w:jc w:val="left"/>
        <w:rPr>
          <w:color w:val="auto"/>
          <w:highlight w:val="none"/>
        </w:rPr>
      </w:pPr>
      <w:r>
        <w:rPr>
          <w:color w:val="auto"/>
          <w:highlight w:val="none"/>
        </w:rPr>
        <w:t>（3）投标报价：见评标办法前附表；</w:t>
      </w:r>
    </w:p>
    <w:p>
      <w:pPr>
        <w:spacing w:line="360" w:lineRule="auto"/>
        <w:ind w:firstLine="420" w:firstLineChars="200"/>
        <w:jc w:val="left"/>
        <w:rPr>
          <w:color w:val="auto"/>
          <w:highlight w:val="none"/>
        </w:rPr>
      </w:pPr>
      <w:r>
        <w:rPr>
          <w:color w:val="auto"/>
          <w:highlight w:val="none"/>
        </w:rPr>
        <w:t>（4）其他评分因素：见评标办法前附表。</w:t>
      </w:r>
    </w:p>
    <w:p>
      <w:pPr>
        <w:spacing w:line="360" w:lineRule="auto"/>
        <w:ind w:firstLine="420" w:firstLineChars="200"/>
        <w:jc w:val="left"/>
        <w:rPr>
          <w:color w:val="auto"/>
          <w:highlight w:val="none"/>
        </w:rPr>
      </w:pPr>
      <w:r>
        <w:rPr>
          <w:color w:val="auto"/>
          <w:highlight w:val="none"/>
        </w:rPr>
        <w:t>2.2.2 评标基准价计算</w:t>
      </w:r>
    </w:p>
    <w:p>
      <w:pPr>
        <w:spacing w:line="360" w:lineRule="auto"/>
        <w:ind w:firstLine="420" w:firstLineChars="200"/>
        <w:jc w:val="left"/>
        <w:rPr>
          <w:color w:val="auto"/>
          <w:highlight w:val="none"/>
        </w:rPr>
      </w:pPr>
      <w:r>
        <w:rPr>
          <w:color w:val="auto"/>
          <w:highlight w:val="none"/>
        </w:rPr>
        <w:t>评标基准价计算方法：见评标办法前附表。</w:t>
      </w:r>
    </w:p>
    <w:p>
      <w:pPr>
        <w:spacing w:line="360" w:lineRule="auto"/>
        <w:ind w:firstLine="420" w:firstLineChars="200"/>
        <w:jc w:val="left"/>
        <w:rPr>
          <w:color w:val="auto"/>
          <w:highlight w:val="none"/>
        </w:rPr>
      </w:pPr>
      <w:r>
        <w:rPr>
          <w:color w:val="auto"/>
          <w:highlight w:val="none"/>
        </w:rPr>
        <w:t>2.2.3 投标报价的偏差率计算</w:t>
      </w:r>
    </w:p>
    <w:p>
      <w:pPr>
        <w:spacing w:line="360" w:lineRule="auto"/>
        <w:ind w:firstLine="420" w:firstLineChars="200"/>
        <w:jc w:val="left"/>
        <w:rPr>
          <w:color w:val="auto"/>
          <w:highlight w:val="none"/>
        </w:rPr>
      </w:pPr>
      <w:r>
        <w:rPr>
          <w:color w:val="auto"/>
          <w:highlight w:val="none"/>
        </w:rPr>
        <w:t>投标报价的偏差率计算公式：见评标办法前附表。</w:t>
      </w:r>
    </w:p>
    <w:p>
      <w:pPr>
        <w:spacing w:line="360" w:lineRule="auto"/>
        <w:ind w:firstLine="420" w:firstLineChars="200"/>
        <w:jc w:val="left"/>
        <w:rPr>
          <w:color w:val="auto"/>
          <w:highlight w:val="none"/>
        </w:rPr>
      </w:pPr>
      <w:r>
        <w:rPr>
          <w:color w:val="auto"/>
          <w:highlight w:val="none"/>
        </w:rPr>
        <w:t>2.2.4 评分标准</w:t>
      </w:r>
    </w:p>
    <w:p>
      <w:pPr>
        <w:spacing w:line="360" w:lineRule="auto"/>
        <w:ind w:firstLine="420" w:firstLineChars="200"/>
        <w:jc w:val="left"/>
        <w:rPr>
          <w:color w:val="auto"/>
          <w:highlight w:val="none"/>
        </w:rPr>
      </w:pPr>
      <w:r>
        <w:rPr>
          <w:color w:val="auto"/>
          <w:highlight w:val="none"/>
        </w:rPr>
        <w:t>（1）商务评分标准：见评标办法前附表；</w:t>
      </w:r>
    </w:p>
    <w:p>
      <w:pPr>
        <w:spacing w:line="360" w:lineRule="auto"/>
        <w:ind w:firstLine="420" w:firstLineChars="200"/>
        <w:jc w:val="left"/>
        <w:rPr>
          <w:color w:val="auto"/>
          <w:highlight w:val="none"/>
        </w:rPr>
      </w:pPr>
      <w:r>
        <w:rPr>
          <w:color w:val="auto"/>
          <w:highlight w:val="none"/>
        </w:rPr>
        <w:t>（2）技术评分标准：见评标办法前附表；</w:t>
      </w:r>
    </w:p>
    <w:p>
      <w:pPr>
        <w:spacing w:line="360" w:lineRule="auto"/>
        <w:ind w:firstLine="420" w:firstLineChars="200"/>
        <w:jc w:val="left"/>
        <w:rPr>
          <w:color w:val="auto"/>
          <w:highlight w:val="none"/>
        </w:rPr>
      </w:pPr>
      <w:r>
        <w:rPr>
          <w:color w:val="auto"/>
          <w:highlight w:val="none"/>
        </w:rPr>
        <w:t>（3）投标报价评分标准：见评标办法前附表；</w:t>
      </w:r>
    </w:p>
    <w:p>
      <w:pPr>
        <w:spacing w:line="360" w:lineRule="auto"/>
        <w:ind w:firstLine="420" w:firstLineChars="200"/>
        <w:jc w:val="left"/>
        <w:rPr>
          <w:color w:val="auto"/>
          <w:highlight w:val="none"/>
        </w:rPr>
      </w:pPr>
      <w:r>
        <w:rPr>
          <w:color w:val="auto"/>
          <w:highlight w:val="none"/>
        </w:rPr>
        <w:t>（4）其他因素评分标准：见评标办法前附表。</w:t>
      </w:r>
    </w:p>
    <w:p>
      <w:pPr>
        <w:spacing w:line="360" w:lineRule="auto"/>
        <w:jc w:val="left"/>
        <w:rPr>
          <w:b/>
          <w:color w:val="auto"/>
          <w:highlight w:val="none"/>
        </w:rPr>
      </w:pPr>
      <w:r>
        <w:rPr>
          <w:b/>
          <w:color w:val="auto"/>
          <w:highlight w:val="none"/>
        </w:rPr>
        <w:t>3. 评标程序</w:t>
      </w:r>
    </w:p>
    <w:p>
      <w:pPr>
        <w:spacing w:line="360" w:lineRule="auto"/>
        <w:jc w:val="left"/>
        <w:rPr>
          <w:color w:val="auto"/>
          <w:highlight w:val="none"/>
        </w:rPr>
      </w:pPr>
      <w:r>
        <w:rPr>
          <w:color w:val="auto"/>
          <w:highlight w:val="none"/>
        </w:rPr>
        <w:t>3.1 初步评审</w:t>
      </w:r>
    </w:p>
    <w:p>
      <w:pPr>
        <w:spacing w:line="360" w:lineRule="auto"/>
        <w:ind w:firstLine="420" w:firstLineChars="200"/>
        <w:jc w:val="left"/>
        <w:rPr>
          <w:color w:val="auto"/>
          <w:highlight w:val="none"/>
        </w:rPr>
      </w:pPr>
      <w:r>
        <w:rPr>
          <w:color w:val="auto"/>
          <w:highlight w:val="none"/>
        </w:rPr>
        <w:t>3.1.1 评标委员会可以要求投标供应商提交第二章“投标供应商须知”规定的有关证明和证件的原件，以便核验。评标委员会依据本章规定的标准对投标文件进行初步评审（形式评审、响应性评审），采购人（采购代理机构）依据本章规定的标准对投标文件进行初步评审（资格评审）。有一项不符合评审标准的，评标委员会应当否决其投标。</w:t>
      </w:r>
    </w:p>
    <w:p>
      <w:pPr>
        <w:spacing w:line="360" w:lineRule="auto"/>
        <w:ind w:firstLine="420" w:firstLineChars="200"/>
        <w:jc w:val="left"/>
        <w:rPr>
          <w:color w:val="auto"/>
          <w:highlight w:val="none"/>
        </w:rPr>
      </w:pPr>
      <w:r>
        <w:rPr>
          <w:color w:val="auto"/>
          <w:highlight w:val="none"/>
        </w:rPr>
        <w:t>3.1.2 投标报价有算术错误及其他错误的，评标委员会按以下原则要求投标供应商对投标报价进行修正，并要求投标供应商书面澄清确认。投标供应商拒不澄清确认的，评标委员会应当否决其投标：</w:t>
      </w:r>
    </w:p>
    <w:p>
      <w:pPr>
        <w:spacing w:line="360" w:lineRule="auto"/>
        <w:ind w:firstLine="420" w:firstLineChars="200"/>
        <w:jc w:val="left"/>
        <w:rPr>
          <w:color w:val="auto"/>
          <w:highlight w:val="none"/>
        </w:rPr>
      </w:pPr>
      <w:r>
        <w:rPr>
          <w:color w:val="auto"/>
          <w:highlight w:val="none"/>
        </w:rPr>
        <w:t>（1）投标文件中的大写金额与小写金额不一致的，以大写金额为准；</w:t>
      </w:r>
    </w:p>
    <w:p>
      <w:pPr>
        <w:spacing w:line="360" w:lineRule="auto"/>
        <w:ind w:firstLine="420" w:firstLineChars="200"/>
        <w:jc w:val="left"/>
        <w:rPr>
          <w:color w:val="auto"/>
          <w:highlight w:val="none"/>
        </w:rPr>
      </w:pPr>
      <w:r>
        <w:rPr>
          <w:color w:val="auto"/>
          <w:highlight w:val="none"/>
        </w:rPr>
        <w:t>（2）总价金额与单价金额不一致的，以单价金额为准，但单价金额小数点有明显错误的除外；</w:t>
      </w:r>
    </w:p>
    <w:p>
      <w:pPr>
        <w:spacing w:line="360" w:lineRule="auto"/>
        <w:ind w:firstLine="420" w:firstLineChars="200"/>
        <w:jc w:val="left"/>
        <w:rPr>
          <w:color w:val="auto"/>
          <w:highlight w:val="none"/>
        </w:rPr>
      </w:pPr>
      <w:r>
        <w:rPr>
          <w:color w:val="auto"/>
          <w:highlight w:val="none"/>
        </w:rPr>
        <w:t>（3）投标报价为各分项报价金额之和，投标报价与分项报价的合价不一致的，应以各分项合价累计数为准，修正投标报价。</w:t>
      </w:r>
    </w:p>
    <w:p>
      <w:pPr>
        <w:spacing w:line="360" w:lineRule="auto"/>
        <w:jc w:val="left"/>
        <w:rPr>
          <w:color w:val="auto"/>
          <w:highlight w:val="none"/>
        </w:rPr>
      </w:pPr>
      <w:r>
        <w:rPr>
          <w:color w:val="auto"/>
          <w:highlight w:val="none"/>
        </w:rPr>
        <w:t>3.2 详细评审</w:t>
      </w:r>
    </w:p>
    <w:p>
      <w:pPr>
        <w:spacing w:line="360" w:lineRule="auto"/>
        <w:ind w:firstLine="420" w:firstLineChars="200"/>
        <w:jc w:val="left"/>
        <w:rPr>
          <w:color w:val="auto"/>
          <w:highlight w:val="none"/>
        </w:rPr>
      </w:pPr>
      <w:r>
        <w:rPr>
          <w:color w:val="auto"/>
          <w:highlight w:val="none"/>
        </w:rPr>
        <w:t>3.2.1 评标委员会按本章规定的量化因素和分值进行打分，并计算出综合评估得分。</w:t>
      </w:r>
    </w:p>
    <w:p>
      <w:pPr>
        <w:spacing w:line="360" w:lineRule="auto"/>
        <w:ind w:firstLine="420" w:firstLineChars="200"/>
        <w:jc w:val="left"/>
        <w:rPr>
          <w:color w:val="auto"/>
          <w:highlight w:val="none"/>
        </w:rPr>
      </w:pPr>
      <w:r>
        <w:rPr>
          <w:color w:val="auto"/>
          <w:highlight w:val="none"/>
        </w:rPr>
        <w:t>（1）按本章规定的评审因素和分值对商务部分计算出得分A；</w:t>
      </w:r>
    </w:p>
    <w:p>
      <w:pPr>
        <w:spacing w:line="360" w:lineRule="auto"/>
        <w:ind w:firstLine="420" w:firstLineChars="200"/>
        <w:jc w:val="left"/>
        <w:rPr>
          <w:color w:val="auto"/>
          <w:highlight w:val="none"/>
        </w:rPr>
      </w:pPr>
      <w:r>
        <w:rPr>
          <w:color w:val="auto"/>
          <w:highlight w:val="none"/>
        </w:rPr>
        <w:t>（2）按本章规定的评审因素和分值对技术部分计算出得分B；</w:t>
      </w:r>
    </w:p>
    <w:p>
      <w:pPr>
        <w:spacing w:line="360" w:lineRule="auto"/>
        <w:ind w:firstLine="420" w:firstLineChars="200"/>
        <w:jc w:val="left"/>
        <w:rPr>
          <w:color w:val="auto"/>
          <w:highlight w:val="none"/>
        </w:rPr>
      </w:pPr>
      <w:r>
        <w:rPr>
          <w:color w:val="auto"/>
          <w:highlight w:val="none"/>
        </w:rPr>
        <w:t>（3）按本章规定的评审因素和分值对投标报价计算出得分C；</w:t>
      </w:r>
    </w:p>
    <w:p>
      <w:pPr>
        <w:spacing w:line="360" w:lineRule="auto"/>
        <w:ind w:firstLine="420" w:firstLineChars="200"/>
        <w:jc w:val="left"/>
        <w:rPr>
          <w:color w:val="auto"/>
          <w:highlight w:val="none"/>
        </w:rPr>
      </w:pPr>
      <w:r>
        <w:rPr>
          <w:color w:val="auto"/>
          <w:highlight w:val="none"/>
        </w:rPr>
        <w:t>（4）按本章规定的评审因素和分值对其他部分计算出得分D。</w:t>
      </w:r>
    </w:p>
    <w:p>
      <w:pPr>
        <w:spacing w:line="360" w:lineRule="auto"/>
        <w:ind w:firstLine="420" w:firstLineChars="200"/>
        <w:jc w:val="left"/>
        <w:rPr>
          <w:color w:val="auto"/>
          <w:highlight w:val="none"/>
        </w:rPr>
      </w:pPr>
      <w:r>
        <w:rPr>
          <w:color w:val="auto"/>
          <w:highlight w:val="none"/>
        </w:rPr>
        <w:t>3.2.2 评分分值计算保留小数点后两位，小数点后第三位“四舍五入”。</w:t>
      </w:r>
    </w:p>
    <w:p>
      <w:pPr>
        <w:spacing w:line="360" w:lineRule="auto"/>
        <w:ind w:firstLine="420" w:firstLineChars="200"/>
        <w:jc w:val="left"/>
        <w:rPr>
          <w:color w:val="auto"/>
          <w:highlight w:val="none"/>
        </w:rPr>
      </w:pPr>
      <w:r>
        <w:rPr>
          <w:color w:val="auto"/>
          <w:highlight w:val="none"/>
        </w:rPr>
        <w:t>3.2.3 投标供应商得分=A+B+C+D。</w:t>
      </w:r>
    </w:p>
    <w:p>
      <w:pPr>
        <w:spacing w:line="360" w:lineRule="auto"/>
        <w:ind w:firstLine="420" w:firstLineChars="200"/>
        <w:jc w:val="left"/>
        <w:rPr>
          <w:color w:val="auto"/>
          <w:highlight w:val="none"/>
        </w:rPr>
      </w:pPr>
      <w:r>
        <w:rPr>
          <w:color w:val="auto"/>
          <w:highlight w:val="none"/>
        </w:rPr>
        <w:t>3.2.4 评标委员会发现投标供应商的报价明显低于其他通过初步审查的投标供应商的报价，使得其报价可能低于其个别成本的，有可能影响产品质量或者不能诚信履约的，应当要求该投标供应商现场合理的时间内作出书面说明并提供相应的证明材料。投标供应商不能合理说明或者不能提供相应证明材料证明其报价合理的，评标委员会应当认定该投标供应商以低于成本报价竞标，将其作为无效投标处理。</w:t>
      </w:r>
    </w:p>
    <w:p>
      <w:pPr>
        <w:spacing w:line="360" w:lineRule="auto"/>
        <w:jc w:val="left"/>
        <w:rPr>
          <w:color w:val="auto"/>
          <w:highlight w:val="none"/>
        </w:rPr>
      </w:pPr>
      <w:r>
        <w:rPr>
          <w:color w:val="auto"/>
          <w:highlight w:val="none"/>
        </w:rPr>
        <w:t>3.3 投标文件的澄清</w:t>
      </w:r>
    </w:p>
    <w:p>
      <w:pPr>
        <w:spacing w:line="360" w:lineRule="auto"/>
        <w:ind w:firstLine="420" w:firstLineChars="200"/>
        <w:jc w:val="left"/>
        <w:rPr>
          <w:color w:val="auto"/>
          <w:highlight w:val="none"/>
        </w:rPr>
      </w:pPr>
      <w:r>
        <w:rPr>
          <w:color w:val="auto"/>
          <w:highlight w:val="none"/>
        </w:rPr>
        <w:t>3.3.1 在评标过程中，评标委员会可以书面形式要求投标供应商对投标文件中含义不明确、对同类问题表述不一致或者有明显文字和计算错误的内容作必要的澄清、说明或补正。澄清、说明或补正应以书面方式进行。评标委员会不接受投标供应商主动提出的澄清、说明或补正。</w:t>
      </w:r>
    </w:p>
    <w:p>
      <w:pPr>
        <w:spacing w:line="360" w:lineRule="auto"/>
        <w:ind w:firstLine="420" w:firstLineChars="200"/>
        <w:jc w:val="left"/>
        <w:rPr>
          <w:color w:val="auto"/>
          <w:highlight w:val="none"/>
        </w:rPr>
      </w:pPr>
      <w:r>
        <w:rPr>
          <w:color w:val="auto"/>
          <w:highlight w:val="none"/>
        </w:rPr>
        <w:t>3.3.2 澄清、说明或补正不得超出投标文件的范围且不得改变投标文件的实质性内容，并构成投标文件的组成部分。</w:t>
      </w:r>
    </w:p>
    <w:p>
      <w:pPr>
        <w:spacing w:line="360" w:lineRule="auto"/>
        <w:ind w:firstLine="420" w:firstLineChars="200"/>
        <w:jc w:val="left"/>
        <w:rPr>
          <w:color w:val="auto"/>
          <w:highlight w:val="none"/>
        </w:rPr>
      </w:pPr>
      <w:r>
        <w:rPr>
          <w:color w:val="auto"/>
          <w:highlight w:val="none"/>
        </w:rPr>
        <w:t>3.3.3 评标委员会对投标供应商提交的澄清、说明或补正有疑问的，可以要求投标供应商进一步澄清、说明或补正，直至满足评标委员会的要求。</w:t>
      </w:r>
    </w:p>
    <w:p>
      <w:pPr>
        <w:spacing w:line="360" w:lineRule="auto"/>
        <w:jc w:val="left"/>
        <w:rPr>
          <w:color w:val="auto"/>
          <w:highlight w:val="none"/>
        </w:rPr>
      </w:pPr>
      <w:r>
        <w:rPr>
          <w:color w:val="auto"/>
          <w:highlight w:val="none"/>
        </w:rPr>
        <w:t>3.4 评标结果</w:t>
      </w:r>
    </w:p>
    <w:p>
      <w:pPr>
        <w:spacing w:line="360" w:lineRule="auto"/>
        <w:ind w:firstLine="420" w:firstLineChars="200"/>
        <w:jc w:val="left"/>
        <w:rPr>
          <w:bCs/>
          <w:color w:val="auto"/>
          <w:sz w:val="24"/>
          <w:szCs w:val="24"/>
          <w:highlight w:val="none"/>
        </w:rPr>
      </w:pPr>
      <w:r>
        <w:rPr>
          <w:color w:val="auto"/>
          <w:highlight w:val="none"/>
        </w:rPr>
        <w:t>3.4.1 核心产品提供相同品牌产品且通过资格审查、符合性审查的不同投标供应商参加同1包投标的，按一家投标供应商计算，评审后得分最高的同品牌供应投标供应商获得中标候选投标供应商推荐资格；评审得分相同的，由采购人自行确定一个投标供应商获得中标候选人推荐资格，其他同品牌投标供应商不作为中标候选人。</w:t>
      </w:r>
    </w:p>
    <w:p>
      <w:pPr>
        <w:spacing w:line="360" w:lineRule="auto"/>
        <w:ind w:firstLine="420" w:firstLineChars="200"/>
        <w:jc w:val="left"/>
        <w:rPr>
          <w:color w:val="auto"/>
          <w:highlight w:val="none"/>
        </w:rPr>
      </w:pPr>
      <w:r>
        <w:rPr>
          <w:color w:val="auto"/>
          <w:highlight w:val="none"/>
        </w:rPr>
        <w:t>非单一产品采购项目，多家投标供应商提供的核心产品品牌相同的，按以上规定处理。</w:t>
      </w:r>
    </w:p>
    <w:p>
      <w:pPr>
        <w:spacing w:line="360" w:lineRule="auto"/>
        <w:ind w:firstLine="420" w:firstLineChars="200"/>
        <w:jc w:val="left"/>
        <w:rPr>
          <w:color w:val="auto"/>
          <w:highlight w:val="none"/>
        </w:rPr>
      </w:pPr>
      <w:r>
        <w:rPr>
          <w:color w:val="auto"/>
          <w:highlight w:val="none"/>
        </w:rPr>
        <w:t>3.4.2 除第二章“投标供应商须知”前附表授权直接确定</w:t>
      </w:r>
      <w:r>
        <w:rPr>
          <w:rFonts w:hint="eastAsia"/>
          <w:color w:val="auto"/>
          <w:highlight w:val="none"/>
        </w:rPr>
        <w:t>中标供应商</w:t>
      </w:r>
      <w:r>
        <w:rPr>
          <w:color w:val="auto"/>
          <w:highlight w:val="none"/>
        </w:rPr>
        <w:t>外，评标委员会按照得分由高到低的顺序推荐中标候选人，并标明排名。</w:t>
      </w:r>
    </w:p>
    <w:p>
      <w:pPr>
        <w:spacing w:line="360" w:lineRule="auto"/>
        <w:ind w:firstLine="420" w:firstLineChars="200"/>
        <w:jc w:val="left"/>
        <w:rPr>
          <w:color w:val="auto"/>
          <w:highlight w:val="none"/>
        </w:rPr>
      </w:pPr>
      <w:r>
        <w:rPr>
          <w:color w:val="auto"/>
          <w:highlight w:val="none"/>
        </w:rPr>
        <w:t>3.4.3 评标委员会完成评标后，应当向采购人提交书面评标报告和中标候选人名单。</w:t>
      </w:r>
    </w:p>
    <w:p>
      <w:pPr>
        <w:spacing w:line="360" w:lineRule="auto"/>
        <w:ind w:firstLine="420" w:firstLineChars="200"/>
        <w:jc w:val="left"/>
        <w:rPr>
          <w:color w:val="auto"/>
          <w:highlight w:val="none"/>
        </w:rPr>
      </w:pPr>
      <w:r>
        <w:rPr>
          <w:color w:val="auto"/>
          <w:highlight w:val="none"/>
        </w:rPr>
        <w:t>3.4.4 评标过程及评标报告由</w:t>
      </w:r>
      <w:r>
        <w:rPr>
          <w:rFonts w:hint="eastAsia"/>
          <w:color w:val="auto"/>
          <w:highlight w:val="none"/>
        </w:rPr>
        <w:t>陕西省财政厅</w:t>
      </w:r>
      <w:r>
        <w:rPr>
          <w:color w:val="auto"/>
          <w:highlight w:val="none"/>
        </w:rPr>
        <w:t>监管。</w:t>
      </w:r>
    </w:p>
    <w:p>
      <w:pPr>
        <w:pStyle w:val="40"/>
        <w:rPr>
          <w:color w:val="auto"/>
          <w:highlight w:val="none"/>
        </w:rPr>
      </w:pPr>
      <w:r>
        <w:rPr>
          <w:color w:val="auto"/>
          <w:highlight w:val="none"/>
        </w:rPr>
        <w:t>3.5 其他</w:t>
      </w:r>
    </w:p>
    <w:p>
      <w:pPr>
        <w:spacing w:line="450" w:lineRule="exact"/>
        <w:ind w:firstLine="420" w:firstLineChars="200"/>
        <w:rPr>
          <w:color w:val="auto"/>
          <w:szCs w:val="22"/>
          <w:highlight w:val="none"/>
        </w:rPr>
        <w:sectPr>
          <w:footerReference r:id="rId5" w:type="default"/>
          <w:pgSz w:w="11906" w:h="16838"/>
          <w:pgMar w:top="1361" w:right="1644" w:bottom="1361" w:left="1644" w:header="720" w:footer="720" w:gutter="0"/>
          <w:cols w:space="720" w:num="1"/>
          <w:docGrid w:type="lines" w:linePitch="312" w:charSpace="0"/>
        </w:sectPr>
      </w:pPr>
      <w:r>
        <w:rPr>
          <w:color w:val="auto"/>
          <w:szCs w:val="22"/>
          <w:highlight w:val="none"/>
        </w:rPr>
        <w:t>评标过程中，若出现特殊情况时，由评标委员会决定暂停评标的，应提出具体处理意见。</w:t>
      </w:r>
    </w:p>
    <w:p>
      <w:pPr>
        <w:pStyle w:val="3"/>
        <w:jc w:val="center"/>
        <w:rPr>
          <w:rFonts w:ascii="宋体" w:hAnsi="宋体" w:cs="宋体"/>
          <w:color w:val="auto"/>
          <w:sz w:val="32"/>
          <w:szCs w:val="32"/>
          <w:highlight w:val="none"/>
        </w:rPr>
      </w:pPr>
      <w:bookmarkStart w:id="28" w:name="_Toc108168985"/>
      <w:bookmarkStart w:id="29" w:name="_Toc13874"/>
      <w:bookmarkStart w:id="30" w:name="_Toc23495"/>
      <w:r>
        <w:rPr>
          <w:rFonts w:hint="eastAsia" w:ascii="宋体" w:hAnsi="宋体" w:cs="宋体"/>
          <w:color w:val="auto"/>
          <w:sz w:val="32"/>
          <w:szCs w:val="32"/>
          <w:highlight w:val="none"/>
        </w:rPr>
        <w:t>第四章  合同条款</w:t>
      </w:r>
      <w:bookmarkEnd w:id="28"/>
      <w:bookmarkEnd w:id="29"/>
      <w:bookmarkEnd w:id="30"/>
    </w:p>
    <w:p>
      <w:pPr>
        <w:spacing w:line="336" w:lineRule="auto"/>
        <w:ind w:firstLine="3253" w:firstLineChars="900"/>
        <w:rPr>
          <w:rFonts w:ascii="宋体" w:hAnsi="宋体" w:cs="仿宋"/>
          <w:b/>
          <w:color w:val="auto"/>
          <w:sz w:val="36"/>
          <w:szCs w:val="36"/>
          <w:highlight w:val="none"/>
        </w:rPr>
      </w:pPr>
      <w:r>
        <w:rPr>
          <w:rFonts w:hint="eastAsia" w:ascii="宋体" w:hAnsi="宋体" w:cs="仿宋"/>
          <w:b/>
          <w:color w:val="auto"/>
          <w:sz w:val="36"/>
          <w:szCs w:val="36"/>
          <w:highlight w:val="none"/>
        </w:rPr>
        <w:t>（项目名称）</w:t>
      </w:r>
    </w:p>
    <w:p>
      <w:pPr>
        <w:spacing w:line="336" w:lineRule="auto"/>
        <w:ind w:firstLine="723" w:firstLineChars="200"/>
        <w:rPr>
          <w:rFonts w:ascii="宋体" w:hAnsi="宋体" w:cs="仿宋"/>
          <w:b/>
          <w:color w:val="auto"/>
          <w:sz w:val="36"/>
          <w:szCs w:val="36"/>
          <w:highlight w:val="none"/>
        </w:rPr>
      </w:pPr>
    </w:p>
    <w:p>
      <w:pPr>
        <w:spacing w:line="336" w:lineRule="auto"/>
        <w:ind w:firstLine="723" w:firstLineChars="200"/>
        <w:jc w:val="center"/>
        <w:rPr>
          <w:rFonts w:ascii="宋体" w:hAnsi="宋体" w:cs="仿宋"/>
          <w:b/>
          <w:color w:val="auto"/>
          <w:sz w:val="36"/>
          <w:szCs w:val="36"/>
          <w:highlight w:val="none"/>
        </w:rPr>
      </w:pPr>
      <w:r>
        <w:rPr>
          <w:rFonts w:hint="eastAsia" w:ascii="宋体" w:hAnsi="宋体" w:cs="仿宋"/>
          <w:b/>
          <w:color w:val="auto"/>
          <w:sz w:val="36"/>
          <w:szCs w:val="36"/>
          <w:highlight w:val="none"/>
        </w:rPr>
        <w:t>供 货 合 同（参考格式）</w:t>
      </w:r>
    </w:p>
    <w:p>
      <w:pPr>
        <w:spacing w:line="336" w:lineRule="auto"/>
        <w:ind w:firstLine="723" w:firstLineChars="200"/>
        <w:rPr>
          <w:rFonts w:ascii="宋体" w:hAnsi="宋体" w:cs="仿宋"/>
          <w:b/>
          <w:color w:val="auto"/>
          <w:sz w:val="36"/>
          <w:szCs w:val="36"/>
          <w:highlight w:val="none"/>
        </w:rPr>
      </w:pPr>
    </w:p>
    <w:p>
      <w:pPr>
        <w:spacing w:line="336" w:lineRule="auto"/>
        <w:ind w:firstLine="723" w:firstLineChars="200"/>
        <w:jc w:val="center"/>
        <w:rPr>
          <w:rFonts w:ascii="宋体" w:hAnsi="宋体" w:cs="仿宋"/>
          <w:b/>
          <w:color w:val="auto"/>
          <w:sz w:val="36"/>
          <w:szCs w:val="36"/>
          <w:highlight w:val="none"/>
        </w:rPr>
      </w:pPr>
      <w:r>
        <w:rPr>
          <w:rFonts w:hint="eastAsia" w:ascii="宋体" w:hAnsi="宋体" w:cs="仿宋"/>
          <w:b/>
          <w:color w:val="auto"/>
          <w:sz w:val="36"/>
          <w:szCs w:val="36"/>
          <w:highlight w:val="none"/>
        </w:rPr>
        <w:t>（项目编号：      ）</w:t>
      </w:r>
    </w:p>
    <w:p>
      <w:pPr>
        <w:spacing w:line="336" w:lineRule="auto"/>
        <w:ind w:firstLine="723" w:firstLineChars="200"/>
        <w:rPr>
          <w:rFonts w:ascii="宋体" w:hAnsi="宋体" w:cs="仿宋"/>
          <w:b/>
          <w:color w:val="auto"/>
          <w:sz w:val="36"/>
          <w:szCs w:val="36"/>
          <w:highlight w:val="none"/>
        </w:rPr>
      </w:pPr>
    </w:p>
    <w:p>
      <w:pPr>
        <w:spacing w:line="336" w:lineRule="auto"/>
        <w:ind w:firstLine="723" w:firstLineChars="200"/>
        <w:rPr>
          <w:rFonts w:ascii="宋体" w:hAnsi="宋体" w:cs="仿宋"/>
          <w:b/>
          <w:color w:val="auto"/>
          <w:sz w:val="36"/>
          <w:szCs w:val="36"/>
          <w:highlight w:val="none"/>
        </w:rPr>
      </w:pPr>
    </w:p>
    <w:p>
      <w:pPr>
        <w:spacing w:line="336" w:lineRule="auto"/>
        <w:ind w:firstLine="723" w:firstLineChars="200"/>
        <w:rPr>
          <w:rFonts w:ascii="宋体" w:hAnsi="宋体" w:cs="仿宋"/>
          <w:b/>
          <w:color w:val="auto"/>
          <w:sz w:val="36"/>
          <w:szCs w:val="36"/>
          <w:highlight w:val="none"/>
        </w:rPr>
      </w:pPr>
    </w:p>
    <w:p>
      <w:pPr>
        <w:spacing w:line="336" w:lineRule="auto"/>
        <w:ind w:firstLine="723" w:firstLineChars="200"/>
        <w:rPr>
          <w:rFonts w:ascii="宋体" w:hAnsi="宋体" w:cs="仿宋"/>
          <w:b/>
          <w:color w:val="auto"/>
          <w:sz w:val="36"/>
          <w:szCs w:val="36"/>
          <w:highlight w:val="none"/>
        </w:rPr>
      </w:pPr>
    </w:p>
    <w:p>
      <w:pPr>
        <w:spacing w:line="336" w:lineRule="auto"/>
        <w:ind w:firstLine="3072" w:firstLineChars="850"/>
        <w:rPr>
          <w:rFonts w:ascii="宋体" w:hAnsi="宋体" w:cs="仿宋"/>
          <w:b/>
          <w:color w:val="auto"/>
          <w:sz w:val="36"/>
          <w:szCs w:val="36"/>
          <w:highlight w:val="none"/>
        </w:rPr>
      </w:pPr>
      <w:r>
        <w:rPr>
          <w:rFonts w:hint="eastAsia" w:ascii="宋体" w:hAnsi="宋体" w:cs="仿宋"/>
          <w:b/>
          <w:color w:val="auto"/>
          <w:sz w:val="36"/>
          <w:szCs w:val="36"/>
          <w:highlight w:val="none"/>
        </w:rPr>
        <w:t>甲  方：</w:t>
      </w:r>
    </w:p>
    <w:p>
      <w:pPr>
        <w:spacing w:line="336" w:lineRule="auto"/>
        <w:ind w:firstLine="3072" w:firstLineChars="850"/>
        <w:rPr>
          <w:rFonts w:ascii="宋体" w:hAnsi="宋体" w:cs="仿宋"/>
          <w:b/>
          <w:color w:val="auto"/>
          <w:sz w:val="36"/>
          <w:szCs w:val="36"/>
          <w:highlight w:val="none"/>
        </w:rPr>
      </w:pPr>
      <w:r>
        <w:rPr>
          <w:rFonts w:hint="eastAsia" w:ascii="宋体" w:hAnsi="宋体" w:cs="仿宋"/>
          <w:b/>
          <w:color w:val="auto"/>
          <w:sz w:val="36"/>
          <w:szCs w:val="36"/>
          <w:highlight w:val="none"/>
        </w:rPr>
        <w:t xml:space="preserve">乙  方： </w:t>
      </w:r>
    </w:p>
    <w:p>
      <w:pPr>
        <w:spacing w:line="336" w:lineRule="auto"/>
        <w:ind w:firstLine="5421" w:firstLineChars="1500"/>
        <w:rPr>
          <w:rFonts w:ascii="宋体" w:hAnsi="宋体" w:cs="仿宋"/>
          <w:b/>
          <w:color w:val="auto"/>
          <w:sz w:val="36"/>
          <w:szCs w:val="36"/>
          <w:highlight w:val="none"/>
        </w:rPr>
      </w:pPr>
    </w:p>
    <w:p>
      <w:pPr>
        <w:spacing w:line="336" w:lineRule="auto"/>
        <w:ind w:firstLine="5421" w:firstLineChars="1500"/>
        <w:rPr>
          <w:rFonts w:ascii="宋体" w:hAnsi="宋体" w:cs="仿宋"/>
          <w:b/>
          <w:color w:val="auto"/>
          <w:sz w:val="36"/>
          <w:szCs w:val="36"/>
          <w:highlight w:val="none"/>
        </w:rPr>
      </w:pPr>
    </w:p>
    <w:p>
      <w:pPr>
        <w:spacing w:line="336" w:lineRule="auto"/>
        <w:jc w:val="center"/>
        <w:rPr>
          <w:rFonts w:ascii="宋体" w:hAnsi="宋体" w:cs="仿宋"/>
          <w:b/>
          <w:color w:val="auto"/>
          <w:sz w:val="36"/>
          <w:szCs w:val="36"/>
          <w:highlight w:val="none"/>
        </w:rPr>
      </w:pPr>
      <w:r>
        <w:rPr>
          <w:rFonts w:hint="eastAsia" w:ascii="宋体" w:hAnsi="宋体" w:cs="仿宋"/>
          <w:b/>
          <w:color w:val="auto"/>
          <w:sz w:val="36"/>
          <w:szCs w:val="36"/>
          <w:highlight w:val="none"/>
        </w:rPr>
        <w:t>年   月</w:t>
      </w:r>
    </w:p>
    <w:p>
      <w:pPr>
        <w:spacing w:line="336" w:lineRule="auto"/>
        <w:jc w:val="center"/>
        <w:rPr>
          <w:rFonts w:ascii="宋体" w:hAnsi="宋体" w:cs="仿宋"/>
          <w:b/>
          <w:color w:val="auto"/>
          <w:sz w:val="36"/>
          <w:szCs w:val="36"/>
          <w:highlight w:val="none"/>
        </w:rPr>
      </w:pPr>
      <w:r>
        <w:rPr>
          <w:rFonts w:hint="eastAsia" w:ascii="宋体" w:hAnsi="宋体" w:cs="仿宋"/>
          <w:b/>
          <w:color w:val="auto"/>
          <w:sz w:val="36"/>
          <w:szCs w:val="36"/>
          <w:highlight w:val="none"/>
        </w:rPr>
        <w:t>中国  XX</w:t>
      </w:r>
    </w:p>
    <w:p>
      <w:pPr>
        <w:tabs>
          <w:tab w:val="left" w:pos="840"/>
        </w:tabs>
        <w:spacing w:line="336" w:lineRule="auto"/>
        <w:jc w:val="center"/>
        <w:rPr>
          <w:rFonts w:ascii="宋体" w:hAnsi="宋体" w:cs="仿宋"/>
          <w:b/>
          <w:bCs/>
          <w:color w:val="auto"/>
          <w:kern w:val="28"/>
          <w:sz w:val="36"/>
          <w:szCs w:val="36"/>
          <w:highlight w:val="none"/>
        </w:rPr>
      </w:pPr>
    </w:p>
    <w:p>
      <w:pPr>
        <w:tabs>
          <w:tab w:val="left" w:pos="840"/>
        </w:tabs>
        <w:spacing w:line="336" w:lineRule="auto"/>
        <w:jc w:val="center"/>
        <w:rPr>
          <w:rFonts w:ascii="仿宋" w:hAnsi="仿宋" w:eastAsia="仿宋" w:cs="仿宋"/>
          <w:b/>
          <w:bCs/>
          <w:color w:val="auto"/>
          <w:kern w:val="28"/>
          <w:sz w:val="36"/>
          <w:szCs w:val="36"/>
          <w:highlight w:val="none"/>
        </w:rPr>
      </w:pPr>
    </w:p>
    <w:p>
      <w:pPr>
        <w:pStyle w:val="2"/>
        <w:rPr>
          <w:color w:val="auto"/>
          <w:highlight w:val="none"/>
        </w:rPr>
      </w:pPr>
    </w:p>
    <w:p>
      <w:pPr>
        <w:pStyle w:val="2"/>
        <w:rPr>
          <w:color w:val="auto"/>
          <w:highlight w:val="none"/>
        </w:rPr>
      </w:pPr>
    </w:p>
    <w:p>
      <w:pPr>
        <w:pStyle w:val="2"/>
        <w:rPr>
          <w:color w:val="auto"/>
          <w:highlight w:val="none"/>
        </w:rPr>
      </w:pPr>
    </w:p>
    <w:p>
      <w:pPr>
        <w:tabs>
          <w:tab w:val="left" w:pos="840"/>
        </w:tabs>
        <w:spacing w:line="336" w:lineRule="auto"/>
        <w:ind w:firstLine="422" w:firstLineChars="200"/>
        <w:jc w:val="left"/>
        <w:rPr>
          <w:rFonts w:ascii="宋体" w:hAnsi="宋体" w:cs="仿宋"/>
          <w:b/>
          <w:bCs/>
          <w:color w:val="auto"/>
          <w:kern w:val="28"/>
          <w:highlight w:val="none"/>
        </w:rPr>
      </w:pPr>
      <w:r>
        <w:rPr>
          <w:rFonts w:hint="eastAsia" w:ascii="宋体" w:hAnsi="宋体" w:cs="仿宋"/>
          <w:b/>
          <w:bCs/>
          <w:color w:val="auto"/>
          <w:kern w:val="28"/>
          <w:highlight w:val="none"/>
        </w:rPr>
        <w:t>需方(甲方)：陕西省康复医院</w:t>
      </w:r>
    </w:p>
    <w:p>
      <w:pPr>
        <w:tabs>
          <w:tab w:val="left" w:pos="840"/>
        </w:tabs>
        <w:spacing w:line="336" w:lineRule="auto"/>
        <w:ind w:firstLine="420" w:firstLineChars="200"/>
        <w:jc w:val="left"/>
        <w:rPr>
          <w:rFonts w:ascii="宋体" w:hAnsi="宋体" w:cs="仿宋"/>
          <w:color w:val="auto"/>
          <w:kern w:val="28"/>
          <w:highlight w:val="none"/>
        </w:rPr>
      </w:pPr>
      <w:r>
        <w:rPr>
          <w:rFonts w:hint="eastAsia" w:ascii="宋体" w:hAnsi="宋体" w:cs="仿宋"/>
          <w:color w:val="auto"/>
          <w:kern w:val="28"/>
          <w:highlight w:val="none"/>
        </w:rPr>
        <w:t>地      址：西安市雁塔区电子二52号</w:t>
      </w:r>
    </w:p>
    <w:p>
      <w:pPr>
        <w:tabs>
          <w:tab w:val="left" w:pos="840"/>
        </w:tabs>
        <w:spacing w:line="336" w:lineRule="auto"/>
        <w:ind w:firstLine="420" w:firstLineChars="200"/>
        <w:jc w:val="left"/>
        <w:rPr>
          <w:rFonts w:ascii="宋体" w:hAnsi="宋体" w:cs="仿宋"/>
          <w:color w:val="auto"/>
          <w:kern w:val="28"/>
          <w:highlight w:val="none"/>
        </w:rPr>
      </w:pPr>
      <w:r>
        <w:rPr>
          <w:rFonts w:hint="eastAsia" w:ascii="宋体" w:hAnsi="宋体" w:cs="仿宋"/>
          <w:color w:val="auto"/>
          <w:kern w:val="28"/>
          <w:highlight w:val="none"/>
        </w:rPr>
        <w:t>电      话：029-89288722</w:t>
      </w:r>
    </w:p>
    <w:p>
      <w:pPr>
        <w:tabs>
          <w:tab w:val="left" w:pos="840"/>
        </w:tabs>
        <w:spacing w:line="336" w:lineRule="auto"/>
        <w:ind w:firstLine="420" w:firstLineChars="200"/>
        <w:jc w:val="left"/>
        <w:rPr>
          <w:rFonts w:ascii="宋体" w:hAnsi="宋体" w:cs="仿宋"/>
          <w:color w:val="auto"/>
          <w:kern w:val="28"/>
          <w:highlight w:val="none"/>
        </w:rPr>
      </w:pPr>
      <w:r>
        <w:rPr>
          <w:rFonts w:hint="eastAsia" w:ascii="宋体" w:hAnsi="宋体" w:cs="仿宋"/>
          <w:color w:val="auto"/>
          <w:kern w:val="28"/>
          <w:highlight w:val="none"/>
        </w:rPr>
        <w:t>邮      编：710065</w:t>
      </w:r>
    </w:p>
    <w:p>
      <w:pPr>
        <w:tabs>
          <w:tab w:val="left" w:pos="840"/>
        </w:tabs>
        <w:spacing w:line="336" w:lineRule="auto"/>
        <w:ind w:firstLine="422" w:firstLineChars="200"/>
        <w:jc w:val="left"/>
        <w:rPr>
          <w:rFonts w:ascii="宋体" w:hAnsi="宋体" w:cs="仿宋"/>
          <w:b/>
          <w:bCs/>
          <w:color w:val="auto"/>
          <w:kern w:val="28"/>
          <w:highlight w:val="none"/>
        </w:rPr>
      </w:pPr>
      <w:r>
        <w:rPr>
          <w:rFonts w:hint="eastAsia" w:ascii="宋体" w:hAnsi="宋体" w:cs="仿宋"/>
          <w:b/>
          <w:bCs/>
          <w:color w:val="auto"/>
          <w:kern w:val="28"/>
          <w:highlight w:val="none"/>
        </w:rPr>
        <w:t xml:space="preserve">供方(乙方)： </w:t>
      </w:r>
    </w:p>
    <w:p>
      <w:pPr>
        <w:tabs>
          <w:tab w:val="left" w:pos="840"/>
        </w:tabs>
        <w:spacing w:line="336" w:lineRule="auto"/>
        <w:ind w:firstLine="420" w:firstLineChars="200"/>
        <w:jc w:val="left"/>
        <w:rPr>
          <w:rFonts w:ascii="宋体" w:hAnsi="宋体" w:cs="仿宋"/>
          <w:color w:val="auto"/>
          <w:kern w:val="28"/>
          <w:highlight w:val="none"/>
        </w:rPr>
      </w:pPr>
      <w:r>
        <w:rPr>
          <w:rFonts w:hint="eastAsia" w:ascii="宋体" w:hAnsi="宋体" w:cs="仿宋"/>
          <w:color w:val="auto"/>
          <w:kern w:val="28"/>
          <w:highlight w:val="none"/>
        </w:rPr>
        <w:t xml:space="preserve">地      址： </w:t>
      </w:r>
    </w:p>
    <w:p>
      <w:pPr>
        <w:tabs>
          <w:tab w:val="left" w:pos="840"/>
        </w:tabs>
        <w:spacing w:line="336" w:lineRule="auto"/>
        <w:ind w:firstLine="420" w:firstLineChars="200"/>
        <w:jc w:val="left"/>
        <w:rPr>
          <w:rFonts w:ascii="宋体" w:hAnsi="宋体" w:cs="仿宋"/>
          <w:color w:val="auto"/>
          <w:kern w:val="28"/>
          <w:highlight w:val="none"/>
        </w:rPr>
      </w:pPr>
      <w:r>
        <w:rPr>
          <w:rFonts w:hint="eastAsia" w:ascii="宋体" w:hAnsi="宋体" w:cs="仿宋"/>
          <w:color w:val="auto"/>
          <w:kern w:val="28"/>
          <w:highlight w:val="none"/>
        </w:rPr>
        <w:t xml:space="preserve">电      话：    </w:t>
      </w:r>
    </w:p>
    <w:p>
      <w:pPr>
        <w:tabs>
          <w:tab w:val="left" w:pos="840"/>
        </w:tabs>
        <w:spacing w:line="336" w:lineRule="auto"/>
        <w:ind w:firstLine="420" w:firstLineChars="200"/>
        <w:jc w:val="left"/>
        <w:rPr>
          <w:rFonts w:ascii="宋体" w:hAnsi="宋体" w:cs="仿宋"/>
          <w:color w:val="auto"/>
          <w:kern w:val="28"/>
          <w:highlight w:val="none"/>
        </w:rPr>
      </w:pPr>
      <w:r>
        <w:rPr>
          <w:rFonts w:hint="eastAsia" w:ascii="宋体" w:hAnsi="宋体" w:cs="仿宋"/>
          <w:color w:val="auto"/>
          <w:kern w:val="28"/>
          <w:highlight w:val="none"/>
        </w:rPr>
        <w:t>邮      编：</w:t>
      </w:r>
    </w:p>
    <w:p>
      <w:pPr>
        <w:tabs>
          <w:tab w:val="left" w:pos="840"/>
        </w:tabs>
        <w:spacing w:line="336" w:lineRule="auto"/>
        <w:ind w:firstLine="420" w:firstLineChars="200"/>
        <w:jc w:val="left"/>
        <w:rPr>
          <w:rFonts w:ascii="宋体" w:hAnsi="宋体" w:cs="仿宋"/>
          <w:color w:val="auto"/>
          <w:kern w:val="28"/>
          <w:highlight w:val="none"/>
        </w:rPr>
      </w:pPr>
      <w:r>
        <w:rPr>
          <w:rFonts w:hint="eastAsia" w:ascii="宋体" w:hAnsi="宋体" w:cs="仿宋"/>
          <w:color w:val="auto"/>
          <w:kern w:val="28"/>
          <w:highlight w:val="none"/>
        </w:rPr>
        <w:t>联  系  人：</w:t>
      </w:r>
    </w:p>
    <w:p>
      <w:pPr>
        <w:tabs>
          <w:tab w:val="left" w:pos="840"/>
        </w:tabs>
        <w:spacing w:line="336" w:lineRule="auto"/>
        <w:ind w:firstLine="422" w:firstLineChars="200"/>
        <w:jc w:val="left"/>
        <w:rPr>
          <w:rFonts w:ascii="宋体" w:hAnsi="宋体" w:cs="仿宋"/>
          <w:b/>
          <w:bCs/>
          <w:color w:val="auto"/>
          <w:kern w:val="28"/>
          <w:highlight w:val="none"/>
        </w:rPr>
      </w:pPr>
      <w:r>
        <w:rPr>
          <w:rFonts w:hint="eastAsia" w:ascii="宋体" w:hAnsi="宋体" w:cs="仿宋"/>
          <w:b/>
          <w:bCs/>
          <w:color w:val="auto"/>
          <w:kern w:val="28"/>
          <w:highlight w:val="none"/>
        </w:rPr>
        <w:t xml:space="preserve">签约地点：西安市雁塔区 </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根据《中华人民共和国民法典》的规定和</w:t>
      </w:r>
      <w:r>
        <w:rPr>
          <w:rFonts w:hint="eastAsia" w:ascii="宋体" w:hAnsi="宋体" w:cs="仿宋"/>
          <w:color w:val="auto"/>
          <w:kern w:val="28"/>
          <w:highlight w:val="none"/>
        </w:rPr>
        <w:t>陕西省康复医院</w:t>
      </w:r>
      <w:r>
        <w:rPr>
          <w:rFonts w:hint="eastAsia" w:ascii="宋体" w:hAnsi="宋体" w:cs="仿宋"/>
          <w:color w:val="auto"/>
          <w:highlight w:val="none"/>
        </w:rPr>
        <w:t>需求，本着平等互利、协商一致的原则，经甲乙双方友好协商，特订立本合同，共同遵守。</w:t>
      </w:r>
    </w:p>
    <w:p>
      <w:pPr>
        <w:topLinePunct/>
        <w:spacing w:line="336" w:lineRule="auto"/>
        <w:ind w:left="590"/>
        <w:rPr>
          <w:rFonts w:ascii="宋体" w:hAnsi="宋体" w:cs="仿宋"/>
          <w:b/>
          <w:bCs/>
          <w:color w:val="auto"/>
          <w:highlight w:val="none"/>
        </w:rPr>
      </w:pPr>
      <w:r>
        <w:rPr>
          <w:rFonts w:hint="eastAsia" w:ascii="宋体" w:hAnsi="宋体" w:cs="仿宋"/>
          <w:b/>
          <w:bCs/>
          <w:color w:val="auto"/>
          <w:highlight w:val="none"/>
        </w:rPr>
        <w:t>一、标的名称、规格型号、注册证号、制造厂商、数量、价款</w:t>
      </w:r>
    </w:p>
    <w:tbl>
      <w:tblPr>
        <w:tblStyle w:val="25"/>
        <w:tblpPr w:leftFromText="180" w:rightFromText="180" w:vertAnchor="text" w:horzAnchor="margin" w:tblpX="-34" w:tblpY="12"/>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413"/>
        <w:gridCol w:w="1253"/>
        <w:gridCol w:w="1315"/>
        <w:gridCol w:w="751"/>
        <w:gridCol w:w="785"/>
        <w:gridCol w:w="648"/>
        <w:gridCol w:w="91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67" w:type="dxa"/>
            <w:vAlign w:val="center"/>
          </w:tcPr>
          <w:p>
            <w:pPr>
              <w:topLinePunct/>
              <w:spacing w:line="336" w:lineRule="auto"/>
              <w:jc w:val="center"/>
              <w:rPr>
                <w:rFonts w:ascii="宋体" w:hAnsi="宋体" w:cs="仿宋"/>
                <w:color w:val="auto"/>
                <w:highlight w:val="none"/>
              </w:rPr>
            </w:pPr>
            <w:r>
              <w:rPr>
                <w:rFonts w:hint="eastAsia" w:ascii="宋体" w:hAnsi="宋体" w:cs="仿宋"/>
                <w:color w:val="auto"/>
                <w:highlight w:val="none"/>
              </w:rPr>
              <w:t>标的名称</w:t>
            </w:r>
          </w:p>
        </w:tc>
        <w:tc>
          <w:tcPr>
            <w:tcW w:w="1413" w:type="dxa"/>
            <w:vAlign w:val="center"/>
          </w:tcPr>
          <w:p>
            <w:pPr>
              <w:topLinePunct/>
              <w:spacing w:line="336" w:lineRule="auto"/>
              <w:jc w:val="center"/>
              <w:rPr>
                <w:rFonts w:ascii="宋体" w:hAnsi="宋体" w:cs="仿宋"/>
                <w:color w:val="auto"/>
                <w:highlight w:val="none"/>
              </w:rPr>
            </w:pPr>
            <w:r>
              <w:rPr>
                <w:rFonts w:hint="eastAsia" w:ascii="宋体" w:hAnsi="宋体" w:cs="仿宋"/>
                <w:color w:val="auto"/>
                <w:highlight w:val="none"/>
              </w:rPr>
              <w:t>品牌及规格型号</w:t>
            </w:r>
          </w:p>
        </w:tc>
        <w:tc>
          <w:tcPr>
            <w:tcW w:w="1253" w:type="dxa"/>
            <w:vAlign w:val="center"/>
          </w:tcPr>
          <w:p>
            <w:pPr>
              <w:topLinePunct/>
              <w:spacing w:line="336" w:lineRule="auto"/>
              <w:jc w:val="center"/>
              <w:rPr>
                <w:rFonts w:ascii="宋体" w:hAnsi="宋体" w:cs="仿宋"/>
                <w:color w:val="auto"/>
                <w:highlight w:val="none"/>
              </w:rPr>
            </w:pPr>
            <w:r>
              <w:rPr>
                <w:rFonts w:hint="eastAsia" w:ascii="宋体" w:hAnsi="宋体" w:cs="仿宋"/>
                <w:color w:val="auto"/>
                <w:highlight w:val="none"/>
              </w:rPr>
              <w:t>注册证号</w:t>
            </w:r>
          </w:p>
        </w:tc>
        <w:tc>
          <w:tcPr>
            <w:tcW w:w="1315" w:type="dxa"/>
            <w:vAlign w:val="center"/>
          </w:tcPr>
          <w:p>
            <w:pPr>
              <w:topLinePunct/>
              <w:spacing w:line="336" w:lineRule="auto"/>
              <w:jc w:val="center"/>
              <w:rPr>
                <w:rFonts w:ascii="宋体" w:hAnsi="宋体" w:cs="仿宋"/>
                <w:color w:val="auto"/>
                <w:highlight w:val="none"/>
              </w:rPr>
            </w:pPr>
            <w:r>
              <w:rPr>
                <w:rFonts w:hint="eastAsia" w:ascii="宋体" w:hAnsi="宋体" w:cs="仿宋"/>
                <w:color w:val="auto"/>
                <w:highlight w:val="none"/>
              </w:rPr>
              <w:t>产地及制造厂商</w:t>
            </w:r>
          </w:p>
        </w:tc>
        <w:tc>
          <w:tcPr>
            <w:tcW w:w="751" w:type="dxa"/>
            <w:vAlign w:val="center"/>
          </w:tcPr>
          <w:p>
            <w:pPr>
              <w:topLinePunct/>
              <w:spacing w:line="336" w:lineRule="auto"/>
              <w:jc w:val="center"/>
              <w:rPr>
                <w:rFonts w:ascii="宋体" w:hAnsi="宋体" w:cs="仿宋"/>
                <w:color w:val="auto"/>
                <w:highlight w:val="none"/>
              </w:rPr>
            </w:pPr>
            <w:r>
              <w:rPr>
                <w:rFonts w:hint="eastAsia" w:ascii="宋体" w:hAnsi="宋体" w:cs="仿宋"/>
                <w:color w:val="auto"/>
                <w:highlight w:val="none"/>
              </w:rPr>
              <w:t>数量</w:t>
            </w:r>
          </w:p>
        </w:tc>
        <w:tc>
          <w:tcPr>
            <w:tcW w:w="785" w:type="dxa"/>
            <w:vAlign w:val="center"/>
          </w:tcPr>
          <w:p>
            <w:pPr>
              <w:topLinePunct/>
              <w:spacing w:line="336" w:lineRule="auto"/>
              <w:jc w:val="center"/>
              <w:rPr>
                <w:rFonts w:ascii="宋体" w:hAnsi="宋体" w:cs="仿宋"/>
                <w:color w:val="auto"/>
                <w:highlight w:val="none"/>
              </w:rPr>
            </w:pPr>
            <w:r>
              <w:rPr>
                <w:rFonts w:hint="eastAsia" w:ascii="宋体" w:hAnsi="宋体" w:cs="仿宋"/>
                <w:color w:val="auto"/>
                <w:highlight w:val="none"/>
              </w:rPr>
              <w:t>质量</w:t>
            </w:r>
          </w:p>
        </w:tc>
        <w:tc>
          <w:tcPr>
            <w:tcW w:w="648" w:type="dxa"/>
            <w:vAlign w:val="center"/>
          </w:tcPr>
          <w:p>
            <w:pPr>
              <w:topLinePunct/>
              <w:spacing w:line="336" w:lineRule="auto"/>
              <w:jc w:val="center"/>
              <w:rPr>
                <w:rFonts w:ascii="宋体" w:hAnsi="宋体" w:cs="仿宋"/>
                <w:color w:val="auto"/>
                <w:highlight w:val="none"/>
              </w:rPr>
            </w:pPr>
            <w:r>
              <w:rPr>
                <w:rFonts w:hint="eastAsia" w:ascii="宋体" w:hAnsi="宋体" w:cs="仿宋"/>
                <w:color w:val="auto"/>
                <w:highlight w:val="none"/>
              </w:rPr>
              <w:t>单位</w:t>
            </w:r>
          </w:p>
        </w:tc>
        <w:tc>
          <w:tcPr>
            <w:tcW w:w="914" w:type="dxa"/>
            <w:vAlign w:val="center"/>
          </w:tcPr>
          <w:p>
            <w:pPr>
              <w:topLinePunct/>
              <w:spacing w:line="336" w:lineRule="auto"/>
              <w:jc w:val="center"/>
              <w:rPr>
                <w:rFonts w:ascii="宋体" w:hAnsi="宋体" w:cs="仿宋"/>
                <w:color w:val="auto"/>
                <w:highlight w:val="none"/>
              </w:rPr>
            </w:pPr>
            <w:r>
              <w:rPr>
                <w:rFonts w:hint="eastAsia" w:ascii="宋体" w:hAnsi="宋体" w:cs="仿宋"/>
                <w:color w:val="auto"/>
                <w:highlight w:val="none"/>
              </w:rPr>
              <w:t>单价</w:t>
            </w:r>
          </w:p>
        </w:tc>
        <w:tc>
          <w:tcPr>
            <w:tcW w:w="993" w:type="dxa"/>
            <w:vAlign w:val="center"/>
          </w:tcPr>
          <w:p>
            <w:pPr>
              <w:topLinePunct/>
              <w:spacing w:line="336" w:lineRule="auto"/>
              <w:jc w:val="center"/>
              <w:rPr>
                <w:rFonts w:ascii="宋体" w:hAnsi="宋体" w:cs="仿宋"/>
                <w:color w:val="auto"/>
                <w:highlight w:val="none"/>
              </w:rPr>
            </w:pPr>
            <w:r>
              <w:rPr>
                <w:rFonts w:hint="eastAsia" w:ascii="宋体" w:hAnsi="宋体"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967" w:type="dxa"/>
            <w:vAlign w:val="center"/>
          </w:tcPr>
          <w:p>
            <w:pPr>
              <w:topLinePunct/>
              <w:spacing w:line="336" w:lineRule="auto"/>
              <w:jc w:val="center"/>
              <w:rPr>
                <w:rFonts w:ascii="宋体" w:hAnsi="宋体" w:cs="仿宋"/>
                <w:color w:val="auto"/>
                <w:highlight w:val="none"/>
              </w:rPr>
            </w:pPr>
          </w:p>
        </w:tc>
        <w:tc>
          <w:tcPr>
            <w:tcW w:w="1413" w:type="dxa"/>
            <w:vAlign w:val="center"/>
          </w:tcPr>
          <w:p>
            <w:pPr>
              <w:topLinePunct/>
              <w:spacing w:line="336" w:lineRule="auto"/>
              <w:jc w:val="center"/>
              <w:rPr>
                <w:rFonts w:ascii="宋体" w:hAnsi="宋体" w:cs="仿宋"/>
                <w:color w:val="auto"/>
                <w:highlight w:val="none"/>
              </w:rPr>
            </w:pPr>
          </w:p>
        </w:tc>
        <w:tc>
          <w:tcPr>
            <w:tcW w:w="1253" w:type="dxa"/>
            <w:vAlign w:val="center"/>
          </w:tcPr>
          <w:p>
            <w:pPr>
              <w:topLinePunct/>
              <w:spacing w:line="336" w:lineRule="auto"/>
              <w:jc w:val="center"/>
              <w:rPr>
                <w:rFonts w:ascii="宋体" w:hAnsi="宋体" w:cs="仿宋"/>
                <w:color w:val="auto"/>
                <w:highlight w:val="none"/>
              </w:rPr>
            </w:pPr>
          </w:p>
        </w:tc>
        <w:tc>
          <w:tcPr>
            <w:tcW w:w="1315" w:type="dxa"/>
            <w:vAlign w:val="center"/>
          </w:tcPr>
          <w:p>
            <w:pPr>
              <w:topLinePunct/>
              <w:spacing w:line="336" w:lineRule="auto"/>
              <w:jc w:val="center"/>
              <w:rPr>
                <w:rFonts w:ascii="宋体" w:hAnsi="宋体" w:cs="仿宋"/>
                <w:color w:val="auto"/>
                <w:highlight w:val="none"/>
              </w:rPr>
            </w:pPr>
          </w:p>
        </w:tc>
        <w:tc>
          <w:tcPr>
            <w:tcW w:w="751" w:type="dxa"/>
            <w:vAlign w:val="center"/>
          </w:tcPr>
          <w:p>
            <w:pPr>
              <w:topLinePunct/>
              <w:spacing w:line="336" w:lineRule="auto"/>
              <w:jc w:val="center"/>
              <w:rPr>
                <w:rFonts w:ascii="宋体" w:hAnsi="宋体" w:cs="仿宋"/>
                <w:color w:val="auto"/>
                <w:highlight w:val="none"/>
              </w:rPr>
            </w:pPr>
          </w:p>
        </w:tc>
        <w:tc>
          <w:tcPr>
            <w:tcW w:w="785" w:type="dxa"/>
          </w:tcPr>
          <w:p>
            <w:pPr>
              <w:topLinePunct/>
              <w:spacing w:line="336" w:lineRule="auto"/>
              <w:jc w:val="center"/>
              <w:rPr>
                <w:rFonts w:ascii="宋体" w:hAnsi="宋体" w:cs="仿宋"/>
                <w:color w:val="auto"/>
                <w:highlight w:val="none"/>
              </w:rPr>
            </w:pPr>
          </w:p>
        </w:tc>
        <w:tc>
          <w:tcPr>
            <w:tcW w:w="648" w:type="dxa"/>
            <w:vAlign w:val="center"/>
          </w:tcPr>
          <w:p>
            <w:pPr>
              <w:topLinePunct/>
              <w:spacing w:line="336" w:lineRule="auto"/>
              <w:jc w:val="center"/>
              <w:rPr>
                <w:rFonts w:ascii="宋体" w:hAnsi="宋体" w:cs="仿宋"/>
                <w:color w:val="auto"/>
                <w:highlight w:val="none"/>
              </w:rPr>
            </w:pPr>
          </w:p>
        </w:tc>
        <w:tc>
          <w:tcPr>
            <w:tcW w:w="914" w:type="dxa"/>
            <w:vAlign w:val="center"/>
          </w:tcPr>
          <w:p>
            <w:pPr>
              <w:topLinePunct/>
              <w:spacing w:line="336" w:lineRule="auto"/>
              <w:jc w:val="center"/>
              <w:rPr>
                <w:rFonts w:ascii="宋体" w:hAnsi="宋体" w:cs="仿宋"/>
                <w:color w:val="auto"/>
                <w:highlight w:val="none"/>
              </w:rPr>
            </w:pPr>
          </w:p>
        </w:tc>
        <w:tc>
          <w:tcPr>
            <w:tcW w:w="993" w:type="dxa"/>
            <w:vAlign w:val="center"/>
          </w:tcPr>
          <w:p>
            <w:pPr>
              <w:topLinePunct/>
              <w:spacing w:line="336" w:lineRule="auto"/>
              <w:jc w:val="center"/>
              <w:rPr>
                <w:rFonts w:ascii="宋体" w:hAnsi="宋体"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7" w:type="dxa"/>
            <w:vAlign w:val="center"/>
          </w:tcPr>
          <w:p>
            <w:pPr>
              <w:topLinePunct/>
              <w:spacing w:line="336" w:lineRule="auto"/>
              <w:jc w:val="center"/>
              <w:rPr>
                <w:rFonts w:ascii="宋体" w:hAnsi="宋体" w:cs="仿宋"/>
                <w:color w:val="auto"/>
                <w:highlight w:val="none"/>
              </w:rPr>
            </w:pPr>
            <w:r>
              <w:rPr>
                <w:rFonts w:hint="eastAsia" w:ascii="宋体" w:hAnsi="宋体" w:cs="仿宋"/>
                <w:color w:val="auto"/>
                <w:highlight w:val="none"/>
              </w:rPr>
              <w:t>总价</w:t>
            </w:r>
          </w:p>
        </w:tc>
        <w:tc>
          <w:tcPr>
            <w:tcW w:w="8072" w:type="dxa"/>
            <w:gridSpan w:val="8"/>
          </w:tcPr>
          <w:p>
            <w:pPr>
              <w:topLinePunct/>
              <w:spacing w:line="336" w:lineRule="auto"/>
              <w:rPr>
                <w:rFonts w:ascii="宋体" w:hAnsi="宋体" w:cs="仿宋"/>
                <w:b/>
                <w:bCs/>
                <w:color w:val="auto"/>
                <w:highlight w:val="none"/>
                <w:u w:val="single"/>
              </w:rPr>
            </w:pPr>
            <w:r>
              <w:rPr>
                <w:rFonts w:hint="eastAsia" w:ascii="宋体" w:hAnsi="宋体" w:cs="仿宋"/>
                <w:color w:val="auto"/>
                <w:highlight w:val="none"/>
              </w:rPr>
              <w:t>（小写）</w:t>
            </w:r>
            <w:r>
              <w:rPr>
                <w:rFonts w:hint="eastAsia" w:ascii="宋体" w:hAnsi="宋体" w:cs="仿宋"/>
                <w:color w:val="auto"/>
                <w:highlight w:val="none"/>
                <w:u w:val="single"/>
              </w:rPr>
              <w:t xml:space="preserve">￥     </w:t>
            </w:r>
            <w:r>
              <w:rPr>
                <w:rFonts w:hint="eastAsia" w:ascii="宋体" w:hAnsi="宋体" w:cs="仿宋"/>
                <w:color w:val="auto"/>
                <w:highlight w:val="none"/>
              </w:rPr>
              <w:t xml:space="preserve">元 （大写）元 </w:t>
            </w:r>
          </w:p>
        </w:tc>
      </w:tr>
    </w:tbl>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说明：1、本合同价格为最终结算价格，包括安装、调试正常运行、验收合格后的价格（含保修费、零备件和运杂费、运输费、装卸费、仓储费、保险费、安装费、设备接口费（lis、his等系统）、验收费、人员培训费、关税及进口环节增值税等所有税费及其它一切费用）。2、本合同为一次性包死，不受市场价格变化因素的影响。3、设备配置：详见招标文件、设备配置清单、装箱单及产品彩页（含增配件）。有强制性安全标准的产品，乙方应提供该产品的制造许可证证明。</w:t>
      </w:r>
    </w:p>
    <w:p>
      <w:pPr>
        <w:topLinePunct/>
        <w:spacing w:line="336" w:lineRule="auto"/>
        <w:ind w:left="562"/>
        <w:rPr>
          <w:rFonts w:ascii="宋体" w:hAnsi="宋体" w:cs="仿宋"/>
          <w:b/>
          <w:bCs/>
          <w:color w:val="auto"/>
          <w:highlight w:val="none"/>
        </w:rPr>
      </w:pPr>
      <w:r>
        <w:rPr>
          <w:rFonts w:hint="eastAsia" w:ascii="宋体" w:hAnsi="宋体" w:cs="仿宋"/>
          <w:b/>
          <w:bCs/>
          <w:color w:val="auto"/>
          <w:highlight w:val="none"/>
        </w:rPr>
        <w:t>二、交货、安装的期限和地点</w:t>
      </w:r>
    </w:p>
    <w:p>
      <w:pPr>
        <w:topLinePunct/>
        <w:spacing w:line="336" w:lineRule="auto"/>
        <w:ind w:firstLine="420" w:firstLineChars="200"/>
        <w:rPr>
          <w:rFonts w:ascii="宋体" w:hAnsi="宋体" w:cs="仿宋"/>
          <w:color w:val="auto"/>
          <w:highlight w:val="none"/>
          <w:lang w:val="en-GB"/>
        </w:rPr>
      </w:pPr>
      <w:r>
        <w:rPr>
          <w:rFonts w:hint="eastAsia" w:ascii="宋体" w:hAnsi="宋体" w:cs="仿宋"/>
          <w:color w:val="auto"/>
          <w:highlight w:val="none"/>
        </w:rPr>
        <w:t>（一）交货期：</w:t>
      </w:r>
      <w:r>
        <w:rPr>
          <w:rFonts w:hint="eastAsia" w:ascii="宋体" w:hAnsi="宋体" w:cs="仿宋"/>
          <w:color w:val="auto"/>
          <w:highlight w:val="none"/>
          <w:lang w:val="en-GB"/>
        </w:rPr>
        <w:t>合同签订之日</w:t>
      </w:r>
      <w:r>
        <w:rPr>
          <w:rFonts w:hint="eastAsia" w:ascii="宋体" w:hAnsi="宋体" w:cs="仿宋"/>
          <w:color w:val="auto"/>
          <w:highlight w:val="none"/>
          <w:u w:val="single"/>
          <w:lang w:val="en-GB"/>
        </w:rPr>
        <w:t xml:space="preserve">起 </w:t>
      </w:r>
      <w:r>
        <w:rPr>
          <w:rFonts w:hint="eastAsia" w:ascii="宋体" w:hAnsi="宋体" w:cs="仿宋"/>
          <w:color w:val="auto"/>
          <w:highlight w:val="none"/>
          <w:u w:val="single"/>
        </w:rPr>
        <w:t>天</w:t>
      </w:r>
      <w:r>
        <w:rPr>
          <w:rFonts w:hint="eastAsia" w:ascii="宋体" w:hAnsi="宋体" w:cs="仿宋"/>
          <w:color w:val="auto"/>
          <w:highlight w:val="none"/>
          <w:u w:val="single"/>
          <w:lang w:val="en-GB"/>
        </w:rPr>
        <w:t>内</w:t>
      </w:r>
      <w:r>
        <w:rPr>
          <w:rFonts w:hint="eastAsia" w:ascii="宋体" w:hAnsi="宋体" w:cs="仿宋"/>
          <w:color w:val="auto"/>
          <w:highlight w:val="none"/>
          <w:lang w:val="en-GB"/>
        </w:rPr>
        <w:t>。</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（二）交货及安装地点：乙方负责运输至甲方指定地点交货。</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（三）安装完成时间：接甲方通知后</w:t>
      </w:r>
      <w:r>
        <w:rPr>
          <w:rFonts w:hint="eastAsia" w:ascii="宋体" w:hAnsi="宋体" w:cs="仿宋"/>
          <w:color w:val="auto"/>
          <w:highlight w:val="none"/>
          <w:u w:val="single"/>
        </w:rPr>
        <w:t xml:space="preserve"> 个工作</w:t>
      </w:r>
      <w:r>
        <w:rPr>
          <w:rFonts w:hint="eastAsia" w:ascii="宋体" w:hAnsi="宋体" w:cs="仿宋"/>
          <w:color w:val="auto"/>
          <w:highlight w:val="none"/>
        </w:rPr>
        <w:t>日内全部调试完成，并可正常使用。</w:t>
      </w:r>
    </w:p>
    <w:p>
      <w:pPr>
        <w:topLinePunct/>
        <w:spacing w:line="336" w:lineRule="auto"/>
        <w:ind w:firstLine="422" w:firstLineChars="200"/>
        <w:rPr>
          <w:rFonts w:ascii="宋体" w:hAnsi="宋体" w:cs="仿宋"/>
          <w:b/>
          <w:bCs/>
          <w:color w:val="auto"/>
          <w:highlight w:val="none"/>
        </w:rPr>
      </w:pPr>
      <w:r>
        <w:rPr>
          <w:rFonts w:hint="eastAsia" w:ascii="宋体" w:hAnsi="宋体" w:cs="仿宋"/>
          <w:b/>
          <w:bCs/>
          <w:color w:val="auto"/>
          <w:highlight w:val="none"/>
        </w:rPr>
        <w:t>三、验收标准和方法</w:t>
      </w:r>
    </w:p>
    <w:p>
      <w:pPr>
        <w:topLinePunct/>
        <w:spacing w:line="336" w:lineRule="auto"/>
        <w:ind w:firstLine="420"/>
        <w:rPr>
          <w:rFonts w:ascii="宋体" w:hAnsi="宋体" w:cs="仿宋"/>
          <w:color w:val="auto"/>
          <w:highlight w:val="none"/>
        </w:rPr>
      </w:pPr>
      <w:r>
        <w:rPr>
          <w:rFonts w:hint="eastAsia" w:ascii="宋体" w:hAnsi="宋体" w:cs="仿宋"/>
          <w:color w:val="auto"/>
          <w:highlight w:val="none"/>
        </w:rPr>
        <w:t>（一）验收标准</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1、包装：符合出厂规范及符合《商品包装政府采购需求标准（试行）》、《快递包装政府采购需求标准（试行）》,包装完整无破损，防雨、防潮等各种符号标识清楚，进口设备应具有原产国标识且标识清楚。</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2、安装：符合本合同项下产品的全部相关国家安全技术标准及甲方要求。</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3、产品：（1）必须为原装、全新、合格产品，渠道合法；（2）符合供方与需方签订的合同；（3）符合招、投标文件的技术要求；（4）符合产品原样本技术数据；（5）符合国家有关技术规范要求和安全、环保、节能等强制性标准, 验收的手续及费用由投标单位自行办理和承担，招标单位提供相关辅助。（6）产品单证齐全（质量合格证、装箱清单、操作手册和维修手册等，如为进口产品，交货前须提供原产地证明、原厂生产检验合格证和海关手续等）。</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（二）验收方法</w:t>
      </w:r>
    </w:p>
    <w:p>
      <w:pPr>
        <w:tabs>
          <w:tab w:val="left" w:pos="360"/>
        </w:tabs>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甲乙双方共同进行验收或依照有关法规、文件规定，由国家质量检验、商检等部门共同进行验收。所有安装、验收的手续由乙方办理并承担费用，甲方提供相关辅助。设备正常运行一个月后，经甲方通知，自通知送达之日起三日内，双方共同进行验收，甲方向乙方出具验收合格书面证明文件，视为设备验收合格。乙方逾期未到场或拒绝到场验收的，甲方可自行验收。</w:t>
      </w:r>
    </w:p>
    <w:p>
      <w:pPr>
        <w:tabs>
          <w:tab w:val="left" w:pos="360"/>
        </w:tabs>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验收过程中发现设备存在瑕疵或质量问题的，乙方应无条件配合甲方进行维修、更换或退货工作，因此给甲方造成损失的，乙方就全部损失承担赔偿责任。</w:t>
      </w:r>
    </w:p>
    <w:p>
      <w:pPr>
        <w:tabs>
          <w:tab w:val="left" w:pos="360"/>
        </w:tabs>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在履约验收环节，乙方须按照《商品包装政府采购需求标准（试行）》、《快递包装政府采购需求标准（试行）》的环保要求出具检测报告。</w:t>
      </w:r>
    </w:p>
    <w:p>
      <w:pPr>
        <w:tabs>
          <w:tab w:val="left" w:pos="360"/>
        </w:tabs>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四、售后服务及保修</w:t>
      </w:r>
    </w:p>
    <w:p>
      <w:pPr>
        <w:tabs>
          <w:tab w:val="left" w:pos="360"/>
        </w:tabs>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1、乙方所提供专职的维修售后保证维修及时、快捷2</w:t>
      </w:r>
      <w:r>
        <w:rPr>
          <w:rFonts w:ascii="宋体" w:hAnsi="宋体" w:cs="仿宋"/>
          <w:color w:val="auto"/>
          <w:highlight w:val="none"/>
        </w:rPr>
        <w:t>4</w:t>
      </w:r>
      <w:r>
        <w:rPr>
          <w:rFonts w:hint="eastAsia" w:ascii="宋体" w:hAnsi="宋体" w:cs="仿宋"/>
          <w:color w:val="auto"/>
          <w:highlight w:val="none"/>
        </w:rPr>
        <w:t>小时热线服务。</w:t>
      </w:r>
    </w:p>
    <w:p>
      <w:pPr>
        <w:tabs>
          <w:tab w:val="left" w:pos="360"/>
        </w:tabs>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售后服务部门（单位）</w:t>
      </w:r>
    </w:p>
    <w:p>
      <w:pPr>
        <w:tabs>
          <w:tab w:val="left" w:pos="360"/>
        </w:tabs>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 xml:space="preserve">名  称： </w:t>
      </w:r>
    </w:p>
    <w:p>
      <w:pPr>
        <w:tabs>
          <w:tab w:val="left" w:pos="360"/>
        </w:tabs>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 xml:space="preserve">地  址： </w:t>
      </w:r>
    </w:p>
    <w:p>
      <w:pPr>
        <w:tabs>
          <w:tab w:val="left" w:pos="360"/>
        </w:tabs>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 xml:space="preserve">联系人： </w:t>
      </w:r>
    </w:p>
    <w:p>
      <w:pPr>
        <w:tabs>
          <w:tab w:val="left" w:pos="360"/>
        </w:tabs>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 xml:space="preserve">电  话： </w:t>
      </w:r>
    </w:p>
    <w:p>
      <w:pPr>
        <w:tabs>
          <w:tab w:val="left" w:pos="360"/>
        </w:tabs>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2、维修服务：响应时间</w:t>
      </w:r>
      <w:r>
        <w:rPr>
          <w:rFonts w:ascii="宋体" w:hAnsi="宋体" w:cs="仿宋"/>
          <w:color w:val="auto"/>
          <w:highlight w:val="none"/>
        </w:rPr>
        <w:t xml:space="preserve">1 </w:t>
      </w:r>
      <w:r>
        <w:rPr>
          <w:rFonts w:hint="eastAsia" w:ascii="宋体" w:hAnsi="宋体" w:cs="仿宋"/>
          <w:color w:val="auto"/>
          <w:highlight w:val="none"/>
        </w:rPr>
        <w:t>小时，</w:t>
      </w:r>
      <w:r>
        <w:rPr>
          <w:rFonts w:ascii="宋体" w:hAnsi="宋体" w:cs="仿宋"/>
          <w:color w:val="auto"/>
          <w:highlight w:val="none"/>
        </w:rPr>
        <w:t>4</w:t>
      </w:r>
      <w:r>
        <w:rPr>
          <w:rFonts w:hint="eastAsia" w:ascii="宋体" w:hAnsi="宋体" w:cs="仿宋"/>
          <w:color w:val="auto"/>
          <w:highlight w:val="none"/>
        </w:rPr>
        <w:t>小时内到场进行维修，</w:t>
      </w:r>
      <w:r>
        <w:rPr>
          <w:rFonts w:ascii="宋体" w:hAnsi="宋体" w:cs="仿宋"/>
          <w:color w:val="auto"/>
          <w:highlight w:val="none"/>
        </w:rPr>
        <w:t>24</w:t>
      </w:r>
      <w:r>
        <w:rPr>
          <w:rFonts w:hint="eastAsia" w:ascii="宋体" w:hAnsi="宋体" w:cs="仿宋"/>
          <w:color w:val="auto"/>
          <w:highlight w:val="none"/>
        </w:rPr>
        <w:t>小时内修复，如果超过</w:t>
      </w:r>
      <w:r>
        <w:rPr>
          <w:rFonts w:ascii="宋体" w:hAnsi="宋体" w:cs="仿宋"/>
          <w:color w:val="auto"/>
          <w:highlight w:val="none"/>
        </w:rPr>
        <w:t>48</w:t>
      </w:r>
      <w:r>
        <w:rPr>
          <w:rFonts w:hint="eastAsia" w:ascii="宋体" w:hAnsi="宋体" w:cs="仿宋"/>
          <w:color w:val="auto"/>
          <w:highlight w:val="none"/>
        </w:rPr>
        <w:t>小时不能修复，提供同档次的备用机。质保期内，若同一硬件1个月内连续2次出现同一故障（非人为情况），乙方无条件为甲方无偿更换为同一档次机器。</w:t>
      </w:r>
    </w:p>
    <w:p>
      <w:pPr>
        <w:tabs>
          <w:tab w:val="left" w:pos="360"/>
        </w:tabs>
        <w:topLinePunct/>
        <w:spacing w:line="336" w:lineRule="auto"/>
        <w:ind w:firstLine="420" w:firstLineChars="200"/>
        <w:rPr>
          <w:rFonts w:ascii="宋体" w:hAnsi="宋体" w:cs="仿宋"/>
          <w:color w:val="auto"/>
          <w:highlight w:val="none"/>
        </w:rPr>
      </w:pPr>
      <w:r>
        <w:rPr>
          <w:rFonts w:ascii="宋体" w:hAnsi="宋体" w:cs="仿宋"/>
          <w:color w:val="auto"/>
          <w:highlight w:val="none"/>
        </w:rPr>
        <w:t>3</w:t>
      </w:r>
      <w:r>
        <w:rPr>
          <w:rFonts w:hint="eastAsia" w:ascii="宋体" w:hAnsi="宋体" w:cs="仿宋"/>
          <w:color w:val="auto"/>
          <w:highlight w:val="none"/>
        </w:rPr>
        <w:t>、乙方定期派技术人员到现场走访，对设备给予检查维护。每季度免费上门对设备进行专业的保养和维护不少于两次。维护内容包括：检查所有设备及设备间各连接件，设备内清洁和机械滑动上油，进行系统测试等、确保所有设备的正常使用。</w:t>
      </w:r>
    </w:p>
    <w:p>
      <w:pPr>
        <w:tabs>
          <w:tab w:val="left" w:pos="360"/>
        </w:tabs>
        <w:topLinePunct/>
        <w:spacing w:line="336" w:lineRule="auto"/>
        <w:ind w:firstLine="420" w:firstLineChars="200"/>
        <w:rPr>
          <w:rFonts w:ascii="宋体" w:hAnsi="宋体" w:cs="仿宋"/>
          <w:color w:val="auto"/>
          <w:highlight w:val="none"/>
        </w:rPr>
      </w:pPr>
      <w:r>
        <w:rPr>
          <w:rFonts w:ascii="宋体" w:hAnsi="宋体" w:cs="仿宋"/>
          <w:color w:val="auto"/>
          <w:highlight w:val="none"/>
        </w:rPr>
        <w:t>4</w:t>
      </w:r>
      <w:r>
        <w:rPr>
          <w:rFonts w:hint="eastAsia" w:ascii="宋体" w:hAnsi="宋体" w:cs="仿宋"/>
          <w:color w:val="auto"/>
          <w:highlight w:val="none"/>
        </w:rPr>
        <w:t>、质保期内：所有设备自验收合格之日（甲方出具书面验收合格证明文件落款之日）起包修年。乙方提供最新产品软件升级和更新。</w:t>
      </w:r>
    </w:p>
    <w:p>
      <w:pPr>
        <w:tabs>
          <w:tab w:val="left" w:pos="360"/>
        </w:tabs>
        <w:topLinePunct/>
        <w:spacing w:line="336" w:lineRule="auto"/>
        <w:ind w:firstLine="420" w:firstLineChars="200"/>
        <w:rPr>
          <w:rFonts w:ascii="宋体" w:hAnsi="宋体" w:cs="仿宋"/>
          <w:color w:val="auto"/>
          <w:highlight w:val="none"/>
        </w:rPr>
      </w:pPr>
      <w:r>
        <w:rPr>
          <w:rFonts w:ascii="宋体" w:hAnsi="宋体" w:cs="仿宋"/>
          <w:color w:val="auto"/>
          <w:highlight w:val="none"/>
        </w:rPr>
        <w:t>5</w:t>
      </w:r>
      <w:r>
        <w:rPr>
          <w:rFonts w:hint="eastAsia" w:ascii="宋体" w:hAnsi="宋体" w:cs="仿宋"/>
          <w:color w:val="auto"/>
          <w:highlight w:val="none"/>
        </w:rPr>
        <w:t>、质保期内：设备年开机率达到98％，故障率低于2％。累计停机时长每满24小时一次，质保期顺延5个工作日（停机时长24小时，质保期顺延5个工作日，停机时长48小时，质保期顺延10个工作日，以此类推）。</w:t>
      </w:r>
    </w:p>
    <w:p>
      <w:pPr>
        <w:tabs>
          <w:tab w:val="left" w:pos="360"/>
        </w:tabs>
        <w:topLinePunct/>
        <w:spacing w:line="336" w:lineRule="auto"/>
        <w:ind w:firstLine="420" w:firstLineChars="200"/>
        <w:rPr>
          <w:rFonts w:ascii="宋体" w:hAnsi="宋体" w:cs="仿宋"/>
          <w:color w:val="auto"/>
          <w:highlight w:val="none"/>
        </w:rPr>
      </w:pPr>
      <w:r>
        <w:rPr>
          <w:rFonts w:ascii="宋体" w:hAnsi="宋体" w:cs="仿宋"/>
          <w:color w:val="auto"/>
          <w:highlight w:val="none"/>
        </w:rPr>
        <w:t>6</w:t>
      </w:r>
      <w:r>
        <w:rPr>
          <w:rFonts w:hint="eastAsia" w:ascii="宋体" w:hAnsi="宋体" w:cs="仿宋"/>
          <w:color w:val="auto"/>
          <w:highlight w:val="none"/>
        </w:rPr>
        <w:t>、质保期满后乙方负责设备的终身维修服务。维修不收取服务费，只收取材料成本费并且保证零配件供应</w:t>
      </w:r>
      <w:r>
        <w:rPr>
          <w:rFonts w:ascii="宋体" w:hAnsi="宋体" w:cs="仿宋"/>
          <w:color w:val="auto"/>
          <w:highlight w:val="none"/>
        </w:rPr>
        <w:t>7</w:t>
      </w:r>
      <w:r>
        <w:rPr>
          <w:rFonts w:hint="eastAsia" w:ascii="宋体" w:hAnsi="宋体" w:cs="仿宋"/>
          <w:color w:val="auto"/>
          <w:highlight w:val="none"/>
        </w:rPr>
        <w:t>年。售后服务标准按照质保期内的标准执行</w:t>
      </w:r>
    </w:p>
    <w:p>
      <w:pPr>
        <w:topLinePunct/>
        <w:spacing w:line="336" w:lineRule="auto"/>
        <w:ind w:left="562"/>
        <w:rPr>
          <w:rFonts w:ascii="宋体" w:hAnsi="宋体" w:cs="仿宋"/>
          <w:b/>
          <w:bCs/>
          <w:color w:val="auto"/>
          <w:highlight w:val="none"/>
        </w:rPr>
      </w:pPr>
      <w:r>
        <w:rPr>
          <w:rFonts w:hint="eastAsia" w:ascii="宋体" w:hAnsi="宋体" w:cs="仿宋"/>
          <w:b/>
          <w:bCs/>
          <w:color w:val="auto"/>
          <w:highlight w:val="none"/>
        </w:rPr>
        <w:t>五、人员培训</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装机后乙方为甲方相关医护、技术及维修人员提供培训，直至双方认证合格，培训约定如下：</w:t>
      </w:r>
    </w:p>
    <w:p>
      <w:pPr>
        <w:tabs>
          <w:tab w:val="left" w:pos="360"/>
        </w:tabs>
        <w:topLinePunct/>
        <w:spacing w:line="336" w:lineRule="auto"/>
        <w:ind w:firstLine="420" w:firstLineChars="200"/>
        <w:rPr>
          <w:rFonts w:ascii="宋体" w:hAnsi="宋体" w:cs="仿宋"/>
          <w:color w:val="auto"/>
          <w:highlight w:val="none"/>
          <w:u w:val="single"/>
        </w:rPr>
      </w:pPr>
      <w:r>
        <w:rPr>
          <w:rFonts w:hint="eastAsia" w:ascii="宋体" w:hAnsi="宋体" w:cs="仿宋"/>
          <w:color w:val="auto"/>
          <w:highlight w:val="none"/>
        </w:rPr>
        <w:t>培训对象及人数：</w:t>
      </w:r>
    </w:p>
    <w:p>
      <w:pPr>
        <w:tabs>
          <w:tab w:val="left" w:pos="360"/>
        </w:tabs>
        <w:topLinePunct/>
        <w:spacing w:line="336" w:lineRule="auto"/>
        <w:ind w:firstLine="420" w:firstLineChars="200"/>
        <w:rPr>
          <w:rFonts w:ascii="宋体" w:hAnsi="宋体" w:cs="仿宋"/>
          <w:color w:val="auto"/>
          <w:highlight w:val="none"/>
          <w:u w:val="single"/>
        </w:rPr>
      </w:pPr>
      <w:r>
        <w:rPr>
          <w:rFonts w:hint="eastAsia" w:ascii="宋体" w:hAnsi="宋体" w:cs="仿宋"/>
          <w:color w:val="auto"/>
          <w:highlight w:val="none"/>
        </w:rPr>
        <w:t>培训方式及地点：</w:t>
      </w:r>
    </w:p>
    <w:p>
      <w:pPr>
        <w:topLinePunct/>
        <w:spacing w:line="336" w:lineRule="auto"/>
        <w:ind w:firstLine="420" w:firstLineChars="200"/>
        <w:rPr>
          <w:rFonts w:ascii="宋体" w:hAnsi="宋体" w:cs="仿宋"/>
          <w:b/>
          <w:bCs/>
          <w:color w:val="auto"/>
          <w:highlight w:val="none"/>
        </w:rPr>
      </w:pPr>
      <w:r>
        <w:rPr>
          <w:rFonts w:hint="eastAsia" w:ascii="宋体" w:hAnsi="宋体" w:cs="仿宋"/>
          <w:color w:val="auto"/>
          <w:highlight w:val="none"/>
        </w:rPr>
        <w:t>培训时间及费用：</w:t>
      </w:r>
    </w:p>
    <w:p>
      <w:pPr>
        <w:tabs>
          <w:tab w:val="left" w:pos="360"/>
        </w:tabs>
        <w:topLinePunct/>
        <w:spacing w:line="336" w:lineRule="auto"/>
        <w:ind w:firstLine="422" w:firstLineChars="200"/>
        <w:rPr>
          <w:rFonts w:ascii="宋体" w:hAnsi="宋体" w:cs="仿宋"/>
          <w:b/>
          <w:bCs/>
          <w:color w:val="auto"/>
          <w:highlight w:val="none"/>
        </w:rPr>
      </w:pPr>
      <w:r>
        <w:rPr>
          <w:rFonts w:hint="eastAsia" w:ascii="宋体" w:hAnsi="宋体" w:cs="仿宋"/>
          <w:b/>
          <w:bCs/>
          <w:color w:val="auto"/>
          <w:highlight w:val="none"/>
        </w:rPr>
        <w:t>六、付款方式和条件</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（一）合同签订后30天内支付预付款40%，终验合格后60天内（以甲方出具的书面验收合格文件为准），支付剩余60%。</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（二）支付方式</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通过银行转帐方式将款项转入乙方银行帐户。乙方银行帐户信息如下:</w:t>
      </w:r>
    </w:p>
    <w:p>
      <w:pPr>
        <w:tabs>
          <w:tab w:val="left" w:pos="180"/>
          <w:tab w:val="left" w:pos="9360"/>
        </w:tabs>
        <w:topLinePunct/>
        <w:spacing w:line="336" w:lineRule="auto"/>
        <w:ind w:left="560"/>
        <w:rPr>
          <w:rFonts w:ascii="宋体" w:hAnsi="宋体" w:cs="仿宋"/>
          <w:color w:val="auto"/>
          <w:highlight w:val="none"/>
          <w:u w:val="single"/>
        </w:rPr>
      </w:pPr>
      <w:r>
        <w:rPr>
          <w:rFonts w:hint="eastAsia" w:ascii="宋体" w:hAnsi="宋体" w:cs="仿宋"/>
          <w:color w:val="auto"/>
          <w:highlight w:val="none"/>
        </w:rPr>
        <w:t xml:space="preserve">帐户全称: </w:t>
      </w:r>
    </w:p>
    <w:p>
      <w:pPr>
        <w:tabs>
          <w:tab w:val="left" w:pos="9360"/>
        </w:tabs>
        <w:topLinePunct/>
        <w:spacing w:line="336" w:lineRule="auto"/>
        <w:ind w:left="560"/>
        <w:rPr>
          <w:rFonts w:ascii="宋体" w:hAnsi="宋体" w:cs="仿宋"/>
          <w:color w:val="auto"/>
          <w:highlight w:val="none"/>
          <w:u w:val="single"/>
        </w:rPr>
      </w:pPr>
      <w:r>
        <w:rPr>
          <w:rFonts w:hint="eastAsia" w:ascii="宋体" w:hAnsi="宋体" w:cs="仿宋"/>
          <w:color w:val="auto"/>
          <w:highlight w:val="none"/>
        </w:rPr>
        <w:t xml:space="preserve">帐    号: </w:t>
      </w:r>
    </w:p>
    <w:p>
      <w:pPr>
        <w:tabs>
          <w:tab w:val="left" w:pos="9360"/>
        </w:tabs>
        <w:topLinePunct/>
        <w:spacing w:line="336" w:lineRule="auto"/>
        <w:ind w:left="560"/>
        <w:rPr>
          <w:rFonts w:ascii="宋体" w:hAnsi="宋体" w:cs="仿宋"/>
          <w:color w:val="auto"/>
          <w:highlight w:val="none"/>
        </w:rPr>
      </w:pPr>
      <w:r>
        <w:rPr>
          <w:rFonts w:hint="eastAsia" w:ascii="宋体" w:hAnsi="宋体" w:cs="仿宋"/>
          <w:color w:val="auto"/>
          <w:highlight w:val="none"/>
        </w:rPr>
        <w:t xml:space="preserve">开 户 行: </w:t>
      </w:r>
    </w:p>
    <w:p>
      <w:pPr>
        <w:tabs>
          <w:tab w:val="left" w:pos="9360"/>
        </w:tabs>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甲方仅认可上述指定账户并向该账户付款。如乙方账户信息变更，乙方应出具由法定代表人签署的书面变更文件并加盖乙方公司公章，否则甲方有权拒绝向指定账户之外的任何账户付款，并且由此导致的付款延迟责任由乙方承担。</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（三）结算要求：乙方应在设备验收合格后三日内，向甲方一次性开具符合要求的合同全款正式发票。</w:t>
      </w:r>
    </w:p>
    <w:p>
      <w:pPr>
        <w:topLinePunct/>
        <w:spacing w:line="336" w:lineRule="auto"/>
        <w:ind w:firstLine="422" w:firstLineChars="200"/>
        <w:rPr>
          <w:rFonts w:ascii="宋体" w:hAnsi="宋体" w:cs="仿宋"/>
          <w:b/>
          <w:bCs/>
          <w:color w:val="auto"/>
          <w:highlight w:val="none"/>
        </w:rPr>
      </w:pPr>
      <w:r>
        <w:rPr>
          <w:rFonts w:hint="eastAsia" w:ascii="宋体" w:hAnsi="宋体" w:cs="仿宋"/>
          <w:b/>
          <w:bCs/>
          <w:color w:val="auto"/>
          <w:highlight w:val="none"/>
        </w:rPr>
        <w:t>七、违约责任</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1、甲方在验收中，如果发现乙方所交付的设备型号、规格、质量等不符合合同约定或国家标准的，甲方可向乙方提出书面异议，并有权拒收设备。乙方在接到甲方书面异议后，应在十个工作日内负责处理，如逾期未处理即视为默认甲方提出的异议和处理意见，由此产生的全部后果由乙方自行承担。</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2、甲方在设备使用过程中，如果发现乙方所交付的设备型号、规格、质量等不符合合同约定或国家标准的，甲方可向乙方提出书面异议，并有权要求乙方免费维修、更换。乙方在接到甲方书面异议后，应在十个工作日内负责处理，如逾期未处理即视为默认甲方提出的异议和处理意见，由此产生的全部后果由乙方承担。</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3、乙方不能按期交货，每延迟壹天，应付不能交货部分货款5‰的延迟付款违约金。累计支付的延迟付款违约金额不超过逾期交货部分货款总额的10%。逾期交货超过20天，甲方有权单方解除合同，自甲方合同解除通知送达之日，合同解除生效。</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合同解除后，甲方有权拒收乙方货物且无需支付未交货部分货款。由此产生的全部法律责任及费用支出由乙方自行承担。</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4、乙方如没有按合同规定履行售后服务承诺，甲方可另行选择第三方单位进行修复，其费用全部由乙方支付，且甲方有权追究乙方的违约责任。</w:t>
      </w:r>
    </w:p>
    <w:p>
      <w:pPr>
        <w:topLinePunct/>
        <w:spacing w:line="336" w:lineRule="auto"/>
        <w:ind w:left="562"/>
        <w:rPr>
          <w:rFonts w:ascii="宋体" w:hAnsi="宋体" w:cs="仿宋"/>
          <w:b/>
          <w:bCs/>
          <w:color w:val="auto"/>
          <w:highlight w:val="none"/>
        </w:rPr>
      </w:pPr>
      <w:r>
        <w:rPr>
          <w:rFonts w:hint="eastAsia" w:ascii="宋体" w:hAnsi="宋体" w:cs="仿宋"/>
          <w:b/>
          <w:bCs/>
          <w:color w:val="auto"/>
          <w:highlight w:val="none"/>
        </w:rPr>
        <w:t>八、争议解决方式</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因本合同而发生的争议或纠纷，甲乙双方应先协商解决，协商不成时可向甲方所在地的人民法院提起诉讼。</w:t>
      </w:r>
    </w:p>
    <w:p>
      <w:pPr>
        <w:topLinePunct/>
        <w:spacing w:line="336" w:lineRule="auto"/>
        <w:ind w:firstLine="422" w:firstLineChars="200"/>
        <w:rPr>
          <w:rFonts w:ascii="宋体" w:hAnsi="宋体" w:cs="仿宋"/>
          <w:b/>
          <w:bCs/>
          <w:color w:val="auto"/>
          <w:highlight w:val="none"/>
        </w:rPr>
      </w:pPr>
      <w:r>
        <w:rPr>
          <w:rFonts w:hint="eastAsia" w:ascii="宋体" w:hAnsi="宋体" w:cs="仿宋"/>
          <w:b/>
          <w:bCs/>
          <w:color w:val="auto"/>
          <w:highlight w:val="none"/>
        </w:rPr>
        <w:t>九、其他约定</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1、如因设备质量或原始标（警）示不清等原因，导致甲方损失，或造成甲方操作人员、第三方人员人身伤害，乙方应依法予以赔偿。</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2、本协议项下的通知和送达均应通过本协议列明的途径进行。上述文件应由专人传递或通过电子邮箱送达，如由专人传送，则于送达指定专人接收之日视为正式送交；如由电子邮箱送达，则以发出之日为准。任何一方变更地址或法定代表人或企业名称等相关信息时，应当提前3个工作日内以书面形式通知对方。本合同载明的联系方式/通讯地址也适用于双方争议处理过程中人民法院等第三方机构送达法律文书及文件的有效联系方式和送达地址。</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3、以下资料为本合同不可分割部分：（1）本合同所涉产品的国家标准及乙方宣传标准；（2）本产品的详细资料；（3）本套产品配置及配套设备报价详单；（4）本项目招投标文件、竞争性磋商文件、答疑文件及其他补充说明文件等招投标内容。</w:t>
      </w:r>
    </w:p>
    <w:p>
      <w:pPr>
        <w:topLinePunct/>
        <w:spacing w:line="336" w:lineRule="auto"/>
        <w:ind w:firstLine="420" w:firstLineChars="200"/>
        <w:rPr>
          <w:rFonts w:ascii="宋体" w:hAnsi="宋体" w:cs="仿宋"/>
          <w:color w:val="auto"/>
          <w:highlight w:val="none"/>
        </w:rPr>
      </w:pPr>
      <w:r>
        <w:rPr>
          <w:rFonts w:ascii="宋体" w:hAnsi="宋体" w:cs="仿宋"/>
          <w:color w:val="auto"/>
          <w:highlight w:val="none"/>
        </w:rPr>
        <w:t>4</w:t>
      </w:r>
      <w:r>
        <w:rPr>
          <w:rFonts w:hint="eastAsia" w:ascii="宋体" w:hAnsi="宋体" w:cs="仿宋"/>
          <w:color w:val="auto"/>
          <w:highlight w:val="none"/>
        </w:rPr>
        <w:t>、本合同一式肆份，甲方执三份、乙方执壹份，均具有同等法律效力。</w:t>
      </w:r>
    </w:p>
    <w:p>
      <w:pPr>
        <w:topLinePunct/>
        <w:spacing w:line="336" w:lineRule="auto"/>
        <w:ind w:firstLine="420" w:firstLineChars="200"/>
        <w:rPr>
          <w:rFonts w:ascii="宋体" w:hAnsi="宋体" w:cs="仿宋"/>
          <w:color w:val="auto"/>
          <w:highlight w:val="none"/>
        </w:rPr>
      </w:pPr>
      <w:r>
        <w:rPr>
          <w:rFonts w:ascii="宋体" w:hAnsi="宋体" w:cs="仿宋"/>
          <w:color w:val="auto"/>
          <w:highlight w:val="none"/>
        </w:rPr>
        <w:t>5</w:t>
      </w:r>
      <w:r>
        <w:rPr>
          <w:rFonts w:hint="eastAsia" w:ascii="宋体" w:hAnsi="宋体" w:cs="仿宋"/>
          <w:color w:val="auto"/>
          <w:highlight w:val="none"/>
        </w:rPr>
        <w:t>、本合同未尽事宜，由甲、乙双方另行签订补充协议。</w:t>
      </w:r>
    </w:p>
    <w:p>
      <w:pPr>
        <w:topLinePunct/>
        <w:spacing w:line="336" w:lineRule="auto"/>
        <w:ind w:firstLine="420" w:firstLineChars="200"/>
        <w:rPr>
          <w:rFonts w:ascii="宋体" w:hAnsi="宋体" w:cs="仿宋"/>
          <w:color w:val="auto"/>
          <w:highlight w:val="none"/>
        </w:rPr>
      </w:pPr>
      <w:r>
        <w:rPr>
          <w:rFonts w:ascii="宋体" w:hAnsi="宋体" w:cs="仿宋"/>
          <w:color w:val="auto"/>
          <w:highlight w:val="none"/>
        </w:rPr>
        <w:t>6</w:t>
      </w:r>
      <w:r>
        <w:rPr>
          <w:rFonts w:hint="eastAsia" w:ascii="宋体" w:hAnsi="宋体" w:cs="仿宋"/>
          <w:color w:val="auto"/>
          <w:highlight w:val="none"/>
        </w:rPr>
        <w:t>、本合同自甲、乙双方盖章或签字之日起生效。</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（以下无正文）</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甲  方（公章）                       乙  方（公章）</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法定代表人：（签字）                  法定代表人：（签字）</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代理人：（签字）                       代理人：（签字）</w:t>
      </w:r>
    </w:p>
    <w:p>
      <w:pPr>
        <w:topLinePunct/>
        <w:spacing w:line="336" w:lineRule="auto"/>
        <w:ind w:firstLine="420" w:firstLineChars="200"/>
        <w:rPr>
          <w:rFonts w:ascii="宋体" w:hAnsi="宋体" w:cs="仿宋"/>
          <w:color w:val="auto"/>
          <w:highlight w:val="none"/>
        </w:rPr>
      </w:pPr>
      <w:r>
        <w:rPr>
          <w:rFonts w:hint="eastAsia" w:ascii="宋体" w:hAnsi="宋体" w:cs="仿宋"/>
          <w:color w:val="auto"/>
          <w:highlight w:val="none"/>
        </w:rPr>
        <w:t>签订日期： 年   月   日              签订日期：  年   月   日</w:t>
      </w:r>
    </w:p>
    <w:p>
      <w:pPr>
        <w:spacing w:line="336" w:lineRule="auto"/>
        <w:rPr>
          <w:rFonts w:ascii="宋体" w:hAnsi="宋体" w:cs="仿宋"/>
          <w:color w:val="auto"/>
          <w:highlight w:val="none"/>
        </w:rPr>
      </w:pPr>
    </w:p>
    <w:p>
      <w:pPr>
        <w:pStyle w:val="2"/>
        <w:rPr>
          <w:color w:val="auto"/>
          <w:highlight w:val="none"/>
        </w:rPr>
      </w:pPr>
    </w:p>
    <w:p>
      <w:pPr>
        <w:pStyle w:val="2"/>
        <w:rPr>
          <w:color w:val="auto"/>
          <w:highlight w:val="none"/>
        </w:rPr>
      </w:pPr>
    </w:p>
    <w:p>
      <w:pPr>
        <w:spacing w:line="336" w:lineRule="auto"/>
        <w:ind w:firstLine="310" w:firstLineChars="147"/>
        <w:rPr>
          <w:rFonts w:ascii="宋体" w:hAnsi="宋体" w:cs="仿宋"/>
          <w:b/>
          <w:color w:val="auto"/>
          <w:highlight w:val="none"/>
        </w:rPr>
      </w:pPr>
      <w:r>
        <w:rPr>
          <w:rFonts w:hint="eastAsia" w:ascii="宋体" w:hAnsi="宋体" w:cs="仿宋"/>
          <w:b/>
          <w:color w:val="auto"/>
          <w:highlight w:val="none"/>
        </w:rPr>
        <w:t>附件：投标文件中的配置清单</w:t>
      </w:r>
    </w:p>
    <w:p>
      <w:pPr>
        <w:spacing w:line="336" w:lineRule="auto"/>
        <w:rPr>
          <w:rFonts w:ascii="宋体" w:hAnsi="宋体" w:cs="仿宋"/>
          <w:b/>
          <w:color w:val="auto"/>
          <w:highlight w:val="none"/>
        </w:rPr>
      </w:pPr>
    </w:p>
    <w:p>
      <w:pPr>
        <w:spacing w:line="360" w:lineRule="auto"/>
        <w:rPr>
          <w:rFonts w:ascii="宋体" w:hAnsi="宋体"/>
          <w:b/>
          <w:bCs/>
          <w:color w:val="auto"/>
          <w:sz w:val="32"/>
          <w:szCs w:val="32"/>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jc w:val="right"/>
        <w:rPr>
          <w:color w:val="auto"/>
          <w:highlight w:val="none"/>
        </w:rPr>
      </w:pPr>
    </w:p>
    <w:p>
      <w:pPr>
        <w:snapToGrid w:val="0"/>
        <w:spacing w:line="360" w:lineRule="auto"/>
        <w:jc w:val="center"/>
        <w:rPr>
          <w:rFonts w:ascii="宋体" w:hAnsi="宋体"/>
          <w:b/>
          <w:bCs/>
          <w:color w:val="auto"/>
          <w:highlight w:val="none"/>
        </w:rPr>
      </w:pPr>
      <w:r>
        <w:rPr>
          <w:rFonts w:hint="eastAsia" w:ascii="宋体" w:hAnsi="宋体"/>
          <w:b/>
          <w:bCs/>
          <w:color w:val="auto"/>
          <w:highlight w:val="none"/>
        </w:rPr>
        <w:t>陕西省政府采购供应商</w:t>
      </w:r>
    </w:p>
    <w:p>
      <w:pPr>
        <w:snapToGrid w:val="0"/>
        <w:spacing w:line="360" w:lineRule="auto"/>
        <w:jc w:val="center"/>
        <w:rPr>
          <w:rFonts w:ascii="宋体" w:hAnsi="宋体"/>
          <w:b/>
          <w:bCs/>
          <w:color w:val="auto"/>
          <w:highlight w:val="none"/>
        </w:rPr>
      </w:pPr>
      <w:r>
        <w:rPr>
          <w:rFonts w:hint="eastAsia" w:ascii="宋体" w:hAnsi="宋体"/>
          <w:b/>
          <w:bCs/>
          <w:color w:val="auto"/>
          <w:highlight w:val="none"/>
        </w:rPr>
        <w:t>拒绝政府采购领域商业贿赂承诺书</w:t>
      </w:r>
    </w:p>
    <w:p>
      <w:pPr>
        <w:snapToGrid w:val="0"/>
        <w:spacing w:line="360" w:lineRule="auto"/>
        <w:ind w:firstLine="420" w:firstLineChars="200"/>
        <w:rPr>
          <w:rFonts w:ascii="宋体" w:hAnsi="宋体"/>
          <w:color w:val="auto"/>
          <w:highlight w:val="none"/>
        </w:rPr>
      </w:pPr>
    </w:p>
    <w:p>
      <w:pPr>
        <w:snapToGrid w:val="0"/>
        <w:spacing w:line="360" w:lineRule="auto"/>
        <w:ind w:firstLine="420" w:firstLineChars="200"/>
        <w:rPr>
          <w:rFonts w:ascii="宋体" w:hAnsi="宋体"/>
          <w:b/>
          <w:bCs/>
          <w:color w:val="auto"/>
          <w:highlight w:val="none"/>
        </w:rPr>
      </w:pPr>
      <w:r>
        <w:rPr>
          <w:rFonts w:hint="eastAsia" w:ascii="宋体" w:hAnsi="宋体"/>
          <w:color w:val="auto"/>
          <w:highlight w:val="none"/>
        </w:rPr>
        <w:t>为响应党中央、国务院关于治理政府采购领域商业贿赂行为的号召，我公司在此承诺：</w:t>
      </w:r>
    </w:p>
    <w:p>
      <w:pPr>
        <w:snapToGrid w:val="0"/>
        <w:spacing w:line="360" w:lineRule="auto"/>
        <w:ind w:firstLine="420" w:firstLineChars="200"/>
        <w:rPr>
          <w:rFonts w:ascii="宋体" w:hAnsi="宋体"/>
          <w:color w:val="auto"/>
          <w:highlight w:val="none"/>
        </w:rPr>
      </w:pPr>
      <w:r>
        <w:rPr>
          <w:rFonts w:hint="eastAsia" w:ascii="宋体" w:hAnsi="宋体"/>
          <w:color w:val="auto"/>
          <w:highlight w:val="none"/>
        </w:rPr>
        <w:t>一、在参与政府采购活动中遵纪守法、诚信经营、公平竞标。</w:t>
      </w:r>
    </w:p>
    <w:p>
      <w:pPr>
        <w:snapToGrid w:val="0"/>
        <w:spacing w:line="360" w:lineRule="auto"/>
        <w:ind w:firstLine="420" w:firstLineChars="200"/>
        <w:rPr>
          <w:rFonts w:ascii="宋体" w:hAnsi="宋体"/>
          <w:b/>
          <w:bCs/>
          <w:color w:val="auto"/>
          <w:highlight w:val="none"/>
        </w:rPr>
      </w:pPr>
      <w:r>
        <w:rPr>
          <w:rFonts w:hint="eastAsia" w:ascii="宋体" w:hAnsi="宋体"/>
          <w:color w:val="auto"/>
          <w:highlight w:val="none"/>
        </w:rPr>
        <w:t>二、不向政府采购人、采购代理机构和政府采购评审专家进行任何形式的商业贿赂以谋取交易机会。</w:t>
      </w:r>
    </w:p>
    <w:p>
      <w:pPr>
        <w:snapToGrid w:val="0"/>
        <w:spacing w:line="360" w:lineRule="auto"/>
        <w:ind w:firstLine="420" w:firstLineChars="200"/>
        <w:rPr>
          <w:rFonts w:ascii="宋体" w:hAnsi="宋体"/>
          <w:b/>
          <w:bCs/>
          <w:color w:val="auto"/>
          <w:highlight w:val="none"/>
        </w:rPr>
      </w:pPr>
      <w:r>
        <w:rPr>
          <w:rFonts w:hint="eastAsia" w:ascii="宋体" w:hAnsi="宋体"/>
          <w:color w:val="auto"/>
          <w:highlight w:val="none"/>
        </w:rPr>
        <w:t>三、不向政府采购代理机构和采购人提供虚假资质文件或采用虚假应标方式参与政府采购市场竞争并谋取中标、成交。</w:t>
      </w:r>
    </w:p>
    <w:p>
      <w:pPr>
        <w:snapToGrid w:val="0"/>
        <w:spacing w:line="360" w:lineRule="auto"/>
        <w:ind w:firstLine="420" w:firstLineChars="200"/>
        <w:rPr>
          <w:rFonts w:ascii="宋体" w:hAnsi="宋体"/>
          <w:color w:val="auto"/>
          <w:highlight w:val="none"/>
        </w:rPr>
      </w:pPr>
      <w:r>
        <w:rPr>
          <w:rFonts w:hint="eastAsia" w:ascii="宋体" w:hAnsi="宋体"/>
          <w:color w:val="auto"/>
          <w:highlight w:val="none"/>
        </w:rPr>
        <w:t>四、不采取“围标、陪标”等商业欺诈手段获取政府采购订单；</w:t>
      </w:r>
    </w:p>
    <w:p>
      <w:pPr>
        <w:snapToGrid w:val="0"/>
        <w:spacing w:line="360" w:lineRule="auto"/>
        <w:ind w:firstLine="420" w:firstLineChars="200"/>
        <w:rPr>
          <w:rFonts w:ascii="宋体" w:hAnsi="宋体"/>
          <w:b/>
          <w:bCs/>
          <w:color w:val="auto"/>
          <w:highlight w:val="none"/>
        </w:rPr>
      </w:pPr>
      <w:r>
        <w:rPr>
          <w:rFonts w:hint="eastAsia" w:ascii="宋体" w:hAnsi="宋体"/>
          <w:color w:val="auto"/>
          <w:highlight w:val="none"/>
        </w:rPr>
        <w:t>五、不采取不正当手段诋毁、排挤其他供应商。</w:t>
      </w:r>
    </w:p>
    <w:p>
      <w:pPr>
        <w:snapToGrid w:val="0"/>
        <w:spacing w:line="360" w:lineRule="auto"/>
        <w:ind w:firstLine="420" w:firstLineChars="200"/>
        <w:rPr>
          <w:rFonts w:ascii="宋体" w:hAnsi="宋体"/>
          <w:b/>
          <w:bCs/>
          <w:color w:val="auto"/>
          <w:highlight w:val="none"/>
        </w:rPr>
      </w:pPr>
      <w:r>
        <w:rPr>
          <w:rFonts w:hint="eastAsia" w:ascii="宋体" w:hAnsi="宋体"/>
          <w:color w:val="auto"/>
          <w:highlight w:val="none"/>
        </w:rPr>
        <w:t>六、不在提供商品和服务时“偷梁换柱、以次充好”损害采购人的合法权益。</w:t>
      </w:r>
    </w:p>
    <w:p>
      <w:pPr>
        <w:snapToGrid w:val="0"/>
        <w:spacing w:line="360" w:lineRule="auto"/>
        <w:ind w:firstLine="420" w:firstLineChars="200"/>
        <w:rPr>
          <w:rFonts w:ascii="宋体" w:hAnsi="宋体"/>
          <w:b/>
          <w:bCs/>
          <w:color w:val="auto"/>
          <w:highlight w:val="none"/>
        </w:rPr>
      </w:pPr>
      <w:r>
        <w:rPr>
          <w:rFonts w:hint="eastAsia" w:ascii="宋体" w:hAnsi="宋体"/>
          <w:color w:val="auto"/>
          <w:highlight w:val="none"/>
        </w:rPr>
        <w:t>七、不与采购人、采购代理机构、政府采购评审专家或其他供应商恶意串通，进行质疑和投诉，维护政府采购市场秩序。</w:t>
      </w:r>
    </w:p>
    <w:p>
      <w:pPr>
        <w:snapToGrid w:val="0"/>
        <w:spacing w:line="360" w:lineRule="auto"/>
        <w:ind w:firstLine="420" w:firstLineChars="200"/>
        <w:rPr>
          <w:rFonts w:ascii="宋体" w:hAnsi="宋体"/>
          <w:b/>
          <w:bCs/>
          <w:color w:val="auto"/>
          <w:highlight w:val="none"/>
        </w:rPr>
      </w:pPr>
      <w:r>
        <w:rPr>
          <w:rFonts w:hint="eastAsia" w:ascii="宋体" w:hAnsi="宋体"/>
          <w:color w:val="auto"/>
          <w:highlight w:val="none"/>
        </w:rPr>
        <w:t>八、尊重和接受政府采购监督管理部门的监督和政府采购代理机构招标采购要求，承担因违约行为给采购人造成的损失。</w:t>
      </w:r>
    </w:p>
    <w:p>
      <w:pPr>
        <w:snapToGrid w:val="0"/>
        <w:spacing w:line="360" w:lineRule="auto"/>
        <w:ind w:firstLine="420" w:firstLineChars="200"/>
        <w:rPr>
          <w:rFonts w:ascii="宋体" w:hAnsi="宋体"/>
          <w:b/>
          <w:bCs/>
          <w:color w:val="auto"/>
          <w:highlight w:val="none"/>
        </w:rPr>
      </w:pPr>
      <w:r>
        <w:rPr>
          <w:rFonts w:hint="eastAsia" w:ascii="宋体" w:hAnsi="宋体"/>
          <w:color w:val="auto"/>
          <w:highlight w:val="none"/>
        </w:rPr>
        <w:t>九、不发生其他有悖于政府采购公开、公平、公正和诚信原则的行为。</w:t>
      </w:r>
    </w:p>
    <w:p>
      <w:pPr>
        <w:snapToGrid w:val="0"/>
        <w:spacing w:line="360" w:lineRule="auto"/>
        <w:ind w:left="482"/>
        <w:rPr>
          <w:rFonts w:ascii="宋体" w:hAnsi="宋体"/>
          <w:color w:val="auto"/>
          <w:highlight w:val="none"/>
        </w:rPr>
      </w:pPr>
      <w:r>
        <w:rPr>
          <w:rFonts w:hint="eastAsia" w:ascii="宋体" w:hAnsi="宋体"/>
          <w:color w:val="auto"/>
          <w:highlight w:val="none"/>
        </w:rPr>
        <w:t>承诺单位：（盖章）</w:t>
      </w:r>
    </w:p>
    <w:p>
      <w:pPr>
        <w:snapToGrid w:val="0"/>
        <w:spacing w:line="360" w:lineRule="auto"/>
        <w:ind w:left="482"/>
        <w:rPr>
          <w:rFonts w:ascii="宋体" w:hAnsi="宋体"/>
          <w:color w:val="auto"/>
          <w:highlight w:val="none"/>
        </w:rPr>
      </w:pPr>
      <w:r>
        <w:rPr>
          <w:rFonts w:hint="eastAsia" w:ascii="宋体" w:hAnsi="宋体"/>
          <w:color w:val="auto"/>
          <w:highlight w:val="none"/>
        </w:rPr>
        <w:t>法定代表人或被授权人：（签字或盖章）</w:t>
      </w:r>
    </w:p>
    <w:p>
      <w:pPr>
        <w:snapToGrid w:val="0"/>
        <w:spacing w:line="360" w:lineRule="auto"/>
        <w:ind w:left="482"/>
        <w:rPr>
          <w:rFonts w:ascii="宋体" w:hAnsi="宋体"/>
          <w:color w:val="auto"/>
          <w:highlight w:val="none"/>
        </w:rPr>
      </w:pPr>
      <w:r>
        <w:rPr>
          <w:rFonts w:hint="eastAsia" w:ascii="宋体" w:hAnsi="宋体"/>
          <w:color w:val="auto"/>
          <w:highlight w:val="none"/>
        </w:rPr>
        <w:t xml:space="preserve">地址：                             </w:t>
      </w:r>
    </w:p>
    <w:p>
      <w:pPr>
        <w:snapToGrid w:val="0"/>
        <w:spacing w:line="360" w:lineRule="auto"/>
        <w:ind w:left="482"/>
        <w:rPr>
          <w:rFonts w:ascii="宋体" w:hAnsi="宋体"/>
          <w:color w:val="auto"/>
          <w:highlight w:val="none"/>
        </w:rPr>
      </w:pPr>
      <w:r>
        <w:rPr>
          <w:rFonts w:hint="eastAsia" w:ascii="宋体" w:hAnsi="宋体"/>
          <w:color w:val="auto"/>
          <w:highlight w:val="none"/>
        </w:rPr>
        <w:t xml:space="preserve">电话：     </w:t>
      </w:r>
    </w:p>
    <w:p>
      <w:pPr>
        <w:snapToGrid w:val="0"/>
        <w:spacing w:line="360" w:lineRule="auto"/>
        <w:ind w:left="482"/>
        <w:rPr>
          <w:rFonts w:ascii="宋体" w:hAnsi="宋体"/>
          <w:color w:val="auto"/>
          <w:highlight w:val="none"/>
        </w:rPr>
      </w:pPr>
      <w:r>
        <w:rPr>
          <w:rFonts w:hint="eastAsia" w:ascii="宋体" w:hAnsi="宋体"/>
          <w:color w:val="auto"/>
          <w:highlight w:val="none"/>
        </w:rPr>
        <w:t xml:space="preserve">邮编：                                   </w:t>
      </w:r>
    </w:p>
    <w:p>
      <w:pPr>
        <w:spacing w:line="360" w:lineRule="auto"/>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 xml:space="preserve">    年    月    日</w:t>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br w:type="page"/>
      </w:r>
    </w:p>
    <w:p>
      <w:pPr>
        <w:pStyle w:val="3"/>
        <w:jc w:val="center"/>
        <w:rPr>
          <w:rFonts w:ascii="宋体" w:hAnsi="宋体" w:cs="宋体"/>
          <w:color w:val="auto"/>
          <w:sz w:val="32"/>
          <w:szCs w:val="32"/>
          <w:highlight w:val="none"/>
        </w:rPr>
      </w:pPr>
      <w:bookmarkStart w:id="31" w:name="_Toc108168986"/>
      <w:r>
        <w:rPr>
          <w:rFonts w:hint="eastAsia" w:ascii="宋体" w:hAnsi="宋体" w:cs="宋体"/>
          <w:color w:val="auto"/>
          <w:sz w:val="32"/>
          <w:szCs w:val="32"/>
          <w:highlight w:val="none"/>
        </w:rPr>
        <w:t>第五章  招标内容</w:t>
      </w:r>
      <w:bookmarkEnd w:id="31"/>
    </w:p>
    <w:p>
      <w:pPr>
        <w:adjustRightInd w:val="0"/>
        <w:snapToGrid w:val="0"/>
        <w:spacing w:line="500" w:lineRule="exact"/>
        <w:ind w:firstLine="422" w:firstLineChars="20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一、</w:t>
      </w:r>
      <w:r>
        <w:rPr>
          <w:rFonts w:asciiTheme="minorEastAsia" w:hAnsiTheme="minorEastAsia" w:eastAsiaTheme="minorEastAsia"/>
          <w:b/>
          <w:color w:val="auto"/>
          <w:highlight w:val="none"/>
        </w:rPr>
        <w:t>说明</w:t>
      </w:r>
    </w:p>
    <w:p>
      <w:pPr>
        <w:tabs>
          <w:tab w:val="left" w:pos="720"/>
        </w:tabs>
        <w:adjustRightInd w:val="0"/>
        <w:snapToGrid w:val="0"/>
        <w:spacing w:line="5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1.1 投标供应商应仔细阅读技术要求中规定的所有条款，包括各项技术规格，并且应全部做出响应。</w:t>
      </w:r>
    </w:p>
    <w:p>
      <w:pPr>
        <w:tabs>
          <w:tab w:val="left" w:pos="720"/>
        </w:tabs>
        <w:adjustRightInd w:val="0"/>
        <w:snapToGrid w:val="0"/>
        <w:spacing w:line="5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1.2 本要求提供的是基本的技术要求，并未对一切技术细节做出规定，也未充分引述有关标准和规范的条文；招标技术文件中涉及的货物（设备、产品）参考型号仅仅是为了准确描述采购人对所需货物（设备、产品）的技术要求，并不对投标供应商的投标构成品牌限制。投标供应商技术指标高于“技术要求”的或不满足“技术要求”，但非实质性偏离的（即不影响产品的主要性能），都将在技术评审时得到体现。</w:t>
      </w:r>
    </w:p>
    <w:p>
      <w:pPr>
        <w:tabs>
          <w:tab w:val="left" w:pos="720"/>
        </w:tabs>
        <w:adjustRightInd w:val="0"/>
        <w:snapToGrid w:val="0"/>
        <w:spacing w:line="5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1.3 投标供应商所提供的所有技术文件除非在技术要求中另作规定外，还必须符合以下三种标准中的一种标准的要求：</w:t>
      </w:r>
    </w:p>
    <w:p>
      <w:pPr>
        <w:tabs>
          <w:tab w:val="left" w:pos="720"/>
        </w:tabs>
        <w:adjustRightInd w:val="0"/>
        <w:snapToGrid w:val="0"/>
        <w:spacing w:line="5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（1）现行的中国国家标准；</w:t>
      </w:r>
    </w:p>
    <w:p>
      <w:pPr>
        <w:tabs>
          <w:tab w:val="left" w:pos="720"/>
        </w:tabs>
        <w:adjustRightInd w:val="0"/>
        <w:snapToGrid w:val="0"/>
        <w:spacing w:line="5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（2）部颁标准；</w:t>
      </w:r>
    </w:p>
    <w:p>
      <w:pPr>
        <w:tabs>
          <w:tab w:val="left" w:pos="720"/>
        </w:tabs>
        <w:adjustRightInd w:val="0"/>
        <w:snapToGrid w:val="0"/>
        <w:spacing w:line="5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（3）通用国际标准。</w:t>
      </w:r>
    </w:p>
    <w:p>
      <w:pPr>
        <w:tabs>
          <w:tab w:val="left" w:pos="720"/>
        </w:tabs>
        <w:adjustRightInd w:val="0"/>
        <w:snapToGrid w:val="0"/>
        <w:spacing w:line="5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1.4 投标供应商所提供货物（设备、产品）的设计、生产、性能、材料的选择和材料的检验及货物（设备、产品）的测试等，都应按国内外通用的现行标准和相应的技术规范执行。而这些标准和技术规范应为合同签字日为止最新公布发行的标准和技术规范。</w:t>
      </w:r>
    </w:p>
    <w:p>
      <w:pPr>
        <w:tabs>
          <w:tab w:val="left" w:pos="720"/>
        </w:tabs>
        <w:adjustRightInd w:val="0"/>
        <w:snapToGrid w:val="0"/>
        <w:spacing w:line="5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1.5 投标供应商提供货物（设备、产品）所使用的度量衡单位除技术要求中另有规定外，应统一用公制单位。</w:t>
      </w:r>
    </w:p>
    <w:p>
      <w:pPr>
        <w:pStyle w:val="57"/>
        <w:spacing w:line="500" w:lineRule="exact"/>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1.6 国家规定必须经过国家强制认证的产品，应当经国家指定的认证机构认证合格、取得指定认证机构颁发的认证证书，其产品应加施认证标志，投标文件中必须提供有效的认证合格证书复印件。</w:t>
      </w:r>
    </w:p>
    <w:p>
      <w:pPr>
        <w:adjustRightInd w:val="0"/>
        <w:snapToGrid w:val="0"/>
        <w:spacing w:line="5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1.7 投标供应商提供的所有技术文件、资料、图样都应优先使用中文，字迹清楚，内容完整，采用中国相应国家标准规定的通用图形的符号。</w:t>
      </w:r>
    </w:p>
    <w:p>
      <w:pPr>
        <w:spacing w:line="5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1.8 投标供应商提供的货物必须是全新的，未使用的。</w:t>
      </w:r>
    </w:p>
    <w:p>
      <w:pPr>
        <w:spacing w:line="48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1.9 凡涉及专利权、非专利技术、生产许可证、特许经营权、商标权、版权、计算机软件等无形资产的，应是投标供应商或投标供应商授权单位所有。</w:t>
      </w:r>
    </w:p>
    <w:p>
      <w:pPr>
        <w:adjustRightInd w:val="0"/>
        <w:snapToGrid w:val="0"/>
        <w:spacing w:line="480" w:lineRule="exact"/>
        <w:ind w:firstLine="420" w:firstLineChars="200"/>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t>二、</w:t>
      </w:r>
      <w:r>
        <w:rPr>
          <w:rFonts w:asciiTheme="minorEastAsia" w:hAnsiTheme="minorEastAsia" w:eastAsiaTheme="minorEastAsia"/>
          <w:b/>
          <w:color w:val="auto"/>
          <w:highlight w:val="none"/>
        </w:rPr>
        <w:t>技术文件要求</w:t>
      </w:r>
    </w:p>
    <w:p>
      <w:pPr>
        <w:adjustRightInd w:val="0"/>
        <w:snapToGrid w:val="0"/>
        <w:spacing w:line="48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2.1 投标文件要求</w:t>
      </w:r>
    </w:p>
    <w:p>
      <w:pPr>
        <w:adjustRightInd w:val="0"/>
        <w:snapToGrid w:val="0"/>
        <w:spacing w:line="480" w:lineRule="exact"/>
        <w:ind w:firstLine="420" w:firstLineChars="200"/>
        <w:rPr>
          <w:color w:val="auto"/>
          <w:highlight w:val="none"/>
        </w:rPr>
      </w:pPr>
      <w:r>
        <w:rPr>
          <w:rFonts w:asciiTheme="minorEastAsia" w:hAnsiTheme="minorEastAsia" w:eastAsiaTheme="minorEastAsia"/>
          <w:color w:val="auto"/>
          <w:highlight w:val="none"/>
        </w:rPr>
        <w:t>2.1.1 投标供应商务必在投标文件中明确所报价货物（设备、产品）的型号、商标名称</w:t>
      </w:r>
      <w:r>
        <w:rPr>
          <w:color w:val="auto"/>
          <w:highlight w:val="none"/>
        </w:rPr>
        <w:t>及生产厂家、产地。</w:t>
      </w:r>
    </w:p>
    <w:p>
      <w:pPr>
        <w:adjustRightInd w:val="0"/>
        <w:snapToGrid w:val="0"/>
        <w:spacing w:line="480" w:lineRule="exact"/>
        <w:ind w:firstLine="420" w:firstLineChars="200"/>
        <w:rPr>
          <w:color w:val="auto"/>
          <w:highlight w:val="none"/>
        </w:rPr>
      </w:pPr>
      <w:r>
        <w:rPr>
          <w:color w:val="auto"/>
          <w:highlight w:val="none"/>
        </w:rPr>
        <w:t>2.1.2 投标供应商在投标文件中必须提供与报价货物型号一致的由生产厂家确认的、相应的功能证明材料（包括但不限于权威机构出具的检验报告、产品彩页、产品说明书、官网和功能截图等），且所提供的资料中必须体现报价产品的主要技术参数规格等指标，并以此作为技术评议的重要依据。</w:t>
      </w:r>
    </w:p>
    <w:p>
      <w:pPr>
        <w:adjustRightInd w:val="0"/>
        <w:snapToGrid w:val="0"/>
        <w:spacing w:line="480" w:lineRule="exact"/>
        <w:ind w:firstLine="420" w:firstLineChars="200"/>
        <w:rPr>
          <w:color w:val="auto"/>
          <w:highlight w:val="none"/>
        </w:rPr>
      </w:pPr>
      <w:r>
        <w:rPr>
          <w:color w:val="auto"/>
          <w:highlight w:val="none"/>
        </w:rPr>
        <w:t>2.1.3 投标供应商提供的所有技术文件、资料、图样都应优先使用中文，字迹清楚，内容完整，采用中国相应国家标准规定的通用图形的符号。</w:t>
      </w:r>
    </w:p>
    <w:p>
      <w:pPr>
        <w:adjustRightInd w:val="0"/>
        <w:snapToGrid w:val="0"/>
        <w:spacing w:line="480" w:lineRule="exact"/>
        <w:ind w:firstLine="420" w:firstLineChars="200"/>
        <w:rPr>
          <w:color w:val="auto"/>
          <w:highlight w:val="none"/>
        </w:rPr>
      </w:pPr>
      <w:r>
        <w:rPr>
          <w:color w:val="auto"/>
          <w:highlight w:val="none"/>
        </w:rPr>
        <w:t>2.1.4 投标供应商所提供的物品的技术规格应与每一货物（设备、产品）所要求的相符。投标供应商应根据投标产品的正式出版样本如实逐项填写技术规格响应偏离表。</w:t>
      </w:r>
    </w:p>
    <w:p>
      <w:pPr>
        <w:adjustRightInd w:val="0"/>
        <w:snapToGrid w:val="0"/>
        <w:spacing w:line="480" w:lineRule="exact"/>
        <w:ind w:firstLine="420" w:firstLineChars="200"/>
        <w:rPr>
          <w:color w:val="auto"/>
          <w:highlight w:val="none"/>
        </w:rPr>
      </w:pPr>
      <w:r>
        <w:rPr>
          <w:color w:val="auto"/>
          <w:highlight w:val="none"/>
        </w:rPr>
        <w:t>2.2 在评标过程中，评委有权索取任何有关本次评标所需的相关资料，投标供应商在接到此类要求时，务必在规定的时间内，迅速给予答复，无答复的投标，将视为无效投标。</w:t>
      </w:r>
    </w:p>
    <w:p>
      <w:pPr>
        <w:adjustRightInd w:val="0"/>
        <w:snapToGrid w:val="0"/>
        <w:spacing w:line="480" w:lineRule="exact"/>
        <w:ind w:firstLine="420" w:firstLineChars="200"/>
        <w:rPr>
          <w:color w:val="auto"/>
          <w:highlight w:val="none"/>
        </w:rPr>
      </w:pPr>
      <w:r>
        <w:rPr>
          <w:color w:val="auto"/>
          <w:highlight w:val="none"/>
        </w:rPr>
        <w:t>2.3 工作条件要求</w:t>
      </w:r>
    </w:p>
    <w:p>
      <w:pPr>
        <w:adjustRightInd w:val="0"/>
        <w:snapToGrid w:val="0"/>
        <w:spacing w:line="480" w:lineRule="exact"/>
        <w:ind w:firstLine="420" w:firstLineChars="200"/>
        <w:rPr>
          <w:color w:val="auto"/>
          <w:highlight w:val="none"/>
        </w:rPr>
      </w:pPr>
      <w:r>
        <w:rPr>
          <w:color w:val="auto"/>
          <w:highlight w:val="none"/>
        </w:rPr>
        <w:t>除非该品目在技术要求中另有说明外，所有仪器、货物（设备、产品）和装置均应适合国家标准或行业标准规定的使用、运行条件。</w:t>
      </w:r>
    </w:p>
    <w:p>
      <w:pPr>
        <w:adjustRightInd w:val="0"/>
        <w:snapToGrid w:val="0"/>
        <w:spacing w:beforeLines="50" w:line="360" w:lineRule="auto"/>
        <w:ind w:firstLine="422" w:firstLineChars="200"/>
        <w:rPr>
          <w:b/>
          <w:color w:val="auto"/>
          <w:highlight w:val="none"/>
        </w:rPr>
      </w:pPr>
      <w:r>
        <w:rPr>
          <w:rFonts w:hint="eastAsia"/>
          <w:b/>
          <w:color w:val="auto"/>
          <w:highlight w:val="none"/>
        </w:rPr>
        <w:t>三、</w:t>
      </w:r>
      <w:r>
        <w:rPr>
          <w:b/>
          <w:color w:val="auto"/>
          <w:highlight w:val="none"/>
        </w:rPr>
        <w:t>采购需求</w:t>
      </w:r>
      <w:r>
        <w:rPr>
          <w:rFonts w:hint="eastAsia"/>
          <w:b/>
          <w:color w:val="auto"/>
          <w:highlight w:val="none"/>
        </w:rPr>
        <w:t>及参数</w:t>
      </w:r>
    </w:p>
    <w:tbl>
      <w:tblPr>
        <w:tblStyle w:val="25"/>
        <w:tblW w:w="8817" w:type="dxa"/>
        <w:jc w:val="center"/>
        <w:tblLayout w:type="fixed"/>
        <w:tblCellMar>
          <w:top w:w="0" w:type="dxa"/>
          <w:left w:w="30" w:type="dxa"/>
          <w:bottom w:w="0" w:type="dxa"/>
          <w:right w:w="30" w:type="dxa"/>
        </w:tblCellMar>
      </w:tblPr>
      <w:tblGrid>
        <w:gridCol w:w="2510"/>
        <w:gridCol w:w="1418"/>
        <w:gridCol w:w="1417"/>
        <w:gridCol w:w="1559"/>
        <w:gridCol w:w="1913"/>
      </w:tblGrid>
      <w:tr>
        <w:tblPrEx>
          <w:tblCellMar>
            <w:top w:w="0" w:type="dxa"/>
            <w:left w:w="30" w:type="dxa"/>
            <w:bottom w:w="0" w:type="dxa"/>
            <w:right w:w="30" w:type="dxa"/>
          </w:tblCellMar>
        </w:tblPrEx>
        <w:trPr>
          <w:trHeight w:val="424"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spacing w:line="360" w:lineRule="auto"/>
              <w:jc w:val="center"/>
              <w:rPr>
                <w:rFonts w:ascii="宋体" w:cs="宋体"/>
                <w:b/>
                <w:bCs/>
                <w:color w:val="auto"/>
                <w:kern w:val="0"/>
                <w:highlight w:val="none"/>
              </w:rPr>
            </w:pPr>
            <w:r>
              <w:rPr>
                <w:rFonts w:hint="eastAsia" w:ascii="宋体" w:cs="宋体"/>
                <w:b/>
                <w:bCs/>
                <w:color w:val="auto"/>
                <w:kern w:val="0"/>
                <w:highlight w:val="none"/>
              </w:rPr>
              <w:t>采购标的</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宋体" w:cs="宋体"/>
                <w:b/>
                <w:bCs/>
                <w:color w:val="auto"/>
                <w:kern w:val="0"/>
                <w:highlight w:val="none"/>
              </w:rPr>
            </w:pPr>
            <w:r>
              <w:rPr>
                <w:rFonts w:hint="eastAsia" w:ascii="宋体" w:cs="宋体"/>
                <w:b/>
                <w:bCs/>
                <w:color w:val="auto"/>
                <w:kern w:val="0"/>
                <w:highlight w:val="none"/>
              </w:rPr>
              <w:t>数量   （台）</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autoSpaceDE w:val="0"/>
              <w:autoSpaceDN w:val="0"/>
              <w:adjustRightInd w:val="0"/>
              <w:spacing w:line="360" w:lineRule="auto"/>
              <w:jc w:val="center"/>
              <w:rPr>
                <w:rFonts w:ascii="宋体" w:cs="宋体"/>
                <w:b/>
                <w:bCs/>
                <w:color w:val="auto"/>
                <w:kern w:val="0"/>
                <w:highlight w:val="none"/>
              </w:rPr>
            </w:pPr>
            <w:r>
              <w:rPr>
                <w:rFonts w:hint="eastAsia" w:ascii="宋体" w:cs="宋体"/>
                <w:b/>
                <w:bCs/>
                <w:color w:val="auto"/>
                <w:kern w:val="0"/>
                <w:highlight w:val="none"/>
              </w:rPr>
              <w:t>预算金额        （万元）</w:t>
            </w:r>
          </w:p>
        </w:tc>
        <w:tc>
          <w:tcPr>
            <w:tcW w:w="1559"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宋体" w:cs="宋体"/>
                <w:b/>
                <w:bCs/>
                <w:color w:val="auto"/>
                <w:kern w:val="0"/>
                <w:highlight w:val="none"/>
              </w:rPr>
            </w:pPr>
            <w:r>
              <w:rPr>
                <w:rFonts w:hint="eastAsia" w:ascii="宋体" w:cs="宋体"/>
                <w:b/>
                <w:bCs/>
                <w:color w:val="auto"/>
                <w:kern w:val="0"/>
                <w:highlight w:val="none"/>
              </w:rPr>
              <w:t>预算金额合计        （万元）</w:t>
            </w:r>
          </w:p>
        </w:tc>
        <w:tc>
          <w:tcPr>
            <w:tcW w:w="1913" w:type="dxa"/>
            <w:tcBorders>
              <w:top w:val="single" w:color="auto" w:sz="6" w:space="0"/>
              <w:left w:val="single" w:color="auto" w:sz="4" w:space="0"/>
              <w:bottom w:val="single" w:color="auto" w:sz="6" w:space="0"/>
              <w:right w:val="single" w:color="auto" w:sz="6" w:space="0"/>
            </w:tcBorders>
            <w:shd w:val="solid" w:color="FFFFFF" w:fill="auto"/>
            <w:vAlign w:val="center"/>
          </w:tcPr>
          <w:p>
            <w:pPr>
              <w:autoSpaceDE w:val="0"/>
              <w:autoSpaceDN w:val="0"/>
              <w:adjustRightInd w:val="0"/>
              <w:spacing w:line="360" w:lineRule="auto"/>
              <w:jc w:val="center"/>
              <w:rPr>
                <w:rFonts w:ascii="宋体" w:cs="宋体"/>
                <w:b/>
                <w:bCs/>
                <w:color w:val="auto"/>
                <w:kern w:val="0"/>
                <w:highlight w:val="none"/>
              </w:rPr>
            </w:pPr>
            <w:r>
              <w:rPr>
                <w:rFonts w:hint="eastAsia" w:ascii="宋体" w:cs="宋体"/>
                <w:b/>
                <w:bCs/>
                <w:color w:val="auto"/>
                <w:kern w:val="0"/>
                <w:highlight w:val="none"/>
              </w:rPr>
              <w:t>备注</w:t>
            </w:r>
          </w:p>
        </w:tc>
      </w:tr>
      <w:tr>
        <w:tblPrEx>
          <w:tblCellMar>
            <w:top w:w="0" w:type="dxa"/>
            <w:left w:w="30" w:type="dxa"/>
            <w:bottom w:w="0" w:type="dxa"/>
            <w:right w:w="30" w:type="dxa"/>
          </w:tblCellMar>
        </w:tblPrEx>
        <w:trPr>
          <w:trHeight w:val="424"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三维步态评估及训练系统</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60.00</w:t>
            </w:r>
          </w:p>
        </w:tc>
        <w:tc>
          <w:tcPr>
            <w:tcW w:w="1559" w:type="dxa"/>
            <w:vMerge w:val="restart"/>
            <w:tcBorders>
              <w:top w:val="single" w:color="auto" w:sz="6" w:space="0"/>
              <w:left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408.00</w:t>
            </w:r>
          </w:p>
        </w:tc>
        <w:tc>
          <w:tcPr>
            <w:tcW w:w="1913" w:type="dxa"/>
            <w:tcBorders>
              <w:top w:val="single" w:color="auto" w:sz="6" w:space="0"/>
              <w:left w:val="single" w:color="auto" w:sz="4" w:space="0"/>
              <w:bottom w:val="single" w:color="auto" w:sz="6" w:space="0"/>
              <w:right w:val="single" w:color="auto" w:sz="6"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r>
      <w:tr>
        <w:tblPrEx>
          <w:tblCellMar>
            <w:top w:w="0" w:type="dxa"/>
            <w:left w:w="30" w:type="dxa"/>
            <w:bottom w:w="0" w:type="dxa"/>
            <w:right w:w="30" w:type="dxa"/>
          </w:tblCellMar>
        </w:tblPrEx>
        <w:trPr>
          <w:trHeight w:val="424"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24小时可视动态脑电图</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55.00</w:t>
            </w:r>
          </w:p>
        </w:tc>
        <w:tc>
          <w:tcPr>
            <w:tcW w:w="1559" w:type="dxa"/>
            <w:vMerge w:val="continue"/>
            <w:tcBorders>
              <w:left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c>
          <w:tcPr>
            <w:tcW w:w="1913" w:type="dxa"/>
            <w:tcBorders>
              <w:top w:val="single" w:color="auto" w:sz="6" w:space="0"/>
              <w:left w:val="single" w:color="auto" w:sz="4" w:space="0"/>
              <w:bottom w:val="single" w:color="auto" w:sz="6" w:space="0"/>
              <w:right w:val="single" w:color="auto" w:sz="6"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已通过财政核准，允许采购进口设备</w:t>
            </w:r>
          </w:p>
        </w:tc>
      </w:tr>
      <w:tr>
        <w:tblPrEx>
          <w:tblCellMar>
            <w:top w:w="0" w:type="dxa"/>
            <w:left w:w="30" w:type="dxa"/>
            <w:bottom w:w="0" w:type="dxa"/>
            <w:right w:w="30" w:type="dxa"/>
          </w:tblCellMar>
        </w:tblPrEx>
        <w:trPr>
          <w:trHeight w:val="442"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电动震动起立床</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20.00</w:t>
            </w:r>
          </w:p>
        </w:tc>
        <w:tc>
          <w:tcPr>
            <w:tcW w:w="1559" w:type="dxa"/>
            <w:vMerge w:val="continue"/>
            <w:tcBorders>
              <w:left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c>
          <w:tcPr>
            <w:tcW w:w="1913" w:type="dxa"/>
            <w:tcBorders>
              <w:top w:val="single" w:color="auto" w:sz="6" w:space="0"/>
              <w:left w:val="single" w:color="auto" w:sz="4" w:space="0"/>
              <w:bottom w:val="single" w:color="auto" w:sz="6" w:space="0"/>
              <w:right w:val="single" w:color="auto" w:sz="6"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r>
      <w:tr>
        <w:tblPrEx>
          <w:tblCellMar>
            <w:top w:w="0" w:type="dxa"/>
            <w:left w:w="30" w:type="dxa"/>
            <w:bottom w:w="0" w:type="dxa"/>
            <w:right w:w="30" w:type="dxa"/>
          </w:tblCellMar>
        </w:tblPrEx>
        <w:trPr>
          <w:trHeight w:val="442"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主被动功率车（儿童型）</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25.00</w:t>
            </w:r>
          </w:p>
        </w:tc>
        <w:tc>
          <w:tcPr>
            <w:tcW w:w="1559" w:type="dxa"/>
            <w:vMerge w:val="continue"/>
            <w:tcBorders>
              <w:left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c>
          <w:tcPr>
            <w:tcW w:w="1913" w:type="dxa"/>
            <w:tcBorders>
              <w:top w:val="single" w:color="auto" w:sz="6" w:space="0"/>
              <w:left w:val="single" w:color="auto" w:sz="4" w:space="0"/>
              <w:bottom w:val="single" w:color="auto" w:sz="6" w:space="0"/>
              <w:right w:val="single" w:color="auto" w:sz="6"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已通过财政核准，允许采购进口设备</w:t>
            </w:r>
          </w:p>
        </w:tc>
      </w:tr>
      <w:tr>
        <w:tblPrEx>
          <w:tblCellMar>
            <w:top w:w="0" w:type="dxa"/>
            <w:left w:w="30" w:type="dxa"/>
            <w:bottom w:w="0" w:type="dxa"/>
            <w:right w:w="30" w:type="dxa"/>
          </w:tblCellMar>
        </w:tblPrEx>
        <w:trPr>
          <w:trHeight w:val="472" w:hRule="atLeast"/>
          <w:jc w:val="center"/>
        </w:trPr>
        <w:tc>
          <w:tcPr>
            <w:tcW w:w="2510" w:type="dxa"/>
            <w:tcBorders>
              <w:top w:val="single" w:color="auto" w:sz="6" w:space="0"/>
              <w:left w:val="single" w:color="auto" w:sz="6" w:space="0"/>
              <w:bottom w:val="single" w:color="auto" w:sz="4" w:space="0"/>
              <w:right w:val="single" w:color="auto" w:sz="6" w:space="0"/>
            </w:tcBorders>
            <w:shd w:val="solid" w:color="FFFFFF" w:fill="auto"/>
            <w:vAlign w:val="center"/>
          </w:tcPr>
          <w:p>
            <w:pPr>
              <w:autoSpaceDE w:val="0"/>
              <w:autoSpaceDN w:val="0"/>
              <w:adjustRightInd w:val="0"/>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儿童减重支持训练系统</w:t>
            </w:r>
          </w:p>
        </w:tc>
        <w:tc>
          <w:tcPr>
            <w:tcW w:w="1418" w:type="dxa"/>
            <w:tcBorders>
              <w:top w:val="single" w:color="auto" w:sz="6" w:space="0"/>
              <w:left w:val="single" w:color="auto" w:sz="6" w:space="0"/>
              <w:bottom w:val="single" w:color="auto" w:sz="4"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417" w:type="dxa"/>
            <w:tcBorders>
              <w:top w:val="single" w:color="auto" w:sz="6" w:space="0"/>
              <w:left w:val="single" w:color="auto" w:sz="4" w:space="0"/>
              <w:bottom w:val="single" w:color="auto" w:sz="4"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10.00</w:t>
            </w:r>
          </w:p>
        </w:tc>
        <w:tc>
          <w:tcPr>
            <w:tcW w:w="1559" w:type="dxa"/>
            <w:vMerge w:val="continue"/>
            <w:tcBorders>
              <w:left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c>
          <w:tcPr>
            <w:tcW w:w="1913" w:type="dxa"/>
            <w:tcBorders>
              <w:top w:val="single" w:color="auto" w:sz="6" w:space="0"/>
              <w:left w:val="single" w:color="auto" w:sz="4" w:space="0"/>
              <w:bottom w:val="single" w:color="auto" w:sz="4" w:space="0"/>
              <w:right w:val="single" w:color="auto" w:sz="6" w:space="0"/>
            </w:tcBorders>
            <w:shd w:val="solid" w:color="FFFFFF" w:fill="auto"/>
          </w:tcPr>
          <w:p>
            <w:pPr>
              <w:autoSpaceDE w:val="0"/>
              <w:autoSpaceDN w:val="0"/>
              <w:adjustRightInd w:val="0"/>
              <w:spacing w:line="360" w:lineRule="auto"/>
              <w:jc w:val="center"/>
              <w:rPr>
                <w:rFonts w:asciiTheme="minorEastAsia" w:hAnsiTheme="minorEastAsia" w:eastAsiaTheme="minorEastAsia"/>
                <w:color w:val="auto"/>
                <w:highlight w:val="none"/>
              </w:rPr>
            </w:pPr>
          </w:p>
        </w:tc>
      </w:tr>
      <w:tr>
        <w:tblPrEx>
          <w:tblCellMar>
            <w:top w:w="0" w:type="dxa"/>
            <w:left w:w="30" w:type="dxa"/>
            <w:bottom w:w="0" w:type="dxa"/>
            <w:right w:w="30" w:type="dxa"/>
          </w:tblCellMar>
        </w:tblPrEx>
        <w:trPr>
          <w:trHeight w:val="448"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生物刺激反馈仪</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8.00</w:t>
            </w:r>
          </w:p>
        </w:tc>
        <w:tc>
          <w:tcPr>
            <w:tcW w:w="1559" w:type="dxa"/>
            <w:vMerge w:val="continue"/>
            <w:tcBorders>
              <w:left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c>
          <w:tcPr>
            <w:tcW w:w="1913" w:type="dxa"/>
            <w:tcBorders>
              <w:top w:val="single" w:color="auto" w:sz="6" w:space="0"/>
              <w:left w:val="single" w:color="auto" w:sz="4" w:space="0"/>
              <w:bottom w:val="single" w:color="auto" w:sz="6" w:space="0"/>
              <w:right w:val="single" w:color="auto" w:sz="6" w:space="0"/>
            </w:tcBorders>
            <w:shd w:val="solid" w:color="FFFFFF" w:fill="auto"/>
          </w:tcPr>
          <w:p>
            <w:pPr>
              <w:autoSpaceDE w:val="0"/>
              <w:autoSpaceDN w:val="0"/>
              <w:adjustRightInd w:val="0"/>
              <w:spacing w:line="360" w:lineRule="auto"/>
              <w:jc w:val="center"/>
              <w:rPr>
                <w:rFonts w:asciiTheme="minorEastAsia" w:hAnsiTheme="minorEastAsia" w:eastAsiaTheme="minorEastAsia"/>
                <w:color w:val="auto"/>
                <w:highlight w:val="none"/>
              </w:rPr>
            </w:pPr>
          </w:p>
        </w:tc>
      </w:tr>
      <w:tr>
        <w:tblPrEx>
          <w:tblCellMar>
            <w:top w:w="0" w:type="dxa"/>
            <w:left w:w="30" w:type="dxa"/>
            <w:bottom w:w="0" w:type="dxa"/>
            <w:right w:w="30" w:type="dxa"/>
          </w:tblCellMar>
        </w:tblPrEx>
        <w:trPr>
          <w:trHeight w:val="516"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肌兴奋治疗仪</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12.00</w:t>
            </w:r>
          </w:p>
        </w:tc>
        <w:tc>
          <w:tcPr>
            <w:tcW w:w="1559" w:type="dxa"/>
            <w:vMerge w:val="continue"/>
            <w:tcBorders>
              <w:left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c>
          <w:tcPr>
            <w:tcW w:w="1913" w:type="dxa"/>
            <w:tcBorders>
              <w:top w:val="single" w:color="auto" w:sz="6" w:space="0"/>
              <w:left w:val="single" w:color="auto" w:sz="4" w:space="0"/>
              <w:bottom w:val="single" w:color="auto" w:sz="6" w:space="0"/>
              <w:right w:val="single" w:color="auto" w:sz="6" w:space="0"/>
            </w:tcBorders>
            <w:shd w:val="solid" w:color="FFFFFF" w:fill="auto"/>
          </w:tcPr>
          <w:p>
            <w:pPr>
              <w:autoSpaceDE w:val="0"/>
              <w:autoSpaceDN w:val="0"/>
              <w:adjustRightInd w:val="0"/>
              <w:spacing w:line="360" w:lineRule="auto"/>
              <w:jc w:val="center"/>
              <w:rPr>
                <w:rFonts w:asciiTheme="minorEastAsia" w:hAnsiTheme="minorEastAsia" w:eastAsiaTheme="minorEastAsia"/>
                <w:color w:val="auto"/>
                <w:highlight w:val="none"/>
              </w:rPr>
            </w:pPr>
          </w:p>
        </w:tc>
      </w:tr>
      <w:tr>
        <w:tblPrEx>
          <w:tblCellMar>
            <w:top w:w="0" w:type="dxa"/>
            <w:left w:w="30" w:type="dxa"/>
            <w:bottom w:w="0" w:type="dxa"/>
            <w:right w:w="30" w:type="dxa"/>
          </w:tblCellMar>
        </w:tblPrEx>
        <w:trPr>
          <w:trHeight w:val="516"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脑循环治疗仪</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11.00</w:t>
            </w:r>
          </w:p>
        </w:tc>
        <w:tc>
          <w:tcPr>
            <w:tcW w:w="1559" w:type="dxa"/>
            <w:vMerge w:val="continue"/>
            <w:tcBorders>
              <w:left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c>
          <w:tcPr>
            <w:tcW w:w="1913" w:type="dxa"/>
            <w:tcBorders>
              <w:top w:val="single" w:color="auto" w:sz="6" w:space="0"/>
              <w:left w:val="single" w:color="auto" w:sz="4" w:space="0"/>
              <w:bottom w:val="single" w:color="auto" w:sz="6" w:space="0"/>
              <w:right w:val="single" w:color="auto" w:sz="6" w:space="0"/>
            </w:tcBorders>
            <w:shd w:val="solid" w:color="FFFFFF" w:fill="auto"/>
          </w:tcPr>
          <w:p>
            <w:pPr>
              <w:autoSpaceDE w:val="0"/>
              <w:autoSpaceDN w:val="0"/>
              <w:adjustRightInd w:val="0"/>
              <w:spacing w:line="360" w:lineRule="auto"/>
              <w:jc w:val="center"/>
              <w:rPr>
                <w:rFonts w:asciiTheme="minorEastAsia" w:hAnsiTheme="minorEastAsia" w:eastAsiaTheme="minorEastAsia"/>
                <w:color w:val="auto"/>
                <w:highlight w:val="none"/>
              </w:rPr>
            </w:pPr>
          </w:p>
        </w:tc>
      </w:tr>
      <w:tr>
        <w:tblPrEx>
          <w:tblCellMar>
            <w:top w:w="0" w:type="dxa"/>
            <w:left w:w="30" w:type="dxa"/>
            <w:bottom w:w="0" w:type="dxa"/>
            <w:right w:w="30" w:type="dxa"/>
          </w:tblCellMar>
        </w:tblPrEx>
        <w:trPr>
          <w:trHeight w:val="516"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痉挛肌治疗仪</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7.00</w:t>
            </w:r>
          </w:p>
        </w:tc>
        <w:tc>
          <w:tcPr>
            <w:tcW w:w="1559" w:type="dxa"/>
            <w:vMerge w:val="continue"/>
            <w:tcBorders>
              <w:left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c>
          <w:tcPr>
            <w:tcW w:w="1913" w:type="dxa"/>
            <w:tcBorders>
              <w:top w:val="single" w:color="auto" w:sz="6" w:space="0"/>
              <w:left w:val="single" w:color="auto" w:sz="4" w:space="0"/>
              <w:bottom w:val="single" w:color="auto" w:sz="6" w:space="0"/>
              <w:right w:val="single" w:color="auto" w:sz="6" w:space="0"/>
            </w:tcBorders>
            <w:shd w:val="solid" w:color="FFFFFF" w:fill="auto"/>
          </w:tcPr>
          <w:p>
            <w:pPr>
              <w:autoSpaceDE w:val="0"/>
              <w:autoSpaceDN w:val="0"/>
              <w:adjustRightInd w:val="0"/>
              <w:spacing w:line="360" w:lineRule="auto"/>
              <w:jc w:val="center"/>
              <w:rPr>
                <w:rFonts w:asciiTheme="minorEastAsia" w:hAnsiTheme="minorEastAsia" w:eastAsiaTheme="minorEastAsia"/>
                <w:color w:val="auto"/>
                <w:highlight w:val="none"/>
              </w:rPr>
            </w:pPr>
          </w:p>
        </w:tc>
      </w:tr>
      <w:tr>
        <w:tblPrEx>
          <w:tblCellMar>
            <w:top w:w="0" w:type="dxa"/>
            <w:left w:w="30" w:type="dxa"/>
            <w:bottom w:w="0" w:type="dxa"/>
            <w:right w:w="30" w:type="dxa"/>
          </w:tblCellMar>
        </w:tblPrEx>
        <w:trPr>
          <w:trHeight w:val="516"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脑电生物反馈治疗仪（四通道）</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20.00</w:t>
            </w:r>
          </w:p>
        </w:tc>
        <w:tc>
          <w:tcPr>
            <w:tcW w:w="1559" w:type="dxa"/>
            <w:vMerge w:val="continue"/>
            <w:tcBorders>
              <w:left w:val="single" w:color="auto" w:sz="6" w:space="0"/>
              <w:right w:val="single" w:color="auto" w:sz="4" w:space="0"/>
            </w:tcBorders>
            <w:shd w:val="solid" w:color="FFFFFF" w:fill="auto"/>
            <w:vAlign w:val="center"/>
          </w:tcPr>
          <w:p>
            <w:pPr>
              <w:autoSpaceDE w:val="0"/>
              <w:autoSpaceDN w:val="0"/>
              <w:adjustRightInd w:val="0"/>
              <w:jc w:val="center"/>
              <w:rPr>
                <w:rFonts w:asciiTheme="minorEastAsia" w:hAnsiTheme="minorEastAsia" w:eastAsiaTheme="minorEastAsia"/>
                <w:color w:val="auto"/>
                <w:highlight w:val="none"/>
              </w:rPr>
            </w:pPr>
          </w:p>
        </w:tc>
        <w:tc>
          <w:tcPr>
            <w:tcW w:w="1913" w:type="dxa"/>
            <w:tcBorders>
              <w:top w:val="single" w:color="auto" w:sz="6" w:space="0"/>
              <w:left w:val="single" w:color="auto" w:sz="4" w:space="0"/>
              <w:bottom w:val="single" w:color="auto" w:sz="6" w:space="0"/>
              <w:right w:val="single" w:color="auto" w:sz="6" w:space="0"/>
            </w:tcBorders>
            <w:shd w:val="solid" w:color="FFFFFF" w:fill="auto"/>
            <w:vAlign w:val="center"/>
          </w:tcPr>
          <w:p>
            <w:pPr>
              <w:autoSpaceDE w:val="0"/>
              <w:autoSpaceDN w:val="0"/>
              <w:adjustRightInd w:val="0"/>
              <w:jc w:val="center"/>
              <w:rPr>
                <w:rFonts w:asciiTheme="minorEastAsia" w:hAnsiTheme="minorEastAsia" w:eastAsiaTheme="minorEastAsia"/>
                <w:color w:val="auto"/>
                <w:highlight w:val="none"/>
              </w:rPr>
            </w:pPr>
          </w:p>
        </w:tc>
      </w:tr>
      <w:tr>
        <w:tblPrEx>
          <w:tblCellMar>
            <w:top w:w="0" w:type="dxa"/>
            <w:left w:w="30" w:type="dxa"/>
            <w:bottom w:w="0" w:type="dxa"/>
            <w:right w:w="30" w:type="dxa"/>
          </w:tblCellMar>
        </w:tblPrEx>
        <w:trPr>
          <w:trHeight w:val="516"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气动式手康复装置</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40.00</w:t>
            </w:r>
          </w:p>
        </w:tc>
        <w:tc>
          <w:tcPr>
            <w:tcW w:w="1559" w:type="dxa"/>
            <w:vMerge w:val="continue"/>
            <w:tcBorders>
              <w:left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c>
          <w:tcPr>
            <w:tcW w:w="1913" w:type="dxa"/>
            <w:tcBorders>
              <w:top w:val="single" w:color="auto" w:sz="6" w:space="0"/>
              <w:left w:val="single" w:color="auto" w:sz="4" w:space="0"/>
              <w:bottom w:val="single" w:color="auto" w:sz="6" w:space="0"/>
              <w:right w:val="single" w:color="auto" w:sz="6"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r>
      <w:tr>
        <w:tblPrEx>
          <w:tblCellMar>
            <w:top w:w="0" w:type="dxa"/>
            <w:left w:w="30" w:type="dxa"/>
            <w:bottom w:w="0" w:type="dxa"/>
            <w:right w:w="30" w:type="dxa"/>
          </w:tblCellMar>
        </w:tblPrEx>
        <w:trPr>
          <w:trHeight w:val="516"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眼动认知康复训练系统</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30.00</w:t>
            </w:r>
          </w:p>
        </w:tc>
        <w:tc>
          <w:tcPr>
            <w:tcW w:w="1559" w:type="dxa"/>
            <w:vMerge w:val="continue"/>
            <w:tcBorders>
              <w:left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c>
          <w:tcPr>
            <w:tcW w:w="1913" w:type="dxa"/>
            <w:tcBorders>
              <w:top w:val="single" w:color="auto" w:sz="6" w:space="0"/>
              <w:left w:val="single" w:color="auto" w:sz="4" w:space="0"/>
              <w:bottom w:val="single" w:color="auto" w:sz="6" w:space="0"/>
              <w:right w:val="single" w:color="auto" w:sz="6"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r>
      <w:tr>
        <w:tblPrEx>
          <w:tblCellMar>
            <w:top w:w="0" w:type="dxa"/>
            <w:left w:w="30" w:type="dxa"/>
            <w:bottom w:w="0" w:type="dxa"/>
            <w:right w:w="30" w:type="dxa"/>
          </w:tblCellMar>
        </w:tblPrEx>
        <w:trPr>
          <w:trHeight w:val="516"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吞咽神经刺激系统</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25.00</w:t>
            </w:r>
          </w:p>
        </w:tc>
        <w:tc>
          <w:tcPr>
            <w:tcW w:w="1559" w:type="dxa"/>
            <w:vMerge w:val="continue"/>
            <w:tcBorders>
              <w:left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c>
          <w:tcPr>
            <w:tcW w:w="1913" w:type="dxa"/>
            <w:tcBorders>
              <w:top w:val="single" w:color="auto" w:sz="6" w:space="0"/>
              <w:left w:val="single" w:color="auto" w:sz="4" w:space="0"/>
              <w:bottom w:val="single" w:color="auto" w:sz="6" w:space="0"/>
              <w:right w:val="single" w:color="auto" w:sz="6"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r>
      <w:tr>
        <w:tblPrEx>
          <w:tblCellMar>
            <w:top w:w="0" w:type="dxa"/>
            <w:left w:w="30" w:type="dxa"/>
            <w:bottom w:w="0" w:type="dxa"/>
            <w:right w:w="30" w:type="dxa"/>
          </w:tblCellMar>
        </w:tblPrEx>
        <w:trPr>
          <w:trHeight w:val="516"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社交技能训练仪</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50.00</w:t>
            </w:r>
          </w:p>
        </w:tc>
        <w:tc>
          <w:tcPr>
            <w:tcW w:w="1559" w:type="dxa"/>
            <w:vMerge w:val="continue"/>
            <w:tcBorders>
              <w:left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c>
          <w:tcPr>
            <w:tcW w:w="1913" w:type="dxa"/>
            <w:tcBorders>
              <w:top w:val="single" w:color="auto" w:sz="6" w:space="0"/>
              <w:left w:val="single" w:color="auto" w:sz="4" w:space="0"/>
              <w:bottom w:val="single" w:color="auto" w:sz="6" w:space="0"/>
              <w:right w:val="single" w:color="auto" w:sz="6"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r>
      <w:tr>
        <w:tblPrEx>
          <w:tblCellMar>
            <w:top w:w="0" w:type="dxa"/>
            <w:left w:w="30" w:type="dxa"/>
            <w:bottom w:w="0" w:type="dxa"/>
            <w:right w:w="30" w:type="dxa"/>
          </w:tblCellMar>
        </w:tblPrEx>
        <w:trPr>
          <w:trHeight w:val="516"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自闭症与多动障碍干预仪</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30.00</w:t>
            </w:r>
          </w:p>
        </w:tc>
        <w:tc>
          <w:tcPr>
            <w:tcW w:w="1559" w:type="dxa"/>
            <w:vMerge w:val="continue"/>
            <w:tcBorders>
              <w:left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c>
          <w:tcPr>
            <w:tcW w:w="1913" w:type="dxa"/>
            <w:tcBorders>
              <w:top w:val="single" w:color="auto" w:sz="6" w:space="0"/>
              <w:left w:val="single" w:color="auto" w:sz="4" w:space="0"/>
              <w:bottom w:val="single" w:color="auto" w:sz="6" w:space="0"/>
              <w:right w:val="single" w:color="auto" w:sz="6"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p>
        </w:tc>
      </w:tr>
      <w:tr>
        <w:tblPrEx>
          <w:tblCellMar>
            <w:top w:w="0" w:type="dxa"/>
            <w:left w:w="30" w:type="dxa"/>
            <w:bottom w:w="0" w:type="dxa"/>
            <w:right w:w="30" w:type="dxa"/>
          </w:tblCellMar>
        </w:tblPrEx>
        <w:trPr>
          <w:trHeight w:val="516" w:hRule="atLeast"/>
          <w:jc w:val="center"/>
        </w:trPr>
        <w:tc>
          <w:tcPr>
            <w:tcW w:w="251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基础能力训练（可穿戴脑神经反馈训练系统）</w:t>
            </w:r>
          </w:p>
        </w:tc>
        <w:tc>
          <w:tcPr>
            <w:tcW w:w="1418" w:type="dxa"/>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adjustRightIn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p>
        </w:tc>
        <w:tc>
          <w:tcPr>
            <w:tcW w:w="1417" w:type="dxa"/>
            <w:tcBorders>
              <w:top w:val="single" w:color="auto" w:sz="6" w:space="0"/>
              <w:left w:val="single" w:color="auto" w:sz="4" w:space="0"/>
              <w:bottom w:val="single" w:color="auto" w:sz="6" w:space="0"/>
              <w:right w:val="single" w:color="auto" w:sz="6" w:space="0"/>
            </w:tcBorders>
            <w:shd w:val="solid" w:color="FFFFFF" w:fill="auto"/>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5.00</w:t>
            </w:r>
          </w:p>
        </w:tc>
        <w:tc>
          <w:tcPr>
            <w:tcW w:w="1559" w:type="dxa"/>
            <w:vMerge w:val="continue"/>
            <w:tcBorders>
              <w:left w:val="single" w:color="auto" w:sz="6" w:space="0"/>
              <w:bottom w:val="single" w:color="auto" w:sz="6" w:space="0"/>
              <w:right w:val="single" w:color="auto" w:sz="4" w:space="0"/>
            </w:tcBorders>
            <w:shd w:val="solid" w:color="FFFFFF" w:fill="auto"/>
            <w:vAlign w:val="center"/>
          </w:tcPr>
          <w:p>
            <w:pPr>
              <w:autoSpaceDE w:val="0"/>
              <w:autoSpaceDN w:val="0"/>
              <w:adjustRightInd w:val="0"/>
              <w:jc w:val="center"/>
              <w:rPr>
                <w:rFonts w:asciiTheme="minorEastAsia" w:hAnsiTheme="minorEastAsia" w:eastAsiaTheme="minorEastAsia"/>
                <w:color w:val="auto"/>
                <w:highlight w:val="none"/>
              </w:rPr>
            </w:pPr>
          </w:p>
        </w:tc>
        <w:tc>
          <w:tcPr>
            <w:tcW w:w="1913" w:type="dxa"/>
            <w:tcBorders>
              <w:top w:val="single" w:color="auto" w:sz="6" w:space="0"/>
              <w:left w:val="single" w:color="auto" w:sz="4" w:space="0"/>
              <w:bottom w:val="single" w:color="auto" w:sz="6" w:space="0"/>
              <w:right w:val="single" w:color="auto" w:sz="6" w:space="0"/>
            </w:tcBorders>
            <w:shd w:val="solid" w:color="FFFFFF" w:fill="auto"/>
            <w:vAlign w:val="center"/>
          </w:tcPr>
          <w:p>
            <w:pPr>
              <w:autoSpaceDE w:val="0"/>
              <w:autoSpaceDN w:val="0"/>
              <w:adjustRightInd w:val="0"/>
              <w:jc w:val="center"/>
              <w:rPr>
                <w:rFonts w:asciiTheme="minorEastAsia" w:hAnsiTheme="minorEastAsia" w:eastAsiaTheme="minorEastAsia"/>
                <w:color w:val="auto"/>
                <w:highlight w:val="none"/>
              </w:rPr>
            </w:pPr>
          </w:p>
        </w:tc>
      </w:tr>
    </w:tbl>
    <w:p>
      <w:pPr>
        <w:spacing w:line="360" w:lineRule="auto"/>
        <w:jc w:val="left"/>
        <w:outlineLvl w:val="0"/>
        <w:rPr>
          <w:rFonts w:cs="宋体" w:asciiTheme="minorEastAsia" w:hAnsiTheme="minorEastAsia" w:eastAsiaTheme="minorEastAsia"/>
          <w:b/>
          <w:color w:val="auto"/>
          <w:highlight w:val="none"/>
        </w:rPr>
      </w:pPr>
      <w:bookmarkStart w:id="32" w:name="_Toc523750967"/>
      <w:bookmarkStart w:id="33" w:name="_Hlk120520748"/>
      <w:r>
        <w:rPr>
          <w:rFonts w:hint="eastAsia" w:cs="宋体" w:asciiTheme="minorEastAsia" w:hAnsiTheme="minorEastAsia" w:eastAsiaTheme="minorEastAsia"/>
          <w:b/>
          <w:color w:val="auto"/>
          <w:highlight w:val="none"/>
        </w:rPr>
        <w:t>1、三维步态评估与训练系统</w:t>
      </w:r>
    </w:p>
    <w:p>
      <w:pPr>
        <w:spacing w:line="360" w:lineRule="auto"/>
        <w:outlineLvl w:val="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一、硬件参数</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1、需有≥18个惯性传感器，包括能够全身任意位置运动表现，主节点与子节点传感器、主节点与评估系统主机之间采取无线方式传输数据。</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2、子节点传感器尺寸：≤45mm×35mm×20mm</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3、子节点传感器重量：≤16克</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4、传感器动态精度应达到：</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1）动态测量范围：≥300°</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2）加速度测量范围：±32G</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3）陀螺仪测量范围：-2000 ～2000 dps</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 传感器静态精度</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1）滚动角：≤ 1 deg</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2）俯仰角：≤ 1 deg</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3）偏航角：≤ 2 deg</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6、传感器分辨率：≤ 0.02°</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7、传感器时延：≤ 10 ms</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8、传感器供电方式：内置锂电池</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9、传感器工作时长：≥3.5 hours </w:t>
      </w:r>
    </w:p>
    <w:p>
      <w:p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10、数据计算帧频：≥800Hz</w:t>
      </w:r>
    </w:p>
    <w:p>
      <w:p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11、数据输出帧频：60-240Hz</w:t>
      </w:r>
    </w:p>
    <w:p>
      <w:p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12、校准方式：支持≥17个子节点传感器同时校准</w:t>
      </w:r>
    </w:p>
    <w:p>
      <w:p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13、传感器充电时长：≤1.5小时</w:t>
      </w:r>
    </w:p>
    <w:p>
      <w:p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14、主节点尺寸：≤130mm×100mm×30mm</w:t>
      </w:r>
    </w:p>
    <w:p>
      <w:p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15、工作频段：2400-2483MHz</w:t>
      </w:r>
    </w:p>
    <w:p>
      <w:pPr>
        <w:spacing w:line="360" w:lineRule="auto"/>
        <w:outlineLvl w:val="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二、系统技术参数</w:t>
      </w:r>
    </w:p>
    <w:p>
      <w:p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1、系统需包含以下测试方案：关节活动度测试、步态测试、静态平衡测试、坐-立测试、mCTSIB测试</w:t>
      </w:r>
    </w:p>
    <w:p>
      <w:p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2、系统软件应具备自动分解步态周期、自动生成图表报告和结果解读功能</w:t>
      </w:r>
      <w:r>
        <w:rPr>
          <w:rFonts w:hint="eastAsia" w:cs="宋体" w:asciiTheme="minorEastAsia" w:hAnsiTheme="minorEastAsia" w:eastAsiaTheme="minorEastAsia"/>
          <w:bCs/>
          <w:color w:val="auto"/>
          <w:highlight w:val="none"/>
        </w:rPr>
        <w:tab/>
      </w:r>
    </w:p>
    <w:p>
      <w:p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3、系统采用便携式设计，既可以完成室内测试，也可以进行室外测试</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4、传感器之间通过无线连接，肢体活动度不受传感器连接限制</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5、系统应具备步态测量功能，主要测试参数应包括以下类别：</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步速、步态变异性、步态对称性、测试时间、步长、转身次数、路程、测试绝对时间、步频、</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步态周期、单足步速、支撑相时间、摆动相时间、承重反应时间、支撑相中期时间、支撑相后期时间、双足支撑时间、转身时间、触地角度、离地角度、髋膝踝关节各轴角度、腰部三轴运动等</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★6、静态平衡测试/mCTSIB测试，主要可测参数应包括以下类别：</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躯干额状面活动范围</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躯干矢状面活动范围</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躯干水平面活动范围</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★7、坐-站测试功能，主要参数应包括以下类别：</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躯干前倾角度</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坐-立持续时间</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8、系统可计算以下类别统计学参数，包括：平均数、标准差、变异系数、最大值、最小值</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★9、进程报告：各项测试方案都可自动生成阶段性数据及进程性报告，用于评估患者康复治疗的有效性；</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10、综合报告：系统可以生成综合报告，展示受试者所有测试的全面综合情况。多种测试自由组合，综合分析患者功能状况，为临床康复提供依据；</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11、医生可以根据测试报告添加评语。</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12、多种情景互动训练模块：自由漫步方式的步态训练、关节活动度训练、平衡功能训练。</w:t>
      </w:r>
      <w:bookmarkEnd w:id="32"/>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足底压力：</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1、传感器采用电阻式压力膜</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2、每平方厘米上传感器的数量≥1.6个</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3、压力数据帧频率≥90Hz</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4、无校准</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5、wifi连接5G频段</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6、压力板裸板厚度≤1mm</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7、长度≤45mm，宽度≤45mm</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8、分辨率≥56*48</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9、传感器数量≥5300个</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10、传感器尺寸：1.00cm-1.05cm</w:t>
      </w:r>
    </w:p>
    <w:p>
      <w:pPr>
        <w:spacing w:line="360" w:lineRule="auto"/>
        <w:jc w:val="left"/>
        <w:outlineLvl w:val="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2、24小时可视化动态脑电图技术参数（进口）</w:t>
      </w:r>
    </w:p>
    <w:p>
      <w:pPr>
        <w:spacing w:line="360" w:lineRule="auto"/>
        <w:outlineLvl w:val="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一、组成</w:t>
      </w:r>
    </w:p>
    <w:p>
      <w:pPr>
        <w:spacing w:line="360" w:lineRule="auto"/>
        <w:outlineLvl w:val="1"/>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无线脑电图 1套</w:t>
      </w:r>
    </w:p>
    <w:p>
      <w:pPr>
        <w:spacing w:line="360" w:lineRule="auto"/>
        <w:outlineLvl w:val="1"/>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同步视频记录系统   1套</w:t>
      </w:r>
    </w:p>
    <w:p>
      <w:pPr>
        <w:spacing w:line="360" w:lineRule="auto"/>
        <w:outlineLvl w:val="1"/>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闪光刺激器         1套</w:t>
      </w:r>
    </w:p>
    <w:p>
      <w:pPr>
        <w:spacing w:line="360" w:lineRule="auto"/>
        <w:outlineLvl w:val="1"/>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回访工作站         1套</w:t>
      </w:r>
    </w:p>
    <w:p>
      <w:pPr>
        <w:spacing w:line="360" w:lineRule="auto"/>
        <w:outlineLvl w:val="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二、详细参数：</w:t>
      </w:r>
    </w:p>
    <w:p>
      <w:pPr>
        <w:pStyle w:val="74"/>
        <w:spacing w:line="360" w:lineRule="auto"/>
        <w:outlineLvl w:val="1"/>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1.计算机系统：</w:t>
      </w:r>
    </w:p>
    <w:p>
      <w:pPr>
        <w:pStyle w:val="74"/>
        <w:spacing w:line="360" w:lineRule="auto"/>
        <w:outlineLvl w:val="2"/>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color w:val="auto"/>
          <w:szCs w:val="21"/>
          <w:highlight w:val="none"/>
        </w:rPr>
        <w:t>英特尔i5双核处理器；内存：≥4G；硬盘存储空间≥4T；显示</w:t>
      </w:r>
      <w:r>
        <w:rPr>
          <w:rFonts w:hint="eastAsia" w:cs="宋体" w:asciiTheme="minorEastAsia" w:hAnsiTheme="minorEastAsia" w:eastAsiaTheme="minorEastAsia"/>
          <w:bCs/>
          <w:color w:val="auto"/>
          <w:szCs w:val="21"/>
          <w:highlight w:val="none"/>
        </w:rPr>
        <w:t>器≥23英寸液晶</w:t>
      </w:r>
    </w:p>
    <w:p>
      <w:pPr>
        <w:spacing w:line="360" w:lineRule="auto"/>
        <w:outlineLvl w:val="1"/>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 xml:space="preserve">2.软件功能： </w:t>
      </w:r>
    </w:p>
    <w:p>
      <w:pPr>
        <w:spacing w:line="360" w:lineRule="auto"/>
        <w:ind w:left="1470" w:leftChars="100" w:hanging="1260" w:hangingChars="6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2.1中文采集回放分析软件</w:t>
      </w:r>
    </w:p>
    <w:p>
      <w:pPr>
        <w:spacing w:line="360" w:lineRule="auto"/>
        <w:ind w:left="1470" w:leftChars="100" w:hanging="1260" w:hangingChars="6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2.2 ECG滤波功能</w:t>
      </w:r>
    </w:p>
    <w:p>
      <w:pPr>
        <w:spacing w:line="360" w:lineRule="auto"/>
        <w:ind w:left="1470" w:leftChars="100" w:hanging="1260" w:hangingChars="6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2.3 肌电滤波 </w:t>
      </w:r>
    </w:p>
    <w:p>
      <w:pPr>
        <w:spacing w:line="360" w:lineRule="auto"/>
        <w:ind w:left="1470" w:leftChars="100" w:hanging="1260" w:hangingChars="6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2.4 具备DSA功能 </w:t>
      </w:r>
    </w:p>
    <w:p>
      <w:pPr>
        <w:spacing w:line="360" w:lineRule="auto"/>
        <w:ind w:left="1470" w:leftChars="100" w:hanging="1260" w:hangingChars="6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2.5 具备二维地形图，三维地形图功能 </w:t>
      </w:r>
    </w:p>
    <w:p>
      <w:pPr>
        <w:spacing w:line="360" w:lineRule="auto"/>
        <w:ind w:left="1470" w:leftChars="100" w:hanging="1260" w:hangingChars="6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2.6 波形局部放大和自动测量</w:t>
      </w:r>
    </w:p>
    <w:p>
      <w:pPr>
        <w:spacing w:line="360" w:lineRule="auto"/>
        <w:ind w:left="1470" w:leftChars="100" w:hanging="1260" w:hangingChars="6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2.7 数据可回放功能</w:t>
      </w:r>
    </w:p>
    <w:p>
      <w:pPr>
        <w:spacing w:line="360" w:lineRule="auto"/>
        <w:ind w:left="1470" w:leftChars="100" w:hanging="1260" w:hangingChars="6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2.8 视频窗口透明度可调</w:t>
      </w:r>
    </w:p>
    <w:p>
      <w:pPr>
        <w:spacing w:line="360" w:lineRule="auto"/>
        <w:ind w:left="1470" w:leftChars="100" w:hanging="1260" w:hangingChars="6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2.9 具备宽频分析软件</w:t>
      </w:r>
    </w:p>
    <w:p>
      <w:pPr>
        <w:spacing w:line="360" w:lineRule="auto"/>
        <w:ind w:left="1470" w:leftChars="100" w:hanging="1260" w:hangingChars="6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2.10支持24小时以上断电存储功能</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★2.11 软件具有自动检测、自动连接、自动上传功能。</w:t>
      </w:r>
    </w:p>
    <w:p>
      <w:pPr>
        <w:spacing w:line="360" w:lineRule="auto"/>
        <w:outlineLvl w:val="1"/>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3.无线脑电采集放大器:</w:t>
      </w:r>
    </w:p>
    <w:p>
      <w:pPr>
        <w:spacing w:line="360" w:lineRule="auto"/>
        <w:ind w:left="1470" w:leftChars="100" w:hanging="1260" w:hangingChars="6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3.1通道数≥32通道，包含EEG及双极插孔</w:t>
      </w:r>
    </w:p>
    <w:p>
      <w:pPr>
        <w:spacing w:line="360" w:lineRule="auto"/>
        <w:ind w:firstLine="210" w:firstLineChars="1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3.2放大器与主机传输方式：无线网络WIFI</w:t>
      </w:r>
    </w:p>
    <w:p>
      <w:pPr>
        <w:spacing w:line="360" w:lineRule="auto"/>
        <w:ind w:firstLine="210" w:firstLineChars="1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3.3输入阻抗：≥150M</w:t>
      </w:r>
      <w:r>
        <w:rPr>
          <w:rFonts w:hint="eastAsia" w:cs="宋体" w:asciiTheme="minorEastAsia" w:hAnsiTheme="minorEastAsia" w:eastAsiaTheme="minorEastAsia"/>
          <w:color w:val="auto"/>
          <w:highlight w:val="none"/>
        </w:rPr>
        <w:sym w:font="Symbol" w:char="F057"/>
      </w:r>
    </w:p>
    <w:p>
      <w:pPr>
        <w:spacing w:line="360" w:lineRule="auto"/>
        <w:ind w:firstLine="210" w:firstLineChars="1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3.4共模抑制比：≥100dB</w:t>
      </w:r>
    </w:p>
    <w:p>
      <w:pPr>
        <w:spacing w:line="360" w:lineRule="auto"/>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3.5噪音：&lt; 1.0</w:t>
      </w:r>
      <w:r>
        <w:rPr>
          <w:rFonts w:hint="eastAsia" w:cs="宋体" w:asciiTheme="minorEastAsia" w:hAnsiTheme="minorEastAsia" w:eastAsiaTheme="minorEastAsia"/>
          <w:color w:val="auto"/>
          <w:highlight w:val="none"/>
        </w:rPr>
        <w:sym w:font="Symbol" w:char="F06D"/>
      </w:r>
      <w:r>
        <w:rPr>
          <w:rFonts w:hint="eastAsia" w:cs="宋体" w:asciiTheme="minorEastAsia" w:hAnsiTheme="minorEastAsia" w:eastAsiaTheme="minorEastAsia"/>
          <w:color w:val="auto"/>
          <w:highlight w:val="none"/>
        </w:rPr>
        <w:t>V pk-pk</w:t>
      </w:r>
    </w:p>
    <w:p>
      <w:pPr>
        <w:spacing w:line="360" w:lineRule="auto"/>
        <w:ind w:firstLine="210" w:firstLineChars="1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3.6数模转换：≥16bits</w:t>
      </w:r>
    </w:p>
    <w:p>
      <w:pPr>
        <w:spacing w:line="360" w:lineRule="auto"/>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3.7带宽：0.1～1000Hz </w:t>
      </w:r>
    </w:p>
    <w:p>
      <w:pPr>
        <w:spacing w:line="360" w:lineRule="auto"/>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3.8采样精度：≤0.153</w:t>
      </w:r>
      <w:r>
        <w:rPr>
          <w:rFonts w:hint="eastAsia" w:cs="宋体" w:asciiTheme="minorEastAsia" w:hAnsiTheme="minorEastAsia" w:eastAsiaTheme="minorEastAsia"/>
          <w:color w:val="auto"/>
          <w:highlight w:val="none"/>
        </w:rPr>
        <w:sym w:font="Symbol" w:char="F06D"/>
      </w:r>
      <w:r>
        <w:rPr>
          <w:rFonts w:hint="eastAsia" w:cs="宋体" w:asciiTheme="minorEastAsia" w:hAnsiTheme="minorEastAsia" w:eastAsiaTheme="minorEastAsia"/>
          <w:color w:val="auto"/>
          <w:highlight w:val="none"/>
        </w:rPr>
        <w:t>V</w:t>
      </w:r>
    </w:p>
    <w:p>
      <w:pPr>
        <w:spacing w:line="360" w:lineRule="auto"/>
        <w:ind w:firstLine="210" w:firstLineChars="1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3.9采样频率：200--3000Hz可调</w:t>
      </w:r>
    </w:p>
    <w:p>
      <w:pPr>
        <w:spacing w:line="360" w:lineRule="auto"/>
        <w:ind w:firstLine="210" w:firstLineChars="1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3.10高频滤波：15～1000Hz；</w:t>
      </w:r>
    </w:p>
    <w:p>
      <w:pPr>
        <w:spacing w:line="360" w:lineRule="auto"/>
        <w:ind w:firstLine="210" w:firstLineChars="1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3.11低频滤波：0.08～150Hz；</w:t>
      </w:r>
    </w:p>
    <w:p>
      <w:pPr>
        <w:spacing w:line="360" w:lineRule="auto"/>
        <w:outlineLvl w:val="1"/>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4.视频系统：</w:t>
      </w:r>
    </w:p>
    <w:p>
      <w:pPr>
        <w:spacing w:line="360" w:lineRule="auto"/>
        <w:ind w:firstLine="210" w:firstLineChars="1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highlight w:val="none"/>
        </w:rPr>
        <w:t>4.1</w:t>
      </w:r>
      <w:r>
        <w:rPr>
          <w:rFonts w:hint="eastAsia" w:cs="宋体" w:asciiTheme="minorEastAsia" w:hAnsiTheme="minorEastAsia" w:eastAsiaTheme="minorEastAsia"/>
          <w:color w:val="auto"/>
          <w:highlight w:val="none"/>
        </w:rPr>
        <w:t>网络视频采集摄像机及云台</w:t>
      </w:r>
    </w:p>
    <w:p>
      <w:pPr>
        <w:spacing w:line="360" w:lineRule="auto"/>
        <w:ind w:firstLine="210" w:firstLineChars="1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highlight w:val="none"/>
        </w:rPr>
        <w:t>4.2</w:t>
      </w:r>
      <w:r>
        <w:rPr>
          <w:rFonts w:hint="eastAsia" w:cs="宋体" w:asciiTheme="minorEastAsia" w:hAnsiTheme="minorEastAsia" w:eastAsiaTheme="minorEastAsia"/>
          <w:color w:val="auto"/>
          <w:highlight w:val="none"/>
        </w:rPr>
        <w:t>高清晰度视频图像高分辨率≥1920×1080像素</w:t>
      </w:r>
    </w:p>
    <w:p>
      <w:pPr>
        <w:spacing w:line="360" w:lineRule="auto"/>
        <w:outlineLvl w:val="1"/>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5.闪光刺激器</w:t>
      </w:r>
    </w:p>
    <w:p>
      <w:pPr>
        <w:spacing w:line="360" w:lineRule="auto"/>
        <w:ind w:firstLine="210" w:firstLineChars="1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5.1 气体闪光刺激器</w:t>
      </w:r>
    </w:p>
    <w:p>
      <w:pPr>
        <w:spacing w:line="360" w:lineRule="auto"/>
        <w:ind w:firstLine="210" w:firstLineChars="1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5.2可预置刺激模版</w:t>
      </w:r>
    </w:p>
    <w:p>
      <w:pPr>
        <w:spacing w:line="360" w:lineRule="auto"/>
        <w:ind w:firstLine="210" w:firstLineChars="100"/>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5.3 刺激频率1hz-60Hz</w:t>
      </w:r>
    </w:p>
    <w:p>
      <w:pPr>
        <w:spacing w:line="360" w:lineRule="auto"/>
        <w:jc w:val="left"/>
        <w:outlineLvl w:val="0"/>
        <w:rPr>
          <w:rFonts w:cs="宋体" w:asciiTheme="minorEastAsia" w:hAnsiTheme="minorEastAsia" w:eastAsiaTheme="minorEastAsia"/>
          <w:b/>
          <w:bCs/>
          <w:color w:val="auto"/>
          <w:kern w:val="0"/>
          <w:highlight w:val="none"/>
        </w:rPr>
      </w:pPr>
      <w:r>
        <w:rPr>
          <w:rFonts w:hint="eastAsia" w:cs="宋体" w:asciiTheme="minorEastAsia" w:hAnsiTheme="minorEastAsia" w:eastAsiaTheme="minorEastAsia"/>
          <w:b/>
          <w:bCs/>
          <w:color w:val="auto"/>
          <w:kern w:val="0"/>
          <w:highlight w:val="none"/>
        </w:rPr>
        <w:t>3、电动震动起立床</w:t>
      </w:r>
    </w:p>
    <w:p>
      <w:pPr>
        <w:numPr>
          <w:ilvl w:val="0"/>
          <w:numId w:val="2"/>
        </w:numPr>
        <w:snapToGrid w:val="0"/>
        <w:spacing w:line="360" w:lineRule="auto"/>
        <w:ind w:firstLine="560"/>
        <w:jc w:val="left"/>
        <w:outlineLvl w:val="0"/>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技术参数</w:t>
      </w:r>
    </w:p>
    <w:p>
      <w:pPr>
        <w:numPr>
          <w:ilvl w:val="0"/>
          <w:numId w:val="3"/>
        </w:numPr>
        <w:spacing w:line="360" w:lineRule="auto"/>
        <w:ind w:left="210" w:leftChars="100"/>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额定输入功率：850VA。</w:t>
      </w:r>
    </w:p>
    <w:p>
      <w:pPr>
        <w:numPr>
          <w:ilvl w:val="0"/>
          <w:numId w:val="3"/>
        </w:numPr>
        <w:spacing w:line="360" w:lineRule="auto"/>
        <w:ind w:left="210" w:leftChars="100"/>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★工作频率：振动踏板的振动频率为5～30Hz，连续可调，允差±5%，步进值为0.5Hz。</w:t>
      </w:r>
    </w:p>
    <w:p>
      <w:pPr>
        <w:numPr>
          <w:ilvl w:val="0"/>
          <w:numId w:val="3"/>
        </w:numPr>
        <w:spacing w:line="360" w:lineRule="auto"/>
        <w:ind w:left="210" w:leftChars="100"/>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★输出振幅：振动训练仪的振动为左右交替振动，输出振幅为0-4.5mm，允差±0.5mm。</w:t>
      </w:r>
    </w:p>
    <w:p>
      <w:pPr>
        <w:numPr>
          <w:ilvl w:val="0"/>
          <w:numId w:val="3"/>
        </w:numPr>
        <w:spacing w:line="360" w:lineRule="auto"/>
        <w:ind w:left="210" w:leftChars="100"/>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定时功能：振动训练仪具备可调定时器，时间为1～10min，连续可调，允差±3s，步进值为5s。</w:t>
      </w:r>
    </w:p>
    <w:p>
      <w:pPr>
        <w:numPr>
          <w:ilvl w:val="0"/>
          <w:numId w:val="3"/>
        </w:numPr>
        <w:spacing w:line="360" w:lineRule="auto"/>
        <w:ind w:left="210" w:leftChars="100"/>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连续工作时间：振动训练仪连续工作≥8h。</w:t>
      </w:r>
    </w:p>
    <w:p>
      <w:pPr>
        <w:numPr>
          <w:ilvl w:val="0"/>
          <w:numId w:val="3"/>
        </w:numPr>
        <w:spacing w:line="360" w:lineRule="auto"/>
        <w:ind w:left="210" w:leftChars="100"/>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配置起立床，为不能站立的病人提供振动训练。</w:t>
      </w:r>
    </w:p>
    <w:p>
      <w:pPr>
        <w:numPr>
          <w:ilvl w:val="0"/>
          <w:numId w:val="3"/>
        </w:numPr>
        <w:spacing w:line="360" w:lineRule="auto"/>
        <w:ind w:left="210" w:leftChars="100"/>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★承载量：标准配置可承受病人身高1.6米，头部枕头可调尺寸0.3米，可承受最大身高1.9米，最大体重为150kg。</w:t>
      </w:r>
    </w:p>
    <w:p>
      <w:pPr>
        <w:numPr>
          <w:ilvl w:val="0"/>
          <w:numId w:val="3"/>
        </w:numPr>
        <w:spacing w:line="360" w:lineRule="auto"/>
        <w:ind w:left="210" w:leftChars="100"/>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起立床整体为金属材质。</w:t>
      </w:r>
    </w:p>
    <w:p>
      <w:pPr>
        <w:numPr>
          <w:ilvl w:val="0"/>
          <w:numId w:val="3"/>
        </w:numPr>
        <w:spacing w:line="360" w:lineRule="auto"/>
        <w:ind w:left="210" w:leftChars="100"/>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运行时最大噪音≤80分贝。</w:t>
      </w:r>
    </w:p>
    <w:p>
      <w:pPr>
        <w:numPr>
          <w:ilvl w:val="0"/>
          <w:numId w:val="3"/>
        </w:numPr>
        <w:spacing w:line="360" w:lineRule="auto"/>
        <w:ind w:left="210" w:leftChars="100"/>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整机重量≤5KG；主机重量≤60KG。</w:t>
      </w:r>
    </w:p>
    <w:p>
      <w:pPr>
        <w:numPr>
          <w:ilvl w:val="0"/>
          <w:numId w:val="3"/>
        </w:numPr>
        <w:spacing w:line="360" w:lineRule="auto"/>
        <w:ind w:left="210" w:leftChars="100"/>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起立床可以0-90度电动无极调节，为病人提供0-100%的身体重量支撑。</w:t>
      </w:r>
    </w:p>
    <w:p>
      <w:pPr>
        <w:numPr>
          <w:ilvl w:val="0"/>
          <w:numId w:val="3"/>
        </w:numPr>
        <w:spacing w:line="360" w:lineRule="auto"/>
        <w:ind w:left="210" w:leftChars="100"/>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整机尺寸（mm）：1800*850*650，允差±5%</w:t>
      </w:r>
    </w:p>
    <w:p>
      <w:pPr>
        <w:numPr>
          <w:ilvl w:val="0"/>
          <w:numId w:val="3"/>
        </w:numPr>
        <w:spacing w:line="360" w:lineRule="auto"/>
        <w:ind w:left="210" w:leftChars="100"/>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床板尺寸（m）：1.25x0.52 ，允差±5%</w:t>
      </w:r>
    </w:p>
    <w:p>
      <w:pPr>
        <w:numPr>
          <w:ilvl w:val="0"/>
          <w:numId w:val="3"/>
        </w:numPr>
        <w:spacing w:line="360" w:lineRule="auto"/>
        <w:ind w:left="210" w:leftChars="100"/>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踏板尺寸（mm）：520x375，允差±5%</w:t>
      </w:r>
    </w:p>
    <w:p>
      <w:pPr>
        <w:numPr>
          <w:ilvl w:val="0"/>
          <w:numId w:val="3"/>
        </w:numPr>
        <w:spacing w:line="360" w:lineRule="auto"/>
        <w:ind w:left="210" w:leftChars="100"/>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认证：有CFDA注册证。</w:t>
      </w:r>
    </w:p>
    <w:p>
      <w:pPr>
        <w:spacing w:line="360" w:lineRule="auto"/>
        <w:ind w:left="210" w:leftChars="100"/>
        <w:jc w:val="left"/>
        <w:outlineLvl w:val="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配置清单：</w:t>
      </w:r>
    </w:p>
    <w:p>
      <w:pPr>
        <w:spacing w:line="360" w:lineRule="auto"/>
        <w:ind w:left="210" w:leftChars="100"/>
        <w:jc w:val="left"/>
        <w:outlineLvl w:val="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主机            1台             餐板                 1套</w:t>
      </w:r>
    </w:p>
    <w:p>
      <w:pPr>
        <w:spacing w:line="360" w:lineRule="auto"/>
        <w:ind w:left="210" w:leftChars="100"/>
        <w:jc w:val="left"/>
        <w:outlineLvl w:val="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床垫            1套             绑带                 3条</w:t>
      </w:r>
    </w:p>
    <w:p>
      <w:pPr>
        <w:spacing w:line="360" w:lineRule="auto"/>
        <w:ind w:left="210" w:leftChars="100"/>
        <w:jc w:val="left"/>
        <w:outlineLvl w:val="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遥控器          1个             电源线               1个</w:t>
      </w:r>
    </w:p>
    <w:p>
      <w:pPr>
        <w:spacing w:line="360" w:lineRule="auto"/>
        <w:ind w:left="210" w:leftChars="100"/>
        <w:jc w:val="left"/>
        <w:outlineLvl w:val="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保修卡          1张             使用说明书           1本</w:t>
      </w:r>
    </w:p>
    <w:p>
      <w:pPr>
        <w:spacing w:line="360" w:lineRule="auto"/>
        <w:ind w:left="210" w:leftChars="100"/>
        <w:jc w:val="left"/>
        <w:outlineLvl w:val="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仪器合格证      1张             装箱标准配置单       1张</w:t>
      </w:r>
    </w:p>
    <w:p>
      <w:pPr>
        <w:spacing w:line="360" w:lineRule="auto"/>
        <w:jc w:val="lef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4、主被动功率车（儿童型）（进口）</w:t>
      </w:r>
    </w:p>
    <w:p>
      <w:pPr>
        <w:spacing w:line="360" w:lineRule="auto"/>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一、设备主要技术参数</w:t>
      </w:r>
    </w:p>
    <w:p>
      <w:pPr>
        <w:numPr>
          <w:ilvl w:val="0"/>
          <w:numId w:val="4"/>
        </w:numPr>
        <w:spacing w:line="360" w:lineRule="auto"/>
        <w:ind w:left="0" w:firstLine="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★三种训练形式，被动、助力、主动，可自动转换；助力运动可以发现患者残存肌力，协助患者做主动运动；</w:t>
      </w:r>
    </w:p>
    <w:p>
      <w:pPr>
        <w:numPr>
          <w:ilvl w:val="0"/>
          <w:numId w:val="4"/>
        </w:numPr>
        <w:spacing w:line="360" w:lineRule="auto"/>
        <w:ind w:left="0" w:firstLine="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可探测0—2级肌力残存并自动增加辅助力量帮助患者完成训练；</w:t>
      </w:r>
    </w:p>
    <w:p>
      <w:p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（1）★痉挛控制功能：软件可智能识别痉挛，缓慢停止后自动改变运动方向，减轻、消除痉挛；</w:t>
      </w:r>
    </w:p>
    <w:p>
      <w:p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（2）★双侧对称性训练，主动运动过程中显示双侧肌力对称性情况，两种显示模式：柱状图显示，MAX游戏显示；</w:t>
      </w:r>
    </w:p>
    <w:p>
      <w:p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3. 下肢训练可以进行上下调节，满足不同年龄身高患者使用。</w:t>
      </w:r>
    </w:p>
    <w:p>
      <w:p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4. ★多种内设训练模式</w:t>
      </w:r>
    </w:p>
    <w:p>
      <w:pPr>
        <w:spacing w:line="360" w:lineRule="auto"/>
        <w:ind w:firstLine="315" w:firstLineChars="15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标准模式，专家模式：帕金森、多发性硬化、中风、协调性训练、骨损伤训练等十几种专业训练程序，程序中设置包含有最合理的转速、主被动运动时间及健患侧对称训练等，预设有提高训练兴趣的游戏功能；</w:t>
      </w:r>
    </w:p>
    <w:p>
      <w:pPr>
        <w:numPr>
          <w:ilvl w:val="0"/>
          <w:numId w:val="5"/>
        </w:num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带有小腿套的腿部保护装置, 对下肢有足够的支撑，同时可避免小腿在运动过程中四处晃动，也可防止膝关节过伸或者运动阻塞。</w:t>
      </w:r>
    </w:p>
    <w:p>
      <w:pPr>
        <w:numPr>
          <w:ilvl w:val="0"/>
          <w:numId w:val="5"/>
        </w:num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协调能力训练，将整个圆周运动分成上-推-下-拉四个运动，根据患者情况进行定向训练，训练患者的协调性；</w:t>
      </w:r>
    </w:p>
    <w:p>
      <w:pPr>
        <w:numPr>
          <w:ilvl w:val="0"/>
          <w:numId w:val="5"/>
        </w:num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耐用、稳固的金属构造，底座稳重，从而能保证患者的安全性；</w:t>
      </w:r>
    </w:p>
    <w:p>
      <w:pPr>
        <w:numPr>
          <w:ilvl w:val="0"/>
          <w:numId w:val="5"/>
        </w:num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平稳驱动系统：训练开始和结束，或者发生痉挛时，此功能可最大限度地保证训练者的安全；</w:t>
      </w:r>
    </w:p>
    <w:p>
      <w:pPr>
        <w:numPr>
          <w:ilvl w:val="0"/>
          <w:numId w:val="5"/>
        </w:num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踏板转动方向可调，可定时自动改变，范围0—30分钟之间，速度范围0—60转/分钟；阻力挡位范围0-20，定时范围为0-120分钟，显示为倒计时，若定时为零，可进行持续运动；</w:t>
      </w:r>
    </w:p>
    <w:p>
      <w:pPr>
        <w:numPr>
          <w:ilvl w:val="0"/>
          <w:numId w:val="5"/>
        </w:num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踏板转动幅度调整：踏板半径可以调节；护腿长短可根据患者小腿长度进行调节，进而固定患者小腿，保证进行训练时不会腿外翻。</w:t>
      </w:r>
    </w:p>
    <w:p>
      <w:pPr>
        <w:numPr>
          <w:ilvl w:val="0"/>
          <w:numId w:val="5"/>
        </w:num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患者腿部移动不便，在需要进行下肢运动时，可通过面板控制踏板位置，将踏板旋转至患者合适位置进行固定。</w:t>
      </w:r>
    </w:p>
    <w:p>
      <w:pPr>
        <w:numPr>
          <w:ilvl w:val="0"/>
          <w:numId w:val="5"/>
        </w:num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操作界面简单易懂，按键功能明确，非触摸屏设计，防止误碰导致危险；</w:t>
      </w:r>
    </w:p>
    <w:p>
      <w:pPr>
        <w:numPr>
          <w:ilvl w:val="0"/>
          <w:numId w:val="5"/>
        </w:num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lang w:val="en-GB"/>
        </w:rPr>
        <w:t>语言选择：可以选择五种语言，开机为中文显示；</w:t>
      </w:r>
    </w:p>
    <w:p>
      <w:pPr>
        <w:numPr>
          <w:ilvl w:val="0"/>
          <w:numId w:val="5"/>
        </w:num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技术规格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tcPr>
          <w:p>
            <w:pPr>
              <w:spacing w:line="360" w:lineRule="auto"/>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高度</w:t>
            </w:r>
          </w:p>
        </w:tc>
        <w:tc>
          <w:tcPr>
            <w:tcW w:w="5387" w:type="dxa"/>
            <w:noWrap/>
          </w:tcPr>
          <w:p>
            <w:pPr>
              <w:spacing w:line="360" w:lineRule="auto"/>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≥100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tcPr>
          <w:p>
            <w:pPr>
              <w:spacing w:line="360" w:lineRule="auto"/>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宽度</w:t>
            </w:r>
          </w:p>
        </w:tc>
        <w:tc>
          <w:tcPr>
            <w:tcW w:w="5387" w:type="dxa"/>
            <w:noWrap/>
          </w:tcPr>
          <w:p>
            <w:pPr>
              <w:spacing w:line="360" w:lineRule="auto"/>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tcPr>
          <w:p>
            <w:pPr>
              <w:spacing w:line="360" w:lineRule="auto"/>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深度</w:t>
            </w:r>
          </w:p>
        </w:tc>
        <w:tc>
          <w:tcPr>
            <w:tcW w:w="5387" w:type="dxa"/>
            <w:noWrap/>
          </w:tcPr>
          <w:p>
            <w:pPr>
              <w:spacing w:line="360" w:lineRule="auto"/>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tcPr>
          <w:p>
            <w:pPr>
              <w:spacing w:line="360" w:lineRule="auto"/>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屏幕尺寸</w:t>
            </w:r>
          </w:p>
        </w:tc>
        <w:tc>
          <w:tcPr>
            <w:tcW w:w="5387" w:type="dxa"/>
            <w:noWrap/>
          </w:tcPr>
          <w:p>
            <w:pPr>
              <w:spacing w:line="360" w:lineRule="auto"/>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长×宽≥11.0 x 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tcPr>
          <w:p>
            <w:pPr>
              <w:spacing w:line="360" w:lineRule="auto"/>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重量</w:t>
            </w:r>
          </w:p>
        </w:tc>
        <w:tc>
          <w:tcPr>
            <w:tcW w:w="5387" w:type="dxa"/>
            <w:noWrap/>
          </w:tcPr>
          <w:p>
            <w:pPr>
              <w:spacing w:line="360" w:lineRule="auto"/>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≥35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交流电</w:t>
            </w:r>
          </w:p>
        </w:tc>
        <w:tc>
          <w:tcPr>
            <w:tcW w:w="538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100-240伏</w:t>
            </w:r>
          </w:p>
        </w:tc>
      </w:tr>
    </w:tbl>
    <w:p>
      <w:pPr>
        <w:spacing w:line="360" w:lineRule="auto"/>
        <w:jc w:val="left"/>
        <w:outlineLvl w:val="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5、儿童减重支持训练系统</w:t>
      </w:r>
    </w:p>
    <w:p>
      <w:pPr>
        <w:spacing w:line="360" w:lineRule="auto"/>
        <w:jc w:val="left"/>
        <w:outlineLvl w:val="0"/>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一、产品组成</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减重步行训练台由减重吊架（悬挂支架、升降立柱、固定立柱、悬吊带、扶手、操作器、电源开关、减重显示器、基架、脚轮）、步行训练台组成。                                                      </w:t>
      </w:r>
    </w:p>
    <w:p>
      <w:pPr>
        <w:spacing w:line="360" w:lineRule="auto"/>
        <w:jc w:val="left"/>
        <w:outlineLvl w:val="0"/>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二、主要技术指标和参数</w:t>
      </w:r>
    </w:p>
    <w:p>
      <w:pPr>
        <w:spacing w:line="360" w:lineRule="auto"/>
        <w:ind w:left="210" w:leftChars="100"/>
        <w:jc w:val="left"/>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 减重吊架升降行程：300mm±10mm</w:t>
      </w:r>
    </w:p>
    <w:p>
      <w:pPr>
        <w:spacing w:line="360" w:lineRule="auto"/>
        <w:ind w:left="210" w:leftChars="100"/>
        <w:jc w:val="left"/>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 扶手上下调节行程： 850mm±10mm</w:t>
      </w:r>
    </w:p>
    <w:p>
      <w:pPr>
        <w:spacing w:line="360" w:lineRule="auto"/>
        <w:ind w:left="210" w:leftChars="100"/>
        <w:jc w:val="left"/>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 减重指示：5kg～55kg</w:t>
      </w:r>
    </w:p>
    <w:p>
      <w:pPr>
        <w:spacing w:line="360" w:lineRule="auto"/>
        <w:ind w:left="210" w:leftChars="100"/>
        <w:jc w:val="left"/>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 减重吊架正常载荷≥55kg</w:t>
      </w:r>
    </w:p>
    <w:p>
      <w:pPr>
        <w:spacing w:line="360" w:lineRule="auto"/>
        <w:ind w:left="210" w:leftChars="100"/>
        <w:jc w:val="left"/>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 输入功率：200VA</w:t>
      </w:r>
    </w:p>
    <w:p>
      <w:pPr>
        <w:spacing w:line="360" w:lineRule="auto"/>
        <w:ind w:left="210" w:leftChars="100"/>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 ★步行训练台速度：0.3km/h～7.0km/h</w:t>
      </w:r>
    </w:p>
    <w:p>
      <w:pPr>
        <w:numPr>
          <w:ilvl w:val="0"/>
          <w:numId w:val="6"/>
        </w:numPr>
        <w:spacing w:line="360" w:lineRule="auto"/>
        <w:ind w:left="210" w:leftChars="100"/>
        <w:jc w:val="left"/>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步行训练台正常载荷：≥90kg</w:t>
      </w:r>
    </w:p>
    <w:p>
      <w:pPr>
        <w:pStyle w:val="53"/>
        <w:numPr>
          <w:ilvl w:val="0"/>
          <w:numId w:val="6"/>
        </w:numPr>
        <w:spacing w:line="360" w:lineRule="auto"/>
        <w:ind w:left="210" w:leftChars="100"/>
        <w:outlineLvl w:val="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步行训练台输入功率：350VA</w:t>
      </w:r>
    </w:p>
    <w:p>
      <w:pPr>
        <w:spacing w:line="360" w:lineRule="auto"/>
        <w:jc w:val="left"/>
        <w:outlineLvl w:val="0"/>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三、主要材质</w:t>
      </w:r>
    </w:p>
    <w:p>
      <w:pPr>
        <w:spacing w:line="360" w:lineRule="auto"/>
        <w:ind w:left="210" w:leftChars="100"/>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1. 主要采用优质型钢、铝合金、布料等。                                       </w:t>
      </w:r>
    </w:p>
    <w:p>
      <w:pPr>
        <w:pStyle w:val="53"/>
        <w:spacing w:line="360" w:lineRule="auto"/>
        <w:ind w:left="210" w:leftChars="100"/>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 减重步行训练台配置清单：1—脚轮；2—步行训练台；3—基架；4—紧固螺栓；5—减重显示；6—电源开关；7—电量显示；8—升降控制器；9—承重吊带；10—扶手升降调节紧固螺栓；11—扶手；12—固定立柱；13—升降立柱；14—悬吊支架；15—传感器</w:t>
      </w:r>
    </w:p>
    <w:p>
      <w:pPr>
        <w:autoSpaceDE w:val="0"/>
        <w:autoSpaceDN w:val="0"/>
        <w:adjustRightInd w:val="0"/>
        <w:spacing w:line="360" w:lineRule="auto"/>
        <w:jc w:val="left"/>
        <w:outlineLvl w:val="0"/>
        <w:rPr>
          <w:rFonts w:cs="宋体" w:asciiTheme="minorEastAsia" w:hAnsiTheme="minorEastAsia" w:eastAsiaTheme="minorEastAsia"/>
          <w:b/>
          <w:bCs/>
          <w:color w:val="auto"/>
          <w:kern w:val="0"/>
          <w:highlight w:val="none"/>
          <w:lang w:val="zh-CN"/>
        </w:rPr>
      </w:pPr>
      <w:r>
        <w:rPr>
          <w:rFonts w:hint="eastAsia" w:cs="宋体" w:asciiTheme="minorEastAsia" w:hAnsiTheme="minorEastAsia" w:eastAsiaTheme="minorEastAsia"/>
          <w:b/>
          <w:bCs/>
          <w:color w:val="auto"/>
          <w:kern w:val="0"/>
          <w:highlight w:val="none"/>
        </w:rPr>
        <w:t>6、生物刺激反馈仪</w:t>
      </w:r>
    </w:p>
    <w:p>
      <w:pPr>
        <w:autoSpaceDE w:val="0"/>
        <w:autoSpaceDN w:val="0"/>
        <w:adjustRightInd w:val="0"/>
        <w:spacing w:line="360" w:lineRule="auto"/>
        <w:jc w:val="left"/>
        <w:outlineLvl w:val="0"/>
        <w:rPr>
          <w:rFonts w:cs="宋体" w:asciiTheme="minorEastAsia" w:hAnsiTheme="minorEastAsia" w:eastAsiaTheme="minorEastAsia"/>
          <w:b/>
          <w:bCs/>
          <w:color w:val="auto"/>
          <w:kern w:val="0"/>
          <w:highlight w:val="none"/>
          <w:lang w:val="zh-CN"/>
        </w:rPr>
      </w:pPr>
      <w:r>
        <w:rPr>
          <w:rFonts w:hint="eastAsia" w:cs="宋体" w:asciiTheme="minorEastAsia" w:hAnsiTheme="minorEastAsia" w:eastAsiaTheme="minorEastAsia"/>
          <w:b/>
          <w:bCs/>
          <w:color w:val="auto"/>
          <w:kern w:val="0"/>
          <w:highlight w:val="none"/>
          <w:lang w:val="zh-CN"/>
        </w:rPr>
        <w:t>一、硬件参数：</w:t>
      </w:r>
    </w:p>
    <w:p>
      <w:pPr>
        <w:pStyle w:val="9"/>
        <w:spacing w:line="360" w:lineRule="auto"/>
        <w:ind w:left="210" w:leftChars="100"/>
        <w:outlineLvl w:val="1"/>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 xml:space="preserve">1. </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kern w:val="0"/>
          <w:highlight w:val="none"/>
          <w:lang w:val="zh-CN"/>
        </w:rPr>
        <w:t>独立</w:t>
      </w:r>
      <w:r>
        <w:rPr>
          <w:rFonts w:hint="eastAsia" w:cs="宋体" w:asciiTheme="minorEastAsia" w:hAnsiTheme="minorEastAsia" w:eastAsiaTheme="minorEastAsia"/>
          <w:color w:val="auto"/>
          <w:highlight w:val="none"/>
        </w:rPr>
        <w:t>≥4</w:t>
      </w:r>
      <w:r>
        <w:rPr>
          <w:rFonts w:hint="eastAsia" w:cs="宋体" w:asciiTheme="minorEastAsia" w:hAnsiTheme="minorEastAsia" w:eastAsiaTheme="minorEastAsia"/>
          <w:color w:val="auto"/>
          <w:kern w:val="0"/>
          <w:highlight w:val="none"/>
          <w:lang w:val="zh-CN"/>
        </w:rPr>
        <w:t>通道设备。</w:t>
      </w:r>
    </w:p>
    <w:p>
      <w:pPr>
        <w:autoSpaceDE w:val="0"/>
        <w:autoSpaceDN w:val="0"/>
        <w:adjustRightInd w:val="0"/>
        <w:spacing w:line="360" w:lineRule="auto"/>
        <w:ind w:left="210" w:leftChars="100"/>
        <w:jc w:val="left"/>
        <w:outlineLvl w:val="1"/>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 xml:space="preserve">2. </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kern w:val="0"/>
          <w:highlight w:val="none"/>
          <w:lang w:val="zh-CN"/>
        </w:rPr>
        <w:t>AD采样率≥8192 Hz</w:t>
      </w:r>
    </w:p>
    <w:p>
      <w:pPr>
        <w:autoSpaceDE w:val="0"/>
        <w:autoSpaceDN w:val="0"/>
        <w:adjustRightInd w:val="0"/>
        <w:spacing w:line="360" w:lineRule="auto"/>
        <w:ind w:left="210" w:leftChars="100"/>
        <w:jc w:val="left"/>
        <w:outlineLvl w:val="1"/>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3. AD采样位数：16</w:t>
      </w:r>
    </w:p>
    <w:p>
      <w:pPr>
        <w:autoSpaceDE w:val="0"/>
        <w:autoSpaceDN w:val="0"/>
        <w:adjustRightInd w:val="0"/>
        <w:spacing w:line="360" w:lineRule="auto"/>
        <w:ind w:left="210" w:leftChars="100"/>
        <w:jc w:val="left"/>
        <w:outlineLvl w:val="1"/>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4. 刺激强度：0-100mA</w:t>
      </w:r>
    </w:p>
    <w:p>
      <w:pPr>
        <w:autoSpaceDE w:val="0"/>
        <w:autoSpaceDN w:val="0"/>
        <w:adjustRightInd w:val="0"/>
        <w:spacing w:line="360" w:lineRule="auto"/>
        <w:ind w:left="210" w:leftChars="100"/>
        <w:jc w:val="left"/>
        <w:outlineLvl w:val="1"/>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5.激频率：0.5-999Hz</w:t>
      </w:r>
    </w:p>
    <w:p>
      <w:pPr>
        <w:autoSpaceDE w:val="0"/>
        <w:autoSpaceDN w:val="0"/>
        <w:adjustRightInd w:val="0"/>
        <w:spacing w:line="360" w:lineRule="auto"/>
        <w:ind w:left="210" w:leftChars="100"/>
        <w:jc w:val="left"/>
        <w:outlineLvl w:val="1"/>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6.冲宽度：10μs～1000μs</w:t>
      </w:r>
    </w:p>
    <w:p>
      <w:pPr>
        <w:autoSpaceDE w:val="0"/>
        <w:autoSpaceDN w:val="0"/>
        <w:adjustRightInd w:val="0"/>
        <w:spacing w:line="360" w:lineRule="auto"/>
        <w:ind w:left="210" w:leftChars="100"/>
        <w:jc w:val="left"/>
        <w:outlineLvl w:val="1"/>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7. 上升下降时间：0-10s</w:t>
      </w:r>
    </w:p>
    <w:p>
      <w:pPr>
        <w:autoSpaceDE w:val="0"/>
        <w:autoSpaceDN w:val="0"/>
        <w:adjustRightInd w:val="0"/>
        <w:spacing w:line="360" w:lineRule="auto"/>
        <w:ind w:left="210" w:leftChars="100"/>
        <w:jc w:val="left"/>
        <w:outlineLvl w:val="1"/>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 xml:space="preserve">8. 内置放大器带宽：20Hz～500Hz(-3dB) </w:t>
      </w:r>
    </w:p>
    <w:p>
      <w:pPr>
        <w:autoSpaceDE w:val="0"/>
        <w:autoSpaceDN w:val="0"/>
        <w:adjustRightInd w:val="0"/>
        <w:spacing w:line="360" w:lineRule="auto"/>
        <w:ind w:left="210" w:leftChars="100"/>
        <w:jc w:val="left"/>
        <w:outlineLvl w:val="1"/>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9. 内置放大器测量范围：1-999μV（r.m.s）</w:t>
      </w:r>
    </w:p>
    <w:p>
      <w:pPr>
        <w:autoSpaceDE w:val="0"/>
        <w:autoSpaceDN w:val="0"/>
        <w:adjustRightInd w:val="0"/>
        <w:spacing w:line="360" w:lineRule="auto"/>
        <w:ind w:left="210" w:leftChars="100"/>
        <w:jc w:val="left"/>
        <w:outlineLvl w:val="1"/>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 xml:space="preserve">10. 内置放大器最高分辨率：≤2μV(r.m.s) </w:t>
      </w:r>
    </w:p>
    <w:p>
      <w:pPr>
        <w:autoSpaceDE w:val="0"/>
        <w:autoSpaceDN w:val="0"/>
        <w:adjustRightInd w:val="0"/>
        <w:spacing w:line="360" w:lineRule="auto"/>
        <w:ind w:left="210" w:leftChars="100"/>
        <w:jc w:val="left"/>
        <w:outlineLvl w:val="1"/>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11. 内置放大器输入噪声≤1μV（r.m.s）</w:t>
      </w:r>
    </w:p>
    <w:p>
      <w:pPr>
        <w:autoSpaceDE w:val="0"/>
        <w:autoSpaceDN w:val="0"/>
        <w:adjustRightInd w:val="0"/>
        <w:spacing w:line="360" w:lineRule="auto"/>
        <w:ind w:left="210" w:leftChars="100"/>
        <w:jc w:val="left"/>
        <w:outlineLvl w:val="1"/>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12. 刺激波形：双相平衡波</w:t>
      </w:r>
    </w:p>
    <w:p>
      <w:pPr>
        <w:autoSpaceDE w:val="0"/>
        <w:autoSpaceDN w:val="0"/>
        <w:adjustRightInd w:val="0"/>
        <w:spacing w:line="360" w:lineRule="auto"/>
        <w:ind w:left="210" w:leftChars="100"/>
        <w:jc w:val="left"/>
        <w:outlineLvl w:val="1"/>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13. 彩色液晶触摸屏</w:t>
      </w:r>
    </w:p>
    <w:p>
      <w:pPr>
        <w:autoSpaceDE w:val="0"/>
        <w:autoSpaceDN w:val="0"/>
        <w:adjustRightInd w:val="0"/>
        <w:spacing w:line="360" w:lineRule="auto"/>
        <w:jc w:val="left"/>
        <w:outlineLvl w:val="0"/>
        <w:rPr>
          <w:rFonts w:cs="宋体" w:asciiTheme="minorEastAsia" w:hAnsiTheme="minorEastAsia" w:eastAsiaTheme="minorEastAsia"/>
          <w:b/>
          <w:bCs/>
          <w:color w:val="auto"/>
          <w:kern w:val="0"/>
          <w:highlight w:val="none"/>
          <w:lang w:val="zh-CN"/>
        </w:rPr>
      </w:pPr>
      <w:r>
        <w:rPr>
          <w:rFonts w:hint="eastAsia" w:cs="宋体" w:asciiTheme="minorEastAsia" w:hAnsiTheme="minorEastAsia" w:eastAsiaTheme="minorEastAsia"/>
          <w:b/>
          <w:bCs/>
          <w:color w:val="auto"/>
          <w:kern w:val="0"/>
          <w:highlight w:val="none"/>
          <w:lang w:val="zh-CN"/>
        </w:rPr>
        <w:t>二、软件参数：</w:t>
      </w:r>
    </w:p>
    <w:p>
      <w:pPr>
        <w:autoSpaceDE w:val="0"/>
        <w:autoSpaceDN w:val="0"/>
        <w:adjustRightInd w:val="0"/>
        <w:spacing w:line="360" w:lineRule="auto"/>
        <w:ind w:left="210" w:leftChars="100"/>
        <w:jc w:val="left"/>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1. 内置嵌入式软件：具有多部位联合治疗、儿童基础康复和评估反馈三大工作模块，且可根据患儿需求编辑个性化治疗方案；</w:t>
      </w:r>
    </w:p>
    <w:p>
      <w:pPr>
        <w:autoSpaceDE w:val="0"/>
        <w:autoSpaceDN w:val="0"/>
        <w:adjustRightInd w:val="0"/>
        <w:spacing w:line="360" w:lineRule="auto"/>
        <w:ind w:left="210" w:leftChars="100"/>
        <w:jc w:val="left"/>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2.</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kern w:val="0"/>
          <w:highlight w:val="none"/>
          <w:lang w:val="zh-CN"/>
        </w:rPr>
        <w:t>针对上肢、下肢、头颈及躯干，内置十七种多部位联合治疗专用方案，包括：上肢支撑欠佳、肩关节半脱位等常用方案，内置二十多种儿童基础康复方案，包括针对不同部位的肌力增强，解痉挛方案等；</w:t>
      </w:r>
    </w:p>
    <w:p>
      <w:pPr>
        <w:autoSpaceDE w:val="0"/>
        <w:autoSpaceDN w:val="0"/>
        <w:adjustRightInd w:val="0"/>
        <w:spacing w:line="360" w:lineRule="auto"/>
        <w:ind w:left="210" w:leftChars="100"/>
        <w:jc w:val="left"/>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3. 具有神经肌肉电刺激功能（NMES）；</w:t>
      </w:r>
    </w:p>
    <w:p>
      <w:pPr>
        <w:autoSpaceDE w:val="0"/>
        <w:autoSpaceDN w:val="0"/>
        <w:adjustRightInd w:val="0"/>
        <w:spacing w:line="360" w:lineRule="auto"/>
        <w:ind w:left="210" w:leftChars="100"/>
        <w:jc w:val="left"/>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4. 具有双通道肌电触发电刺激功能（EMG Trigger Stim,ETS）；强化正反馈，根据肌电信号实时改变电刺激强度，肌电值越大，电流强度也越大；强调患者的主观运动，并提供积极、正向的反馈，帮助患者最大限度的恢复运动功能；</w:t>
      </w:r>
    </w:p>
    <w:p>
      <w:pPr>
        <w:autoSpaceDE w:val="0"/>
        <w:autoSpaceDN w:val="0"/>
        <w:adjustRightInd w:val="0"/>
        <w:spacing w:line="360" w:lineRule="auto"/>
        <w:ind w:left="210" w:leftChars="100"/>
        <w:jc w:val="left"/>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 xml:space="preserve">5. </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kern w:val="0"/>
          <w:highlight w:val="none"/>
          <w:lang w:val="zh-CN"/>
        </w:rPr>
        <w:t>具有对侧控制型功能电刺激功能（CCFES）：CCFES以健侧肌电信号控制患侧进行对称性运动，提供双侧的皮质驱动，重塑中枢；促进患者主动再学习，恢复其对患侧的控制能力，激发患者康复的信心；</w:t>
      </w:r>
    </w:p>
    <w:p>
      <w:pPr>
        <w:autoSpaceDE w:val="0"/>
        <w:autoSpaceDN w:val="0"/>
        <w:adjustRightInd w:val="0"/>
        <w:spacing w:line="360" w:lineRule="auto"/>
        <w:ind w:left="210" w:leftChars="100"/>
        <w:jc w:val="left"/>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6.神经肌肉电刺激方案可实现多人，多通道，多方案，不同步治疗。</w:t>
      </w:r>
    </w:p>
    <w:p>
      <w:pPr>
        <w:autoSpaceDE w:val="0"/>
        <w:autoSpaceDN w:val="0"/>
        <w:adjustRightInd w:val="0"/>
        <w:spacing w:line="360" w:lineRule="auto"/>
        <w:ind w:left="210" w:leftChars="100"/>
        <w:jc w:val="left"/>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7.具有时序模式和独立刺激模式可选，提供全面的康复治疗方案。</w:t>
      </w:r>
    </w:p>
    <w:p>
      <w:pPr>
        <w:autoSpaceDE w:val="0"/>
        <w:autoSpaceDN w:val="0"/>
        <w:adjustRightInd w:val="0"/>
        <w:spacing w:line="360" w:lineRule="auto"/>
        <w:ind w:left="210" w:leftChars="100"/>
        <w:jc w:val="left"/>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8.具有吞咽功能障碍治疗方案。</w:t>
      </w:r>
    </w:p>
    <w:p>
      <w:pPr>
        <w:autoSpaceDE w:val="0"/>
        <w:autoSpaceDN w:val="0"/>
        <w:adjustRightInd w:val="0"/>
        <w:spacing w:line="360" w:lineRule="auto"/>
        <w:ind w:left="210" w:leftChars="100"/>
        <w:jc w:val="left"/>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9.</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kern w:val="0"/>
          <w:highlight w:val="none"/>
          <w:lang w:val="zh-CN"/>
        </w:rPr>
        <w:t>可编辑个性化治疗方案，自定义临床方案刺激时间、间歇时间、波升时间、波降时间、刺激频率、脉宽可调，且推荐临床常用的治疗参数；</w:t>
      </w:r>
    </w:p>
    <w:p>
      <w:pPr>
        <w:autoSpaceDE w:val="0"/>
        <w:autoSpaceDN w:val="0"/>
        <w:adjustRightInd w:val="0"/>
        <w:spacing w:line="360" w:lineRule="auto"/>
        <w:ind w:left="210" w:leftChars="100"/>
        <w:jc w:val="left"/>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rPr>
        <w:t>10</w:t>
      </w:r>
      <w:r>
        <w:rPr>
          <w:rFonts w:hint="eastAsia" w:cs="宋体" w:asciiTheme="minorEastAsia" w:hAnsiTheme="minorEastAsia" w:eastAsiaTheme="minorEastAsia"/>
          <w:color w:val="auto"/>
          <w:kern w:val="0"/>
          <w:highlight w:val="none"/>
          <w:lang w:val="zh-CN"/>
        </w:rPr>
        <w:t>.供常规刺激、载波调制和变频电刺激三种刺激形式选择，方案通道可自定义；</w:t>
      </w:r>
    </w:p>
    <w:p>
      <w:pPr>
        <w:autoSpaceDE w:val="0"/>
        <w:autoSpaceDN w:val="0"/>
        <w:adjustRightInd w:val="0"/>
        <w:spacing w:line="360" w:lineRule="auto"/>
        <w:ind w:left="210" w:leftChars="100"/>
        <w:jc w:val="left"/>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1</w:t>
      </w:r>
      <w:r>
        <w:rPr>
          <w:rFonts w:hint="eastAsia" w:cs="宋体" w:asciiTheme="minorEastAsia" w:hAnsiTheme="minorEastAsia" w:eastAsiaTheme="minorEastAsia"/>
          <w:color w:val="auto"/>
          <w:kern w:val="0"/>
          <w:highlight w:val="none"/>
        </w:rPr>
        <w:t>1</w:t>
      </w:r>
      <w:r>
        <w:rPr>
          <w:rFonts w:hint="eastAsia" w:cs="宋体" w:asciiTheme="minorEastAsia" w:hAnsiTheme="minorEastAsia" w:eastAsiaTheme="minorEastAsia"/>
          <w:color w:val="auto"/>
          <w:kern w:val="0"/>
          <w:highlight w:val="none"/>
          <w:lang w:val="zh-CN"/>
        </w:rPr>
        <w:t>.具备表面肌电评估功能，实时评估患者肌力情况，可出具评估报告，评估报告可存储及导出；</w:t>
      </w:r>
    </w:p>
    <w:p>
      <w:pPr>
        <w:autoSpaceDE w:val="0"/>
        <w:autoSpaceDN w:val="0"/>
        <w:adjustRightInd w:val="0"/>
        <w:spacing w:line="360" w:lineRule="auto"/>
        <w:ind w:left="210" w:leftChars="100"/>
        <w:jc w:val="left"/>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1</w:t>
      </w:r>
      <w:r>
        <w:rPr>
          <w:rFonts w:hint="eastAsia" w:cs="宋体" w:asciiTheme="minorEastAsia" w:hAnsiTheme="minorEastAsia" w:eastAsiaTheme="minorEastAsia"/>
          <w:color w:val="auto"/>
          <w:kern w:val="0"/>
          <w:highlight w:val="none"/>
        </w:rPr>
        <w:t>2</w:t>
      </w:r>
      <w:r>
        <w:rPr>
          <w:rFonts w:hint="eastAsia" w:cs="宋体" w:asciiTheme="minorEastAsia" w:hAnsiTheme="minorEastAsia" w:eastAsiaTheme="minorEastAsia"/>
          <w:color w:val="auto"/>
          <w:kern w:val="0"/>
          <w:highlight w:val="none"/>
          <w:lang w:val="zh-CN"/>
        </w:rPr>
        <w:t>.具有专业两通道脑瘫评估功能，针对脑瘫患儿对放松期、被动功能位及自主收缩进行测试。</w:t>
      </w:r>
    </w:p>
    <w:p>
      <w:pPr>
        <w:spacing w:line="360" w:lineRule="auto"/>
        <w:ind w:left="210" w:leftChars="100"/>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1</w:t>
      </w:r>
      <w:r>
        <w:rPr>
          <w:rFonts w:hint="eastAsia" w:cs="宋体" w:asciiTheme="minorEastAsia" w:hAnsiTheme="minorEastAsia" w:eastAsiaTheme="minorEastAsia"/>
          <w:color w:val="auto"/>
          <w:kern w:val="0"/>
          <w:highlight w:val="none"/>
        </w:rPr>
        <w:t>3</w:t>
      </w:r>
      <w:r>
        <w:rPr>
          <w:rFonts w:hint="eastAsia" w:cs="宋体" w:asciiTheme="minorEastAsia" w:hAnsiTheme="minorEastAsia" w:eastAsiaTheme="minorEastAsia"/>
          <w:color w:val="auto"/>
          <w:kern w:val="0"/>
          <w:highlight w:val="none"/>
          <w:lang w:val="zh-CN"/>
        </w:rPr>
        <w:t>. ★具备多媒体生物反馈训练功能，5大类动画反馈：可进行肌力放松、增强、耐力、协调、精准训练。</w:t>
      </w:r>
    </w:p>
    <w:p>
      <w:pPr>
        <w:spacing w:line="360" w:lineRule="auto"/>
        <w:jc w:val="left"/>
        <w:outlineLvl w:val="0"/>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7、肌兴奋治疗仪</w:t>
      </w:r>
    </w:p>
    <w:p>
      <w:pPr>
        <w:spacing w:line="360" w:lineRule="auto"/>
        <w:outlineLvl w:val="0"/>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一、配置要求：</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电刺激器1台</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电极线 4根</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定位帽 2顶</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绑带 2根</w:t>
      </w:r>
    </w:p>
    <w:p>
      <w:pPr>
        <w:spacing w:line="360" w:lineRule="auto"/>
        <w:outlineLvl w:val="0"/>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二、技术性能要求：</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1.输出方式</w:t>
      </w:r>
    </w:p>
    <w:p>
      <w:pPr>
        <w:spacing w:line="360" w:lineRule="auto"/>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1.1通道数：双通道,可治疗≥1名患者。</w:t>
      </w:r>
    </w:p>
    <w:p>
      <w:pPr>
        <w:spacing w:line="360" w:lineRule="auto"/>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1.2电流输出</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2.1★刺激模式：经颅直流电刺激模式（tDCS模式）、正中神经电刺激模式（MNS模式），两种刺激模式互不干扰。</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2.电流输出：</w:t>
      </w:r>
    </w:p>
    <w:p>
      <w:pPr>
        <w:spacing w:line="360" w:lineRule="auto"/>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2.2经颅直流电模式：</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2.2.1tDCS输出电流：50µA～2500µA范围内可调，步进50µA，电流误差：±5%。</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2.2.2治疗时间范围：60s～3600s范围内可调，步进30s。</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2.2.3阻抗监测：在tDCS模式下，实时显示真实的阻抗值，在（5kΩ～40kΩ）范围内，阻抗检测误差±10%。阻抗超过50KΩ则无法输出，治疗期间超过50KΩ会自动切断输出。</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2.2.4工作电压：25V±2.5V，低于人体安全电压。</w:t>
      </w:r>
    </w:p>
    <w:p>
      <w:pPr>
        <w:spacing w:line="360" w:lineRule="auto"/>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2.3正中神经电模式：</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2.3.1输出电流：1mA～100mA范围内可调，步进0.5mA，电流误差：±5%</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2.3.2治疗时间：1~480min范围内可调，步进值1min。</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2.3.3脉冲波：1Hz～160Hz范围内可调，步进1Hz，脉冲波误差：±1%</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3.3.4脉冲宽度：100μs～5000μs范围内可调，步进100μs，脉冲宽度误差：±3%</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2.3.5脉冲群输出时间：2~20s（步进1s）。</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2.3.6脉冲群休息时间：2~50s（步进1s）。</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2.3.7工作电压：27V±2.5V，低于人体安全电压。</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3.★电子处方：刺激仪应配备电子处方及部位示意图（需提供软件截图加以证明）。</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4.电极片：配备专用盐水电极片（电极片应提供生物相容性检测报告）。</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注册证适用范围：用于人体（含儿童）中枢神经电刺激和外周神经电刺激，适用于对成人及儿童的运动功能障碍、认知障碍、语言障碍（失语症）、吞咽障碍、意识障碍进行辅助治疗；治疗或缓解失眠症状。还可以用于认知障碍、意识障碍检查与评定。</w:t>
      </w:r>
    </w:p>
    <w:p>
      <w:pPr>
        <w:pStyle w:val="53"/>
        <w:spacing w:line="360" w:lineRule="auto"/>
        <w:outlineLvl w:val="0"/>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color w:val="auto"/>
          <w:kern w:val="2"/>
          <w:sz w:val="21"/>
          <w:szCs w:val="21"/>
          <w:highlight w:val="none"/>
        </w:rPr>
        <w:t>8、脑循环治疗仪</w:t>
      </w:r>
    </w:p>
    <w:p>
      <w:pPr>
        <w:pStyle w:val="53"/>
        <w:numPr>
          <w:ilvl w:val="0"/>
          <w:numId w:val="7"/>
        </w:num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生物电输出特性：必须采用数字频率合成仿脑电波生物电，而非传统的机械波：如方波、三角波、正弦波；治疗方式是自颅外无创电刺激；</w:t>
      </w:r>
    </w:p>
    <w:p>
      <w:pPr>
        <w:pStyle w:val="53"/>
        <w:numPr>
          <w:ilvl w:val="0"/>
          <w:numId w:val="7"/>
        </w:num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该设备刺激电流为数字频率合成仿脑电波生物电，必须具有α波、β波、θ波等数字合成电流，在国家食品药品监督管理局颁发的《医疗器械注册证书》上必须明确表示；</w:t>
      </w:r>
    </w:p>
    <w:p>
      <w:pPr>
        <w:pStyle w:val="53"/>
        <w:numPr>
          <w:ilvl w:val="0"/>
          <w:numId w:val="7"/>
        </w:numPr>
        <w:spacing w:line="360" w:lineRule="auto"/>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具有智能诱导波及具有神经递质诱导的超慢波； </w:t>
      </w:r>
    </w:p>
    <w:p>
      <w:pPr>
        <w:pStyle w:val="53"/>
        <w:numPr>
          <w:ilvl w:val="0"/>
          <w:numId w:val="7"/>
        </w:numPr>
        <w:spacing w:line="360" w:lineRule="auto"/>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恒流输出特性,输出电流均方根(r.m.s)值≤15mA；</w:t>
      </w:r>
    </w:p>
    <w:p>
      <w:pPr>
        <w:pStyle w:val="53"/>
        <w:numPr>
          <w:ilvl w:val="0"/>
          <w:numId w:val="7"/>
        </w:numPr>
        <w:spacing w:line="360" w:lineRule="auto"/>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输出开路最大电压峰-峰值≤100V</w:t>
      </w:r>
    </w:p>
    <w:p>
      <w:pPr>
        <w:pStyle w:val="53"/>
        <w:numPr>
          <w:ilvl w:val="0"/>
          <w:numId w:val="7"/>
        </w:numPr>
        <w:spacing w:line="360" w:lineRule="auto"/>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频谱范围: 0-10 KHz</w:t>
      </w:r>
    </w:p>
    <w:p>
      <w:pPr>
        <w:pStyle w:val="53"/>
        <w:numPr>
          <w:ilvl w:val="0"/>
          <w:numId w:val="7"/>
        </w:num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★双路独立输出，可同时治疗两个人。</w:t>
      </w:r>
    </w:p>
    <w:p>
      <w:pPr>
        <w:pStyle w:val="53"/>
        <w:numPr>
          <w:ilvl w:val="0"/>
          <w:numId w:val="7"/>
        </w:numPr>
        <w:spacing w:line="360" w:lineRule="auto"/>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配备一体化推车</w:t>
      </w:r>
    </w:p>
    <w:p>
      <w:pPr>
        <w:pStyle w:val="53"/>
        <w:numPr>
          <w:ilvl w:val="0"/>
          <w:numId w:val="7"/>
        </w:num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具有三种治疗模式（定时、连续、睡眠）；四种治疗类型。</w:t>
      </w:r>
    </w:p>
    <w:p>
      <w:pPr>
        <w:pStyle w:val="53"/>
        <w:numPr>
          <w:ilvl w:val="0"/>
          <w:numId w:val="7"/>
        </w:num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治疗时间在1-120分钟内可随意调节；</w:t>
      </w:r>
    </w:p>
    <w:p>
      <w:pPr>
        <w:pStyle w:val="19"/>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highlight w:val="none"/>
        </w:rPr>
        <w:t>11.设备软件部分必须提供《计算机软件著作权证书》；在注册证上</w:t>
      </w:r>
      <w:r>
        <w:rPr>
          <w:rFonts w:hint="eastAsia" w:cs="宋体" w:asciiTheme="minorEastAsia" w:hAnsiTheme="minorEastAsia" w:eastAsiaTheme="minorEastAsia"/>
          <w:color w:val="auto"/>
          <w:highlight w:val="none"/>
        </w:rPr>
        <w:t>标明“含α波、β波、θ波”脑电波形刺激治疗。</w:t>
      </w:r>
    </w:p>
    <w:p>
      <w:pPr>
        <w:spacing w:line="360" w:lineRule="auto"/>
        <w:jc w:val="left"/>
        <w:outlineLvl w:val="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9、痉挛肌治疗仪</w:t>
      </w:r>
    </w:p>
    <w:p>
      <w:pPr>
        <w:pStyle w:val="75"/>
        <w:spacing w:line="360" w:lineRule="auto"/>
        <w:ind w:firstLine="0" w:firstLineChars="0"/>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适应范围：</w:t>
      </w:r>
      <w:r>
        <w:rPr>
          <w:rFonts w:hint="eastAsia" w:cs="宋体" w:asciiTheme="minorEastAsia" w:hAnsiTheme="minorEastAsia" w:eastAsiaTheme="minorEastAsia"/>
          <w:bCs/>
          <w:color w:val="auto"/>
          <w:highlight w:val="none"/>
        </w:rPr>
        <w:t>刺激痉挛肌和对抗肌，使二者收缩，开展电刺激，用于中枢神经系统病损引起的肌肉痉挛状态的改善和缓解</w:t>
      </w:r>
      <w:r>
        <w:rPr>
          <w:rFonts w:hint="eastAsia" w:cs="宋体" w:asciiTheme="minorEastAsia" w:hAnsiTheme="minorEastAsia" w:eastAsiaTheme="minorEastAsia"/>
          <w:color w:val="auto"/>
          <w:highlight w:val="none"/>
        </w:rPr>
        <w:t>。</w:t>
      </w:r>
    </w:p>
    <w:p>
      <w:pPr>
        <w:pStyle w:val="75"/>
        <w:spacing w:line="360" w:lineRule="auto"/>
        <w:ind w:firstLine="0" w:firstLineChars="0"/>
        <w:jc w:val="lef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性能参数：</w:t>
      </w:r>
    </w:p>
    <w:p>
      <w:pPr>
        <w:pStyle w:val="75"/>
        <w:numPr>
          <w:ilvl w:val="0"/>
          <w:numId w:val="8"/>
        </w:numPr>
        <w:spacing w:line="360" w:lineRule="auto"/>
        <w:ind w:firstLineChars="0"/>
        <w:jc w:val="left"/>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bCs/>
          <w:color w:val="auto"/>
          <w:highlight w:val="none"/>
        </w:rPr>
        <w:t>★</w:t>
      </w:r>
      <w:r>
        <w:rPr>
          <w:rFonts w:hint="eastAsia" w:cs="宋体" w:asciiTheme="minorEastAsia" w:hAnsiTheme="minorEastAsia" w:eastAsiaTheme="minorEastAsia"/>
          <w:color w:val="auto"/>
          <w:highlight w:val="none"/>
        </w:rPr>
        <w:t>四通道输出，可同时连接</w:t>
      </w:r>
      <w:r>
        <w:rPr>
          <w:rFonts w:hint="eastAsia" w:cs="宋体" w:asciiTheme="minorEastAsia" w:hAnsiTheme="minorEastAsia" w:eastAsiaTheme="minorEastAsia"/>
          <w:bCs/>
          <w:color w:val="auto"/>
          <w:highlight w:val="none"/>
        </w:rPr>
        <w:t>≥</w:t>
      </w:r>
      <w:r>
        <w:rPr>
          <w:rFonts w:hint="eastAsia" w:cs="宋体" w:asciiTheme="minorEastAsia" w:hAnsiTheme="minorEastAsia" w:eastAsiaTheme="minorEastAsia"/>
          <w:color w:val="auto"/>
          <w:highlight w:val="none"/>
        </w:rPr>
        <w:t xml:space="preserve">16个电极片； </w:t>
      </w:r>
    </w:p>
    <w:p>
      <w:pPr>
        <w:pStyle w:val="75"/>
        <w:numPr>
          <w:ilvl w:val="0"/>
          <w:numId w:val="8"/>
        </w:numPr>
        <w:spacing w:line="360" w:lineRule="auto"/>
        <w:ind w:firstLineChars="0"/>
        <w:jc w:val="left"/>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液晶触摸显示屏；</w:t>
      </w:r>
    </w:p>
    <w:p>
      <w:pPr>
        <w:pStyle w:val="75"/>
        <w:numPr>
          <w:ilvl w:val="0"/>
          <w:numId w:val="8"/>
        </w:numPr>
        <w:spacing w:line="360" w:lineRule="auto"/>
        <w:ind w:firstLineChars="0"/>
        <w:jc w:val="left"/>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bCs/>
          <w:color w:val="auto"/>
          <w:highlight w:val="none"/>
        </w:rPr>
        <w:t>≥</w:t>
      </w:r>
      <w:r>
        <w:rPr>
          <w:rFonts w:hint="eastAsia" w:cs="宋体" w:asciiTheme="minorEastAsia" w:hAnsiTheme="minorEastAsia" w:eastAsiaTheme="minorEastAsia"/>
          <w:color w:val="auto"/>
          <w:highlight w:val="none"/>
        </w:rPr>
        <w:t xml:space="preserve">8种内置处方，也可自定义处方； </w:t>
      </w:r>
    </w:p>
    <w:p>
      <w:pPr>
        <w:pStyle w:val="75"/>
        <w:numPr>
          <w:ilvl w:val="0"/>
          <w:numId w:val="8"/>
        </w:numPr>
        <w:spacing w:line="360" w:lineRule="auto"/>
        <w:ind w:firstLineChars="0"/>
        <w:jc w:val="left"/>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脉冲宽度100～500μs范围内可调，调节步长10μs； </w:t>
      </w:r>
    </w:p>
    <w:p>
      <w:pPr>
        <w:pStyle w:val="75"/>
        <w:numPr>
          <w:ilvl w:val="0"/>
          <w:numId w:val="8"/>
        </w:numPr>
        <w:spacing w:line="360" w:lineRule="auto"/>
        <w:ind w:firstLineChars="0"/>
        <w:jc w:val="left"/>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输出周期1～2s连续可调，步长0.1s，精度±10%； </w:t>
      </w:r>
    </w:p>
    <w:p>
      <w:pPr>
        <w:pStyle w:val="75"/>
        <w:numPr>
          <w:ilvl w:val="0"/>
          <w:numId w:val="8"/>
        </w:numPr>
        <w:spacing w:line="360" w:lineRule="auto"/>
        <w:ind w:firstLineChars="0"/>
        <w:jc w:val="left"/>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延迟时间0.1～1.5s连续可调，步长0.1s，精度±10%； </w:t>
      </w:r>
    </w:p>
    <w:p>
      <w:pPr>
        <w:pStyle w:val="75"/>
        <w:numPr>
          <w:ilvl w:val="0"/>
          <w:numId w:val="8"/>
        </w:numPr>
        <w:spacing w:line="360" w:lineRule="auto"/>
        <w:ind w:firstLineChars="0"/>
        <w:jc w:val="left"/>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治疗时间1～99min可调，步长1min，精度±2%，; </w:t>
      </w:r>
    </w:p>
    <w:p>
      <w:pPr>
        <w:pStyle w:val="75"/>
        <w:numPr>
          <w:ilvl w:val="0"/>
          <w:numId w:val="8"/>
        </w:numPr>
        <w:spacing w:line="360" w:lineRule="auto"/>
        <w:ind w:firstLineChars="0"/>
        <w:jc w:val="left"/>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输出强度：0～140mA（峰值电流范围），步长1mA； </w:t>
      </w:r>
    </w:p>
    <w:p>
      <w:pPr>
        <w:pStyle w:val="75"/>
        <w:numPr>
          <w:ilvl w:val="0"/>
          <w:numId w:val="8"/>
        </w:numPr>
        <w:spacing w:line="360" w:lineRule="auto"/>
        <w:ind w:firstLineChars="0"/>
        <w:jc w:val="left"/>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具有开路报警功能。</w:t>
      </w:r>
    </w:p>
    <w:p>
      <w:pPr>
        <w:spacing w:line="360" w:lineRule="auto"/>
        <w:jc w:val="left"/>
        <w:outlineLvl w:val="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10、脑电生物反馈治疗仪（四通道）</w:t>
      </w:r>
    </w:p>
    <w:p>
      <w:pPr>
        <w:pStyle w:val="3"/>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技术参数</w:t>
      </w:r>
    </w:p>
    <w:p>
      <w:pPr>
        <w:pStyle w:val="4"/>
        <w:numPr>
          <w:ilvl w:val="1"/>
          <w:numId w:val="0"/>
        </w:numPr>
        <w:spacing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硬件</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核心部件：包括信号处理器、传感器、专用电极、光纤</w:t>
      </w:r>
      <w:bookmarkStart w:id="34" w:name="_Hlk30423514"/>
      <w:r>
        <w:rPr>
          <w:rFonts w:hint="eastAsia" w:cs="宋体" w:asciiTheme="minorEastAsia" w:hAnsiTheme="minorEastAsia" w:eastAsiaTheme="minorEastAsia"/>
          <w:color w:val="auto"/>
          <w:highlight w:val="none"/>
        </w:rPr>
        <w:t>。</w:t>
      </w:r>
      <w:bookmarkEnd w:id="34"/>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val="en-US" w:eastAsia="zh-CN"/>
        </w:rPr>
        <w:t>多</w:t>
      </w:r>
      <w:r>
        <w:rPr>
          <w:rFonts w:hint="eastAsia" w:cs="宋体" w:asciiTheme="minorEastAsia" w:hAnsiTheme="minorEastAsia" w:eastAsiaTheme="minorEastAsia"/>
          <w:color w:val="auto"/>
          <w:highlight w:val="none"/>
        </w:rPr>
        <w:t>通道多参数信号处理器：可监测和记录</w:t>
      </w:r>
      <w:bookmarkStart w:id="35" w:name="_Hlk30428422"/>
      <w:r>
        <w:rPr>
          <w:rFonts w:hint="eastAsia" w:cs="宋体" w:asciiTheme="minorEastAsia" w:hAnsiTheme="minorEastAsia" w:eastAsiaTheme="minorEastAsia"/>
          <w:color w:val="auto"/>
          <w:highlight w:val="none"/>
        </w:rPr>
        <w:t>脑电(EEG)、肌电(EMG)、皮电(SC)、皮温(Temp)、心电(EKG)、血容量搏动(BVP)和呼吸(Resp)</w:t>
      </w:r>
      <w:bookmarkEnd w:id="35"/>
      <w:r>
        <w:rPr>
          <w:rFonts w:hint="eastAsia" w:cs="宋体" w:asciiTheme="minorEastAsia" w:hAnsiTheme="minorEastAsia" w:eastAsiaTheme="minorEastAsia"/>
          <w:color w:val="auto"/>
          <w:highlight w:val="none"/>
        </w:rPr>
        <w:t>多种生理信号。</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eastAsia="zh-TW"/>
        </w:rPr>
        <w:t>四人套件：</w:t>
      </w:r>
      <w:r>
        <w:rPr>
          <w:rFonts w:hint="eastAsia" w:cs="宋体" w:asciiTheme="minorEastAsia" w:hAnsiTheme="minorEastAsia" w:eastAsiaTheme="minorEastAsia"/>
          <w:color w:val="auto"/>
          <w:highlight w:val="none"/>
        </w:rPr>
        <w:t>可同时采用</w:t>
      </w:r>
      <w:r>
        <w:rPr>
          <w:rFonts w:hint="eastAsia" w:cs="宋体" w:asciiTheme="minorEastAsia" w:hAnsiTheme="minorEastAsia" w:eastAsiaTheme="minorEastAsia"/>
          <w:color w:val="auto"/>
          <w:highlight w:val="none"/>
          <w:lang w:eastAsia="zh-TW"/>
        </w:rPr>
        <w:t>4</w:t>
      </w:r>
      <w:r>
        <w:rPr>
          <w:rFonts w:hint="eastAsia" w:cs="宋体" w:asciiTheme="minorEastAsia" w:hAnsiTheme="minorEastAsia" w:eastAsiaTheme="minorEastAsia"/>
          <w:color w:val="auto"/>
          <w:highlight w:val="none"/>
        </w:rPr>
        <w:t>导脑电、</w:t>
      </w:r>
      <w:r>
        <w:rPr>
          <w:rFonts w:hint="eastAsia" w:cs="宋体" w:asciiTheme="minorEastAsia" w:hAnsiTheme="minorEastAsia" w:eastAsiaTheme="minorEastAsia"/>
          <w:color w:val="auto"/>
          <w:highlight w:val="none"/>
          <w:lang w:eastAsia="zh-TW"/>
        </w:rPr>
        <w:t>4</w:t>
      </w:r>
      <w:r>
        <w:rPr>
          <w:rFonts w:hint="eastAsia" w:cs="宋体" w:asciiTheme="minorEastAsia" w:hAnsiTheme="minorEastAsia" w:eastAsiaTheme="minorEastAsia"/>
          <w:color w:val="auto"/>
          <w:highlight w:val="none"/>
        </w:rPr>
        <w:t>导肌电</w:t>
      </w:r>
      <w:r>
        <w:rPr>
          <w:rFonts w:hint="eastAsia" w:cs="宋体" w:asciiTheme="minorEastAsia" w:hAnsiTheme="minorEastAsia" w:eastAsiaTheme="minorEastAsia"/>
          <w:color w:val="auto"/>
          <w:highlight w:val="none"/>
          <w:lang w:eastAsia="zh-TW"/>
        </w:rPr>
        <w:t>做四人治疗</w:t>
      </w:r>
      <w:r>
        <w:rPr>
          <w:rFonts w:hint="eastAsia" w:cs="宋体" w:asciiTheme="minorEastAsia" w:hAnsiTheme="minorEastAsia" w:eastAsiaTheme="minorEastAsia"/>
          <w:color w:val="auto"/>
          <w:highlight w:val="none"/>
        </w:rPr>
        <w:t>。</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信号处理器的物理通道：均为独立通道（非集成通道）。</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信号处理器工作模式：采用直流供电，脱离计算机作为动态Holter使用。</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传感器类型：非集成外置独立传感器，内置IC芯片，有效消除伪差。</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阻抗测试：内置定标及全程在线阻抗测试功能。</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脑电电极：</w:t>
      </w:r>
      <w:r>
        <w:rPr>
          <w:rFonts w:hint="eastAsia" w:cs="宋体" w:asciiTheme="minorEastAsia" w:hAnsiTheme="minorEastAsia" w:eastAsiaTheme="minorEastAsia"/>
          <w:color w:val="auto"/>
          <w:highlight w:val="none"/>
          <w:lang w:eastAsia="zh-TW"/>
        </w:rPr>
        <w:t>由三个电极组成，主要采集位点</w:t>
      </w:r>
      <w:r>
        <w:rPr>
          <w:rFonts w:hint="eastAsia" w:cs="宋体" w:asciiTheme="minorEastAsia" w:hAnsiTheme="minorEastAsia" w:eastAsiaTheme="minorEastAsia"/>
          <w:color w:val="auto"/>
          <w:highlight w:val="none"/>
        </w:rPr>
        <w:t>是专业盘状电极，可用于头部任何位点</w:t>
      </w:r>
      <w:r>
        <w:rPr>
          <w:rFonts w:hint="eastAsia" w:cs="宋体" w:asciiTheme="minorEastAsia" w:hAnsiTheme="minorEastAsia" w:eastAsiaTheme="minorEastAsia"/>
          <w:color w:val="auto"/>
          <w:highlight w:val="none"/>
          <w:lang w:eastAsia="zh-TW"/>
        </w:rPr>
        <w:t>，另外为耳夹参考电极以及接地电极</w:t>
      </w:r>
      <w:r>
        <w:rPr>
          <w:rFonts w:hint="eastAsia" w:cs="宋体" w:asciiTheme="minorEastAsia" w:hAnsiTheme="minorEastAsia" w:eastAsiaTheme="minorEastAsia"/>
          <w:color w:val="auto"/>
          <w:highlight w:val="none"/>
        </w:rPr>
        <w:t>。</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肌电电极：可用于全身任何部位肌肉。</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数据传输：采用光纤传输，光纤的长度可调节。  </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品牌主机及双屏设计：系统运行稳定，屏幕角度可调节。</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AD采样率：肌电(EMG)通道≥2048Hz；脑电(EEG)、皮电(SC)、皮温(Temp)、心电(EKG)、血容量搏动(BVP)和呼吸(Resp)通道≥256Hz。</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AD采样位数：14位。</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精确度：脑电(EEG)、肌电(EMG)及心电(EKG)误差≦±10%。</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输入阻抗：≥5MΩ。</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共模抑制比：</w:t>
      </w:r>
      <w:bookmarkStart w:id="36" w:name="_Hlk30423840"/>
      <w:r>
        <w:rPr>
          <w:rFonts w:hint="eastAsia" w:cs="宋体" w:asciiTheme="minorEastAsia" w:hAnsiTheme="minorEastAsia" w:eastAsiaTheme="minorEastAsia"/>
          <w:color w:val="auto"/>
          <w:highlight w:val="none"/>
        </w:rPr>
        <w:t>脑电(EEG)通道≥110dB；肌电(EMG)、心电(EKG)通道≥100dB</w:t>
      </w:r>
      <w:bookmarkEnd w:id="36"/>
      <w:r>
        <w:rPr>
          <w:rFonts w:hint="eastAsia" w:cs="宋体" w:asciiTheme="minorEastAsia" w:hAnsiTheme="minorEastAsia" w:eastAsiaTheme="minorEastAsia"/>
          <w:color w:val="auto"/>
          <w:highlight w:val="none"/>
        </w:rPr>
        <w:t>。</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eastAsia="zh-TW"/>
        </w:rPr>
        <w:t>输入</w:t>
      </w:r>
      <w:r>
        <w:rPr>
          <w:rFonts w:hint="eastAsia" w:cs="宋体" w:asciiTheme="minorEastAsia" w:hAnsiTheme="minorEastAsia" w:eastAsiaTheme="minorEastAsia"/>
          <w:color w:val="auto"/>
          <w:highlight w:val="none"/>
        </w:rPr>
        <w:t>噪声</w:t>
      </w:r>
      <w:r>
        <w:rPr>
          <w:rFonts w:hint="eastAsia" w:cs="宋体" w:asciiTheme="minorEastAsia" w:hAnsiTheme="minorEastAsia" w:eastAsiaTheme="minorEastAsia"/>
          <w:color w:val="auto"/>
          <w:highlight w:val="none"/>
          <w:lang w:eastAsia="zh-TW"/>
        </w:rPr>
        <w:t>（噪声电平）</w:t>
      </w:r>
      <w:r>
        <w:rPr>
          <w:rFonts w:hint="eastAsia" w:cs="宋体" w:asciiTheme="minorEastAsia" w:hAnsiTheme="minorEastAsia" w:eastAsiaTheme="minorEastAsia"/>
          <w:color w:val="auto"/>
          <w:highlight w:val="none"/>
        </w:rPr>
        <w:t>：脑电(EEG)通道≦2µVp-p</w:t>
      </w:r>
      <w:r>
        <w:rPr>
          <w:rFonts w:hint="eastAsia" w:cs="宋体" w:asciiTheme="minorEastAsia" w:hAnsiTheme="minorEastAsia" w:eastAsiaTheme="minorEastAsia"/>
          <w:color w:val="auto"/>
          <w:kern w:val="0"/>
          <w:highlight w:val="none"/>
        </w:rPr>
        <w:t>(r.m.s)；</w:t>
      </w:r>
    </w:p>
    <w:p>
      <w:pPr>
        <w:pStyle w:val="75"/>
        <w:spacing w:line="360" w:lineRule="auto"/>
        <w:ind w:left="420"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肌电(EMG)通道≦</w:t>
      </w:r>
      <w:r>
        <w:rPr>
          <w:rFonts w:hint="eastAsia" w:cs="宋体" w:asciiTheme="minorEastAsia" w:hAnsiTheme="minorEastAsia" w:eastAsiaTheme="minorEastAsia"/>
          <w:color w:val="auto"/>
          <w:highlight w:val="none"/>
          <w:lang w:eastAsia="zh-TW"/>
        </w:rPr>
        <w:t>1</w:t>
      </w:r>
      <w:r>
        <w:rPr>
          <w:rFonts w:hint="eastAsia" w:cs="宋体" w:asciiTheme="minorEastAsia" w:hAnsiTheme="minorEastAsia" w:eastAsiaTheme="minorEastAsia"/>
          <w:color w:val="auto"/>
          <w:highlight w:val="none"/>
        </w:rPr>
        <w:t>µVp-p</w:t>
      </w:r>
      <w:r>
        <w:rPr>
          <w:rFonts w:hint="eastAsia" w:cs="宋体" w:asciiTheme="minorEastAsia" w:hAnsiTheme="minorEastAsia" w:eastAsiaTheme="minorEastAsia"/>
          <w:color w:val="auto"/>
          <w:kern w:val="0"/>
          <w:highlight w:val="none"/>
        </w:rPr>
        <w:t>(r.m.s)；</w:t>
      </w:r>
      <w:r>
        <w:rPr>
          <w:rFonts w:hint="eastAsia" w:cs="宋体" w:asciiTheme="minorEastAsia" w:hAnsiTheme="minorEastAsia" w:eastAsiaTheme="minorEastAsia"/>
          <w:color w:val="auto"/>
          <w:highlight w:val="none"/>
        </w:rPr>
        <w:t>心电(EKG)通道≦5µVp-p</w:t>
      </w:r>
      <w:r>
        <w:rPr>
          <w:rFonts w:hint="eastAsia" w:cs="宋体" w:asciiTheme="minorEastAsia" w:hAnsiTheme="minorEastAsia" w:eastAsiaTheme="minorEastAsia"/>
          <w:color w:val="auto"/>
          <w:kern w:val="0"/>
          <w:highlight w:val="none"/>
        </w:rPr>
        <w:t>(r.m.s)</w:t>
      </w:r>
      <w:r>
        <w:rPr>
          <w:rFonts w:hint="eastAsia" w:cs="宋体" w:asciiTheme="minorEastAsia" w:hAnsiTheme="minorEastAsia" w:eastAsiaTheme="minorEastAsia"/>
          <w:color w:val="auto"/>
          <w:highlight w:val="none"/>
        </w:rPr>
        <w:t>。</w:t>
      </w:r>
    </w:p>
    <w:p>
      <w:pPr>
        <w:numPr>
          <w:ilvl w:val="0"/>
          <w:numId w:val="9"/>
        </w:numPr>
        <w:spacing w:line="360" w:lineRule="auto"/>
        <w:ind w:left="0"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测量范围：</w:t>
      </w:r>
    </w:p>
    <w:p>
      <w:pPr>
        <w:spacing w:line="360" w:lineRule="auto"/>
        <w:ind w:left="42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脑电(EEG)测量范围：2～500µVp-p。</w:t>
      </w:r>
    </w:p>
    <w:p>
      <w:pPr>
        <w:spacing w:line="360" w:lineRule="auto"/>
        <w:ind w:left="42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肌电(EMG)测量范围：5～5000µVp-p。</w:t>
      </w:r>
    </w:p>
    <w:p>
      <w:pPr>
        <w:spacing w:line="360" w:lineRule="auto"/>
        <w:ind w:left="42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心电(EKG)测量范围：0.01～50mVp-p。</w:t>
      </w:r>
    </w:p>
    <w:p>
      <w:pPr>
        <w:spacing w:line="360" w:lineRule="auto"/>
        <w:ind w:left="42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血容量搏动(BVP)测量范围: 0%～100%。</w:t>
      </w:r>
    </w:p>
    <w:p>
      <w:pPr>
        <w:spacing w:line="360" w:lineRule="auto"/>
        <w:ind w:left="42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皮温(Temp)测量范围: 10℃～45℃。</w:t>
      </w:r>
    </w:p>
    <w:p>
      <w:pPr>
        <w:spacing w:line="360" w:lineRule="auto"/>
        <w:ind w:left="42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皮电(SC)测量范围: 0.1～30µS。</w:t>
      </w:r>
    </w:p>
    <w:p>
      <w:pPr>
        <w:spacing w:line="360" w:lineRule="auto"/>
        <w:ind w:left="42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呼吸(Resp)测量范围: ≥30%～65%。</w:t>
      </w:r>
    </w:p>
    <w:p>
      <w:pPr>
        <w:pStyle w:val="4"/>
        <w:numPr>
          <w:ilvl w:val="1"/>
          <w:numId w:val="0"/>
        </w:numPr>
        <w:spacing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软件</w:t>
      </w:r>
    </w:p>
    <w:p>
      <w:pPr>
        <w:pStyle w:val="75"/>
        <w:numPr>
          <w:ilvl w:val="0"/>
          <w:numId w:val="10"/>
        </w:numPr>
        <w:spacing w:line="360" w:lineRule="auto"/>
        <w:ind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软件平台：</w:t>
      </w:r>
      <w:r>
        <w:rPr>
          <w:rFonts w:hint="eastAsia" w:cs="宋体" w:asciiTheme="minorEastAsia" w:hAnsiTheme="minorEastAsia" w:eastAsiaTheme="minorEastAsia"/>
          <w:color w:val="auto"/>
          <w:highlight w:val="none"/>
        </w:rPr>
        <w:t>操作平台&amp;开发工具</w:t>
      </w:r>
    </w:p>
    <w:p>
      <w:pPr>
        <w:pStyle w:val="75"/>
        <w:spacing w:line="360" w:lineRule="auto"/>
        <w:ind w:firstLine="422"/>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1.1操作平台软件：</w:t>
      </w:r>
    </w:p>
    <w:p>
      <w:pPr>
        <w:pStyle w:val="75"/>
        <w:spacing w:line="360" w:lineRule="auto"/>
        <w:ind w:left="420" w:leftChars="200"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听觉反馈：可采用各种MIDI、WAVE、MP3等文件，还可以改变节奏、音调或音量。</w:t>
      </w:r>
    </w:p>
    <w:p>
      <w:pPr>
        <w:pStyle w:val="75"/>
        <w:spacing w:line="360" w:lineRule="auto"/>
        <w:ind w:left="420" w:leftChars="200"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视觉反馈：可采用AVI、flash等格式的影像文件。</w:t>
      </w:r>
    </w:p>
    <w:p>
      <w:pPr>
        <w:pStyle w:val="75"/>
        <w:spacing w:line="360" w:lineRule="auto"/>
        <w:ind w:firstLine="422"/>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1.2开发工具软件：</w:t>
      </w:r>
      <w:r>
        <w:rPr>
          <w:rFonts w:hint="eastAsia" w:cs="宋体" w:asciiTheme="minorEastAsia" w:hAnsiTheme="minorEastAsia" w:eastAsiaTheme="minorEastAsia"/>
          <w:color w:val="auto"/>
          <w:highlight w:val="none"/>
        </w:rPr>
        <w:t>内含三种开发工具</w:t>
      </w:r>
    </w:p>
    <w:p>
      <w:pPr>
        <w:pStyle w:val="75"/>
        <w:spacing w:line="360" w:lineRule="auto"/>
        <w:ind w:left="420" w:leftChars="200"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通道编辑软件（Channel Editor）： 提供≥60余种物理算法，支持255个虚拟通道编辑</w:t>
      </w:r>
    </w:p>
    <w:p>
      <w:pPr>
        <w:pStyle w:val="75"/>
        <w:spacing w:line="360" w:lineRule="auto"/>
        <w:ind w:left="420" w:leftChars="200"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界面编辑软件（Screen Editor）：可自定义训练项目、选择可采集数据。</w:t>
      </w:r>
    </w:p>
    <w:p>
      <w:pPr>
        <w:pStyle w:val="75"/>
        <w:spacing w:line="360" w:lineRule="auto"/>
        <w:ind w:left="420" w:leftChars="200"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方案编辑软件（Script Editor）：串联界面形成完成流程的评估-训练方案。</w:t>
      </w:r>
    </w:p>
    <w:p>
      <w:pPr>
        <w:pStyle w:val="75"/>
        <w:numPr>
          <w:ilvl w:val="0"/>
          <w:numId w:val="10"/>
        </w:numPr>
        <w:spacing w:line="360" w:lineRule="auto"/>
        <w:ind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治疗方案：</w:t>
      </w:r>
      <w:bookmarkStart w:id="37" w:name="_Hlk30428441"/>
      <w:r>
        <w:rPr>
          <w:rFonts w:hint="eastAsia" w:cs="宋体" w:asciiTheme="minorEastAsia" w:hAnsiTheme="minorEastAsia" w:eastAsiaTheme="minorEastAsia"/>
          <w:color w:val="auto"/>
          <w:highlight w:val="none"/>
        </w:rPr>
        <w:t>可根据不同疾病的脑电(EEG)、肌电(EMG)、皮电(SC)、皮温(Temp)、心电(EKG)、血容量搏动(BVP)和呼吸(Resp)等变化，给予不同的治疗方案进行针对性的治疗。</w:t>
      </w:r>
      <w:bookmarkEnd w:id="37"/>
    </w:p>
    <w:p>
      <w:pPr>
        <w:pStyle w:val="75"/>
        <w:numPr>
          <w:ilvl w:val="0"/>
          <w:numId w:val="10"/>
        </w:numPr>
        <w:spacing w:line="360" w:lineRule="auto"/>
        <w:ind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评估功能：</w:t>
      </w:r>
      <w:r>
        <w:rPr>
          <w:rFonts w:hint="eastAsia" w:cs="宋体" w:asciiTheme="minorEastAsia" w:hAnsiTheme="minorEastAsia" w:eastAsiaTheme="minorEastAsia"/>
          <w:color w:val="auto"/>
          <w:highlight w:val="none"/>
        </w:rPr>
        <w:t>具有≥5种评估方式</w:t>
      </w:r>
    </w:p>
    <w:p>
      <w:pPr>
        <w:pStyle w:val="75"/>
        <w:spacing w:line="360" w:lineRule="auto"/>
        <w:ind w:left="420" w:leftChars="200"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基线阈值评估</w:t>
      </w:r>
    </w:p>
    <w:p>
      <w:pPr>
        <w:pStyle w:val="75"/>
        <w:spacing w:line="360" w:lineRule="auto"/>
        <w:ind w:left="420" w:leftChars="200"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脑电认知评估</w:t>
      </w:r>
    </w:p>
    <w:p>
      <w:pPr>
        <w:pStyle w:val="75"/>
        <w:spacing w:line="360" w:lineRule="auto"/>
        <w:ind w:left="420" w:leftChars="200"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全参数应激评估</w:t>
      </w:r>
    </w:p>
    <w:p>
      <w:pPr>
        <w:pStyle w:val="75"/>
        <w:spacing w:line="360" w:lineRule="auto"/>
        <w:ind w:left="420" w:leftChars="200"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心理测量评估量表</w:t>
      </w:r>
    </w:p>
    <w:p>
      <w:pPr>
        <w:pStyle w:val="75"/>
        <w:spacing w:line="360" w:lineRule="auto"/>
        <w:ind w:left="420" w:leftChars="200"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视听整合连续测试(IVA)</w:t>
      </w:r>
    </w:p>
    <w:p>
      <w:pPr>
        <w:pStyle w:val="75"/>
        <w:numPr>
          <w:ilvl w:val="0"/>
          <w:numId w:val="10"/>
        </w:numPr>
        <w:spacing w:line="360" w:lineRule="auto"/>
        <w:ind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训练功能：</w:t>
      </w:r>
    </w:p>
    <w:p>
      <w:pPr>
        <w:pStyle w:val="75"/>
        <w:spacing w:line="360" w:lineRule="auto"/>
        <w:ind w:left="420" w:leftChars="200"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具有呼吸放松、冥想训练、渐进式放松、音乐治疗等多种形式放松治疗。</w:t>
      </w:r>
    </w:p>
    <w:p>
      <w:pPr>
        <w:pStyle w:val="75"/>
        <w:spacing w:line="360" w:lineRule="auto"/>
        <w:ind w:left="420" w:leftChars="200"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反馈要求：脑电及其他生理参数反馈输入端输入信号以后，可以通过手动阈值、自动阈值等形式，给予视觉、听觉等形式进行反馈提示，并通过输出端呈现给受试者。</w:t>
      </w:r>
    </w:p>
    <w:p>
      <w:pPr>
        <w:pStyle w:val="75"/>
        <w:spacing w:line="360" w:lineRule="auto"/>
        <w:ind w:left="420" w:leftChars="200"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可采用五个界面进行训练，并可随意切换；可输出数字或模拟信号、直方图、两维频谱图、三维频谱图等。</w:t>
      </w:r>
    </w:p>
    <w:p>
      <w:pPr>
        <w:pStyle w:val="75"/>
        <w:numPr>
          <w:ilvl w:val="0"/>
          <w:numId w:val="10"/>
        </w:numPr>
        <w:spacing w:line="360" w:lineRule="auto"/>
        <w:ind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数据处理：</w:t>
      </w:r>
      <w:r>
        <w:rPr>
          <w:rFonts w:hint="eastAsia" w:cs="宋体" w:asciiTheme="minorEastAsia" w:hAnsiTheme="minorEastAsia" w:eastAsiaTheme="minorEastAsia"/>
          <w:color w:val="auto"/>
          <w:highlight w:val="none"/>
        </w:rPr>
        <w:t>采集EEG、EKG、EMG、SC、TEMP、RESP、BVP电生理信号，应用多种函数运算方式，进行时域信号处理、频域信号FFT转换、逻辑运算、事件标记、统计运算等多种方式进行数据处理为临床治疗所需提供相关参数。</w:t>
      </w:r>
    </w:p>
    <w:p>
      <w:pPr>
        <w:pStyle w:val="75"/>
        <w:numPr>
          <w:ilvl w:val="0"/>
          <w:numId w:val="10"/>
        </w:numPr>
        <w:spacing w:line="360" w:lineRule="auto"/>
        <w:ind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数据管理功能：</w:t>
      </w:r>
      <w:r>
        <w:rPr>
          <w:rFonts w:hint="eastAsia" w:cs="宋体" w:asciiTheme="minorEastAsia" w:hAnsiTheme="minorEastAsia" w:eastAsiaTheme="minorEastAsia"/>
          <w:color w:val="auto"/>
          <w:highlight w:val="none"/>
        </w:rPr>
        <w:t>可回放训练、进行分析并生成报告，支持多次训练趋势报告分析。</w:t>
      </w:r>
    </w:p>
    <w:p>
      <w:pPr>
        <w:pStyle w:val="75"/>
        <w:spacing w:line="360" w:lineRule="auto"/>
        <w:ind w:left="240" w:firstLine="211" w:firstLineChars="100"/>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售后服务：</w:t>
      </w:r>
    </w:p>
    <w:p>
      <w:pPr>
        <w:pStyle w:val="75"/>
        <w:spacing w:line="360" w:lineRule="auto"/>
        <w:ind w:left="240" w:firstLine="210" w:firstLineChars="1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1、每年不定期举办</w:t>
      </w:r>
      <w:bookmarkStart w:id="38" w:name="_Hlk30428238"/>
      <w:r>
        <w:rPr>
          <w:rFonts w:hint="eastAsia" w:cs="宋体" w:asciiTheme="minorEastAsia" w:hAnsiTheme="minorEastAsia" w:eastAsiaTheme="minorEastAsia"/>
          <w:color w:val="auto"/>
          <w:highlight w:val="none"/>
        </w:rPr>
        <w:t>至少三场</w:t>
      </w:r>
      <w:bookmarkEnd w:id="38"/>
      <w:r>
        <w:rPr>
          <w:rFonts w:hint="eastAsia" w:cs="宋体" w:asciiTheme="minorEastAsia" w:hAnsiTheme="minorEastAsia" w:eastAsiaTheme="minorEastAsia"/>
          <w:color w:val="auto"/>
          <w:highlight w:val="none"/>
        </w:rPr>
        <w:t>生物反馈新老用户的工作坊和进修培训。</w:t>
      </w:r>
    </w:p>
    <w:p>
      <w:pPr>
        <w:pStyle w:val="75"/>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2、装机培训，</w:t>
      </w:r>
      <w:r>
        <w:rPr>
          <w:rFonts w:hint="eastAsia" w:cs="宋体" w:asciiTheme="minorEastAsia" w:hAnsiTheme="minorEastAsia" w:eastAsiaTheme="minorEastAsia"/>
          <w:color w:val="auto"/>
          <w:highlight w:val="none"/>
          <w:lang w:eastAsia="zh-TW"/>
        </w:rPr>
        <w:t>每天12</w:t>
      </w:r>
      <w:r>
        <w:rPr>
          <w:rFonts w:hint="eastAsia" w:cs="宋体" w:asciiTheme="minorEastAsia" w:hAnsiTheme="minorEastAsia" w:eastAsiaTheme="minorEastAsia"/>
          <w:color w:val="auto"/>
          <w:highlight w:val="none"/>
        </w:rPr>
        <w:t>小时免费客服服务。</w:t>
      </w:r>
    </w:p>
    <w:p>
      <w:pPr>
        <w:spacing w:line="360" w:lineRule="auto"/>
        <w:outlineLvl w:val="0"/>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11、气动式手康复装置</w:t>
      </w:r>
    </w:p>
    <w:p>
      <w:pPr>
        <w:spacing w:line="360" w:lineRule="auto"/>
        <w:outlineLvl w:val="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一、功能参数：</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1、单双通道切换，可同时连接2只手套供2人同时使用。</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2、以空气压力作为动力，驱动气动手套进行手功能康复。</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3、治疗时间1-60分钟，任意可调。</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4、智能屈曲/伸展10档独立可调，范围时间3～12秒。</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5、被动训练模式包括：被动训练、智能被动训练、手控训练、镜像训练、（场景化）任务导向训练；训练强度可选“低”、“强”，场景可选“左手”、“右手”。</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6、精细化分指被动训练，可进行单个手指屈曲/伸展训练，可任意几个手指组合进行屈曲/伸展训练，</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7、手控训练，健侧手通过“手控开关”，发出指令带动患侧手训练。</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8、创新式镜像训练（主从对侧训练），健侧手穿戴数据手套，带动患侧手同步运动。</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精细化分指创新式镜像训练，单个手指也可进行多模态镜像训练，也可任意几个手指组合进行屈曲/伸展训练。</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9、场景化的任务导向性训练，在被动训练、手控训练、镜像训练模式中，均可设置抓球场景，进行视觉、听觉指令引导下的任务导向性训练。</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10、分指手指操训练，通过预设的手指活动成效，让进行有效灵活训练。</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11、对指训练，四指分别与拇指进行对指训练。</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12、助力训练，识别患侧手屈曲/伸展动作意识，协助患侧手完成抓握动作。训练强度可选“低”、“强”。</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13、主动康复游戏训练，含多个原创主题动画训练游戏，主动屈曲、主动伸展模式可选，游戏难度“低”、“中”、“强”三档可调。</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14、功能性动作虚拟化训练场景，包括抓球训练、二指捏骰、三指捏块等。</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15、语音声控：智能语音引导控制手部康复训练。</w:t>
      </w:r>
    </w:p>
    <w:p>
      <w:pPr>
        <w:numPr>
          <w:ilvl w:val="0"/>
          <w:numId w:val="11"/>
        </w:num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抗阻训练，训练强度可选“低”、“强”。</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17、产品具备协调性评估训练和力量评估训练。</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18、ADL</w:t>
      </w:r>
      <w:r>
        <w:rPr>
          <w:rFonts w:hint="eastAsia" w:cs="宋体" w:asciiTheme="minorEastAsia" w:hAnsiTheme="minorEastAsia" w:eastAsiaTheme="minorEastAsia"/>
          <w:color w:val="auto"/>
          <w:highlight w:val="none"/>
          <w:shd w:val="clear" w:color="auto" w:fill="FFFFFF"/>
        </w:rPr>
        <w:t>日常生活能力</w:t>
      </w:r>
      <w:r>
        <w:rPr>
          <w:rFonts w:hint="eastAsia" w:cs="宋体" w:asciiTheme="minorEastAsia" w:hAnsiTheme="minorEastAsia" w:eastAsiaTheme="minorEastAsia"/>
          <w:color w:val="auto"/>
          <w:highlight w:val="none"/>
        </w:rPr>
        <w:t>训练，即抓球功能训练。</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19、虚拟情景训练，认知场景训练≥六种。</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20、多用户管理系统，可进行多用户电子档案管理。</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21、训练结果可量化生成训练报表，可管理可打印。</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22、12寸液晶触摸屏，拓展外接大屏显示，中文+图形导航。</w:t>
      </w:r>
    </w:p>
    <w:p>
      <w:pPr>
        <w:spacing w:line="360" w:lineRule="auto"/>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23、重量轻，主机≤5kg。</w:t>
      </w:r>
    </w:p>
    <w:p>
      <w:pPr>
        <w:spacing w:line="360" w:lineRule="auto"/>
        <w:rPr>
          <w:rFonts w:cs="宋体" w:asciiTheme="minorEastAsia" w:hAnsiTheme="minorEastAsia" w:eastAsiaTheme="minorEastAsia"/>
          <w:bCs/>
          <w:color w:val="auto"/>
          <w:highlight w:val="none"/>
        </w:rPr>
      </w:pPr>
      <w:r>
        <w:rPr>
          <w:rFonts w:hint="eastAsia" w:cs="宋体" w:asciiTheme="minorEastAsia" w:hAnsiTheme="minorEastAsia" w:eastAsiaTheme="minorEastAsia"/>
          <w:color w:val="auto"/>
          <w:highlight w:val="none"/>
        </w:rPr>
        <w:t>24、配置打印机，直接打印相关报表。</w:t>
      </w:r>
    </w:p>
    <w:p>
      <w:pPr>
        <w:spacing w:line="360" w:lineRule="auto"/>
        <w:outlineLvl w:val="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二、性能参数</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1、运行速度范围</w:t>
      </w:r>
      <w:r>
        <w:rPr>
          <w:rFonts w:hint="eastAsia" w:cs="宋体" w:asciiTheme="minorEastAsia" w:hAnsiTheme="minorEastAsia" w:eastAsiaTheme="minorEastAsia"/>
          <w:color w:val="auto"/>
          <w:highlight w:val="none"/>
        </w:rPr>
        <w:tab/>
      </w:r>
      <w:r>
        <w:rPr>
          <w:rFonts w:hint="eastAsia" w:cs="宋体" w:asciiTheme="minorEastAsia" w:hAnsiTheme="minorEastAsia" w:eastAsiaTheme="minorEastAsia"/>
          <w:color w:val="auto"/>
          <w:highlight w:val="none"/>
        </w:rPr>
        <w:t>90°～150°/s；</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2、主机输出压力：负压:-90kPa～-60kPa,正压：100kPa～130kPa。</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3、康复手套四指活动范围</w:t>
      </w:r>
      <w:r>
        <w:rPr>
          <w:rFonts w:hint="eastAsia" w:cs="宋体" w:asciiTheme="minorEastAsia" w:hAnsiTheme="minorEastAsia" w:eastAsiaTheme="minorEastAsia"/>
          <w:color w:val="auto"/>
          <w:highlight w:val="none"/>
        </w:rPr>
        <w:tab/>
      </w:r>
      <w:r>
        <w:rPr>
          <w:rFonts w:hint="eastAsia" w:cs="宋体" w:asciiTheme="minorEastAsia" w:hAnsiTheme="minorEastAsia" w:eastAsiaTheme="minorEastAsia"/>
          <w:color w:val="auto"/>
          <w:highlight w:val="none"/>
        </w:rPr>
        <w:t>0°～270°，大拇指活动范围0°～180°</w:t>
      </w:r>
    </w:p>
    <w:p>
      <w:pPr>
        <w:spacing w:line="360" w:lineRule="auto"/>
        <w:outlineLvl w:val="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12、眼动认知康复训练系统</w:t>
      </w:r>
      <w:bookmarkStart w:id="39" w:name="_Toc405828614"/>
      <w:bookmarkEnd w:id="39"/>
    </w:p>
    <w:p>
      <w:pPr>
        <w:spacing w:line="360" w:lineRule="auto"/>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功能特点及技术参数</w:t>
      </w:r>
    </w:p>
    <w:p>
      <w:pPr>
        <w:spacing w:line="360" w:lineRule="auto"/>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1、眼动监控/辅助评估/训练模块</w:t>
      </w:r>
    </w:p>
    <w:p>
      <w:pPr>
        <w:spacing w:line="360" w:lineRule="auto"/>
        <w:ind w:firstLine="210" w:firstLineChars="1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highlight w:val="none"/>
        </w:rPr>
        <w:t>（1）</w:t>
      </w:r>
      <w:r>
        <w:rPr>
          <w:rFonts w:hint="eastAsia" w:cs="宋体" w:asciiTheme="minorEastAsia" w:hAnsiTheme="minorEastAsia" w:eastAsiaTheme="minorEastAsia"/>
          <w:color w:val="auto"/>
          <w:highlight w:val="none"/>
        </w:rPr>
        <w:t>★双屏实时眼动监控：对患者训练过程中的眼球轨迹运动进行自动实时跟踪，及时把握病人训练状况；</w:t>
      </w:r>
    </w:p>
    <w:p>
      <w:pPr>
        <w:spacing w:line="360" w:lineRule="auto"/>
        <w:ind w:firstLine="210" w:firstLineChars="1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（2）眼动辅助评估：可针对注意力障碍、视觉跟踪进行辅助评估；</w:t>
      </w:r>
    </w:p>
    <w:p>
      <w:pPr>
        <w:spacing w:line="360" w:lineRule="auto"/>
        <w:ind w:firstLine="210" w:firstLineChars="1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（3）眼动训练：可提供注意力训练方案，包括除害虫、余光狗、选购商品、阅读等特制训练题目。</w:t>
      </w:r>
    </w:p>
    <w:p>
      <w:pPr>
        <w:spacing w:line="360" w:lineRule="auto"/>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2、认知障碍评定模块</w:t>
      </w:r>
    </w:p>
    <w:p>
      <w:pPr>
        <w:spacing w:line="360" w:lineRule="auto"/>
        <w:ind w:firstLine="315" w:firstLineChars="150"/>
        <w:rPr>
          <w:rFonts w:cs="宋体" w:asciiTheme="minorEastAsia" w:hAnsiTheme="minorEastAsia" w:eastAsiaTheme="minorEastAsia"/>
          <w:color w:val="auto"/>
          <w:highlight w:val="none"/>
        </w:rPr>
      </w:pPr>
      <w:bookmarkStart w:id="40" w:name="_Hlk98239936"/>
      <w:r>
        <w:rPr>
          <w:rFonts w:hint="eastAsia" w:cs="宋体" w:asciiTheme="minorEastAsia" w:hAnsiTheme="minorEastAsia" w:eastAsiaTheme="minorEastAsia"/>
          <w:color w:val="auto"/>
          <w:highlight w:val="none"/>
        </w:rPr>
        <w:t>提供不少于20个儿童认知功能障碍相关评估量表，应包括：NYLS 3-7儿童气质问卷、Rutter儿童行为问卷、儿童孤独症评定量表、儿童社交焦虑量表、简易智力检测量表、儿童感觉统合发展评定量表等。</w:t>
      </w:r>
    </w:p>
    <w:bookmarkEnd w:id="40"/>
    <w:p>
      <w:pPr>
        <w:spacing w:line="360" w:lineRule="auto"/>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3、认知障碍训练模块</w:t>
      </w:r>
    </w:p>
    <w:p>
      <w:pPr>
        <w:spacing w:line="360" w:lineRule="auto"/>
        <w:ind w:firstLine="210" w:firstLineChars="100"/>
        <w:rPr>
          <w:rFonts w:cs="宋体" w:asciiTheme="minorEastAsia" w:hAnsiTheme="minorEastAsia" w:eastAsiaTheme="minorEastAsia"/>
          <w:color w:val="auto"/>
          <w:highlight w:val="none"/>
        </w:rPr>
      </w:pPr>
      <w:bookmarkStart w:id="41" w:name="_Hlk98239290"/>
      <w:r>
        <w:rPr>
          <w:rFonts w:hint="eastAsia" w:cs="宋体" w:asciiTheme="minorEastAsia" w:hAnsiTheme="minorEastAsia" w:eastAsiaTheme="minorEastAsia"/>
          <w:color w:val="auto"/>
          <w:highlight w:val="none"/>
        </w:rPr>
        <w:t>（1）应包括感知觉能力、基本认知能力、思维能力、数学能力、社会行为能力、艺术能力等6大认知主题，≥100个训练题目；</w:t>
      </w:r>
    </w:p>
    <w:p>
      <w:pPr>
        <w:spacing w:line="360" w:lineRule="auto"/>
        <w:ind w:firstLine="210" w:firstLineChars="1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kern w:val="0"/>
          <w:highlight w:val="none"/>
        </w:rPr>
        <w:t>AR增强现实训练：AR卡片≥2套，应至少包括常见的动物、植物 、交通工具等常见的ADL生活物品；</w:t>
      </w:r>
    </w:p>
    <w:p>
      <w:pPr>
        <w:spacing w:line="360" w:lineRule="auto"/>
        <w:ind w:firstLine="210" w:firstLineChars="1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highlight w:val="none"/>
        </w:rPr>
        <w:t>（3）</w:t>
      </w:r>
      <w:r>
        <w:rPr>
          <w:rFonts w:hint="eastAsia" w:cs="宋体" w:asciiTheme="minorEastAsia" w:hAnsiTheme="minorEastAsia" w:eastAsiaTheme="minorEastAsia"/>
          <w:color w:val="auto"/>
          <w:highlight w:val="none"/>
        </w:rPr>
        <w:t>脑功能临床训练的细分亚型≥5个，而且每个亚型的子亚型分类≥3个；</w:t>
      </w:r>
    </w:p>
    <w:p>
      <w:pPr>
        <w:spacing w:line="360" w:lineRule="auto"/>
        <w:ind w:left="210" w:leftChars="1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（4）训练应具有难度梯度自适应调整算法，医生也可手动调整难易程度。</w:t>
      </w:r>
    </w:p>
    <w:bookmarkEnd w:id="41"/>
    <w:p>
      <w:pPr>
        <w:spacing w:line="360" w:lineRule="auto"/>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4、后台病案管理功能</w:t>
      </w:r>
    </w:p>
    <w:p>
      <w:pPr>
        <w:spacing w:line="360" w:lineRule="auto"/>
        <w:ind w:firstLine="210" w:firstLineChars="100"/>
        <w:rPr>
          <w:rFonts w:cs="宋体" w:asciiTheme="minorEastAsia" w:hAnsiTheme="minorEastAsia" w:eastAsiaTheme="minorEastAsia"/>
          <w:color w:val="auto"/>
          <w:highlight w:val="none"/>
        </w:rPr>
      </w:pPr>
      <w:bookmarkStart w:id="42" w:name="_Hlk98239317"/>
      <w:bookmarkStart w:id="43" w:name="_Hlk98239986"/>
      <w:r>
        <w:rPr>
          <w:rFonts w:hint="eastAsia" w:cs="宋体" w:asciiTheme="minorEastAsia" w:hAnsiTheme="minorEastAsia" w:eastAsiaTheme="minorEastAsia"/>
          <w:color w:val="auto"/>
          <w:highlight w:val="none"/>
        </w:rPr>
        <w:t>（1）专业数据库存储功能，能存储上百万条以上的治疗数据；</w:t>
      </w:r>
    </w:p>
    <w:p>
      <w:pPr>
        <w:spacing w:line="360" w:lineRule="auto"/>
        <w:ind w:firstLine="210" w:firstLineChars="1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（2）可录入并查询病人一般情况、病史、认知评定结果与报告、康复治疗计划及处方设定、信息迁移等；</w:t>
      </w:r>
    </w:p>
    <w:p>
      <w:pPr>
        <w:spacing w:line="360" w:lineRule="auto"/>
        <w:ind w:firstLine="210" w:firstLineChars="1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（3）可提供完整的统计报表数据分析模块：从训练状态、训练成绩、疑难点分析、训练进步情况等方面分析个体的训练情况。</w:t>
      </w:r>
      <w:bookmarkEnd w:id="42"/>
    </w:p>
    <w:bookmarkEnd w:id="43"/>
    <w:p>
      <w:pPr>
        <w:spacing w:line="360" w:lineRule="auto"/>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5、系统管理功能</w:t>
      </w:r>
      <w:bookmarkStart w:id="44" w:name="_Toc405828616"/>
    </w:p>
    <w:p>
      <w:pPr>
        <w:spacing w:line="360" w:lineRule="auto"/>
        <w:ind w:firstLine="210" w:firstLineChars="100"/>
        <w:rPr>
          <w:rFonts w:cs="宋体" w:asciiTheme="minorEastAsia" w:hAnsiTheme="minorEastAsia" w:eastAsiaTheme="minorEastAsia"/>
          <w:color w:val="auto"/>
          <w:highlight w:val="none"/>
        </w:rPr>
      </w:pPr>
      <w:bookmarkStart w:id="45" w:name="_Hlk98239379"/>
      <w:r>
        <w:rPr>
          <w:rFonts w:hint="eastAsia" w:cs="宋体" w:asciiTheme="minorEastAsia" w:hAnsiTheme="minorEastAsia" w:eastAsiaTheme="minorEastAsia"/>
          <w:color w:val="auto"/>
          <w:highlight w:val="none"/>
        </w:rPr>
        <w:t>（1）可对科室的训练资源进行排班管理，并保证最大程度的利用；</w:t>
      </w:r>
    </w:p>
    <w:p>
      <w:pPr>
        <w:autoSpaceDE w:val="0"/>
        <w:autoSpaceDN w:val="0"/>
        <w:spacing w:line="360" w:lineRule="auto"/>
        <w:ind w:firstLine="210" w:firstLineChars="1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（2）针对不同的用户可以开通相应的权限；</w:t>
      </w:r>
    </w:p>
    <w:p>
      <w:pPr>
        <w:autoSpaceDE w:val="0"/>
        <w:autoSpaceDN w:val="0"/>
        <w:spacing w:line="360" w:lineRule="auto"/>
        <w:ind w:firstLine="210" w:firstLineChars="1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（3）对系统操作日志有清晰的记录，包括操作内容、时间、用户等。</w:t>
      </w:r>
    </w:p>
    <w:p>
      <w:pPr>
        <w:pStyle w:val="11"/>
        <w:spacing w:line="360" w:lineRule="auto"/>
        <w:outlineLvl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6、认知康复训练与评估软件 备注：含眼动</w:t>
      </w:r>
    </w:p>
    <w:p>
      <w:pPr>
        <w:pStyle w:val="11"/>
        <w:spacing w:line="360" w:lineRule="auto"/>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主触控显示器：≥23英寸高清电容触控屏，分辨率≥1920x1080</w:t>
      </w:r>
    </w:p>
    <w:bookmarkEnd w:id="44"/>
    <w:bookmarkEnd w:id="45"/>
    <w:p>
      <w:pPr>
        <w:autoSpaceDE w:val="0"/>
        <w:autoSpaceDN w:val="0"/>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★眼动跟踪传感器：近红外波长≥850nm；眼动捕捉范围不小于50-95cm，采样率≥90Hz；可通过算法剔除头部相对位移速度≤40cm/s；</w:t>
      </w:r>
    </w:p>
    <w:p>
      <w:pPr>
        <w:pStyle w:val="22"/>
        <w:spacing w:before="0" w:after="0" w:line="360" w:lineRule="auto"/>
        <w:jc w:val="both"/>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13、吞咽神经刺激系统</w:t>
      </w:r>
    </w:p>
    <w:p>
      <w:pPr>
        <w:numPr>
          <w:ilvl w:val="0"/>
          <w:numId w:val="12"/>
        </w:num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台车配置，触屏操控尺寸≥15英寸，支持手写输入；</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2、采用Windows操作系统；</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3、N刺激部分：</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3.1二个通道N刺激及SEMG采集独立工作，独立时钟控制；</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3.2输出电流强度：0～50mA；</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3.3频率：60Hz～100Hz；</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3.4脉宽：300uS；</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3.5支持多种不同的N刺激类型</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4、M刺激部分：</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4.1二个通道M刺激独立工作，独立时钟控制；</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4.2输出电流强度：0～15mA；</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4.3频率：0.2 Hz～0.36 Hz；</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4.4脉宽：50-500ms，可结合表面肌电测量制订不同的方案</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5、专用操作手柄，可自我辅助进食训练，并可实现一键式快速操作使用；</w:t>
      </w:r>
    </w:p>
    <w:p>
      <w:pPr>
        <w:spacing w:line="360" w:lineRule="auto"/>
        <w:ind w:left="315" w:hanging="315" w:hangingChars="15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6、阻抗测量：具有输出保护功能，能进行阻抗测量（正常、异常），异常时（短路或开路时）停止刺激输出，并作出状态提示；</w:t>
      </w:r>
    </w:p>
    <w:p>
      <w:pPr>
        <w:spacing w:line="360" w:lineRule="auto"/>
        <w:ind w:left="315" w:hanging="315" w:hangingChars="15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7、二通道表面肌电测量，可定量评估其神经及肌肉损伤及麻痹程度，范围涵盖口、面、咽、声带等系列肌群：</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7.1 ★最小测量精度10uV； </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7.2 测量范围10 uV～1000 uV；</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7.3 共模输入阻抗不小于5M</w:t>
      </w:r>
      <w:r>
        <w:rPr>
          <w:rFonts w:hint="eastAsia" w:cs="宋体" w:asciiTheme="minorEastAsia" w:hAnsiTheme="minorEastAsia" w:eastAsiaTheme="minorEastAsia"/>
          <w:color w:val="auto"/>
          <w:highlight w:val="none"/>
          <w:shd w:val="clear" w:color="auto" w:fill="FFFFFF"/>
        </w:rPr>
        <w:t>Ω</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8、所有参数可预置，分成儿童、及成人两个不同的版本；</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9、标准的USB2.0接口；</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10、配置黑白激光打印机一台，实现工作站报告输出，包括疗程管理、疗效分析及各类评估</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报告；</w:t>
      </w:r>
    </w:p>
    <w:p>
      <w:pPr>
        <w:spacing w:line="360" w:lineRule="auto"/>
        <w:ind w:left="420" w:hanging="420" w:hanging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11、具有诊断、评估、吞咽治疗、言语训练和统计分析工作站等五个以上系统，是专业治疗吞咽言语障碍的综合平台；</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12、主要技术及临床应用：</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12.1表面肌电评估技术，用于吞咽评估</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12.2肌电生物反馈训练技术，提供客观量化评估指标，记录肌肉激活状态及进行纯主动训练</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12.3吞咽及言语训练，声音提示和视觉同步采样（柱状图、线形图）</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12.4神经肌肉电刺激技术，满足临床不同的患者（儿）需要（真假性球麻痹）</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12.5具有失神经刺激及保护技术</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13、可实现从传统的咽部治疗→口、颜面、咽的立体协作治疗，并可设置不同的时序参数；</w:t>
      </w:r>
    </w:p>
    <w:p>
      <w:pPr>
        <w:tabs>
          <w:tab w:val="left" w:pos="359"/>
        </w:tabs>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14、★言语训练部分包含放松训练、运动控制训练、基础发音训练；</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15、具备简单操作、电子安全锁定、在线帮助及治疗处方指引功能；</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16、特别设计的控制手柄，既方便调节控制，也可辅助进行“吞咽次数”的评估、单次自主</w:t>
      </w:r>
    </w:p>
    <w:p>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触发训练；</w:t>
      </w:r>
    </w:p>
    <w:p>
      <w:pPr>
        <w:spacing w:line="360" w:lineRule="auto"/>
        <w:ind w:left="420" w:hanging="420" w:hanging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17、SEMG评估，记录其评估状态，即松弛、用力状态，计算其峰值、均值，可存储评估的结果，还可独立评估一定时段内的自主吞咽次数，并在工作站进行跟踪分析比较，打印评估报告；</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18、随机配有各种不同病症的治疗方案指引及电极安放位置图谱；</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19、可自动记录病人相关的治疗信息及参数；</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20、所有的言语训练素材，采用开放式设计，可根据用户需要进行加载或调整，支持海量存储；</w:t>
      </w:r>
    </w:p>
    <w:p>
      <w:pPr>
        <w:numPr>
          <w:ilvl w:val="0"/>
          <w:numId w:val="13"/>
        </w:num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工作模式包括：N刺激模式、M刺激双通道模式、S刺激模式、SEMG评估模式、生物反馈训练模式、联合治疗模式（生物反馈+电刺激）、发音训练模式、工作站模式；</w:t>
      </w:r>
    </w:p>
    <w:p>
      <w:pPr>
        <w:pStyle w:val="11"/>
        <w:numPr>
          <w:ilvl w:val="0"/>
          <w:numId w:val="13"/>
        </w:numPr>
        <w:spacing w:line="360" w:lineRule="auto"/>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多媒体语音提示，包括训练过程（休息、用力吞咽、刺激、维持）及治疗结束；</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23、治疗过程中，参数自动锁定保护。</w:t>
      </w:r>
    </w:p>
    <w:p>
      <w:pPr>
        <w:pStyle w:val="11"/>
        <w:spacing w:line="360" w:lineRule="auto"/>
        <w:outlineLvl w:val="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14、社交技能训练仪</w:t>
      </w:r>
    </w:p>
    <w:p>
      <w:pPr>
        <w:pStyle w:val="11"/>
        <w:spacing w:line="360" w:lineRule="auto"/>
        <w:outlineLvl w:val="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技术参数：</w:t>
      </w:r>
    </w:p>
    <w:p>
      <w:pPr>
        <w:spacing w:line="360" w:lineRule="auto"/>
        <w:jc w:val="left"/>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1、音乐矩阵≥8台高清可视互动子机组成；</w:t>
      </w:r>
    </w:p>
    <w:p>
      <w:pPr>
        <w:spacing w:line="360" w:lineRule="auto"/>
        <w:jc w:val="left"/>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2、每台设备采用2个喇叭单元，高低音单元一体化设计；</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3、一键开关机：当电源全部打开后，点击主机系统启动键开机，所有子机跟随主机同时开机进入系统；</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4、一键控制音量：所有子机设备音量与主机动态关联，从主机端调整系统音量，所有子机设备音量随着主机音量一同增大或减小；</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5、隐藏式菜单键：设备屏幕无任何物理操作按键，在训练过程中可采用长按隐藏式半圆形虚拟按键实现返回主页操作；</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智能互联功能：主机与分机之间，可实现智能互联，可实现主机与分机互联，分机与分机互联,各分机共同参与同一个互动训练，可进行实时的传输，解析，展示，控制等一系列操作，从而使用者可以在不同的子机设备上同时共享训练软件；</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7、★数据关联：主机与各子机采用数据动态关联技术，子机的互动数据可以实时与主机进行同步；</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8、★数据传输速度：主机与子机或子机与子机间进行数据传输，通讯延迟≤1秒；</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9、★通讯实时监测：主机能实时监测子机在线状态，子机也能实时显示和主机通讯状态；</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10、★通讯故障修复：主机子机通讯中断3秒内检测到通讯故障并显示提示，在通讯故障后3秒内，主机与子机能重新连接恢复通讯以保障正常使用；</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11、超静音设计，设备整机运行噪音≤35分贝；</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12、显示分辨率≥1920×1080；</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13、4mm全钢化高防爆玻璃，防划防撞，防眩光，抗太阳光等强光干扰；防辐射防反光保护膜；</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14、屏幕采用投射式电容感应数字触控技术，实现高精度多点触控操作,设备屏幕纯平设计；触摸精度直径≥2mm物体；</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15、无线遥控器：</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无线遥控器可以遥控控制设备软件的选择、进入、退出、音量大小调节等基本操作；</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无线遥控器可以遥控控制打开操作提示帮助界面，引导正确操作</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16、训练软件：</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训练软件分为社会生活和社会适应两大模块；</w:t>
      </w:r>
    </w:p>
    <w:p>
      <w:pPr>
        <w:spacing w:line="360" w:lineRule="auto"/>
        <w:ind w:firstLine="210" w:firstLineChars="100"/>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1）社会适应训练软件数量≥6个：</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·训练1：超市理货员：模拟超市环境并扮演理货员，将顾客随意丢弃到各处的物品通过子机间传递的方式，摆放到正确区域的货架上；</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·训练2：我是小小快递员：模拟城市环境扮演快递员，让学生了解我们在生活中购买的商品是由快递车运输到城市各地，并由快递员进行包裹的配送；</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·训练3：小小快餐厅：在快餐店的模拟环境中扮演厨师，通过对图片比较和配对的形式，让学生了解常见快餐食物的制作流程；</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·训练4：勤劳的动物饲养员：让学生了解动物园内的场馆及各类场馆中所饲养的动物，并且每位学生需要负责自己场馆中的日常工作（给动物喂食和打扫粪便）；</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·训练5：校园小食堂：通过模拟食堂后厨、扮演厨师，让学生了解校园食堂是如何供应师生的饭菜，并且每位学生都需要独立或协作完成自身所负责的工作内容；</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·训练6：优悦商城：通过模拟购物商场，并扮演导购员或店铺的销售员，让学生了解和学习在购物商场工作的基本内容；</w:t>
      </w:r>
    </w:p>
    <w:p>
      <w:pPr>
        <w:spacing w:line="360" w:lineRule="auto"/>
        <w:ind w:firstLine="210" w:firstLineChars="100"/>
        <w:jc w:val="left"/>
        <w:outlineLvl w:val="1"/>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2）社会生活训练软件数量≥4个：</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·训练1：整理房间：模拟家中环境、不同房间区域中应该摆放哪些物品，并将混乱的物品进行归纳整理；</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·训练2：教室大扫除：模拟学校班级环境，学习每日应做的日常卫生，并学习这些日常卫生会使用到的工具和使用方法；</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·训练3：垃圾分类要科学：通过模拟清运车开往各小区进行垃圾回收，并最终运往垃圾分拣中心为背景，让学生根据分类要求进行垃圾分类投放处理（湿垃圾、干垃圾、可回收垃圾、有害垃圾）；</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·训练4：超市大采购：模拟超市环境，根据购物清单，让学生在超市不同区域中采购商品；</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★一键升级功能：设备在进行系统及软件升级时，在主机段进行升级操作，即可一键升级包括子机和主机所有训练软件；</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设备安全性：</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17、设备具有极高的安全性，设备绝缘接地，承受AC1500V的交流电压，60秒内绝缘不被击穿；</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·设备在-10℃低温环境，工作12小时无异常；</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·设备在50℃高温环境，工作12小时无异常；</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·设备在40℃,90％RH高湿度环境，工作12小时无异常；</w:t>
      </w:r>
    </w:p>
    <w:p>
      <w:pPr>
        <w:pStyle w:val="19"/>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·阻燃达到V-0级。</w:t>
      </w:r>
    </w:p>
    <w:p>
      <w:pPr>
        <w:pStyle w:val="45"/>
        <w:spacing w:line="360" w:lineRule="auto"/>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15、自闭症与多动障碍干预仪</w:t>
      </w:r>
    </w:p>
    <w:p>
      <w:pPr>
        <w:spacing w:line="360" w:lineRule="auto"/>
        <w:rPr>
          <w:rFonts w:cs="宋体" w:asciiTheme="minorEastAsia" w:hAnsiTheme="minorEastAsia" w:eastAsiaTheme="minorEastAsia"/>
          <w:b/>
          <w:bCs/>
          <w:color w:val="auto"/>
          <w:kern w:val="0"/>
          <w:highlight w:val="none"/>
        </w:rPr>
      </w:pPr>
      <w:r>
        <w:rPr>
          <w:rFonts w:hint="eastAsia" w:cs="宋体" w:asciiTheme="minorEastAsia" w:hAnsiTheme="minorEastAsia" w:eastAsiaTheme="minorEastAsia"/>
          <w:b/>
          <w:bCs/>
          <w:color w:val="auto"/>
          <w:kern w:val="0"/>
          <w:highlight w:val="none"/>
        </w:rPr>
        <w:t>系统功能参数：</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量表测试功能：可进行自闭症行为ABC量表、conners评定量表、语言行为量表的相关评估。2、训练方案：根据不同受训者的不同特质，建立相应的受训者档案，对其进行评估，并根据评估结果及其自身特质，设计针对性的视听课程。对受训者进行包括情绪调节，学习促进等相关的培养。</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3、档案查询：患者以往所有的量表评估结果以及曾经进行过的课程训练可实时查询查看，为设计个性化方案提供提供依据。</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4、视听音乐：该模块利用视听渲染的调节原理，并根据音乐治疗以及多感官刺激原理进行设计，通过改变音乐的相关属性来调节受训者的相应神经兴奋性，促进其学习，最终达到认知、情绪自我调节等能力的提升</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5、情绪认知：具有表情认知和情绪体验两大训练项目。</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6、社交行为：包括认识声音、生活自理、社交主题、情景模拟和角色扮演训练项目。</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7、认识声音：提供各种类型的声音刺激，让其学会聆听。</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8、生活自理：由行为学习、行为塑造和行为强化三部分组成。</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9、社交主题：通过不同的主题训练。通过训练教予受训者在不同情景中恰当的行为，帮助行为障碍患儿加深对日常生活情景的认识，引导他们塑造良好行为和习惯，从而提高社交能力。</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10、情景模拟：利用多媒体3D呈现技术，模拟现实场景，让受训者找出场景中的不正确行为并加以改正，使其形成正确的社交行为。</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11、角色扮演：以视频主角为扮演对象，将常用的交往技巧呈现出来，通过扮演角色规范受训者的行为，从而提高患儿的交往能力。</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12、结构化教学：结构化教学法强调系统地安排教学环境、材料和程序，让受训者从中学习。包括视觉结构、环境结构、常规、程序时间表和个人工作系统五项内容的介绍和相关训练。</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13、生态化教学平台：可根据实际需要，自行添加、选择、输入命名图片，录入提示语音， 输入提示文字，导入视频文件等，使其不再受语言、文化、地域等因素束缚和限制。</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14、双屏显示技术：系统依据独特的分屏功能设计，通过软件多窗口交互控制机制，实现了不同屏幕显示不同内容的双屏功能；其中老师为主控屏，受训者为带触摸功能的操控制屏。方便老师实时观察受训者的反应并控制训练过程的进行，同时也可避免受训者因目光注视或观看到训练结果等产生的各种不利于训练进行的情绪，又可清楚地了解受训者的实时训练情况。</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启迪智慧教学训练系统：</w:t>
      </w:r>
    </w:p>
    <w:p>
      <w:pPr>
        <w:spacing w:line="360" w:lineRule="auto"/>
        <w:rPr>
          <w:rFonts w:cs="宋体" w:asciiTheme="minorEastAsia" w:hAnsiTheme="minorEastAsia" w:eastAsiaTheme="minorEastAsia"/>
          <w:b/>
          <w:bCs/>
          <w:color w:val="auto"/>
          <w:kern w:val="0"/>
          <w:highlight w:val="none"/>
        </w:rPr>
      </w:pPr>
      <w:r>
        <w:rPr>
          <w:rFonts w:hint="eastAsia" w:cs="宋体" w:asciiTheme="minorEastAsia" w:hAnsiTheme="minorEastAsia" w:eastAsiaTheme="minorEastAsia"/>
          <w:b/>
          <w:bCs/>
          <w:color w:val="auto"/>
          <w:kern w:val="0"/>
          <w:highlight w:val="none"/>
        </w:rPr>
        <w:t>硬件组成：</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该系统适用于儿童和成人的：智力不足、唐氏症、自闭症、脑瘫、脑肿瘤、脑炎、帕金森氏病、中风、癫痫、老年性痴呆、精神心理障碍、沟通表达困难、头部受创，轻度脑外伤、脑损伤、学习障碍、精神心理障碍、ADD/ADHD、脑损伤多动障碍、视觉加工障碍、精神分裂症、发育残疾等。</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系统针对特殊儿童的康复认知训练而定制开发，基于安全认知、音乐美术、游戏和课件教学训练，其中包含安全认知教育教学主题项目库、生活场景认知项目库、益智游戏项目库、蒙台梭利教学模块、教案课件模块等，内容丰富，原始数据不少于10G，支持项目库的自定义更新，根据特殊学生的实际情况制定有针对性的训练计划。</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2.1、安全认知教育教学主题项目库，专为适龄学生开发的安全教育训练系统，增强学生在安全教育训练过程中的身临其境的感觉，同时在训练过程中，可以采取互动的形式。</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2.2、生活场景认知项目库用于存储智慧学习、生活百科知识及生活认知乐园内容，其中智慧学习板块包含生活语文、数学及生活方面的大量课件，生活语文方面包含拼音字母、童话故事、诗歌诗词、寓言故事、成语故事、经典故事等内容，生活数学方面包含比大小、比长短、比多少、比高矮、认识数字、认识有无、认识图形、认识方向等基础训练课件，生活方面包含学校方面的老师、同学、学习用具等、家庭方面的家人、餐厅、客厅、卧室等，个人方面的认识身体、学穿衣服、系鞋带、整理玩具等，社会方面包含过马路、逛超市、逛公园等内容。认知训练包含空间能力、数量、颜色、形状、身体、动物、水果、生活用品、交通、字母、数字等方面的大量训练教程，认知乐园包含：模拟现实中的生活场景，加强特殊儿童的生活认知能力，包含加油站、火车站、商场、医院、动物园、公安局、天文馆、水族馆、超市、宝宝的家、游乐场等模块，内容丰富，交互式认知教学模式。</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2.3、游戏项目库为特殊儿童提供的大量的益智小游戏，培养孩子专注力，手眼协调，逻辑推理能力、粗大运动、精细运动等项目。</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2.4、蒙台梭利教学模块旨在为激发和促进儿童的内在潜力，并且要按照特殊儿童自身的规律，使其获得自由的发展，该模块提供了大量的蒙台梭利训练教程，教学内容就十分丰富，它包括感观教育、生活练习、语言教育、数学教育和文化教育等内容。</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2.5、教案课件模块支持PPT等基础office办公三方软件调取，提供了大量优质课件，支持教师教学资料整合。</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3、电脑主机、键盘、鼠标 2、液晶显示器 3、触摸式液晶显示器 4、有源音箱 5、打印机 6、专业拾音麦克风   7、工作台车</w:t>
      </w:r>
    </w:p>
    <w:p>
      <w:pPr>
        <w:spacing w:line="360" w:lineRule="auto"/>
        <w:rPr>
          <w:rFonts w:cs="宋体" w:asciiTheme="minorEastAsia" w:hAnsiTheme="minorEastAsia" w:eastAsiaTheme="minorEastAsia"/>
          <w:b/>
          <w:bCs/>
          <w:color w:val="auto"/>
          <w:kern w:val="0"/>
          <w:highlight w:val="none"/>
        </w:rPr>
      </w:pPr>
      <w:r>
        <w:rPr>
          <w:rFonts w:hint="eastAsia" w:cs="宋体" w:asciiTheme="minorEastAsia" w:hAnsiTheme="minorEastAsia" w:eastAsiaTheme="minorEastAsia"/>
          <w:b/>
          <w:bCs/>
          <w:color w:val="auto"/>
          <w:kern w:val="0"/>
          <w:highlight w:val="none"/>
        </w:rPr>
        <w:t>硬件技术指标：</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1、计算机：主机参数：CPU 频率≥2.4GHz，内存≥2G，硬盘≥500G，独立显卡，显存≥1G，液晶显示器≥19英寸</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2、触摸屏：触摸显示器尺寸≥19寸</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3、打印机：彩色喷墨打印机，支持A4打印，内存≥2MB，接口：高速USB2.0</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4、麦克风：专业型定向型麦克风,电池供电方式, 含话筒架, 背极式驻极体, 心型指向</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5、有源音箱：2.0有源音箱，失真度（%）：≤0.5，信噪比：≥80dba，功率≥4W*2，声道：双声道</w:t>
      </w:r>
    </w:p>
    <w:p>
      <w:pPr>
        <w:spacing w:line="360" w:lineRule="auto"/>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6、工作台车：ABS操作平台。</w:t>
      </w:r>
    </w:p>
    <w:p>
      <w:pPr>
        <w:pStyle w:val="11"/>
        <w:spacing w:line="360" w:lineRule="auto"/>
        <w:outlineLvl w:val="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16、基础能力训练仪（可穿戴脑神经反馈训练系统）</w:t>
      </w:r>
    </w:p>
    <w:p>
      <w:pPr>
        <w:spacing w:line="360" w:lineRule="auto"/>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1、超薄机体设计，设备尺寸580mm×420mm×36mm，误差±10%；</w:t>
      </w:r>
    </w:p>
    <w:p>
      <w:pPr>
        <w:spacing w:line="360" w:lineRule="auto"/>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2、外型采用弧面设计、无棱角、无尖锐凸出与凹陷，无磕碰隐患；</w:t>
      </w:r>
    </w:p>
    <w:p>
      <w:pPr>
        <w:spacing w:line="360" w:lineRule="auto"/>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3、设备机壳采用ABS环保工程塑料，制作工艺采用模具注塑成型；</w:t>
      </w:r>
    </w:p>
    <w:p>
      <w:pPr>
        <w:spacing w:line="360" w:lineRule="auto"/>
        <w:outlineLvl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4、设备采用两个音响单元，阻抗：8欧，功率：10W，防磁，信噪比≥85dBA；</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5、设备采用12V外置一体变压电源，Type-C接口与设备连接；</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6、设备机身全部采用触摸式按键；</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7、设备≥1块80mm×20mm的32×8 LED矩阵显示屏，≥12块60mm×60mm的24×24 LED可触摸矩阵显示屏组成；</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8、设备采用投射式电容感应数字触控技术；</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9、屏幕触摸响应，手指或专业触摸笔测试响应。</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10、屏幕触摸精度≥2mm物体；</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11、★手指进行触摸操作时，设备会跟随触摸产生震动反馈；</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12、★针对基础能力训练共设立六大训练模块：反应力转移训练、反应力分配训练、记忆力目的训练、记忆力复述训练、观察力目的训练、观察力理解训练；</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13、运行噪音≤35分贝；</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14、设备具有极高的安全性，设备绝缘接地，承受AC3000V的交流电压，60秒内绝缘不被击穿；</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15、设备在-10℃低温环境，工作10小时无异常；</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16、设备在50℃高温环境，工作10小时无异常；</w:t>
      </w:r>
    </w:p>
    <w:p>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17、设备在40℃,90％RH高湿度环境，工作10小时无异常；</w:t>
      </w:r>
    </w:p>
    <w:p>
      <w:pPr>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18、阻燃达到V-2级</w:t>
      </w:r>
    </w:p>
    <w:p>
      <w:pPr>
        <w:pStyle w:val="24"/>
        <w:ind w:left="0" w:firstLine="0" w:firstLineChars="0"/>
        <w:rPr>
          <w:rFonts w:ascii="Times New Roman"/>
          <w:b/>
          <w:bCs/>
          <w:color w:val="auto"/>
          <w:sz w:val="21"/>
          <w:szCs w:val="21"/>
          <w:highlight w:val="none"/>
        </w:rPr>
      </w:pPr>
      <w:r>
        <w:rPr>
          <w:rFonts w:hint="eastAsia" w:ascii="Times New Roman"/>
          <w:b/>
          <w:bCs/>
          <w:color w:val="auto"/>
          <w:sz w:val="21"/>
          <w:szCs w:val="21"/>
          <w:highlight w:val="none"/>
        </w:rPr>
        <w:t>四、部分商务要求及其他要求</w:t>
      </w:r>
    </w:p>
    <w:p>
      <w:pPr>
        <w:pStyle w:val="24"/>
        <w:ind w:left="0" w:firstLine="422"/>
        <w:rPr>
          <w:rFonts w:cs="宋体" w:asciiTheme="minorEastAsia" w:hAnsiTheme="minorEastAsia"/>
          <w:b/>
          <w:color w:val="auto"/>
          <w:kern w:val="2"/>
          <w:sz w:val="21"/>
          <w:szCs w:val="21"/>
          <w:highlight w:val="none"/>
        </w:rPr>
      </w:pPr>
      <w:r>
        <w:rPr>
          <w:rFonts w:hint="eastAsia" w:cs="宋体" w:asciiTheme="minorEastAsia" w:hAnsiTheme="minorEastAsia"/>
          <w:b/>
          <w:color w:val="auto"/>
          <w:kern w:val="2"/>
          <w:sz w:val="21"/>
          <w:szCs w:val="21"/>
          <w:highlight w:val="none"/>
        </w:rPr>
        <w:t>1、售后服务要求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1.1厂家承诺整机不少于</w:t>
      </w:r>
      <w:r>
        <w:rPr>
          <w:rFonts w:hint="eastAsia" w:ascii="宋体" w:hAnsi="宋体" w:cs="宋体"/>
          <w:color w:val="auto"/>
          <w:highlight w:val="none"/>
          <w:u w:val="single"/>
        </w:rPr>
        <w:t>3</w:t>
      </w:r>
      <w:r>
        <w:rPr>
          <w:rFonts w:hint="eastAsia" w:ascii="宋体" w:hAnsi="宋体" w:cs="宋体"/>
          <w:color w:val="auto"/>
          <w:highlight w:val="none"/>
        </w:rPr>
        <w:t>年质保，终身维修,质保期满后免费维修，只收取材料成本费并保证零配件供应</w:t>
      </w:r>
      <w:r>
        <w:rPr>
          <w:rFonts w:hint="eastAsia" w:ascii="宋体" w:hAnsi="宋体" w:cs="宋体"/>
          <w:color w:val="auto"/>
          <w:highlight w:val="none"/>
          <w:u w:val="single"/>
        </w:rPr>
        <w:t>10</w:t>
      </w:r>
      <w:r>
        <w:rPr>
          <w:rFonts w:hint="eastAsia" w:ascii="宋体" w:hAnsi="宋体" w:cs="宋体"/>
          <w:color w:val="auto"/>
          <w:highlight w:val="none"/>
        </w:rPr>
        <w:t>年。质保期内维修必须由生产厂家而非经销商负责维修服务，且负责提供技术服务与技术支持，所有设备配套软件免费升级至最新版本。</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主机不少于</w:t>
      </w:r>
      <w:r>
        <w:rPr>
          <w:rFonts w:hint="eastAsia" w:ascii="宋体" w:hAnsi="宋体" w:cs="宋体"/>
          <w:color w:val="auto"/>
          <w:highlight w:val="none"/>
          <w:u w:val="single"/>
        </w:rPr>
        <w:t>3年</w:t>
      </w:r>
      <w:r>
        <w:rPr>
          <w:rFonts w:hint="eastAsia" w:ascii="宋体" w:hAnsi="宋体" w:cs="宋体"/>
          <w:color w:val="auto"/>
          <w:highlight w:val="none"/>
        </w:rPr>
        <w:t>保修指：由厂家工程师安装完成，经医院或第三方检测、验收合格之日起的</w:t>
      </w:r>
      <w:r>
        <w:rPr>
          <w:rFonts w:hint="eastAsia" w:ascii="宋体" w:hAnsi="宋体" w:cs="宋体"/>
          <w:color w:val="auto"/>
          <w:highlight w:val="none"/>
          <w:u w:val="single"/>
        </w:rPr>
        <w:t>3年</w:t>
      </w:r>
      <w:r>
        <w:rPr>
          <w:rFonts w:hint="eastAsia" w:ascii="宋体" w:hAnsi="宋体" w:cs="宋体"/>
          <w:color w:val="auto"/>
          <w:highlight w:val="none"/>
        </w:rPr>
        <w:t>之内为质保期。在质保期内，任何由于机器质量原因或正常使用引起的故障及损坏，除人为因素损坏外，由厂家提供原厂配件更换。质保期过后，按合同约定执行。</w:t>
      </w:r>
    </w:p>
    <w:p>
      <w:pPr>
        <w:pStyle w:val="24"/>
        <w:ind w:left="0"/>
        <w:rPr>
          <w:rFonts w:hAnsi="宋体" w:cs="宋体"/>
          <w:color w:val="auto"/>
          <w:sz w:val="21"/>
          <w:szCs w:val="21"/>
          <w:highlight w:val="none"/>
        </w:rPr>
      </w:pPr>
      <w:r>
        <w:rPr>
          <w:rFonts w:hint="eastAsia" w:hAnsi="宋体" w:cs="宋体"/>
          <w:color w:val="auto"/>
          <w:sz w:val="21"/>
          <w:szCs w:val="21"/>
          <w:highlight w:val="none"/>
        </w:rPr>
        <w:t>终身维修指：厂家对所售产品提供终身维修服务。如果因为该产品生产年限过长，零配件无法供应，维修方案将与用户协商解决。</w:t>
      </w:r>
    </w:p>
    <w:p>
      <w:pPr>
        <w:pStyle w:val="24"/>
        <w:ind w:left="0"/>
        <w:rPr>
          <w:rFonts w:hAnsi="宋体" w:cs="宋体"/>
          <w:color w:val="auto"/>
          <w:sz w:val="21"/>
          <w:szCs w:val="21"/>
          <w:highlight w:val="none"/>
        </w:rPr>
      </w:pPr>
      <w:r>
        <w:rPr>
          <w:rFonts w:hint="eastAsia" w:hAnsi="宋体" w:cs="宋体"/>
          <w:color w:val="auto"/>
          <w:sz w:val="21"/>
          <w:szCs w:val="21"/>
          <w:highlight w:val="none"/>
        </w:rPr>
        <w:t>1.2到货及安装：所有设备均由乙方免费送货上门并安装调试。</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1.3维修服务：响应时间</w:t>
      </w:r>
      <w:r>
        <w:rPr>
          <w:rFonts w:hint="eastAsia" w:ascii="宋体" w:hAnsi="宋体" w:cs="宋体"/>
          <w:color w:val="auto"/>
          <w:highlight w:val="none"/>
          <w:u w:val="single"/>
        </w:rPr>
        <w:t xml:space="preserve"> 1 </w:t>
      </w:r>
      <w:r>
        <w:rPr>
          <w:rFonts w:hint="eastAsia" w:ascii="宋体" w:hAnsi="宋体" w:cs="宋体"/>
          <w:color w:val="auto"/>
          <w:highlight w:val="none"/>
        </w:rPr>
        <w:t>小时，</w:t>
      </w:r>
      <w:r>
        <w:rPr>
          <w:rFonts w:hint="eastAsia" w:ascii="宋体" w:hAnsi="宋体" w:cs="宋体"/>
          <w:color w:val="auto"/>
          <w:highlight w:val="none"/>
          <w:u w:val="single"/>
        </w:rPr>
        <w:t>4</w:t>
      </w:r>
      <w:r>
        <w:rPr>
          <w:rFonts w:hint="eastAsia" w:ascii="宋体" w:hAnsi="宋体" w:cs="宋体"/>
          <w:color w:val="auto"/>
          <w:highlight w:val="none"/>
        </w:rPr>
        <w:t>小时内到场进行维修，</w:t>
      </w:r>
      <w:r>
        <w:rPr>
          <w:rFonts w:hint="eastAsia" w:ascii="宋体" w:hAnsi="宋体" w:cs="宋体"/>
          <w:color w:val="auto"/>
          <w:highlight w:val="none"/>
          <w:u w:val="single"/>
        </w:rPr>
        <w:t>24</w:t>
      </w:r>
      <w:r>
        <w:rPr>
          <w:rFonts w:hint="eastAsia" w:ascii="宋体" w:hAnsi="宋体" w:cs="宋体"/>
          <w:color w:val="auto"/>
          <w:highlight w:val="none"/>
        </w:rPr>
        <w:t>小时内修复，如果超过</w:t>
      </w:r>
      <w:r>
        <w:rPr>
          <w:rFonts w:hint="eastAsia" w:ascii="宋体" w:hAnsi="宋体" w:cs="宋体"/>
          <w:color w:val="auto"/>
          <w:highlight w:val="none"/>
          <w:u w:val="single"/>
        </w:rPr>
        <w:t>48</w:t>
      </w:r>
      <w:r>
        <w:rPr>
          <w:rFonts w:hint="eastAsia" w:ascii="宋体" w:hAnsi="宋体" w:cs="宋体"/>
          <w:color w:val="auto"/>
          <w:highlight w:val="none"/>
        </w:rPr>
        <w:t>小时不能修复，提供同档次的备用机。</w:t>
      </w:r>
    </w:p>
    <w:p>
      <w:pPr>
        <w:pStyle w:val="24"/>
        <w:ind w:left="0"/>
        <w:rPr>
          <w:rFonts w:asciiTheme="majorEastAsia" w:hAnsiTheme="majorEastAsia" w:eastAsiaTheme="majorEastAsia"/>
          <w:b/>
          <w:bCs/>
          <w:color w:val="auto"/>
          <w:sz w:val="21"/>
          <w:szCs w:val="21"/>
          <w:highlight w:val="none"/>
        </w:rPr>
      </w:pPr>
      <w:r>
        <w:rPr>
          <w:rFonts w:hint="eastAsia" w:hAnsi="宋体" w:cs="宋体"/>
          <w:color w:val="auto"/>
          <w:sz w:val="21"/>
          <w:szCs w:val="21"/>
          <w:highlight w:val="none"/>
        </w:rPr>
        <w:t>质保期间(1)若同一硬件壹个月内连续2次出现同一故障（非人为情况）或不能及时排除故障造成停诊时间超过一个月，乙方无条件为甲方无偿更换为同一档次机器。 (2)凡由于产品制造、组装、造成的质量问题，由乙负责，并承担一切返修费；所有外购件若在质保期内出现质量问题，乙方应及时免费更换；对更换件、修理件的质保期修理或更换之重新开始计算。（乙方负责设备安装调试及应培训。）</w:t>
      </w:r>
    </w:p>
    <w:p>
      <w:pPr>
        <w:pStyle w:val="24"/>
        <w:ind w:left="0"/>
        <w:rPr>
          <w:rFonts w:asciiTheme="majorEastAsia" w:hAnsiTheme="majorEastAsia" w:eastAsiaTheme="majorEastAsia"/>
          <w:b/>
          <w:bCs/>
          <w:color w:val="auto"/>
          <w:sz w:val="21"/>
          <w:szCs w:val="21"/>
          <w:highlight w:val="none"/>
        </w:rPr>
      </w:pPr>
      <w:r>
        <w:rPr>
          <w:rFonts w:hint="eastAsia" w:hAnsi="宋体" w:cs="宋体"/>
          <w:color w:val="auto"/>
          <w:sz w:val="21"/>
          <w:szCs w:val="21"/>
          <w:highlight w:val="none"/>
        </w:rPr>
        <w:t>1.4每季度免费上门对设备进行专业的保养和维护不少于两次。</w:t>
      </w:r>
    </w:p>
    <w:p>
      <w:pPr>
        <w:pStyle w:val="20"/>
        <w:spacing w:after="0" w:line="360" w:lineRule="auto"/>
        <w:ind w:left="0" w:leftChars="0" w:firstLine="420" w:firstLineChars="200"/>
        <w:rPr>
          <w:rFonts w:ascii="宋体" w:hAnsi="宋体" w:cs="宋体"/>
          <w:color w:val="auto"/>
          <w:szCs w:val="21"/>
          <w:highlight w:val="none"/>
        </w:rPr>
      </w:pPr>
      <w:r>
        <w:rPr>
          <w:rFonts w:hint="eastAsia" w:ascii="宋体" w:hAnsi="宋体" w:cs="宋体"/>
          <w:color w:val="auto"/>
          <w:sz w:val="21"/>
          <w:szCs w:val="21"/>
          <w:highlight w:val="none"/>
        </w:rPr>
        <w:t>1.5装机后乙方为甲方相关医护、技术及维修人员提供培训，直至双方认证合格，培训约定如下：</w:t>
      </w:r>
    </w:p>
    <w:p>
      <w:pPr>
        <w:tabs>
          <w:tab w:val="left" w:pos="360"/>
        </w:tabs>
        <w:topLinePunct/>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1.5.1培训对象及人数：</w:t>
      </w:r>
      <w:r>
        <w:rPr>
          <w:rFonts w:hint="eastAsia" w:ascii="宋体" w:hAnsi="宋体" w:cs="宋体"/>
          <w:color w:val="auto"/>
          <w:highlight w:val="none"/>
          <w:u w:val="single"/>
        </w:rPr>
        <w:t>技术操作和维修人员3-5人</w:t>
      </w:r>
    </w:p>
    <w:p>
      <w:pPr>
        <w:tabs>
          <w:tab w:val="left" w:pos="360"/>
        </w:tabs>
        <w:topLinePunct/>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1.5.2培训方式及地点：</w:t>
      </w:r>
      <w:r>
        <w:rPr>
          <w:rFonts w:hint="eastAsia" w:ascii="宋体" w:hAnsi="宋体" w:cs="宋体"/>
          <w:color w:val="auto"/>
          <w:highlight w:val="none"/>
          <w:u w:val="single"/>
        </w:rPr>
        <w:t xml:space="preserve">     现场培训</w:t>
      </w:r>
    </w:p>
    <w:p>
      <w:pPr>
        <w:pStyle w:val="24"/>
        <w:ind w:left="0"/>
        <w:rPr>
          <w:rFonts w:hAnsi="宋体" w:cs="宋体"/>
          <w:color w:val="auto"/>
          <w:sz w:val="21"/>
          <w:szCs w:val="21"/>
          <w:highlight w:val="none"/>
          <w:u w:val="single"/>
        </w:rPr>
      </w:pPr>
      <w:r>
        <w:rPr>
          <w:rFonts w:hint="eastAsia" w:hAnsi="宋体" w:cs="宋体"/>
          <w:color w:val="auto"/>
          <w:sz w:val="21"/>
          <w:szCs w:val="21"/>
          <w:highlight w:val="none"/>
        </w:rPr>
        <w:t>1.5.3培训时间及费用：</w:t>
      </w:r>
      <w:r>
        <w:rPr>
          <w:rFonts w:hint="eastAsia" w:hAnsi="宋体" w:cs="宋体"/>
          <w:color w:val="auto"/>
          <w:sz w:val="21"/>
          <w:szCs w:val="21"/>
          <w:highlight w:val="none"/>
          <w:u w:val="single"/>
        </w:rPr>
        <w:t>设备安装完成后，免费培训，直至双方认证合格</w:t>
      </w:r>
    </w:p>
    <w:p>
      <w:pPr>
        <w:pStyle w:val="20"/>
        <w:spacing w:after="0" w:line="360" w:lineRule="auto"/>
        <w:ind w:left="0" w:leftChars="0" w:firstLine="315" w:firstLineChars="150"/>
        <w:rPr>
          <w:rFonts w:ascii="宋体" w:hAnsi="宋体" w:cs="宋体"/>
          <w:color w:val="auto"/>
          <w:szCs w:val="21"/>
          <w:highlight w:val="none"/>
        </w:rPr>
      </w:pPr>
      <w:r>
        <w:rPr>
          <w:rFonts w:hint="eastAsia" w:ascii="宋体" w:hAnsi="宋体" w:cs="宋体"/>
          <w:color w:val="auto"/>
          <w:sz w:val="21"/>
          <w:szCs w:val="21"/>
          <w:highlight w:val="none"/>
        </w:rPr>
        <w:t>1.6交货、安装的期限和地点（货物）</w:t>
      </w:r>
    </w:p>
    <w:p>
      <w:pPr>
        <w:pStyle w:val="20"/>
        <w:spacing w:after="0" w:line="360" w:lineRule="auto"/>
        <w:ind w:left="0" w:leftChars="0" w:firstLine="420" w:firstLineChars="200"/>
        <w:rPr>
          <w:rFonts w:ascii="宋体" w:hAnsi="宋体" w:cs="宋体"/>
          <w:color w:val="auto"/>
          <w:szCs w:val="21"/>
          <w:highlight w:val="none"/>
          <w:lang w:val="en-GB"/>
        </w:rPr>
      </w:pPr>
      <w:r>
        <w:rPr>
          <w:rFonts w:hint="eastAsia" w:ascii="宋体" w:hAnsi="宋体" w:cs="宋体"/>
          <w:color w:val="auto"/>
          <w:sz w:val="21"/>
          <w:szCs w:val="21"/>
          <w:highlight w:val="none"/>
        </w:rPr>
        <w:t>1.6.1交货期：</w:t>
      </w:r>
      <w:r>
        <w:rPr>
          <w:rFonts w:hint="eastAsia" w:ascii="宋体" w:hAnsi="宋体" w:cs="宋体"/>
          <w:color w:val="auto"/>
          <w:sz w:val="21"/>
          <w:szCs w:val="21"/>
          <w:highlight w:val="none"/>
          <w:lang w:val="en-GB"/>
        </w:rPr>
        <w:t>合同签订之日起</w:t>
      </w:r>
      <w:r>
        <w:rPr>
          <w:rFonts w:hint="eastAsia" w:ascii="宋体" w:hAnsi="宋体" w:cs="宋体"/>
          <w:color w:val="auto"/>
          <w:sz w:val="21"/>
          <w:szCs w:val="21"/>
          <w:highlight w:val="none"/>
          <w:u w:val="single"/>
        </w:rPr>
        <w:t>30</w:t>
      </w:r>
      <w:r>
        <w:rPr>
          <w:rFonts w:hint="eastAsia" w:ascii="宋体" w:hAnsi="宋体" w:cs="宋体"/>
          <w:color w:val="auto"/>
          <w:sz w:val="21"/>
          <w:szCs w:val="21"/>
          <w:highlight w:val="none"/>
          <w:lang w:val="en-GB"/>
        </w:rPr>
        <w:t>个日历日。</w:t>
      </w:r>
    </w:p>
    <w:p>
      <w:pPr>
        <w:pStyle w:val="20"/>
        <w:spacing w:after="0" w:line="360" w:lineRule="auto"/>
        <w:ind w:left="0" w:leftChars="0" w:firstLine="420" w:firstLineChars="200"/>
        <w:rPr>
          <w:rFonts w:ascii="宋体" w:hAnsi="宋体" w:cs="宋体"/>
          <w:color w:val="auto"/>
          <w:szCs w:val="21"/>
          <w:highlight w:val="none"/>
        </w:rPr>
      </w:pPr>
      <w:r>
        <w:rPr>
          <w:rFonts w:hint="eastAsia" w:ascii="宋体" w:hAnsi="宋体" w:cs="宋体"/>
          <w:color w:val="auto"/>
          <w:sz w:val="21"/>
          <w:szCs w:val="21"/>
          <w:highlight w:val="none"/>
        </w:rPr>
        <w:t>1.6.2交货及安装地点：陕西省康复医院内。</w:t>
      </w:r>
    </w:p>
    <w:p>
      <w:pPr>
        <w:pStyle w:val="24"/>
        <w:ind w:left="0"/>
        <w:rPr>
          <w:rFonts w:asciiTheme="majorEastAsia" w:hAnsiTheme="majorEastAsia" w:eastAsiaTheme="majorEastAsia"/>
          <w:b/>
          <w:bCs/>
          <w:color w:val="auto"/>
          <w:sz w:val="21"/>
          <w:szCs w:val="21"/>
          <w:highlight w:val="none"/>
        </w:rPr>
      </w:pPr>
      <w:r>
        <w:rPr>
          <w:rFonts w:hint="eastAsia" w:hAnsi="宋体" w:cs="宋体"/>
          <w:color w:val="auto"/>
          <w:sz w:val="21"/>
          <w:szCs w:val="21"/>
          <w:highlight w:val="none"/>
        </w:rPr>
        <w:t>1.6.3安装完成时间：接甲方通知后</w:t>
      </w:r>
      <w:r>
        <w:rPr>
          <w:rFonts w:hint="eastAsia" w:hAnsi="宋体" w:cs="宋体"/>
          <w:color w:val="auto"/>
          <w:sz w:val="21"/>
          <w:szCs w:val="21"/>
          <w:highlight w:val="none"/>
          <w:u w:val="single"/>
        </w:rPr>
        <w:t>5</w:t>
      </w:r>
      <w:r>
        <w:rPr>
          <w:rFonts w:hint="eastAsia" w:hAnsi="宋体" w:cs="宋体"/>
          <w:color w:val="auto"/>
          <w:sz w:val="21"/>
          <w:szCs w:val="21"/>
          <w:highlight w:val="none"/>
        </w:rPr>
        <w:t>个工作日内全部调试完成，并可正常使用.</w:t>
      </w:r>
    </w:p>
    <w:p>
      <w:pPr>
        <w:pStyle w:val="24"/>
        <w:ind w:left="0" w:firstLine="210" w:firstLineChars="100"/>
        <w:rPr>
          <w:rFonts w:asciiTheme="majorEastAsia" w:hAnsiTheme="majorEastAsia" w:eastAsiaTheme="majorEastAsia"/>
          <w:b/>
          <w:bCs/>
          <w:color w:val="auto"/>
          <w:sz w:val="21"/>
          <w:szCs w:val="21"/>
          <w:highlight w:val="none"/>
        </w:rPr>
      </w:pPr>
      <w:r>
        <w:rPr>
          <w:rFonts w:hint="eastAsia" w:hAnsi="宋体" w:cs="宋体"/>
          <w:color w:val="auto"/>
          <w:sz w:val="21"/>
          <w:szCs w:val="21"/>
          <w:highlight w:val="none"/>
        </w:rPr>
        <w:t>1.7在安装过程中确保原环境整体完整性，如有破坏，负责修补</w:t>
      </w:r>
    </w:p>
    <w:p>
      <w:pPr>
        <w:pStyle w:val="24"/>
        <w:ind w:left="0" w:firstLine="103" w:firstLineChars="49"/>
        <w:rPr>
          <w:rFonts w:asciiTheme="majorEastAsia" w:hAnsiTheme="majorEastAsia" w:eastAsiaTheme="majorEastAsia"/>
          <w:b/>
          <w:bCs/>
          <w:color w:val="auto"/>
          <w:sz w:val="21"/>
          <w:szCs w:val="21"/>
          <w:highlight w:val="none"/>
        </w:rPr>
      </w:pPr>
      <w:r>
        <w:rPr>
          <w:rFonts w:hint="eastAsia" w:hAnsi="宋体" w:cs="宋体"/>
          <w:b/>
          <w:bCs/>
          <w:color w:val="auto"/>
          <w:sz w:val="21"/>
          <w:szCs w:val="21"/>
          <w:highlight w:val="none"/>
        </w:rPr>
        <w:t>2、包装及其他要求</w:t>
      </w:r>
    </w:p>
    <w:p>
      <w:pPr>
        <w:pStyle w:val="24"/>
        <w:ind w:left="0" w:firstLine="200" w:firstLineChars="0"/>
        <w:rPr>
          <w:rFonts w:hAnsi="宋体" w:cs="宋体"/>
          <w:color w:val="auto"/>
          <w:sz w:val="21"/>
          <w:szCs w:val="21"/>
          <w:highlight w:val="none"/>
        </w:rPr>
      </w:pPr>
      <w:r>
        <w:rPr>
          <w:rFonts w:hint="eastAsia" w:hAnsi="宋体" w:cs="宋体"/>
          <w:color w:val="auto"/>
          <w:sz w:val="21"/>
          <w:szCs w:val="21"/>
          <w:highlight w:val="none"/>
        </w:rPr>
        <w:t>2.1符合出厂规范、包装完整无破损、满足长途运输要求</w:t>
      </w:r>
    </w:p>
    <w:p>
      <w:pPr>
        <w:pStyle w:val="24"/>
        <w:ind w:left="0" w:firstLine="200" w:firstLineChars="0"/>
        <w:rPr>
          <w:rFonts w:asciiTheme="majorEastAsia" w:hAnsiTheme="majorEastAsia" w:eastAsiaTheme="majorEastAsia"/>
          <w:b/>
          <w:bCs/>
          <w:color w:val="auto"/>
          <w:sz w:val="21"/>
          <w:szCs w:val="21"/>
          <w:highlight w:val="none"/>
        </w:rPr>
      </w:pPr>
      <w:r>
        <w:rPr>
          <w:rFonts w:hint="eastAsia" w:hAnsi="宋体" w:cs="宋体"/>
          <w:color w:val="auto"/>
          <w:sz w:val="21"/>
          <w:szCs w:val="21"/>
          <w:highlight w:val="none"/>
        </w:rPr>
        <w:t>2.2防雨、防潮、各种符号、标识清楚，进口设备应具有原产国标识且标识清楚</w:t>
      </w:r>
    </w:p>
    <w:p>
      <w:pPr>
        <w:pStyle w:val="24"/>
        <w:ind w:left="0" w:firstLine="200" w:firstLineChars="0"/>
        <w:rPr>
          <w:rFonts w:asciiTheme="majorEastAsia" w:hAnsiTheme="majorEastAsia" w:eastAsiaTheme="majorEastAsia"/>
          <w:b/>
          <w:bCs/>
          <w:color w:val="auto"/>
          <w:sz w:val="21"/>
          <w:szCs w:val="21"/>
          <w:highlight w:val="none"/>
        </w:rPr>
      </w:pPr>
      <w:r>
        <w:rPr>
          <w:rFonts w:hint="eastAsia" w:hAnsi="宋体" w:cs="宋体"/>
          <w:color w:val="auto"/>
          <w:sz w:val="21"/>
          <w:szCs w:val="21"/>
          <w:highlight w:val="none"/>
        </w:rPr>
        <w:t>2.3必须为原装、全新产品，渠道合法</w:t>
      </w:r>
    </w:p>
    <w:p>
      <w:pPr>
        <w:pStyle w:val="24"/>
        <w:ind w:left="0" w:firstLine="200" w:firstLineChars="0"/>
        <w:rPr>
          <w:rFonts w:asciiTheme="majorEastAsia" w:hAnsiTheme="majorEastAsia" w:eastAsiaTheme="majorEastAsia"/>
          <w:b/>
          <w:bCs/>
          <w:color w:val="auto"/>
          <w:sz w:val="21"/>
          <w:szCs w:val="21"/>
          <w:highlight w:val="none"/>
        </w:rPr>
      </w:pPr>
      <w:r>
        <w:rPr>
          <w:rFonts w:hint="eastAsia" w:hAnsi="宋体" w:cs="宋体"/>
          <w:b/>
          <w:bCs/>
          <w:color w:val="auto"/>
          <w:sz w:val="21"/>
          <w:szCs w:val="21"/>
          <w:highlight w:val="none"/>
        </w:rPr>
        <w:t>3、安装及验收要求</w:t>
      </w:r>
    </w:p>
    <w:p>
      <w:pPr>
        <w:pStyle w:val="24"/>
        <w:ind w:left="0" w:firstLine="200" w:firstLineChars="0"/>
        <w:rPr>
          <w:rFonts w:asciiTheme="majorEastAsia" w:hAnsiTheme="majorEastAsia" w:eastAsiaTheme="majorEastAsia"/>
          <w:b/>
          <w:bCs/>
          <w:color w:val="auto"/>
          <w:sz w:val="21"/>
          <w:szCs w:val="21"/>
          <w:highlight w:val="none"/>
        </w:rPr>
      </w:pPr>
      <w:r>
        <w:rPr>
          <w:rFonts w:hint="eastAsia" w:hAnsi="宋体" w:cs="宋体"/>
          <w:color w:val="auto"/>
          <w:sz w:val="21"/>
          <w:szCs w:val="21"/>
          <w:highlight w:val="none"/>
        </w:rPr>
        <w:t>3.1安装完成时间：接用户通知后</w:t>
      </w:r>
      <w:r>
        <w:rPr>
          <w:rFonts w:hint="eastAsia" w:hAnsi="宋体" w:cs="宋体"/>
          <w:color w:val="auto"/>
          <w:sz w:val="21"/>
          <w:szCs w:val="21"/>
          <w:highlight w:val="none"/>
          <w:u w:val="single"/>
        </w:rPr>
        <w:t>5</w:t>
      </w:r>
      <w:r>
        <w:rPr>
          <w:rFonts w:hint="eastAsia" w:hAnsi="宋体" w:cs="宋体"/>
          <w:color w:val="auto"/>
          <w:sz w:val="21"/>
          <w:szCs w:val="21"/>
          <w:highlight w:val="none"/>
        </w:rPr>
        <w:t>个工作日内全部调试完成</w:t>
      </w:r>
    </w:p>
    <w:p>
      <w:pPr>
        <w:pStyle w:val="24"/>
        <w:ind w:left="0" w:firstLine="200" w:firstLineChars="0"/>
        <w:rPr>
          <w:rFonts w:asciiTheme="majorEastAsia" w:hAnsiTheme="majorEastAsia" w:eastAsiaTheme="majorEastAsia"/>
          <w:b/>
          <w:bCs/>
          <w:color w:val="auto"/>
          <w:sz w:val="21"/>
          <w:szCs w:val="21"/>
          <w:highlight w:val="none"/>
        </w:rPr>
      </w:pPr>
      <w:r>
        <w:rPr>
          <w:rFonts w:hint="eastAsia" w:hAnsi="宋体" w:cs="宋体"/>
          <w:color w:val="auto"/>
          <w:sz w:val="21"/>
          <w:szCs w:val="21"/>
          <w:highlight w:val="none"/>
        </w:rPr>
        <w:t>3.2安装标准：符合国家有关安全技术标准</w:t>
      </w:r>
    </w:p>
    <w:p>
      <w:pPr>
        <w:pStyle w:val="24"/>
        <w:ind w:left="0" w:firstLine="200" w:firstLineChars="0"/>
        <w:rPr>
          <w:rFonts w:hAnsi="宋体" w:cs="宋体"/>
          <w:color w:val="auto"/>
          <w:sz w:val="21"/>
          <w:szCs w:val="21"/>
          <w:highlight w:val="none"/>
        </w:rPr>
      </w:pPr>
      <w:r>
        <w:rPr>
          <w:rFonts w:hint="eastAsia" w:hAnsi="宋体" w:cs="宋体"/>
          <w:color w:val="auto"/>
          <w:sz w:val="21"/>
          <w:szCs w:val="21"/>
          <w:highlight w:val="none"/>
        </w:rPr>
        <w:t>3.3验收标准及费用：</w:t>
      </w:r>
    </w:p>
    <w:p>
      <w:pPr>
        <w:pStyle w:val="24"/>
        <w:ind w:left="0" w:firstLine="200" w:firstLineChars="0"/>
        <w:rPr>
          <w:rFonts w:hAnsi="宋体" w:cs="宋体"/>
          <w:color w:val="auto"/>
          <w:sz w:val="21"/>
          <w:szCs w:val="21"/>
          <w:highlight w:val="none"/>
        </w:rPr>
      </w:pPr>
      <w:r>
        <w:rPr>
          <w:rFonts w:hint="eastAsia" w:hAnsi="宋体" w:cs="宋体"/>
          <w:color w:val="auto"/>
          <w:sz w:val="21"/>
          <w:szCs w:val="21"/>
          <w:highlight w:val="none"/>
        </w:rPr>
        <w:t>（一）验收标准</w:t>
      </w:r>
    </w:p>
    <w:p>
      <w:pPr>
        <w:pStyle w:val="24"/>
        <w:ind w:left="0" w:firstLine="200" w:firstLineChars="0"/>
        <w:rPr>
          <w:rFonts w:hAnsi="宋体" w:cs="宋体"/>
          <w:color w:val="auto"/>
          <w:sz w:val="21"/>
          <w:szCs w:val="21"/>
          <w:highlight w:val="none"/>
        </w:rPr>
      </w:pPr>
      <w:r>
        <w:rPr>
          <w:rFonts w:hint="eastAsia" w:hAnsi="宋体" w:cs="宋体"/>
          <w:color w:val="auto"/>
          <w:sz w:val="21"/>
          <w:szCs w:val="21"/>
          <w:highlight w:val="none"/>
        </w:rPr>
        <w:t>1、包装：符合出厂规范及符合《商品包装政府采购需求标准（试行）》、《快递包装政府采购需求标准（试行）》,包装完整无破损，防雨、防潮等各种符号标识清楚，进口设备应具有原产国标识且标识清楚。</w:t>
      </w:r>
    </w:p>
    <w:p>
      <w:pPr>
        <w:pStyle w:val="24"/>
        <w:ind w:left="0" w:firstLine="200" w:firstLineChars="0"/>
        <w:rPr>
          <w:rFonts w:hAnsi="宋体" w:cs="宋体"/>
          <w:color w:val="auto"/>
          <w:sz w:val="21"/>
          <w:szCs w:val="21"/>
          <w:highlight w:val="none"/>
        </w:rPr>
      </w:pPr>
      <w:r>
        <w:rPr>
          <w:rFonts w:hint="eastAsia" w:hAnsi="宋体" w:cs="宋体"/>
          <w:color w:val="auto"/>
          <w:sz w:val="21"/>
          <w:szCs w:val="21"/>
          <w:highlight w:val="none"/>
        </w:rPr>
        <w:t>2、安装：符合本合同项下产品的全部相关国家安全技术标准及甲方要求。</w:t>
      </w:r>
    </w:p>
    <w:p>
      <w:pPr>
        <w:pStyle w:val="24"/>
        <w:ind w:left="0" w:firstLine="200" w:firstLineChars="0"/>
        <w:rPr>
          <w:rFonts w:hAnsi="宋体" w:cs="宋体"/>
          <w:color w:val="auto"/>
          <w:sz w:val="21"/>
          <w:szCs w:val="21"/>
          <w:highlight w:val="none"/>
        </w:rPr>
      </w:pPr>
      <w:r>
        <w:rPr>
          <w:rFonts w:hint="eastAsia" w:hAnsi="宋体" w:cs="宋体"/>
          <w:color w:val="auto"/>
          <w:sz w:val="21"/>
          <w:szCs w:val="21"/>
          <w:highlight w:val="none"/>
        </w:rPr>
        <w:t>3、产品：</w:t>
      </w:r>
    </w:p>
    <w:p>
      <w:pPr>
        <w:pStyle w:val="24"/>
        <w:ind w:left="0" w:firstLine="200" w:firstLineChars="0"/>
        <w:rPr>
          <w:rFonts w:hAnsi="宋体" w:cs="宋体"/>
          <w:color w:val="auto"/>
          <w:sz w:val="21"/>
          <w:szCs w:val="21"/>
          <w:highlight w:val="none"/>
        </w:rPr>
      </w:pPr>
      <w:r>
        <w:rPr>
          <w:rFonts w:hint="eastAsia" w:hAnsi="宋体" w:cs="宋体"/>
          <w:color w:val="auto"/>
          <w:sz w:val="21"/>
          <w:szCs w:val="21"/>
          <w:highlight w:val="none"/>
        </w:rPr>
        <w:t>（1）必须为原装、全新、合格产品，渠道合法</w:t>
      </w:r>
    </w:p>
    <w:p>
      <w:pPr>
        <w:pStyle w:val="24"/>
        <w:ind w:left="0" w:firstLine="200" w:firstLineChars="0"/>
        <w:rPr>
          <w:rFonts w:hAnsi="宋体" w:cs="宋体"/>
          <w:color w:val="auto"/>
          <w:sz w:val="21"/>
          <w:szCs w:val="21"/>
          <w:highlight w:val="none"/>
        </w:rPr>
      </w:pPr>
      <w:r>
        <w:rPr>
          <w:rFonts w:hint="eastAsia" w:hAnsi="宋体" w:cs="宋体"/>
          <w:color w:val="auto"/>
          <w:sz w:val="21"/>
          <w:szCs w:val="21"/>
          <w:highlight w:val="none"/>
        </w:rPr>
        <w:t>（2）符合供方与需方签订的合同</w:t>
      </w:r>
    </w:p>
    <w:p>
      <w:pPr>
        <w:pStyle w:val="24"/>
        <w:ind w:left="0" w:firstLine="200" w:firstLineChars="0"/>
        <w:rPr>
          <w:rFonts w:hAnsi="宋体" w:cs="宋体"/>
          <w:color w:val="auto"/>
          <w:sz w:val="21"/>
          <w:szCs w:val="21"/>
          <w:highlight w:val="none"/>
        </w:rPr>
      </w:pPr>
      <w:r>
        <w:rPr>
          <w:rFonts w:hint="eastAsia" w:hAnsi="宋体" w:cs="宋体"/>
          <w:color w:val="auto"/>
          <w:sz w:val="21"/>
          <w:szCs w:val="21"/>
          <w:highlight w:val="none"/>
        </w:rPr>
        <w:t>（3）符合招、投标文件的技术要求</w:t>
      </w:r>
    </w:p>
    <w:p>
      <w:pPr>
        <w:pStyle w:val="24"/>
        <w:ind w:left="0" w:firstLine="198" w:firstLineChars="0"/>
        <w:rPr>
          <w:rFonts w:hAnsi="宋体" w:cs="宋体"/>
          <w:color w:val="auto"/>
          <w:sz w:val="21"/>
          <w:szCs w:val="21"/>
          <w:highlight w:val="none"/>
        </w:rPr>
      </w:pPr>
      <w:r>
        <w:rPr>
          <w:rFonts w:hint="eastAsia" w:hAnsi="宋体" w:cs="宋体"/>
          <w:color w:val="auto"/>
          <w:sz w:val="21"/>
          <w:szCs w:val="21"/>
          <w:highlight w:val="none"/>
        </w:rPr>
        <w:t>（4）符合产品原样本技术数据</w:t>
      </w:r>
    </w:p>
    <w:p>
      <w:pPr>
        <w:pStyle w:val="24"/>
        <w:ind w:left="0" w:firstLine="198" w:firstLineChars="0"/>
        <w:rPr>
          <w:rFonts w:hAnsi="宋体" w:cs="宋体"/>
          <w:color w:val="auto"/>
          <w:sz w:val="21"/>
          <w:szCs w:val="21"/>
          <w:highlight w:val="none"/>
        </w:rPr>
      </w:pPr>
      <w:r>
        <w:rPr>
          <w:rFonts w:hint="eastAsia" w:hAnsi="宋体" w:cs="宋体"/>
          <w:color w:val="auto"/>
          <w:sz w:val="21"/>
          <w:szCs w:val="21"/>
          <w:highlight w:val="none"/>
        </w:rPr>
        <w:t>（5）符合国家有关技术规范要求和安全、环保、节能等强制性标准, 验收的手续及费用由投标单位自行办理和承担，招标单位提供相关辅助。</w:t>
      </w:r>
    </w:p>
    <w:p>
      <w:pPr>
        <w:pStyle w:val="24"/>
        <w:ind w:left="0" w:firstLine="200" w:firstLineChars="0"/>
        <w:rPr>
          <w:rFonts w:hAnsi="宋体" w:cs="宋体"/>
          <w:color w:val="auto"/>
          <w:sz w:val="21"/>
          <w:szCs w:val="21"/>
          <w:highlight w:val="none"/>
        </w:rPr>
      </w:pPr>
      <w:r>
        <w:rPr>
          <w:rFonts w:hint="eastAsia" w:hAnsi="宋体" w:cs="宋体"/>
          <w:color w:val="auto"/>
          <w:sz w:val="21"/>
          <w:szCs w:val="21"/>
          <w:highlight w:val="none"/>
        </w:rPr>
        <w:t>（6）产品单证齐全（质量合格证、装箱清单、操作手册和维修手册等，如为进口产品，交货前须提供原产地证明、原厂生产检验合格证和海关手续等）。</w:t>
      </w:r>
    </w:p>
    <w:p>
      <w:pPr>
        <w:pStyle w:val="24"/>
        <w:ind w:left="0" w:firstLine="200" w:firstLineChars="0"/>
        <w:rPr>
          <w:rFonts w:hAnsi="宋体" w:cs="宋体"/>
          <w:b/>
          <w:bCs/>
          <w:color w:val="auto"/>
          <w:sz w:val="21"/>
          <w:szCs w:val="21"/>
          <w:highlight w:val="none"/>
        </w:rPr>
      </w:pPr>
      <w:r>
        <w:rPr>
          <w:rFonts w:hint="eastAsia" w:hAnsi="宋体" w:cs="宋体"/>
          <w:b/>
          <w:bCs/>
          <w:color w:val="auto"/>
          <w:sz w:val="21"/>
          <w:szCs w:val="21"/>
          <w:highlight w:val="none"/>
        </w:rPr>
        <w:t>4、付款方式和条件</w:t>
      </w:r>
    </w:p>
    <w:p>
      <w:pPr>
        <w:tabs>
          <w:tab w:val="left" w:pos="360"/>
        </w:tabs>
        <w:topLinePunct/>
        <w:spacing w:line="360" w:lineRule="auto"/>
        <w:ind w:firstLine="200"/>
        <w:rPr>
          <w:rFonts w:ascii="宋体" w:hAnsi="宋体" w:cs="宋体"/>
          <w:color w:val="auto"/>
          <w:highlight w:val="none"/>
        </w:rPr>
      </w:pPr>
      <w:r>
        <w:rPr>
          <w:rFonts w:hint="eastAsia" w:ascii="宋体" w:hAnsi="宋体" w:cs="宋体"/>
          <w:color w:val="auto"/>
          <w:highlight w:val="none"/>
        </w:rPr>
        <w:t>4.1【货物-设备】</w:t>
      </w:r>
    </w:p>
    <w:p>
      <w:pPr>
        <w:pStyle w:val="24"/>
        <w:ind w:left="0" w:firstLine="200" w:firstLineChars="0"/>
        <w:rPr>
          <w:rFonts w:hAnsi="宋体" w:cs="宋体"/>
          <w:color w:val="auto"/>
          <w:sz w:val="21"/>
          <w:szCs w:val="21"/>
          <w:highlight w:val="none"/>
        </w:rPr>
      </w:pPr>
      <w:r>
        <w:rPr>
          <w:rFonts w:hint="eastAsia" w:hAnsi="宋体" w:cs="宋体"/>
          <w:color w:val="auto"/>
          <w:sz w:val="21"/>
          <w:szCs w:val="21"/>
          <w:highlight w:val="none"/>
        </w:rPr>
        <w:t>合同签订后30天内支付预付款40%，终验合格后60天内（以甲方出具的书面验收合格文件为准），支付剩余60%。</w:t>
      </w:r>
    </w:p>
    <w:p>
      <w:pPr>
        <w:pStyle w:val="20"/>
        <w:spacing w:after="0" w:line="360" w:lineRule="auto"/>
        <w:ind w:left="0" w:leftChars="0" w:firstLine="200"/>
        <w:rPr>
          <w:rFonts w:ascii="宋体" w:hAnsi="宋体" w:cs="宋体"/>
          <w:color w:val="auto"/>
          <w:szCs w:val="21"/>
          <w:highlight w:val="none"/>
        </w:rPr>
      </w:pPr>
      <w:r>
        <w:rPr>
          <w:rFonts w:hint="eastAsia" w:ascii="宋体" w:hAnsi="宋体" w:cs="宋体"/>
          <w:color w:val="auto"/>
          <w:sz w:val="21"/>
          <w:szCs w:val="21"/>
          <w:highlight w:val="none"/>
        </w:rPr>
        <w:t>4.2支付方式</w:t>
      </w:r>
    </w:p>
    <w:p>
      <w:pPr>
        <w:pStyle w:val="20"/>
        <w:spacing w:after="0" w:line="360" w:lineRule="auto"/>
        <w:ind w:left="0" w:leftChars="0" w:firstLine="420" w:firstLineChars="200"/>
        <w:rPr>
          <w:rFonts w:ascii="宋体" w:hAnsi="宋体" w:cs="宋体"/>
          <w:color w:val="auto"/>
          <w:szCs w:val="21"/>
          <w:highlight w:val="none"/>
        </w:rPr>
      </w:pPr>
      <w:r>
        <w:rPr>
          <w:rFonts w:hint="eastAsia" w:ascii="宋体" w:hAnsi="宋体" w:cs="宋体"/>
          <w:color w:val="auto"/>
          <w:sz w:val="21"/>
          <w:szCs w:val="21"/>
          <w:highlight w:val="none"/>
        </w:rPr>
        <w:t>通过银行转帐方式将款项转入乙方银行帐户。乙方银行帐户信息如下:</w:t>
      </w:r>
    </w:p>
    <w:p>
      <w:pPr>
        <w:pStyle w:val="20"/>
        <w:tabs>
          <w:tab w:val="left" w:pos="180"/>
          <w:tab w:val="left" w:pos="9360"/>
        </w:tabs>
        <w:spacing w:after="0" w:line="360" w:lineRule="auto"/>
        <w:ind w:left="0" w:leftChars="0" w:firstLine="304" w:firstLineChars="145"/>
        <w:rPr>
          <w:rFonts w:ascii="宋体" w:hAnsi="宋体" w:cs="宋体"/>
          <w:color w:val="auto"/>
          <w:szCs w:val="21"/>
          <w:highlight w:val="none"/>
          <w:u w:val="single"/>
        </w:rPr>
      </w:pPr>
      <w:r>
        <w:rPr>
          <w:rFonts w:hint="eastAsia" w:ascii="宋体" w:hAnsi="宋体" w:cs="宋体"/>
          <w:color w:val="auto"/>
          <w:sz w:val="21"/>
          <w:szCs w:val="21"/>
          <w:highlight w:val="none"/>
        </w:rPr>
        <w:t>帐户全称:</w:t>
      </w:r>
    </w:p>
    <w:p>
      <w:pPr>
        <w:pStyle w:val="20"/>
        <w:tabs>
          <w:tab w:val="left" w:pos="9360"/>
        </w:tabs>
        <w:spacing w:after="0" w:line="360" w:lineRule="auto"/>
        <w:ind w:left="0" w:leftChars="0" w:firstLine="304" w:firstLineChars="145"/>
        <w:rPr>
          <w:rFonts w:ascii="宋体" w:hAnsi="宋体" w:cs="宋体"/>
          <w:color w:val="auto"/>
          <w:szCs w:val="21"/>
          <w:highlight w:val="none"/>
          <w:u w:val="single"/>
        </w:rPr>
      </w:pPr>
      <w:r>
        <w:rPr>
          <w:rFonts w:hint="eastAsia" w:ascii="宋体" w:hAnsi="宋体" w:cs="宋体"/>
          <w:color w:val="auto"/>
          <w:sz w:val="21"/>
          <w:szCs w:val="21"/>
          <w:highlight w:val="none"/>
        </w:rPr>
        <w:t>帐    号:</w:t>
      </w:r>
    </w:p>
    <w:p>
      <w:pPr>
        <w:pStyle w:val="20"/>
        <w:tabs>
          <w:tab w:val="left" w:pos="9360"/>
        </w:tabs>
        <w:spacing w:after="0" w:line="360" w:lineRule="auto"/>
        <w:ind w:left="0" w:leftChars="0" w:firstLine="304" w:firstLineChars="145"/>
        <w:rPr>
          <w:rFonts w:ascii="宋体" w:hAnsi="宋体" w:cs="宋体"/>
          <w:color w:val="auto"/>
          <w:szCs w:val="21"/>
          <w:highlight w:val="none"/>
        </w:rPr>
      </w:pPr>
      <w:r>
        <w:rPr>
          <w:rFonts w:hint="eastAsia" w:ascii="宋体" w:hAnsi="宋体" w:cs="宋体"/>
          <w:color w:val="auto"/>
          <w:sz w:val="21"/>
          <w:szCs w:val="21"/>
          <w:highlight w:val="none"/>
        </w:rPr>
        <w:t>开 户 行:</w:t>
      </w:r>
    </w:p>
    <w:p>
      <w:pPr>
        <w:pStyle w:val="24"/>
        <w:ind w:left="0" w:firstLine="200" w:firstLineChars="0"/>
        <w:rPr>
          <w:rFonts w:hAnsi="宋体" w:cs="宋体"/>
          <w:color w:val="auto"/>
          <w:sz w:val="21"/>
          <w:szCs w:val="21"/>
          <w:highlight w:val="none"/>
        </w:rPr>
      </w:pPr>
      <w:r>
        <w:rPr>
          <w:rFonts w:hint="eastAsia" w:hAnsi="宋体" w:cs="宋体"/>
          <w:color w:val="auto"/>
          <w:sz w:val="21"/>
          <w:szCs w:val="21"/>
          <w:highlight w:val="none"/>
          <w:u w:val="single"/>
        </w:rPr>
        <w:t>甲方仅认可上述指定账户并向该账户付款。如乙方账户信息变更，乙方应出具由法定代表人签署的书面变更文件并加盖乙方公司公章，否则甲方有权拒绝向指定账户之外的任何账户付款，并且由此导致的付款延迟责任由乙方承担。</w:t>
      </w:r>
    </w:p>
    <w:p>
      <w:pPr>
        <w:pStyle w:val="20"/>
        <w:tabs>
          <w:tab w:val="left" w:pos="9360"/>
        </w:tabs>
        <w:spacing w:after="0" w:line="360" w:lineRule="auto"/>
        <w:ind w:left="0" w:leftChars="0" w:firstLine="304" w:firstLineChars="145"/>
        <w:rPr>
          <w:rFonts w:ascii="宋体" w:hAnsi="宋体" w:cs="宋体"/>
          <w:color w:val="auto"/>
          <w:sz w:val="21"/>
          <w:szCs w:val="21"/>
          <w:highlight w:val="none"/>
        </w:rPr>
      </w:pPr>
      <w:r>
        <w:rPr>
          <w:rFonts w:hint="eastAsia" w:ascii="宋体" w:hAnsi="宋体" w:cs="宋体"/>
          <w:color w:val="auto"/>
          <w:sz w:val="21"/>
          <w:szCs w:val="21"/>
          <w:highlight w:val="none"/>
        </w:rPr>
        <w:t>4.3【货物-设备】</w:t>
      </w:r>
    </w:p>
    <w:p>
      <w:pPr>
        <w:pStyle w:val="24"/>
        <w:ind w:left="0" w:firstLine="210" w:firstLineChars="100"/>
        <w:rPr>
          <w:rFonts w:asciiTheme="majorEastAsia" w:hAnsiTheme="majorEastAsia" w:eastAsiaTheme="majorEastAsia"/>
          <w:b/>
          <w:bCs/>
          <w:color w:val="auto"/>
          <w:sz w:val="21"/>
          <w:szCs w:val="21"/>
          <w:highlight w:val="none"/>
        </w:rPr>
      </w:pPr>
      <w:r>
        <w:rPr>
          <w:rFonts w:hint="eastAsia" w:hAnsi="宋体" w:cs="宋体"/>
          <w:color w:val="auto"/>
          <w:sz w:val="21"/>
          <w:szCs w:val="21"/>
          <w:highlight w:val="none"/>
        </w:rPr>
        <w:t>结算要求：乙方应在设备验收合格后三日内，向甲方一次性开具符合要求的合同全款正式发票。</w:t>
      </w:r>
    </w:p>
    <w:p>
      <w:pPr>
        <w:pStyle w:val="24"/>
        <w:ind w:left="0" w:firstLine="211" w:firstLineChars="100"/>
        <w:rPr>
          <w:rFonts w:asciiTheme="majorEastAsia" w:hAnsiTheme="majorEastAsia" w:eastAsiaTheme="majorEastAsia"/>
          <w:b/>
          <w:bCs/>
          <w:color w:val="auto"/>
          <w:sz w:val="21"/>
          <w:szCs w:val="21"/>
          <w:highlight w:val="none"/>
        </w:rPr>
      </w:pPr>
      <w:r>
        <w:rPr>
          <w:rFonts w:hint="eastAsia" w:hAnsi="宋体" w:cs="宋体"/>
          <w:b/>
          <w:color w:val="auto"/>
          <w:sz w:val="21"/>
          <w:szCs w:val="21"/>
          <w:highlight w:val="none"/>
        </w:rPr>
        <w:t>5、履约说明</w:t>
      </w:r>
      <w:r>
        <w:rPr>
          <w:rFonts w:hint="eastAsia" w:hAnsi="宋体" w:cs="宋体"/>
          <w:color w:val="auto"/>
          <w:sz w:val="21"/>
          <w:szCs w:val="21"/>
          <w:highlight w:val="none"/>
        </w:rPr>
        <w:t>：中标人在质保期内，须完全履行、招标文件、投标文件及合同中的质保要求、承诺内容和售后服务，未完全履行的，则视为虚假应答，将中标人纳入失信名单，并将未完全履约情况上报财政厅，禁止1-3年内参加政府采购活动。</w:t>
      </w:r>
    </w:p>
    <w:bookmarkEnd w:id="33"/>
    <w:p>
      <w:pPr>
        <w:spacing w:line="360" w:lineRule="auto"/>
        <w:rPr>
          <w:b/>
          <w:bCs/>
          <w:color w:val="auto"/>
          <w:kern w:val="0"/>
          <w:highlight w:val="none"/>
        </w:rPr>
      </w:pPr>
      <w:r>
        <w:rPr>
          <w:rFonts w:hAnsi="宋体"/>
          <w:b/>
          <w:bCs/>
          <w:color w:val="auto"/>
          <w:kern w:val="0"/>
          <w:highlight w:val="none"/>
        </w:rPr>
        <w:t>注：</w:t>
      </w:r>
    </w:p>
    <w:p>
      <w:pPr>
        <w:spacing w:line="360" w:lineRule="auto"/>
        <w:rPr>
          <w:b/>
          <w:bCs/>
          <w:color w:val="auto"/>
          <w:highlight w:val="none"/>
        </w:rPr>
      </w:pPr>
      <w:r>
        <w:rPr>
          <w:b/>
          <w:bCs/>
          <w:color w:val="auto"/>
          <w:kern w:val="0"/>
          <w:highlight w:val="none"/>
        </w:rPr>
        <w:t>1</w:t>
      </w:r>
      <w:r>
        <w:rPr>
          <w:rFonts w:hAnsi="宋体"/>
          <w:b/>
          <w:bCs/>
          <w:color w:val="auto"/>
          <w:kern w:val="0"/>
          <w:highlight w:val="none"/>
        </w:rPr>
        <w:t>、以上技术参数需提供生产厂家确认的、相应的功能证明材料（包括但不限于权威机构出具的检验报告、产品彩页、产品说明书、官网和功能截图等）作为所投产品的参数</w:t>
      </w:r>
      <w:r>
        <w:rPr>
          <w:rFonts w:hint="eastAsia" w:hAnsi="宋体"/>
          <w:b/>
          <w:bCs/>
          <w:color w:val="auto"/>
          <w:kern w:val="0"/>
          <w:highlight w:val="none"/>
        </w:rPr>
        <w:t>响应招标</w:t>
      </w:r>
      <w:r>
        <w:rPr>
          <w:rFonts w:hAnsi="宋体"/>
          <w:b/>
          <w:bCs/>
          <w:color w:val="auto"/>
          <w:kern w:val="0"/>
          <w:highlight w:val="none"/>
        </w:rPr>
        <w:t>文件要求的佐证材料</w:t>
      </w:r>
      <w:r>
        <w:rPr>
          <w:rFonts w:hAnsi="宋体"/>
          <w:b/>
          <w:bCs/>
          <w:color w:val="auto"/>
          <w:highlight w:val="none"/>
        </w:rPr>
        <w:t>。</w:t>
      </w:r>
    </w:p>
    <w:p>
      <w:pPr>
        <w:pStyle w:val="40"/>
        <w:spacing w:line="360" w:lineRule="auto"/>
        <w:rPr>
          <w:rFonts w:hAnsi="宋体"/>
          <w:b/>
          <w:bCs/>
          <w:color w:val="auto"/>
          <w:kern w:val="0"/>
          <w:highlight w:val="none"/>
        </w:rPr>
      </w:pPr>
      <w:r>
        <w:rPr>
          <w:b/>
          <w:bCs/>
          <w:color w:val="auto"/>
          <w:kern w:val="0"/>
          <w:highlight w:val="none"/>
        </w:rPr>
        <w:t>2</w:t>
      </w:r>
      <w:r>
        <w:rPr>
          <w:rFonts w:hAnsi="宋体"/>
          <w:b/>
          <w:bCs/>
          <w:color w:val="auto"/>
          <w:kern w:val="0"/>
          <w:highlight w:val="none"/>
        </w:rPr>
        <w:t>、</w:t>
      </w:r>
      <w:r>
        <w:rPr>
          <w:rFonts w:hint="eastAsia" w:hAnsi="宋体"/>
          <w:b/>
          <w:bCs/>
          <w:color w:val="auto"/>
          <w:kern w:val="0"/>
          <w:highlight w:val="none"/>
        </w:rPr>
        <w:t>所投</w:t>
      </w:r>
      <w:r>
        <w:rPr>
          <w:rFonts w:hAnsi="宋体"/>
          <w:b/>
          <w:bCs/>
          <w:color w:val="auto"/>
          <w:kern w:val="0"/>
          <w:highlight w:val="none"/>
        </w:rPr>
        <w:t>产品须提供来源渠道合法的证明文件（包括但不限于销售协议、代理协议、原厂授权等）。</w:t>
      </w:r>
    </w:p>
    <w:p>
      <w:pPr>
        <w:spacing w:line="360" w:lineRule="auto"/>
        <w:rPr>
          <w:rFonts w:asciiTheme="majorEastAsia" w:hAnsiTheme="majorEastAsia" w:eastAsiaTheme="majorEastAsia"/>
          <w:b/>
          <w:bCs/>
          <w:color w:val="auto"/>
          <w:kern w:val="0"/>
          <w:highlight w:val="none"/>
        </w:rPr>
      </w:pPr>
      <w:r>
        <w:rPr>
          <w:rFonts w:hint="eastAsia" w:asciiTheme="majorEastAsia" w:hAnsiTheme="majorEastAsia" w:eastAsiaTheme="majorEastAsia"/>
          <w:b/>
          <w:bCs/>
          <w:color w:val="auto"/>
          <w:kern w:val="0"/>
          <w:highlight w:val="none"/>
        </w:rPr>
        <w:t>3、核心产品为：</w:t>
      </w:r>
      <w:r>
        <w:rPr>
          <w:rFonts w:hint="eastAsia" w:hAnsi="宋体"/>
          <w:b/>
          <w:bCs/>
          <w:color w:val="auto"/>
          <w:kern w:val="0"/>
          <w:highlight w:val="none"/>
        </w:rPr>
        <w:t>三维步态评估及训练系统 。（核</w:t>
      </w:r>
      <w:r>
        <w:rPr>
          <w:rFonts w:hint="eastAsia" w:asciiTheme="majorEastAsia" w:hAnsiTheme="majorEastAsia" w:eastAsiaTheme="majorEastAsia"/>
          <w:b/>
          <w:bCs/>
          <w:color w:val="auto"/>
          <w:kern w:val="0"/>
          <w:highlight w:val="none"/>
        </w:rPr>
        <w:t>心产品提供相同品牌产品且通过资格审查、符合性审查的不同投标供应商参加同1包投标的，按一家投标供应商计算，评审后得分最高的同品牌供应投标供应商获得中标候选投标供应商推荐资格；评审得分相同的，由采购人自行确定一个投标供应商获得中标候选人推荐资格，其他同品牌投标供应商不作为中标候选人。非单一产品采购项目，多家供应商提供的核心产品品牌相同的，按以上规定处理。）</w:t>
      </w:r>
    </w:p>
    <w:p>
      <w:pPr>
        <w:pStyle w:val="40"/>
        <w:spacing w:line="360" w:lineRule="auto"/>
        <w:jc w:val="left"/>
        <w:rPr>
          <w:rFonts w:asciiTheme="majorEastAsia" w:hAnsiTheme="majorEastAsia" w:eastAsiaTheme="majorEastAsia"/>
          <w:b/>
          <w:bCs/>
          <w:color w:val="auto"/>
          <w:kern w:val="0"/>
          <w:highlight w:val="none"/>
        </w:rPr>
      </w:pPr>
    </w:p>
    <w:p>
      <w:pPr>
        <w:pStyle w:val="40"/>
        <w:spacing w:line="360" w:lineRule="auto"/>
        <w:jc w:val="left"/>
        <w:rPr>
          <w:rFonts w:asciiTheme="majorEastAsia" w:hAnsiTheme="majorEastAsia" w:eastAsiaTheme="majorEastAsia"/>
          <w:b/>
          <w:bCs/>
          <w:color w:val="auto"/>
          <w:kern w:val="0"/>
          <w:highlight w:val="none"/>
        </w:rPr>
      </w:pPr>
    </w:p>
    <w:p>
      <w:pPr>
        <w:pStyle w:val="40"/>
        <w:spacing w:line="360" w:lineRule="auto"/>
        <w:jc w:val="left"/>
        <w:rPr>
          <w:rFonts w:asciiTheme="majorEastAsia" w:hAnsiTheme="majorEastAsia" w:eastAsiaTheme="majorEastAsia"/>
          <w:b/>
          <w:bCs/>
          <w:color w:val="auto"/>
          <w:kern w:val="0"/>
          <w:highlight w:val="none"/>
        </w:rPr>
      </w:pPr>
    </w:p>
    <w:p>
      <w:pPr>
        <w:pStyle w:val="40"/>
        <w:spacing w:line="360" w:lineRule="auto"/>
        <w:jc w:val="left"/>
        <w:rPr>
          <w:rFonts w:asciiTheme="majorEastAsia" w:hAnsiTheme="majorEastAsia" w:eastAsiaTheme="majorEastAsia"/>
          <w:b/>
          <w:bCs/>
          <w:color w:val="auto"/>
          <w:kern w:val="0"/>
          <w:highlight w:val="none"/>
        </w:rPr>
      </w:pPr>
    </w:p>
    <w:p>
      <w:pPr>
        <w:pStyle w:val="40"/>
        <w:spacing w:line="360" w:lineRule="auto"/>
        <w:jc w:val="left"/>
        <w:rPr>
          <w:rFonts w:asciiTheme="majorEastAsia" w:hAnsiTheme="majorEastAsia" w:eastAsiaTheme="majorEastAsia"/>
          <w:b/>
          <w:bCs/>
          <w:color w:val="auto"/>
          <w:kern w:val="0"/>
          <w:highlight w:val="none"/>
        </w:rPr>
      </w:pPr>
    </w:p>
    <w:p>
      <w:pPr>
        <w:pStyle w:val="40"/>
        <w:spacing w:line="360" w:lineRule="auto"/>
        <w:jc w:val="left"/>
        <w:rPr>
          <w:rFonts w:asciiTheme="majorEastAsia" w:hAnsiTheme="majorEastAsia" w:eastAsiaTheme="majorEastAsia"/>
          <w:b/>
          <w:bCs/>
          <w:color w:val="auto"/>
          <w:kern w:val="0"/>
          <w:highlight w:val="none"/>
        </w:rPr>
      </w:pPr>
    </w:p>
    <w:p>
      <w:pPr>
        <w:pStyle w:val="40"/>
        <w:spacing w:line="360" w:lineRule="auto"/>
        <w:jc w:val="left"/>
        <w:rPr>
          <w:rFonts w:asciiTheme="majorEastAsia" w:hAnsiTheme="majorEastAsia" w:eastAsiaTheme="majorEastAsia"/>
          <w:b/>
          <w:bCs/>
          <w:color w:val="auto"/>
          <w:kern w:val="0"/>
          <w:highlight w:val="none"/>
        </w:rPr>
      </w:pPr>
    </w:p>
    <w:p>
      <w:pPr>
        <w:pStyle w:val="40"/>
        <w:spacing w:line="360" w:lineRule="auto"/>
        <w:jc w:val="left"/>
        <w:rPr>
          <w:rFonts w:asciiTheme="majorEastAsia" w:hAnsiTheme="majorEastAsia" w:eastAsiaTheme="majorEastAsia"/>
          <w:b/>
          <w:bCs/>
          <w:color w:val="auto"/>
          <w:kern w:val="0"/>
          <w:highlight w:val="none"/>
        </w:rPr>
      </w:pPr>
    </w:p>
    <w:p>
      <w:pPr>
        <w:pStyle w:val="40"/>
        <w:spacing w:line="360" w:lineRule="auto"/>
        <w:jc w:val="left"/>
        <w:rPr>
          <w:rFonts w:asciiTheme="majorEastAsia" w:hAnsiTheme="majorEastAsia" w:eastAsiaTheme="majorEastAsia"/>
          <w:b/>
          <w:bCs/>
          <w:color w:val="auto"/>
          <w:kern w:val="0"/>
          <w:highlight w:val="none"/>
        </w:rPr>
      </w:pPr>
    </w:p>
    <w:p>
      <w:pPr>
        <w:pStyle w:val="40"/>
        <w:spacing w:line="360" w:lineRule="auto"/>
        <w:jc w:val="left"/>
        <w:rPr>
          <w:rFonts w:asciiTheme="majorEastAsia" w:hAnsiTheme="majorEastAsia" w:eastAsiaTheme="majorEastAsia"/>
          <w:b/>
          <w:bCs/>
          <w:color w:val="auto"/>
          <w:kern w:val="0"/>
          <w:highlight w:val="none"/>
        </w:rPr>
      </w:pPr>
    </w:p>
    <w:p>
      <w:pPr>
        <w:pStyle w:val="40"/>
        <w:spacing w:line="360" w:lineRule="auto"/>
        <w:jc w:val="left"/>
        <w:rPr>
          <w:rFonts w:asciiTheme="majorEastAsia" w:hAnsiTheme="majorEastAsia" w:eastAsiaTheme="majorEastAsia"/>
          <w:b/>
          <w:bCs/>
          <w:color w:val="auto"/>
          <w:kern w:val="0"/>
          <w:highlight w:val="none"/>
        </w:rPr>
      </w:pPr>
    </w:p>
    <w:p>
      <w:pPr>
        <w:pStyle w:val="40"/>
        <w:spacing w:line="360" w:lineRule="auto"/>
        <w:jc w:val="left"/>
        <w:rPr>
          <w:rFonts w:hAnsi="宋体"/>
          <w:b/>
          <w:bCs/>
          <w:color w:val="auto"/>
          <w:kern w:val="0"/>
          <w:highlight w:val="none"/>
        </w:rPr>
      </w:pPr>
    </w:p>
    <w:p>
      <w:pPr>
        <w:pStyle w:val="3"/>
        <w:jc w:val="center"/>
        <w:rPr>
          <w:rFonts w:ascii="宋体" w:hAnsi="宋体" w:cs="宋体"/>
          <w:color w:val="auto"/>
          <w:sz w:val="32"/>
          <w:szCs w:val="32"/>
          <w:highlight w:val="none"/>
        </w:rPr>
      </w:pPr>
      <w:bookmarkStart w:id="46" w:name="_Toc233636424"/>
      <w:bookmarkStart w:id="47" w:name="_Toc269407891"/>
      <w:bookmarkStart w:id="48" w:name="_Toc235544712"/>
      <w:bookmarkStart w:id="49" w:name="_Toc269407676"/>
      <w:bookmarkStart w:id="50" w:name="_Toc233636186"/>
      <w:bookmarkStart w:id="51" w:name="_Toc293999498"/>
      <w:bookmarkStart w:id="52" w:name="_Toc260140532"/>
      <w:bookmarkStart w:id="53" w:name="_Toc233636372"/>
      <w:bookmarkStart w:id="54" w:name="_Toc11507"/>
      <w:bookmarkStart w:id="55" w:name="_Toc269407675"/>
      <w:bookmarkStart w:id="56" w:name="_Toc250572325"/>
      <w:bookmarkStart w:id="57" w:name="_Toc108168987"/>
      <w:bookmarkStart w:id="58" w:name="_Toc232673689"/>
      <w:bookmarkStart w:id="59" w:name="_Toc14492"/>
      <w:bookmarkStart w:id="60" w:name="_Toc233636462"/>
      <w:bookmarkStart w:id="61" w:name="_Toc238899444"/>
      <w:bookmarkStart w:id="62" w:name="_Toc9497"/>
      <w:bookmarkStart w:id="63" w:name="_Toc233636513"/>
      <w:r>
        <w:rPr>
          <w:rFonts w:hint="eastAsia" w:ascii="宋体" w:hAnsi="宋体" w:cs="宋体"/>
          <w:color w:val="auto"/>
          <w:sz w:val="32"/>
          <w:szCs w:val="32"/>
          <w:highlight w:val="none"/>
        </w:rPr>
        <w:t>第六章  投标文件格式</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spacing w:line="360" w:lineRule="auto"/>
        <w:rPr>
          <w:rFonts w:ascii="宋体" w:hAnsi="宋体" w:cs="宋体"/>
          <w:b/>
          <w:color w:val="auto"/>
          <w:w w:val="90"/>
          <w:highlight w:val="none"/>
        </w:rPr>
      </w:pPr>
    </w:p>
    <w:p>
      <w:pPr>
        <w:jc w:val="right"/>
        <w:rPr>
          <w:b/>
          <w:bCs/>
          <w:color w:val="auto"/>
          <w:sz w:val="36"/>
          <w:szCs w:val="36"/>
          <w:highlight w:val="none"/>
        </w:rPr>
      </w:pPr>
      <w:bookmarkStart w:id="64" w:name="_Toc27269"/>
      <w:bookmarkStart w:id="65" w:name="_Toc26877"/>
      <w:r>
        <w:rPr>
          <w:rFonts w:hint="eastAsia"/>
          <w:b/>
          <w:bCs/>
          <w:color w:val="auto"/>
          <w:sz w:val="36"/>
          <w:szCs w:val="36"/>
          <w:highlight w:val="none"/>
        </w:rPr>
        <w:t>正本/副本</w:t>
      </w:r>
      <w:bookmarkEnd w:id="64"/>
      <w:bookmarkEnd w:id="65"/>
    </w:p>
    <w:p>
      <w:pPr>
        <w:spacing w:line="360" w:lineRule="auto"/>
        <w:jc w:val="center"/>
        <w:rPr>
          <w:rFonts w:ascii="宋体" w:hAnsi="宋体" w:cs="宋体"/>
          <w:b/>
          <w:color w:val="auto"/>
          <w:sz w:val="32"/>
          <w:highlight w:val="none"/>
          <w:u w:val="single"/>
        </w:rPr>
      </w:pPr>
    </w:p>
    <w:p>
      <w:pPr>
        <w:spacing w:line="360" w:lineRule="auto"/>
        <w:ind w:firstLine="1108" w:firstLineChars="345"/>
        <w:rPr>
          <w:rFonts w:ascii="宋体" w:hAnsi="宋体" w:cs="宋体"/>
          <w:b/>
          <w:color w:val="auto"/>
          <w:sz w:val="32"/>
          <w:highlight w:val="none"/>
          <w:u w:val="single"/>
        </w:rPr>
      </w:pPr>
      <w:r>
        <w:rPr>
          <w:rFonts w:hint="eastAsia" w:ascii="宋体" w:hAnsi="宋体" w:cs="宋体"/>
          <w:b/>
          <w:color w:val="auto"/>
          <w:sz w:val="32"/>
          <w:highlight w:val="none"/>
          <w:u w:val="single"/>
        </w:rPr>
        <w:t xml:space="preserve">              （项目名称）                </w:t>
      </w:r>
    </w:p>
    <w:p>
      <w:pPr>
        <w:spacing w:line="360" w:lineRule="auto"/>
        <w:ind w:firstLine="1108" w:firstLineChars="345"/>
        <w:rPr>
          <w:rFonts w:ascii="宋体" w:hAnsi="宋体" w:cs="宋体"/>
          <w:b/>
          <w:color w:val="auto"/>
          <w:sz w:val="32"/>
          <w:highlight w:val="none"/>
          <w:u w:val="single"/>
        </w:rPr>
      </w:pPr>
      <w:r>
        <w:rPr>
          <w:rFonts w:hint="eastAsia" w:ascii="宋体" w:hAnsi="宋体" w:cs="宋体"/>
          <w:b/>
          <w:color w:val="auto"/>
          <w:sz w:val="32"/>
          <w:highlight w:val="none"/>
          <w:u w:val="single"/>
        </w:rPr>
        <w:t xml:space="preserve">              （项目编号）                </w:t>
      </w:r>
    </w:p>
    <w:p>
      <w:pPr>
        <w:spacing w:line="360" w:lineRule="auto"/>
        <w:ind w:firstLine="727" w:firstLineChars="345"/>
        <w:rPr>
          <w:rFonts w:ascii="宋体" w:hAnsi="宋体" w:cs="宋体"/>
          <w:b/>
          <w:color w:val="auto"/>
          <w:highlight w:val="none"/>
          <w:u w:val="single"/>
        </w:rPr>
      </w:pPr>
    </w:p>
    <w:p>
      <w:pPr>
        <w:spacing w:line="360" w:lineRule="auto"/>
        <w:jc w:val="center"/>
        <w:rPr>
          <w:rFonts w:ascii="宋体" w:hAnsi="宋体" w:cs="宋体"/>
          <w:b/>
          <w:color w:val="auto"/>
          <w:highlight w:val="none"/>
        </w:rPr>
      </w:pPr>
    </w:p>
    <w:p>
      <w:pPr>
        <w:spacing w:line="360" w:lineRule="auto"/>
        <w:jc w:val="center"/>
        <w:rPr>
          <w:rFonts w:ascii="宋体" w:hAnsi="宋体" w:cs="宋体"/>
          <w:color w:val="auto"/>
          <w:sz w:val="84"/>
          <w:highlight w:val="none"/>
        </w:rPr>
      </w:pPr>
      <w:r>
        <w:rPr>
          <w:rFonts w:hint="eastAsia" w:ascii="宋体" w:hAnsi="宋体" w:cs="宋体"/>
          <w:b/>
          <w:color w:val="auto"/>
          <w:sz w:val="84"/>
          <w:highlight w:val="none"/>
        </w:rPr>
        <w:t>投 标 文 件</w:t>
      </w:r>
    </w:p>
    <w:p>
      <w:pPr>
        <w:spacing w:line="360" w:lineRule="auto"/>
        <w:jc w:val="center"/>
        <w:rPr>
          <w:rFonts w:ascii="宋体" w:hAnsi="宋体" w:cs="宋体"/>
          <w:color w:val="auto"/>
          <w:sz w:val="32"/>
          <w:highlight w:val="none"/>
        </w:rPr>
      </w:pPr>
    </w:p>
    <w:p>
      <w:pPr>
        <w:spacing w:line="360" w:lineRule="auto"/>
        <w:jc w:val="center"/>
        <w:rPr>
          <w:rFonts w:ascii="宋体" w:hAnsi="宋体" w:cs="宋体"/>
          <w:color w:val="auto"/>
          <w:highlight w:val="none"/>
        </w:rPr>
      </w:pPr>
    </w:p>
    <w:p>
      <w:pPr>
        <w:spacing w:line="360" w:lineRule="auto"/>
        <w:jc w:val="center"/>
        <w:rPr>
          <w:rFonts w:ascii="宋体" w:hAnsi="宋体" w:cs="宋体"/>
          <w:color w:val="auto"/>
          <w:highlight w:val="non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spacing w:line="360" w:lineRule="auto"/>
        <w:ind w:firstLine="964" w:firstLineChars="300"/>
        <w:rPr>
          <w:rFonts w:ascii="宋体" w:hAnsi="宋体" w:cs="宋体"/>
          <w:b/>
          <w:color w:val="auto"/>
          <w:sz w:val="32"/>
          <w:highlight w:val="none"/>
          <w:u w:val="single"/>
        </w:rPr>
      </w:pPr>
      <w:r>
        <w:rPr>
          <w:rFonts w:hint="eastAsia" w:ascii="宋体" w:hAnsi="宋体" w:cs="宋体"/>
          <w:b/>
          <w:color w:val="auto"/>
          <w:sz w:val="32"/>
          <w:highlight w:val="none"/>
        </w:rPr>
        <w:t>投标供应商（单位公章）：</w:t>
      </w:r>
    </w:p>
    <w:p>
      <w:pPr>
        <w:spacing w:line="360" w:lineRule="auto"/>
        <w:ind w:firstLine="964" w:firstLineChars="300"/>
        <w:rPr>
          <w:rFonts w:ascii="宋体" w:hAnsi="宋体" w:cs="宋体"/>
          <w:b/>
          <w:color w:val="auto"/>
          <w:sz w:val="32"/>
          <w:highlight w:val="none"/>
        </w:rPr>
      </w:pPr>
      <w:r>
        <w:rPr>
          <w:rFonts w:hint="eastAsia" w:ascii="宋体" w:hAnsi="宋体" w:cs="宋体"/>
          <w:b/>
          <w:color w:val="auto"/>
          <w:sz w:val="32"/>
          <w:highlight w:val="none"/>
        </w:rPr>
        <w:t>法定代表人（单位负责人）</w:t>
      </w:r>
    </w:p>
    <w:p>
      <w:pPr>
        <w:spacing w:line="360" w:lineRule="auto"/>
        <w:ind w:firstLine="964" w:firstLineChars="300"/>
        <w:rPr>
          <w:rFonts w:ascii="宋体" w:hAnsi="宋体" w:cs="宋体"/>
          <w:b/>
          <w:color w:val="auto"/>
          <w:sz w:val="32"/>
          <w:highlight w:val="none"/>
        </w:rPr>
      </w:pPr>
      <w:r>
        <w:rPr>
          <w:rFonts w:hint="eastAsia" w:ascii="宋体" w:hAnsi="宋体" w:cs="宋体"/>
          <w:b/>
          <w:color w:val="auto"/>
          <w:sz w:val="32"/>
          <w:highlight w:val="none"/>
        </w:rPr>
        <w:t>或委托代理人（签字或盖章）：</w:t>
      </w:r>
    </w:p>
    <w:p>
      <w:pPr>
        <w:spacing w:line="360" w:lineRule="auto"/>
        <w:ind w:firstLine="964" w:firstLineChars="300"/>
        <w:rPr>
          <w:rFonts w:ascii="宋体" w:hAnsi="宋体" w:cs="宋体"/>
          <w:b/>
          <w:color w:val="auto"/>
          <w:sz w:val="32"/>
          <w:highlight w:val="none"/>
        </w:rPr>
      </w:pPr>
      <w:r>
        <w:rPr>
          <w:rFonts w:hint="eastAsia" w:ascii="宋体" w:hAnsi="宋体" w:cs="宋体"/>
          <w:b/>
          <w:color w:val="auto"/>
          <w:sz w:val="32"/>
          <w:highlight w:val="none"/>
        </w:rPr>
        <w:t>投标日期：</w:t>
      </w:r>
    </w:p>
    <w:p>
      <w:pPr>
        <w:pStyle w:val="23"/>
        <w:ind w:firstLine="210"/>
        <w:rPr>
          <w:color w:val="auto"/>
          <w:highlight w:val="none"/>
        </w:rPr>
      </w:pPr>
    </w:p>
    <w:p>
      <w:pPr>
        <w:pStyle w:val="23"/>
        <w:ind w:firstLine="210"/>
        <w:rPr>
          <w:rFonts w:hint="eastAsia"/>
          <w:color w:val="auto"/>
          <w:highlight w:val="none"/>
        </w:rPr>
      </w:pPr>
    </w:p>
    <w:p>
      <w:pPr>
        <w:pStyle w:val="23"/>
        <w:ind w:firstLine="210"/>
        <w:rPr>
          <w:rFonts w:hint="eastAsia"/>
          <w:color w:val="auto"/>
          <w:highlight w:val="none"/>
        </w:rPr>
      </w:pPr>
    </w:p>
    <w:p>
      <w:pPr>
        <w:pStyle w:val="23"/>
        <w:ind w:firstLine="210"/>
        <w:rPr>
          <w:rFonts w:hint="eastAsia"/>
          <w:color w:val="auto"/>
          <w:highlight w:val="none"/>
        </w:rPr>
      </w:pPr>
    </w:p>
    <w:p>
      <w:pPr>
        <w:pStyle w:val="23"/>
        <w:ind w:firstLine="210"/>
        <w:rPr>
          <w:color w:val="auto"/>
          <w:highlight w:val="none"/>
        </w:rPr>
      </w:pPr>
    </w:p>
    <w:p>
      <w:pPr>
        <w:pStyle w:val="23"/>
        <w:ind w:firstLine="210"/>
        <w:rPr>
          <w:color w:val="auto"/>
          <w:highlight w:val="none"/>
        </w:rPr>
      </w:pPr>
    </w:p>
    <w:p>
      <w:pPr>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目  录</w:t>
      </w:r>
    </w:p>
    <w:p>
      <w:pPr>
        <w:spacing w:line="360" w:lineRule="auto"/>
        <w:ind w:firstLine="1050" w:firstLineChars="500"/>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一、投标函</w:t>
      </w:r>
    </w:p>
    <w:p>
      <w:pPr>
        <w:spacing w:line="360" w:lineRule="auto"/>
        <w:rPr>
          <w:rFonts w:ascii="宋体" w:hAnsi="宋体" w:cs="宋体"/>
          <w:color w:val="auto"/>
          <w:highlight w:val="none"/>
        </w:rPr>
      </w:pPr>
      <w:r>
        <w:rPr>
          <w:rFonts w:hint="eastAsia" w:ascii="宋体" w:hAnsi="宋体" w:cs="宋体"/>
          <w:color w:val="auto"/>
          <w:highlight w:val="none"/>
        </w:rPr>
        <w:t>二、法定代表人（单位负责人）身份证明</w:t>
      </w:r>
    </w:p>
    <w:p>
      <w:pPr>
        <w:spacing w:line="360" w:lineRule="auto"/>
        <w:rPr>
          <w:rFonts w:ascii="宋体" w:hAnsi="宋体" w:cs="宋体"/>
          <w:color w:val="auto"/>
          <w:highlight w:val="none"/>
        </w:rPr>
      </w:pPr>
      <w:r>
        <w:rPr>
          <w:rFonts w:hint="eastAsia" w:ascii="宋体" w:hAnsi="宋体" w:cs="宋体"/>
          <w:color w:val="auto"/>
          <w:highlight w:val="none"/>
        </w:rPr>
        <w:t>三、授权委托书</w:t>
      </w:r>
    </w:p>
    <w:p>
      <w:pPr>
        <w:spacing w:line="360" w:lineRule="auto"/>
        <w:rPr>
          <w:rFonts w:ascii="宋体" w:hAnsi="宋体" w:cs="宋体"/>
          <w:color w:val="auto"/>
          <w:highlight w:val="none"/>
        </w:rPr>
      </w:pPr>
      <w:r>
        <w:rPr>
          <w:rFonts w:hint="eastAsia" w:ascii="宋体" w:hAnsi="宋体" w:cs="宋体"/>
          <w:color w:val="auto"/>
          <w:highlight w:val="none"/>
        </w:rPr>
        <w:t>四、商务和技术偏差表</w:t>
      </w:r>
    </w:p>
    <w:p>
      <w:pPr>
        <w:spacing w:line="360" w:lineRule="auto"/>
        <w:rPr>
          <w:rFonts w:ascii="宋体" w:hAnsi="宋体" w:cs="宋体"/>
          <w:color w:val="auto"/>
          <w:szCs w:val="22"/>
          <w:highlight w:val="none"/>
        </w:rPr>
      </w:pPr>
      <w:r>
        <w:rPr>
          <w:rFonts w:hint="eastAsia" w:ascii="宋体" w:hAnsi="宋体" w:cs="宋体"/>
          <w:color w:val="auto"/>
          <w:highlight w:val="none"/>
        </w:rPr>
        <w:t>五、</w:t>
      </w:r>
      <w:r>
        <w:rPr>
          <w:rFonts w:hint="eastAsia" w:ascii="宋体" w:hAnsi="宋体" w:cs="宋体"/>
          <w:color w:val="auto"/>
          <w:szCs w:val="22"/>
          <w:highlight w:val="none"/>
        </w:rPr>
        <w:t>资格审查及</w:t>
      </w:r>
      <w:r>
        <w:rPr>
          <w:rFonts w:hint="eastAsia" w:ascii="宋体" w:hAnsi="宋体" w:cs="宋体"/>
          <w:color w:val="auto"/>
          <w:highlight w:val="none"/>
        </w:rPr>
        <w:t>评审响应</w:t>
      </w:r>
      <w:r>
        <w:rPr>
          <w:rFonts w:hint="eastAsia" w:ascii="宋体" w:hAnsi="宋体" w:cs="宋体"/>
          <w:color w:val="auto"/>
          <w:szCs w:val="22"/>
          <w:highlight w:val="none"/>
        </w:rPr>
        <w:t>资料</w:t>
      </w:r>
    </w:p>
    <w:p>
      <w:pPr>
        <w:spacing w:line="360" w:lineRule="auto"/>
        <w:rPr>
          <w:rFonts w:ascii="宋体" w:hAnsi="宋体" w:cs="宋体"/>
          <w:color w:val="auto"/>
          <w:highlight w:val="none"/>
        </w:rPr>
      </w:pPr>
      <w:r>
        <w:rPr>
          <w:rFonts w:hint="eastAsia" w:ascii="宋体" w:hAnsi="宋体" w:cs="宋体"/>
          <w:color w:val="auto"/>
          <w:szCs w:val="22"/>
          <w:highlight w:val="none"/>
        </w:rPr>
        <w:t>六、</w:t>
      </w:r>
      <w:r>
        <w:rPr>
          <w:rFonts w:hint="eastAsia" w:ascii="宋体" w:hAnsi="宋体" w:cs="宋体"/>
          <w:color w:val="auto"/>
          <w:highlight w:val="none"/>
        </w:rPr>
        <w:t>投标供应商须知前附表规定的其他资料及投标供应商认为有必要说明的其它内容或资料</w:t>
      </w:r>
    </w:p>
    <w:p>
      <w:pPr>
        <w:spacing w:line="360" w:lineRule="auto"/>
        <w:jc w:val="left"/>
        <w:rPr>
          <w:rFonts w:ascii="宋体" w:hAnsi="宋体" w:cs="宋体"/>
          <w:color w:val="auto"/>
          <w:highlight w:val="none"/>
        </w:rPr>
      </w:pPr>
      <w:r>
        <w:rPr>
          <w:rFonts w:hint="eastAsia" w:ascii="宋体" w:hAnsi="宋体" w:cs="宋体"/>
          <w:color w:val="auto"/>
          <w:highlight w:val="none"/>
        </w:rPr>
        <w:br w:type="page"/>
      </w:r>
    </w:p>
    <w:p>
      <w:pPr>
        <w:pStyle w:val="4"/>
        <w:jc w:val="center"/>
        <w:rPr>
          <w:rFonts w:ascii="宋体" w:hAnsi="宋体" w:eastAsia="宋体" w:cs="宋体"/>
          <w:color w:val="auto"/>
          <w:highlight w:val="none"/>
        </w:rPr>
      </w:pPr>
      <w:bookmarkStart w:id="66" w:name="_Toc269407677"/>
      <w:bookmarkStart w:id="67" w:name="_Toc233636373"/>
      <w:bookmarkStart w:id="68" w:name="_Toc233636187"/>
      <w:bookmarkStart w:id="69" w:name="_Toc250572326"/>
      <w:bookmarkStart w:id="70" w:name="_Toc233636463"/>
      <w:bookmarkStart w:id="71" w:name="_Toc238899445"/>
      <w:bookmarkStart w:id="72" w:name="_Toc233636425"/>
      <w:bookmarkStart w:id="73" w:name="_Toc235544713"/>
      <w:bookmarkStart w:id="74" w:name="_Toc293999499"/>
      <w:bookmarkStart w:id="75" w:name="_Toc260140533"/>
      <w:bookmarkStart w:id="76" w:name="_Toc233636514"/>
      <w:bookmarkStart w:id="77" w:name="_Toc293999384"/>
      <w:bookmarkStart w:id="78" w:name="_Toc269407892"/>
      <w:bookmarkStart w:id="79" w:name="_Toc232673690"/>
      <w:r>
        <w:rPr>
          <w:rFonts w:hint="eastAsia" w:ascii="宋体" w:hAnsi="宋体" w:eastAsia="宋体" w:cs="宋体"/>
          <w:color w:val="auto"/>
          <w:highlight w:val="none"/>
        </w:rPr>
        <w:t>一、投标函</w:t>
      </w:r>
      <w:bookmarkEnd w:id="66"/>
      <w:bookmarkEnd w:id="67"/>
      <w:bookmarkEnd w:id="68"/>
      <w:bookmarkEnd w:id="69"/>
      <w:bookmarkEnd w:id="70"/>
      <w:bookmarkEnd w:id="71"/>
      <w:bookmarkEnd w:id="72"/>
      <w:bookmarkEnd w:id="73"/>
      <w:bookmarkEnd w:id="74"/>
      <w:bookmarkEnd w:id="75"/>
      <w:bookmarkEnd w:id="76"/>
      <w:bookmarkEnd w:id="77"/>
      <w:bookmarkEnd w:id="78"/>
      <w:bookmarkEnd w:id="79"/>
    </w:p>
    <w:p>
      <w:pPr>
        <w:spacing w:line="360" w:lineRule="auto"/>
        <w:rPr>
          <w:rFonts w:ascii="宋体" w:hAnsi="宋体" w:cs="宋体"/>
          <w:b/>
          <w:color w:val="auto"/>
          <w:highlight w:val="none"/>
          <w:u w:val="single"/>
        </w:rPr>
      </w:pPr>
      <w:bookmarkStart w:id="80" w:name="_Toc232673691"/>
      <w:r>
        <w:rPr>
          <w:rFonts w:hint="eastAsia" w:ascii="宋体" w:hAnsi="宋体" w:cs="宋体"/>
          <w:b/>
          <w:color w:val="auto"/>
          <w:highlight w:val="none"/>
        </w:rPr>
        <w:t>致：</w:t>
      </w:r>
      <w:r>
        <w:rPr>
          <w:rFonts w:hint="eastAsia" w:ascii="宋体" w:hAnsi="宋体" w:cs="宋体"/>
          <w:b/>
          <w:color w:val="auto"/>
          <w:highlight w:val="none"/>
          <w:u w:val="single"/>
        </w:rPr>
        <w:t>（采购人名称）</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1．我方已仔细研究了</w:t>
      </w:r>
      <w:r>
        <w:rPr>
          <w:rFonts w:hint="eastAsia" w:ascii="宋体" w:hAnsi="宋体" w:cs="宋体"/>
          <w:color w:val="auto"/>
          <w:highlight w:val="none"/>
          <w:u w:val="single"/>
        </w:rPr>
        <w:t>（项目名称）、（项目编号）</w:t>
      </w:r>
      <w:r>
        <w:rPr>
          <w:rFonts w:hint="eastAsia" w:ascii="宋体" w:hAnsi="宋体" w:cs="宋体"/>
          <w:color w:val="auto"/>
          <w:highlight w:val="none"/>
        </w:rPr>
        <w:t>设备采购招标项目招标文件的全部内容，愿意以投标报价为人民币（大写）</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rPr>
        <w:t>（¥</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rPr>
        <w:t>），交货期（含安装期）</w:t>
      </w:r>
      <w:r>
        <w:rPr>
          <w:rFonts w:hint="eastAsia" w:ascii="宋体" w:hAnsi="宋体" w:cs="宋体"/>
          <w:color w:val="auto"/>
          <w:highlight w:val="none"/>
          <w:u w:val="single"/>
        </w:rPr>
        <w:t>为       ，</w:t>
      </w:r>
      <w:r>
        <w:rPr>
          <w:rFonts w:hint="eastAsia" w:ascii="宋体" w:hAnsi="宋体" w:cs="宋体"/>
          <w:color w:val="auto"/>
          <w:highlight w:val="none"/>
        </w:rPr>
        <w:t>交货地点是否响应招标文件要求（是/否），提供本次招标所要求的货物（设备、产品）及技术服务和质保期服务等全部要求，并按合同约定履行义务。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2．我方的投标文件包括下列内容：</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（1）投标函；</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（2）法定代表人（单位负责人）身份证明</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（3）授权委托书；</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（4）商务和技术偏差表；</w:t>
      </w:r>
    </w:p>
    <w:p>
      <w:pPr>
        <w:spacing w:line="360" w:lineRule="auto"/>
        <w:ind w:firstLine="420" w:firstLineChars="200"/>
        <w:rPr>
          <w:rFonts w:ascii="宋体" w:hAnsi="宋体" w:cs="宋体"/>
          <w:color w:val="auto"/>
          <w:szCs w:val="22"/>
          <w:highlight w:val="none"/>
        </w:rPr>
      </w:pPr>
      <w:r>
        <w:rPr>
          <w:rFonts w:hint="eastAsia" w:ascii="宋体" w:hAnsi="宋体" w:cs="宋体"/>
          <w:color w:val="auto"/>
          <w:highlight w:val="none"/>
        </w:rPr>
        <w:t>（5）</w:t>
      </w:r>
      <w:r>
        <w:rPr>
          <w:rFonts w:hint="eastAsia" w:ascii="宋体" w:hAnsi="宋体" w:cs="宋体"/>
          <w:color w:val="auto"/>
          <w:szCs w:val="22"/>
          <w:highlight w:val="none"/>
        </w:rPr>
        <w:t>资格审查及</w:t>
      </w:r>
      <w:r>
        <w:rPr>
          <w:rFonts w:hint="eastAsia" w:ascii="宋体" w:hAnsi="宋体" w:cs="宋体"/>
          <w:color w:val="auto"/>
          <w:highlight w:val="none"/>
        </w:rPr>
        <w:t>评审响应</w:t>
      </w:r>
      <w:r>
        <w:rPr>
          <w:rFonts w:hint="eastAsia" w:ascii="宋体" w:hAnsi="宋体" w:cs="宋体"/>
          <w:color w:val="auto"/>
          <w:szCs w:val="22"/>
          <w:highlight w:val="none"/>
        </w:rPr>
        <w:t>资料；</w:t>
      </w:r>
    </w:p>
    <w:p>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（6）投标供应商须知前附表规定的其他资料及投标供应商认为有必要说明的其它内容或资料；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投标文件的上述组成部分如存在内容不一致的，以投标函为准。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3．我方承诺除商务和技术偏差表列出的偏差外，我方响应招标文件的全部要求。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4．我方承诺在招标文件规定的投标有效期内不撤销投标文件。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5．如我方中标，我方承诺：</w:t>
      </w:r>
    </w:p>
    <w:p>
      <w:pPr>
        <w:spacing w:line="360" w:lineRule="auto"/>
        <w:ind w:firstLine="420" w:firstLineChars="200"/>
        <w:rPr>
          <w:rFonts w:ascii="宋体" w:hAnsi="宋体" w:cs="宋体"/>
          <w:color w:val="auto"/>
          <w:szCs w:val="22"/>
          <w:highlight w:val="none"/>
        </w:rPr>
      </w:pPr>
      <w:r>
        <w:rPr>
          <w:rFonts w:hint="eastAsia" w:ascii="宋体" w:hAnsi="宋体" w:cs="宋体"/>
          <w:color w:val="auto"/>
          <w:szCs w:val="22"/>
          <w:highlight w:val="none"/>
        </w:rPr>
        <w:t>（1）在收到中标通知书后，在中标通知书规定的期限内与你方签订合同；</w:t>
      </w:r>
    </w:p>
    <w:p>
      <w:pPr>
        <w:spacing w:line="360" w:lineRule="auto"/>
        <w:ind w:firstLine="420" w:firstLineChars="200"/>
        <w:rPr>
          <w:rFonts w:ascii="宋体" w:hAnsi="宋体" w:cs="宋体"/>
          <w:color w:val="auto"/>
          <w:szCs w:val="22"/>
          <w:highlight w:val="none"/>
        </w:rPr>
      </w:pPr>
      <w:r>
        <w:rPr>
          <w:rFonts w:hint="eastAsia" w:ascii="宋体" w:hAnsi="宋体" w:cs="宋体"/>
          <w:color w:val="auto"/>
          <w:szCs w:val="22"/>
          <w:highlight w:val="none"/>
        </w:rPr>
        <w:t>（2）在签订合同时不向你方提出附加条件；</w:t>
      </w:r>
    </w:p>
    <w:p>
      <w:pPr>
        <w:spacing w:line="360" w:lineRule="auto"/>
        <w:ind w:firstLine="420" w:firstLineChars="200"/>
        <w:rPr>
          <w:rFonts w:ascii="宋体" w:hAnsi="宋体" w:cs="宋体"/>
          <w:color w:val="auto"/>
          <w:szCs w:val="22"/>
          <w:highlight w:val="none"/>
        </w:rPr>
      </w:pPr>
      <w:r>
        <w:rPr>
          <w:rFonts w:hint="eastAsia" w:ascii="宋体" w:hAnsi="宋体" w:cs="宋体"/>
          <w:color w:val="auto"/>
          <w:szCs w:val="22"/>
          <w:highlight w:val="none"/>
        </w:rPr>
        <w:t>（3）按照招标文件要求提交履约保证金；</w:t>
      </w:r>
    </w:p>
    <w:p>
      <w:pPr>
        <w:spacing w:line="360" w:lineRule="auto"/>
        <w:ind w:firstLine="420" w:firstLineChars="200"/>
        <w:rPr>
          <w:rFonts w:ascii="宋体" w:hAnsi="宋体" w:cs="宋体"/>
          <w:color w:val="auto"/>
          <w:szCs w:val="22"/>
          <w:highlight w:val="none"/>
        </w:rPr>
      </w:pPr>
      <w:r>
        <w:rPr>
          <w:rFonts w:hint="eastAsia" w:ascii="宋体" w:hAnsi="宋体" w:cs="宋体"/>
          <w:color w:val="auto"/>
          <w:szCs w:val="22"/>
          <w:highlight w:val="none"/>
        </w:rPr>
        <w:t>（4）在合同约定的期限内完成合同规定的全部义务。</w:t>
      </w:r>
    </w:p>
    <w:p>
      <w:pPr>
        <w:spacing w:line="360" w:lineRule="auto"/>
        <w:ind w:firstLine="420" w:firstLineChars="200"/>
        <w:rPr>
          <w:rFonts w:ascii="宋体" w:hAnsi="宋体" w:cs="宋体"/>
          <w:color w:val="auto"/>
          <w:szCs w:val="22"/>
          <w:highlight w:val="none"/>
        </w:rPr>
      </w:pPr>
      <w:r>
        <w:rPr>
          <w:rFonts w:hint="eastAsia" w:ascii="宋体" w:hAnsi="宋体" w:cs="宋体"/>
          <w:color w:val="auto"/>
          <w:szCs w:val="22"/>
          <w:highlight w:val="none"/>
        </w:rPr>
        <w:t>6．我方在此声明，所递交的投标文件及有关资料内容完整、真实和准确，且不存在第二章“投标供应商须知”第 1.4.3 项规定的任何一种情形。</w:t>
      </w:r>
    </w:p>
    <w:p>
      <w:pPr>
        <w:spacing w:line="360" w:lineRule="auto"/>
        <w:ind w:firstLine="420" w:firstLineChars="200"/>
        <w:rPr>
          <w:rFonts w:ascii="宋体" w:hAnsi="宋体" w:cs="宋体"/>
          <w:color w:val="auto"/>
          <w:szCs w:val="22"/>
          <w:highlight w:val="none"/>
        </w:rPr>
      </w:pPr>
      <w:bookmarkStart w:id="81" w:name="_Hlk508375245"/>
      <w:r>
        <w:rPr>
          <w:rFonts w:hint="eastAsia" w:ascii="宋体" w:hAnsi="宋体" w:cs="宋体"/>
          <w:color w:val="auto"/>
          <w:szCs w:val="22"/>
          <w:highlight w:val="none"/>
        </w:rPr>
        <w:t>7．投标有效期响应招标文件要求。</w:t>
      </w:r>
    </w:p>
    <w:bookmarkEnd w:id="81"/>
    <w:p>
      <w:pPr>
        <w:spacing w:line="360" w:lineRule="auto"/>
        <w:ind w:firstLine="420" w:firstLineChars="200"/>
        <w:rPr>
          <w:rFonts w:ascii="宋体" w:hAnsi="宋体" w:cs="宋体"/>
          <w:color w:val="auto"/>
          <w:szCs w:val="22"/>
          <w:highlight w:val="none"/>
        </w:rPr>
      </w:pPr>
      <w:r>
        <w:rPr>
          <w:rFonts w:hint="eastAsia" w:ascii="宋体" w:hAnsi="宋体" w:cs="宋体"/>
          <w:color w:val="auto"/>
          <w:szCs w:val="22"/>
          <w:highlight w:val="none"/>
        </w:rPr>
        <w:t>8．</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szCs w:val="22"/>
          <w:highlight w:val="none"/>
        </w:rPr>
        <w:t>（其他补充说明）。</w:t>
      </w:r>
    </w:p>
    <w:p>
      <w:pPr>
        <w:spacing w:line="360" w:lineRule="auto"/>
        <w:rPr>
          <w:rFonts w:ascii="宋体" w:hAnsi="宋体" w:cs="宋体"/>
          <w:color w:val="auto"/>
          <w:highlight w:val="none"/>
        </w:rPr>
      </w:pPr>
    </w:p>
    <w:p>
      <w:pPr>
        <w:spacing w:line="360" w:lineRule="auto"/>
        <w:ind w:firstLine="645"/>
        <w:rPr>
          <w:rFonts w:ascii="宋体" w:hAnsi="宋体" w:cs="宋体"/>
          <w:color w:val="auto"/>
          <w:highlight w:val="none"/>
        </w:rPr>
      </w:pPr>
      <w:r>
        <w:rPr>
          <w:rFonts w:hint="eastAsia" w:ascii="宋体" w:hAnsi="宋体" w:cs="宋体"/>
          <w:color w:val="auto"/>
          <w:highlight w:val="none"/>
        </w:rPr>
        <w:t>投标供应商名称（单位公章）：</w:t>
      </w:r>
    </w:p>
    <w:p>
      <w:pPr>
        <w:spacing w:line="360" w:lineRule="auto"/>
        <w:ind w:firstLine="645"/>
        <w:rPr>
          <w:rFonts w:ascii="宋体" w:hAnsi="宋体" w:cs="宋体"/>
          <w:color w:val="auto"/>
          <w:highlight w:val="none"/>
        </w:rPr>
      </w:pPr>
    </w:p>
    <w:p>
      <w:pPr>
        <w:spacing w:line="360" w:lineRule="auto"/>
        <w:ind w:firstLine="645"/>
        <w:rPr>
          <w:rFonts w:ascii="宋体" w:hAnsi="宋体" w:cs="宋体"/>
          <w:color w:val="auto"/>
          <w:highlight w:val="none"/>
        </w:rPr>
      </w:pPr>
      <w:r>
        <w:rPr>
          <w:rFonts w:hint="eastAsia" w:ascii="宋体" w:hAnsi="宋体" w:cs="宋体"/>
          <w:color w:val="auto"/>
          <w:highlight w:val="none"/>
        </w:rPr>
        <w:t>法定代表人（单位负责人）或委托代理人（签字或盖章）：</w:t>
      </w:r>
    </w:p>
    <w:p>
      <w:pPr>
        <w:spacing w:line="360" w:lineRule="auto"/>
        <w:ind w:firstLine="645"/>
        <w:rPr>
          <w:rFonts w:ascii="宋体" w:hAnsi="宋体" w:cs="宋体"/>
          <w:color w:val="auto"/>
          <w:highlight w:val="none"/>
        </w:rPr>
      </w:pPr>
      <w:r>
        <w:rPr>
          <w:rFonts w:hint="eastAsia" w:ascii="宋体" w:hAnsi="宋体" w:cs="宋体"/>
          <w:color w:val="auto"/>
          <w:highlight w:val="none"/>
        </w:rPr>
        <w:t>地  址：                            电  话：</w:t>
      </w:r>
    </w:p>
    <w:p>
      <w:pPr>
        <w:spacing w:line="360" w:lineRule="auto"/>
        <w:ind w:firstLine="645"/>
        <w:rPr>
          <w:rFonts w:ascii="宋体" w:hAnsi="宋体" w:cs="宋体"/>
          <w:color w:val="auto"/>
          <w:highlight w:val="none"/>
        </w:rPr>
      </w:pPr>
      <w:r>
        <w:rPr>
          <w:rFonts w:hint="eastAsia" w:ascii="宋体" w:hAnsi="宋体" w:cs="宋体"/>
          <w:color w:val="auto"/>
          <w:highlight w:val="none"/>
        </w:rPr>
        <w:t>邮  编：                            传  真：</w:t>
      </w:r>
    </w:p>
    <w:p>
      <w:pPr>
        <w:spacing w:line="360" w:lineRule="auto"/>
        <w:ind w:firstLine="645"/>
        <w:rPr>
          <w:rFonts w:ascii="宋体" w:hAnsi="宋体" w:cs="宋体"/>
          <w:color w:val="auto"/>
          <w:highlight w:val="none"/>
        </w:rPr>
      </w:pPr>
      <w:r>
        <w:rPr>
          <w:rFonts w:hint="eastAsia" w:ascii="宋体" w:hAnsi="宋体" w:cs="宋体"/>
          <w:color w:val="auto"/>
          <w:highlight w:val="none"/>
        </w:rPr>
        <w:t>开户银行名称：                      开户行地址：</w:t>
      </w:r>
    </w:p>
    <w:p>
      <w:pPr>
        <w:spacing w:line="360" w:lineRule="auto"/>
        <w:ind w:firstLine="645"/>
        <w:rPr>
          <w:rFonts w:ascii="宋体" w:hAnsi="宋体" w:cs="宋体"/>
          <w:color w:val="auto"/>
          <w:highlight w:val="none"/>
        </w:rPr>
      </w:pPr>
      <w:r>
        <w:rPr>
          <w:rFonts w:hint="eastAsia" w:ascii="宋体" w:hAnsi="宋体" w:cs="宋体"/>
          <w:color w:val="auto"/>
          <w:highlight w:val="none"/>
        </w:rPr>
        <w:t>户  名：                            银行账号：</w:t>
      </w:r>
    </w:p>
    <w:p>
      <w:pPr>
        <w:spacing w:line="360" w:lineRule="auto"/>
        <w:ind w:right="420" w:firstLine="4424" w:firstLineChars="2107"/>
        <w:rPr>
          <w:rFonts w:ascii="宋体" w:hAnsi="宋体" w:cs="宋体"/>
          <w:color w:val="auto"/>
          <w:highlight w:val="none"/>
        </w:rPr>
      </w:pPr>
      <w:r>
        <w:rPr>
          <w:rFonts w:hint="eastAsia" w:ascii="宋体" w:hAnsi="宋体" w:cs="宋体"/>
          <w:color w:val="auto"/>
          <w:highlight w:val="none"/>
        </w:rPr>
        <w:t>年 月 日</w:t>
      </w:r>
    </w:p>
    <w:bookmarkEnd w:id="80"/>
    <w:p>
      <w:pPr>
        <w:pStyle w:val="4"/>
        <w:spacing w:line="360" w:lineRule="auto"/>
        <w:rPr>
          <w:rFonts w:ascii="宋体" w:hAnsi="宋体" w:eastAsia="宋体" w:cs="宋体"/>
          <w:color w:val="auto"/>
          <w:sz w:val="21"/>
          <w:szCs w:val="21"/>
          <w:highlight w:val="none"/>
        </w:rPr>
      </w:pPr>
      <w:r>
        <w:rPr>
          <w:rFonts w:hint="eastAsia" w:ascii="宋体" w:hAnsi="宋体" w:eastAsia="宋体" w:cs="宋体"/>
          <w:color w:val="auto"/>
          <w:highlight w:val="none"/>
        </w:rPr>
        <w:br w:type="page"/>
      </w:r>
      <w:bookmarkStart w:id="82" w:name="_Toc134777799"/>
      <w:bookmarkStart w:id="83" w:name="_Toc267292993"/>
      <w:bookmarkStart w:id="84" w:name="_Toc267303157"/>
      <w:r>
        <w:rPr>
          <w:rFonts w:hint="eastAsia" w:ascii="宋体" w:hAnsi="宋体" w:eastAsia="宋体" w:cs="宋体"/>
          <w:color w:val="auto"/>
          <w:sz w:val="21"/>
          <w:szCs w:val="21"/>
          <w:highlight w:val="none"/>
        </w:rPr>
        <w:t>附件：投标报价表</w:t>
      </w:r>
      <w:bookmarkEnd w:id="82"/>
      <w:bookmarkEnd w:id="83"/>
      <w:bookmarkEnd w:id="84"/>
      <w:r>
        <w:rPr>
          <w:rFonts w:hint="eastAsia" w:ascii="宋体" w:hAnsi="宋体" w:eastAsia="宋体" w:cs="宋体"/>
          <w:color w:val="auto"/>
          <w:sz w:val="21"/>
          <w:szCs w:val="21"/>
          <w:highlight w:val="none"/>
        </w:rPr>
        <w:t>及分项报价表和设备配置及零配件清单</w:t>
      </w:r>
    </w:p>
    <w:p>
      <w:pPr>
        <w:rPr>
          <w:color w:val="auto"/>
          <w:highlight w:val="none"/>
        </w:rPr>
      </w:pPr>
    </w:p>
    <w:p>
      <w:pPr>
        <w:pStyle w:val="48"/>
        <w:spacing w:before="0" w:after="0" w:line="329" w:lineRule="exact"/>
        <w:jc w:val="center"/>
        <w:rPr>
          <w:rFonts w:ascii="宋体" w:hAnsi="宋体"/>
          <w:b/>
          <w:color w:val="auto"/>
          <w:spacing w:val="2"/>
          <w:sz w:val="32"/>
          <w:highlight w:val="none"/>
        </w:rPr>
      </w:pPr>
      <w:r>
        <w:rPr>
          <w:rFonts w:hint="eastAsia" w:ascii="宋体" w:hAnsi="宋体"/>
          <w:b/>
          <w:color w:val="auto"/>
          <w:spacing w:val="2"/>
          <w:sz w:val="32"/>
          <w:highlight w:val="none"/>
        </w:rPr>
        <w:t>投标报价表</w:t>
      </w:r>
    </w:p>
    <w:p>
      <w:pPr>
        <w:rPr>
          <w:rFonts w:ascii="宋体" w:hAnsi="宋体" w:cs="宋体"/>
          <w:color w:val="auto"/>
          <w:sz w:val="24"/>
          <w:szCs w:val="24"/>
          <w:highlight w:val="none"/>
        </w:rPr>
      </w:pPr>
    </w:p>
    <w:p>
      <w:pPr>
        <w:rPr>
          <w:rFonts w:ascii="宋体" w:hAnsi="宋体" w:cs="宋体"/>
          <w:color w:val="auto"/>
          <w:highlight w:val="none"/>
          <w:u w:val="single"/>
        </w:rPr>
      </w:pPr>
      <w:r>
        <w:rPr>
          <w:rFonts w:hint="eastAsia" w:ascii="宋体" w:hAnsi="宋体" w:cs="宋体"/>
          <w:color w:val="auto"/>
          <w:highlight w:val="none"/>
        </w:rPr>
        <w:t>项目编号：</w:t>
      </w:r>
    </w:p>
    <w:p>
      <w:pPr>
        <w:pStyle w:val="2"/>
        <w:rPr>
          <w:color w:val="auto"/>
          <w:highlight w:val="none"/>
        </w:rPr>
      </w:pPr>
    </w:p>
    <w:tbl>
      <w:tblPr>
        <w:tblStyle w:val="25"/>
        <w:tblW w:w="0" w:type="auto"/>
        <w:tblInd w:w="0" w:type="dxa"/>
        <w:tblLayout w:type="fixed"/>
        <w:tblCellMar>
          <w:top w:w="0" w:type="dxa"/>
          <w:left w:w="28" w:type="dxa"/>
          <w:bottom w:w="0" w:type="dxa"/>
          <w:right w:w="28" w:type="dxa"/>
        </w:tblCellMar>
      </w:tblPr>
      <w:tblGrid>
        <w:gridCol w:w="2724"/>
        <w:gridCol w:w="5907"/>
      </w:tblGrid>
      <w:tr>
        <w:tblPrEx>
          <w:tblCellMar>
            <w:top w:w="0" w:type="dxa"/>
            <w:left w:w="28" w:type="dxa"/>
            <w:bottom w:w="0" w:type="dxa"/>
            <w:right w:w="28" w:type="dxa"/>
          </w:tblCellMar>
        </w:tblPrEx>
        <w:trPr>
          <w:trHeight w:val="1355" w:hRule="atLeast"/>
        </w:trPr>
        <w:tc>
          <w:tcPr>
            <w:tcW w:w="2724" w:type="dxa"/>
            <w:tcBorders>
              <w:top w:val="single" w:color="auto" w:sz="6" w:space="0"/>
              <w:left w:val="single" w:color="auto" w:sz="6" w:space="0"/>
              <w:bottom w:val="single" w:color="auto" w:sz="6" w:space="0"/>
              <w:right w:val="single" w:color="auto" w:sz="6" w:space="0"/>
            </w:tcBorders>
            <w:vAlign w:val="center"/>
          </w:tcPr>
          <w:p>
            <w:pPr>
              <w:spacing w:after="120" w:line="360" w:lineRule="auto"/>
              <w:jc w:val="center"/>
              <w:rPr>
                <w:rFonts w:ascii="宋体" w:hAnsi="宋体" w:cs="宋体"/>
                <w:color w:val="auto"/>
                <w:highlight w:val="none"/>
              </w:rPr>
            </w:pPr>
            <w:r>
              <w:rPr>
                <w:rFonts w:hint="eastAsia" w:ascii="宋体" w:hAnsi="宋体" w:cs="宋体"/>
                <w:color w:val="auto"/>
                <w:highlight w:val="none"/>
              </w:rPr>
              <w:t>投标报价</w:t>
            </w:r>
          </w:p>
          <w:p>
            <w:pPr>
              <w:spacing w:after="120" w:line="360" w:lineRule="auto"/>
              <w:jc w:val="center"/>
              <w:rPr>
                <w:rFonts w:ascii="宋体" w:hAnsi="宋体" w:cs="宋体"/>
                <w:color w:val="auto"/>
                <w:highlight w:val="none"/>
              </w:rPr>
            </w:pPr>
            <w:r>
              <w:rPr>
                <w:rFonts w:hint="eastAsia" w:ascii="宋体" w:hAnsi="宋体" w:cs="宋体"/>
                <w:color w:val="auto"/>
                <w:highlight w:val="none"/>
              </w:rPr>
              <w:t>（元）</w:t>
            </w:r>
          </w:p>
        </w:tc>
        <w:tc>
          <w:tcPr>
            <w:tcW w:w="5907" w:type="dxa"/>
            <w:tcBorders>
              <w:top w:val="single" w:color="auto" w:sz="6" w:space="0"/>
              <w:left w:val="single" w:color="auto" w:sz="6" w:space="0"/>
              <w:bottom w:val="single" w:color="auto" w:sz="6" w:space="0"/>
              <w:right w:val="single" w:color="auto" w:sz="6" w:space="0"/>
            </w:tcBorders>
            <w:vAlign w:val="center"/>
          </w:tcPr>
          <w:p>
            <w:pPr>
              <w:spacing w:after="120" w:line="360" w:lineRule="auto"/>
              <w:rPr>
                <w:rFonts w:ascii="宋体" w:hAnsi="宋体" w:cs="宋体"/>
                <w:color w:val="auto"/>
                <w:highlight w:val="none"/>
              </w:rPr>
            </w:pPr>
            <w:r>
              <w:rPr>
                <w:rFonts w:hint="eastAsia" w:ascii="宋体" w:hAnsi="宋体" w:cs="宋体"/>
                <w:color w:val="auto"/>
                <w:highlight w:val="none"/>
              </w:rPr>
              <w:t>大写：</w:t>
            </w:r>
          </w:p>
          <w:p>
            <w:pPr>
              <w:spacing w:after="120" w:line="360" w:lineRule="auto"/>
              <w:rPr>
                <w:rFonts w:ascii="宋体" w:hAnsi="宋体" w:cs="宋体"/>
                <w:color w:val="auto"/>
                <w:highlight w:val="none"/>
              </w:rPr>
            </w:pPr>
            <w:r>
              <w:rPr>
                <w:rFonts w:hint="eastAsia" w:ascii="宋体" w:hAnsi="宋体" w:cs="宋体"/>
                <w:color w:val="auto"/>
                <w:highlight w:val="none"/>
              </w:rPr>
              <w:t>小写：</w:t>
            </w:r>
          </w:p>
        </w:tc>
      </w:tr>
      <w:tr>
        <w:tblPrEx>
          <w:tblCellMar>
            <w:top w:w="0" w:type="dxa"/>
            <w:left w:w="28" w:type="dxa"/>
            <w:bottom w:w="0" w:type="dxa"/>
            <w:right w:w="28" w:type="dxa"/>
          </w:tblCellMar>
        </w:tblPrEx>
        <w:trPr>
          <w:trHeight w:val="1010" w:hRule="atLeast"/>
        </w:trPr>
        <w:tc>
          <w:tcPr>
            <w:tcW w:w="2724" w:type="dxa"/>
            <w:tcBorders>
              <w:top w:val="single" w:color="auto" w:sz="6" w:space="0"/>
              <w:left w:val="single" w:color="auto" w:sz="6" w:space="0"/>
              <w:bottom w:val="single" w:color="auto" w:sz="6" w:space="0"/>
              <w:right w:val="single" w:color="auto" w:sz="6" w:space="0"/>
            </w:tcBorders>
            <w:vAlign w:val="center"/>
          </w:tcPr>
          <w:p>
            <w:pPr>
              <w:spacing w:after="120" w:line="360" w:lineRule="auto"/>
              <w:jc w:val="center"/>
              <w:rPr>
                <w:rFonts w:ascii="宋体" w:hAnsi="宋体" w:cs="宋体"/>
                <w:color w:val="auto"/>
                <w:highlight w:val="none"/>
              </w:rPr>
            </w:pPr>
            <w:r>
              <w:rPr>
                <w:rFonts w:hint="eastAsia" w:ascii="宋体" w:hAnsi="宋体" w:cs="宋体"/>
                <w:color w:val="auto"/>
                <w:highlight w:val="none"/>
              </w:rPr>
              <w:t>交货期（含安装期）</w:t>
            </w:r>
          </w:p>
        </w:tc>
        <w:tc>
          <w:tcPr>
            <w:tcW w:w="59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szCs w:val="24"/>
                <w:highlight w:val="none"/>
              </w:rPr>
            </w:pPr>
          </w:p>
        </w:tc>
      </w:tr>
      <w:tr>
        <w:tblPrEx>
          <w:tblCellMar>
            <w:top w:w="0" w:type="dxa"/>
            <w:left w:w="28" w:type="dxa"/>
            <w:bottom w:w="0" w:type="dxa"/>
            <w:right w:w="28" w:type="dxa"/>
          </w:tblCellMar>
        </w:tblPrEx>
        <w:trPr>
          <w:trHeight w:val="1145" w:hRule="atLeast"/>
        </w:trPr>
        <w:tc>
          <w:tcPr>
            <w:tcW w:w="2724" w:type="dxa"/>
            <w:tcBorders>
              <w:top w:val="single" w:color="auto" w:sz="6" w:space="0"/>
              <w:left w:val="single" w:color="auto" w:sz="6" w:space="0"/>
              <w:bottom w:val="single" w:color="auto" w:sz="6" w:space="0"/>
              <w:right w:val="single" w:color="auto" w:sz="6" w:space="0"/>
            </w:tcBorders>
            <w:vAlign w:val="center"/>
          </w:tcPr>
          <w:p>
            <w:pPr>
              <w:spacing w:after="120" w:line="360" w:lineRule="auto"/>
              <w:jc w:val="center"/>
              <w:rPr>
                <w:rFonts w:ascii="宋体" w:hAnsi="宋体" w:cs="宋体"/>
                <w:color w:val="auto"/>
                <w:highlight w:val="none"/>
              </w:rPr>
            </w:pPr>
            <w:r>
              <w:rPr>
                <w:rFonts w:hint="eastAsia" w:ascii="宋体" w:hAnsi="宋体" w:cs="宋体"/>
                <w:color w:val="auto"/>
                <w:highlight w:val="none"/>
              </w:rPr>
              <w:t>交货地点是否响应招标文件要求（是/否）</w:t>
            </w:r>
          </w:p>
        </w:tc>
        <w:tc>
          <w:tcPr>
            <w:tcW w:w="59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szCs w:val="24"/>
                <w:highlight w:val="none"/>
              </w:rPr>
            </w:pPr>
          </w:p>
        </w:tc>
      </w:tr>
      <w:tr>
        <w:tblPrEx>
          <w:tblCellMar>
            <w:top w:w="0" w:type="dxa"/>
            <w:left w:w="28" w:type="dxa"/>
            <w:bottom w:w="0" w:type="dxa"/>
            <w:right w:w="28" w:type="dxa"/>
          </w:tblCellMar>
        </w:tblPrEx>
        <w:trPr>
          <w:trHeight w:val="845" w:hRule="atLeast"/>
        </w:trPr>
        <w:tc>
          <w:tcPr>
            <w:tcW w:w="2724" w:type="dxa"/>
            <w:tcBorders>
              <w:top w:val="single" w:color="auto" w:sz="6" w:space="0"/>
              <w:left w:val="single" w:color="auto" w:sz="6" w:space="0"/>
              <w:bottom w:val="single" w:color="auto" w:sz="4" w:space="0"/>
              <w:right w:val="single" w:color="auto" w:sz="6" w:space="0"/>
            </w:tcBorders>
            <w:vAlign w:val="center"/>
          </w:tcPr>
          <w:p>
            <w:pPr>
              <w:spacing w:after="120" w:line="360" w:lineRule="auto"/>
              <w:jc w:val="center"/>
              <w:rPr>
                <w:rFonts w:ascii="宋体" w:hAnsi="宋体" w:cs="宋体"/>
                <w:color w:val="auto"/>
                <w:highlight w:val="none"/>
              </w:rPr>
            </w:pPr>
            <w:r>
              <w:rPr>
                <w:rFonts w:hint="eastAsia" w:ascii="宋体" w:hAnsi="宋体" w:cs="宋体"/>
                <w:color w:val="auto"/>
                <w:highlight w:val="none"/>
              </w:rPr>
              <w:t>备注</w:t>
            </w:r>
          </w:p>
        </w:tc>
        <w:tc>
          <w:tcPr>
            <w:tcW w:w="5907"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auto"/>
                <w:sz w:val="24"/>
                <w:szCs w:val="24"/>
                <w:highlight w:val="none"/>
              </w:rPr>
            </w:pPr>
          </w:p>
        </w:tc>
      </w:tr>
    </w:tbl>
    <w:p>
      <w:pPr>
        <w:pStyle w:val="48"/>
        <w:spacing w:before="0" w:after="0" w:line="329" w:lineRule="exact"/>
        <w:rPr>
          <w:rFonts w:ascii="宋体" w:hAnsi="宋体"/>
          <w:color w:val="auto"/>
          <w:szCs w:val="21"/>
          <w:highlight w:val="none"/>
        </w:rPr>
      </w:pPr>
      <w:r>
        <w:rPr>
          <w:rFonts w:hint="eastAsia" w:ascii="宋体" w:hAnsi="宋体"/>
          <w:color w:val="auto"/>
          <w:sz w:val="21"/>
          <w:szCs w:val="21"/>
          <w:highlight w:val="none"/>
        </w:rPr>
        <w:t>注：</w:t>
      </w:r>
      <w:r>
        <w:rPr>
          <w:rFonts w:hint="eastAsia" w:ascii="宋体" w:hAnsi="宋体"/>
          <w:color w:val="auto"/>
          <w:szCs w:val="21"/>
          <w:highlight w:val="none"/>
        </w:rPr>
        <w:t>投标报价是完成所列需采购货物（设备本体及附件、备品备件及专用工具）的供货、安装（包含所需的配件及辅材等）、调试、验收、试运行、接口费（医院his、lis等系统接口费）、售后服务及税金等一切费用的综合单价合计，投标供应商应在招标文件所附的货物报价清单上写明所有投标货物的单价和投标报价。以招标文件的内容和要求作为依据。</w:t>
      </w:r>
    </w:p>
    <w:p>
      <w:pPr>
        <w:pStyle w:val="48"/>
        <w:spacing w:before="0" w:after="0" w:line="329" w:lineRule="exact"/>
        <w:rPr>
          <w:rFonts w:ascii="宋体" w:hAnsi="宋体"/>
          <w:color w:val="auto"/>
          <w:szCs w:val="21"/>
          <w:highlight w:val="none"/>
        </w:rPr>
      </w:pPr>
    </w:p>
    <w:p>
      <w:pPr>
        <w:pStyle w:val="51"/>
        <w:spacing w:before="0" w:after="0" w:line="720" w:lineRule="auto"/>
        <w:jc w:val="left"/>
        <w:rPr>
          <w:rFonts w:ascii="宋体" w:hAnsi="宋体"/>
          <w:color w:val="auto"/>
          <w:sz w:val="21"/>
          <w:highlight w:val="none"/>
        </w:rPr>
      </w:pPr>
      <w:r>
        <w:rPr>
          <w:rFonts w:hint="eastAsia" w:ascii="宋体" w:hAnsi="宋体"/>
          <w:color w:val="auto"/>
          <w:sz w:val="21"/>
          <w:highlight w:val="none"/>
        </w:rPr>
        <w:t>投标供应商：（单位公章）</w:t>
      </w:r>
    </w:p>
    <w:p>
      <w:pPr>
        <w:pStyle w:val="51"/>
        <w:spacing w:before="0" w:after="0" w:line="720" w:lineRule="auto"/>
        <w:jc w:val="left"/>
        <w:rPr>
          <w:rFonts w:ascii="宋体" w:hAnsi="宋体"/>
          <w:color w:val="auto"/>
          <w:sz w:val="21"/>
          <w:highlight w:val="none"/>
        </w:rPr>
      </w:pPr>
      <w:r>
        <w:rPr>
          <w:rFonts w:hint="eastAsia" w:ascii="宋体" w:hAnsi="宋体"/>
          <w:color w:val="auto"/>
          <w:sz w:val="21"/>
          <w:highlight w:val="none"/>
        </w:rPr>
        <w:t>法定代表人（单位负责人）或委托代理人：（签字或盖章）</w:t>
      </w:r>
    </w:p>
    <w:p>
      <w:pPr>
        <w:widowControl/>
        <w:spacing w:line="360" w:lineRule="auto"/>
        <w:ind w:firstLine="636" w:firstLineChars="300"/>
        <w:jc w:val="left"/>
        <w:rPr>
          <w:rFonts w:ascii="宋体" w:hAnsi="宋体" w:cs="宋体"/>
          <w:color w:val="auto"/>
          <w:spacing w:val="1"/>
          <w:highlight w:val="none"/>
        </w:rPr>
      </w:pPr>
      <w:r>
        <w:rPr>
          <w:rFonts w:hint="eastAsia" w:ascii="宋体" w:hAnsi="宋体" w:cs="宋体"/>
          <w:color w:val="auto"/>
          <w:spacing w:val="1"/>
          <w:highlight w:val="none"/>
        </w:rPr>
        <w:t>年    月    日</w:t>
      </w:r>
    </w:p>
    <w:p>
      <w:pPr>
        <w:jc w:val="center"/>
        <w:rPr>
          <w:rFonts w:ascii="宋体" w:hAnsi="宋体" w:cs="宋体"/>
          <w:color w:val="auto"/>
          <w:spacing w:val="1"/>
          <w:highlight w:val="none"/>
        </w:rPr>
      </w:pPr>
      <w:r>
        <w:rPr>
          <w:rFonts w:hint="eastAsia" w:ascii="宋体" w:hAnsi="宋体" w:cs="宋体"/>
          <w:color w:val="auto"/>
          <w:spacing w:val="1"/>
          <w:highlight w:val="none"/>
        </w:rPr>
        <w:br w:type="page"/>
      </w:r>
    </w:p>
    <w:p>
      <w:pPr>
        <w:jc w:val="center"/>
        <w:rPr>
          <w:rFonts w:ascii="宋体" w:hAnsi="宋体" w:cs="宋体"/>
          <w:color w:val="auto"/>
          <w:spacing w:val="1"/>
          <w:highlight w:val="none"/>
        </w:rPr>
      </w:pPr>
    </w:p>
    <w:p>
      <w:pPr>
        <w:jc w:val="center"/>
        <w:rPr>
          <w:rFonts w:ascii="宋体" w:hAnsi="宋体" w:cs="宋体"/>
          <w:b/>
          <w:color w:val="auto"/>
          <w:spacing w:val="2"/>
          <w:kern w:val="0"/>
          <w:sz w:val="32"/>
          <w:szCs w:val="22"/>
          <w:highlight w:val="none"/>
        </w:rPr>
      </w:pPr>
      <w:r>
        <w:rPr>
          <w:rFonts w:hint="eastAsia" w:ascii="宋体" w:hAnsi="宋体" w:cs="宋体"/>
          <w:b/>
          <w:color w:val="auto"/>
          <w:spacing w:val="2"/>
          <w:kern w:val="0"/>
          <w:sz w:val="32"/>
          <w:szCs w:val="22"/>
          <w:highlight w:val="none"/>
        </w:rPr>
        <w:t>分项报价表</w:t>
      </w:r>
    </w:p>
    <w:tbl>
      <w:tblPr>
        <w:tblStyle w:val="25"/>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32"/>
        <w:gridCol w:w="1134"/>
        <w:gridCol w:w="1276"/>
        <w:gridCol w:w="850"/>
        <w:gridCol w:w="992"/>
        <w:gridCol w:w="709"/>
        <w:gridCol w:w="851"/>
        <w:gridCol w:w="850"/>
        <w:gridCol w:w="86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highlight w:val="none"/>
              </w:rPr>
            </w:pPr>
            <w:r>
              <w:rPr>
                <w:bCs/>
                <w:color w:val="auto"/>
                <w:highlight w:val="none"/>
              </w:rPr>
              <w:t>序号</w:t>
            </w:r>
          </w:p>
        </w:tc>
        <w:tc>
          <w:tcPr>
            <w:tcW w:w="832" w:type="dxa"/>
            <w:tcBorders>
              <w:top w:val="single" w:color="auto" w:sz="4" w:space="0"/>
              <w:left w:val="nil"/>
              <w:bottom w:val="single" w:color="auto" w:sz="4" w:space="0"/>
              <w:right w:val="single" w:color="auto" w:sz="4" w:space="0"/>
            </w:tcBorders>
            <w:vAlign w:val="center"/>
          </w:tcPr>
          <w:p>
            <w:pPr>
              <w:spacing w:line="360" w:lineRule="auto"/>
              <w:jc w:val="center"/>
              <w:rPr>
                <w:bCs/>
                <w:color w:val="auto"/>
                <w:kern w:val="0"/>
                <w:highlight w:val="none"/>
              </w:rPr>
            </w:pPr>
            <w:r>
              <w:rPr>
                <w:bCs/>
                <w:color w:val="auto"/>
                <w:kern w:val="0"/>
                <w:highlight w:val="none"/>
              </w:rPr>
              <w:t>货物名称</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bCs/>
                <w:color w:val="auto"/>
                <w:kern w:val="0"/>
                <w:highlight w:val="none"/>
              </w:rPr>
            </w:pPr>
            <w:r>
              <w:rPr>
                <w:rFonts w:hint="eastAsia"/>
                <w:bCs/>
                <w:color w:val="auto"/>
                <w:kern w:val="0"/>
                <w:highlight w:val="none"/>
              </w:rPr>
              <w:t>品牌及规格型号</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bCs/>
                <w:color w:val="auto"/>
                <w:highlight w:val="none"/>
              </w:rPr>
            </w:pPr>
            <w:r>
              <w:rPr>
                <w:rFonts w:hint="eastAsia"/>
                <w:bCs/>
                <w:color w:val="auto"/>
                <w:kern w:val="0"/>
                <w:highlight w:val="none"/>
              </w:rPr>
              <w:t>注册证号（如有）</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bCs/>
                <w:color w:val="auto"/>
                <w:kern w:val="0"/>
                <w:highlight w:val="none"/>
              </w:rPr>
            </w:pPr>
            <w:r>
              <w:rPr>
                <w:rFonts w:hint="eastAsia"/>
                <w:bCs/>
                <w:color w:val="auto"/>
                <w:kern w:val="0"/>
                <w:highlight w:val="none"/>
              </w:rPr>
              <w:t>产地及制造厂商</w:t>
            </w:r>
          </w:p>
        </w:tc>
        <w:tc>
          <w:tcPr>
            <w:tcW w:w="992" w:type="dxa"/>
            <w:tcBorders>
              <w:top w:val="single" w:color="auto" w:sz="4" w:space="0"/>
              <w:left w:val="nil"/>
              <w:bottom w:val="single" w:color="auto" w:sz="4" w:space="0"/>
              <w:right w:val="single" w:color="auto" w:sz="4" w:space="0"/>
            </w:tcBorders>
            <w:vAlign w:val="center"/>
          </w:tcPr>
          <w:p>
            <w:pPr>
              <w:widowControl/>
              <w:jc w:val="center"/>
              <w:textAlignment w:val="center"/>
              <w:rPr>
                <w:bCs/>
                <w:color w:val="auto"/>
                <w:kern w:val="0"/>
                <w:highlight w:val="none"/>
              </w:rPr>
            </w:pPr>
            <w:r>
              <w:rPr>
                <w:rFonts w:hint="eastAsia"/>
                <w:bCs/>
                <w:color w:val="auto"/>
                <w:kern w:val="0"/>
                <w:highlight w:val="none"/>
              </w:rPr>
              <w:t>数量</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bCs/>
                <w:color w:val="auto"/>
                <w:kern w:val="0"/>
                <w:highlight w:val="none"/>
              </w:rPr>
            </w:pPr>
            <w:r>
              <w:rPr>
                <w:rFonts w:hint="eastAsia"/>
                <w:bCs/>
                <w:color w:val="auto"/>
                <w:kern w:val="0"/>
                <w:highlight w:val="none"/>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bCs/>
                <w:color w:val="auto"/>
                <w:kern w:val="0"/>
                <w:highlight w:val="none"/>
              </w:rPr>
            </w:pPr>
            <w:r>
              <w:rPr>
                <w:rFonts w:hint="eastAsia"/>
                <w:bCs/>
                <w:color w:val="auto"/>
                <w:kern w:val="0"/>
                <w:highlight w:val="none"/>
              </w:rPr>
              <w:t>质量</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bCs/>
                <w:color w:val="auto"/>
                <w:kern w:val="0"/>
                <w:highlight w:val="none"/>
              </w:rPr>
            </w:pPr>
            <w:r>
              <w:rPr>
                <w:bCs/>
                <w:color w:val="auto"/>
                <w:kern w:val="0"/>
                <w:highlight w:val="none"/>
              </w:rPr>
              <w:t>含税单价</w:t>
            </w:r>
            <w:r>
              <w:rPr>
                <w:bCs/>
                <w:color w:val="auto"/>
                <w:kern w:val="0"/>
                <w:highlight w:val="none"/>
              </w:rPr>
              <w:br w:type="textWrapping"/>
            </w:r>
            <w:r>
              <w:rPr>
                <w:bCs/>
                <w:color w:val="auto"/>
                <w:kern w:val="0"/>
                <w:highlight w:val="none"/>
              </w:rPr>
              <w:t>（元）</w:t>
            </w:r>
          </w:p>
        </w:tc>
        <w:tc>
          <w:tcPr>
            <w:tcW w:w="869" w:type="dxa"/>
            <w:tcBorders>
              <w:top w:val="single" w:color="auto" w:sz="4" w:space="0"/>
              <w:left w:val="nil"/>
              <w:bottom w:val="single" w:color="auto" w:sz="4" w:space="0"/>
              <w:right w:val="single" w:color="auto" w:sz="4" w:space="0"/>
            </w:tcBorders>
            <w:vAlign w:val="center"/>
          </w:tcPr>
          <w:p>
            <w:pPr>
              <w:widowControl/>
              <w:textAlignment w:val="center"/>
              <w:rPr>
                <w:bCs/>
                <w:color w:val="auto"/>
                <w:kern w:val="0"/>
                <w:highlight w:val="none"/>
              </w:rPr>
            </w:pPr>
            <w:r>
              <w:rPr>
                <w:bCs/>
                <w:color w:val="auto"/>
                <w:kern w:val="0"/>
                <w:highlight w:val="none"/>
              </w:rPr>
              <w:t>含税</w:t>
            </w:r>
            <w:r>
              <w:rPr>
                <w:rFonts w:hint="eastAsia"/>
                <w:bCs/>
                <w:color w:val="auto"/>
                <w:kern w:val="0"/>
                <w:highlight w:val="none"/>
              </w:rPr>
              <w:t>总</w:t>
            </w:r>
            <w:r>
              <w:rPr>
                <w:bCs/>
                <w:color w:val="auto"/>
                <w:kern w:val="0"/>
                <w:highlight w:val="none"/>
              </w:rPr>
              <w:t>价（元）</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bCs/>
                <w:color w:val="auto"/>
                <w:kern w:val="0"/>
                <w:highlight w:val="none"/>
              </w:rPr>
            </w:pPr>
            <w:r>
              <w:rPr>
                <w:bCs/>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r>
              <w:rPr>
                <w:color w:val="auto"/>
                <w:kern w:val="0"/>
                <w:highlight w:val="none"/>
              </w:rPr>
              <w:t>1</w:t>
            </w:r>
          </w:p>
        </w:tc>
        <w:tc>
          <w:tcPr>
            <w:tcW w:w="832" w:type="dxa"/>
            <w:tcBorders>
              <w:top w:val="single" w:color="auto" w:sz="4" w:space="0"/>
              <w:left w:val="nil"/>
              <w:bottom w:val="single" w:color="auto" w:sz="4" w:space="0"/>
              <w:right w:val="single" w:color="auto" w:sz="4" w:space="0"/>
            </w:tcBorders>
          </w:tcPr>
          <w:p>
            <w:pPr>
              <w:autoSpaceDE w:val="0"/>
              <w:autoSpaceDN w:val="0"/>
              <w:adjustRightInd w:val="0"/>
              <w:rPr>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92"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709" w:type="dxa"/>
            <w:tcBorders>
              <w:top w:val="single" w:color="auto" w:sz="6" w:space="0"/>
              <w:left w:val="single" w:color="auto" w:sz="6" w:space="0"/>
              <w:bottom w:val="single" w:color="auto" w:sz="6" w:space="0"/>
              <w:right w:val="single" w:color="auto" w:sz="4" w:space="0"/>
            </w:tcBorders>
            <w:shd w:val="solid" w:color="FFFFFF" w:fill="auto"/>
            <w:vAlign w:val="center"/>
          </w:tcPr>
          <w:p>
            <w:pPr>
              <w:widowControl/>
              <w:spacing w:line="360" w:lineRule="auto"/>
              <w:jc w:val="center"/>
              <w:rPr>
                <w:color w:val="auto"/>
                <w:kern w:val="0"/>
                <w:highlight w:val="none"/>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6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r>
              <w:rPr>
                <w:color w:val="auto"/>
                <w:kern w:val="0"/>
                <w:highlight w:val="none"/>
              </w:rPr>
              <w:t>2</w:t>
            </w:r>
          </w:p>
        </w:tc>
        <w:tc>
          <w:tcPr>
            <w:tcW w:w="832" w:type="dxa"/>
            <w:tcBorders>
              <w:top w:val="single" w:color="auto" w:sz="4" w:space="0"/>
              <w:left w:val="nil"/>
              <w:bottom w:val="single" w:color="auto" w:sz="4" w:space="0"/>
              <w:right w:val="single" w:color="auto" w:sz="4" w:space="0"/>
            </w:tcBorders>
          </w:tcPr>
          <w:p>
            <w:pPr>
              <w:autoSpaceDE w:val="0"/>
              <w:autoSpaceDN w:val="0"/>
              <w:adjustRightInd w:val="0"/>
              <w:rPr>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92"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709" w:type="dxa"/>
            <w:tcBorders>
              <w:top w:val="single" w:color="auto" w:sz="6" w:space="0"/>
              <w:left w:val="single" w:color="auto" w:sz="6" w:space="0"/>
              <w:bottom w:val="single" w:color="auto" w:sz="6" w:space="0"/>
              <w:right w:val="single" w:color="auto" w:sz="4" w:space="0"/>
            </w:tcBorders>
            <w:shd w:val="solid" w:color="FFFFFF" w:fill="auto"/>
            <w:vAlign w:val="center"/>
          </w:tcPr>
          <w:p>
            <w:pPr>
              <w:widowControl/>
              <w:spacing w:line="360" w:lineRule="auto"/>
              <w:jc w:val="center"/>
              <w:rPr>
                <w:color w:val="auto"/>
                <w:kern w:val="0"/>
                <w:highlight w:val="none"/>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6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r>
              <w:rPr>
                <w:color w:val="auto"/>
                <w:kern w:val="0"/>
                <w:highlight w:val="none"/>
              </w:rPr>
              <w:t>3</w:t>
            </w:r>
          </w:p>
        </w:tc>
        <w:tc>
          <w:tcPr>
            <w:tcW w:w="832" w:type="dxa"/>
            <w:tcBorders>
              <w:top w:val="single" w:color="auto" w:sz="4" w:space="0"/>
              <w:left w:val="nil"/>
              <w:bottom w:val="single" w:color="auto" w:sz="4" w:space="0"/>
              <w:right w:val="single" w:color="auto" w:sz="4" w:space="0"/>
            </w:tcBorders>
          </w:tcPr>
          <w:p>
            <w:pPr>
              <w:autoSpaceDE w:val="0"/>
              <w:autoSpaceDN w:val="0"/>
              <w:adjustRightInd w:val="0"/>
              <w:rPr>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92"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709" w:type="dxa"/>
            <w:tcBorders>
              <w:top w:val="single" w:color="auto" w:sz="6" w:space="0"/>
              <w:left w:val="single" w:color="auto" w:sz="6" w:space="0"/>
              <w:bottom w:val="single" w:color="auto" w:sz="6" w:space="0"/>
              <w:right w:val="single" w:color="auto" w:sz="4" w:space="0"/>
            </w:tcBorders>
            <w:shd w:val="solid" w:color="FFFFFF" w:fill="auto"/>
            <w:vAlign w:val="center"/>
          </w:tcPr>
          <w:p>
            <w:pPr>
              <w:widowControl/>
              <w:spacing w:line="360" w:lineRule="auto"/>
              <w:jc w:val="center"/>
              <w:rPr>
                <w:color w:val="auto"/>
                <w:kern w:val="0"/>
                <w:highlight w:val="none"/>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6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r>
              <w:rPr>
                <w:color w:val="auto"/>
                <w:kern w:val="0"/>
                <w:highlight w:val="none"/>
              </w:rPr>
              <w:t>4</w:t>
            </w:r>
          </w:p>
        </w:tc>
        <w:tc>
          <w:tcPr>
            <w:tcW w:w="832" w:type="dxa"/>
            <w:tcBorders>
              <w:top w:val="single" w:color="auto" w:sz="4" w:space="0"/>
              <w:left w:val="nil"/>
              <w:bottom w:val="single" w:color="auto" w:sz="4" w:space="0"/>
              <w:right w:val="single" w:color="auto" w:sz="4" w:space="0"/>
            </w:tcBorders>
          </w:tcPr>
          <w:p>
            <w:pPr>
              <w:autoSpaceDE w:val="0"/>
              <w:autoSpaceDN w:val="0"/>
              <w:adjustRightInd w:val="0"/>
              <w:rPr>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92"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709" w:type="dxa"/>
            <w:tcBorders>
              <w:top w:val="single" w:color="auto" w:sz="6" w:space="0"/>
              <w:left w:val="single" w:color="auto" w:sz="6" w:space="0"/>
              <w:bottom w:val="single" w:color="auto" w:sz="6" w:space="0"/>
              <w:right w:val="single" w:color="auto" w:sz="4" w:space="0"/>
            </w:tcBorders>
            <w:shd w:val="solid" w:color="FFFFFF" w:fill="auto"/>
            <w:vAlign w:val="center"/>
          </w:tcPr>
          <w:p>
            <w:pPr>
              <w:widowControl/>
              <w:spacing w:line="360" w:lineRule="auto"/>
              <w:jc w:val="center"/>
              <w:rPr>
                <w:color w:val="auto"/>
                <w:kern w:val="0"/>
                <w:highlight w:val="none"/>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6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kern w:val="0"/>
                <w:highlight w:val="none"/>
              </w:rPr>
            </w:pPr>
            <w:r>
              <w:rPr>
                <w:rFonts w:hint="eastAsia"/>
                <w:color w:val="auto"/>
                <w:kern w:val="0"/>
                <w:highlight w:val="none"/>
              </w:rPr>
              <w:t>5</w:t>
            </w:r>
          </w:p>
        </w:tc>
        <w:tc>
          <w:tcPr>
            <w:tcW w:w="832" w:type="dxa"/>
            <w:tcBorders>
              <w:top w:val="single" w:color="auto" w:sz="4" w:space="0"/>
              <w:left w:val="nil"/>
              <w:bottom w:val="single" w:color="auto" w:sz="4" w:space="0"/>
              <w:right w:val="single" w:color="auto" w:sz="4" w:space="0"/>
            </w:tcBorders>
          </w:tcPr>
          <w:p>
            <w:pPr>
              <w:autoSpaceDE w:val="0"/>
              <w:autoSpaceDN w:val="0"/>
              <w:adjustRightInd w:val="0"/>
              <w:rPr>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92"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709" w:type="dxa"/>
            <w:tcBorders>
              <w:top w:val="single" w:color="auto" w:sz="6" w:space="0"/>
              <w:left w:val="single" w:color="auto" w:sz="6" w:space="0"/>
              <w:bottom w:val="single" w:color="auto" w:sz="4" w:space="0"/>
              <w:right w:val="single" w:color="auto" w:sz="4" w:space="0"/>
            </w:tcBorders>
            <w:shd w:val="solid" w:color="FFFFFF" w:fill="auto"/>
            <w:vAlign w:val="center"/>
          </w:tcPr>
          <w:p>
            <w:pPr>
              <w:widowControl/>
              <w:spacing w:line="360" w:lineRule="auto"/>
              <w:jc w:val="center"/>
              <w:rPr>
                <w:color w:val="auto"/>
                <w:kern w:val="0"/>
                <w:highlight w:val="none"/>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6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kern w:val="0"/>
                <w:highlight w:val="none"/>
              </w:rPr>
            </w:pPr>
            <w:r>
              <w:rPr>
                <w:rFonts w:hint="eastAsia"/>
                <w:color w:val="auto"/>
                <w:kern w:val="0"/>
                <w:highlight w:val="none"/>
              </w:rPr>
              <w:t>6</w:t>
            </w:r>
          </w:p>
        </w:tc>
        <w:tc>
          <w:tcPr>
            <w:tcW w:w="832" w:type="dxa"/>
            <w:tcBorders>
              <w:top w:val="single" w:color="auto" w:sz="4" w:space="0"/>
              <w:left w:val="nil"/>
              <w:bottom w:val="single" w:color="auto" w:sz="4" w:space="0"/>
              <w:right w:val="single" w:color="auto" w:sz="4" w:space="0"/>
            </w:tcBorders>
          </w:tcPr>
          <w:p>
            <w:pPr>
              <w:autoSpaceDE w:val="0"/>
              <w:autoSpaceDN w:val="0"/>
              <w:adjustRightInd w:val="0"/>
              <w:rPr>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92"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709" w:type="dxa"/>
            <w:tcBorders>
              <w:top w:val="single" w:color="auto" w:sz="6" w:space="0"/>
              <w:left w:val="single" w:color="auto" w:sz="6" w:space="0"/>
              <w:bottom w:val="single" w:color="auto" w:sz="6" w:space="0"/>
              <w:right w:val="single" w:color="auto" w:sz="4" w:space="0"/>
            </w:tcBorders>
            <w:shd w:val="solid" w:color="FFFFFF" w:fill="auto"/>
            <w:vAlign w:val="center"/>
          </w:tcPr>
          <w:p>
            <w:pPr>
              <w:widowControl/>
              <w:spacing w:line="360" w:lineRule="auto"/>
              <w:jc w:val="center"/>
              <w:rPr>
                <w:color w:val="auto"/>
                <w:kern w:val="0"/>
                <w:highlight w:val="none"/>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6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kern w:val="0"/>
                <w:highlight w:val="none"/>
              </w:rPr>
            </w:pPr>
            <w:r>
              <w:rPr>
                <w:rFonts w:hint="eastAsia"/>
                <w:color w:val="auto"/>
                <w:kern w:val="0"/>
                <w:highlight w:val="none"/>
              </w:rPr>
              <w:t>7</w:t>
            </w:r>
          </w:p>
        </w:tc>
        <w:tc>
          <w:tcPr>
            <w:tcW w:w="832" w:type="dxa"/>
            <w:tcBorders>
              <w:top w:val="single" w:color="auto" w:sz="4" w:space="0"/>
              <w:left w:val="nil"/>
              <w:bottom w:val="single" w:color="auto" w:sz="4" w:space="0"/>
              <w:right w:val="single" w:color="auto" w:sz="4" w:space="0"/>
            </w:tcBorders>
          </w:tcPr>
          <w:p>
            <w:pPr>
              <w:autoSpaceDE w:val="0"/>
              <w:autoSpaceDN w:val="0"/>
              <w:adjustRightInd w:val="0"/>
              <w:rPr>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92"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709" w:type="dxa"/>
            <w:tcBorders>
              <w:top w:val="single" w:color="auto" w:sz="6" w:space="0"/>
              <w:left w:val="single" w:color="auto" w:sz="6" w:space="0"/>
              <w:bottom w:val="single" w:color="auto" w:sz="6" w:space="0"/>
              <w:right w:val="single" w:color="auto" w:sz="4" w:space="0"/>
            </w:tcBorders>
            <w:shd w:val="solid" w:color="FFFFFF" w:fill="auto"/>
            <w:vAlign w:val="center"/>
          </w:tcPr>
          <w:p>
            <w:pPr>
              <w:widowControl/>
              <w:spacing w:line="360" w:lineRule="auto"/>
              <w:jc w:val="center"/>
              <w:rPr>
                <w:color w:val="auto"/>
                <w:kern w:val="0"/>
                <w:highlight w:val="none"/>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6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kern w:val="0"/>
                <w:highlight w:val="none"/>
              </w:rPr>
            </w:pPr>
            <w:r>
              <w:rPr>
                <w:rFonts w:hint="eastAsia"/>
                <w:color w:val="auto"/>
                <w:kern w:val="0"/>
                <w:highlight w:val="none"/>
              </w:rPr>
              <w:t>8</w:t>
            </w:r>
          </w:p>
        </w:tc>
        <w:tc>
          <w:tcPr>
            <w:tcW w:w="832" w:type="dxa"/>
            <w:tcBorders>
              <w:top w:val="single" w:color="auto" w:sz="4" w:space="0"/>
              <w:left w:val="nil"/>
              <w:bottom w:val="single" w:color="auto" w:sz="4" w:space="0"/>
              <w:right w:val="single" w:color="auto" w:sz="4" w:space="0"/>
            </w:tcBorders>
          </w:tcPr>
          <w:p>
            <w:pPr>
              <w:autoSpaceDE w:val="0"/>
              <w:autoSpaceDN w:val="0"/>
              <w:adjustRightInd w:val="0"/>
              <w:rPr>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92"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709" w:type="dxa"/>
            <w:tcBorders>
              <w:top w:val="single" w:color="auto" w:sz="6" w:space="0"/>
              <w:left w:val="single" w:color="auto" w:sz="6" w:space="0"/>
              <w:bottom w:val="single" w:color="auto" w:sz="6" w:space="0"/>
              <w:right w:val="single" w:color="auto" w:sz="4" w:space="0"/>
            </w:tcBorders>
            <w:shd w:val="solid" w:color="FFFFFF" w:fill="auto"/>
            <w:vAlign w:val="center"/>
          </w:tcPr>
          <w:p>
            <w:pPr>
              <w:widowControl/>
              <w:spacing w:line="360" w:lineRule="auto"/>
              <w:jc w:val="center"/>
              <w:rPr>
                <w:color w:val="auto"/>
                <w:kern w:val="0"/>
                <w:highlight w:val="none"/>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6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kern w:val="0"/>
                <w:highlight w:val="none"/>
              </w:rPr>
            </w:pPr>
            <w:r>
              <w:rPr>
                <w:rFonts w:hint="eastAsia"/>
                <w:color w:val="auto"/>
                <w:kern w:val="0"/>
                <w:highlight w:val="none"/>
              </w:rPr>
              <w:t>9</w:t>
            </w:r>
          </w:p>
        </w:tc>
        <w:tc>
          <w:tcPr>
            <w:tcW w:w="832" w:type="dxa"/>
            <w:tcBorders>
              <w:top w:val="single" w:color="auto" w:sz="4" w:space="0"/>
              <w:left w:val="nil"/>
              <w:bottom w:val="single" w:color="auto" w:sz="4" w:space="0"/>
              <w:right w:val="single" w:color="auto" w:sz="4" w:space="0"/>
            </w:tcBorders>
          </w:tcPr>
          <w:p>
            <w:pPr>
              <w:autoSpaceDE w:val="0"/>
              <w:autoSpaceDN w:val="0"/>
              <w:adjustRightInd w:val="0"/>
              <w:rPr>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92"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709" w:type="dxa"/>
            <w:tcBorders>
              <w:top w:val="single" w:color="auto" w:sz="6" w:space="0"/>
              <w:left w:val="single" w:color="auto" w:sz="6" w:space="0"/>
              <w:bottom w:val="single" w:color="auto" w:sz="6" w:space="0"/>
              <w:right w:val="single" w:color="auto" w:sz="4" w:space="0"/>
            </w:tcBorders>
            <w:shd w:val="solid" w:color="FFFFFF" w:fill="auto"/>
            <w:vAlign w:val="center"/>
          </w:tcPr>
          <w:p>
            <w:pPr>
              <w:widowControl/>
              <w:spacing w:line="360" w:lineRule="auto"/>
              <w:jc w:val="center"/>
              <w:rPr>
                <w:color w:val="auto"/>
                <w:kern w:val="0"/>
                <w:highlight w:val="none"/>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6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kern w:val="0"/>
                <w:highlight w:val="none"/>
              </w:rPr>
            </w:pPr>
            <w:r>
              <w:rPr>
                <w:rFonts w:hint="eastAsia"/>
                <w:color w:val="auto"/>
                <w:kern w:val="0"/>
                <w:highlight w:val="none"/>
              </w:rPr>
              <w:t>1</w:t>
            </w:r>
            <w:r>
              <w:rPr>
                <w:color w:val="auto"/>
                <w:kern w:val="0"/>
                <w:highlight w:val="none"/>
              </w:rPr>
              <w:t>0</w:t>
            </w:r>
          </w:p>
        </w:tc>
        <w:tc>
          <w:tcPr>
            <w:tcW w:w="832" w:type="dxa"/>
            <w:tcBorders>
              <w:top w:val="single" w:color="auto" w:sz="4" w:space="0"/>
              <w:left w:val="nil"/>
              <w:bottom w:val="single" w:color="auto" w:sz="4" w:space="0"/>
              <w:right w:val="single" w:color="auto" w:sz="4" w:space="0"/>
            </w:tcBorders>
          </w:tcPr>
          <w:p>
            <w:pPr>
              <w:autoSpaceDE w:val="0"/>
              <w:autoSpaceDN w:val="0"/>
              <w:adjustRightInd w:val="0"/>
              <w:rPr>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92"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709" w:type="dxa"/>
            <w:tcBorders>
              <w:top w:val="single" w:color="auto" w:sz="6" w:space="0"/>
              <w:left w:val="single" w:color="auto" w:sz="6" w:space="0"/>
              <w:bottom w:val="single" w:color="auto" w:sz="6" w:space="0"/>
              <w:right w:val="single" w:color="auto" w:sz="4" w:space="0"/>
            </w:tcBorders>
            <w:shd w:val="solid" w:color="FFFFFF" w:fill="auto"/>
            <w:vAlign w:val="center"/>
          </w:tcPr>
          <w:p>
            <w:pPr>
              <w:widowControl/>
              <w:spacing w:line="360" w:lineRule="auto"/>
              <w:jc w:val="center"/>
              <w:rPr>
                <w:color w:val="auto"/>
                <w:kern w:val="0"/>
                <w:highlight w:val="none"/>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6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kern w:val="0"/>
                <w:highlight w:val="none"/>
              </w:rPr>
            </w:pPr>
            <w:r>
              <w:rPr>
                <w:rFonts w:hint="eastAsia"/>
                <w:color w:val="auto"/>
                <w:kern w:val="0"/>
                <w:highlight w:val="none"/>
              </w:rPr>
              <w:t>1</w:t>
            </w:r>
            <w:r>
              <w:rPr>
                <w:color w:val="auto"/>
                <w:kern w:val="0"/>
                <w:highlight w:val="none"/>
              </w:rPr>
              <w:t>1</w:t>
            </w:r>
          </w:p>
        </w:tc>
        <w:tc>
          <w:tcPr>
            <w:tcW w:w="832" w:type="dxa"/>
            <w:tcBorders>
              <w:top w:val="single" w:color="auto" w:sz="4" w:space="0"/>
              <w:left w:val="nil"/>
              <w:bottom w:val="single" w:color="auto" w:sz="4" w:space="0"/>
              <w:right w:val="single" w:color="auto" w:sz="4" w:space="0"/>
            </w:tcBorders>
            <w:vAlign w:val="center"/>
          </w:tcPr>
          <w:p>
            <w:pPr>
              <w:autoSpaceDE w:val="0"/>
              <w:autoSpaceDN w:val="0"/>
              <w:adjustRightInd w:val="0"/>
              <w:rPr>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92"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709" w:type="dxa"/>
            <w:tcBorders>
              <w:top w:val="single" w:color="auto" w:sz="6" w:space="0"/>
              <w:left w:val="single" w:color="auto" w:sz="6" w:space="0"/>
              <w:bottom w:val="single" w:color="auto" w:sz="6" w:space="0"/>
              <w:right w:val="single" w:color="auto" w:sz="4" w:space="0"/>
            </w:tcBorders>
            <w:shd w:val="solid" w:color="FFFFFF" w:fill="auto"/>
            <w:vAlign w:val="center"/>
          </w:tcPr>
          <w:p>
            <w:pPr>
              <w:widowControl/>
              <w:spacing w:line="360" w:lineRule="auto"/>
              <w:jc w:val="center"/>
              <w:rPr>
                <w:color w:val="auto"/>
                <w:kern w:val="0"/>
                <w:highlight w:val="none"/>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6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kern w:val="0"/>
                <w:highlight w:val="none"/>
              </w:rPr>
            </w:pPr>
            <w:r>
              <w:rPr>
                <w:rFonts w:hint="eastAsia"/>
                <w:color w:val="auto"/>
                <w:kern w:val="0"/>
                <w:highlight w:val="none"/>
              </w:rPr>
              <w:t>1</w:t>
            </w:r>
            <w:r>
              <w:rPr>
                <w:color w:val="auto"/>
                <w:kern w:val="0"/>
                <w:highlight w:val="none"/>
              </w:rPr>
              <w:t>2</w:t>
            </w:r>
          </w:p>
        </w:tc>
        <w:tc>
          <w:tcPr>
            <w:tcW w:w="832" w:type="dxa"/>
            <w:tcBorders>
              <w:top w:val="single" w:color="auto" w:sz="4" w:space="0"/>
              <w:left w:val="nil"/>
              <w:bottom w:val="single" w:color="auto" w:sz="4" w:space="0"/>
              <w:right w:val="single" w:color="auto" w:sz="4" w:space="0"/>
            </w:tcBorders>
            <w:vAlign w:val="center"/>
          </w:tcPr>
          <w:p>
            <w:pPr>
              <w:autoSpaceDE w:val="0"/>
              <w:autoSpaceDN w:val="0"/>
              <w:adjustRightInd w:val="0"/>
              <w:rPr>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92"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709" w:type="dxa"/>
            <w:tcBorders>
              <w:top w:val="single" w:color="auto" w:sz="6" w:space="0"/>
              <w:left w:val="single" w:color="auto" w:sz="6" w:space="0"/>
              <w:bottom w:val="single" w:color="auto" w:sz="6" w:space="0"/>
              <w:right w:val="single" w:color="auto" w:sz="4" w:space="0"/>
            </w:tcBorders>
            <w:shd w:val="solid" w:color="FFFFFF" w:fill="auto"/>
            <w:vAlign w:val="center"/>
          </w:tcPr>
          <w:p>
            <w:pPr>
              <w:widowControl/>
              <w:spacing w:line="360" w:lineRule="auto"/>
              <w:jc w:val="center"/>
              <w:rPr>
                <w:color w:val="auto"/>
                <w:kern w:val="0"/>
                <w:highlight w:val="none"/>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6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r>
              <w:rPr>
                <w:rFonts w:hint="eastAsia"/>
                <w:color w:val="auto"/>
                <w:kern w:val="0"/>
                <w:highlight w:val="none"/>
              </w:rPr>
              <w:t>.....</w:t>
            </w:r>
          </w:p>
        </w:tc>
        <w:tc>
          <w:tcPr>
            <w:tcW w:w="832"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92"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6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2" w:type="dxa"/>
            <w:gridSpan w:val="11"/>
            <w:tcBorders>
              <w:top w:val="single" w:color="auto" w:sz="4" w:space="0"/>
              <w:left w:val="single" w:color="auto" w:sz="4" w:space="0"/>
              <w:bottom w:val="single" w:color="auto" w:sz="4" w:space="0"/>
              <w:right w:val="single" w:color="auto" w:sz="4" w:space="0"/>
            </w:tcBorders>
            <w:vAlign w:val="center"/>
          </w:tcPr>
          <w:p>
            <w:pPr>
              <w:widowControl/>
              <w:spacing w:line="360" w:lineRule="auto"/>
              <w:rPr>
                <w:color w:val="auto"/>
                <w:kern w:val="0"/>
                <w:highlight w:val="none"/>
              </w:rPr>
            </w:pPr>
            <w:r>
              <w:rPr>
                <w:rFonts w:hint="eastAsia" w:ascii="宋体" w:hAnsi="宋体"/>
                <w:b/>
                <w:color w:val="auto"/>
                <w:highlight w:val="none"/>
              </w:rPr>
              <w:t>合计总价：</w:t>
            </w:r>
          </w:p>
        </w:tc>
      </w:tr>
    </w:tbl>
    <w:p>
      <w:pPr>
        <w:autoSpaceDE w:val="0"/>
        <w:autoSpaceDN w:val="0"/>
        <w:adjustRightInd w:val="0"/>
        <w:spacing w:line="600" w:lineRule="exact"/>
        <w:rPr>
          <w:rFonts w:ascii="宋体" w:hAnsi="宋体" w:cs="宋体"/>
          <w:color w:val="auto"/>
          <w:kern w:val="0"/>
          <w:sz w:val="22"/>
          <w:highlight w:val="none"/>
        </w:rPr>
      </w:pPr>
      <w:r>
        <w:rPr>
          <w:rFonts w:ascii="宋体" w:hAnsi="宋体" w:cs="宋体"/>
          <w:color w:val="auto"/>
          <w:kern w:val="0"/>
          <w:sz w:val="22"/>
          <w:highlight w:val="none"/>
        </w:rPr>
        <w:t>我承诺以上内容均属实，并愿意承担相关责任。</w:t>
      </w:r>
    </w:p>
    <w:p>
      <w:pPr>
        <w:spacing w:line="360" w:lineRule="auto"/>
        <w:rPr>
          <w:rFonts w:ascii="宋体" w:hAnsi="宋体"/>
          <w:b/>
          <w:color w:val="auto"/>
          <w:highlight w:val="none"/>
        </w:rPr>
      </w:pPr>
      <w:r>
        <w:rPr>
          <w:rFonts w:ascii="宋体" w:hAnsi="宋体"/>
          <w:b/>
          <w:color w:val="auto"/>
          <w:highlight w:val="none"/>
        </w:rPr>
        <w:t>注：</w:t>
      </w:r>
      <w:r>
        <w:rPr>
          <w:rFonts w:hint="eastAsia" w:ascii="宋体" w:hAnsi="宋体"/>
          <w:b/>
          <w:color w:val="auto"/>
          <w:highlight w:val="none"/>
        </w:rPr>
        <w:t>1、</w:t>
      </w:r>
      <w:r>
        <w:rPr>
          <w:rFonts w:ascii="宋体" w:hAnsi="宋体"/>
          <w:b/>
          <w:color w:val="auto"/>
          <w:highlight w:val="none"/>
        </w:rPr>
        <w:t>分项报价</w:t>
      </w:r>
      <w:r>
        <w:rPr>
          <w:rFonts w:hint="eastAsia" w:ascii="宋体" w:hAnsi="宋体"/>
          <w:b/>
          <w:color w:val="auto"/>
          <w:highlight w:val="none"/>
        </w:rPr>
        <w:t>表</w:t>
      </w:r>
      <w:r>
        <w:rPr>
          <w:rFonts w:ascii="宋体" w:hAnsi="宋体"/>
          <w:b/>
          <w:color w:val="auto"/>
          <w:highlight w:val="none"/>
        </w:rPr>
        <w:t>中应明确列出各</w:t>
      </w:r>
      <w:r>
        <w:rPr>
          <w:rFonts w:hint="eastAsia" w:ascii="宋体" w:hAnsi="宋体"/>
          <w:b/>
          <w:color w:val="auto"/>
          <w:highlight w:val="none"/>
        </w:rPr>
        <w:t>种费用</w:t>
      </w:r>
      <w:r>
        <w:rPr>
          <w:rFonts w:ascii="宋体" w:hAnsi="宋体"/>
          <w:b/>
          <w:color w:val="auto"/>
          <w:highlight w:val="none"/>
        </w:rPr>
        <w:t>的价格</w:t>
      </w:r>
      <w:r>
        <w:rPr>
          <w:rFonts w:hint="eastAsia" w:ascii="宋体" w:hAnsi="宋体"/>
          <w:b/>
          <w:color w:val="auto"/>
          <w:highlight w:val="none"/>
        </w:rPr>
        <w:t>，合计总价为投标报价</w:t>
      </w:r>
      <w:r>
        <w:rPr>
          <w:rFonts w:ascii="宋体" w:hAnsi="宋体"/>
          <w:b/>
          <w:color w:val="auto"/>
          <w:highlight w:val="none"/>
        </w:rPr>
        <w:t>。</w:t>
      </w:r>
    </w:p>
    <w:p>
      <w:pPr>
        <w:spacing w:line="360" w:lineRule="auto"/>
        <w:ind w:firstLine="422" w:firstLineChars="200"/>
        <w:rPr>
          <w:rFonts w:ascii="宋体" w:hAnsi="宋体"/>
          <w:b/>
          <w:color w:val="auto"/>
          <w:highlight w:val="none"/>
        </w:rPr>
      </w:pPr>
      <w:r>
        <w:rPr>
          <w:rFonts w:hint="eastAsia" w:ascii="宋体" w:hAnsi="宋体"/>
          <w:b/>
          <w:color w:val="auto"/>
          <w:highlight w:val="none"/>
        </w:rPr>
        <w:t>2、分项报价表包括并注明货物附带设备、备件、检测设备及专用工具。</w:t>
      </w:r>
    </w:p>
    <w:p>
      <w:pPr>
        <w:spacing w:line="360" w:lineRule="auto"/>
        <w:ind w:firstLine="422" w:firstLineChars="200"/>
        <w:rPr>
          <w:rFonts w:ascii="宋体" w:hAnsi="宋体"/>
          <w:b/>
          <w:color w:val="auto"/>
          <w:highlight w:val="none"/>
        </w:rPr>
      </w:pPr>
      <w:r>
        <w:rPr>
          <w:rFonts w:hint="eastAsia" w:ascii="宋体" w:hAnsi="宋体"/>
          <w:b/>
          <w:color w:val="auto"/>
          <w:highlight w:val="none"/>
        </w:rPr>
        <w:t>3、</w:t>
      </w:r>
      <w:r>
        <w:rPr>
          <w:rFonts w:ascii="宋体" w:hAnsi="宋体"/>
          <w:b/>
          <w:color w:val="auto"/>
          <w:highlight w:val="none"/>
        </w:rPr>
        <w:t>分项报价</w:t>
      </w:r>
      <w:r>
        <w:rPr>
          <w:rFonts w:hint="eastAsia" w:ascii="宋体" w:hAnsi="宋体"/>
          <w:b/>
          <w:color w:val="auto"/>
          <w:highlight w:val="none"/>
        </w:rPr>
        <w:t>表清单中合计总价必须与投标报价表中的投标报价一致。</w:t>
      </w:r>
    </w:p>
    <w:p>
      <w:pPr>
        <w:spacing w:line="360" w:lineRule="auto"/>
        <w:ind w:firstLine="422" w:firstLineChars="200"/>
        <w:rPr>
          <w:rFonts w:ascii="宋体" w:hAnsi="宋体"/>
          <w:b/>
          <w:color w:val="auto"/>
          <w:highlight w:val="none"/>
        </w:rPr>
      </w:pPr>
      <w:r>
        <w:rPr>
          <w:rFonts w:hint="eastAsia" w:ascii="宋体" w:hAnsi="宋体"/>
          <w:b/>
          <w:color w:val="auto"/>
          <w:highlight w:val="none"/>
        </w:rPr>
        <w:t>4、表格不够可自行添加。</w:t>
      </w:r>
    </w:p>
    <w:p>
      <w:pPr>
        <w:autoSpaceDE w:val="0"/>
        <w:autoSpaceDN w:val="0"/>
        <w:adjustRightInd w:val="0"/>
        <w:spacing w:line="360" w:lineRule="auto"/>
        <w:rPr>
          <w:rFonts w:ascii="宋体" w:hAnsi="宋体" w:cs="宋体"/>
          <w:color w:val="auto"/>
          <w:kern w:val="0"/>
          <w:sz w:val="22"/>
          <w:highlight w:val="none"/>
        </w:rPr>
      </w:pPr>
      <w:r>
        <w:rPr>
          <w:rFonts w:ascii="宋体" w:hAnsi="宋体" w:cs="宋体"/>
          <w:color w:val="auto"/>
          <w:kern w:val="0"/>
          <w:sz w:val="22"/>
          <w:highlight w:val="none"/>
        </w:rPr>
        <w:t xml:space="preserve">供应商(单位名称)：                                          </w:t>
      </w:r>
    </w:p>
    <w:p>
      <w:pPr>
        <w:autoSpaceDE w:val="0"/>
        <w:autoSpaceDN w:val="0"/>
        <w:adjustRightInd w:val="0"/>
        <w:spacing w:line="360" w:lineRule="auto"/>
        <w:rPr>
          <w:rFonts w:ascii="宋体" w:hAnsi="宋体" w:cs="宋体"/>
          <w:color w:val="auto"/>
          <w:kern w:val="0"/>
          <w:sz w:val="22"/>
          <w:highlight w:val="none"/>
        </w:rPr>
      </w:pPr>
      <w:r>
        <w:rPr>
          <w:rFonts w:ascii="宋体" w:hAnsi="宋体" w:cs="宋体"/>
          <w:color w:val="auto"/>
          <w:kern w:val="0"/>
          <w:sz w:val="22"/>
          <w:highlight w:val="none"/>
        </w:rPr>
        <w:t>法定代表人（单位负责人）</w:t>
      </w:r>
    </w:p>
    <w:p>
      <w:pPr>
        <w:autoSpaceDE w:val="0"/>
        <w:autoSpaceDN w:val="0"/>
        <w:adjustRightInd w:val="0"/>
        <w:spacing w:line="360" w:lineRule="auto"/>
        <w:rPr>
          <w:rFonts w:ascii="宋体" w:hAnsi="宋体" w:cs="宋体"/>
          <w:color w:val="auto"/>
          <w:kern w:val="0"/>
          <w:sz w:val="22"/>
          <w:highlight w:val="none"/>
        </w:rPr>
      </w:pPr>
      <w:r>
        <w:rPr>
          <w:rFonts w:ascii="宋体" w:hAnsi="宋体" w:cs="宋体"/>
          <w:color w:val="auto"/>
          <w:kern w:val="0"/>
          <w:sz w:val="22"/>
          <w:highlight w:val="none"/>
        </w:rPr>
        <w:t xml:space="preserve">或委托代理人（签字或盖章）：                               </w:t>
      </w:r>
    </w:p>
    <w:p>
      <w:pPr>
        <w:wordWrap w:val="0"/>
        <w:autoSpaceDE w:val="0"/>
        <w:autoSpaceDN w:val="0"/>
        <w:adjustRightInd w:val="0"/>
        <w:spacing w:line="360" w:lineRule="auto"/>
        <w:jc w:val="right"/>
        <w:rPr>
          <w:rFonts w:ascii="宋体" w:hAnsi="宋体" w:cs="宋体"/>
          <w:color w:val="auto"/>
          <w:kern w:val="0"/>
          <w:sz w:val="22"/>
          <w:highlight w:val="none"/>
        </w:rPr>
      </w:pPr>
      <w:r>
        <w:rPr>
          <w:rFonts w:ascii="宋体" w:hAnsi="宋体" w:cs="宋体"/>
          <w:color w:val="auto"/>
          <w:kern w:val="0"/>
          <w:sz w:val="22"/>
          <w:highlight w:val="none"/>
        </w:rPr>
        <w:t>年</w:t>
      </w:r>
      <w:r>
        <w:rPr>
          <w:rFonts w:hint="eastAsia" w:ascii="宋体" w:hAnsi="宋体" w:cs="宋体"/>
          <w:color w:val="auto"/>
          <w:kern w:val="0"/>
          <w:sz w:val="22"/>
          <w:highlight w:val="none"/>
        </w:rPr>
        <w:t xml:space="preserve">  </w:t>
      </w:r>
      <w:r>
        <w:rPr>
          <w:rFonts w:ascii="宋体" w:hAnsi="宋体" w:cs="宋体"/>
          <w:color w:val="auto"/>
          <w:kern w:val="0"/>
          <w:sz w:val="22"/>
          <w:highlight w:val="none"/>
        </w:rPr>
        <w:t>月</w:t>
      </w:r>
      <w:r>
        <w:rPr>
          <w:rFonts w:hint="eastAsia" w:ascii="宋体" w:hAnsi="宋体" w:cs="宋体"/>
          <w:color w:val="auto"/>
          <w:kern w:val="0"/>
          <w:sz w:val="22"/>
          <w:highlight w:val="none"/>
        </w:rPr>
        <w:t xml:space="preserve">  </w:t>
      </w:r>
      <w:r>
        <w:rPr>
          <w:rFonts w:ascii="宋体" w:hAnsi="宋体" w:cs="宋体"/>
          <w:color w:val="auto"/>
          <w:kern w:val="0"/>
          <w:sz w:val="22"/>
          <w:highlight w:val="none"/>
        </w:rPr>
        <w:t>日</w:t>
      </w:r>
    </w:p>
    <w:p>
      <w:pPr>
        <w:rPr>
          <w:color w:val="auto"/>
          <w:highlight w:val="none"/>
        </w:rPr>
      </w:pPr>
    </w:p>
    <w:p>
      <w:pPr>
        <w:jc w:val="left"/>
        <w:rPr>
          <w:rFonts w:ascii="宋体" w:hAnsi="宋体" w:cs="宋体"/>
          <w:b/>
          <w:color w:val="auto"/>
          <w:spacing w:val="2"/>
          <w:kern w:val="0"/>
          <w:sz w:val="32"/>
          <w:szCs w:val="22"/>
          <w:highlight w:val="none"/>
        </w:rPr>
      </w:pPr>
      <w:r>
        <w:rPr>
          <w:rFonts w:hint="eastAsia" w:ascii="宋体" w:hAnsi="宋体" w:cs="宋体"/>
          <w:b/>
          <w:color w:val="auto"/>
          <w:spacing w:val="2"/>
          <w:kern w:val="0"/>
          <w:sz w:val="32"/>
          <w:szCs w:val="22"/>
          <w:highlight w:val="none"/>
        </w:rPr>
        <w:t>附表1(2、3</w:t>
      </w:r>
      <w:r>
        <w:rPr>
          <w:rFonts w:ascii="宋体" w:hAnsi="宋体" w:cs="宋体"/>
          <w:b/>
          <w:color w:val="auto"/>
          <w:spacing w:val="2"/>
          <w:kern w:val="0"/>
          <w:sz w:val="32"/>
          <w:szCs w:val="22"/>
          <w:highlight w:val="none"/>
        </w:rPr>
        <w:t>……</w:t>
      </w:r>
      <w:r>
        <w:rPr>
          <w:rFonts w:hint="eastAsia" w:ascii="宋体" w:hAnsi="宋体" w:cs="宋体"/>
          <w:b/>
          <w:color w:val="auto"/>
          <w:spacing w:val="2"/>
          <w:kern w:val="0"/>
          <w:sz w:val="32"/>
          <w:szCs w:val="22"/>
          <w:highlight w:val="none"/>
        </w:rPr>
        <w:t>)</w:t>
      </w:r>
    </w:p>
    <w:p>
      <w:pPr>
        <w:jc w:val="center"/>
        <w:rPr>
          <w:rFonts w:ascii="宋体" w:hAnsi="宋体" w:cs="宋体"/>
          <w:b/>
          <w:color w:val="auto"/>
          <w:spacing w:val="2"/>
          <w:kern w:val="0"/>
          <w:sz w:val="32"/>
          <w:szCs w:val="22"/>
          <w:highlight w:val="none"/>
        </w:rPr>
      </w:pPr>
      <w:r>
        <w:rPr>
          <w:rFonts w:hint="eastAsia" w:ascii="宋体" w:hAnsi="宋体" w:cs="宋体"/>
          <w:b/>
          <w:color w:val="auto"/>
          <w:spacing w:val="2"/>
          <w:kern w:val="0"/>
          <w:sz w:val="32"/>
          <w:szCs w:val="22"/>
          <w:highlight w:val="none"/>
        </w:rPr>
        <w:t>设备配置及零配件清单</w:t>
      </w:r>
    </w:p>
    <w:p>
      <w:pPr>
        <w:pStyle w:val="2"/>
        <w:rPr>
          <w:rFonts w:ascii="宋体" w:hAnsi="宋体" w:eastAsia="宋体"/>
          <w:b/>
          <w:color w:val="auto"/>
          <w:spacing w:val="2"/>
          <w:sz w:val="32"/>
          <w:szCs w:val="22"/>
          <w:highlight w:val="none"/>
        </w:rPr>
      </w:pPr>
    </w:p>
    <w:tbl>
      <w:tblPr>
        <w:tblStyle w:val="25"/>
        <w:tblW w:w="8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55"/>
        <w:gridCol w:w="1562"/>
        <w:gridCol w:w="911"/>
        <w:gridCol w:w="854"/>
        <w:gridCol w:w="925"/>
        <w:gridCol w:w="99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color w:val="auto"/>
                <w:highlight w:val="none"/>
              </w:rPr>
            </w:pPr>
            <w:r>
              <w:rPr>
                <w:b/>
                <w:bCs/>
                <w:color w:val="auto"/>
                <w:highlight w:val="none"/>
              </w:rPr>
              <w:t>序号</w:t>
            </w:r>
          </w:p>
        </w:tc>
        <w:tc>
          <w:tcPr>
            <w:tcW w:w="1355" w:type="dxa"/>
            <w:tcBorders>
              <w:top w:val="single" w:color="auto" w:sz="4" w:space="0"/>
              <w:left w:val="nil"/>
              <w:bottom w:val="single" w:color="auto" w:sz="4" w:space="0"/>
              <w:right w:val="single" w:color="auto" w:sz="4" w:space="0"/>
            </w:tcBorders>
            <w:vAlign w:val="center"/>
          </w:tcPr>
          <w:p>
            <w:pPr>
              <w:spacing w:line="360" w:lineRule="auto"/>
              <w:jc w:val="center"/>
              <w:rPr>
                <w:b/>
                <w:bCs/>
                <w:color w:val="auto"/>
                <w:highlight w:val="none"/>
              </w:rPr>
            </w:pPr>
            <w:r>
              <w:rPr>
                <w:b/>
                <w:bCs/>
                <w:color w:val="auto"/>
                <w:highlight w:val="none"/>
              </w:rPr>
              <w:t>货物名称</w:t>
            </w:r>
          </w:p>
        </w:tc>
        <w:tc>
          <w:tcPr>
            <w:tcW w:w="1562" w:type="dxa"/>
            <w:tcBorders>
              <w:top w:val="single" w:color="auto" w:sz="4" w:space="0"/>
              <w:left w:val="nil"/>
              <w:bottom w:val="single" w:color="auto" w:sz="4" w:space="0"/>
              <w:right w:val="single" w:color="auto" w:sz="4" w:space="0"/>
            </w:tcBorders>
            <w:vAlign w:val="center"/>
          </w:tcPr>
          <w:p>
            <w:pPr>
              <w:widowControl/>
              <w:jc w:val="center"/>
              <w:textAlignment w:val="center"/>
              <w:rPr>
                <w:b/>
                <w:bCs/>
                <w:color w:val="auto"/>
                <w:highlight w:val="none"/>
              </w:rPr>
            </w:pPr>
            <w:r>
              <w:rPr>
                <w:b/>
                <w:bCs/>
                <w:color w:val="auto"/>
                <w:kern w:val="0"/>
                <w:sz w:val="24"/>
                <w:szCs w:val="24"/>
                <w:highlight w:val="none"/>
              </w:rPr>
              <w:t>生产商名称、产地</w:t>
            </w:r>
          </w:p>
        </w:tc>
        <w:tc>
          <w:tcPr>
            <w:tcW w:w="911" w:type="dxa"/>
            <w:tcBorders>
              <w:top w:val="single" w:color="auto" w:sz="4" w:space="0"/>
              <w:left w:val="nil"/>
              <w:bottom w:val="single" w:color="auto" w:sz="4" w:space="0"/>
              <w:right w:val="single" w:color="auto" w:sz="4" w:space="0"/>
            </w:tcBorders>
            <w:vAlign w:val="center"/>
          </w:tcPr>
          <w:p>
            <w:pPr>
              <w:widowControl/>
              <w:jc w:val="center"/>
              <w:textAlignment w:val="center"/>
              <w:rPr>
                <w:b/>
                <w:bCs/>
                <w:color w:val="auto"/>
                <w:highlight w:val="none"/>
              </w:rPr>
            </w:pPr>
            <w:r>
              <w:rPr>
                <w:b/>
                <w:bCs/>
                <w:color w:val="auto"/>
                <w:kern w:val="0"/>
                <w:sz w:val="24"/>
                <w:szCs w:val="24"/>
                <w:highlight w:val="none"/>
              </w:rPr>
              <w:t>品牌</w:t>
            </w:r>
          </w:p>
        </w:tc>
        <w:tc>
          <w:tcPr>
            <w:tcW w:w="854" w:type="dxa"/>
            <w:tcBorders>
              <w:top w:val="single" w:color="auto" w:sz="4" w:space="0"/>
              <w:left w:val="nil"/>
              <w:bottom w:val="single" w:color="auto" w:sz="4" w:space="0"/>
              <w:right w:val="single" w:color="auto" w:sz="4" w:space="0"/>
            </w:tcBorders>
            <w:vAlign w:val="center"/>
          </w:tcPr>
          <w:p>
            <w:pPr>
              <w:widowControl/>
              <w:jc w:val="center"/>
              <w:textAlignment w:val="center"/>
              <w:rPr>
                <w:b/>
                <w:bCs/>
                <w:color w:val="auto"/>
                <w:kern w:val="0"/>
                <w:highlight w:val="none"/>
              </w:rPr>
            </w:pPr>
            <w:r>
              <w:rPr>
                <w:b/>
                <w:bCs/>
                <w:color w:val="auto"/>
                <w:kern w:val="0"/>
                <w:sz w:val="24"/>
                <w:szCs w:val="24"/>
                <w:highlight w:val="none"/>
              </w:rPr>
              <w:t>规格型号</w:t>
            </w:r>
          </w:p>
        </w:tc>
        <w:tc>
          <w:tcPr>
            <w:tcW w:w="925" w:type="dxa"/>
            <w:tcBorders>
              <w:top w:val="single" w:color="auto" w:sz="4" w:space="0"/>
              <w:left w:val="nil"/>
              <w:bottom w:val="single" w:color="auto" w:sz="4" w:space="0"/>
              <w:right w:val="single" w:color="auto" w:sz="4" w:space="0"/>
            </w:tcBorders>
            <w:vAlign w:val="center"/>
          </w:tcPr>
          <w:p>
            <w:pPr>
              <w:widowControl/>
              <w:jc w:val="center"/>
              <w:textAlignment w:val="center"/>
              <w:rPr>
                <w:b/>
                <w:bCs/>
                <w:color w:val="auto"/>
                <w:kern w:val="0"/>
                <w:highlight w:val="none"/>
              </w:rPr>
            </w:pPr>
            <w:r>
              <w:rPr>
                <w:b/>
                <w:bCs/>
                <w:color w:val="auto"/>
                <w:kern w:val="0"/>
                <w:sz w:val="24"/>
                <w:szCs w:val="24"/>
                <w:highlight w:val="none"/>
              </w:rPr>
              <w:t>单位</w:t>
            </w:r>
          </w:p>
        </w:tc>
        <w:tc>
          <w:tcPr>
            <w:tcW w:w="992" w:type="dxa"/>
            <w:tcBorders>
              <w:top w:val="single" w:color="auto" w:sz="4" w:space="0"/>
              <w:left w:val="nil"/>
              <w:bottom w:val="single" w:color="auto" w:sz="4" w:space="0"/>
              <w:right w:val="single" w:color="auto" w:sz="4" w:space="0"/>
            </w:tcBorders>
            <w:vAlign w:val="center"/>
          </w:tcPr>
          <w:p>
            <w:pPr>
              <w:widowControl/>
              <w:jc w:val="center"/>
              <w:textAlignment w:val="center"/>
              <w:rPr>
                <w:b/>
                <w:bCs/>
                <w:color w:val="auto"/>
                <w:kern w:val="0"/>
                <w:highlight w:val="none"/>
              </w:rPr>
            </w:pPr>
            <w:r>
              <w:rPr>
                <w:b/>
                <w:bCs/>
                <w:color w:val="auto"/>
                <w:kern w:val="0"/>
                <w:sz w:val="24"/>
                <w:szCs w:val="24"/>
                <w:highlight w:val="none"/>
              </w:rPr>
              <w:t>数量</w:t>
            </w:r>
          </w:p>
        </w:tc>
        <w:tc>
          <w:tcPr>
            <w:tcW w:w="855" w:type="dxa"/>
            <w:tcBorders>
              <w:top w:val="single" w:color="auto" w:sz="4" w:space="0"/>
              <w:left w:val="nil"/>
              <w:bottom w:val="single" w:color="auto" w:sz="4" w:space="0"/>
              <w:right w:val="single" w:color="auto" w:sz="4" w:space="0"/>
            </w:tcBorders>
            <w:vAlign w:val="center"/>
          </w:tcPr>
          <w:p>
            <w:pPr>
              <w:widowControl/>
              <w:jc w:val="center"/>
              <w:textAlignment w:val="center"/>
              <w:rPr>
                <w:b/>
                <w:bCs/>
                <w:color w:val="auto"/>
                <w:kern w:val="0"/>
                <w:highlight w:val="none"/>
              </w:rPr>
            </w:pPr>
            <w:r>
              <w:rPr>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r>
              <w:rPr>
                <w:color w:val="auto"/>
                <w:kern w:val="0"/>
                <w:highlight w:val="none"/>
              </w:rPr>
              <w:t>1</w:t>
            </w:r>
          </w:p>
        </w:tc>
        <w:tc>
          <w:tcPr>
            <w:tcW w:w="1355"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宋体"/>
                <w:color w:val="auto"/>
                <w:highlight w:val="none"/>
              </w:rPr>
            </w:pPr>
          </w:p>
        </w:tc>
        <w:tc>
          <w:tcPr>
            <w:tcW w:w="156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11"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25"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5"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r>
              <w:rPr>
                <w:color w:val="auto"/>
                <w:kern w:val="0"/>
                <w:highlight w:val="none"/>
              </w:rPr>
              <w:t>2</w:t>
            </w:r>
          </w:p>
        </w:tc>
        <w:tc>
          <w:tcPr>
            <w:tcW w:w="1355"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宋体"/>
                <w:color w:val="auto"/>
                <w:highlight w:val="none"/>
              </w:rPr>
            </w:pPr>
          </w:p>
        </w:tc>
        <w:tc>
          <w:tcPr>
            <w:tcW w:w="156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11"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25"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5"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r>
              <w:rPr>
                <w:color w:val="auto"/>
                <w:kern w:val="0"/>
                <w:highlight w:val="none"/>
              </w:rPr>
              <w:t>3</w:t>
            </w:r>
          </w:p>
        </w:tc>
        <w:tc>
          <w:tcPr>
            <w:tcW w:w="1355"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宋体"/>
                <w:color w:val="auto"/>
                <w:highlight w:val="none"/>
              </w:rPr>
            </w:pPr>
          </w:p>
        </w:tc>
        <w:tc>
          <w:tcPr>
            <w:tcW w:w="156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11"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25"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5"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r>
              <w:rPr>
                <w:color w:val="auto"/>
                <w:kern w:val="0"/>
                <w:highlight w:val="none"/>
              </w:rPr>
              <w:t>4</w:t>
            </w:r>
          </w:p>
        </w:tc>
        <w:tc>
          <w:tcPr>
            <w:tcW w:w="1355"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宋体"/>
                <w:color w:val="auto"/>
                <w:highlight w:val="none"/>
              </w:rPr>
            </w:pPr>
          </w:p>
        </w:tc>
        <w:tc>
          <w:tcPr>
            <w:tcW w:w="156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11"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25"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5"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kern w:val="0"/>
                <w:highlight w:val="none"/>
              </w:rPr>
            </w:pPr>
            <w:r>
              <w:rPr>
                <w:rFonts w:hint="eastAsia"/>
                <w:color w:val="auto"/>
                <w:kern w:val="0"/>
                <w:highlight w:val="none"/>
              </w:rPr>
              <w:t>5</w:t>
            </w:r>
          </w:p>
        </w:tc>
        <w:tc>
          <w:tcPr>
            <w:tcW w:w="1355"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宋体"/>
                <w:color w:val="auto"/>
                <w:highlight w:val="none"/>
              </w:rPr>
            </w:pPr>
          </w:p>
        </w:tc>
        <w:tc>
          <w:tcPr>
            <w:tcW w:w="156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11"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25"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5"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kern w:val="0"/>
                <w:highlight w:val="none"/>
              </w:rPr>
            </w:pPr>
            <w:r>
              <w:rPr>
                <w:rFonts w:hint="eastAsia"/>
                <w:color w:val="auto"/>
                <w:kern w:val="0"/>
                <w:highlight w:val="none"/>
              </w:rPr>
              <w:t>6</w:t>
            </w:r>
          </w:p>
        </w:tc>
        <w:tc>
          <w:tcPr>
            <w:tcW w:w="1355"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宋体"/>
                <w:color w:val="auto"/>
                <w:highlight w:val="none"/>
              </w:rPr>
            </w:pPr>
          </w:p>
        </w:tc>
        <w:tc>
          <w:tcPr>
            <w:tcW w:w="156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11"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25"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5"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kern w:val="0"/>
                <w:highlight w:val="none"/>
              </w:rPr>
            </w:pPr>
            <w:r>
              <w:rPr>
                <w:rFonts w:hint="eastAsia"/>
                <w:color w:val="auto"/>
                <w:kern w:val="0"/>
                <w:highlight w:val="none"/>
              </w:rPr>
              <w:t>7</w:t>
            </w:r>
          </w:p>
        </w:tc>
        <w:tc>
          <w:tcPr>
            <w:tcW w:w="1355"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宋体"/>
                <w:color w:val="auto"/>
                <w:highlight w:val="none"/>
              </w:rPr>
            </w:pPr>
          </w:p>
        </w:tc>
        <w:tc>
          <w:tcPr>
            <w:tcW w:w="156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11"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25"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5"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r>
              <w:rPr>
                <w:rFonts w:hint="eastAsia"/>
                <w:color w:val="auto"/>
                <w:kern w:val="0"/>
                <w:highlight w:val="none"/>
              </w:rPr>
              <w:t>.....</w:t>
            </w:r>
          </w:p>
        </w:tc>
        <w:tc>
          <w:tcPr>
            <w:tcW w:w="1355"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156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11" w:type="dxa"/>
            <w:tcBorders>
              <w:top w:val="single" w:color="auto" w:sz="4" w:space="0"/>
              <w:left w:val="nil"/>
              <w:bottom w:val="single" w:color="auto" w:sz="4" w:space="0"/>
              <w:right w:val="single" w:color="auto" w:sz="4" w:space="0"/>
            </w:tcBorders>
            <w:vAlign w:val="center"/>
          </w:tcPr>
          <w:p>
            <w:pPr>
              <w:widowControl/>
              <w:spacing w:line="360" w:lineRule="auto"/>
              <w:rPr>
                <w:color w:val="auto"/>
                <w:kern w:val="0"/>
                <w:highlight w:val="none"/>
              </w:rPr>
            </w:pPr>
          </w:p>
        </w:tc>
        <w:tc>
          <w:tcPr>
            <w:tcW w:w="85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925" w:type="dxa"/>
            <w:tcBorders>
              <w:top w:val="single" w:color="auto" w:sz="4" w:space="0"/>
              <w:left w:val="nil"/>
              <w:bottom w:val="single" w:color="auto" w:sz="4" w:space="0"/>
              <w:right w:val="single" w:color="auto" w:sz="4" w:space="0"/>
            </w:tcBorders>
            <w:vAlign w:val="center"/>
          </w:tcPr>
          <w:p>
            <w:pPr>
              <w:widowControl/>
              <w:autoSpaceDE w:val="0"/>
              <w:spacing w:line="240" w:lineRule="exact"/>
              <w:jc w:val="center"/>
              <w:textAlignment w:val="center"/>
              <w:rPr>
                <w:color w:val="auto"/>
                <w:highlight w:val="none"/>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c>
          <w:tcPr>
            <w:tcW w:w="855"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kern w:val="0"/>
                <w:highlight w:val="none"/>
              </w:rPr>
            </w:pPr>
          </w:p>
        </w:tc>
      </w:tr>
    </w:tbl>
    <w:p>
      <w:pPr>
        <w:autoSpaceDE w:val="0"/>
        <w:autoSpaceDN w:val="0"/>
        <w:adjustRightInd w:val="0"/>
        <w:spacing w:line="360" w:lineRule="auto"/>
        <w:rPr>
          <w:rFonts w:ascii="宋体" w:hAnsi="宋体" w:cs="宋体"/>
          <w:color w:val="auto"/>
          <w:kern w:val="0"/>
          <w:sz w:val="22"/>
          <w:highlight w:val="none"/>
        </w:rPr>
      </w:pPr>
    </w:p>
    <w:p>
      <w:pPr>
        <w:autoSpaceDE w:val="0"/>
        <w:autoSpaceDN w:val="0"/>
        <w:adjustRightInd w:val="0"/>
        <w:spacing w:line="360" w:lineRule="auto"/>
        <w:rPr>
          <w:rFonts w:ascii="宋体" w:hAnsi="宋体" w:cs="宋体"/>
          <w:b/>
          <w:color w:val="auto"/>
          <w:kern w:val="0"/>
          <w:sz w:val="22"/>
          <w:highlight w:val="none"/>
        </w:rPr>
      </w:pPr>
      <w:r>
        <w:rPr>
          <w:rFonts w:hint="eastAsia" w:ascii="宋体" w:hAnsi="宋体" w:cs="宋体"/>
          <w:b/>
          <w:color w:val="auto"/>
          <w:kern w:val="0"/>
          <w:sz w:val="22"/>
          <w:highlight w:val="none"/>
        </w:rPr>
        <w:t>备注：按照货物名称（采购标的）分项列表填写。</w:t>
      </w:r>
    </w:p>
    <w:p>
      <w:pPr>
        <w:autoSpaceDE w:val="0"/>
        <w:autoSpaceDN w:val="0"/>
        <w:adjustRightInd w:val="0"/>
        <w:spacing w:line="360" w:lineRule="auto"/>
        <w:rPr>
          <w:rFonts w:ascii="宋体" w:hAnsi="宋体" w:cs="宋体"/>
          <w:color w:val="auto"/>
          <w:kern w:val="0"/>
          <w:sz w:val="22"/>
          <w:highlight w:val="none"/>
        </w:rPr>
      </w:pPr>
    </w:p>
    <w:p>
      <w:pPr>
        <w:autoSpaceDE w:val="0"/>
        <w:autoSpaceDN w:val="0"/>
        <w:adjustRightInd w:val="0"/>
        <w:spacing w:line="360" w:lineRule="auto"/>
        <w:rPr>
          <w:rFonts w:ascii="宋体" w:hAnsi="宋体" w:cs="宋体"/>
          <w:color w:val="auto"/>
          <w:kern w:val="0"/>
          <w:sz w:val="22"/>
          <w:highlight w:val="none"/>
        </w:rPr>
      </w:pPr>
      <w:r>
        <w:rPr>
          <w:rFonts w:ascii="宋体" w:hAnsi="宋体" w:cs="宋体"/>
          <w:color w:val="auto"/>
          <w:kern w:val="0"/>
          <w:sz w:val="22"/>
          <w:highlight w:val="none"/>
        </w:rPr>
        <w:t xml:space="preserve">供应商(单位名称)：                                          </w:t>
      </w:r>
    </w:p>
    <w:p>
      <w:pPr>
        <w:autoSpaceDE w:val="0"/>
        <w:autoSpaceDN w:val="0"/>
        <w:adjustRightInd w:val="0"/>
        <w:spacing w:line="360" w:lineRule="auto"/>
        <w:rPr>
          <w:rFonts w:ascii="宋体" w:hAnsi="宋体" w:cs="宋体"/>
          <w:color w:val="auto"/>
          <w:kern w:val="0"/>
          <w:sz w:val="22"/>
          <w:highlight w:val="none"/>
        </w:rPr>
      </w:pPr>
      <w:r>
        <w:rPr>
          <w:rFonts w:ascii="宋体" w:hAnsi="宋体" w:cs="宋体"/>
          <w:color w:val="auto"/>
          <w:kern w:val="0"/>
          <w:sz w:val="22"/>
          <w:highlight w:val="none"/>
        </w:rPr>
        <w:t>法定代表人（单位负责人）</w:t>
      </w:r>
    </w:p>
    <w:p>
      <w:pPr>
        <w:autoSpaceDE w:val="0"/>
        <w:autoSpaceDN w:val="0"/>
        <w:adjustRightInd w:val="0"/>
        <w:spacing w:line="360" w:lineRule="auto"/>
        <w:rPr>
          <w:rFonts w:ascii="宋体" w:hAnsi="宋体" w:cs="宋体"/>
          <w:color w:val="auto"/>
          <w:kern w:val="0"/>
          <w:sz w:val="22"/>
          <w:highlight w:val="none"/>
        </w:rPr>
      </w:pPr>
      <w:r>
        <w:rPr>
          <w:rFonts w:ascii="宋体" w:hAnsi="宋体" w:cs="宋体"/>
          <w:color w:val="auto"/>
          <w:kern w:val="0"/>
          <w:sz w:val="22"/>
          <w:highlight w:val="none"/>
        </w:rPr>
        <w:t xml:space="preserve">或委托代理人（签字或盖章）：                               </w:t>
      </w:r>
    </w:p>
    <w:p>
      <w:pPr>
        <w:autoSpaceDE w:val="0"/>
        <w:autoSpaceDN w:val="0"/>
        <w:adjustRightInd w:val="0"/>
        <w:spacing w:line="360" w:lineRule="auto"/>
        <w:jc w:val="center"/>
        <w:rPr>
          <w:rFonts w:ascii="宋体" w:hAnsi="宋体" w:cs="宋体"/>
          <w:color w:val="auto"/>
          <w:kern w:val="0"/>
          <w:sz w:val="22"/>
          <w:highlight w:val="none"/>
        </w:rPr>
      </w:pPr>
      <w:r>
        <w:rPr>
          <w:rFonts w:ascii="宋体" w:hAnsi="宋体" w:cs="宋体"/>
          <w:color w:val="auto"/>
          <w:kern w:val="0"/>
          <w:sz w:val="22"/>
          <w:highlight w:val="none"/>
        </w:rPr>
        <w:t>年</w:t>
      </w:r>
      <w:r>
        <w:rPr>
          <w:rFonts w:hint="eastAsia" w:ascii="宋体" w:hAnsi="宋体" w:cs="宋体"/>
          <w:color w:val="auto"/>
          <w:kern w:val="0"/>
          <w:sz w:val="22"/>
          <w:highlight w:val="none"/>
        </w:rPr>
        <w:t xml:space="preserve">  </w:t>
      </w:r>
      <w:r>
        <w:rPr>
          <w:rFonts w:ascii="宋体" w:hAnsi="宋体" w:cs="宋体"/>
          <w:color w:val="auto"/>
          <w:kern w:val="0"/>
          <w:sz w:val="22"/>
          <w:highlight w:val="none"/>
        </w:rPr>
        <w:t>月</w:t>
      </w:r>
      <w:r>
        <w:rPr>
          <w:rFonts w:hint="eastAsia" w:ascii="宋体" w:hAnsi="宋体" w:cs="宋体"/>
          <w:color w:val="auto"/>
          <w:kern w:val="0"/>
          <w:sz w:val="22"/>
          <w:highlight w:val="none"/>
        </w:rPr>
        <w:t xml:space="preserve">  </w:t>
      </w:r>
      <w:r>
        <w:rPr>
          <w:rFonts w:ascii="宋体" w:hAnsi="宋体" w:cs="宋体"/>
          <w:color w:val="auto"/>
          <w:kern w:val="0"/>
          <w:sz w:val="22"/>
          <w:highlight w:val="none"/>
        </w:rPr>
        <w:t>日</w:t>
      </w:r>
    </w:p>
    <w:p>
      <w:pPr>
        <w:rPr>
          <w:color w:val="auto"/>
          <w:highlight w:val="none"/>
        </w:rPr>
      </w:pPr>
      <w:r>
        <w:rPr>
          <w:rFonts w:hint="eastAsia"/>
          <w:color w:val="auto"/>
          <w:highlight w:val="none"/>
        </w:rPr>
        <w:br w:type="page"/>
      </w:r>
    </w:p>
    <w:p>
      <w:pPr>
        <w:pStyle w:val="2"/>
        <w:rPr>
          <w:color w:val="auto"/>
          <w:highlight w:val="none"/>
        </w:rPr>
      </w:pPr>
    </w:p>
    <w:p>
      <w:pPr>
        <w:spacing w:line="329" w:lineRule="exact"/>
        <w:jc w:val="center"/>
        <w:rPr>
          <w:rFonts w:ascii="宋体" w:hAnsi="宋体" w:cs="宋体"/>
          <w:b/>
          <w:color w:val="auto"/>
          <w:spacing w:val="2"/>
          <w:sz w:val="32"/>
          <w:szCs w:val="22"/>
          <w:highlight w:val="none"/>
        </w:rPr>
      </w:pPr>
      <w:r>
        <w:rPr>
          <w:rFonts w:hint="eastAsia" w:ascii="宋体" w:hAnsi="宋体" w:cs="宋体"/>
          <w:b/>
          <w:color w:val="auto"/>
          <w:spacing w:val="2"/>
          <w:sz w:val="32"/>
          <w:szCs w:val="22"/>
          <w:highlight w:val="none"/>
        </w:rPr>
        <w:t>二、法定代表人（单位负责人）身份证明</w:t>
      </w:r>
    </w:p>
    <w:p>
      <w:pPr>
        <w:spacing w:line="360" w:lineRule="auto"/>
        <w:ind w:firstLine="420" w:firstLineChars="200"/>
        <w:rPr>
          <w:rFonts w:ascii="宋体" w:hAnsi="宋体" w:cs="宋体"/>
          <w:color w:val="auto"/>
          <w:szCs w:val="22"/>
          <w:highlight w:val="none"/>
        </w:rPr>
      </w:pPr>
    </w:p>
    <w:p>
      <w:pPr>
        <w:spacing w:line="360" w:lineRule="auto"/>
        <w:rPr>
          <w:rFonts w:ascii="宋体" w:hAnsi="宋体" w:cs="宋体"/>
          <w:color w:val="auto"/>
          <w:szCs w:val="22"/>
          <w:highlight w:val="none"/>
          <w:u w:val="single"/>
        </w:rPr>
      </w:pPr>
      <w:r>
        <w:rPr>
          <w:rFonts w:hint="eastAsia" w:ascii="宋体" w:hAnsi="宋体" w:cs="宋体"/>
          <w:color w:val="auto"/>
          <w:szCs w:val="22"/>
          <w:highlight w:val="none"/>
        </w:rPr>
        <w:t>投标供应商名称：</w:t>
      </w:r>
    </w:p>
    <w:p>
      <w:pPr>
        <w:spacing w:before="218" w:line="221" w:lineRule="exact"/>
        <w:jc w:val="left"/>
        <w:rPr>
          <w:rFonts w:ascii="宋体" w:hAnsi="宋体" w:cs="宋体"/>
          <w:color w:val="auto"/>
          <w:spacing w:val="1"/>
          <w:szCs w:val="22"/>
          <w:highlight w:val="none"/>
          <w:u w:val="single"/>
        </w:rPr>
      </w:pPr>
      <w:r>
        <w:rPr>
          <w:rFonts w:hint="eastAsia" w:ascii="宋体" w:hAnsi="宋体" w:cs="宋体"/>
          <w:color w:val="auto"/>
          <w:spacing w:val="1"/>
          <w:szCs w:val="22"/>
          <w:highlight w:val="none"/>
        </w:rPr>
        <w:t>姓名：性别：</w:t>
      </w:r>
      <w:r>
        <w:rPr>
          <w:rFonts w:hint="eastAsia" w:ascii="宋体" w:hAnsi="宋体" w:cs="宋体"/>
          <w:color w:val="auto"/>
          <w:szCs w:val="22"/>
          <w:highlight w:val="none"/>
        </w:rPr>
        <w:t>年龄：职务：</w:t>
      </w:r>
    </w:p>
    <w:p>
      <w:pPr>
        <w:spacing w:before="218" w:line="221" w:lineRule="exact"/>
        <w:jc w:val="left"/>
        <w:rPr>
          <w:rFonts w:ascii="宋体" w:hAnsi="宋体" w:cs="宋体"/>
          <w:color w:val="auto"/>
          <w:szCs w:val="22"/>
          <w:highlight w:val="none"/>
        </w:rPr>
      </w:pPr>
      <w:r>
        <w:rPr>
          <w:rFonts w:hint="eastAsia" w:ascii="宋体" w:hAnsi="宋体" w:cs="宋体"/>
          <w:color w:val="auto"/>
          <w:szCs w:val="22"/>
          <w:highlight w:val="none"/>
        </w:rPr>
        <w:t>系</w:t>
      </w:r>
      <w:r>
        <w:rPr>
          <w:rFonts w:hint="eastAsia" w:ascii="宋体" w:hAnsi="宋体" w:cs="宋体"/>
          <w:color w:val="auto"/>
          <w:spacing w:val="-5"/>
          <w:szCs w:val="22"/>
          <w:highlight w:val="none"/>
          <w:u w:val="single"/>
        </w:rPr>
        <w:t>（投标供应商名称）</w:t>
      </w:r>
      <w:r>
        <w:rPr>
          <w:rFonts w:hint="eastAsia" w:ascii="宋体" w:hAnsi="宋体" w:cs="宋体"/>
          <w:color w:val="auto"/>
          <w:spacing w:val="-5"/>
          <w:szCs w:val="22"/>
          <w:highlight w:val="none"/>
        </w:rPr>
        <w:t>的法定代表人（单位负责人）。</w:t>
      </w:r>
    </w:p>
    <w:p>
      <w:pPr>
        <w:spacing w:before="218" w:line="221" w:lineRule="exact"/>
        <w:ind w:left="420"/>
        <w:jc w:val="left"/>
        <w:rPr>
          <w:rFonts w:ascii="宋体" w:hAnsi="宋体" w:cs="宋体"/>
          <w:color w:val="auto"/>
          <w:szCs w:val="22"/>
          <w:highlight w:val="none"/>
        </w:rPr>
      </w:pPr>
      <w:r>
        <w:rPr>
          <w:rFonts w:hint="eastAsia" w:ascii="宋体" w:hAnsi="宋体" w:cs="宋体"/>
          <w:color w:val="auto"/>
          <w:spacing w:val="1"/>
          <w:szCs w:val="22"/>
          <w:highlight w:val="none"/>
        </w:rPr>
        <w:t>特此证明。</w:t>
      </w:r>
    </w:p>
    <w:p>
      <w:pPr>
        <w:spacing w:before="660" w:line="221" w:lineRule="exact"/>
        <w:jc w:val="left"/>
        <w:rPr>
          <w:rFonts w:ascii="宋体" w:hAnsi="宋体" w:cs="宋体"/>
          <w:color w:val="auto"/>
          <w:szCs w:val="22"/>
          <w:highlight w:val="none"/>
        </w:rPr>
      </w:pPr>
      <w:r>
        <w:rPr>
          <w:rFonts w:hint="eastAsia" w:ascii="宋体" w:hAnsi="宋体" w:cs="宋体"/>
          <w:color w:val="auto"/>
          <w:szCs w:val="22"/>
          <w:highlight w:val="none"/>
        </w:rPr>
        <w:t>附：法定代表人（单位负责人）身份证复印件。</w:t>
      </w:r>
    </w:p>
    <w:p>
      <w:pPr>
        <w:pStyle w:val="2"/>
        <w:rPr>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0" w:hRule="atLeast"/>
          <w:jc w:val="center"/>
        </w:trPr>
        <w:tc>
          <w:tcPr>
            <w:tcW w:w="4100" w:type="dxa"/>
          </w:tcPr>
          <w:p>
            <w:pPr>
              <w:spacing w:before="657" w:line="360" w:lineRule="auto"/>
              <w:ind w:left="13" w:hanging="12" w:hangingChars="6"/>
              <w:jc w:val="center"/>
              <w:rPr>
                <w:rFonts w:ascii="宋体" w:hAnsi="宋体" w:cs="宋体"/>
                <w:color w:val="auto"/>
                <w:szCs w:val="22"/>
                <w:highlight w:val="none"/>
              </w:rPr>
            </w:pPr>
            <w:r>
              <w:rPr>
                <w:rFonts w:hint="eastAsia" w:ascii="宋体" w:hAnsi="宋体" w:cs="宋体"/>
                <w:color w:val="auto"/>
                <w:szCs w:val="22"/>
                <w:highlight w:val="none"/>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4100" w:type="dxa"/>
          </w:tcPr>
          <w:p>
            <w:pPr>
              <w:spacing w:before="657" w:line="360" w:lineRule="auto"/>
              <w:ind w:left="13" w:hanging="12" w:hangingChars="6"/>
              <w:jc w:val="center"/>
              <w:rPr>
                <w:rFonts w:ascii="宋体" w:hAnsi="宋体" w:cs="宋体"/>
                <w:color w:val="auto"/>
                <w:szCs w:val="22"/>
                <w:highlight w:val="none"/>
              </w:rPr>
            </w:pPr>
            <w:r>
              <w:rPr>
                <w:rFonts w:hint="eastAsia" w:ascii="宋体" w:hAnsi="宋体" w:cs="宋体"/>
                <w:color w:val="auto"/>
                <w:szCs w:val="22"/>
                <w:highlight w:val="none"/>
              </w:rPr>
              <w:t>身份证复印件</w:t>
            </w:r>
          </w:p>
        </w:tc>
      </w:tr>
    </w:tbl>
    <w:p>
      <w:pPr>
        <w:spacing w:before="657" w:line="221" w:lineRule="exact"/>
        <w:jc w:val="left"/>
        <w:rPr>
          <w:rFonts w:ascii="宋体" w:hAnsi="宋体" w:cs="宋体"/>
          <w:color w:val="auto"/>
          <w:szCs w:val="22"/>
          <w:highlight w:val="none"/>
        </w:rPr>
      </w:pPr>
      <w:r>
        <w:rPr>
          <w:rFonts w:hint="eastAsia" w:ascii="宋体" w:hAnsi="宋体" w:cs="宋体"/>
          <w:color w:val="auto"/>
          <w:szCs w:val="22"/>
          <w:highlight w:val="none"/>
        </w:rPr>
        <w:t>注：本身份证明需由投标供应商加盖单位公章。</w:t>
      </w:r>
    </w:p>
    <w:p>
      <w:pPr>
        <w:spacing w:before="1099" w:line="221" w:lineRule="exact"/>
        <w:ind w:left="4112"/>
        <w:jc w:val="left"/>
        <w:rPr>
          <w:rFonts w:ascii="宋体" w:hAnsi="宋体" w:cs="宋体"/>
          <w:color w:val="auto"/>
          <w:szCs w:val="22"/>
          <w:highlight w:val="none"/>
        </w:rPr>
      </w:pPr>
      <w:r>
        <w:rPr>
          <w:rFonts w:hint="eastAsia" w:ascii="宋体" w:hAnsi="宋体" w:cs="宋体"/>
          <w:color w:val="auto"/>
          <w:szCs w:val="22"/>
          <w:highlight w:val="none"/>
        </w:rPr>
        <w:t>投标供应商：（单位公章）</w:t>
      </w:r>
    </w:p>
    <w:p>
      <w:pPr>
        <w:spacing w:before="660" w:line="221" w:lineRule="exact"/>
        <w:ind w:right="424" w:firstLine="4240" w:firstLineChars="2000"/>
        <w:rPr>
          <w:rFonts w:ascii="宋体" w:hAnsi="宋体" w:cs="宋体"/>
          <w:color w:val="auto"/>
          <w:highlight w:val="none"/>
        </w:rPr>
        <w:sectPr>
          <w:headerReference r:id="rId6" w:type="default"/>
          <w:footerReference r:id="rId7" w:type="default"/>
          <w:pgSz w:w="11850" w:h="16783"/>
          <w:pgMar w:top="1440" w:right="1803" w:bottom="1440" w:left="1746" w:header="850" w:footer="992" w:gutter="0"/>
          <w:cols w:space="720" w:num="1"/>
          <w:docGrid w:type="lines" w:linePitch="319" w:charSpace="0"/>
        </w:sectPr>
      </w:pPr>
      <w:r>
        <w:rPr>
          <w:rFonts w:hint="eastAsia" w:ascii="宋体" w:hAnsi="宋体" w:cs="宋体"/>
          <w:color w:val="auto"/>
          <w:spacing w:val="1"/>
          <w:highlight w:val="none"/>
        </w:rPr>
        <w:t>年    月   日</w:t>
      </w:r>
    </w:p>
    <w:p>
      <w:pPr>
        <w:spacing w:before="660" w:line="221" w:lineRule="exact"/>
        <w:jc w:val="left"/>
        <w:rPr>
          <w:rFonts w:ascii="宋体" w:hAnsi="宋体" w:cs="宋体"/>
          <w:color w:val="auto"/>
          <w:szCs w:val="22"/>
          <w:highlight w:val="none"/>
        </w:rPr>
      </w:pPr>
    </w:p>
    <w:p>
      <w:pPr>
        <w:spacing w:line="329" w:lineRule="exact"/>
        <w:jc w:val="center"/>
        <w:rPr>
          <w:rFonts w:ascii="宋体" w:hAnsi="宋体" w:cs="宋体"/>
          <w:b/>
          <w:color w:val="auto"/>
          <w:spacing w:val="2"/>
          <w:sz w:val="32"/>
          <w:szCs w:val="22"/>
          <w:highlight w:val="none"/>
        </w:rPr>
      </w:pPr>
      <w:r>
        <w:rPr>
          <w:rFonts w:hint="eastAsia" w:ascii="宋体" w:hAnsi="宋体" w:cs="宋体"/>
          <w:b/>
          <w:color w:val="auto"/>
          <w:spacing w:val="2"/>
          <w:sz w:val="32"/>
          <w:szCs w:val="22"/>
          <w:highlight w:val="none"/>
        </w:rPr>
        <w:t>三、授权委托书</w:t>
      </w:r>
    </w:p>
    <w:p>
      <w:pPr>
        <w:spacing w:before="657" w:line="460" w:lineRule="exact"/>
        <w:ind w:left="11" w:firstLine="386" w:firstLineChars="184"/>
        <w:jc w:val="left"/>
        <w:rPr>
          <w:rFonts w:ascii="宋体" w:hAnsi="宋体" w:cs="宋体"/>
          <w:color w:val="auto"/>
          <w:szCs w:val="22"/>
          <w:highlight w:val="none"/>
        </w:rPr>
      </w:pPr>
      <w:r>
        <w:rPr>
          <w:rFonts w:hint="eastAsia" w:ascii="宋体" w:hAnsi="宋体" w:cs="宋体"/>
          <w:color w:val="auto"/>
          <w:szCs w:val="22"/>
          <w:highlight w:val="none"/>
        </w:rPr>
        <w:t>本人</w:t>
      </w:r>
      <w:r>
        <w:rPr>
          <w:rFonts w:hint="eastAsia" w:ascii="宋体" w:hAnsi="宋体" w:cs="宋体"/>
          <w:color w:val="auto"/>
          <w:szCs w:val="22"/>
          <w:highlight w:val="none"/>
          <w:u w:val="single"/>
        </w:rPr>
        <w:t xml:space="preserve"> （姓名） </w:t>
      </w:r>
      <w:r>
        <w:rPr>
          <w:rFonts w:hint="eastAsia" w:ascii="宋体" w:hAnsi="宋体" w:cs="宋体"/>
          <w:color w:val="auto"/>
          <w:szCs w:val="22"/>
          <w:highlight w:val="none"/>
        </w:rPr>
        <w:t>系</w:t>
      </w:r>
      <w:r>
        <w:rPr>
          <w:rFonts w:hint="eastAsia" w:ascii="宋体" w:hAnsi="宋体" w:cs="宋体"/>
          <w:color w:val="auto"/>
          <w:szCs w:val="22"/>
          <w:highlight w:val="none"/>
          <w:u w:val="single"/>
        </w:rPr>
        <w:t xml:space="preserve"> （投标供应商名称） </w:t>
      </w:r>
      <w:r>
        <w:rPr>
          <w:rFonts w:hint="eastAsia" w:ascii="宋体" w:hAnsi="宋体" w:cs="宋体"/>
          <w:color w:val="auto"/>
          <w:szCs w:val="22"/>
          <w:highlight w:val="none"/>
        </w:rPr>
        <w:t>的法定代表人（单位负责人），现委托</w:t>
      </w:r>
      <w:r>
        <w:rPr>
          <w:rFonts w:hint="eastAsia" w:ascii="宋体" w:hAnsi="宋体" w:cs="宋体"/>
          <w:color w:val="auto"/>
          <w:szCs w:val="22"/>
          <w:highlight w:val="none"/>
          <w:u w:val="single"/>
        </w:rPr>
        <w:t xml:space="preserve"> （姓名）</w:t>
      </w:r>
      <w:r>
        <w:rPr>
          <w:rFonts w:hint="eastAsia" w:ascii="宋体" w:hAnsi="宋体" w:cs="宋体"/>
          <w:color w:val="auto"/>
          <w:szCs w:val="22"/>
          <w:highlight w:val="none"/>
        </w:rPr>
        <w:t>为我方代理人。代理人根据授权，以我方名义签署、澄清确认、递交、撤回、修改</w:t>
      </w:r>
      <w:r>
        <w:rPr>
          <w:rFonts w:hint="eastAsia" w:ascii="宋体" w:hAnsi="宋体" w:cs="宋体"/>
          <w:color w:val="auto"/>
          <w:sz w:val="22"/>
          <w:szCs w:val="22"/>
          <w:highlight w:val="none"/>
          <w:u w:val="single"/>
        </w:rPr>
        <w:t>（项目名称）、（项目编号）</w:t>
      </w:r>
      <w:r>
        <w:rPr>
          <w:rFonts w:hint="eastAsia" w:ascii="宋体" w:hAnsi="宋体" w:cs="宋体"/>
          <w:color w:val="auto"/>
          <w:szCs w:val="22"/>
          <w:highlight w:val="none"/>
        </w:rPr>
        <w:t>招标项目投标文件、签订合同和处理有关事宜，其法律后果由我方承担。</w:t>
      </w:r>
    </w:p>
    <w:p>
      <w:pPr>
        <w:spacing w:before="240" w:line="460" w:lineRule="exact"/>
        <w:ind w:left="11" w:firstLine="386" w:firstLineChars="184"/>
        <w:jc w:val="left"/>
        <w:rPr>
          <w:rFonts w:ascii="宋体" w:hAnsi="宋体" w:cs="宋体"/>
          <w:color w:val="auto"/>
          <w:szCs w:val="22"/>
          <w:highlight w:val="none"/>
        </w:rPr>
      </w:pPr>
      <w:r>
        <w:rPr>
          <w:rFonts w:hint="eastAsia" w:ascii="宋体" w:hAnsi="宋体" w:cs="宋体"/>
          <w:color w:val="auto"/>
          <w:szCs w:val="22"/>
          <w:highlight w:val="none"/>
        </w:rPr>
        <w:t>该代理人无转委托权，本授权书自委托之日起生效至投标文件递交截止时间后90天。特此声明。</w:t>
      </w:r>
    </w:p>
    <w:p>
      <w:pPr>
        <w:spacing w:before="657" w:line="460" w:lineRule="exact"/>
        <w:ind w:left="11" w:firstLine="386" w:firstLineChars="184"/>
        <w:jc w:val="left"/>
        <w:rPr>
          <w:rFonts w:ascii="宋体" w:hAnsi="宋体" w:cs="宋体"/>
          <w:color w:val="auto"/>
          <w:szCs w:val="22"/>
          <w:highlight w:val="none"/>
        </w:rPr>
      </w:pPr>
      <w:r>
        <w:rPr>
          <w:rFonts w:hint="eastAsia" w:ascii="宋体" w:hAnsi="宋体" w:cs="宋体"/>
          <w:color w:val="auto"/>
          <w:szCs w:val="22"/>
          <w:highlight w:val="none"/>
        </w:rPr>
        <w:t>附：法定代表人（单位负责人）身份证复印件及委托代理人身份证复印件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0"/>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4100" w:type="dxa"/>
          </w:tcPr>
          <w:p>
            <w:pPr>
              <w:spacing w:before="657" w:line="360" w:lineRule="auto"/>
              <w:ind w:left="13" w:hanging="12" w:hangingChars="6"/>
              <w:jc w:val="center"/>
              <w:rPr>
                <w:rFonts w:ascii="宋体" w:hAnsi="宋体" w:cs="宋体"/>
                <w:color w:val="auto"/>
                <w:szCs w:val="22"/>
                <w:highlight w:val="none"/>
              </w:rPr>
            </w:pPr>
            <w:r>
              <w:rPr>
                <w:rFonts w:hint="eastAsia" w:ascii="宋体" w:hAnsi="宋体" w:cs="宋体"/>
                <w:color w:val="auto"/>
                <w:szCs w:val="22"/>
                <w:highlight w:val="none"/>
              </w:rPr>
              <w:t>身份证复印件</w:t>
            </w:r>
          </w:p>
        </w:tc>
        <w:tc>
          <w:tcPr>
            <w:tcW w:w="4100" w:type="dxa"/>
          </w:tcPr>
          <w:p>
            <w:pPr>
              <w:spacing w:before="657" w:line="360" w:lineRule="auto"/>
              <w:ind w:left="13" w:hanging="12" w:hangingChars="6"/>
              <w:jc w:val="center"/>
              <w:rPr>
                <w:rFonts w:ascii="宋体" w:hAnsi="宋体" w:cs="宋体"/>
                <w:color w:val="auto"/>
                <w:szCs w:val="22"/>
                <w:highlight w:val="none"/>
              </w:rPr>
            </w:pPr>
            <w:r>
              <w:rPr>
                <w:rFonts w:hint="eastAsia" w:ascii="宋体" w:hAnsi="宋体" w:cs="宋体"/>
                <w:color w:val="auto"/>
                <w:szCs w:val="22"/>
                <w:highlight w:val="none"/>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4100" w:type="dxa"/>
          </w:tcPr>
          <w:p>
            <w:pPr>
              <w:spacing w:before="657" w:line="360" w:lineRule="auto"/>
              <w:ind w:left="13" w:hanging="12" w:hangingChars="6"/>
              <w:jc w:val="center"/>
              <w:rPr>
                <w:rFonts w:ascii="宋体" w:hAnsi="宋体" w:cs="宋体"/>
                <w:color w:val="auto"/>
                <w:szCs w:val="22"/>
                <w:highlight w:val="none"/>
              </w:rPr>
            </w:pPr>
            <w:r>
              <w:rPr>
                <w:rFonts w:hint="eastAsia" w:ascii="宋体" w:hAnsi="宋体" w:cs="宋体"/>
                <w:color w:val="auto"/>
                <w:szCs w:val="22"/>
                <w:highlight w:val="none"/>
              </w:rPr>
              <w:t>身份证复印件</w:t>
            </w:r>
          </w:p>
        </w:tc>
        <w:tc>
          <w:tcPr>
            <w:tcW w:w="4100" w:type="dxa"/>
          </w:tcPr>
          <w:p>
            <w:pPr>
              <w:spacing w:before="657" w:line="360" w:lineRule="auto"/>
              <w:ind w:left="13" w:hanging="12" w:hangingChars="6"/>
              <w:jc w:val="center"/>
              <w:rPr>
                <w:rFonts w:ascii="宋体" w:hAnsi="宋体" w:cs="宋体"/>
                <w:color w:val="auto"/>
                <w:szCs w:val="22"/>
                <w:highlight w:val="none"/>
              </w:rPr>
            </w:pPr>
            <w:r>
              <w:rPr>
                <w:rFonts w:hint="eastAsia" w:ascii="宋体" w:hAnsi="宋体" w:cs="宋体"/>
                <w:color w:val="auto"/>
                <w:szCs w:val="22"/>
                <w:highlight w:val="none"/>
              </w:rPr>
              <w:t>身份证复印件</w:t>
            </w:r>
          </w:p>
        </w:tc>
      </w:tr>
    </w:tbl>
    <w:p>
      <w:pPr>
        <w:spacing w:line="460" w:lineRule="exact"/>
        <w:ind w:left="13" w:hanging="12" w:hangingChars="6"/>
        <w:jc w:val="left"/>
        <w:rPr>
          <w:rFonts w:ascii="宋体" w:hAnsi="宋体" w:cs="宋体"/>
          <w:color w:val="auto"/>
          <w:szCs w:val="22"/>
          <w:highlight w:val="none"/>
        </w:rPr>
      </w:pPr>
      <w:r>
        <w:rPr>
          <w:rFonts w:hint="eastAsia" w:ascii="宋体" w:hAnsi="宋体" w:cs="宋体"/>
          <w:color w:val="auto"/>
          <w:szCs w:val="22"/>
          <w:highlight w:val="none"/>
        </w:rPr>
        <w:t>注：本授权委托书需由投标供应商加盖单位公章并由其法定代表人（单位负责人）和委托代理人签字或盖盖章。</w:t>
      </w:r>
    </w:p>
    <w:p>
      <w:pPr>
        <w:spacing w:line="460" w:lineRule="exact"/>
        <w:ind w:left="13" w:hanging="12" w:hangingChars="6"/>
        <w:jc w:val="left"/>
        <w:rPr>
          <w:rFonts w:ascii="宋体" w:hAnsi="宋体" w:cs="宋体"/>
          <w:color w:val="auto"/>
          <w:szCs w:val="22"/>
          <w:highlight w:val="none"/>
        </w:rPr>
      </w:pPr>
      <w:r>
        <w:rPr>
          <w:rFonts w:hint="eastAsia" w:ascii="宋体" w:hAnsi="宋体" w:cs="宋体"/>
          <w:color w:val="auto"/>
          <w:szCs w:val="22"/>
          <w:highlight w:val="none"/>
        </w:rPr>
        <w:t xml:space="preserve">投标供应商（单位公章）：                    </w:t>
      </w:r>
    </w:p>
    <w:p>
      <w:pPr>
        <w:spacing w:line="460" w:lineRule="exact"/>
        <w:ind w:left="13" w:hanging="12" w:hangingChars="6"/>
        <w:jc w:val="left"/>
        <w:rPr>
          <w:rFonts w:ascii="宋体" w:hAnsi="宋体" w:cs="宋体"/>
          <w:color w:val="auto"/>
          <w:szCs w:val="22"/>
          <w:highlight w:val="none"/>
        </w:rPr>
      </w:pPr>
      <w:r>
        <w:rPr>
          <w:rFonts w:hint="eastAsia" w:ascii="宋体" w:hAnsi="宋体" w:cs="宋体"/>
          <w:color w:val="auto"/>
          <w:szCs w:val="22"/>
          <w:highlight w:val="none"/>
        </w:rPr>
        <w:t xml:space="preserve">法定代表人（单位负责人）（签字或盖章）：   </w:t>
      </w:r>
    </w:p>
    <w:p>
      <w:pPr>
        <w:spacing w:line="460" w:lineRule="exact"/>
        <w:ind w:left="13" w:hanging="12" w:hangingChars="6"/>
        <w:jc w:val="left"/>
        <w:rPr>
          <w:rFonts w:ascii="宋体" w:hAnsi="宋体" w:cs="宋体"/>
          <w:color w:val="auto"/>
          <w:szCs w:val="22"/>
          <w:highlight w:val="none"/>
        </w:rPr>
      </w:pPr>
      <w:r>
        <w:rPr>
          <w:rFonts w:hint="eastAsia" w:ascii="宋体" w:hAnsi="宋体" w:cs="宋体"/>
          <w:color w:val="auto"/>
          <w:szCs w:val="22"/>
          <w:highlight w:val="none"/>
        </w:rPr>
        <w:t xml:space="preserve">委托代理人（签字或盖章）： </w:t>
      </w:r>
    </w:p>
    <w:p>
      <w:pPr>
        <w:spacing w:line="460" w:lineRule="exact"/>
        <w:ind w:left="13" w:hanging="12" w:hangingChars="6"/>
        <w:jc w:val="right"/>
        <w:rPr>
          <w:rFonts w:ascii="宋体" w:hAnsi="宋体" w:cs="宋体"/>
          <w:color w:val="auto"/>
          <w:highlight w:val="none"/>
        </w:rPr>
        <w:sectPr>
          <w:pgSz w:w="11850" w:h="16783"/>
          <w:pgMar w:top="1440" w:right="1803" w:bottom="1440" w:left="1803" w:header="850" w:footer="992" w:gutter="0"/>
          <w:cols w:space="720" w:num="1"/>
          <w:docGrid w:type="lines" w:linePitch="319" w:charSpace="0"/>
        </w:sectPr>
      </w:pPr>
      <w:r>
        <w:rPr>
          <w:rFonts w:hint="eastAsia" w:ascii="宋体" w:hAnsi="宋体" w:cs="宋体"/>
          <w:color w:val="auto"/>
          <w:szCs w:val="22"/>
          <w:highlight w:val="none"/>
        </w:rPr>
        <w:t>年    月    日</w:t>
      </w:r>
    </w:p>
    <w:p>
      <w:pPr>
        <w:spacing w:line="329" w:lineRule="exact"/>
        <w:jc w:val="center"/>
        <w:rPr>
          <w:rFonts w:ascii="宋体" w:hAnsi="宋体" w:cs="宋体"/>
          <w:b/>
          <w:color w:val="auto"/>
          <w:spacing w:val="2"/>
          <w:sz w:val="32"/>
          <w:szCs w:val="22"/>
          <w:highlight w:val="none"/>
        </w:rPr>
      </w:pPr>
      <w:r>
        <w:rPr>
          <w:rFonts w:hint="eastAsia" w:ascii="宋体" w:hAnsi="宋体" w:cs="宋体"/>
          <w:b/>
          <w:color w:val="auto"/>
          <w:spacing w:val="2"/>
          <w:sz w:val="32"/>
          <w:szCs w:val="22"/>
          <w:highlight w:val="none"/>
        </w:rPr>
        <w:t>四、商务和技术偏差表</w:t>
      </w:r>
    </w:p>
    <w:p>
      <w:pPr>
        <w:spacing w:line="329" w:lineRule="exact"/>
        <w:ind w:left="400"/>
        <w:jc w:val="left"/>
        <w:rPr>
          <w:rFonts w:ascii="宋体" w:hAnsi="宋体" w:cs="宋体"/>
          <w:color w:val="auto"/>
          <w:sz w:val="32"/>
          <w:szCs w:val="22"/>
          <w:highlight w:val="none"/>
        </w:rPr>
      </w:pPr>
    </w:p>
    <w:p>
      <w:pPr>
        <w:spacing w:line="329" w:lineRule="exact"/>
        <w:ind w:left="400"/>
        <w:jc w:val="left"/>
        <w:rPr>
          <w:rFonts w:ascii="宋体" w:hAnsi="宋体" w:cs="宋体"/>
          <w:color w:val="auto"/>
          <w:sz w:val="32"/>
          <w:szCs w:val="22"/>
          <w:highlight w:val="none"/>
        </w:rPr>
      </w:pPr>
      <w:r>
        <w:rPr>
          <w:rFonts w:hint="eastAsia" w:ascii="宋体" w:hAnsi="宋体" w:cs="宋体"/>
          <w:b/>
          <w:bCs/>
          <w:color w:val="auto"/>
          <w:szCs w:val="16"/>
          <w:highlight w:val="none"/>
        </w:rPr>
        <w:t>（一）商务偏差表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3"/>
        <w:gridCol w:w="3349"/>
        <w:gridCol w:w="302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3" w:type="dxa"/>
            <w:vAlign w:val="center"/>
          </w:tcPr>
          <w:p>
            <w:pPr>
              <w:spacing w:line="360" w:lineRule="auto"/>
              <w:jc w:val="center"/>
              <w:rPr>
                <w:rFonts w:ascii="宋体" w:hAnsi="宋体" w:cs="宋体"/>
                <w:color w:val="auto"/>
                <w:spacing w:val="1"/>
                <w:szCs w:val="22"/>
                <w:highlight w:val="none"/>
              </w:rPr>
            </w:pPr>
            <w:r>
              <w:rPr>
                <w:rFonts w:hint="eastAsia" w:ascii="宋体" w:hAnsi="宋体" w:cs="宋体"/>
                <w:color w:val="auto"/>
                <w:spacing w:val="1"/>
                <w:szCs w:val="22"/>
                <w:highlight w:val="none"/>
              </w:rPr>
              <w:t>序号</w:t>
            </w:r>
          </w:p>
        </w:tc>
        <w:tc>
          <w:tcPr>
            <w:tcW w:w="3349" w:type="dxa"/>
            <w:vAlign w:val="center"/>
          </w:tcPr>
          <w:p>
            <w:pPr>
              <w:spacing w:line="360" w:lineRule="auto"/>
              <w:jc w:val="center"/>
              <w:rPr>
                <w:rFonts w:ascii="宋体" w:hAnsi="宋体" w:cs="宋体"/>
                <w:color w:val="auto"/>
                <w:spacing w:val="1"/>
                <w:szCs w:val="22"/>
                <w:highlight w:val="none"/>
              </w:rPr>
            </w:pPr>
            <w:r>
              <w:rPr>
                <w:rFonts w:hint="eastAsia" w:ascii="宋体" w:hAnsi="宋体" w:cs="宋体"/>
                <w:color w:val="auto"/>
                <w:spacing w:val="1"/>
                <w:szCs w:val="22"/>
                <w:highlight w:val="none"/>
              </w:rPr>
              <w:t>招标文件要求内容</w:t>
            </w:r>
          </w:p>
        </w:tc>
        <w:tc>
          <w:tcPr>
            <w:tcW w:w="3029" w:type="dxa"/>
            <w:vAlign w:val="center"/>
          </w:tcPr>
          <w:p>
            <w:pPr>
              <w:spacing w:line="360" w:lineRule="auto"/>
              <w:jc w:val="center"/>
              <w:rPr>
                <w:rFonts w:ascii="宋体" w:hAnsi="宋体" w:cs="宋体"/>
                <w:color w:val="auto"/>
                <w:spacing w:val="1"/>
                <w:szCs w:val="22"/>
                <w:highlight w:val="none"/>
              </w:rPr>
            </w:pPr>
            <w:r>
              <w:rPr>
                <w:rFonts w:hint="eastAsia" w:ascii="宋体" w:hAnsi="宋体" w:cs="宋体"/>
                <w:color w:val="auto"/>
                <w:spacing w:val="1"/>
                <w:szCs w:val="22"/>
                <w:highlight w:val="none"/>
              </w:rPr>
              <w:t>投标文件响应内容</w:t>
            </w:r>
          </w:p>
        </w:tc>
        <w:tc>
          <w:tcPr>
            <w:tcW w:w="1383" w:type="dxa"/>
            <w:vAlign w:val="center"/>
          </w:tcPr>
          <w:p>
            <w:pPr>
              <w:spacing w:line="360" w:lineRule="auto"/>
              <w:jc w:val="center"/>
              <w:rPr>
                <w:rFonts w:ascii="宋体" w:hAnsi="宋体" w:cs="宋体"/>
                <w:color w:val="auto"/>
                <w:spacing w:val="1"/>
                <w:szCs w:val="22"/>
                <w:highlight w:val="none"/>
              </w:rPr>
            </w:pPr>
            <w:r>
              <w:rPr>
                <w:rFonts w:hint="eastAsia" w:ascii="宋体" w:hAnsi="宋体" w:cs="宋体"/>
                <w:color w:val="auto"/>
                <w:spacing w:val="1"/>
                <w:szCs w:val="22"/>
                <w:highlight w:val="none"/>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3" w:type="dxa"/>
            <w:vAlign w:val="center"/>
          </w:tcPr>
          <w:p>
            <w:pPr>
              <w:spacing w:line="221" w:lineRule="exact"/>
              <w:jc w:val="center"/>
              <w:rPr>
                <w:rFonts w:ascii="宋体" w:hAnsi="宋体" w:cs="宋体"/>
                <w:color w:val="auto"/>
                <w:spacing w:val="1"/>
                <w:szCs w:val="22"/>
                <w:highlight w:val="none"/>
              </w:rPr>
            </w:pPr>
            <w:r>
              <w:rPr>
                <w:rFonts w:hint="eastAsia" w:ascii="宋体" w:hAnsi="宋体" w:cs="宋体"/>
                <w:color w:val="auto"/>
                <w:spacing w:val="1"/>
                <w:szCs w:val="22"/>
                <w:highlight w:val="none"/>
              </w:rPr>
              <w:t>1</w:t>
            </w:r>
          </w:p>
        </w:tc>
        <w:tc>
          <w:tcPr>
            <w:tcW w:w="3349" w:type="dxa"/>
            <w:vAlign w:val="center"/>
          </w:tcPr>
          <w:p>
            <w:pPr>
              <w:spacing w:line="221" w:lineRule="exact"/>
              <w:jc w:val="center"/>
              <w:rPr>
                <w:rFonts w:ascii="宋体" w:hAnsi="宋体" w:cs="宋体"/>
                <w:color w:val="auto"/>
                <w:spacing w:val="1"/>
                <w:szCs w:val="22"/>
                <w:highlight w:val="none"/>
              </w:rPr>
            </w:pPr>
          </w:p>
        </w:tc>
        <w:tc>
          <w:tcPr>
            <w:tcW w:w="3029" w:type="dxa"/>
            <w:vAlign w:val="center"/>
          </w:tcPr>
          <w:p>
            <w:pPr>
              <w:spacing w:line="221" w:lineRule="exact"/>
              <w:jc w:val="center"/>
              <w:rPr>
                <w:rFonts w:ascii="宋体" w:hAnsi="宋体" w:cs="宋体"/>
                <w:color w:val="auto"/>
                <w:spacing w:val="1"/>
                <w:szCs w:val="22"/>
                <w:highlight w:val="none"/>
              </w:rPr>
            </w:pPr>
          </w:p>
        </w:tc>
        <w:tc>
          <w:tcPr>
            <w:tcW w:w="1383" w:type="dxa"/>
            <w:vAlign w:val="center"/>
          </w:tcPr>
          <w:p>
            <w:pPr>
              <w:spacing w:line="221" w:lineRule="exact"/>
              <w:jc w:val="center"/>
              <w:rPr>
                <w:rFonts w:ascii="宋体" w:hAnsi="宋体" w:cs="宋体"/>
                <w:color w:val="auto"/>
                <w:spacing w:val="1"/>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3" w:type="dxa"/>
            <w:vAlign w:val="center"/>
          </w:tcPr>
          <w:p>
            <w:pPr>
              <w:spacing w:line="221" w:lineRule="exact"/>
              <w:jc w:val="center"/>
              <w:rPr>
                <w:rFonts w:ascii="宋体" w:hAnsi="宋体" w:cs="宋体"/>
                <w:color w:val="auto"/>
                <w:spacing w:val="1"/>
                <w:szCs w:val="22"/>
                <w:highlight w:val="none"/>
              </w:rPr>
            </w:pPr>
            <w:r>
              <w:rPr>
                <w:rFonts w:hint="eastAsia" w:ascii="宋体" w:hAnsi="宋体" w:cs="宋体"/>
                <w:color w:val="auto"/>
                <w:spacing w:val="1"/>
                <w:szCs w:val="22"/>
                <w:highlight w:val="none"/>
              </w:rPr>
              <w:t>2</w:t>
            </w:r>
          </w:p>
        </w:tc>
        <w:tc>
          <w:tcPr>
            <w:tcW w:w="3349" w:type="dxa"/>
            <w:vAlign w:val="center"/>
          </w:tcPr>
          <w:p>
            <w:pPr>
              <w:spacing w:line="221" w:lineRule="exact"/>
              <w:jc w:val="center"/>
              <w:rPr>
                <w:rFonts w:ascii="宋体" w:hAnsi="宋体" w:cs="宋体"/>
                <w:color w:val="auto"/>
                <w:spacing w:val="1"/>
                <w:szCs w:val="22"/>
                <w:highlight w:val="none"/>
              </w:rPr>
            </w:pPr>
          </w:p>
        </w:tc>
        <w:tc>
          <w:tcPr>
            <w:tcW w:w="3029" w:type="dxa"/>
            <w:vAlign w:val="center"/>
          </w:tcPr>
          <w:p>
            <w:pPr>
              <w:spacing w:line="221" w:lineRule="exact"/>
              <w:jc w:val="center"/>
              <w:rPr>
                <w:rFonts w:ascii="宋体" w:hAnsi="宋体" w:cs="宋体"/>
                <w:color w:val="auto"/>
                <w:spacing w:val="1"/>
                <w:szCs w:val="22"/>
                <w:highlight w:val="none"/>
              </w:rPr>
            </w:pPr>
          </w:p>
        </w:tc>
        <w:tc>
          <w:tcPr>
            <w:tcW w:w="1383" w:type="dxa"/>
            <w:vAlign w:val="center"/>
          </w:tcPr>
          <w:p>
            <w:pPr>
              <w:spacing w:line="221" w:lineRule="exact"/>
              <w:jc w:val="center"/>
              <w:rPr>
                <w:rFonts w:ascii="宋体" w:hAnsi="宋体" w:cs="宋体"/>
                <w:color w:val="auto"/>
                <w:spacing w:val="1"/>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3" w:type="dxa"/>
            <w:vAlign w:val="center"/>
          </w:tcPr>
          <w:p>
            <w:pPr>
              <w:spacing w:line="221" w:lineRule="exact"/>
              <w:jc w:val="center"/>
              <w:rPr>
                <w:rFonts w:ascii="宋体" w:hAnsi="宋体" w:cs="宋体"/>
                <w:color w:val="auto"/>
                <w:spacing w:val="1"/>
                <w:szCs w:val="22"/>
                <w:highlight w:val="none"/>
              </w:rPr>
            </w:pPr>
            <w:r>
              <w:rPr>
                <w:rFonts w:hint="eastAsia" w:ascii="宋体" w:hAnsi="宋体" w:cs="宋体"/>
                <w:color w:val="auto"/>
                <w:spacing w:val="1"/>
                <w:szCs w:val="22"/>
                <w:highlight w:val="none"/>
              </w:rPr>
              <w:t>3</w:t>
            </w:r>
          </w:p>
        </w:tc>
        <w:tc>
          <w:tcPr>
            <w:tcW w:w="3349" w:type="dxa"/>
            <w:vAlign w:val="center"/>
          </w:tcPr>
          <w:p>
            <w:pPr>
              <w:spacing w:line="221" w:lineRule="exact"/>
              <w:jc w:val="center"/>
              <w:rPr>
                <w:rFonts w:ascii="宋体" w:hAnsi="宋体" w:cs="宋体"/>
                <w:color w:val="auto"/>
                <w:spacing w:val="1"/>
                <w:szCs w:val="22"/>
                <w:highlight w:val="none"/>
              </w:rPr>
            </w:pPr>
          </w:p>
        </w:tc>
        <w:tc>
          <w:tcPr>
            <w:tcW w:w="3029" w:type="dxa"/>
            <w:vAlign w:val="center"/>
          </w:tcPr>
          <w:p>
            <w:pPr>
              <w:spacing w:line="221" w:lineRule="exact"/>
              <w:jc w:val="center"/>
              <w:rPr>
                <w:rFonts w:ascii="宋体" w:hAnsi="宋体" w:cs="宋体"/>
                <w:color w:val="auto"/>
                <w:spacing w:val="1"/>
                <w:szCs w:val="22"/>
                <w:highlight w:val="none"/>
              </w:rPr>
            </w:pPr>
          </w:p>
        </w:tc>
        <w:tc>
          <w:tcPr>
            <w:tcW w:w="1383" w:type="dxa"/>
            <w:vAlign w:val="center"/>
          </w:tcPr>
          <w:p>
            <w:pPr>
              <w:spacing w:line="221" w:lineRule="exact"/>
              <w:jc w:val="center"/>
              <w:rPr>
                <w:rFonts w:ascii="宋体" w:hAnsi="宋体" w:cs="宋体"/>
                <w:color w:val="auto"/>
                <w:spacing w:val="1"/>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3" w:type="dxa"/>
            <w:vAlign w:val="center"/>
          </w:tcPr>
          <w:p>
            <w:pPr>
              <w:spacing w:line="221" w:lineRule="exact"/>
              <w:jc w:val="center"/>
              <w:rPr>
                <w:rFonts w:ascii="宋体" w:hAnsi="宋体" w:cs="宋体"/>
                <w:color w:val="auto"/>
                <w:spacing w:val="1"/>
                <w:szCs w:val="22"/>
                <w:highlight w:val="none"/>
              </w:rPr>
            </w:pPr>
            <w:r>
              <w:rPr>
                <w:rFonts w:hint="eastAsia" w:ascii="宋体" w:hAnsi="宋体" w:cs="宋体"/>
                <w:color w:val="auto"/>
                <w:spacing w:val="1"/>
                <w:szCs w:val="22"/>
                <w:highlight w:val="none"/>
              </w:rPr>
              <w:t>4</w:t>
            </w:r>
          </w:p>
        </w:tc>
        <w:tc>
          <w:tcPr>
            <w:tcW w:w="3349" w:type="dxa"/>
            <w:vAlign w:val="center"/>
          </w:tcPr>
          <w:p>
            <w:pPr>
              <w:spacing w:line="221" w:lineRule="exact"/>
              <w:jc w:val="center"/>
              <w:rPr>
                <w:rFonts w:ascii="宋体" w:hAnsi="宋体" w:cs="宋体"/>
                <w:color w:val="auto"/>
                <w:spacing w:val="1"/>
                <w:szCs w:val="22"/>
                <w:highlight w:val="none"/>
              </w:rPr>
            </w:pPr>
          </w:p>
        </w:tc>
        <w:tc>
          <w:tcPr>
            <w:tcW w:w="3029" w:type="dxa"/>
            <w:vAlign w:val="center"/>
          </w:tcPr>
          <w:p>
            <w:pPr>
              <w:spacing w:line="221" w:lineRule="exact"/>
              <w:jc w:val="center"/>
              <w:rPr>
                <w:rFonts w:ascii="宋体" w:hAnsi="宋体" w:cs="宋体"/>
                <w:color w:val="auto"/>
                <w:spacing w:val="1"/>
                <w:szCs w:val="22"/>
                <w:highlight w:val="none"/>
              </w:rPr>
            </w:pPr>
          </w:p>
        </w:tc>
        <w:tc>
          <w:tcPr>
            <w:tcW w:w="1383" w:type="dxa"/>
            <w:vAlign w:val="center"/>
          </w:tcPr>
          <w:p>
            <w:pPr>
              <w:spacing w:line="221" w:lineRule="exact"/>
              <w:jc w:val="center"/>
              <w:rPr>
                <w:rFonts w:ascii="宋体" w:hAnsi="宋体" w:cs="宋体"/>
                <w:color w:val="auto"/>
                <w:spacing w:val="1"/>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3" w:type="dxa"/>
            <w:vAlign w:val="center"/>
          </w:tcPr>
          <w:p>
            <w:pPr>
              <w:spacing w:line="221" w:lineRule="exact"/>
              <w:jc w:val="center"/>
              <w:rPr>
                <w:rFonts w:ascii="宋体" w:hAnsi="宋体" w:cs="宋体"/>
                <w:color w:val="auto"/>
                <w:spacing w:val="1"/>
                <w:szCs w:val="22"/>
                <w:highlight w:val="none"/>
              </w:rPr>
            </w:pPr>
            <w:r>
              <w:rPr>
                <w:rFonts w:hint="eastAsia" w:ascii="宋体" w:hAnsi="宋体" w:cs="宋体"/>
                <w:color w:val="auto"/>
                <w:spacing w:val="1"/>
                <w:szCs w:val="22"/>
                <w:highlight w:val="none"/>
              </w:rPr>
              <w:t>5</w:t>
            </w:r>
          </w:p>
        </w:tc>
        <w:tc>
          <w:tcPr>
            <w:tcW w:w="3349" w:type="dxa"/>
            <w:vAlign w:val="center"/>
          </w:tcPr>
          <w:p>
            <w:pPr>
              <w:spacing w:line="221" w:lineRule="exact"/>
              <w:jc w:val="center"/>
              <w:rPr>
                <w:rFonts w:ascii="宋体" w:hAnsi="宋体" w:cs="宋体"/>
                <w:color w:val="auto"/>
                <w:spacing w:val="1"/>
                <w:szCs w:val="22"/>
                <w:highlight w:val="none"/>
              </w:rPr>
            </w:pPr>
          </w:p>
        </w:tc>
        <w:tc>
          <w:tcPr>
            <w:tcW w:w="3029" w:type="dxa"/>
            <w:vAlign w:val="center"/>
          </w:tcPr>
          <w:p>
            <w:pPr>
              <w:spacing w:line="221" w:lineRule="exact"/>
              <w:jc w:val="center"/>
              <w:rPr>
                <w:rFonts w:ascii="宋体" w:hAnsi="宋体" w:cs="宋体"/>
                <w:color w:val="auto"/>
                <w:spacing w:val="1"/>
                <w:szCs w:val="22"/>
                <w:highlight w:val="none"/>
              </w:rPr>
            </w:pPr>
          </w:p>
        </w:tc>
        <w:tc>
          <w:tcPr>
            <w:tcW w:w="1383" w:type="dxa"/>
            <w:vAlign w:val="center"/>
          </w:tcPr>
          <w:p>
            <w:pPr>
              <w:spacing w:line="221" w:lineRule="exact"/>
              <w:jc w:val="center"/>
              <w:rPr>
                <w:rFonts w:ascii="宋体" w:hAnsi="宋体" w:cs="宋体"/>
                <w:color w:val="auto"/>
                <w:spacing w:val="1"/>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3" w:type="dxa"/>
            <w:vAlign w:val="center"/>
          </w:tcPr>
          <w:p>
            <w:pPr>
              <w:spacing w:line="360" w:lineRule="auto"/>
              <w:jc w:val="center"/>
              <w:rPr>
                <w:rFonts w:ascii="宋体" w:hAnsi="宋体" w:cs="宋体"/>
                <w:b/>
                <w:bCs/>
                <w:color w:val="auto"/>
                <w:spacing w:val="1"/>
                <w:szCs w:val="22"/>
                <w:highlight w:val="none"/>
              </w:rPr>
            </w:pPr>
            <w:r>
              <w:rPr>
                <w:rFonts w:hint="eastAsia" w:ascii="宋体" w:hAnsi="宋体" w:cs="宋体"/>
                <w:b/>
                <w:bCs/>
                <w:color w:val="auto"/>
                <w:spacing w:val="1"/>
                <w:szCs w:val="22"/>
                <w:highlight w:val="none"/>
              </w:rPr>
              <w:t>备注</w:t>
            </w:r>
          </w:p>
        </w:tc>
        <w:tc>
          <w:tcPr>
            <w:tcW w:w="7761" w:type="dxa"/>
            <w:gridSpan w:val="3"/>
            <w:vAlign w:val="center"/>
          </w:tcPr>
          <w:p>
            <w:pPr>
              <w:spacing w:line="360" w:lineRule="auto"/>
              <w:jc w:val="left"/>
              <w:rPr>
                <w:rFonts w:ascii="宋体" w:hAnsi="宋体" w:cs="宋体"/>
                <w:b/>
                <w:bCs/>
                <w:color w:val="auto"/>
                <w:spacing w:val="1"/>
                <w:szCs w:val="22"/>
                <w:highlight w:val="none"/>
              </w:rPr>
            </w:pPr>
            <w:r>
              <w:rPr>
                <w:rFonts w:hint="eastAsia" w:ascii="宋体" w:hAnsi="宋体" w:cs="宋体"/>
                <w:b/>
                <w:bCs/>
                <w:color w:val="auto"/>
                <w:szCs w:val="22"/>
                <w:highlight w:val="none"/>
              </w:rPr>
              <w:t>除已在偏差表中列出的偏差外完全响应招标文件的全部商务要求。</w:t>
            </w:r>
          </w:p>
        </w:tc>
      </w:tr>
    </w:tbl>
    <w:p>
      <w:pPr>
        <w:spacing w:line="360" w:lineRule="auto"/>
        <w:jc w:val="left"/>
        <w:rPr>
          <w:rFonts w:ascii="宋体" w:hAnsi="宋体" w:cs="宋体"/>
          <w:color w:val="auto"/>
          <w:szCs w:val="22"/>
          <w:highlight w:val="none"/>
        </w:rPr>
      </w:pPr>
    </w:p>
    <w:p>
      <w:pPr>
        <w:spacing w:line="360" w:lineRule="auto"/>
        <w:jc w:val="left"/>
        <w:rPr>
          <w:rFonts w:ascii="宋体" w:hAnsi="宋体" w:cs="宋体"/>
          <w:b/>
          <w:bCs/>
          <w:color w:val="auto"/>
          <w:szCs w:val="22"/>
          <w:highlight w:val="none"/>
        </w:rPr>
      </w:pPr>
      <w:r>
        <w:rPr>
          <w:rFonts w:hint="eastAsia" w:ascii="宋体" w:hAnsi="宋体" w:cs="宋体"/>
          <w:b/>
          <w:bCs/>
          <w:color w:val="auto"/>
          <w:szCs w:val="22"/>
          <w:highlight w:val="none"/>
        </w:rPr>
        <w:t>注：</w:t>
      </w:r>
    </w:p>
    <w:p>
      <w:pPr>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1、除商务偏差表列出的偏差外，投标供应商响应招标文件的全部要求，</w:t>
      </w:r>
      <w:r>
        <w:rPr>
          <w:rFonts w:hint="eastAsia" w:ascii="宋体" w:hAnsi="宋体" w:cs="宋体"/>
          <w:b/>
          <w:bCs/>
          <w:color w:val="auto"/>
          <w:szCs w:val="22"/>
          <w:highlight w:val="none"/>
        </w:rPr>
        <w:t>如投标供应商无偏差的，需在表格备注中注明除已在偏差表中列出的偏差外完全响应招标文件的全部商务要求，并提供此表。</w:t>
      </w:r>
    </w:p>
    <w:p>
      <w:pPr>
        <w:spacing w:line="360" w:lineRule="auto"/>
        <w:ind w:firstLine="422" w:firstLineChars="200"/>
        <w:rPr>
          <w:rFonts w:ascii="宋体" w:hAnsi="宋体" w:cs="宋体"/>
          <w:b/>
          <w:bCs/>
          <w:color w:val="auto"/>
          <w:szCs w:val="22"/>
          <w:highlight w:val="none"/>
        </w:rPr>
      </w:pPr>
      <w:r>
        <w:rPr>
          <w:rFonts w:hint="eastAsia" w:ascii="宋体" w:hAnsi="宋体" w:cs="宋体"/>
          <w:b/>
          <w:bCs/>
          <w:color w:val="auto"/>
          <w:szCs w:val="22"/>
          <w:highlight w:val="none"/>
        </w:rPr>
        <w:t>2、投标供应商必须据实填写，不得虚假响应，否则将按照评标办法及招标文件有关规定处理。</w:t>
      </w:r>
    </w:p>
    <w:p>
      <w:pPr>
        <w:spacing w:line="360" w:lineRule="auto"/>
        <w:ind w:firstLine="422" w:firstLineChars="200"/>
        <w:rPr>
          <w:rFonts w:ascii="宋体" w:hAnsi="宋体" w:cs="宋体"/>
          <w:b/>
          <w:bCs/>
          <w:color w:val="auto"/>
          <w:szCs w:val="22"/>
          <w:highlight w:val="none"/>
        </w:rPr>
      </w:pPr>
      <w:r>
        <w:rPr>
          <w:rFonts w:hint="eastAsia" w:ascii="宋体" w:hAnsi="宋体" w:cs="宋体"/>
          <w:b/>
          <w:bCs/>
          <w:color w:val="auto"/>
          <w:szCs w:val="22"/>
          <w:highlight w:val="none"/>
        </w:rPr>
        <w:t>3、</w:t>
      </w:r>
      <w:r>
        <w:rPr>
          <w:rFonts w:hint="eastAsia" w:ascii="宋体" w:hAnsi="宋体" w:cs="宋体"/>
          <w:b/>
          <w:bCs/>
          <w:color w:val="auto"/>
          <w:szCs w:val="20"/>
          <w:highlight w:val="none"/>
        </w:rPr>
        <w:t>表格不够可自行添加。</w:t>
      </w:r>
    </w:p>
    <w:p>
      <w:pPr>
        <w:spacing w:line="360" w:lineRule="auto"/>
        <w:rPr>
          <w:rFonts w:ascii="宋体" w:hAnsi="宋体" w:cs="宋体"/>
          <w:b/>
          <w:bCs/>
          <w:color w:val="auto"/>
          <w:szCs w:val="22"/>
          <w:highlight w:val="none"/>
        </w:rPr>
      </w:pPr>
    </w:p>
    <w:p>
      <w:pPr>
        <w:spacing w:line="720" w:lineRule="auto"/>
        <w:ind w:firstLine="420" w:firstLineChars="200"/>
        <w:jc w:val="left"/>
        <w:rPr>
          <w:rFonts w:ascii="宋体" w:hAnsi="宋体" w:cs="宋体"/>
          <w:color w:val="auto"/>
          <w:szCs w:val="22"/>
          <w:highlight w:val="none"/>
        </w:rPr>
      </w:pPr>
    </w:p>
    <w:p>
      <w:pPr>
        <w:spacing w:line="720" w:lineRule="auto"/>
        <w:ind w:firstLine="420" w:firstLineChars="200"/>
        <w:jc w:val="left"/>
        <w:rPr>
          <w:rFonts w:ascii="宋体" w:hAnsi="宋体" w:cs="宋体"/>
          <w:color w:val="auto"/>
          <w:szCs w:val="22"/>
          <w:highlight w:val="none"/>
        </w:rPr>
      </w:pPr>
      <w:r>
        <w:rPr>
          <w:rFonts w:hint="eastAsia" w:ascii="宋体" w:hAnsi="宋体" w:cs="宋体"/>
          <w:color w:val="auto"/>
          <w:szCs w:val="22"/>
          <w:highlight w:val="none"/>
        </w:rPr>
        <w:t>投标供应商：（单位公章）</w:t>
      </w:r>
    </w:p>
    <w:p>
      <w:pPr>
        <w:spacing w:line="720" w:lineRule="auto"/>
        <w:ind w:firstLine="420" w:firstLineChars="200"/>
        <w:jc w:val="left"/>
        <w:rPr>
          <w:rFonts w:ascii="宋体" w:hAnsi="宋体" w:cs="宋体"/>
          <w:color w:val="auto"/>
          <w:szCs w:val="22"/>
          <w:highlight w:val="none"/>
        </w:rPr>
      </w:pPr>
      <w:r>
        <w:rPr>
          <w:rFonts w:hint="eastAsia" w:ascii="宋体" w:hAnsi="宋体" w:cs="宋体"/>
          <w:color w:val="auto"/>
          <w:szCs w:val="22"/>
          <w:highlight w:val="none"/>
        </w:rPr>
        <w:t>法定代表人（单位负责人）或委托代理人：（签字或盖章）</w:t>
      </w:r>
    </w:p>
    <w:p>
      <w:pPr>
        <w:spacing w:line="720" w:lineRule="auto"/>
        <w:ind w:firstLine="420" w:firstLineChars="200"/>
        <w:jc w:val="right"/>
        <w:rPr>
          <w:rFonts w:ascii="宋体" w:hAnsi="宋体" w:cs="宋体"/>
          <w:color w:val="auto"/>
          <w:szCs w:val="22"/>
          <w:highlight w:val="none"/>
        </w:rPr>
      </w:pPr>
      <w:r>
        <w:rPr>
          <w:rFonts w:hint="eastAsia" w:ascii="宋体" w:hAnsi="宋体" w:cs="宋体"/>
          <w:color w:val="auto"/>
          <w:szCs w:val="22"/>
          <w:highlight w:val="none"/>
        </w:rPr>
        <w:t>年    月    日</w:t>
      </w:r>
    </w:p>
    <w:p>
      <w:pPr>
        <w:spacing w:line="329" w:lineRule="exact"/>
        <w:ind w:left="400"/>
        <w:jc w:val="left"/>
        <w:rPr>
          <w:rFonts w:ascii="宋体" w:hAnsi="宋体" w:cs="宋体"/>
          <w:b/>
          <w:bCs/>
          <w:color w:val="auto"/>
          <w:szCs w:val="16"/>
          <w:highlight w:val="none"/>
        </w:rPr>
      </w:pPr>
      <w:r>
        <w:rPr>
          <w:rFonts w:hint="eastAsia" w:ascii="宋体" w:hAnsi="宋体" w:cs="宋体"/>
          <w:b/>
          <w:bCs/>
          <w:color w:val="auto"/>
          <w:szCs w:val="16"/>
          <w:highlight w:val="none"/>
        </w:rPr>
        <w:t>（二）技术偏差表</w:t>
      </w:r>
    </w:p>
    <w:p>
      <w:pPr>
        <w:spacing w:line="329" w:lineRule="exact"/>
        <w:ind w:left="400"/>
        <w:jc w:val="left"/>
        <w:rPr>
          <w:rFonts w:ascii="宋体" w:hAnsi="宋体" w:cs="宋体"/>
          <w:b/>
          <w:bCs/>
          <w:color w:val="auto"/>
          <w:szCs w:val="16"/>
          <w:highlight w:val="none"/>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802"/>
        <w:gridCol w:w="1991"/>
        <w:gridCol w:w="2476"/>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2" w:type="dxa"/>
            <w:vAlign w:val="center"/>
          </w:tcPr>
          <w:p>
            <w:pPr>
              <w:spacing w:line="400" w:lineRule="exact"/>
              <w:jc w:val="center"/>
              <w:rPr>
                <w:rFonts w:ascii="宋体" w:hAnsi="宋体" w:cs="宋体"/>
                <w:b/>
                <w:bCs/>
                <w:color w:val="auto"/>
                <w:spacing w:val="1"/>
                <w:szCs w:val="22"/>
                <w:highlight w:val="none"/>
              </w:rPr>
            </w:pPr>
            <w:r>
              <w:rPr>
                <w:rFonts w:hint="eastAsia" w:ascii="宋体" w:hAnsi="宋体" w:cs="宋体"/>
                <w:b/>
                <w:bCs/>
                <w:color w:val="auto"/>
                <w:spacing w:val="1"/>
                <w:szCs w:val="22"/>
                <w:highlight w:val="none"/>
              </w:rPr>
              <w:t>序号</w:t>
            </w:r>
          </w:p>
        </w:tc>
        <w:tc>
          <w:tcPr>
            <w:tcW w:w="1802" w:type="dxa"/>
            <w:vAlign w:val="center"/>
          </w:tcPr>
          <w:p>
            <w:pPr>
              <w:spacing w:line="400" w:lineRule="exact"/>
              <w:jc w:val="center"/>
              <w:rPr>
                <w:rFonts w:ascii="宋体" w:hAnsi="宋体" w:cs="宋体"/>
                <w:b/>
                <w:bCs/>
                <w:color w:val="auto"/>
                <w:spacing w:val="1"/>
                <w:szCs w:val="22"/>
                <w:highlight w:val="none"/>
              </w:rPr>
            </w:pPr>
            <w:r>
              <w:rPr>
                <w:rFonts w:hint="eastAsia" w:ascii="宋体" w:hAnsi="宋体" w:cs="宋体"/>
                <w:b/>
                <w:bCs/>
                <w:color w:val="auto"/>
                <w:spacing w:val="1"/>
                <w:szCs w:val="22"/>
                <w:highlight w:val="none"/>
              </w:rPr>
              <w:t>货物名称</w:t>
            </w:r>
          </w:p>
        </w:tc>
        <w:tc>
          <w:tcPr>
            <w:tcW w:w="1991" w:type="dxa"/>
            <w:vAlign w:val="center"/>
          </w:tcPr>
          <w:p>
            <w:pPr>
              <w:spacing w:line="400" w:lineRule="exact"/>
              <w:jc w:val="center"/>
              <w:rPr>
                <w:rFonts w:ascii="宋体" w:hAnsi="宋体" w:cs="宋体"/>
                <w:b/>
                <w:bCs/>
                <w:color w:val="auto"/>
                <w:spacing w:val="1"/>
                <w:szCs w:val="22"/>
                <w:highlight w:val="none"/>
              </w:rPr>
            </w:pPr>
            <w:r>
              <w:rPr>
                <w:rFonts w:hint="eastAsia" w:ascii="宋体" w:hAnsi="宋体" w:cs="宋体"/>
                <w:b/>
                <w:bCs/>
                <w:color w:val="auto"/>
                <w:spacing w:val="1"/>
                <w:szCs w:val="22"/>
                <w:highlight w:val="none"/>
              </w:rPr>
              <w:t>招标文件技术要求</w:t>
            </w:r>
          </w:p>
          <w:p>
            <w:pPr>
              <w:spacing w:line="400" w:lineRule="exact"/>
              <w:jc w:val="center"/>
              <w:rPr>
                <w:rFonts w:ascii="宋体" w:hAnsi="宋体" w:cs="宋体"/>
                <w:b/>
                <w:bCs/>
                <w:color w:val="auto"/>
                <w:spacing w:val="1"/>
                <w:szCs w:val="22"/>
                <w:highlight w:val="none"/>
              </w:rPr>
            </w:pPr>
            <w:r>
              <w:rPr>
                <w:rFonts w:hint="eastAsia" w:ascii="宋体" w:hAnsi="宋体" w:cs="宋体"/>
                <w:b/>
                <w:bCs/>
                <w:color w:val="auto"/>
                <w:spacing w:val="1"/>
                <w:szCs w:val="22"/>
                <w:highlight w:val="none"/>
              </w:rPr>
              <w:t>（主要参数）</w:t>
            </w:r>
          </w:p>
        </w:tc>
        <w:tc>
          <w:tcPr>
            <w:tcW w:w="2476" w:type="dxa"/>
            <w:vAlign w:val="center"/>
          </w:tcPr>
          <w:p>
            <w:pPr>
              <w:spacing w:line="400" w:lineRule="exact"/>
              <w:jc w:val="center"/>
              <w:rPr>
                <w:rFonts w:ascii="宋体" w:hAnsi="宋体" w:cs="宋体"/>
                <w:b/>
                <w:bCs/>
                <w:color w:val="auto"/>
                <w:spacing w:val="1"/>
                <w:szCs w:val="22"/>
                <w:highlight w:val="none"/>
              </w:rPr>
            </w:pPr>
            <w:r>
              <w:rPr>
                <w:rFonts w:hint="eastAsia" w:ascii="宋体" w:hAnsi="宋体" w:cs="宋体"/>
                <w:b/>
                <w:bCs/>
                <w:color w:val="auto"/>
                <w:spacing w:val="1"/>
                <w:szCs w:val="22"/>
                <w:highlight w:val="none"/>
              </w:rPr>
              <w:t>投标文件响应技术要求</w:t>
            </w:r>
          </w:p>
          <w:p>
            <w:pPr>
              <w:spacing w:line="400" w:lineRule="exact"/>
              <w:jc w:val="center"/>
              <w:rPr>
                <w:rFonts w:ascii="宋体" w:hAnsi="宋体" w:cs="宋体"/>
                <w:b/>
                <w:bCs/>
                <w:color w:val="auto"/>
                <w:spacing w:val="1"/>
                <w:szCs w:val="22"/>
                <w:highlight w:val="none"/>
              </w:rPr>
            </w:pPr>
            <w:r>
              <w:rPr>
                <w:rFonts w:hint="eastAsia" w:ascii="宋体" w:hAnsi="宋体" w:cs="宋体"/>
                <w:b/>
                <w:bCs/>
                <w:color w:val="auto"/>
                <w:spacing w:val="1"/>
                <w:szCs w:val="22"/>
                <w:highlight w:val="none"/>
              </w:rPr>
              <w:t>（主要参数）</w:t>
            </w:r>
          </w:p>
        </w:tc>
        <w:tc>
          <w:tcPr>
            <w:tcW w:w="1383" w:type="dxa"/>
            <w:vAlign w:val="center"/>
          </w:tcPr>
          <w:p>
            <w:pPr>
              <w:spacing w:line="400" w:lineRule="exact"/>
              <w:jc w:val="center"/>
              <w:rPr>
                <w:rFonts w:ascii="宋体" w:hAnsi="宋体" w:cs="宋体"/>
                <w:b/>
                <w:bCs/>
                <w:color w:val="auto"/>
                <w:spacing w:val="1"/>
                <w:szCs w:val="22"/>
                <w:highlight w:val="none"/>
              </w:rPr>
            </w:pPr>
            <w:r>
              <w:rPr>
                <w:rFonts w:hint="eastAsia" w:ascii="宋体" w:hAnsi="宋体" w:cs="宋体"/>
                <w:b/>
                <w:bCs/>
                <w:color w:val="auto"/>
                <w:spacing w:val="1"/>
                <w:szCs w:val="22"/>
                <w:highlight w:val="none"/>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2" w:type="dxa"/>
            <w:vAlign w:val="center"/>
          </w:tcPr>
          <w:p>
            <w:pPr>
              <w:spacing w:line="400" w:lineRule="exact"/>
              <w:jc w:val="center"/>
              <w:rPr>
                <w:rFonts w:ascii="宋体" w:hAnsi="宋体" w:cs="宋体"/>
                <w:color w:val="auto"/>
                <w:spacing w:val="1"/>
                <w:szCs w:val="22"/>
                <w:highlight w:val="none"/>
              </w:rPr>
            </w:pPr>
          </w:p>
        </w:tc>
        <w:tc>
          <w:tcPr>
            <w:tcW w:w="1802" w:type="dxa"/>
            <w:vAlign w:val="center"/>
          </w:tcPr>
          <w:p>
            <w:pPr>
              <w:spacing w:line="400" w:lineRule="exact"/>
              <w:jc w:val="center"/>
              <w:rPr>
                <w:rFonts w:ascii="宋体" w:hAnsi="宋体" w:cs="宋体"/>
                <w:color w:val="auto"/>
                <w:spacing w:val="1"/>
                <w:szCs w:val="22"/>
                <w:highlight w:val="none"/>
              </w:rPr>
            </w:pPr>
          </w:p>
        </w:tc>
        <w:tc>
          <w:tcPr>
            <w:tcW w:w="1991" w:type="dxa"/>
            <w:vAlign w:val="center"/>
          </w:tcPr>
          <w:p>
            <w:pPr>
              <w:spacing w:line="400" w:lineRule="exact"/>
              <w:jc w:val="center"/>
              <w:rPr>
                <w:rFonts w:ascii="宋体" w:hAnsi="宋体" w:cs="宋体"/>
                <w:color w:val="auto"/>
                <w:spacing w:val="1"/>
                <w:szCs w:val="22"/>
                <w:highlight w:val="none"/>
              </w:rPr>
            </w:pPr>
          </w:p>
        </w:tc>
        <w:tc>
          <w:tcPr>
            <w:tcW w:w="2476" w:type="dxa"/>
            <w:vAlign w:val="center"/>
          </w:tcPr>
          <w:p>
            <w:pPr>
              <w:spacing w:line="400" w:lineRule="exact"/>
              <w:jc w:val="center"/>
              <w:rPr>
                <w:rFonts w:ascii="宋体" w:hAnsi="宋体" w:cs="宋体"/>
                <w:color w:val="auto"/>
                <w:spacing w:val="1"/>
                <w:szCs w:val="22"/>
                <w:highlight w:val="none"/>
              </w:rPr>
            </w:pPr>
          </w:p>
        </w:tc>
        <w:tc>
          <w:tcPr>
            <w:tcW w:w="1383" w:type="dxa"/>
            <w:vAlign w:val="center"/>
          </w:tcPr>
          <w:p>
            <w:pPr>
              <w:spacing w:line="400" w:lineRule="exact"/>
              <w:jc w:val="center"/>
              <w:rPr>
                <w:rFonts w:ascii="宋体" w:hAnsi="宋体" w:cs="宋体"/>
                <w:color w:val="auto"/>
                <w:spacing w:val="1"/>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2" w:type="dxa"/>
            <w:vAlign w:val="center"/>
          </w:tcPr>
          <w:p>
            <w:pPr>
              <w:spacing w:line="400" w:lineRule="exact"/>
              <w:jc w:val="center"/>
              <w:rPr>
                <w:rFonts w:ascii="宋体" w:hAnsi="宋体" w:cs="宋体"/>
                <w:color w:val="auto"/>
                <w:spacing w:val="1"/>
                <w:szCs w:val="22"/>
                <w:highlight w:val="none"/>
              </w:rPr>
            </w:pPr>
          </w:p>
        </w:tc>
        <w:tc>
          <w:tcPr>
            <w:tcW w:w="1802" w:type="dxa"/>
            <w:vAlign w:val="center"/>
          </w:tcPr>
          <w:p>
            <w:pPr>
              <w:spacing w:line="400" w:lineRule="exact"/>
              <w:jc w:val="center"/>
              <w:rPr>
                <w:rFonts w:ascii="宋体" w:hAnsi="宋体" w:cs="宋体"/>
                <w:color w:val="auto"/>
                <w:spacing w:val="1"/>
                <w:szCs w:val="22"/>
                <w:highlight w:val="none"/>
              </w:rPr>
            </w:pPr>
          </w:p>
        </w:tc>
        <w:tc>
          <w:tcPr>
            <w:tcW w:w="1991" w:type="dxa"/>
            <w:vAlign w:val="center"/>
          </w:tcPr>
          <w:p>
            <w:pPr>
              <w:spacing w:line="400" w:lineRule="exact"/>
              <w:jc w:val="center"/>
              <w:rPr>
                <w:rFonts w:ascii="宋体" w:hAnsi="宋体" w:cs="宋体"/>
                <w:color w:val="auto"/>
                <w:spacing w:val="1"/>
                <w:szCs w:val="22"/>
                <w:highlight w:val="none"/>
              </w:rPr>
            </w:pPr>
          </w:p>
        </w:tc>
        <w:tc>
          <w:tcPr>
            <w:tcW w:w="2476" w:type="dxa"/>
            <w:vAlign w:val="center"/>
          </w:tcPr>
          <w:p>
            <w:pPr>
              <w:spacing w:line="400" w:lineRule="exact"/>
              <w:jc w:val="center"/>
              <w:rPr>
                <w:rFonts w:ascii="宋体" w:hAnsi="宋体" w:cs="宋体"/>
                <w:color w:val="auto"/>
                <w:spacing w:val="1"/>
                <w:szCs w:val="22"/>
                <w:highlight w:val="none"/>
              </w:rPr>
            </w:pPr>
          </w:p>
        </w:tc>
        <w:tc>
          <w:tcPr>
            <w:tcW w:w="1383" w:type="dxa"/>
            <w:vAlign w:val="center"/>
          </w:tcPr>
          <w:p>
            <w:pPr>
              <w:spacing w:line="400" w:lineRule="exact"/>
              <w:jc w:val="center"/>
              <w:rPr>
                <w:rFonts w:ascii="宋体" w:hAnsi="宋体" w:cs="宋体"/>
                <w:color w:val="auto"/>
                <w:spacing w:val="1"/>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2" w:type="dxa"/>
            <w:vAlign w:val="center"/>
          </w:tcPr>
          <w:p>
            <w:pPr>
              <w:spacing w:line="400" w:lineRule="exact"/>
              <w:jc w:val="center"/>
              <w:rPr>
                <w:rFonts w:ascii="宋体" w:hAnsi="宋体" w:cs="宋体"/>
                <w:color w:val="auto"/>
                <w:spacing w:val="1"/>
                <w:szCs w:val="22"/>
                <w:highlight w:val="none"/>
              </w:rPr>
            </w:pPr>
          </w:p>
        </w:tc>
        <w:tc>
          <w:tcPr>
            <w:tcW w:w="1802" w:type="dxa"/>
            <w:vAlign w:val="center"/>
          </w:tcPr>
          <w:p>
            <w:pPr>
              <w:spacing w:line="400" w:lineRule="exact"/>
              <w:jc w:val="center"/>
              <w:rPr>
                <w:rFonts w:ascii="宋体" w:hAnsi="宋体" w:cs="宋体"/>
                <w:color w:val="auto"/>
                <w:spacing w:val="1"/>
                <w:szCs w:val="22"/>
                <w:highlight w:val="none"/>
              </w:rPr>
            </w:pPr>
          </w:p>
        </w:tc>
        <w:tc>
          <w:tcPr>
            <w:tcW w:w="1991" w:type="dxa"/>
            <w:vAlign w:val="center"/>
          </w:tcPr>
          <w:p>
            <w:pPr>
              <w:spacing w:line="400" w:lineRule="exact"/>
              <w:jc w:val="center"/>
              <w:rPr>
                <w:rFonts w:ascii="宋体" w:hAnsi="宋体" w:cs="宋体"/>
                <w:color w:val="auto"/>
                <w:spacing w:val="1"/>
                <w:szCs w:val="22"/>
                <w:highlight w:val="none"/>
              </w:rPr>
            </w:pPr>
          </w:p>
        </w:tc>
        <w:tc>
          <w:tcPr>
            <w:tcW w:w="2476" w:type="dxa"/>
            <w:vAlign w:val="center"/>
          </w:tcPr>
          <w:p>
            <w:pPr>
              <w:spacing w:line="400" w:lineRule="exact"/>
              <w:jc w:val="center"/>
              <w:rPr>
                <w:rFonts w:ascii="宋体" w:hAnsi="宋体" w:cs="宋体"/>
                <w:color w:val="auto"/>
                <w:spacing w:val="1"/>
                <w:szCs w:val="22"/>
                <w:highlight w:val="none"/>
              </w:rPr>
            </w:pPr>
          </w:p>
        </w:tc>
        <w:tc>
          <w:tcPr>
            <w:tcW w:w="1383" w:type="dxa"/>
            <w:vAlign w:val="center"/>
          </w:tcPr>
          <w:p>
            <w:pPr>
              <w:spacing w:line="400" w:lineRule="exact"/>
              <w:jc w:val="center"/>
              <w:rPr>
                <w:rFonts w:ascii="宋体" w:hAnsi="宋体" w:cs="宋体"/>
                <w:color w:val="auto"/>
                <w:spacing w:val="1"/>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2" w:type="dxa"/>
            <w:vAlign w:val="center"/>
          </w:tcPr>
          <w:p>
            <w:pPr>
              <w:spacing w:line="400" w:lineRule="exact"/>
              <w:jc w:val="center"/>
              <w:rPr>
                <w:rFonts w:ascii="宋体" w:hAnsi="宋体" w:cs="宋体"/>
                <w:color w:val="auto"/>
                <w:spacing w:val="1"/>
                <w:szCs w:val="22"/>
                <w:highlight w:val="none"/>
              </w:rPr>
            </w:pPr>
          </w:p>
        </w:tc>
        <w:tc>
          <w:tcPr>
            <w:tcW w:w="1802" w:type="dxa"/>
            <w:vAlign w:val="center"/>
          </w:tcPr>
          <w:p>
            <w:pPr>
              <w:spacing w:line="400" w:lineRule="exact"/>
              <w:jc w:val="center"/>
              <w:rPr>
                <w:rFonts w:ascii="宋体" w:hAnsi="宋体" w:cs="宋体"/>
                <w:color w:val="auto"/>
                <w:spacing w:val="1"/>
                <w:szCs w:val="22"/>
                <w:highlight w:val="none"/>
              </w:rPr>
            </w:pPr>
          </w:p>
        </w:tc>
        <w:tc>
          <w:tcPr>
            <w:tcW w:w="1991" w:type="dxa"/>
            <w:vAlign w:val="center"/>
          </w:tcPr>
          <w:p>
            <w:pPr>
              <w:spacing w:line="400" w:lineRule="exact"/>
              <w:jc w:val="center"/>
              <w:rPr>
                <w:rFonts w:ascii="宋体" w:hAnsi="宋体" w:cs="宋体"/>
                <w:color w:val="auto"/>
                <w:spacing w:val="1"/>
                <w:szCs w:val="22"/>
                <w:highlight w:val="none"/>
              </w:rPr>
            </w:pPr>
          </w:p>
        </w:tc>
        <w:tc>
          <w:tcPr>
            <w:tcW w:w="2476" w:type="dxa"/>
            <w:vAlign w:val="center"/>
          </w:tcPr>
          <w:p>
            <w:pPr>
              <w:spacing w:line="400" w:lineRule="exact"/>
              <w:jc w:val="center"/>
              <w:rPr>
                <w:rFonts w:ascii="宋体" w:hAnsi="宋体" w:cs="宋体"/>
                <w:color w:val="auto"/>
                <w:spacing w:val="1"/>
                <w:szCs w:val="22"/>
                <w:highlight w:val="none"/>
              </w:rPr>
            </w:pPr>
          </w:p>
        </w:tc>
        <w:tc>
          <w:tcPr>
            <w:tcW w:w="1383" w:type="dxa"/>
            <w:vAlign w:val="center"/>
          </w:tcPr>
          <w:p>
            <w:pPr>
              <w:spacing w:line="400" w:lineRule="exact"/>
              <w:jc w:val="center"/>
              <w:rPr>
                <w:rFonts w:ascii="宋体" w:hAnsi="宋体" w:cs="宋体"/>
                <w:color w:val="auto"/>
                <w:spacing w:val="1"/>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2" w:type="dxa"/>
            <w:vAlign w:val="center"/>
          </w:tcPr>
          <w:p>
            <w:pPr>
              <w:spacing w:line="400" w:lineRule="exact"/>
              <w:jc w:val="center"/>
              <w:rPr>
                <w:rFonts w:ascii="宋体" w:hAnsi="宋体" w:cs="宋体"/>
                <w:color w:val="auto"/>
                <w:spacing w:val="1"/>
                <w:szCs w:val="22"/>
                <w:highlight w:val="none"/>
              </w:rPr>
            </w:pPr>
          </w:p>
        </w:tc>
        <w:tc>
          <w:tcPr>
            <w:tcW w:w="1802" w:type="dxa"/>
            <w:vAlign w:val="center"/>
          </w:tcPr>
          <w:p>
            <w:pPr>
              <w:spacing w:line="400" w:lineRule="exact"/>
              <w:jc w:val="center"/>
              <w:rPr>
                <w:rFonts w:ascii="宋体" w:hAnsi="宋体" w:cs="宋体"/>
                <w:color w:val="auto"/>
                <w:spacing w:val="1"/>
                <w:szCs w:val="22"/>
                <w:highlight w:val="none"/>
              </w:rPr>
            </w:pPr>
          </w:p>
        </w:tc>
        <w:tc>
          <w:tcPr>
            <w:tcW w:w="1991" w:type="dxa"/>
            <w:vAlign w:val="center"/>
          </w:tcPr>
          <w:p>
            <w:pPr>
              <w:spacing w:line="400" w:lineRule="exact"/>
              <w:jc w:val="center"/>
              <w:rPr>
                <w:rFonts w:ascii="宋体" w:hAnsi="宋体" w:cs="宋体"/>
                <w:color w:val="auto"/>
                <w:spacing w:val="1"/>
                <w:szCs w:val="22"/>
                <w:highlight w:val="none"/>
              </w:rPr>
            </w:pPr>
          </w:p>
        </w:tc>
        <w:tc>
          <w:tcPr>
            <w:tcW w:w="2476" w:type="dxa"/>
            <w:vAlign w:val="center"/>
          </w:tcPr>
          <w:p>
            <w:pPr>
              <w:spacing w:line="400" w:lineRule="exact"/>
              <w:jc w:val="center"/>
              <w:rPr>
                <w:rFonts w:ascii="宋体" w:hAnsi="宋体" w:cs="宋体"/>
                <w:color w:val="auto"/>
                <w:spacing w:val="1"/>
                <w:szCs w:val="22"/>
                <w:highlight w:val="none"/>
              </w:rPr>
            </w:pPr>
          </w:p>
        </w:tc>
        <w:tc>
          <w:tcPr>
            <w:tcW w:w="1383" w:type="dxa"/>
            <w:vAlign w:val="center"/>
          </w:tcPr>
          <w:p>
            <w:pPr>
              <w:spacing w:line="400" w:lineRule="exact"/>
              <w:jc w:val="center"/>
              <w:rPr>
                <w:rFonts w:ascii="宋体" w:hAnsi="宋体" w:cs="宋体"/>
                <w:color w:val="auto"/>
                <w:spacing w:val="1"/>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2" w:type="dxa"/>
            <w:vAlign w:val="center"/>
          </w:tcPr>
          <w:p>
            <w:pPr>
              <w:spacing w:line="400" w:lineRule="exact"/>
              <w:jc w:val="center"/>
              <w:rPr>
                <w:rFonts w:ascii="宋体" w:hAnsi="宋体" w:cs="宋体"/>
                <w:color w:val="auto"/>
                <w:spacing w:val="1"/>
                <w:szCs w:val="22"/>
                <w:highlight w:val="none"/>
              </w:rPr>
            </w:pPr>
          </w:p>
        </w:tc>
        <w:tc>
          <w:tcPr>
            <w:tcW w:w="1802" w:type="dxa"/>
            <w:vAlign w:val="center"/>
          </w:tcPr>
          <w:p>
            <w:pPr>
              <w:spacing w:line="400" w:lineRule="exact"/>
              <w:jc w:val="center"/>
              <w:rPr>
                <w:rFonts w:ascii="宋体" w:hAnsi="宋体" w:cs="宋体"/>
                <w:color w:val="auto"/>
                <w:spacing w:val="1"/>
                <w:szCs w:val="22"/>
                <w:highlight w:val="none"/>
              </w:rPr>
            </w:pPr>
          </w:p>
        </w:tc>
        <w:tc>
          <w:tcPr>
            <w:tcW w:w="1991" w:type="dxa"/>
            <w:vAlign w:val="center"/>
          </w:tcPr>
          <w:p>
            <w:pPr>
              <w:spacing w:line="400" w:lineRule="exact"/>
              <w:jc w:val="center"/>
              <w:rPr>
                <w:rFonts w:ascii="宋体" w:hAnsi="宋体" w:cs="宋体"/>
                <w:color w:val="auto"/>
                <w:spacing w:val="1"/>
                <w:szCs w:val="22"/>
                <w:highlight w:val="none"/>
              </w:rPr>
            </w:pPr>
          </w:p>
        </w:tc>
        <w:tc>
          <w:tcPr>
            <w:tcW w:w="2476" w:type="dxa"/>
            <w:vAlign w:val="center"/>
          </w:tcPr>
          <w:p>
            <w:pPr>
              <w:spacing w:line="400" w:lineRule="exact"/>
              <w:jc w:val="center"/>
              <w:rPr>
                <w:rFonts w:ascii="宋体" w:hAnsi="宋体" w:cs="宋体"/>
                <w:color w:val="auto"/>
                <w:spacing w:val="1"/>
                <w:szCs w:val="22"/>
                <w:highlight w:val="none"/>
              </w:rPr>
            </w:pPr>
          </w:p>
        </w:tc>
        <w:tc>
          <w:tcPr>
            <w:tcW w:w="1383" w:type="dxa"/>
            <w:vAlign w:val="center"/>
          </w:tcPr>
          <w:p>
            <w:pPr>
              <w:spacing w:line="400" w:lineRule="exact"/>
              <w:jc w:val="center"/>
              <w:rPr>
                <w:rFonts w:ascii="宋体" w:hAnsi="宋体" w:cs="宋体"/>
                <w:color w:val="auto"/>
                <w:spacing w:val="1"/>
                <w:szCs w:val="22"/>
                <w:highlight w:val="none"/>
              </w:rPr>
            </w:pPr>
          </w:p>
        </w:tc>
      </w:tr>
    </w:tbl>
    <w:p>
      <w:pPr>
        <w:spacing w:line="360" w:lineRule="auto"/>
        <w:jc w:val="left"/>
        <w:rPr>
          <w:rFonts w:ascii="宋体" w:hAnsi="宋体" w:cs="宋体"/>
          <w:color w:val="auto"/>
          <w:szCs w:val="22"/>
          <w:highlight w:val="none"/>
        </w:rPr>
      </w:pPr>
    </w:p>
    <w:p>
      <w:pPr>
        <w:spacing w:line="360" w:lineRule="auto"/>
        <w:ind w:left="422" w:hanging="422" w:hangingChars="200"/>
        <w:rPr>
          <w:rFonts w:ascii="宋体" w:hAnsi="宋体" w:cs="宋体"/>
          <w:b/>
          <w:bCs/>
          <w:color w:val="auto"/>
          <w:szCs w:val="20"/>
          <w:highlight w:val="none"/>
        </w:rPr>
      </w:pPr>
      <w:r>
        <w:rPr>
          <w:rFonts w:hint="eastAsia" w:ascii="宋体" w:hAnsi="宋体" w:cs="宋体"/>
          <w:b/>
          <w:bCs/>
          <w:color w:val="auto"/>
          <w:szCs w:val="20"/>
          <w:highlight w:val="none"/>
        </w:rPr>
        <w:t>注：</w:t>
      </w:r>
    </w:p>
    <w:p>
      <w:pPr>
        <w:spacing w:line="360" w:lineRule="auto"/>
        <w:ind w:left="420" w:leftChars="200"/>
        <w:rPr>
          <w:rFonts w:ascii="宋体" w:hAnsi="宋体" w:cs="宋体"/>
          <w:b/>
          <w:color w:val="auto"/>
          <w:szCs w:val="20"/>
          <w:highlight w:val="none"/>
        </w:rPr>
      </w:pPr>
      <w:r>
        <w:rPr>
          <w:rFonts w:hint="eastAsia" w:ascii="宋体" w:hAnsi="宋体" w:cs="宋体"/>
          <w:b/>
          <w:bCs/>
          <w:color w:val="auto"/>
          <w:szCs w:val="20"/>
          <w:highlight w:val="none"/>
        </w:rPr>
        <w:t>1、</w:t>
      </w:r>
      <w:r>
        <w:rPr>
          <w:rFonts w:hint="eastAsia" w:ascii="宋体" w:hAnsi="宋体" w:cs="宋体"/>
          <w:b/>
          <w:color w:val="auto"/>
          <w:szCs w:val="20"/>
          <w:highlight w:val="none"/>
        </w:rPr>
        <w:t>本表需按照招标文件《第五章  招标内容》中“</w:t>
      </w:r>
      <w:r>
        <w:rPr>
          <w:rFonts w:hint="eastAsia" w:ascii="宋体" w:hAnsi="宋体" w:cs="宋体"/>
          <w:b/>
          <w:color w:val="auto"/>
          <w:highlight w:val="none"/>
        </w:rPr>
        <w:t>采购需求</w:t>
      </w:r>
      <w:r>
        <w:rPr>
          <w:rFonts w:hint="eastAsia" w:ascii="宋体" w:hAnsi="宋体" w:cs="宋体"/>
          <w:b/>
          <w:color w:val="auto"/>
          <w:szCs w:val="20"/>
          <w:highlight w:val="none"/>
        </w:rPr>
        <w:t>”逐条填写。</w:t>
      </w:r>
    </w:p>
    <w:p>
      <w:pPr>
        <w:spacing w:line="360" w:lineRule="auto"/>
        <w:ind w:left="420" w:leftChars="200"/>
        <w:rPr>
          <w:rFonts w:ascii="宋体" w:hAnsi="宋体" w:cs="宋体"/>
          <w:b/>
          <w:color w:val="auto"/>
          <w:szCs w:val="20"/>
          <w:highlight w:val="none"/>
        </w:rPr>
      </w:pPr>
      <w:r>
        <w:rPr>
          <w:rFonts w:hint="eastAsia" w:ascii="宋体" w:hAnsi="宋体" w:cs="宋体"/>
          <w:b/>
          <w:color w:val="auto"/>
          <w:szCs w:val="20"/>
          <w:highlight w:val="none"/>
        </w:rPr>
        <w:t>2、投标供应商必须据实填写，不得虚假响应，否则将按照评标办法及招标文件有关规定处理。</w:t>
      </w:r>
    </w:p>
    <w:p>
      <w:pPr>
        <w:spacing w:line="360" w:lineRule="auto"/>
        <w:ind w:firstLine="422" w:firstLineChars="200"/>
        <w:rPr>
          <w:rFonts w:ascii="宋体" w:hAnsi="宋体" w:cs="宋体"/>
          <w:b/>
          <w:color w:val="auto"/>
          <w:szCs w:val="22"/>
          <w:highlight w:val="none"/>
        </w:rPr>
      </w:pPr>
      <w:r>
        <w:rPr>
          <w:rFonts w:hint="eastAsia" w:ascii="宋体" w:hAnsi="宋体" w:cs="宋体"/>
          <w:b/>
          <w:color w:val="auto"/>
          <w:szCs w:val="22"/>
          <w:highlight w:val="none"/>
        </w:rPr>
        <w:t>3、</w:t>
      </w:r>
      <w:r>
        <w:rPr>
          <w:rFonts w:hint="eastAsia" w:ascii="宋体" w:hAnsi="宋体" w:cs="宋体"/>
          <w:b/>
          <w:color w:val="auto"/>
          <w:szCs w:val="20"/>
          <w:highlight w:val="none"/>
        </w:rPr>
        <w:t>表格不够可自行添加。</w:t>
      </w:r>
    </w:p>
    <w:p>
      <w:pPr>
        <w:spacing w:line="720" w:lineRule="auto"/>
        <w:jc w:val="left"/>
        <w:rPr>
          <w:rFonts w:ascii="宋体" w:hAnsi="宋体" w:cs="宋体"/>
          <w:color w:val="auto"/>
          <w:szCs w:val="22"/>
          <w:highlight w:val="none"/>
        </w:rPr>
      </w:pPr>
    </w:p>
    <w:p>
      <w:pPr>
        <w:spacing w:line="720" w:lineRule="auto"/>
        <w:ind w:firstLine="420" w:firstLineChars="200"/>
        <w:jc w:val="left"/>
        <w:rPr>
          <w:rFonts w:ascii="宋体" w:hAnsi="宋体" w:cs="宋体"/>
          <w:color w:val="auto"/>
          <w:szCs w:val="22"/>
          <w:highlight w:val="none"/>
        </w:rPr>
      </w:pPr>
      <w:r>
        <w:rPr>
          <w:rFonts w:hint="eastAsia" w:ascii="宋体" w:hAnsi="宋体" w:cs="宋体"/>
          <w:color w:val="auto"/>
          <w:szCs w:val="22"/>
          <w:highlight w:val="none"/>
        </w:rPr>
        <w:t>投标供应商：（单位公章）</w:t>
      </w:r>
    </w:p>
    <w:p>
      <w:pPr>
        <w:spacing w:line="720" w:lineRule="auto"/>
        <w:ind w:firstLine="420" w:firstLineChars="200"/>
        <w:jc w:val="left"/>
        <w:rPr>
          <w:rFonts w:ascii="宋体" w:hAnsi="宋体" w:cs="宋体"/>
          <w:color w:val="auto"/>
          <w:szCs w:val="22"/>
          <w:highlight w:val="none"/>
        </w:rPr>
      </w:pPr>
      <w:r>
        <w:rPr>
          <w:rFonts w:hint="eastAsia" w:ascii="宋体" w:hAnsi="宋体" w:cs="宋体"/>
          <w:color w:val="auto"/>
          <w:szCs w:val="22"/>
          <w:highlight w:val="none"/>
        </w:rPr>
        <w:t>法定代表人（单位负责人）或委托代理人：（签字或盖章）</w:t>
      </w:r>
    </w:p>
    <w:p>
      <w:pPr>
        <w:spacing w:line="720" w:lineRule="auto"/>
        <w:ind w:firstLine="420" w:firstLineChars="200"/>
        <w:jc w:val="right"/>
        <w:rPr>
          <w:rFonts w:ascii="宋体" w:hAnsi="宋体" w:cs="宋体"/>
          <w:color w:val="auto"/>
          <w:highlight w:val="none"/>
        </w:rPr>
        <w:sectPr>
          <w:pgSz w:w="11850" w:h="16783"/>
          <w:pgMar w:top="1440" w:right="1803" w:bottom="1440" w:left="1803" w:header="850" w:footer="992" w:gutter="0"/>
          <w:cols w:space="720" w:num="1"/>
          <w:docGrid w:type="lines" w:linePitch="319" w:charSpace="0"/>
        </w:sectPr>
      </w:pPr>
      <w:r>
        <w:rPr>
          <w:rFonts w:hint="eastAsia" w:ascii="宋体" w:hAnsi="宋体" w:cs="宋体"/>
          <w:color w:val="auto"/>
          <w:szCs w:val="22"/>
          <w:highlight w:val="none"/>
        </w:rPr>
        <w:t>年    月    日</w:t>
      </w:r>
    </w:p>
    <w:p>
      <w:pPr>
        <w:spacing w:line="329" w:lineRule="exact"/>
        <w:jc w:val="center"/>
        <w:rPr>
          <w:rFonts w:ascii="宋体" w:hAnsi="宋体" w:cs="宋体"/>
          <w:b/>
          <w:color w:val="auto"/>
          <w:spacing w:val="2"/>
          <w:sz w:val="32"/>
          <w:szCs w:val="22"/>
          <w:highlight w:val="none"/>
        </w:rPr>
      </w:pPr>
      <w:r>
        <w:rPr>
          <w:rFonts w:hint="eastAsia" w:ascii="宋体" w:hAnsi="宋体" w:cs="宋体"/>
          <w:b/>
          <w:color w:val="auto"/>
          <w:spacing w:val="2"/>
          <w:sz w:val="32"/>
          <w:szCs w:val="22"/>
          <w:highlight w:val="none"/>
        </w:rPr>
        <w:t>五、资格审查及评审响应资料</w:t>
      </w:r>
    </w:p>
    <w:p>
      <w:pPr>
        <w:spacing w:before="397" w:line="291" w:lineRule="exact"/>
        <w:ind w:left="331"/>
        <w:jc w:val="left"/>
        <w:rPr>
          <w:rFonts w:ascii="宋体" w:hAnsi="宋体" w:cs="宋体"/>
          <w:color w:val="auto"/>
          <w:sz w:val="28"/>
          <w:szCs w:val="22"/>
          <w:highlight w:val="none"/>
        </w:rPr>
      </w:pPr>
      <w:r>
        <w:rPr>
          <w:rFonts w:hint="eastAsia" w:ascii="宋体" w:hAnsi="宋体" w:cs="宋体"/>
          <w:color w:val="auto"/>
          <w:sz w:val="28"/>
          <w:szCs w:val="22"/>
          <w:highlight w:val="none"/>
        </w:rPr>
        <w:t>（一）基本情况表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14"/>
        <w:gridCol w:w="1179"/>
        <w:gridCol w:w="1620"/>
        <w:gridCol w:w="1577"/>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投标供应商名称</w:t>
            </w:r>
          </w:p>
        </w:tc>
        <w:tc>
          <w:tcPr>
            <w:tcW w:w="6148" w:type="dxa"/>
            <w:gridSpan w:val="4"/>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注册资金</w:t>
            </w:r>
          </w:p>
        </w:tc>
        <w:tc>
          <w:tcPr>
            <w:tcW w:w="2799" w:type="dxa"/>
            <w:gridSpan w:val="2"/>
            <w:vAlign w:val="center"/>
          </w:tcPr>
          <w:p>
            <w:pPr>
              <w:spacing w:line="291" w:lineRule="exact"/>
              <w:jc w:val="center"/>
              <w:rPr>
                <w:rFonts w:ascii="宋体" w:hAnsi="宋体" w:cs="宋体"/>
                <w:color w:val="auto"/>
                <w:highlight w:val="none"/>
              </w:rPr>
            </w:pPr>
          </w:p>
        </w:tc>
        <w:tc>
          <w:tcPr>
            <w:tcW w:w="1577"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成立时间</w:t>
            </w:r>
          </w:p>
        </w:tc>
        <w:tc>
          <w:tcPr>
            <w:tcW w:w="1772" w:type="dxa"/>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注册地址</w:t>
            </w:r>
          </w:p>
        </w:tc>
        <w:tc>
          <w:tcPr>
            <w:tcW w:w="6148" w:type="dxa"/>
            <w:gridSpan w:val="4"/>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邮政编码</w:t>
            </w:r>
          </w:p>
        </w:tc>
        <w:tc>
          <w:tcPr>
            <w:tcW w:w="2799" w:type="dxa"/>
            <w:gridSpan w:val="2"/>
            <w:vAlign w:val="center"/>
          </w:tcPr>
          <w:p>
            <w:pPr>
              <w:spacing w:line="291" w:lineRule="exact"/>
              <w:jc w:val="center"/>
              <w:rPr>
                <w:rFonts w:ascii="宋体" w:hAnsi="宋体" w:cs="宋体"/>
                <w:color w:val="auto"/>
                <w:highlight w:val="none"/>
              </w:rPr>
            </w:pPr>
          </w:p>
        </w:tc>
        <w:tc>
          <w:tcPr>
            <w:tcW w:w="1577"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员工总数</w:t>
            </w:r>
          </w:p>
        </w:tc>
        <w:tc>
          <w:tcPr>
            <w:tcW w:w="1772" w:type="dxa"/>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2714" w:type="dxa"/>
            <w:vMerge w:val="restart"/>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联系方式</w:t>
            </w:r>
          </w:p>
        </w:tc>
        <w:tc>
          <w:tcPr>
            <w:tcW w:w="1179"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联系人</w:t>
            </w:r>
          </w:p>
        </w:tc>
        <w:tc>
          <w:tcPr>
            <w:tcW w:w="1620" w:type="dxa"/>
            <w:vAlign w:val="center"/>
          </w:tcPr>
          <w:p>
            <w:pPr>
              <w:spacing w:line="291" w:lineRule="exact"/>
              <w:jc w:val="center"/>
              <w:rPr>
                <w:rFonts w:ascii="宋体" w:hAnsi="宋体" w:cs="宋体"/>
                <w:color w:val="auto"/>
                <w:highlight w:val="none"/>
              </w:rPr>
            </w:pPr>
          </w:p>
        </w:tc>
        <w:tc>
          <w:tcPr>
            <w:tcW w:w="1577"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电话</w:t>
            </w:r>
          </w:p>
        </w:tc>
        <w:tc>
          <w:tcPr>
            <w:tcW w:w="1772" w:type="dxa"/>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vMerge w:val="continue"/>
            <w:vAlign w:val="center"/>
          </w:tcPr>
          <w:p>
            <w:pPr>
              <w:spacing w:line="291" w:lineRule="exact"/>
              <w:jc w:val="center"/>
              <w:rPr>
                <w:rFonts w:ascii="宋体" w:hAnsi="宋体" w:cs="宋体"/>
                <w:color w:val="auto"/>
                <w:highlight w:val="none"/>
              </w:rPr>
            </w:pPr>
          </w:p>
        </w:tc>
        <w:tc>
          <w:tcPr>
            <w:tcW w:w="1179"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网址</w:t>
            </w:r>
          </w:p>
        </w:tc>
        <w:tc>
          <w:tcPr>
            <w:tcW w:w="1620" w:type="dxa"/>
            <w:vAlign w:val="center"/>
          </w:tcPr>
          <w:p>
            <w:pPr>
              <w:spacing w:line="291" w:lineRule="exact"/>
              <w:jc w:val="center"/>
              <w:rPr>
                <w:rFonts w:ascii="宋体" w:hAnsi="宋体" w:cs="宋体"/>
                <w:color w:val="auto"/>
                <w:highlight w:val="none"/>
              </w:rPr>
            </w:pPr>
          </w:p>
        </w:tc>
        <w:tc>
          <w:tcPr>
            <w:tcW w:w="1577"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传真</w:t>
            </w:r>
          </w:p>
        </w:tc>
        <w:tc>
          <w:tcPr>
            <w:tcW w:w="1772" w:type="dxa"/>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法定代表人</w:t>
            </w:r>
          </w:p>
          <w:p>
            <w:pPr>
              <w:spacing w:line="291" w:lineRule="exact"/>
              <w:jc w:val="center"/>
              <w:rPr>
                <w:rFonts w:ascii="宋体" w:hAnsi="宋体" w:cs="宋体"/>
                <w:color w:val="auto"/>
                <w:highlight w:val="none"/>
              </w:rPr>
            </w:pPr>
            <w:r>
              <w:rPr>
                <w:rFonts w:hint="eastAsia" w:ascii="宋体" w:hAnsi="宋体" w:cs="宋体"/>
                <w:color w:val="auto"/>
                <w:highlight w:val="none"/>
              </w:rPr>
              <w:t>（单位负责人）</w:t>
            </w:r>
          </w:p>
        </w:tc>
        <w:tc>
          <w:tcPr>
            <w:tcW w:w="1179"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姓名</w:t>
            </w:r>
          </w:p>
        </w:tc>
        <w:tc>
          <w:tcPr>
            <w:tcW w:w="1620" w:type="dxa"/>
            <w:vAlign w:val="center"/>
          </w:tcPr>
          <w:p>
            <w:pPr>
              <w:spacing w:line="291" w:lineRule="exact"/>
              <w:jc w:val="center"/>
              <w:rPr>
                <w:rFonts w:ascii="宋体" w:hAnsi="宋体" w:cs="宋体"/>
                <w:color w:val="auto"/>
                <w:highlight w:val="none"/>
              </w:rPr>
            </w:pPr>
          </w:p>
        </w:tc>
        <w:tc>
          <w:tcPr>
            <w:tcW w:w="1577"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电话</w:t>
            </w:r>
          </w:p>
        </w:tc>
        <w:tc>
          <w:tcPr>
            <w:tcW w:w="1772" w:type="dxa"/>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2714" w:type="dxa"/>
            <w:vAlign w:val="center"/>
          </w:tcPr>
          <w:p>
            <w:pPr>
              <w:spacing w:before="120" w:after="240" w:line="291" w:lineRule="exact"/>
              <w:jc w:val="center"/>
              <w:rPr>
                <w:rFonts w:ascii="宋体" w:hAnsi="宋体" w:cs="宋体"/>
                <w:color w:val="auto"/>
                <w:highlight w:val="none"/>
              </w:rPr>
            </w:pPr>
            <w:r>
              <w:rPr>
                <w:rFonts w:hint="eastAsia" w:ascii="宋体" w:hAnsi="宋体" w:cs="宋体"/>
                <w:color w:val="auto"/>
                <w:highlight w:val="none"/>
              </w:rPr>
              <w:t>投标供应商须知要求投标供应商需具有的各类资质证书</w:t>
            </w:r>
          </w:p>
        </w:tc>
        <w:tc>
          <w:tcPr>
            <w:tcW w:w="6148" w:type="dxa"/>
            <w:gridSpan w:val="4"/>
            <w:vAlign w:val="center"/>
          </w:tcPr>
          <w:p>
            <w:pPr>
              <w:spacing w:line="291" w:lineRule="exact"/>
              <w:ind w:firstLine="315" w:firstLineChars="150"/>
              <w:rPr>
                <w:rFonts w:ascii="宋体" w:hAnsi="宋体" w:cs="宋体"/>
                <w:color w:val="auto"/>
                <w:highlight w:val="none"/>
              </w:rPr>
            </w:pPr>
            <w:r>
              <w:rPr>
                <w:rFonts w:hint="eastAsia" w:ascii="宋体" w:hAnsi="宋体" w:cs="宋体"/>
                <w:color w:val="auto"/>
                <w:highlight w:val="none"/>
              </w:rPr>
              <w:t>类型：       等级：       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基本账户开户银行</w:t>
            </w:r>
          </w:p>
        </w:tc>
        <w:tc>
          <w:tcPr>
            <w:tcW w:w="6148" w:type="dxa"/>
            <w:gridSpan w:val="4"/>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基本账户银行账号</w:t>
            </w:r>
          </w:p>
        </w:tc>
        <w:tc>
          <w:tcPr>
            <w:tcW w:w="6148" w:type="dxa"/>
            <w:gridSpan w:val="4"/>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近三年营业额</w:t>
            </w:r>
          </w:p>
        </w:tc>
        <w:tc>
          <w:tcPr>
            <w:tcW w:w="6148" w:type="dxa"/>
            <w:gridSpan w:val="4"/>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4" w:hRule="atLeast"/>
          <w:jc w:val="center"/>
        </w:trPr>
        <w:tc>
          <w:tcPr>
            <w:tcW w:w="2714" w:type="dxa"/>
            <w:vAlign w:val="center"/>
          </w:tcPr>
          <w:p>
            <w:pPr>
              <w:spacing w:before="120" w:after="240" w:line="291" w:lineRule="exact"/>
              <w:jc w:val="center"/>
              <w:rPr>
                <w:rFonts w:ascii="宋体" w:hAnsi="宋体" w:cs="宋体"/>
                <w:color w:val="auto"/>
                <w:highlight w:val="none"/>
              </w:rPr>
            </w:pPr>
            <w:r>
              <w:rPr>
                <w:rFonts w:hint="eastAsia" w:ascii="宋体" w:hAnsi="宋体" w:cs="宋体"/>
                <w:color w:val="auto"/>
                <w:highlight w:val="none"/>
              </w:rPr>
              <w:t>投标供应商关联企业情况（包括但不限于与投标供应商法定代表人（单位负责人）为同一人或者存在控股、管理关系的不同单位）</w:t>
            </w:r>
          </w:p>
        </w:tc>
        <w:tc>
          <w:tcPr>
            <w:tcW w:w="6148" w:type="dxa"/>
            <w:gridSpan w:val="4"/>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14"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投标产品制造商名称</w:t>
            </w:r>
          </w:p>
        </w:tc>
        <w:tc>
          <w:tcPr>
            <w:tcW w:w="6148" w:type="dxa"/>
            <w:gridSpan w:val="4"/>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2714" w:type="dxa"/>
            <w:vAlign w:val="center"/>
          </w:tcPr>
          <w:p>
            <w:pPr>
              <w:spacing w:before="120" w:after="240"/>
              <w:jc w:val="center"/>
              <w:rPr>
                <w:rFonts w:ascii="宋体" w:hAnsi="宋体" w:cs="宋体"/>
                <w:color w:val="auto"/>
                <w:highlight w:val="none"/>
              </w:rPr>
            </w:pPr>
            <w:r>
              <w:rPr>
                <w:rFonts w:hint="eastAsia" w:ascii="宋体" w:hAnsi="宋体" w:cs="宋体"/>
                <w:color w:val="auto"/>
                <w:highlight w:val="none"/>
              </w:rPr>
              <w:t>投标供应商须知要求投标产品制造商需具有的资质证书</w:t>
            </w:r>
          </w:p>
        </w:tc>
        <w:tc>
          <w:tcPr>
            <w:tcW w:w="6148" w:type="dxa"/>
            <w:gridSpan w:val="4"/>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8" w:hRule="atLeast"/>
          <w:jc w:val="center"/>
        </w:trPr>
        <w:tc>
          <w:tcPr>
            <w:tcW w:w="2714"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备注</w:t>
            </w:r>
          </w:p>
        </w:tc>
        <w:tc>
          <w:tcPr>
            <w:tcW w:w="6148" w:type="dxa"/>
            <w:gridSpan w:val="4"/>
            <w:vAlign w:val="center"/>
          </w:tcPr>
          <w:p>
            <w:pPr>
              <w:spacing w:line="291" w:lineRule="exact"/>
              <w:jc w:val="left"/>
              <w:rPr>
                <w:rFonts w:ascii="宋体" w:hAnsi="宋体" w:cs="宋体"/>
                <w:color w:val="auto"/>
                <w:highlight w:val="none"/>
              </w:rPr>
            </w:pPr>
            <w:r>
              <w:rPr>
                <w:rFonts w:hint="eastAsia" w:ascii="宋体" w:hAnsi="宋体" w:cs="宋体"/>
                <w:color w:val="auto"/>
                <w:highlight w:val="none"/>
              </w:rPr>
              <w:t>投标供应商应在本表后附投标供应商的营业执照、组织机构代码证、税务登记证（三证合一的提供统一社会信用代码的营业执照）其他组织经营的合法凭证，自然人的提供身份证明文件。</w:t>
            </w:r>
          </w:p>
        </w:tc>
      </w:tr>
    </w:tbl>
    <w:p>
      <w:pPr>
        <w:spacing w:line="291" w:lineRule="exact"/>
        <w:ind w:left="137"/>
        <w:jc w:val="left"/>
        <w:rPr>
          <w:rFonts w:ascii="宋体" w:hAnsi="宋体" w:cs="宋体"/>
          <w:color w:val="auto"/>
          <w:sz w:val="28"/>
          <w:szCs w:val="22"/>
          <w:highlight w:val="none"/>
        </w:rPr>
      </w:pPr>
      <w:r>
        <w:rPr>
          <w:rFonts w:hint="eastAsia" w:ascii="宋体" w:hAnsi="宋体" w:cs="宋体"/>
          <w:color w:val="auto"/>
          <w:sz w:val="28"/>
          <w:szCs w:val="22"/>
          <w:highlight w:val="none"/>
        </w:rPr>
        <w:br w:type="page"/>
      </w:r>
      <w:r>
        <w:rPr>
          <w:rFonts w:hint="eastAsia" w:ascii="宋体" w:hAnsi="宋体" w:cs="宋体"/>
          <w:color w:val="auto"/>
          <w:sz w:val="28"/>
          <w:szCs w:val="22"/>
          <w:highlight w:val="none"/>
        </w:rPr>
        <w:t>（二）制造商授权书 （格式自拟）</w:t>
      </w:r>
    </w:p>
    <w:p>
      <w:pPr>
        <w:spacing w:line="329" w:lineRule="exact"/>
        <w:jc w:val="center"/>
        <w:rPr>
          <w:rFonts w:ascii="宋体" w:hAnsi="宋体" w:cs="宋体"/>
          <w:color w:val="auto"/>
          <w:spacing w:val="2"/>
          <w:sz w:val="32"/>
          <w:highlight w:val="none"/>
        </w:rPr>
        <w:sectPr>
          <w:headerReference r:id="rId8" w:type="default"/>
          <w:footerReference r:id="rId9" w:type="default"/>
          <w:pgSz w:w="11907" w:h="16840"/>
          <w:pgMar w:top="1247" w:right="1644" w:bottom="1247" w:left="1644" w:header="851" w:footer="851" w:gutter="0"/>
          <w:cols w:space="720" w:num="1"/>
          <w:docGrid w:type="linesAndChars" w:linePitch="312" w:charSpace="0"/>
        </w:sectPr>
      </w:pPr>
    </w:p>
    <w:p>
      <w:pPr>
        <w:spacing w:line="440" w:lineRule="exact"/>
        <w:rPr>
          <w:rFonts w:ascii="宋体" w:hAnsi="宋体" w:cs="宋体"/>
          <w:color w:val="auto"/>
          <w:sz w:val="28"/>
          <w:szCs w:val="22"/>
          <w:highlight w:val="none"/>
        </w:rPr>
      </w:pPr>
      <w:r>
        <w:rPr>
          <w:rFonts w:hint="eastAsia" w:ascii="宋体" w:hAnsi="宋体" w:cs="宋体"/>
          <w:color w:val="auto"/>
          <w:sz w:val="28"/>
          <w:szCs w:val="22"/>
          <w:highlight w:val="none"/>
        </w:rPr>
        <w:t>（三）评审响应资料和其他资料及格式（参考格式）</w:t>
      </w:r>
    </w:p>
    <w:p>
      <w:pPr>
        <w:spacing w:line="440" w:lineRule="exact"/>
        <w:ind w:firstLine="420" w:firstLineChars="200"/>
        <w:rPr>
          <w:rFonts w:hAnsi="宋体"/>
          <w:color w:val="auto"/>
          <w:kern w:val="0"/>
          <w:highlight w:val="none"/>
        </w:rPr>
      </w:pPr>
      <w:r>
        <w:rPr>
          <w:rFonts w:hint="eastAsia" w:hAnsi="宋体"/>
          <w:color w:val="auto"/>
          <w:highlight w:val="none"/>
        </w:rPr>
        <w:t>1、</w:t>
      </w:r>
      <w:r>
        <w:rPr>
          <w:rFonts w:hAnsi="宋体"/>
          <w:color w:val="auto"/>
          <w:kern w:val="0"/>
          <w:highlight w:val="none"/>
        </w:rPr>
        <w:t>法定代表人授权书及被授权人身份证（法人参加只需提供法定代表人（单位负责人）身份证明）</w:t>
      </w:r>
      <w:r>
        <w:rPr>
          <w:rFonts w:hint="eastAsia" w:hAnsi="宋体"/>
          <w:color w:val="auto"/>
          <w:kern w:val="0"/>
          <w:highlight w:val="none"/>
        </w:rPr>
        <w:t>；</w:t>
      </w:r>
    </w:p>
    <w:p>
      <w:pPr>
        <w:spacing w:line="440" w:lineRule="exact"/>
        <w:ind w:firstLine="420" w:firstLineChars="200"/>
        <w:rPr>
          <w:rFonts w:hAnsi="宋体"/>
          <w:color w:val="auto"/>
          <w:kern w:val="0"/>
          <w:highlight w:val="none"/>
        </w:rPr>
      </w:pPr>
      <w:r>
        <w:rPr>
          <w:rFonts w:hint="eastAsia" w:hAnsi="宋体"/>
          <w:color w:val="auto"/>
          <w:kern w:val="0"/>
          <w:highlight w:val="none"/>
        </w:rPr>
        <w:t>2、</w:t>
      </w:r>
      <w:r>
        <w:rPr>
          <w:rFonts w:hAnsi="宋体"/>
          <w:color w:val="auto"/>
          <w:highlight w:val="none"/>
        </w:rPr>
        <w:t>提供统一社会信用代码的营业执照或其他组织经营的合法凭证或自然人的提供身份证明文件</w:t>
      </w:r>
      <w:r>
        <w:rPr>
          <w:rFonts w:hAnsi="宋体"/>
          <w:color w:val="auto"/>
          <w:kern w:val="0"/>
          <w:highlight w:val="none"/>
        </w:rPr>
        <w:t>；</w:t>
      </w:r>
    </w:p>
    <w:p>
      <w:pPr>
        <w:spacing w:line="440" w:lineRule="exact"/>
        <w:ind w:firstLine="420" w:firstLineChars="200"/>
        <w:rPr>
          <w:rFonts w:hAnsi="宋体"/>
          <w:color w:val="auto"/>
          <w:kern w:val="0"/>
          <w:highlight w:val="none"/>
        </w:rPr>
      </w:pPr>
      <w:r>
        <w:rPr>
          <w:rFonts w:hint="eastAsia" w:hAnsi="宋体"/>
          <w:color w:val="auto"/>
          <w:kern w:val="0"/>
          <w:highlight w:val="none"/>
        </w:rPr>
        <w:t>3、</w:t>
      </w:r>
      <w:r>
        <w:rPr>
          <w:rFonts w:hAnsi="宋体"/>
          <w:color w:val="auto"/>
          <w:kern w:val="0"/>
          <w:highlight w:val="none"/>
        </w:rPr>
        <w:t>供应商为经销商或代理商的，所投产品如属于医疗器械的需提供《医疗器械经营许可证》及所投医疗器械产品在有效期内的《医疗器械注册证》、《医疗器械产品生产制造认可表》或《医疗器械注册登记表》，如是制造商的同时提供医疗器械生产许可证；</w:t>
      </w:r>
    </w:p>
    <w:p>
      <w:pPr>
        <w:spacing w:line="440" w:lineRule="exact"/>
        <w:ind w:firstLine="420" w:firstLineChars="200"/>
        <w:rPr>
          <w:rFonts w:hAnsi="宋体"/>
          <w:color w:val="auto"/>
          <w:kern w:val="0"/>
          <w:highlight w:val="none"/>
        </w:rPr>
      </w:pPr>
      <w:r>
        <w:rPr>
          <w:rFonts w:hAnsi="宋体"/>
          <w:color w:val="auto"/>
          <w:kern w:val="0"/>
          <w:highlight w:val="none"/>
        </w:rPr>
        <w:t>4</w:t>
      </w:r>
      <w:r>
        <w:rPr>
          <w:rFonts w:hint="eastAsia" w:hAnsi="宋体"/>
          <w:color w:val="auto"/>
          <w:kern w:val="0"/>
          <w:highlight w:val="none"/>
        </w:rPr>
        <w:t>、</w:t>
      </w:r>
      <w:r>
        <w:rPr>
          <w:rFonts w:hAnsi="宋体"/>
          <w:color w:val="auto"/>
          <w:highlight w:val="none"/>
        </w:rPr>
        <w:t>财务状况证明：提供</w:t>
      </w:r>
      <w:r>
        <w:rPr>
          <w:rFonts w:hint="eastAsia"/>
          <w:color w:val="auto"/>
          <w:highlight w:val="none"/>
        </w:rPr>
        <w:t>2020</w:t>
      </w:r>
      <w:r>
        <w:rPr>
          <w:rFonts w:hAnsi="宋体"/>
          <w:color w:val="auto"/>
          <w:highlight w:val="none"/>
        </w:rPr>
        <w:t>年度至</w:t>
      </w:r>
      <w:r>
        <w:rPr>
          <w:color w:val="auto"/>
          <w:highlight w:val="none"/>
        </w:rPr>
        <w:t>2021</w:t>
      </w:r>
      <w:r>
        <w:rPr>
          <w:rFonts w:hAnsi="宋体"/>
          <w:color w:val="auto"/>
          <w:highlight w:val="none"/>
        </w:rPr>
        <w:t>年度任一年度的经会计师事务所或审计机构出具的报告或在开标日期前六个月内其基本开户银行出具的资信证明或财政部门认可的政府采购专业担保机构出具的投标担保函，以上形式的证明资料提供任何一种即可</w:t>
      </w:r>
      <w:r>
        <w:rPr>
          <w:rFonts w:hAnsi="宋体"/>
          <w:color w:val="auto"/>
          <w:kern w:val="0"/>
          <w:highlight w:val="none"/>
        </w:rPr>
        <w:t>；</w:t>
      </w:r>
    </w:p>
    <w:p>
      <w:pPr>
        <w:spacing w:line="440" w:lineRule="exact"/>
        <w:ind w:firstLine="420" w:firstLineChars="200"/>
        <w:rPr>
          <w:rFonts w:hAnsi="宋体"/>
          <w:color w:val="auto"/>
          <w:kern w:val="0"/>
          <w:highlight w:val="none"/>
        </w:rPr>
      </w:pPr>
      <w:r>
        <w:rPr>
          <w:rFonts w:hAnsi="宋体"/>
          <w:color w:val="auto"/>
          <w:highlight w:val="none"/>
        </w:rPr>
        <w:t>5</w:t>
      </w:r>
      <w:r>
        <w:rPr>
          <w:rFonts w:hint="eastAsia" w:hAnsi="宋体"/>
          <w:color w:val="auto"/>
          <w:highlight w:val="none"/>
        </w:rPr>
        <w:t>、</w:t>
      </w:r>
      <w:r>
        <w:rPr>
          <w:rFonts w:hAnsi="宋体"/>
          <w:color w:val="auto"/>
          <w:highlight w:val="none"/>
        </w:rPr>
        <w:t>税收缴纳证明：提供已缴纳的本年度或上年度任一月份的缴税凭证。依法免税的供应商应提供相关文件证明</w:t>
      </w:r>
      <w:r>
        <w:rPr>
          <w:rFonts w:hAnsi="宋体"/>
          <w:color w:val="auto"/>
          <w:kern w:val="0"/>
          <w:highlight w:val="none"/>
        </w:rPr>
        <w:t>；</w:t>
      </w:r>
    </w:p>
    <w:p>
      <w:pPr>
        <w:spacing w:line="440" w:lineRule="exact"/>
        <w:ind w:firstLine="420" w:firstLineChars="200"/>
        <w:rPr>
          <w:rFonts w:hAnsi="宋体"/>
          <w:color w:val="auto"/>
          <w:kern w:val="0"/>
          <w:highlight w:val="none"/>
        </w:rPr>
      </w:pPr>
      <w:r>
        <w:rPr>
          <w:color w:val="auto"/>
          <w:kern w:val="0"/>
          <w:highlight w:val="none"/>
        </w:rPr>
        <w:t>6</w:t>
      </w:r>
      <w:r>
        <w:rPr>
          <w:rFonts w:hint="eastAsia"/>
          <w:color w:val="auto"/>
          <w:kern w:val="0"/>
          <w:highlight w:val="none"/>
        </w:rPr>
        <w:t>、</w:t>
      </w:r>
      <w:r>
        <w:rPr>
          <w:rFonts w:hAnsi="宋体"/>
          <w:color w:val="auto"/>
          <w:highlight w:val="none"/>
        </w:rPr>
        <w:t>社会保障资金缴纳证明：提供已缴存的本年度或上年度任一月份的社会保障资金缴存单据或社保机构开具的社会保险参保缴费情况证明或提供其它相关证明资料，单据或证明上应有社保机构或代收机构的公章。依法不需要缴纳社会保障资金的服务商应提供相关文件证明</w:t>
      </w:r>
      <w:r>
        <w:rPr>
          <w:rFonts w:hAnsi="宋体"/>
          <w:color w:val="auto"/>
          <w:kern w:val="0"/>
          <w:highlight w:val="none"/>
        </w:rPr>
        <w:t>；</w:t>
      </w:r>
    </w:p>
    <w:p>
      <w:pPr>
        <w:spacing w:line="440" w:lineRule="exact"/>
        <w:ind w:firstLine="420" w:firstLineChars="200"/>
        <w:rPr>
          <w:rFonts w:hAnsi="宋体"/>
          <w:color w:val="auto"/>
          <w:kern w:val="0"/>
          <w:highlight w:val="none"/>
        </w:rPr>
      </w:pPr>
      <w:r>
        <w:rPr>
          <w:rFonts w:hAnsi="宋体"/>
          <w:color w:val="auto"/>
          <w:kern w:val="0"/>
          <w:highlight w:val="none"/>
        </w:rPr>
        <w:t>7</w:t>
      </w:r>
      <w:r>
        <w:rPr>
          <w:rFonts w:hint="eastAsia" w:hAnsi="宋体"/>
          <w:color w:val="auto"/>
          <w:kern w:val="0"/>
          <w:highlight w:val="none"/>
        </w:rPr>
        <w:t>、</w:t>
      </w:r>
      <w:r>
        <w:rPr>
          <w:rFonts w:hAnsi="宋体"/>
          <w:color w:val="auto"/>
          <w:kern w:val="0"/>
          <w:highlight w:val="none"/>
        </w:rPr>
        <w:t>供应商未被列入</w:t>
      </w:r>
      <w:r>
        <w:rPr>
          <w:color w:val="auto"/>
          <w:kern w:val="0"/>
          <w:highlight w:val="none"/>
        </w:rPr>
        <w:t>“</w:t>
      </w:r>
      <w:r>
        <w:rPr>
          <w:rFonts w:hAnsi="宋体"/>
          <w:color w:val="auto"/>
          <w:kern w:val="0"/>
          <w:highlight w:val="none"/>
        </w:rPr>
        <w:t>信用中国</w:t>
      </w:r>
      <w:r>
        <w:rPr>
          <w:color w:val="auto"/>
          <w:kern w:val="0"/>
          <w:highlight w:val="none"/>
        </w:rPr>
        <w:t>”</w:t>
      </w:r>
      <w:r>
        <w:rPr>
          <w:rFonts w:hAnsi="宋体"/>
          <w:color w:val="auto"/>
          <w:kern w:val="0"/>
          <w:highlight w:val="none"/>
        </w:rPr>
        <w:t>网站（</w:t>
      </w:r>
      <w:r>
        <w:rPr>
          <w:color w:val="auto"/>
          <w:kern w:val="0"/>
          <w:highlight w:val="none"/>
        </w:rPr>
        <w:t>www.creditchina.gov.cn</w:t>
      </w:r>
      <w:r>
        <w:rPr>
          <w:rFonts w:hAnsi="宋体"/>
          <w:color w:val="auto"/>
          <w:kern w:val="0"/>
          <w:highlight w:val="none"/>
        </w:rPr>
        <w:t>）</w:t>
      </w:r>
      <w:r>
        <w:rPr>
          <w:color w:val="auto"/>
          <w:kern w:val="0"/>
          <w:highlight w:val="none"/>
        </w:rPr>
        <w:t>“</w:t>
      </w:r>
      <w:r>
        <w:rPr>
          <w:rFonts w:hAnsi="宋体"/>
          <w:color w:val="auto"/>
          <w:kern w:val="0"/>
          <w:highlight w:val="none"/>
        </w:rPr>
        <w:t>失信被执行人</w:t>
      </w:r>
      <w:r>
        <w:rPr>
          <w:color w:val="auto"/>
          <w:kern w:val="0"/>
          <w:highlight w:val="none"/>
        </w:rPr>
        <w:t>”</w:t>
      </w:r>
      <w:r>
        <w:rPr>
          <w:rFonts w:hAnsi="宋体"/>
          <w:color w:val="auto"/>
          <w:kern w:val="0"/>
          <w:highlight w:val="none"/>
        </w:rPr>
        <w:t>和</w:t>
      </w:r>
      <w:r>
        <w:rPr>
          <w:color w:val="auto"/>
          <w:kern w:val="0"/>
          <w:highlight w:val="none"/>
        </w:rPr>
        <w:t>“</w:t>
      </w:r>
      <w:r>
        <w:rPr>
          <w:rFonts w:hAnsi="宋体"/>
          <w:color w:val="auto"/>
          <w:kern w:val="0"/>
          <w:highlight w:val="none"/>
        </w:rPr>
        <w:t>重大税收违法案件当事人名单</w:t>
      </w:r>
      <w:r>
        <w:rPr>
          <w:color w:val="auto"/>
          <w:kern w:val="0"/>
          <w:highlight w:val="none"/>
        </w:rPr>
        <w:t>”</w:t>
      </w:r>
      <w:r>
        <w:rPr>
          <w:rFonts w:hAnsi="宋体"/>
          <w:color w:val="auto"/>
          <w:kern w:val="0"/>
          <w:highlight w:val="none"/>
        </w:rPr>
        <w:t>及中国政府采购网（</w:t>
      </w:r>
      <w:r>
        <w:rPr>
          <w:color w:val="auto"/>
          <w:kern w:val="0"/>
          <w:highlight w:val="none"/>
        </w:rPr>
        <w:t>www.ccgp.gov.cn</w:t>
      </w:r>
      <w:r>
        <w:rPr>
          <w:rFonts w:hAnsi="宋体"/>
          <w:color w:val="auto"/>
          <w:kern w:val="0"/>
          <w:highlight w:val="none"/>
        </w:rPr>
        <w:t>）</w:t>
      </w:r>
      <w:r>
        <w:rPr>
          <w:color w:val="auto"/>
          <w:kern w:val="0"/>
          <w:highlight w:val="none"/>
        </w:rPr>
        <w:t>“</w:t>
      </w:r>
      <w:r>
        <w:rPr>
          <w:rFonts w:hAnsi="宋体"/>
          <w:color w:val="auto"/>
          <w:kern w:val="0"/>
          <w:highlight w:val="none"/>
        </w:rPr>
        <w:t>政府采购严重违法失信行为记录名单</w:t>
      </w:r>
      <w:r>
        <w:rPr>
          <w:color w:val="auto"/>
          <w:kern w:val="0"/>
          <w:highlight w:val="none"/>
        </w:rPr>
        <w:t>”</w:t>
      </w:r>
      <w:r>
        <w:rPr>
          <w:rFonts w:hAnsi="宋体"/>
          <w:color w:val="auto"/>
          <w:kern w:val="0"/>
          <w:highlight w:val="none"/>
        </w:rPr>
        <w:t>，提供书面信用承诺函；</w:t>
      </w:r>
    </w:p>
    <w:p>
      <w:pPr>
        <w:spacing w:line="440" w:lineRule="exact"/>
        <w:ind w:firstLine="420" w:firstLineChars="200"/>
        <w:rPr>
          <w:rFonts w:hAnsi="宋体"/>
          <w:color w:val="auto"/>
          <w:kern w:val="0"/>
          <w:highlight w:val="none"/>
        </w:rPr>
      </w:pPr>
      <w:r>
        <w:rPr>
          <w:rFonts w:hAnsi="宋体"/>
          <w:color w:val="auto"/>
          <w:kern w:val="0"/>
          <w:highlight w:val="none"/>
        </w:rPr>
        <w:t>8</w:t>
      </w:r>
      <w:r>
        <w:rPr>
          <w:rFonts w:hint="eastAsia" w:hAnsi="宋体"/>
          <w:color w:val="auto"/>
          <w:kern w:val="0"/>
          <w:highlight w:val="none"/>
        </w:rPr>
        <w:t>、</w:t>
      </w:r>
      <w:r>
        <w:rPr>
          <w:rFonts w:hAnsi="宋体"/>
          <w:color w:val="auto"/>
          <w:kern w:val="0"/>
          <w:highlight w:val="none"/>
        </w:rPr>
        <w:t>供应商应出具参加政府采购活动前</w:t>
      </w:r>
      <w:r>
        <w:rPr>
          <w:color w:val="auto"/>
          <w:kern w:val="0"/>
          <w:highlight w:val="none"/>
        </w:rPr>
        <w:t>3</w:t>
      </w:r>
      <w:r>
        <w:rPr>
          <w:rFonts w:hAnsi="宋体"/>
          <w:color w:val="auto"/>
          <w:kern w:val="0"/>
          <w:highlight w:val="none"/>
        </w:rPr>
        <w:t>年内在经营活动中没有重大违法记录的书面声明</w:t>
      </w:r>
      <w:r>
        <w:rPr>
          <w:rFonts w:hint="eastAsia" w:hAnsi="宋体"/>
          <w:color w:val="auto"/>
          <w:kern w:val="0"/>
          <w:highlight w:val="none"/>
        </w:rPr>
        <w:t>。</w:t>
      </w:r>
    </w:p>
    <w:p>
      <w:pPr>
        <w:spacing w:line="440" w:lineRule="exact"/>
        <w:ind w:firstLine="420" w:firstLineChars="200"/>
        <w:rPr>
          <w:rFonts w:hAnsi="宋体"/>
          <w:color w:val="auto"/>
          <w:kern w:val="0"/>
          <w:highlight w:val="none"/>
        </w:rPr>
      </w:pPr>
      <w:r>
        <w:rPr>
          <w:rFonts w:hAnsi="宋体"/>
          <w:color w:val="auto"/>
          <w:kern w:val="0"/>
          <w:highlight w:val="none"/>
        </w:rPr>
        <w:t>9</w:t>
      </w:r>
      <w:r>
        <w:rPr>
          <w:rFonts w:hint="eastAsia" w:hAnsi="宋体"/>
          <w:color w:val="auto"/>
          <w:kern w:val="0"/>
          <w:highlight w:val="none"/>
        </w:rPr>
        <w:t>、</w:t>
      </w:r>
      <w:r>
        <w:rPr>
          <w:rFonts w:hAnsi="宋体"/>
          <w:color w:val="auto"/>
          <w:kern w:val="0"/>
          <w:highlight w:val="none"/>
        </w:rPr>
        <w:t>本项目不接受联合体。</w:t>
      </w:r>
    </w:p>
    <w:p>
      <w:pPr>
        <w:pStyle w:val="2"/>
        <w:rPr>
          <w:color w:val="auto"/>
          <w:highlight w:val="none"/>
        </w:rPr>
      </w:pPr>
    </w:p>
    <w:p>
      <w:pPr>
        <w:spacing w:line="440" w:lineRule="exact"/>
        <w:rPr>
          <w:rFonts w:ascii="宋体" w:hAnsi="宋体" w:cs="宋体"/>
          <w:color w:val="auto"/>
          <w:highlight w:val="none"/>
        </w:rPr>
      </w:pPr>
      <w:r>
        <w:rPr>
          <w:rFonts w:hint="eastAsia" w:ascii="宋体" w:hAnsi="宋体" w:cs="宋体"/>
          <w:b/>
          <w:bCs/>
          <w:color w:val="auto"/>
          <w:highlight w:val="none"/>
        </w:rPr>
        <w:t>注：</w:t>
      </w:r>
      <w:r>
        <w:rPr>
          <w:rFonts w:hint="eastAsia" w:ascii="宋体" w:hAnsi="宋体" w:cs="宋体"/>
          <w:color w:val="auto"/>
          <w:highlight w:val="none"/>
        </w:rPr>
        <w:t xml:space="preserve">1、法人的分支机构不能以分支机构的身份参加政府采购，只能以法人身份参加； </w:t>
      </w:r>
    </w:p>
    <w:p>
      <w:pPr>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 若投标供应商</w:t>
      </w:r>
      <w:r>
        <w:rPr>
          <w:rFonts w:hint="eastAsia" w:ascii="宋体" w:hAnsi="宋体" w:cs="宋体"/>
          <w:color w:val="auto"/>
          <w:highlight w:val="none"/>
        </w:rPr>
        <w:t>资格</w:t>
      </w:r>
      <w:r>
        <w:rPr>
          <w:rFonts w:hint="eastAsia" w:ascii="宋体" w:hAnsi="宋体" w:cs="宋体"/>
          <w:color w:val="auto"/>
          <w:kern w:val="0"/>
          <w:highlight w:val="none"/>
        </w:rPr>
        <w:t>不符合要求，经评标委员会同意后该投标供应商的投标将被否决。</w:t>
      </w:r>
    </w:p>
    <w:p>
      <w:pPr>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3、中小企业、残疾人福利性单位投标时，应提供声明函（按下文给定格式）。未提供或未按给定格式提供声明函的，其投标产品中的小型、微型企业产品、残疾人福利性单位生产的产品将不能享受招标文件规定的价格扣除，但不影响投标文件的有效性。</w:t>
      </w:r>
    </w:p>
    <w:p>
      <w:pPr>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4、监狱企业投标时，应当提供由省级以上监狱管理局、戒毒管理局（含新疆生产建设兵团）出具的属于监狱企业的证明文件（格式不做要求）。未提供证明文件的不能享受招标文件规定的价格扣除，但不影响投标文件的有效性。</w:t>
      </w:r>
    </w:p>
    <w:p>
      <w:pPr>
        <w:snapToGrid w:val="0"/>
        <w:spacing w:line="440" w:lineRule="exact"/>
        <w:rPr>
          <w:rFonts w:ascii="宋体" w:hAnsi="宋体" w:cs="宋体"/>
          <w:color w:val="auto"/>
          <w:szCs w:val="20"/>
          <w:highlight w:val="none"/>
        </w:rPr>
      </w:pPr>
      <w:r>
        <w:rPr>
          <w:rFonts w:hint="eastAsia" w:ascii="宋体" w:hAnsi="宋体" w:cs="宋体"/>
          <w:color w:val="auto"/>
          <w:szCs w:val="20"/>
          <w:highlight w:val="none"/>
        </w:rPr>
        <w:t>附：</w:t>
      </w:r>
    </w:p>
    <w:p>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格式1：资格声明</w:t>
      </w:r>
      <w:r>
        <w:rPr>
          <w:rFonts w:hint="eastAsia" w:ascii="宋体" w:hAnsi="宋体" w:cs="宋体"/>
          <w:color w:val="auto"/>
          <w:szCs w:val="22"/>
          <w:highlight w:val="none"/>
        </w:rPr>
        <w:t>及</w:t>
      </w:r>
      <w:r>
        <w:rPr>
          <w:rFonts w:hint="eastAsia" w:ascii="宋体" w:hAnsi="宋体" w:cs="宋体"/>
          <w:color w:val="auto"/>
          <w:highlight w:val="none"/>
        </w:rPr>
        <w:t>近三年发生的诉讼及仲裁情况</w:t>
      </w:r>
    </w:p>
    <w:p>
      <w:pPr>
        <w:snapToGrid w:val="0"/>
        <w:spacing w:line="360" w:lineRule="auto"/>
        <w:rPr>
          <w:rFonts w:ascii="宋体" w:hAnsi="宋体" w:cs="宋体"/>
          <w:color w:val="auto"/>
          <w:szCs w:val="22"/>
          <w:highlight w:val="none"/>
        </w:rPr>
      </w:pPr>
      <w:r>
        <w:rPr>
          <w:rFonts w:hint="eastAsia" w:ascii="宋体" w:hAnsi="宋体" w:cs="宋体"/>
          <w:color w:val="auto"/>
          <w:szCs w:val="22"/>
          <w:highlight w:val="none"/>
        </w:rPr>
        <w:t>格式2：信用承诺函</w:t>
      </w:r>
    </w:p>
    <w:p>
      <w:pPr>
        <w:snapToGrid w:val="0"/>
        <w:spacing w:line="360" w:lineRule="auto"/>
        <w:rPr>
          <w:rFonts w:ascii="宋体" w:hAnsi="宋体" w:cs="宋体"/>
          <w:color w:val="auto"/>
          <w:szCs w:val="22"/>
          <w:highlight w:val="none"/>
        </w:rPr>
      </w:pPr>
      <w:r>
        <w:rPr>
          <w:rFonts w:hint="eastAsia" w:ascii="宋体" w:hAnsi="宋体" w:cs="宋体"/>
          <w:color w:val="auto"/>
          <w:szCs w:val="22"/>
          <w:highlight w:val="none"/>
        </w:rPr>
        <w:t>格式3：参加政府采购活动前3年内在经营活动中没有重大违法记录的书面声明</w:t>
      </w:r>
    </w:p>
    <w:p>
      <w:pPr>
        <w:snapToGrid w:val="0"/>
        <w:spacing w:line="360" w:lineRule="auto"/>
        <w:rPr>
          <w:rFonts w:ascii="宋体" w:hAnsi="宋体" w:cs="宋体"/>
          <w:color w:val="auto"/>
          <w:szCs w:val="22"/>
          <w:highlight w:val="none"/>
        </w:rPr>
      </w:pPr>
      <w:r>
        <w:rPr>
          <w:rFonts w:hint="eastAsia" w:ascii="宋体" w:hAnsi="宋体" w:cs="宋体"/>
          <w:color w:val="auto"/>
          <w:szCs w:val="22"/>
          <w:highlight w:val="none"/>
        </w:rPr>
        <w:t>格式4：中小企业声明函</w:t>
      </w:r>
    </w:p>
    <w:p>
      <w:pPr>
        <w:snapToGrid w:val="0"/>
        <w:spacing w:line="360" w:lineRule="auto"/>
        <w:rPr>
          <w:rFonts w:ascii="宋体" w:hAnsi="宋体" w:cs="宋体"/>
          <w:color w:val="auto"/>
          <w:szCs w:val="22"/>
          <w:highlight w:val="none"/>
        </w:rPr>
      </w:pPr>
      <w:r>
        <w:rPr>
          <w:rFonts w:hint="eastAsia" w:ascii="宋体" w:hAnsi="宋体" w:cs="宋体"/>
          <w:color w:val="auto"/>
          <w:szCs w:val="22"/>
          <w:highlight w:val="none"/>
        </w:rPr>
        <w:t>格式5：残疾人福利性单位声明函</w:t>
      </w:r>
    </w:p>
    <w:p>
      <w:pPr>
        <w:snapToGrid w:val="0"/>
        <w:spacing w:line="360" w:lineRule="auto"/>
        <w:rPr>
          <w:rFonts w:ascii="宋体" w:hAnsi="宋体" w:cs="宋体"/>
          <w:color w:val="auto"/>
          <w:szCs w:val="22"/>
          <w:highlight w:val="none"/>
        </w:rPr>
      </w:pPr>
      <w:r>
        <w:rPr>
          <w:rFonts w:hint="eastAsia" w:ascii="宋体" w:hAnsi="宋体" w:cs="宋体"/>
          <w:color w:val="auto"/>
          <w:szCs w:val="22"/>
          <w:highlight w:val="none"/>
        </w:rPr>
        <w:t>格式6：政府采购供应商拒绝政府采购领域商业贿赂承诺书（参会签到时递交一份，招标文件中附一份）</w:t>
      </w:r>
    </w:p>
    <w:p>
      <w:pPr>
        <w:snapToGrid w:val="0"/>
        <w:spacing w:line="360" w:lineRule="auto"/>
        <w:rPr>
          <w:rFonts w:ascii="宋体" w:hAnsi="宋体" w:cs="宋体"/>
          <w:color w:val="auto"/>
          <w:szCs w:val="22"/>
          <w:highlight w:val="none"/>
        </w:rPr>
      </w:pPr>
      <w:r>
        <w:rPr>
          <w:rFonts w:hint="eastAsia" w:ascii="宋体" w:hAnsi="宋体" w:cs="宋体"/>
          <w:color w:val="auto"/>
          <w:szCs w:val="22"/>
          <w:highlight w:val="none"/>
        </w:rPr>
        <w:t>格式7：类似项目情况表</w:t>
      </w:r>
    </w:p>
    <w:p>
      <w:pPr>
        <w:rPr>
          <w:rFonts w:ascii="宋体" w:hAnsi="宋体" w:cs="宋体"/>
          <w:color w:val="auto"/>
          <w:szCs w:val="24"/>
          <w:highlight w:val="none"/>
        </w:rPr>
      </w:pPr>
    </w:p>
    <w:p>
      <w:pPr>
        <w:spacing w:line="360" w:lineRule="auto"/>
        <w:jc w:val="left"/>
        <w:rPr>
          <w:rFonts w:ascii="宋体" w:hAnsi="宋体" w:cs="宋体"/>
          <w:color w:val="auto"/>
          <w:highlight w:val="none"/>
          <w:u w:val="single"/>
        </w:rPr>
      </w:pPr>
      <w:r>
        <w:rPr>
          <w:rFonts w:hint="eastAsia" w:ascii="宋体" w:hAnsi="宋体" w:cs="宋体"/>
          <w:b/>
          <w:color w:val="auto"/>
          <w:sz w:val="30"/>
          <w:szCs w:val="30"/>
          <w:highlight w:val="none"/>
        </w:rPr>
        <w:br w:type="page"/>
      </w:r>
      <w:r>
        <w:rPr>
          <w:rFonts w:hint="eastAsia" w:ascii="宋体" w:hAnsi="宋体" w:cs="宋体"/>
          <w:color w:val="auto"/>
          <w:szCs w:val="20"/>
          <w:highlight w:val="none"/>
        </w:rPr>
        <w:t>格式1：</w:t>
      </w:r>
    </w:p>
    <w:p>
      <w:pPr>
        <w:keepNext/>
        <w:keepLines/>
        <w:spacing w:before="260" w:after="260" w:line="360" w:lineRule="auto"/>
        <w:jc w:val="center"/>
        <w:outlineLvl w:val="2"/>
        <w:rPr>
          <w:rFonts w:ascii="宋体" w:hAnsi="宋体" w:cs="宋体"/>
          <w:b/>
          <w:color w:val="auto"/>
          <w:highlight w:val="none"/>
        </w:rPr>
      </w:pPr>
      <w:r>
        <w:rPr>
          <w:rFonts w:hint="eastAsia" w:ascii="宋体" w:hAnsi="宋体" w:cs="宋体"/>
          <w:b/>
          <w:color w:val="auto"/>
          <w:highlight w:val="none"/>
        </w:rPr>
        <w:t>资格证明及近三年发生的诉讼及仲裁情况</w:t>
      </w:r>
    </w:p>
    <w:p>
      <w:pPr>
        <w:tabs>
          <w:tab w:val="left" w:pos="8364"/>
        </w:tabs>
        <w:snapToGrid w:val="0"/>
        <w:spacing w:afterLines="50" w:line="360" w:lineRule="auto"/>
        <w:ind w:left="1054" w:right="-57" w:hanging="1054"/>
        <w:rPr>
          <w:rFonts w:ascii="宋体" w:hAnsi="宋体" w:cs="宋体"/>
          <w:color w:val="auto"/>
          <w:szCs w:val="20"/>
          <w:highlight w:val="none"/>
        </w:rPr>
      </w:pPr>
    </w:p>
    <w:p>
      <w:pPr>
        <w:tabs>
          <w:tab w:val="left" w:pos="8364"/>
        </w:tabs>
        <w:snapToGrid w:val="0"/>
        <w:spacing w:afterLines="50" w:line="360" w:lineRule="auto"/>
        <w:ind w:left="1054" w:right="-57" w:hanging="1054"/>
        <w:rPr>
          <w:rFonts w:ascii="宋体" w:hAnsi="宋体" w:cs="宋体"/>
          <w:b/>
          <w:color w:val="auto"/>
          <w:szCs w:val="20"/>
          <w:highlight w:val="none"/>
        </w:rPr>
      </w:pPr>
      <w:r>
        <w:rPr>
          <w:rFonts w:hint="eastAsia" w:ascii="宋体" w:hAnsi="宋体" w:cs="宋体"/>
          <w:b/>
          <w:color w:val="auto"/>
          <w:szCs w:val="20"/>
          <w:highlight w:val="none"/>
        </w:rPr>
        <w:t>致：</w:t>
      </w:r>
      <w:r>
        <w:rPr>
          <w:rFonts w:hint="eastAsia" w:ascii="宋体" w:hAnsi="宋体" w:cs="宋体"/>
          <w:color w:val="auto"/>
          <w:szCs w:val="20"/>
          <w:highlight w:val="none"/>
          <w:u w:val="single"/>
        </w:rPr>
        <w:t xml:space="preserve">     （采购人名称）    </w:t>
      </w:r>
    </w:p>
    <w:p>
      <w:pPr>
        <w:snapToGrid w:val="0"/>
        <w:spacing w:afterLines="50"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关于贵方</w:t>
      </w:r>
      <w:r>
        <w:rPr>
          <w:rFonts w:hint="eastAsia" w:ascii="宋体" w:hAnsi="宋体" w:cs="宋体"/>
          <w:color w:val="auto"/>
          <w:szCs w:val="20"/>
          <w:highlight w:val="none"/>
          <w:u w:val="single"/>
        </w:rPr>
        <w:t>（项目名称）、（项目编号）</w:t>
      </w:r>
      <w:r>
        <w:rPr>
          <w:rFonts w:hint="eastAsia" w:ascii="宋体" w:hAnsi="宋体" w:cs="宋体"/>
          <w:color w:val="auto"/>
          <w:szCs w:val="20"/>
          <w:highlight w:val="none"/>
        </w:rPr>
        <w:t>，本公司愿意参加本次投标，提供招标文件中规定的所有货物和相关服务，并承诺投标文件中提供的所有证明文件和资料是准确和真实的。我们认为贵方有权并愿意配合贵方，向有关机构和单位（如会计师事务所、银行、相关企业等）查证和获得有关资料。</w:t>
      </w:r>
    </w:p>
    <w:p>
      <w:pPr>
        <w:ind w:firstLine="420" w:firstLineChars="200"/>
        <w:rPr>
          <w:rFonts w:ascii="宋体" w:hAnsi="宋体" w:cs="宋体"/>
          <w:color w:val="auto"/>
          <w:highlight w:val="none"/>
        </w:rPr>
      </w:pPr>
      <w:r>
        <w:rPr>
          <w:rFonts w:hint="eastAsia" w:ascii="宋体" w:hAnsi="宋体" w:cs="宋体"/>
          <w:color w:val="auto"/>
          <w:highlight w:val="none"/>
        </w:rPr>
        <w:t>本公司承诺近三年未发生任何败诉的诉讼及仲裁情况。</w:t>
      </w:r>
    </w:p>
    <w:p>
      <w:pPr>
        <w:ind w:firstLine="420" w:firstLineChars="200"/>
        <w:rPr>
          <w:rFonts w:ascii="宋体" w:hAnsi="宋体" w:cs="宋体"/>
          <w:color w:val="auto"/>
          <w:highlight w:val="none"/>
        </w:rPr>
      </w:pPr>
    </w:p>
    <w:p>
      <w:pPr>
        <w:tabs>
          <w:tab w:val="left" w:pos="8364"/>
        </w:tabs>
        <w:snapToGrid w:val="0"/>
        <w:spacing w:afterLines="50" w:line="360" w:lineRule="auto"/>
        <w:ind w:left="1050" w:right="-57" w:hanging="1050"/>
        <w:rPr>
          <w:rFonts w:ascii="宋体" w:hAnsi="宋体" w:cs="宋体"/>
          <w:color w:val="auto"/>
          <w:szCs w:val="20"/>
          <w:highlight w:val="none"/>
        </w:rPr>
      </w:pPr>
    </w:p>
    <w:p>
      <w:pPr>
        <w:tabs>
          <w:tab w:val="left" w:pos="8364"/>
        </w:tabs>
        <w:snapToGrid w:val="0"/>
        <w:spacing w:afterLines="50" w:line="360" w:lineRule="auto"/>
        <w:ind w:right="-57"/>
        <w:rPr>
          <w:rFonts w:ascii="宋体" w:hAnsi="宋体" w:cs="宋体"/>
          <w:color w:val="auto"/>
          <w:szCs w:val="20"/>
          <w:highlight w:val="none"/>
        </w:rPr>
      </w:pPr>
    </w:p>
    <w:p>
      <w:pPr>
        <w:spacing w:line="360" w:lineRule="auto"/>
        <w:rPr>
          <w:rFonts w:ascii="宋体" w:hAnsi="宋体" w:cs="宋体"/>
          <w:color w:val="auto"/>
          <w:szCs w:val="20"/>
          <w:highlight w:val="none"/>
        </w:rPr>
      </w:pPr>
      <w:r>
        <w:rPr>
          <w:rFonts w:hint="eastAsia" w:ascii="宋体" w:hAnsi="宋体" w:cs="宋体"/>
          <w:color w:val="auto"/>
          <w:szCs w:val="20"/>
          <w:highlight w:val="none"/>
        </w:rPr>
        <w:t>投标供应商（单位公章）：</w:t>
      </w:r>
    </w:p>
    <w:p>
      <w:pPr>
        <w:spacing w:line="360" w:lineRule="auto"/>
        <w:rPr>
          <w:rFonts w:ascii="宋体" w:hAnsi="宋体" w:cs="宋体"/>
          <w:color w:val="auto"/>
          <w:szCs w:val="20"/>
          <w:highlight w:val="none"/>
        </w:rPr>
      </w:pPr>
    </w:p>
    <w:p>
      <w:pPr>
        <w:spacing w:line="360" w:lineRule="auto"/>
        <w:rPr>
          <w:rFonts w:ascii="宋体" w:hAnsi="宋体" w:cs="宋体"/>
          <w:color w:val="auto"/>
          <w:szCs w:val="20"/>
          <w:highlight w:val="none"/>
        </w:rPr>
      </w:pPr>
      <w:r>
        <w:rPr>
          <w:rFonts w:hint="eastAsia" w:ascii="宋体" w:hAnsi="宋体" w:cs="宋体"/>
          <w:color w:val="auto"/>
          <w:szCs w:val="20"/>
          <w:highlight w:val="none"/>
        </w:rPr>
        <w:t>法定代表人（单位负责人）或委托代理人（签字或盖章）：</w:t>
      </w:r>
    </w:p>
    <w:p>
      <w:pPr>
        <w:tabs>
          <w:tab w:val="left" w:pos="8364"/>
        </w:tabs>
        <w:snapToGrid w:val="0"/>
        <w:spacing w:afterLines="50" w:line="360" w:lineRule="auto"/>
        <w:ind w:left="1050" w:right="-57" w:hanging="1050"/>
        <w:rPr>
          <w:rFonts w:ascii="宋体" w:hAnsi="宋体" w:cs="宋体"/>
          <w:color w:val="auto"/>
          <w:szCs w:val="20"/>
          <w:highlight w:val="none"/>
        </w:rPr>
      </w:pPr>
    </w:p>
    <w:p>
      <w:pPr>
        <w:tabs>
          <w:tab w:val="left" w:pos="8364"/>
        </w:tabs>
        <w:snapToGrid w:val="0"/>
        <w:spacing w:afterLines="50" w:line="360" w:lineRule="auto"/>
        <w:ind w:left="1050" w:right="-57" w:hanging="1050"/>
        <w:rPr>
          <w:rFonts w:ascii="宋体" w:hAnsi="宋体" w:cs="宋体"/>
          <w:color w:val="auto"/>
          <w:szCs w:val="20"/>
          <w:highlight w:val="none"/>
        </w:rPr>
      </w:pPr>
      <w:r>
        <w:rPr>
          <w:rFonts w:hint="eastAsia" w:ascii="宋体" w:hAnsi="宋体" w:cs="宋体"/>
          <w:color w:val="auto"/>
          <w:szCs w:val="20"/>
          <w:highlight w:val="none"/>
        </w:rPr>
        <w:t>日   期： 年 月  日</w:t>
      </w:r>
    </w:p>
    <w:p>
      <w:pPr>
        <w:tabs>
          <w:tab w:val="left" w:pos="8364"/>
        </w:tabs>
        <w:snapToGrid w:val="0"/>
        <w:spacing w:afterLines="50" w:line="360" w:lineRule="auto"/>
        <w:ind w:left="1050" w:right="-57" w:hanging="1050"/>
        <w:rPr>
          <w:rFonts w:ascii="宋体" w:hAnsi="宋体" w:cs="宋体"/>
          <w:color w:val="auto"/>
          <w:szCs w:val="20"/>
          <w:highlight w:val="none"/>
          <w:u w:val="single"/>
        </w:rPr>
      </w:pPr>
      <w:r>
        <w:rPr>
          <w:rFonts w:hint="eastAsia" w:ascii="宋体" w:hAnsi="宋体" w:cs="宋体"/>
          <w:color w:val="auto"/>
          <w:szCs w:val="20"/>
          <w:highlight w:val="none"/>
        </w:rPr>
        <w:t>投标供应商地址：</w:t>
      </w:r>
    </w:p>
    <w:p>
      <w:pPr>
        <w:adjustRightInd w:val="0"/>
        <w:snapToGrid w:val="0"/>
        <w:spacing w:beforeLines="50" w:line="360" w:lineRule="auto"/>
        <w:rPr>
          <w:rFonts w:ascii="宋体" w:hAnsi="宋体" w:cs="宋体"/>
          <w:color w:val="auto"/>
          <w:highlight w:val="none"/>
        </w:rPr>
      </w:pPr>
      <w:r>
        <w:rPr>
          <w:rFonts w:hint="eastAsia" w:ascii="宋体" w:hAnsi="宋体" w:cs="宋体"/>
          <w:color w:val="auto"/>
          <w:szCs w:val="20"/>
          <w:highlight w:val="none"/>
        </w:rPr>
        <w:t xml:space="preserve">传真：              电话：              </w:t>
      </w:r>
    </w:p>
    <w:p>
      <w:pPr>
        <w:spacing w:line="360" w:lineRule="auto"/>
        <w:jc w:val="left"/>
        <w:rPr>
          <w:rFonts w:ascii="宋体" w:hAnsi="宋体" w:cs="宋体"/>
          <w:color w:val="auto"/>
          <w:szCs w:val="20"/>
          <w:highlight w:val="none"/>
        </w:rPr>
      </w:pPr>
      <w:r>
        <w:rPr>
          <w:rFonts w:hint="eastAsia" w:ascii="宋体" w:hAnsi="宋体" w:cs="宋体"/>
          <w:color w:val="auto"/>
          <w:highlight w:val="none"/>
        </w:rPr>
        <w:br w:type="page"/>
      </w:r>
      <w:r>
        <w:rPr>
          <w:rFonts w:hint="eastAsia" w:ascii="宋体" w:hAnsi="宋体" w:cs="宋体"/>
          <w:color w:val="auto"/>
          <w:szCs w:val="20"/>
          <w:highlight w:val="none"/>
        </w:rPr>
        <w:t>格式2：</w:t>
      </w:r>
    </w:p>
    <w:p>
      <w:pPr>
        <w:keepNext/>
        <w:keepLines/>
        <w:spacing w:before="260" w:after="260" w:line="360" w:lineRule="auto"/>
        <w:jc w:val="center"/>
        <w:outlineLvl w:val="2"/>
        <w:rPr>
          <w:rFonts w:ascii="宋体" w:hAnsi="宋体" w:cs="宋体"/>
          <w:b/>
          <w:color w:val="auto"/>
          <w:highlight w:val="none"/>
        </w:rPr>
      </w:pPr>
    </w:p>
    <w:p>
      <w:pPr>
        <w:keepNext/>
        <w:keepLines/>
        <w:spacing w:before="260" w:after="260" w:line="360" w:lineRule="auto"/>
        <w:jc w:val="center"/>
        <w:outlineLvl w:val="2"/>
        <w:rPr>
          <w:rFonts w:ascii="宋体" w:hAnsi="宋体" w:cs="宋体"/>
          <w:b/>
          <w:color w:val="auto"/>
          <w:highlight w:val="none"/>
        </w:rPr>
      </w:pPr>
      <w:r>
        <w:rPr>
          <w:rFonts w:hint="eastAsia" w:ascii="宋体" w:hAnsi="宋体" w:cs="宋体"/>
          <w:b/>
          <w:color w:val="auto"/>
          <w:highlight w:val="none"/>
        </w:rPr>
        <w:t>信用承诺函</w:t>
      </w:r>
    </w:p>
    <w:p>
      <w:pPr>
        <w:tabs>
          <w:tab w:val="left" w:pos="720"/>
          <w:tab w:val="left" w:pos="8364"/>
        </w:tabs>
        <w:adjustRightInd w:val="0"/>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致：</w:t>
      </w:r>
      <w:r>
        <w:rPr>
          <w:rFonts w:hint="eastAsia" w:ascii="宋体" w:hAnsi="宋体" w:cs="宋体"/>
          <w:color w:val="auto"/>
          <w:szCs w:val="20"/>
          <w:highlight w:val="none"/>
          <w:u w:val="single"/>
        </w:rPr>
        <w:t xml:space="preserve">     （采购人名称）    </w:t>
      </w: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u w:val="single"/>
        </w:rPr>
        <w:t>（投标供应商名称）</w:t>
      </w:r>
      <w:r>
        <w:rPr>
          <w:rFonts w:hint="eastAsia" w:ascii="宋体" w:hAnsi="宋体" w:cs="宋体"/>
          <w:color w:val="auto"/>
          <w:szCs w:val="20"/>
          <w:highlight w:val="none"/>
        </w:rPr>
        <w:t>为在中华人民共和国境内合法注册并经营的机构。在此郑重声明，我公司在参与本次政府采购活动前</w:t>
      </w:r>
      <w:r>
        <w:rPr>
          <w:rFonts w:hint="eastAsia" w:ascii="宋体" w:hAnsi="宋体" w:cs="宋体"/>
          <w:color w:val="auto"/>
          <w:kern w:val="0"/>
          <w:highlight w:val="none"/>
        </w:rPr>
        <w:t>未被列入“信用中国”网站（www.creditchina.gov.cn）“失信被执行人”和“重大税收违法案件当事人名单”</w:t>
      </w:r>
      <w:r>
        <w:rPr>
          <w:rFonts w:hint="eastAsia" w:ascii="宋体" w:hAnsi="宋体" w:cs="宋体"/>
          <w:color w:val="auto"/>
          <w:highlight w:val="none"/>
        </w:rPr>
        <w:t>和“</w:t>
      </w:r>
      <w:r>
        <w:rPr>
          <w:color w:val="auto"/>
          <w:highlight w:val="none"/>
        </w:rPr>
        <w:fldChar w:fldCharType="begin"/>
      </w:r>
      <w:r>
        <w:rPr>
          <w:color w:val="auto"/>
          <w:highlight w:val="none"/>
        </w:rPr>
        <w:instrText xml:space="preserve"> HYPERLINK "https://www.creditchina.gov.cn/xinyongfuwu/zhengfucaigouyanzhongweifashixinmingdan/javascript:;" \o "政府采购严重违法失信名单" </w:instrText>
      </w:r>
      <w:r>
        <w:rPr>
          <w:color w:val="auto"/>
          <w:highlight w:val="none"/>
        </w:rPr>
        <w:fldChar w:fldCharType="separate"/>
      </w:r>
      <w:r>
        <w:rPr>
          <w:rFonts w:hint="eastAsia" w:ascii="宋体" w:hAnsi="宋体" w:cs="宋体"/>
          <w:color w:val="auto"/>
          <w:highlight w:val="none"/>
        </w:rPr>
        <w:t>政府采购严重违法失信名单</w:t>
      </w:r>
      <w:r>
        <w:rPr>
          <w:rFonts w:hint="eastAsia" w:ascii="宋体" w:hAnsi="宋体" w:cs="宋体"/>
          <w:color w:val="auto"/>
          <w:highlight w:val="none"/>
        </w:rPr>
        <w:fldChar w:fldCharType="end"/>
      </w:r>
      <w:r>
        <w:rPr>
          <w:rFonts w:hint="eastAsia" w:ascii="宋体" w:hAnsi="宋体" w:cs="宋体"/>
          <w:color w:val="auto"/>
          <w:highlight w:val="none"/>
        </w:rPr>
        <w:t>（处罚期限届满的除外）”</w:t>
      </w:r>
      <w:r>
        <w:rPr>
          <w:rFonts w:hint="eastAsia" w:ascii="宋体" w:hAnsi="宋体" w:cs="宋体"/>
          <w:color w:val="auto"/>
          <w:kern w:val="0"/>
          <w:highlight w:val="none"/>
        </w:rPr>
        <w:t>及中国政府采购网（www.ccgp.gov.cn）“政府采购严重违法失信行为记录名单”</w:t>
      </w:r>
      <w:r>
        <w:rPr>
          <w:rFonts w:hint="eastAsia" w:ascii="宋体" w:hAnsi="宋体" w:cs="宋体"/>
          <w:color w:val="auto"/>
          <w:highlight w:val="none"/>
        </w:rPr>
        <w:t>，特此承诺</w:t>
      </w:r>
      <w:r>
        <w:rPr>
          <w:rFonts w:hint="eastAsia" w:ascii="宋体" w:hAnsi="宋体" w:cs="宋体"/>
          <w:color w:val="auto"/>
          <w:szCs w:val="20"/>
          <w:highlight w:val="none"/>
        </w:rPr>
        <w:t>。</w:t>
      </w:r>
    </w:p>
    <w:p>
      <w:pPr>
        <w:tabs>
          <w:tab w:val="left" w:pos="720"/>
          <w:tab w:val="left" w:pos="8364"/>
        </w:tabs>
        <w:adjustRightInd w:val="0"/>
        <w:snapToGrid w:val="0"/>
        <w:spacing w:line="360" w:lineRule="auto"/>
        <w:ind w:firstLine="420"/>
        <w:rPr>
          <w:rFonts w:ascii="宋体" w:hAnsi="宋体" w:cs="宋体"/>
          <w:color w:val="auto"/>
          <w:szCs w:val="20"/>
          <w:highlight w:val="none"/>
        </w:rPr>
      </w:pPr>
    </w:p>
    <w:p>
      <w:pPr>
        <w:tabs>
          <w:tab w:val="left" w:pos="720"/>
          <w:tab w:val="left" w:pos="8364"/>
        </w:tabs>
        <w:adjustRightInd w:val="0"/>
        <w:snapToGrid w:val="0"/>
        <w:spacing w:line="360" w:lineRule="auto"/>
        <w:rPr>
          <w:rFonts w:ascii="宋体" w:hAnsi="宋体" w:cs="宋体"/>
          <w:color w:val="auto"/>
          <w:szCs w:val="20"/>
          <w:highlight w:val="none"/>
        </w:rPr>
      </w:pPr>
    </w:p>
    <w:p>
      <w:pPr>
        <w:tabs>
          <w:tab w:val="left" w:pos="720"/>
          <w:tab w:val="left" w:pos="8364"/>
        </w:tabs>
        <w:adjustRightInd w:val="0"/>
        <w:snapToGrid w:val="0"/>
        <w:spacing w:line="360" w:lineRule="auto"/>
        <w:ind w:firstLine="420"/>
        <w:rPr>
          <w:rFonts w:ascii="宋体" w:hAnsi="宋体" w:cs="宋体"/>
          <w:color w:val="auto"/>
          <w:szCs w:val="20"/>
          <w:highlight w:val="none"/>
        </w:rPr>
      </w:pPr>
    </w:p>
    <w:p>
      <w:pPr>
        <w:spacing w:line="360" w:lineRule="auto"/>
        <w:rPr>
          <w:rFonts w:ascii="宋体" w:hAnsi="宋体" w:cs="宋体"/>
          <w:color w:val="auto"/>
          <w:szCs w:val="20"/>
          <w:highlight w:val="none"/>
        </w:rPr>
      </w:pPr>
      <w:r>
        <w:rPr>
          <w:rFonts w:hint="eastAsia" w:ascii="宋体" w:hAnsi="宋体" w:cs="宋体"/>
          <w:color w:val="auto"/>
          <w:szCs w:val="20"/>
          <w:highlight w:val="none"/>
        </w:rPr>
        <w:t>投标供应商（单位公章）：</w:t>
      </w:r>
    </w:p>
    <w:p>
      <w:pPr>
        <w:spacing w:line="360" w:lineRule="auto"/>
        <w:rPr>
          <w:rFonts w:ascii="宋体" w:hAnsi="宋体" w:cs="宋体"/>
          <w:color w:val="auto"/>
          <w:szCs w:val="20"/>
          <w:highlight w:val="none"/>
        </w:rPr>
      </w:pPr>
      <w:r>
        <w:rPr>
          <w:rFonts w:hint="eastAsia" w:ascii="宋体" w:hAnsi="宋体" w:cs="宋体"/>
          <w:color w:val="auto"/>
          <w:szCs w:val="20"/>
          <w:highlight w:val="none"/>
        </w:rPr>
        <w:t>法定代表人（单位负责人）或委托代理人（签字或盖章）：</w:t>
      </w:r>
    </w:p>
    <w:p>
      <w:pPr>
        <w:tabs>
          <w:tab w:val="left" w:pos="8364"/>
        </w:tabs>
        <w:spacing w:afterLines="50" w:line="360" w:lineRule="auto"/>
        <w:ind w:right="-58"/>
        <w:rPr>
          <w:rFonts w:ascii="宋体" w:hAnsi="宋体" w:cs="宋体"/>
          <w:color w:val="auto"/>
          <w:szCs w:val="20"/>
          <w:highlight w:val="none"/>
          <w:u w:val="single"/>
        </w:rPr>
      </w:pPr>
      <w:r>
        <w:rPr>
          <w:rFonts w:hint="eastAsia" w:ascii="宋体" w:hAnsi="宋体" w:cs="宋体"/>
          <w:color w:val="auto"/>
          <w:szCs w:val="20"/>
          <w:highlight w:val="none"/>
        </w:rPr>
        <w:t>日        期：</w:t>
      </w:r>
    </w:p>
    <w:p>
      <w:pPr>
        <w:tabs>
          <w:tab w:val="left" w:pos="720"/>
          <w:tab w:val="left" w:pos="8364"/>
        </w:tabs>
        <w:adjustRightInd w:val="0"/>
        <w:snapToGrid w:val="0"/>
        <w:spacing w:line="360" w:lineRule="auto"/>
        <w:ind w:firstLine="420"/>
        <w:rPr>
          <w:rFonts w:ascii="宋体" w:hAnsi="宋体" w:cs="宋体"/>
          <w:color w:val="auto"/>
          <w:szCs w:val="20"/>
          <w:highlight w:val="none"/>
        </w:rPr>
      </w:pPr>
    </w:p>
    <w:p>
      <w:pPr>
        <w:tabs>
          <w:tab w:val="left" w:pos="720"/>
          <w:tab w:val="left" w:pos="8364"/>
        </w:tabs>
        <w:adjustRightInd w:val="0"/>
        <w:snapToGrid w:val="0"/>
        <w:spacing w:line="360" w:lineRule="auto"/>
        <w:ind w:firstLine="420"/>
        <w:rPr>
          <w:rFonts w:ascii="宋体" w:hAnsi="宋体" w:cs="宋体"/>
          <w:color w:val="auto"/>
          <w:szCs w:val="20"/>
          <w:highlight w:val="none"/>
        </w:rPr>
      </w:pPr>
    </w:p>
    <w:p>
      <w:pPr>
        <w:tabs>
          <w:tab w:val="left" w:pos="720"/>
          <w:tab w:val="left" w:pos="8364"/>
        </w:tabs>
        <w:adjustRightInd w:val="0"/>
        <w:snapToGrid w:val="0"/>
        <w:spacing w:line="360" w:lineRule="auto"/>
        <w:ind w:firstLine="420"/>
        <w:rPr>
          <w:rFonts w:ascii="宋体" w:hAnsi="宋体" w:cs="宋体"/>
          <w:color w:val="auto"/>
          <w:szCs w:val="20"/>
          <w:highlight w:val="none"/>
        </w:rPr>
      </w:pPr>
    </w:p>
    <w:p>
      <w:pPr>
        <w:tabs>
          <w:tab w:val="left" w:pos="720"/>
          <w:tab w:val="left" w:pos="8364"/>
        </w:tabs>
        <w:adjustRightInd w:val="0"/>
        <w:snapToGrid w:val="0"/>
        <w:spacing w:line="360" w:lineRule="auto"/>
        <w:ind w:firstLine="420"/>
        <w:rPr>
          <w:rFonts w:ascii="宋体" w:hAnsi="宋体" w:cs="宋体"/>
          <w:color w:val="auto"/>
          <w:szCs w:val="20"/>
          <w:highlight w:val="none"/>
        </w:rPr>
      </w:pPr>
    </w:p>
    <w:p>
      <w:pPr>
        <w:tabs>
          <w:tab w:val="left" w:pos="720"/>
          <w:tab w:val="left" w:pos="8364"/>
        </w:tabs>
        <w:adjustRightInd w:val="0"/>
        <w:snapToGrid w:val="0"/>
        <w:spacing w:line="360" w:lineRule="auto"/>
        <w:ind w:firstLine="420"/>
        <w:rPr>
          <w:rFonts w:ascii="宋体" w:hAnsi="宋体" w:cs="宋体"/>
          <w:color w:val="auto"/>
          <w:szCs w:val="20"/>
          <w:highlight w:val="none"/>
        </w:rPr>
      </w:pPr>
    </w:p>
    <w:p>
      <w:pPr>
        <w:tabs>
          <w:tab w:val="left" w:pos="720"/>
          <w:tab w:val="left" w:pos="8364"/>
        </w:tabs>
        <w:adjustRightInd w:val="0"/>
        <w:snapToGrid w:val="0"/>
        <w:spacing w:line="360" w:lineRule="auto"/>
        <w:ind w:firstLine="420"/>
        <w:rPr>
          <w:rFonts w:ascii="宋体" w:hAnsi="宋体" w:cs="宋体"/>
          <w:color w:val="auto"/>
          <w:szCs w:val="20"/>
          <w:highlight w:val="none"/>
        </w:rPr>
      </w:pPr>
    </w:p>
    <w:p>
      <w:pPr>
        <w:tabs>
          <w:tab w:val="left" w:pos="720"/>
          <w:tab w:val="left" w:pos="8364"/>
        </w:tabs>
        <w:adjustRightInd w:val="0"/>
        <w:snapToGrid w:val="0"/>
        <w:spacing w:line="360" w:lineRule="auto"/>
        <w:rPr>
          <w:rFonts w:ascii="宋体" w:hAnsi="宋体" w:cs="宋体"/>
          <w:color w:val="auto"/>
          <w:szCs w:val="20"/>
          <w:highlight w:val="none"/>
        </w:rPr>
      </w:pPr>
    </w:p>
    <w:p>
      <w:pPr>
        <w:tabs>
          <w:tab w:val="left" w:pos="720"/>
          <w:tab w:val="left" w:pos="8364"/>
        </w:tabs>
        <w:adjustRightInd w:val="0"/>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br w:type="page"/>
      </w:r>
      <w:r>
        <w:rPr>
          <w:rFonts w:hint="eastAsia" w:ascii="宋体" w:hAnsi="宋体" w:cs="宋体"/>
          <w:color w:val="auto"/>
          <w:szCs w:val="20"/>
          <w:highlight w:val="none"/>
        </w:rPr>
        <w:t>格式3：</w:t>
      </w:r>
    </w:p>
    <w:p>
      <w:pPr>
        <w:keepNext/>
        <w:keepLines/>
        <w:spacing w:before="260" w:after="260" w:line="360" w:lineRule="auto"/>
        <w:jc w:val="center"/>
        <w:outlineLvl w:val="2"/>
        <w:rPr>
          <w:rFonts w:ascii="宋体" w:hAnsi="宋体" w:cs="宋体"/>
          <w:b/>
          <w:color w:val="auto"/>
          <w:highlight w:val="none"/>
        </w:rPr>
      </w:pPr>
    </w:p>
    <w:p>
      <w:pPr>
        <w:keepNext/>
        <w:keepLines/>
        <w:spacing w:before="260" w:after="260" w:line="360" w:lineRule="auto"/>
        <w:jc w:val="center"/>
        <w:outlineLvl w:val="2"/>
        <w:rPr>
          <w:rFonts w:ascii="宋体" w:hAnsi="宋体" w:cs="宋体"/>
          <w:b/>
          <w:color w:val="auto"/>
          <w:highlight w:val="none"/>
        </w:rPr>
      </w:pPr>
      <w:r>
        <w:rPr>
          <w:rFonts w:hint="eastAsia" w:ascii="宋体" w:hAnsi="宋体" w:cs="宋体"/>
          <w:b/>
          <w:color w:val="auto"/>
          <w:highlight w:val="none"/>
        </w:rPr>
        <w:t>参加政府采购活动前3年内在经营活动中没有重大违法记录的书面声明</w:t>
      </w:r>
    </w:p>
    <w:p>
      <w:pPr>
        <w:tabs>
          <w:tab w:val="left" w:pos="720"/>
          <w:tab w:val="left" w:pos="8364"/>
        </w:tabs>
        <w:adjustRightInd w:val="0"/>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致：</w:t>
      </w:r>
      <w:r>
        <w:rPr>
          <w:rFonts w:hint="eastAsia" w:ascii="宋体" w:hAnsi="宋体" w:cs="宋体"/>
          <w:color w:val="auto"/>
          <w:szCs w:val="20"/>
          <w:highlight w:val="none"/>
          <w:u w:val="single"/>
        </w:rPr>
        <w:t xml:space="preserve">     （采购人名称）    </w:t>
      </w: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u w:val="single"/>
        </w:rPr>
        <w:t>（投标供应商名称）</w:t>
      </w:r>
      <w:r>
        <w:rPr>
          <w:rFonts w:hint="eastAsia" w:ascii="宋体" w:hAnsi="宋体" w:cs="宋体"/>
          <w:color w:val="auto"/>
          <w:szCs w:val="20"/>
          <w:highlight w:val="none"/>
        </w:rPr>
        <w:t>为在中华人民共和国境内合法注册并经营的机构。在此郑重声明，我公司在参与本次政府采购活动前3年内在经营活动中没有重大违法记录。</w:t>
      </w:r>
    </w:p>
    <w:p>
      <w:pPr>
        <w:tabs>
          <w:tab w:val="left" w:pos="720"/>
          <w:tab w:val="left" w:pos="8364"/>
        </w:tabs>
        <w:adjustRightInd w:val="0"/>
        <w:snapToGrid w:val="0"/>
        <w:spacing w:line="360" w:lineRule="auto"/>
        <w:ind w:firstLine="420"/>
        <w:rPr>
          <w:rFonts w:ascii="宋体" w:hAnsi="宋体" w:cs="宋体"/>
          <w:color w:val="auto"/>
          <w:szCs w:val="20"/>
          <w:highlight w:val="none"/>
        </w:rPr>
      </w:pPr>
    </w:p>
    <w:p>
      <w:pPr>
        <w:tabs>
          <w:tab w:val="left" w:pos="720"/>
          <w:tab w:val="left" w:pos="8364"/>
        </w:tabs>
        <w:adjustRightInd w:val="0"/>
        <w:snapToGrid w:val="0"/>
        <w:spacing w:line="360" w:lineRule="auto"/>
        <w:ind w:firstLine="420"/>
        <w:rPr>
          <w:rFonts w:ascii="宋体" w:hAnsi="宋体" w:cs="宋体"/>
          <w:color w:val="auto"/>
          <w:szCs w:val="20"/>
          <w:highlight w:val="none"/>
        </w:rPr>
      </w:pPr>
    </w:p>
    <w:p>
      <w:pPr>
        <w:tabs>
          <w:tab w:val="left" w:pos="720"/>
          <w:tab w:val="left" w:pos="8364"/>
        </w:tabs>
        <w:adjustRightInd w:val="0"/>
        <w:snapToGrid w:val="0"/>
        <w:spacing w:line="360" w:lineRule="auto"/>
        <w:ind w:firstLine="420"/>
        <w:rPr>
          <w:rFonts w:ascii="宋体" w:hAnsi="宋体" w:cs="宋体"/>
          <w:color w:val="auto"/>
          <w:szCs w:val="20"/>
          <w:highlight w:val="none"/>
        </w:rPr>
      </w:pPr>
    </w:p>
    <w:p>
      <w:pPr>
        <w:tabs>
          <w:tab w:val="left" w:pos="720"/>
          <w:tab w:val="left" w:pos="8364"/>
        </w:tabs>
        <w:adjustRightInd w:val="0"/>
        <w:snapToGrid w:val="0"/>
        <w:spacing w:line="360" w:lineRule="auto"/>
        <w:rPr>
          <w:rFonts w:ascii="宋体" w:hAnsi="宋体" w:cs="宋体"/>
          <w:color w:val="auto"/>
          <w:szCs w:val="20"/>
          <w:highlight w:val="none"/>
        </w:rPr>
      </w:pPr>
    </w:p>
    <w:p>
      <w:pPr>
        <w:tabs>
          <w:tab w:val="left" w:pos="720"/>
          <w:tab w:val="left" w:pos="8364"/>
        </w:tabs>
        <w:adjustRightInd w:val="0"/>
        <w:snapToGrid w:val="0"/>
        <w:spacing w:line="360" w:lineRule="auto"/>
        <w:ind w:firstLine="420"/>
        <w:rPr>
          <w:rFonts w:ascii="宋体" w:hAnsi="宋体" w:cs="宋体"/>
          <w:color w:val="auto"/>
          <w:szCs w:val="20"/>
          <w:highlight w:val="none"/>
        </w:rPr>
      </w:pPr>
    </w:p>
    <w:p>
      <w:pPr>
        <w:spacing w:line="360" w:lineRule="auto"/>
        <w:rPr>
          <w:rFonts w:ascii="宋体" w:hAnsi="宋体" w:cs="宋体"/>
          <w:color w:val="auto"/>
          <w:szCs w:val="20"/>
          <w:highlight w:val="none"/>
        </w:rPr>
      </w:pPr>
      <w:r>
        <w:rPr>
          <w:rFonts w:hint="eastAsia" w:ascii="宋体" w:hAnsi="宋体" w:cs="宋体"/>
          <w:color w:val="auto"/>
          <w:szCs w:val="20"/>
          <w:highlight w:val="none"/>
        </w:rPr>
        <w:t>投标供应商（单位公章）：</w:t>
      </w:r>
    </w:p>
    <w:p>
      <w:pPr>
        <w:spacing w:line="360" w:lineRule="auto"/>
        <w:rPr>
          <w:rFonts w:ascii="宋体" w:hAnsi="宋体" w:cs="宋体"/>
          <w:color w:val="auto"/>
          <w:szCs w:val="20"/>
          <w:highlight w:val="none"/>
        </w:rPr>
      </w:pPr>
      <w:r>
        <w:rPr>
          <w:rFonts w:hint="eastAsia" w:ascii="宋体" w:hAnsi="宋体" w:cs="宋体"/>
          <w:color w:val="auto"/>
          <w:szCs w:val="20"/>
          <w:highlight w:val="none"/>
        </w:rPr>
        <w:t>法定代表人（单位负责人）或委托代理人（签字或盖章）：</w:t>
      </w:r>
    </w:p>
    <w:p>
      <w:pPr>
        <w:tabs>
          <w:tab w:val="left" w:pos="8364"/>
        </w:tabs>
        <w:spacing w:afterLines="50" w:line="360" w:lineRule="auto"/>
        <w:ind w:right="-58"/>
        <w:rPr>
          <w:rFonts w:ascii="宋体" w:hAnsi="宋体" w:cs="宋体"/>
          <w:color w:val="auto"/>
          <w:szCs w:val="20"/>
          <w:highlight w:val="none"/>
          <w:u w:val="single"/>
        </w:rPr>
      </w:pPr>
      <w:r>
        <w:rPr>
          <w:rFonts w:hint="eastAsia" w:ascii="宋体" w:hAnsi="宋体" w:cs="宋体"/>
          <w:color w:val="auto"/>
          <w:szCs w:val="20"/>
          <w:highlight w:val="none"/>
        </w:rPr>
        <w:t>日        期：</w:t>
      </w:r>
    </w:p>
    <w:p>
      <w:pPr>
        <w:tabs>
          <w:tab w:val="left" w:pos="720"/>
          <w:tab w:val="left" w:pos="8364"/>
        </w:tabs>
        <w:adjustRightInd w:val="0"/>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br w:type="page"/>
      </w:r>
      <w:r>
        <w:rPr>
          <w:rFonts w:hint="eastAsia" w:ascii="宋体" w:hAnsi="宋体" w:cs="宋体"/>
          <w:color w:val="auto"/>
          <w:szCs w:val="20"/>
          <w:highlight w:val="none"/>
        </w:rPr>
        <w:t>格式4：</w:t>
      </w:r>
    </w:p>
    <w:p>
      <w:pPr>
        <w:keepNext/>
        <w:keepLines/>
        <w:spacing w:before="280" w:after="290" w:line="360" w:lineRule="auto"/>
        <w:ind w:firstLine="422"/>
        <w:jc w:val="center"/>
        <w:outlineLvl w:val="4"/>
        <w:rPr>
          <w:rFonts w:ascii="宋体" w:hAnsi="宋体" w:cs="宋体"/>
          <w:color w:val="auto"/>
          <w:highlight w:val="none"/>
        </w:rPr>
      </w:pPr>
      <w:bookmarkStart w:id="85" w:name="_Toc269407684"/>
      <w:bookmarkStart w:id="86" w:name="_Toc269407896"/>
      <w:r>
        <w:rPr>
          <w:rFonts w:hint="eastAsia" w:ascii="宋体" w:hAnsi="宋体" w:cs="宋体"/>
          <w:color w:val="auto"/>
          <w:highlight w:val="none"/>
        </w:rPr>
        <w:t>中小企业声明函（货物）</w:t>
      </w:r>
    </w:p>
    <w:p>
      <w:pPr>
        <w:autoSpaceDE w:val="0"/>
        <w:autoSpaceDN w:val="0"/>
        <w:adjustRightInd w:val="0"/>
        <w:spacing w:line="360" w:lineRule="auto"/>
        <w:ind w:firstLine="420" w:firstLineChars="200"/>
        <w:rPr>
          <w:rFonts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本公司（联合体）郑重声明，根据《政府采购促进中小企业发展管理办法》（财库﹝</w:t>
      </w:r>
      <w:r>
        <w:rPr>
          <w:rFonts w:cs="宋体" w:asciiTheme="majorEastAsia" w:hAnsiTheme="majorEastAsia" w:eastAsiaTheme="majorEastAsia"/>
          <w:color w:val="auto"/>
          <w:kern w:val="0"/>
          <w:highlight w:val="none"/>
        </w:rPr>
        <w:t>2020</w:t>
      </w:r>
      <w:r>
        <w:rPr>
          <w:rFonts w:hint="eastAsia" w:cs="宋体" w:asciiTheme="majorEastAsia" w:hAnsiTheme="majorEastAsia" w:eastAsiaTheme="majorEastAsia"/>
          <w:color w:val="auto"/>
          <w:kern w:val="0"/>
          <w:highlight w:val="none"/>
        </w:rPr>
        <w:t>﹞</w:t>
      </w:r>
      <w:r>
        <w:rPr>
          <w:rFonts w:cs="宋体" w:asciiTheme="majorEastAsia" w:hAnsiTheme="majorEastAsia" w:eastAsiaTheme="majorEastAsia"/>
          <w:color w:val="auto"/>
          <w:kern w:val="0"/>
          <w:highlight w:val="none"/>
        </w:rPr>
        <w:t xml:space="preserve">46 </w:t>
      </w:r>
      <w:r>
        <w:rPr>
          <w:rFonts w:hint="eastAsia" w:cs="宋体" w:asciiTheme="majorEastAsia" w:hAnsiTheme="majorEastAsia" w:eastAsiaTheme="majorEastAsia"/>
          <w:color w:val="auto"/>
          <w:kern w:val="0"/>
          <w:highlight w:val="none"/>
        </w:rPr>
        <w:t>号）的规定，本公司（联合体）参加</w:t>
      </w:r>
      <w:r>
        <w:rPr>
          <w:rFonts w:hint="eastAsia" w:cs="宋体" w:asciiTheme="majorEastAsia" w:hAnsiTheme="majorEastAsia" w:eastAsiaTheme="majorEastAsia"/>
          <w:color w:val="auto"/>
          <w:kern w:val="0"/>
          <w:highlight w:val="none"/>
          <w:u w:val="single"/>
        </w:rPr>
        <w:t>（单位名称）</w:t>
      </w:r>
      <w:r>
        <w:rPr>
          <w:rFonts w:hint="eastAsia" w:cs="宋体" w:asciiTheme="majorEastAsia" w:hAnsiTheme="majorEastAsia" w:eastAsiaTheme="majorEastAsia"/>
          <w:color w:val="auto"/>
          <w:kern w:val="0"/>
          <w:highlight w:val="none"/>
        </w:rPr>
        <w:t>的</w:t>
      </w:r>
      <w:r>
        <w:rPr>
          <w:rFonts w:hint="eastAsia" w:cs="宋体" w:asciiTheme="majorEastAsia" w:hAnsiTheme="majorEastAsia" w:eastAsiaTheme="majorEastAsia"/>
          <w:color w:val="auto"/>
          <w:kern w:val="0"/>
          <w:highlight w:val="none"/>
          <w:u w:val="single"/>
        </w:rPr>
        <w:t>（项目名称）</w:t>
      </w:r>
      <w:r>
        <w:rPr>
          <w:rFonts w:hint="eastAsia" w:cs="宋体" w:asciiTheme="majorEastAsia" w:hAnsiTheme="majorEastAsia" w:eastAsiaTheme="majorEastAsia"/>
          <w:color w:val="auto"/>
          <w:kern w:val="0"/>
          <w:highlight w:val="none"/>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420" w:firstLineChars="200"/>
        <w:rPr>
          <w:rFonts w:cs="宋体" w:asciiTheme="majorEastAsia" w:hAnsiTheme="majorEastAsia" w:eastAsiaTheme="majorEastAsia"/>
          <w:color w:val="auto"/>
          <w:kern w:val="0"/>
          <w:highlight w:val="none"/>
        </w:rPr>
      </w:pPr>
      <w:r>
        <w:rPr>
          <w:rFonts w:cs="宋体" w:asciiTheme="majorEastAsia" w:hAnsiTheme="majorEastAsia" w:eastAsiaTheme="majorEastAsia"/>
          <w:color w:val="auto"/>
          <w:kern w:val="0"/>
          <w:highlight w:val="none"/>
        </w:rPr>
        <w:t xml:space="preserve">1. </w:t>
      </w:r>
      <w:r>
        <w:rPr>
          <w:rFonts w:hint="eastAsia" w:cs="宋体" w:asciiTheme="majorEastAsia" w:hAnsiTheme="majorEastAsia" w:eastAsiaTheme="majorEastAsia"/>
          <w:color w:val="auto"/>
          <w:kern w:val="0"/>
          <w:highlight w:val="none"/>
        </w:rPr>
        <w:t>（标的名称），属于（采购文件中明确的所属行业）行业；制造商为（企业名称），从业人员</w:t>
      </w:r>
      <w:r>
        <w:rPr>
          <w:rFonts w:hint="eastAsia" w:cs="宋体" w:asciiTheme="majorEastAsia" w:hAnsiTheme="majorEastAsia" w:eastAsiaTheme="majorEastAsia"/>
          <w:color w:val="auto"/>
          <w:kern w:val="0"/>
          <w:highlight w:val="none"/>
          <w:u w:val="single"/>
        </w:rPr>
        <w:t xml:space="preserve">  人</w:t>
      </w:r>
      <w:r>
        <w:rPr>
          <w:rFonts w:hint="eastAsia" w:cs="宋体" w:asciiTheme="majorEastAsia" w:hAnsiTheme="majorEastAsia" w:eastAsiaTheme="majorEastAsia"/>
          <w:color w:val="auto"/>
          <w:kern w:val="0"/>
          <w:highlight w:val="none"/>
        </w:rPr>
        <w:t>，营业收入为</w:t>
      </w:r>
      <w:r>
        <w:rPr>
          <w:rFonts w:hint="eastAsia" w:cs="宋体" w:asciiTheme="majorEastAsia" w:hAnsiTheme="majorEastAsia" w:eastAsiaTheme="majorEastAsia"/>
          <w:color w:val="auto"/>
          <w:kern w:val="0"/>
          <w:highlight w:val="none"/>
          <w:u w:val="single"/>
        </w:rPr>
        <w:t xml:space="preserve">  万元</w:t>
      </w:r>
      <w:r>
        <w:rPr>
          <w:rFonts w:hint="eastAsia" w:cs="宋体" w:asciiTheme="majorEastAsia" w:hAnsiTheme="majorEastAsia" w:eastAsiaTheme="majorEastAsia"/>
          <w:color w:val="auto"/>
          <w:kern w:val="0"/>
          <w:highlight w:val="none"/>
        </w:rPr>
        <w:t>，资产总额为</w:t>
      </w:r>
      <w:r>
        <w:rPr>
          <w:rFonts w:hint="eastAsia" w:cs="宋体" w:asciiTheme="majorEastAsia" w:hAnsiTheme="majorEastAsia" w:eastAsiaTheme="majorEastAsia"/>
          <w:color w:val="auto"/>
          <w:kern w:val="0"/>
          <w:highlight w:val="none"/>
          <w:u w:val="single"/>
        </w:rPr>
        <w:t xml:space="preserve">   万元</w:t>
      </w:r>
      <w:r>
        <w:rPr>
          <w:rFonts w:hint="eastAsia" w:cs="宋体" w:asciiTheme="majorEastAsia" w:hAnsiTheme="majorEastAsia" w:eastAsiaTheme="majorEastAsia"/>
          <w:color w:val="auto"/>
          <w:kern w:val="0"/>
          <w:highlight w:val="none"/>
        </w:rPr>
        <w:t>，属于（中型企业、小型企业、微型企业）；</w:t>
      </w:r>
    </w:p>
    <w:p>
      <w:pPr>
        <w:autoSpaceDE w:val="0"/>
        <w:autoSpaceDN w:val="0"/>
        <w:adjustRightInd w:val="0"/>
        <w:spacing w:line="360" w:lineRule="auto"/>
        <w:ind w:firstLine="420" w:firstLineChars="200"/>
        <w:rPr>
          <w:rFonts w:cs="宋体" w:asciiTheme="majorEastAsia" w:hAnsiTheme="majorEastAsia" w:eastAsiaTheme="majorEastAsia"/>
          <w:color w:val="auto"/>
          <w:kern w:val="0"/>
          <w:highlight w:val="none"/>
        </w:rPr>
      </w:pPr>
      <w:r>
        <w:rPr>
          <w:rFonts w:cs="宋体" w:asciiTheme="majorEastAsia" w:hAnsiTheme="majorEastAsia" w:eastAsiaTheme="majorEastAsia"/>
          <w:color w:val="auto"/>
          <w:kern w:val="0"/>
          <w:highlight w:val="none"/>
        </w:rPr>
        <w:t xml:space="preserve">2. </w:t>
      </w:r>
      <w:r>
        <w:rPr>
          <w:rFonts w:hint="eastAsia" w:cs="宋体" w:asciiTheme="majorEastAsia" w:hAnsiTheme="majorEastAsia" w:eastAsiaTheme="majorEastAsia"/>
          <w:color w:val="auto"/>
          <w:kern w:val="0"/>
          <w:highlight w:val="none"/>
        </w:rPr>
        <w:t>（标的名称），属于（采购文件中明确的所属行业）行业；制造商为（企业名称），从业人员</w:t>
      </w:r>
      <w:r>
        <w:rPr>
          <w:rFonts w:hint="eastAsia" w:cs="宋体" w:asciiTheme="majorEastAsia" w:hAnsiTheme="majorEastAsia" w:eastAsiaTheme="majorEastAsia"/>
          <w:color w:val="auto"/>
          <w:kern w:val="0"/>
          <w:highlight w:val="none"/>
          <w:u w:val="single"/>
        </w:rPr>
        <w:t xml:space="preserve">  人</w:t>
      </w:r>
      <w:r>
        <w:rPr>
          <w:rFonts w:hint="eastAsia" w:cs="宋体" w:asciiTheme="majorEastAsia" w:hAnsiTheme="majorEastAsia" w:eastAsiaTheme="majorEastAsia"/>
          <w:color w:val="auto"/>
          <w:kern w:val="0"/>
          <w:highlight w:val="none"/>
        </w:rPr>
        <w:t>，营业收入为</w:t>
      </w:r>
      <w:r>
        <w:rPr>
          <w:rFonts w:hint="eastAsia" w:cs="宋体" w:asciiTheme="majorEastAsia" w:hAnsiTheme="majorEastAsia" w:eastAsiaTheme="majorEastAsia"/>
          <w:color w:val="auto"/>
          <w:kern w:val="0"/>
          <w:highlight w:val="none"/>
          <w:u w:val="single"/>
        </w:rPr>
        <w:t xml:space="preserve">   万元</w:t>
      </w:r>
      <w:r>
        <w:rPr>
          <w:rFonts w:hint="eastAsia" w:cs="宋体" w:asciiTheme="majorEastAsia" w:hAnsiTheme="majorEastAsia" w:eastAsiaTheme="majorEastAsia"/>
          <w:color w:val="auto"/>
          <w:kern w:val="0"/>
          <w:highlight w:val="none"/>
        </w:rPr>
        <w:t>，资产总额为</w:t>
      </w:r>
      <w:r>
        <w:rPr>
          <w:rFonts w:hint="eastAsia" w:cs="宋体" w:asciiTheme="majorEastAsia" w:hAnsiTheme="majorEastAsia" w:eastAsiaTheme="majorEastAsia"/>
          <w:color w:val="auto"/>
          <w:kern w:val="0"/>
          <w:highlight w:val="none"/>
          <w:u w:val="single"/>
        </w:rPr>
        <w:t xml:space="preserve">   万元</w:t>
      </w:r>
      <w:r>
        <w:rPr>
          <w:rFonts w:hint="eastAsia" w:cs="宋体" w:asciiTheme="majorEastAsia" w:hAnsiTheme="majorEastAsia" w:eastAsiaTheme="majorEastAsia"/>
          <w:color w:val="auto"/>
          <w:kern w:val="0"/>
          <w:highlight w:val="none"/>
        </w:rPr>
        <w:t>，属于（中型企业、小型企业、微型企业）；</w:t>
      </w:r>
    </w:p>
    <w:p>
      <w:pPr>
        <w:autoSpaceDE w:val="0"/>
        <w:autoSpaceDN w:val="0"/>
        <w:adjustRightInd w:val="0"/>
        <w:spacing w:line="360" w:lineRule="auto"/>
        <w:ind w:firstLine="420" w:firstLineChars="200"/>
        <w:rPr>
          <w:rFonts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w:t>
      </w:r>
    </w:p>
    <w:p>
      <w:pPr>
        <w:autoSpaceDE w:val="0"/>
        <w:autoSpaceDN w:val="0"/>
        <w:adjustRightInd w:val="0"/>
        <w:spacing w:line="360" w:lineRule="auto"/>
        <w:ind w:firstLine="420" w:firstLineChars="200"/>
        <w:rPr>
          <w:rFonts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以上企业，不属于大企业的分支机构，不存在控股股东为大企业的情形，也不存在与大企业的负责人为同一人的情形。本企业对上述声明内容的真实性负责。如有虚假，将依法承担相应责任。</w:t>
      </w:r>
    </w:p>
    <w:p>
      <w:pPr>
        <w:autoSpaceDE w:val="0"/>
        <w:autoSpaceDN w:val="0"/>
        <w:adjustRightInd w:val="0"/>
        <w:spacing w:line="360" w:lineRule="auto"/>
        <w:ind w:firstLine="420" w:firstLineChars="200"/>
        <w:rPr>
          <w:rFonts w:cs="宋体" w:asciiTheme="majorEastAsia" w:hAnsiTheme="majorEastAsia" w:eastAsiaTheme="majorEastAsia"/>
          <w:color w:val="auto"/>
          <w:kern w:val="0"/>
          <w:highlight w:val="none"/>
        </w:rPr>
      </w:pPr>
    </w:p>
    <w:p>
      <w:pPr>
        <w:autoSpaceDE w:val="0"/>
        <w:autoSpaceDN w:val="0"/>
        <w:adjustRightInd w:val="0"/>
        <w:spacing w:line="360" w:lineRule="auto"/>
        <w:ind w:firstLine="420" w:firstLineChars="200"/>
        <w:rPr>
          <w:rFonts w:cs="宋体" w:asciiTheme="majorEastAsia" w:hAnsiTheme="majorEastAsia" w:eastAsiaTheme="majorEastAsia"/>
          <w:color w:val="auto"/>
          <w:kern w:val="0"/>
          <w:highlight w:val="none"/>
        </w:rPr>
      </w:pPr>
    </w:p>
    <w:p>
      <w:pPr>
        <w:autoSpaceDE w:val="0"/>
        <w:autoSpaceDN w:val="0"/>
        <w:adjustRightInd w:val="0"/>
        <w:spacing w:line="360" w:lineRule="auto"/>
        <w:ind w:firstLine="3885" w:firstLineChars="1850"/>
        <w:rPr>
          <w:rFonts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企业名称（盖章）：</w:t>
      </w:r>
    </w:p>
    <w:p>
      <w:pPr>
        <w:autoSpaceDE w:val="0"/>
        <w:autoSpaceDN w:val="0"/>
        <w:adjustRightInd w:val="0"/>
        <w:spacing w:line="360" w:lineRule="auto"/>
        <w:ind w:firstLine="3990" w:firstLineChars="1900"/>
        <w:rPr>
          <w:rFonts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日期：</w:t>
      </w:r>
    </w:p>
    <w:p>
      <w:pPr>
        <w:autoSpaceDE w:val="0"/>
        <w:autoSpaceDN w:val="0"/>
        <w:adjustRightInd w:val="0"/>
        <w:spacing w:line="360" w:lineRule="auto"/>
        <w:ind w:firstLine="420" w:firstLineChars="200"/>
        <w:rPr>
          <w:rFonts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备注:1.从业人员、营业收入、资产总额填报上一年度数据，无上一年度数据的新成立企业可不填报。</w:t>
      </w:r>
    </w:p>
    <w:p>
      <w:pPr>
        <w:tabs>
          <w:tab w:val="left" w:pos="8364"/>
        </w:tabs>
        <w:spacing w:afterLines="50" w:line="360" w:lineRule="auto"/>
        <w:ind w:right="-58"/>
        <w:rPr>
          <w:rFonts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 xml:space="preserve">    2.如是小型企业、微型企业的单位可享受采购文件规定的评审价格扣除，此表会在政府采购平台随采购结果一同公示。</w:t>
      </w:r>
    </w:p>
    <w:p>
      <w:pPr>
        <w:adjustRightInd w:val="0"/>
        <w:snapToGrid w:val="0"/>
        <w:spacing w:beforeLines="50" w:line="360" w:lineRule="auto"/>
        <w:rPr>
          <w:rFonts w:ascii="宋体" w:hAnsi="宋体" w:cs="宋体"/>
          <w:color w:val="auto"/>
          <w:szCs w:val="20"/>
          <w:highlight w:val="none"/>
        </w:rPr>
      </w:pPr>
      <w:r>
        <w:rPr>
          <w:rFonts w:hint="eastAsia" w:ascii="宋体" w:hAnsi="宋体" w:cs="宋体"/>
          <w:color w:val="auto"/>
          <w:szCs w:val="20"/>
          <w:highlight w:val="none"/>
        </w:rPr>
        <w:br w:type="page"/>
      </w:r>
      <w:r>
        <w:rPr>
          <w:rFonts w:hint="eastAsia" w:ascii="宋体" w:hAnsi="宋体" w:cs="宋体"/>
          <w:color w:val="auto"/>
          <w:szCs w:val="20"/>
          <w:highlight w:val="none"/>
        </w:rPr>
        <w:t>格式5：</w:t>
      </w:r>
    </w:p>
    <w:bookmarkEnd w:id="85"/>
    <w:bookmarkEnd w:id="86"/>
    <w:p>
      <w:pPr>
        <w:spacing w:line="400" w:lineRule="exact"/>
        <w:jc w:val="center"/>
        <w:rPr>
          <w:rFonts w:ascii="宋体" w:hAnsi="宋体" w:cs="宋体"/>
          <w:b/>
          <w:color w:val="auto"/>
          <w:highlight w:val="none"/>
        </w:rPr>
      </w:pPr>
      <w:r>
        <w:rPr>
          <w:rFonts w:hint="eastAsia" w:ascii="宋体" w:hAnsi="宋体" w:cs="宋体"/>
          <w:b/>
          <w:color w:val="auto"/>
          <w:highlight w:val="none"/>
        </w:rPr>
        <w:t>残疾人福利性单位声明函</w:t>
      </w:r>
    </w:p>
    <w:p>
      <w:pPr>
        <w:spacing w:line="400" w:lineRule="exact"/>
        <w:jc w:val="center"/>
        <w:rPr>
          <w:rFonts w:ascii="宋体" w:hAnsi="宋体" w:cs="宋体"/>
          <w:b/>
          <w:bCs/>
          <w:color w:val="auto"/>
          <w:highlight w:val="none"/>
        </w:rPr>
      </w:pPr>
      <w:r>
        <w:rPr>
          <w:rFonts w:hint="eastAsia" w:ascii="宋体" w:hAnsi="宋体" w:cs="宋体"/>
          <w:b/>
          <w:bCs/>
          <w:color w:val="auto"/>
          <w:highlight w:val="none"/>
        </w:rPr>
        <w:t>（如是</w:t>
      </w:r>
      <w:r>
        <w:rPr>
          <w:rFonts w:hint="eastAsia" w:ascii="宋体" w:hAnsi="宋体" w:cs="宋体"/>
          <w:b/>
          <w:color w:val="auto"/>
          <w:highlight w:val="none"/>
        </w:rPr>
        <w:t>残疾人福利性单位</w:t>
      </w:r>
      <w:r>
        <w:rPr>
          <w:rFonts w:hint="eastAsia" w:ascii="宋体" w:hAnsi="宋体" w:cs="宋体"/>
          <w:b/>
          <w:bCs/>
          <w:color w:val="auto"/>
          <w:highlight w:val="none"/>
        </w:rPr>
        <w:t>可填写；非</w:t>
      </w:r>
      <w:r>
        <w:rPr>
          <w:rFonts w:hint="eastAsia" w:ascii="宋体" w:hAnsi="宋体" w:cs="宋体"/>
          <w:b/>
          <w:color w:val="auto"/>
          <w:highlight w:val="none"/>
        </w:rPr>
        <w:t>残疾人福利性单位</w:t>
      </w:r>
      <w:r>
        <w:rPr>
          <w:rFonts w:hint="eastAsia" w:ascii="宋体" w:hAnsi="宋体" w:cs="宋体"/>
          <w:b/>
          <w:bCs/>
          <w:color w:val="auto"/>
          <w:highlight w:val="none"/>
        </w:rPr>
        <w:t>可不填写，也可不提供此页）</w:t>
      </w:r>
    </w:p>
    <w:p>
      <w:pPr>
        <w:tabs>
          <w:tab w:val="left" w:pos="720"/>
          <w:tab w:val="left" w:pos="8364"/>
        </w:tabs>
        <w:adjustRightInd w:val="0"/>
        <w:snapToGrid w:val="0"/>
        <w:spacing w:line="400" w:lineRule="exact"/>
        <w:ind w:firstLine="420"/>
        <w:rPr>
          <w:rFonts w:ascii="宋体" w:hAnsi="宋体" w:cs="宋体"/>
          <w:color w:val="auto"/>
          <w:szCs w:val="20"/>
          <w:highlight w:val="none"/>
        </w:rPr>
      </w:pPr>
    </w:p>
    <w:p>
      <w:pPr>
        <w:tabs>
          <w:tab w:val="left" w:pos="720"/>
          <w:tab w:val="left" w:pos="8364"/>
        </w:tabs>
        <w:adjustRightInd w:val="0"/>
        <w:snapToGrid w:val="0"/>
        <w:spacing w:line="400" w:lineRule="exact"/>
        <w:ind w:firstLine="420"/>
        <w:rPr>
          <w:rFonts w:ascii="宋体" w:hAnsi="宋体" w:cs="宋体"/>
          <w:color w:val="auto"/>
          <w:szCs w:val="20"/>
          <w:highlight w:val="none"/>
        </w:rPr>
      </w:pPr>
      <w:r>
        <w:rPr>
          <w:rFonts w:hint="eastAsia" w:ascii="宋体" w:hAnsi="宋体" w:cs="宋体"/>
          <w:color w:val="auto"/>
          <w:szCs w:val="20"/>
          <w:highlight w:val="none"/>
        </w:rPr>
        <w:t>本单位郑重声明，根据《财政部 民政部 中国残疾人联合会关于促进残疾人就业政府采购政策的通知》（财库〔2017〕141号）的规定，本单位为符合条件的残疾人福利性单位，且本单位参加项目（项目编号：）采购活动提供本单位制造的货物（由本单位承担工程/提供服务），或者提供其他残疾人福利性单位制造的货物（不包括使用非残疾人福利性单位注册商标的货物）。</w:t>
      </w:r>
    </w:p>
    <w:p>
      <w:pPr>
        <w:tabs>
          <w:tab w:val="left" w:pos="720"/>
          <w:tab w:val="left" w:pos="8364"/>
        </w:tabs>
        <w:adjustRightInd w:val="0"/>
        <w:snapToGrid w:val="0"/>
        <w:spacing w:line="400" w:lineRule="exact"/>
        <w:ind w:firstLine="420"/>
        <w:rPr>
          <w:rFonts w:ascii="宋体" w:hAnsi="宋体" w:cs="宋体"/>
          <w:color w:val="auto"/>
          <w:szCs w:val="20"/>
          <w:highlight w:val="none"/>
        </w:rPr>
      </w:pPr>
      <w:r>
        <w:rPr>
          <w:rFonts w:hint="eastAsia" w:ascii="宋体" w:hAnsi="宋体" w:cs="宋体"/>
          <w:color w:val="auto"/>
          <w:szCs w:val="20"/>
          <w:highlight w:val="none"/>
        </w:rPr>
        <w:t>本单位对上述声明的真实性负责。如有虚假，将依法承担相应责任。</w:t>
      </w:r>
    </w:p>
    <w:p>
      <w:pPr>
        <w:spacing w:line="400" w:lineRule="exact"/>
        <w:rPr>
          <w:rFonts w:ascii="宋体" w:hAnsi="宋体" w:cs="宋体"/>
          <w:color w:val="auto"/>
          <w:szCs w:val="20"/>
          <w:highlight w:val="none"/>
        </w:rPr>
      </w:pPr>
      <w:r>
        <w:rPr>
          <w:rFonts w:hint="eastAsia" w:ascii="宋体" w:hAnsi="宋体" w:cs="宋体"/>
          <w:color w:val="auto"/>
          <w:szCs w:val="20"/>
          <w:highlight w:val="none"/>
        </w:rPr>
        <w:t>供应商（单位公章）：</w:t>
      </w:r>
    </w:p>
    <w:p>
      <w:pPr>
        <w:spacing w:line="400" w:lineRule="exact"/>
        <w:rPr>
          <w:rFonts w:ascii="宋体" w:hAnsi="宋体" w:cs="宋体"/>
          <w:color w:val="auto"/>
          <w:szCs w:val="20"/>
          <w:highlight w:val="none"/>
        </w:rPr>
      </w:pPr>
      <w:r>
        <w:rPr>
          <w:rFonts w:hint="eastAsia" w:ascii="宋体" w:hAnsi="宋体" w:cs="宋体"/>
          <w:color w:val="auto"/>
          <w:szCs w:val="20"/>
          <w:highlight w:val="none"/>
        </w:rPr>
        <w:t>法定代表人（单位负责人）或委托代理人（签字或盖章）：</w:t>
      </w:r>
    </w:p>
    <w:p>
      <w:pPr>
        <w:tabs>
          <w:tab w:val="left" w:pos="8364"/>
        </w:tabs>
        <w:spacing w:afterLines="50" w:line="400" w:lineRule="exact"/>
        <w:ind w:right="-58"/>
        <w:rPr>
          <w:rFonts w:ascii="宋体" w:hAnsi="宋体" w:cs="宋体"/>
          <w:color w:val="auto"/>
          <w:szCs w:val="20"/>
          <w:highlight w:val="none"/>
          <w:u w:val="single"/>
        </w:rPr>
      </w:pPr>
      <w:r>
        <w:rPr>
          <w:rFonts w:hint="eastAsia" w:ascii="宋体" w:hAnsi="宋体" w:cs="宋体"/>
          <w:color w:val="auto"/>
          <w:szCs w:val="20"/>
          <w:highlight w:val="none"/>
        </w:rPr>
        <w:t>日期：</w:t>
      </w:r>
    </w:p>
    <w:p>
      <w:pPr>
        <w:tabs>
          <w:tab w:val="left" w:pos="5670"/>
        </w:tabs>
        <w:spacing w:line="400" w:lineRule="exact"/>
        <w:jc w:val="left"/>
        <w:rPr>
          <w:rFonts w:ascii="宋体" w:hAnsi="宋体" w:cs="宋体"/>
          <w:color w:val="auto"/>
          <w:highlight w:val="none"/>
        </w:rPr>
      </w:pPr>
      <w:r>
        <w:rPr>
          <w:rFonts w:hint="eastAsia" w:ascii="宋体" w:hAnsi="宋体" w:cs="宋体"/>
          <w:b/>
          <w:bCs/>
          <w:color w:val="auto"/>
          <w:highlight w:val="none"/>
        </w:rPr>
        <w:t>备注：</w:t>
      </w:r>
      <w:r>
        <w:rPr>
          <w:rFonts w:hint="eastAsia" w:ascii="宋体" w:hAnsi="宋体" w:cs="宋体"/>
          <w:color w:val="auto"/>
          <w:highlight w:val="none"/>
        </w:rPr>
        <w:t>根据《财政部 民政部 中国残疾人联合会关于促进残疾人就业政府采购政策的通知》（财库〔2017〕141号）的规定：</w:t>
      </w:r>
    </w:p>
    <w:p>
      <w:pPr>
        <w:tabs>
          <w:tab w:val="left" w:pos="5670"/>
        </w:tabs>
        <w:spacing w:line="400" w:lineRule="exact"/>
        <w:jc w:val="left"/>
        <w:rPr>
          <w:rFonts w:ascii="宋体" w:hAnsi="宋体" w:cs="宋体"/>
          <w:color w:val="auto"/>
          <w:highlight w:val="none"/>
        </w:rPr>
      </w:pPr>
      <w:r>
        <w:rPr>
          <w:rFonts w:hint="eastAsia" w:ascii="宋体" w:hAnsi="宋体" w:cs="宋体"/>
          <w:color w:val="auto"/>
          <w:highlight w:val="none"/>
        </w:rPr>
        <w:t>一、享受政府采购支持政策的残疾人福利性单位应当同时满足以下条件：</w:t>
      </w:r>
    </w:p>
    <w:p>
      <w:pPr>
        <w:tabs>
          <w:tab w:val="left" w:pos="5670"/>
        </w:tabs>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（一）安置的残疾人占本单位在职职工人数的比例不低于25%（含25%），并且安置的残疾人人数不少于10人（含10人）；</w:t>
      </w:r>
    </w:p>
    <w:p>
      <w:pPr>
        <w:tabs>
          <w:tab w:val="left" w:pos="5670"/>
        </w:tabs>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（二）依法与安置的每位残疾人签订了一年以上（含一年）的劳动合同或服务协议；</w:t>
      </w:r>
    </w:p>
    <w:p>
      <w:pPr>
        <w:tabs>
          <w:tab w:val="left" w:pos="5670"/>
        </w:tabs>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（三）为安置的每位残疾人按月足额缴纳了基本养老保险、基本医疗保险、失业保险、工伤保险和生育保险等社会保险费；</w:t>
      </w:r>
    </w:p>
    <w:p>
      <w:pPr>
        <w:tabs>
          <w:tab w:val="left" w:pos="5670"/>
        </w:tabs>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（四）通过银行等金融机构向安置的每位残疾人，按月支付了不低于单位所在区县适用的经省级人民政府批准的月最低工资标准的工资；</w:t>
      </w:r>
    </w:p>
    <w:p>
      <w:pPr>
        <w:tabs>
          <w:tab w:val="left" w:pos="5670"/>
        </w:tabs>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（五）提供本单位制造的货物、承担的工程或者服务（以下简称产品），或者提供其他残疾人福利性单位制造的货物（不包括使用非残疾人福利性单位注册商标的货物）。</w:t>
      </w:r>
    </w:p>
    <w:p>
      <w:pPr>
        <w:tabs>
          <w:tab w:val="left" w:pos="5670"/>
        </w:tabs>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720"/>
          <w:tab w:val="left" w:pos="8364"/>
        </w:tabs>
        <w:adjustRightInd w:val="0"/>
        <w:snapToGrid w:val="0"/>
        <w:spacing w:line="400" w:lineRule="exact"/>
        <w:rPr>
          <w:rFonts w:ascii="宋体" w:hAnsi="宋体" w:cs="宋体"/>
          <w:color w:val="auto"/>
          <w:szCs w:val="20"/>
          <w:highlight w:val="none"/>
        </w:rPr>
      </w:pPr>
      <w:r>
        <w:rPr>
          <w:rFonts w:hint="eastAsia" w:ascii="宋体" w:hAnsi="宋体" w:cs="宋体"/>
          <w:color w:val="auto"/>
          <w:highlight w:val="none"/>
        </w:rPr>
        <w:t>二、中标供应商为残疾人福利性单位的，采购人或者其委托的采购代理机构应当随中标结果同时公告其《残疾人福利性单位声明函》，接受社会监督。</w:t>
      </w:r>
    </w:p>
    <w:p>
      <w:pPr>
        <w:tabs>
          <w:tab w:val="left" w:pos="7920"/>
        </w:tabs>
        <w:spacing w:line="360" w:lineRule="auto"/>
        <w:jc w:val="left"/>
        <w:rPr>
          <w:rFonts w:ascii="宋体" w:hAnsi="宋体" w:cs="宋体"/>
          <w:color w:val="auto"/>
          <w:szCs w:val="24"/>
          <w:highlight w:val="none"/>
        </w:rPr>
      </w:pPr>
      <w:r>
        <w:rPr>
          <w:rFonts w:hint="eastAsia" w:ascii="宋体" w:hAnsi="宋体" w:cs="宋体"/>
          <w:b/>
          <w:color w:val="auto"/>
          <w:sz w:val="36"/>
          <w:highlight w:val="none"/>
          <w:lang w:val="zh-CN"/>
        </w:rPr>
        <w:br w:type="page"/>
      </w:r>
      <w:r>
        <w:rPr>
          <w:rFonts w:hint="eastAsia" w:ascii="宋体" w:hAnsi="宋体" w:cs="宋体"/>
          <w:color w:val="auto"/>
          <w:szCs w:val="24"/>
          <w:highlight w:val="none"/>
        </w:rPr>
        <w:t>格式6：</w:t>
      </w:r>
    </w:p>
    <w:p>
      <w:pPr>
        <w:keepNext/>
        <w:keepLines/>
        <w:spacing w:before="280" w:after="290" w:line="360" w:lineRule="auto"/>
        <w:jc w:val="center"/>
        <w:outlineLvl w:val="4"/>
        <w:rPr>
          <w:rFonts w:ascii="宋体" w:hAnsi="宋体" w:cs="宋体"/>
          <w:color w:val="auto"/>
          <w:sz w:val="24"/>
          <w:highlight w:val="none"/>
        </w:rPr>
      </w:pPr>
      <w:r>
        <w:rPr>
          <w:rFonts w:hint="eastAsia" w:ascii="宋体" w:hAnsi="宋体" w:cs="宋体"/>
          <w:color w:val="auto"/>
          <w:sz w:val="24"/>
          <w:highlight w:val="none"/>
        </w:rPr>
        <w:t>政府采购供应商</w:t>
      </w:r>
    </w:p>
    <w:p>
      <w:pPr>
        <w:keepNext/>
        <w:keepLines/>
        <w:spacing w:before="280" w:after="290" w:line="360" w:lineRule="auto"/>
        <w:jc w:val="center"/>
        <w:outlineLvl w:val="4"/>
        <w:rPr>
          <w:rFonts w:ascii="宋体" w:hAnsi="宋体" w:cs="宋体"/>
          <w:color w:val="auto"/>
          <w:sz w:val="24"/>
          <w:highlight w:val="none"/>
        </w:rPr>
      </w:pPr>
      <w:r>
        <w:rPr>
          <w:rFonts w:hint="eastAsia" w:ascii="宋体" w:hAnsi="宋体" w:cs="宋体"/>
          <w:color w:val="auto"/>
          <w:sz w:val="24"/>
          <w:highlight w:val="none"/>
        </w:rPr>
        <w:t>拒绝政府采购领域商业贿赂承诺书</w:t>
      </w: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为响应党中央、国务院关于治理政府采购领域商业贿赂行为的号召，我公司在此承诺：</w:t>
      </w: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1、在参与政府采购活动中遵纪守法、诚信经营、公平竞标。</w:t>
      </w: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2、不向政府采购人、采购代理机构和政府采购评审专家进行任何形式的商业贿赂以谋取交易机会。</w:t>
      </w: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3、不向政府采购代理机构和采购人提供虚假资质文件或采用虚假应标方式参与政府采购市场竞争并谋取中标、成交。</w:t>
      </w: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4、不采取“围标、陪标”等商业欺诈手段获得政府采购定单。</w:t>
      </w: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5、不采取不正当手段诋毁、排挤其他供应商。</w:t>
      </w: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6、不在提供商品和服务时“偷梁换柱、以次充好”损害采购人的合法权益。</w:t>
      </w: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7、不与采购人、采购代理机构政府采购评审专家或其它供应商恶意串通，进行质疑和投诉，维护政府采购市场秩序。</w:t>
      </w: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8、尊重和接受政府采购监督管理部门的监督和政府采购代理机构招标采购要求，承担因违约行为给采购人造成的损失。</w:t>
      </w: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9、不发生其他有悖于政府采购公开、公平、公正和诚信原则的行为。</w:t>
      </w:r>
    </w:p>
    <w:p>
      <w:pPr>
        <w:tabs>
          <w:tab w:val="left" w:pos="720"/>
          <w:tab w:val="left" w:pos="8364"/>
        </w:tabs>
        <w:adjustRightInd w:val="0"/>
        <w:snapToGrid w:val="0"/>
        <w:spacing w:line="360" w:lineRule="auto"/>
        <w:ind w:firstLine="420"/>
        <w:rPr>
          <w:rFonts w:ascii="宋体" w:hAnsi="宋体" w:cs="宋体"/>
          <w:color w:val="auto"/>
          <w:szCs w:val="20"/>
          <w:highlight w:val="none"/>
        </w:rPr>
      </w:pPr>
    </w:p>
    <w:p>
      <w:pPr>
        <w:tabs>
          <w:tab w:val="left" w:pos="720"/>
          <w:tab w:val="left" w:pos="8364"/>
        </w:tabs>
        <w:adjustRightInd w:val="0"/>
        <w:snapToGrid w:val="0"/>
        <w:spacing w:line="360" w:lineRule="auto"/>
        <w:ind w:firstLine="420"/>
        <w:rPr>
          <w:rFonts w:ascii="宋体" w:hAnsi="宋体" w:cs="宋体"/>
          <w:color w:val="auto"/>
          <w:szCs w:val="20"/>
          <w:highlight w:val="none"/>
        </w:rPr>
      </w:pPr>
    </w:p>
    <w:p>
      <w:pPr>
        <w:tabs>
          <w:tab w:val="left" w:pos="720"/>
          <w:tab w:val="left" w:pos="8364"/>
        </w:tabs>
        <w:adjustRightInd w:val="0"/>
        <w:snapToGrid w:val="0"/>
        <w:spacing w:line="360" w:lineRule="auto"/>
        <w:ind w:firstLine="420"/>
        <w:rPr>
          <w:rFonts w:ascii="宋体" w:hAnsi="宋体" w:cs="宋体"/>
          <w:color w:val="auto"/>
          <w:szCs w:val="20"/>
          <w:highlight w:val="none"/>
        </w:rPr>
      </w:pP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 xml:space="preserve">  承诺单位（盖章）</w:t>
      </w: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 xml:space="preserve">  全权代表：</w:t>
      </w: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 xml:space="preserve">  地    址：                           </w:t>
      </w:r>
    </w:p>
    <w:p>
      <w:pPr>
        <w:tabs>
          <w:tab w:val="left" w:pos="720"/>
          <w:tab w:val="left" w:pos="8364"/>
        </w:tabs>
        <w:adjustRightInd w:val="0"/>
        <w:snapToGrid w:val="0"/>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 xml:space="preserve">  电    话：</w:t>
      </w:r>
    </w:p>
    <w:p>
      <w:pPr>
        <w:tabs>
          <w:tab w:val="left" w:pos="7920"/>
        </w:tabs>
        <w:spacing w:line="360" w:lineRule="auto"/>
        <w:jc w:val="right"/>
        <w:rPr>
          <w:rFonts w:ascii="宋体" w:hAnsi="宋体" w:cs="宋体"/>
          <w:color w:val="auto"/>
          <w:szCs w:val="24"/>
          <w:highlight w:val="none"/>
        </w:rPr>
      </w:pPr>
      <w:r>
        <w:rPr>
          <w:rFonts w:hint="eastAsia" w:ascii="宋体" w:hAnsi="宋体" w:cs="宋体"/>
          <w:color w:val="auto"/>
          <w:szCs w:val="24"/>
          <w:highlight w:val="none"/>
        </w:rPr>
        <w:t>年   月   日</w:t>
      </w:r>
    </w:p>
    <w:p>
      <w:pPr>
        <w:spacing w:line="360" w:lineRule="auto"/>
        <w:ind w:left="137"/>
        <w:jc w:val="left"/>
        <w:rPr>
          <w:rFonts w:ascii="宋体" w:hAnsi="宋体" w:cs="宋体"/>
          <w:color w:val="auto"/>
          <w:highlight w:val="none"/>
        </w:rPr>
      </w:pPr>
      <w:r>
        <w:rPr>
          <w:rFonts w:hint="eastAsia" w:ascii="宋体" w:hAnsi="宋体" w:cs="宋体"/>
          <w:color w:val="auto"/>
          <w:szCs w:val="24"/>
          <w:highlight w:val="none"/>
        </w:rPr>
        <w:br w:type="page"/>
      </w:r>
      <w:r>
        <w:rPr>
          <w:rFonts w:hint="eastAsia" w:ascii="宋体" w:hAnsi="宋体" w:cs="宋体"/>
          <w:color w:val="auto"/>
          <w:highlight w:val="none"/>
        </w:rPr>
        <w:t>格式7：</w:t>
      </w:r>
    </w:p>
    <w:p>
      <w:pPr>
        <w:spacing w:line="360" w:lineRule="auto"/>
        <w:ind w:left="137"/>
        <w:jc w:val="center"/>
        <w:rPr>
          <w:rFonts w:ascii="宋体" w:hAnsi="宋体" w:cs="宋体"/>
          <w:b/>
          <w:bCs/>
          <w:color w:val="auto"/>
          <w:highlight w:val="none"/>
        </w:rPr>
      </w:pPr>
      <w:r>
        <w:rPr>
          <w:rFonts w:hint="eastAsia" w:ascii="宋体" w:hAnsi="宋体" w:cs="宋体"/>
          <w:b/>
          <w:bCs/>
          <w:color w:val="auto"/>
          <w:highlight w:val="none"/>
        </w:rPr>
        <w:t>类似项目情况表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6"/>
        <w:gridCol w:w="6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956"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货物（设备、产品）名称</w:t>
            </w:r>
          </w:p>
        </w:tc>
        <w:tc>
          <w:tcPr>
            <w:tcW w:w="6769" w:type="dxa"/>
            <w:vAlign w:val="center"/>
          </w:tcPr>
          <w:p>
            <w:pPr>
              <w:spacing w:line="360" w:lineRule="auto"/>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956"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规格和型号</w:t>
            </w:r>
          </w:p>
        </w:tc>
        <w:tc>
          <w:tcPr>
            <w:tcW w:w="6769" w:type="dxa"/>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956"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项目名称</w:t>
            </w:r>
          </w:p>
        </w:tc>
        <w:tc>
          <w:tcPr>
            <w:tcW w:w="6769" w:type="dxa"/>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956"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买方名称</w:t>
            </w:r>
          </w:p>
        </w:tc>
        <w:tc>
          <w:tcPr>
            <w:tcW w:w="6769" w:type="dxa"/>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956"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买方联系人及电话</w:t>
            </w:r>
          </w:p>
        </w:tc>
        <w:tc>
          <w:tcPr>
            <w:tcW w:w="6769" w:type="dxa"/>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956"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合同价格</w:t>
            </w:r>
          </w:p>
        </w:tc>
        <w:tc>
          <w:tcPr>
            <w:tcW w:w="6769" w:type="dxa"/>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9" w:hRule="atLeast"/>
          <w:jc w:val="center"/>
        </w:trPr>
        <w:tc>
          <w:tcPr>
            <w:tcW w:w="1956"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项目概况及投标供应商履约情况</w:t>
            </w:r>
          </w:p>
        </w:tc>
        <w:tc>
          <w:tcPr>
            <w:tcW w:w="6769" w:type="dxa"/>
            <w:vAlign w:val="center"/>
          </w:tcPr>
          <w:p>
            <w:pPr>
              <w:spacing w:line="291" w:lineRule="exact"/>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956" w:type="dxa"/>
            <w:vAlign w:val="center"/>
          </w:tcPr>
          <w:p>
            <w:pPr>
              <w:spacing w:line="291" w:lineRule="exact"/>
              <w:jc w:val="center"/>
              <w:rPr>
                <w:rFonts w:ascii="宋体" w:hAnsi="宋体" w:cs="宋体"/>
                <w:color w:val="auto"/>
                <w:highlight w:val="none"/>
              </w:rPr>
            </w:pPr>
            <w:r>
              <w:rPr>
                <w:rFonts w:hint="eastAsia" w:ascii="宋体" w:hAnsi="宋体" w:cs="宋体"/>
                <w:color w:val="auto"/>
                <w:highlight w:val="none"/>
              </w:rPr>
              <w:t>备注</w:t>
            </w:r>
          </w:p>
        </w:tc>
        <w:tc>
          <w:tcPr>
            <w:tcW w:w="6769" w:type="dxa"/>
            <w:vAlign w:val="center"/>
          </w:tcPr>
          <w:p>
            <w:pPr>
              <w:spacing w:line="291" w:lineRule="exact"/>
              <w:jc w:val="center"/>
              <w:rPr>
                <w:rFonts w:ascii="宋体" w:hAnsi="宋体" w:cs="宋体"/>
                <w:color w:val="auto"/>
                <w:highlight w:val="none"/>
              </w:rPr>
            </w:pPr>
          </w:p>
        </w:tc>
      </w:tr>
    </w:tbl>
    <w:p>
      <w:pPr>
        <w:snapToGrid w:val="0"/>
        <w:spacing w:line="360" w:lineRule="auto"/>
        <w:rPr>
          <w:rFonts w:ascii="宋体" w:hAnsi="宋体" w:cs="宋体"/>
          <w:color w:val="auto"/>
          <w:szCs w:val="20"/>
          <w:highlight w:val="none"/>
        </w:rPr>
      </w:pPr>
      <w:r>
        <w:rPr>
          <w:rFonts w:hint="eastAsia" w:ascii="宋体" w:hAnsi="宋体" w:cs="宋体"/>
          <w:color w:val="auto"/>
          <w:spacing w:val="1"/>
          <w:szCs w:val="20"/>
          <w:highlight w:val="none"/>
        </w:rPr>
        <w:t>注：</w:t>
      </w:r>
      <w:r>
        <w:rPr>
          <w:rFonts w:hint="eastAsia" w:ascii="宋体" w:hAnsi="宋体" w:cs="宋体"/>
          <w:color w:val="auto"/>
          <w:szCs w:val="20"/>
          <w:highlight w:val="none"/>
        </w:rPr>
        <w:t>投标供应商应根据评审办法中的要求在本表后附相关证明材料，</w:t>
      </w:r>
      <w:r>
        <w:rPr>
          <w:rFonts w:hint="eastAsia" w:ascii="宋体" w:hAnsi="宋体" w:cs="宋体"/>
          <w:color w:val="auto"/>
          <w:highlight w:val="none"/>
        </w:rPr>
        <w:t>每张表格只填写一个项目，并标明序号</w:t>
      </w:r>
      <w:r>
        <w:rPr>
          <w:rFonts w:hint="eastAsia" w:ascii="宋体" w:hAnsi="宋体" w:cs="宋体"/>
          <w:color w:val="auto"/>
          <w:szCs w:val="20"/>
          <w:highlight w:val="none"/>
        </w:rPr>
        <w:t>。</w:t>
      </w:r>
    </w:p>
    <w:p>
      <w:pPr>
        <w:snapToGrid w:val="0"/>
        <w:spacing w:line="360" w:lineRule="auto"/>
        <w:jc w:val="center"/>
        <w:rPr>
          <w:rFonts w:ascii="宋体" w:hAnsi="宋体" w:cs="宋体"/>
          <w:b/>
          <w:color w:val="auto"/>
          <w:spacing w:val="2"/>
          <w:sz w:val="32"/>
          <w:szCs w:val="22"/>
          <w:highlight w:val="none"/>
        </w:rPr>
      </w:pPr>
      <w:r>
        <w:rPr>
          <w:rFonts w:hint="eastAsia" w:ascii="宋体" w:hAnsi="宋体" w:cs="宋体"/>
          <w:color w:val="auto"/>
          <w:sz w:val="22"/>
          <w:szCs w:val="22"/>
          <w:highlight w:val="none"/>
        </w:rPr>
        <w:br w:type="page"/>
      </w:r>
      <w:r>
        <w:rPr>
          <w:rFonts w:hint="eastAsia" w:ascii="宋体" w:hAnsi="宋体" w:cs="宋体"/>
          <w:b/>
          <w:color w:val="auto"/>
          <w:spacing w:val="2"/>
          <w:sz w:val="32"/>
          <w:szCs w:val="22"/>
          <w:highlight w:val="none"/>
        </w:rPr>
        <w:t>六、投标供应商须知前附表规定的其他资料及</w:t>
      </w:r>
    </w:p>
    <w:p>
      <w:pPr>
        <w:spacing w:line="360" w:lineRule="auto"/>
        <w:jc w:val="center"/>
        <w:rPr>
          <w:rFonts w:ascii="宋体" w:hAnsi="宋体" w:cs="宋体"/>
          <w:b/>
          <w:color w:val="auto"/>
          <w:spacing w:val="2"/>
          <w:sz w:val="32"/>
          <w:szCs w:val="22"/>
          <w:highlight w:val="none"/>
        </w:rPr>
      </w:pPr>
      <w:r>
        <w:rPr>
          <w:rFonts w:hint="eastAsia" w:ascii="宋体" w:hAnsi="宋体" w:cs="宋体"/>
          <w:b/>
          <w:color w:val="auto"/>
          <w:spacing w:val="2"/>
          <w:sz w:val="32"/>
          <w:szCs w:val="22"/>
          <w:highlight w:val="none"/>
        </w:rPr>
        <w:t>投标供应商认为有必要说明的其它内容或资料</w:t>
      </w:r>
    </w:p>
    <w:p>
      <w:pPr>
        <w:jc w:val="center"/>
        <w:rPr>
          <w:rFonts w:ascii="宋体" w:hAnsi="宋体"/>
          <w:color w:val="auto"/>
          <w:highlight w:val="none"/>
        </w:rPr>
      </w:pPr>
      <w:bookmarkStart w:id="87" w:name="_Toc250572335"/>
      <w:bookmarkStart w:id="88" w:name="_Toc233636468"/>
      <w:bookmarkStart w:id="89" w:name="_Toc235544718"/>
      <w:bookmarkStart w:id="90" w:name="_Toc233636519"/>
      <w:bookmarkStart w:id="91" w:name="_Toc269407691"/>
      <w:bookmarkStart w:id="92" w:name="_Toc238899454"/>
      <w:bookmarkStart w:id="93" w:name="_Toc233636378"/>
      <w:bookmarkStart w:id="94" w:name="_Toc233636430"/>
      <w:bookmarkStart w:id="95" w:name="_Toc233636192"/>
      <w:bookmarkStart w:id="96" w:name="_Toc232673695"/>
      <w:r>
        <w:rPr>
          <w:rFonts w:hint="eastAsia" w:ascii="宋体" w:hAnsi="宋体"/>
          <w:color w:val="auto"/>
          <w:highlight w:val="none"/>
        </w:rPr>
        <w:t>（本部分内容由投标供应商自行编制。）</w:t>
      </w:r>
    </w:p>
    <w:p>
      <w:pPr>
        <w:rPr>
          <w:rFonts w:ascii="宋体" w:hAnsi="宋体"/>
          <w:color w:val="auto"/>
          <w:highlight w:val="none"/>
        </w:rPr>
      </w:pPr>
    </w:p>
    <w:p>
      <w:pPr>
        <w:spacing w:line="360" w:lineRule="auto"/>
        <w:jc w:val="center"/>
        <w:rPr>
          <w:rFonts w:ascii="宋体" w:hAnsi="宋体"/>
          <w:color w:val="auto"/>
          <w:highlight w:val="none"/>
        </w:rPr>
      </w:pPr>
      <w:r>
        <w:rPr>
          <w:rFonts w:hint="eastAsia" w:ascii="宋体" w:hAnsi="宋体"/>
          <w:color w:val="auto"/>
          <w:highlight w:val="none"/>
        </w:rPr>
        <w:t>（注：投标供应商提供的资料应真实可靠，否则由此引发的责任风险将由投标供应商自行承担。）</w:t>
      </w:r>
    </w:p>
    <w:p>
      <w:pPr>
        <w:pStyle w:val="52"/>
        <w:jc w:val="both"/>
        <w:rPr>
          <w:color w:val="auto"/>
          <w:highlight w:val="none"/>
        </w:rPr>
      </w:pPr>
    </w:p>
    <w:p>
      <w:pPr>
        <w:spacing w:line="360" w:lineRule="auto"/>
        <w:rPr>
          <w:rFonts w:ascii="宋体" w:hAnsi="宋体"/>
          <w:b/>
          <w:bCs/>
          <w:color w:val="auto"/>
          <w:highlight w:val="none"/>
        </w:rPr>
      </w:pPr>
      <w:r>
        <w:rPr>
          <w:rFonts w:hint="eastAsia" w:ascii="宋体" w:hAnsi="宋体"/>
          <w:b/>
          <w:bCs/>
          <w:color w:val="auto"/>
          <w:highlight w:val="none"/>
        </w:rPr>
        <w:t>1、投标文件中提供所投产品所需零配件及耗材价格表（须提供注册证明及零配件和耗材价格表。）（设备生命周期内不得提高价格），零配件及耗材价格不包含在总报价内。</w:t>
      </w:r>
    </w:p>
    <w:p>
      <w:pPr>
        <w:spacing w:line="360" w:lineRule="auto"/>
        <w:rPr>
          <w:rFonts w:ascii="宋体" w:hAnsi="宋体"/>
          <w:b/>
          <w:bCs/>
          <w:color w:val="auto"/>
          <w:highlight w:val="none"/>
        </w:rPr>
      </w:pPr>
      <w:r>
        <w:rPr>
          <w:rFonts w:hint="eastAsia" w:ascii="宋体" w:hAnsi="宋体"/>
          <w:b/>
          <w:bCs/>
          <w:color w:val="auto"/>
          <w:highlight w:val="none"/>
        </w:rPr>
        <w:t>2、其它内容或资料。</w:t>
      </w:r>
    </w:p>
    <w:p>
      <w:pPr>
        <w:spacing w:line="400" w:lineRule="exact"/>
        <w:rPr>
          <w:rFonts w:ascii="宋体" w:hAnsi="宋体" w:cs="宋体"/>
          <w:b/>
          <w:bCs/>
          <w:color w:val="auto"/>
          <w:szCs w:val="20"/>
          <w:highlight w:val="none"/>
        </w:rPr>
      </w:pPr>
    </w:p>
    <w:p>
      <w:pPr>
        <w:rPr>
          <w:rFonts w:ascii="宋体" w:hAnsi="宋体" w:cs="宋体"/>
          <w:b/>
          <w:bCs/>
          <w:color w:val="auto"/>
          <w:szCs w:val="20"/>
          <w:highlight w:val="none"/>
        </w:rPr>
      </w:pPr>
      <w:r>
        <w:rPr>
          <w:rFonts w:hint="eastAsia" w:ascii="宋体" w:hAnsi="宋体" w:cs="宋体"/>
          <w:b/>
          <w:bCs/>
          <w:color w:val="auto"/>
          <w:szCs w:val="20"/>
          <w:highlight w:val="none"/>
        </w:rPr>
        <w:t>以下为参考格式：</w:t>
      </w:r>
    </w:p>
    <w:p>
      <w:pPr>
        <w:jc w:val="left"/>
        <w:rPr>
          <w:rFonts w:ascii="宋体" w:hAnsi="宋体" w:cs="宋体"/>
          <w:b/>
          <w:color w:val="auto"/>
          <w:spacing w:val="2"/>
          <w:kern w:val="0"/>
          <w:sz w:val="32"/>
          <w:szCs w:val="22"/>
          <w:highlight w:val="none"/>
        </w:rPr>
      </w:pPr>
      <w:r>
        <w:rPr>
          <w:rFonts w:hint="eastAsia" w:ascii="宋体" w:hAnsi="宋体" w:cs="宋体"/>
          <w:b/>
          <w:color w:val="auto"/>
          <w:spacing w:val="2"/>
          <w:kern w:val="0"/>
          <w:sz w:val="32"/>
          <w:szCs w:val="22"/>
          <w:highlight w:val="none"/>
        </w:rPr>
        <w:t>附表1(2、3</w:t>
      </w:r>
      <w:r>
        <w:rPr>
          <w:rFonts w:ascii="宋体" w:hAnsi="宋体" w:cs="宋体"/>
          <w:b/>
          <w:color w:val="auto"/>
          <w:spacing w:val="2"/>
          <w:kern w:val="0"/>
          <w:sz w:val="32"/>
          <w:szCs w:val="22"/>
          <w:highlight w:val="none"/>
        </w:rPr>
        <w:t>……</w:t>
      </w:r>
      <w:r>
        <w:rPr>
          <w:rFonts w:hint="eastAsia" w:ascii="宋体" w:hAnsi="宋体" w:cs="宋体"/>
          <w:b/>
          <w:color w:val="auto"/>
          <w:spacing w:val="2"/>
          <w:kern w:val="0"/>
          <w:sz w:val="32"/>
          <w:szCs w:val="22"/>
          <w:highlight w:val="none"/>
        </w:rPr>
        <w:t>)</w:t>
      </w:r>
    </w:p>
    <w:p>
      <w:pPr>
        <w:pStyle w:val="2"/>
        <w:rPr>
          <w:color w:val="auto"/>
          <w:highlight w:val="none"/>
        </w:rPr>
      </w:pPr>
    </w:p>
    <w:p>
      <w:pPr>
        <w:jc w:val="center"/>
        <w:rPr>
          <w:rFonts w:ascii="宋体" w:hAnsi="宋体" w:cs="宋体"/>
          <w:b/>
          <w:color w:val="auto"/>
          <w:spacing w:val="2"/>
          <w:kern w:val="0"/>
          <w:sz w:val="32"/>
          <w:szCs w:val="22"/>
          <w:highlight w:val="none"/>
        </w:rPr>
      </w:pPr>
      <w:r>
        <w:rPr>
          <w:rFonts w:hint="eastAsia" w:ascii="宋体" w:hAnsi="宋体" w:cs="宋体"/>
          <w:b/>
          <w:color w:val="auto"/>
          <w:spacing w:val="2"/>
          <w:kern w:val="0"/>
          <w:sz w:val="32"/>
          <w:szCs w:val="22"/>
          <w:highlight w:val="none"/>
        </w:rPr>
        <w:t>零配件及耗材价格表</w:t>
      </w:r>
    </w:p>
    <w:tbl>
      <w:tblPr>
        <w:tblStyle w:val="2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4"/>
        <w:gridCol w:w="1064"/>
        <w:gridCol w:w="1065"/>
        <w:gridCol w:w="1065"/>
        <w:gridCol w:w="867"/>
        <w:gridCol w:w="1263"/>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64" w:type="dxa"/>
            <w:vAlign w:val="center"/>
          </w:tcPr>
          <w:p>
            <w:pPr>
              <w:pStyle w:val="2"/>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序列</w:t>
            </w:r>
          </w:p>
        </w:tc>
        <w:tc>
          <w:tcPr>
            <w:tcW w:w="1064" w:type="dxa"/>
            <w:vAlign w:val="center"/>
          </w:tcPr>
          <w:p>
            <w:pPr>
              <w:pStyle w:val="2"/>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1064" w:type="dxa"/>
            <w:vAlign w:val="center"/>
          </w:tcPr>
          <w:p>
            <w:pPr>
              <w:pStyle w:val="2"/>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规格型号</w:t>
            </w:r>
          </w:p>
        </w:tc>
        <w:tc>
          <w:tcPr>
            <w:tcW w:w="1065" w:type="dxa"/>
            <w:vAlign w:val="center"/>
          </w:tcPr>
          <w:p>
            <w:pPr>
              <w:pStyle w:val="2"/>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产地品牌</w:t>
            </w:r>
          </w:p>
        </w:tc>
        <w:tc>
          <w:tcPr>
            <w:tcW w:w="1065" w:type="dxa"/>
            <w:vAlign w:val="center"/>
          </w:tcPr>
          <w:p>
            <w:pPr>
              <w:pStyle w:val="2"/>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867" w:type="dxa"/>
            <w:vAlign w:val="center"/>
          </w:tcPr>
          <w:p>
            <w:pPr>
              <w:pStyle w:val="2"/>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1263" w:type="dxa"/>
            <w:vAlign w:val="center"/>
          </w:tcPr>
          <w:p>
            <w:pPr>
              <w:pStyle w:val="2"/>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w:t>
            </w:r>
          </w:p>
          <w:p>
            <w:pPr>
              <w:pStyle w:val="2"/>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w:t>
            </w:r>
          </w:p>
        </w:tc>
        <w:tc>
          <w:tcPr>
            <w:tcW w:w="1065" w:type="dxa"/>
            <w:vAlign w:val="center"/>
          </w:tcPr>
          <w:p>
            <w:pPr>
              <w:pStyle w:val="2"/>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64" w:type="dxa"/>
            <w:vAlign w:val="center"/>
          </w:tcPr>
          <w:p>
            <w:pPr>
              <w:pStyle w:val="2"/>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64"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4"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5"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5" w:type="dxa"/>
            <w:vAlign w:val="center"/>
          </w:tcPr>
          <w:p>
            <w:pPr>
              <w:pStyle w:val="2"/>
              <w:jc w:val="center"/>
              <w:rPr>
                <w:rFonts w:asciiTheme="minorEastAsia" w:hAnsiTheme="minorEastAsia" w:eastAsiaTheme="minorEastAsia" w:cstheme="minorEastAsia"/>
                <w:color w:val="auto"/>
                <w:sz w:val="21"/>
                <w:szCs w:val="21"/>
                <w:highlight w:val="none"/>
              </w:rPr>
            </w:pPr>
          </w:p>
        </w:tc>
        <w:tc>
          <w:tcPr>
            <w:tcW w:w="867"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263"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5" w:type="dxa"/>
            <w:vAlign w:val="center"/>
          </w:tcPr>
          <w:p>
            <w:pPr>
              <w:pStyle w:val="2"/>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64" w:type="dxa"/>
            <w:vAlign w:val="center"/>
          </w:tcPr>
          <w:p>
            <w:pPr>
              <w:pStyle w:val="2"/>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064"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4"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5"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5" w:type="dxa"/>
            <w:vAlign w:val="center"/>
          </w:tcPr>
          <w:p>
            <w:pPr>
              <w:pStyle w:val="2"/>
              <w:jc w:val="center"/>
              <w:rPr>
                <w:rFonts w:asciiTheme="minorEastAsia" w:hAnsiTheme="minorEastAsia" w:eastAsiaTheme="minorEastAsia" w:cstheme="minorEastAsia"/>
                <w:color w:val="auto"/>
                <w:sz w:val="21"/>
                <w:szCs w:val="21"/>
                <w:highlight w:val="none"/>
              </w:rPr>
            </w:pPr>
          </w:p>
        </w:tc>
        <w:tc>
          <w:tcPr>
            <w:tcW w:w="867"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263"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5" w:type="dxa"/>
            <w:vAlign w:val="center"/>
          </w:tcPr>
          <w:p>
            <w:pPr>
              <w:pStyle w:val="2"/>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64" w:type="dxa"/>
            <w:vAlign w:val="center"/>
          </w:tcPr>
          <w:p>
            <w:pPr>
              <w:pStyle w:val="2"/>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64"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4"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5"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5" w:type="dxa"/>
            <w:vAlign w:val="center"/>
          </w:tcPr>
          <w:p>
            <w:pPr>
              <w:pStyle w:val="2"/>
              <w:jc w:val="center"/>
              <w:rPr>
                <w:rFonts w:asciiTheme="minorEastAsia" w:hAnsiTheme="minorEastAsia" w:eastAsiaTheme="minorEastAsia" w:cstheme="minorEastAsia"/>
                <w:color w:val="auto"/>
                <w:sz w:val="21"/>
                <w:szCs w:val="21"/>
                <w:highlight w:val="none"/>
              </w:rPr>
            </w:pPr>
          </w:p>
        </w:tc>
        <w:tc>
          <w:tcPr>
            <w:tcW w:w="867"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263"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5" w:type="dxa"/>
            <w:vAlign w:val="center"/>
          </w:tcPr>
          <w:p>
            <w:pPr>
              <w:pStyle w:val="2"/>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64" w:type="dxa"/>
            <w:vAlign w:val="center"/>
          </w:tcPr>
          <w:p>
            <w:pPr>
              <w:pStyle w:val="2"/>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64"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4"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5"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5" w:type="dxa"/>
            <w:vAlign w:val="center"/>
          </w:tcPr>
          <w:p>
            <w:pPr>
              <w:pStyle w:val="2"/>
              <w:jc w:val="center"/>
              <w:rPr>
                <w:rFonts w:asciiTheme="minorEastAsia" w:hAnsiTheme="minorEastAsia" w:eastAsiaTheme="minorEastAsia" w:cstheme="minorEastAsia"/>
                <w:color w:val="auto"/>
                <w:sz w:val="21"/>
                <w:szCs w:val="21"/>
                <w:highlight w:val="none"/>
              </w:rPr>
            </w:pPr>
          </w:p>
        </w:tc>
        <w:tc>
          <w:tcPr>
            <w:tcW w:w="867"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263" w:type="dxa"/>
            <w:vAlign w:val="center"/>
          </w:tcPr>
          <w:p>
            <w:pPr>
              <w:pStyle w:val="2"/>
              <w:jc w:val="center"/>
              <w:rPr>
                <w:rFonts w:asciiTheme="minorEastAsia" w:hAnsiTheme="minorEastAsia" w:eastAsiaTheme="minorEastAsia" w:cstheme="minorEastAsia"/>
                <w:color w:val="auto"/>
                <w:sz w:val="21"/>
                <w:szCs w:val="21"/>
                <w:highlight w:val="none"/>
              </w:rPr>
            </w:pPr>
          </w:p>
        </w:tc>
        <w:tc>
          <w:tcPr>
            <w:tcW w:w="1065" w:type="dxa"/>
            <w:vAlign w:val="center"/>
          </w:tcPr>
          <w:p>
            <w:pPr>
              <w:pStyle w:val="2"/>
              <w:jc w:val="center"/>
              <w:rPr>
                <w:rFonts w:asciiTheme="minorEastAsia" w:hAnsiTheme="minorEastAsia" w:eastAsiaTheme="minorEastAsia" w:cstheme="minorEastAsia"/>
                <w:color w:val="auto"/>
                <w:sz w:val="21"/>
                <w:szCs w:val="21"/>
                <w:highlight w:val="none"/>
              </w:rPr>
            </w:pPr>
          </w:p>
        </w:tc>
      </w:tr>
    </w:tbl>
    <w:p>
      <w:pPr>
        <w:autoSpaceDE w:val="0"/>
        <w:autoSpaceDN w:val="0"/>
        <w:adjustRightInd w:val="0"/>
        <w:spacing w:line="360" w:lineRule="auto"/>
        <w:rPr>
          <w:rFonts w:ascii="宋体" w:hAnsi="宋体" w:cs="宋体"/>
          <w:b/>
          <w:color w:val="auto"/>
          <w:kern w:val="0"/>
          <w:highlight w:val="none"/>
        </w:rPr>
      </w:pPr>
      <w:r>
        <w:rPr>
          <w:rFonts w:hint="eastAsia" w:ascii="宋体" w:hAnsi="宋体" w:cs="宋体"/>
          <w:b/>
          <w:bCs/>
          <w:color w:val="auto"/>
          <w:highlight w:val="none"/>
        </w:rPr>
        <w:t>注：1、</w:t>
      </w:r>
      <w:r>
        <w:rPr>
          <w:rFonts w:hint="eastAsia" w:ascii="宋体" w:hAnsi="宋体" w:cs="宋体"/>
          <w:b/>
          <w:color w:val="auto"/>
          <w:kern w:val="0"/>
          <w:highlight w:val="none"/>
        </w:rPr>
        <w:t>按照货物名称（采购标的）分项列表填写。</w:t>
      </w:r>
    </w:p>
    <w:p>
      <w:pPr>
        <w:spacing w:line="400" w:lineRule="exact"/>
        <w:rPr>
          <w:rFonts w:ascii="宋体" w:hAnsi="宋体" w:cs="宋体"/>
          <w:b/>
          <w:bCs/>
          <w:color w:val="auto"/>
          <w:highlight w:val="none"/>
        </w:rPr>
      </w:pPr>
      <w:r>
        <w:rPr>
          <w:rFonts w:hint="eastAsia" w:ascii="宋体" w:hAnsi="宋体" w:cs="宋体"/>
          <w:b/>
          <w:bCs/>
          <w:color w:val="auto"/>
          <w:szCs w:val="20"/>
          <w:highlight w:val="none"/>
        </w:rPr>
        <w:t>2、此报价不包含在投标总标价中。</w:t>
      </w:r>
      <w:r>
        <w:rPr>
          <w:rFonts w:hint="eastAsia" w:ascii="宋体" w:hAnsi="宋体" w:cs="宋体"/>
          <w:b/>
          <w:bCs/>
          <w:color w:val="auto"/>
          <w:szCs w:val="20"/>
          <w:highlight w:val="none"/>
        </w:rPr>
        <w:br w:type="page"/>
      </w:r>
      <w:bookmarkEnd w:id="87"/>
      <w:bookmarkEnd w:id="88"/>
      <w:bookmarkEnd w:id="89"/>
      <w:bookmarkEnd w:id="90"/>
      <w:bookmarkEnd w:id="91"/>
      <w:bookmarkEnd w:id="92"/>
      <w:bookmarkEnd w:id="93"/>
      <w:bookmarkEnd w:id="94"/>
      <w:bookmarkEnd w:id="95"/>
      <w:bookmarkEnd w:id="96"/>
      <w:r>
        <w:rPr>
          <w:rFonts w:hint="eastAsia" w:ascii="宋体" w:hAnsi="宋体" w:cs="宋体"/>
          <w:b/>
          <w:bCs/>
          <w:color w:val="auto"/>
          <w:highlight w:val="none"/>
        </w:rPr>
        <w:t>投标时无需提供以下资料：</w:t>
      </w:r>
    </w:p>
    <w:p>
      <w:pPr>
        <w:spacing w:line="400" w:lineRule="exact"/>
        <w:rPr>
          <w:rFonts w:ascii="宋体" w:hAnsi="宋体" w:cs="宋体"/>
          <w:b/>
          <w:bCs/>
          <w:color w:val="auto"/>
          <w:highlight w:val="none"/>
          <w:lang w:val="zh-CN"/>
        </w:rPr>
      </w:pPr>
      <w:r>
        <w:rPr>
          <w:rFonts w:hint="eastAsia" w:ascii="宋体" w:hAnsi="宋体" w:cs="宋体"/>
          <w:b/>
          <w:bCs/>
          <w:color w:val="auto"/>
          <w:highlight w:val="none"/>
        </w:rPr>
        <w:t>根据《陕西省政府采购信用担保试点工作实施方案（试行）》 的规定，中标</w:t>
      </w:r>
      <w:r>
        <w:rPr>
          <w:rFonts w:hint="eastAsia" w:ascii="宋体" w:hAnsi="宋体" w:cs="宋体"/>
          <w:b/>
          <w:bCs/>
          <w:color w:val="auto"/>
          <w:highlight w:val="none"/>
          <w:lang w:val="zh-CN"/>
        </w:rPr>
        <w:t>后</w:t>
      </w:r>
      <w:r>
        <w:rPr>
          <w:rFonts w:hint="eastAsia" w:ascii="宋体" w:hAnsi="宋体" w:cs="宋体"/>
          <w:b/>
          <w:bCs/>
          <w:color w:val="auto"/>
          <w:highlight w:val="none"/>
        </w:rPr>
        <w:t>如需</w:t>
      </w:r>
      <w:r>
        <w:rPr>
          <w:rFonts w:hint="eastAsia" w:ascii="宋体" w:hAnsi="宋体" w:cs="宋体"/>
          <w:b/>
          <w:bCs/>
          <w:color w:val="auto"/>
          <w:highlight w:val="none"/>
          <w:lang w:val="zh-CN"/>
        </w:rPr>
        <w:t>履约担保及融资担保的按照以下格式提交：</w:t>
      </w:r>
    </w:p>
    <w:p>
      <w:pPr>
        <w:rPr>
          <w:color w:val="auto"/>
          <w:highlight w:val="none"/>
          <w:lang w:val="zh-CN"/>
        </w:rPr>
      </w:pPr>
      <w:bookmarkStart w:id="97" w:name="_Toc28860"/>
      <w:bookmarkStart w:id="98" w:name="_Toc22219"/>
      <w:r>
        <w:rPr>
          <w:rFonts w:hint="eastAsia"/>
          <w:color w:val="auto"/>
          <w:highlight w:val="none"/>
          <w:lang w:val="zh-CN"/>
        </w:rPr>
        <w:t>附件1：</w:t>
      </w:r>
      <w:bookmarkEnd w:id="97"/>
      <w:bookmarkEnd w:id="98"/>
    </w:p>
    <w:p>
      <w:pPr>
        <w:widowControl/>
        <w:spacing w:before="100" w:beforeAutospacing="1" w:after="100" w:afterAutospacing="1"/>
        <w:jc w:val="center"/>
        <w:rPr>
          <w:rFonts w:ascii="宋体" w:hAnsi="宋体" w:cs="宋体"/>
          <w:color w:val="auto"/>
          <w:kern w:val="0"/>
          <w:highlight w:val="none"/>
        </w:rPr>
      </w:pPr>
      <w:r>
        <w:rPr>
          <w:rFonts w:hint="eastAsia" w:ascii="宋体" w:hAnsi="宋体" w:cs="宋体"/>
          <w:b/>
          <w:bCs/>
          <w:color w:val="auto"/>
          <w:kern w:val="0"/>
          <w:highlight w:val="none"/>
        </w:rPr>
        <w:t>政府采购投标担保函 （项目用）</w:t>
      </w:r>
    </w:p>
    <w:p>
      <w:pPr>
        <w:widowControl/>
        <w:spacing w:before="100" w:beforeAutospacing="1" w:after="100" w:afterAutospacing="1"/>
        <w:ind w:firstLine="6720"/>
        <w:jc w:val="left"/>
        <w:rPr>
          <w:rFonts w:ascii="宋体" w:hAnsi="宋体" w:cs="宋体"/>
          <w:color w:val="auto"/>
          <w:kern w:val="0"/>
          <w:highlight w:val="none"/>
        </w:rPr>
      </w:pPr>
      <w:r>
        <w:rPr>
          <w:rFonts w:hint="eastAsia" w:ascii="宋体" w:hAnsi="宋体" w:cs="宋体"/>
          <w:color w:val="auto"/>
          <w:kern w:val="0"/>
          <w:highlight w:val="none"/>
        </w:rPr>
        <w:t xml:space="preserve">编号： </w:t>
      </w:r>
    </w:p>
    <w:p>
      <w:pPr>
        <w:widowControl/>
        <w:spacing w:before="100" w:beforeAutospacing="1" w:after="100" w:afterAutospacing="1"/>
        <w:jc w:val="left"/>
        <w:rPr>
          <w:rFonts w:ascii="宋体" w:hAnsi="宋体" w:cs="宋体"/>
          <w:color w:val="auto"/>
          <w:kern w:val="0"/>
          <w:highlight w:val="none"/>
        </w:rPr>
      </w:pP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（采购人或采购代理机构）： </w:t>
      </w:r>
    </w:p>
    <w:p>
      <w:pPr>
        <w:widowControl/>
        <w:spacing w:before="100" w:beforeAutospacing="1" w:after="100" w:afterAutospacing="1"/>
        <w:ind w:firstLine="540"/>
        <w:jc w:val="left"/>
        <w:rPr>
          <w:rFonts w:ascii="宋体" w:hAnsi="宋体" w:cs="宋体"/>
          <w:color w:val="auto"/>
          <w:kern w:val="0"/>
          <w:highlight w:val="none"/>
        </w:rPr>
      </w:pPr>
      <w:r>
        <w:rPr>
          <w:rFonts w:hint="eastAsia" w:ascii="宋体" w:hAnsi="宋体" w:cs="宋体"/>
          <w:color w:val="auto"/>
          <w:kern w:val="0"/>
          <w:highlight w:val="none"/>
        </w:rPr>
        <w:t>鉴于</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（以下简称“供应商”）拟参加编号为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的</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                             </w:t>
      </w:r>
    </w:p>
    <w:p>
      <w:pPr>
        <w:widowControl/>
        <w:spacing w:before="100" w:beforeAutospacing="1" w:after="100" w:afterAutospacing="1"/>
        <w:jc w:val="left"/>
        <w:rPr>
          <w:rFonts w:ascii="宋体" w:hAnsi="宋体" w:cs="宋体"/>
          <w:color w:val="auto"/>
          <w:kern w:val="0"/>
          <w:highlight w:val="none"/>
        </w:rPr>
      </w:pPr>
      <w:r>
        <w:rPr>
          <w:rFonts w:hint="eastAsia" w:ascii="宋体" w:hAnsi="宋体" w:cs="宋体"/>
          <w:color w:val="auto"/>
          <w:kern w:val="0"/>
          <w:highlight w:val="none"/>
        </w:rPr>
        <w:t xml:space="preserve">项目（以下简称“本项目”）投标，根据本项目招标文件，供应商参加投标时应向你方交纳投标保证金，且可以投标担保函的形式交纳投标保证金。应供应商的申请，我方以保证的方式向你方提供如下投标保证金担保：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一、保证责任的情形及保证金额 </w:t>
      </w:r>
    </w:p>
    <w:p>
      <w:pPr>
        <w:widowControl/>
        <w:spacing w:before="100" w:beforeAutospacing="1" w:after="100" w:afterAutospacing="1"/>
        <w:ind w:firstLine="210"/>
        <w:jc w:val="left"/>
        <w:rPr>
          <w:rFonts w:ascii="宋体" w:hAnsi="宋体" w:cs="宋体"/>
          <w:color w:val="auto"/>
          <w:kern w:val="0"/>
          <w:highlight w:val="none"/>
        </w:rPr>
      </w:pPr>
      <w:r>
        <w:rPr>
          <w:rFonts w:hint="eastAsia" w:ascii="宋体" w:hAnsi="宋体" w:cs="宋体"/>
          <w:color w:val="auto"/>
          <w:kern w:val="0"/>
          <w:highlight w:val="none"/>
        </w:rPr>
        <w:t xml:space="preserve">（一）在供应商出现下列情形之一时，我方承担保证责任：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1．中标后供应商无正当理由不与采购人或者采购代理机构签订《政府采购合同》；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2．招标文件规定的供应商应当缴纳保证金的其他情形。 </w:t>
      </w:r>
    </w:p>
    <w:p>
      <w:pPr>
        <w:widowControl/>
        <w:spacing w:before="100" w:beforeAutospacing="1" w:after="100" w:afterAutospacing="1"/>
        <w:ind w:firstLine="210"/>
        <w:jc w:val="left"/>
        <w:rPr>
          <w:rFonts w:ascii="宋体" w:hAnsi="宋体" w:cs="宋体"/>
          <w:color w:val="auto"/>
          <w:kern w:val="0"/>
          <w:highlight w:val="none"/>
        </w:rPr>
      </w:pPr>
      <w:r>
        <w:rPr>
          <w:rFonts w:hint="eastAsia" w:ascii="宋体" w:hAnsi="宋体" w:cs="宋体"/>
          <w:color w:val="auto"/>
          <w:kern w:val="0"/>
          <w:highlight w:val="none"/>
        </w:rPr>
        <w:t>（二）我方承担保证责任的最高金额为人民币</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元（大写</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），即本项目的投标保证金金额。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二、保证的方式及保证期间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我方保证的方式为：连带责任保证。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我方的保证期间为：自本保函生效之日起</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个月止。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三、承担保证责任的程序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1．你方要求我方承担保证责任的，应在本保函保证期间内向我方发出书面索赔通知。索赔通知应写明要求索赔的金额，支付款项应到达的账号，并附有证明供应商发生我方应承担保证责任情形的事实材料。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2．我方在收到索赔通知及相关证明材料后，在</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个工作日内进行审查，符合应承担保证责任情形的，我方应按照你方的要求代供应商向你方支付投标保证金。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四、保证责任的终止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1．保证期间届满你方未向我方书面主张保证责任的，自保证期间届满次日起，我方保证责任自动终止。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2．我方按照本保函向你方履行了保证责任后，自我方向你方支付款项（支付款项从我方账户划出）之日起，保证责任终止。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3．按照法律法规的规定或出现我方保证责任终止的其它情形的，我方在本保函项下的保证责任亦终止。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五、免责条款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1．依照法律规定或你方与供应商的另行约定，全部或者部分免除供应商投标保证金义务时，我方亦免除相应的保证责任。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2．因你方原因致使供应商发生本保函第一条第（一）款约定情形的，我方不承担保证责任。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3．因不可抗力造成供应商发生本保函第一条约定情形的，我方不承担保证责任。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4．你方或其他有权机关对招标文件进行任何澄清或修改，加重我方保证责任的，我方对加重部分不承担保证责任，但该澄清或修改经我方事先书面同意的除外。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六、争议的解决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因本保函发生的纠纷，由你我双方协商解决，协商不成的，通过诉讼程序解决，诉讼管辖地法院为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法院。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七、保函的生效 </w:t>
      </w:r>
    </w:p>
    <w:p>
      <w:pPr>
        <w:widowControl/>
        <w:spacing w:before="100" w:beforeAutospacing="1" w:after="100" w:afterAutospacing="1"/>
        <w:ind w:firstLine="420"/>
        <w:jc w:val="left"/>
        <w:rPr>
          <w:rFonts w:ascii="宋体" w:hAnsi="宋体" w:cs="宋体"/>
          <w:color w:val="auto"/>
          <w:kern w:val="0"/>
          <w:highlight w:val="none"/>
        </w:rPr>
      </w:pPr>
      <w:r>
        <w:rPr>
          <w:rFonts w:hint="eastAsia" w:ascii="宋体" w:hAnsi="宋体" w:cs="宋体"/>
          <w:color w:val="auto"/>
          <w:kern w:val="0"/>
          <w:highlight w:val="none"/>
        </w:rPr>
        <w:t xml:space="preserve">本保函自我方加盖公章之日起生效。 </w:t>
      </w:r>
    </w:p>
    <w:p>
      <w:pPr>
        <w:widowControl/>
        <w:spacing w:before="100" w:beforeAutospacing="1" w:after="100" w:afterAutospacing="1"/>
        <w:ind w:firstLine="5565"/>
        <w:jc w:val="left"/>
        <w:rPr>
          <w:rFonts w:ascii="宋体" w:hAnsi="宋体" w:cs="宋体"/>
          <w:color w:val="auto"/>
          <w:kern w:val="0"/>
          <w:highlight w:val="none"/>
        </w:rPr>
      </w:pPr>
      <w:r>
        <w:rPr>
          <w:rFonts w:hint="eastAsia" w:ascii="宋体" w:hAnsi="宋体" w:cs="宋体"/>
          <w:color w:val="auto"/>
          <w:kern w:val="0"/>
          <w:highlight w:val="none"/>
        </w:rPr>
        <w:t xml:space="preserve">保证人：（公章） </w:t>
      </w:r>
    </w:p>
    <w:p>
      <w:pPr>
        <w:widowControl/>
        <w:spacing w:before="100" w:beforeAutospacing="1" w:after="100" w:afterAutospacing="1"/>
        <w:jc w:val="right"/>
        <w:rPr>
          <w:rFonts w:ascii="宋体" w:hAnsi="宋体" w:cs="宋体"/>
          <w:color w:val="auto"/>
          <w:kern w:val="0"/>
          <w:highlight w:val="none"/>
        </w:rPr>
      </w:pPr>
      <w:r>
        <w:rPr>
          <w:rFonts w:hint="eastAsia" w:ascii="宋体" w:hAnsi="宋体" w:cs="宋体"/>
          <w:color w:val="auto"/>
          <w:kern w:val="0"/>
          <w:highlight w:val="none"/>
        </w:rPr>
        <w:t xml:space="preserve"> 年     月      日 </w:t>
      </w:r>
    </w:p>
    <w:p>
      <w:pPr>
        <w:widowControl/>
        <w:spacing w:before="100" w:beforeAutospacing="1" w:after="100" w:afterAutospacing="1"/>
        <w:jc w:val="left"/>
        <w:rPr>
          <w:rFonts w:ascii="宋体" w:hAnsi="宋体" w:cs="宋体"/>
          <w:color w:val="auto"/>
          <w:kern w:val="0"/>
          <w:highlight w:val="none"/>
        </w:rPr>
      </w:pPr>
    </w:p>
    <w:p>
      <w:pPr>
        <w:widowControl/>
        <w:spacing w:before="100" w:beforeAutospacing="1" w:after="100" w:afterAutospacing="1"/>
        <w:jc w:val="left"/>
        <w:outlineLvl w:val="0"/>
        <w:rPr>
          <w:rFonts w:ascii="宋体" w:hAnsi="宋体" w:cs="宋体"/>
          <w:color w:val="auto"/>
          <w:kern w:val="0"/>
          <w:highlight w:val="none"/>
        </w:rPr>
      </w:pPr>
      <w:r>
        <w:rPr>
          <w:rFonts w:hint="eastAsia" w:ascii="宋体" w:hAnsi="宋体" w:cs="宋体"/>
          <w:color w:val="auto"/>
          <w:kern w:val="0"/>
          <w:highlight w:val="none"/>
        </w:rPr>
        <w:br w:type="page"/>
      </w:r>
    </w:p>
    <w:p>
      <w:pPr>
        <w:rPr>
          <w:color w:val="auto"/>
          <w:highlight w:val="none"/>
        </w:rPr>
      </w:pPr>
      <w:r>
        <w:rPr>
          <w:rFonts w:hint="eastAsia"/>
          <w:color w:val="auto"/>
          <w:highlight w:val="none"/>
        </w:rPr>
        <w:t>附件2：</w:t>
      </w:r>
    </w:p>
    <w:p>
      <w:pPr>
        <w:widowControl/>
        <w:spacing w:before="100" w:beforeAutospacing="1" w:after="100" w:afterAutospacing="1"/>
        <w:jc w:val="center"/>
        <w:rPr>
          <w:rFonts w:ascii="宋体" w:hAnsi="宋体" w:cs="宋体"/>
          <w:color w:val="auto"/>
          <w:kern w:val="0"/>
          <w:highlight w:val="none"/>
        </w:rPr>
      </w:pPr>
      <w:r>
        <w:rPr>
          <w:rFonts w:hint="eastAsia" w:ascii="宋体" w:hAnsi="宋体" w:cs="宋体"/>
          <w:b/>
          <w:bCs/>
          <w:color w:val="auto"/>
          <w:kern w:val="0"/>
          <w:highlight w:val="none"/>
        </w:rPr>
        <w:t>政府采购履约担保函（项目用）</w:t>
      </w:r>
    </w:p>
    <w:p>
      <w:pPr>
        <w:widowControl/>
        <w:spacing w:before="100" w:beforeAutospacing="1" w:after="100" w:afterAutospacing="1"/>
        <w:jc w:val="left"/>
        <w:rPr>
          <w:rFonts w:ascii="宋体" w:hAnsi="宋体" w:cs="宋体"/>
          <w:color w:val="auto"/>
          <w:kern w:val="0"/>
          <w:highlight w:val="none"/>
        </w:rPr>
      </w:pPr>
      <w:r>
        <w:rPr>
          <w:rFonts w:hint="eastAsia" w:ascii="宋体" w:hAnsi="宋体" w:cs="宋体"/>
          <w:color w:val="auto"/>
          <w:kern w:val="0"/>
          <w:highlight w:val="none"/>
        </w:rPr>
        <w:t xml:space="preserve">                                编号： </w:t>
      </w:r>
    </w:p>
    <w:p>
      <w:pPr>
        <w:widowControl/>
        <w:spacing w:line="400" w:lineRule="exact"/>
        <w:jc w:val="left"/>
        <w:rPr>
          <w:rFonts w:ascii="宋体" w:hAnsi="宋体" w:cs="宋体"/>
          <w:color w:val="auto"/>
          <w:kern w:val="0"/>
          <w:highlight w:val="none"/>
        </w:rPr>
      </w:pP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（采购人）：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鉴于你方与</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（以下简称供应商）于</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日签定编号为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的《</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政府采购合同》（以下简称主合同），且依据该合同的约定，供应商应在</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日前向你方交纳履约保证金，且可以履约担保函的形式交纳履约保证金。应供应商的申请，我方以保证的方式向你方提供如下履约保证金担保：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一、保证责任的情形及保证金额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（一）在供应商出现下列情形之一时，我方承担保证责任：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1．将中标项目转让给他人，或者在投标文件中未说明，且未经采购人同意，将中标项目分包给他人的； </w:t>
      </w:r>
    </w:p>
    <w:p>
      <w:pPr>
        <w:widowControl/>
        <w:spacing w:line="400" w:lineRule="exact"/>
        <w:jc w:val="left"/>
        <w:rPr>
          <w:rFonts w:ascii="宋体" w:hAnsi="宋体" w:cs="宋体"/>
          <w:color w:val="auto"/>
          <w:kern w:val="0"/>
          <w:highlight w:val="none"/>
        </w:rPr>
      </w:pPr>
      <w:r>
        <w:rPr>
          <w:rFonts w:hint="eastAsia" w:ascii="宋体" w:hAnsi="宋体" w:cs="宋体"/>
          <w:color w:val="auto"/>
          <w:kern w:val="0"/>
          <w:highlight w:val="none"/>
        </w:rPr>
        <w:t xml:space="preserve">  2．主合同约定的应当缴纳履约保证金的情形: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（1）未按主合同约定的质量、数量和期限供应货物/提供服务/完成工程的；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（二）我方的保证范围是主合同约定的合同价款总额的</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%数额为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元（大写</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），币种为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。（即主合同履约保证金金额）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二、保证的方式及保证期间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我方保证的方式为：连带责任保证。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我方保证的期间为：自本合同生效之日起至供应商按照主合同约定的供货/完工期限届满后</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日内。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如果供应商未按主合同约定向贵方供应货物/提供服务/完成工程的，由我方在保证金额内向你方支付上述款项。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三、承担保证责任的程序 </w:t>
      </w:r>
    </w:p>
    <w:p>
      <w:pPr>
        <w:widowControl/>
        <w:spacing w:line="400" w:lineRule="exact"/>
        <w:jc w:val="left"/>
        <w:rPr>
          <w:rFonts w:ascii="宋体" w:hAnsi="宋体" w:cs="宋体"/>
          <w:color w:val="auto"/>
          <w:kern w:val="0"/>
          <w:highlight w:val="none"/>
        </w:rPr>
      </w:pPr>
      <w:r>
        <w:rPr>
          <w:rFonts w:hint="eastAsia" w:ascii="宋体" w:hAnsi="宋体" w:cs="宋体"/>
          <w:color w:val="auto"/>
          <w:kern w:val="0"/>
          <w:highlight w:val="none"/>
        </w:rPr>
        <w:t xml:space="preserve">1．你方要求我方承担保证责任的，应在本保函保证期间内向我方发出书面索赔通知。索赔通知应写明要求索赔的金额，支付款项应到达的账号。并附有证明供应商违约事实的证明材料。 </w:t>
      </w:r>
    </w:p>
    <w:p>
      <w:pPr>
        <w:widowControl/>
        <w:spacing w:line="400" w:lineRule="exact"/>
        <w:jc w:val="left"/>
        <w:rPr>
          <w:rFonts w:ascii="宋体" w:hAnsi="宋体" w:cs="宋体"/>
          <w:color w:val="auto"/>
          <w:kern w:val="0"/>
          <w:highlight w:val="none"/>
        </w:rPr>
      </w:pPr>
      <w:r>
        <w:rPr>
          <w:rFonts w:hint="eastAsia" w:ascii="宋体" w:hAnsi="宋体" w:cs="宋体"/>
          <w:color w:val="auto"/>
          <w:kern w:val="0"/>
          <w:highlight w:val="none"/>
        </w:rPr>
        <w:t>如果你方与供应商因货物质量问题产生争议，你方还需同时提供</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部门出具的质量检测报告，或经诉讼（仲裁）程序裁决后的裁决书、调解书，本保证人即按照检测结果或裁决书、调解书决定是否承担保证责任。 </w:t>
      </w:r>
    </w:p>
    <w:p>
      <w:pPr>
        <w:widowControl/>
        <w:spacing w:line="400" w:lineRule="exact"/>
        <w:jc w:val="left"/>
        <w:rPr>
          <w:rFonts w:ascii="宋体" w:hAnsi="宋体" w:cs="宋体"/>
          <w:color w:val="auto"/>
          <w:kern w:val="0"/>
          <w:highlight w:val="none"/>
        </w:rPr>
      </w:pPr>
      <w:r>
        <w:rPr>
          <w:rFonts w:hint="eastAsia" w:ascii="宋体" w:hAnsi="宋体" w:cs="宋体"/>
          <w:color w:val="auto"/>
          <w:kern w:val="0"/>
          <w:highlight w:val="none"/>
        </w:rPr>
        <w:t>2． 我方收到你方的书面索赔通知及相应证明材料，在</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工作日内进行核定后按照本保函的承诺承担保证责任。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四、保证责任的终止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1．保证期间届满你方未向我方书面主张保证责任的，自保证期间届满次日起，我方保证责任自动终止。保证期间届满前，主合同约定的货物\工程\服务全部验收合格的，自验收合格日起，我方保证责任自动终止。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2．我方按照本保函向你方履行了保证责任后，自我方向你方支付款项（支付款项从我方账户划出）之日起，保证责任即终止。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3．按照法律法规的规定或出现应终止我方保证责任的其它情形的，我方在本保函项下的保证责任亦终止。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五、免责条款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1．因你方违反主合同约定致使供应商不能履行义务的，我方不承担保证责任。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2．依照法律法规的规定或你方与供应商的另行约定，全部或者部分免除供应商应缴纳的保证金义务的，我方亦免除相应的保证责任。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3．因不可抗力造成供应商不能履行供货义务的，我方不承担保证责任。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六、争议的解决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因本保函发生的纠纷，由你我双方协商解决，协商不成的，通过诉讼程序解决，诉讼管辖地法院为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法院。 </w:t>
      </w:r>
    </w:p>
    <w:p>
      <w:pPr>
        <w:widowControl/>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 xml:space="preserve">七、保函的生效 </w:t>
      </w:r>
    </w:p>
    <w:p>
      <w:pPr>
        <w:widowControl/>
        <w:spacing w:line="400" w:lineRule="exact"/>
        <w:jc w:val="left"/>
        <w:rPr>
          <w:rFonts w:ascii="宋体" w:hAnsi="宋体" w:cs="宋体"/>
          <w:color w:val="auto"/>
          <w:kern w:val="0"/>
          <w:highlight w:val="none"/>
        </w:rPr>
      </w:pPr>
      <w:r>
        <w:rPr>
          <w:rFonts w:hint="eastAsia" w:ascii="宋体" w:hAnsi="宋体" w:cs="宋体"/>
          <w:color w:val="auto"/>
          <w:kern w:val="0"/>
          <w:highlight w:val="none"/>
        </w:rPr>
        <w:t>本保函自我方加盖公章之日起生效。      保证人：（公章）</w:t>
      </w:r>
    </w:p>
    <w:p>
      <w:pPr>
        <w:widowControl/>
        <w:spacing w:line="400" w:lineRule="exact"/>
        <w:jc w:val="right"/>
        <w:rPr>
          <w:rFonts w:ascii="宋体" w:hAnsi="宋体" w:cs="宋体"/>
          <w:color w:val="auto"/>
          <w:kern w:val="0"/>
          <w:highlight w:val="none"/>
        </w:rPr>
      </w:pPr>
      <w:r>
        <w:rPr>
          <w:rFonts w:hint="eastAsia" w:ascii="宋体" w:hAnsi="宋体" w:cs="宋体"/>
          <w:color w:val="auto"/>
          <w:kern w:val="0"/>
          <w:highlight w:val="none"/>
        </w:rPr>
        <w:t>年    月   日</w:t>
      </w:r>
    </w:p>
    <w:p>
      <w:pPr>
        <w:keepNext/>
        <w:keepLines/>
        <w:outlineLvl w:val="1"/>
        <w:rPr>
          <w:rFonts w:ascii="宋体" w:hAnsi="宋体" w:cs="宋体"/>
          <w:color w:val="auto"/>
          <w:kern w:val="0"/>
          <w:highlight w:val="none"/>
        </w:rPr>
      </w:pPr>
      <w:r>
        <w:rPr>
          <w:rFonts w:hint="eastAsia" w:ascii="宋体" w:hAnsi="宋体" w:cs="宋体"/>
          <w:b/>
          <w:color w:val="auto"/>
          <w:highlight w:val="none"/>
        </w:rPr>
        <w:br w:type="page"/>
      </w:r>
      <w:bookmarkStart w:id="99" w:name="_Toc24688"/>
      <w:bookmarkStart w:id="100" w:name="_Toc32090"/>
      <w:r>
        <w:rPr>
          <w:rFonts w:hint="eastAsia" w:ascii="宋体" w:hAnsi="宋体" w:cs="宋体"/>
          <w:color w:val="auto"/>
          <w:kern w:val="0"/>
          <w:highlight w:val="none"/>
        </w:rPr>
        <w:t>附件3：</w:t>
      </w:r>
      <w:bookmarkEnd w:id="99"/>
      <w:bookmarkEnd w:id="100"/>
    </w:p>
    <w:p>
      <w:pPr>
        <w:keepNext/>
        <w:keepLines/>
        <w:spacing w:before="260" w:after="260" w:line="415" w:lineRule="auto"/>
        <w:jc w:val="center"/>
        <w:outlineLvl w:val="1"/>
        <w:rPr>
          <w:rFonts w:ascii="宋体" w:hAnsi="宋体" w:cs="宋体"/>
          <w:color w:val="auto"/>
          <w:kern w:val="0"/>
          <w:highlight w:val="none"/>
        </w:rPr>
      </w:pPr>
      <w:r>
        <w:rPr>
          <w:rFonts w:hint="eastAsia" w:ascii="宋体" w:hAnsi="宋体" w:cs="宋体"/>
          <w:b/>
          <w:bCs/>
          <w:color w:val="auto"/>
          <w:kern w:val="0"/>
          <w:highlight w:val="none"/>
        </w:rPr>
        <w:t>质疑函范本</w:t>
      </w:r>
    </w:p>
    <w:p>
      <w:pPr>
        <w:widowControl/>
        <w:spacing w:before="100" w:beforeAutospacing="1" w:after="100" w:afterAutospacing="1" w:line="360" w:lineRule="auto"/>
        <w:jc w:val="left"/>
        <w:rPr>
          <w:rFonts w:ascii="宋体" w:hAnsi="宋体" w:cs="宋体"/>
          <w:color w:val="auto"/>
          <w:kern w:val="0"/>
          <w:highlight w:val="none"/>
        </w:rPr>
      </w:pPr>
      <w:r>
        <w:rPr>
          <w:rFonts w:hint="eastAsia" w:ascii="宋体" w:hAnsi="宋体" w:cs="宋体"/>
          <w:color w:val="auto"/>
          <w:kern w:val="0"/>
          <w:highlight w:val="none"/>
        </w:rPr>
        <w:t>质疑供应商基本信息</w:t>
      </w:r>
    </w:p>
    <w:p>
      <w:pPr>
        <w:widowControl/>
        <w:spacing w:before="100" w:beforeAutospacing="1" w:after="100" w:afterAutospacing="1" w:line="360" w:lineRule="auto"/>
        <w:jc w:val="left"/>
        <w:rPr>
          <w:rFonts w:ascii="宋体" w:hAnsi="宋体" w:cs="宋体"/>
          <w:color w:val="auto"/>
          <w:kern w:val="0"/>
          <w:highlight w:val="none"/>
        </w:rPr>
      </w:pPr>
      <w:r>
        <w:rPr>
          <w:rFonts w:hint="eastAsia" w:ascii="宋体" w:hAnsi="宋体" w:cs="宋体"/>
          <w:color w:val="auto"/>
          <w:kern w:val="0"/>
          <w:highlight w:val="none"/>
        </w:rPr>
        <w:t>质疑供应商：           </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地   址：  </w:t>
      </w:r>
    </w:p>
    <w:p>
      <w:pPr>
        <w:widowControl/>
        <w:spacing w:before="100" w:beforeAutospacing="1" w:after="100" w:afterAutospacing="1" w:line="360" w:lineRule="auto"/>
        <w:jc w:val="left"/>
        <w:rPr>
          <w:rFonts w:ascii="宋体" w:hAnsi="宋体" w:cs="宋体"/>
          <w:color w:val="auto"/>
          <w:kern w:val="0"/>
          <w:highlight w:val="none"/>
        </w:rPr>
      </w:pPr>
      <w:r>
        <w:rPr>
          <w:rFonts w:hint="eastAsia" w:ascii="宋体" w:hAnsi="宋体" w:cs="宋体"/>
          <w:color w:val="auto"/>
          <w:kern w:val="0"/>
          <w:highlight w:val="none"/>
        </w:rPr>
        <w:t>邮编：          </w:t>
      </w:r>
      <w:r>
        <w:rPr>
          <w:rFonts w:hint="eastAsia" w:ascii="宋体" w:hAnsi="宋体" w:cs="宋体"/>
          <w:color w:val="auto"/>
          <w:kern w:val="0"/>
          <w:highlight w:val="none"/>
        </w:rPr>
        <w:br w:type="textWrapping"/>
      </w:r>
      <w:r>
        <w:rPr>
          <w:rFonts w:hint="eastAsia" w:ascii="宋体" w:hAnsi="宋体" w:cs="宋体"/>
          <w:color w:val="auto"/>
          <w:kern w:val="0"/>
          <w:highlight w:val="none"/>
        </w:rPr>
        <w:t>联系人：     </w:t>
      </w:r>
    </w:p>
    <w:p>
      <w:pPr>
        <w:widowControl/>
        <w:spacing w:before="100" w:beforeAutospacing="1" w:after="100" w:afterAutospacing="1" w:line="360" w:lineRule="auto"/>
        <w:jc w:val="left"/>
        <w:rPr>
          <w:rFonts w:ascii="宋体" w:hAnsi="宋体" w:cs="宋体"/>
          <w:color w:val="auto"/>
          <w:kern w:val="0"/>
          <w:highlight w:val="none"/>
        </w:rPr>
      </w:pPr>
      <w:r>
        <w:rPr>
          <w:rFonts w:hint="eastAsia" w:ascii="宋体" w:hAnsi="宋体" w:cs="宋体"/>
          <w:color w:val="auto"/>
          <w:kern w:val="0"/>
          <w:highlight w:val="none"/>
        </w:rPr>
        <w:t>联系电话：           </w:t>
      </w:r>
      <w:r>
        <w:rPr>
          <w:rFonts w:hint="eastAsia" w:ascii="宋体" w:hAnsi="宋体" w:cs="宋体"/>
          <w:color w:val="auto"/>
          <w:kern w:val="0"/>
          <w:highlight w:val="none"/>
        </w:rPr>
        <w:br w:type="textWrapping"/>
      </w:r>
      <w:r>
        <w:rPr>
          <w:rFonts w:hint="eastAsia" w:ascii="宋体" w:hAnsi="宋体" w:cs="宋体"/>
          <w:color w:val="auto"/>
          <w:kern w:val="0"/>
          <w:highlight w:val="none"/>
        </w:rPr>
        <w:t>授权代表：                   </w:t>
      </w:r>
      <w:r>
        <w:rPr>
          <w:rFonts w:hint="eastAsia" w:ascii="宋体" w:hAnsi="宋体" w:cs="宋体"/>
          <w:color w:val="auto"/>
          <w:kern w:val="0"/>
          <w:highlight w:val="none"/>
        </w:rPr>
        <w:br w:type="textWrapping"/>
      </w:r>
      <w:r>
        <w:rPr>
          <w:rFonts w:hint="eastAsia" w:ascii="宋体" w:hAnsi="宋体" w:cs="宋体"/>
          <w:color w:val="auto"/>
          <w:kern w:val="0"/>
          <w:highlight w:val="none"/>
        </w:rPr>
        <w:t>联系电话：                   </w:t>
      </w:r>
      <w:r>
        <w:rPr>
          <w:rFonts w:hint="eastAsia" w:ascii="宋体" w:hAnsi="宋体" w:cs="宋体"/>
          <w:color w:val="auto"/>
          <w:kern w:val="0"/>
          <w:highlight w:val="none"/>
        </w:rPr>
        <w:br w:type="textWrapping"/>
      </w:r>
      <w:r>
        <w:rPr>
          <w:rFonts w:hint="eastAsia" w:ascii="宋体" w:hAnsi="宋体" w:cs="宋体"/>
          <w:color w:val="auto"/>
          <w:kern w:val="0"/>
          <w:highlight w:val="none"/>
        </w:rPr>
        <w:t>地址：   </w:t>
      </w:r>
    </w:p>
    <w:p>
      <w:pPr>
        <w:widowControl/>
        <w:spacing w:before="100" w:beforeAutospacing="1" w:after="100" w:afterAutospacing="1" w:line="360" w:lineRule="auto"/>
        <w:jc w:val="left"/>
        <w:rPr>
          <w:rFonts w:ascii="宋体" w:hAnsi="宋体" w:cs="宋体"/>
          <w:color w:val="auto"/>
          <w:kern w:val="0"/>
          <w:highlight w:val="none"/>
        </w:rPr>
      </w:pPr>
      <w:r>
        <w:rPr>
          <w:rFonts w:hint="eastAsia" w:ascii="宋体" w:hAnsi="宋体" w:cs="宋体"/>
          <w:color w:val="auto"/>
          <w:kern w:val="0"/>
          <w:highlight w:val="none"/>
        </w:rPr>
        <w:t>邮编：  </w:t>
      </w:r>
    </w:p>
    <w:p>
      <w:pPr>
        <w:widowControl/>
        <w:spacing w:before="100" w:beforeAutospacing="1" w:after="100" w:afterAutospacing="1" w:line="360" w:lineRule="auto"/>
        <w:jc w:val="left"/>
        <w:rPr>
          <w:rFonts w:ascii="宋体" w:hAnsi="宋体" w:cs="宋体"/>
          <w:color w:val="auto"/>
          <w:kern w:val="0"/>
          <w:highlight w:val="none"/>
        </w:rPr>
      </w:pPr>
      <w:r>
        <w:rPr>
          <w:rFonts w:hint="eastAsia" w:ascii="宋体" w:hAnsi="宋体" w:cs="宋体"/>
          <w:color w:val="auto"/>
          <w:kern w:val="0"/>
          <w:highlight w:val="none"/>
        </w:rPr>
        <w:t>质疑项目基本情况</w:t>
      </w:r>
      <w:r>
        <w:rPr>
          <w:rFonts w:hint="eastAsia" w:ascii="宋体" w:hAnsi="宋体" w:cs="宋体"/>
          <w:color w:val="auto"/>
          <w:kern w:val="0"/>
          <w:highlight w:val="none"/>
        </w:rPr>
        <w:br w:type="textWrapping"/>
      </w:r>
      <w:r>
        <w:rPr>
          <w:rFonts w:hint="eastAsia" w:ascii="宋体" w:hAnsi="宋体" w:cs="宋体"/>
          <w:color w:val="auto"/>
          <w:kern w:val="0"/>
          <w:highlight w:val="none"/>
        </w:rPr>
        <w:t>质疑项目的名称：               </w:t>
      </w:r>
      <w:r>
        <w:rPr>
          <w:rFonts w:hint="eastAsia" w:ascii="宋体" w:hAnsi="宋体" w:cs="宋体"/>
          <w:color w:val="auto"/>
          <w:kern w:val="0"/>
          <w:highlight w:val="none"/>
        </w:rPr>
        <w:br w:type="textWrapping"/>
      </w:r>
      <w:r>
        <w:rPr>
          <w:rFonts w:hint="eastAsia" w:ascii="宋体" w:hAnsi="宋体" w:cs="宋体"/>
          <w:color w:val="auto"/>
          <w:kern w:val="0"/>
          <w:highlight w:val="none"/>
        </w:rPr>
        <w:t>质疑项目的编号：                  </w:t>
      </w:r>
    </w:p>
    <w:p>
      <w:pPr>
        <w:widowControl/>
        <w:spacing w:before="100" w:beforeAutospacing="1" w:after="100" w:afterAutospacing="1" w:line="360" w:lineRule="auto"/>
        <w:jc w:val="left"/>
        <w:rPr>
          <w:rFonts w:ascii="宋体" w:hAnsi="宋体" w:cs="宋体"/>
          <w:color w:val="auto"/>
          <w:kern w:val="0"/>
          <w:highlight w:val="none"/>
        </w:rPr>
      </w:pPr>
      <w:r>
        <w:rPr>
          <w:rFonts w:hint="eastAsia" w:ascii="宋体" w:hAnsi="宋体" w:cs="宋体"/>
          <w:color w:val="auto"/>
          <w:kern w:val="0"/>
          <w:highlight w:val="none"/>
        </w:rPr>
        <w:t>采购人名称：                    </w:t>
      </w:r>
      <w:r>
        <w:rPr>
          <w:rFonts w:hint="eastAsia" w:ascii="宋体" w:hAnsi="宋体" w:cs="宋体"/>
          <w:color w:val="auto"/>
          <w:kern w:val="0"/>
          <w:highlight w:val="none"/>
        </w:rPr>
        <w:br w:type="textWrapping"/>
      </w:r>
      <w:r>
        <w:rPr>
          <w:rFonts w:hint="eastAsia" w:ascii="宋体" w:hAnsi="宋体" w:cs="宋体"/>
          <w:color w:val="auto"/>
          <w:kern w:val="0"/>
          <w:highlight w:val="none"/>
        </w:rPr>
        <w:t>招标文件获取日期：                   </w:t>
      </w:r>
      <w:r>
        <w:rPr>
          <w:rFonts w:hint="eastAsia" w:ascii="宋体" w:hAnsi="宋体" w:cs="宋体"/>
          <w:color w:val="auto"/>
          <w:kern w:val="0"/>
          <w:highlight w:val="none"/>
        </w:rPr>
        <w:br w:type="textWrapping"/>
      </w:r>
      <w:r>
        <w:rPr>
          <w:rFonts w:hint="eastAsia" w:ascii="宋体" w:hAnsi="宋体" w:cs="宋体"/>
          <w:color w:val="auto"/>
          <w:kern w:val="0"/>
          <w:highlight w:val="none"/>
        </w:rPr>
        <w:t>三、质疑事项具体内容</w:t>
      </w:r>
      <w:r>
        <w:rPr>
          <w:rFonts w:hint="eastAsia" w:ascii="宋体" w:hAnsi="宋体" w:cs="宋体"/>
          <w:color w:val="auto"/>
          <w:kern w:val="0"/>
          <w:highlight w:val="none"/>
        </w:rPr>
        <w:br w:type="textWrapping"/>
      </w:r>
      <w:r>
        <w:rPr>
          <w:rFonts w:hint="eastAsia" w:ascii="宋体" w:hAnsi="宋体" w:cs="宋体"/>
          <w:color w:val="auto"/>
          <w:kern w:val="0"/>
          <w:highlight w:val="none"/>
        </w:rPr>
        <w:t>质疑事项1：              </w:t>
      </w:r>
      <w:r>
        <w:rPr>
          <w:rFonts w:hint="eastAsia" w:ascii="宋体" w:hAnsi="宋体" w:cs="宋体"/>
          <w:color w:val="auto"/>
          <w:kern w:val="0"/>
          <w:highlight w:val="none"/>
        </w:rPr>
        <w:br w:type="textWrapping"/>
      </w:r>
      <w:r>
        <w:rPr>
          <w:rFonts w:hint="eastAsia" w:ascii="宋体" w:hAnsi="宋体" w:cs="宋体"/>
          <w:color w:val="auto"/>
          <w:kern w:val="0"/>
          <w:highlight w:val="none"/>
        </w:rPr>
        <w:t>事实依据：               </w:t>
      </w:r>
      <w:r>
        <w:rPr>
          <w:rFonts w:hint="eastAsia" w:ascii="宋体" w:hAnsi="宋体" w:cs="宋体"/>
          <w:color w:val="auto"/>
          <w:kern w:val="0"/>
          <w:highlight w:val="none"/>
        </w:rPr>
        <w:br w:type="textWrapping"/>
      </w:r>
      <w:r>
        <w:rPr>
          <w:rFonts w:hint="eastAsia" w:ascii="宋体" w:hAnsi="宋体" w:cs="宋体"/>
          <w:color w:val="auto"/>
          <w:kern w:val="0"/>
          <w:highlight w:val="none"/>
        </w:rPr>
        <w:t>法律依据：          </w:t>
      </w:r>
      <w:r>
        <w:rPr>
          <w:rFonts w:hint="eastAsia" w:ascii="宋体" w:hAnsi="宋体" w:cs="宋体"/>
          <w:color w:val="auto"/>
          <w:kern w:val="0"/>
          <w:highlight w:val="none"/>
        </w:rPr>
        <w:br w:type="textWrapping"/>
      </w:r>
      <w:r>
        <w:rPr>
          <w:rFonts w:hint="eastAsia" w:ascii="宋体" w:hAnsi="宋体" w:cs="宋体"/>
          <w:color w:val="auto"/>
          <w:kern w:val="0"/>
          <w:highlight w:val="none"/>
        </w:rPr>
        <w:t>质疑事项2</w:t>
      </w:r>
      <w:r>
        <w:rPr>
          <w:rFonts w:hint="eastAsia" w:ascii="宋体" w:hAnsi="宋体" w:cs="宋体"/>
          <w:color w:val="auto"/>
          <w:kern w:val="0"/>
          <w:highlight w:val="none"/>
        </w:rPr>
        <w:br w:type="textWrapping"/>
      </w:r>
      <w:r>
        <w:rPr>
          <w:rFonts w:hint="eastAsia" w:ascii="宋体" w:hAnsi="宋体" w:cs="宋体"/>
          <w:color w:val="auto"/>
          <w:kern w:val="0"/>
          <w:highlight w:val="none"/>
        </w:rPr>
        <w:t>……</w:t>
      </w:r>
      <w:r>
        <w:rPr>
          <w:rFonts w:hint="eastAsia" w:ascii="宋体" w:hAnsi="宋体" w:cs="宋体"/>
          <w:color w:val="auto"/>
          <w:kern w:val="0"/>
          <w:highlight w:val="none"/>
        </w:rPr>
        <w:br w:type="textWrapping"/>
      </w:r>
      <w:r>
        <w:rPr>
          <w:rFonts w:hint="eastAsia" w:ascii="宋体" w:hAnsi="宋体" w:cs="宋体"/>
          <w:color w:val="auto"/>
          <w:kern w:val="0"/>
          <w:highlight w:val="none"/>
        </w:rPr>
        <w:t>四、与质疑事项相关的质疑请求</w:t>
      </w:r>
      <w:r>
        <w:rPr>
          <w:rFonts w:hint="eastAsia" w:ascii="宋体" w:hAnsi="宋体" w:cs="宋体"/>
          <w:color w:val="auto"/>
          <w:kern w:val="0"/>
          <w:highlight w:val="none"/>
        </w:rPr>
        <w:br w:type="textWrapping"/>
      </w:r>
      <w:r>
        <w:rPr>
          <w:rFonts w:hint="eastAsia" w:ascii="宋体" w:hAnsi="宋体" w:cs="宋体"/>
          <w:color w:val="auto"/>
          <w:kern w:val="0"/>
          <w:highlight w:val="none"/>
        </w:rPr>
        <w:t>请求：                </w:t>
      </w:r>
      <w:r>
        <w:rPr>
          <w:rFonts w:hint="eastAsia" w:ascii="宋体" w:hAnsi="宋体" w:cs="宋体"/>
          <w:color w:val="auto"/>
          <w:kern w:val="0"/>
          <w:highlight w:val="none"/>
        </w:rPr>
        <w:br w:type="textWrapping"/>
      </w:r>
      <w:r>
        <w:rPr>
          <w:rFonts w:hint="eastAsia" w:ascii="宋体" w:hAnsi="宋体" w:cs="宋体"/>
          <w:color w:val="auto"/>
          <w:kern w:val="0"/>
          <w:highlight w:val="none"/>
        </w:rPr>
        <w:t>签字(签章)：                   </w:t>
      </w:r>
    </w:p>
    <w:p>
      <w:pPr>
        <w:widowControl/>
        <w:spacing w:before="100" w:beforeAutospacing="1" w:after="100" w:afterAutospacing="1" w:line="360" w:lineRule="auto"/>
        <w:jc w:val="left"/>
        <w:rPr>
          <w:rFonts w:ascii="宋体" w:hAnsi="宋体" w:cs="宋体"/>
          <w:color w:val="auto"/>
          <w:kern w:val="0"/>
          <w:highlight w:val="none"/>
        </w:rPr>
      </w:pPr>
      <w:r>
        <w:rPr>
          <w:rFonts w:hint="eastAsia" w:ascii="宋体" w:hAnsi="宋体" w:cs="宋体"/>
          <w:color w:val="auto"/>
          <w:kern w:val="0"/>
          <w:highlight w:val="none"/>
        </w:rPr>
        <w:t>公章：日期：  </w:t>
      </w:r>
      <w:r>
        <w:rPr>
          <w:rFonts w:hint="eastAsia" w:ascii="宋体" w:hAnsi="宋体" w:cs="宋体"/>
          <w:color w:val="auto"/>
          <w:kern w:val="0"/>
          <w:highlight w:val="none"/>
        </w:rPr>
        <w:br w:type="textWrapping"/>
      </w:r>
      <w:r>
        <w:rPr>
          <w:rFonts w:hint="eastAsia" w:ascii="宋体" w:hAnsi="宋体" w:cs="宋体"/>
          <w:color w:val="auto"/>
          <w:kern w:val="0"/>
          <w:highlight w:val="none"/>
        </w:rPr>
        <w:br w:type="textWrapping"/>
      </w:r>
      <w:r>
        <w:rPr>
          <w:rFonts w:hint="eastAsia" w:ascii="宋体" w:hAnsi="宋体" w:cs="宋体"/>
          <w:color w:val="auto"/>
          <w:kern w:val="0"/>
          <w:highlight w:val="none"/>
        </w:rPr>
        <w:t>质疑函制作说明：</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  1.供应商提出质疑时，应提交质疑函和必要的证明材料。</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  3.质疑供应商若对项目的进行质疑，质疑函中应列明具体项目编号。</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  4.质疑函的质疑事项应具体、明确，并有必要的事实依据和法律依据。</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  5.质疑函的质疑请求应与质疑事项相关。</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  6.质疑供应商为自然人的，质疑函应由本人签字；质疑供应商为法人或者其他组织的，质疑函应由法定代表人、主要负责人，或者其授权代表签字或者盖章，并加盖公章。</w:t>
      </w:r>
    </w:p>
    <w:p>
      <w:pPr>
        <w:widowControl/>
        <w:spacing w:before="100" w:beforeAutospacing="1" w:after="100" w:afterAutospacing="1" w:line="360" w:lineRule="auto"/>
        <w:jc w:val="left"/>
        <w:rPr>
          <w:rFonts w:ascii="宋体" w:hAnsi="宋体" w:cs="宋体"/>
          <w:color w:val="auto"/>
          <w:kern w:val="0"/>
          <w:highlight w:val="none"/>
        </w:rPr>
      </w:pPr>
      <w:r>
        <w:rPr>
          <w:rFonts w:hint="eastAsia" w:ascii="宋体" w:hAnsi="宋体" w:cs="宋体"/>
          <w:color w:val="auto"/>
          <w:szCs w:val="20"/>
          <w:highlight w:val="none"/>
        </w:rPr>
        <w:t>特别说明：</w:t>
      </w:r>
    </w:p>
    <w:p>
      <w:pPr>
        <w:widowControl/>
        <w:spacing w:before="100" w:beforeAutospacing="1" w:after="100" w:afterAutospacing="1" w:line="360" w:lineRule="auto"/>
        <w:jc w:val="left"/>
        <w:rPr>
          <w:rFonts w:ascii="宋体" w:hAnsi="宋体" w:cs="宋体"/>
          <w:color w:val="auto"/>
          <w:kern w:val="0"/>
          <w:highlight w:val="none"/>
        </w:rPr>
      </w:pPr>
      <w:r>
        <w:rPr>
          <w:rFonts w:hint="eastAsia" w:ascii="宋体" w:hAnsi="宋体" w:cs="宋体"/>
          <w:color w:val="auto"/>
          <w:szCs w:val="20"/>
          <w:highlight w:val="none"/>
        </w:rPr>
        <w:t>1.对捏造事实、提供虚假材料进行质疑的行为予以严肃处理：</w:t>
      </w:r>
    </w:p>
    <w:p>
      <w:pPr>
        <w:spacing w:line="360" w:lineRule="auto"/>
        <w:rPr>
          <w:rFonts w:ascii="宋体" w:hAnsi="宋体" w:cs="宋体"/>
          <w:color w:val="auto"/>
          <w:szCs w:val="20"/>
          <w:highlight w:val="none"/>
        </w:rPr>
      </w:pPr>
      <w:r>
        <w:rPr>
          <w:rFonts w:hint="eastAsia" w:ascii="宋体" w:hAnsi="宋体" w:cs="宋体"/>
          <w:color w:val="auto"/>
          <w:szCs w:val="20"/>
          <w:highlight w:val="none"/>
        </w:rPr>
        <w:t>依据《中华人民共和国政府采购法》及其实施条例及其实施条例、《政府采购供应商投诉处理办法》等法律法规的规定，供应商质疑应当有明确的请求和必要的证明材料。对于捏造事实、提供虚假材料或者以非法手段取得证明材料进行质疑的，应上报同级财政部门予以处理，并将其列入不良行为记录名单，禁止其一至三年内参加政府采购活动。</w:t>
      </w:r>
    </w:p>
    <w:p>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2.对捏造事实诬告陷害他人、诽谤他人的法律适用：</w:t>
      </w:r>
    </w:p>
    <w:p>
      <w:pPr>
        <w:spacing w:line="360" w:lineRule="auto"/>
        <w:rPr>
          <w:rFonts w:ascii="宋体" w:hAnsi="宋体" w:cs="宋体"/>
          <w:color w:val="auto"/>
          <w:szCs w:val="20"/>
          <w:highlight w:val="none"/>
        </w:rPr>
      </w:pPr>
      <w:r>
        <w:rPr>
          <w:rFonts w:hint="eastAsia" w:ascii="宋体" w:hAnsi="宋体" w:cs="宋体"/>
          <w:color w:val="auto"/>
          <w:szCs w:val="20"/>
          <w:highlight w:val="none"/>
        </w:rPr>
        <w:t>《中华人民共和国刑法》第243条【诬告陷害罪】捏造事实诬告陷害他人，意图使他人受刑事追究，情节严重的，处三年以下有期徒刑、拘役或者管制；造成严重后果的，处三年以上十年以下有期徒刑。</w:t>
      </w:r>
    </w:p>
    <w:p>
      <w:pPr>
        <w:spacing w:line="360" w:lineRule="auto"/>
        <w:rPr>
          <w:rFonts w:ascii="宋体" w:hAnsi="宋体" w:cs="宋体"/>
          <w:color w:val="auto"/>
          <w:szCs w:val="20"/>
          <w:highlight w:val="none"/>
        </w:rPr>
      </w:pPr>
      <w:r>
        <w:rPr>
          <w:rFonts w:hint="eastAsia" w:ascii="宋体" w:hAnsi="宋体" w:cs="宋体"/>
          <w:color w:val="auto"/>
          <w:szCs w:val="20"/>
          <w:highlight w:val="none"/>
        </w:rPr>
        <w:t>《中华人民共和国刑法》第246条【侮辱罪、诽谤罪】以暴力或者其他方法公然侮辱他人或者捏造事实诽谤他人，情节严重的，处三年以下有期徒刑、拘役、管制或者剥夺政治权利。</w:t>
      </w: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Text Box 1028" o:spid="_x0000_s1037"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PlfknQAAAAAwEAAA8AAAAAAAAAAQAgAAAAIgAAAGRycy9kb3ducmV2Lnht&#10;bFBLAQIUABQAAAAIAIdO4kAZNyzZAQIAABMEAAAOAAAAAAAAAAEAIAAAAB8BAABkcnMvZTJvRG9j&#10;LnhtbFBLBQYAAAAABgAGAFkBAACS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Text Box 1027" o:spid="_x0000_s103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X5J0AAAAAMBAAAPAAAAAAAAAAEAIAAAACIAAABkcnMvZG93bnJldi54&#10;bWxQSwECFAAUAAAACACHTuJAqozdtgICAAATBAAADgAAAAAAAAABACAAAAAfAQAAZHJzL2Uyb0Rv&#10;Yy54bWxQSwUGAAAAAAYABgBZAQAAk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w:rPr>
        <w:sz w:val="20"/>
      </w:rPr>
      <w:pict>
        <v:shape id="Text Box 1038" o:spid="_x0000_s1031"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X5J0AAAAAMBAAAPAAAAAAAAAAEAIAAAACIAAABkcnMvZG93bnJldi54&#10;bWxQSwECFAAUAAAACACHTuJAN8nqHgICAAATBAAADgAAAAAAAAABACAAAAAfAQAAZHJzL2Uyb0Rv&#10;Yy54bWxQSwUGAAAAAAYABgBZAQAAkwUAAAAA&#10;">
          <v:path/>
          <v:fill on="f" focussize="0,0"/>
          <v:stroke on="f" joinstyle="miter"/>
          <v:imagedata o:title=""/>
          <o:lock v:ext="edit"/>
          <v:textbox inset="0mm,0mm,0mm,0mm" style="mso-fit-shape-to-text:t;">
            <w:txbxContent>
              <w:p>
                <w:pPr>
                  <w:snapToGrid w:val="0"/>
                  <w:jc w:val="left"/>
                  <w:rPr>
                    <w:rFonts w:eastAsia="等线"/>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rPr>
        <w:sz w:val="18"/>
      </w:rPr>
    </w:pPr>
    <w:r>
      <w:rPr>
        <w:sz w:val="18"/>
      </w:rPr>
      <w:pict>
        <v:shape id="Text Box 1041" o:spid="_x0000_s1029"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SdAAAAADAQAADwAAAAAAAAABACAAAAAiAAAAZHJzL2Rvd25yZXYueG1s&#10;UEsBAhQAFAAAAAgAh07iQGI+5bkAAgAAEwQAAA4AAAAAAAAAAQAgAAAAHwEAAGRycy9lMm9Eb2Mu&#10;eG1sUEsFBgAAAAAGAAYAWQEAAJEFAAAAAA==&#10;">
          <v:path/>
          <v:fill on="f" focussize="0,0"/>
          <v:stroke on="f" joinstyle="miter"/>
          <v:imagedata o:title=""/>
          <o:lock v:ext="edit"/>
          <v:textbox inset="0mm,0mm,0mm,0mm" style="mso-fit-shape-to-text:t;">
            <w:txbxContent>
              <w:p>
                <w:pPr>
                  <w:snapToGrid w:val="0"/>
                  <w:jc w:val="left"/>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85</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ind w:right="360"/>
      <w:jc w:val="both"/>
    </w:pPr>
    <w:r>
      <w:pict>
        <v:shape id="Text Box 1035" o:spid="_x0000_s1027"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SdAAAAADAQAADwAAAAAAAAABACAAAAAiAAAAZHJzL2Rvd25yZXYueG1s&#10;UEsBAhQAFAAAAAgAh07iQHFtfXYAAgAAEgQAAA4AAAAAAAAAAQAgAAAAHwEAAGRycy9lMm9Eb2Mu&#10;eG1sUEsFBgAAAAAGAAYAWQEAAJEFA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100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060"/>
      </w:tabs>
      <w:rPr>
        <w:rFonts w:ascii="宋体" w:hAnsi="宋体"/>
      </w:rPr>
    </w:pPr>
    <w:r>
      <w:rPr>
        <w:rFonts w:ascii="宋体" w:hAnsi="宋体"/>
      </w:rPr>
      <w:drawing>
        <wp:anchor distT="0" distB="0" distL="114300" distR="114300" simplePos="0" relativeHeight="251659264" behindDoc="0" locked="0" layoutInCell="1" allowOverlap="1">
          <wp:simplePos x="0" y="0"/>
          <wp:positionH relativeFrom="column">
            <wp:posOffset>-2540</wp:posOffset>
          </wp:positionH>
          <wp:positionV relativeFrom="paragraph">
            <wp:posOffset>104775</wp:posOffset>
          </wp:positionV>
          <wp:extent cx="1924050" cy="5016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a:srcRect t="-14032" r="61722"/>
                  <a:stretch>
                    <a:fillRect/>
                  </a:stretch>
                </pic:blipFill>
                <pic:spPr>
                  <a:xfrm>
                    <a:off x="0" y="0"/>
                    <a:ext cx="1924050" cy="501650"/>
                  </a:xfrm>
                  <a:prstGeom prst="rect">
                    <a:avLst/>
                  </a:prstGeom>
                  <a:noFill/>
                  <a:ln>
                    <a:noFill/>
                  </a:ln>
                </pic:spPr>
              </pic:pic>
            </a:graphicData>
          </a:graphic>
        </wp:anchor>
      </w:drawing>
    </w:r>
  </w:p>
  <w:p>
    <w:pPr>
      <w:tabs>
        <w:tab w:val="left" w:pos="6060"/>
      </w:tabs>
      <w:jc w:val="right"/>
      <w:rPr>
        <w:rFonts w:ascii="宋体" w:hAnsi="宋体"/>
      </w:rPr>
    </w:pPr>
    <w:r>
      <w:rPr>
        <w:rFonts w:ascii="宋体" w:hAnsi="宋体"/>
      </w:rPr>
      <w:pict>
        <v:line id="Line 1042" o:spid="_x0000_s1026" o:spt="20" style="position:absolute;left:0pt;margin-left:128.25pt;margin-top:13.45pt;height:0.3pt;width:282.35pt;z-index:251667456;mso-width-relative:page;mso-height-relative:page;" stroked="t" coordsize="21600,21600" o:gfxdata="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bDELHYAAAACQEAAA8AAAAAAAAA&#10;AQAgAAAAIgAAAGRycy9kb3ducmV2LnhtbFBLAQIUABQAAAAIAIdO4kDfa7CG2AEAALUDAAAOAAAA&#10;AAAAAAEAIAAAACcBAABkcnMvZTJvRG9jLnhtbFBLBQYAAAAABgAGAFkBAABxBQAAAAA=&#10;">
          <v:path arrowok="t"/>
          <v:fill focussize="0,0"/>
          <v:stroke weight="1.5pt" color="#969696"/>
          <v:imagedata o:title=""/>
          <o:lock v:ext="edit"/>
        </v:line>
      </w:pict>
    </w:r>
    <w:r>
      <w:rPr>
        <w:rFonts w:hint="eastAsia" w:ascii="宋体" w:hAnsi="宋体"/>
      </w:rPr>
      <w:t>陕西省康复医院</w:t>
    </w:r>
  </w:p>
  <w:p>
    <w:pPr>
      <w:tabs>
        <w:tab w:val="left" w:pos="6060"/>
      </w:tabs>
      <w:jc w:val="right"/>
      <w:rPr>
        <w:rFonts w:asciiTheme="minorEastAsia" w:hAnsiTheme="minorEastAsia" w:eastAsiaTheme="minorEastAsia"/>
      </w:rPr>
    </w:pPr>
    <w:r>
      <w:rPr>
        <w:rFonts w:hint="eastAsia" w:ascii="宋体" w:hAnsi="宋体"/>
      </w:rPr>
      <w:t>招标文件</w:t>
    </w:r>
  </w:p>
  <w:p>
    <w:pPr>
      <w:pStyle w:val="2"/>
      <w:rPr>
        <w:rFonts w:asciiTheme="minorEastAsia" w:hAnsiTheme="minorEastAsia" w:eastAsiaTheme="minorEastAsia"/>
        <w:color w:val="FF000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060"/>
      </w:tabs>
      <w:rPr>
        <w:rFonts w:ascii="宋体" w:hAnsi="宋体"/>
      </w:rPr>
    </w:pPr>
    <w:r>
      <w:rPr>
        <w:rFonts w:ascii="宋体" w:hAnsi="宋体"/>
      </w:rPr>
      <w:drawing>
        <wp:anchor distT="0" distB="0" distL="114300" distR="114300" simplePos="0" relativeHeight="251660288" behindDoc="0" locked="0" layoutInCell="1" allowOverlap="1">
          <wp:simplePos x="0" y="0"/>
          <wp:positionH relativeFrom="column">
            <wp:posOffset>-2540</wp:posOffset>
          </wp:positionH>
          <wp:positionV relativeFrom="paragraph">
            <wp:posOffset>104775</wp:posOffset>
          </wp:positionV>
          <wp:extent cx="1924050" cy="5016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srcRect t="-14032" r="61722"/>
                  <a:stretch>
                    <a:fillRect/>
                  </a:stretch>
                </pic:blipFill>
                <pic:spPr>
                  <a:xfrm>
                    <a:off x="0" y="0"/>
                    <a:ext cx="1924050" cy="501650"/>
                  </a:xfrm>
                  <a:prstGeom prst="rect">
                    <a:avLst/>
                  </a:prstGeom>
                  <a:noFill/>
                  <a:ln>
                    <a:noFill/>
                  </a:ln>
                </pic:spPr>
              </pic:pic>
            </a:graphicData>
          </a:graphic>
        </wp:anchor>
      </w:drawing>
    </w:r>
  </w:p>
  <w:p>
    <w:pPr>
      <w:tabs>
        <w:tab w:val="left" w:pos="6060"/>
      </w:tabs>
      <w:jc w:val="right"/>
      <w:rPr>
        <w:rFonts w:ascii="宋体" w:hAnsi="宋体"/>
      </w:rPr>
    </w:pPr>
    <w:r>
      <w:rPr>
        <w:rFonts w:ascii="宋体" w:hAnsi="宋体"/>
      </w:rPr>
      <w:pict>
        <v:line id="Line 1048" o:spid="_x0000_s1032" o:spt="20" style="position:absolute;left:0pt;margin-left:128.25pt;margin-top:13.45pt;height:0.3pt;width:282.35pt;z-index:251668480;mso-width-relative:page;mso-height-relative:page;" stroked="t" coordsize="21600,21600" o:gfxdata="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wxCx2AAAAAkBAAAPAAAAAAAA&#10;AAEAIAAAACIAAABkcnMvZG93bnJldi54bWxQSwECFAAUAAAACACHTuJA6sFGS9kBAAC1AwAADgAA&#10;AAAAAAABACAAAAAnAQAAZHJzL2Uyb0RvYy54bWxQSwUGAAAAAAYABgBZAQAAcgUAAAAA&#10;">
          <v:path arrowok="t"/>
          <v:fill focussize="0,0"/>
          <v:stroke weight="1.5pt" color="#969696"/>
          <v:imagedata o:title=""/>
          <o:lock v:ext="edit"/>
        </v:line>
      </w:pict>
    </w:r>
    <w:r>
      <w:rPr>
        <w:rFonts w:hint="eastAsia" w:ascii="宋体" w:hAnsi="宋体"/>
      </w:rPr>
      <w:t>陕西省康复医院</w:t>
    </w:r>
  </w:p>
  <w:p>
    <w:pPr>
      <w:tabs>
        <w:tab w:val="left" w:pos="6060"/>
      </w:tabs>
      <w:jc w:val="right"/>
      <w:rPr>
        <w:rFonts w:asciiTheme="minorEastAsia" w:hAnsiTheme="minorEastAsia" w:eastAsiaTheme="minorEastAsia"/>
      </w:rPr>
    </w:pPr>
    <w:r>
      <w:rPr>
        <w:rFonts w:hint="eastAsia" w:ascii="宋体" w:hAnsi="宋体"/>
      </w:rPr>
      <w:t>招标文件</w:t>
    </w:r>
  </w:p>
  <w:p>
    <w:pP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060"/>
      </w:tabs>
      <w:rPr>
        <w:rFonts w:ascii="宋体" w:hAnsi="宋体"/>
      </w:rPr>
    </w:pPr>
    <w:r>
      <w:rPr>
        <w:rFonts w:ascii="宋体" w:hAnsi="宋体"/>
      </w:rPr>
      <w:drawing>
        <wp:anchor distT="0" distB="0" distL="114300" distR="114300" simplePos="0" relativeHeight="251661312" behindDoc="0" locked="0" layoutInCell="1" allowOverlap="1">
          <wp:simplePos x="0" y="0"/>
          <wp:positionH relativeFrom="column">
            <wp:posOffset>-2540</wp:posOffset>
          </wp:positionH>
          <wp:positionV relativeFrom="paragraph">
            <wp:posOffset>104775</wp:posOffset>
          </wp:positionV>
          <wp:extent cx="1924050" cy="50165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
                  <a:srcRect t="-14032" r="61722"/>
                  <a:stretch>
                    <a:fillRect/>
                  </a:stretch>
                </pic:blipFill>
                <pic:spPr>
                  <a:xfrm>
                    <a:off x="0" y="0"/>
                    <a:ext cx="1924050" cy="501650"/>
                  </a:xfrm>
                  <a:prstGeom prst="rect">
                    <a:avLst/>
                  </a:prstGeom>
                  <a:noFill/>
                  <a:ln>
                    <a:noFill/>
                  </a:ln>
                </pic:spPr>
              </pic:pic>
            </a:graphicData>
          </a:graphic>
        </wp:anchor>
      </w:drawing>
    </w:r>
  </w:p>
  <w:p>
    <w:pPr>
      <w:tabs>
        <w:tab w:val="left" w:pos="6060"/>
      </w:tabs>
      <w:jc w:val="right"/>
      <w:rPr>
        <w:rFonts w:ascii="宋体" w:hAnsi="宋体"/>
      </w:rPr>
    </w:pPr>
    <w:r>
      <w:rPr>
        <w:rFonts w:ascii="宋体" w:hAnsi="宋体"/>
      </w:rPr>
      <w:pict>
        <v:line id="Line 1049" o:spid="_x0000_s1030" o:spt="20" style="position:absolute;left:0pt;margin-left:128.25pt;margin-top:13.45pt;height:0.3pt;width:282.35pt;z-index:251669504;mso-width-relative:page;mso-height-relative:page;" stroked="t" coordsize="21600,21600" o:gfxdata="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wxCx2AAAAAkBAAAPAAAAAAAA&#10;AAEAIAAAACIAAABkcnMvZG93bnJldi54bWxQSwECFAAUAAAACACHTuJA54LdcdkBAAC1AwAADgAA&#10;AAAAAAABACAAAAAnAQAAZHJzL2Uyb0RvYy54bWxQSwUGAAAAAAYABgBZAQAAcgUAAAAA&#10;">
          <v:path arrowok="t"/>
          <v:fill focussize="0,0"/>
          <v:stroke weight="1.5pt" color="#969696"/>
          <v:imagedata o:title=""/>
          <o:lock v:ext="edit"/>
        </v:line>
      </w:pict>
    </w:r>
    <w:r>
      <w:rPr>
        <w:rFonts w:hint="eastAsia" w:ascii="宋体" w:hAnsi="宋体"/>
      </w:rPr>
      <w:t>陕西省康复医院</w:t>
    </w:r>
  </w:p>
  <w:p>
    <w:pPr>
      <w:tabs>
        <w:tab w:val="left" w:pos="6060"/>
      </w:tabs>
      <w:jc w:val="right"/>
      <w:rPr>
        <w:rFonts w:asciiTheme="minorEastAsia" w:hAnsiTheme="minorEastAsia" w:eastAsiaTheme="minorEastAsia"/>
      </w:rPr>
    </w:pPr>
    <w:r>
      <w:rPr>
        <w:rFonts w:hint="eastAsia" w:ascii="宋体" w:hAnsi="宋体"/>
      </w:rPr>
      <w:t>招标文件</w:t>
    </w:r>
  </w:p>
  <w:p>
    <w:pPr>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060"/>
      </w:tabs>
      <w:rPr>
        <w:rFonts w:ascii="宋体" w:hAnsi="宋体"/>
      </w:rPr>
    </w:pPr>
    <w:r>
      <w:rPr>
        <w:rFonts w:ascii="宋体" w:hAnsi="宋体"/>
      </w:rPr>
      <w:drawing>
        <wp:anchor distT="0" distB="0" distL="114300" distR="114300" simplePos="0" relativeHeight="251670528" behindDoc="0" locked="0" layoutInCell="1" allowOverlap="1">
          <wp:simplePos x="0" y="0"/>
          <wp:positionH relativeFrom="column">
            <wp:posOffset>-2540</wp:posOffset>
          </wp:positionH>
          <wp:positionV relativeFrom="paragraph">
            <wp:posOffset>104775</wp:posOffset>
          </wp:positionV>
          <wp:extent cx="1924050" cy="501650"/>
          <wp:effectExtent l="0" t="0" r="0" b="0"/>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pic:cNvPicPr>
                    <a:picLocks noChangeAspect="1"/>
                  </pic:cNvPicPr>
                </pic:nvPicPr>
                <pic:blipFill>
                  <a:blip r:embed="rId1"/>
                  <a:srcRect t="-14032" r="61722"/>
                  <a:stretch>
                    <a:fillRect/>
                  </a:stretch>
                </pic:blipFill>
                <pic:spPr>
                  <a:xfrm>
                    <a:off x="0" y="0"/>
                    <a:ext cx="1924050" cy="501650"/>
                  </a:xfrm>
                  <a:prstGeom prst="rect">
                    <a:avLst/>
                  </a:prstGeom>
                  <a:noFill/>
                  <a:ln>
                    <a:noFill/>
                  </a:ln>
                </pic:spPr>
              </pic:pic>
            </a:graphicData>
          </a:graphic>
        </wp:anchor>
      </w:drawing>
    </w:r>
  </w:p>
  <w:p>
    <w:pPr>
      <w:tabs>
        <w:tab w:val="left" w:pos="6060"/>
      </w:tabs>
      <w:jc w:val="right"/>
      <w:rPr>
        <w:rFonts w:ascii="宋体" w:hAnsi="宋体"/>
      </w:rPr>
    </w:pPr>
    <w:r>
      <w:rPr>
        <w:rFonts w:ascii="宋体" w:hAnsi="宋体"/>
      </w:rPr>
      <w:pict>
        <v:line id="_x0000_s1028" o:spid="_x0000_s1028" o:spt="20" style="position:absolute;left:0pt;margin-left:128.25pt;margin-top:13.45pt;height:0.3pt;width:282.35pt;z-index:251671552;mso-width-relative:page;mso-height-relative:page;" stroked="t" coordsize="21600,21600" o:gfxdata="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wxCx2AAAAAkBAAAPAAAAAAAA&#10;AAEAIAAAACIAAABkcnMvZG93bnJldi54bWxQSwECFAAUAAAACACHTuJARzG8TtkBAAC1AwAADgAA&#10;AAAAAAABACAAAAAnAQAAZHJzL2Uyb0RvYy54bWxQSwUGAAAAAAYABgBZAQAAcgUAAAAA&#10;">
          <v:path arrowok="t"/>
          <v:fill focussize="0,0"/>
          <v:stroke weight="1.5pt" color="#969696"/>
          <v:imagedata o:title=""/>
          <o:lock v:ext="edit"/>
        </v:line>
      </w:pict>
    </w:r>
    <w:r>
      <w:rPr>
        <w:rFonts w:hint="eastAsia" w:ascii="宋体" w:hAnsi="宋体"/>
      </w:rPr>
      <w:t>陕西省康复医院</w:t>
    </w:r>
  </w:p>
  <w:p>
    <w:pPr>
      <w:tabs>
        <w:tab w:val="left" w:pos="6060"/>
      </w:tabs>
      <w:jc w:val="right"/>
      <w:rPr>
        <w:rFonts w:asciiTheme="minorEastAsia" w:hAnsiTheme="minorEastAsia" w:eastAsiaTheme="minorEastAsia"/>
      </w:rPr>
    </w:pPr>
    <w:r>
      <w:rPr>
        <w:rFonts w:hint="eastAsia" w:ascii="宋体" w:hAnsi="宋体"/>
      </w:rPr>
      <w:t>招标文件</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4FFF3"/>
    <w:multiLevelType w:val="singleLevel"/>
    <w:tmpl w:val="9454FFF3"/>
    <w:lvl w:ilvl="0" w:tentative="0">
      <w:start w:val="1"/>
      <w:numFmt w:val="decimal"/>
      <w:lvlText w:val="%1."/>
      <w:lvlJc w:val="left"/>
      <w:pPr>
        <w:ind w:left="425" w:hanging="425"/>
      </w:pPr>
      <w:rPr>
        <w:rFonts w:hint="default"/>
      </w:rPr>
    </w:lvl>
  </w:abstractNum>
  <w:abstractNum w:abstractNumId="1">
    <w:nsid w:val="B06E900B"/>
    <w:multiLevelType w:val="singleLevel"/>
    <w:tmpl w:val="B06E900B"/>
    <w:lvl w:ilvl="0" w:tentative="0">
      <w:start w:val="5"/>
      <w:numFmt w:val="decimal"/>
      <w:suff w:val="space"/>
      <w:lvlText w:val="%1."/>
      <w:lvlJc w:val="left"/>
    </w:lvl>
  </w:abstractNum>
  <w:abstractNum w:abstractNumId="2">
    <w:nsid w:val="CEEAD502"/>
    <w:multiLevelType w:val="singleLevel"/>
    <w:tmpl w:val="CEEAD502"/>
    <w:lvl w:ilvl="0" w:tentative="0">
      <w:start w:val="1"/>
      <w:numFmt w:val="decimal"/>
      <w:suff w:val="nothing"/>
      <w:lvlText w:val="%1、"/>
      <w:lvlJc w:val="left"/>
    </w:lvl>
  </w:abstractNum>
  <w:abstractNum w:abstractNumId="3">
    <w:nsid w:val="DAD1D85C"/>
    <w:multiLevelType w:val="singleLevel"/>
    <w:tmpl w:val="DAD1D85C"/>
    <w:lvl w:ilvl="0" w:tentative="0">
      <w:start w:val="1"/>
      <w:numFmt w:val="decimal"/>
      <w:lvlText w:val="%1."/>
      <w:lvlJc w:val="left"/>
      <w:pPr>
        <w:ind w:left="425" w:hanging="425"/>
      </w:pPr>
      <w:rPr>
        <w:rFonts w:hint="default"/>
      </w:rPr>
    </w:lvl>
  </w:abstractNum>
  <w:abstractNum w:abstractNumId="4">
    <w:nsid w:val="EC201B8B"/>
    <w:multiLevelType w:val="singleLevel"/>
    <w:tmpl w:val="EC201B8B"/>
    <w:lvl w:ilvl="0" w:tentative="0">
      <w:start w:val="11"/>
      <w:numFmt w:val="decimal"/>
      <w:suff w:val="space"/>
      <w:lvlText w:val="%1."/>
      <w:lvlJc w:val="left"/>
    </w:lvl>
  </w:abstractNum>
  <w:abstractNum w:abstractNumId="5">
    <w:nsid w:val="FA4373B4"/>
    <w:multiLevelType w:val="singleLevel"/>
    <w:tmpl w:val="FA4373B4"/>
    <w:lvl w:ilvl="0" w:tentative="0">
      <w:start w:val="7"/>
      <w:numFmt w:val="decimal"/>
      <w:suff w:val="space"/>
      <w:lvlText w:val="%1."/>
      <w:lvlJc w:val="left"/>
    </w:lvl>
  </w:abstractNum>
  <w:abstractNum w:abstractNumId="6">
    <w:nsid w:val="0053208E"/>
    <w:multiLevelType w:val="singleLevel"/>
    <w:tmpl w:val="0053208E"/>
    <w:lvl w:ilvl="0" w:tentative="0">
      <w:start w:val="1"/>
      <w:numFmt w:val="chineseCounting"/>
      <w:suff w:val="nothing"/>
      <w:lvlText w:val="%1、"/>
      <w:lvlJc w:val="left"/>
      <w:pPr>
        <w:ind w:left="-350"/>
      </w:pPr>
      <w:rPr>
        <w:rFonts w:hint="eastAsia"/>
      </w:rPr>
    </w:lvl>
  </w:abstractNum>
  <w:abstractNum w:abstractNumId="7">
    <w:nsid w:val="0EFE26F3"/>
    <w:multiLevelType w:val="singleLevel"/>
    <w:tmpl w:val="0EFE26F3"/>
    <w:lvl w:ilvl="0" w:tentative="0">
      <w:start w:val="16"/>
      <w:numFmt w:val="decimal"/>
      <w:suff w:val="nothing"/>
      <w:lvlText w:val="%1、"/>
      <w:lvlJc w:val="left"/>
    </w:lvl>
  </w:abstractNum>
  <w:abstractNum w:abstractNumId="8">
    <w:nsid w:val="1705C938"/>
    <w:multiLevelType w:val="singleLevel"/>
    <w:tmpl w:val="1705C938"/>
    <w:lvl w:ilvl="0" w:tentative="0">
      <w:start w:val="21"/>
      <w:numFmt w:val="decimal"/>
      <w:suff w:val="nothing"/>
      <w:lvlText w:val="%1、"/>
      <w:lvlJc w:val="left"/>
    </w:lvl>
  </w:abstractNum>
  <w:abstractNum w:abstractNumId="9">
    <w:nsid w:val="1CE387F0"/>
    <w:multiLevelType w:val="singleLevel"/>
    <w:tmpl w:val="1CE387F0"/>
    <w:lvl w:ilvl="0" w:tentative="0">
      <w:start w:val="1"/>
      <w:numFmt w:val="decimal"/>
      <w:lvlText w:val="%1."/>
      <w:lvlJc w:val="left"/>
      <w:pPr>
        <w:ind w:left="425" w:hanging="425"/>
      </w:pPr>
      <w:rPr>
        <w:rFonts w:hint="default"/>
      </w:rPr>
    </w:lvl>
  </w:abstractNum>
  <w:abstractNum w:abstractNumId="10">
    <w:nsid w:val="2B885108"/>
    <w:multiLevelType w:val="singleLevel"/>
    <w:tmpl w:val="2B885108"/>
    <w:lvl w:ilvl="0" w:tentative="0">
      <w:start w:val="1"/>
      <w:numFmt w:val="decimal"/>
      <w:lvlText w:val="%1."/>
      <w:lvlJc w:val="left"/>
      <w:pPr>
        <w:ind w:left="420" w:hanging="420"/>
      </w:pPr>
      <w:rPr>
        <w:b w:val="0"/>
        <w:bCs w:val="0"/>
      </w:rPr>
    </w:lvl>
  </w:abstractNum>
  <w:abstractNum w:abstractNumId="11">
    <w:nsid w:val="329E1AC6"/>
    <w:multiLevelType w:val="singleLevel"/>
    <w:tmpl w:val="329E1AC6"/>
    <w:lvl w:ilvl="0" w:tentative="0">
      <w:start w:val="1"/>
      <w:numFmt w:val="decimal"/>
      <w:lvlText w:val="%1、"/>
      <w:lvlJc w:val="left"/>
      <w:pPr>
        <w:ind w:left="420" w:hanging="420"/>
      </w:pPr>
    </w:lvl>
  </w:abstractNum>
  <w:abstractNum w:abstractNumId="12">
    <w:nsid w:val="43334E2F"/>
    <w:multiLevelType w:val="singleLevel"/>
    <w:tmpl w:val="43334E2F"/>
    <w:lvl w:ilvl="0" w:tentative="0">
      <w:start w:val="1"/>
      <w:numFmt w:val="decimal"/>
      <w:lvlText w:val="%1."/>
      <w:lvlJc w:val="left"/>
      <w:pPr>
        <w:ind w:left="425" w:hanging="425"/>
      </w:pPr>
      <w:rPr>
        <w:rFonts w:hint="default"/>
      </w:rPr>
    </w:lvl>
  </w:abstractNum>
  <w:num w:numId="1">
    <w:abstractNumId w:val="4"/>
  </w:num>
  <w:num w:numId="2">
    <w:abstractNumId w:val="6"/>
  </w:num>
  <w:num w:numId="3">
    <w:abstractNumId w:val="3"/>
  </w:num>
  <w:num w:numId="4">
    <w:abstractNumId w:val="9"/>
  </w:num>
  <w:num w:numId="5">
    <w:abstractNumId w:val="1"/>
  </w:num>
  <w:num w:numId="6">
    <w:abstractNumId w:val="5"/>
  </w:num>
  <w:num w:numId="7">
    <w:abstractNumId w:val="12"/>
  </w:num>
  <w:num w:numId="8">
    <w:abstractNumId w:val="0"/>
  </w:num>
  <w:num w:numId="9">
    <w:abstractNumId w:val="10"/>
  </w:num>
  <w:num w:numId="10">
    <w:abstractNumId w:val="11"/>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wYzJiZDQzYTQ3ZGVlN2JjODAyNjhhMzhkZDdjNjkifQ=="/>
  </w:docVars>
  <w:rsids>
    <w:rsidRoot w:val="004B23E3"/>
    <w:rsid w:val="0000277A"/>
    <w:rsid w:val="00021FB7"/>
    <w:rsid w:val="0002280A"/>
    <w:rsid w:val="0002590E"/>
    <w:rsid w:val="0006184D"/>
    <w:rsid w:val="00062512"/>
    <w:rsid w:val="000735D1"/>
    <w:rsid w:val="00075F28"/>
    <w:rsid w:val="00082601"/>
    <w:rsid w:val="000907D0"/>
    <w:rsid w:val="000B622D"/>
    <w:rsid w:val="000C0487"/>
    <w:rsid w:val="000C1F1C"/>
    <w:rsid w:val="000C7C00"/>
    <w:rsid w:val="000E0150"/>
    <w:rsid w:val="000E3A1C"/>
    <w:rsid w:val="000E6CFE"/>
    <w:rsid w:val="00103E6A"/>
    <w:rsid w:val="0010772B"/>
    <w:rsid w:val="00114E9D"/>
    <w:rsid w:val="001218C4"/>
    <w:rsid w:val="00145B6A"/>
    <w:rsid w:val="0015261F"/>
    <w:rsid w:val="00154F1B"/>
    <w:rsid w:val="00166ECC"/>
    <w:rsid w:val="00167B1A"/>
    <w:rsid w:val="001702EA"/>
    <w:rsid w:val="001A1DF4"/>
    <w:rsid w:val="001B09F8"/>
    <w:rsid w:val="001B225F"/>
    <w:rsid w:val="001C7F6A"/>
    <w:rsid w:val="001D43ED"/>
    <w:rsid w:val="001E1442"/>
    <w:rsid w:val="001E2A08"/>
    <w:rsid w:val="001E2E0B"/>
    <w:rsid w:val="001E4C76"/>
    <w:rsid w:val="001F0934"/>
    <w:rsid w:val="001F48EC"/>
    <w:rsid w:val="00206815"/>
    <w:rsid w:val="0021029F"/>
    <w:rsid w:val="00244AEC"/>
    <w:rsid w:val="00260AC1"/>
    <w:rsid w:val="002639F7"/>
    <w:rsid w:val="00273EF0"/>
    <w:rsid w:val="0027428E"/>
    <w:rsid w:val="00285B4D"/>
    <w:rsid w:val="00291127"/>
    <w:rsid w:val="00295C51"/>
    <w:rsid w:val="002968E8"/>
    <w:rsid w:val="00297514"/>
    <w:rsid w:val="002A28B7"/>
    <w:rsid w:val="002A5937"/>
    <w:rsid w:val="002B6021"/>
    <w:rsid w:val="002C3AAF"/>
    <w:rsid w:val="002D76C4"/>
    <w:rsid w:val="002F5F5E"/>
    <w:rsid w:val="00300B0A"/>
    <w:rsid w:val="003037A0"/>
    <w:rsid w:val="0030599E"/>
    <w:rsid w:val="0030680F"/>
    <w:rsid w:val="003135AA"/>
    <w:rsid w:val="0031510A"/>
    <w:rsid w:val="003167A1"/>
    <w:rsid w:val="003254B0"/>
    <w:rsid w:val="00327E18"/>
    <w:rsid w:val="00346330"/>
    <w:rsid w:val="00390850"/>
    <w:rsid w:val="0039335C"/>
    <w:rsid w:val="00397783"/>
    <w:rsid w:val="003A5827"/>
    <w:rsid w:val="003A67BA"/>
    <w:rsid w:val="003B4274"/>
    <w:rsid w:val="003B7FC7"/>
    <w:rsid w:val="003C0B76"/>
    <w:rsid w:val="003E2167"/>
    <w:rsid w:val="0041757A"/>
    <w:rsid w:val="00423BD4"/>
    <w:rsid w:val="00427E21"/>
    <w:rsid w:val="00434ED4"/>
    <w:rsid w:val="0044107E"/>
    <w:rsid w:val="00447EF4"/>
    <w:rsid w:val="00450780"/>
    <w:rsid w:val="00450AD2"/>
    <w:rsid w:val="00450FB1"/>
    <w:rsid w:val="004658E7"/>
    <w:rsid w:val="00467F1C"/>
    <w:rsid w:val="0047149C"/>
    <w:rsid w:val="00480217"/>
    <w:rsid w:val="004846A9"/>
    <w:rsid w:val="00492198"/>
    <w:rsid w:val="00492C1B"/>
    <w:rsid w:val="004977A8"/>
    <w:rsid w:val="004A02F4"/>
    <w:rsid w:val="004A2711"/>
    <w:rsid w:val="004B23E3"/>
    <w:rsid w:val="004C1551"/>
    <w:rsid w:val="004D6C91"/>
    <w:rsid w:val="004F2153"/>
    <w:rsid w:val="004F3692"/>
    <w:rsid w:val="004F7448"/>
    <w:rsid w:val="00525655"/>
    <w:rsid w:val="005701CC"/>
    <w:rsid w:val="0058425D"/>
    <w:rsid w:val="005969EF"/>
    <w:rsid w:val="00596E6E"/>
    <w:rsid w:val="005A3297"/>
    <w:rsid w:val="005B0EFC"/>
    <w:rsid w:val="005B4641"/>
    <w:rsid w:val="005C4B84"/>
    <w:rsid w:val="005C6F0E"/>
    <w:rsid w:val="005E2667"/>
    <w:rsid w:val="005E30C3"/>
    <w:rsid w:val="00631A09"/>
    <w:rsid w:val="00640CF9"/>
    <w:rsid w:val="006506E0"/>
    <w:rsid w:val="006508CE"/>
    <w:rsid w:val="006A020F"/>
    <w:rsid w:val="006A2E42"/>
    <w:rsid w:val="006A64B4"/>
    <w:rsid w:val="006C3396"/>
    <w:rsid w:val="006D71E1"/>
    <w:rsid w:val="006E208E"/>
    <w:rsid w:val="006E239C"/>
    <w:rsid w:val="006F006C"/>
    <w:rsid w:val="006F283F"/>
    <w:rsid w:val="00700525"/>
    <w:rsid w:val="0071042E"/>
    <w:rsid w:val="007121D1"/>
    <w:rsid w:val="007129C5"/>
    <w:rsid w:val="0071340E"/>
    <w:rsid w:val="00716F13"/>
    <w:rsid w:val="007235F4"/>
    <w:rsid w:val="00736D33"/>
    <w:rsid w:val="00752747"/>
    <w:rsid w:val="00755854"/>
    <w:rsid w:val="00755E6D"/>
    <w:rsid w:val="00763471"/>
    <w:rsid w:val="007725DF"/>
    <w:rsid w:val="007B277F"/>
    <w:rsid w:val="007C037F"/>
    <w:rsid w:val="007E3D66"/>
    <w:rsid w:val="00800F01"/>
    <w:rsid w:val="00807C56"/>
    <w:rsid w:val="00812C88"/>
    <w:rsid w:val="00815CF6"/>
    <w:rsid w:val="00824E2B"/>
    <w:rsid w:val="0082529D"/>
    <w:rsid w:val="0083065D"/>
    <w:rsid w:val="00836CED"/>
    <w:rsid w:val="008519C4"/>
    <w:rsid w:val="00864D41"/>
    <w:rsid w:val="00865159"/>
    <w:rsid w:val="00873170"/>
    <w:rsid w:val="0088245A"/>
    <w:rsid w:val="008927D9"/>
    <w:rsid w:val="008A5D9B"/>
    <w:rsid w:val="008B5B99"/>
    <w:rsid w:val="008B7841"/>
    <w:rsid w:val="008D254B"/>
    <w:rsid w:val="008D3B72"/>
    <w:rsid w:val="00902E65"/>
    <w:rsid w:val="00905F17"/>
    <w:rsid w:val="00921111"/>
    <w:rsid w:val="00923D81"/>
    <w:rsid w:val="00924322"/>
    <w:rsid w:val="0092450B"/>
    <w:rsid w:val="00935DDE"/>
    <w:rsid w:val="00936232"/>
    <w:rsid w:val="009660D6"/>
    <w:rsid w:val="00970B89"/>
    <w:rsid w:val="00977E2E"/>
    <w:rsid w:val="009A1437"/>
    <w:rsid w:val="009B0C8F"/>
    <w:rsid w:val="009B3E0D"/>
    <w:rsid w:val="009C4452"/>
    <w:rsid w:val="009E1434"/>
    <w:rsid w:val="00A0360B"/>
    <w:rsid w:val="00A06DA0"/>
    <w:rsid w:val="00A0702B"/>
    <w:rsid w:val="00A148D3"/>
    <w:rsid w:val="00A16747"/>
    <w:rsid w:val="00A169C7"/>
    <w:rsid w:val="00A2649D"/>
    <w:rsid w:val="00A41ED3"/>
    <w:rsid w:val="00A444F4"/>
    <w:rsid w:val="00A45885"/>
    <w:rsid w:val="00A67A03"/>
    <w:rsid w:val="00A704CD"/>
    <w:rsid w:val="00A71AE9"/>
    <w:rsid w:val="00A75DF1"/>
    <w:rsid w:val="00A848DF"/>
    <w:rsid w:val="00A91373"/>
    <w:rsid w:val="00A9795C"/>
    <w:rsid w:val="00AA649B"/>
    <w:rsid w:val="00AB41DB"/>
    <w:rsid w:val="00AD13C6"/>
    <w:rsid w:val="00AE7624"/>
    <w:rsid w:val="00AF2D52"/>
    <w:rsid w:val="00B002A6"/>
    <w:rsid w:val="00B045DD"/>
    <w:rsid w:val="00B20495"/>
    <w:rsid w:val="00B231FB"/>
    <w:rsid w:val="00B23995"/>
    <w:rsid w:val="00B257C5"/>
    <w:rsid w:val="00B30FE6"/>
    <w:rsid w:val="00B424EB"/>
    <w:rsid w:val="00B61309"/>
    <w:rsid w:val="00B837E6"/>
    <w:rsid w:val="00B95BE8"/>
    <w:rsid w:val="00BC365B"/>
    <w:rsid w:val="00BC46B3"/>
    <w:rsid w:val="00BD2DAD"/>
    <w:rsid w:val="00BD4166"/>
    <w:rsid w:val="00BE6389"/>
    <w:rsid w:val="00C1238F"/>
    <w:rsid w:val="00C20A5F"/>
    <w:rsid w:val="00C2272B"/>
    <w:rsid w:val="00C2564D"/>
    <w:rsid w:val="00C314B6"/>
    <w:rsid w:val="00C53D90"/>
    <w:rsid w:val="00C55C21"/>
    <w:rsid w:val="00C5698D"/>
    <w:rsid w:val="00C61BB2"/>
    <w:rsid w:val="00C80EC4"/>
    <w:rsid w:val="00C94775"/>
    <w:rsid w:val="00CA4E65"/>
    <w:rsid w:val="00CB167E"/>
    <w:rsid w:val="00CB2311"/>
    <w:rsid w:val="00CC5ADF"/>
    <w:rsid w:val="00CD4B11"/>
    <w:rsid w:val="00CE4FA8"/>
    <w:rsid w:val="00CE7A83"/>
    <w:rsid w:val="00CF0031"/>
    <w:rsid w:val="00CF49D2"/>
    <w:rsid w:val="00D079E9"/>
    <w:rsid w:val="00D15220"/>
    <w:rsid w:val="00D2062C"/>
    <w:rsid w:val="00D2379D"/>
    <w:rsid w:val="00D34B99"/>
    <w:rsid w:val="00D414BB"/>
    <w:rsid w:val="00D54A17"/>
    <w:rsid w:val="00D674EF"/>
    <w:rsid w:val="00D7487C"/>
    <w:rsid w:val="00D8250E"/>
    <w:rsid w:val="00D844B0"/>
    <w:rsid w:val="00D849F8"/>
    <w:rsid w:val="00D91ADE"/>
    <w:rsid w:val="00D93184"/>
    <w:rsid w:val="00D9341C"/>
    <w:rsid w:val="00DB0F47"/>
    <w:rsid w:val="00DB4CF0"/>
    <w:rsid w:val="00DB5319"/>
    <w:rsid w:val="00DC1F95"/>
    <w:rsid w:val="00DD2EC5"/>
    <w:rsid w:val="00DE571F"/>
    <w:rsid w:val="00DF1EA5"/>
    <w:rsid w:val="00E1543D"/>
    <w:rsid w:val="00E228ED"/>
    <w:rsid w:val="00E2465C"/>
    <w:rsid w:val="00E27D99"/>
    <w:rsid w:val="00E363ED"/>
    <w:rsid w:val="00E36910"/>
    <w:rsid w:val="00E5347B"/>
    <w:rsid w:val="00E5369F"/>
    <w:rsid w:val="00E60812"/>
    <w:rsid w:val="00E61D1A"/>
    <w:rsid w:val="00E621C6"/>
    <w:rsid w:val="00E65771"/>
    <w:rsid w:val="00E71AEB"/>
    <w:rsid w:val="00E72830"/>
    <w:rsid w:val="00E97458"/>
    <w:rsid w:val="00EA19BF"/>
    <w:rsid w:val="00EA3673"/>
    <w:rsid w:val="00EA3A84"/>
    <w:rsid w:val="00EA4264"/>
    <w:rsid w:val="00EA7928"/>
    <w:rsid w:val="00EB0629"/>
    <w:rsid w:val="00EB299D"/>
    <w:rsid w:val="00EB31B8"/>
    <w:rsid w:val="00EB58D9"/>
    <w:rsid w:val="00EE76C8"/>
    <w:rsid w:val="00EF5A92"/>
    <w:rsid w:val="00F0444D"/>
    <w:rsid w:val="00F047B8"/>
    <w:rsid w:val="00F11DC5"/>
    <w:rsid w:val="00F14846"/>
    <w:rsid w:val="00F16C79"/>
    <w:rsid w:val="00F174F1"/>
    <w:rsid w:val="00F2422A"/>
    <w:rsid w:val="00F31F9E"/>
    <w:rsid w:val="00F50152"/>
    <w:rsid w:val="00F62D06"/>
    <w:rsid w:val="00F66475"/>
    <w:rsid w:val="00F71479"/>
    <w:rsid w:val="00F93FB0"/>
    <w:rsid w:val="00F943FC"/>
    <w:rsid w:val="00F95076"/>
    <w:rsid w:val="00F9643B"/>
    <w:rsid w:val="00FA281F"/>
    <w:rsid w:val="00FA2D9F"/>
    <w:rsid w:val="00FB0CAD"/>
    <w:rsid w:val="00FB6EF9"/>
    <w:rsid w:val="00FC4601"/>
    <w:rsid w:val="00FD34D4"/>
    <w:rsid w:val="00FE3279"/>
    <w:rsid w:val="00FE5E1B"/>
    <w:rsid w:val="00FF50AE"/>
    <w:rsid w:val="00FF7D89"/>
    <w:rsid w:val="017B3582"/>
    <w:rsid w:val="04221E69"/>
    <w:rsid w:val="06695ED0"/>
    <w:rsid w:val="08140FB8"/>
    <w:rsid w:val="0A773690"/>
    <w:rsid w:val="0E2701FC"/>
    <w:rsid w:val="0FC275B8"/>
    <w:rsid w:val="13DE715E"/>
    <w:rsid w:val="14286008"/>
    <w:rsid w:val="16954B7A"/>
    <w:rsid w:val="18E029FB"/>
    <w:rsid w:val="1B9B380F"/>
    <w:rsid w:val="1E5349C1"/>
    <w:rsid w:val="1EF74932"/>
    <w:rsid w:val="1F1F2BA5"/>
    <w:rsid w:val="1F76088B"/>
    <w:rsid w:val="229000D3"/>
    <w:rsid w:val="2479649A"/>
    <w:rsid w:val="250347B1"/>
    <w:rsid w:val="255451AA"/>
    <w:rsid w:val="26171FDB"/>
    <w:rsid w:val="26A0690F"/>
    <w:rsid w:val="27FA421D"/>
    <w:rsid w:val="2AA72BCC"/>
    <w:rsid w:val="2F922BE5"/>
    <w:rsid w:val="32B507E2"/>
    <w:rsid w:val="32CF76CB"/>
    <w:rsid w:val="33982E87"/>
    <w:rsid w:val="339E63E9"/>
    <w:rsid w:val="35AD6381"/>
    <w:rsid w:val="37233561"/>
    <w:rsid w:val="379F4D41"/>
    <w:rsid w:val="39204F8E"/>
    <w:rsid w:val="39445B20"/>
    <w:rsid w:val="3E6E2CA0"/>
    <w:rsid w:val="3EF328D3"/>
    <w:rsid w:val="425D6F4E"/>
    <w:rsid w:val="4333073A"/>
    <w:rsid w:val="43E04161"/>
    <w:rsid w:val="443C5B88"/>
    <w:rsid w:val="44A45AFD"/>
    <w:rsid w:val="44D807FA"/>
    <w:rsid w:val="454A13C2"/>
    <w:rsid w:val="46543C45"/>
    <w:rsid w:val="46AE2CD7"/>
    <w:rsid w:val="473341E9"/>
    <w:rsid w:val="4DBE486C"/>
    <w:rsid w:val="4E8503B9"/>
    <w:rsid w:val="4EB4750F"/>
    <w:rsid w:val="55882248"/>
    <w:rsid w:val="56DB5AB5"/>
    <w:rsid w:val="58B849B9"/>
    <w:rsid w:val="59773AF7"/>
    <w:rsid w:val="5B9D4FCD"/>
    <w:rsid w:val="5BE74543"/>
    <w:rsid w:val="5DBB1CEC"/>
    <w:rsid w:val="5E377C42"/>
    <w:rsid w:val="5F3261C4"/>
    <w:rsid w:val="60625816"/>
    <w:rsid w:val="61CE770F"/>
    <w:rsid w:val="622B3FF7"/>
    <w:rsid w:val="629848C7"/>
    <w:rsid w:val="63E04566"/>
    <w:rsid w:val="64004745"/>
    <w:rsid w:val="65C37599"/>
    <w:rsid w:val="65FB5308"/>
    <w:rsid w:val="693C01E2"/>
    <w:rsid w:val="6D0E5291"/>
    <w:rsid w:val="72745CBC"/>
    <w:rsid w:val="73C90763"/>
    <w:rsid w:val="74E12E70"/>
    <w:rsid w:val="77AD1B62"/>
    <w:rsid w:val="77F95CFC"/>
    <w:rsid w:val="78507E04"/>
    <w:rsid w:val="7D490A56"/>
    <w:rsid w:val="7F641F46"/>
    <w:rsid w:val="7F874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qFormat="1" w:unhideWhenUsed="0" w:uiPriority="0" w:semiHidden="0" w:name="HTML Address"/>
    <w:lsdException w:uiPriority="99" w:name="HTML Cite"/>
    <w:lsdException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9"/>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41"/>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2"/>
    <w:unhideWhenUsed/>
    <w:qFormat/>
    <w:uiPriority w:val="99"/>
    <w:pPr>
      <w:keepNext/>
      <w:keepLines/>
      <w:spacing w:before="260" w:after="260" w:line="416" w:lineRule="auto"/>
      <w:outlineLvl w:val="2"/>
    </w:pPr>
    <w:rPr>
      <w:b/>
      <w:bCs/>
      <w:sz w:val="32"/>
      <w:szCs w:val="32"/>
    </w:rPr>
  </w:style>
  <w:style w:type="paragraph" w:styleId="6">
    <w:name w:val="heading 4"/>
    <w:basedOn w:val="1"/>
    <w:next w:val="1"/>
    <w:link w:val="7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3"/>
    <w:unhideWhenUsed/>
    <w:qFormat/>
    <w:uiPriority w:val="99"/>
    <w:pPr>
      <w:keepNext/>
      <w:keepLines/>
      <w:spacing w:before="280" w:after="290" w:line="376" w:lineRule="auto"/>
      <w:outlineLvl w:val="4"/>
    </w:pPr>
    <w:rPr>
      <w:b/>
      <w:bCs/>
      <w:sz w:val="28"/>
      <w:szCs w:val="28"/>
    </w:rPr>
  </w:style>
  <w:style w:type="paragraph" w:styleId="8">
    <w:name w:val="heading 6"/>
    <w:basedOn w:val="1"/>
    <w:next w:val="1"/>
    <w:link w:val="72"/>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44"/>
    <w:unhideWhenUsed/>
    <w:qFormat/>
    <w:uiPriority w:val="99"/>
    <w:pPr>
      <w:widowControl/>
      <w:jc w:val="left"/>
    </w:pPr>
    <w:rPr>
      <w:rFonts w:ascii="黑体" w:hAnsi="Courier New" w:eastAsia="黑体" w:cs="宋体"/>
      <w:kern w:val="0"/>
      <w:sz w:val="20"/>
      <w:szCs w:val="20"/>
    </w:rPr>
  </w:style>
  <w:style w:type="paragraph" w:styleId="9">
    <w:name w:val="annotation text"/>
    <w:basedOn w:val="1"/>
    <w:semiHidden/>
    <w:unhideWhenUsed/>
    <w:qFormat/>
    <w:uiPriority w:val="99"/>
    <w:pPr>
      <w:jc w:val="left"/>
    </w:pPr>
  </w:style>
  <w:style w:type="paragraph" w:styleId="10">
    <w:name w:val="Body Text 3"/>
    <w:basedOn w:val="1"/>
    <w:qFormat/>
    <w:uiPriority w:val="0"/>
    <w:rPr>
      <w:rFonts w:ascii="宋体"/>
      <w:sz w:val="24"/>
      <w:szCs w:val="20"/>
    </w:rPr>
  </w:style>
  <w:style w:type="paragraph" w:styleId="11">
    <w:name w:val="Body Text"/>
    <w:basedOn w:val="1"/>
    <w:next w:val="1"/>
    <w:link w:val="68"/>
    <w:qFormat/>
    <w:uiPriority w:val="0"/>
    <w:rPr>
      <w:sz w:val="24"/>
    </w:rPr>
  </w:style>
  <w:style w:type="paragraph" w:styleId="12">
    <w:name w:val="Body Text Indent"/>
    <w:basedOn w:val="1"/>
    <w:qFormat/>
    <w:uiPriority w:val="0"/>
    <w:pPr>
      <w:adjustRightInd w:val="0"/>
      <w:spacing w:line="360" w:lineRule="auto"/>
      <w:ind w:left="600"/>
      <w:textAlignment w:val="baseline"/>
    </w:pPr>
    <w:rPr>
      <w:rFonts w:ascii="宋体"/>
      <w:kern w:val="0"/>
      <w:sz w:val="24"/>
    </w:rPr>
  </w:style>
  <w:style w:type="paragraph" w:styleId="13">
    <w:name w:val="Block Text"/>
    <w:basedOn w:val="1"/>
    <w:qFormat/>
    <w:uiPriority w:val="0"/>
    <w:pPr>
      <w:ind w:left="420" w:leftChars="200" w:right="-70" w:rightChars="-70" w:firstLine="560" w:firstLineChars="200"/>
    </w:pPr>
    <w:rPr>
      <w:rFonts w:ascii="楷体_GB2312" w:eastAsia="楷体_GB2312"/>
      <w:sz w:val="28"/>
      <w:szCs w:val="20"/>
    </w:rPr>
  </w:style>
  <w:style w:type="paragraph" w:styleId="14">
    <w:name w:val="HTML Address"/>
    <w:basedOn w:val="1"/>
    <w:link w:val="70"/>
    <w:qFormat/>
    <w:uiPriority w:val="0"/>
    <w:pPr>
      <w:widowControl/>
      <w:jc w:val="left"/>
    </w:pPr>
    <w:rPr>
      <w:rFonts w:ascii="宋体" w:hAnsi="宋体" w:cs="宋体"/>
      <w:i/>
      <w:iCs/>
      <w:kern w:val="0"/>
      <w:sz w:val="24"/>
      <w:szCs w:val="24"/>
    </w:rPr>
  </w:style>
  <w:style w:type="paragraph" w:styleId="15">
    <w:name w:val="Body Text Indent 2"/>
    <w:basedOn w:val="1"/>
    <w:link w:val="46"/>
    <w:unhideWhenUsed/>
    <w:qFormat/>
    <w:uiPriority w:val="99"/>
    <w:pPr>
      <w:spacing w:before="100" w:beforeAutospacing="1" w:after="120" w:line="480" w:lineRule="auto"/>
      <w:ind w:left="420" w:leftChars="200"/>
    </w:pPr>
  </w:style>
  <w:style w:type="paragraph" w:styleId="16">
    <w:name w:val="Balloon Text"/>
    <w:basedOn w:val="1"/>
    <w:link w:val="38"/>
    <w:semiHidden/>
    <w:unhideWhenUsed/>
    <w:qFormat/>
    <w:uiPriority w:val="99"/>
    <w:rPr>
      <w:sz w:val="18"/>
      <w:szCs w:val="18"/>
    </w:rPr>
  </w:style>
  <w:style w:type="paragraph" w:styleId="17">
    <w:name w:val="footer"/>
    <w:basedOn w:val="1"/>
    <w:unhideWhenUsed/>
    <w:qFormat/>
    <w:uiPriority w:val="99"/>
    <w:pPr>
      <w:tabs>
        <w:tab w:val="center" w:pos="4153"/>
        <w:tab w:val="right" w:pos="8306"/>
      </w:tabs>
      <w:snapToGrid w:val="0"/>
      <w:jc w:val="left"/>
    </w:pPr>
    <w:rPr>
      <w:sz w:val="18"/>
    </w:rPr>
  </w:style>
  <w:style w:type="paragraph" w:styleId="1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unhideWhenUsed/>
    <w:qFormat/>
    <w:uiPriority w:val="39"/>
  </w:style>
  <w:style w:type="paragraph" w:styleId="20">
    <w:name w:val="Body Text Indent 3"/>
    <w:basedOn w:val="1"/>
    <w:link w:val="76"/>
    <w:semiHidden/>
    <w:unhideWhenUsed/>
    <w:uiPriority w:val="99"/>
    <w:pPr>
      <w:spacing w:after="120"/>
      <w:ind w:left="420" w:leftChars="200"/>
    </w:pPr>
    <w:rPr>
      <w:sz w:val="16"/>
      <w:szCs w:val="16"/>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73"/>
    <w:qFormat/>
    <w:uiPriority w:val="10"/>
    <w:pPr>
      <w:spacing w:before="240" w:after="60"/>
      <w:jc w:val="center"/>
      <w:outlineLvl w:val="0"/>
    </w:pPr>
    <w:rPr>
      <w:rFonts w:ascii="Calibri Light" w:hAnsi="Calibri Light" w:eastAsiaTheme="minorEastAsia" w:cstheme="minorBidi"/>
      <w:b/>
      <w:bCs/>
      <w:sz w:val="32"/>
      <w:szCs w:val="32"/>
    </w:rPr>
  </w:style>
  <w:style w:type="paragraph" w:styleId="23">
    <w:name w:val="Body Text First Indent"/>
    <w:basedOn w:val="11"/>
    <w:link w:val="69"/>
    <w:semiHidden/>
    <w:unhideWhenUsed/>
    <w:qFormat/>
    <w:uiPriority w:val="99"/>
    <w:pPr>
      <w:spacing w:after="120"/>
      <w:ind w:firstLine="420" w:firstLineChars="100"/>
    </w:pPr>
    <w:rPr>
      <w:sz w:val="21"/>
      <w:szCs w:val="24"/>
    </w:rPr>
  </w:style>
  <w:style w:type="paragraph" w:styleId="24">
    <w:name w:val="Body Text First Indent 2"/>
    <w:basedOn w:val="12"/>
    <w:qFormat/>
    <w:uiPriority w:val="0"/>
    <w:pPr>
      <w:ind w:firstLine="420" w:firstLineChars="200"/>
    </w:pPr>
    <w:rPr>
      <w:szCs w:val="24"/>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shd w:val="clear" w:color="auto" w:fill="F5F5F5"/>
    </w:rPr>
  </w:style>
  <w:style w:type="character" w:styleId="29">
    <w:name w:val="FollowedHyperlink"/>
    <w:basedOn w:val="27"/>
    <w:unhideWhenUsed/>
    <w:qFormat/>
    <w:uiPriority w:val="99"/>
    <w:rPr>
      <w:color w:val="800080"/>
      <w:u w:val="single"/>
    </w:rPr>
  </w:style>
  <w:style w:type="character" w:styleId="30">
    <w:name w:val="Emphasis"/>
    <w:basedOn w:val="27"/>
    <w:qFormat/>
    <w:uiPriority w:val="20"/>
  </w:style>
  <w:style w:type="character" w:styleId="31">
    <w:name w:val="HTML Definition"/>
    <w:basedOn w:val="27"/>
    <w:semiHidden/>
    <w:unhideWhenUsed/>
    <w:qFormat/>
    <w:uiPriority w:val="99"/>
    <w:rPr>
      <w:i/>
      <w:iCs/>
    </w:rPr>
  </w:style>
  <w:style w:type="character" w:styleId="32">
    <w:name w:val="Hyperlink"/>
    <w:basedOn w:val="27"/>
    <w:unhideWhenUsed/>
    <w:qFormat/>
    <w:uiPriority w:val="99"/>
    <w:rPr>
      <w:color w:val="0000FF"/>
      <w:u w:val="single"/>
    </w:rPr>
  </w:style>
  <w:style w:type="character" w:styleId="33">
    <w:name w:val="HTML Code"/>
    <w:basedOn w:val="27"/>
    <w:semiHidden/>
    <w:unhideWhenUsed/>
    <w:uiPriority w:val="99"/>
    <w:rPr>
      <w:rFonts w:hint="default" w:ascii="Consolas" w:hAnsi="Consolas" w:eastAsia="Consolas" w:cs="Consolas"/>
      <w:color w:val="C7254E"/>
      <w:sz w:val="21"/>
      <w:szCs w:val="21"/>
      <w:shd w:val="clear" w:color="auto" w:fill="F9F2F4"/>
    </w:rPr>
  </w:style>
  <w:style w:type="character" w:styleId="34">
    <w:name w:val="annotation reference"/>
    <w:basedOn w:val="27"/>
    <w:semiHidden/>
    <w:unhideWhenUsed/>
    <w:qFormat/>
    <w:uiPriority w:val="99"/>
    <w:rPr>
      <w:sz w:val="21"/>
      <w:szCs w:val="21"/>
    </w:rPr>
  </w:style>
  <w:style w:type="character" w:styleId="35">
    <w:name w:val="HTML Keyboard"/>
    <w:basedOn w:val="27"/>
    <w:semiHidden/>
    <w:unhideWhenUsed/>
    <w:qFormat/>
    <w:uiPriority w:val="99"/>
    <w:rPr>
      <w:rFonts w:hint="default" w:ascii="Consolas" w:hAnsi="Consolas" w:eastAsia="Consolas" w:cs="Consolas"/>
      <w:color w:val="FFFFFF"/>
      <w:sz w:val="21"/>
      <w:szCs w:val="21"/>
      <w:shd w:val="clear" w:color="auto" w:fill="333333"/>
    </w:rPr>
  </w:style>
  <w:style w:type="character" w:styleId="36">
    <w:name w:val="HTML Sample"/>
    <w:basedOn w:val="27"/>
    <w:semiHidden/>
    <w:unhideWhenUsed/>
    <w:qFormat/>
    <w:uiPriority w:val="99"/>
    <w:rPr>
      <w:rFonts w:ascii="Consolas" w:hAnsi="Consolas" w:eastAsia="Consolas" w:cs="Consolas"/>
      <w:sz w:val="21"/>
      <w:szCs w:val="21"/>
    </w:rPr>
  </w:style>
  <w:style w:type="paragraph" w:customStyle="1" w:styleId="37">
    <w:name w:val="正文缩进1"/>
    <w:basedOn w:val="1"/>
    <w:qFormat/>
    <w:uiPriority w:val="0"/>
    <w:pPr>
      <w:ind w:firstLine="420" w:firstLineChars="200"/>
    </w:pPr>
  </w:style>
  <w:style w:type="character" w:customStyle="1" w:styleId="38">
    <w:name w:val="批注框文本 Char"/>
    <w:basedOn w:val="27"/>
    <w:link w:val="16"/>
    <w:semiHidden/>
    <w:qFormat/>
    <w:uiPriority w:val="99"/>
    <w:rPr>
      <w:rFonts w:ascii="Times New Roman" w:hAnsi="Times New Roman" w:eastAsia="宋体" w:cs="Times New Roman"/>
      <w:sz w:val="18"/>
      <w:szCs w:val="18"/>
    </w:rPr>
  </w:style>
  <w:style w:type="character" w:customStyle="1" w:styleId="39">
    <w:name w:val="标题 1 Char"/>
    <w:basedOn w:val="27"/>
    <w:link w:val="3"/>
    <w:qFormat/>
    <w:uiPriority w:val="99"/>
    <w:rPr>
      <w:rFonts w:ascii="Times New Roman" w:hAnsi="Times New Roman" w:eastAsia="宋体" w:cs="Times New Roman"/>
      <w:b/>
      <w:bCs/>
      <w:kern w:val="44"/>
      <w:sz w:val="44"/>
      <w:szCs w:val="44"/>
    </w:rPr>
  </w:style>
  <w:style w:type="paragraph" w:customStyle="1" w:styleId="40">
    <w:name w:val="样式 10 磅"/>
    <w:basedOn w:val="1"/>
    <w:qFormat/>
    <w:uiPriority w:val="0"/>
  </w:style>
  <w:style w:type="character" w:customStyle="1" w:styleId="41">
    <w:name w:val="标题 2 Char"/>
    <w:basedOn w:val="27"/>
    <w:link w:val="4"/>
    <w:qFormat/>
    <w:uiPriority w:val="99"/>
    <w:rPr>
      <w:rFonts w:asciiTheme="majorHAnsi" w:hAnsiTheme="majorHAnsi" w:eastAsiaTheme="majorEastAsia" w:cstheme="majorBidi"/>
      <w:b/>
      <w:bCs/>
      <w:sz w:val="32"/>
      <w:szCs w:val="32"/>
    </w:rPr>
  </w:style>
  <w:style w:type="character" w:customStyle="1" w:styleId="42">
    <w:name w:val="标题 3 Char"/>
    <w:basedOn w:val="27"/>
    <w:link w:val="5"/>
    <w:qFormat/>
    <w:uiPriority w:val="99"/>
    <w:rPr>
      <w:rFonts w:ascii="Times New Roman" w:hAnsi="Times New Roman" w:eastAsia="宋体" w:cs="Times New Roman"/>
      <w:b/>
      <w:bCs/>
      <w:sz w:val="32"/>
      <w:szCs w:val="32"/>
    </w:rPr>
  </w:style>
  <w:style w:type="character" w:customStyle="1" w:styleId="43">
    <w:name w:val="标题 5 Char"/>
    <w:basedOn w:val="27"/>
    <w:link w:val="7"/>
    <w:qFormat/>
    <w:uiPriority w:val="99"/>
    <w:rPr>
      <w:rFonts w:ascii="Times New Roman" w:hAnsi="Times New Roman" w:eastAsia="宋体" w:cs="Times New Roman"/>
      <w:b/>
      <w:bCs/>
      <w:sz w:val="28"/>
      <w:szCs w:val="28"/>
    </w:rPr>
  </w:style>
  <w:style w:type="character" w:customStyle="1" w:styleId="44">
    <w:name w:val="HTML 预设格式 Char"/>
    <w:basedOn w:val="27"/>
    <w:link w:val="2"/>
    <w:qFormat/>
    <w:uiPriority w:val="99"/>
    <w:rPr>
      <w:rFonts w:ascii="黑体" w:hAnsi="Courier New" w:eastAsia="黑体" w:cs="宋体"/>
      <w:kern w:val="0"/>
      <w:sz w:val="20"/>
      <w:szCs w:val="20"/>
    </w:rPr>
  </w:style>
  <w:style w:type="paragraph" w:customStyle="1" w:styleId="45">
    <w:name w:val="正文1"/>
    <w:basedOn w:val="1"/>
    <w:qFormat/>
    <w:uiPriority w:val="0"/>
    <w:pPr>
      <w:adjustRightInd w:val="0"/>
      <w:spacing w:line="240" w:lineRule="atLeast"/>
      <w:textAlignment w:val="baseline"/>
    </w:pPr>
    <w:rPr>
      <w:rFonts w:ascii="宋体" w:hAnsi="宋体" w:cs="宋体"/>
      <w:kern w:val="0"/>
      <w:sz w:val="34"/>
      <w:szCs w:val="34"/>
    </w:rPr>
  </w:style>
  <w:style w:type="character" w:customStyle="1" w:styleId="46">
    <w:name w:val="正文文本缩进 2 Char"/>
    <w:basedOn w:val="27"/>
    <w:link w:val="15"/>
    <w:qFormat/>
    <w:uiPriority w:val="99"/>
    <w:rPr>
      <w:rFonts w:ascii="Times New Roman" w:hAnsi="Times New Roman" w:eastAsia="宋体" w:cs="Times New Roman"/>
      <w:szCs w:val="21"/>
    </w:rPr>
  </w:style>
  <w:style w:type="paragraph" w:customStyle="1" w:styleId="47">
    <w:name w:val="Normal_30_0"/>
    <w:basedOn w:val="1"/>
    <w:qFormat/>
    <w:uiPriority w:val="0"/>
    <w:pPr>
      <w:widowControl/>
      <w:spacing w:before="120" w:after="240"/>
    </w:pPr>
    <w:rPr>
      <w:rFonts w:ascii="Calibri" w:hAnsi="Calibri" w:cs="宋体"/>
      <w:kern w:val="0"/>
      <w:sz w:val="22"/>
      <w:szCs w:val="22"/>
    </w:rPr>
  </w:style>
  <w:style w:type="paragraph" w:customStyle="1" w:styleId="48">
    <w:name w:val="Normal_28_0"/>
    <w:basedOn w:val="1"/>
    <w:qFormat/>
    <w:uiPriority w:val="0"/>
    <w:pPr>
      <w:widowControl/>
      <w:spacing w:before="120" w:after="240"/>
    </w:pPr>
    <w:rPr>
      <w:rFonts w:ascii="Calibri" w:hAnsi="Calibri" w:cs="宋体"/>
      <w:kern w:val="0"/>
      <w:sz w:val="22"/>
      <w:szCs w:val="22"/>
    </w:rPr>
  </w:style>
  <w:style w:type="paragraph" w:customStyle="1" w:styleId="49">
    <w:name w:val="Normal_39_0"/>
    <w:basedOn w:val="1"/>
    <w:qFormat/>
    <w:uiPriority w:val="0"/>
    <w:pPr>
      <w:widowControl/>
      <w:spacing w:before="120" w:after="240"/>
    </w:pPr>
    <w:rPr>
      <w:rFonts w:ascii="Calibri" w:hAnsi="Calibri" w:cs="宋体"/>
      <w:kern w:val="0"/>
      <w:sz w:val="22"/>
      <w:szCs w:val="22"/>
    </w:rPr>
  </w:style>
  <w:style w:type="paragraph" w:customStyle="1" w:styleId="50">
    <w:name w:val="Normal_31_0"/>
    <w:basedOn w:val="1"/>
    <w:qFormat/>
    <w:uiPriority w:val="0"/>
    <w:pPr>
      <w:widowControl/>
      <w:spacing w:before="120" w:after="240"/>
    </w:pPr>
    <w:rPr>
      <w:rFonts w:ascii="Calibri" w:hAnsi="Calibri" w:cs="宋体"/>
      <w:kern w:val="0"/>
      <w:sz w:val="22"/>
      <w:szCs w:val="22"/>
    </w:rPr>
  </w:style>
  <w:style w:type="paragraph" w:customStyle="1" w:styleId="51">
    <w:name w:val="Normal_34_0"/>
    <w:basedOn w:val="1"/>
    <w:qFormat/>
    <w:uiPriority w:val="0"/>
    <w:pPr>
      <w:widowControl/>
      <w:spacing w:before="120" w:after="240"/>
    </w:pPr>
    <w:rPr>
      <w:rFonts w:ascii="Calibri" w:hAnsi="Calibri" w:cs="宋体"/>
      <w:kern w:val="0"/>
      <w:sz w:val="22"/>
      <w:szCs w:val="22"/>
    </w:rPr>
  </w:style>
  <w:style w:type="paragraph" w:customStyle="1" w:styleId="52">
    <w:name w:val="标题前缀"/>
    <w:basedOn w:val="1"/>
    <w:qFormat/>
    <w:uiPriority w:val="0"/>
    <w:pPr>
      <w:widowControl/>
      <w:spacing w:line="360" w:lineRule="auto"/>
      <w:jc w:val="center"/>
    </w:pPr>
    <w:rPr>
      <w:rFonts w:ascii="宋体" w:hAnsi="宋体" w:cs="宋体"/>
      <w:sz w:val="30"/>
      <w:szCs w:val="30"/>
    </w:rPr>
  </w:style>
  <w:style w:type="paragraph" w:customStyle="1" w:styleId="53">
    <w:name w:val="Default"/>
    <w:basedOn w:val="1"/>
    <w:qFormat/>
    <w:uiPriority w:val="99"/>
    <w:pPr>
      <w:autoSpaceDE w:val="0"/>
      <w:autoSpaceDN w:val="0"/>
      <w:adjustRightInd w:val="0"/>
      <w:jc w:val="left"/>
    </w:pPr>
    <w:rPr>
      <w:rFonts w:ascii="宋体" w:hAnsi="Calibri" w:cs="宋体"/>
      <w:color w:val="000000"/>
      <w:kern w:val="0"/>
      <w:sz w:val="24"/>
      <w:szCs w:val="24"/>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title11"/>
    <w:basedOn w:val="1"/>
    <w:qFormat/>
    <w:uiPriority w:val="0"/>
    <w:pPr>
      <w:spacing w:before="150"/>
      <w:jc w:val="left"/>
    </w:pPr>
    <w:rPr>
      <w:b/>
      <w:kern w:val="0"/>
      <w:sz w:val="22"/>
      <w:szCs w:val="22"/>
    </w:rPr>
  </w:style>
  <w:style w:type="paragraph" w:customStyle="1" w:styleId="56">
    <w:name w:val="Normal_13"/>
    <w:qFormat/>
    <w:uiPriority w:val="99"/>
    <w:pPr>
      <w:spacing w:before="120" w:after="240"/>
      <w:jc w:val="both"/>
    </w:pPr>
    <w:rPr>
      <w:rFonts w:ascii="Calibri" w:hAnsi="Calibri" w:eastAsia="宋体" w:cs="Times New Roman"/>
      <w:sz w:val="22"/>
      <w:szCs w:val="22"/>
      <w:lang w:val="en-US" w:eastAsia="en-US" w:bidi="ar-SA"/>
    </w:rPr>
  </w:style>
  <w:style w:type="paragraph" w:customStyle="1" w:styleId="57">
    <w:name w:val="项目正文0"/>
    <w:basedOn w:val="1"/>
    <w:qFormat/>
    <w:uiPriority w:val="0"/>
    <w:pPr>
      <w:adjustRightInd w:val="0"/>
      <w:snapToGrid w:val="0"/>
      <w:spacing w:line="440" w:lineRule="exact"/>
      <w:ind w:firstLine="480" w:firstLineChars="200"/>
    </w:pPr>
    <w:rPr>
      <w:rFonts w:ascii="宋体" w:hAnsi="宋体"/>
      <w:color w:val="000000"/>
      <w:sz w:val="24"/>
      <w:szCs w:val="24"/>
    </w:rPr>
  </w:style>
  <w:style w:type="paragraph" w:customStyle="1" w:styleId="58">
    <w:name w:val="Normal_36_0"/>
    <w:qFormat/>
    <w:uiPriority w:val="99"/>
    <w:pPr>
      <w:spacing w:before="120" w:after="240"/>
      <w:jc w:val="both"/>
    </w:pPr>
    <w:rPr>
      <w:rFonts w:ascii="Calibri" w:hAnsi="Calibri" w:eastAsia="宋体" w:cs="Times New Roman"/>
      <w:sz w:val="22"/>
      <w:szCs w:val="22"/>
      <w:lang w:val="en-US" w:eastAsia="en-US" w:bidi="ar-SA"/>
    </w:rPr>
  </w:style>
  <w:style w:type="paragraph" w:customStyle="1" w:styleId="59">
    <w:name w:val="Normal_42_0"/>
    <w:qFormat/>
    <w:uiPriority w:val="99"/>
    <w:pPr>
      <w:spacing w:before="120" w:after="240"/>
      <w:jc w:val="both"/>
    </w:pPr>
    <w:rPr>
      <w:rFonts w:ascii="Calibri" w:hAnsi="Calibri" w:eastAsia="宋体" w:cs="Times New Roman"/>
      <w:sz w:val="22"/>
      <w:szCs w:val="22"/>
      <w:lang w:val="en-US" w:eastAsia="en-US" w:bidi="ar-SA"/>
    </w:rPr>
  </w:style>
  <w:style w:type="character" w:customStyle="1" w:styleId="60">
    <w:name w:val="hour_am"/>
    <w:basedOn w:val="27"/>
    <w:qFormat/>
    <w:uiPriority w:val="0"/>
  </w:style>
  <w:style w:type="character" w:customStyle="1" w:styleId="61">
    <w:name w:val="indent"/>
    <w:basedOn w:val="27"/>
    <w:qFormat/>
    <w:uiPriority w:val="0"/>
  </w:style>
  <w:style w:type="character" w:customStyle="1" w:styleId="62">
    <w:name w:val="button"/>
    <w:basedOn w:val="27"/>
    <w:qFormat/>
    <w:uiPriority w:val="0"/>
  </w:style>
  <w:style w:type="character" w:customStyle="1" w:styleId="63">
    <w:name w:val="hover3"/>
    <w:basedOn w:val="27"/>
    <w:qFormat/>
    <w:uiPriority w:val="0"/>
    <w:rPr>
      <w:shd w:val="clear" w:color="auto" w:fill="EEEEEE"/>
    </w:rPr>
  </w:style>
  <w:style w:type="character" w:customStyle="1" w:styleId="64">
    <w:name w:val="tmpztreemove_arrow"/>
    <w:basedOn w:val="27"/>
    <w:qFormat/>
    <w:uiPriority w:val="0"/>
    <w:rPr>
      <w:shd w:val="clear" w:color="auto" w:fill="FFFFFF"/>
    </w:rPr>
  </w:style>
  <w:style w:type="character" w:customStyle="1" w:styleId="65">
    <w:name w:val="hour_pm"/>
    <w:basedOn w:val="27"/>
    <w:qFormat/>
    <w:uiPriority w:val="0"/>
  </w:style>
  <w:style w:type="character" w:customStyle="1" w:styleId="66">
    <w:name w:val="old"/>
    <w:basedOn w:val="27"/>
    <w:qFormat/>
    <w:uiPriority w:val="0"/>
    <w:rPr>
      <w:color w:val="999999"/>
    </w:rPr>
  </w:style>
  <w:style w:type="character" w:customStyle="1" w:styleId="67">
    <w:name w:val="glyphicon4"/>
    <w:basedOn w:val="27"/>
    <w:qFormat/>
    <w:uiPriority w:val="0"/>
  </w:style>
  <w:style w:type="character" w:customStyle="1" w:styleId="68">
    <w:name w:val="正文文本 Char"/>
    <w:basedOn w:val="27"/>
    <w:link w:val="11"/>
    <w:qFormat/>
    <w:uiPriority w:val="0"/>
    <w:rPr>
      <w:kern w:val="2"/>
      <w:sz w:val="24"/>
      <w:szCs w:val="21"/>
    </w:rPr>
  </w:style>
  <w:style w:type="character" w:customStyle="1" w:styleId="69">
    <w:name w:val="正文首行缩进 Char"/>
    <w:basedOn w:val="68"/>
    <w:link w:val="23"/>
    <w:semiHidden/>
    <w:uiPriority w:val="99"/>
    <w:rPr>
      <w:kern w:val="2"/>
      <w:sz w:val="21"/>
      <w:szCs w:val="24"/>
    </w:rPr>
  </w:style>
  <w:style w:type="character" w:customStyle="1" w:styleId="70">
    <w:name w:val="HTML 地址 Char"/>
    <w:basedOn w:val="27"/>
    <w:link w:val="14"/>
    <w:qFormat/>
    <w:uiPriority w:val="0"/>
    <w:rPr>
      <w:rFonts w:ascii="宋体" w:hAnsi="宋体" w:cs="宋体"/>
      <w:i/>
      <w:iCs/>
      <w:sz w:val="24"/>
      <w:szCs w:val="24"/>
    </w:rPr>
  </w:style>
  <w:style w:type="character" w:customStyle="1" w:styleId="71">
    <w:name w:val="标题 4 Char"/>
    <w:basedOn w:val="27"/>
    <w:link w:val="6"/>
    <w:semiHidden/>
    <w:uiPriority w:val="9"/>
    <w:rPr>
      <w:rFonts w:asciiTheme="majorHAnsi" w:hAnsiTheme="majorHAnsi" w:eastAsiaTheme="majorEastAsia" w:cstheme="majorBidi"/>
      <w:b/>
      <w:bCs/>
      <w:kern w:val="2"/>
      <w:sz w:val="28"/>
      <w:szCs w:val="28"/>
    </w:rPr>
  </w:style>
  <w:style w:type="character" w:customStyle="1" w:styleId="72">
    <w:name w:val="标题 6 Char"/>
    <w:basedOn w:val="27"/>
    <w:link w:val="8"/>
    <w:semiHidden/>
    <w:uiPriority w:val="9"/>
    <w:rPr>
      <w:rFonts w:asciiTheme="majorHAnsi" w:hAnsiTheme="majorHAnsi" w:eastAsiaTheme="majorEastAsia" w:cstheme="majorBidi"/>
      <w:b/>
      <w:bCs/>
      <w:kern w:val="2"/>
      <w:sz w:val="24"/>
      <w:szCs w:val="24"/>
    </w:rPr>
  </w:style>
  <w:style w:type="character" w:customStyle="1" w:styleId="73">
    <w:name w:val="标题 Char"/>
    <w:basedOn w:val="27"/>
    <w:link w:val="22"/>
    <w:uiPriority w:val="10"/>
    <w:rPr>
      <w:rFonts w:ascii="Calibri Light" w:hAnsi="Calibri Light" w:eastAsiaTheme="minorEastAsia" w:cstheme="minorBidi"/>
      <w:b/>
      <w:bCs/>
      <w:kern w:val="2"/>
      <w:sz w:val="32"/>
      <w:szCs w:val="32"/>
    </w:rPr>
  </w:style>
  <w:style w:type="paragraph" w:customStyle="1" w:styleId="74">
    <w:name w:val="中等深浅网格 2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75">
    <w:name w:val="List Paragraph"/>
    <w:basedOn w:val="1"/>
    <w:qFormat/>
    <w:uiPriority w:val="34"/>
    <w:pPr>
      <w:ind w:firstLine="420" w:firstLineChars="200"/>
    </w:pPr>
  </w:style>
  <w:style w:type="character" w:customStyle="1" w:styleId="76">
    <w:name w:val="正文文本缩进 3 Char"/>
    <w:basedOn w:val="27"/>
    <w:link w:val="20"/>
    <w:semiHidden/>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37"/>
    <customShpInfo spid="_x0000_s1036"/>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1A356-B787-4C2E-9546-FCE59923F47B}">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103</Pages>
  <Words>52629</Words>
  <Characters>56393</Characters>
  <Lines>439</Lines>
  <Paragraphs>123</Paragraphs>
  <TotalTime>394</TotalTime>
  <ScaleCrop>false</ScaleCrop>
  <LinksUpToDate>false</LinksUpToDate>
  <CharactersWithSpaces>58718</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2022-07-06T08:53:00Z</dcterms:created>
  <dc:creator>Kapo</dc:creator>
  <cp:lastModifiedBy>朱朱</cp:lastModifiedBy>
  <cp:lastPrinted>2022-12-01T10:58:00Z</cp:lastPrinted>
  <dcterms:modified xsi:type="dcterms:W3CDTF">2022-12-19T14:02:51Z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36DE117CDC3A4A47B2AECCA46E7264DC</vt:lpwstr>
  </property>
</Properties>
</file>