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line="240" w:lineRule="auto"/>
      </w:pPr>
      <w:bookmarkStart w:id="2" w:name="_GoBack"/>
      <w:bookmarkStart w:id="0" w:name="_Toc15166"/>
      <w:r>
        <w:rPr>
          <w:rFonts w:hint="eastAsia"/>
        </w:rPr>
        <w:t>采购内容及技术要求</w:t>
      </w:r>
      <w:bookmarkEnd w:id="0"/>
      <w:bookmarkStart w:id="1" w:name="_Toc317530110"/>
      <w:bookmarkEnd w:id="1"/>
    </w:p>
    <w:bookmarkEnd w:id="2"/>
    <w:p>
      <w:pPr>
        <w:pStyle w:val="5"/>
        <w:bidi w:val="0"/>
        <w:rPr>
          <w:rFonts w:hint="default"/>
          <w:lang w:val="en-US" w:eastAsia="zh-CN"/>
        </w:rPr>
      </w:pPr>
      <w:r>
        <w:rPr>
          <w:rFonts w:hint="eastAsia"/>
          <w:lang w:val="en-US" w:eastAsia="zh-CN"/>
        </w:rPr>
        <w:t>一、采购内容及要求</w:t>
      </w:r>
    </w:p>
    <w:p>
      <w:pPr>
        <w:pStyle w:val="5"/>
        <w:bidi w:val="0"/>
      </w:pPr>
      <w:r>
        <w:rPr>
          <w:rFonts w:hint="eastAsia"/>
        </w:rPr>
        <w:t>（一）技术要求</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1、中标人必须保证所提供的图书符合国家版权法及其他法律的规定，必须是正式出版社出版的正版纸质图书。外版美术图书供应商应有自主进口权限，所经销的出版物均为正规渠道进口的境外出版物。</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供应商有专业学术性图书的经营经验，有专业特色，在行业内具有良好的声誉，有专业特色图书采购渠道。如中外文艺术专业图书供货商应保证所提供的艺术类图书专业性强，除重要画册图录之外，还应具备艺术史论著、艺术理论、美学等重要学术理论图书的采买能力；人文社科类图书供应商有与艺术相关的专业历史、考古、宗教、文学、社会学等相关文史哲领域的图书经验，且能紧跟学术前沿动态。与附件</w:t>
      </w:r>
      <w:r>
        <w:rPr>
          <w:rFonts w:hint="eastAsia"/>
          <w:color w:val="000000" w:themeColor="text1"/>
          <w14:textFill>
            <w14:solidFill>
              <w14:schemeClr w14:val="tx1"/>
            </w14:solidFill>
          </w14:textFill>
        </w:rPr>
        <w:t>1所列院校图书馆有成功的合作案例。</w:t>
      </w:r>
    </w:p>
    <w:p>
      <w:pPr>
        <w:pStyle w:val="6"/>
        <w:bidi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附件1：</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美术学院名录：中央美术学院、中国美术学院、清华大学美术学院、西安美术学院、四川美术学院、广州美术学院、鲁迅美术学院、天津美术学院、湖北美术学院。（9所）</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艺术学院名录：南京艺术学院、山东艺术学院、山东工艺美术学院、广西艺术学院、云南艺术学院、新疆艺术学院、北京电影学院、北京服装学院。（8所）</w:t>
      </w:r>
    </w:p>
    <w:p>
      <w:pPr>
        <w:adjustRightInd w:val="0"/>
        <w:snapToGrid w:val="0"/>
        <w:spacing w:line="460" w:lineRule="exact"/>
        <w:ind w:firstLine="48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w:t>
      </w:r>
      <w:r>
        <w:rPr>
          <w:rFonts w:hint="eastAsia" w:hAnsi="宋体"/>
          <w:b/>
          <w:bCs/>
          <w:color w:val="000000" w:themeColor="text1"/>
          <w:szCs w:val="21"/>
          <w:highlight w:val="none"/>
          <w:lang w:val="en-US" w:eastAsia="zh-CN"/>
          <w14:textFill>
            <w14:solidFill>
              <w14:schemeClr w14:val="tx1"/>
            </w14:solidFill>
          </w14:textFill>
        </w:rPr>
        <w:t>可</w:t>
      </w:r>
      <w:r>
        <w:rPr>
          <w:rFonts w:hint="eastAsia" w:ascii="宋体" w:hAnsi="宋体"/>
          <w:b/>
          <w:bCs/>
          <w:color w:val="000000" w:themeColor="text1"/>
          <w:szCs w:val="21"/>
          <w:highlight w:val="none"/>
          <w14:textFill>
            <w14:solidFill>
              <w14:schemeClr w14:val="tx1"/>
            </w14:solidFill>
          </w14:textFill>
        </w:rPr>
        <w:t>提供与以上</w:t>
      </w:r>
      <w:r>
        <w:rPr>
          <w:rFonts w:hint="eastAsia" w:ascii="宋体" w:hAnsi="宋体"/>
          <w:b/>
          <w:bCs/>
          <w:color w:val="000000" w:themeColor="text1"/>
          <w:szCs w:val="21"/>
          <w:highlight w:val="none"/>
          <w:lang w:val="en-US" w:eastAsia="zh-CN"/>
          <w14:textFill>
            <w14:solidFill>
              <w14:schemeClr w14:val="tx1"/>
            </w14:solidFill>
          </w14:textFill>
        </w:rPr>
        <w:t>院校</w:t>
      </w:r>
      <w:r>
        <w:rPr>
          <w:rFonts w:hint="eastAsia" w:ascii="宋体" w:hAnsi="宋体"/>
          <w:b/>
          <w:bCs/>
          <w:color w:val="000000" w:themeColor="text1"/>
          <w:szCs w:val="21"/>
          <w:highlight w:val="none"/>
          <w14:textFill>
            <w14:solidFill>
              <w14:schemeClr w14:val="tx1"/>
            </w14:solidFill>
          </w14:textFill>
        </w:rPr>
        <w:t>合作的证明等。</w:t>
      </w:r>
    </w:p>
    <w:p>
      <w:pPr>
        <w:pStyle w:val="6"/>
        <w:bidi w:val="0"/>
        <w:spacing w:line="240" w:lineRule="auto"/>
        <w:ind w:left="0" w:leftChars="0" w:firstLine="0" w:firstLineChars="0"/>
        <w:rPr>
          <w:rFonts w:hint="eastAsia"/>
          <w:color w:val="000000" w:themeColor="text1"/>
          <w14:textFill>
            <w14:solidFill>
              <w14:schemeClr w14:val="tx1"/>
            </w14:solidFill>
          </w14:textFill>
        </w:rPr>
      </w:pP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所供</w:t>
      </w:r>
      <w:r>
        <w:rPr>
          <w:rFonts w:hint="eastAsia"/>
          <w:color w:val="000000" w:themeColor="text1"/>
          <w14:textFill>
            <w14:solidFill>
              <w14:schemeClr w14:val="tx1"/>
            </w14:solidFill>
          </w14:textFill>
        </w:rPr>
        <w:t>图书内容符合西安美术学院学科建设，符合大学本科及以上层次读者阅读。</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西安美术学院学科专业具体包括艺术史论、美术学、书法学、中国画、绘画、雕塑、摄影、实验艺术、艺术设计学、视觉传达设计、产品设计、艺术与科技、环境设计、服装与服饰设计、公共艺术、工艺美术、数字媒体艺术、戏剧影视美术设计、动画、音乐学、文化产业管理等。</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合同包1</w:t>
      </w:r>
      <w:r>
        <w:rPr>
          <w:rFonts w:hint="eastAsia"/>
          <w:color w:val="000000" w:themeColor="text1"/>
          <w14:textFill>
            <w14:solidFill>
              <w14:schemeClr w14:val="tx1"/>
            </w14:solidFill>
          </w14:textFill>
        </w:rPr>
        <w:t>以附件</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所列出版社的艺术类图书为主。</w:t>
      </w:r>
    </w:p>
    <w:p>
      <w:pPr>
        <w:pStyle w:val="6"/>
        <w:bidi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w:t>
      </w: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w:t>
      </w:r>
    </w:p>
    <w:p>
      <w:pPr>
        <w:pStyle w:val="6"/>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人民美术出版社、上海人民美术出版社、上海书画出版社、湖南美术出版社、安徽美术出版社、荣宝斋、西泠印社出版社、连环画出版社、天津人民美术出版社、浙江人民美术出版社、北京工艺美术出版社、文物出版社、天津杨柳青画社、湖北美术出版社、山东美术出版社、广西美术出版社、江西美术出版社、河南美术出版社、江苏美术出版社、中国书店出版社、福建美术出版社、甘肃人民美术出版社、岭南美术出版社、云南美术出版社、陕西人民美术出版社、黑龙江美术出版社、吉林美术出版社、辽宁美术出版社、中国美术学院出版社、中国摄影出版社、中国民族摄影出版社、浙江摄影出版社、京版北美</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北京</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文化艺术传媒、中国纺织出版社、山东画报出版社、河北美术出版社、四川美术出版社</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故宫出版社、新疆美术出版社。（共</w:t>
      </w:r>
      <w:r>
        <w:rPr>
          <w:rFonts w:hint="eastAsia"/>
          <w:color w:val="000000" w:themeColor="text1"/>
          <w:lang w:val="en-US" w:eastAsia="zh-CN"/>
          <w14:textFill>
            <w14:solidFill>
              <w14:schemeClr w14:val="tx1"/>
            </w14:solidFill>
          </w14:textFill>
        </w:rPr>
        <w:t>39</w:t>
      </w:r>
      <w:r>
        <w:rPr>
          <w:rFonts w:hint="eastAsia"/>
          <w:color w:val="000000" w:themeColor="text1"/>
          <w14:textFill>
            <w14:solidFill>
              <w14:schemeClr w14:val="tx1"/>
            </w14:solidFill>
          </w14:textFill>
        </w:rPr>
        <w:t>家）</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供应商具备对图书馆自备目录、自定主题采购能力，还应具备对稀缺、绝版图书以及网上二手图书等重要学术资料性文献的采购能力。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供应商能通过互联网免费提供规范的新书征订书目数据，提供的征订书目内容均需符合大学本科以上读者的要求。</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供应商应建立“</w:t>
      </w:r>
      <w:r>
        <w:rPr>
          <w:rFonts w:hint="eastAsia"/>
          <w:color w:val="000000" w:themeColor="text1"/>
          <w14:textFill>
            <w14:solidFill>
              <w14:schemeClr w14:val="tx1"/>
            </w14:solidFill>
          </w14:textFill>
        </w:rPr>
        <w:t>西安</w:t>
      </w:r>
      <w:r>
        <w:rPr>
          <w:color w:val="000000" w:themeColor="text1"/>
          <w14:textFill>
            <w14:solidFill>
              <w14:schemeClr w14:val="tx1"/>
            </w14:solidFill>
          </w14:textFill>
        </w:rPr>
        <w:t xml:space="preserve">美术学院图书馆预订图书数据库”，有对采购人预订的图书进行查重的能力。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供应商应提供符合国家财税法规要求的售书发票。</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8、供应商具有良好的商业信誉和健全的财务会计制度。</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9、中标人不得提供以下图书：</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（1）非法、盗版、盗印图书。</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（2）压仓劣质图书。</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（3）未经采购人同意私自搭配的图书。</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（4）少儿、中专、职业技术、高职高专、美术高考类图书。</w:t>
      </w:r>
    </w:p>
    <w:p>
      <w:pPr>
        <w:pStyle w:val="5"/>
        <w:bidi w:val="0"/>
      </w:pPr>
      <w:r>
        <w:rPr>
          <w:rFonts w:hint="eastAsia"/>
        </w:rPr>
        <w:t>（</w:t>
      </w:r>
      <w:r>
        <w:t>二</w:t>
      </w:r>
      <w:r>
        <w:rPr>
          <w:rFonts w:hint="eastAsia"/>
        </w:rPr>
        <w:t>）</w:t>
      </w:r>
      <w:r>
        <w:t xml:space="preserve">服务要求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能够满足采购人定单采购、专题采购、现场采购等多种采购方式。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（2）现货采购：供应商能根据采购人需求，在采购人指定时间、地点举办样书展览，每年至少两次。</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（3）专题采购：供应商配合采购人做好专题图书的采购，以满足采购人馆藏的特殊需求。</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（4）现场采购：供应商应根据采购人要求，不定期安排采购人参加图书现采活动、参加各类书市及订货会。</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（5）其它方式：随时进行图书增订、补订等工作。</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供应商接到订购单后能及时处理并反馈订单处理信息。在未征得采购人同意情况下，不得更换采购人正式订单。收到订单3日内向采购人反馈订单执行信息。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供应商对重复订购、大码洋、大订数、特殊装订、特殊开本、散页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教材等图书，应及时与采购人联系沟通。</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5、现场采购图书的供货时间不超过10个工作日，订到率不低于98%；</w:t>
      </w:r>
      <w:r>
        <w:rPr>
          <w:rFonts w:hint="eastAsia"/>
          <w:color w:val="000000" w:themeColor="text1"/>
          <w:lang w:eastAsia="zh-CN"/>
          <w14:textFill>
            <w14:solidFill>
              <w14:schemeClr w14:val="tx1"/>
            </w14:solidFill>
          </w14:textFill>
        </w:rPr>
        <w:t>合同包2</w:t>
      </w:r>
      <w:r>
        <w:rPr>
          <w:rFonts w:hint="eastAsia"/>
          <w:color w:val="000000" w:themeColor="text1"/>
          <w14:textFill>
            <w14:solidFill>
              <w14:schemeClr w14:val="tx1"/>
            </w14:solidFill>
          </w14:textFill>
        </w:rPr>
        <w:t>和</w:t>
      </w:r>
      <w:r>
        <w:rPr>
          <w:rFonts w:hint="eastAsia"/>
          <w:color w:val="000000" w:themeColor="text1"/>
          <w:lang w:eastAsia="zh-CN"/>
          <w14:textFill>
            <w14:solidFill>
              <w14:schemeClr w14:val="tx1"/>
            </w14:solidFill>
          </w14:textFill>
        </w:rPr>
        <w:t>第3包</w:t>
      </w:r>
      <w:r>
        <w:rPr>
          <w:rFonts w:hint="eastAsia"/>
          <w:color w:val="000000" w:themeColor="text1"/>
          <w14:textFill>
            <w14:solidFill>
              <w14:schemeClr w14:val="tx1"/>
            </w14:solidFill>
          </w14:textFill>
        </w:rPr>
        <w:t>预定图书自发出订单之日起，供货时间不超过30个工作日，订到率不低于95%；</w:t>
      </w:r>
      <w:r>
        <w:rPr>
          <w:rFonts w:hint="eastAsia"/>
          <w:color w:val="000000" w:themeColor="text1"/>
          <w:lang w:eastAsia="zh-CN"/>
          <w14:textFill>
            <w14:solidFill>
              <w14:schemeClr w14:val="tx1"/>
            </w14:solidFill>
          </w14:textFill>
        </w:rPr>
        <w:t>合同包1</w:t>
      </w:r>
      <w:r>
        <w:rPr>
          <w:rFonts w:hint="eastAsia"/>
          <w:color w:val="000000" w:themeColor="text1"/>
          <w14:textFill>
            <w14:solidFill>
              <w14:schemeClr w14:val="tx1"/>
            </w14:solidFill>
          </w14:textFill>
        </w:rPr>
        <w:t>预定图书自发出订单之日起，供货时间不超过60个工作日，订到率不低于90%。</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供应商提供门对门的快速送货服务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能够在约定的供货时间内将货物送到采购人指定的地点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由此所发生的任何手续和运输费全部由供应商承担。每次送货前必须提前电话通知采购人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以便采购人做好接货准备</w:t>
      </w:r>
      <w:r>
        <w:rPr>
          <w:rFonts w:hint="eastAsia"/>
          <w:color w:val="000000" w:themeColor="text1"/>
          <w14:textFill>
            <w14:solidFill>
              <w14:schemeClr w14:val="tx1"/>
            </w14:solidFill>
          </w14:textFill>
        </w:rPr>
        <w:t>。</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运输途中造成的图书破损，随书附件（光盘、软盘、磁带等）不完整（丢失、破损 等），一律退回中标单位，重新配送。</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9、</w:t>
      </w:r>
      <w:r>
        <w:rPr>
          <w:color w:val="000000" w:themeColor="text1"/>
          <w14:textFill>
            <w14:solidFill>
              <w14:schemeClr w14:val="tx1"/>
            </w14:solidFill>
          </w14:textFill>
        </w:rPr>
        <w:t>采购人不承担所购图书资料的运管费。对采购人所订图书资料因供应商未及时办理提货手续所产生的一切费用（滞纳金、保管费等）概由供应商承担。</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10、</w:t>
      </w:r>
      <w:r>
        <w:rPr>
          <w:color w:val="000000" w:themeColor="text1"/>
          <w14:textFill>
            <w14:solidFill>
              <w14:schemeClr w14:val="tx1"/>
            </w14:solidFill>
          </w14:textFill>
        </w:rPr>
        <w:t xml:space="preserve">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color w:val="000000" w:themeColor="text1"/>
          <w14:textFill>
            <w14:solidFill>
              <w14:schemeClr w14:val="tx1"/>
            </w14:solidFill>
          </w14:textFill>
        </w:rPr>
        <w:t xml:space="preserve">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 </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、供应商能及时提供规范的</w:t>
      </w:r>
      <w:r>
        <w:rPr>
          <w:rFonts w:hint="eastAsia"/>
        </w:rPr>
        <w:t>Marc</w:t>
      </w:r>
      <w:r>
        <w:rPr>
          <w:rFonts w:hint="eastAsia"/>
          <w:color w:val="000000" w:themeColor="text1"/>
          <w14:textFill>
            <w14:solidFill>
              <w14:schemeClr w14:val="tx1"/>
            </w14:solidFill>
          </w14:textFill>
        </w:rPr>
        <w:t>数据，并对所购图书免费提供加工编目工作，加工进度和质量须按采购人要求。</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除上述各条以外，供应商能根据采购人实际情况，及时向采购人提供相应的服务。</w:t>
      </w:r>
    </w:p>
    <w:p>
      <w:pPr>
        <w:pStyle w:val="6"/>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本项目图书分多次采购，具体采购次数以采购人的供货清单为准。货款按实际订购数量和实洋凭发票结算。 </w:t>
      </w:r>
    </w:p>
    <w:p>
      <w:pPr>
        <w:pStyle w:val="6"/>
        <w:bidi w:val="0"/>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15</w:t>
      </w:r>
      <w:r>
        <w:rPr>
          <w:rFonts w:hint="eastAsia"/>
          <w:b w:val="0"/>
          <w:bCs w:val="0"/>
          <w:color w:val="000000" w:themeColor="text1"/>
          <w14:textFill>
            <w14:solidFill>
              <w14:schemeClr w14:val="tx1"/>
            </w14:solidFill>
          </w14:textFill>
        </w:rPr>
        <w:t>、本项目以预算金额作为</w:t>
      </w:r>
      <w:r>
        <w:rPr>
          <w:rFonts w:hint="eastAsia"/>
          <w:b w:val="0"/>
          <w:bCs w:val="0"/>
          <w:color w:val="000000" w:themeColor="text1"/>
          <w:lang w:eastAsia="zh-CN"/>
          <w14:textFill>
            <w14:solidFill>
              <w14:schemeClr w14:val="tx1"/>
            </w14:solidFill>
          </w14:textFill>
        </w:rPr>
        <w:t>各包的</w:t>
      </w:r>
      <w:r>
        <w:rPr>
          <w:rFonts w:hint="eastAsia"/>
          <w:b w:val="0"/>
          <w:bCs w:val="0"/>
          <w:color w:val="000000" w:themeColor="text1"/>
          <w14:textFill>
            <w14:solidFill>
              <w14:schemeClr w14:val="tx1"/>
            </w14:solidFill>
          </w14:textFill>
        </w:rPr>
        <w:t>成交金额，</w:t>
      </w:r>
      <w:r>
        <w:rPr>
          <w:rFonts w:hint="eastAsia"/>
          <w:b w:val="0"/>
          <w:bCs w:val="0"/>
          <w:color w:val="000000" w:themeColor="text1"/>
          <w:lang w:val="en-US" w:eastAsia="zh-CN"/>
          <w14:textFill>
            <w14:solidFill>
              <w14:schemeClr w14:val="tx1"/>
            </w14:solidFill>
          </w14:textFill>
        </w:rPr>
        <w:t>合同包1、合同包2</w:t>
      </w:r>
      <w:r>
        <w:rPr>
          <w:rFonts w:hint="eastAsia"/>
          <w:b w:val="0"/>
          <w:bCs w:val="0"/>
          <w:color w:val="000000" w:themeColor="text1"/>
          <w14:textFill>
            <w14:solidFill>
              <w14:schemeClr w14:val="tx1"/>
            </w14:solidFill>
          </w14:textFill>
        </w:rPr>
        <w:t>采购代理服务费分别按照前三名入围供应商入围份额（即综合折扣由低到高排序分别是</w:t>
      </w:r>
      <w:r>
        <w:rPr>
          <w:rFonts w:hint="eastAsia"/>
          <w:b w:val="0"/>
          <w:bCs w:val="0"/>
          <w:color w:val="000000" w:themeColor="text1"/>
          <w:lang w:val="en-US" w:eastAsia="zh-CN"/>
          <w14:textFill>
            <w14:solidFill>
              <w14:schemeClr w14:val="tx1"/>
            </w14:solidFill>
          </w14:textFill>
        </w:rPr>
        <w:t>45</w:t>
      </w:r>
      <w:r>
        <w:rPr>
          <w:rFonts w:hint="eastAsia"/>
          <w:b w:val="0"/>
          <w:bCs w:val="0"/>
          <w:color w:val="000000" w:themeColor="text1"/>
          <w14:textFill>
            <w14:solidFill>
              <w14:schemeClr w14:val="tx1"/>
            </w14:solidFill>
          </w14:textFill>
        </w:rPr>
        <w:t>%份额，30%份额，</w:t>
      </w:r>
      <w:r>
        <w:rPr>
          <w:rFonts w:hint="eastAsia"/>
          <w:b w:val="0"/>
          <w:bCs w:val="0"/>
          <w:color w:val="000000" w:themeColor="text1"/>
          <w:lang w:val="en-US" w:eastAsia="zh-CN"/>
          <w14:textFill>
            <w14:solidFill>
              <w14:schemeClr w14:val="tx1"/>
            </w14:solidFill>
          </w14:textFill>
        </w:rPr>
        <w:t>25</w:t>
      </w:r>
      <w:r>
        <w:rPr>
          <w:rFonts w:hint="eastAsia"/>
          <w:b w:val="0"/>
          <w:bCs w:val="0"/>
          <w:color w:val="000000" w:themeColor="text1"/>
          <w14:textFill>
            <w14:solidFill>
              <w14:schemeClr w14:val="tx1"/>
            </w14:solidFill>
          </w14:textFill>
        </w:rPr>
        <w:t>%份额）</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第3包</w:t>
      </w:r>
      <w:r>
        <w:rPr>
          <w:rFonts w:hint="eastAsia"/>
          <w:b w:val="0"/>
          <w:bCs w:val="0"/>
          <w:color w:val="000000" w:themeColor="text1"/>
          <w14:textFill>
            <w14:solidFill>
              <w14:schemeClr w14:val="tx1"/>
            </w14:solidFill>
          </w14:textFill>
        </w:rPr>
        <w:t>采购代理服务费分别按照前</w:t>
      </w:r>
      <w:r>
        <w:rPr>
          <w:rFonts w:hint="eastAsia"/>
          <w:b w:val="0"/>
          <w:bCs w:val="0"/>
          <w:color w:val="000000" w:themeColor="text1"/>
          <w:lang w:val="en-US" w:eastAsia="zh-CN"/>
          <w14:textFill>
            <w14:solidFill>
              <w14:schemeClr w14:val="tx1"/>
            </w14:solidFill>
          </w14:textFill>
        </w:rPr>
        <w:t>二</w:t>
      </w:r>
      <w:r>
        <w:rPr>
          <w:rFonts w:hint="eastAsia"/>
          <w:b w:val="0"/>
          <w:bCs w:val="0"/>
          <w:color w:val="000000" w:themeColor="text1"/>
          <w14:textFill>
            <w14:solidFill>
              <w14:schemeClr w14:val="tx1"/>
            </w14:solidFill>
          </w14:textFill>
        </w:rPr>
        <w:t>名入围供应商入围份额（即综合折扣由低到高排序分别是</w:t>
      </w:r>
      <w:r>
        <w:rPr>
          <w:rFonts w:hint="eastAsia"/>
          <w:b w:val="0"/>
          <w:bCs w:val="0"/>
          <w:color w:val="000000" w:themeColor="text1"/>
          <w:u w:val="none"/>
          <w:lang w:val="en-US" w:eastAsia="zh-CN"/>
          <w14:textFill>
            <w14:solidFill>
              <w14:schemeClr w14:val="tx1"/>
            </w14:solidFill>
          </w14:textFill>
        </w:rPr>
        <w:t>60</w:t>
      </w:r>
      <w:r>
        <w:rPr>
          <w:rFonts w:hint="eastAsia"/>
          <w:b w:val="0"/>
          <w:bCs w:val="0"/>
          <w:color w:val="000000" w:themeColor="text1"/>
          <w:u w:val="none"/>
          <w14:textFill>
            <w14:solidFill>
              <w14:schemeClr w14:val="tx1"/>
            </w14:solidFill>
          </w14:textFill>
        </w:rPr>
        <w:t>%份额，</w:t>
      </w:r>
      <w:r>
        <w:rPr>
          <w:rFonts w:hint="eastAsia"/>
          <w:b w:val="0"/>
          <w:bCs w:val="0"/>
          <w:color w:val="000000" w:themeColor="text1"/>
          <w:u w:val="none"/>
          <w:lang w:val="en-US" w:eastAsia="zh-CN"/>
          <w14:textFill>
            <w14:solidFill>
              <w14:schemeClr w14:val="tx1"/>
            </w14:solidFill>
          </w14:textFill>
        </w:rPr>
        <w:t>40</w:t>
      </w:r>
      <w:r>
        <w:rPr>
          <w:rFonts w:hint="eastAsia"/>
          <w:b w:val="0"/>
          <w:bCs w:val="0"/>
          <w:color w:val="000000" w:themeColor="text1"/>
          <w:u w:val="none"/>
          <w14:textFill>
            <w14:solidFill>
              <w14:schemeClr w14:val="tx1"/>
            </w14:solidFill>
          </w14:textFill>
        </w:rPr>
        <w:t>%份</w:t>
      </w:r>
      <w:r>
        <w:rPr>
          <w:rFonts w:hint="eastAsia"/>
          <w:b w:val="0"/>
          <w:bCs w:val="0"/>
          <w:color w:val="000000" w:themeColor="text1"/>
          <w14:textFill>
            <w14:solidFill>
              <w14:schemeClr w14:val="tx1"/>
            </w14:solidFill>
          </w14:textFill>
        </w:rPr>
        <w:t>额）</w:t>
      </w:r>
      <w:r>
        <w:rPr>
          <w:rFonts w:hint="eastAsia"/>
          <w:b w:val="0"/>
          <w:bCs w:val="0"/>
          <w:color w:val="000000" w:themeColor="text1"/>
          <w:lang w:eastAsia="zh-CN"/>
          <w14:textFill>
            <w14:solidFill>
              <w14:schemeClr w14:val="tx1"/>
            </w14:solidFill>
          </w14:textFill>
        </w:rPr>
        <w:t>；各包入围供应商图书目录由采购人根据图书的市场行情结合各家的实际情况综合考量分配，各入围供应商的份额累计总量允许和预先设定的比例份额有±</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lang w:eastAsia="zh-CN"/>
          <w14:textFill>
            <w14:solidFill>
              <w14:schemeClr w14:val="tx1"/>
            </w14:solidFill>
          </w14:textFill>
        </w:rPr>
        <w:t>%的误差（</w:t>
      </w:r>
      <w:r>
        <w:rPr>
          <w:rFonts w:hint="eastAsia"/>
          <w:b w:val="0"/>
          <w:bCs w:val="0"/>
          <w:color w:val="000000" w:themeColor="text1"/>
          <w:lang w:val="en-US" w:eastAsia="zh-CN"/>
          <w14:textFill>
            <w14:solidFill>
              <w14:schemeClr w14:val="tx1"/>
            </w14:solidFill>
          </w14:textFill>
        </w:rPr>
        <w:t>如</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该包</w:t>
      </w:r>
      <w:r>
        <w:rPr>
          <w:rFonts w:hint="eastAsia"/>
          <w:b w:val="0"/>
          <w:bCs w:val="0"/>
          <w:color w:val="000000" w:themeColor="text1"/>
          <w:lang w:eastAsia="zh-CN"/>
          <w14:textFill>
            <w14:solidFill>
              <w14:schemeClr w14:val="tx1"/>
            </w14:solidFill>
          </w14:textFill>
        </w:rPr>
        <w:t>预算金额</w:t>
      </w:r>
      <w:r>
        <w:rPr>
          <w:rFonts w:hint="eastAsia"/>
          <w:b w:val="0"/>
          <w:bCs w:val="0"/>
          <w:color w:val="000000" w:themeColor="text1"/>
          <w:lang w:val="en-US" w:eastAsia="zh-CN"/>
          <w14:textFill>
            <w14:solidFill>
              <w14:schemeClr w14:val="tx1"/>
            </w14:solidFill>
          </w14:textFill>
        </w:rPr>
        <w:t>90万元，</w:t>
      </w:r>
      <w:r>
        <w:rPr>
          <w:rFonts w:hint="eastAsia"/>
          <w:b w:val="0"/>
          <w:bCs w:val="0"/>
          <w:color w:val="000000" w:themeColor="text1"/>
          <w:lang w:eastAsia="zh-CN"/>
          <w14:textFill>
            <w14:solidFill>
              <w14:schemeClr w14:val="tx1"/>
            </w14:solidFill>
          </w14:textFill>
        </w:rPr>
        <w:t>入围前三名中</w:t>
      </w:r>
      <w:r>
        <w:rPr>
          <w:rFonts w:hint="eastAsia"/>
          <w:b w:val="0"/>
          <w:bCs w:val="0"/>
          <w:color w:val="000000" w:themeColor="text1"/>
          <w:lang w:val="en-US" w:eastAsia="zh-CN"/>
          <w14:textFill>
            <w14:solidFill>
              <w14:schemeClr w14:val="tx1"/>
            </w14:solidFill>
          </w14:textFill>
        </w:rPr>
        <w:t>合同包1公司的综合折扣为73%，是前三名里最低的，那么其实际供货量的份额应为90万*45%=40.5万元，可以上下浮动5%，即38.475万元--42.525万元之间最终结算入围供应商均不得有异议。</w:t>
      </w:r>
      <w:r>
        <w:rPr>
          <w:rFonts w:hint="eastAsia"/>
          <w:b w:val="0"/>
          <w:bCs w:val="0"/>
          <w:color w:val="000000" w:themeColor="text1"/>
          <w:lang w:eastAsia="zh-CN"/>
          <w14:textFill>
            <w14:solidFill>
              <w14:schemeClr w14:val="tx1"/>
            </w14:solidFill>
          </w14:textFill>
        </w:rPr>
        <w:t>）</w:t>
      </w:r>
    </w:p>
    <w:p>
      <w:pPr>
        <w:pStyle w:val="5"/>
        <w:bidi w:val="0"/>
      </w:pPr>
      <w:r>
        <w:rPr>
          <w:rFonts w:hint="eastAsia"/>
        </w:rPr>
        <w:t>（三）</w:t>
      </w:r>
      <w:r>
        <w:t>验收要求</w:t>
      </w:r>
    </w:p>
    <w:p>
      <w:pPr>
        <w:pStyle w:val="6"/>
        <w:bidi w:val="0"/>
        <w:rPr>
          <w:color w:val="000000" w:themeColor="text1"/>
          <w14:textFill>
            <w14:solidFill>
              <w14:schemeClr w14:val="tx1"/>
            </w14:solidFill>
          </w14:textFill>
        </w:rPr>
      </w:pPr>
      <w:r>
        <w:rPr>
          <w:color w:val="000000" w:themeColor="text1"/>
          <w14:textFill>
            <w14:solidFill>
              <w14:schemeClr w14:val="tx1"/>
            </w14:solidFill>
          </w14:textFill>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p>
      <w:pPr>
        <w:rPr>
          <w:rFonts w:hint="eastAsia"/>
          <w:lang w:val="en-US" w:eastAsia="zh-CN"/>
        </w:rPr>
      </w:pPr>
      <w:r>
        <w:rPr>
          <w:rFonts w:hint="eastAsia"/>
          <w:lang w:val="en-US" w:eastAsia="zh-CN"/>
        </w:rPr>
        <w:br w:type="page"/>
      </w:r>
    </w:p>
    <w:p>
      <w:pPr>
        <w:pStyle w:val="5"/>
        <w:bidi w:val="0"/>
        <w:rPr>
          <w:rFonts w:hint="default"/>
          <w:lang w:val="en-US" w:eastAsia="zh-CN"/>
        </w:rPr>
      </w:pPr>
      <w:r>
        <w:rPr>
          <w:rFonts w:hint="eastAsia"/>
          <w:lang w:val="en-US" w:eastAsia="zh-CN"/>
        </w:rPr>
        <w:t>二、商务要求</w:t>
      </w:r>
    </w:p>
    <w:tbl>
      <w:tblPr>
        <w:tblStyle w:val="9"/>
        <w:tblW w:w="93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3"/>
        <w:gridCol w:w="865"/>
        <w:gridCol w:w="78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blHeader/>
          <w:jc w:val="center"/>
        </w:trPr>
        <w:tc>
          <w:tcPr>
            <w:tcW w:w="583" w:type="dxa"/>
            <w:vAlign w:val="center"/>
          </w:tcPr>
          <w:p>
            <w:pPr>
              <w:pStyle w:val="11"/>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条款号</w:t>
            </w:r>
          </w:p>
        </w:tc>
        <w:tc>
          <w:tcPr>
            <w:tcW w:w="865" w:type="dxa"/>
            <w:vAlign w:val="center"/>
          </w:tcPr>
          <w:p>
            <w:pPr>
              <w:pStyle w:val="11"/>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条款内容</w:t>
            </w:r>
          </w:p>
        </w:tc>
        <w:tc>
          <w:tcPr>
            <w:tcW w:w="7895" w:type="dxa"/>
            <w:vAlign w:val="center"/>
          </w:tcPr>
          <w:p>
            <w:pPr>
              <w:pStyle w:val="11"/>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blHeader/>
          <w:jc w:val="center"/>
        </w:trPr>
        <w:tc>
          <w:tcPr>
            <w:tcW w:w="583" w:type="dxa"/>
            <w:vAlign w:val="center"/>
          </w:tcPr>
          <w:p>
            <w:pPr>
              <w:pStyle w:val="11"/>
              <w:spacing w:line="360" w:lineRule="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cs="宋体"/>
                <w:b w:val="0"/>
                <w:bCs w:val="0"/>
                <w:color w:val="000000" w:themeColor="text1"/>
                <w:lang w:val="en-US" w:eastAsia="zh-CN"/>
                <w14:textFill>
                  <w14:solidFill>
                    <w14:schemeClr w14:val="tx1"/>
                  </w14:solidFill>
                </w14:textFill>
              </w:rPr>
              <w:t>1</w:t>
            </w:r>
          </w:p>
        </w:tc>
        <w:tc>
          <w:tcPr>
            <w:tcW w:w="865" w:type="dxa"/>
            <w:vAlign w:val="center"/>
          </w:tcPr>
          <w:p>
            <w:pPr>
              <w:pStyle w:val="11"/>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b w:val="0"/>
                <w:bCs w:val="0"/>
                <w:color w:val="auto"/>
              </w:rPr>
              <w:t>交付期</w:t>
            </w:r>
          </w:p>
        </w:tc>
        <w:tc>
          <w:tcPr>
            <w:tcW w:w="7895" w:type="dxa"/>
            <w:vAlign w:val="center"/>
          </w:tcPr>
          <w:p>
            <w:pPr>
              <w:pStyle w:val="11"/>
              <w:spacing w:line="360" w:lineRule="auto"/>
              <w:jc w:val="left"/>
              <w:rPr>
                <w:rFonts w:hint="eastAsia" w:ascii="宋体" w:hAnsi="宋体" w:eastAsia="宋体" w:cs="宋体"/>
                <w:color w:val="auto"/>
              </w:rPr>
            </w:pPr>
            <w:r>
              <w:rPr>
                <w:rFonts w:hint="eastAsia" w:ascii="宋体" w:hAnsi="宋体" w:eastAsia="宋体" w:cs="宋体"/>
                <w:color w:val="000000" w:themeColor="text1"/>
                <w14:textFill>
                  <w14:solidFill>
                    <w14:schemeClr w14:val="tx1"/>
                  </w14:solidFill>
                </w14:textFill>
              </w:rPr>
              <w:t>供货期：</w:t>
            </w:r>
            <w:r>
              <w:rPr>
                <w:rFonts w:hint="eastAsia" w:cs="宋体"/>
                <w:color w:val="auto"/>
                <w:lang w:eastAsia="zh-CN"/>
              </w:rPr>
              <w:t>202</w:t>
            </w:r>
            <w:r>
              <w:rPr>
                <w:rFonts w:hint="eastAsia" w:cs="宋体"/>
                <w:color w:val="auto"/>
                <w:lang w:val="en-US" w:eastAsia="zh-CN"/>
              </w:rPr>
              <w:t>3</w:t>
            </w:r>
            <w:r>
              <w:rPr>
                <w:rFonts w:hint="eastAsia" w:cs="宋体"/>
                <w:color w:val="auto"/>
                <w:lang w:eastAsia="zh-CN"/>
              </w:rPr>
              <w:t>年</w:t>
            </w:r>
            <w:r>
              <w:rPr>
                <w:rFonts w:hint="eastAsia" w:ascii="宋体" w:hAnsi="宋体" w:eastAsia="宋体" w:cs="宋体"/>
                <w:color w:val="auto"/>
              </w:rPr>
              <w:t>。</w:t>
            </w:r>
          </w:p>
          <w:p>
            <w:pPr>
              <w:pStyle w:val="11"/>
              <w:spacing w:line="360" w:lineRule="auto"/>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auto"/>
                <w:lang w:val="en-US" w:eastAsia="zh-CN"/>
              </w:rPr>
              <w:t>供货时间：现场采购图书的供货时间不超过10个工作日；预定图书自发出订单之日起，供货时间不超过30个工作日</w:t>
            </w:r>
            <w:r>
              <w:rPr>
                <w:rFonts w:hint="eastAsia" w:cs="宋体"/>
                <w:color w:val="auto"/>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blHeader/>
          <w:jc w:val="center"/>
        </w:trPr>
        <w:tc>
          <w:tcPr>
            <w:tcW w:w="583" w:type="dxa"/>
            <w:vAlign w:val="center"/>
          </w:tcPr>
          <w:p>
            <w:pPr>
              <w:pStyle w:val="11"/>
              <w:spacing w:line="360" w:lineRule="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cs="宋体"/>
                <w:b w:val="0"/>
                <w:bCs w:val="0"/>
                <w:color w:val="000000" w:themeColor="text1"/>
                <w:lang w:val="en-US" w:eastAsia="zh-CN"/>
                <w14:textFill>
                  <w14:solidFill>
                    <w14:schemeClr w14:val="tx1"/>
                  </w14:solidFill>
                </w14:textFill>
              </w:rPr>
              <w:t>2</w:t>
            </w:r>
          </w:p>
        </w:tc>
        <w:tc>
          <w:tcPr>
            <w:tcW w:w="865" w:type="dxa"/>
            <w:vAlign w:val="center"/>
          </w:tcPr>
          <w:p>
            <w:pPr>
              <w:pStyle w:val="11"/>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b w:val="0"/>
                <w:bCs w:val="0"/>
                <w:color w:val="auto"/>
                <w:szCs w:val="22"/>
                <w:lang w:val="en-US" w:eastAsia="zh-CN"/>
              </w:rPr>
              <w:t>交付地点</w:t>
            </w:r>
          </w:p>
        </w:tc>
        <w:tc>
          <w:tcPr>
            <w:tcW w:w="7895" w:type="dxa"/>
            <w:vAlign w:val="center"/>
          </w:tcPr>
          <w:p>
            <w:pPr>
              <w:pStyle w:val="11"/>
              <w:spacing w:line="360" w:lineRule="auto"/>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供应商收到订单后，应保证在订单有效期内将图书免费送至采购单位指定地点。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blHeader/>
          <w:jc w:val="center"/>
        </w:trPr>
        <w:tc>
          <w:tcPr>
            <w:tcW w:w="583" w:type="dxa"/>
            <w:vAlign w:val="center"/>
          </w:tcPr>
          <w:p>
            <w:pPr>
              <w:pStyle w:val="11"/>
              <w:spacing w:line="360" w:lineRule="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cs="宋体"/>
                <w:b w:val="0"/>
                <w:bCs w:val="0"/>
                <w:color w:val="000000" w:themeColor="text1"/>
                <w:lang w:val="en-US" w:eastAsia="zh-CN"/>
                <w14:textFill>
                  <w14:solidFill>
                    <w14:schemeClr w14:val="tx1"/>
                  </w14:solidFill>
                </w14:textFill>
              </w:rPr>
              <w:t>3</w:t>
            </w:r>
          </w:p>
        </w:tc>
        <w:tc>
          <w:tcPr>
            <w:tcW w:w="865" w:type="dxa"/>
            <w:vAlign w:val="center"/>
          </w:tcPr>
          <w:p>
            <w:pPr>
              <w:pStyle w:val="11"/>
              <w:spacing w:line="360" w:lineRule="auto"/>
              <w:rPr>
                <w:rFonts w:hint="eastAsia"/>
                <w:b w:val="0"/>
                <w:bCs w:val="0"/>
                <w:color w:val="auto"/>
                <w:szCs w:val="22"/>
                <w:lang w:val="en-US" w:eastAsia="zh-CN"/>
              </w:rPr>
            </w:pPr>
            <w:r>
              <w:rPr>
                <w:rFonts w:hint="eastAsia"/>
                <w:b w:val="0"/>
                <w:bCs w:val="0"/>
                <w:color w:val="auto"/>
              </w:rPr>
              <w:t>投标报价</w:t>
            </w:r>
          </w:p>
        </w:tc>
        <w:tc>
          <w:tcPr>
            <w:tcW w:w="7895" w:type="dxa"/>
            <w:vAlign w:val="top"/>
          </w:tcPr>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报价是指产品到达使用地点，达到正常使用条件下的所有费用，包括产品的报价及所发生的运杂费（含保险）、现场安装调试费及国家按现行税收政策征收的一切税费等。以招标文件的内容和要求作为投标依据；</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（2）投标人应在投标文件中的开标一览表上，标明供货折扣；任何有选择的折扣不予接受；</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（3）投标报价：供货折扣（最多保留到小数点后两位）；</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（4）开标一览表应有投标人公章及法定代表人或被授权人的签字或盖章；</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（5）投标报价表中标明的折扣，在合同执行过程中，不得以任何理由变更；</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（6）凡因投标人对招标文件阅读不深、理解不透、误解、疏漏、或因市场行情了解不清造成的后果和风险均由投标人自负；</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（7）最低折扣报价不是中标的唯一依据； </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投标人不得以低于成本的折扣报价参加投标。评标委员会认为投标人的折扣报价明显低于其他通过符合性审查投标人的折扣报价，有可能影响产品质量或者不能诚信履约的，应当要求其在评标现场合理的时间内提供书面说明，必要时提交相关证明材料；投标人不能证明其折扣报价合理性的，评标委员会应当将其作为无效投标处理。</w:t>
            </w:r>
          </w:p>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（9）投标人对投标</w:t>
            </w:r>
            <w:r>
              <w:rPr>
                <w:rFonts w:hint="eastAsia" w:cs="宋体"/>
                <w:color w:val="000000" w:themeColor="text1"/>
                <w:lang w:val="en-US" w:eastAsia="zh-CN"/>
                <w14:textFill>
                  <w14:solidFill>
                    <w14:schemeClr w14:val="tx1"/>
                  </w14:solidFill>
                </w14:textFill>
              </w:rPr>
              <w:t>包（标段）</w:t>
            </w:r>
            <w:r>
              <w:rPr>
                <w:rFonts w:hint="eastAsia" w:ascii="宋体" w:hAnsi="宋体" w:eastAsia="宋体" w:cs="宋体"/>
                <w:color w:val="000000" w:themeColor="text1"/>
                <w14:textFill>
                  <w14:solidFill>
                    <w14:schemeClr w14:val="tx1"/>
                  </w14:solidFill>
                </w14:textFill>
              </w:rPr>
              <w:t>只允许有一个折扣报价，不接受超过招标文件中规定的预算金额或者最高限价的报价、可变动性报价、赠送及“零”报价，否则视为无效投标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blHeader/>
          <w:jc w:val="center"/>
        </w:trPr>
        <w:tc>
          <w:tcPr>
            <w:tcW w:w="583" w:type="dxa"/>
            <w:vAlign w:val="center"/>
          </w:tcPr>
          <w:p>
            <w:pPr>
              <w:pStyle w:val="11"/>
              <w:spacing w:line="360" w:lineRule="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cs="宋体"/>
                <w:b w:val="0"/>
                <w:bCs w:val="0"/>
                <w:color w:val="000000" w:themeColor="text1"/>
                <w:lang w:val="en-US" w:eastAsia="zh-CN"/>
                <w14:textFill>
                  <w14:solidFill>
                    <w14:schemeClr w14:val="tx1"/>
                  </w14:solidFill>
                </w14:textFill>
              </w:rPr>
              <w:t>4</w:t>
            </w:r>
          </w:p>
        </w:tc>
        <w:tc>
          <w:tcPr>
            <w:tcW w:w="865" w:type="dxa"/>
            <w:vAlign w:val="center"/>
          </w:tcPr>
          <w:p>
            <w:pPr>
              <w:pStyle w:val="11"/>
              <w:spacing w:line="360" w:lineRule="auto"/>
              <w:rPr>
                <w:rFonts w:hint="eastAsia"/>
                <w:b w:val="0"/>
                <w:bCs w:val="0"/>
                <w:color w:val="auto"/>
              </w:rPr>
            </w:pPr>
            <w:r>
              <w:rPr>
                <w:rFonts w:hint="eastAsia"/>
                <w:b w:val="0"/>
                <w:bCs w:val="0"/>
                <w:color w:val="auto"/>
              </w:rPr>
              <w:t>付款方式</w:t>
            </w:r>
          </w:p>
        </w:tc>
        <w:tc>
          <w:tcPr>
            <w:tcW w:w="7895" w:type="dxa"/>
            <w:vAlign w:val="center"/>
          </w:tcPr>
          <w:p>
            <w:pPr>
              <w:pStyle w:val="11"/>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本项目图书分多次采购，具体采购次数以采购人的供货清单为准。货款按实际订购数量和实洋凭发票结算。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blHeader/>
          <w:jc w:val="center"/>
        </w:trPr>
        <w:tc>
          <w:tcPr>
            <w:tcW w:w="583" w:type="dxa"/>
            <w:vAlign w:val="center"/>
          </w:tcPr>
          <w:p>
            <w:pPr>
              <w:pStyle w:val="11"/>
              <w:spacing w:line="360" w:lineRule="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cs="宋体"/>
                <w:b w:val="0"/>
                <w:bCs w:val="0"/>
                <w:color w:val="000000" w:themeColor="text1"/>
                <w:lang w:val="en-US" w:eastAsia="zh-CN"/>
                <w14:textFill>
                  <w14:solidFill>
                    <w14:schemeClr w14:val="tx1"/>
                  </w14:solidFill>
                </w14:textFill>
              </w:rPr>
              <w:t>5</w:t>
            </w:r>
          </w:p>
        </w:tc>
        <w:tc>
          <w:tcPr>
            <w:tcW w:w="865" w:type="dxa"/>
            <w:vAlign w:val="center"/>
          </w:tcPr>
          <w:p>
            <w:pPr>
              <w:pStyle w:val="11"/>
              <w:spacing w:line="360" w:lineRule="auto"/>
              <w:rPr>
                <w:rFonts w:hint="eastAsia"/>
                <w:b w:val="0"/>
                <w:bCs w:val="0"/>
                <w:color w:val="auto"/>
              </w:rPr>
            </w:pPr>
            <w:r>
              <w:rPr>
                <w:rFonts w:hint="eastAsia"/>
                <w:b w:val="0"/>
                <w:bCs w:val="0"/>
                <w:color w:val="auto"/>
                <w:szCs w:val="22"/>
                <w:lang w:eastAsia="zh-CN"/>
              </w:rPr>
              <w:t>履约保证金</w:t>
            </w:r>
          </w:p>
        </w:tc>
        <w:tc>
          <w:tcPr>
            <w:tcW w:w="7895" w:type="dxa"/>
            <w:vAlign w:val="center"/>
          </w:tcPr>
          <w:p>
            <w:pPr>
              <w:pStyle w:val="11"/>
              <w:spacing w:line="360" w:lineRule="auto"/>
              <w:jc w:val="both"/>
              <w:rPr>
                <w:rFonts w:hint="eastAsia" w:ascii="宋体" w:hAnsi="宋体" w:eastAsia="宋体" w:cs="宋体"/>
                <w:color w:val="000000" w:themeColor="text1"/>
                <w14:textFill>
                  <w14:solidFill>
                    <w14:schemeClr w14:val="tx1"/>
                  </w14:solidFill>
                </w14:textFill>
              </w:rPr>
            </w:pPr>
            <w:r>
              <w:rPr>
                <w:rFonts w:hint="eastAsia"/>
                <w:color w:val="auto"/>
                <w:szCs w:val="22"/>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blHeader/>
          <w:jc w:val="center"/>
        </w:trPr>
        <w:tc>
          <w:tcPr>
            <w:tcW w:w="583" w:type="dxa"/>
            <w:vAlign w:val="center"/>
          </w:tcPr>
          <w:p>
            <w:pPr>
              <w:pStyle w:val="11"/>
              <w:spacing w:line="360" w:lineRule="auto"/>
              <w:rPr>
                <w:rFonts w:hint="eastAsia" w:ascii="宋体" w:hAnsi="宋体" w:eastAsia="宋体"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6</w:t>
            </w:r>
          </w:p>
        </w:tc>
        <w:tc>
          <w:tcPr>
            <w:tcW w:w="865" w:type="dxa"/>
            <w:vAlign w:val="center"/>
          </w:tcPr>
          <w:p>
            <w:pPr>
              <w:pStyle w:val="11"/>
              <w:spacing w:line="360" w:lineRule="auto"/>
              <w:rPr>
                <w:rFonts w:hint="eastAsia"/>
                <w:b/>
                <w:bCs/>
                <w:color w:val="auto"/>
                <w:szCs w:val="22"/>
                <w:lang w:eastAsia="zh-CN"/>
              </w:rPr>
            </w:pPr>
            <w:r>
              <w:rPr>
                <w:rFonts w:hint="eastAsia" w:ascii="宋体" w:hAnsi="宋体" w:eastAsia="宋体" w:cs="宋体"/>
                <w:b/>
                <w:bCs/>
                <w:color w:val="000000" w:themeColor="text1"/>
                <w14:textFill>
                  <w14:solidFill>
                    <w14:schemeClr w14:val="tx1"/>
                  </w14:solidFill>
                </w14:textFill>
              </w:rPr>
              <w:t>中标说明</w:t>
            </w:r>
          </w:p>
        </w:tc>
        <w:tc>
          <w:tcPr>
            <w:tcW w:w="7895" w:type="dxa"/>
            <w:vAlign w:val="center"/>
          </w:tcPr>
          <w:p>
            <w:pPr>
              <w:pStyle w:val="6"/>
              <w:bidi w:val="0"/>
              <w:ind w:left="0" w:leftChars="0" w:firstLine="0" w:firstLineChars="0"/>
              <w:rPr>
                <w:rFonts w:hint="eastAsia"/>
                <w:color w:val="auto"/>
                <w:szCs w:val="22"/>
                <w:lang w:val="en-US" w:eastAsia="zh-CN"/>
              </w:rPr>
            </w:pPr>
            <w:r>
              <w:rPr>
                <w:rFonts w:hint="eastAsia" w:ascii="宋体" w:hAnsi="宋体" w:eastAsia="宋体" w:cs="宋体"/>
                <w:b/>
                <w:bCs/>
                <w:color w:val="000000" w:themeColor="text1"/>
                <w:kern w:val="0"/>
                <w:sz w:val="24"/>
                <w:szCs w:val="20"/>
                <w:lang w:val="en-US" w:eastAsia="zh-CN" w:bidi="ar-SA"/>
                <w14:textFill>
                  <w14:solidFill>
                    <w14:schemeClr w14:val="tx1"/>
                  </w14:solidFill>
                </w14:textFill>
              </w:rPr>
              <w:t>本项目</w:t>
            </w:r>
            <w:r>
              <w:rPr>
                <w:rFonts w:hint="eastAsia" w:cs="宋体"/>
                <w:b/>
                <w:bCs/>
                <w:color w:val="000000" w:themeColor="text1"/>
                <w:kern w:val="0"/>
                <w:sz w:val="24"/>
                <w:szCs w:val="20"/>
                <w:lang w:val="en-US" w:eastAsia="zh-CN" w:bidi="ar-SA"/>
                <w14:textFill>
                  <w14:solidFill>
                    <w14:schemeClr w14:val="tx1"/>
                  </w14:solidFill>
                </w14:textFill>
              </w:rPr>
              <w:t>合同包1、合同包2</w:t>
            </w:r>
            <w:r>
              <w:rPr>
                <w:rFonts w:hint="eastAsia" w:ascii="宋体" w:hAnsi="宋体" w:eastAsia="宋体" w:cs="宋体"/>
                <w:b/>
                <w:bCs/>
                <w:color w:val="000000" w:themeColor="text1"/>
                <w:kern w:val="0"/>
                <w:sz w:val="24"/>
                <w:szCs w:val="20"/>
                <w:lang w:val="en-US" w:eastAsia="zh-CN" w:bidi="ar-SA"/>
                <w14:textFill>
                  <w14:solidFill>
                    <w14:schemeClr w14:val="tx1"/>
                  </w14:solidFill>
                </w14:textFill>
              </w:rPr>
              <w:t>采用有限数量制入围前三名，每包入围供应商入围份额以该包报价综合折扣由低到高排序分别为45%份额、30%份额、25%份额</w:t>
            </w:r>
            <w:r>
              <w:rPr>
                <w:rFonts w:hint="eastAsia" w:cs="宋体"/>
                <w:b/>
                <w:bCs/>
                <w:color w:val="000000" w:themeColor="text1"/>
                <w:kern w:val="0"/>
                <w:sz w:val="24"/>
                <w:szCs w:val="20"/>
                <w:lang w:val="en-US" w:eastAsia="zh-CN" w:bidi="ar-SA"/>
                <w14:textFill>
                  <w14:solidFill>
                    <w14:schemeClr w14:val="tx1"/>
                  </w14:solidFill>
                </w14:textFill>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ZTdmZWNkZThhYzU1MTNmMWJlNWM0M2ExM2M5MDQifQ=="/>
  </w:docVars>
  <w:rsids>
    <w:rsidRoot w:val="3F23360C"/>
    <w:rsid w:val="3F23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qFormat/>
    <w:uiPriority w:val="0"/>
    <w:pPr>
      <w:keepNext/>
      <w:adjustRightInd w:val="0"/>
      <w:snapToGrid w:val="0"/>
      <w:spacing w:before="100" w:beforeLines="100" w:line="480" w:lineRule="auto"/>
      <w:jc w:val="center"/>
      <w:outlineLvl w:val="0"/>
    </w:pPr>
    <w:rPr>
      <w:rFonts w:hAnsi="宋体" w:cs="宋体"/>
      <w:b/>
      <w:kern w:val="2"/>
      <w:sz w:val="32"/>
    </w:rPr>
  </w:style>
  <w:style w:type="paragraph" w:styleId="5">
    <w:name w:val="heading 4"/>
    <w:basedOn w:val="1"/>
    <w:next w:val="1"/>
    <w:qFormat/>
    <w:uiPriority w:val="0"/>
    <w:pPr>
      <w:keepNext/>
      <w:keepLines/>
      <w:tabs>
        <w:tab w:val="left" w:pos="864"/>
      </w:tabs>
      <w:adjustRightInd w:val="0"/>
      <w:snapToGrid w:val="0"/>
      <w:spacing w:before="120" w:line="360" w:lineRule="auto"/>
      <w:outlineLvl w:val="3"/>
    </w:pPr>
    <w:rPr>
      <w:rFonts w:hAnsi="宋体" w:cs="宋体"/>
      <w:b/>
      <w:bCs/>
      <w:kern w:val="2"/>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1"/>
    <w:qFormat/>
    <w:uiPriority w:val="0"/>
    <w:pPr>
      <w:widowControl/>
      <w:ind w:firstLine="652" w:firstLineChars="233"/>
    </w:pPr>
    <w:rPr>
      <w:rFonts w:ascii="Times New Roman"/>
      <w:sz w:val="28"/>
    </w:rPr>
  </w:style>
  <w:style w:type="paragraph" w:styleId="6">
    <w:name w:val="Normal Indent"/>
    <w:basedOn w:val="1"/>
    <w:next w:val="7"/>
    <w:qFormat/>
    <w:uiPriority w:val="0"/>
    <w:pPr>
      <w:adjustRightInd w:val="0"/>
      <w:snapToGrid w:val="0"/>
      <w:spacing w:line="360" w:lineRule="auto"/>
      <w:ind w:firstLine="420" w:firstLineChars="200"/>
    </w:pPr>
    <w:rPr>
      <w:rFonts w:hAnsi="宋体" w:cs="宋体"/>
      <w:kern w:val="2"/>
      <w:szCs w:val="24"/>
    </w:rPr>
  </w:style>
  <w:style w:type="paragraph" w:styleId="7">
    <w:name w:val="toc 4"/>
    <w:basedOn w:val="1"/>
    <w:next w:val="1"/>
    <w:unhideWhenUsed/>
    <w:qFormat/>
    <w:uiPriority w:val="39"/>
    <w:pPr>
      <w:ind w:left="1260" w:leftChars="600"/>
    </w:pPr>
  </w:style>
  <w:style w:type="paragraph" w:styleId="8">
    <w:name w:val="annotation text"/>
    <w:basedOn w:val="1"/>
    <w:qFormat/>
    <w:uiPriority w:val="0"/>
    <w:pPr>
      <w:jc w:val="left"/>
    </w:pPr>
  </w:style>
  <w:style w:type="paragraph" w:customStyle="1" w:styleId="11">
    <w:name w:val="表格"/>
    <w:basedOn w:val="1"/>
    <w:qFormat/>
    <w:uiPriority w:val="0"/>
    <w:pPr>
      <w:jc w:val="center"/>
    </w:pPr>
    <w:rPr>
      <w:rFonts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2022-12-23T09:17:00Z</dcterms:created>
  <dc:creator>好好的</dc:creator>
  <cp:lastModifiedBy>好好的</cp:lastModifiedBy>
  <dcterms:modified xsi:type="dcterms:W3CDTF">2022-12-23T09:18:42Z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4F5598611AF44DCB956D5D0032335A1C</vt:lpwstr>
  </property>
</Properties>
</file>