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30"/>
        </w:rPr>
      </w:pPr>
      <w:bookmarkStart w:id="0" w:name="OLE_LINK9"/>
      <w:r>
        <w:rPr>
          <w:rFonts w:hint="eastAsia" w:ascii="宋体" w:hAnsi="宋体" w:cs="宋体"/>
          <w:b/>
          <w:sz w:val="30"/>
        </w:rPr>
        <w:t>项目编号：ZMZB2022YLXY-387</w:t>
      </w:r>
    </w:p>
    <w:p>
      <w:pPr>
        <w:adjustRightInd w:val="0"/>
        <w:snapToGrid w:val="0"/>
        <w:spacing w:line="360" w:lineRule="auto"/>
        <w:rPr>
          <w:rFonts w:ascii="宋体" w:hAnsi="宋体" w:cs="宋体"/>
          <w:b/>
          <w:sz w:val="48"/>
          <w:szCs w:val="48"/>
        </w:rPr>
      </w:pPr>
    </w:p>
    <w:p>
      <w:pPr>
        <w:pStyle w:val="12"/>
      </w:pPr>
    </w:p>
    <w:p>
      <w:pPr>
        <w:pStyle w:val="12"/>
      </w:pPr>
    </w:p>
    <w:p>
      <w:pPr>
        <w:adjustRightInd w:val="0"/>
        <w:snapToGrid w:val="0"/>
        <w:spacing w:line="360" w:lineRule="auto"/>
        <w:jc w:val="center"/>
        <w:rPr>
          <w:rFonts w:ascii="宋体" w:hAnsi="宋体" w:cs="宋体"/>
          <w:b/>
          <w:sz w:val="56"/>
          <w:szCs w:val="48"/>
        </w:rPr>
      </w:pPr>
      <w:r>
        <w:rPr>
          <w:rFonts w:hint="eastAsia" w:ascii="宋体" w:hAnsi="宋体" w:cs="宋体"/>
          <w:b/>
          <w:bCs/>
          <w:sz w:val="56"/>
          <w:szCs w:val="56"/>
        </w:rPr>
        <w:t>榆林学院能源系统优化科研平台设备购置项目</w:t>
      </w:r>
    </w:p>
    <w:p>
      <w:pPr>
        <w:pStyle w:val="10"/>
        <w:rPr>
          <w:rFonts w:hAnsi="宋体" w:cs="宋体"/>
          <w:b/>
          <w:sz w:val="36"/>
          <w:szCs w:val="28"/>
        </w:rPr>
      </w:pPr>
      <w:r>
        <w:drawing>
          <wp:anchor distT="0" distB="0" distL="114300" distR="114300" simplePos="0" relativeHeight="251663360" behindDoc="0" locked="0" layoutInCell="1" allowOverlap="1">
            <wp:simplePos x="0" y="0"/>
            <wp:positionH relativeFrom="column">
              <wp:posOffset>1625600</wp:posOffset>
            </wp:positionH>
            <wp:positionV relativeFrom="paragraph">
              <wp:posOffset>360045</wp:posOffset>
            </wp:positionV>
            <wp:extent cx="2095500" cy="1087120"/>
            <wp:effectExtent l="1905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0"/>
                    <a:srcRect/>
                    <a:stretch>
                      <a:fillRect/>
                    </a:stretch>
                  </pic:blipFill>
                  <pic:spPr>
                    <a:xfrm>
                      <a:off x="0" y="0"/>
                      <a:ext cx="2095500" cy="1087120"/>
                    </a:xfrm>
                    <a:prstGeom prst="rect">
                      <a:avLst/>
                    </a:prstGeom>
                    <a:noFill/>
                    <a:ln w="9525" cmpd="sng">
                      <a:noFill/>
                      <a:miter lim="800000"/>
                      <a:headEnd/>
                      <a:tailEnd/>
                    </a:ln>
                  </pic:spPr>
                </pic:pic>
              </a:graphicData>
            </a:graphic>
          </wp:anchor>
        </w:drawing>
      </w:r>
    </w:p>
    <w:p>
      <w:pPr>
        <w:adjustRightInd w:val="0"/>
        <w:snapToGrid w:val="0"/>
        <w:spacing w:line="360" w:lineRule="auto"/>
        <w:rPr>
          <w:rFonts w:ascii="宋体" w:hAnsi="宋体" w:cs="宋体"/>
          <w:b/>
          <w:sz w:val="52"/>
          <w:szCs w:val="52"/>
        </w:rPr>
      </w:pPr>
    </w:p>
    <w:p>
      <w:pPr>
        <w:tabs>
          <w:tab w:val="left" w:pos="0"/>
        </w:tabs>
        <w:adjustRightInd w:val="0"/>
        <w:snapToGrid w:val="0"/>
        <w:spacing w:line="360" w:lineRule="auto"/>
        <w:jc w:val="left"/>
        <w:rPr>
          <w:rFonts w:ascii="宋体" w:hAnsi="宋体" w:cs="宋体"/>
          <w:b/>
          <w:sz w:val="72"/>
          <w:szCs w:val="72"/>
        </w:rPr>
      </w:pPr>
    </w:p>
    <w:p>
      <w:pPr>
        <w:tabs>
          <w:tab w:val="left" w:pos="0"/>
        </w:tabs>
        <w:adjustRightInd w:val="0"/>
        <w:snapToGrid w:val="0"/>
        <w:spacing w:line="360" w:lineRule="auto"/>
        <w:jc w:val="center"/>
        <w:rPr>
          <w:rFonts w:ascii="宋体" w:hAnsi="宋体" w:cs="宋体"/>
          <w:b/>
          <w:sz w:val="30"/>
        </w:rPr>
      </w:pPr>
      <w:r>
        <w:rPr>
          <w:rFonts w:hint="eastAsia" w:ascii="宋体" w:hAnsi="宋体" w:cs="宋体"/>
          <w:b/>
          <w:sz w:val="72"/>
          <w:szCs w:val="72"/>
        </w:rPr>
        <w:t>竞争性谈判文件</w:t>
      </w:r>
    </w:p>
    <w:p>
      <w:pPr>
        <w:adjustRightInd w:val="0"/>
        <w:snapToGrid w:val="0"/>
        <w:spacing w:line="360" w:lineRule="auto"/>
        <w:jc w:val="center"/>
        <w:rPr>
          <w:rFonts w:ascii="宋体" w:hAnsi="宋体" w:cs="宋体"/>
          <w:b/>
          <w:sz w:val="30"/>
        </w:rPr>
      </w:pPr>
    </w:p>
    <w:p/>
    <w:p/>
    <w:p/>
    <w:p>
      <w:pPr>
        <w:adjustRightInd w:val="0"/>
        <w:snapToGrid w:val="0"/>
        <w:spacing w:line="360" w:lineRule="auto"/>
        <w:jc w:val="center"/>
        <w:rPr>
          <w:rFonts w:ascii="宋体" w:hAnsi="宋体" w:cs="宋体"/>
          <w:b/>
          <w:sz w:val="32"/>
          <w:szCs w:val="32"/>
        </w:rPr>
      </w:pPr>
      <w:r>
        <w:rPr>
          <w:rFonts w:hint="eastAsia" w:ascii="宋体" w:hAnsi="宋体" w:cs="宋体"/>
          <w:b/>
          <w:sz w:val="32"/>
          <w:szCs w:val="32"/>
        </w:rPr>
        <w:t>陕西卓佲项目管理有限公司</w:t>
      </w:r>
    </w:p>
    <w:p>
      <w:pPr>
        <w:adjustRightInd w:val="0"/>
        <w:snapToGrid w:val="0"/>
        <w:spacing w:line="600" w:lineRule="auto"/>
        <w:jc w:val="center"/>
        <w:rPr>
          <w:rFonts w:ascii="宋体" w:hAnsi="宋体" w:cs="宋体"/>
          <w:b/>
          <w:sz w:val="32"/>
          <w:szCs w:val="32"/>
        </w:rPr>
        <w:sectPr>
          <w:headerReference r:id="rId3" w:type="first"/>
          <w:footerReference r:id="rId4" w:type="default"/>
          <w:pgSz w:w="11906" w:h="16838"/>
          <w:pgMar w:top="1440" w:right="1803" w:bottom="1440" w:left="1803" w:header="851" w:footer="992" w:gutter="0"/>
          <w:cols w:space="720" w:num="1"/>
          <w:docGrid w:type="lines" w:linePitch="312" w:charSpace="0"/>
        </w:sectPr>
      </w:pPr>
      <w:r>
        <w:rPr>
          <w:rFonts w:hint="eastAsia" w:ascii="宋体" w:hAnsi="宋体" w:cs="宋体"/>
          <w:b/>
          <w:sz w:val="32"/>
          <w:szCs w:val="32"/>
        </w:rPr>
        <w:t>2022年12月</w:t>
      </w:r>
    </w:p>
    <w:p>
      <w:pPr>
        <w:pStyle w:val="17"/>
        <w:tabs>
          <w:tab w:val="right" w:leader="dot" w:pos="8306"/>
        </w:tabs>
        <w:spacing w:line="360" w:lineRule="auto"/>
        <w:jc w:val="center"/>
        <w:rPr>
          <w:rFonts w:ascii="宋体" w:hAnsi="宋体" w:cs="宋体"/>
          <w:b/>
          <w:bCs/>
          <w:sz w:val="52"/>
          <w:szCs w:val="52"/>
        </w:rPr>
      </w:pPr>
      <w:r>
        <w:rPr>
          <w:rFonts w:hint="eastAsia" w:ascii="宋体" w:hAnsi="宋体" w:cs="宋体"/>
          <w:b/>
          <w:bCs/>
          <w:sz w:val="52"/>
          <w:szCs w:val="52"/>
        </w:rPr>
        <w:t>目录</w:t>
      </w:r>
    </w:p>
    <w:p>
      <w:pPr>
        <w:pStyle w:val="17"/>
        <w:tabs>
          <w:tab w:val="right" w:leader="dot" w:pos="8300"/>
        </w:tabs>
      </w:pPr>
      <w:r>
        <w:rPr>
          <w:rFonts w:hint="eastAsia" w:ascii="宋体" w:hAnsi="宋体" w:cs="宋体"/>
          <w:sz w:val="96"/>
          <w:szCs w:val="96"/>
        </w:rPr>
        <w:fldChar w:fldCharType="begin"/>
      </w:r>
      <w:r>
        <w:rPr>
          <w:rFonts w:hint="eastAsia" w:ascii="宋体" w:hAnsi="宋体" w:cs="宋体"/>
          <w:sz w:val="96"/>
          <w:szCs w:val="96"/>
        </w:rPr>
        <w:instrText xml:space="preserve">TOC \o "1-2" \h \u </w:instrText>
      </w:r>
      <w:r>
        <w:rPr>
          <w:rFonts w:hint="eastAsia" w:ascii="宋体" w:hAnsi="宋体" w:cs="宋体"/>
          <w:sz w:val="96"/>
          <w:szCs w:val="96"/>
        </w:rPr>
        <w:fldChar w:fldCharType="separate"/>
      </w:r>
      <w:r>
        <w:fldChar w:fldCharType="begin"/>
      </w:r>
      <w:r>
        <w:instrText xml:space="preserve"> HYPERLINK \l "_Toc14727" </w:instrText>
      </w:r>
      <w:r>
        <w:fldChar w:fldCharType="separate"/>
      </w:r>
      <w:r>
        <w:rPr>
          <w:rFonts w:hint="eastAsia" w:ascii="宋体" w:hAnsi="宋体" w:cs="宋体"/>
          <w:szCs w:val="36"/>
        </w:rPr>
        <w:t>第一部分  竞争性谈判公告</w:t>
      </w:r>
      <w:r>
        <w:tab/>
      </w:r>
      <w:r>
        <w:fldChar w:fldCharType="begin"/>
      </w:r>
      <w:r>
        <w:instrText xml:space="preserve"> PAGEREF _Toc14727 \h </w:instrText>
      </w:r>
      <w:r>
        <w:fldChar w:fldCharType="separate"/>
      </w:r>
      <w:r>
        <w:t>3</w:t>
      </w:r>
      <w:r>
        <w:fldChar w:fldCharType="end"/>
      </w:r>
      <w:r>
        <w:fldChar w:fldCharType="end"/>
      </w:r>
    </w:p>
    <w:p>
      <w:pPr>
        <w:pStyle w:val="17"/>
        <w:tabs>
          <w:tab w:val="right" w:leader="dot" w:pos="8300"/>
        </w:tabs>
      </w:pPr>
      <w:r>
        <w:fldChar w:fldCharType="begin"/>
      </w:r>
      <w:r>
        <w:instrText xml:space="preserve"> HYPERLINK \l "_Toc29439" </w:instrText>
      </w:r>
      <w:r>
        <w:fldChar w:fldCharType="separate"/>
      </w:r>
      <w:r>
        <w:rPr>
          <w:rFonts w:hint="eastAsia" w:ascii="宋体" w:hAnsi="宋体" w:cs="宋体"/>
        </w:rPr>
        <w:t>第二部分  供应商须知前附表</w:t>
      </w:r>
      <w:r>
        <w:tab/>
      </w:r>
      <w:r>
        <w:fldChar w:fldCharType="begin"/>
      </w:r>
      <w:r>
        <w:instrText xml:space="preserve"> PAGEREF _Toc29439 \h </w:instrText>
      </w:r>
      <w:r>
        <w:fldChar w:fldCharType="separate"/>
      </w:r>
      <w:r>
        <w:t>7</w:t>
      </w:r>
      <w:r>
        <w:fldChar w:fldCharType="end"/>
      </w:r>
      <w:r>
        <w:fldChar w:fldCharType="end"/>
      </w:r>
    </w:p>
    <w:p>
      <w:pPr>
        <w:pStyle w:val="17"/>
        <w:tabs>
          <w:tab w:val="right" w:leader="dot" w:pos="8300"/>
        </w:tabs>
      </w:pPr>
      <w:r>
        <w:fldChar w:fldCharType="begin"/>
      </w:r>
      <w:r>
        <w:instrText xml:space="preserve"> HYPERLINK \l "_Toc3360" </w:instrText>
      </w:r>
      <w:r>
        <w:fldChar w:fldCharType="separate"/>
      </w:r>
      <w:r>
        <w:rPr>
          <w:rFonts w:hint="eastAsia" w:ascii="宋体" w:hAnsi="宋体" w:cs="宋体"/>
        </w:rPr>
        <w:t>第三部分  供应商须知</w:t>
      </w:r>
      <w:r>
        <w:tab/>
      </w:r>
      <w:r>
        <w:fldChar w:fldCharType="begin"/>
      </w:r>
      <w:r>
        <w:instrText xml:space="preserve"> PAGEREF _Toc3360 \h </w:instrText>
      </w:r>
      <w:r>
        <w:fldChar w:fldCharType="separate"/>
      </w:r>
      <w:r>
        <w:t>13</w:t>
      </w:r>
      <w:r>
        <w:fldChar w:fldCharType="end"/>
      </w:r>
      <w:r>
        <w:fldChar w:fldCharType="end"/>
      </w:r>
    </w:p>
    <w:p>
      <w:pPr>
        <w:pStyle w:val="19"/>
        <w:tabs>
          <w:tab w:val="right" w:leader="dot" w:pos="8300"/>
        </w:tabs>
      </w:pPr>
      <w:r>
        <w:fldChar w:fldCharType="begin"/>
      </w:r>
      <w:r>
        <w:instrText xml:space="preserve"> HYPERLINK \l "_Toc32277" </w:instrText>
      </w:r>
      <w:r>
        <w:fldChar w:fldCharType="separate"/>
      </w:r>
      <w:r>
        <w:rPr>
          <w:rFonts w:hint="eastAsia" w:ascii="宋体" w:hAnsi="宋体" w:cs="宋体"/>
        </w:rPr>
        <w:t>一、 总 则</w:t>
      </w:r>
      <w:r>
        <w:tab/>
      </w:r>
      <w:r>
        <w:fldChar w:fldCharType="begin"/>
      </w:r>
      <w:r>
        <w:instrText xml:space="preserve"> PAGEREF _Toc32277 \h </w:instrText>
      </w:r>
      <w:r>
        <w:fldChar w:fldCharType="separate"/>
      </w:r>
      <w:r>
        <w:t>13</w:t>
      </w:r>
      <w:r>
        <w:fldChar w:fldCharType="end"/>
      </w:r>
      <w:r>
        <w:fldChar w:fldCharType="end"/>
      </w:r>
    </w:p>
    <w:p>
      <w:pPr>
        <w:pStyle w:val="19"/>
        <w:tabs>
          <w:tab w:val="right" w:leader="dot" w:pos="8300"/>
        </w:tabs>
      </w:pPr>
      <w:r>
        <w:fldChar w:fldCharType="begin"/>
      </w:r>
      <w:r>
        <w:instrText xml:space="preserve"> HYPERLINK \l "_Toc29789" </w:instrText>
      </w:r>
      <w:r>
        <w:fldChar w:fldCharType="separate"/>
      </w:r>
      <w:r>
        <w:rPr>
          <w:rFonts w:hint="eastAsia" w:ascii="宋体" w:hAnsi="宋体" w:cs="宋体"/>
        </w:rPr>
        <w:t>二、 竞争性谈判文件</w:t>
      </w:r>
      <w:r>
        <w:tab/>
      </w:r>
      <w:r>
        <w:fldChar w:fldCharType="begin"/>
      </w:r>
      <w:r>
        <w:instrText xml:space="preserve"> PAGEREF _Toc29789 \h </w:instrText>
      </w:r>
      <w:r>
        <w:fldChar w:fldCharType="separate"/>
      </w:r>
      <w:r>
        <w:t>15</w:t>
      </w:r>
      <w:r>
        <w:fldChar w:fldCharType="end"/>
      </w:r>
      <w:r>
        <w:fldChar w:fldCharType="end"/>
      </w:r>
    </w:p>
    <w:p>
      <w:pPr>
        <w:pStyle w:val="19"/>
        <w:tabs>
          <w:tab w:val="right" w:leader="dot" w:pos="8300"/>
        </w:tabs>
      </w:pPr>
      <w:r>
        <w:fldChar w:fldCharType="begin"/>
      </w:r>
      <w:r>
        <w:instrText xml:space="preserve"> HYPERLINK \l "_Toc28647" </w:instrText>
      </w:r>
      <w:r>
        <w:fldChar w:fldCharType="separate"/>
      </w:r>
      <w:r>
        <w:rPr>
          <w:rFonts w:hint="eastAsia" w:ascii="宋体" w:hAnsi="宋体" w:cs="宋体"/>
        </w:rPr>
        <w:t>三、 响应文件</w:t>
      </w:r>
      <w:r>
        <w:tab/>
      </w:r>
      <w:r>
        <w:fldChar w:fldCharType="begin"/>
      </w:r>
      <w:r>
        <w:instrText xml:space="preserve"> PAGEREF _Toc28647 \h </w:instrText>
      </w:r>
      <w:r>
        <w:fldChar w:fldCharType="separate"/>
      </w:r>
      <w:r>
        <w:t>17</w:t>
      </w:r>
      <w:r>
        <w:fldChar w:fldCharType="end"/>
      </w:r>
      <w:r>
        <w:fldChar w:fldCharType="end"/>
      </w:r>
    </w:p>
    <w:p>
      <w:pPr>
        <w:pStyle w:val="19"/>
        <w:tabs>
          <w:tab w:val="right" w:leader="dot" w:pos="8300"/>
        </w:tabs>
      </w:pPr>
      <w:r>
        <w:fldChar w:fldCharType="begin"/>
      </w:r>
      <w:r>
        <w:instrText xml:space="preserve"> HYPERLINK \l "_Toc1425" </w:instrText>
      </w:r>
      <w:r>
        <w:fldChar w:fldCharType="separate"/>
      </w:r>
      <w:r>
        <w:rPr>
          <w:rFonts w:hint="eastAsia" w:ascii="宋体" w:hAnsi="宋体" w:cs="宋体"/>
        </w:rPr>
        <w:t>四、 响应文件的递交</w:t>
      </w:r>
      <w:r>
        <w:tab/>
      </w:r>
      <w:r>
        <w:fldChar w:fldCharType="begin"/>
      </w:r>
      <w:r>
        <w:instrText xml:space="preserve"> PAGEREF _Toc1425 \h </w:instrText>
      </w:r>
      <w:r>
        <w:fldChar w:fldCharType="separate"/>
      </w:r>
      <w:r>
        <w:t>19</w:t>
      </w:r>
      <w:r>
        <w:fldChar w:fldCharType="end"/>
      </w:r>
      <w:r>
        <w:fldChar w:fldCharType="end"/>
      </w:r>
    </w:p>
    <w:p>
      <w:pPr>
        <w:pStyle w:val="19"/>
        <w:tabs>
          <w:tab w:val="right" w:leader="dot" w:pos="8300"/>
        </w:tabs>
      </w:pPr>
      <w:r>
        <w:fldChar w:fldCharType="begin"/>
      </w:r>
      <w:r>
        <w:instrText xml:space="preserve"> HYPERLINK \l "_Toc29690" </w:instrText>
      </w:r>
      <w:r>
        <w:fldChar w:fldCharType="separate"/>
      </w:r>
      <w:r>
        <w:rPr>
          <w:rFonts w:hint="eastAsia" w:ascii="宋体" w:hAnsi="宋体" w:cs="宋体"/>
        </w:rPr>
        <w:t>五、 谈判、评审、定标</w:t>
      </w:r>
      <w:r>
        <w:tab/>
      </w:r>
      <w:r>
        <w:fldChar w:fldCharType="begin"/>
      </w:r>
      <w:r>
        <w:instrText xml:space="preserve"> PAGEREF _Toc29690 \h </w:instrText>
      </w:r>
      <w:r>
        <w:fldChar w:fldCharType="separate"/>
      </w:r>
      <w:r>
        <w:t>19</w:t>
      </w:r>
      <w:r>
        <w:fldChar w:fldCharType="end"/>
      </w:r>
      <w:r>
        <w:fldChar w:fldCharType="end"/>
      </w:r>
    </w:p>
    <w:p>
      <w:pPr>
        <w:pStyle w:val="19"/>
        <w:tabs>
          <w:tab w:val="right" w:leader="dot" w:pos="8300"/>
        </w:tabs>
      </w:pPr>
      <w:r>
        <w:fldChar w:fldCharType="begin"/>
      </w:r>
      <w:r>
        <w:instrText xml:space="preserve"> HYPERLINK \l "_Toc2402" </w:instrText>
      </w:r>
      <w:r>
        <w:fldChar w:fldCharType="separate"/>
      </w:r>
      <w:r>
        <w:rPr>
          <w:rFonts w:hint="eastAsia" w:ascii="宋体" w:hAnsi="宋体" w:cs="宋体"/>
        </w:rPr>
        <w:t>六、 签订合同</w:t>
      </w:r>
      <w:r>
        <w:tab/>
      </w:r>
      <w:r>
        <w:fldChar w:fldCharType="begin"/>
      </w:r>
      <w:r>
        <w:instrText xml:space="preserve"> PAGEREF _Toc2402 \h </w:instrText>
      </w:r>
      <w:r>
        <w:fldChar w:fldCharType="separate"/>
      </w:r>
      <w:r>
        <w:t>23</w:t>
      </w:r>
      <w:r>
        <w:fldChar w:fldCharType="end"/>
      </w:r>
      <w:r>
        <w:fldChar w:fldCharType="end"/>
      </w:r>
    </w:p>
    <w:p>
      <w:pPr>
        <w:pStyle w:val="19"/>
        <w:tabs>
          <w:tab w:val="right" w:leader="dot" w:pos="8300"/>
        </w:tabs>
      </w:pPr>
      <w:r>
        <w:fldChar w:fldCharType="begin"/>
      </w:r>
      <w:r>
        <w:instrText xml:space="preserve"> HYPERLINK \l "_Toc53" </w:instrText>
      </w:r>
      <w:r>
        <w:fldChar w:fldCharType="separate"/>
      </w:r>
      <w:r>
        <w:rPr>
          <w:rFonts w:hint="eastAsia" w:ascii="宋体" w:hAnsi="宋体" w:cs="宋体"/>
        </w:rPr>
        <w:t>七、 质疑和投诉</w:t>
      </w:r>
      <w:r>
        <w:tab/>
      </w:r>
      <w:r>
        <w:fldChar w:fldCharType="begin"/>
      </w:r>
      <w:r>
        <w:instrText xml:space="preserve"> PAGEREF _Toc53 \h </w:instrText>
      </w:r>
      <w:r>
        <w:fldChar w:fldCharType="separate"/>
      </w:r>
      <w:r>
        <w:t>23</w:t>
      </w:r>
      <w:r>
        <w:fldChar w:fldCharType="end"/>
      </w:r>
      <w:r>
        <w:fldChar w:fldCharType="end"/>
      </w:r>
    </w:p>
    <w:p>
      <w:pPr>
        <w:pStyle w:val="17"/>
        <w:tabs>
          <w:tab w:val="right" w:leader="dot" w:pos="8300"/>
        </w:tabs>
      </w:pPr>
      <w:r>
        <w:fldChar w:fldCharType="begin"/>
      </w:r>
      <w:r>
        <w:instrText xml:space="preserve"> HYPERLINK \l "_Toc11210" </w:instrText>
      </w:r>
      <w:r>
        <w:fldChar w:fldCharType="separate"/>
      </w:r>
      <w:r>
        <w:rPr>
          <w:rFonts w:hint="eastAsia" w:ascii="宋体" w:hAnsi="宋体" w:cs="宋体"/>
        </w:rPr>
        <w:t>第四部分  评审标准</w:t>
      </w:r>
      <w:r>
        <w:tab/>
      </w:r>
      <w:r>
        <w:fldChar w:fldCharType="begin"/>
      </w:r>
      <w:r>
        <w:instrText xml:space="preserve"> PAGEREF _Toc11210 \h </w:instrText>
      </w:r>
      <w:r>
        <w:fldChar w:fldCharType="separate"/>
      </w:r>
      <w:r>
        <w:t>26</w:t>
      </w:r>
      <w:r>
        <w:fldChar w:fldCharType="end"/>
      </w:r>
      <w:r>
        <w:fldChar w:fldCharType="end"/>
      </w:r>
    </w:p>
    <w:p>
      <w:pPr>
        <w:pStyle w:val="17"/>
        <w:tabs>
          <w:tab w:val="right" w:leader="dot" w:pos="8300"/>
        </w:tabs>
      </w:pPr>
      <w:r>
        <w:fldChar w:fldCharType="begin"/>
      </w:r>
      <w:r>
        <w:instrText xml:space="preserve"> HYPERLINK \l "_Toc6481" </w:instrText>
      </w:r>
      <w:r>
        <w:fldChar w:fldCharType="separate"/>
      </w:r>
      <w:r>
        <w:rPr>
          <w:rFonts w:hint="eastAsia" w:ascii="宋体" w:hAnsi="宋体" w:cs="宋体"/>
        </w:rPr>
        <w:t>第五部分 采购要求</w:t>
      </w:r>
      <w:r>
        <w:tab/>
      </w:r>
      <w:r>
        <w:fldChar w:fldCharType="begin"/>
      </w:r>
      <w:r>
        <w:instrText xml:space="preserve"> PAGEREF _Toc6481 \h </w:instrText>
      </w:r>
      <w:r>
        <w:fldChar w:fldCharType="separate"/>
      </w:r>
      <w:r>
        <w:t>27</w:t>
      </w:r>
      <w:r>
        <w:fldChar w:fldCharType="end"/>
      </w:r>
      <w:r>
        <w:fldChar w:fldCharType="end"/>
      </w:r>
    </w:p>
    <w:p>
      <w:pPr>
        <w:pStyle w:val="17"/>
        <w:tabs>
          <w:tab w:val="right" w:leader="dot" w:pos="8300"/>
        </w:tabs>
      </w:pPr>
      <w:r>
        <w:fldChar w:fldCharType="begin"/>
      </w:r>
      <w:r>
        <w:instrText xml:space="preserve"> HYPERLINK \l "_Toc24213" </w:instrText>
      </w:r>
      <w:r>
        <w:fldChar w:fldCharType="separate"/>
      </w:r>
      <w:r>
        <w:rPr>
          <w:rFonts w:hint="eastAsia" w:ascii="宋体" w:hAnsi="宋体" w:cs="宋体"/>
          <w:szCs w:val="36"/>
        </w:rPr>
        <w:t>第六部分 合同条款</w:t>
      </w:r>
      <w:r>
        <w:tab/>
      </w:r>
      <w:r>
        <w:fldChar w:fldCharType="begin"/>
      </w:r>
      <w:r>
        <w:instrText xml:space="preserve"> PAGEREF _Toc24213 \h </w:instrText>
      </w:r>
      <w:r>
        <w:fldChar w:fldCharType="separate"/>
      </w:r>
      <w:r>
        <w:t>27</w:t>
      </w:r>
      <w:r>
        <w:fldChar w:fldCharType="end"/>
      </w:r>
      <w:r>
        <w:fldChar w:fldCharType="end"/>
      </w:r>
    </w:p>
    <w:p>
      <w:pPr>
        <w:pStyle w:val="17"/>
        <w:tabs>
          <w:tab w:val="right" w:leader="dot" w:pos="8300"/>
        </w:tabs>
      </w:pPr>
      <w:r>
        <w:fldChar w:fldCharType="begin"/>
      </w:r>
      <w:r>
        <w:instrText xml:space="preserve"> HYPERLINK \l "_Toc2352" </w:instrText>
      </w:r>
      <w:r>
        <w:fldChar w:fldCharType="separate"/>
      </w:r>
      <w:r>
        <w:rPr>
          <w:rFonts w:hint="eastAsia" w:ascii="宋体" w:hAnsi="宋体" w:cs="宋体"/>
        </w:rPr>
        <w:t>第七部分  响应文件格式</w:t>
      </w:r>
      <w:r>
        <w:tab/>
      </w:r>
      <w:r>
        <w:fldChar w:fldCharType="begin"/>
      </w:r>
      <w:r>
        <w:instrText xml:space="preserve"> PAGEREF _Toc2352 \h </w:instrText>
      </w:r>
      <w:r>
        <w:fldChar w:fldCharType="separate"/>
      </w:r>
      <w:r>
        <w:t>37</w:t>
      </w:r>
      <w:r>
        <w:fldChar w:fldCharType="end"/>
      </w:r>
      <w:r>
        <w:fldChar w:fldCharType="end"/>
      </w:r>
    </w:p>
    <w:p>
      <w:pPr>
        <w:pStyle w:val="19"/>
        <w:tabs>
          <w:tab w:val="right" w:leader="dot" w:pos="8300"/>
        </w:tabs>
      </w:pPr>
      <w:r>
        <w:fldChar w:fldCharType="begin"/>
      </w:r>
      <w:r>
        <w:instrText xml:space="preserve"> HYPERLINK \l "_Toc28248" </w:instrText>
      </w:r>
      <w:r>
        <w:fldChar w:fldCharType="separate"/>
      </w:r>
      <w:r>
        <w:rPr>
          <w:rFonts w:hint="eastAsia" w:ascii="宋体" w:hAnsi="宋体" w:cs="宋体"/>
        </w:rPr>
        <w:t>第一部分响应函</w:t>
      </w:r>
      <w:r>
        <w:tab/>
      </w:r>
      <w:r>
        <w:fldChar w:fldCharType="begin"/>
      </w:r>
      <w:r>
        <w:instrText xml:space="preserve"> PAGEREF _Toc28248 \h </w:instrText>
      </w:r>
      <w:r>
        <w:fldChar w:fldCharType="separate"/>
      </w:r>
      <w:r>
        <w:t>39</w:t>
      </w:r>
      <w:r>
        <w:fldChar w:fldCharType="end"/>
      </w:r>
      <w:r>
        <w:fldChar w:fldCharType="end"/>
      </w:r>
    </w:p>
    <w:p>
      <w:pPr>
        <w:pStyle w:val="19"/>
        <w:tabs>
          <w:tab w:val="right" w:leader="dot" w:pos="8300"/>
        </w:tabs>
      </w:pPr>
      <w:r>
        <w:fldChar w:fldCharType="begin"/>
      </w:r>
      <w:r>
        <w:instrText xml:space="preserve"> HYPERLINK \l "_Toc21346" </w:instrText>
      </w:r>
      <w:r>
        <w:fldChar w:fldCharType="separate"/>
      </w:r>
      <w:r>
        <w:rPr>
          <w:rFonts w:hint="eastAsia" w:ascii="宋体" w:hAnsi="宋体" w:cs="宋体"/>
        </w:rPr>
        <w:t>第二部分响应一览表</w:t>
      </w:r>
      <w:r>
        <w:tab/>
      </w:r>
      <w:r>
        <w:fldChar w:fldCharType="begin"/>
      </w:r>
      <w:r>
        <w:instrText xml:space="preserve"> PAGEREF _Toc21346 \h </w:instrText>
      </w:r>
      <w:r>
        <w:fldChar w:fldCharType="separate"/>
      </w:r>
      <w:r>
        <w:t>40</w:t>
      </w:r>
      <w:r>
        <w:fldChar w:fldCharType="end"/>
      </w:r>
      <w:r>
        <w:fldChar w:fldCharType="end"/>
      </w:r>
    </w:p>
    <w:p>
      <w:pPr>
        <w:pStyle w:val="19"/>
        <w:tabs>
          <w:tab w:val="right" w:leader="dot" w:pos="8300"/>
        </w:tabs>
      </w:pPr>
      <w:r>
        <w:fldChar w:fldCharType="begin"/>
      </w:r>
      <w:r>
        <w:instrText xml:space="preserve"> HYPERLINK \l "_Toc23664" </w:instrText>
      </w:r>
      <w:r>
        <w:fldChar w:fldCharType="separate"/>
      </w:r>
      <w:r>
        <w:rPr>
          <w:rFonts w:hint="eastAsia" w:ascii="宋体" w:hAnsi="宋体" w:cs="宋体"/>
        </w:rPr>
        <w:t>第三部分 商务及技术响应说明</w:t>
      </w:r>
      <w:r>
        <w:tab/>
      </w:r>
      <w:r>
        <w:fldChar w:fldCharType="begin"/>
      </w:r>
      <w:r>
        <w:instrText xml:space="preserve"> PAGEREF _Toc23664 \h </w:instrText>
      </w:r>
      <w:r>
        <w:fldChar w:fldCharType="separate"/>
      </w:r>
      <w:r>
        <w:t>42</w:t>
      </w:r>
      <w:r>
        <w:fldChar w:fldCharType="end"/>
      </w:r>
      <w:r>
        <w:fldChar w:fldCharType="end"/>
      </w:r>
    </w:p>
    <w:p>
      <w:pPr>
        <w:pStyle w:val="19"/>
        <w:tabs>
          <w:tab w:val="right" w:leader="dot" w:pos="8300"/>
        </w:tabs>
      </w:pPr>
      <w:r>
        <w:fldChar w:fldCharType="begin"/>
      </w:r>
      <w:r>
        <w:instrText xml:space="preserve"> HYPERLINK \l "_Toc30645" </w:instrText>
      </w:r>
      <w:r>
        <w:fldChar w:fldCharType="separate"/>
      </w:r>
      <w:r>
        <w:rPr>
          <w:rFonts w:hint="eastAsia" w:ascii="宋体" w:hAnsi="宋体" w:cs="宋体"/>
        </w:rPr>
        <w:t>第四部分 供应商资格要求</w:t>
      </w:r>
      <w:r>
        <w:tab/>
      </w:r>
      <w:r>
        <w:fldChar w:fldCharType="begin"/>
      </w:r>
      <w:r>
        <w:instrText xml:space="preserve"> PAGEREF _Toc30645 \h </w:instrText>
      </w:r>
      <w:r>
        <w:fldChar w:fldCharType="separate"/>
      </w:r>
      <w:r>
        <w:t>44</w:t>
      </w:r>
      <w:r>
        <w:fldChar w:fldCharType="end"/>
      </w:r>
      <w:r>
        <w:fldChar w:fldCharType="end"/>
      </w:r>
    </w:p>
    <w:p>
      <w:pPr>
        <w:pStyle w:val="19"/>
        <w:tabs>
          <w:tab w:val="right" w:leader="dot" w:pos="8300"/>
        </w:tabs>
      </w:pPr>
      <w:r>
        <w:fldChar w:fldCharType="begin"/>
      </w:r>
      <w:r>
        <w:instrText xml:space="preserve"> HYPERLINK \l "_Toc9672" </w:instrText>
      </w:r>
      <w:r>
        <w:fldChar w:fldCharType="separate"/>
      </w:r>
      <w:r>
        <w:rPr>
          <w:rFonts w:hint="eastAsia" w:ascii="宋体" w:hAnsi="宋体" w:cs="宋体"/>
          <w:szCs w:val="36"/>
        </w:rPr>
        <w:t>第五部分 技术与服务方案</w:t>
      </w:r>
      <w:r>
        <w:tab/>
      </w:r>
      <w:r>
        <w:fldChar w:fldCharType="begin"/>
      </w:r>
      <w:r>
        <w:instrText xml:space="preserve"> PAGEREF _Toc9672 \h </w:instrText>
      </w:r>
      <w:r>
        <w:fldChar w:fldCharType="separate"/>
      </w:r>
      <w:r>
        <w:t>54</w:t>
      </w:r>
      <w:r>
        <w:fldChar w:fldCharType="end"/>
      </w:r>
      <w:r>
        <w:fldChar w:fldCharType="end"/>
      </w:r>
    </w:p>
    <w:p>
      <w:pPr>
        <w:pStyle w:val="19"/>
        <w:tabs>
          <w:tab w:val="right" w:leader="dot" w:pos="8300"/>
        </w:tabs>
      </w:pPr>
      <w:r>
        <w:fldChar w:fldCharType="begin"/>
      </w:r>
      <w:r>
        <w:instrText xml:space="preserve"> HYPERLINK \l "_Toc29272" </w:instrText>
      </w:r>
      <w:r>
        <w:fldChar w:fldCharType="separate"/>
      </w:r>
      <w:r>
        <w:rPr>
          <w:rFonts w:hint="eastAsia" w:ascii="宋体" w:hAnsi="宋体" w:cs="宋体"/>
          <w:szCs w:val="36"/>
        </w:rPr>
        <w:t>第六部分  售后服务承诺</w:t>
      </w:r>
      <w:r>
        <w:tab/>
      </w:r>
      <w:r>
        <w:fldChar w:fldCharType="begin"/>
      </w:r>
      <w:r>
        <w:instrText xml:space="preserve"> PAGEREF _Toc29272 \h </w:instrText>
      </w:r>
      <w:r>
        <w:fldChar w:fldCharType="separate"/>
      </w:r>
      <w:r>
        <w:t>55</w:t>
      </w:r>
      <w:r>
        <w:fldChar w:fldCharType="end"/>
      </w:r>
      <w:r>
        <w:fldChar w:fldCharType="end"/>
      </w:r>
    </w:p>
    <w:p>
      <w:pPr>
        <w:pStyle w:val="19"/>
        <w:tabs>
          <w:tab w:val="right" w:leader="dot" w:pos="8300"/>
        </w:tabs>
      </w:pPr>
      <w:r>
        <w:fldChar w:fldCharType="begin"/>
      </w:r>
      <w:r>
        <w:instrText xml:space="preserve"> HYPERLINK \l "_Toc17665" </w:instrText>
      </w:r>
      <w:r>
        <w:fldChar w:fldCharType="separate"/>
      </w:r>
      <w:r>
        <w:rPr>
          <w:rFonts w:hint="eastAsia" w:ascii="宋体" w:cs="宋体"/>
          <w:szCs w:val="36"/>
        </w:rPr>
        <w:t xml:space="preserve">第七部分  </w:t>
      </w:r>
      <w:r>
        <w:rPr>
          <w:rFonts w:hint="eastAsia" w:ascii="宋体" w:hAnsi="宋体" w:cs="宋体"/>
          <w:szCs w:val="36"/>
        </w:rPr>
        <w:t>业绩一览表</w:t>
      </w:r>
      <w:r>
        <w:tab/>
      </w:r>
      <w:r>
        <w:fldChar w:fldCharType="begin"/>
      </w:r>
      <w:r>
        <w:instrText xml:space="preserve"> PAGEREF _Toc17665 \h </w:instrText>
      </w:r>
      <w:r>
        <w:fldChar w:fldCharType="separate"/>
      </w:r>
      <w:r>
        <w:t>56</w:t>
      </w:r>
      <w:r>
        <w:fldChar w:fldCharType="end"/>
      </w:r>
      <w:r>
        <w:fldChar w:fldCharType="end"/>
      </w:r>
    </w:p>
    <w:p>
      <w:pPr>
        <w:pStyle w:val="19"/>
        <w:tabs>
          <w:tab w:val="right" w:leader="dot" w:pos="8300"/>
        </w:tabs>
      </w:pPr>
      <w:r>
        <w:fldChar w:fldCharType="begin"/>
      </w:r>
      <w:r>
        <w:instrText xml:space="preserve"> HYPERLINK \l "_Toc11754" </w:instrText>
      </w:r>
      <w:r>
        <w:fldChar w:fldCharType="separate"/>
      </w:r>
      <w:r>
        <w:rPr>
          <w:rFonts w:hint="eastAsia" w:ascii="宋体" w:hAnsi="宋体" w:cs="宋体"/>
        </w:rPr>
        <w:t>第八部分 供应商认为有必要说明的其他问题</w:t>
      </w:r>
      <w:r>
        <w:tab/>
      </w:r>
      <w:r>
        <w:fldChar w:fldCharType="begin"/>
      </w:r>
      <w:r>
        <w:instrText xml:space="preserve"> PAGEREF _Toc11754 \h </w:instrText>
      </w:r>
      <w:r>
        <w:fldChar w:fldCharType="separate"/>
      </w:r>
      <w:r>
        <w:t>57</w:t>
      </w:r>
      <w:r>
        <w:fldChar w:fldCharType="end"/>
      </w:r>
      <w:r>
        <w:fldChar w:fldCharType="end"/>
      </w:r>
    </w:p>
    <w:p>
      <w:pPr>
        <w:pStyle w:val="19"/>
        <w:tabs>
          <w:tab w:val="right" w:leader="dot" w:pos="8300"/>
        </w:tabs>
      </w:pPr>
      <w:r>
        <w:fldChar w:fldCharType="begin"/>
      </w:r>
      <w:r>
        <w:instrText xml:space="preserve"> HYPERLINK \l "_Toc29365" </w:instrText>
      </w:r>
      <w:r>
        <w:fldChar w:fldCharType="separate"/>
      </w:r>
      <w:r>
        <w:rPr>
          <w:rFonts w:hint="eastAsia" w:ascii="宋体" w:hAnsi="宋体" w:cs="宋体"/>
        </w:rPr>
        <w:t>附件一、封袋正面标识式样</w:t>
      </w:r>
      <w:r>
        <w:tab/>
      </w:r>
      <w:r>
        <w:fldChar w:fldCharType="begin"/>
      </w:r>
      <w:r>
        <w:instrText xml:space="preserve"> PAGEREF _Toc29365 \h </w:instrText>
      </w:r>
      <w:r>
        <w:fldChar w:fldCharType="separate"/>
      </w:r>
      <w:r>
        <w:t>58</w:t>
      </w:r>
      <w:r>
        <w:fldChar w:fldCharType="end"/>
      </w:r>
      <w:r>
        <w:fldChar w:fldCharType="end"/>
      </w:r>
    </w:p>
    <w:p>
      <w:pPr>
        <w:pStyle w:val="19"/>
        <w:tabs>
          <w:tab w:val="right" w:leader="dot" w:pos="8300"/>
        </w:tabs>
      </w:pPr>
      <w:r>
        <w:fldChar w:fldCharType="begin"/>
      </w:r>
      <w:r>
        <w:instrText xml:space="preserve"> HYPERLINK \l "_Toc32558" </w:instrText>
      </w:r>
      <w:r>
        <w:fldChar w:fldCharType="separate"/>
      </w:r>
      <w:r>
        <w:rPr>
          <w:rFonts w:hint="eastAsia" w:ascii="宋体" w:hAnsi="宋体" w:cs="宋体"/>
        </w:rPr>
        <w:t>附件二、中小企业声明函（货物）</w:t>
      </w:r>
      <w:r>
        <w:tab/>
      </w:r>
      <w:r>
        <w:fldChar w:fldCharType="begin"/>
      </w:r>
      <w:r>
        <w:instrText xml:space="preserve"> PAGEREF _Toc32558 \h </w:instrText>
      </w:r>
      <w:r>
        <w:fldChar w:fldCharType="separate"/>
      </w:r>
      <w:r>
        <w:t>60</w:t>
      </w:r>
      <w:r>
        <w:fldChar w:fldCharType="end"/>
      </w:r>
      <w:r>
        <w:fldChar w:fldCharType="end"/>
      </w:r>
    </w:p>
    <w:p>
      <w:pPr>
        <w:pStyle w:val="19"/>
        <w:tabs>
          <w:tab w:val="right" w:leader="dot" w:pos="8300"/>
        </w:tabs>
      </w:pPr>
      <w:r>
        <w:fldChar w:fldCharType="begin"/>
      </w:r>
      <w:r>
        <w:instrText xml:space="preserve"> HYPERLINK \l "_Toc31975" </w:instrText>
      </w:r>
      <w:r>
        <w:fldChar w:fldCharType="separate"/>
      </w:r>
      <w:r>
        <w:rPr>
          <w:rFonts w:hint="eastAsia" w:ascii="宋体" w:hAnsi="宋体" w:cs="宋体"/>
        </w:rPr>
        <w:t>附件三、残疾人福利性单位声明</w:t>
      </w:r>
      <w:r>
        <w:tab/>
      </w:r>
      <w:r>
        <w:fldChar w:fldCharType="begin"/>
      </w:r>
      <w:r>
        <w:instrText xml:space="preserve"> PAGEREF _Toc31975 \h </w:instrText>
      </w:r>
      <w:r>
        <w:fldChar w:fldCharType="separate"/>
      </w:r>
      <w:r>
        <w:t>65</w:t>
      </w:r>
      <w:r>
        <w:fldChar w:fldCharType="end"/>
      </w:r>
      <w:r>
        <w:fldChar w:fldCharType="end"/>
      </w:r>
    </w:p>
    <w:p>
      <w:pPr>
        <w:pStyle w:val="19"/>
        <w:tabs>
          <w:tab w:val="right" w:leader="dot" w:pos="8300"/>
        </w:tabs>
      </w:pPr>
      <w:r>
        <w:fldChar w:fldCharType="begin"/>
      </w:r>
      <w:r>
        <w:instrText xml:space="preserve"> HYPERLINK \l "_Toc16191" </w:instrText>
      </w:r>
      <w:r>
        <w:fldChar w:fldCharType="separate"/>
      </w:r>
      <w:r>
        <w:rPr>
          <w:rFonts w:hint="eastAsia" w:ascii="宋体" w:hAnsi="宋体" w:cs="宋体"/>
        </w:rPr>
        <w:t>附件四、监狱企业证明文件</w:t>
      </w:r>
      <w:r>
        <w:tab/>
      </w:r>
      <w:r>
        <w:fldChar w:fldCharType="begin"/>
      </w:r>
      <w:r>
        <w:instrText xml:space="preserve"> PAGEREF _Toc16191 \h </w:instrText>
      </w:r>
      <w:r>
        <w:fldChar w:fldCharType="separate"/>
      </w:r>
      <w:r>
        <w:t>65</w:t>
      </w:r>
      <w:r>
        <w:fldChar w:fldCharType="end"/>
      </w:r>
      <w:r>
        <w:fldChar w:fldCharType="end"/>
      </w:r>
    </w:p>
    <w:p>
      <w:pPr>
        <w:pStyle w:val="19"/>
        <w:tabs>
          <w:tab w:val="right" w:leader="dot" w:pos="8300"/>
        </w:tabs>
      </w:pPr>
      <w:r>
        <w:fldChar w:fldCharType="begin"/>
      </w:r>
      <w:r>
        <w:instrText xml:space="preserve"> HYPERLINK \l "_Toc5857" </w:instrText>
      </w:r>
      <w:r>
        <w:fldChar w:fldCharType="separate"/>
      </w:r>
      <w:r>
        <w:rPr>
          <w:rFonts w:hint="eastAsia" w:ascii="宋体" w:hAnsi="宋体" w:cs="宋体"/>
        </w:rPr>
        <w:t>附件五、“节能产品”，“环境标志产品”证明材料</w:t>
      </w:r>
      <w:r>
        <w:tab/>
      </w:r>
      <w:r>
        <w:fldChar w:fldCharType="begin"/>
      </w:r>
      <w:r>
        <w:instrText xml:space="preserve"> PAGEREF _Toc5857 \h </w:instrText>
      </w:r>
      <w:r>
        <w:fldChar w:fldCharType="separate"/>
      </w:r>
      <w:r>
        <w:t>65</w:t>
      </w:r>
      <w:r>
        <w:fldChar w:fldCharType="end"/>
      </w:r>
      <w:r>
        <w:fldChar w:fldCharType="end"/>
      </w:r>
    </w:p>
    <w:p>
      <w:pPr>
        <w:pStyle w:val="19"/>
        <w:tabs>
          <w:tab w:val="right" w:leader="dot" w:pos="8300"/>
        </w:tabs>
      </w:pPr>
      <w:r>
        <w:fldChar w:fldCharType="begin"/>
      </w:r>
      <w:r>
        <w:instrText xml:space="preserve"> HYPERLINK \l "_Toc114" </w:instrText>
      </w:r>
      <w:r>
        <w:fldChar w:fldCharType="separate"/>
      </w:r>
      <w:r>
        <w:rPr>
          <w:rFonts w:hint="eastAsia" w:ascii="宋体" w:hAnsi="宋体" w:cs="宋体"/>
        </w:rPr>
        <w:t>附件六、质疑函范本</w:t>
      </w:r>
      <w:r>
        <w:tab/>
      </w:r>
      <w:r>
        <w:fldChar w:fldCharType="begin"/>
      </w:r>
      <w:r>
        <w:instrText xml:space="preserve"> PAGEREF _Toc114 \h </w:instrText>
      </w:r>
      <w:r>
        <w:fldChar w:fldCharType="separate"/>
      </w:r>
      <w:r>
        <w:t>66</w:t>
      </w:r>
      <w:r>
        <w:fldChar w:fldCharType="end"/>
      </w:r>
      <w:r>
        <w:fldChar w:fldCharType="end"/>
      </w:r>
    </w:p>
    <w:p>
      <w:pPr>
        <w:pStyle w:val="19"/>
        <w:tabs>
          <w:tab w:val="right" w:leader="dot" w:pos="8300"/>
        </w:tabs>
      </w:pPr>
      <w:r>
        <w:fldChar w:fldCharType="begin"/>
      </w:r>
      <w:r>
        <w:instrText xml:space="preserve"> HYPERLINK \l "_Toc19722" </w:instrText>
      </w:r>
      <w:r>
        <w:fldChar w:fldCharType="separate"/>
      </w:r>
      <w:r>
        <w:rPr>
          <w:rFonts w:hint="eastAsia" w:ascii="宋体" w:hAnsi="宋体" w:cs="宋体"/>
        </w:rPr>
        <w:t>附件七、保证金退还账户信息确认表</w:t>
      </w:r>
      <w:r>
        <w:tab/>
      </w:r>
      <w:r>
        <w:fldChar w:fldCharType="begin"/>
      </w:r>
      <w:r>
        <w:instrText xml:space="preserve"> PAGEREF _Toc19722 \h </w:instrText>
      </w:r>
      <w:r>
        <w:fldChar w:fldCharType="separate"/>
      </w:r>
      <w:r>
        <w:t>68</w:t>
      </w:r>
      <w:r>
        <w:fldChar w:fldCharType="end"/>
      </w:r>
      <w:r>
        <w:fldChar w:fldCharType="end"/>
      </w:r>
    </w:p>
    <w:p>
      <w:pPr>
        <w:pStyle w:val="4"/>
        <w:spacing w:line="312" w:lineRule="auto"/>
        <w:ind w:firstLine="643" w:firstLineChars="200"/>
        <w:rPr>
          <w:rFonts w:ascii="宋体" w:hAnsi="宋体" w:cs="宋体"/>
          <w:sz w:val="24"/>
          <w:szCs w:val="24"/>
        </w:rPr>
        <w:sectPr>
          <w:headerReference r:id="rId5" w:type="default"/>
          <w:footerReference r:id="rId6" w:type="default"/>
          <w:pgSz w:w="11906" w:h="16838"/>
          <w:pgMar w:top="1440" w:right="1803" w:bottom="1440" w:left="1803" w:header="851" w:footer="992" w:gutter="0"/>
          <w:cols w:space="720" w:num="1"/>
          <w:docGrid w:type="lines" w:linePitch="312" w:charSpace="0"/>
        </w:sectPr>
      </w:pPr>
      <w:r>
        <w:rPr>
          <w:rFonts w:hint="eastAsia" w:ascii="宋体" w:hAnsi="宋体" w:cs="宋体"/>
          <w:szCs w:val="96"/>
        </w:rPr>
        <w:fldChar w:fldCharType="end"/>
      </w:r>
    </w:p>
    <w:p>
      <w:pPr>
        <w:pStyle w:val="4"/>
        <w:rPr>
          <w:rFonts w:ascii="宋体" w:cs="宋体"/>
        </w:rPr>
      </w:pPr>
      <w:bookmarkStart w:id="1" w:name="_Toc14727"/>
      <w:bookmarkStart w:id="2" w:name="_Toc438048787"/>
      <w:bookmarkStart w:id="3" w:name="_Toc30089"/>
      <w:r>
        <w:rPr>
          <w:rFonts w:hint="eastAsia" w:ascii="宋体" w:hAnsi="宋体" w:cs="宋体"/>
          <w:sz w:val="36"/>
          <w:szCs w:val="36"/>
        </w:rPr>
        <w:t>第一部分  竞争性谈判公告</w:t>
      </w:r>
      <w:bookmarkEnd w:id="1"/>
    </w:p>
    <w:p>
      <w:pPr>
        <w:spacing w:line="360" w:lineRule="auto"/>
        <w:rPr>
          <w:rFonts w:ascii="宋体" w:hAnsi="宋体" w:cs="宋体"/>
          <w:b/>
          <w:bCs/>
          <w:sz w:val="24"/>
          <w:szCs w:val="24"/>
        </w:rPr>
      </w:pPr>
      <w:r>
        <w:rPr>
          <w:rFonts w:hint="eastAsia" w:ascii="宋体" w:hAnsi="宋体" w:cs="宋体"/>
          <w:b/>
          <w:bCs/>
          <w:sz w:val="24"/>
          <w:szCs w:val="24"/>
        </w:rPr>
        <w:t>项目概况</w:t>
      </w:r>
    </w:p>
    <w:p>
      <w:pPr>
        <w:spacing w:line="360" w:lineRule="auto"/>
        <w:ind w:firstLine="480" w:firstLineChars="200"/>
        <w:rPr>
          <w:rFonts w:ascii="宋体" w:hAnsi="宋体" w:cs="宋体"/>
          <w:sz w:val="24"/>
          <w:szCs w:val="24"/>
        </w:rPr>
      </w:pPr>
      <w:r>
        <w:rPr>
          <w:rFonts w:hint="eastAsia" w:ascii="宋体" w:hAnsi="宋体" w:cs="宋体"/>
          <w:sz w:val="24"/>
          <w:szCs w:val="24"/>
        </w:rPr>
        <w:t>能源系统优化科研平台设备购置项目采购项目的潜在供应商应在西安市雁塔区科技路10号华奥大厦A座20层2002室获取采购文件，并于2022年12月24日 09时30分（北京时间）前提交响应文件。</w:t>
      </w:r>
    </w:p>
    <w:p>
      <w:pPr>
        <w:spacing w:line="360" w:lineRule="auto"/>
        <w:rPr>
          <w:rFonts w:ascii="宋体" w:hAnsi="宋体" w:cs="宋体"/>
          <w:b/>
          <w:bCs/>
          <w:sz w:val="24"/>
          <w:szCs w:val="24"/>
        </w:rPr>
      </w:pPr>
      <w:r>
        <w:rPr>
          <w:rFonts w:hint="eastAsia" w:ascii="宋体" w:hAnsi="宋体" w:cs="宋体"/>
          <w:b/>
          <w:bCs/>
          <w:sz w:val="24"/>
          <w:szCs w:val="24"/>
        </w:rPr>
        <w:t>一、项目基本情况</w:t>
      </w:r>
    </w:p>
    <w:p>
      <w:pPr>
        <w:spacing w:line="360" w:lineRule="auto"/>
        <w:rPr>
          <w:rFonts w:ascii="宋体" w:hAnsi="宋体" w:cs="宋体"/>
          <w:sz w:val="24"/>
          <w:szCs w:val="24"/>
        </w:rPr>
      </w:pPr>
      <w:r>
        <w:rPr>
          <w:rFonts w:hint="eastAsia" w:ascii="宋体" w:hAnsi="宋体" w:cs="宋体"/>
          <w:sz w:val="24"/>
          <w:szCs w:val="24"/>
        </w:rPr>
        <w:t>项目编号：ZMZB2022YLXY-387</w:t>
      </w:r>
    </w:p>
    <w:p>
      <w:pPr>
        <w:spacing w:line="360" w:lineRule="auto"/>
        <w:rPr>
          <w:rFonts w:ascii="宋体" w:hAnsi="宋体" w:cs="宋体"/>
          <w:sz w:val="24"/>
          <w:szCs w:val="24"/>
        </w:rPr>
      </w:pPr>
      <w:r>
        <w:rPr>
          <w:rFonts w:hint="eastAsia" w:ascii="宋体" w:hAnsi="宋体" w:cs="宋体"/>
          <w:sz w:val="24"/>
          <w:szCs w:val="24"/>
        </w:rPr>
        <w:t>项目名称：能源系统优化科研平台设备购置项目</w:t>
      </w:r>
    </w:p>
    <w:p>
      <w:pPr>
        <w:spacing w:line="360" w:lineRule="auto"/>
        <w:rPr>
          <w:rFonts w:ascii="宋体" w:hAnsi="宋体" w:cs="宋体"/>
          <w:sz w:val="24"/>
          <w:szCs w:val="24"/>
        </w:rPr>
      </w:pPr>
      <w:r>
        <w:rPr>
          <w:rFonts w:hint="eastAsia" w:ascii="宋体" w:hAnsi="宋体" w:cs="宋体"/>
          <w:sz w:val="24"/>
          <w:szCs w:val="24"/>
        </w:rPr>
        <w:t>采购方式：竞争性谈判</w:t>
      </w:r>
    </w:p>
    <w:p>
      <w:pPr>
        <w:spacing w:line="360" w:lineRule="auto"/>
        <w:rPr>
          <w:rFonts w:ascii="宋体" w:hAnsi="宋体" w:cs="宋体"/>
          <w:sz w:val="24"/>
          <w:szCs w:val="24"/>
        </w:rPr>
      </w:pPr>
      <w:r>
        <w:rPr>
          <w:rFonts w:hint="eastAsia" w:ascii="宋体" w:hAnsi="宋体" w:cs="宋体"/>
          <w:sz w:val="24"/>
          <w:szCs w:val="24"/>
        </w:rPr>
        <w:t>预算金额：2000000.00元</w:t>
      </w:r>
    </w:p>
    <w:p>
      <w:pPr>
        <w:spacing w:line="360" w:lineRule="auto"/>
        <w:rPr>
          <w:rFonts w:ascii="宋体" w:hAnsi="宋体" w:cs="宋体"/>
          <w:sz w:val="24"/>
          <w:szCs w:val="24"/>
        </w:rPr>
      </w:pPr>
      <w:r>
        <w:rPr>
          <w:rFonts w:hint="eastAsia" w:ascii="宋体" w:hAnsi="宋体" w:cs="宋体"/>
          <w:sz w:val="24"/>
          <w:szCs w:val="24"/>
        </w:rPr>
        <w:t>采购需求：</w:t>
      </w:r>
    </w:p>
    <w:p>
      <w:pPr>
        <w:spacing w:line="360" w:lineRule="auto"/>
        <w:rPr>
          <w:rFonts w:ascii="宋体" w:hAnsi="宋体" w:cs="宋体"/>
          <w:sz w:val="24"/>
          <w:szCs w:val="24"/>
        </w:rPr>
      </w:pPr>
      <w:r>
        <w:rPr>
          <w:rFonts w:hint="eastAsia" w:ascii="宋体" w:hAnsi="宋体" w:cs="宋体"/>
          <w:sz w:val="24"/>
          <w:szCs w:val="24"/>
        </w:rPr>
        <w:t>合同包1(能源系统优化科研平台设备购置项目):</w:t>
      </w:r>
    </w:p>
    <w:p>
      <w:pPr>
        <w:spacing w:line="360" w:lineRule="auto"/>
        <w:rPr>
          <w:rFonts w:ascii="宋体" w:hAnsi="宋体" w:cs="宋体"/>
          <w:sz w:val="24"/>
          <w:szCs w:val="24"/>
        </w:rPr>
      </w:pPr>
      <w:r>
        <w:rPr>
          <w:rFonts w:hint="eastAsia" w:ascii="宋体" w:hAnsi="宋体" w:cs="宋体"/>
          <w:sz w:val="24"/>
          <w:szCs w:val="24"/>
        </w:rPr>
        <w:t>合同包预算金额：2000000.00元</w:t>
      </w:r>
    </w:p>
    <w:p>
      <w:pPr>
        <w:spacing w:line="360" w:lineRule="auto"/>
        <w:rPr>
          <w:rFonts w:ascii="宋体" w:hAnsi="宋体" w:cs="宋体"/>
          <w:sz w:val="24"/>
          <w:szCs w:val="24"/>
        </w:rPr>
      </w:pPr>
      <w:r>
        <w:rPr>
          <w:rFonts w:hint="eastAsia" w:ascii="宋体" w:hAnsi="宋体" w:cs="宋体"/>
          <w:sz w:val="24"/>
          <w:szCs w:val="24"/>
        </w:rPr>
        <w:t>合同包最高限价：2000000.00元</w:t>
      </w:r>
    </w:p>
    <w:tbl>
      <w:tblPr>
        <w:tblStyle w:val="23"/>
        <w:tblW w:w="8982" w:type="dxa"/>
        <w:jc w:val="center"/>
        <w:tblLayout w:type="autofit"/>
        <w:tblCellMar>
          <w:top w:w="0" w:type="dxa"/>
          <w:left w:w="0" w:type="dxa"/>
          <w:bottom w:w="0" w:type="dxa"/>
          <w:right w:w="0" w:type="dxa"/>
        </w:tblCellMar>
      </w:tblPr>
      <w:tblGrid>
        <w:gridCol w:w="715"/>
        <w:gridCol w:w="1177"/>
        <w:gridCol w:w="1409"/>
        <w:gridCol w:w="1223"/>
        <w:gridCol w:w="1527"/>
        <w:gridCol w:w="1454"/>
        <w:gridCol w:w="1477"/>
      </w:tblGrid>
      <w:tr>
        <w:tblPrEx>
          <w:tblCellMar>
            <w:top w:w="0" w:type="dxa"/>
            <w:left w:w="0" w:type="dxa"/>
            <w:bottom w:w="0" w:type="dxa"/>
            <w:right w:w="0" w:type="dxa"/>
          </w:tblCellMar>
        </w:tblPrEx>
        <w:trPr>
          <w:trHeight w:val="728" w:hRule="atLeast"/>
          <w:tblHeader/>
          <w:jc w:val="center"/>
        </w:trPr>
        <w:tc>
          <w:tcPr>
            <w:tcW w:w="7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17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品目名称</w:t>
            </w:r>
          </w:p>
        </w:tc>
        <w:tc>
          <w:tcPr>
            <w:tcW w:w="14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采购标的</w:t>
            </w:r>
          </w:p>
        </w:tc>
        <w:tc>
          <w:tcPr>
            <w:tcW w:w="12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数量（单位）</w:t>
            </w:r>
          </w:p>
        </w:tc>
        <w:tc>
          <w:tcPr>
            <w:tcW w:w="15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技术规格、参数及要求</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品目预算(元)</w:t>
            </w:r>
          </w:p>
        </w:tc>
        <w:tc>
          <w:tcPr>
            <w:tcW w:w="147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480" w:hRule="atLeast"/>
          <w:jc w:val="center"/>
        </w:trPr>
        <w:tc>
          <w:tcPr>
            <w:tcW w:w="7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1-1</w:t>
            </w:r>
          </w:p>
        </w:tc>
        <w:tc>
          <w:tcPr>
            <w:tcW w:w="117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行业应用软件</w:t>
            </w:r>
          </w:p>
        </w:tc>
        <w:tc>
          <w:tcPr>
            <w:tcW w:w="14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能源系统仿真软件、定量分析在线质谱仪等</w:t>
            </w:r>
          </w:p>
        </w:tc>
        <w:tc>
          <w:tcPr>
            <w:tcW w:w="12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1(批)</w:t>
            </w:r>
          </w:p>
        </w:tc>
        <w:tc>
          <w:tcPr>
            <w:tcW w:w="15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详见采购文件</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2000000.00</w:t>
            </w:r>
          </w:p>
        </w:tc>
        <w:tc>
          <w:tcPr>
            <w:tcW w:w="147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2000000.00</w:t>
            </w:r>
          </w:p>
        </w:tc>
      </w:tr>
    </w:tbl>
    <w:p>
      <w:pPr>
        <w:spacing w:line="360" w:lineRule="auto"/>
        <w:rPr>
          <w:rFonts w:ascii="宋体" w:hAnsi="宋体" w:cs="宋体"/>
          <w:sz w:val="24"/>
          <w:szCs w:val="24"/>
        </w:rPr>
      </w:pPr>
      <w:r>
        <w:rPr>
          <w:rFonts w:hint="eastAsia" w:ascii="宋体" w:hAnsi="宋体" w:cs="宋体"/>
          <w:sz w:val="24"/>
          <w:szCs w:val="24"/>
        </w:rPr>
        <w:t>本合同包不接受联合体</w:t>
      </w:r>
    </w:p>
    <w:p>
      <w:pPr>
        <w:spacing w:line="360" w:lineRule="auto"/>
        <w:rPr>
          <w:rFonts w:ascii="宋体" w:hAnsi="宋体" w:cs="宋体"/>
          <w:sz w:val="24"/>
          <w:szCs w:val="24"/>
        </w:rPr>
      </w:pPr>
      <w:r>
        <w:rPr>
          <w:rFonts w:hint="eastAsia" w:ascii="宋体" w:hAnsi="宋体" w:cs="宋体"/>
          <w:sz w:val="24"/>
          <w:szCs w:val="24"/>
        </w:rPr>
        <w:t>合同履行期限：自合同签订后到该项目服务期结束（具体服务起止日期可随合同签订时间相应顺延）</w:t>
      </w:r>
    </w:p>
    <w:p>
      <w:pPr>
        <w:spacing w:line="360" w:lineRule="auto"/>
        <w:rPr>
          <w:rFonts w:ascii="宋体" w:hAnsi="宋体" w:cs="宋体"/>
          <w:sz w:val="24"/>
          <w:szCs w:val="24"/>
        </w:rPr>
      </w:pPr>
      <w:r>
        <w:rPr>
          <w:rFonts w:hint="eastAsia" w:ascii="宋体" w:hAnsi="宋体" w:cs="宋体"/>
          <w:b/>
          <w:bCs/>
          <w:sz w:val="24"/>
          <w:szCs w:val="24"/>
        </w:rPr>
        <w:t>二、申请人的资格要求</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2.落实政府采购政策需满足的资格要求：</w:t>
      </w:r>
    </w:p>
    <w:p>
      <w:pPr>
        <w:spacing w:line="360" w:lineRule="auto"/>
        <w:rPr>
          <w:rFonts w:ascii="宋体" w:hAnsi="宋体" w:cs="宋体"/>
          <w:sz w:val="24"/>
          <w:szCs w:val="24"/>
        </w:rPr>
      </w:pPr>
      <w:r>
        <w:rPr>
          <w:rFonts w:hint="eastAsia" w:ascii="宋体" w:hAnsi="宋体" w:cs="宋体"/>
          <w:sz w:val="24"/>
          <w:szCs w:val="24"/>
        </w:rPr>
        <w:t>合同包1(能源系统优化科研平台设备购置项目)落实政府采购政策需满足的资格要求如下:</w:t>
      </w:r>
    </w:p>
    <w:p>
      <w:pPr>
        <w:spacing w:line="360" w:lineRule="auto"/>
        <w:rPr>
          <w:rFonts w:ascii="宋体" w:hAnsi="宋体" w:cs="宋体"/>
          <w:sz w:val="24"/>
          <w:szCs w:val="24"/>
        </w:rPr>
      </w:pPr>
      <w:r>
        <w:rPr>
          <w:rFonts w:hint="eastAsia" w:ascii="宋体" w:hAnsi="宋体" w:cs="宋体"/>
          <w:sz w:val="24"/>
          <w:szCs w:val="24"/>
        </w:rPr>
        <w:t>（1）《政府采购促进中小企业发展管理办法》（财库〔2020〕46号）； </w:t>
      </w:r>
    </w:p>
    <w:p>
      <w:pPr>
        <w:spacing w:line="360" w:lineRule="auto"/>
        <w:rPr>
          <w:rFonts w:ascii="宋体" w:hAnsi="宋体" w:cs="宋体"/>
          <w:sz w:val="24"/>
          <w:szCs w:val="24"/>
        </w:rPr>
      </w:pPr>
      <w:r>
        <w:rPr>
          <w:rFonts w:hint="eastAsia" w:ascii="宋体" w:hAnsi="宋体" w:cs="宋体"/>
          <w:sz w:val="24"/>
          <w:szCs w:val="24"/>
        </w:rPr>
        <w:t>（2）《财政部 司法部关于政府采购支持监狱企业发展有关问题的通知》（财库〔2014〕68号）；</w:t>
      </w:r>
    </w:p>
    <w:p>
      <w:pPr>
        <w:spacing w:line="360" w:lineRule="auto"/>
        <w:rPr>
          <w:rFonts w:ascii="宋体" w:hAnsi="宋体" w:cs="宋体"/>
          <w:sz w:val="24"/>
          <w:szCs w:val="24"/>
        </w:rPr>
      </w:pPr>
      <w:r>
        <w:rPr>
          <w:rFonts w:hint="eastAsia" w:ascii="宋体" w:hAnsi="宋体" w:cs="宋体"/>
          <w:sz w:val="24"/>
          <w:szCs w:val="24"/>
        </w:rPr>
        <w:t>（3）《国务院办公厅关于建立政府强制采购节能产品制度的通知》（国办发〔2007〕51号）；</w:t>
      </w:r>
    </w:p>
    <w:p>
      <w:pPr>
        <w:spacing w:line="360" w:lineRule="auto"/>
        <w:rPr>
          <w:rFonts w:ascii="宋体" w:hAnsi="宋体" w:cs="宋体"/>
          <w:sz w:val="24"/>
          <w:szCs w:val="24"/>
        </w:rPr>
      </w:pPr>
      <w:r>
        <w:rPr>
          <w:rFonts w:hint="eastAsia" w:ascii="宋体" w:hAnsi="宋体" w:cs="宋体"/>
          <w:sz w:val="24"/>
          <w:szCs w:val="24"/>
        </w:rPr>
        <w:t>（4）《节能产品政府采购实施意见》（财库〔2004〕185号）；</w:t>
      </w:r>
    </w:p>
    <w:p>
      <w:pPr>
        <w:spacing w:line="360" w:lineRule="auto"/>
        <w:rPr>
          <w:rFonts w:ascii="宋体" w:hAnsi="宋体" w:cs="宋体"/>
          <w:sz w:val="24"/>
          <w:szCs w:val="24"/>
        </w:rPr>
      </w:pPr>
      <w:r>
        <w:rPr>
          <w:rFonts w:hint="eastAsia" w:ascii="宋体" w:hAnsi="宋体" w:cs="宋体"/>
          <w:sz w:val="24"/>
          <w:szCs w:val="24"/>
        </w:rPr>
        <w:t>（5）《环境标志产品政府采购实施的意见》（财库〔2006〕90号）；</w:t>
      </w:r>
    </w:p>
    <w:p>
      <w:pPr>
        <w:spacing w:line="360" w:lineRule="auto"/>
        <w:rPr>
          <w:rFonts w:ascii="宋体" w:hAnsi="宋体" w:cs="宋体"/>
          <w:sz w:val="24"/>
          <w:szCs w:val="24"/>
        </w:rPr>
      </w:pPr>
      <w:r>
        <w:rPr>
          <w:rFonts w:hint="eastAsia" w:ascii="宋体" w:hAnsi="宋体" w:cs="宋体"/>
          <w:sz w:val="24"/>
          <w:szCs w:val="24"/>
        </w:rPr>
        <w:t>（6）《三部门联合发布关于促进残疾人就业政府采购政策的通知》（财库〔2017〕141号）；</w:t>
      </w:r>
    </w:p>
    <w:p>
      <w:pPr>
        <w:spacing w:line="360" w:lineRule="auto"/>
        <w:rPr>
          <w:rFonts w:ascii="宋体" w:hAnsi="宋体" w:cs="宋体"/>
          <w:sz w:val="24"/>
          <w:szCs w:val="24"/>
        </w:rPr>
      </w:pPr>
      <w:r>
        <w:rPr>
          <w:rFonts w:hint="eastAsia" w:ascii="宋体" w:hAnsi="宋体" w:cs="宋体"/>
          <w:sz w:val="24"/>
          <w:szCs w:val="24"/>
        </w:rPr>
        <w:t>（7）《财政部 发展改革委 生态环境部 市场监管总局关于调整优化节能产品、环境标志产品政府采购执行机制的通知》（财库〔2019〕9号）；</w:t>
      </w:r>
    </w:p>
    <w:p>
      <w:pPr>
        <w:spacing w:line="360" w:lineRule="auto"/>
        <w:rPr>
          <w:rFonts w:ascii="宋体" w:hAnsi="宋体" w:cs="宋体"/>
          <w:sz w:val="24"/>
          <w:szCs w:val="24"/>
        </w:rPr>
      </w:pPr>
      <w:r>
        <w:rPr>
          <w:rFonts w:hint="eastAsia" w:ascii="宋体" w:hAnsi="宋体" w:cs="宋体"/>
          <w:sz w:val="24"/>
          <w:szCs w:val="24"/>
        </w:rPr>
        <w:t>（8）《财政部 农业农村部 国家乡村振兴局关于运用政府采购政策支持乡村产业振兴的通知》 （财库〔2021〕19号）；</w:t>
      </w:r>
    </w:p>
    <w:p>
      <w:pPr>
        <w:spacing w:line="360" w:lineRule="auto"/>
        <w:rPr>
          <w:rFonts w:ascii="宋体" w:hAnsi="宋体" w:cs="宋体"/>
          <w:sz w:val="24"/>
          <w:szCs w:val="24"/>
        </w:rPr>
      </w:pPr>
      <w:r>
        <w:rPr>
          <w:rFonts w:hint="eastAsia" w:ascii="宋体" w:hAnsi="宋体" w:cs="宋体"/>
          <w:sz w:val="24"/>
          <w:szCs w:val="24"/>
        </w:rPr>
        <w:t>（9）陕西省财政厅关于印发《陕西省中小企业政府采购信用融资办法》（陕财办采〔2018〕23号）。</w:t>
      </w:r>
    </w:p>
    <w:p>
      <w:pPr>
        <w:spacing w:line="360" w:lineRule="auto"/>
        <w:rPr>
          <w:rFonts w:ascii="宋体" w:hAnsi="宋体" w:cs="宋体"/>
          <w:sz w:val="24"/>
          <w:szCs w:val="24"/>
        </w:rPr>
      </w:pPr>
      <w:r>
        <w:rPr>
          <w:rFonts w:hint="eastAsia" w:ascii="宋体" w:hAnsi="宋体" w:cs="宋体"/>
          <w:sz w:val="24"/>
          <w:szCs w:val="24"/>
        </w:rPr>
        <w:t>3.本项目的特定资格要求：</w:t>
      </w:r>
    </w:p>
    <w:p>
      <w:pPr>
        <w:spacing w:line="360" w:lineRule="auto"/>
        <w:rPr>
          <w:rFonts w:ascii="宋体" w:hAnsi="宋体" w:cs="宋体"/>
          <w:sz w:val="24"/>
          <w:szCs w:val="24"/>
        </w:rPr>
      </w:pPr>
      <w:r>
        <w:rPr>
          <w:rFonts w:hint="eastAsia" w:ascii="宋体" w:hAnsi="宋体" w:cs="宋体"/>
          <w:sz w:val="24"/>
          <w:szCs w:val="24"/>
        </w:rPr>
        <w:t>合同包1(能源系统优化科研平台设备购置项目)特定资格要求如下:</w:t>
      </w:r>
    </w:p>
    <w:p>
      <w:pPr>
        <w:numPr>
          <w:ilvl w:val="0"/>
          <w:numId w:val="0"/>
        </w:numPr>
        <w:spacing w:line="360" w:lineRule="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p>
    <w:p>
      <w:pPr>
        <w:spacing w:line="360" w:lineRule="auto"/>
        <w:rPr>
          <w:rFonts w:ascii="宋体" w:hAnsi="宋体" w:cs="宋体"/>
          <w:sz w:val="24"/>
          <w:szCs w:val="24"/>
        </w:rPr>
      </w:pPr>
      <w:r>
        <w:rPr>
          <w:rFonts w:hint="eastAsia" w:ascii="宋体" w:hAnsi="宋体" w:cs="宋体"/>
          <w:sz w:val="24"/>
          <w:szCs w:val="24"/>
        </w:rPr>
        <w:t>（2）财务状况证明：供应商提供2021年度经审计完整的财务审计报告（成立时间至提交响应文件 截止时间不足一年的可提供成立后任意时段的资产负债表），或其开标前三个月内银行出具的资信证明，或财政部门认可的政府采购专业担保机构出具的投标担保函；</w:t>
      </w:r>
    </w:p>
    <w:p>
      <w:pPr>
        <w:spacing w:line="360" w:lineRule="auto"/>
        <w:rPr>
          <w:rFonts w:ascii="宋体" w:hAnsi="宋体" w:cs="宋体"/>
          <w:sz w:val="24"/>
          <w:szCs w:val="24"/>
        </w:rPr>
      </w:pPr>
      <w:r>
        <w:rPr>
          <w:rFonts w:hint="eastAsia" w:ascii="宋体" w:hAnsi="宋体" w:cs="宋体"/>
          <w:sz w:val="24"/>
          <w:szCs w:val="24"/>
        </w:rPr>
        <w:t>（3）具有履行合同所必需的设备和专业技术能力的书面声明；</w:t>
      </w:r>
    </w:p>
    <w:p>
      <w:pPr>
        <w:spacing w:line="360" w:lineRule="auto"/>
        <w:rPr>
          <w:rFonts w:ascii="宋体" w:hAnsi="宋体" w:cs="宋体"/>
          <w:sz w:val="24"/>
          <w:szCs w:val="24"/>
        </w:rPr>
      </w:pPr>
      <w:r>
        <w:rPr>
          <w:rFonts w:hint="eastAsia" w:ascii="宋体" w:hAnsi="宋体" w:cs="宋体"/>
          <w:sz w:val="24"/>
          <w:szCs w:val="24"/>
        </w:rPr>
        <w:t>（4）税收缴纳证明：提供2022年1月以来至少一个月的纳税证明或完税证明，依法免税的单位应提供相关证明材料；</w:t>
      </w:r>
    </w:p>
    <w:p>
      <w:pPr>
        <w:spacing w:line="360" w:lineRule="auto"/>
        <w:rPr>
          <w:rFonts w:ascii="宋体" w:hAnsi="宋体" w:cs="宋体"/>
          <w:sz w:val="24"/>
          <w:szCs w:val="24"/>
        </w:rPr>
      </w:pPr>
      <w:r>
        <w:rPr>
          <w:rFonts w:hint="eastAsia" w:ascii="宋体" w:hAnsi="宋体" w:cs="宋体"/>
          <w:sz w:val="24"/>
          <w:szCs w:val="24"/>
        </w:rPr>
        <w:t>（5）社会保障资金缴纳证明：提供2022年1月以来至少一个月的社会保障资金缴存单据或社保机构开具的社会保险参保缴费情况证明。依法不需要缴纳社会保障资金的供应商应提供相关文件证明；</w:t>
      </w:r>
    </w:p>
    <w:p>
      <w:pPr>
        <w:spacing w:line="360" w:lineRule="auto"/>
        <w:rPr>
          <w:rFonts w:ascii="宋体" w:hAnsi="宋体" w:cs="宋体"/>
          <w:sz w:val="24"/>
          <w:szCs w:val="24"/>
        </w:rPr>
      </w:pPr>
      <w:r>
        <w:rPr>
          <w:rFonts w:hint="eastAsia" w:ascii="宋体" w:hAnsi="宋体" w:cs="宋体"/>
          <w:sz w:val="24"/>
          <w:szCs w:val="24"/>
        </w:rPr>
        <w:t>（6）参加政府采购活动前3年内在经营活动中没有重大违法记录的书面声明；</w:t>
      </w:r>
    </w:p>
    <w:p>
      <w:pPr>
        <w:spacing w:line="360" w:lineRule="auto"/>
        <w:rPr>
          <w:rFonts w:ascii="宋体" w:hAnsi="宋体" w:cs="宋体"/>
          <w:sz w:val="24"/>
          <w:szCs w:val="24"/>
        </w:rPr>
      </w:pPr>
      <w:r>
        <w:rPr>
          <w:rFonts w:hint="eastAsia" w:ascii="宋体" w:hAnsi="宋体" w:cs="宋体"/>
          <w:sz w:val="24"/>
          <w:szCs w:val="24"/>
        </w:rPr>
        <w:t>（7）非法定代表人参加谈判的，须提供法定代表人委托授权书及被授权人身份证，法定代表人参加谈判时,只须提供法定代表人身份证；</w:t>
      </w:r>
    </w:p>
    <w:p>
      <w:pPr>
        <w:spacing w:line="360" w:lineRule="auto"/>
        <w:rPr>
          <w:rFonts w:ascii="宋体" w:hAnsi="宋体" w:cs="宋体"/>
          <w:sz w:val="24"/>
          <w:szCs w:val="24"/>
        </w:rPr>
      </w:pPr>
      <w:r>
        <w:rPr>
          <w:rFonts w:hint="eastAsia" w:ascii="宋体" w:hAnsi="宋体" w:cs="宋体"/>
          <w:sz w:val="24"/>
          <w:szCs w:val="24"/>
        </w:rPr>
        <w:t>（8）所投产品为进口产品的，供应商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spacing w:line="360" w:lineRule="auto"/>
        <w:rPr>
          <w:rFonts w:ascii="宋体" w:hAnsi="宋体" w:cs="宋体"/>
          <w:sz w:val="24"/>
          <w:szCs w:val="24"/>
        </w:rPr>
      </w:pPr>
      <w:r>
        <w:rPr>
          <w:rFonts w:hint="eastAsia" w:ascii="宋体" w:hAnsi="宋体" w:cs="宋体"/>
          <w:sz w:val="24"/>
          <w:szCs w:val="24"/>
        </w:rPr>
        <w:t>（9）本项目不接受联合体。</w:t>
      </w:r>
    </w:p>
    <w:p>
      <w:pPr>
        <w:spacing w:line="360" w:lineRule="auto"/>
        <w:rPr>
          <w:rFonts w:ascii="宋体" w:hAnsi="宋体" w:cs="宋体"/>
          <w:b/>
          <w:bCs/>
          <w:sz w:val="24"/>
          <w:szCs w:val="24"/>
        </w:rPr>
      </w:pPr>
      <w:r>
        <w:rPr>
          <w:rFonts w:hint="eastAsia" w:ascii="宋体" w:hAnsi="宋体" w:cs="宋体"/>
          <w:b/>
          <w:bCs/>
          <w:sz w:val="24"/>
          <w:szCs w:val="24"/>
        </w:rPr>
        <w:t>三、获取招标文件</w:t>
      </w:r>
    </w:p>
    <w:p>
      <w:pPr>
        <w:spacing w:line="360" w:lineRule="auto"/>
        <w:jc w:val="left"/>
        <w:rPr>
          <w:rFonts w:ascii="宋体" w:hAnsi="宋体" w:cs="宋体"/>
          <w:sz w:val="24"/>
          <w:szCs w:val="24"/>
        </w:rPr>
      </w:pPr>
      <w:r>
        <w:rPr>
          <w:rFonts w:hint="eastAsia" w:ascii="宋体" w:hAnsi="宋体" w:cs="宋体"/>
          <w:sz w:val="24"/>
          <w:szCs w:val="24"/>
        </w:rPr>
        <w:t>时间：2022年12月19日至2022年12月21日，每天上午09:00:00至12:00:00，下午13:30:00至17:00:00（北京时间）</w:t>
      </w:r>
    </w:p>
    <w:p>
      <w:pPr>
        <w:spacing w:line="360" w:lineRule="auto"/>
        <w:jc w:val="left"/>
        <w:rPr>
          <w:rFonts w:ascii="宋体" w:hAnsi="宋体" w:cs="宋体"/>
          <w:sz w:val="24"/>
          <w:szCs w:val="24"/>
        </w:rPr>
      </w:pPr>
      <w:r>
        <w:rPr>
          <w:rFonts w:hint="eastAsia" w:ascii="宋体" w:hAnsi="宋体" w:cs="宋体"/>
          <w:sz w:val="24"/>
          <w:szCs w:val="24"/>
        </w:rPr>
        <w:t>途径：西安市雁塔区科技路10号华奥大厦A座20层2002室</w:t>
      </w:r>
    </w:p>
    <w:p>
      <w:pPr>
        <w:spacing w:line="360" w:lineRule="auto"/>
        <w:rPr>
          <w:rFonts w:ascii="宋体" w:hAnsi="宋体" w:cs="宋体"/>
          <w:sz w:val="24"/>
          <w:szCs w:val="24"/>
        </w:rPr>
      </w:pPr>
      <w:r>
        <w:rPr>
          <w:rFonts w:hint="eastAsia" w:ascii="宋体" w:hAnsi="宋体" w:cs="宋体"/>
          <w:sz w:val="24"/>
          <w:szCs w:val="24"/>
        </w:rPr>
        <w:t>方式：现场获取</w:t>
      </w:r>
    </w:p>
    <w:p>
      <w:pPr>
        <w:spacing w:line="360" w:lineRule="auto"/>
        <w:rPr>
          <w:rFonts w:ascii="宋体" w:hAnsi="宋体" w:cs="宋体"/>
          <w:sz w:val="24"/>
          <w:szCs w:val="24"/>
        </w:rPr>
      </w:pPr>
      <w:r>
        <w:rPr>
          <w:rFonts w:hint="eastAsia" w:ascii="宋体" w:hAnsi="宋体" w:cs="宋体"/>
          <w:sz w:val="24"/>
          <w:szCs w:val="24"/>
        </w:rPr>
        <w:t>售价：500元</w:t>
      </w:r>
    </w:p>
    <w:p>
      <w:pPr>
        <w:spacing w:line="360" w:lineRule="auto"/>
        <w:rPr>
          <w:rFonts w:ascii="宋体" w:hAnsi="宋体" w:cs="宋体"/>
          <w:b/>
          <w:bCs/>
          <w:sz w:val="24"/>
          <w:szCs w:val="24"/>
        </w:rPr>
      </w:pPr>
      <w:r>
        <w:rPr>
          <w:rFonts w:hint="eastAsia" w:ascii="宋体" w:hAnsi="宋体" w:cs="宋体"/>
          <w:b/>
          <w:bCs/>
          <w:sz w:val="24"/>
          <w:szCs w:val="24"/>
        </w:rPr>
        <w:t>四、提交投标文件截止时间、开标时间和地点</w:t>
      </w:r>
    </w:p>
    <w:p>
      <w:pPr>
        <w:spacing w:line="360" w:lineRule="auto"/>
        <w:rPr>
          <w:rFonts w:ascii="宋体" w:hAnsi="宋体" w:cs="宋体"/>
          <w:sz w:val="24"/>
          <w:szCs w:val="24"/>
        </w:rPr>
      </w:pPr>
      <w:r>
        <w:rPr>
          <w:rFonts w:hint="eastAsia" w:ascii="宋体" w:hAnsi="宋体" w:cs="宋体"/>
          <w:sz w:val="24"/>
          <w:szCs w:val="24"/>
        </w:rPr>
        <w:t>时间：2022年12月24日09时30分00秒（北京时间）</w:t>
      </w:r>
    </w:p>
    <w:p>
      <w:pPr>
        <w:spacing w:line="360" w:lineRule="auto"/>
        <w:rPr>
          <w:rFonts w:ascii="宋体" w:hAnsi="宋体" w:cs="宋体"/>
          <w:sz w:val="24"/>
          <w:szCs w:val="24"/>
        </w:rPr>
      </w:pPr>
      <w:r>
        <w:rPr>
          <w:rFonts w:hint="eastAsia" w:ascii="宋体" w:hAnsi="宋体" w:cs="宋体"/>
          <w:sz w:val="24"/>
          <w:szCs w:val="24"/>
        </w:rPr>
        <w:t>提交投标文件地点：西安市雁塔区科技路10号华奥大厦A座20层2002室开标室</w:t>
      </w:r>
    </w:p>
    <w:p>
      <w:pPr>
        <w:spacing w:line="360" w:lineRule="auto"/>
        <w:rPr>
          <w:rFonts w:ascii="宋体" w:hAnsi="宋体" w:cs="宋体"/>
          <w:sz w:val="24"/>
          <w:szCs w:val="24"/>
        </w:rPr>
      </w:pPr>
      <w:r>
        <w:rPr>
          <w:rFonts w:hint="eastAsia" w:ascii="宋体" w:hAnsi="宋体" w:cs="宋体"/>
          <w:sz w:val="24"/>
          <w:szCs w:val="24"/>
        </w:rPr>
        <w:t>开标地点：西安市雁塔区科技路10号华奥大厦A座</w:t>
      </w:r>
      <w:r>
        <w:rPr>
          <w:rFonts w:hint="eastAsia" w:ascii="宋体" w:hAnsi="宋体" w:cs="宋体"/>
          <w:sz w:val="24"/>
          <w:szCs w:val="24"/>
          <w:lang w:val="en-US" w:eastAsia="zh-CN"/>
        </w:rPr>
        <w:t>20</w:t>
      </w:r>
      <w:r>
        <w:rPr>
          <w:rFonts w:hint="eastAsia" w:ascii="宋体" w:hAnsi="宋体" w:cs="宋体"/>
          <w:sz w:val="24"/>
          <w:szCs w:val="24"/>
        </w:rPr>
        <w:t>层2002室开标室</w:t>
      </w:r>
    </w:p>
    <w:p>
      <w:pPr>
        <w:spacing w:line="360" w:lineRule="auto"/>
        <w:rPr>
          <w:rFonts w:ascii="宋体" w:hAnsi="宋体" w:cs="宋体"/>
          <w:b/>
          <w:bCs/>
          <w:sz w:val="24"/>
          <w:szCs w:val="24"/>
        </w:rPr>
      </w:pPr>
      <w:r>
        <w:rPr>
          <w:rFonts w:hint="eastAsia" w:ascii="宋体" w:hAnsi="宋体" w:cs="宋体"/>
          <w:b/>
          <w:bCs/>
          <w:sz w:val="24"/>
          <w:szCs w:val="24"/>
        </w:rPr>
        <w:t>五、公告期限</w:t>
      </w:r>
    </w:p>
    <w:p>
      <w:pPr>
        <w:spacing w:line="360" w:lineRule="auto"/>
        <w:rPr>
          <w:rFonts w:ascii="宋体" w:hAnsi="宋体" w:cs="宋体"/>
          <w:sz w:val="24"/>
          <w:szCs w:val="24"/>
        </w:rPr>
      </w:pPr>
      <w:r>
        <w:rPr>
          <w:rFonts w:hint="eastAsia" w:ascii="宋体" w:hAnsi="宋体" w:cs="宋体"/>
          <w:sz w:val="24"/>
          <w:szCs w:val="24"/>
        </w:rPr>
        <w:t>自本公告发布之日起3个工作日。</w:t>
      </w:r>
    </w:p>
    <w:p>
      <w:pPr>
        <w:spacing w:line="360" w:lineRule="auto"/>
        <w:rPr>
          <w:rFonts w:ascii="宋体" w:hAnsi="宋体" w:cs="宋体"/>
          <w:b/>
          <w:bCs/>
          <w:sz w:val="24"/>
          <w:szCs w:val="24"/>
        </w:rPr>
      </w:pPr>
      <w:r>
        <w:rPr>
          <w:rFonts w:hint="eastAsia" w:ascii="宋体" w:hAnsi="宋体" w:cs="宋体"/>
          <w:b/>
          <w:bCs/>
          <w:sz w:val="24"/>
          <w:szCs w:val="24"/>
        </w:rPr>
        <w:t>六、其他补充事宜</w:t>
      </w:r>
    </w:p>
    <w:p>
      <w:pPr>
        <w:spacing w:line="360" w:lineRule="auto"/>
        <w:rPr>
          <w:rFonts w:hint="eastAsia" w:ascii="宋体" w:hAnsi="宋体" w:cs="宋体"/>
          <w:sz w:val="24"/>
          <w:szCs w:val="24"/>
        </w:rPr>
      </w:pPr>
      <w:r>
        <w:rPr>
          <w:rFonts w:hint="eastAsia" w:ascii="宋体" w:hAnsi="宋体" w:cs="宋体"/>
          <w:sz w:val="24"/>
          <w:szCs w:val="24"/>
        </w:rPr>
        <w:t>（1）时间：上午09:00--12:00，下午13:30--17:00（工 作 日），现场购买采购文件时请携带单位介绍信原件、身份证原件及复印件加盖公章，售后不退，谢绝邮递。</w:t>
      </w:r>
    </w:p>
    <w:p>
      <w:pPr>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mailto:（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标书费现金或银行转账支付）。采购文件将通过邮箱发送，无须现场购买。" </w:instrText>
      </w:r>
      <w:r>
        <w:rPr>
          <w:rFonts w:hint="eastAsia" w:ascii="宋体" w:hAnsi="宋体" w:cs="宋体"/>
          <w:sz w:val="24"/>
          <w:szCs w:val="24"/>
        </w:rPr>
        <w:fldChar w:fldCharType="separate"/>
      </w:r>
      <w:r>
        <w:rPr>
          <w:rStyle w:val="29"/>
          <w:rFonts w:hint="eastAsia" w:ascii="宋体" w:hAnsi="宋体" w:cs="宋体"/>
          <w:sz w:val="24"/>
          <w:szCs w:val="24"/>
        </w:rPr>
        <w:t>（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标书费现金或银行转账支付）。采购文件将通过邮箱发送，无须现场购买。</w:t>
      </w:r>
      <w:r>
        <w:rPr>
          <w:rFonts w:hint="eastAsia" w:ascii="宋体" w:hAnsi="宋体" w:cs="宋体"/>
          <w:sz w:val="24"/>
          <w:szCs w:val="24"/>
        </w:rPr>
        <w:fldChar w:fldCharType="end"/>
      </w:r>
    </w:p>
    <w:p>
      <w:pPr>
        <w:spacing w:line="360" w:lineRule="auto"/>
        <w:rPr>
          <w:rFonts w:ascii="宋体" w:hAnsi="宋体" w:cs="宋体"/>
          <w:sz w:val="24"/>
          <w:szCs w:val="24"/>
        </w:rPr>
      </w:pPr>
      <w:r>
        <w:rPr>
          <w:rFonts w:hint="eastAsia" w:ascii="宋体" w:hAnsi="宋体" w:cs="宋体"/>
          <w:sz w:val="24"/>
          <w:szCs w:val="24"/>
        </w:rPr>
        <w:t>（3）请供应商按照陕西省财政厅关于政府采购供应商注册登记有关事项的通知中的要求，通过陕西省政府采购网（http://www.ccgp-shaanxi.gov.cn/）注册登记加入陕西省政府采购供应商库。</w:t>
      </w:r>
    </w:p>
    <w:p>
      <w:pPr>
        <w:spacing w:line="360" w:lineRule="auto"/>
        <w:rPr>
          <w:rFonts w:ascii="宋体" w:hAnsi="宋体" w:cs="宋体"/>
          <w:sz w:val="24"/>
          <w:szCs w:val="24"/>
        </w:rPr>
      </w:pPr>
      <w:r>
        <w:rPr>
          <w:rFonts w:hint="eastAsia" w:ascii="宋体" w:hAnsi="宋体" w:cs="宋体"/>
          <w:b/>
          <w:bCs/>
          <w:sz w:val="24"/>
          <w:szCs w:val="24"/>
        </w:rPr>
        <w:t>七、对本次招标提出询问，请按以下方式联系</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1.采购人信息</w:t>
      </w:r>
    </w:p>
    <w:p>
      <w:pPr>
        <w:spacing w:line="360" w:lineRule="auto"/>
        <w:rPr>
          <w:rFonts w:ascii="宋体" w:hAnsi="宋体" w:cs="宋体"/>
          <w:sz w:val="24"/>
          <w:szCs w:val="24"/>
        </w:rPr>
      </w:pPr>
      <w:r>
        <w:rPr>
          <w:rFonts w:hint="eastAsia" w:ascii="宋体" w:hAnsi="宋体" w:cs="宋体"/>
          <w:sz w:val="24"/>
          <w:szCs w:val="24"/>
        </w:rPr>
        <w:t>名称：榆林学院</w:t>
      </w:r>
    </w:p>
    <w:p>
      <w:pPr>
        <w:spacing w:line="360" w:lineRule="auto"/>
        <w:rPr>
          <w:rFonts w:ascii="宋体" w:hAnsi="宋体" w:cs="宋体"/>
          <w:sz w:val="24"/>
          <w:szCs w:val="24"/>
        </w:rPr>
      </w:pPr>
      <w:r>
        <w:rPr>
          <w:rFonts w:hint="eastAsia" w:ascii="宋体" w:hAnsi="宋体" w:cs="宋体"/>
          <w:sz w:val="24"/>
          <w:szCs w:val="24"/>
        </w:rPr>
        <w:t>地址：陕西省榆林市榆林学院</w:t>
      </w:r>
    </w:p>
    <w:p>
      <w:pPr>
        <w:spacing w:line="360" w:lineRule="auto"/>
        <w:rPr>
          <w:rFonts w:ascii="宋体" w:hAnsi="宋体" w:cs="宋体"/>
          <w:sz w:val="24"/>
          <w:szCs w:val="24"/>
        </w:rPr>
      </w:pPr>
      <w:r>
        <w:rPr>
          <w:rFonts w:hint="eastAsia" w:ascii="宋体" w:hAnsi="宋体" w:cs="宋体"/>
          <w:sz w:val="24"/>
          <w:szCs w:val="24"/>
        </w:rPr>
        <w:t>联系方式：李老师 0912-3895950</w:t>
      </w:r>
    </w:p>
    <w:p>
      <w:pPr>
        <w:spacing w:line="360" w:lineRule="auto"/>
        <w:rPr>
          <w:rFonts w:ascii="宋体" w:hAnsi="宋体" w:cs="宋体"/>
          <w:sz w:val="24"/>
          <w:szCs w:val="24"/>
        </w:rPr>
      </w:pPr>
      <w:r>
        <w:rPr>
          <w:rFonts w:hint="eastAsia" w:ascii="宋体" w:hAnsi="宋体" w:cs="宋体"/>
          <w:sz w:val="24"/>
          <w:szCs w:val="24"/>
        </w:rPr>
        <w:t>2.采购代理机构信息</w:t>
      </w:r>
    </w:p>
    <w:p>
      <w:pPr>
        <w:spacing w:line="360" w:lineRule="auto"/>
        <w:rPr>
          <w:rFonts w:ascii="宋体" w:hAnsi="宋体" w:cs="宋体"/>
          <w:sz w:val="24"/>
          <w:szCs w:val="24"/>
        </w:rPr>
      </w:pPr>
      <w:r>
        <w:rPr>
          <w:rFonts w:hint="eastAsia" w:ascii="宋体" w:hAnsi="宋体" w:cs="宋体"/>
          <w:sz w:val="24"/>
          <w:szCs w:val="24"/>
        </w:rPr>
        <w:t>名称：陕西卓佲项目管理有限公司</w:t>
      </w:r>
    </w:p>
    <w:p>
      <w:pPr>
        <w:spacing w:line="360" w:lineRule="auto"/>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rPr>
          <w:rFonts w:ascii="宋体" w:hAnsi="宋体" w:cs="宋体"/>
          <w:sz w:val="24"/>
          <w:szCs w:val="24"/>
        </w:rPr>
      </w:pPr>
      <w:r>
        <w:rPr>
          <w:rFonts w:hint="eastAsia" w:ascii="宋体" w:hAnsi="宋体" w:cs="宋体"/>
          <w:sz w:val="24"/>
          <w:szCs w:val="24"/>
        </w:rPr>
        <w:t>联系方式：029-88440695</w:t>
      </w:r>
    </w:p>
    <w:p>
      <w:pPr>
        <w:spacing w:line="360" w:lineRule="auto"/>
        <w:rPr>
          <w:rFonts w:ascii="宋体" w:hAnsi="宋体" w:cs="宋体"/>
          <w:sz w:val="24"/>
          <w:szCs w:val="24"/>
        </w:rPr>
      </w:pPr>
      <w:r>
        <w:rPr>
          <w:rFonts w:hint="eastAsia" w:ascii="宋体" w:hAnsi="宋体" w:cs="宋体"/>
          <w:sz w:val="24"/>
          <w:szCs w:val="24"/>
        </w:rPr>
        <w:t>3.项目联系方式</w:t>
      </w:r>
    </w:p>
    <w:p>
      <w:pPr>
        <w:spacing w:line="360" w:lineRule="auto"/>
        <w:rPr>
          <w:rFonts w:ascii="宋体" w:hAnsi="宋体" w:cs="宋体"/>
          <w:sz w:val="24"/>
          <w:szCs w:val="24"/>
        </w:rPr>
      </w:pPr>
      <w:r>
        <w:rPr>
          <w:rFonts w:hint="eastAsia" w:ascii="宋体" w:hAnsi="宋体" w:cs="宋体"/>
          <w:sz w:val="24"/>
          <w:szCs w:val="24"/>
        </w:rPr>
        <w:t>项目联系人：米文佳 张倩</w:t>
      </w:r>
    </w:p>
    <w:p>
      <w:pPr>
        <w:spacing w:line="360" w:lineRule="auto"/>
        <w:rPr>
          <w:rFonts w:ascii="宋体" w:hAnsi="宋体" w:cs="宋体"/>
          <w:sz w:val="24"/>
          <w:szCs w:val="24"/>
        </w:rPr>
      </w:pPr>
      <w:r>
        <w:rPr>
          <w:rFonts w:hint="eastAsia" w:ascii="宋体" w:hAnsi="宋体" w:cs="宋体"/>
          <w:sz w:val="24"/>
          <w:szCs w:val="24"/>
        </w:rPr>
        <w:t>电话：029-88440695</w:t>
      </w:r>
    </w:p>
    <w:p>
      <w:pPr>
        <w:pStyle w:val="20"/>
        <w:widowControl/>
        <w:spacing w:before="10" w:beforeAutospacing="0" w:after="10" w:afterAutospacing="0" w:line="360" w:lineRule="auto"/>
        <w:ind w:firstLine="480"/>
        <w:jc w:val="right"/>
        <w:textAlignment w:val="baseline"/>
        <w:rPr>
          <w:rFonts w:ascii="宋体" w:hAnsi="宋体" w:cs="宋体"/>
          <w:kern w:val="2"/>
          <w:szCs w:val="24"/>
        </w:rPr>
      </w:pPr>
      <w:r>
        <w:rPr>
          <w:rFonts w:hint="eastAsia" w:ascii="宋体" w:hAnsi="宋体" w:cs="宋体"/>
          <w:kern w:val="2"/>
          <w:szCs w:val="24"/>
        </w:rPr>
        <w:t>陕西卓佲项目管理有限公司</w:t>
      </w:r>
    </w:p>
    <w:p>
      <w:pPr>
        <w:spacing w:line="360" w:lineRule="auto"/>
        <w:ind w:firstLine="480" w:firstLineChars="200"/>
        <w:jc w:val="right"/>
        <w:rPr>
          <w:rFonts w:ascii="宋体" w:hAnsi="宋体" w:cs="宋体"/>
          <w:sz w:val="24"/>
          <w:szCs w:val="24"/>
        </w:rPr>
      </w:pPr>
      <w:r>
        <w:rPr>
          <w:rFonts w:hint="eastAsia" w:ascii="宋体" w:hAnsi="宋体" w:cs="宋体"/>
          <w:sz w:val="24"/>
          <w:szCs w:val="24"/>
        </w:rPr>
        <w:t>2022年12月1</w:t>
      </w:r>
      <w:r>
        <w:rPr>
          <w:rFonts w:hint="eastAsia" w:ascii="宋体" w:hAnsi="宋体" w:cs="宋体"/>
          <w:sz w:val="24"/>
          <w:szCs w:val="24"/>
          <w:lang w:val="en-US" w:eastAsia="zh-CN"/>
        </w:rPr>
        <w:t>8</w:t>
      </w:r>
      <w:r>
        <w:rPr>
          <w:rFonts w:hint="eastAsia" w:ascii="宋体" w:hAnsi="宋体" w:cs="宋体"/>
          <w:sz w:val="24"/>
          <w:szCs w:val="24"/>
        </w:rPr>
        <w:t>日</w:t>
      </w:r>
    </w:p>
    <w:p>
      <w:pPr>
        <w:pStyle w:val="4"/>
        <w:rPr>
          <w:rFonts w:ascii="宋体" w:hAnsi="宋体" w:cs="宋体"/>
        </w:rPr>
        <w:sectPr>
          <w:footerReference r:id="rId7" w:type="default"/>
          <w:pgSz w:w="11906" w:h="16838"/>
          <w:pgMar w:top="1440" w:right="1706" w:bottom="1440" w:left="1800" w:header="851" w:footer="992" w:gutter="0"/>
          <w:cols w:space="720" w:num="1"/>
          <w:docGrid w:type="lines" w:linePitch="312" w:charSpace="0"/>
        </w:sectPr>
      </w:pPr>
    </w:p>
    <w:p>
      <w:pPr>
        <w:pStyle w:val="4"/>
        <w:rPr>
          <w:rFonts w:ascii="宋体" w:hAnsi="宋体" w:cs="宋体"/>
        </w:rPr>
      </w:pPr>
      <w:bookmarkStart w:id="4" w:name="_Toc29439"/>
      <w:r>
        <w:rPr>
          <w:rFonts w:hint="eastAsia" w:ascii="宋体" w:hAnsi="宋体" w:cs="宋体"/>
        </w:rPr>
        <w:t>第二部分  供应商须知前附表</w:t>
      </w:r>
      <w:bookmarkEnd w:id="2"/>
      <w:bookmarkEnd w:id="3"/>
      <w:bookmarkEnd w:id="4"/>
    </w:p>
    <w:p>
      <w:pPr>
        <w:ind w:firstLine="240" w:firstLineChars="100"/>
        <w:rPr>
          <w:rFonts w:ascii="宋体" w:hAnsi="宋体" w:cs="宋体"/>
          <w:sz w:val="24"/>
          <w:szCs w:val="24"/>
        </w:rPr>
      </w:pPr>
    </w:p>
    <w:tbl>
      <w:tblPr>
        <w:tblStyle w:val="23"/>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377"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377" w:type="dxa"/>
          </w:tcPr>
          <w:p>
            <w:pPr>
              <w:numPr>
                <w:ilvl w:val="0"/>
                <w:numId w:val="1"/>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b/>
                <w:bCs/>
                <w:sz w:val="24"/>
                <w:szCs w:val="24"/>
              </w:rPr>
            </w:pPr>
            <w:r>
              <w:rPr>
                <w:rFonts w:hint="eastAsia" w:ascii="宋体" w:hAnsi="宋体" w:cs="宋体"/>
                <w:sz w:val="24"/>
                <w:szCs w:val="24"/>
              </w:rPr>
              <w:t>（二）特定资格条件：</w:t>
            </w:r>
          </w:p>
          <w:p>
            <w:pPr>
              <w:spacing w:line="360" w:lineRule="auto"/>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rPr>
                <w:rFonts w:ascii="宋体" w:hAnsi="宋体" w:cs="宋体"/>
                <w:sz w:val="24"/>
                <w:szCs w:val="24"/>
              </w:rPr>
            </w:pPr>
            <w:r>
              <w:rPr>
                <w:rFonts w:hint="eastAsia" w:ascii="宋体" w:hAnsi="宋体" w:cs="宋体"/>
                <w:sz w:val="24"/>
                <w:szCs w:val="24"/>
              </w:rPr>
              <w:t>（2）财务状况证明：供应商提供2021年度经审计完整的财务审计报告（成立时间至提交响应文件 截止时间不足一年的可提供成立后任意时段的资产负债表），或其开标前三个月内银行出具的资信证明，或财政部门认可的政府采购专业担保机构出具的投标担保函；</w:t>
            </w:r>
          </w:p>
          <w:p>
            <w:pPr>
              <w:spacing w:line="360" w:lineRule="auto"/>
              <w:rPr>
                <w:rFonts w:ascii="宋体" w:hAnsi="宋体" w:cs="宋体"/>
                <w:sz w:val="24"/>
                <w:szCs w:val="24"/>
              </w:rPr>
            </w:pPr>
            <w:r>
              <w:rPr>
                <w:rFonts w:hint="eastAsia" w:ascii="宋体" w:hAnsi="宋体" w:cs="宋体"/>
                <w:sz w:val="24"/>
                <w:szCs w:val="24"/>
              </w:rPr>
              <w:t>（3）具有履行合同所必需的设备和专业技术能力的书面声明；</w:t>
            </w:r>
          </w:p>
          <w:p>
            <w:pPr>
              <w:spacing w:line="360" w:lineRule="auto"/>
              <w:rPr>
                <w:rFonts w:ascii="宋体" w:hAnsi="宋体" w:cs="宋体"/>
                <w:sz w:val="24"/>
                <w:szCs w:val="24"/>
              </w:rPr>
            </w:pPr>
            <w:r>
              <w:rPr>
                <w:rFonts w:hint="eastAsia" w:ascii="宋体" w:hAnsi="宋体" w:cs="宋体"/>
                <w:sz w:val="24"/>
                <w:szCs w:val="24"/>
              </w:rPr>
              <w:t>（4）税收缴纳证明：提供2022年1月以来至少一个月的纳税证明或完税证明，依法免税的单位应提供相关证明材料；</w:t>
            </w:r>
          </w:p>
          <w:p>
            <w:pPr>
              <w:spacing w:line="360" w:lineRule="auto"/>
              <w:rPr>
                <w:rFonts w:ascii="宋体" w:hAnsi="宋体" w:cs="宋体"/>
                <w:sz w:val="24"/>
                <w:szCs w:val="24"/>
              </w:rPr>
            </w:pPr>
            <w:r>
              <w:rPr>
                <w:rFonts w:hint="eastAsia" w:ascii="宋体" w:hAnsi="宋体" w:cs="宋体"/>
                <w:sz w:val="24"/>
                <w:szCs w:val="24"/>
              </w:rPr>
              <w:t>（5）社会保障资金缴纳证明：提供2022年1月以来至少一个月的社会保障资金缴存单据或社保机构开具的社会保险参保缴费情况证明。依法不需要缴纳社会保障资金的供应商应提供相关文件证明；</w:t>
            </w:r>
          </w:p>
          <w:p>
            <w:pPr>
              <w:spacing w:line="360" w:lineRule="auto"/>
              <w:rPr>
                <w:rFonts w:ascii="宋体" w:hAnsi="宋体" w:cs="宋体"/>
                <w:sz w:val="24"/>
                <w:szCs w:val="24"/>
              </w:rPr>
            </w:pPr>
            <w:r>
              <w:rPr>
                <w:rFonts w:hint="eastAsia" w:ascii="宋体" w:hAnsi="宋体" w:cs="宋体"/>
                <w:sz w:val="24"/>
                <w:szCs w:val="24"/>
              </w:rPr>
              <w:t>（6）参加政府采购活动前3年内在经营活动中没有重大违法记录的书面声明；</w:t>
            </w:r>
          </w:p>
          <w:p>
            <w:pPr>
              <w:spacing w:line="360" w:lineRule="auto"/>
              <w:rPr>
                <w:rFonts w:ascii="宋体" w:hAnsi="宋体" w:cs="宋体"/>
                <w:sz w:val="24"/>
                <w:szCs w:val="24"/>
              </w:rPr>
            </w:pPr>
            <w:r>
              <w:rPr>
                <w:rFonts w:hint="eastAsia" w:ascii="宋体" w:hAnsi="宋体" w:cs="宋体"/>
                <w:sz w:val="24"/>
                <w:szCs w:val="24"/>
              </w:rPr>
              <w:t>（7）非法定代表人参加谈判的，须提供法定代表人委托授权书及被授权人身份证，法定代表人参加谈判时,只须提供法定代表人身份证；</w:t>
            </w:r>
          </w:p>
          <w:p>
            <w:pPr>
              <w:spacing w:line="360" w:lineRule="auto"/>
              <w:rPr>
                <w:rFonts w:ascii="宋体" w:hAnsi="宋体" w:cs="宋体"/>
                <w:sz w:val="24"/>
                <w:szCs w:val="24"/>
              </w:rPr>
            </w:pPr>
            <w:r>
              <w:rPr>
                <w:rFonts w:hint="eastAsia" w:ascii="宋体" w:hAnsi="宋体" w:cs="宋体"/>
                <w:sz w:val="24"/>
                <w:szCs w:val="24"/>
              </w:rPr>
              <w:t>（8）所投产品为进口产品的，供应商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spacing w:line="360" w:lineRule="auto"/>
              <w:rPr>
                <w:rFonts w:ascii="宋体" w:hAnsi="宋体" w:cs="宋体"/>
                <w:sz w:val="24"/>
                <w:szCs w:val="24"/>
              </w:rPr>
            </w:pPr>
            <w:r>
              <w:rPr>
                <w:rFonts w:hint="eastAsia" w:ascii="宋体" w:hAnsi="宋体" w:cs="宋体"/>
                <w:sz w:val="24"/>
                <w:szCs w:val="24"/>
              </w:rPr>
              <w:t>（9）本项目不接受联合体。</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响应文件的正本和全部副本必须附上述资格证明文件，缺少其中一项或某项达不到竞争性谈判文件要求，其响应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377" w:type="dxa"/>
          </w:tcPr>
          <w:p>
            <w:pPr>
              <w:pStyle w:val="10"/>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 xml:space="preserve">响应报价超过采购预算或者最高限价； </w:t>
            </w:r>
          </w:p>
          <w:p>
            <w:pPr>
              <w:numPr>
                <w:ilvl w:val="0"/>
                <w:numId w:val="2"/>
              </w:numPr>
              <w:spacing w:line="360" w:lineRule="auto"/>
              <w:ind w:firstLine="0"/>
            </w:pPr>
            <w:r>
              <w:rPr>
                <w:rFonts w:hint="eastAsia" w:ascii="宋体" w:hAnsi="宋体" w:cs="宋体"/>
                <w:sz w:val="24"/>
                <w:szCs w:val="24"/>
              </w:rPr>
              <w:t>响应文件的交货期不满足竞争性谈判文件要求；</w:t>
            </w:r>
          </w:p>
          <w:p>
            <w:pPr>
              <w:numPr>
                <w:ilvl w:val="0"/>
                <w:numId w:val="2"/>
              </w:numPr>
              <w:spacing w:line="360" w:lineRule="auto"/>
              <w:ind w:firstLine="0"/>
            </w:pPr>
            <w:r>
              <w:rPr>
                <w:rFonts w:hint="eastAsia" w:ascii="宋体" w:hAnsi="宋体" w:cs="宋体"/>
                <w:sz w:val="24"/>
                <w:szCs w:val="24"/>
              </w:rPr>
              <w:t>响应文件的质保期不满足竞争性谈判文件要求；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响应文件的数量、签署、盖章、装订不符合竞争性谈判文件要求；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响应文件无投标有效期或有效期达不到竞争性谈判文件要求的；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响应文件标的数量不满足采购要求；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“★”符号标明的条款为实质性要求和条件，响应文件对其中任何一条的负偏离，为实质性偏离，其响应无效；</w:t>
            </w:r>
          </w:p>
          <w:p>
            <w:pPr>
              <w:numPr>
                <w:ilvl w:val="0"/>
                <w:numId w:val="2"/>
              </w:numPr>
              <w:spacing w:line="360" w:lineRule="auto"/>
              <w:ind w:firstLine="0"/>
            </w:pPr>
            <w:r>
              <w:rPr>
                <w:rFonts w:hint="eastAsia" w:ascii="宋体" w:hAnsi="宋体" w:cs="宋体"/>
                <w:sz w:val="24"/>
                <w:szCs w:val="24"/>
              </w:rPr>
              <w:t>响应文件含有采购人不能接受的附加条件的；</w:t>
            </w:r>
          </w:p>
          <w:p>
            <w:pPr>
              <w:numPr>
                <w:ilvl w:val="0"/>
                <w:numId w:val="2"/>
              </w:numPr>
              <w:spacing w:line="360" w:lineRule="auto"/>
              <w:ind w:firstLine="0"/>
              <w:rPr>
                <w:rFonts w:ascii="宋体" w:hAnsi="宋体" w:cs="宋体"/>
                <w:b/>
                <w:bCs/>
                <w:sz w:val="24"/>
                <w:szCs w:val="24"/>
              </w:rPr>
            </w:pP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不能以“赠送、赠予”等任何名义提供货物和服务以规避竞争性谈判文件的约束）。否则，供应商的投标行为将作为以不正当手段排挤其他供应商认定；</w:t>
            </w:r>
          </w:p>
          <w:p>
            <w:pPr>
              <w:numPr>
                <w:ilvl w:val="0"/>
                <w:numId w:val="2"/>
              </w:numPr>
              <w:spacing w:line="360" w:lineRule="auto"/>
              <w:ind w:firstLine="0"/>
              <w:rPr>
                <w:rFonts w:ascii="宋体" w:hAnsi="宋体" w:cs="宋体"/>
                <w:b/>
                <w:bCs/>
                <w:sz w:val="24"/>
                <w:szCs w:val="24"/>
              </w:rPr>
            </w:pPr>
            <w:r>
              <w:rPr>
                <w:rFonts w:hint="eastAsia" w:ascii="宋体" w:hAnsi="宋体" w:cs="宋体"/>
                <w:sz w:val="24"/>
                <w:szCs w:val="24"/>
              </w:rPr>
              <w:t>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7"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p>
            <w:pPr>
              <w:spacing w:line="360" w:lineRule="auto"/>
              <w:jc w:val="center"/>
              <w:rPr>
                <w:rFonts w:ascii="宋体" w:hAnsi="宋体" w:cs="宋体"/>
                <w:sz w:val="24"/>
                <w:szCs w:val="24"/>
              </w:rPr>
            </w:pPr>
            <w:r>
              <w:rPr>
                <w:rFonts w:hint="eastAsia" w:ascii="宋体" w:hAnsi="宋体" w:cs="宋体"/>
                <w:b/>
                <w:bCs/>
                <w:sz w:val="24"/>
                <w:szCs w:val="24"/>
              </w:rPr>
              <w:t>(不允许偏离)</w:t>
            </w:r>
          </w:p>
        </w:tc>
        <w:tc>
          <w:tcPr>
            <w:tcW w:w="7377" w:type="dxa"/>
          </w:tcPr>
          <w:p>
            <w:pPr>
              <w:spacing w:line="360" w:lineRule="auto"/>
              <w:rPr>
                <w:highlight w:val="yellow"/>
              </w:rPr>
            </w:pPr>
            <w:r>
              <w:rPr>
                <w:rFonts w:hint="eastAsia" w:ascii="宋体" w:hAnsi="宋体" w:cs="宋体"/>
                <w:sz w:val="24"/>
                <w:szCs w:val="24"/>
                <w:highlight w:val="yellow"/>
              </w:rPr>
              <w:t>★1、交货期：合同签订后150个工作日内交货；</w:t>
            </w:r>
          </w:p>
          <w:p>
            <w:pPr>
              <w:spacing w:line="360" w:lineRule="auto"/>
              <w:rPr>
                <w:rFonts w:ascii="宋体" w:hAnsi="宋体" w:cs="宋体"/>
                <w:sz w:val="24"/>
                <w:szCs w:val="24"/>
                <w:highlight w:val="yellow"/>
              </w:rPr>
            </w:pPr>
            <w:r>
              <w:rPr>
                <w:rFonts w:hint="eastAsia" w:ascii="宋体" w:hAnsi="宋体" w:cs="宋体"/>
                <w:sz w:val="24"/>
                <w:szCs w:val="24"/>
                <w:highlight w:val="yellow"/>
              </w:rPr>
              <w:t>★2、质保期：各设备质保期2年以上并给予不少于4次的培训；</w:t>
            </w:r>
          </w:p>
          <w:p>
            <w:pPr>
              <w:spacing w:line="360" w:lineRule="auto"/>
              <w:rPr>
                <w:rFonts w:ascii="宋体" w:hAnsi="宋体" w:cs="宋体"/>
                <w:sz w:val="24"/>
                <w:szCs w:val="24"/>
                <w:highlight w:val="yellow"/>
              </w:rPr>
            </w:pPr>
            <w:r>
              <w:rPr>
                <w:rFonts w:hint="eastAsia" w:ascii="宋体" w:hAnsi="宋体" w:cs="宋体"/>
                <w:sz w:val="24"/>
                <w:szCs w:val="24"/>
                <w:highlight w:val="yellow"/>
              </w:rPr>
              <w:t>★3、实施地点：榆林学院指定地点；</w:t>
            </w:r>
          </w:p>
          <w:p>
            <w:pPr>
              <w:spacing w:line="360" w:lineRule="auto"/>
              <w:rPr>
                <w:rFonts w:hint="eastAsia" w:ascii="宋体" w:hAnsi="宋体" w:cs="宋体"/>
                <w:sz w:val="24"/>
                <w:szCs w:val="24"/>
                <w:highlight w:val="yellow"/>
              </w:rPr>
            </w:pPr>
            <w:r>
              <w:rPr>
                <w:rFonts w:hint="eastAsia" w:ascii="宋体" w:hAnsi="宋体" w:cs="宋体"/>
                <w:sz w:val="24"/>
                <w:szCs w:val="24"/>
                <w:highlight w:val="yellow"/>
              </w:rPr>
              <w:t>★</w:t>
            </w:r>
            <w:r>
              <w:rPr>
                <w:rFonts w:hint="eastAsia" w:hAnsi="宋体"/>
                <w:sz w:val="24"/>
                <w:szCs w:val="24"/>
                <w:highlight w:val="yellow"/>
              </w:rPr>
              <w:t>4、</w:t>
            </w:r>
            <w:r>
              <w:rPr>
                <w:rFonts w:hint="eastAsia" w:ascii="宋体" w:hAnsi="宋体" w:cs="宋体"/>
                <w:sz w:val="24"/>
                <w:szCs w:val="24"/>
                <w:highlight w:val="yellow"/>
              </w:rPr>
              <w:t>付款方式：本项目须在 2022年12月30日前签订合同：本项目为专项贴息贷款项目，为保证项目顺利实施，中标人需与贷款银行开设监管账户、签署监管协议。</w:t>
            </w:r>
          </w:p>
          <w:p>
            <w:pPr>
              <w:spacing w:line="360" w:lineRule="auto"/>
              <w:rPr>
                <w:rFonts w:hint="eastAsia" w:ascii="宋体" w:hAnsi="宋体" w:cs="宋体"/>
                <w:sz w:val="24"/>
                <w:szCs w:val="24"/>
                <w:highlight w:val="yellow"/>
              </w:rPr>
            </w:pPr>
            <w:r>
              <w:rPr>
                <w:rFonts w:hint="eastAsia" w:ascii="宋体" w:hAnsi="宋体" w:cs="宋体"/>
                <w:sz w:val="24"/>
                <w:szCs w:val="24"/>
                <w:highlight w:val="yellow"/>
              </w:rPr>
              <w:t>合同签订后贷款银行将100%合同价款转入监管账户，项目验收合格后解付监管账户。</w:t>
            </w:r>
          </w:p>
          <w:p>
            <w:pPr>
              <w:spacing w:line="360" w:lineRule="auto"/>
              <w:rPr>
                <w:rFonts w:hint="eastAsia" w:ascii="宋体" w:hAnsi="宋体" w:cs="宋体"/>
                <w:sz w:val="24"/>
                <w:szCs w:val="24"/>
                <w:highlight w:val="yellow"/>
              </w:rPr>
            </w:pPr>
            <w:r>
              <w:rPr>
                <w:rFonts w:hint="eastAsia" w:ascii="宋体" w:hAnsi="宋体" w:cs="宋体"/>
                <w:sz w:val="24"/>
                <w:szCs w:val="24"/>
                <w:highlight w:val="yellow"/>
              </w:rPr>
              <w:t>★</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.履约保证金：供应商成交后凭成交通知书向采购人缴纳成交金额的5%作为履约保证金，验收合格支付货款后，5%履约保证金无质量问题一次性无息退还。</w:t>
            </w:r>
          </w:p>
          <w:p>
            <w:pPr>
              <w:spacing w:line="360" w:lineRule="auto"/>
              <w:rPr>
                <w:rFonts w:hint="eastAsia" w:ascii="宋体" w:hAnsi="宋体" w:cs="宋体"/>
                <w:sz w:val="24"/>
                <w:szCs w:val="24"/>
                <w:highlight w:val="yellow"/>
              </w:rPr>
            </w:pPr>
            <w:r>
              <w:rPr>
                <w:rFonts w:hint="eastAsia" w:ascii="宋体" w:hAnsi="宋体" w:cs="宋体"/>
                <w:sz w:val="24"/>
                <w:szCs w:val="24"/>
                <w:highlight w:val="yellow"/>
              </w:rPr>
              <w:t>【供应商须知】</w:t>
            </w:r>
          </w:p>
          <w:p>
            <w:pPr>
              <w:spacing w:line="360" w:lineRule="auto"/>
              <w:rPr>
                <w:rFonts w:hint="eastAsia" w:ascii="宋体" w:hAnsi="宋体" w:cs="宋体"/>
                <w:sz w:val="24"/>
                <w:szCs w:val="24"/>
                <w:highlight w:val="yellow"/>
              </w:rPr>
            </w:pPr>
            <w:r>
              <w:rPr>
                <w:rFonts w:hint="eastAsia" w:ascii="宋体" w:hAnsi="宋体" w:cs="宋体"/>
                <w:sz w:val="24"/>
                <w:szCs w:val="24"/>
                <w:highlight w:val="yellow"/>
              </w:rPr>
              <w:t>项目合同须在2022年12月30日前签署完毕，否则本项目的贴息贷款资金无法获取，本项目终止，由此所带来的一切损失由中标人承担。</w:t>
            </w:r>
          </w:p>
          <w:p>
            <w:pPr>
              <w:pStyle w:val="9"/>
              <w:ind w:firstLine="0"/>
            </w:pPr>
            <w:r>
              <w:rPr>
                <w:rFonts w:hint="eastAsia" w:ascii="宋体" w:hAnsi="宋体" w:cs="宋体"/>
                <w:b/>
                <w:bCs/>
                <w:sz w:val="24"/>
                <w:szCs w:val="24"/>
                <w:highlight w:val="yellow"/>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377" w:type="dxa"/>
          </w:tcPr>
          <w:p>
            <w:pPr>
              <w:pStyle w:val="9"/>
              <w:numPr>
                <w:ilvl w:val="0"/>
                <w:numId w:val="3"/>
              </w:numPr>
              <w:spacing w:line="360" w:lineRule="auto"/>
              <w:ind w:firstLine="0"/>
              <w:jc w:val="left"/>
              <w:rPr>
                <w:rFonts w:ascii="宋体" w:hAnsi="宋体" w:cs="宋体"/>
                <w:sz w:val="24"/>
                <w:szCs w:val="24"/>
              </w:rPr>
            </w:pPr>
            <w:r>
              <w:rPr>
                <w:rFonts w:hint="eastAsia" w:ascii="宋体" w:hAnsi="宋体" w:cs="宋体"/>
                <w:b/>
                <w:bCs/>
                <w:sz w:val="24"/>
                <w:szCs w:val="24"/>
              </w:rPr>
              <w:t>保证金的缴纳：</w:t>
            </w:r>
            <w:r>
              <w:rPr>
                <w:rFonts w:hint="eastAsia" w:ascii="宋体" w:hAnsi="宋体" w:cs="宋体"/>
                <w:sz w:val="24"/>
                <w:szCs w:val="24"/>
              </w:rPr>
              <w:t>人民币肆万元整（40000.00元）</w:t>
            </w:r>
          </w:p>
          <w:p>
            <w:pPr>
              <w:pStyle w:val="9"/>
              <w:spacing w:line="360" w:lineRule="auto"/>
              <w:ind w:firstLine="0"/>
              <w:jc w:val="left"/>
              <w:rPr>
                <w:rFonts w:ascii="宋体" w:hAnsi="宋体" w:cs="宋体"/>
                <w:sz w:val="24"/>
                <w:szCs w:val="24"/>
              </w:rPr>
            </w:pPr>
            <w:r>
              <w:rPr>
                <w:rFonts w:hint="eastAsia" w:ascii="宋体" w:hAnsi="宋体" w:cs="宋体"/>
                <w:sz w:val="24"/>
                <w:szCs w:val="24"/>
              </w:rPr>
              <w:t xml:space="preserve">   缴纳截止时间：同响应文件递交截止时间一致</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响应保证金应当以银行转账（公户）、支票、汇票、本票或者金融机构、担保机构出具的保函等非现金形式提交（注响应保证金须以供应商名称汇款），且应在谈判前致电代理机构财务部门确认响应保证金到账情况。</w:t>
            </w:r>
          </w:p>
          <w:p>
            <w:pPr>
              <w:spacing w:line="500" w:lineRule="exact"/>
              <w:jc w:val="left"/>
              <w:rPr>
                <w:rFonts w:ascii="宋体" w:hAnsi="宋体" w:cs="宋体"/>
                <w:sz w:val="24"/>
                <w:szCs w:val="24"/>
                <w:highlight w:val="yellow"/>
              </w:rPr>
            </w:pPr>
            <w:r>
              <w:rPr>
                <w:rFonts w:hint="eastAsia" w:ascii="宋体" w:hAnsi="宋体" w:cs="宋体"/>
                <w:sz w:val="24"/>
                <w:szCs w:val="24"/>
              </w:rPr>
              <w:t>户名：陕西卓佲项目管理有限公司</w:t>
            </w:r>
          </w:p>
          <w:p>
            <w:pPr>
              <w:spacing w:line="500" w:lineRule="exact"/>
              <w:jc w:val="left"/>
              <w:rPr>
                <w:rFonts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ascii="宋体" w:hAnsi="宋体" w:cs="宋体"/>
                <w:sz w:val="24"/>
                <w:szCs w:val="24"/>
              </w:rPr>
            </w:pPr>
            <w:r>
              <w:rPr>
                <w:rFonts w:hint="eastAsia" w:ascii="宋体" w:hAnsi="宋体" w:cs="宋体"/>
                <w:sz w:val="24"/>
                <w:szCs w:val="24"/>
              </w:rPr>
              <w:t>账号：78590188000191476</w:t>
            </w:r>
          </w:p>
          <w:p>
            <w:pPr>
              <w:spacing w:line="500" w:lineRule="exact"/>
              <w:jc w:val="left"/>
              <w:rPr>
                <w:rFonts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ascii="宋体" w:hAnsi="宋体" w:cs="宋体"/>
                <w:sz w:val="24"/>
                <w:szCs w:val="24"/>
              </w:rPr>
            </w:pPr>
            <w:r>
              <w:rPr>
                <w:rFonts w:hint="eastAsia" w:ascii="宋体" w:hAnsi="宋体" w:cs="宋体"/>
                <w:sz w:val="24"/>
                <w:szCs w:val="24"/>
              </w:rPr>
              <w:t>转账摘要：榆林学院-387响应保证金</w:t>
            </w:r>
          </w:p>
          <w:p>
            <w:pPr>
              <w:pStyle w:val="7"/>
              <w:numPr>
                <w:ilvl w:val="0"/>
                <w:numId w:val="4"/>
              </w:numPr>
              <w:rPr>
                <w:rFonts w:hint="default" w:ascii="宋体" w:hAnsi="宋体" w:cs="宋体"/>
                <w:sz w:val="24"/>
                <w:szCs w:val="24"/>
              </w:rPr>
            </w:pPr>
            <w:r>
              <w:rPr>
                <w:rFonts w:ascii="宋体" w:hAnsi="宋体" w:cs="宋体"/>
                <w:sz w:val="24"/>
                <w:szCs w:val="24"/>
              </w:rPr>
              <w:t>保证金的退还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未成交的供应商在退取响应保证金时，须携带以下资料办理到代理机构的财务部门办理:</w:t>
            </w:r>
          </w:p>
          <w:p>
            <w:pPr>
              <w:numPr>
                <w:ilvl w:val="0"/>
                <w:numId w:val="5"/>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pPr>
              <w:numPr>
                <w:ilvl w:val="0"/>
                <w:numId w:val="5"/>
              </w:numPr>
              <w:adjustRightInd w:val="0"/>
              <w:snapToGrid w:val="0"/>
              <w:spacing w:line="360" w:lineRule="auto"/>
              <w:rPr>
                <w:rFonts w:ascii="宋体" w:hAnsi="宋体" w:cs="宋体"/>
                <w:sz w:val="24"/>
                <w:szCs w:val="24"/>
              </w:rPr>
            </w:pPr>
            <w:r>
              <w:rPr>
                <w:rFonts w:hint="eastAsia" w:ascii="宋体" w:hAnsi="宋体" w:cs="宋体"/>
                <w:sz w:val="24"/>
                <w:szCs w:val="24"/>
              </w:rPr>
              <w:t>保证金退还信息确认表（加盖公章）见</w:t>
            </w:r>
            <w:r>
              <w:rPr>
                <w:rFonts w:hint="eastAsia" w:ascii="宋体" w:hAnsi="宋体" w:cs="宋体"/>
                <w:b/>
                <w:bCs/>
                <w:sz w:val="24"/>
                <w:szCs w:val="24"/>
              </w:rPr>
              <w:t>附件七</w:t>
            </w:r>
            <w:r>
              <w:rPr>
                <w:rFonts w:hint="eastAsia" w:ascii="宋体" w:hAnsi="宋体" w:cs="宋体"/>
                <w:sz w:val="24"/>
                <w:szCs w:val="24"/>
              </w:rPr>
              <w:t>。</w:t>
            </w:r>
          </w:p>
          <w:p>
            <w:pPr>
              <w:numPr>
                <w:ilvl w:val="0"/>
                <w:numId w:val="5"/>
              </w:numPr>
              <w:adjustRightInd w:val="0"/>
              <w:snapToGrid w:val="0"/>
              <w:spacing w:line="360" w:lineRule="auto"/>
              <w:rPr>
                <w:rFonts w:ascii="宋体" w:hAnsi="宋体" w:cs="宋体"/>
                <w:sz w:val="24"/>
                <w:szCs w:val="24"/>
              </w:rPr>
            </w:pPr>
            <w:r>
              <w:rPr>
                <w:rFonts w:hint="eastAsia" w:ascii="宋体" w:hAnsi="宋体" w:cs="宋体"/>
                <w:sz w:val="24"/>
                <w:szCs w:val="24"/>
              </w:rPr>
              <w:t>供应商可在谈判当天将保证金退还账户信息确认表与</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一并交给工作人员，当天未提交保证金退还账户信息确认表与响应保证金</w:t>
            </w:r>
            <w:r>
              <w:rPr>
                <w:rFonts w:hint="eastAsia" w:ascii="宋体" w:hAnsi="宋体" w:cs="宋体"/>
                <w:bCs/>
                <w:sz w:val="24"/>
                <w:szCs w:val="24"/>
              </w:rPr>
              <w:t>汇款凭证复印件加盖公章</w:t>
            </w:r>
            <w:r>
              <w:rPr>
                <w:rFonts w:hint="eastAsia" w:ascii="宋体" w:hAnsi="宋体" w:cs="宋体"/>
                <w:sz w:val="24"/>
                <w:szCs w:val="24"/>
              </w:rPr>
              <w:t>的供应商，在谈判后将以上资料盖章扫描件发送至邮箱</w:t>
            </w:r>
            <w:r>
              <w:fldChar w:fldCharType="begin"/>
            </w:r>
            <w:r>
              <w:instrText xml:space="preserve"> HYPERLINK "mailto:415080516@qq.com" \h </w:instrText>
            </w:r>
            <w:r>
              <w:fldChar w:fldCharType="separate"/>
            </w:r>
            <w:r>
              <w:rPr>
                <w:rFonts w:hint="eastAsia" w:ascii="宋体" w:hAnsi="宋体" w:cs="宋体"/>
                <w:sz w:val="24"/>
                <w:szCs w:val="24"/>
              </w:rPr>
              <w:t>shanxizhuoming_zb@163.com</w:t>
            </w:r>
            <w:r>
              <w:rPr>
                <w:rFonts w:hint="eastAsia" w:ascii="宋体" w:hAnsi="宋体" w:cs="宋体"/>
                <w:sz w:val="24"/>
                <w:szCs w:val="24"/>
              </w:rPr>
              <w:fldChar w:fldCharType="end"/>
            </w:r>
            <w:r>
              <w:rPr>
                <w:rFonts w:hint="eastAsia" w:ascii="宋体" w:hAnsi="宋体" w:cs="宋体"/>
                <w:sz w:val="24"/>
                <w:szCs w:val="24"/>
              </w:rPr>
              <w:t>并致电告知。</w:t>
            </w:r>
          </w:p>
          <w:p>
            <w:pPr>
              <w:numPr>
                <w:ilvl w:val="0"/>
                <w:numId w:val="5"/>
              </w:numPr>
              <w:adjustRightInd w:val="0"/>
              <w:snapToGrid w:val="0"/>
              <w:spacing w:line="360" w:lineRule="auto"/>
              <w:rPr>
                <w:rFonts w:ascii="宋体" w:hAnsi="宋体" w:cs="宋体"/>
              </w:rPr>
            </w:pPr>
            <w:r>
              <w:rPr>
                <w:rFonts w:hint="eastAsia" w:ascii="宋体" w:hAnsi="宋体" w:cs="宋体"/>
                <w:sz w:val="24"/>
                <w:szCs w:val="24"/>
              </w:rPr>
              <w:t>成交供应商在退取响应保证金时，除携带上述资料外还需携带与采购人签订的采购合同。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377"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377"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377" w:type="dxa"/>
            <w:vAlign w:val="center"/>
          </w:tcPr>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rPr>
              <w:t>3、供应商应在响应文件中的响应一览表上按照采购文件要求填写，并由法定代表人或被授权人代表签署；任何有选择的报价不予接受。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377"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06"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377" w:type="dxa"/>
            <w:vAlign w:val="center"/>
          </w:tcPr>
          <w:p>
            <w:pPr>
              <w:numPr>
                <w:ilvl w:val="0"/>
                <w:numId w:val="7"/>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7"/>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377" w:type="dxa"/>
            <w:vAlign w:val="center"/>
          </w:tcPr>
          <w:p>
            <w:pPr>
              <w:pStyle w:val="45"/>
              <w:spacing w:line="360" w:lineRule="auto"/>
              <w:rPr>
                <w:kern w:val="2"/>
              </w:rPr>
            </w:pPr>
            <w:r>
              <w:rPr>
                <w:rFonts w:hint="eastAsia"/>
                <w:kern w:val="2"/>
              </w:rPr>
              <w:t>1、装袋要求：</w:t>
            </w:r>
          </w:p>
          <w:p>
            <w:pPr>
              <w:pStyle w:val="45"/>
              <w:spacing w:line="360" w:lineRule="auto"/>
              <w:rPr>
                <w:kern w:val="2"/>
              </w:rPr>
            </w:pPr>
            <w:r>
              <w:rPr>
                <w:rFonts w:hint="eastAsia"/>
                <w:kern w:val="2"/>
              </w:rPr>
              <w:t>响应一览表密封单独装袋；</w:t>
            </w:r>
          </w:p>
          <w:p>
            <w:pPr>
              <w:pStyle w:val="45"/>
              <w:spacing w:line="360" w:lineRule="auto"/>
              <w:rPr>
                <w:kern w:val="2"/>
              </w:rPr>
            </w:pPr>
            <w:r>
              <w:rPr>
                <w:rFonts w:hint="eastAsia"/>
                <w:kern w:val="2"/>
              </w:rPr>
              <w:t>电子文档密封单独装袋；</w:t>
            </w:r>
          </w:p>
          <w:p>
            <w:pPr>
              <w:spacing w:line="360" w:lineRule="auto"/>
              <w:ind w:right="158" w:rightChars="75"/>
              <w:rPr>
                <w:rFonts w:ascii="宋体" w:hAnsi="宋体" w:cs="宋体"/>
                <w:sz w:val="24"/>
                <w:szCs w:val="24"/>
              </w:rPr>
            </w:pPr>
            <w:r>
              <w:rPr>
                <w:rFonts w:hint="eastAsia" w:ascii="宋体" w:hAnsi="宋体" w:cs="宋体"/>
                <w:sz w:val="24"/>
                <w:szCs w:val="24"/>
              </w:rPr>
              <w:t>所有正本密封单独装袋，也可分册密封装袋；</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所有副本密封单独装袋，</w:t>
            </w:r>
            <w:r>
              <w:rPr>
                <w:rFonts w:hint="eastAsia" w:ascii="宋体" w:hAnsi="宋体" w:cs="宋体"/>
                <w:sz w:val="24"/>
                <w:szCs w:val="24"/>
                <w:lang w:val="zh-CN"/>
              </w:rPr>
              <w:t>也可分册</w:t>
            </w:r>
            <w:r>
              <w:rPr>
                <w:rFonts w:hint="eastAsia" w:ascii="宋体" w:hAnsi="宋体" w:cs="宋体"/>
                <w:sz w:val="24"/>
                <w:szCs w:val="24"/>
              </w:rPr>
              <w:t>密封</w:t>
            </w:r>
            <w:r>
              <w:rPr>
                <w:rFonts w:hint="eastAsia" w:ascii="宋体" w:hAnsi="宋体" w:cs="宋体"/>
                <w:sz w:val="24"/>
                <w:szCs w:val="24"/>
                <w:lang w:val="zh-CN"/>
              </w:rPr>
              <w:t>装袋；</w:t>
            </w:r>
          </w:p>
          <w:p>
            <w:pPr>
              <w:spacing w:line="336" w:lineRule="auto"/>
              <w:jc w:val="left"/>
              <w:rPr>
                <w:rFonts w:ascii="宋体" w:hAnsi="宋体" w:cs="宋体"/>
                <w:sz w:val="24"/>
                <w:szCs w:val="24"/>
              </w:rPr>
            </w:pPr>
            <w:r>
              <w:rPr>
                <w:rFonts w:hint="eastAsia" w:ascii="宋体" w:hAnsi="宋体" w:cs="宋体"/>
                <w:sz w:val="24"/>
                <w:szCs w:val="24"/>
              </w:rPr>
              <w:t>2、在封袋正面标明“正本”“副本”“电子版”“响应一览表”字样。封袋应密封完整（密封以不泄露供应商商业机密、响应文件内容为标准，封面标识见招标文件附件一），如果未按上述规定进行密封，供应商的响应文件有权被拒绝。</w:t>
            </w:r>
          </w:p>
          <w:p>
            <w:pPr>
              <w:spacing w:line="336"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3、如果供应商未按上述要求密封及加写标记，误投或过早启封的响应文件，将自行承担其响应文件被视为无效响应文件的风险。</w:t>
            </w:r>
          </w:p>
          <w:p>
            <w:pPr>
              <w:spacing w:line="336" w:lineRule="auto"/>
              <w:jc w:val="left"/>
              <w:rPr>
                <w:rFonts w:ascii="宋体" w:hAnsi="宋体" w:cs="宋体"/>
                <w:sz w:val="24"/>
                <w:szCs w:val="24"/>
              </w:rPr>
            </w:pPr>
            <w:r>
              <w:rPr>
                <w:rFonts w:hint="eastAsia" w:ascii="宋体" w:hAnsi="宋体" w:cs="宋体"/>
                <w:sz w:val="24"/>
                <w:szCs w:val="24"/>
              </w:rPr>
              <w:t>4、本次招标只接受简体中文文字的响应文件；如响应文件中出现外文资料，需配以中文译文。否则，由此引发的一切责任由供应商自负。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336" w:type="dxa"/>
            <w:vAlign w:val="center"/>
          </w:tcPr>
          <w:p>
            <w:pPr>
              <w:spacing w:line="360" w:lineRule="auto"/>
              <w:jc w:val="center"/>
              <w:rPr>
                <w:rFonts w:ascii="宋体" w:hAnsi="宋体" w:cs="宋体"/>
                <w:sz w:val="24"/>
                <w:szCs w:val="24"/>
              </w:rPr>
            </w:pPr>
            <w:r>
              <w:rPr>
                <w:rFonts w:hint="eastAsia" w:ascii="宋体" w:hAnsi="宋体" w:cs="宋体"/>
                <w:b/>
                <w:bCs/>
                <w:sz w:val="24"/>
                <w:szCs w:val="24"/>
              </w:rPr>
              <w:t>成交原则</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377" w:type="dxa"/>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560" w:lineRule="exact"/>
              <w:jc w:val="left"/>
              <w:rPr>
                <w:rFonts w:ascii="宋体" w:hAnsi="宋体" w:cs="宋体"/>
                <w:sz w:val="24"/>
                <w:szCs w:val="24"/>
              </w:rPr>
            </w:pPr>
            <w:r>
              <w:rPr>
                <w:rFonts w:hint="eastAsia" w:ascii="宋体" w:hAnsi="宋体" w:cs="宋体"/>
                <w:sz w:val="24"/>
                <w:szCs w:val="24"/>
              </w:rPr>
              <w:t>供应商将招标代理服务费计入响应报价但不单独列明，中标供应商在领取中标通知书前须向采购代理机构一次性支付招标代理服务费，本项目属性：货物。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b/>
                <w:bCs/>
                <w:color w:val="000000"/>
                <w:sz w:val="24"/>
                <w:szCs w:val="24"/>
              </w:rPr>
            </w:pPr>
            <w:bookmarkStart w:id="5" w:name="_Toc19272"/>
            <w:r>
              <w:rPr>
                <w:rFonts w:hint="eastAsia" w:ascii="宋体" w:hAnsi="宋体" w:cs="宋体"/>
                <w:b/>
                <w:bCs/>
                <w:sz w:val="24"/>
                <w:szCs w:val="24"/>
              </w:rPr>
              <w:t>14</w:t>
            </w:r>
          </w:p>
        </w:tc>
        <w:tc>
          <w:tcPr>
            <w:tcW w:w="133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是否采购进口产品</w:t>
            </w:r>
          </w:p>
        </w:tc>
        <w:tc>
          <w:tcPr>
            <w:tcW w:w="7377" w:type="dxa"/>
            <w:vAlign w:val="center"/>
          </w:tcPr>
          <w:p>
            <w:pPr>
              <w:spacing w:line="360" w:lineRule="auto"/>
              <w:rPr>
                <w:rFonts w:ascii="宋体" w:hAnsi="宋体" w:cs="宋体"/>
                <w:b/>
                <w:bCs/>
                <w:sz w:val="24"/>
                <w:szCs w:val="24"/>
              </w:rPr>
            </w:pPr>
            <w:r>
              <w:rPr>
                <w:rFonts w:hint="eastAsia" w:ascii="宋体" w:hAnsi="宋体" w:cs="宋体"/>
                <w:b/>
                <w:bCs/>
                <w:sz w:val="24"/>
                <w:szCs w:val="24"/>
                <w:lang w:val="en-US" w:eastAsia="zh-CN"/>
              </w:rPr>
              <w:t>文件中标注“允许采购进口产品”可以采购进口产品，否则不允许采购进口产品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15</w:t>
            </w:r>
          </w:p>
        </w:tc>
        <w:tc>
          <w:tcPr>
            <w:tcW w:w="133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核心产品</w:t>
            </w:r>
          </w:p>
        </w:tc>
        <w:tc>
          <w:tcPr>
            <w:tcW w:w="7377" w:type="dxa"/>
            <w:vAlign w:val="center"/>
          </w:tcPr>
          <w:p>
            <w:pPr>
              <w:spacing w:line="360" w:lineRule="auto"/>
              <w:rPr>
                <w:rFonts w:ascii="宋体" w:hAnsi="宋体" w:cs="宋体"/>
                <w:b/>
                <w:bCs/>
                <w:sz w:val="24"/>
                <w:szCs w:val="24"/>
              </w:rPr>
            </w:pPr>
            <w:r>
              <w:rPr>
                <w:rFonts w:hint="eastAsia" w:ascii="宋体" w:hAnsi="宋体" w:cs="宋体"/>
                <w:b/>
                <w:bCs/>
                <w:sz w:val="24"/>
                <w:szCs w:val="24"/>
                <w:highlight w:val="yellow"/>
              </w:rPr>
              <w:t>定量分析在线质谱仪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16</w:t>
            </w:r>
          </w:p>
        </w:tc>
        <w:tc>
          <w:tcPr>
            <w:tcW w:w="133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是否专门面向中小企业</w:t>
            </w:r>
          </w:p>
        </w:tc>
        <w:tc>
          <w:tcPr>
            <w:tcW w:w="7377" w:type="dxa"/>
            <w:vAlign w:val="center"/>
          </w:tcPr>
          <w:p>
            <w:pPr>
              <w:ind w:right="158" w:rightChars="75"/>
              <w:rPr>
                <w:b/>
                <w:bCs/>
                <w:sz w:val="24"/>
                <w:szCs w:val="24"/>
              </w:rPr>
            </w:pPr>
            <w:r>
              <w:rPr>
                <w:rFonts w:hint="eastAsia"/>
                <w:b/>
                <w:bCs/>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377"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对供应商提出质疑答复时间、形式</w:t>
            </w:r>
          </w:p>
        </w:tc>
        <w:tc>
          <w:tcPr>
            <w:tcW w:w="7377"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供应商信用信息查询</w:t>
            </w:r>
            <w:r>
              <w:rPr>
                <w:rFonts w:hint="eastAsia" w:ascii="宋体" w:hAnsi="宋体" w:cs="宋体"/>
                <w:sz w:val="24"/>
                <w:szCs w:val="24"/>
              </w:rPr>
              <w:t>截止</w:t>
            </w:r>
            <w:r>
              <w:rPr>
                <w:rFonts w:hint="eastAsia" w:ascii="宋体" w:hAnsi="宋体" w:cs="宋体"/>
                <w:sz w:val="24"/>
                <w:szCs w:val="24"/>
                <w:lang w:val="zh-CN"/>
              </w:rPr>
              <w:t>时点</w:t>
            </w:r>
          </w:p>
        </w:tc>
        <w:tc>
          <w:tcPr>
            <w:tcW w:w="7377" w:type="dxa"/>
            <w:vAlign w:val="center"/>
          </w:tcPr>
          <w:p>
            <w:pPr>
              <w:spacing w:line="360" w:lineRule="auto"/>
              <w:rPr>
                <w:rFonts w:ascii="宋体" w:hAnsi="宋体" w:cs="宋体"/>
                <w:sz w:val="24"/>
                <w:szCs w:val="24"/>
                <w:lang w:val="zh-CN"/>
              </w:rPr>
            </w:pPr>
            <w:r>
              <w:rPr>
                <w:rFonts w:hint="eastAsia" w:ascii="宋体" w:hAnsi="宋体" w:cs="宋体"/>
                <w:sz w:val="24"/>
                <w:szCs w:val="24"/>
              </w:rPr>
              <w:t>响应文件递交截止日，由采购人和采购代理机构共同查询。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377" w:type="dxa"/>
            <w:vAlign w:val="center"/>
          </w:tcPr>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p>
            <w:pPr>
              <w:spacing w:line="560" w:lineRule="exact"/>
              <w:jc w:val="left"/>
              <w:rPr>
                <w:rFonts w:ascii="宋体" w:hAnsi="宋体" w:cs="宋体"/>
                <w:sz w:val="24"/>
                <w:szCs w:val="24"/>
              </w:rPr>
            </w:pPr>
            <w:r>
              <w:rPr>
                <w:rFonts w:hint="eastAsia" w:ascii="宋体" w:hAnsi="宋体" w:cs="宋体"/>
                <w:sz w:val="24"/>
                <w:szCs w:val="24"/>
              </w:rPr>
              <w:t>本项目所属行业为工业。</w:t>
            </w:r>
          </w:p>
        </w:tc>
      </w:tr>
    </w:tbl>
    <w:p>
      <w:pPr>
        <w:pStyle w:val="4"/>
        <w:keepLines w:val="0"/>
        <w:ind w:firstLine="643" w:firstLineChars="200"/>
        <w:rPr>
          <w:rFonts w:ascii="宋体" w:hAnsi="宋体" w:cs="宋体"/>
        </w:rPr>
        <w:sectPr>
          <w:pgSz w:w="11906" w:h="16838"/>
          <w:pgMar w:top="1440" w:right="1706" w:bottom="1440" w:left="1800" w:header="851" w:footer="992" w:gutter="0"/>
          <w:cols w:space="720" w:num="1"/>
          <w:docGrid w:type="lines" w:linePitch="312" w:charSpace="0"/>
        </w:sectPr>
      </w:pPr>
    </w:p>
    <w:p>
      <w:pPr>
        <w:pStyle w:val="4"/>
        <w:keepLines w:val="0"/>
        <w:ind w:firstLine="643" w:firstLineChars="200"/>
        <w:rPr>
          <w:rFonts w:ascii="宋体" w:hAnsi="宋体" w:cs="宋体"/>
        </w:rPr>
      </w:pPr>
      <w:bookmarkStart w:id="6" w:name="_Toc3360"/>
      <w:r>
        <w:rPr>
          <w:rFonts w:hint="eastAsia" w:ascii="宋体" w:hAnsi="宋体" w:cs="宋体"/>
        </w:rPr>
        <w:t>第三部分  供应商须知</w:t>
      </w:r>
      <w:bookmarkEnd w:id="5"/>
      <w:bookmarkEnd w:id="6"/>
    </w:p>
    <w:p>
      <w:pPr>
        <w:pStyle w:val="5"/>
        <w:numPr>
          <w:ilvl w:val="0"/>
          <w:numId w:val="8"/>
        </w:numPr>
        <w:rPr>
          <w:rFonts w:ascii="宋体" w:hAnsi="宋体" w:cs="宋体"/>
        </w:rPr>
      </w:pPr>
      <w:bookmarkStart w:id="7" w:name="_Toc32277"/>
      <w:bookmarkStart w:id="8" w:name="_Toc15735"/>
      <w:bookmarkStart w:id="9" w:name="_Toc26739"/>
      <w:r>
        <w:rPr>
          <w:rFonts w:hint="eastAsia" w:ascii="宋体" w:hAnsi="宋体" w:cs="宋体"/>
        </w:rPr>
        <w:t>总 则</w:t>
      </w:r>
      <w:bookmarkEnd w:id="7"/>
      <w:bookmarkEnd w:id="8"/>
      <w:bookmarkEnd w:id="9"/>
    </w:p>
    <w:p>
      <w:pPr>
        <w:pStyle w:val="6"/>
        <w:numPr>
          <w:ilvl w:val="0"/>
          <w:numId w:val="9"/>
        </w:numPr>
        <w:spacing w:line="500" w:lineRule="exact"/>
        <w:ind w:firstLine="643" w:firstLineChars="200"/>
        <w:rPr>
          <w:rFonts w:ascii="宋体" w:hAnsi="宋体" w:cs="宋体"/>
          <w:szCs w:val="28"/>
        </w:rPr>
      </w:pPr>
      <w:bookmarkStart w:id="10" w:name="_Toc380336725"/>
      <w:bookmarkStart w:id="11" w:name="_Toc9257"/>
      <w:bookmarkStart w:id="12" w:name="_Toc358364319"/>
      <w:bookmarkStart w:id="13" w:name="_Toc6742"/>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6"/>
        <w:numPr>
          <w:ilvl w:val="0"/>
          <w:numId w:val="9"/>
        </w:numPr>
        <w:spacing w:line="500" w:lineRule="exact"/>
        <w:ind w:firstLine="643" w:firstLineChars="200"/>
        <w:rPr>
          <w:rFonts w:ascii="宋体" w:hAnsi="宋体" w:cs="宋体"/>
          <w:szCs w:val="28"/>
        </w:rPr>
      </w:pPr>
      <w:bookmarkStart w:id="14" w:name="_Toc23781"/>
      <w:bookmarkStart w:id="15" w:name="_Toc17676"/>
      <w:bookmarkStart w:id="16" w:name="_Toc358364321"/>
      <w:bookmarkStart w:id="17" w:name="_Toc380336727"/>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6"/>
        <w:numPr>
          <w:ilvl w:val="0"/>
          <w:numId w:val="9"/>
        </w:numPr>
        <w:spacing w:line="500" w:lineRule="exact"/>
        <w:ind w:firstLine="643" w:firstLineChars="200"/>
        <w:rPr>
          <w:rFonts w:ascii="宋体" w:hAnsi="宋体" w:cs="宋体"/>
          <w:szCs w:val="28"/>
        </w:rPr>
      </w:pPr>
      <w:bookmarkStart w:id="18" w:name="_Toc358364322"/>
      <w:bookmarkStart w:id="19" w:name="_Toc380336728"/>
      <w:bookmarkStart w:id="20" w:name="_Toc22444"/>
      <w:bookmarkStart w:id="21" w:name="_Toc540"/>
      <w:r>
        <w:rPr>
          <w:rFonts w:hint="eastAsia" w:ascii="宋体" w:hAnsi="宋体" w:cs="宋体"/>
          <w:szCs w:val="28"/>
        </w:rPr>
        <w:t>费用</w:t>
      </w:r>
      <w:bookmarkEnd w:id="18"/>
      <w:bookmarkEnd w:id="19"/>
      <w:bookmarkEnd w:id="20"/>
      <w:bookmarkEnd w:id="21"/>
    </w:p>
    <w:p>
      <w:pPr>
        <w:widowControl/>
        <w:spacing w:line="500" w:lineRule="exact"/>
        <w:ind w:firstLine="480" w:firstLineChars="200"/>
        <w:jc w:val="left"/>
        <w:rPr>
          <w:rFonts w:ascii="宋体" w:hAnsi="宋体" w:cs="宋体"/>
          <w:sz w:val="24"/>
          <w:szCs w:val="24"/>
        </w:rPr>
      </w:pPr>
      <w:bookmarkStart w:id="22" w:name="_Toc17817"/>
      <w:r>
        <w:rPr>
          <w:rFonts w:hint="eastAsia" w:ascii="宋体" w:hAnsi="宋体" w:cs="宋体"/>
          <w:sz w:val="24"/>
          <w:szCs w:val="24"/>
        </w:rPr>
        <w:t>供应商必须从代理机构购买谈判文件，供应商自行转让或复制谈判文件视为无效。谈判文件一经售出，一律不退，仅作为本次谈判使用。</w:t>
      </w:r>
    </w:p>
    <w:p>
      <w:pPr>
        <w:spacing w:line="360" w:lineRule="auto"/>
        <w:ind w:firstLine="480" w:firstLineChars="200"/>
        <w:jc w:val="left"/>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cs="宋体"/>
          <w:kern w:val="0"/>
          <w:sz w:val="24"/>
          <w:szCs w:val="24"/>
        </w:rPr>
      </w:pPr>
    </w:p>
    <w:p>
      <w:pPr>
        <w:pStyle w:val="6"/>
        <w:numPr>
          <w:ilvl w:val="0"/>
          <w:numId w:val="9"/>
        </w:numPr>
        <w:spacing w:line="500" w:lineRule="exact"/>
        <w:ind w:left="-142" w:firstLine="562"/>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响应文件应当对竞争性谈判文件实质性要求和条件作出满足性或有利于采购人的响应，否则，供应商的响应无效。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偏离是指响应文件不响应或者不满足竞争性谈判文件提出的要求和条件，分为实质性偏离和非实质性偏离。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除法律、法规和竞争性谈判文件规定的其他响应无效情形外，谈判文件中用“★”符号标明的条款为实质性要求和条件，响应文件对其中任何一条的偏离，为实质性偏离，其响应无效。</w:t>
      </w:r>
    </w:p>
    <w:p>
      <w:pPr>
        <w:widowControl/>
        <w:spacing w:line="500" w:lineRule="exact"/>
        <w:ind w:firstLine="480" w:firstLineChars="200"/>
        <w:jc w:val="left"/>
        <w:rPr>
          <w:rFonts w:ascii="宋体" w:hAnsi="宋体" w:cs="宋体"/>
          <w:color w:val="0000FF"/>
          <w:sz w:val="24"/>
          <w:szCs w:val="24"/>
        </w:rPr>
      </w:pPr>
      <w:r>
        <w:rPr>
          <w:rFonts w:hint="eastAsia" w:ascii="宋体" w:hAnsi="宋体" w:cs="宋体"/>
          <w:sz w:val="24"/>
          <w:szCs w:val="24"/>
        </w:rPr>
        <w:t>响应文件偏离竞争性谈判文件的非实质性要求和条件，为非实质性偏离。非实质性偏离的范围和项数应当符合投标须知前附表的规定，超出偏离范围和最高项数的响应无效。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响应文件对竞争性谈判文件的全部偏离，均应在响应文件商务条款偏离表和技术参数偏离表中列明，除列明的内容外，视为供应商响应竞争性谈判文件的全部要求。</w:t>
      </w:r>
    </w:p>
    <w:p>
      <w:pPr>
        <w:rPr>
          <w:rFonts w:ascii="宋体" w:hAnsi="宋体" w:cs="宋体"/>
          <w:kern w:val="0"/>
          <w:sz w:val="24"/>
          <w:szCs w:val="24"/>
        </w:rPr>
      </w:pPr>
    </w:p>
    <w:p>
      <w:pPr>
        <w:rPr>
          <w:rFonts w:ascii="宋体" w:hAnsi="宋体" w:cs="宋体"/>
          <w:kern w:val="0"/>
          <w:sz w:val="24"/>
          <w:szCs w:val="24"/>
        </w:rPr>
      </w:pPr>
    </w:p>
    <w:p>
      <w:pPr>
        <w:rPr>
          <w:rFonts w:ascii="宋体" w:hAnsi="宋体" w:cs="宋体"/>
          <w:kern w:val="0"/>
          <w:sz w:val="24"/>
          <w:szCs w:val="24"/>
        </w:rPr>
      </w:pPr>
    </w:p>
    <w:p>
      <w:pPr>
        <w:rPr>
          <w:rFonts w:ascii="宋体" w:hAnsi="宋体" w:cs="宋体"/>
        </w:rPr>
      </w:pPr>
      <w:r>
        <w:rPr>
          <w:rFonts w:hint="eastAsia" w:ascii="宋体" w:hAnsi="宋体" w:cs="宋体"/>
        </w:rPr>
        <w:br w:type="page"/>
      </w:r>
    </w:p>
    <w:p>
      <w:pPr>
        <w:pStyle w:val="5"/>
        <w:numPr>
          <w:ilvl w:val="0"/>
          <w:numId w:val="8"/>
        </w:numPr>
        <w:rPr>
          <w:rFonts w:ascii="宋体" w:hAnsi="宋体" w:cs="宋体"/>
        </w:rPr>
      </w:pPr>
      <w:bookmarkStart w:id="23" w:name="_Toc29789"/>
      <w:r>
        <w:rPr>
          <w:rFonts w:hint="eastAsia" w:ascii="宋体" w:hAnsi="宋体" w:cs="宋体"/>
        </w:rPr>
        <w:t>竞争性谈判文件</w:t>
      </w:r>
      <w:bookmarkEnd w:id="23"/>
    </w:p>
    <w:p>
      <w:pPr>
        <w:pStyle w:val="6"/>
        <w:numPr>
          <w:ilvl w:val="0"/>
          <w:numId w:val="11"/>
        </w:numPr>
        <w:rPr>
          <w:rFonts w:ascii="宋体" w:hAnsi="宋体" w:cs="宋体"/>
        </w:rPr>
      </w:pPr>
      <w:bookmarkStart w:id="24" w:name="_Toc5801"/>
      <w:r>
        <w:rPr>
          <w:rFonts w:hint="eastAsia" w:ascii="宋体" w:hAnsi="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竞争性谈判文件是供应商准备响应文件和参加谈判的依据，同时也是评审的重要依据，具有准法律文件性质。本竞争性谈判文件包括以下内容：</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竞争性谈判公告；</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合同主要条款；</w:t>
      </w:r>
    </w:p>
    <w:p>
      <w:pPr>
        <w:numPr>
          <w:ilvl w:val="0"/>
          <w:numId w:val="12"/>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cs="宋体"/>
          <w:sz w:val="24"/>
        </w:rPr>
        <w:t>。</w:t>
      </w:r>
    </w:p>
    <w:p>
      <w:pPr>
        <w:pStyle w:val="6"/>
        <w:numPr>
          <w:ilvl w:val="0"/>
          <w:numId w:val="11"/>
        </w:numPr>
        <w:rPr>
          <w:rFonts w:ascii="宋体" w:hAnsi="宋体" w:cs="宋体"/>
        </w:rPr>
      </w:pPr>
      <w:bookmarkStart w:id="25" w:name="_Toc19797"/>
      <w:r>
        <w:rPr>
          <w:rFonts w:hint="eastAsia" w:ascii="宋体" w:hAnsi="宋体" w:cs="宋体"/>
        </w:rPr>
        <w:t>竞争性谈判文件的澄清</w:t>
      </w:r>
      <w:bookmarkEnd w:id="25"/>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自行承担。</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6"/>
        <w:numPr>
          <w:ilvl w:val="0"/>
          <w:numId w:val="11"/>
        </w:numPr>
        <w:rPr>
          <w:rFonts w:ascii="宋体" w:hAnsi="宋体" w:cs="宋体"/>
        </w:rPr>
      </w:pPr>
      <w:bookmarkStart w:id="26" w:name="_Toc6390"/>
      <w:r>
        <w:rPr>
          <w:rFonts w:hint="eastAsia" w:ascii="宋体" w:hAnsi="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cs="宋体"/>
          <w:b/>
          <w:bCs/>
          <w:sz w:val="24"/>
          <w:szCs w:val="24"/>
        </w:rPr>
      </w:pPr>
      <w:r>
        <w:rPr>
          <w:rFonts w:hint="eastAsia" w:ascii="宋体" w:hAnsi="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6"/>
        <w:numPr>
          <w:ilvl w:val="0"/>
          <w:numId w:val="11"/>
        </w:numPr>
        <w:rPr>
          <w:rFonts w:ascii="宋体" w:hAnsi="宋体" w:cs="宋体"/>
        </w:rPr>
      </w:pPr>
      <w:bookmarkStart w:id="27" w:name="_Toc5095"/>
      <w:r>
        <w:rPr>
          <w:rFonts w:hint="eastAsia" w:ascii="宋体" w:hAnsi="宋体" w:cs="宋体"/>
        </w:rPr>
        <w:t>竞争性谈判文件的解释权归代理机构。</w:t>
      </w:r>
      <w:bookmarkEnd w:id="27"/>
    </w:p>
    <w:p>
      <w:pPr>
        <w:widowControl/>
        <w:numPr>
          <w:ilvl w:val="0"/>
          <w:numId w:val="13"/>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p>
      <w:pPr>
        <w:pStyle w:val="5"/>
        <w:numPr>
          <w:ilvl w:val="0"/>
          <w:numId w:val="8"/>
        </w:numPr>
        <w:rPr>
          <w:rFonts w:ascii="宋体" w:hAnsi="宋体" w:cs="宋体"/>
        </w:rPr>
      </w:pPr>
      <w:bookmarkStart w:id="28" w:name="_Toc28647"/>
      <w:r>
        <w:rPr>
          <w:rFonts w:hint="eastAsia" w:ascii="宋体" w:hAnsi="宋体" w:cs="宋体"/>
        </w:rPr>
        <w:t>响应文件</w:t>
      </w:r>
      <w:bookmarkEnd w:id="28"/>
    </w:p>
    <w:p>
      <w:pPr>
        <w:pStyle w:val="6"/>
        <w:numPr>
          <w:ilvl w:val="0"/>
          <w:numId w:val="14"/>
        </w:numPr>
        <w:rPr>
          <w:rFonts w:ascii="宋体" w:hAnsi="宋体" w:cs="宋体"/>
        </w:rPr>
      </w:pPr>
      <w:bookmarkStart w:id="29" w:name="_Toc17549"/>
      <w:r>
        <w:rPr>
          <w:rFonts w:hint="eastAsia" w:ascii="宋体" w:hAnsi="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6"/>
        <w:numPr>
          <w:ilvl w:val="0"/>
          <w:numId w:val="14"/>
        </w:numPr>
        <w:rPr>
          <w:rFonts w:ascii="宋体" w:hAnsi="宋体" w:cs="宋体"/>
        </w:rPr>
      </w:pPr>
      <w:bookmarkStart w:id="30" w:name="_Toc27646"/>
      <w:r>
        <w:rPr>
          <w:rFonts w:hint="eastAsia" w:ascii="宋体" w:hAnsi="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6"/>
        <w:numPr>
          <w:ilvl w:val="0"/>
          <w:numId w:val="14"/>
        </w:numPr>
        <w:rPr>
          <w:rFonts w:ascii="宋体" w:hAnsi="宋体" w:cs="宋体"/>
        </w:rPr>
      </w:pPr>
      <w:r>
        <w:rPr>
          <w:rFonts w:hint="eastAsia" w:ascii="宋体" w:hAnsi="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6"/>
        <w:numPr>
          <w:ilvl w:val="0"/>
          <w:numId w:val="14"/>
        </w:numPr>
        <w:rPr>
          <w:rFonts w:ascii="宋体" w:hAnsi="宋体" w:cs="宋体"/>
        </w:rPr>
      </w:pPr>
      <w:r>
        <w:rPr>
          <w:rFonts w:hint="eastAsia" w:ascii="宋体" w:hAnsi="宋体" w:cs="宋体"/>
        </w:rPr>
        <w:t>响应保证金</w:t>
      </w:r>
    </w:p>
    <w:p>
      <w:pPr>
        <w:numPr>
          <w:ilvl w:val="0"/>
          <w:numId w:val="15"/>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rPr>
        <w:t>响应保证金按照供应商须知前附表要求缴纳。</w:t>
      </w:r>
    </w:p>
    <w:p>
      <w:pPr>
        <w:numPr>
          <w:ilvl w:val="0"/>
          <w:numId w:val="15"/>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供应商未按照竞争性谈判文件要求交纳响应保证金的或响应保证金的交付单位和供应商的名称必须一致，视为无效响应。</w:t>
      </w:r>
    </w:p>
    <w:p>
      <w:pPr>
        <w:numPr>
          <w:ilvl w:val="0"/>
          <w:numId w:val="15"/>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未成交供应商的响应保证金，在成交通知书发出后5个工作日内无息退还；成交供应商的响应保证金在合同签订后5个工作日内无息退还。</w:t>
      </w:r>
    </w:p>
    <w:p>
      <w:pPr>
        <w:numPr>
          <w:ilvl w:val="0"/>
          <w:numId w:val="15"/>
        </w:numPr>
        <w:tabs>
          <w:tab w:val="left" w:pos="0"/>
        </w:tabs>
        <w:adjustRightInd w:val="0"/>
        <w:snapToGrid w:val="0"/>
        <w:spacing w:line="360" w:lineRule="auto"/>
        <w:rPr>
          <w:rFonts w:ascii="宋体" w:hAnsi="宋体" w:cs="宋体"/>
          <w:sz w:val="24"/>
          <w:szCs w:val="24"/>
        </w:rPr>
      </w:pPr>
      <w:r>
        <w:rPr>
          <w:rFonts w:hint="eastAsia" w:ascii="宋体" w:hAnsi="宋体" w:cs="宋体"/>
          <w:sz w:val="24"/>
          <w:szCs w:val="24"/>
        </w:rPr>
        <w:t>发生下列情形之一的，代理机构将不予退还供应商交纳的响应保证金：</w:t>
      </w:r>
    </w:p>
    <w:p>
      <w:pPr>
        <w:numPr>
          <w:ilvl w:val="0"/>
          <w:numId w:val="16"/>
        </w:numPr>
        <w:tabs>
          <w:tab w:val="left" w:pos="0"/>
        </w:tabs>
        <w:adjustRightInd w:val="0"/>
        <w:snapToGrid w:val="0"/>
        <w:spacing w:line="360" w:lineRule="auto"/>
        <w:ind w:left="6" w:firstLine="480" w:firstLineChars="200"/>
        <w:rPr>
          <w:rFonts w:ascii="宋体" w:hAnsi="宋体" w:cs="宋体"/>
          <w:sz w:val="24"/>
          <w:szCs w:val="24"/>
        </w:rPr>
      </w:pPr>
      <w:r>
        <w:rPr>
          <w:rFonts w:hint="eastAsia" w:ascii="宋体" w:hAnsi="宋体" w:cs="宋体"/>
          <w:sz w:val="24"/>
        </w:rPr>
        <w:t>谈判后在竞争性谈判文件规定的响应有效期间，供应商撤回其响应文件</w:t>
      </w:r>
      <w:r>
        <w:rPr>
          <w:rFonts w:hint="eastAsia" w:ascii="宋体" w:hAnsi="宋体" w:cs="宋体"/>
          <w:sz w:val="24"/>
          <w:szCs w:val="24"/>
        </w:rPr>
        <w:t>；</w:t>
      </w:r>
    </w:p>
    <w:p>
      <w:pPr>
        <w:numPr>
          <w:ilvl w:val="0"/>
          <w:numId w:val="16"/>
        </w:numPr>
        <w:adjustRightInd w:val="0"/>
        <w:snapToGrid w:val="0"/>
        <w:spacing w:line="360" w:lineRule="auto"/>
        <w:ind w:left="6" w:firstLine="480" w:firstLineChars="200"/>
        <w:rPr>
          <w:rFonts w:ascii="宋体" w:hAnsi="宋体" w:cs="宋体"/>
          <w:sz w:val="24"/>
          <w:szCs w:val="24"/>
        </w:rPr>
      </w:pPr>
      <w:r>
        <w:rPr>
          <w:rFonts w:hint="eastAsia" w:ascii="宋体" w:hAnsi="宋体" w:cs="宋体"/>
          <w:sz w:val="24"/>
          <w:szCs w:val="24"/>
        </w:rPr>
        <w:t>在采购人确定成交供应商以前放弃成交候选资格的；</w:t>
      </w:r>
    </w:p>
    <w:p>
      <w:pPr>
        <w:numPr>
          <w:ilvl w:val="0"/>
          <w:numId w:val="16"/>
        </w:numPr>
        <w:adjustRightInd w:val="0"/>
        <w:snapToGrid w:val="0"/>
        <w:spacing w:line="360" w:lineRule="auto"/>
        <w:ind w:left="6" w:firstLine="480" w:firstLineChars="200"/>
        <w:rPr>
          <w:rFonts w:ascii="宋体" w:hAnsi="宋体" w:cs="宋体"/>
          <w:sz w:val="24"/>
          <w:szCs w:val="24"/>
        </w:rPr>
      </w:pPr>
      <w:r>
        <w:rPr>
          <w:rFonts w:hint="eastAsia" w:ascii="宋体" w:hAnsi="宋体" w:cs="宋体"/>
          <w:sz w:val="24"/>
          <w:szCs w:val="24"/>
        </w:rPr>
        <w:t>由于成交供应商原因未能按照竞争性谈判文件的规定与采购人签订合同；</w:t>
      </w:r>
    </w:p>
    <w:p>
      <w:pPr>
        <w:numPr>
          <w:ilvl w:val="0"/>
          <w:numId w:val="16"/>
        </w:numPr>
        <w:adjustRightInd w:val="0"/>
        <w:snapToGrid w:val="0"/>
        <w:spacing w:line="360" w:lineRule="auto"/>
        <w:ind w:left="6" w:firstLine="480" w:firstLineChars="200"/>
        <w:rPr>
          <w:rFonts w:ascii="宋体" w:hAnsi="宋体" w:cs="宋体"/>
          <w:sz w:val="24"/>
          <w:szCs w:val="24"/>
        </w:rPr>
      </w:pPr>
      <w:r>
        <w:rPr>
          <w:rFonts w:hint="eastAsia" w:ascii="宋体" w:hAnsi="宋体" w:cs="宋体"/>
          <w:sz w:val="24"/>
          <w:szCs w:val="24"/>
        </w:rPr>
        <w:t>由于成交供应商原因未能按照竞争性谈判文件的规定交纳履约保证金；</w:t>
      </w:r>
    </w:p>
    <w:p>
      <w:pPr>
        <w:numPr>
          <w:ilvl w:val="0"/>
          <w:numId w:val="16"/>
        </w:numPr>
        <w:adjustRightInd w:val="0"/>
        <w:snapToGrid w:val="0"/>
        <w:spacing w:line="360" w:lineRule="auto"/>
        <w:ind w:left="5" w:firstLine="480" w:firstLineChars="200"/>
        <w:rPr>
          <w:rFonts w:ascii="宋体" w:hAnsi="宋体" w:cs="宋体"/>
          <w:sz w:val="24"/>
          <w:szCs w:val="24"/>
        </w:rPr>
      </w:pPr>
      <w:r>
        <w:rPr>
          <w:rFonts w:hint="eastAsia" w:ascii="宋体" w:hAnsi="宋体" w:cs="宋体"/>
          <w:sz w:val="24"/>
          <w:szCs w:val="24"/>
        </w:rPr>
        <w:t>响应有效期内，供应商在政府采购活动中有违法、违规、违纪行为。</w:t>
      </w:r>
    </w:p>
    <w:p>
      <w:pPr>
        <w:pStyle w:val="6"/>
        <w:numPr>
          <w:ilvl w:val="0"/>
          <w:numId w:val="14"/>
        </w:numPr>
        <w:rPr>
          <w:rFonts w:ascii="宋体" w:hAnsi="宋体" w:cs="宋体"/>
        </w:rPr>
      </w:pPr>
      <w:r>
        <w:rPr>
          <w:rFonts w:hint="eastAsia" w:ascii="宋体" w:hAnsi="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6"/>
        <w:numPr>
          <w:ilvl w:val="0"/>
          <w:numId w:val="14"/>
        </w:numPr>
        <w:rPr>
          <w:rFonts w:ascii="宋体" w:hAnsi="宋体" w:cs="宋体"/>
          <w:szCs w:val="32"/>
        </w:rPr>
      </w:pPr>
      <w:r>
        <w:rPr>
          <w:rFonts w:hint="eastAsia" w:ascii="宋体" w:hAnsi="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6.1响应文件的装订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cs="宋体"/>
          <w:kern w:val="0"/>
          <w:sz w:val="24"/>
        </w:rPr>
      </w:pPr>
    </w:p>
    <w:p>
      <w:pPr>
        <w:pStyle w:val="5"/>
        <w:numPr>
          <w:ilvl w:val="0"/>
          <w:numId w:val="8"/>
        </w:numPr>
        <w:rPr>
          <w:rFonts w:ascii="宋体" w:hAnsi="宋体" w:cs="宋体"/>
        </w:rPr>
        <w:sectPr>
          <w:footerReference r:id="rId8" w:type="default"/>
          <w:pgSz w:w="11906" w:h="16838"/>
          <w:pgMar w:top="1440" w:right="1803" w:bottom="1440" w:left="1803" w:header="851" w:footer="992" w:gutter="0"/>
          <w:cols w:space="720" w:num="1"/>
          <w:docGrid w:type="lines" w:linePitch="319" w:charSpace="0"/>
        </w:sectPr>
      </w:pPr>
      <w:bookmarkStart w:id="34" w:name="_Toc3565"/>
      <w:bookmarkStart w:id="35" w:name="_Toc3736"/>
    </w:p>
    <w:p>
      <w:pPr>
        <w:pStyle w:val="5"/>
        <w:numPr>
          <w:ilvl w:val="0"/>
          <w:numId w:val="8"/>
        </w:numPr>
        <w:rPr>
          <w:rFonts w:ascii="宋体" w:hAnsi="宋体" w:cs="宋体"/>
        </w:rPr>
      </w:pPr>
      <w:bookmarkStart w:id="36" w:name="_Toc1425"/>
      <w:r>
        <w:rPr>
          <w:rFonts w:hint="eastAsia" w:ascii="宋体" w:hAnsi="宋体" w:cs="宋体"/>
        </w:rPr>
        <w:t>响应文件的递交</w:t>
      </w:r>
      <w:bookmarkEnd w:id="34"/>
      <w:bookmarkEnd w:id="36"/>
    </w:p>
    <w:bookmarkEnd w:id="35"/>
    <w:p>
      <w:pPr>
        <w:pStyle w:val="6"/>
        <w:numPr>
          <w:ilvl w:val="0"/>
          <w:numId w:val="17"/>
        </w:numPr>
        <w:rPr>
          <w:rFonts w:ascii="宋体" w:hAnsi="宋体" w:cs="宋体"/>
        </w:rPr>
      </w:pPr>
      <w:bookmarkStart w:id="37" w:name="_Toc3685"/>
      <w:r>
        <w:rPr>
          <w:rFonts w:hint="eastAsia" w:ascii="宋体" w:hAnsi="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6"/>
        <w:numPr>
          <w:ilvl w:val="0"/>
          <w:numId w:val="17"/>
        </w:numPr>
        <w:rPr>
          <w:rFonts w:ascii="宋体" w:hAnsi="宋体" w:cs="宋体"/>
        </w:rPr>
      </w:pPr>
      <w:bookmarkStart w:id="38" w:name="_Toc12741"/>
      <w:r>
        <w:rPr>
          <w:rFonts w:hint="eastAsia" w:ascii="宋体" w:hAnsi="宋体" w:cs="宋体"/>
        </w:rPr>
        <w:t>响应文件的修改和撤回</w:t>
      </w:r>
      <w:bookmarkEnd w:id="38"/>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在谈判截止时间之后，供应商不得对其递交的响应文件做任何修改或撤回。</w:t>
      </w:r>
    </w:p>
    <w:p>
      <w:pPr>
        <w:pStyle w:val="5"/>
        <w:numPr>
          <w:ilvl w:val="0"/>
          <w:numId w:val="8"/>
        </w:numPr>
        <w:rPr>
          <w:rFonts w:ascii="宋体" w:hAnsi="宋体" w:cs="宋体"/>
        </w:rPr>
      </w:pPr>
      <w:bookmarkStart w:id="39" w:name="_Toc29690"/>
      <w:bookmarkStart w:id="40" w:name="_Toc14415"/>
      <w:bookmarkStart w:id="41" w:name="_Toc27066"/>
      <w:r>
        <w:rPr>
          <w:rFonts w:hint="eastAsia" w:ascii="宋体" w:hAnsi="宋体" w:cs="宋体"/>
        </w:rPr>
        <w:t>谈判、评审、定标</w:t>
      </w:r>
      <w:bookmarkEnd w:id="39"/>
      <w:bookmarkEnd w:id="40"/>
      <w:bookmarkEnd w:id="41"/>
    </w:p>
    <w:p>
      <w:pPr>
        <w:pStyle w:val="6"/>
        <w:numPr>
          <w:ilvl w:val="0"/>
          <w:numId w:val="18"/>
        </w:numPr>
        <w:rPr>
          <w:rFonts w:ascii="宋体" w:hAnsi="宋体" w:cs="宋体"/>
        </w:rPr>
      </w:pPr>
      <w:r>
        <w:rPr>
          <w:rFonts w:hint="eastAsia" w:ascii="宋体" w:hAnsi="宋体" w:cs="宋体"/>
        </w:rPr>
        <w:t>谈判</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cs="宋体"/>
          <w:sz w:val="24"/>
        </w:rPr>
      </w:pPr>
      <w:r>
        <w:rPr>
          <w:rFonts w:hint="eastAsia" w:ascii="宋体" w:hAnsi="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cs="宋体"/>
          <w:kern w:val="0"/>
          <w:sz w:val="24"/>
        </w:rPr>
      </w:pPr>
      <w:r>
        <w:rPr>
          <w:rFonts w:hint="eastAsia" w:ascii="宋体" w:hAnsi="宋体" w:cs="宋体"/>
          <w:kern w:val="0"/>
          <w:sz w:val="24"/>
        </w:rPr>
        <w:t>1.3谈判时，响应文件中出现下列情况，修正原则为：</w:t>
      </w:r>
    </w:p>
    <w:p>
      <w:pPr>
        <w:numPr>
          <w:ilvl w:val="0"/>
          <w:numId w:val="19"/>
        </w:numPr>
        <w:spacing w:line="500" w:lineRule="exact"/>
        <w:ind w:left="5" w:firstLine="415"/>
        <w:jc w:val="left"/>
        <w:rPr>
          <w:rFonts w:ascii="宋体" w:hAnsi="宋体" w:cs="宋体"/>
          <w:sz w:val="24"/>
          <w:szCs w:val="24"/>
        </w:rPr>
      </w:pPr>
      <w:r>
        <w:rPr>
          <w:rFonts w:hint="eastAsia" w:ascii="宋体" w:hAnsi="宋体" w:cs="宋体"/>
          <w:sz w:val="24"/>
          <w:szCs w:val="24"/>
        </w:rPr>
        <w:t>谈判文件中响应一览表（报价表）内容与响应文件中相应内容不一致的，以响应一览表（报价表）为准；</w:t>
      </w:r>
    </w:p>
    <w:p>
      <w:pPr>
        <w:numPr>
          <w:ilvl w:val="0"/>
          <w:numId w:val="19"/>
        </w:numPr>
        <w:spacing w:line="500" w:lineRule="exact"/>
        <w:ind w:left="5" w:firstLine="415"/>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9"/>
        </w:numPr>
        <w:spacing w:line="500" w:lineRule="exact"/>
        <w:ind w:left="5" w:firstLine="415"/>
        <w:jc w:val="left"/>
        <w:rPr>
          <w:rFonts w:ascii="宋体" w:hAnsi="宋体" w:cs="宋体"/>
          <w:sz w:val="24"/>
          <w:szCs w:val="24"/>
        </w:rPr>
      </w:pPr>
      <w:r>
        <w:rPr>
          <w:rFonts w:hint="eastAsia" w:ascii="宋体" w:hAnsi="宋体" w:cs="宋体"/>
          <w:sz w:val="24"/>
          <w:szCs w:val="24"/>
        </w:rPr>
        <w:t>单价金额小数点或者百分比有明显错位的，以响应一览表的总价为准，并修改单价；</w:t>
      </w:r>
    </w:p>
    <w:p>
      <w:pPr>
        <w:numPr>
          <w:ilvl w:val="0"/>
          <w:numId w:val="19"/>
        </w:numPr>
        <w:spacing w:line="500" w:lineRule="exact"/>
        <w:ind w:left="5" w:firstLine="415"/>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numPr>
          <w:ilvl w:val="0"/>
          <w:numId w:val="19"/>
        </w:numPr>
        <w:spacing w:line="500" w:lineRule="exact"/>
        <w:ind w:left="5" w:firstLine="415"/>
        <w:jc w:val="left"/>
        <w:rPr>
          <w:rFonts w:ascii="宋体" w:hAnsi="宋体" w:cs="宋体"/>
          <w:sz w:val="24"/>
          <w:szCs w:val="24"/>
        </w:rPr>
      </w:pPr>
      <w:r>
        <w:rPr>
          <w:rFonts w:hint="eastAsia" w:ascii="宋体" w:hAnsi="宋体" w:cs="宋体"/>
          <w:sz w:val="24"/>
          <w:szCs w:val="24"/>
        </w:rPr>
        <w:t>响应文件正本与副本不一致的，以正本为准；</w:t>
      </w:r>
    </w:p>
    <w:p>
      <w:pPr>
        <w:numPr>
          <w:ilvl w:val="0"/>
          <w:numId w:val="19"/>
        </w:numPr>
        <w:spacing w:line="500" w:lineRule="exact"/>
        <w:ind w:left="5" w:firstLine="415"/>
        <w:jc w:val="left"/>
        <w:rPr>
          <w:rFonts w:ascii="宋体" w:hAnsi="宋体" w:cs="宋体"/>
          <w:sz w:val="24"/>
          <w:szCs w:val="24"/>
        </w:rPr>
      </w:pPr>
      <w:r>
        <w:rPr>
          <w:rFonts w:hint="eastAsia" w:ascii="宋体" w:hAnsi="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cs="宋体"/>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6"/>
        <w:numPr>
          <w:ilvl w:val="0"/>
          <w:numId w:val="18"/>
        </w:numPr>
        <w:rPr>
          <w:rFonts w:ascii="宋体" w:hAnsi="宋体" w:cs="宋体"/>
        </w:rPr>
      </w:pPr>
      <w:r>
        <w:rPr>
          <w:rFonts w:hint="eastAsia" w:ascii="宋体" w:hAnsi="宋体" w:cs="宋体"/>
        </w:rPr>
        <w:t>谈判小组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cs="宋体"/>
          <w:b/>
          <w:sz w:val="24"/>
          <w:szCs w:val="24"/>
        </w:rPr>
      </w:pPr>
      <w:r>
        <w:rPr>
          <w:rFonts w:hint="eastAsia" w:ascii="宋体" w:hAnsi="宋体" w:cs="宋体"/>
          <w:kern w:val="0"/>
          <w:sz w:val="24"/>
        </w:rPr>
        <w:t>谈判小组对各供应商的响应文件进行审查、评估和比较，并推荐成交候选人。</w:t>
      </w:r>
    </w:p>
    <w:p>
      <w:pPr>
        <w:pStyle w:val="6"/>
        <w:numPr>
          <w:ilvl w:val="0"/>
          <w:numId w:val="18"/>
        </w:numPr>
        <w:rPr>
          <w:rFonts w:ascii="宋体" w:hAnsi="宋体" w:cs="宋体"/>
        </w:rPr>
      </w:pPr>
      <w:bookmarkStart w:id="42" w:name="_Toc386129876"/>
      <w:bookmarkStart w:id="43" w:name="_Toc28085"/>
      <w:bookmarkStart w:id="44" w:name="_Toc27940"/>
      <w:bookmarkStart w:id="45" w:name="_Toc385958808"/>
      <w:r>
        <w:rPr>
          <w:rFonts w:hint="eastAsia" w:ascii="宋体" w:hAnsi="宋体" w:cs="宋体"/>
        </w:rPr>
        <w:t>响应文件初审</w:t>
      </w:r>
      <w:bookmarkEnd w:id="42"/>
      <w:bookmarkEnd w:id="43"/>
      <w:bookmarkEnd w:id="44"/>
      <w:bookmarkEnd w:id="45"/>
    </w:p>
    <w:p>
      <w:pPr>
        <w:numPr>
          <w:ilvl w:val="0"/>
          <w:numId w:val="20"/>
        </w:numPr>
        <w:overflowPunct w:val="0"/>
        <w:adjustRightInd w:val="0"/>
        <w:snapToGrid w:val="0"/>
        <w:spacing w:line="360" w:lineRule="auto"/>
        <w:rPr>
          <w:rFonts w:ascii="宋体" w:hAnsi="宋体" w:cs="宋体"/>
          <w:kern w:val="0"/>
          <w:sz w:val="24"/>
        </w:rPr>
      </w:pPr>
      <w:r>
        <w:rPr>
          <w:rFonts w:hint="eastAsia" w:ascii="宋体" w:hAnsi="宋体" w:cs="宋体"/>
          <w:kern w:val="0"/>
          <w:sz w:val="24"/>
        </w:rPr>
        <w:t>响应文件的资格性审查</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依据法律法规和竞争性谈判文件的规定，对响应文件中的资格证明文件等进行审查，以确保供应商是否具备相应资格。</w:t>
      </w:r>
    </w:p>
    <w:p>
      <w:pPr>
        <w:numPr>
          <w:ilvl w:val="0"/>
          <w:numId w:val="20"/>
        </w:numPr>
        <w:overflowPunct w:val="0"/>
        <w:adjustRightInd w:val="0"/>
        <w:snapToGrid w:val="0"/>
        <w:spacing w:line="360" w:lineRule="auto"/>
        <w:rPr>
          <w:rFonts w:ascii="宋体" w:hAnsi="宋体" w:cs="宋体"/>
          <w:kern w:val="0"/>
          <w:sz w:val="24"/>
        </w:rPr>
      </w:pPr>
      <w:r>
        <w:rPr>
          <w:rFonts w:hint="eastAsia" w:ascii="宋体" w:hAnsi="宋体" w:cs="宋体"/>
          <w:kern w:val="0"/>
          <w:sz w:val="24"/>
        </w:rPr>
        <w:t>响应文件符合性审查</w:t>
      </w:r>
    </w:p>
    <w:p>
      <w:pPr>
        <w:pStyle w:val="10"/>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20"/>
        <w:spacing w:after="210" w:afterAutospacing="0" w:line="27" w:lineRule="atLeast"/>
        <w:jc w:val="both"/>
      </w:pPr>
      <w:r>
        <w:rPr>
          <w:rFonts w:hint="eastAsia"/>
        </w:rPr>
        <w:t>　　（一）不同供应商的响应文件由同一单位或者个人编制；</w:t>
      </w:r>
    </w:p>
    <w:p>
      <w:pPr>
        <w:pStyle w:val="20"/>
        <w:spacing w:after="210" w:afterAutospacing="0" w:line="27" w:lineRule="atLeast"/>
        <w:jc w:val="both"/>
      </w:pPr>
      <w:r>
        <w:rPr>
          <w:rFonts w:hint="eastAsia"/>
        </w:rPr>
        <w:t>　　（二）不同供应商委托同一单位或者个人办理投标事宜；</w:t>
      </w:r>
    </w:p>
    <w:p>
      <w:pPr>
        <w:pStyle w:val="20"/>
        <w:spacing w:after="210" w:afterAutospacing="0" w:line="27" w:lineRule="atLeast"/>
        <w:jc w:val="both"/>
      </w:pPr>
      <w:r>
        <w:rPr>
          <w:rFonts w:hint="eastAsia"/>
        </w:rPr>
        <w:t>　　（三）不同供应商的响应文件载明的项目管理成员或者联系人员为同一人；</w:t>
      </w:r>
    </w:p>
    <w:p>
      <w:pPr>
        <w:pStyle w:val="20"/>
        <w:spacing w:after="210" w:afterAutospacing="0" w:line="27" w:lineRule="atLeast"/>
        <w:jc w:val="both"/>
      </w:pPr>
      <w:r>
        <w:rPr>
          <w:rFonts w:hint="eastAsia"/>
        </w:rPr>
        <w:t>　　（四）不同供应商的响应文件异常一致或者投标报价呈规律性差异；</w:t>
      </w:r>
    </w:p>
    <w:p>
      <w:pPr>
        <w:pStyle w:val="20"/>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6"/>
        <w:numPr>
          <w:ilvl w:val="0"/>
          <w:numId w:val="18"/>
        </w:numPr>
        <w:rPr>
          <w:rFonts w:ascii="宋体" w:hAnsi="宋体" w:cs="宋体"/>
        </w:rPr>
      </w:pPr>
      <w:bookmarkStart w:id="46" w:name="_Toc17705"/>
      <w:r>
        <w:rPr>
          <w:rFonts w:hint="eastAsia" w:ascii="宋体" w:hAnsi="宋体" w:cs="宋体"/>
        </w:rPr>
        <w:t>响应文件澄清</w:t>
      </w:r>
      <w:bookmarkEnd w:id="46"/>
    </w:p>
    <w:p>
      <w:pPr>
        <w:overflowPunct w:val="0"/>
        <w:adjustRightInd w:val="0"/>
        <w:snapToGrid w:val="0"/>
        <w:spacing w:line="360" w:lineRule="auto"/>
        <w:ind w:firstLine="480" w:firstLineChars="200"/>
        <w:rPr>
          <w:rFonts w:ascii="宋体" w:hAnsi="宋体" w:cs="宋体"/>
          <w:sz w:val="24"/>
        </w:rPr>
      </w:pPr>
      <w:bookmarkStart w:id="47" w:name="_Toc8353"/>
      <w:r>
        <w:rPr>
          <w:rFonts w:hint="eastAsia" w:ascii="宋体" w:hAnsi="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cs="宋体"/>
          <w:sz w:val="24"/>
          <w:szCs w:val="24"/>
        </w:rPr>
        <w:t>如谈判小组未变动实质性采购需求，供应商</w:t>
      </w:r>
      <w:r>
        <w:rPr>
          <w:rFonts w:hint="eastAsia" w:ascii="宋体" w:hAnsi="宋体" w:cs="宋体"/>
          <w:sz w:val="24"/>
        </w:rPr>
        <w:t>不得对实质性内容进行变动。</w:t>
      </w:r>
    </w:p>
    <w:p>
      <w:pPr>
        <w:spacing w:line="360" w:lineRule="auto"/>
        <w:ind w:firstLine="480" w:firstLineChars="200"/>
        <w:rPr>
          <w:rFonts w:ascii="宋体" w:hAnsi="宋体" w:cs="宋体"/>
          <w:kern w:val="0"/>
          <w:sz w:val="32"/>
          <w:szCs w:val="32"/>
        </w:rPr>
      </w:pPr>
      <w:r>
        <w:rPr>
          <w:rFonts w:hint="eastAsia" w:ascii="宋体" w:hAnsi="宋体" w:cs="宋体"/>
          <w:sz w:val="24"/>
        </w:rPr>
        <w:t>供应商应采用书面形式进行澄清或说明，但不得超出响应文件的范围或改变响应文件的实质性内容。</w:t>
      </w:r>
    </w:p>
    <w:p>
      <w:pPr>
        <w:pStyle w:val="6"/>
        <w:numPr>
          <w:ilvl w:val="0"/>
          <w:numId w:val="18"/>
        </w:numPr>
        <w:rPr>
          <w:rFonts w:ascii="宋体" w:hAnsi="宋体" w:cs="宋体"/>
        </w:rPr>
      </w:pPr>
      <w:r>
        <w:rPr>
          <w:rFonts w:hint="eastAsia" w:ascii="宋体" w:hAnsi="宋体" w:cs="宋体"/>
        </w:rPr>
        <w:t>评</w:t>
      </w:r>
      <w:bookmarkEnd w:id="47"/>
      <w:r>
        <w:rPr>
          <w:rFonts w:hint="eastAsia" w:ascii="宋体" w:hAnsi="宋体" w:cs="宋体"/>
        </w:rPr>
        <w:t>审</w:t>
      </w:r>
    </w:p>
    <w:p>
      <w:pPr>
        <w:widowControl/>
        <w:spacing w:line="360" w:lineRule="auto"/>
        <w:ind w:firstLine="480" w:firstLineChars="200"/>
        <w:jc w:val="left"/>
        <w:rPr>
          <w:rFonts w:ascii="宋体" w:hAnsi="宋体" w:cs="宋体"/>
          <w:sz w:val="24"/>
        </w:rPr>
      </w:pPr>
      <w:r>
        <w:rPr>
          <w:rFonts w:hint="eastAsia" w:ascii="宋体" w:hAnsi="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ascii="宋体" w:hAnsi="宋体" w:cs="宋体"/>
          <w:sz w:val="24"/>
        </w:rPr>
      </w:pPr>
      <w:r>
        <w:rPr>
          <w:rFonts w:hint="eastAsia" w:ascii="宋体" w:hAnsi="宋体" w:cs="宋体"/>
          <w:sz w:val="24"/>
        </w:rPr>
        <w:t>5.2、依据《中华人民共和国政府采购法》和《中华人民共和国政府采购法实施条例》的有关规定，落实政府采购“优先购买节能环保产品，扶持小微企业、监狱企业、福利企业”等相关政策，对小型、微型和监狱企业产品的价格给予</w:t>
      </w:r>
      <w:bookmarkStart w:id="143" w:name="_GoBack"/>
      <w:bookmarkEnd w:id="143"/>
      <w:r>
        <w:rPr>
          <w:rFonts w:hint="eastAsia" w:ascii="宋体" w:hAnsi="宋体" w:cs="宋体"/>
          <w:sz w:val="24"/>
        </w:rPr>
        <w:t>扣除，用扣除后的价格参与评审。</w:t>
      </w:r>
    </w:p>
    <w:p>
      <w:pPr>
        <w:spacing w:line="360" w:lineRule="auto"/>
        <w:ind w:firstLine="480" w:firstLineChars="200"/>
        <w:rPr>
          <w:rFonts w:ascii="宋体" w:hAnsi="宋体" w:cs="宋体"/>
          <w:sz w:val="24"/>
        </w:rPr>
      </w:pPr>
      <w:r>
        <w:rPr>
          <w:rFonts w:hint="eastAsia" w:ascii="宋体" w:hAnsi="宋体" w:cs="宋体"/>
          <w:sz w:val="24"/>
        </w:rPr>
        <w:t>5.3、谈判流程</w:t>
      </w:r>
    </w:p>
    <w:p>
      <w:pPr>
        <w:spacing w:line="360" w:lineRule="auto"/>
        <w:ind w:firstLine="480" w:firstLineChars="200"/>
        <w:rPr>
          <w:rFonts w:ascii="宋体" w:hAnsi="宋体" w:cs="宋体"/>
          <w:sz w:val="24"/>
        </w:rPr>
      </w:pPr>
      <w:r>
        <w:rPr>
          <w:rFonts w:hint="eastAsia" w:ascii="宋体" w:hAnsi="宋体" w:cs="宋体"/>
          <w:sz w:val="24"/>
        </w:rPr>
        <w:t>只有通过资格性审查和符合性审查的供应商，才能进入第二阶段的谈判，否则被淘汰。</w:t>
      </w:r>
    </w:p>
    <w:p>
      <w:pPr>
        <w:spacing w:line="360" w:lineRule="auto"/>
        <w:ind w:firstLine="600" w:firstLineChars="250"/>
        <w:rPr>
          <w:rFonts w:ascii="宋体" w:hAnsi="宋体" w:cs="宋体"/>
          <w:sz w:val="24"/>
        </w:rPr>
      </w:pPr>
      <w:r>
        <w:rPr>
          <w:rFonts w:hint="eastAsia" w:ascii="宋体" w:hAnsi="宋体" w:cs="宋体"/>
          <w:sz w:val="24"/>
        </w:rPr>
        <w:t>谈判小组所有成员集中与单一供应商分别进行谈判（谈判轮次为多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cs="宋体"/>
          <w:sz w:val="24"/>
        </w:rPr>
      </w:pPr>
      <w:r>
        <w:rPr>
          <w:rFonts w:hint="eastAsia" w:ascii="宋体" w:hAnsi="宋体" w:cs="宋体"/>
          <w:sz w:val="24"/>
        </w:rPr>
        <w:t>5.4、</w:t>
      </w:r>
      <w:r>
        <w:rPr>
          <w:rFonts w:hint="eastAsia" w:ascii="宋体" w:hAnsi="宋体" w:cs="宋体"/>
          <w:color w:val="000000"/>
          <w:kern w:val="0"/>
          <w:sz w:val="24"/>
          <w:szCs w:val="24"/>
        </w:rPr>
        <w:t>谈判小组认为供应商的报价明显低于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cs="宋体"/>
          <w:sz w:val="24"/>
        </w:rPr>
      </w:pPr>
      <w:r>
        <w:rPr>
          <w:rFonts w:hint="eastAsia" w:ascii="宋体" w:hAnsi="宋体" w:cs="宋体"/>
          <w:sz w:val="24"/>
        </w:rPr>
        <w:t>5.6谈判结束后，谈判小组要求参加谈判的各报价人在规定的时间内集中提交最终报价，除非在谈判中谈判小组调整或修改采购需求内容，否则</w:t>
      </w:r>
      <w:r>
        <w:rPr>
          <w:rFonts w:hint="eastAsia" w:ascii="宋体" w:hAnsi="宋体" w:cs="宋体"/>
          <w:b/>
          <w:bCs/>
          <w:sz w:val="24"/>
        </w:rPr>
        <w:t>采购人不接受高于前面轮次的谈判报价</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5.7谈判小组按照采购需求、质量和服务相等且报价最低的原则确定成交候选供应商，若出现相同报价的，可再次报价，直至产生唯一最低报价。</w:t>
      </w:r>
    </w:p>
    <w:p>
      <w:pPr>
        <w:spacing w:line="360" w:lineRule="auto"/>
        <w:ind w:firstLine="480" w:firstLineChars="200"/>
        <w:rPr>
          <w:rFonts w:ascii="宋体" w:hAnsi="宋体" w:cs="宋体"/>
          <w:sz w:val="24"/>
        </w:rPr>
      </w:pPr>
      <w:r>
        <w:rPr>
          <w:rFonts w:hint="eastAsia" w:ascii="宋体" w:hAnsi="宋体" w:cs="宋体"/>
          <w:sz w:val="24"/>
        </w:rPr>
        <w:t>5.8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且评审后报价最低的同品牌供应商获得中标供应商推荐资格。</w:t>
      </w:r>
    </w:p>
    <w:p>
      <w:pPr>
        <w:pStyle w:val="6"/>
        <w:numPr>
          <w:ilvl w:val="0"/>
          <w:numId w:val="18"/>
        </w:numPr>
        <w:rPr>
          <w:rFonts w:ascii="宋体" w:hAnsi="宋体" w:cs="宋体"/>
        </w:rPr>
      </w:pPr>
      <w:bookmarkStart w:id="48" w:name="_Toc12947"/>
      <w:r>
        <w:rPr>
          <w:rFonts w:hint="eastAsia" w:ascii="宋体" w:hAnsi="宋体" w:cs="宋体"/>
        </w:rPr>
        <w:t>定标</w:t>
      </w:r>
      <w:bookmarkEnd w:id="48"/>
    </w:p>
    <w:p>
      <w:pPr>
        <w:spacing w:line="360" w:lineRule="auto"/>
        <w:ind w:firstLine="420" w:firstLineChars="175"/>
        <w:jc w:val="left"/>
        <w:rPr>
          <w:rFonts w:ascii="宋体" w:hAnsi="宋体" w:cs="宋体"/>
          <w:sz w:val="24"/>
        </w:rPr>
      </w:pPr>
      <w:r>
        <w:rPr>
          <w:rFonts w:hint="eastAsia" w:ascii="宋体" w:hAnsi="宋体" w:cs="宋体"/>
          <w:sz w:val="24"/>
        </w:rPr>
        <w:t>代理机构在评审结束后2个工作日内将评审报告送达采购单位，采购单位在收到评审报告后5个工作日内，按照评审报告中推荐的成交候选人顺序确认第一成交候选人为成交单位，同时书面复函代理机构；</w:t>
      </w:r>
    </w:p>
    <w:p>
      <w:pPr>
        <w:spacing w:line="360" w:lineRule="auto"/>
        <w:ind w:firstLine="420" w:firstLineChars="175"/>
        <w:jc w:val="left"/>
        <w:rPr>
          <w:rFonts w:ascii="宋体" w:hAnsi="宋体" w:cs="宋体"/>
          <w:sz w:val="24"/>
        </w:rPr>
      </w:pPr>
      <w:r>
        <w:rPr>
          <w:rFonts w:hint="eastAsia" w:ascii="宋体" w:hAnsi="宋体" w:cs="宋体"/>
          <w:sz w:val="24"/>
        </w:rPr>
        <w:t>代理机构收到采购单位“定标复函”后2日内，在财政部门指定的政府采购信息媒体上发布公告，并向成交供应商发出“成交通知书”。</w:t>
      </w:r>
    </w:p>
    <w:p>
      <w:pPr>
        <w:spacing w:line="360" w:lineRule="auto"/>
        <w:ind w:firstLine="420" w:firstLineChars="175"/>
        <w:jc w:val="left"/>
        <w:rPr>
          <w:rFonts w:ascii="宋体" w:hAnsi="宋体" w:cs="宋体"/>
          <w:sz w:val="24"/>
        </w:rPr>
      </w:pPr>
    </w:p>
    <w:p>
      <w:pPr>
        <w:pStyle w:val="5"/>
        <w:numPr>
          <w:ilvl w:val="0"/>
          <w:numId w:val="8"/>
        </w:numPr>
        <w:rPr>
          <w:rFonts w:ascii="宋体" w:hAnsi="宋体" w:cs="宋体"/>
        </w:rPr>
      </w:pPr>
      <w:bookmarkStart w:id="49" w:name="_Toc25308"/>
      <w:bookmarkStart w:id="50" w:name="_Toc19972"/>
      <w:bookmarkStart w:id="51" w:name="_Toc2402"/>
      <w:r>
        <w:rPr>
          <w:rFonts w:hint="eastAsia" w:ascii="宋体" w:hAnsi="宋体" w:cs="宋体"/>
        </w:rPr>
        <w:t>签订合同</w:t>
      </w:r>
      <w:bookmarkEnd w:id="49"/>
      <w:bookmarkEnd w:id="50"/>
      <w:bookmarkEnd w:id="51"/>
    </w:p>
    <w:p>
      <w:pPr>
        <w:pStyle w:val="9"/>
        <w:spacing w:line="360" w:lineRule="auto"/>
        <w:rPr>
          <w:rFonts w:ascii="宋体" w:hAnsi="宋体" w:cs="宋体"/>
          <w:sz w:val="24"/>
          <w:szCs w:val="24"/>
        </w:rPr>
      </w:pPr>
      <w:bookmarkStart w:id="52" w:name="_Toc26132"/>
      <w:bookmarkStart w:id="53" w:name="_Toc28110"/>
      <w:r>
        <w:rPr>
          <w:rFonts w:hint="eastAsia" w:ascii="宋体" w:hAnsi="宋体" w:cs="宋体"/>
          <w:sz w:val="24"/>
          <w:szCs w:val="24"/>
        </w:rPr>
        <w:t>采购人与中标、成交供应商应当在中标、成交通知书发出之日起三十日内，按照采购文件确定的事项签订政府采购合同。</w:t>
      </w:r>
    </w:p>
    <w:bookmarkEnd w:id="52"/>
    <w:bookmarkEnd w:id="53"/>
    <w:p>
      <w:pPr>
        <w:pStyle w:val="5"/>
        <w:numPr>
          <w:ilvl w:val="0"/>
          <w:numId w:val="8"/>
        </w:numPr>
        <w:rPr>
          <w:rFonts w:ascii="宋体" w:hAnsi="宋体" w:cs="宋体"/>
        </w:rPr>
      </w:pPr>
      <w:bookmarkStart w:id="54" w:name="_Toc32056"/>
      <w:bookmarkStart w:id="55" w:name="_Toc53"/>
      <w:bookmarkStart w:id="56" w:name="_Toc21950"/>
      <w:bookmarkStart w:id="57" w:name="_Toc16019"/>
      <w:bookmarkStart w:id="58" w:name="_Toc7191"/>
      <w:bookmarkStart w:id="59" w:name="_Toc27418"/>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p>
      <w:pPr>
        <w:pStyle w:val="4"/>
        <w:pageBreakBefore/>
        <w:rPr>
          <w:rFonts w:ascii="宋体" w:hAnsi="宋体" w:cs="宋体"/>
        </w:rPr>
      </w:pPr>
      <w:bookmarkStart w:id="61" w:name="_Toc11210"/>
      <w:r>
        <w:rPr>
          <w:rFonts w:hint="eastAsia" w:ascii="宋体" w:hAnsi="宋体" w:cs="宋体"/>
        </w:rPr>
        <w:t>第四部分  评审标准</w:t>
      </w:r>
      <w:bookmarkEnd w:id="60"/>
      <w:bookmarkEnd w:id="61"/>
    </w:p>
    <w:p>
      <w:pPr>
        <w:rPr>
          <w:rFonts w:ascii="宋体" w:hAnsi="宋体" w:cs="宋体"/>
          <w:sz w:val="24"/>
          <w:szCs w:val="28"/>
        </w:rPr>
      </w:pPr>
      <w:r>
        <w:rPr>
          <w:rFonts w:hint="eastAsia" w:ascii="宋体" w:hAnsi="宋体" w:cs="宋体"/>
          <w:sz w:val="24"/>
          <w:szCs w:val="28"/>
        </w:rPr>
        <w:t>根据符合需求、质量和服务相等且报价最低原则确定成交供应商。</w:t>
      </w:r>
    </w:p>
    <w:p>
      <w:pPr>
        <w:spacing w:line="360" w:lineRule="auto"/>
        <w:ind w:firstLine="482" w:firstLineChars="200"/>
        <w:rPr>
          <w:rFonts w:ascii="宋体" w:hAnsi="宋体" w:cs="宋体"/>
          <w:b/>
          <w:bCs/>
          <w:sz w:val="24"/>
        </w:rPr>
      </w:pPr>
      <w:bookmarkStart w:id="62" w:name="_Toc262"/>
      <w:r>
        <w:rPr>
          <w:rFonts w:hint="eastAsia" w:ascii="宋体" w:hAnsi="宋体" w:cs="宋体"/>
          <w:b/>
          <w:bCs/>
          <w:sz w:val="24"/>
        </w:rPr>
        <w:t>1、本项目非专门面向中小企业采购。对小型和微型企业、残疾人福利性单位的价格给予10%的扣除，用扣除后的价格参与评审，残疾人福利性单位属于小型、微型企业的，不重复享受政策，供应商应提供《中小企业声明函》或《残疾人福利性单位声明函》，否则不得享受相关中小企业扶持政策或残疾人就业政府采购政策。</w:t>
      </w:r>
    </w:p>
    <w:p>
      <w:pPr>
        <w:spacing w:line="360" w:lineRule="auto"/>
        <w:ind w:firstLine="482" w:firstLineChars="200"/>
        <w:rPr>
          <w:rFonts w:ascii="宋体" w:hAnsi="宋体" w:cs="宋体"/>
          <w:b/>
          <w:bCs/>
          <w:sz w:val="24"/>
        </w:rPr>
      </w:pPr>
      <w:r>
        <w:rPr>
          <w:rFonts w:hint="eastAsia" w:ascii="宋体" w:hAnsi="宋体" w:cs="宋体"/>
          <w:b/>
          <w:bCs/>
          <w:sz w:val="24"/>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spacing w:line="360" w:lineRule="auto"/>
        <w:ind w:firstLine="482" w:firstLineChars="200"/>
        <w:rPr>
          <w:rFonts w:ascii="宋体" w:hAnsi="宋体" w:cs="宋体"/>
          <w:b/>
          <w:bCs/>
          <w:sz w:val="24"/>
        </w:rPr>
      </w:pPr>
      <w:r>
        <w:rPr>
          <w:rFonts w:hint="eastAsia" w:ascii="宋体" w:hAnsi="宋体" w:cs="宋体"/>
          <w:b/>
          <w:bCs/>
          <w:sz w:val="24"/>
        </w:rPr>
        <w:t>3.节能环保产品以节能产品、环境标志产品认证证书为准；</w:t>
      </w:r>
    </w:p>
    <w:p>
      <w:pPr>
        <w:spacing w:line="360" w:lineRule="auto"/>
        <w:ind w:firstLine="482" w:firstLineChars="200"/>
        <w:rPr>
          <w:rFonts w:ascii="宋体" w:hAnsi="宋体" w:cs="宋体"/>
          <w:b/>
          <w:bCs/>
          <w:sz w:val="24"/>
        </w:rPr>
      </w:pPr>
      <w:r>
        <w:rPr>
          <w:rFonts w:hint="eastAsia" w:ascii="宋体" w:hAnsi="宋体" w:cs="宋体"/>
          <w:b/>
          <w:bCs/>
          <w:sz w:val="24"/>
        </w:rPr>
        <w:t>4.技术参数正偏离须在技术响应表中注明正偏离的理由和佐证材料的页码；</w:t>
      </w:r>
    </w:p>
    <w:bookmarkEnd w:id="62"/>
    <w:p/>
    <w:p>
      <w:pPr>
        <w:pStyle w:val="4"/>
        <w:pageBreakBefore/>
        <w:numPr>
          <w:ilvl w:val="0"/>
          <w:numId w:val="21"/>
        </w:numPr>
        <w:rPr>
          <w:rFonts w:ascii="宋体" w:hAnsi="宋体" w:cs="宋体"/>
        </w:rPr>
      </w:pPr>
      <w:r>
        <w:rPr>
          <w:rFonts w:hint="eastAsia" w:ascii="宋体" w:hAnsi="宋体" w:cs="宋体"/>
        </w:rPr>
        <w:t xml:space="preserve"> </w:t>
      </w:r>
      <w:bookmarkStart w:id="63" w:name="_Toc6481"/>
      <w:r>
        <w:rPr>
          <w:rFonts w:hint="eastAsia" w:ascii="宋体" w:hAnsi="宋体" w:cs="宋体"/>
        </w:rPr>
        <w:t>采购要求</w:t>
      </w:r>
      <w:bookmarkEnd w:id="63"/>
    </w:p>
    <w:p>
      <w:pPr>
        <w:rPr>
          <w:rFonts w:ascii="宋体" w:hAnsi="宋体" w:cs="宋体"/>
          <w:bCs/>
          <w:color w:val="000000"/>
          <w:sz w:val="24"/>
          <w:szCs w:val="24"/>
          <w:highlight w:val="yellow"/>
        </w:rPr>
      </w:pPr>
      <w:r>
        <w:rPr>
          <w:rFonts w:hint="eastAsia" w:ascii="宋体" w:hAnsi="宋体" w:cs="宋体"/>
          <w:bCs/>
          <w:color w:val="000000"/>
          <w:sz w:val="24"/>
          <w:szCs w:val="24"/>
          <w:highlight w:val="yellow"/>
        </w:rPr>
        <w:t>备注：1、技术参数中要求提供证明材料等而未按要求提供的，视为负偏离；</w:t>
      </w:r>
    </w:p>
    <w:p>
      <w:pPr>
        <w:rPr>
          <w:highlight w:val="yellow"/>
        </w:rPr>
      </w:pPr>
      <w:r>
        <w:rPr>
          <w:rFonts w:hint="eastAsia" w:ascii="宋体" w:hAnsi="宋体" w:cs="宋体"/>
          <w:bCs/>
          <w:color w:val="000000"/>
          <w:sz w:val="24"/>
          <w:szCs w:val="24"/>
          <w:highlight w:val="yellow"/>
        </w:rPr>
        <w:t>2、“★”项参数为实质性要求，响应文件对其中任何一条“★”的偏离，为实质性偏离，其响应文件无效。</w:t>
      </w:r>
    </w:p>
    <w:p/>
    <w:tbl>
      <w:tblPr>
        <w:tblStyle w:val="23"/>
        <w:tblpPr w:leftFromText="180" w:rightFromText="180" w:vertAnchor="text" w:horzAnchor="page" w:tblpX="1277" w:tblpY="479"/>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6"/>
        <w:gridCol w:w="4920"/>
        <w:gridCol w:w="632"/>
        <w:gridCol w:w="9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cs="宋体"/>
                <w:sz w:val="24"/>
                <w:szCs w:val="24"/>
              </w:rPr>
            </w:pPr>
            <w:bookmarkStart w:id="64" w:name="_Toc17290"/>
            <w:bookmarkStart w:id="65" w:name="_Toc24213"/>
            <w:bookmarkStart w:id="66" w:name="_Toc2234"/>
            <w:r>
              <w:rPr>
                <w:rFonts w:hint="eastAsia" w:ascii="宋体" w:hAnsi="宋体" w:cs="宋体"/>
                <w:sz w:val="24"/>
                <w:szCs w:val="24"/>
              </w:rPr>
              <w:t>序号</w:t>
            </w:r>
          </w:p>
        </w:tc>
        <w:tc>
          <w:tcPr>
            <w:tcW w:w="786" w:type="dxa"/>
            <w:vAlign w:val="center"/>
          </w:tcPr>
          <w:p>
            <w:pPr>
              <w:jc w:val="center"/>
              <w:rPr>
                <w:rFonts w:ascii="宋体" w:hAnsi="宋体" w:cs="宋体"/>
                <w:sz w:val="24"/>
                <w:szCs w:val="24"/>
              </w:rPr>
            </w:pPr>
            <w:r>
              <w:rPr>
                <w:rFonts w:hint="eastAsia" w:ascii="宋体" w:hAnsi="宋体" w:cs="宋体"/>
                <w:sz w:val="24"/>
                <w:szCs w:val="24"/>
              </w:rPr>
              <w:t>设备名称</w:t>
            </w:r>
          </w:p>
        </w:tc>
        <w:tc>
          <w:tcPr>
            <w:tcW w:w="4920" w:type="dxa"/>
            <w:vAlign w:val="center"/>
          </w:tcPr>
          <w:p>
            <w:pPr>
              <w:jc w:val="center"/>
              <w:rPr>
                <w:rFonts w:ascii="宋体" w:hAnsi="宋体" w:cs="宋体"/>
                <w:sz w:val="24"/>
                <w:szCs w:val="24"/>
              </w:rPr>
            </w:pPr>
            <w:r>
              <w:rPr>
                <w:rFonts w:hint="eastAsia" w:ascii="宋体" w:hAnsi="宋体" w:cs="宋体"/>
                <w:sz w:val="24"/>
                <w:szCs w:val="24"/>
              </w:rPr>
              <w:t>技术指标</w:t>
            </w:r>
          </w:p>
        </w:tc>
        <w:tc>
          <w:tcPr>
            <w:tcW w:w="632" w:type="dxa"/>
            <w:vAlign w:val="center"/>
          </w:tcPr>
          <w:p>
            <w:pPr>
              <w:jc w:val="center"/>
              <w:rPr>
                <w:rFonts w:ascii="宋体" w:hAnsi="宋体" w:cs="宋体"/>
                <w:sz w:val="24"/>
                <w:szCs w:val="24"/>
              </w:rPr>
            </w:pPr>
            <w:r>
              <w:rPr>
                <w:rFonts w:hint="eastAsia" w:ascii="宋体" w:hAnsi="宋体" w:cs="宋体"/>
                <w:sz w:val="24"/>
                <w:szCs w:val="24"/>
              </w:rPr>
              <w:t>数量</w:t>
            </w:r>
          </w:p>
        </w:tc>
        <w:tc>
          <w:tcPr>
            <w:tcW w:w="932" w:type="dxa"/>
            <w:vAlign w:val="center"/>
          </w:tcPr>
          <w:p>
            <w:pPr>
              <w:jc w:val="center"/>
              <w:rPr>
                <w:rFonts w:ascii="宋体" w:hAnsi="宋体" w:cs="宋体"/>
                <w:sz w:val="24"/>
                <w:szCs w:val="24"/>
              </w:rPr>
            </w:pPr>
            <w:r>
              <w:rPr>
                <w:rFonts w:hint="eastAsia" w:ascii="宋体" w:hAnsi="宋体" w:cs="宋体"/>
                <w:sz w:val="24"/>
                <w:szCs w:val="24"/>
              </w:rPr>
              <w:t>支撑课程</w:t>
            </w:r>
          </w:p>
        </w:tc>
        <w:tc>
          <w:tcPr>
            <w:tcW w:w="795" w:type="dxa"/>
            <w:vAlign w:val="center"/>
          </w:tcPr>
          <w:p>
            <w:pPr>
              <w:jc w:val="center"/>
              <w:rPr>
                <w:rFonts w:ascii="宋体" w:hAnsi="宋体" w:cs="宋体"/>
                <w:sz w:val="24"/>
                <w:szCs w:val="24"/>
              </w:rPr>
            </w:pPr>
            <w:r>
              <w:rPr>
                <w:rFonts w:hint="eastAsia" w:ascii="宋体" w:hAnsi="宋体" w:cs="宋体"/>
                <w:sz w:val="24"/>
                <w:szCs w:val="24"/>
              </w:rPr>
              <w:t>存放场地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1</w:t>
            </w:r>
          </w:p>
        </w:tc>
        <w:tc>
          <w:tcPr>
            <w:tcW w:w="786" w:type="dxa"/>
            <w:vAlign w:val="center"/>
          </w:tcPr>
          <w:p>
            <w:pPr>
              <w:pStyle w:val="10"/>
              <w:rPr>
                <w:rFonts w:hAnsi="宋体" w:cs="宋体"/>
                <w:sz w:val="24"/>
                <w:szCs w:val="24"/>
              </w:rPr>
            </w:pPr>
            <w:r>
              <w:rPr>
                <w:rFonts w:hint="eastAsia" w:hAnsi="宋体" w:cs="宋体"/>
                <w:sz w:val="24"/>
                <w:szCs w:val="24"/>
              </w:rPr>
              <w:t>能源系统仿真软件（允许采购进口产品）</w:t>
            </w:r>
          </w:p>
        </w:tc>
        <w:tc>
          <w:tcPr>
            <w:tcW w:w="4920" w:type="dxa"/>
            <w:vAlign w:val="center"/>
          </w:tcPr>
          <w:p>
            <w:pPr>
              <w:pStyle w:val="10"/>
              <w:rPr>
                <w:rFonts w:hAnsi="宋体" w:cs="宋体"/>
                <w:sz w:val="24"/>
                <w:szCs w:val="24"/>
              </w:rPr>
            </w:pPr>
            <w:r>
              <w:rPr>
                <w:rFonts w:hint="eastAsia" w:hAnsi="宋体" w:cs="宋体"/>
                <w:sz w:val="24"/>
                <w:szCs w:val="24"/>
              </w:rPr>
              <w:t>★1. 采用视窗工作，用元件设备的图标来模拟系统。图标分为元件图标、管道图标、参数标签和文字说明框等。包含面向电站系统的丰富的设备元件库，如不同结构的蒸汽轮机、燃气轮机、锅炉、换热器、冷凝器、冷却塔、调节控制器等多个元件。</w:t>
            </w:r>
          </w:p>
          <w:p>
            <w:pPr>
              <w:pStyle w:val="10"/>
              <w:rPr>
                <w:rFonts w:hAnsi="宋体" w:cs="宋体"/>
                <w:sz w:val="24"/>
                <w:szCs w:val="24"/>
              </w:rPr>
            </w:pPr>
            <w:r>
              <w:rPr>
                <w:rFonts w:hint="eastAsia" w:hAnsi="宋体" w:cs="宋体"/>
                <w:sz w:val="24"/>
                <w:szCs w:val="24"/>
              </w:rPr>
              <w:t>★2. 能在系统图、图标和列表上直接显示输入参数和计算结果，并且能以数值十字标的形式标记某一状态点的参数，如压力、温度、质量流量和洽值等。数据的输入和计算结果的输出可通过 EXCEL，DLL 和 HTML 等方式完成。计算结果可以方便地生成图和图等热力过程图。</w:t>
            </w:r>
          </w:p>
          <w:p>
            <w:pPr>
              <w:pStyle w:val="10"/>
              <w:rPr>
                <w:rFonts w:hAnsi="宋体" w:cs="宋体"/>
                <w:sz w:val="24"/>
                <w:szCs w:val="24"/>
              </w:rPr>
            </w:pPr>
            <w:r>
              <w:rPr>
                <w:rFonts w:hint="eastAsia" w:hAnsi="宋体" w:cs="宋体"/>
                <w:sz w:val="24"/>
                <w:szCs w:val="24"/>
              </w:rPr>
              <w:t>★3. 需包含丰富的热工介质物性数据库，除包括常用的水水蒸气外，还要有制冷剂以及包括煤在内的燃料等物质的物性数据，便于对各种新型热力系统的建模与分析。</w:t>
            </w:r>
          </w:p>
        </w:tc>
        <w:tc>
          <w:tcPr>
            <w:tcW w:w="632" w:type="dxa"/>
            <w:vAlign w:val="center"/>
          </w:tcPr>
          <w:p>
            <w:pPr>
              <w:pStyle w:val="10"/>
              <w:rPr>
                <w:rFonts w:hAnsi="宋体" w:cs="宋体"/>
                <w:sz w:val="24"/>
                <w:szCs w:val="24"/>
              </w:rPr>
            </w:pPr>
            <w:r>
              <w:rPr>
                <w:rFonts w:hint="eastAsia" w:hAnsi="宋体" w:cs="宋体"/>
                <w:sz w:val="24"/>
                <w:szCs w:val="24"/>
              </w:rPr>
              <w:t>1</w:t>
            </w:r>
          </w:p>
        </w:tc>
        <w:tc>
          <w:tcPr>
            <w:tcW w:w="932" w:type="dxa"/>
            <w:vAlign w:val="center"/>
          </w:tcPr>
          <w:p>
            <w:pPr>
              <w:snapToGrid w:val="0"/>
              <w:spacing w:line="360" w:lineRule="exact"/>
              <w:rPr>
                <w:rFonts w:ascii="宋体" w:hAnsi="宋体" w:cs="宋体"/>
                <w:sz w:val="24"/>
                <w:szCs w:val="24"/>
              </w:rPr>
            </w:pPr>
            <w:r>
              <w:rPr>
                <w:rFonts w:hint="eastAsia" w:ascii="宋体" w:hAnsi="宋体" w:cs="宋体"/>
                <w:sz w:val="24"/>
                <w:szCs w:val="24"/>
              </w:rPr>
              <w:t>热力发电厂、工程热力学、能源与动力工程概论</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A404、 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2</w:t>
            </w:r>
          </w:p>
        </w:tc>
        <w:tc>
          <w:tcPr>
            <w:tcW w:w="786" w:type="dxa"/>
            <w:vAlign w:val="center"/>
          </w:tcPr>
          <w:p>
            <w:pPr>
              <w:pStyle w:val="10"/>
              <w:rPr>
                <w:rFonts w:hAnsi="宋体" w:cs="宋体"/>
                <w:sz w:val="24"/>
                <w:szCs w:val="24"/>
              </w:rPr>
            </w:pPr>
            <w:r>
              <w:rPr>
                <w:rFonts w:hint="eastAsia" w:hAnsi="宋体" w:cs="宋体"/>
                <w:sz w:val="24"/>
                <w:szCs w:val="24"/>
              </w:rPr>
              <w:t>高速摄像仪（允许采购进口产品）</w:t>
            </w:r>
          </w:p>
        </w:tc>
        <w:tc>
          <w:tcPr>
            <w:tcW w:w="4920" w:type="dxa"/>
            <w:vAlign w:val="center"/>
          </w:tcPr>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★1. 分辨率不低于1280×1024；满幅帧率不低于12000fps；最高帧率100万帧；分幅拍摄速率：不低于1280x128@100000 fps；</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 像元尺寸14.6μm；</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★3. 内存容量64GB以上；</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★4. 最短曝光时间100ns；</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★5.感光度单色模式ISO67000；</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6.支持全局电子快门；</w:t>
            </w:r>
          </w:p>
          <w:p>
            <w:pPr>
              <w:pStyle w:val="2"/>
              <w:ind w:left="0" w:leftChars="0" w:firstLine="0" w:firstLineChars="0"/>
              <w:rPr>
                <w:rFonts w:ascii="宋体" w:hAnsi="宋体" w:cs="宋体"/>
                <w:sz w:val="24"/>
                <w:szCs w:val="24"/>
              </w:rPr>
            </w:pPr>
            <w:r>
              <w:rPr>
                <w:rFonts w:hint="eastAsia" w:ascii="宋体" w:hAnsi="宋体" w:cs="宋体"/>
                <w:sz w:val="24"/>
                <w:szCs w:val="24"/>
              </w:rPr>
              <w:t>7.镜头支持 SonyE口镜头，兼容 F口、EF口镜头，可选配C口；</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8.图像直接记录到相机自带的高速内存，拍摄完毕后，通过千兆网接口传输到电脑上；</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9.支持软件触发、外部电平信号触发（上升沿、下降沿、高电平、低电平信号），支持智能图像（基于极小区域内的图像亮度变化）触发功能；</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10.支持快门线控制触发，并可以实现远距离拍摄并保存数据；</w:t>
            </w:r>
          </w:p>
          <w:p>
            <w:pPr>
              <w:snapToGrid w:val="0"/>
              <w:rPr>
                <w:rFonts w:ascii="宋体" w:hAnsi="宋体" w:cs="宋体"/>
                <w:color w:val="000000"/>
                <w:sz w:val="24"/>
                <w:szCs w:val="24"/>
              </w:rPr>
            </w:pPr>
            <w:r>
              <w:rPr>
                <w:rFonts w:hint="eastAsia" w:ascii="宋体" w:hAnsi="宋体" w:cs="宋体"/>
                <w:color w:val="000000"/>
                <w:sz w:val="24"/>
                <w:szCs w:val="24"/>
                <w:shd w:val="clear" w:color="auto" w:fill="FFFFFF"/>
              </w:rPr>
              <w:t>11.支持内外同步功能，支持多台摄像机同步拍摄。</w:t>
            </w:r>
          </w:p>
        </w:tc>
        <w:tc>
          <w:tcPr>
            <w:tcW w:w="632" w:type="dxa"/>
            <w:vAlign w:val="center"/>
          </w:tcPr>
          <w:p>
            <w:pPr>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工程流体力学、燃烧学、能源动力测试技术</w:t>
            </w:r>
          </w:p>
        </w:tc>
        <w:tc>
          <w:tcPr>
            <w:tcW w:w="795" w:type="dxa"/>
            <w:vAlign w:val="center"/>
          </w:tcPr>
          <w:p>
            <w:pPr>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3</w:t>
            </w:r>
          </w:p>
        </w:tc>
        <w:tc>
          <w:tcPr>
            <w:tcW w:w="786" w:type="dxa"/>
            <w:vAlign w:val="center"/>
          </w:tcPr>
          <w:p>
            <w:pPr>
              <w:pStyle w:val="10"/>
              <w:rPr>
                <w:rFonts w:hAnsi="宋体" w:cs="宋体"/>
                <w:sz w:val="24"/>
                <w:szCs w:val="24"/>
              </w:rPr>
            </w:pPr>
            <w:r>
              <w:rPr>
                <w:rFonts w:hint="eastAsia" w:hAnsi="宋体" w:cs="宋体"/>
                <w:sz w:val="24"/>
                <w:szCs w:val="24"/>
              </w:rPr>
              <w:t>定量分析在线质谱仪（允许采购进口产品）</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核心产品</w:t>
            </w:r>
            <w:r>
              <w:rPr>
                <w:rFonts w:hint="eastAsia" w:ascii="宋体" w:hAnsi="宋体" w:cs="宋体"/>
                <w:bCs/>
                <w:color w:val="000000"/>
                <w:sz w:val="24"/>
                <w:szCs w:val="24"/>
                <w:lang w:eastAsia="zh-CN"/>
              </w:rPr>
              <w:t>）</w:t>
            </w:r>
          </w:p>
        </w:tc>
        <w:tc>
          <w:tcPr>
            <w:tcW w:w="4920" w:type="dxa"/>
            <w:vAlign w:val="center"/>
          </w:tcPr>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1.质量数范围：1～200amu； </w:t>
            </w:r>
          </w:p>
          <w:p>
            <w:pPr>
              <w:rPr>
                <w:rFonts w:hint="eastAsia"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2.气体取样系统：</w:t>
            </w:r>
          </w:p>
          <w:p>
            <w:pPr>
              <w:numPr>
                <w:ilvl w:val="0"/>
                <w:numId w:val="22"/>
              </w:numPr>
              <w:rPr>
                <w:rFonts w:hint="eastAsia" w:ascii="宋体" w:hAnsi="宋体" w:cs="宋体"/>
                <w:color w:val="000000"/>
                <w:kern w:val="0"/>
                <w:sz w:val="24"/>
                <w:szCs w:val="24"/>
              </w:rPr>
            </w:pPr>
            <w:r>
              <w:rPr>
                <w:rFonts w:hint="eastAsia" w:ascii="宋体" w:hAnsi="宋体" w:cs="宋体"/>
                <w:color w:val="000000"/>
                <w:kern w:val="0"/>
                <w:sz w:val="24"/>
                <w:szCs w:val="24"/>
              </w:rPr>
              <w:t>内置惰性石英毛细管，外部为不锈钢套，柔韧，可弯曲；</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b) 加热温度至200℃，2m长；</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c) 300ms内对于气体浓度的变化做出反应；d) 取样管流量：1～20sccm，可调节；</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e) 取样压力：100mbar～2bar，自适应；</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f) 取样响应时间：≤150ms/米毛细管；</w:t>
            </w:r>
          </w:p>
          <w:p>
            <w:pPr>
              <w:numPr>
                <w:ilvl w:val="0"/>
                <w:numId w:val="0"/>
              </w:numPr>
              <w:rPr>
                <w:rFonts w:ascii="宋体" w:hAnsi="宋体" w:cs="宋体"/>
                <w:color w:val="000000"/>
                <w:kern w:val="0"/>
                <w:sz w:val="24"/>
                <w:szCs w:val="24"/>
              </w:rPr>
            </w:pPr>
            <w:r>
              <w:rPr>
                <w:rFonts w:hint="eastAsia" w:ascii="宋体" w:hAnsi="宋体" w:cs="宋体"/>
                <w:color w:val="000000"/>
                <w:kern w:val="0"/>
                <w:sz w:val="24"/>
                <w:szCs w:val="24"/>
              </w:rPr>
              <w:t>g) 进样系统无隔离阀，不采用外部加热套的加热方式；</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3.真空系统：60 l/sec涡轮分子泵一套、涡旋泵一台；</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4. 检测极限：100ppb～1ppm；</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5.测量通道：最多可达200个，MID 模式；</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6.最小扫描步阶：0.01amu；</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7.快速扫描速度：100amu/s；</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8.最小检测分压：法拉第杯检测器1×10</w:t>
            </w:r>
            <w:r>
              <w:rPr>
                <w:rFonts w:hint="eastAsia" w:ascii="宋体" w:hAnsi="宋体" w:cs="宋体"/>
                <w:color w:val="000000"/>
                <w:kern w:val="0"/>
                <w:sz w:val="24"/>
                <w:szCs w:val="24"/>
                <w:vertAlign w:val="superscript"/>
              </w:rPr>
              <w:t>－11</w:t>
            </w:r>
            <w:r>
              <w:rPr>
                <w:rFonts w:hint="eastAsia" w:ascii="宋体" w:hAnsi="宋体" w:cs="宋体"/>
                <w:color w:val="000000"/>
                <w:kern w:val="0"/>
                <w:sz w:val="24"/>
                <w:szCs w:val="24"/>
              </w:rPr>
              <w:t>mbar；电子倍增器5×10</w:t>
            </w:r>
            <w:r>
              <w:rPr>
                <w:rFonts w:hint="eastAsia" w:ascii="宋体" w:hAnsi="宋体" w:cs="宋体"/>
                <w:color w:val="000000"/>
                <w:kern w:val="0"/>
                <w:sz w:val="24"/>
                <w:szCs w:val="24"/>
                <w:vertAlign w:val="superscript"/>
              </w:rPr>
              <w:t>－14</w:t>
            </w:r>
            <w:r>
              <w:rPr>
                <w:rFonts w:hint="eastAsia" w:ascii="宋体" w:hAnsi="宋体" w:cs="宋体"/>
                <w:color w:val="000000"/>
                <w:kern w:val="0"/>
                <w:sz w:val="24"/>
                <w:szCs w:val="24"/>
              </w:rPr>
              <w:t>mbar；</w:t>
            </w:r>
          </w:p>
          <w:p>
            <w:pPr>
              <w:rPr>
                <w:rFonts w:ascii="宋体" w:hAnsi="宋体" w:cs="宋体"/>
                <w:color w:val="000000"/>
                <w:kern w:val="0"/>
                <w:sz w:val="24"/>
                <w:szCs w:val="24"/>
              </w:rPr>
            </w:pPr>
            <w:r>
              <w:rPr>
                <w:rFonts w:hint="eastAsia" w:ascii="宋体" w:hAnsi="宋体" w:cs="宋体"/>
                <w:color w:val="000000"/>
                <w:kern w:val="0"/>
                <w:sz w:val="24"/>
                <w:szCs w:val="24"/>
              </w:rPr>
              <w:t>9.压力显示：具有真空计在仪器外部显示质谱仪工作压力；</w:t>
            </w:r>
          </w:p>
          <w:p>
            <w:pPr>
              <w:rPr>
                <w:rFonts w:ascii="宋体" w:hAnsi="宋体" w:cs="宋体"/>
                <w:color w:val="000000"/>
                <w:kern w:val="0"/>
                <w:sz w:val="24"/>
                <w:szCs w:val="24"/>
              </w:rPr>
            </w:pPr>
            <w:r>
              <w:rPr>
                <w:rFonts w:hint="eastAsia" w:ascii="宋体" w:hAnsi="宋体" w:cs="宋体"/>
                <w:color w:val="000000"/>
                <w:kern w:val="0"/>
                <w:sz w:val="24"/>
                <w:szCs w:val="24"/>
              </w:rPr>
              <w:t xml:space="preserve">10.软离子化技术：离子源可改变电离电压4～150ev； </w:t>
            </w:r>
          </w:p>
          <w:p>
            <w:pPr>
              <w:rPr>
                <w:rFonts w:ascii="宋体" w:hAnsi="宋体" w:cs="宋体"/>
                <w:color w:val="000000"/>
                <w:kern w:val="0"/>
                <w:sz w:val="24"/>
                <w:szCs w:val="24"/>
              </w:rPr>
            </w:pPr>
            <w:r>
              <w:rPr>
                <w:rFonts w:hint="eastAsia" w:ascii="宋体" w:hAnsi="宋体" w:cs="宋体"/>
                <w:color w:val="000000"/>
                <w:kern w:val="0"/>
                <w:sz w:val="24"/>
                <w:szCs w:val="24"/>
              </w:rPr>
              <w:t>11.离子源：电子轰击离子源，铱灯丝；</w:t>
            </w:r>
          </w:p>
          <w:p>
            <w:pPr>
              <w:rPr>
                <w:rFonts w:hint="eastAsia" w:ascii="宋体" w:hAnsi="宋体" w:cs="宋体"/>
                <w:color w:val="000000"/>
                <w:kern w:val="0"/>
                <w:sz w:val="24"/>
                <w:szCs w:val="24"/>
              </w:rPr>
            </w:pPr>
            <w:r>
              <w:rPr>
                <w:rFonts w:hint="eastAsia" w:ascii="宋体" w:hAnsi="宋体" w:cs="宋体"/>
                <w:color w:val="000000"/>
                <w:kern w:val="0"/>
                <w:sz w:val="24"/>
                <w:szCs w:val="24"/>
              </w:rPr>
              <w:t>12.操作软件：</w:t>
            </w:r>
          </w:p>
          <w:p>
            <w:pPr>
              <w:rPr>
                <w:rFonts w:hint="eastAsia" w:ascii="宋体" w:hAnsi="宋体" w:cs="宋体"/>
                <w:color w:val="000000"/>
                <w:kern w:val="0"/>
                <w:sz w:val="24"/>
                <w:szCs w:val="24"/>
              </w:rPr>
            </w:pPr>
            <w:r>
              <w:rPr>
                <w:rFonts w:hint="eastAsia" w:ascii="宋体" w:hAnsi="宋体" w:cs="宋体"/>
                <w:color w:val="000000"/>
                <w:kern w:val="0"/>
                <w:sz w:val="24"/>
                <w:szCs w:val="24"/>
              </w:rPr>
              <w:t>a)可以实时记录、显示实验过程和实验参数；b)可控制和显示四极杆参数；</w:t>
            </w:r>
          </w:p>
          <w:p>
            <w:pPr>
              <w:rPr>
                <w:rFonts w:hint="eastAsia" w:ascii="宋体" w:hAnsi="宋体" w:cs="宋体"/>
                <w:color w:val="000000"/>
                <w:kern w:val="0"/>
                <w:sz w:val="24"/>
                <w:szCs w:val="24"/>
              </w:rPr>
            </w:pPr>
            <w:r>
              <w:rPr>
                <w:rFonts w:hint="eastAsia" w:ascii="宋体" w:hAnsi="宋体" w:cs="宋体"/>
                <w:color w:val="000000"/>
                <w:kern w:val="0"/>
                <w:sz w:val="24"/>
                <w:szCs w:val="24"/>
              </w:rPr>
              <w:t>c)定量数据分析：自动将测量浓度与参考气体进行对比、评估；所有数据总和与100%水平对比，计算包括相对灵敏度和气体的校正参数；</w:t>
            </w:r>
          </w:p>
          <w:p>
            <w:pPr>
              <w:rPr>
                <w:rFonts w:hint="eastAsia" w:ascii="宋体" w:hAnsi="宋体" w:cs="宋体"/>
                <w:color w:val="000000"/>
                <w:kern w:val="0"/>
                <w:sz w:val="24"/>
                <w:szCs w:val="24"/>
              </w:rPr>
            </w:pPr>
            <w:r>
              <w:rPr>
                <w:rFonts w:hint="eastAsia" w:ascii="宋体" w:hAnsi="宋体" w:cs="宋体"/>
                <w:color w:val="000000"/>
                <w:kern w:val="0"/>
                <w:sz w:val="24"/>
                <w:szCs w:val="24"/>
              </w:rPr>
              <w:t>d)多窗口操作界面；</w:t>
            </w:r>
          </w:p>
          <w:p>
            <w:pPr>
              <w:rPr>
                <w:rFonts w:hint="eastAsia" w:ascii="宋体" w:hAnsi="宋体" w:cs="宋体"/>
                <w:color w:val="000000"/>
                <w:kern w:val="0"/>
                <w:sz w:val="24"/>
                <w:szCs w:val="24"/>
              </w:rPr>
            </w:pPr>
            <w:r>
              <w:rPr>
                <w:rFonts w:hint="eastAsia" w:ascii="宋体" w:hAnsi="宋体" w:cs="宋体"/>
                <w:color w:val="000000"/>
                <w:kern w:val="0"/>
                <w:sz w:val="24"/>
                <w:szCs w:val="24"/>
              </w:rPr>
              <w:t>e)具有动态数据交换能力；</w:t>
            </w:r>
          </w:p>
          <w:p>
            <w:pPr>
              <w:rPr>
                <w:rFonts w:ascii="宋体" w:hAnsi="宋体" w:cs="宋体"/>
                <w:color w:val="000000"/>
                <w:kern w:val="0"/>
                <w:sz w:val="24"/>
                <w:szCs w:val="24"/>
              </w:rPr>
            </w:pPr>
            <w:r>
              <w:rPr>
                <w:rFonts w:hint="eastAsia" w:ascii="宋体" w:hAnsi="宋体" w:cs="宋体"/>
                <w:color w:val="000000"/>
                <w:kern w:val="0"/>
                <w:sz w:val="24"/>
                <w:szCs w:val="24"/>
              </w:rPr>
              <w:t>f)离子源控制：电子能量扫描：4～150ev；离子源离子能量扫描：0～10ev；发射电流扫描：20µA～2mA；</w:t>
            </w:r>
          </w:p>
          <w:p>
            <w:pPr>
              <w:rPr>
                <w:rFonts w:ascii="宋体" w:hAnsi="宋体" w:cs="宋体"/>
                <w:color w:val="000000"/>
                <w:kern w:val="0"/>
                <w:sz w:val="24"/>
                <w:szCs w:val="24"/>
              </w:rPr>
            </w:pPr>
            <w:r>
              <w:rPr>
                <w:rFonts w:hint="eastAsia" w:ascii="宋体" w:hAnsi="宋体" w:cs="宋体"/>
                <w:color w:val="000000"/>
                <w:kern w:val="0"/>
                <w:sz w:val="24"/>
                <w:szCs w:val="24"/>
              </w:rPr>
              <w:t>13.与计算机连接方式：RS232，网线，USB。</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4</w:t>
            </w:r>
          </w:p>
        </w:tc>
        <w:tc>
          <w:tcPr>
            <w:tcW w:w="786" w:type="dxa"/>
            <w:vAlign w:val="center"/>
          </w:tcPr>
          <w:p>
            <w:pPr>
              <w:pStyle w:val="10"/>
              <w:rPr>
                <w:rFonts w:hAnsi="宋体" w:cs="宋体"/>
                <w:sz w:val="24"/>
                <w:szCs w:val="24"/>
                <w:highlight w:val="yellow"/>
              </w:rPr>
            </w:pPr>
            <w:r>
              <w:rPr>
                <w:rFonts w:hint="eastAsia" w:hAnsi="宋体" w:cs="宋体"/>
                <w:sz w:val="24"/>
                <w:szCs w:val="24"/>
              </w:rPr>
              <w:t>超快光纤激光器（允许采购进口产品）</w:t>
            </w:r>
          </w:p>
        </w:tc>
        <w:tc>
          <w:tcPr>
            <w:tcW w:w="4920" w:type="dxa"/>
            <w:vAlign w:val="center"/>
          </w:tcPr>
          <w:p>
            <w:pPr>
              <w:rPr>
                <w:rFonts w:ascii="宋体" w:hAnsi="宋体" w:cs="宋体"/>
                <w:color w:val="000000"/>
                <w:kern w:val="0"/>
                <w:sz w:val="24"/>
                <w:szCs w:val="24"/>
              </w:rPr>
            </w:pPr>
            <w:r>
              <w:rPr>
                <w:rFonts w:hint="eastAsia" w:ascii="宋体" w:hAnsi="宋体" w:cs="宋体"/>
                <w:color w:val="000000"/>
                <w:kern w:val="0"/>
                <w:sz w:val="24"/>
                <w:szCs w:val="24"/>
              </w:rPr>
              <w:t xml:space="preserve">1.电源：100-220V；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2. 低时序抖动和RF-sync输出；</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3.内置的SHG 790nm输出；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4.中心波长：790nm +/- 5nm；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5.脉冲持续时间(FWHM)： &lt;100fs；</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6.输出平均功率：&gt;170mW(典型200mW)；脉冲能量达2nJ；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7.脉冲重复频率(固定)：100 +/- 10MHz；  </w:t>
            </w:r>
          </w:p>
          <w:p>
            <w:pPr>
              <w:rPr>
                <w:rFonts w:ascii="宋体" w:hAnsi="宋体" w:cs="宋体"/>
                <w:color w:val="000000"/>
                <w:kern w:val="0"/>
                <w:sz w:val="24"/>
                <w:szCs w:val="24"/>
              </w:rPr>
            </w:pPr>
            <w:r>
              <w:rPr>
                <w:rFonts w:hint="eastAsia" w:ascii="宋体" w:hAnsi="宋体" w:cs="宋体"/>
                <w:color w:val="000000"/>
                <w:kern w:val="0"/>
                <w:sz w:val="24"/>
                <w:szCs w:val="24"/>
              </w:rPr>
              <w:t xml:space="preserve">8.输出：自由空间，TEM00；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9.线偏振：PER &gt; 20dB；</w:t>
            </w:r>
          </w:p>
          <w:p>
            <w:pPr>
              <w:snapToGrid w:val="0"/>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10.长期稳定性：&lt;1% rms(12小时)；</w:t>
            </w:r>
          </w:p>
          <w:p>
            <w:pPr>
              <w:snapToGrid w:val="0"/>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11.光束高度：45mm/100mm切换。</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工程流体力学、锅炉原理、燃烧学、能源动力测试技术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5</w:t>
            </w:r>
          </w:p>
        </w:tc>
        <w:tc>
          <w:tcPr>
            <w:tcW w:w="786" w:type="dxa"/>
            <w:vAlign w:val="center"/>
          </w:tcPr>
          <w:p>
            <w:pPr>
              <w:pStyle w:val="10"/>
              <w:rPr>
                <w:rFonts w:hAnsi="宋体" w:cs="宋体"/>
                <w:sz w:val="24"/>
                <w:szCs w:val="24"/>
              </w:rPr>
            </w:pPr>
            <w:r>
              <w:rPr>
                <w:rFonts w:hint="eastAsia" w:hAnsi="宋体" w:cs="宋体"/>
                <w:sz w:val="24"/>
                <w:szCs w:val="24"/>
              </w:rPr>
              <w:t>宽频数字锁相放大器</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1.电源 AC: 100 –240 V；DC: 12 V，2A；</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信号输入：频率范围 DC – 5 00kHz；输入阻抗 50 Ω 或 10 MΩ || 27 pF ；输入电压噪声 2.5 nV/√ Hz (&gt; 1kHz) ；输入电流噪声 20 fA/√ Hz (&gt; 100 Hz) ；输入范围（电压） 1 mV – 3 V (8 个量程范围) ；动态储备 最高 120 dB ；满量程输入灵敏度 3 V 量程下为 1 nV ；A/D 转换 16 位, 60 MSa/s；</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3. 信号输出：频率范围 DC – 5 00kHz (需 MF-F5M) ；输出范围 ±10 mV, 100 mV, 1 V, 10 V ；D/A 转换 16 位, 60 MSa/s；</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 xml:space="preserve">4. 解调器和参考：解调器数量 1 个双相（或 4 个，需 MF-MD） </w:t>
            </w:r>
          </w:p>
          <w:p>
            <w:pPr>
              <w:snapToGrid w:val="0"/>
              <w:rPr>
                <w:rFonts w:ascii="宋体" w:hAnsi="宋体" w:cs="宋体"/>
                <w:sz w:val="24"/>
                <w:szCs w:val="24"/>
              </w:rPr>
            </w:pPr>
            <w:r>
              <w:rPr>
                <w:rFonts w:hint="eastAsia" w:ascii="宋体" w:hAnsi="宋体" w:cs="宋体"/>
                <w:sz w:val="24"/>
                <w:szCs w:val="24"/>
              </w:rPr>
              <w:t>振荡器数量 1 个（或 4 个，需 MF-MD） ；输出采样率 1 GbE：最高 200 kSa/s 辅助输出：612 kSa/s ；时间常数 336 ns – 83 s ；测量带宽 276 μHz – 206 kHz ；滤波器斜率 (dB/Oct) 6、12、18、24、 30、36、42、48 ；相位分辨率 10 μdeg ；频率分辨率 1 μHz；</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 辅助输入/输出和其他：辅助输出 4 通道，±10 V，16 位， 612 kSa/s，偏置，缩放 ；辅助输入 2 通道，±10 V，16 位， 15 MSa/s；可将信号添加至主信号输出 ；PC 接口 USB 2.0，LAN 1GbE ；时钟 10 MHz 输入和输出 ；数字 I/O 4× 8 位，双向。</w:t>
            </w:r>
          </w:p>
          <w:p>
            <w:pPr>
              <w:pStyle w:val="2"/>
              <w:ind w:firstLine="480"/>
              <w:rPr>
                <w:rFonts w:ascii="宋体" w:hAnsi="宋体" w:cs="宋体"/>
                <w:sz w:val="24"/>
                <w:szCs w:val="24"/>
              </w:rPr>
            </w:pP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工程流体力学、锅炉原理、燃烧学、能源动力测试技术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6</w:t>
            </w:r>
          </w:p>
        </w:tc>
        <w:tc>
          <w:tcPr>
            <w:tcW w:w="786" w:type="dxa"/>
            <w:vAlign w:val="center"/>
          </w:tcPr>
          <w:p>
            <w:pPr>
              <w:pStyle w:val="10"/>
              <w:rPr>
                <w:rFonts w:hAnsi="宋体" w:cs="宋体"/>
                <w:sz w:val="24"/>
                <w:szCs w:val="24"/>
              </w:rPr>
            </w:pPr>
            <w:r>
              <w:rPr>
                <w:rFonts w:hint="eastAsia" w:hAnsi="宋体" w:cs="宋体"/>
                <w:sz w:val="24"/>
                <w:szCs w:val="24"/>
              </w:rPr>
              <w:t>紫外可见分光光度计</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光谱带宽：2nm （固定狭缝）；</w:t>
            </w:r>
          </w:p>
          <w:p>
            <w:pPr>
              <w:pStyle w:val="2"/>
              <w:ind w:left="0" w:leftChars="0" w:firstLine="0" w:firstLineChars="0"/>
              <w:rPr>
                <w:rFonts w:ascii="宋体" w:hAnsi="宋体" w:cs="宋体"/>
                <w:sz w:val="24"/>
                <w:szCs w:val="24"/>
              </w:rPr>
            </w:pPr>
            <w:r>
              <w:rPr>
                <w:rFonts w:hint="eastAsia" w:ascii="宋体" w:hAnsi="宋体" w:cs="宋体"/>
                <w:sz w:val="24"/>
                <w:szCs w:val="24"/>
              </w:rPr>
              <w:t>2. 工作模式：单片机模式；</w:t>
            </w:r>
          </w:p>
          <w:p>
            <w:pPr>
              <w:pStyle w:val="2"/>
              <w:ind w:left="0" w:leftChars="0" w:firstLine="0" w:firstLineChars="0"/>
              <w:rPr>
                <w:rFonts w:ascii="宋体" w:hAnsi="宋体" w:cs="宋体"/>
                <w:sz w:val="24"/>
                <w:szCs w:val="24"/>
              </w:rPr>
            </w:pPr>
            <w:r>
              <w:rPr>
                <w:rFonts w:hint="eastAsia" w:ascii="宋体" w:hAnsi="宋体" w:cs="宋体"/>
                <w:sz w:val="24"/>
                <w:szCs w:val="24"/>
              </w:rPr>
              <w:t>3.软件支持：单片机软件平台；</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4.波长范围：190～1100nm；</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5.波长准确度：±0.3nm（开机自动校准）；</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6.波长重复性：≤0.2nm；</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7.杂散光：&lt; 0.3% （220nm，Nal；340nm，NaNO2）；</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8.光度范围：-0.3～3A；</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9.光度准确度：±0.002A（0～0.5A）；±0.004A（0.5～1A）；±0.3%T（0～*T）；</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10. 光度重复性：0.001A（0～0.5A）；0.002A（0.5～1A）；0.15%T（0～*T）；</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11.基线平直度：±0.002A（190～1100nm）；</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12.基线漂移：0.001A/h（500nm，0A，2nm光谱带宽，预热2h后）；</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13.光度噪声：±0.0005A （500nm，0A，2nm光谱带宽）。</w:t>
            </w:r>
          </w:p>
        </w:tc>
        <w:tc>
          <w:tcPr>
            <w:tcW w:w="632" w:type="dxa"/>
            <w:vAlign w:val="center"/>
          </w:tcPr>
          <w:p>
            <w:pPr>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锅炉原理、燃烧学、能源动力测试技术</w:t>
            </w:r>
          </w:p>
        </w:tc>
        <w:tc>
          <w:tcPr>
            <w:tcW w:w="795" w:type="dxa"/>
            <w:vAlign w:val="center"/>
          </w:tcPr>
          <w:p>
            <w:pPr>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7</w:t>
            </w:r>
          </w:p>
        </w:tc>
        <w:tc>
          <w:tcPr>
            <w:tcW w:w="786" w:type="dxa"/>
            <w:vAlign w:val="center"/>
          </w:tcPr>
          <w:p>
            <w:pPr>
              <w:pStyle w:val="10"/>
              <w:rPr>
                <w:rFonts w:hAnsi="宋体" w:cs="宋体"/>
                <w:sz w:val="24"/>
                <w:szCs w:val="24"/>
              </w:rPr>
            </w:pPr>
            <w:r>
              <w:rPr>
                <w:rFonts w:hint="eastAsia" w:hAnsi="宋体" w:cs="宋体"/>
                <w:sz w:val="24"/>
                <w:szCs w:val="24"/>
              </w:rPr>
              <w:t>二氧化碳分析仪</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测量指标：CO</w:t>
            </w:r>
            <w:r>
              <w:rPr>
                <w:rFonts w:hint="eastAsia" w:ascii="宋体" w:hAnsi="宋体" w:cs="宋体"/>
                <w:sz w:val="24"/>
                <w:szCs w:val="24"/>
                <w:vertAlign w:val="subscript"/>
              </w:rPr>
              <w:t>2</w:t>
            </w:r>
            <w:r>
              <w:rPr>
                <w:rFonts w:hint="eastAsia" w:ascii="宋体" w:hAnsi="宋体" w:cs="宋体"/>
                <w:sz w:val="24"/>
                <w:szCs w:val="24"/>
              </w:rPr>
              <w:t>；</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测量方法：CO</w:t>
            </w:r>
            <w:r>
              <w:rPr>
                <w:rFonts w:hint="eastAsia" w:ascii="宋体" w:hAnsi="宋体" w:cs="宋体"/>
                <w:sz w:val="24"/>
                <w:szCs w:val="24"/>
                <w:vertAlign w:val="subscript"/>
              </w:rPr>
              <w:t>2</w:t>
            </w:r>
            <w:r>
              <w:rPr>
                <w:rFonts w:hint="eastAsia" w:ascii="宋体" w:hAnsi="宋体" w:cs="宋体"/>
                <w:sz w:val="24"/>
                <w:szCs w:val="24"/>
              </w:rPr>
              <w:t>： NDIR非分光红外；</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3. 量程：CO</w:t>
            </w:r>
            <w:r>
              <w:rPr>
                <w:rFonts w:hint="eastAsia" w:ascii="宋体" w:hAnsi="宋体" w:cs="宋体"/>
                <w:sz w:val="24"/>
                <w:szCs w:val="24"/>
                <w:vertAlign w:val="subscript"/>
              </w:rPr>
              <w:t>2</w:t>
            </w:r>
            <w:r>
              <w:rPr>
                <w:rFonts w:hint="eastAsia" w:ascii="宋体" w:hAnsi="宋体" w:cs="宋体"/>
                <w:sz w:val="24"/>
                <w:szCs w:val="24"/>
              </w:rPr>
              <w:t>：0-40%；</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 分辨率：0.01%；</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 精度：CO</w:t>
            </w:r>
            <w:r>
              <w:rPr>
                <w:rFonts w:hint="eastAsia" w:ascii="宋体" w:hAnsi="宋体" w:cs="宋体"/>
                <w:sz w:val="24"/>
                <w:szCs w:val="24"/>
                <w:vertAlign w:val="subscript"/>
              </w:rPr>
              <w:t>2</w:t>
            </w:r>
            <w:r>
              <w:rPr>
                <w:rFonts w:hint="eastAsia" w:ascii="宋体" w:hAnsi="宋体" w:cs="宋体"/>
                <w:sz w:val="24"/>
                <w:szCs w:val="24"/>
              </w:rPr>
              <w:t>：≦±2%FS；</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6. 重复性误差：≤1%；</w:t>
            </w:r>
          </w:p>
          <w:p>
            <w:pPr>
              <w:snapToGrid w:val="0"/>
              <w:rPr>
                <w:rFonts w:ascii="宋体" w:hAnsi="宋体" w:cs="宋体"/>
                <w:sz w:val="24"/>
                <w:szCs w:val="24"/>
              </w:rPr>
            </w:pPr>
            <w:r>
              <w:rPr>
                <w:rFonts w:hint="eastAsia" w:ascii="宋体" w:hAnsi="宋体" w:cs="宋体"/>
                <w:sz w:val="24"/>
                <w:szCs w:val="24"/>
              </w:rPr>
              <w:t>7. 显示:LCD显示32*24；</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8. 最佳流量：0.7-1.2L/min；</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9. 进气压力：2kPa-50kPa；</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10. 温度：0-40℃；</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11. 响应时间：T90＜15s（NDIR）；</w:t>
            </w:r>
          </w:p>
          <w:p>
            <w:pPr>
              <w:snapToGrid w:val="0"/>
              <w:rPr>
                <w:rFonts w:ascii="宋体" w:hAnsi="宋体" w:cs="宋体"/>
                <w:sz w:val="24"/>
                <w:szCs w:val="24"/>
              </w:rPr>
            </w:pPr>
            <w:r>
              <w:rPr>
                <w:rFonts w:hint="eastAsia" w:ascii="宋体" w:hAnsi="宋体" w:cs="宋体"/>
                <w:sz w:val="24"/>
                <w:szCs w:val="24"/>
              </w:rPr>
              <w:t>12. 信号输出：RS-232/RS485数字输出、4-20mA模拟输出；</w:t>
            </w:r>
          </w:p>
          <w:p>
            <w:pPr>
              <w:snapToGrid w:val="0"/>
              <w:rPr>
                <w:rFonts w:ascii="宋体" w:hAnsi="宋体" w:cs="宋体"/>
                <w:sz w:val="24"/>
                <w:szCs w:val="24"/>
              </w:rPr>
            </w:pPr>
            <w:r>
              <w:rPr>
                <w:rFonts w:hint="eastAsia" w:ascii="宋体" w:hAnsi="宋体" w:cs="宋体"/>
                <w:sz w:val="24"/>
                <w:szCs w:val="24"/>
              </w:rPr>
              <w:t>13. 工作电源：AC220V50Hz；</w:t>
            </w:r>
          </w:p>
          <w:p>
            <w:pPr>
              <w:snapToGrid w:val="0"/>
              <w:rPr>
                <w:rFonts w:ascii="宋体" w:hAnsi="宋体" w:cs="宋体"/>
                <w:sz w:val="24"/>
                <w:szCs w:val="24"/>
              </w:rPr>
            </w:pPr>
            <w:r>
              <w:rPr>
                <w:rFonts w:hint="eastAsia" w:ascii="宋体" w:hAnsi="宋体" w:cs="宋体"/>
                <w:sz w:val="24"/>
                <w:szCs w:val="24"/>
              </w:rPr>
              <w:t xml:space="preserve">14. 软件:提供配套软件。 </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8</w:t>
            </w:r>
          </w:p>
        </w:tc>
        <w:tc>
          <w:tcPr>
            <w:tcW w:w="786" w:type="dxa"/>
            <w:vAlign w:val="center"/>
          </w:tcPr>
          <w:p>
            <w:pPr>
              <w:pStyle w:val="10"/>
              <w:rPr>
                <w:rFonts w:hAnsi="宋体" w:cs="宋体"/>
                <w:sz w:val="24"/>
                <w:szCs w:val="24"/>
              </w:rPr>
            </w:pPr>
            <w:r>
              <w:rPr>
                <w:rFonts w:hint="eastAsia" w:hAnsi="宋体" w:cs="宋体"/>
                <w:sz w:val="24"/>
                <w:szCs w:val="24"/>
              </w:rPr>
              <w:t>NOx生成机理实验系统</w:t>
            </w:r>
          </w:p>
        </w:tc>
        <w:tc>
          <w:tcPr>
            <w:tcW w:w="4920" w:type="dxa"/>
            <w:vAlign w:val="center"/>
          </w:tcPr>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最高温度：1600℃；</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加热区长度：≥260mm；</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3. 恒温区长度：≥120mm；</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 xml:space="preserve">4.检测器测量指标： NO NO2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★5.</w:t>
            </w:r>
            <w:r>
              <w:rPr>
                <w:rFonts w:hint="eastAsia" w:ascii="宋体" w:hAnsi="宋体" w:cs="宋体"/>
                <w:sz w:val="24"/>
                <w:szCs w:val="24"/>
              </w:rPr>
              <w:t>测量方法：NO NO2：UV-DOAS紫外查差分光谱法</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★6.</w:t>
            </w:r>
            <w:r>
              <w:rPr>
                <w:rFonts w:hint="eastAsia" w:ascii="宋体" w:hAnsi="宋体" w:cs="宋体"/>
                <w:sz w:val="24"/>
                <w:szCs w:val="24"/>
              </w:rPr>
              <w:t xml:space="preserve">量 程：NO2:0-100ppm  NO2:0-100ppm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★7.</w:t>
            </w:r>
            <w:r>
              <w:rPr>
                <w:rFonts w:hint="eastAsia" w:ascii="宋体" w:hAnsi="宋体" w:cs="宋体"/>
                <w:sz w:val="24"/>
                <w:szCs w:val="24"/>
              </w:rPr>
              <w:t xml:space="preserve">分 辨 率：1ppm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★8.</w:t>
            </w:r>
            <w:r>
              <w:rPr>
                <w:rFonts w:hint="eastAsia" w:ascii="宋体" w:hAnsi="宋体" w:cs="宋体"/>
                <w:sz w:val="24"/>
                <w:szCs w:val="24"/>
              </w:rPr>
              <w:t xml:space="preserve">精度：NO NO2 ：≦±2%FS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★9.</w:t>
            </w:r>
            <w:r>
              <w:rPr>
                <w:rFonts w:hint="eastAsia" w:ascii="宋体" w:hAnsi="宋体" w:cs="宋体"/>
                <w:sz w:val="24"/>
                <w:szCs w:val="24"/>
              </w:rPr>
              <w:t xml:space="preserve">重复性：≤1%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★10.</w:t>
            </w:r>
            <w:r>
              <w:rPr>
                <w:rFonts w:hint="eastAsia" w:ascii="宋体" w:hAnsi="宋体" w:cs="宋体"/>
                <w:sz w:val="24"/>
                <w:szCs w:val="24"/>
              </w:rPr>
              <w:t xml:space="preserve">响应时间：T90＜45s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★11.</w:t>
            </w:r>
            <w:r>
              <w:rPr>
                <w:rFonts w:hint="eastAsia" w:ascii="宋体" w:hAnsi="宋体" w:cs="宋体"/>
                <w:sz w:val="24"/>
                <w:szCs w:val="24"/>
              </w:rPr>
              <w:t xml:space="preserve">最佳流程：(0.7-1.2)L/min </w:t>
            </w:r>
          </w:p>
          <w:p>
            <w:pPr>
              <w:pStyle w:val="47"/>
              <w:ind w:firstLine="0" w:firstLineChars="0"/>
              <w:rPr>
                <w:rFonts w:ascii="宋体" w:hAnsi="宋体" w:cs="宋体"/>
                <w:sz w:val="24"/>
                <w:szCs w:val="24"/>
              </w:rPr>
            </w:pPr>
            <w:r>
              <w:rPr>
                <w:rFonts w:hint="eastAsia" w:ascii="宋体" w:hAnsi="宋体" w:cs="宋体"/>
                <w:color w:val="000000"/>
                <w:sz w:val="24"/>
                <w:szCs w:val="24"/>
                <w:shd w:val="clear" w:color="auto" w:fill="FFFFFF"/>
              </w:rPr>
              <w:t>★12.</w:t>
            </w:r>
            <w:r>
              <w:rPr>
                <w:rFonts w:hint="eastAsia" w:ascii="宋体" w:hAnsi="宋体" w:cs="宋体"/>
                <w:sz w:val="24"/>
                <w:szCs w:val="24"/>
              </w:rPr>
              <w:t>工作温度：-20-50℃；</w:t>
            </w:r>
          </w:p>
          <w:p>
            <w:pPr>
              <w:pStyle w:val="4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.软件: 定制上位机软件</w:t>
            </w:r>
          </w:p>
          <w:p>
            <w:pPr>
              <w:pStyle w:val="4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.石英管尺寸mm：Φ80；/70×1000；</w:t>
            </w:r>
          </w:p>
          <w:p>
            <w:pPr>
              <w:pStyle w:val="4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.额定功率：≥7KW</w:t>
            </w:r>
          </w:p>
          <w:p>
            <w:pPr>
              <w:pStyle w:val="4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 漏电保护功能，当炉体漏电时自动断电。以上功能确保了使用的安全性；</w:t>
            </w:r>
          </w:p>
          <w:p>
            <w:pPr>
              <w:pStyle w:val="4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.具有电炉温度智能控制系统；</w:t>
            </w:r>
          </w:p>
          <w:p>
            <w:pPr>
              <w:pStyle w:val="4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.电炉内需配置有转换接口，可实现与计算机相互连接；</w:t>
            </w:r>
          </w:p>
          <w:p>
            <w:pPr>
              <w:pStyle w:val="47"/>
              <w:ind w:firstLine="0" w:firstLineChars="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 真空控制系统：通过各种真空控制系统，可以实现样品在低、中、高真空环境下进行试验。</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1套</w:t>
            </w:r>
          </w:p>
        </w:tc>
        <w:tc>
          <w:tcPr>
            <w:tcW w:w="932" w:type="dxa"/>
            <w:vAlign w:val="center"/>
          </w:tcPr>
          <w:p>
            <w:pPr>
              <w:pStyle w:val="10"/>
              <w:rPr>
                <w:rFonts w:hAnsi="宋体" w:cs="宋体"/>
                <w:sz w:val="24"/>
                <w:szCs w:val="24"/>
              </w:rPr>
            </w:pPr>
            <w:r>
              <w:rPr>
                <w:rFonts w:hint="eastAsia" w:hAnsi="宋体" w:cs="宋体"/>
                <w:sz w:val="24"/>
                <w:szCs w:val="24"/>
              </w:rPr>
              <w:t>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9</w:t>
            </w:r>
          </w:p>
        </w:tc>
        <w:tc>
          <w:tcPr>
            <w:tcW w:w="786" w:type="dxa"/>
            <w:vAlign w:val="center"/>
          </w:tcPr>
          <w:p>
            <w:pPr>
              <w:pStyle w:val="10"/>
              <w:rPr>
                <w:rFonts w:hAnsi="宋体" w:cs="宋体"/>
                <w:sz w:val="24"/>
                <w:szCs w:val="24"/>
              </w:rPr>
            </w:pPr>
            <w:r>
              <w:rPr>
                <w:rFonts w:hint="eastAsia" w:hAnsi="宋体" w:cs="宋体"/>
                <w:sz w:val="24"/>
                <w:szCs w:val="24"/>
              </w:rPr>
              <w:t>箱式防腐蚀气氛炉</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温度：1000℃以上；</w:t>
            </w:r>
          </w:p>
          <w:p>
            <w:pPr>
              <w:snapToGrid w:val="0"/>
              <w:rPr>
                <w:rFonts w:ascii="宋体" w:hAnsi="宋体" w:cs="宋体"/>
                <w:sz w:val="24"/>
                <w:szCs w:val="24"/>
              </w:rPr>
            </w:pPr>
            <w:r>
              <w:rPr>
                <w:rFonts w:hint="eastAsia" w:ascii="宋体" w:hAnsi="宋体" w:cs="宋体"/>
                <w:sz w:val="24"/>
                <w:szCs w:val="24"/>
              </w:rPr>
              <w:t>2. 炉膛尺寸：约380*280*280mm；</w:t>
            </w:r>
          </w:p>
          <w:p>
            <w:pPr>
              <w:snapToGrid w:val="0"/>
              <w:rPr>
                <w:rFonts w:ascii="宋体" w:hAnsi="宋体" w:cs="宋体"/>
                <w:sz w:val="24"/>
                <w:szCs w:val="24"/>
              </w:rPr>
            </w:pPr>
            <w:r>
              <w:rPr>
                <w:rFonts w:hint="eastAsia" w:ascii="宋体" w:hAnsi="宋体" w:cs="宋体"/>
                <w:sz w:val="24"/>
                <w:szCs w:val="24"/>
              </w:rPr>
              <w:t>3. 不锈钢内胆：耐热钢；</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 气氛：氮气等。</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新能源技术、能源动力测试技术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10</w:t>
            </w:r>
          </w:p>
        </w:tc>
        <w:tc>
          <w:tcPr>
            <w:tcW w:w="786" w:type="dxa"/>
            <w:vAlign w:val="center"/>
          </w:tcPr>
          <w:p>
            <w:pPr>
              <w:pStyle w:val="10"/>
              <w:rPr>
                <w:rFonts w:hAnsi="宋体" w:cs="宋体"/>
                <w:sz w:val="24"/>
                <w:szCs w:val="24"/>
              </w:rPr>
            </w:pPr>
            <w:r>
              <w:rPr>
                <w:rFonts w:hint="eastAsia" w:hAnsi="宋体" w:cs="宋体"/>
                <w:sz w:val="24"/>
                <w:szCs w:val="24"/>
              </w:rPr>
              <w:t>伺服电脑卧式电池片拉力试验机</w:t>
            </w:r>
          </w:p>
        </w:tc>
        <w:tc>
          <w:tcPr>
            <w:tcW w:w="4920" w:type="dxa"/>
            <w:vAlign w:val="center"/>
          </w:tcPr>
          <w:p>
            <w:pPr>
              <w:bidi w:val="0"/>
              <w:spacing w:line="360" w:lineRule="auto"/>
              <w:rPr>
                <w:rFonts w:hint="eastAsia"/>
                <w:sz w:val="24"/>
                <w:szCs w:val="24"/>
              </w:rPr>
            </w:pPr>
            <w:r>
              <w:rPr>
                <w:rFonts w:hint="eastAsia" w:ascii="宋体" w:hAnsi="宋体" w:cs="宋体"/>
                <w:color w:val="000000"/>
                <w:szCs w:val="24"/>
                <w:shd w:val="clear" w:color="auto" w:fill="FFFFFF"/>
              </w:rPr>
              <w:t>★</w:t>
            </w:r>
            <w:r>
              <w:rPr>
                <w:rFonts w:hint="eastAsia"/>
                <w:sz w:val="24"/>
                <w:szCs w:val="24"/>
              </w:rPr>
              <w:t>1.试验力选择：50N*12个以上；</w:t>
            </w:r>
          </w:p>
          <w:p>
            <w:pPr>
              <w:bidi w:val="0"/>
              <w:spacing w:line="360" w:lineRule="auto"/>
              <w:rPr>
                <w:rFonts w:hint="eastAsia"/>
                <w:sz w:val="24"/>
                <w:szCs w:val="24"/>
              </w:rPr>
            </w:pPr>
            <w:r>
              <w:rPr>
                <w:rFonts w:hint="eastAsia"/>
                <w:sz w:val="24"/>
                <w:szCs w:val="24"/>
              </w:rPr>
              <w:t>★2.准确度等级：优于0.5级；</w:t>
            </w:r>
          </w:p>
          <w:p>
            <w:pPr>
              <w:bidi w:val="0"/>
              <w:spacing w:line="360" w:lineRule="auto"/>
              <w:rPr>
                <w:rFonts w:hint="eastAsia"/>
                <w:sz w:val="24"/>
                <w:szCs w:val="24"/>
              </w:rPr>
            </w:pPr>
            <w:r>
              <w:rPr>
                <w:rFonts w:hint="eastAsia"/>
                <w:sz w:val="24"/>
                <w:szCs w:val="24"/>
              </w:rPr>
              <w:t>★3.负荷测量范围：0.2%—99%FS；</w:t>
            </w:r>
          </w:p>
          <w:p>
            <w:pPr>
              <w:bidi w:val="0"/>
              <w:spacing w:line="360" w:lineRule="auto"/>
              <w:rPr>
                <w:rFonts w:hint="eastAsia"/>
                <w:sz w:val="24"/>
                <w:szCs w:val="24"/>
              </w:rPr>
            </w:pPr>
            <w:r>
              <w:rPr>
                <w:rFonts w:hint="eastAsia"/>
                <w:sz w:val="24"/>
                <w:szCs w:val="24"/>
              </w:rPr>
              <w:t>★4.试验力示值允许误差极限：示值的±0.5%以内；</w:t>
            </w:r>
          </w:p>
          <w:p>
            <w:pPr>
              <w:bidi w:val="0"/>
              <w:spacing w:line="360" w:lineRule="auto"/>
              <w:rPr>
                <w:rFonts w:hint="eastAsia"/>
                <w:sz w:val="24"/>
                <w:szCs w:val="24"/>
              </w:rPr>
            </w:pPr>
            <w:r>
              <w:rPr>
                <w:rFonts w:hint="eastAsia"/>
                <w:sz w:val="24"/>
                <w:szCs w:val="24"/>
              </w:rPr>
              <w:t>★5.试验力示值分辨率：试验力的1/±500000；</w:t>
            </w:r>
          </w:p>
          <w:p>
            <w:pPr>
              <w:bidi w:val="0"/>
              <w:spacing w:line="360" w:lineRule="auto"/>
              <w:rPr>
                <w:rFonts w:hint="eastAsia"/>
                <w:sz w:val="24"/>
                <w:szCs w:val="24"/>
              </w:rPr>
            </w:pPr>
            <w:r>
              <w:rPr>
                <w:rFonts w:hint="eastAsia"/>
                <w:sz w:val="24"/>
                <w:szCs w:val="24"/>
              </w:rPr>
              <w:t>★6.变形测量范围：0.2%-99%FS；</w:t>
            </w:r>
          </w:p>
          <w:p>
            <w:pPr>
              <w:bidi w:val="0"/>
              <w:spacing w:line="360" w:lineRule="auto"/>
              <w:rPr>
                <w:rFonts w:hint="eastAsia"/>
                <w:sz w:val="24"/>
                <w:szCs w:val="24"/>
              </w:rPr>
            </w:pPr>
            <w:r>
              <w:rPr>
                <w:rFonts w:hint="eastAsia"/>
                <w:sz w:val="24"/>
                <w:szCs w:val="24"/>
              </w:rPr>
              <w:t>★7.变形示值误差极限：示值的±0.50%以内；</w:t>
            </w:r>
          </w:p>
          <w:p>
            <w:pPr>
              <w:bidi w:val="0"/>
              <w:spacing w:line="360" w:lineRule="auto"/>
              <w:rPr>
                <w:rFonts w:hint="eastAsia"/>
                <w:sz w:val="24"/>
                <w:szCs w:val="24"/>
              </w:rPr>
            </w:pPr>
            <w:r>
              <w:rPr>
                <w:rFonts w:hint="eastAsia"/>
                <w:sz w:val="24"/>
                <w:szCs w:val="24"/>
              </w:rPr>
              <w:t>★8.变形分辨力：0.0001mm</w:t>
            </w:r>
          </w:p>
          <w:p>
            <w:pPr>
              <w:bidi w:val="0"/>
              <w:spacing w:line="360" w:lineRule="auto"/>
              <w:rPr>
                <w:rFonts w:hint="eastAsia"/>
                <w:sz w:val="24"/>
                <w:szCs w:val="24"/>
              </w:rPr>
            </w:pPr>
            <w:r>
              <w:rPr>
                <w:rFonts w:hint="eastAsia"/>
                <w:sz w:val="24"/>
                <w:szCs w:val="24"/>
              </w:rPr>
              <w:t>★9.位移示值误差极限：示值的±0.5%以内；</w:t>
            </w:r>
          </w:p>
          <w:p>
            <w:pPr>
              <w:bidi w:val="0"/>
              <w:spacing w:line="360" w:lineRule="auto"/>
              <w:rPr>
                <w:rFonts w:hint="eastAsia"/>
                <w:sz w:val="24"/>
                <w:szCs w:val="24"/>
              </w:rPr>
            </w:pPr>
            <w:r>
              <w:rPr>
                <w:rFonts w:hint="eastAsia"/>
                <w:sz w:val="24"/>
                <w:szCs w:val="24"/>
              </w:rPr>
              <w:t>★10.位移分辨力：0.0005mm</w:t>
            </w:r>
          </w:p>
          <w:p>
            <w:pPr>
              <w:bidi w:val="0"/>
              <w:spacing w:line="360" w:lineRule="auto"/>
              <w:rPr>
                <w:rFonts w:hint="eastAsia"/>
                <w:sz w:val="24"/>
                <w:szCs w:val="24"/>
              </w:rPr>
            </w:pPr>
            <w:r>
              <w:rPr>
                <w:rFonts w:hint="eastAsia"/>
                <w:sz w:val="24"/>
                <w:szCs w:val="24"/>
              </w:rPr>
              <w:t>★11.力控速率调节范围：0.01-10%FS/S；</w:t>
            </w:r>
          </w:p>
          <w:p>
            <w:pPr>
              <w:bidi w:val="0"/>
              <w:spacing w:line="360" w:lineRule="auto"/>
              <w:rPr>
                <w:rFonts w:hint="eastAsia"/>
                <w:sz w:val="24"/>
                <w:szCs w:val="24"/>
              </w:rPr>
            </w:pPr>
            <w:r>
              <w:rPr>
                <w:rFonts w:hint="eastAsia"/>
                <w:sz w:val="24"/>
                <w:szCs w:val="24"/>
              </w:rPr>
              <w:t>★12.力控速率控制精度：设定值的±1%以内；</w:t>
            </w:r>
          </w:p>
          <w:p>
            <w:pPr>
              <w:bidi w:val="0"/>
              <w:spacing w:line="360" w:lineRule="auto"/>
              <w:rPr>
                <w:rFonts w:hint="eastAsia"/>
                <w:sz w:val="24"/>
                <w:szCs w:val="24"/>
              </w:rPr>
            </w:pPr>
            <w:r>
              <w:rPr>
                <w:rFonts w:hint="eastAsia"/>
                <w:sz w:val="24"/>
                <w:szCs w:val="24"/>
              </w:rPr>
              <w:t>★13.变形速率调节范围：0.02-5%FS/S；</w:t>
            </w:r>
          </w:p>
          <w:p>
            <w:pPr>
              <w:bidi w:val="0"/>
              <w:spacing w:line="360" w:lineRule="auto"/>
              <w:rPr>
                <w:rFonts w:hint="eastAsia"/>
                <w:sz w:val="24"/>
                <w:szCs w:val="24"/>
              </w:rPr>
            </w:pPr>
            <w:r>
              <w:rPr>
                <w:rFonts w:hint="eastAsia"/>
                <w:sz w:val="24"/>
                <w:szCs w:val="24"/>
              </w:rPr>
              <w:t>★14.变形速率控制精度：设定值的±1%以内；</w:t>
            </w:r>
          </w:p>
          <w:p>
            <w:pPr>
              <w:bidi w:val="0"/>
              <w:spacing w:line="360" w:lineRule="auto"/>
              <w:rPr>
                <w:rFonts w:hint="eastAsia"/>
                <w:sz w:val="24"/>
                <w:szCs w:val="24"/>
              </w:rPr>
            </w:pPr>
            <w:r>
              <w:rPr>
                <w:rFonts w:hint="eastAsia"/>
                <w:sz w:val="24"/>
                <w:szCs w:val="24"/>
              </w:rPr>
              <w:t>★15.位移速度调节范围：0.001-500 mm/min；</w:t>
            </w:r>
          </w:p>
          <w:p>
            <w:pPr>
              <w:bidi w:val="0"/>
              <w:spacing w:line="360" w:lineRule="auto"/>
              <w:rPr>
                <w:rFonts w:hint="eastAsia"/>
                <w:sz w:val="24"/>
                <w:szCs w:val="24"/>
              </w:rPr>
            </w:pPr>
            <w:r>
              <w:rPr>
                <w:rFonts w:hint="eastAsia"/>
                <w:sz w:val="24"/>
                <w:szCs w:val="24"/>
              </w:rPr>
              <w:t>★16.位移速率控制精度：速率&lt;5mm/min时，设定值的±1.0%以内；速率≥5mm/min时，设定值的±0.5%以内；</w:t>
            </w:r>
          </w:p>
          <w:p>
            <w:pPr>
              <w:bidi w:val="0"/>
              <w:spacing w:line="360" w:lineRule="auto"/>
              <w:rPr>
                <w:rFonts w:hint="eastAsia"/>
                <w:sz w:val="24"/>
                <w:szCs w:val="24"/>
              </w:rPr>
            </w:pPr>
            <w:r>
              <w:rPr>
                <w:rFonts w:hint="eastAsia"/>
                <w:sz w:val="24"/>
                <w:szCs w:val="24"/>
              </w:rPr>
              <w:t>★17.恒力、恒变形、恒位移控制范围：0.5%-99%FS；</w:t>
            </w:r>
          </w:p>
          <w:p>
            <w:pPr>
              <w:bidi w:val="0"/>
              <w:spacing w:line="360" w:lineRule="auto"/>
              <w:rPr>
                <w:rFonts w:hint="eastAsia"/>
                <w:sz w:val="24"/>
                <w:szCs w:val="24"/>
              </w:rPr>
            </w:pPr>
            <w:r>
              <w:rPr>
                <w:rFonts w:hint="eastAsia"/>
                <w:sz w:val="24"/>
                <w:szCs w:val="24"/>
              </w:rPr>
              <w:t>★18.恒力、恒变形、恒位移控制精度：设定值≥10%FS时，设定值的±0.1%以内；设定值&lt;10%FS时，设定值的±1%以内；</w:t>
            </w:r>
          </w:p>
          <w:p>
            <w:pPr>
              <w:bidi w:val="0"/>
              <w:spacing w:line="360" w:lineRule="auto"/>
              <w:rPr>
                <w:rFonts w:hint="eastAsia"/>
                <w:sz w:val="24"/>
                <w:szCs w:val="24"/>
              </w:rPr>
            </w:pPr>
            <w:r>
              <w:rPr>
                <w:rFonts w:hint="eastAsia"/>
                <w:sz w:val="24"/>
                <w:szCs w:val="24"/>
              </w:rPr>
              <w:t>19.有效试验宽度：230 x230mm；</w:t>
            </w:r>
          </w:p>
          <w:p>
            <w:pPr>
              <w:bidi w:val="0"/>
              <w:spacing w:line="360" w:lineRule="auto"/>
              <w:rPr>
                <w:rFonts w:ascii="宋体" w:hAnsi="宋体" w:cs="宋体"/>
                <w:szCs w:val="24"/>
              </w:rPr>
            </w:pPr>
            <w:r>
              <w:rPr>
                <w:rFonts w:hint="eastAsia"/>
                <w:sz w:val="24"/>
                <w:szCs w:val="24"/>
              </w:rPr>
              <w:t>20.有效拉伸空间距离：300mm。</w:t>
            </w:r>
          </w:p>
        </w:tc>
        <w:tc>
          <w:tcPr>
            <w:tcW w:w="632" w:type="dxa"/>
            <w:vAlign w:val="center"/>
          </w:tcPr>
          <w:p>
            <w:pPr>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新能源技术、能源动力测试技术</w:t>
            </w:r>
          </w:p>
        </w:tc>
        <w:tc>
          <w:tcPr>
            <w:tcW w:w="795" w:type="dxa"/>
            <w:vAlign w:val="center"/>
          </w:tcPr>
          <w:p>
            <w:pPr>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11</w:t>
            </w:r>
          </w:p>
        </w:tc>
        <w:tc>
          <w:tcPr>
            <w:tcW w:w="786" w:type="dxa"/>
            <w:vAlign w:val="center"/>
          </w:tcPr>
          <w:p>
            <w:pPr>
              <w:pStyle w:val="10"/>
              <w:rPr>
                <w:rFonts w:hAnsi="宋体" w:cs="宋体"/>
                <w:sz w:val="24"/>
                <w:szCs w:val="24"/>
              </w:rPr>
            </w:pPr>
            <w:r>
              <w:rPr>
                <w:rFonts w:hint="eastAsia" w:hAnsi="宋体" w:cs="宋体"/>
                <w:sz w:val="24"/>
                <w:szCs w:val="24"/>
              </w:rPr>
              <w:t>行星式球磨机</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容量规格100L；</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电压380V，电机功率7.0KW；</w:t>
            </w:r>
          </w:p>
          <w:p>
            <w:pPr>
              <w:snapToGrid w:val="0"/>
              <w:rPr>
                <w:rFonts w:ascii="宋体" w:hAnsi="宋体" w:cs="宋体"/>
                <w:sz w:val="24"/>
                <w:szCs w:val="24"/>
              </w:rPr>
            </w:pPr>
            <w:r>
              <w:rPr>
                <w:rFonts w:hint="eastAsia" w:ascii="宋体" w:hAnsi="宋体" w:cs="宋体"/>
                <w:sz w:val="24"/>
                <w:szCs w:val="24"/>
              </w:rPr>
              <w:t>3. 变频器功率7.5KW；</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 连续运转定时间1-9999（小时）；</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 正反向交替运转周期选择1-9999（min）；</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6. 转速：公转(可调)30-160r/min，自转(可调)60-320 r/min；</w:t>
            </w:r>
          </w:p>
          <w:p>
            <w:pPr>
              <w:snapToGrid w:val="0"/>
              <w:rPr>
                <w:rFonts w:ascii="宋体" w:hAnsi="宋体" w:cs="宋体"/>
                <w:sz w:val="24"/>
                <w:szCs w:val="24"/>
              </w:rPr>
            </w:pPr>
            <w:r>
              <w:rPr>
                <w:rFonts w:hint="eastAsia" w:ascii="宋体" w:hAnsi="宋体" w:cs="宋体"/>
                <w:sz w:val="24"/>
                <w:szCs w:val="24"/>
              </w:rPr>
              <w:t>7. 噪声≤70db。</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10"/>
              <w:rPr>
                <w:rFonts w:hAnsi="宋体" w:cs="宋体"/>
                <w:sz w:val="24"/>
                <w:szCs w:val="24"/>
              </w:rPr>
            </w:pPr>
            <w:r>
              <w:rPr>
                <w:rFonts w:hint="eastAsia" w:hAnsi="宋体" w:cs="宋体"/>
                <w:sz w:val="24"/>
                <w:szCs w:val="24"/>
              </w:rPr>
              <w:t>新能源技术、能源动力测试技术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10"/>
              <w:rPr>
                <w:rFonts w:hAnsi="宋体" w:cs="宋体"/>
                <w:sz w:val="24"/>
                <w:szCs w:val="24"/>
              </w:rPr>
            </w:pPr>
            <w:r>
              <w:rPr>
                <w:rFonts w:hint="eastAsia" w:hAnsi="宋体" w:cs="宋体"/>
                <w:sz w:val="24"/>
                <w:szCs w:val="24"/>
              </w:rPr>
              <w:t>12</w:t>
            </w:r>
          </w:p>
        </w:tc>
        <w:tc>
          <w:tcPr>
            <w:tcW w:w="8065" w:type="dxa"/>
            <w:gridSpan w:val="5"/>
            <w:vAlign w:val="center"/>
          </w:tcPr>
          <w:p>
            <w:pPr>
              <w:rPr>
                <w:rFonts w:ascii="宋体" w:hAnsi="宋体" w:cs="宋体"/>
                <w:b/>
                <w:bCs/>
                <w:sz w:val="24"/>
                <w:szCs w:val="24"/>
              </w:rPr>
            </w:pPr>
            <w:r>
              <w:rPr>
                <w:rFonts w:hint="eastAsia" w:ascii="宋体" w:hAnsi="宋体" w:cs="宋体"/>
                <w:b/>
                <w:bCs/>
                <w:sz w:val="24"/>
                <w:szCs w:val="24"/>
              </w:rPr>
              <w:t>12.1电源</w:t>
            </w:r>
          </w:p>
          <w:p>
            <w:pPr>
              <w:rPr>
                <w:rFonts w:ascii="宋体" w:hAnsi="宋体" w:cs="宋体"/>
                <w:sz w:val="24"/>
                <w:szCs w:val="24"/>
              </w:rPr>
            </w:pPr>
            <w:r>
              <w:rPr>
                <w:rFonts w:hint="eastAsia" w:ascii="宋体" w:hAnsi="宋体" w:cs="宋体"/>
                <w:sz w:val="24"/>
                <w:szCs w:val="24"/>
              </w:rPr>
              <w:t>1）保证输入220/380伏交流电压， &lt;10%的输入电压波动,室内电源要求具备无电流载荷实际安全地线，电阻应小于1欧姆.避免其它大功率设备共用,并配置足够大功率的净化稳压电源或在线UPS不间断电源；</w:t>
            </w:r>
          </w:p>
          <w:p>
            <w:pPr>
              <w:rPr>
                <w:rFonts w:ascii="宋体" w:hAnsi="宋体" w:cs="宋体"/>
                <w:sz w:val="24"/>
                <w:szCs w:val="24"/>
              </w:rPr>
            </w:pPr>
            <w:r>
              <w:rPr>
                <w:rFonts w:hint="eastAsia" w:ascii="宋体" w:hAnsi="宋体" w:cs="宋体"/>
                <w:sz w:val="24"/>
                <w:szCs w:val="24"/>
              </w:rPr>
              <w:t>2）仪器电源要接地保护。使用万用表交流电压档测量供电线路零线（N）和地线（G）间电压差值，电压差值稳定并小于 1V 。</w:t>
            </w:r>
          </w:p>
          <w:p>
            <w:pPr>
              <w:rPr>
                <w:rFonts w:ascii="宋体" w:hAnsi="宋体" w:cs="宋体"/>
                <w:sz w:val="24"/>
                <w:szCs w:val="24"/>
              </w:rPr>
            </w:pPr>
            <w:r>
              <w:rPr>
                <w:rFonts w:hint="eastAsia" w:ascii="宋体" w:hAnsi="宋体" w:cs="宋体"/>
                <w:b/>
                <w:bCs/>
                <w:sz w:val="24"/>
                <w:szCs w:val="24"/>
              </w:rPr>
              <w:t>12.2 电磁适应性</w:t>
            </w:r>
          </w:p>
          <w:p>
            <w:pPr>
              <w:rPr>
                <w:rFonts w:ascii="宋体" w:hAnsi="宋体" w:cs="宋体"/>
                <w:sz w:val="24"/>
                <w:szCs w:val="24"/>
              </w:rPr>
            </w:pPr>
            <w:r>
              <w:rPr>
                <w:rFonts w:hint="eastAsia" w:ascii="宋体" w:hAnsi="宋体" w:cs="宋体"/>
                <w:sz w:val="24"/>
                <w:szCs w:val="24"/>
              </w:rPr>
              <w:t>尽可能降低或者消除仪器附近暴露的磁场。以防止由此导致的测试问题及仪器故障。</w:t>
            </w:r>
          </w:p>
          <w:p>
            <w:pPr>
              <w:rPr>
                <w:rFonts w:ascii="宋体" w:hAnsi="宋体" w:cs="宋体"/>
                <w:b/>
                <w:bCs/>
                <w:sz w:val="24"/>
                <w:szCs w:val="24"/>
              </w:rPr>
            </w:pPr>
            <w:r>
              <w:rPr>
                <w:rFonts w:hint="eastAsia" w:ascii="宋体" w:hAnsi="宋体" w:cs="宋体"/>
                <w:b/>
                <w:bCs/>
                <w:sz w:val="24"/>
                <w:szCs w:val="24"/>
              </w:rPr>
              <w:t>12.3摆放位置</w:t>
            </w:r>
          </w:p>
          <w:p>
            <w:pPr>
              <w:rPr>
                <w:rFonts w:ascii="宋体" w:hAnsi="宋体" w:cs="宋体"/>
                <w:sz w:val="24"/>
                <w:szCs w:val="24"/>
              </w:rPr>
            </w:pPr>
            <w:r>
              <w:rPr>
                <w:rFonts w:hint="eastAsia" w:ascii="宋体" w:hAnsi="宋体" w:cs="宋体"/>
                <w:sz w:val="24"/>
                <w:szCs w:val="24"/>
              </w:rPr>
              <w:t>1）仪器放置尽量避免台面或者附近存在震动源，以防止由此导致的测试问题及仪器故障;</w:t>
            </w:r>
          </w:p>
          <w:p>
            <w:pPr>
              <w:rPr>
                <w:rFonts w:ascii="宋体" w:hAnsi="宋体" w:cs="宋体"/>
                <w:sz w:val="24"/>
                <w:szCs w:val="24"/>
              </w:rPr>
            </w:pPr>
            <w:r>
              <w:rPr>
                <w:rFonts w:hint="eastAsia" w:ascii="宋体" w:hAnsi="宋体" w:cs="宋体"/>
                <w:sz w:val="24"/>
                <w:szCs w:val="24"/>
              </w:rPr>
              <w:t>2）仪器安装场所不要暴露在过多粉尘或者漂浮的颗粒物中。过多的粉尘和颗粒物可能会通过仪器以及电源盒的冷却排风口进入仪器或者电源盒，有可能损坏仪器系统。</w:t>
            </w:r>
          </w:p>
          <w:p>
            <w:pPr>
              <w:rPr>
                <w:rFonts w:ascii="宋体" w:hAnsi="宋体" w:cs="宋体"/>
                <w:b/>
                <w:bCs/>
                <w:sz w:val="24"/>
                <w:szCs w:val="24"/>
              </w:rPr>
            </w:pPr>
            <w:r>
              <w:rPr>
                <w:rFonts w:hint="eastAsia" w:ascii="宋体" w:hAnsi="宋体" w:cs="宋体"/>
                <w:b/>
                <w:bCs/>
                <w:sz w:val="24"/>
                <w:szCs w:val="24"/>
              </w:rPr>
              <w:t>12.5工作台</w:t>
            </w:r>
          </w:p>
          <w:p>
            <w:pPr>
              <w:rPr>
                <w:rFonts w:ascii="宋体" w:hAnsi="宋体" w:cs="宋体"/>
                <w:sz w:val="24"/>
                <w:szCs w:val="24"/>
              </w:rPr>
            </w:pPr>
            <w:r>
              <w:rPr>
                <w:rFonts w:hint="eastAsia" w:ascii="宋体" w:hAnsi="宋体" w:cs="宋体"/>
                <w:sz w:val="24"/>
                <w:szCs w:val="24"/>
              </w:rPr>
              <w:t>坚固承重,远离窗口,暖气,空调。</w:t>
            </w:r>
          </w:p>
          <w:p>
            <w:pPr>
              <w:rPr>
                <w:rFonts w:ascii="宋体" w:hAnsi="宋体" w:cs="宋体"/>
                <w:b/>
                <w:bCs/>
                <w:sz w:val="24"/>
                <w:szCs w:val="24"/>
              </w:rPr>
            </w:pPr>
            <w:r>
              <w:rPr>
                <w:rFonts w:hint="eastAsia" w:ascii="宋体" w:hAnsi="宋体" w:cs="宋体"/>
                <w:b/>
                <w:bCs/>
                <w:sz w:val="24"/>
                <w:szCs w:val="24"/>
              </w:rPr>
              <w:t>12.6 实验室环境</w:t>
            </w:r>
          </w:p>
          <w:p>
            <w:pPr>
              <w:rPr>
                <w:rFonts w:ascii="宋体" w:hAnsi="宋体" w:cs="宋体"/>
                <w:sz w:val="24"/>
                <w:szCs w:val="24"/>
              </w:rPr>
            </w:pPr>
            <w:r>
              <w:rPr>
                <w:rFonts w:hint="eastAsia" w:ascii="宋体" w:hAnsi="宋体" w:cs="宋体"/>
                <w:sz w:val="24"/>
                <w:szCs w:val="24"/>
              </w:rPr>
              <w:t>1）温度要求：保持仪器工作场所的温度在 16℃到 27℃。温度的变化可能会导致仪器响应值的长期漂移。一旦仪器完成安装，建议让它处于常年开机状态。不要把仪器放在热源，水源及空调排风口附近。</w:t>
            </w:r>
          </w:p>
          <w:p>
            <w:pPr>
              <w:rPr>
                <w:rFonts w:ascii="宋体" w:hAnsi="宋体" w:cs="宋体"/>
                <w:sz w:val="24"/>
                <w:szCs w:val="24"/>
              </w:rPr>
            </w:pPr>
            <w:r>
              <w:rPr>
                <w:rFonts w:hint="eastAsia" w:ascii="宋体" w:hAnsi="宋体" w:cs="宋体"/>
                <w:sz w:val="24"/>
                <w:szCs w:val="24"/>
              </w:rPr>
              <w:t>2）湿度要求：为了使仪器免于受潮并延长使用寿命,建议配备除湿机,室内湿度要求低于 70%。</w:t>
            </w:r>
          </w:p>
          <w:p>
            <w:pPr>
              <w:snapToGrid w:val="0"/>
              <w:spacing w:line="360" w:lineRule="exact"/>
              <w:rPr>
                <w:rFonts w:ascii="宋体" w:hAnsi="宋体" w:cs="宋体"/>
                <w:sz w:val="24"/>
                <w:szCs w:val="24"/>
              </w:rPr>
            </w:pPr>
          </w:p>
        </w:tc>
      </w:tr>
    </w:tbl>
    <w:p>
      <w:pPr>
        <w:pStyle w:val="4"/>
        <w:numPr>
          <w:ilvl w:val="0"/>
          <w:numId w:val="23"/>
        </w:numPr>
        <w:rPr>
          <w:rFonts w:ascii="宋体" w:hAnsi="宋体" w:cs="宋体"/>
          <w:sz w:val="36"/>
          <w:szCs w:val="36"/>
        </w:rPr>
        <w:sectPr>
          <w:footerReference r:id="rId9" w:type="default"/>
          <w:pgSz w:w="11906" w:h="16838"/>
          <w:pgMar w:top="1440" w:right="1803" w:bottom="1440" w:left="1803" w:header="851" w:footer="992" w:gutter="0"/>
          <w:cols w:space="720" w:num="1"/>
          <w:docGrid w:type="lines" w:linePitch="319" w:charSpace="0"/>
        </w:sectPr>
      </w:pPr>
    </w:p>
    <w:p>
      <w:pPr>
        <w:pStyle w:val="4"/>
        <w:numPr>
          <w:ilvl w:val="0"/>
          <w:numId w:val="23"/>
        </w:numPr>
        <w:rPr>
          <w:rFonts w:ascii="宋体" w:hAnsi="宋体" w:cs="宋体"/>
          <w:sz w:val="36"/>
          <w:szCs w:val="36"/>
        </w:rPr>
      </w:pPr>
      <w:r>
        <w:rPr>
          <w:rFonts w:hint="eastAsia" w:ascii="宋体" w:hAnsi="宋体" w:cs="宋体"/>
          <w:sz w:val="36"/>
          <w:szCs w:val="36"/>
        </w:rPr>
        <w:t>合同条款</w:t>
      </w:r>
      <w:bookmarkEnd w:id="64"/>
      <w:bookmarkEnd w:id="65"/>
    </w:p>
    <w:p>
      <w:pPr>
        <w:kinsoku w:val="0"/>
        <w:spacing w:line="400" w:lineRule="exact"/>
        <w:ind w:firstLine="480" w:firstLineChars="200"/>
        <w:rPr>
          <w:rFonts w:ascii="宋体" w:hAnsi="宋体" w:cs="宋体"/>
          <w:sz w:val="24"/>
          <w:szCs w:val="24"/>
          <w:u w:val="single"/>
        </w:rPr>
      </w:pPr>
      <w:r>
        <w:rPr>
          <w:rFonts w:hint="eastAsia" w:ascii="宋体" w:hAnsi="宋体" w:cs="宋体"/>
          <w:sz w:val="24"/>
          <w:szCs w:val="24"/>
        </w:rPr>
        <w:t>甲方：榆林学院</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根据《中华人民共和国民法典》等法律法规，甲方通过竞争性谈判，选定乙方为成交单位。甲、乙双方在平等基础上协商一致，达成如下合同条款：</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cs="宋体"/>
          <w:b/>
          <w:bCs/>
          <w:sz w:val="24"/>
          <w:szCs w:val="24"/>
        </w:rPr>
        <w:t>合同内容</w:t>
      </w:r>
    </w:p>
    <w:tbl>
      <w:tblPr>
        <w:tblStyle w:val="23"/>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32"/>
        <w:gridCol w:w="1006"/>
        <w:gridCol w:w="1303"/>
        <w:gridCol w:w="962"/>
        <w:gridCol w:w="191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序号</w:t>
            </w:r>
          </w:p>
        </w:tc>
        <w:tc>
          <w:tcPr>
            <w:tcW w:w="17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产品名称</w:t>
            </w:r>
          </w:p>
        </w:tc>
        <w:tc>
          <w:tcPr>
            <w:tcW w:w="10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型号</w:t>
            </w:r>
          </w:p>
        </w:tc>
        <w:tc>
          <w:tcPr>
            <w:tcW w:w="1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生产厂家</w:t>
            </w:r>
          </w:p>
        </w:tc>
        <w:tc>
          <w:tcPr>
            <w:tcW w:w="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数量</w:t>
            </w:r>
          </w:p>
        </w:tc>
        <w:tc>
          <w:tcPr>
            <w:tcW w:w="1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单价</w:t>
            </w:r>
          </w:p>
        </w:tc>
        <w:tc>
          <w:tcPr>
            <w:tcW w:w="8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1</w:t>
            </w:r>
          </w:p>
        </w:tc>
        <w:tc>
          <w:tcPr>
            <w:tcW w:w="17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0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4"/>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7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0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4"/>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7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4"/>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5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总计（人民币/元）</w:t>
            </w:r>
          </w:p>
        </w:tc>
        <w:tc>
          <w:tcPr>
            <w:tcW w:w="608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sz w:val="24"/>
              </w:rPr>
            </w:pPr>
            <w:r>
              <w:rPr>
                <w:rFonts w:hint="eastAsia" w:ascii="宋体" w:hAnsi="宋体" w:cs="宋体"/>
                <w:b/>
                <w:sz w:val="24"/>
              </w:rPr>
              <w:t>￥：       （大写）</w:t>
            </w:r>
          </w:p>
        </w:tc>
      </w:tr>
    </w:tbl>
    <w:p>
      <w:pPr>
        <w:kinsoku w:val="0"/>
        <w:spacing w:line="400" w:lineRule="exact"/>
        <w:ind w:firstLine="480" w:firstLineChars="200"/>
        <w:rPr>
          <w:rFonts w:ascii="宋体" w:hAnsi="宋体" w:cs="宋体"/>
        </w:rPr>
      </w:pPr>
      <w:r>
        <w:rPr>
          <w:rFonts w:hint="eastAsia" w:ascii="宋体" w:hAnsi="宋体" w:cs="宋体"/>
          <w:sz w:val="24"/>
          <w:szCs w:val="24"/>
        </w:rPr>
        <w:t>乙方负责按合同供货清单确定的物品规格、包装及配套内容进行供货，确保产品无质量问题，做好售后服务工作。</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二、合同价格</w:t>
      </w:r>
    </w:p>
    <w:p>
      <w:pPr>
        <w:kinsoku w:val="0"/>
        <w:spacing w:line="360" w:lineRule="auto"/>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合同总价包括所发生的运输费、杂费（含保险）、商检费、搬运费、人工费、发放及调换货费用等，包括从产品供应地到交货地点所包含的一切费用。</w:t>
      </w:r>
    </w:p>
    <w:p>
      <w:pPr>
        <w:numPr>
          <w:ilvl w:val="0"/>
          <w:numId w:val="24"/>
        </w:numPr>
        <w:spacing w:line="400" w:lineRule="exact"/>
        <w:ind w:firstLine="482" w:firstLineChars="200"/>
        <w:rPr>
          <w:rFonts w:ascii="宋体" w:hAnsi="宋体" w:cs="宋体"/>
          <w:b/>
          <w:bCs/>
          <w:sz w:val="24"/>
          <w:szCs w:val="24"/>
        </w:rPr>
      </w:pPr>
      <w:r>
        <w:rPr>
          <w:rFonts w:hint="eastAsia" w:ascii="宋体" w:hAnsi="宋体" w:cs="宋体"/>
          <w:b/>
          <w:bCs/>
          <w:sz w:val="24"/>
          <w:szCs w:val="24"/>
        </w:rPr>
        <w:t>款项支付</w:t>
      </w:r>
    </w:p>
    <w:p>
      <w:pPr>
        <w:spacing w:line="400" w:lineRule="exact"/>
        <w:ind w:firstLine="480" w:firstLineChars="200"/>
        <w:rPr>
          <w:rFonts w:hint="eastAsia" w:ascii="宋体" w:hAnsi="宋体" w:cs="宋体"/>
          <w:bCs/>
          <w:sz w:val="24"/>
          <w:szCs w:val="24"/>
        </w:rPr>
      </w:pPr>
      <w:r>
        <w:rPr>
          <w:rFonts w:hint="eastAsia" w:ascii="宋体" w:hAnsi="宋体" w:cs="宋体"/>
          <w:bCs/>
          <w:sz w:val="24"/>
          <w:szCs w:val="24"/>
        </w:rPr>
        <w:t>付款方式：本项目须在 2022年12月30日前签订合同：本项目为专项贴息贷款项目，为保证项目顺利实施，中标人需与贷款银行开设监管账户、签署监管协议。</w:t>
      </w:r>
    </w:p>
    <w:p>
      <w:pPr>
        <w:spacing w:line="400" w:lineRule="exact"/>
        <w:ind w:firstLine="480" w:firstLineChars="200"/>
        <w:rPr>
          <w:rFonts w:hint="eastAsia" w:ascii="宋体" w:hAnsi="宋体" w:cs="宋体"/>
          <w:bCs/>
          <w:sz w:val="24"/>
          <w:szCs w:val="24"/>
        </w:rPr>
      </w:pPr>
      <w:r>
        <w:rPr>
          <w:rFonts w:hint="eastAsia" w:ascii="宋体" w:hAnsi="宋体" w:cs="宋体"/>
          <w:bCs/>
          <w:sz w:val="24"/>
          <w:szCs w:val="24"/>
        </w:rPr>
        <w:t>合同签订后贷款银行将100%合同价款转入监管账户，项目验收合格后解付监管账户。</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四、交货条件：</w:t>
      </w:r>
    </w:p>
    <w:p>
      <w:pPr>
        <w:spacing w:line="400" w:lineRule="exact"/>
        <w:ind w:firstLine="480" w:firstLineChars="200"/>
        <w:rPr>
          <w:rFonts w:ascii="宋体" w:hAnsi="宋体" w:cs="宋体"/>
          <w:bCs/>
          <w:sz w:val="24"/>
        </w:rPr>
      </w:pPr>
      <w:r>
        <w:rPr>
          <w:rFonts w:hint="eastAsia" w:ascii="宋体" w:hAnsi="宋体" w:cs="宋体"/>
          <w:bCs/>
          <w:sz w:val="24"/>
        </w:rPr>
        <w:t>1.交货期：_____________________；</w:t>
      </w:r>
    </w:p>
    <w:p>
      <w:pPr>
        <w:spacing w:line="360" w:lineRule="auto"/>
        <w:ind w:firstLine="480" w:firstLineChars="200"/>
        <w:rPr>
          <w:rFonts w:ascii="宋体" w:hAnsi="宋体" w:cs="宋体"/>
          <w:bCs/>
          <w:sz w:val="24"/>
          <w:szCs w:val="24"/>
        </w:rPr>
      </w:pPr>
      <w:r>
        <w:rPr>
          <w:rFonts w:hint="eastAsia" w:ascii="宋体" w:hAnsi="宋体" w:cs="宋体"/>
          <w:bCs/>
          <w:sz w:val="24"/>
        </w:rPr>
        <w:t>2.交货具体地点：</w:t>
      </w:r>
      <w:r>
        <w:rPr>
          <w:rFonts w:hint="eastAsia" w:ascii="宋体" w:hAnsi="宋体" w:cs="宋体"/>
          <w:sz w:val="24"/>
          <w:szCs w:val="24"/>
        </w:rPr>
        <w:t>榆林学院指定地点</w:t>
      </w:r>
    </w:p>
    <w:p>
      <w:pPr>
        <w:spacing w:line="400" w:lineRule="exact"/>
        <w:ind w:firstLine="482" w:firstLineChars="200"/>
        <w:rPr>
          <w:rFonts w:ascii="宋体" w:hAnsi="宋体" w:cs="宋体"/>
          <w:b/>
          <w:sz w:val="24"/>
        </w:rPr>
      </w:pPr>
      <w:r>
        <w:rPr>
          <w:rFonts w:hint="eastAsia" w:ascii="宋体" w:hAnsi="宋体" w:cs="宋体"/>
          <w:b/>
          <w:sz w:val="24"/>
        </w:rPr>
        <w:t>五、运输方式：</w:t>
      </w:r>
      <w:r>
        <w:rPr>
          <w:rFonts w:hint="eastAsia" w:ascii="宋体" w:hAnsi="宋体" w:cs="宋体"/>
          <w:sz w:val="24"/>
        </w:rPr>
        <w:t>根据产品特性，由乙方在保证产品质量的前提下，自行选择运输及包装方式，发生的一切费用全部由乙方承担。</w:t>
      </w:r>
    </w:p>
    <w:p>
      <w:pPr>
        <w:adjustRightInd w:val="0"/>
        <w:snapToGrid w:val="0"/>
        <w:spacing w:line="400" w:lineRule="exact"/>
        <w:ind w:firstLine="482" w:firstLineChars="200"/>
        <w:rPr>
          <w:rFonts w:ascii="宋体" w:hAnsi="宋体" w:cs="宋体"/>
          <w:b/>
          <w:sz w:val="24"/>
        </w:rPr>
      </w:pPr>
      <w:r>
        <w:rPr>
          <w:rFonts w:hint="eastAsia" w:ascii="宋体" w:hAnsi="宋体" w:cs="宋体"/>
          <w:b/>
          <w:sz w:val="24"/>
        </w:rPr>
        <w:t>六、质量保证</w:t>
      </w:r>
    </w:p>
    <w:p>
      <w:pPr>
        <w:wordWrap w:val="0"/>
        <w:spacing w:line="360" w:lineRule="auto"/>
        <w:ind w:firstLine="480" w:firstLineChars="200"/>
        <w:rPr>
          <w:rFonts w:ascii="宋体" w:hAnsi="宋体"/>
          <w:sz w:val="24"/>
        </w:rPr>
      </w:pPr>
      <w:r>
        <w:rPr>
          <w:rFonts w:hint="eastAsia" w:ascii="宋体" w:hAnsi="宋体"/>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pPr>
        <w:adjustRightInd w:val="0"/>
        <w:snapToGrid w:val="0"/>
        <w:spacing w:line="400" w:lineRule="exact"/>
        <w:ind w:firstLine="480" w:firstLineChars="200"/>
        <w:rPr>
          <w:rFonts w:ascii="宋体" w:hAnsi="宋体"/>
          <w:spacing w:val="-6"/>
          <w:sz w:val="24"/>
        </w:rPr>
      </w:pPr>
      <w:r>
        <w:rPr>
          <w:rFonts w:hint="eastAsia" w:ascii="宋体" w:hAnsi="宋体"/>
          <w:sz w:val="24"/>
        </w:rPr>
        <w:t>2、</w:t>
      </w:r>
      <w:r>
        <w:rPr>
          <w:rFonts w:hint="eastAsia" w:ascii="宋体" w:hAnsi="宋体"/>
          <w:spacing w:val="-6"/>
          <w:sz w:val="24"/>
        </w:rPr>
        <w:t>在质保期内，如果发现货物的质量、规格、技术指标等存在与合同中任何一项不符，由乙方负责调整更换维修，费用自行承担。</w:t>
      </w:r>
    </w:p>
    <w:p>
      <w:pPr>
        <w:adjustRightInd w:val="0"/>
        <w:snapToGrid w:val="0"/>
        <w:spacing w:line="400" w:lineRule="exact"/>
        <w:ind w:firstLine="482" w:firstLineChars="200"/>
        <w:rPr>
          <w:rFonts w:ascii="宋体" w:hAnsi="宋体" w:cs="宋体"/>
          <w:b/>
          <w:sz w:val="24"/>
        </w:rPr>
      </w:pPr>
      <w:r>
        <w:rPr>
          <w:rFonts w:hint="eastAsia" w:ascii="宋体" w:hAnsi="宋体" w:cs="宋体"/>
          <w:b/>
          <w:sz w:val="24"/>
        </w:rPr>
        <w:t>七、质保期与承诺</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bCs/>
          <w:sz w:val="24"/>
        </w:rPr>
        <w:t>项目质保期：____________________________</w:t>
      </w:r>
      <w:r>
        <w:rPr>
          <w:rFonts w:hint="eastAsia" w:ascii="宋体" w:hAnsi="宋体" w:cs="宋体"/>
          <w:sz w:val="24"/>
          <w:szCs w:val="24"/>
        </w:rPr>
        <w:t>；</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2、质保期内，若发生产品质量问题，乙方应免费解决。</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3、超过质保期的维修服务，按照厂家承诺进行。</w:t>
      </w:r>
    </w:p>
    <w:p>
      <w:pPr>
        <w:adjustRightInd w:val="0"/>
        <w:snapToGrid w:val="0"/>
        <w:spacing w:line="400" w:lineRule="exact"/>
        <w:ind w:firstLine="359" w:firstLineChars="149"/>
        <w:rPr>
          <w:rFonts w:ascii="宋体" w:hAnsi="宋体" w:cs="宋体"/>
          <w:b/>
          <w:sz w:val="24"/>
          <w:szCs w:val="24"/>
        </w:rPr>
      </w:pPr>
      <w:r>
        <w:rPr>
          <w:rFonts w:hint="eastAsia" w:ascii="宋体" w:hAnsi="宋体" w:cs="宋体"/>
          <w:b/>
          <w:sz w:val="24"/>
        </w:rPr>
        <w:t>八、</w:t>
      </w:r>
      <w:r>
        <w:rPr>
          <w:rFonts w:hint="eastAsia" w:ascii="宋体" w:hAnsi="宋体" w:cs="宋体"/>
          <w:b/>
          <w:sz w:val="24"/>
          <w:szCs w:val="24"/>
        </w:rPr>
        <w:t>技术支持、培训和售后服务和验收</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厂家现场服务人员的任务主要包括货物的开箱检验、设备质量问题的处理、指导安装和调试、参加试运和性能验收试验。</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按照生产厂提供的技术指标及标书要求验收设备。同时提供设备出厂检验报告和质量合格证书。</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厂家负责制定对使用人员在运行、维护和试验等方面的培训计划；向待培人员提供培训必须的技术资料（包括标准规范）、图纸和教材；</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指派专门人员实施培训计划，负责指导学员正确理解设计意图，认识设备的特点和特性，掌握在运行、维修和管理中要遵守的规则等方面的综合知识；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设备厂家终生对软件提供免费升级。</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备品备件保证以最低价供货。</w:t>
      </w:r>
    </w:p>
    <w:p>
      <w:pPr>
        <w:tabs>
          <w:tab w:val="left" w:pos="5355"/>
        </w:tabs>
        <w:spacing w:line="400" w:lineRule="exact"/>
        <w:ind w:firstLine="506" w:firstLineChars="210"/>
        <w:rPr>
          <w:rFonts w:ascii="宋体" w:hAnsi="宋体" w:cs="宋体"/>
          <w:b/>
          <w:sz w:val="24"/>
        </w:rPr>
      </w:pPr>
      <w:r>
        <w:rPr>
          <w:rFonts w:hint="eastAsia" w:ascii="宋体" w:hAnsi="宋体" w:cs="宋体"/>
          <w:b/>
          <w:sz w:val="24"/>
        </w:rPr>
        <w:t>九、违约责任：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1、按《中华人民共和国民法典》中的相关条款执行。</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2、若乙方出现不能供货等违约情况、未按合同要求提供产品或设备质量不能满足招标的技术要求，甲方有权终止合同，并保留追究乙方违约责任的权利。</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4、因供货期迟延的，乙方按照每天1‰向甲方承担违约责任。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5、因产品质量问题违约的，除了按照迟延时间计算违约金外，另可以采取退货、换货等方式，由乙方承担一切费用。</w:t>
      </w:r>
    </w:p>
    <w:p>
      <w:pPr>
        <w:tabs>
          <w:tab w:val="left" w:pos="5355"/>
        </w:tabs>
        <w:spacing w:line="400" w:lineRule="exact"/>
        <w:ind w:firstLine="482" w:firstLineChars="200"/>
        <w:rPr>
          <w:rFonts w:ascii="宋体" w:hAnsi="宋体" w:cs="宋体"/>
          <w:b/>
          <w:sz w:val="24"/>
        </w:rPr>
      </w:pPr>
      <w:r>
        <w:rPr>
          <w:rFonts w:hint="eastAsia" w:ascii="宋体" w:hAnsi="宋体" w:cs="宋体"/>
          <w:b/>
          <w:sz w:val="24"/>
        </w:rPr>
        <w:t>十、合同争议的解决：</w:t>
      </w:r>
    </w:p>
    <w:p>
      <w:pPr>
        <w:tabs>
          <w:tab w:val="left" w:pos="5355"/>
        </w:tabs>
        <w:spacing w:line="400" w:lineRule="exact"/>
        <w:ind w:firstLine="480" w:firstLineChars="200"/>
        <w:rPr>
          <w:rFonts w:ascii="宋体" w:hAnsi="宋体" w:cs="宋体"/>
          <w:b/>
          <w:sz w:val="24"/>
        </w:rPr>
      </w:pPr>
      <w:r>
        <w:rPr>
          <w:rFonts w:hint="eastAsia" w:ascii="宋体" w:hAnsi="宋体" w:cs="宋体"/>
          <w:sz w:val="24"/>
        </w:rPr>
        <w:t>合同一经签订，不得随意变更、中止或终止。对确需变更、调整或者中止、终止合同的，应按规定履行相应的手续。</w:t>
      </w:r>
    </w:p>
    <w:p>
      <w:pPr>
        <w:tabs>
          <w:tab w:val="left" w:pos="5355"/>
        </w:tabs>
        <w:spacing w:line="400" w:lineRule="exact"/>
        <w:ind w:firstLine="480" w:firstLineChars="200"/>
        <w:rPr>
          <w:rFonts w:ascii="宋体" w:hAnsi="宋体" w:cs="宋体"/>
          <w:sz w:val="24"/>
        </w:rPr>
      </w:pPr>
      <w:r>
        <w:rPr>
          <w:rFonts w:hint="eastAsia" w:ascii="宋体" w:hAnsi="宋体" w:cs="宋体"/>
          <w:sz w:val="24"/>
        </w:rPr>
        <w:t>合同执行中发生争议的，甲、乙双方应协商解决，协商达不成一致时，可向甲方所在地人民法院提请诉讼。</w:t>
      </w:r>
    </w:p>
    <w:p>
      <w:pPr>
        <w:tabs>
          <w:tab w:val="left" w:pos="5355"/>
        </w:tabs>
        <w:spacing w:line="400" w:lineRule="exact"/>
        <w:ind w:firstLine="482" w:firstLineChars="200"/>
        <w:rPr>
          <w:rFonts w:ascii="宋体" w:hAnsi="宋体" w:cs="宋体"/>
          <w:b/>
          <w:sz w:val="24"/>
        </w:rPr>
      </w:pPr>
      <w:r>
        <w:rPr>
          <w:rFonts w:hint="eastAsia" w:ascii="宋体" w:hAnsi="宋体" w:cs="宋体"/>
          <w:b/>
          <w:sz w:val="24"/>
        </w:rPr>
        <w:t>十一、其它事项</w:t>
      </w:r>
    </w:p>
    <w:p>
      <w:pPr>
        <w:adjustRightInd w:val="0"/>
        <w:snapToGrid w:val="0"/>
        <w:spacing w:line="400" w:lineRule="exact"/>
        <w:ind w:firstLine="600" w:firstLineChars="250"/>
        <w:rPr>
          <w:rFonts w:ascii="宋体" w:hAnsi="宋体" w:cs="宋体"/>
          <w:sz w:val="24"/>
        </w:rPr>
      </w:pPr>
      <w:r>
        <w:rPr>
          <w:rFonts w:hint="eastAsia" w:ascii="宋体" w:hAnsi="宋体" w:cs="宋体"/>
          <w:sz w:val="24"/>
        </w:rPr>
        <w:t>1、甲、乙双方作为合同执行的主体，有义务及时完全履行合同。本项目招标代理机构监督履行。</w:t>
      </w:r>
    </w:p>
    <w:p>
      <w:pPr>
        <w:adjustRightInd w:val="0"/>
        <w:snapToGrid w:val="0"/>
        <w:spacing w:line="400" w:lineRule="exact"/>
        <w:ind w:firstLine="600" w:firstLineChars="250"/>
        <w:rPr>
          <w:rFonts w:ascii="宋体" w:hAnsi="宋体" w:cs="宋体"/>
          <w:sz w:val="24"/>
        </w:rPr>
      </w:pPr>
      <w:r>
        <w:rPr>
          <w:rFonts w:hint="eastAsia" w:ascii="宋体" w:hAnsi="宋体" w:cs="宋体"/>
          <w:sz w:val="24"/>
        </w:rPr>
        <w:t>2、合同未尽事宜，由甲、乙双方协商，协商方案作为本合同不可分割的组成部分，与本合同具有同等法律效力。</w:t>
      </w:r>
    </w:p>
    <w:p>
      <w:pPr>
        <w:adjustRightInd w:val="0"/>
        <w:snapToGrid w:val="0"/>
        <w:spacing w:line="400" w:lineRule="exact"/>
        <w:ind w:firstLine="600" w:firstLineChars="250"/>
        <w:rPr>
          <w:rFonts w:ascii="宋体" w:hAnsi="宋体" w:cs="宋体"/>
          <w:sz w:val="24"/>
        </w:rPr>
      </w:pPr>
      <w:r>
        <w:rPr>
          <w:rFonts w:hint="eastAsia" w:ascii="宋体" w:hAnsi="宋体" w:cs="宋体"/>
          <w:sz w:val="24"/>
        </w:rPr>
        <w:t>3、谈判文件和乙方的响应文件以及合同附件均为合同不可分割的部分。</w:t>
      </w:r>
    </w:p>
    <w:p>
      <w:pPr>
        <w:adjustRightInd w:val="0"/>
        <w:snapToGrid w:val="0"/>
        <w:spacing w:line="400" w:lineRule="exact"/>
        <w:ind w:firstLine="600" w:firstLineChars="250"/>
        <w:rPr>
          <w:rFonts w:ascii="宋体" w:hAnsi="宋体" w:cs="宋体"/>
          <w:sz w:val="24"/>
        </w:rPr>
      </w:pPr>
      <w:r>
        <w:rPr>
          <w:rFonts w:hint="eastAsia" w:ascii="宋体" w:hAnsi="宋体" w:cs="宋体"/>
          <w:sz w:val="24"/>
        </w:rPr>
        <w:t>4、合同一式陆份，甲方持肆份、乙方执壹份，招标代理机构壹份。双方签字盖章后生效，合同执行完毕自动失效。（合同的服务承诺长期有效）。</w:t>
      </w:r>
    </w:p>
    <w:p>
      <w:pPr>
        <w:tabs>
          <w:tab w:val="left" w:pos="5355"/>
        </w:tabs>
        <w:spacing w:line="400" w:lineRule="exact"/>
        <w:rPr>
          <w:rFonts w:ascii="宋体" w:hAnsi="宋体" w:cs="宋体"/>
          <w:sz w:val="24"/>
        </w:rPr>
      </w:pPr>
      <w:r>
        <w:rPr>
          <w:rFonts w:hint="eastAsia" w:ascii="宋体" w:hAnsi="宋体" w:cs="宋体"/>
          <w:sz w:val="24"/>
        </w:rPr>
        <w:t xml:space="preserve">     5、甲方收货、验货人员：____________  电话：_______________</w:t>
      </w:r>
    </w:p>
    <w:p>
      <w:pPr>
        <w:tabs>
          <w:tab w:val="left" w:pos="5355"/>
        </w:tabs>
        <w:spacing w:line="312" w:lineRule="auto"/>
        <w:ind w:firstLine="480" w:firstLineChars="200"/>
        <w:rPr>
          <w:rFonts w:ascii="宋体" w:hAnsi="宋体" w:cs="宋体"/>
          <w:sz w:val="24"/>
          <w:szCs w:val="24"/>
        </w:rPr>
      </w:pPr>
      <w:r>
        <w:rPr>
          <w:rFonts w:hint="eastAsia" w:ascii="宋体" w:hAnsi="宋体" w:cs="宋体"/>
          <w:color w:val="000000"/>
          <w:sz w:val="24"/>
          <w:szCs w:val="24"/>
        </w:rPr>
        <w:t>甲  方：   　                        乙  方：</w:t>
      </w:r>
      <w:r>
        <w:rPr>
          <w:rFonts w:hint="eastAsia" w:ascii="宋体" w:hAnsi="宋体" w:cs="宋体"/>
          <w:sz w:val="24"/>
          <w:szCs w:val="24"/>
        </w:rPr>
        <w:t xml:space="preserve"> </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 xml:space="preserve">地　址:                              地　址： </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代理人：　　　　　　　　　　　　　 　代理人：</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技术确认：                           技术确认：</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联系电话：                           联系电话：</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 xml:space="preserve">开户行：                             开户行： </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账号：                               账号：</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时间：                               时间：</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鉴定方：陕西卓佲项目管理有限公司</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代理人：</w:t>
      </w:r>
    </w:p>
    <w:p>
      <w:pPr>
        <w:tabs>
          <w:tab w:val="left" w:pos="5355"/>
        </w:tabs>
        <w:spacing w:line="312" w:lineRule="auto"/>
        <w:ind w:firstLine="480" w:firstLineChars="200"/>
        <w:rPr>
          <w:rFonts w:ascii="宋体" w:hAnsi="宋体" w:cs="宋体"/>
          <w:sz w:val="24"/>
          <w:szCs w:val="24"/>
        </w:rPr>
      </w:pPr>
      <w:r>
        <w:rPr>
          <w:rFonts w:hint="eastAsia" w:ascii="宋体" w:hAnsi="宋体" w:cs="宋体"/>
          <w:sz w:val="24"/>
          <w:szCs w:val="24"/>
        </w:rPr>
        <w:t xml:space="preserve">联系电话： </w:t>
      </w:r>
    </w:p>
    <w:p>
      <w:pPr>
        <w:tabs>
          <w:tab w:val="left" w:pos="5355"/>
        </w:tabs>
        <w:spacing w:line="312" w:lineRule="auto"/>
        <w:ind w:firstLine="480" w:firstLineChars="200"/>
        <w:rPr>
          <w:rFonts w:ascii="宋体" w:hAnsi="宋体" w:cs="宋体"/>
        </w:rPr>
      </w:pPr>
      <w:r>
        <w:rPr>
          <w:rFonts w:hint="eastAsia" w:ascii="宋体" w:hAnsi="宋体" w:cs="宋体"/>
          <w:sz w:val="24"/>
          <w:szCs w:val="24"/>
        </w:rPr>
        <w:t>时间：</w:t>
      </w:r>
    </w:p>
    <w:p>
      <w:pPr>
        <w:pStyle w:val="4"/>
        <w:keepNext w:val="0"/>
        <w:pageBreakBefore/>
        <w:rPr>
          <w:rFonts w:ascii="宋体" w:hAnsi="宋体" w:cs="宋体"/>
        </w:rPr>
      </w:pPr>
      <w:bookmarkStart w:id="67" w:name="_Toc2352"/>
      <w:r>
        <w:rPr>
          <w:rFonts w:hint="eastAsia" w:ascii="宋体" w:hAnsi="宋体" w:cs="宋体"/>
        </w:rPr>
        <w:t>第七部分  响应文件格式</w:t>
      </w:r>
      <w:bookmarkEnd w:id="66"/>
      <w:bookmarkEnd w:id="67"/>
    </w:p>
    <w:p>
      <w:pPr>
        <w:adjustRightInd w:val="0"/>
        <w:snapToGrid w:val="0"/>
        <w:spacing w:line="400" w:lineRule="exact"/>
        <w:jc w:val="left"/>
        <w:rPr>
          <w:rFonts w:ascii="宋体" w:hAnsi="宋体" w:cs="宋体"/>
          <w:b/>
          <w:w w:val="120"/>
          <w:sz w:val="28"/>
          <w:szCs w:val="28"/>
        </w:rPr>
      </w:pPr>
      <w:r>
        <w:rPr>
          <w:rFonts w:hint="eastAsia" w:ascii="宋体" w:hAnsi="宋体" w:cs="宋体"/>
          <w:b/>
          <w:w w:val="120"/>
          <w:sz w:val="28"/>
          <w:szCs w:val="28"/>
        </w:rPr>
        <w:t>项目编号：ZMZB2022YLXY-387   （正本或副本）</w:t>
      </w:r>
    </w:p>
    <w:p>
      <w:pPr>
        <w:adjustRightInd w:val="0"/>
        <w:snapToGrid w:val="0"/>
        <w:spacing w:line="360" w:lineRule="auto"/>
        <w:jc w:val="left"/>
        <w:rPr>
          <w:rFonts w:ascii="宋体" w:hAnsi="宋体" w:cs="宋体"/>
          <w:bCs/>
          <w:spacing w:val="-34"/>
          <w:w w:val="120"/>
          <w:sz w:val="34"/>
        </w:rPr>
      </w:pPr>
    </w:p>
    <w:p>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榆林学院</w:t>
      </w:r>
    </w:p>
    <w:p>
      <w:pPr>
        <w:adjustRightInd w:val="0"/>
        <w:snapToGrid w:val="0"/>
        <w:spacing w:line="360" w:lineRule="auto"/>
        <w:jc w:val="center"/>
        <w:rPr>
          <w:rFonts w:ascii="宋体" w:hAnsi="宋体" w:cs="宋体"/>
          <w:b/>
          <w:sz w:val="56"/>
          <w:szCs w:val="48"/>
        </w:rPr>
      </w:pPr>
      <w:r>
        <w:rPr>
          <w:rFonts w:hint="eastAsia" w:ascii="宋体" w:hAnsi="宋体" w:cs="宋体"/>
          <w:b/>
          <w:bCs/>
          <w:sz w:val="56"/>
          <w:szCs w:val="56"/>
        </w:rPr>
        <w:t>能源系统优化科研平台设备购置项目</w:t>
      </w:r>
    </w:p>
    <w:p>
      <w:pPr>
        <w:adjustRightInd w:val="0"/>
        <w:snapToGrid w:val="0"/>
        <w:spacing w:line="480" w:lineRule="auto"/>
        <w:jc w:val="center"/>
        <w:rPr>
          <w:rFonts w:ascii="宋体" w:hAnsi="宋体" w:cs="宋体"/>
          <w:b/>
          <w:sz w:val="56"/>
          <w:szCs w:val="56"/>
        </w:rPr>
      </w:pPr>
      <w:r>
        <w:rPr>
          <w:rFonts w:hint="eastAsia" w:ascii="宋体" w:hAnsi="宋体" w:cs="宋体"/>
          <w:b/>
          <w:sz w:val="56"/>
          <w:szCs w:val="56"/>
        </w:rPr>
        <w:t>响</w:t>
      </w:r>
    </w:p>
    <w:p>
      <w:pPr>
        <w:adjustRightInd w:val="0"/>
        <w:snapToGrid w:val="0"/>
        <w:spacing w:line="480" w:lineRule="auto"/>
        <w:jc w:val="center"/>
        <w:rPr>
          <w:rFonts w:ascii="宋体" w:hAnsi="宋体" w:cs="宋体"/>
          <w:b/>
          <w:sz w:val="56"/>
          <w:szCs w:val="56"/>
        </w:rPr>
      </w:pPr>
      <w:r>
        <w:rPr>
          <w:rFonts w:hint="eastAsia" w:ascii="宋体" w:hAnsi="宋体" w:cs="宋体"/>
          <w:b/>
          <w:sz w:val="56"/>
          <w:szCs w:val="56"/>
        </w:rPr>
        <w:t>应</w:t>
      </w:r>
    </w:p>
    <w:p>
      <w:pPr>
        <w:adjustRightInd w:val="0"/>
        <w:snapToGrid w:val="0"/>
        <w:spacing w:line="480" w:lineRule="auto"/>
        <w:jc w:val="center"/>
        <w:rPr>
          <w:rFonts w:ascii="宋体" w:hAnsi="宋体" w:cs="宋体"/>
          <w:b/>
          <w:sz w:val="72"/>
          <w:szCs w:val="72"/>
        </w:rPr>
      </w:pPr>
      <w:r>
        <w:rPr>
          <w:rFonts w:hint="eastAsia" w:ascii="宋体" w:hAnsi="宋体" w:cs="宋体"/>
          <w:b/>
          <w:sz w:val="56"/>
          <w:szCs w:val="56"/>
        </w:rPr>
        <w:t>文</w:t>
      </w:r>
    </w:p>
    <w:p>
      <w:pPr>
        <w:adjustRightInd w:val="0"/>
        <w:snapToGrid w:val="0"/>
        <w:spacing w:line="480" w:lineRule="auto"/>
        <w:jc w:val="center"/>
        <w:rPr>
          <w:rFonts w:ascii="宋体" w:hAnsi="宋体" w:cs="宋体"/>
          <w:b/>
          <w:sz w:val="56"/>
          <w:szCs w:val="56"/>
        </w:rPr>
      </w:pPr>
      <w:r>
        <w:rPr>
          <w:rFonts w:hint="eastAsia" w:ascii="宋体" w:hAnsi="宋体" w:cs="宋体"/>
          <w:b/>
          <w:sz w:val="56"/>
          <w:szCs w:val="56"/>
        </w:rPr>
        <w:t>件</w:t>
      </w: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cs="宋体"/>
          <w:b/>
          <w:sz w:val="50"/>
        </w:rPr>
      </w:pPr>
      <w:r>
        <w:rPr>
          <w:rFonts w:hint="eastAsia" w:ascii="宋体" w:hAnsi="宋体" w:cs="宋体"/>
          <w:b/>
          <w:sz w:val="50"/>
        </w:rPr>
        <w:t>目录</w:t>
      </w:r>
    </w:p>
    <w:p>
      <w:pPr>
        <w:ind w:firstLine="1004" w:firstLineChars="200"/>
        <w:jc w:val="left"/>
        <w:rPr>
          <w:rFonts w:ascii="宋体" w:hAnsi="宋体" w:cs="宋体"/>
          <w:b/>
          <w:sz w:val="50"/>
        </w:rPr>
      </w:pPr>
    </w:p>
    <w:p>
      <w:pPr>
        <w:pStyle w:val="10"/>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响应函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 xml:space="preserve">第二部分   响应一览表 </w:t>
      </w:r>
    </w:p>
    <w:p>
      <w:pPr>
        <w:pStyle w:val="10"/>
        <w:snapToGrid w:val="0"/>
        <w:spacing w:line="480" w:lineRule="auto"/>
        <w:ind w:firstLine="562" w:firstLineChars="200"/>
        <w:jc w:val="left"/>
        <w:rPr>
          <w:rFonts w:hAnsi="宋体" w:cs="宋体"/>
          <w:b/>
          <w:kern w:val="0"/>
          <w:sz w:val="28"/>
          <w:szCs w:val="28"/>
        </w:rPr>
      </w:pPr>
      <w:r>
        <w:rPr>
          <w:rFonts w:hint="eastAsia" w:hAnsi="宋体" w:cs="宋体"/>
          <w:b/>
          <w:kern w:val="0"/>
          <w:sz w:val="28"/>
          <w:szCs w:val="28"/>
        </w:rPr>
        <w:t>第三部分   商务及技术响应说明</w:t>
      </w:r>
    </w:p>
    <w:p>
      <w:pPr>
        <w:pStyle w:val="10"/>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0"/>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  </w:t>
      </w:r>
    </w:p>
    <w:p>
      <w:pPr>
        <w:pStyle w:val="5"/>
        <w:pageBreakBefore/>
        <w:rPr>
          <w:rFonts w:ascii="宋体" w:hAnsi="宋体" w:cs="宋体"/>
        </w:rPr>
      </w:pPr>
      <w:bookmarkStart w:id="68" w:name="_Toc28248"/>
      <w:bookmarkStart w:id="69" w:name="_Toc2536"/>
      <w:r>
        <w:rPr>
          <w:rFonts w:hint="eastAsia" w:ascii="宋体" w:hAnsi="宋体" w:cs="宋体"/>
        </w:rPr>
        <w:t>第一部分响应函</w:t>
      </w:r>
      <w:bookmarkEnd w:id="68"/>
      <w:bookmarkEnd w:id="69"/>
    </w:p>
    <w:p>
      <w:pPr>
        <w:adjustRightInd w:val="0"/>
        <w:snapToGrid w:val="0"/>
        <w:spacing w:line="276" w:lineRule="auto"/>
        <w:jc w:val="left"/>
        <w:rPr>
          <w:rFonts w:ascii="宋体" w:hAnsi="宋体" w:cs="宋体"/>
          <w:bCs/>
          <w:sz w:val="32"/>
          <w:szCs w:val="32"/>
        </w:rPr>
      </w:pPr>
      <w:r>
        <w:rPr>
          <w:rFonts w:hint="eastAsia" w:ascii="宋体" w:hAnsi="宋体" w:cs="宋体"/>
          <w:b/>
          <w:bCs/>
          <w:sz w:val="28"/>
          <w:szCs w:val="28"/>
        </w:rPr>
        <w:t>陕西卓佲项目管理有限公司</w:t>
      </w:r>
      <w:r>
        <w:rPr>
          <w:rFonts w:hint="eastAsia" w:ascii="宋体" w:hAnsi="宋体" w:cs="宋体"/>
          <w:bCs/>
          <w:sz w:val="32"/>
          <w:szCs w:val="32"/>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我单位收到编号为：</w:t>
      </w:r>
      <w:r>
        <w:rPr>
          <w:rFonts w:hint="eastAsia" w:ascii="宋体" w:hAnsi="宋体" w:cs="宋体"/>
          <w:sz w:val="24"/>
          <w:u w:val="single"/>
        </w:rPr>
        <w:t>ZMZB2022YLXY-387</w:t>
      </w:r>
      <w:r>
        <w:rPr>
          <w:rFonts w:hint="eastAsia" w:ascii="宋体" w:hAnsi="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2、我方提交的响应文件正本____份、副本____份，电子文档____份、</w:t>
      </w:r>
      <w:r>
        <w:rPr>
          <w:rFonts w:hint="eastAsia" w:ascii="宋体" w:hAnsi="宋体" w:cs="宋体"/>
          <w:sz w:val="24"/>
          <w:szCs w:val="24"/>
        </w:rPr>
        <w:t>响应一览表_____份</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6、我方承诺响应有效期为谈判之日起</w:t>
      </w:r>
      <w:r>
        <w:rPr>
          <w:rFonts w:hint="eastAsia" w:ascii="宋体" w:hAnsi="宋体" w:cs="宋体"/>
          <w:sz w:val="24"/>
          <w:u w:val="single"/>
        </w:rPr>
        <w:t xml:space="preserve">         </w:t>
      </w:r>
      <w:r>
        <w:rPr>
          <w:rFonts w:hint="eastAsia" w:ascii="宋体" w:hAnsi="宋体" w:cs="宋体"/>
          <w:sz w:val="24"/>
        </w:rPr>
        <w:t>日历日内有效。</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7、所有关于本次谈判的函电，请按下列地址联系：</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供应商（单位名称及公章）：_________________</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法定代表人或被授权人（签字或盖章）：______________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地    址：________________________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开户银行：________________________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帐    号：________________________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话：________________________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传    真：________________________</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邮    编：________________________</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460" w:lineRule="exact"/>
        <w:ind w:firstLine="720" w:firstLineChars="200"/>
        <w:jc w:val="left"/>
        <w:rPr>
          <w:rFonts w:ascii="宋体" w:hAnsi="宋体" w:cs="宋体"/>
          <w:sz w:val="36"/>
          <w:szCs w:val="36"/>
          <w:u w:val="single"/>
        </w:rPr>
      </w:pPr>
    </w:p>
    <w:p>
      <w:pPr>
        <w:pStyle w:val="5"/>
        <w:rPr>
          <w:rFonts w:ascii="宋体" w:hAnsi="宋体" w:cs="宋体"/>
        </w:rPr>
        <w:sectPr>
          <w:pgSz w:w="11906" w:h="16838"/>
          <w:pgMar w:top="1440" w:right="1803" w:bottom="1440" w:left="1803" w:header="851" w:footer="992" w:gutter="0"/>
          <w:cols w:space="720" w:num="1"/>
          <w:docGrid w:type="lines" w:linePitch="319" w:charSpace="0"/>
        </w:sectPr>
      </w:pPr>
      <w:bookmarkStart w:id="70" w:name="_Toc28494"/>
    </w:p>
    <w:p>
      <w:pPr>
        <w:pStyle w:val="5"/>
        <w:pageBreakBefore/>
        <w:rPr>
          <w:rFonts w:ascii="宋体" w:hAnsi="宋体" w:cs="宋体"/>
        </w:rPr>
      </w:pPr>
      <w:bookmarkStart w:id="71" w:name="_Toc21346"/>
      <w:r>
        <w:rPr>
          <w:rFonts w:hint="eastAsia" w:ascii="宋体" w:hAnsi="宋体" w:cs="宋体"/>
        </w:rPr>
        <w:t>第二部分</w:t>
      </w:r>
      <w:bookmarkEnd w:id="70"/>
      <w:r>
        <w:rPr>
          <w:rFonts w:hint="eastAsia" w:ascii="宋体" w:hAnsi="宋体" w:cs="宋体"/>
        </w:rPr>
        <w:t>响应一览表</w:t>
      </w:r>
      <w:bookmarkEnd w:id="71"/>
    </w:p>
    <w:p>
      <w:pPr>
        <w:widowControl/>
        <w:wordWrap w:val="0"/>
        <w:spacing w:line="360" w:lineRule="auto"/>
        <w:jc w:val="lef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榆林学院能源系统优化科研平台设备购置项目</w:t>
      </w:r>
    </w:p>
    <w:p>
      <w:pPr>
        <w:widowControl/>
        <w:wordWrap w:val="0"/>
        <w:spacing w:line="360" w:lineRule="auto"/>
        <w:jc w:val="left"/>
        <w:rPr>
          <w:rFonts w:ascii="宋体" w:hAnsi="宋体" w:cs="宋体"/>
          <w:sz w:val="24"/>
        </w:rPr>
      </w:pPr>
      <w:r>
        <w:rPr>
          <w:rFonts w:hint="eastAsia" w:ascii="宋体" w:hAnsi="宋体" w:cs="宋体"/>
          <w:sz w:val="24"/>
        </w:rPr>
        <w:t>单    位：元</w:t>
      </w:r>
    </w:p>
    <w:tbl>
      <w:tblPr>
        <w:tblStyle w:val="23"/>
        <w:tblpPr w:leftFromText="180" w:rightFromText="180" w:vertAnchor="text" w:horzAnchor="margin" w:tblpXSpec="center" w:tblpY="9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218"/>
        <w:gridCol w:w="2502"/>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2197" w:type="dxa"/>
            <w:tcBorders>
              <w:tl2br w:val="single" w:color="auto" w:sz="4" w:space="0"/>
            </w:tcBorders>
          </w:tcPr>
          <w:p>
            <w:pPr>
              <w:kinsoku w:val="0"/>
              <w:spacing w:line="480" w:lineRule="auto"/>
              <w:ind w:right="-199" w:rightChars="-95" w:firstLine="960" w:firstLineChars="4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2218" w:type="dxa"/>
            <w:vAlign w:val="center"/>
          </w:tcPr>
          <w:p>
            <w:pPr>
              <w:kinsoku w:val="0"/>
              <w:spacing w:line="480" w:lineRule="auto"/>
              <w:ind w:right="-199" w:rightChars="-95"/>
              <w:jc w:val="center"/>
              <w:rPr>
                <w:rFonts w:ascii="宋体" w:hAnsi="宋体" w:cs="宋体"/>
                <w:sz w:val="24"/>
              </w:rPr>
            </w:pPr>
            <w:r>
              <w:rPr>
                <w:rFonts w:hint="eastAsia" w:ascii="宋体" w:hAnsi="宋体" w:cs="宋体"/>
                <w:szCs w:val="21"/>
              </w:rPr>
              <w:t>总</w:t>
            </w:r>
            <w:r>
              <w:rPr>
                <w:rFonts w:hint="eastAsia" w:ascii="宋体" w:hAnsi="宋体" w:cs="宋体"/>
                <w:sz w:val="24"/>
              </w:rPr>
              <w:t>报价（元）</w:t>
            </w:r>
          </w:p>
        </w:tc>
        <w:tc>
          <w:tcPr>
            <w:tcW w:w="2502" w:type="dxa"/>
            <w:vAlign w:val="center"/>
          </w:tcPr>
          <w:p>
            <w:pPr>
              <w:kinsoku w:val="0"/>
              <w:ind w:right="-199" w:rightChars="-95"/>
              <w:jc w:val="center"/>
            </w:pPr>
            <w:r>
              <w:rPr>
                <w:rFonts w:hint="eastAsia" w:ascii="宋体" w:hAnsi="宋体" w:cs="宋体"/>
                <w:sz w:val="24"/>
              </w:rPr>
              <w:t>交货期</w:t>
            </w:r>
          </w:p>
        </w:tc>
        <w:tc>
          <w:tcPr>
            <w:tcW w:w="2502" w:type="dxa"/>
            <w:vAlign w:val="center"/>
          </w:tcPr>
          <w:p>
            <w:pPr>
              <w:kinsoku w:val="0"/>
              <w:ind w:right="-199" w:rightChars="-95"/>
              <w:jc w:val="center"/>
              <w:rPr>
                <w:rFonts w:ascii="宋体" w:hAns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197" w:type="dxa"/>
            <w:vAlign w:val="center"/>
          </w:tcPr>
          <w:p>
            <w:pPr>
              <w:kinsoku w:val="0"/>
              <w:ind w:right="59" w:rightChars="28"/>
              <w:jc w:val="center"/>
              <w:rPr>
                <w:rFonts w:ascii="宋体" w:hAnsi="宋体" w:cs="宋体"/>
                <w:sz w:val="24"/>
              </w:rPr>
            </w:pPr>
            <w:r>
              <w:rPr>
                <w:rFonts w:hint="eastAsia" w:ascii="宋体" w:hAnsi="宋体" w:cs="宋体"/>
                <w:sz w:val="24"/>
              </w:rPr>
              <w:t>榆林学院能源系统优化科研平台设备购置项目</w:t>
            </w:r>
          </w:p>
        </w:tc>
        <w:tc>
          <w:tcPr>
            <w:tcW w:w="2218" w:type="dxa"/>
            <w:vAlign w:val="center"/>
          </w:tcPr>
          <w:p>
            <w:pPr>
              <w:kinsoku w:val="0"/>
              <w:spacing w:line="480" w:lineRule="auto"/>
              <w:ind w:left="10" w:right="-199" w:rightChars="-95" w:firstLine="501" w:firstLineChars="209"/>
              <w:rPr>
                <w:rFonts w:ascii="宋体" w:hAnsi="宋体" w:cs="宋体"/>
                <w:sz w:val="24"/>
              </w:rPr>
            </w:pPr>
          </w:p>
        </w:tc>
        <w:tc>
          <w:tcPr>
            <w:tcW w:w="2502" w:type="dxa"/>
            <w:vAlign w:val="center"/>
          </w:tcPr>
          <w:p>
            <w:pPr>
              <w:kinsoku w:val="0"/>
              <w:spacing w:line="480" w:lineRule="auto"/>
              <w:ind w:left="10" w:right="-199" w:rightChars="-95" w:firstLine="501" w:firstLineChars="209"/>
              <w:jc w:val="center"/>
              <w:rPr>
                <w:rFonts w:ascii="宋体" w:hAnsi="宋体" w:cs="宋体"/>
                <w:sz w:val="24"/>
              </w:rPr>
            </w:pPr>
          </w:p>
        </w:tc>
        <w:tc>
          <w:tcPr>
            <w:tcW w:w="2502"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419" w:type="dxa"/>
            <w:gridSpan w:val="4"/>
            <w:vAlign w:val="center"/>
          </w:tcPr>
          <w:p>
            <w:pPr>
              <w:kinsoku w:val="0"/>
              <w:spacing w:line="480" w:lineRule="auto"/>
              <w:ind w:right="-199" w:rightChars="-95"/>
              <w:jc w:val="left"/>
              <w:rPr>
                <w:rFonts w:ascii="宋体" w:hAnsi="宋体" w:cs="宋体"/>
                <w:sz w:val="24"/>
              </w:rPr>
            </w:pPr>
            <w:r>
              <w:rPr>
                <w:rFonts w:hint="eastAsia" w:ascii="宋体" w:hAnsi="宋体" w:cs="宋体"/>
                <w:szCs w:val="21"/>
              </w:rPr>
              <w:t>总报价：（大</w:t>
            </w:r>
            <w:r>
              <w:rPr>
                <w:rFonts w:ascii="宋体" w:hAnsi="宋体" w:cs="宋体"/>
                <w:szCs w:val="21"/>
              </w:rPr>
              <w:t>写</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419" w:type="dxa"/>
            <w:gridSpan w:val="4"/>
            <w:vAlign w:val="center"/>
          </w:tcPr>
          <w:p>
            <w:pPr>
              <w:kinsoku w:val="0"/>
              <w:ind w:right="-199" w:rightChars="-95"/>
              <w:rPr>
                <w:rFonts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cs="宋体"/>
          <w:sz w:val="24"/>
        </w:rPr>
      </w:pPr>
    </w:p>
    <w:p>
      <w:pPr>
        <w:adjustRightInd w:val="0"/>
        <w:snapToGrid w:val="0"/>
        <w:spacing w:line="480" w:lineRule="auto"/>
        <w:jc w:val="left"/>
        <w:rPr>
          <w:rFonts w:ascii="宋体" w:hAnsi="宋体" w:cs="宋体"/>
          <w:sz w:val="24"/>
          <w:u w:val="single"/>
        </w:rPr>
      </w:pPr>
      <w:r>
        <w:rPr>
          <w:rFonts w:hint="eastAsia" w:ascii="宋体" w:hAnsi="宋体" w:cs="宋体"/>
          <w:sz w:val="24"/>
        </w:rPr>
        <w:t>供应商（单位名称及公章）：______________________</w:t>
      </w:r>
    </w:p>
    <w:p>
      <w:pPr>
        <w:adjustRightInd w:val="0"/>
        <w:snapToGrid w:val="0"/>
        <w:spacing w:line="480" w:lineRule="auto"/>
        <w:rPr>
          <w:rFonts w:ascii="宋体" w:hAnsi="宋体" w:cs="宋体"/>
          <w:sz w:val="24"/>
        </w:rPr>
      </w:pPr>
      <w:r>
        <w:rPr>
          <w:rFonts w:hint="eastAsia" w:ascii="宋体" w:hAnsi="宋体" w:cs="宋体"/>
          <w:sz w:val="24"/>
        </w:rPr>
        <w:t>法定代表人或被授权人（签字或盖章）：______________________</w:t>
      </w:r>
    </w:p>
    <w:p>
      <w:pPr>
        <w:adjustRightInd w:val="0"/>
        <w:snapToGrid w:val="0"/>
        <w:spacing w:line="480" w:lineRule="auto"/>
        <w:rPr>
          <w:rFonts w:ascii="宋体" w:hAnsi="宋体" w:cs="宋体"/>
          <w:sz w:val="24"/>
        </w:rPr>
      </w:pPr>
      <w:r>
        <w:rPr>
          <w:rFonts w:hint="eastAsia" w:ascii="宋体" w:hAnsi="宋体" w:cs="宋体"/>
          <w:sz w:val="24"/>
        </w:rPr>
        <w:t>日    期：_____年_____月_____日</w:t>
      </w:r>
    </w:p>
    <w:p>
      <w:pPr>
        <w:rPr>
          <w:rFonts w:ascii="宋体" w:hAnsi="宋体" w:cs="宋体"/>
        </w:rPr>
        <w:sectPr>
          <w:pgSz w:w="11906" w:h="16838"/>
          <w:pgMar w:top="1440" w:right="1803" w:bottom="1440" w:left="1803" w:header="851" w:footer="992" w:gutter="0"/>
          <w:cols w:space="720" w:num="1"/>
          <w:docGrid w:type="lines" w:linePitch="319" w:charSpace="0"/>
        </w:sectPr>
      </w:pPr>
    </w:p>
    <w:p>
      <w:pPr>
        <w:jc w:val="center"/>
        <w:rPr>
          <w:b/>
          <w:bCs/>
          <w:sz w:val="36"/>
          <w:szCs w:val="36"/>
        </w:rPr>
      </w:pPr>
      <w:bookmarkStart w:id="72" w:name="_Toc14444"/>
      <w:bookmarkStart w:id="73" w:name="_Toc6064"/>
      <w:bookmarkStart w:id="74" w:name="_Toc11309"/>
      <w:r>
        <w:rPr>
          <w:rFonts w:hint="eastAsia"/>
          <w:b/>
          <w:bCs/>
          <w:sz w:val="36"/>
          <w:szCs w:val="36"/>
        </w:rPr>
        <w:t>分项报价表</w:t>
      </w:r>
      <w:bookmarkEnd w:id="72"/>
      <w:bookmarkEnd w:id="73"/>
    </w:p>
    <w:tbl>
      <w:tblPr>
        <w:tblStyle w:val="23"/>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right w:val="single" w:color="auto" w:sz="4" w:space="0"/>
            </w:tcBorders>
            <w:vAlign w:val="center"/>
          </w:tcPr>
          <w:p>
            <w:pPr>
              <w:jc w:val="left"/>
              <w:rPr>
                <w:rFonts w:ascii="宋体"/>
                <w:sz w:val="22"/>
              </w:rPr>
            </w:pPr>
            <w:bookmarkStart w:id="75" w:name="OLE_LINK1"/>
            <w:r>
              <w:rPr>
                <w:rFonts w:hint="eastAsia" w:ascii="宋体" w:hAnsi="宋体"/>
                <w:sz w:val="22"/>
              </w:rPr>
              <w:t>分项费用</w:t>
            </w:r>
          </w:p>
        </w:tc>
        <w:tc>
          <w:tcPr>
            <w:tcW w:w="530" w:type="dxa"/>
            <w:tcBorders>
              <w:top w:val="single" w:color="auto" w:sz="6" w:space="0"/>
              <w:left w:val="single" w:color="auto" w:sz="4" w:space="0"/>
              <w:bottom w:val="single" w:color="auto" w:sz="6" w:space="0"/>
            </w:tcBorders>
            <w:vAlign w:val="center"/>
          </w:tcPr>
          <w:p>
            <w:pPr>
              <w:spacing w:after="120"/>
              <w:jc w:val="center"/>
              <w:rPr>
                <w:rFonts w:ascii="宋体"/>
                <w:sz w:val="22"/>
              </w:rPr>
            </w:pPr>
            <w:r>
              <w:rPr>
                <w:rFonts w:hint="eastAsia" w:ascii="宋体" w:hAnsi="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sz w:val="22"/>
              </w:rPr>
            </w:pPr>
            <w:r>
              <w:rPr>
                <w:rFonts w:hint="eastAsia" w:ascii="宋体" w:hAnsi="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beforeLines="50" w:after="120"/>
              <w:jc w:val="center"/>
              <w:rPr>
                <w:rFonts w:ascii="宋体"/>
                <w:sz w:val="22"/>
              </w:rPr>
            </w:pPr>
            <w:r>
              <w:rPr>
                <w:rFonts w:hint="eastAsia" w:ascii="宋体" w:hAnsi="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单价</w:t>
            </w:r>
          </w:p>
          <w:p>
            <w:pPr>
              <w:spacing w:after="120"/>
              <w:jc w:val="center"/>
              <w:rPr>
                <w:rFonts w:ascii="宋体"/>
                <w:bCs/>
                <w:sz w:val="22"/>
              </w:rPr>
            </w:pPr>
            <w:r>
              <w:rPr>
                <w:rFonts w:hint="eastAsia" w:ascii="宋体" w:hAnsi="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bCs/>
                <w:sz w:val="22"/>
              </w:rPr>
            </w:pPr>
            <w:r>
              <w:rPr>
                <w:rFonts w:hint="eastAsia" w:ascii="宋体" w:hAnsi="宋体"/>
                <w:bCs/>
                <w:sz w:val="22"/>
              </w:rPr>
              <w:t>总价</w:t>
            </w:r>
          </w:p>
          <w:p>
            <w:pPr>
              <w:spacing w:after="120"/>
              <w:jc w:val="center"/>
              <w:rPr>
                <w:rFonts w:asci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30" w:type="dxa"/>
            <w:tcBorders>
              <w:top w:val="single" w:color="auto" w:sz="6" w:space="0"/>
              <w:left w:val="single" w:color="auto" w:sz="4" w:space="0"/>
              <w:bottom w:val="single" w:color="auto" w:sz="4" w:space="0"/>
            </w:tcBorders>
            <w:vAlign w:val="center"/>
          </w:tcPr>
          <w:p>
            <w:pPr>
              <w:spacing w:before="319" w:beforeLines="100"/>
              <w:jc w:val="center"/>
              <w:rPr>
                <w:rFonts w:ascii="宋体"/>
                <w:sz w:val="22"/>
              </w:rPr>
            </w:pPr>
            <w:r>
              <w:rPr>
                <w:rFonts w:ascii="宋体" w:hAnsi="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beforeLines="50"/>
              <w:jc w:val="center"/>
              <w:rPr>
                <w:rFonts w:ascii="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beforeLines="50"/>
              <w:jc w:val="center"/>
              <w:rPr>
                <w:rFonts w:ascii="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608" w:hRule="atLeast"/>
        </w:trPr>
        <w:tc>
          <w:tcPr>
            <w:tcW w:w="1148"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30" w:type="dxa"/>
            <w:tcBorders>
              <w:top w:val="single" w:color="auto" w:sz="4" w:space="0"/>
              <w:left w:val="single" w:color="auto" w:sz="4" w:space="0"/>
              <w:bottom w:val="single" w:color="auto" w:sz="6" w:space="0"/>
            </w:tcBorders>
            <w:vAlign w:val="center"/>
          </w:tcPr>
          <w:p>
            <w:pPr>
              <w:spacing w:before="319" w:beforeLines="100"/>
              <w:jc w:val="center"/>
              <w:rPr>
                <w:rFonts w:ascii="宋体"/>
                <w:sz w:val="22"/>
              </w:rPr>
            </w:pPr>
            <w:r>
              <w:rPr>
                <w:rFonts w:ascii="宋体" w:hAnsi="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608" w:hRule="atLeast"/>
        </w:trPr>
        <w:tc>
          <w:tcPr>
            <w:tcW w:w="1148"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30" w:type="dxa"/>
            <w:tcBorders>
              <w:top w:val="single" w:color="auto" w:sz="4" w:space="0"/>
              <w:left w:val="single" w:color="auto" w:sz="4" w:space="0"/>
              <w:bottom w:val="single" w:color="auto" w:sz="6" w:space="0"/>
            </w:tcBorders>
            <w:vAlign w:val="center"/>
          </w:tcPr>
          <w:p>
            <w:pPr>
              <w:spacing w:before="319" w:beforeLines="100"/>
              <w:jc w:val="center"/>
              <w:rPr>
                <w:rFonts w:ascii="宋体"/>
                <w:sz w:val="22"/>
              </w:rPr>
            </w:pPr>
            <w:r>
              <w:rPr>
                <w:rFonts w:hint="eastAsia" w:ascii="宋体" w:hAnsi="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608" w:hRule="atLeast"/>
        </w:trPr>
        <w:tc>
          <w:tcPr>
            <w:tcW w:w="1148" w:type="dxa"/>
            <w:tcBorders>
              <w:left w:val="single" w:color="auto" w:sz="6" w:space="0"/>
              <w:right w:val="single" w:color="auto" w:sz="4" w:space="0"/>
            </w:tcBorders>
            <w:vAlign w:val="center"/>
          </w:tcPr>
          <w:p>
            <w:pPr>
              <w:spacing w:before="319" w:beforeLines="100"/>
              <w:jc w:val="center"/>
              <w:rPr>
                <w:rFonts w:ascii="宋体"/>
                <w:sz w:val="22"/>
              </w:rPr>
            </w:pPr>
          </w:p>
        </w:tc>
        <w:tc>
          <w:tcPr>
            <w:tcW w:w="530"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tcBorders>
            <w:vAlign w:val="center"/>
          </w:tcPr>
          <w:p>
            <w:pPr>
              <w:jc w:val="center"/>
              <w:rPr>
                <w:rFonts w:ascii="宋体"/>
                <w:sz w:val="22"/>
              </w:rPr>
            </w:pPr>
            <w:r>
              <w:rPr>
                <w:rFonts w:hint="eastAsia" w:ascii="宋体" w:hAnsi="宋体"/>
                <w:sz w:val="22"/>
              </w:rPr>
              <w:t>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jc w:val="left"/>
              <w:rPr>
                <w:rFonts w:ascii="宋体"/>
                <w:sz w:val="22"/>
              </w:rPr>
            </w:pPr>
            <w:r>
              <w:rPr>
                <w:rFonts w:hint="eastAsia" w:ascii="宋体" w:hAnsi="宋体"/>
                <w:sz w:val="22"/>
              </w:rPr>
              <w:t>大写：                     小写：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tcBorders>
            <w:vAlign w:val="center"/>
          </w:tcPr>
          <w:p>
            <w:pPr>
              <w:jc w:val="center"/>
              <w:rPr>
                <w:rFonts w:ascii="宋体"/>
                <w:sz w:val="22"/>
              </w:rPr>
            </w:pPr>
            <w:r>
              <w:rPr>
                <w:rFonts w:hint="eastAsia" w:ascii="宋体" w:hAnsi="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r>
              <w:rPr>
                <w:rFonts w:hint="eastAsia" w:ascii="宋体" w:hAnsi="宋体"/>
                <w:spacing w:val="-6"/>
                <w:sz w:val="22"/>
              </w:rPr>
              <w:t>保留小数点后两位。</w:t>
            </w:r>
          </w:p>
        </w:tc>
      </w:tr>
    </w:tbl>
    <w:p>
      <w:pPr>
        <w:adjustRightInd w:val="0"/>
        <w:snapToGrid w:val="0"/>
        <w:spacing w:line="480" w:lineRule="auto"/>
        <w:rPr>
          <w:rFonts w:ascii="宋体" w:hAnsi="宋体" w:cs="宋体"/>
          <w:sz w:val="24"/>
          <w:szCs w:val="24"/>
        </w:rPr>
      </w:pPr>
    </w:p>
    <w:p>
      <w:pPr>
        <w:adjustRightInd w:val="0"/>
        <w:snapToGrid w:val="0"/>
        <w:spacing w:line="480" w:lineRule="auto"/>
        <w:rPr>
          <w:rFonts w:ascii="宋体" w:hAnsi="宋体" w:cs="宋体"/>
          <w:sz w:val="24"/>
          <w:szCs w:val="24"/>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sz w:val="36"/>
          <w:szCs w:val="36"/>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4"/>
        </w:rPr>
        <w:t>______</w:t>
      </w:r>
      <w:r>
        <w:rPr>
          <w:rFonts w:hint="eastAsia" w:ascii="宋体" w:hAnsi="宋体" w:cs="宋体"/>
          <w:sz w:val="24"/>
          <w:szCs w:val="24"/>
        </w:rPr>
        <w:t xml:space="preserve"> 年</w:t>
      </w:r>
      <w:r>
        <w:rPr>
          <w:rFonts w:hint="eastAsia" w:ascii="宋体" w:hAnsi="宋体" w:cs="宋体"/>
          <w:sz w:val="24"/>
        </w:rPr>
        <w:t>______</w:t>
      </w:r>
      <w:r>
        <w:rPr>
          <w:rFonts w:hint="eastAsia" w:ascii="宋体" w:hAnsi="宋体" w:cs="宋体"/>
          <w:sz w:val="24"/>
          <w:szCs w:val="24"/>
        </w:rPr>
        <w:t>月</w:t>
      </w:r>
      <w:r>
        <w:rPr>
          <w:rFonts w:hint="eastAsia" w:ascii="宋体" w:hAnsi="宋体" w:cs="宋体"/>
          <w:sz w:val="24"/>
        </w:rPr>
        <w:t>______</w:t>
      </w:r>
      <w:r>
        <w:rPr>
          <w:rFonts w:hint="eastAsia" w:ascii="宋体" w:hAnsi="宋体" w:cs="宋体"/>
          <w:sz w:val="24"/>
          <w:szCs w:val="24"/>
        </w:rPr>
        <w:t>日</w:t>
      </w:r>
    </w:p>
    <w:p>
      <w:pPr>
        <w:pStyle w:val="5"/>
        <w:rPr>
          <w:rFonts w:ascii="宋体" w:hAnsi="宋体" w:cs="宋体"/>
        </w:rPr>
      </w:pPr>
      <w:bookmarkStart w:id="76" w:name="_Toc23664"/>
      <w:r>
        <w:rPr>
          <w:rFonts w:hint="eastAsia" w:ascii="宋体" w:hAnsi="宋体" w:cs="宋体"/>
        </w:rPr>
        <w:t>第三部分 商务及技术响应说明</w:t>
      </w:r>
      <w:bookmarkEnd w:id="76"/>
    </w:p>
    <w:p>
      <w:pPr>
        <w:pStyle w:val="9"/>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0"/>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0"/>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0"/>
              <w:spacing w:line="360" w:lineRule="auto"/>
              <w:jc w:val="center"/>
              <w:rPr>
                <w:rFonts w:hAnsi="宋体" w:cs="宋体"/>
                <w:sz w:val="24"/>
                <w:szCs w:val="24"/>
              </w:rPr>
            </w:pPr>
            <w:r>
              <w:rPr>
                <w:rFonts w:hint="eastAsia" w:hAnsi="宋体" w:cs="宋体"/>
                <w:sz w:val="24"/>
                <w:szCs w:val="24"/>
              </w:rPr>
              <w:t>商务要求</w:t>
            </w:r>
          </w:p>
          <w:p>
            <w:pPr>
              <w:pStyle w:val="10"/>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0"/>
              <w:spacing w:line="360" w:lineRule="auto"/>
              <w:jc w:val="center"/>
              <w:rPr>
                <w:rFonts w:hAnsi="宋体" w:cs="宋体"/>
                <w:sz w:val="24"/>
                <w:szCs w:val="24"/>
              </w:rPr>
            </w:pPr>
            <w:r>
              <w:rPr>
                <w:rFonts w:hint="eastAsia" w:hAnsi="宋体" w:cs="宋体"/>
                <w:sz w:val="24"/>
                <w:szCs w:val="24"/>
              </w:rPr>
              <w:t>响应文件</w:t>
            </w:r>
          </w:p>
          <w:p>
            <w:pPr>
              <w:pStyle w:val="10"/>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0"/>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0"/>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vAlign w:val="center"/>
          </w:tcPr>
          <w:p>
            <w:pPr>
              <w:pStyle w:val="10"/>
              <w:spacing w:line="480" w:lineRule="auto"/>
              <w:ind w:firstLine="480" w:firstLineChars="200"/>
              <w:jc w:val="left"/>
              <w:rPr>
                <w:rFonts w:hAnsi="宋体" w:cs="宋体"/>
                <w:sz w:val="24"/>
                <w:szCs w:val="24"/>
              </w:rPr>
            </w:pPr>
          </w:p>
        </w:tc>
        <w:tc>
          <w:tcPr>
            <w:tcW w:w="1938" w:type="dxa"/>
            <w:vAlign w:val="center"/>
          </w:tcPr>
          <w:p>
            <w:pPr>
              <w:pStyle w:val="10"/>
              <w:spacing w:line="480" w:lineRule="auto"/>
              <w:ind w:firstLine="480" w:firstLineChars="200"/>
              <w:jc w:val="left"/>
              <w:rPr>
                <w:rFonts w:hAnsi="宋体" w:cs="宋体"/>
                <w:sz w:val="24"/>
                <w:szCs w:val="24"/>
              </w:rPr>
            </w:pPr>
          </w:p>
        </w:tc>
        <w:tc>
          <w:tcPr>
            <w:tcW w:w="1410" w:type="dxa"/>
            <w:vAlign w:val="center"/>
          </w:tcPr>
          <w:p>
            <w:pPr>
              <w:pStyle w:val="10"/>
              <w:spacing w:line="480" w:lineRule="auto"/>
              <w:ind w:firstLine="480" w:firstLineChars="200"/>
              <w:jc w:val="left"/>
              <w:rPr>
                <w:rFonts w:hAnsi="宋体" w:cs="宋体"/>
                <w:sz w:val="24"/>
                <w:szCs w:val="24"/>
              </w:rPr>
            </w:pPr>
          </w:p>
        </w:tc>
        <w:tc>
          <w:tcPr>
            <w:tcW w:w="1356"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0"/>
              <w:spacing w:line="480" w:lineRule="auto"/>
              <w:jc w:val="left"/>
              <w:rPr>
                <w:rFonts w:hAnsi="宋体" w:cs="宋体"/>
                <w:sz w:val="24"/>
                <w:szCs w:val="24"/>
              </w:rPr>
            </w:pPr>
          </w:p>
        </w:tc>
        <w:tc>
          <w:tcPr>
            <w:tcW w:w="1521" w:type="dxa"/>
          </w:tcPr>
          <w:p>
            <w:pPr>
              <w:pStyle w:val="10"/>
              <w:spacing w:line="480" w:lineRule="auto"/>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bl>
    <w:p>
      <w:pPr>
        <w:pStyle w:val="9"/>
        <w:numPr>
          <w:ilvl w:val="0"/>
          <w:numId w:val="25"/>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9"/>
        <w:numPr>
          <w:ilvl w:val="0"/>
          <w:numId w:val="25"/>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9"/>
        <w:numPr>
          <w:ilvl w:val="0"/>
          <w:numId w:val="25"/>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9"/>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_____日</w:t>
      </w:r>
    </w:p>
    <w:p>
      <w:pPr>
        <w:jc w:val="center"/>
        <w:rPr>
          <w:rFonts w:ascii="宋体" w:hAnsi="宋体" w:cs="宋体"/>
          <w:b/>
          <w:bCs/>
          <w:sz w:val="28"/>
          <w:szCs w:val="32"/>
        </w:rPr>
        <w:sectPr>
          <w:pgSz w:w="11906" w:h="16838"/>
          <w:pgMar w:top="1440" w:right="1803" w:bottom="1440" w:left="1803" w:header="851" w:footer="992" w:gutter="0"/>
          <w:cols w:space="720" w:num="1"/>
          <w:docGrid w:type="lines" w:linePitch="319" w:charSpace="0"/>
        </w:sectPr>
      </w:pPr>
    </w:p>
    <w:p>
      <w:pPr>
        <w:jc w:val="center"/>
        <w:rPr>
          <w:rFonts w:ascii="宋体" w:hAnsi="宋体" w:cs="宋体"/>
          <w:b/>
          <w:bCs/>
          <w:sz w:val="28"/>
          <w:szCs w:val="32"/>
        </w:rPr>
      </w:pPr>
      <w:r>
        <w:rPr>
          <w:rFonts w:hint="eastAsia" w:ascii="宋体" w:hAnsi="宋体" w:cs="宋体"/>
          <w:b/>
          <w:bCs/>
          <w:sz w:val="28"/>
          <w:szCs w:val="32"/>
        </w:rPr>
        <w:t>技术偏离表</w:t>
      </w:r>
    </w:p>
    <w:p>
      <w:pPr>
        <w:pStyle w:val="9"/>
        <w:ind w:firstLine="0"/>
        <w:rPr>
          <w:rFonts w:ascii="宋体" w:hAnsi="宋体" w:cs="宋体"/>
        </w:rPr>
      </w:pPr>
    </w:p>
    <w:p>
      <w:pPr>
        <w:rPr>
          <w:rFonts w:ascii="宋体" w:hAnsi="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0"/>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0"/>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偏离说明</w:t>
            </w:r>
          </w:p>
        </w:tc>
        <w:tc>
          <w:tcPr>
            <w:tcW w:w="1356" w:type="dxa"/>
            <w:vAlign w:val="center"/>
          </w:tcPr>
          <w:p>
            <w:pPr>
              <w:pStyle w:val="10"/>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vAlign w:val="center"/>
          </w:tcPr>
          <w:p>
            <w:pPr>
              <w:pStyle w:val="10"/>
              <w:spacing w:line="480" w:lineRule="auto"/>
              <w:ind w:firstLine="480" w:firstLineChars="200"/>
              <w:jc w:val="left"/>
              <w:rPr>
                <w:rFonts w:hAnsi="宋体" w:cs="宋体"/>
                <w:sz w:val="24"/>
                <w:szCs w:val="24"/>
              </w:rPr>
            </w:pPr>
          </w:p>
        </w:tc>
        <w:tc>
          <w:tcPr>
            <w:tcW w:w="1938" w:type="dxa"/>
            <w:vAlign w:val="center"/>
          </w:tcPr>
          <w:p>
            <w:pPr>
              <w:pStyle w:val="10"/>
              <w:spacing w:line="480" w:lineRule="auto"/>
              <w:ind w:firstLine="480" w:firstLineChars="200"/>
              <w:jc w:val="left"/>
              <w:rPr>
                <w:rFonts w:hAnsi="宋体" w:cs="宋体"/>
                <w:sz w:val="24"/>
                <w:szCs w:val="24"/>
              </w:rPr>
            </w:pPr>
          </w:p>
        </w:tc>
        <w:tc>
          <w:tcPr>
            <w:tcW w:w="1410" w:type="dxa"/>
            <w:vAlign w:val="center"/>
          </w:tcPr>
          <w:p>
            <w:pPr>
              <w:pStyle w:val="10"/>
              <w:spacing w:line="480" w:lineRule="auto"/>
              <w:ind w:firstLine="480" w:firstLineChars="200"/>
              <w:jc w:val="left"/>
              <w:rPr>
                <w:rFonts w:hAnsi="宋体" w:cs="宋体"/>
                <w:sz w:val="24"/>
                <w:szCs w:val="24"/>
              </w:rPr>
            </w:pPr>
          </w:p>
        </w:tc>
        <w:tc>
          <w:tcPr>
            <w:tcW w:w="1356"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0"/>
              <w:spacing w:line="480" w:lineRule="auto"/>
              <w:ind w:firstLine="480" w:firstLineChars="200"/>
              <w:jc w:val="left"/>
              <w:rPr>
                <w:rFonts w:hAnsi="宋体" w:cs="宋体"/>
                <w:sz w:val="24"/>
                <w:szCs w:val="24"/>
              </w:rPr>
            </w:pPr>
          </w:p>
        </w:tc>
        <w:tc>
          <w:tcPr>
            <w:tcW w:w="1521" w:type="dxa"/>
          </w:tcPr>
          <w:p>
            <w:pPr>
              <w:pStyle w:val="10"/>
              <w:spacing w:line="480" w:lineRule="auto"/>
              <w:ind w:firstLine="480" w:firstLineChars="200"/>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0"/>
              <w:spacing w:line="480" w:lineRule="auto"/>
              <w:jc w:val="left"/>
              <w:rPr>
                <w:rFonts w:hAnsi="宋体" w:cs="宋体"/>
                <w:sz w:val="24"/>
                <w:szCs w:val="24"/>
              </w:rPr>
            </w:pPr>
          </w:p>
        </w:tc>
        <w:tc>
          <w:tcPr>
            <w:tcW w:w="1521" w:type="dxa"/>
          </w:tcPr>
          <w:p>
            <w:pPr>
              <w:pStyle w:val="10"/>
              <w:spacing w:line="480" w:lineRule="auto"/>
              <w:jc w:val="left"/>
              <w:rPr>
                <w:rFonts w:hAnsi="宋体" w:cs="宋体"/>
                <w:sz w:val="24"/>
                <w:szCs w:val="24"/>
              </w:rPr>
            </w:pPr>
          </w:p>
        </w:tc>
        <w:tc>
          <w:tcPr>
            <w:tcW w:w="1600" w:type="dxa"/>
          </w:tcPr>
          <w:p>
            <w:pPr>
              <w:pStyle w:val="10"/>
              <w:spacing w:line="480" w:lineRule="auto"/>
              <w:ind w:firstLine="480" w:firstLineChars="200"/>
              <w:jc w:val="left"/>
              <w:rPr>
                <w:rFonts w:hAnsi="宋体" w:cs="宋体"/>
                <w:sz w:val="24"/>
                <w:szCs w:val="24"/>
              </w:rPr>
            </w:pPr>
          </w:p>
        </w:tc>
        <w:tc>
          <w:tcPr>
            <w:tcW w:w="1938" w:type="dxa"/>
          </w:tcPr>
          <w:p>
            <w:pPr>
              <w:pStyle w:val="10"/>
              <w:spacing w:line="480" w:lineRule="auto"/>
              <w:ind w:firstLine="480" w:firstLineChars="200"/>
              <w:jc w:val="left"/>
              <w:rPr>
                <w:rFonts w:hAnsi="宋体" w:cs="宋体"/>
                <w:sz w:val="24"/>
                <w:szCs w:val="24"/>
              </w:rPr>
            </w:pPr>
          </w:p>
        </w:tc>
        <w:tc>
          <w:tcPr>
            <w:tcW w:w="1410" w:type="dxa"/>
          </w:tcPr>
          <w:p>
            <w:pPr>
              <w:pStyle w:val="10"/>
              <w:spacing w:line="480" w:lineRule="auto"/>
              <w:ind w:firstLine="480" w:firstLineChars="200"/>
              <w:jc w:val="left"/>
              <w:rPr>
                <w:rFonts w:hAnsi="宋体" w:cs="宋体"/>
                <w:sz w:val="24"/>
                <w:szCs w:val="24"/>
              </w:rPr>
            </w:pPr>
          </w:p>
        </w:tc>
        <w:tc>
          <w:tcPr>
            <w:tcW w:w="1356" w:type="dxa"/>
          </w:tcPr>
          <w:p>
            <w:pPr>
              <w:pStyle w:val="10"/>
              <w:spacing w:line="480" w:lineRule="auto"/>
              <w:ind w:firstLine="480" w:firstLineChars="200"/>
              <w:jc w:val="left"/>
              <w:rPr>
                <w:rFonts w:hAnsi="宋体" w:cs="宋体"/>
                <w:sz w:val="24"/>
                <w:szCs w:val="24"/>
              </w:rPr>
            </w:pPr>
          </w:p>
        </w:tc>
      </w:tr>
    </w:tbl>
    <w:p>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9"/>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_____日</w:t>
      </w:r>
    </w:p>
    <w:p>
      <w:pPr>
        <w:pStyle w:val="5"/>
        <w:rPr>
          <w:rFonts w:ascii="宋体" w:hAnsi="宋体" w:cs="宋体"/>
        </w:rPr>
      </w:pPr>
      <w:bookmarkStart w:id="77" w:name="_Toc30645"/>
      <w:r>
        <w:rPr>
          <w:rFonts w:hint="eastAsia" w:ascii="宋体" w:hAnsi="宋体" w:cs="宋体"/>
        </w:rPr>
        <w:t>第四部分</w:t>
      </w:r>
      <w:bookmarkEnd w:id="74"/>
      <w:bookmarkEnd w:id="75"/>
      <w:r>
        <w:rPr>
          <w:rFonts w:hint="eastAsia" w:ascii="宋体" w:hAnsi="宋体" w:cs="宋体"/>
        </w:rPr>
        <w:t xml:space="preserve"> 供应商资格要求</w:t>
      </w:r>
      <w:bookmarkEnd w:id="77"/>
    </w:p>
    <w:p>
      <w:pPr>
        <w:snapToGrid w:val="0"/>
        <w:spacing w:line="360" w:lineRule="auto"/>
        <w:ind w:right="-199" w:rightChars="-95"/>
        <w:jc w:val="left"/>
        <w:rPr>
          <w:rFonts w:ascii="宋体" w:hAnsi="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78" w:name="_Toc1408"/>
      <w:r>
        <w:rPr>
          <w:rFonts w:hint="eastAsia" w:ascii="宋体" w:hAnsi="宋体" w:cs="宋体"/>
          <w:kern w:val="0"/>
          <w:sz w:val="24"/>
          <w:szCs w:val="24"/>
        </w:rPr>
        <w:t>供应商根据招采购文件公告资格要求内容附资格证明文件。</w:t>
      </w:r>
    </w:p>
    <w:p>
      <w:pPr>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2"/>
        <w:rPr>
          <w:rFonts w:ascii="宋体" w:hAnsi="宋体" w:cs="宋体"/>
          <w:sz w:val="32"/>
          <w:szCs w:val="32"/>
        </w:rPr>
      </w:pPr>
      <w:r>
        <w:rPr>
          <w:rFonts w:hint="eastAsia" w:ascii="宋体" w:hAnsi="宋体" w:cs="宋体"/>
          <w:sz w:val="32"/>
          <w:szCs w:val="32"/>
        </w:rPr>
        <w:t>满足《中华人民共和国政府采购法》第二十二条规定的</w:t>
      </w:r>
    </w:p>
    <w:p>
      <w:pPr>
        <w:pStyle w:val="12"/>
        <w:jc w:val="center"/>
        <w:rPr>
          <w:rFonts w:ascii="宋体" w:hAnsi="宋体" w:cs="宋体"/>
          <w:sz w:val="32"/>
          <w:szCs w:val="32"/>
        </w:rPr>
      </w:pPr>
      <w:r>
        <w:rPr>
          <w:rFonts w:hint="eastAsia" w:ascii="宋体" w:hAnsi="宋体" w:cs="宋体"/>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我单位参与陕西卓佲项目管理有限公司组织________________________(项目名称)竞争性谈判，我公司符合《中华人民共和国政府采购法》规定的供应商资格条件：</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0"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我单位参与陕西卓佲项目管理有限公司组织的____________________(项目名称)竞争性谈判，我单位郑重声明：我方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4、税收缴纳证明：提供2022年1月以来至少一个月的纳税证明或完税证明，依法免税的单位应提供相关证明材料；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5、社会保障资金缴纳证明：提供2022年1月以来至少一个月的社会保障资金缴存单据或社保机构开具的社会保险参保缴费情况证明。依法不需要缴纳社会保障资金的供应商应提供相关文件证明；</w:t>
      </w:r>
    </w:p>
    <w:p>
      <w:pPr>
        <w:pStyle w:val="20"/>
        <w:spacing w:beforeAutospacing="0" w:afterAutospacing="0" w:line="510" w:lineRule="atLeast"/>
        <w:ind w:firstLine="420"/>
      </w:pPr>
    </w:p>
    <w:p>
      <w:pPr>
        <w:spacing w:line="360" w:lineRule="auto"/>
        <w:rPr>
          <w:sz w:val="24"/>
          <w:szCs w:val="28"/>
        </w:rPr>
      </w:pPr>
    </w:p>
    <w:p>
      <w:pPr>
        <w:pStyle w:val="22"/>
        <w:ind w:firstLine="0" w:firstLineChars="0"/>
        <w:sectPr>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竞争性谈判，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ectPr>
          <w:pgSz w:w="11906" w:h="16838"/>
          <w:pgMar w:top="1440" w:right="1803" w:bottom="1440" w:left="1803" w:header="851" w:footer="992" w:gutter="0"/>
          <w:cols w:space="720" w:num="1"/>
          <w:docGrid w:type="lines" w:linePitch="319" w:charSpace="0"/>
        </w:sectPr>
      </w:pPr>
    </w:p>
    <w:p>
      <w:pPr>
        <w:jc w:val="center"/>
        <w:rPr>
          <w:sz w:val="28"/>
          <w:szCs w:val="32"/>
        </w:rPr>
      </w:pPr>
      <w:r>
        <w:rPr>
          <w:rFonts w:hint="eastAsia"/>
          <w:sz w:val="28"/>
          <w:szCs w:val="32"/>
        </w:rPr>
        <w:t>7-1法定代表人证明书</w:t>
      </w:r>
    </w:p>
    <w:tbl>
      <w:tblPr>
        <w:tblStyle w:val="23"/>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7"/>
        <w:rPr>
          <w:rFonts w:hint="default"/>
        </w:rPr>
        <w:sectPr>
          <w:pgSz w:w="11906" w:h="16838"/>
          <w:pgMar w:top="1440" w:right="1803" w:bottom="1440" w:left="1803" w:header="851" w:footer="992" w:gutter="0"/>
          <w:cols w:space="720" w:num="1"/>
          <w:docGrid w:type="lines" w:linePitch="319" w:charSpace="0"/>
        </w:sectPr>
      </w:pPr>
    </w:p>
    <w:p>
      <w:pPr>
        <w:pStyle w:val="10"/>
        <w:spacing w:line="500" w:lineRule="exact"/>
        <w:jc w:val="center"/>
        <w:rPr>
          <w:rFonts w:hAnsi="宋体" w:cs="宋体"/>
          <w:sz w:val="24"/>
          <w:szCs w:val="24"/>
        </w:rPr>
      </w:pPr>
      <w:r>
        <w:rPr>
          <w:rFonts w:hint="eastAsia" w:hAnsi="宋体" w:cs="宋体"/>
          <w:b/>
          <w:sz w:val="24"/>
          <w:szCs w:val="24"/>
        </w:rPr>
        <w:t>7-2法定代表人授权书</w:t>
      </w:r>
    </w:p>
    <w:p>
      <w:pPr>
        <w:pStyle w:val="10"/>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10"/>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3"/>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0"/>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法定代表人身份证复印件或扫描件</w:t>
            </w:r>
          </w:p>
          <w:p>
            <w:pPr>
              <w:pStyle w:val="10"/>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0"/>
              <w:spacing w:line="500" w:lineRule="exact"/>
              <w:jc w:val="left"/>
              <w:rPr>
                <w:rFonts w:hAnsi="宋体" w:cs="宋体"/>
                <w:sz w:val="24"/>
                <w:szCs w:val="24"/>
                <w:shd w:val="pct10" w:color="auto" w:fill="FFFFFF"/>
              </w:rPr>
            </w:pPr>
          </w:p>
        </w:tc>
        <w:tc>
          <w:tcPr>
            <w:tcW w:w="4546" w:type="dxa"/>
            <w:shd w:val="clear" w:color="auto" w:fill="D9D9D9"/>
            <w:vAlign w:val="center"/>
          </w:tcPr>
          <w:p>
            <w:pPr>
              <w:pStyle w:val="10"/>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被授权人身份证复印件或扫描件</w:t>
            </w:r>
          </w:p>
          <w:p>
            <w:pPr>
              <w:pStyle w:val="10"/>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0"/>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keepNext/>
        <w:keepLines/>
        <w:spacing w:line="413" w:lineRule="auto"/>
        <w:jc w:val="center"/>
        <w:rPr>
          <w:rFonts w:ascii="宋体" w:hAnsi="宋体" w:cs="宋体"/>
          <w:sz w:val="32"/>
          <w:szCs w:val="24"/>
        </w:rPr>
        <w:sectPr>
          <w:pgSz w:w="11906" w:h="16838"/>
          <w:pgMar w:top="1440" w:right="1803" w:bottom="1440" w:left="1803" w:header="851" w:footer="992" w:gutter="0"/>
          <w:cols w:space="720" w:num="1"/>
          <w:docGrid w:type="lines" w:linePitch="319" w:charSpace="0"/>
        </w:sectPr>
      </w:pPr>
    </w:p>
    <w:p>
      <w:pPr>
        <w:widowControl/>
        <w:spacing w:line="360" w:lineRule="auto"/>
        <w:ind w:left="840"/>
        <w:jc w:val="left"/>
        <w:rPr>
          <w:rFonts w:ascii="宋体" w:hAnsi="宋体" w:cs="宋体"/>
          <w:sz w:val="32"/>
          <w:szCs w:val="32"/>
        </w:rPr>
      </w:pPr>
      <w:r>
        <w:rPr>
          <w:rFonts w:hint="eastAsia" w:ascii="宋体" w:hAnsi="宋体" w:cs="宋体"/>
          <w:sz w:val="32"/>
          <w:szCs w:val="32"/>
        </w:rPr>
        <w:t>8、所投产品为进口产品的，供应商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widowControl/>
        <w:spacing w:line="360" w:lineRule="auto"/>
        <w:ind w:left="840"/>
        <w:jc w:val="left"/>
        <w:rPr>
          <w:rFonts w:ascii="宋体" w:hAnsi="宋体" w:cs="宋体"/>
          <w:sz w:val="32"/>
          <w:szCs w:val="32"/>
        </w:rPr>
        <w:sectPr>
          <w:footerReference r:id="rId11" w:type="default"/>
          <w:pgSz w:w="11906" w:h="16838"/>
          <w:pgMar w:top="1440" w:right="1803" w:bottom="1440" w:left="1803" w:header="851" w:footer="992" w:gutter="0"/>
          <w:cols w:space="720" w:num="1"/>
          <w:docGrid w:type="lines" w:linePitch="319" w:charSpace="0"/>
        </w:sectPr>
      </w:pPr>
    </w:p>
    <w:p>
      <w:pPr>
        <w:widowControl/>
        <w:spacing w:line="360" w:lineRule="auto"/>
        <w:ind w:left="840"/>
        <w:jc w:val="left"/>
        <w:rPr>
          <w:rFonts w:ascii="宋体" w:hAnsi="宋体" w:cs="宋体"/>
          <w:sz w:val="32"/>
          <w:szCs w:val="32"/>
        </w:rPr>
      </w:pPr>
      <w:r>
        <w:rPr>
          <w:rFonts w:hint="eastAsia" w:ascii="宋体" w:hAnsi="宋体" w:cs="宋体"/>
          <w:sz w:val="32"/>
          <w:szCs w:val="32"/>
        </w:rPr>
        <w:t>9、本项目不接受联合体</w:t>
      </w:r>
    </w:p>
    <w:p>
      <w:pPr>
        <w:pStyle w:val="9"/>
        <w:ind w:left="420" w:leftChars="200" w:firstLine="0"/>
        <w:rPr>
          <w:rFonts w:ascii="宋体" w:hAnsi="宋体" w:cs="宋体"/>
        </w:rPr>
      </w:pPr>
    </w:p>
    <w:p>
      <w:pPr>
        <w:pStyle w:val="2"/>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12"/>
        <w:sectPr>
          <w:pgSz w:w="11906" w:h="16838"/>
          <w:pgMar w:top="1440" w:right="1803" w:bottom="1440" w:left="1803" w:header="851" w:footer="992" w:gutter="0"/>
          <w:cols w:space="720" w:num="1"/>
          <w:docGrid w:type="lines" w:linePitch="319" w:charSpace="0"/>
        </w:sectPr>
      </w:pPr>
    </w:p>
    <w:p>
      <w:pPr>
        <w:pStyle w:val="5"/>
        <w:spacing w:before="312" w:beforeLines="100" w:after="468" w:afterLines="150" w:line="500" w:lineRule="exact"/>
        <w:rPr>
          <w:rFonts w:ascii="宋体" w:hAnsi="宋体"/>
          <w:sz w:val="36"/>
          <w:szCs w:val="36"/>
        </w:rPr>
      </w:pPr>
      <w:bookmarkStart w:id="79" w:name="_Toc9672"/>
      <w:r>
        <w:rPr>
          <w:rFonts w:hint="eastAsia" w:ascii="宋体" w:hAnsi="宋体" w:cs="宋体"/>
          <w:sz w:val="36"/>
          <w:szCs w:val="36"/>
        </w:rPr>
        <w:t>第五部分</w:t>
      </w:r>
      <w:bookmarkEnd w:id="78"/>
      <w:r>
        <w:rPr>
          <w:rFonts w:hint="eastAsia" w:ascii="宋体" w:hAnsi="宋体" w:cs="宋体"/>
          <w:sz w:val="36"/>
          <w:szCs w:val="36"/>
        </w:rPr>
        <w:t xml:space="preserve"> 技术与服务方案</w:t>
      </w:r>
      <w:bookmarkEnd w:id="79"/>
    </w:p>
    <w:p>
      <w:pPr>
        <w:spacing w:line="360" w:lineRule="auto"/>
        <w:jc w:val="left"/>
        <w:rPr>
          <w:rFonts w:ascii="宋体" w:hAnsi="宋体" w:cs="宋体"/>
          <w:b/>
          <w:bCs/>
          <w:sz w:val="24"/>
          <w:szCs w:val="24"/>
        </w:rPr>
      </w:pPr>
      <w:r>
        <w:rPr>
          <w:rFonts w:hint="eastAsia" w:ascii="宋体" w:hAnsi="宋体" w:cs="宋体"/>
          <w:b/>
          <w:bCs/>
          <w:sz w:val="24"/>
          <w:szCs w:val="24"/>
        </w:rPr>
        <w:t>技术与服务方案由供应商自行编写，无具体格式。</w:t>
      </w:r>
    </w:p>
    <w:p>
      <w:pPr>
        <w:sectPr>
          <w:headerReference r:id="rId12" w:type="default"/>
          <w:pgSz w:w="11906" w:h="16838"/>
          <w:pgMar w:top="1440" w:right="1800" w:bottom="1440" w:left="1800" w:header="851" w:footer="992" w:gutter="0"/>
          <w:cols w:space="720" w:num="1"/>
          <w:docGrid w:type="lines" w:linePitch="312" w:charSpace="0"/>
        </w:sectPr>
      </w:pPr>
    </w:p>
    <w:p>
      <w:pPr>
        <w:pStyle w:val="5"/>
        <w:spacing w:before="319" w:beforeLines="100" w:after="478" w:afterLines="150" w:line="500" w:lineRule="exact"/>
        <w:rPr>
          <w:rFonts w:ascii="宋体" w:hAnsi="宋体" w:cs="宋体"/>
          <w:sz w:val="36"/>
          <w:szCs w:val="36"/>
        </w:rPr>
      </w:pPr>
      <w:bookmarkStart w:id="80" w:name="_Toc11906"/>
      <w:bookmarkStart w:id="81" w:name="_Toc10667"/>
      <w:bookmarkStart w:id="82" w:name="_Toc23535"/>
      <w:bookmarkStart w:id="83" w:name="_Toc498694581"/>
      <w:bookmarkStart w:id="84" w:name="七"/>
      <w:bookmarkStart w:id="85" w:name="_Toc8571"/>
      <w:bookmarkStart w:id="86" w:name="_Toc27213"/>
      <w:bookmarkStart w:id="87" w:name="_Toc10530"/>
      <w:bookmarkStart w:id="88" w:name="_Toc29272"/>
      <w:r>
        <w:rPr>
          <w:rFonts w:hint="eastAsia" w:ascii="宋体" w:hAnsi="宋体" w:cs="宋体"/>
          <w:sz w:val="36"/>
          <w:szCs w:val="36"/>
        </w:rPr>
        <w:t xml:space="preserve">第六部分  </w:t>
      </w:r>
      <w:bookmarkEnd w:id="80"/>
      <w:bookmarkEnd w:id="81"/>
      <w:bookmarkEnd w:id="82"/>
      <w:bookmarkEnd w:id="83"/>
      <w:bookmarkEnd w:id="84"/>
      <w:bookmarkEnd w:id="85"/>
      <w:bookmarkEnd w:id="86"/>
      <w:bookmarkEnd w:id="87"/>
      <w:r>
        <w:rPr>
          <w:rFonts w:hint="eastAsia" w:ascii="宋体" w:hAnsi="宋体" w:cs="宋体"/>
          <w:sz w:val="36"/>
          <w:szCs w:val="36"/>
        </w:rPr>
        <w:t>售后服务承诺</w:t>
      </w:r>
      <w:bookmarkEnd w:id="88"/>
    </w:p>
    <w:p>
      <w:pPr>
        <w:rPr>
          <w:rFonts w:ascii="宋体" w:hAnsi="宋体" w:cs="宋体"/>
          <w:b/>
          <w:bCs/>
          <w:sz w:val="20"/>
          <w:szCs w:val="20"/>
        </w:rPr>
      </w:pPr>
      <w:r>
        <w:rPr>
          <w:rFonts w:hint="eastAsia" w:ascii="宋体" w:hAnsi="宋体" w:cs="宋体"/>
          <w:b/>
          <w:bCs/>
          <w:sz w:val="24"/>
          <w:szCs w:val="24"/>
        </w:rPr>
        <w:t>售后服务承诺由供应商自行编写，无具体格式。</w:t>
      </w:r>
    </w:p>
    <w:p>
      <w:pPr>
        <w:spacing w:line="360" w:lineRule="auto"/>
        <w:jc w:val="left"/>
        <w:rPr>
          <w:rFonts w:ascii="宋体" w:hAnsi="宋体" w:cs="宋体"/>
        </w:rPr>
        <w:sectPr>
          <w:pgSz w:w="11906" w:h="16838"/>
          <w:pgMar w:top="1440" w:right="1803" w:bottom="1440" w:left="1803" w:header="851" w:footer="992" w:gutter="0"/>
          <w:cols w:space="720" w:num="1"/>
          <w:docGrid w:type="lines" w:linePitch="319" w:charSpace="0"/>
        </w:sectPr>
      </w:pPr>
    </w:p>
    <w:p>
      <w:pPr>
        <w:pStyle w:val="5"/>
        <w:adjustRightInd w:val="0"/>
        <w:spacing w:before="319" w:beforeLines="100" w:after="478" w:afterLines="150" w:line="500" w:lineRule="exact"/>
        <w:textAlignment w:val="baseline"/>
        <w:rPr>
          <w:rFonts w:ascii="宋体" w:hAnsi="宋体" w:cs="宋体"/>
          <w:sz w:val="36"/>
          <w:szCs w:val="36"/>
        </w:rPr>
      </w:pPr>
      <w:bookmarkStart w:id="89" w:name="_Toc17665"/>
      <w:bookmarkStart w:id="90" w:name="_Toc11150"/>
      <w:r>
        <w:rPr>
          <w:rFonts w:hint="eastAsia" w:ascii="宋体" w:cs="宋体"/>
          <w:sz w:val="36"/>
          <w:szCs w:val="36"/>
        </w:rPr>
        <w:t xml:space="preserve">第七部分  </w:t>
      </w:r>
      <w:r>
        <w:rPr>
          <w:rFonts w:hint="eastAsia" w:ascii="宋体" w:hAnsi="宋体" w:cs="宋体"/>
          <w:sz w:val="36"/>
          <w:szCs w:val="36"/>
        </w:rPr>
        <w:t>业绩一览表</w:t>
      </w:r>
      <w:bookmarkEnd w:id="89"/>
      <w:bookmarkEnd w:id="9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61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79"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96"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合同签订时间</w:t>
            </w:r>
          </w:p>
        </w:tc>
        <w:tc>
          <w:tcPr>
            <w:tcW w:w="1589" w:type="dxa"/>
            <w:tcBorders>
              <w:top w:val="single" w:color="auto" w:sz="4" w:space="0"/>
            </w:tcBorders>
            <w:vAlign w:val="center"/>
          </w:tcPr>
          <w:p>
            <w:pPr>
              <w:spacing w:line="400" w:lineRule="exact"/>
              <w:ind w:firstLine="105" w:firstLineChars="50"/>
              <w:jc w:val="center"/>
              <w:rPr>
                <w:rFonts w:ascii="宋体" w:hAnsi="宋体" w:cs="宋体"/>
              </w:rPr>
            </w:pPr>
            <w:r>
              <w:rPr>
                <w:rFonts w:hint="eastAsia" w:ascii="宋体" w:hAnsi="宋体" w:cs="宋体"/>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tcBorders>
              <w:right w:val="single" w:color="auto" w:sz="4" w:space="0"/>
            </w:tcBorders>
            <w:vAlign w:val="center"/>
          </w:tcPr>
          <w:p>
            <w:pPr>
              <w:spacing w:line="400" w:lineRule="exact"/>
              <w:jc w:val="center"/>
              <w:rPr>
                <w:rFonts w:ascii="宋体" w:hAnsi="宋体" w:cs="宋体"/>
              </w:rPr>
            </w:pPr>
          </w:p>
        </w:tc>
        <w:tc>
          <w:tcPr>
            <w:tcW w:w="1479" w:type="dxa"/>
            <w:tcBorders>
              <w:left w:val="single" w:color="auto" w:sz="4" w:space="0"/>
            </w:tcBorders>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rPr>
                <w:rFonts w:ascii="宋体" w:hAnsi="宋体" w:cs="宋体"/>
              </w:rPr>
            </w:pPr>
          </w:p>
        </w:tc>
        <w:tc>
          <w:tcPr>
            <w:tcW w:w="1614" w:type="dxa"/>
            <w:tcBorders>
              <w:left w:val="single" w:color="auto" w:sz="4" w:space="0"/>
              <w:right w:val="single" w:color="auto" w:sz="4" w:space="0"/>
            </w:tcBorders>
            <w:vAlign w:val="center"/>
          </w:tcPr>
          <w:p>
            <w:pPr>
              <w:spacing w:line="400" w:lineRule="exact"/>
              <w:rPr>
                <w:rFonts w:ascii="宋体" w:hAnsi="宋体" w:cs="宋体"/>
              </w:rPr>
            </w:pPr>
          </w:p>
        </w:tc>
        <w:tc>
          <w:tcPr>
            <w:tcW w:w="1479" w:type="dxa"/>
            <w:tcBorders>
              <w:left w:val="single" w:color="auto" w:sz="4" w:space="0"/>
              <w:right w:val="single" w:color="auto" w:sz="4" w:space="0"/>
            </w:tcBorders>
            <w:vAlign w:val="center"/>
          </w:tcPr>
          <w:p>
            <w:pPr>
              <w:spacing w:line="400" w:lineRule="exact"/>
              <w:rPr>
                <w:rFonts w:ascii="宋体" w:hAnsi="宋体" w:cs="宋体"/>
              </w:rPr>
            </w:pPr>
          </w:p>
        </w:tc>
        <w:tc>
          <w:tcPr>
            <w:tcW w:w="1496" w:type="dxa"/>
            <w:tcBorders>
              <w:left w:val="single" w:color="auto" w:sz="4" w:space="0"/>
              <w:right w:val="single" w:color="auto" w:sz="4" w:space="0"/>
            </w:tcBorders>
            <w:vAlign w:val="center"/>
          </w:tcPr>
          <w:p>
            <w:pPr>
              <w:spacing w:line="400" w:lineRule="exact"/>
              <w:rPr>
                <w:rFonts w:ascii="宋体" w:hAnsi="宋体" w:cs="宋体"/>
              </w:rPr>
            </w:pPr>
          </w:p>
        </w:tc>
        <w:tc>
          <w:tcPr>
            <w:tcW w:w="1589" w:type="dxa"/>
            <w:tcBorders>
              <w:left w:val="single" w:color="auto" w:sz="4" w:space="0"/>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ascii="宋体" w:hAnsi="宋体" w:cs="宋体"/>
              </w:rPr>
            </w:pPr>
          </w:p>
        </w:tc>
        <w:tc>
          <w:tcPr>
            <w:tcW w:w="1614" w:type="dxa"/>
            <w:vAlign w:val="center"/>
          </w:tcPr>
          <w:p>
            <w:pPr>
              <w:spacing w:line="400" w:lineRule="exact"/>
              <w:rPr>
                <w:rFonts w:ascii="宋体" w:hAnsi="宋体" w:cs="宋体"/>
              </w:rPr>
            </w:pPr>
          </w:p>
        </w:tc>
        <w:tc>
          <w:tcPr>
            <w:tcW w:w="1479" w:type="dxa"/>
            <w:vAlign w:val="center"/>
          </w:tcPr>
          <w:p>
            <w:pPr>
              <w:spacing w:line="400" w:lineRule="exact"/>
              <w:rPr>
                <w:rFonts w:ascii="宋体" w:hAnsi="宋体" w:cs="宋体"/>
              </w:rPr>
            </w:pPr>
          </w:p>
        </w:tc>
        <w:tc>
          <w:tcPr>
            <w:tcW w:w="1496" w:type="dxa"/>
            <w:vAlign w:val="center"/>
          </w:tcPr>
          <w:p>
            <w:pPr>
              <w:spacing w:line="400" w:lineRule="exact"/>
              <w:rPr>
                <w:rFonts w:ascii="宋体" w:hAnsi="宋体" w:cs="宋体"/>
              </w:rPr>
            </w:pPr>
          </w:p>
        </w:tc>
        <w:tc>
          <w:tcPr>
            <w:tcW w:w="1589" w:type="dxa"/>
            <w:tcBorders>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rPr>
            </w:pPr>
          </w:p>
        </w:tc>
        <w:tc>
          <w:tcPr>
            <w:tcW w:w="1614" w:type="dxa"/>
            <w:tcBorders>
              <w:bottom w:val="single" w:color="auto" w:sz="4" w:space="0"/>
            </w:tcBorders>
            <w:vAlign w:val="center"/>
          </w:tcPr>
          <w:p>
            <w:pPr>
              <w:spacing w:line="400" w:lineRule="exact"/>
              <w:jc w:val="center"/>
              <w:rPr>
                <w:rFonts w:ascii="宋体" w:hAnsi="宋体" w:cs="宋体"/>
              </w:rPr>
            </w:pPr>
          </w:p>
        </w:tc>
        <w:tc>
          <w:tcPr>
            <w:tcW w:w="1479" w:type="dxa"/>
            <w:tcBorders>
              <w:bottom w:val="single" w:color="auto" w:sz="4" w:space="0"/>
            </w:tcBorders>
            <w:vAlign w:val="center"/>
          </w:tcPr>
          <w:p>
            <w:pPr>
              <w:spacing w:line="400" w:lineRule="exact"/>
              <w:jc w:val="center"/>
              <w:rPr>
                <w:rFonts w:ascii="宋体" w:hAnsi="宋体" w:cs="宋体"/>
              </w:rPr>
            </w:pPr>
          </w:p>
        </w:tc>
        <w:tc>
          <w:tcPr>
            <w:tcW w:w="1496" w:type="dxa"/>
            <w:tcBorders>
              <w:bottom w:val="single" w:color="auto" w:sz="4" w:space="0"/>
            </w:tcBorders>
            <w:vAlign w:val="center"/>
          </w:tcPr>
          <w:p>
            <w:pPr>
              <w:spacing w:line="400" w:lineRule="exact"/>
              <w:jc w:val="center"/>
              <w:rPr>
                <w:rFonts w:ascii="宋体" w:hAnsi="宋体" w:cs="宋体"/>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footerReference r:id="rId13" w:type="default"/>
          <w:pgSz w:w="11906" w:h="16838"/>
          <w:pgMar w:top="1440" w:right="1803" w:bottom="1440" w:left="1803" w:header="851" w:footer="992" w:gutter="0"/>
          <w:cols w:space="720" w:num="1"/>
          <w:docGrid w:type="lines" w:linePitch="319" w:charSpace="0"/>
        </w:sectPr>
      </w:pPr>
    </w:p>
    <w:p>
      <w:pPr>
        <w:jc w:val="center"/>
        <w:outlineLvl w:val="1"/>
        <w:rPr>
          <w:rFonts w:ascii="宋体" w:hAnsi="宋体" w:cs="宋体"/>
          <w:b/>
          <w:sz w:val="28"/>
        </w:rPr>
      </w:pPr>
      <w:bookmarkStart w:id="91" w:name="_Toc11754"/>
      <w:r>
        <w:rPr>
          <w:rFonts w:hint="eastAsia" w:ascii="宋体" w:hAnsi="宋体" w:cs="宋体"/>
          <w:b/>
          <w:sz w:val="28"/>
        </w:rPr>
        <w:t>第八部分 供应商认为有必要说明的其他问题</w:t>
      </w:r>
      <w:bookmarkEnd w:id="91"/>
    </w:p>
    <w:p>
      <w:r>
        <w:rPr>
          <w:rFonts w:hint="eastAsia"/>
          <w:b/>
          <w:bCs/>
        </w:rPr>
        <w:t>例如：保证金缴纳凭证。</w:t>
      </w:r>
    </w:p>
    <w:p>
      <w:pPr>
        <w:widowControl/>
        <w:spacing w:line="360" w:lineRule="auto"/>
        <w:ind w:left="420" w:leftChars="200"/>
        <w:jc w:val="left"/>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pStyle w:val="5"/>
        <w:adjustRightInd w:val="0"/>
        <w:spacing w:line="416" w:lineRule="atLeast"/>
        <w:jc w:val="left"/>
        <w:textAlignment w:val="baseline"/>
        <w:rPr>
          <w:rFonts w:ascii="宋体" w:hAnsi="宋体" w:cs="宋体"/>
        </w:rPr>
      </w:pPr>
      <w:bookmarkStart w:id="92" w:name="_Toc29365"/>
      <w:r>
        <w:rPr>
          <w:rFonts w:hint="eastAsia" w:ascii="宋体" w:hAnsi="宋体" w:cs="宋体"/>
        </w:rPr>
        <w:t>附件一、封袋正面标识式样</w:t>
      </w:r>
      <w:bookmarkEnd w:id="92"/>
    </w:p>
    <w:p>
      <w:pPr>
        <w:spacing w:line="460" w:lineRule="exact"/>
        <w:ind w:firstLine="482" w:firstLineChars="200"/>
        <w:jc w:val="center"/>
        <w:rPr>
          <w:rFonts w:ascii="宋体" w:hAnsi="宋体" w:cs="宋体"/>
          <w:b/>
          <w:sz w:val="24"/>
        </w:rPr>
      </w:pPr>
      <w:r>
        <w:rPr>
          <w:rFonts w:hint="eastAsia" w:ascii="宋体" w:hAnsi="宋体" w:cs="宋体"/>
          <w:b/>
          <w:sz w:val="24"/>
        </w:rPr>
        <w:t>响应文件正本封袋正面标识式样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-423545</wp:posOffset>
                </wp:positionH>
                <wp:positionV relativeFrom="paragraph">
                  <wp:posOffset>132080</wp:posOffset>
                </wp:positionV>
                <wp:extent cx="6255385" cy="3545840"/>
                <wp:effectExtent l="0" t="0" r="0" b="0"/>
                <wp:wrapNone/>
                <wp:docPr id="13" name="Text Box 3"/>
                <wp:cNvGraphicFramePr/>
                <a:graphic xmlns:a="http://schemas.openxmlformats.org/drawingml/2006/main">
                  <a:graphicData uri="http://schemas.microsoft.com/office/word/2010/wordprocessingShape">
                    <wps:wsp>
                      <wps:cNvSpPr txBox="1"/>
                      <wps:spPr>
                        <a:xfrm>
                          <a:off x="0" y="0"/>
                          <a:ext cx="6255385" cy="3545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79.2pt;width:492.55pt;z-index:251661312;mso-width-relative:page;mso-height-relative:page;" fillcolor="#FFFFFF" filled="t" stroked="t" coordsize="21600,21600" o:gfxdata="UEsDBAoAAAAAAIdO4kAAAAAAAAAAAAAAAAAEAAAAZHJzL1BLAwQUAAAACACHTuJAkCOj/toAAAAK&#10;AQAADwAAAGRycy9kb3ducmV2LnhtbE2Py07DMBBF90j8gzVIbFBrJ5S8mkkXSCDYQUF068ZuEhGP&#10;g+2m5e8xK1iO5ujec+vN2Yxs1s4PlhCSpQCmqbVqoA7h/e1hUQDzQZKSoyWN8K09bJrLi1pWyp7o&#10;Vc/b0LEYQr6SCH0IU8W5b3ttpF/aSVP8HawzMsTTdVw5eYrhZuSpEBk3cqDY0MtJ3/e6/dweDUKx&#10;epp3/vn25aPNDmMZbvL58cshXl8lYg0s6HP4g+FXP6pDE5329kjKsxFhkWV5RBFSESdEoEyKFbA9&#10;wl1epsCbmv+f0PwAUEsDBBQAAAAIAIdO4kBSzRWwBAIAAEUEAAAOAAAAZHJzL2Uyb0RvYy54bWyt&#10;U81u2zAMvg/YOwi6L3aTusiMOAW2LLsM24B2D6DItC1AfxCV2Hn7UUqapd0OOcwHmSKpj+RHcvU4&#10;Gc0OEFA52/C7WckZWOlaZfuG/3reflhyhlHYVmhnoeFHQP64fv9uNfoa5m5wuoXACMRiPfqGDzH6&#10;uihQDmAEzpwHS8bOBSMiXUNftEGMhG50MS/Lh2J0ofXBSUAk7eZk5GfEcAug6zolYePk3oCNJ9QA&#10;WkQqCQflka9ztl0HMv7oOoTIdMOp0phPCkLyLp3FeiXqPgg/KHlOQdySwpuajFCWgl6gNiIKtg/q&#10;LyijZHDoujiTzhSnQjIjVMVd+Yabp0F4yLUQ1egvpOP/g5XfDz8DUy1NwoIzKwx1/BmmyD65iS0S&#10;PaPHmryePPnFidTk+qJHUqaqpy6Y9Kd6GNmJ3OOF3AQmSfkwr6rFsuJMkm1R3VfL+0x/8ee5Dxi/&#10;gjMsCQ0P1L1Mqjh8w0ipkOuLS4qGTqt2q7TOl9DvPuvADoI6vc1fypKevHLTlo0N/1jNUyKCxrej&#10;sSHReKIAbZ/jvXqB18Bl/v4FnBLbCBxOCWSE5CZqoyKELA0g2i+2ZfHoiWVL28VTMgZazjTQMiYp&#10;e0ah9C2eVJ22KQjkUT+zlDp26kyS4rSbCDSJO9ceqYt7H1Q/EMG5j0Wy0HRlrs6bkMb3+k7y9fa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I6P+2gAAAAoBAAAPAAAAAAAAAAEAIAAAACIAAABk&#10;cnMvZG93bnJldi54bWxQSwECFAAUAAAACACHTuJAUs0VsA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r>
        <w:rPr>
          <w:rFonts w:hint="eastAsia" w:ascii="宋体" w:hAnsi="宋体" w:cs="宋体"/>
          <w:b/>
          <w:sz w:val="24"/>
        </w:rPr>
        <w:t>响应文件副本封袋正面标识式样</w: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r>
        <w:rPr>
          <w:rFonts w:ascii="宋体" w:hAnsi="宋体" w:cs="宋体"/>
          <w:b/>
          <w:sz w:val="24"/>
        </w:rPr>
        <mc:AlternateContent>
          <mc:Choice Requires="wps">
            <w:drawing>
              <wp:anchor distT="0" distB="0" distL="114300" distR="114300" simplePos="0" relativeHeight="251662336" behindDoc="0" locked="0" layoutInCell="1" allowOverlap="1">
                <wp:simplePos x="0" y="0"/>
                <wp:positionH relativeFrom="column">
                  <wp:posOffset>-413385</wp:posOffset>
                </wp:positionH>
                <wp:positionV relativeFrom="paragraph">
                  <wp:posOffset>76835</wp:posOffset>
                </wp:positionV>
                <wp:extent cx="6288405" cy="3580765"/>
                <wp:effectExtent l="0" t="0" r="0" b="635"/>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2336;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pgSz w:w="11906" w:h="16838"/>
          <w:pgMar w:top="1440" w:right="1800" w:bottom="1440" w:left="1800" w:header="851" w:footer="992" w:gutter="0"/>
          <w:cols w:space="720" w:num="1"/>
          <w:docGrid w:type="lines" w:linePitch="312"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响应一览表封袋正面标识式样</w:t>
      </w:r>
    </w:p>
    <w:p>
      <w:pPr>
        <w:spacing w:line="460" w:lineRule="exact"/>
        <w:ind w:firstLine="482" w:firstLineChars="200"/>
        <w:jc w:val="center"/>
        <w:rPr>
          <w:rFonts w:ascii="宋体" w:hAnsi="宋体" w:cs="宋体"/>
          <w:b/>
          <w:sz w:val="24"/>
        </w:rPr>
      </w:pP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-406400</wp:posOffset>
                </wp:positionH>
                <wp:positionV relativeFrom="paragraph">
                  <wp:posOffset>188595</wp:posOffset>
                </wp:positionV>
                <wp:extent cx="6244590" cy="3326765"/>
                <wp:effectExtent l="0" t="0" r="3810" b="698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3360;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left"/>
        <w:rPr>
          <w:rFonts w:ascii="宋体" w:hAnsi="宋体" w:cs="宋体"/>
          <w:b/>
          <w:sz w:val="24"/>
        </w:rPr>
      </w:pPr>
    </w:p>
    <w:p>
      <w:pPr>
        <w:spacing w:line="460" w:lineRule="exact"/>
        <w:jc w:val="left"/>
        <w:rPr>
          <w:rFonts w:ascii="宋体" w:hAnsi="宋体" w:cs="宋体"/>
          <w:b/>
          <w:sz w:val="24"/>
        </w:rPr>
      </w:pPr>
    </w:p>
    <w:p>
      <w:pPr>
        <w:spacing w:line="460" w:lineRule="exact"/>
        <w:jc w:val="left"/>
        <w:rPr>
          <w:rFonts w:ascii="宋体" w:hAnsi="宋体" w:cs="宋体"/>
          <w:b/>
          <w:sz w:val="24"/>
        </w:rPr>
      </w:pPr>
    </w:p>
    <w:p>
      <w:pPr>
        <w:spacing w:line="460" w:lineRule="exact"/>
        <w:jc w:val="left"/>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left"/>
        <w:rPr>
          <w:rFonts w:ascii="宋体" w:hAnsi="宋体" w:cs="宋体"/>
          <w:b/>
          <w:sz w:val="24"/>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-425450</wp:posOffset>
                </wp:positionH>
                <wp:positionV relativeFrom="paragraph">
                  <wp:posOffset>55245</wp:posOffset>
                </wp:positionV>
                <wp:extent cx="6351270" cy="3234055"/>
                <wp:effectExtent l="0" t="0" r="0" b="4445"/>
                <wp:wrapNone/>
                <wp:docPr id="10" name="Text Box 3"/>
                <wp:cNvGraphicFramePr/>
                <a:graphic xmlns:a="http://schemas.openxmlformats.org/drawingml/2006/main">
                  <a:graphicData uri="http://schemas.microsoft.com/office/word/2010/wordprocessingShape">
                    <wps:wsp>
                      <wps:cNvSpPr txBox="1"/>
                      <wps:spPr>
                        <a:xfrm>
                          <a:off x="0" y="0"/>
                          <a:ext cx="635127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txbxContent>
                      </wps:txbx>
                      <wps:bodyPr upright="1"/>
                    </wps:wsp>
                  </a:graphicData>
                </a:graphic>
              </wp:anchor>
            </w:drawing>
          </mc:Choice>
          <mc:Fallback>
            <w:pict>
              <v:shape id="Text Box 3" o:spid="_x0000_s1026" o:spt="202" type="#_x0000_t202" style="position:absolute;left:0pt;margin-left:-33.5pt;margin-top:4.35pt;height:254.65pt;width:500.1pt;z-index:251664384;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DKtn40BAgAARQQAAA4AAABkcnMvZTJvRG9jLnhtbK1T&#10;TY/TMBC9I/EfLN9p0pYuEDVdCUq5IFhplx/gOpPEkr/kcZv03zN2uqW7cOiBHJLxzMubmTfj9f1o&#10;NDtCQOVszeezkjOw0jXKdjX/9bR795EzjMI2QjsLNT8B8vvN2zfrwVewcL3TDQRGJBarwde8j9FX&#10;RYGyByNw5jxYCrYuGBHpGLqiCWIgdqOLRVneFYMLjQ9OAiJ5t1OQnxnDLYSubZWErZMHAzZOrAG0&#10;iNQS9soj3+Rq2xZk/Nm2CJHpmlOnMb8pCdn79C42a1F1QfheyXMJ4pYSXvVkhLKU9EK1FVGwQ1B/&#10;URklg0PXxpl0ppgayYpQF/PylTaPvfCQeyGp0V9Ex/9HK38cHwJTDW0CSWKFoYk/wRjZZzeyZZJn&#10;8FgR6tETLo7kJuizH8mZuh7bYNKX+mEUJ6bTRdxEJsl5t1zNFx8oJCm2XCzfl6tV4in+/O4Dxm/g&#10;DEtGzQNNL4sqjt8xTtBnSMqGTqtmp7TOh9Dtv+jAjoImvcvPmf0FTFs21PzTarGiQgStb0trQ6bx&#10;JAHaLud78QdeE5f5+RdxKmwrsJ8KyAwJJiqjIoRs9SCar7Zh8eRJZUu3i6diDDScaaDLmKyMjELp&#10;W5CknbYpCeRVP6uUJjZNJllx3I9Emsy9a040xYMPqutJ4DzHIkVou/Ikzjchre/1mezr2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HivmbZAAAACQEAAA8AAAAAAAAAAQAgAAAAIgAAAGRycy9k&#10;b3ducmV2LnhtbFBLAQIUABQAAAAIAIdO4kAyrZ+NAQIAAEUEAAAOAAAAAAAAAAEAIAAAACgBAABk&#10;cnMvZTJvRG9jLnhtbFBLBQYAAAAABgAGAFkBAACbBQ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项目编号：ZMZB2022YLXY-387</w:t>
                      </w:r>
                    </w:p>
                    <w:p>
                      <w:pPr>
                        <w:rPr>
                          <w:sz w:val="28"/>
                          <w:szCs w:val="28"/>
                        </w:rPr>
                      </w:pPr>
                      <w:r>
                        <w:rPr>
                          <w:rFonts w:hint="eastAsia"/>
                          <w:sz w:val="28"/>
                          <w:szCs w:val="28"/>
                        </w:rPr>
                        <w:t>项目名称：榆林学院能源系统优化科研平台设备购置项目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txbxContent>
                </v:textbox>
              </v:shape>
            </w:pict>
          </mc:Fallback>
        </mc:AlternateContent>
      </w: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420" w:firstLineChars="200"/>
        <w:jc w:val="left"/>
        <w:rPr>
          <w:rFonts w:ascii="宋体" w:hAnsi="宋体" w:cs="宋体"/>
        </w:rPr>
      </w:pPr>
    </w:p>
    <w:p>
      <w:pPr>
        <w:ind w:firstLine="1004" w:firstLineChars="200"/>
        <w:jc w:val="left"/>
        <w:rPr>
          <w:rFonts w:ascii="宋体" w:hAnsi="宋体" w:cs="宋体"/>
          <w:b/>
          <w:sz w:val="50"/>
        </w:rPr>
      </w:pPr>
    </w:p>
    <w:p>
      <w:pPr>
        <w:pageBreakBefore/>
        <w:spacing w:line="420" w:lineRule="auto"/>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pPr>
        <w:pStyle w:val="5"/>
        <w:adjustRightInd w:val="0"/>
        <w:spacing w:line="416" w:lineRule="atLeast"/>
        <w:textAlignment w:val="baseline"/>
        <w:rPr>
          <w:rFonts w:ascii="宋体" w:hAnsi="宋体" w:cs="宋体"/>
        </w:rPr>
      </w:pPr>
      <w:bookmarkStart w:id="93" w:name="_Toc11632"/>
      <w:bookmarkStart w:id="94" w:name="_Toc30485"/>
      <w:bookmarkStart w:id="95" w:name="_Toc3008"/>
      <w:bookmarkStart w:id="96" w:name="_Toc20374"/>
      <w:bookmarkStart w:id="97" w:name="_Toc8177"/>
      <w:bookmarkStart w:id="98" w:name="_Toc20088"/>
      <w:bookmarkStart w:id="99" w:name="_Toc2630"/>
      <w:bookmarkStart w:id="100" w:name="_Toc18633"/>
      <w:bookmarkStart w:id="101" w:name="_Toc1641"/>
      <w:bookmarkStart w:id="102" w:name="_Toc17991"/>
      <w:bookmarkStart w:id="103" w:name="_Toc32558"/>
      <w:bookmarkStart w:id="104" w:name="_Toc30536"/>
      <w:bookmarkStart w:id="105" w:name="_Toc30870"/>
      <w:bookmarkStart w:id="106" w:name="_Toc15467"/>
      <w:bookmarkStart w:id="107" w:name="_Toc22153"/>
      <w:bookmarkStart w:id="108" w:name="_Toc13303"/>
      <w:bookmarkStart w:id="109" w:name="_Toc14361"/>
      <w:r>
        <w:rPr>
          <w:rFonts w:hint="eastAsia" w:ascii="宋体" w:hAnsi="宋体" w:cs="宋体"/>
        </w:rPr>
        <w:t>附件二、中小企业</w:t>
      </w:r>
      <w:bookmarkEnd w:id="93"/>
      <w:bookmarkEnd w:id="94"/>
      <w:bookmarkEnd w:id="95"/>
      <w:bookmarkEnd w:id="96"/>
      <w:bookmarkEnd w:id="97"/>
      <w:bookmarkEnd w:id="98"/>
      <w:bookmarkEnd w:id="99"/>
      <w:bookmarkEnd w:id="100"/>
      <w:bookmarkEnd w:id="101"/>
      <w:bookmarkEnd w:id="102"/>
      <w:r>
        <w:rPr>
          <w:rFonts w:hint="eastAsia" w:ascii="宋体" w:hAnsi="宋体" w:cs="宋体"/>
        </w:rPr>
        <w:t>声明函（货物）</w:t>
      </w:r>
      <w:bookmarkEnd w:id="103"/>
    </w:p>
    <w:p>
      <w:pPr>
        <w:spacing w:line="360" w:lineRule="auto"/>
        <w:ind w:right="142" w:firstLine="480" w:firstLineChars="200"/>
        <w:rPr>
          <w:rFonts w:ascii="宋体" w:hAnsi="宋体" w:cs="宋体"/>
          <w:sz w:val="24"/>
          <w:szCs w:val="24"/>
        </w:rPr>
      </w:pPr>
      <w:bookmarkStart w:id="110" w:name="_Toc32438"/>
      <w:bookmarkStart w:id="111" w:name="_Toc6022"/>
      <w:bookmarkStart w:id="112" w:name="_Toc10807"/>
      <w:bookmarkStart w:id="113" w:name="_Toc7105"/>
      <w:bookmarkStart w:id="114" w:name="_Toc11896"/>
      <w:bookmarkStart w:id="115" w:name="_Toc5814"/>
      <w:bookmarkStart w:id="116" w:name="_Toc12531"/>
      <w:bookmarkStart w:id="117" w:name="_Toc21117"/>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2"/>
        <w:spacing w:line="360" w:lineRule="auto"/>
        <w:rPr>
          <w:rFonts w:ascii="宋体" w:hAnsi="宋体" w:cs="宋体"/>
          <w:w w:val="97"/>
          <w:sz w:val="24"/>
          <w:szCs w:val="24"/>
          <w:u w:val="single"/>
        </w:rPr>
      </w:pPr>
      <w:r>
        <w:rPr>
          <w:rFonts w:hint="eastAsia" w:ascii="宋体" w:hAnsi="宋体" w:cs="宋体"/>
          <w:w w:val="97"/>
          <w:u w:val="single"/>
        </w:rPr>
        <w:t>1.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w:t>
      </w: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2"/>
        <w:spacing w:line="360" w:lineRule="auto"/>
        <w:rPr>
          <w:rFonts w:ascii="宋体" w:hAnsi="宋体" w:cs="宋体"/>
          <w:w w:val="97"/>
          <w:sz w:val="24"/>
          <w:szCs w:val="24"/>
          <w:u w:val="single"/>
        </w:rPr>
      </w:pPr>
      <w:r>
        <w:rPr>
          <w:rFonts w:hint="eastAsia" w:ascii="宋体" w:hAnsi="宋体" w:cs="宋体"/>
          <w:w w:val="97"/>
          <w:u w:val="single"/>
        </w:rPr>
        <w:t>2.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w:t>
      </w: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ind w:left="3840" w:right="1900"/>
        <w:rPr>
          <w:rFonts w:ascii="宋体" w:hAnsi="宋体" w:cs="宋体"/>
          <w:sz w:val="24"/>
          <w:szCs w:val="24"/>
        </w:rPr>
      </w:pPr>
      <w:r>
        <w:rPr>
          <w:rFonts w:hint="eastAsia" w:ascii="宋体" w:hAnsi="宋体" w:cs="宋体"/>
          <w:sz w:val="24"/>
          <w:szCs w:val="24"/>
        </w:rPr>
        <w:t>企业名称（盖章）：</w:t>
      </w:r>
    </w:p>
    <w:p>
      <w:pPr>
        <w:spacing w:line="360" w:lineRule="auto"/>
        <w:ind w:left="3840" w:right="1900"/>
        <w:rPr>
          <w:rFonts w:ascii="宋体" w:hAnsi="宋体" w:cs="宋体"/>
          <w:sz w:val="24"/>
          <w:szCs w:val="24"/>
        </w:rPr>
      </w:pPr>
      <w:r>
        <w:rPr>
          <w:rFonts w:hint="eastAsia" w:ascii="宋体" w:hAnsi="宋体" w:cs="宋体"/>
          <w:sz w:val="24"/>
          <w:szCs w:val="24"/>
        </w:rPr>
        <w:t>日期：</w:t>
      </w:r>
    </w:p>
    <w:p>
      <w:pPr>
        <w:pStyle w:val="10"/>
        <w:spacing w:line="360" w:lineRule="auto"/>
        <w:rPr>
          <w:rFonts w:hAnsi="宋体" w:cs="宋体"/>
          <w:color w:val="000000"/>
          <w:sz w:val="20"/>
          <w:szCs w:val="20"/>
        </w:rPr>
      </w:pPr>
    </w:p>
    <w:p>
      <w:pPr>
        <w:pStyle w:val="10"/>
        <w:spacing w:line="360" w:lineRule="auto"/>
        <w:rPr>
          <w:rFonts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6"/>
        <w:rPr>
          <w:rFonts w:ascii="宋体" w:hAnsi="宋体" w:cs="宋体"/>
        </w:rPr>
        <w:sectPr>
          <w:footerReference r:id="rId14" w:type="default"/>
          <w:pgSz w:w="11906" w:h="16838"/>
          <w:pgMar w:top="1440" w:right="1803" w:bottom="1440" w:left="1803" w:header="851" w:footer="992" w:gutter="0"/>
          <w:cols w:space="720" w:num="1"/>
          <w:docGrid w:type="lines" w:linePitch="319" w:charSpace="0"/>
        </w:sectPr>
      </w:pPr>
    </w:p>
    <w:bookmarkEnd w:id="104"/>
    <w:bookmarkEnd w:id="105"/>
    <w:bookmarkEnd w:id="106"/>
    <w:bookmarkEnd w:id="110"/>
    <w:bookmarkEnd w:id="111"/>
    <w:bookmarkEnd w:id="112"/>
    <w:bookmarkEnd w:id="113"/>
    <w:bookmarkEnd w:id="114"/>
    <w:bookmarkEnd w:id="115"/>
    <w:bookmarkEnd w:id="116"/>
    <w:bookmarkEnd w:id="117"/>
    <w:p>
      <w:pPr>
        <w:pStyle w:val="10"/>
        <w:spacing w:line="360" w:lineRule="auto"/>
        <w:jc w:val="center"/>
        <w:rPr>
          <w:rFonts w:ascii="微软雅黑" w:hAnsi="微软雅黑" w:eastAsia="微软雅黑" w:cs="微软雅黑"/>
          <w:color w:val="383940"/>
          <w:sz w:val="39"/>
          <w:szCs w:val="39"/>
        </w:rPr>
      </w:pPr>
      <w:bookmarkStart w:id="118" w:name="_Toc18884"/>
      <w:r>
        <w:rPr>
          <w:rFonts w:hint="eastAsia" w:ascii="微软雅黑" w:hAnsi="微软雅黑" w:eastAsia="微软雅黑" w:cs="微软雅黑"/>
          <w:color w:val="383940"/>
          <w:sz w:val="39"/>
          <w:szCs w:val="39"/>
          <w:shd w:val="clear" w:color="auto" w:fill="FFFFFF"/>
        </w:rPr>
        <w:t>关于印发中小企业划型标准规定的通知</w:t>
      </w:r>
    </w:p>
    <w:p>
      <w:pPr>
        <w:pStyle w:val="20"/>
        <w:shd w:val="clear" w:color="auto" w:fill="FFFFFF"/>
        <w:rPr>
          <w:color w:val="000000"/>
          <w:shd w:val="clear" w:color="auto" w:fill="FFFFFF"/>
        </w:rPr>
      </w:pPr>
      <w:r>
        <w:rPr>
          <w:rFonts w:hint="eastAsia"/>
          <w:color w:val="000000"/>
          <w:shd w:val="clear" w:color="auto" w:fill="FFFFFF"/>
        </w:rPr>
        <w:t>各省、自治区、直辖市人民政府，国务院各部委、各直属机构及有关单位：</w:t>
      </w:r>
    </w:p>
    <w:p>
      <w:pPr>
        <w:pStyle w:val="20"/>
        <w:shd w:val="clear" w:color="auto" w:fill="FFFFFF"/>
        <w:rPr>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0"/>
        <w:shd w:val="clear" w:color="auto" w:fill="FFFFFF"/>
        <w:rPr>
          <w:color w:val="000000"/>
          <w:shd w:val="clear" w:color="auto" w:fill="FFFFFF"/>
        </w:rPr>
      </w:pPr>
      <w:r>
        <w:rPr>
          <w:rFonts w:hint="eastAsia"/>
          <w:color w:val="000000"/>
          <w:shd w:val="clear" w:color="auto" w:fill="FFFFFF"/>
        </w:rPr>
        <w:t>　　　　　　　　　　　　　　　　　　　　　工业和信息化部　国家统计局</w:t>
      </w:r>
    </w:p>
    <w:p>
      <w:pPr>
        <w:pStyle w:val="20"/>
        <w:shd w:val="clear" w:color="auto" w:fill="FFFFFF"/>
        <w:rPr>
          <w:color w:val="000000"/>
          <w:shd w:val="clear" w:color="auto" w:fill="FFFFFF"/>
        </w:rPr>
      </w:pPr>
      <w:r>
        <w:rPr>
          <w:rFonts w:hint="eastAsia"/>
          <w:color w:val="000000"/>
          <w:shd w:val="clear" w:color="auto" w:fill="FFFFFF"/>
        </w:rPr>
        <w:t>　　　　　　　　　　　　　　　　　　　　国家发展和改革委员会　财政部</w:t>
      </w:r>
    </w:p>
    <w:p>
      <w:pPr>
        <w:pStyle w:val="20"/>
        <w:shd w:val="clear" w:color="auto" w:fill="FFFFFF"/>
        <w:rPr>
          <w:color w:val="000000"/>
        </w:rPr>
      </w:pPr>
      <w:r>
        <w:rPr>
          <w:rFonts w:hint="eastAsia"/>
          <w:color w:val="000000"/>
          <w:shd w:val="clear" w:color="auto" w:fill="FFFFFF"/>
        </w:rPr>
        <w:t>　　　　　　　　　　　　　　　　　　　　　　　　二○一一年六月十八日</w:t>
      </w:r>
    </w:p>
    <w:p>
      <w:pPr>
        <w:pStyle w:val="20"/>
        <w:shd w:val="clear" w:color="auto" w:fill="FFFFFF"/>
        <w:rPr>
          <w:color w:val="000000"/>
        </w:rPr>
      </w:pPr>
      <w:r>
        <w:rPr>
          <w:rFonts w:hint="eastAsia"/>
          <w:color w:val="000000"/>
          <w:shd w:val="clear" w:color="auto" w:fill="FFFFFF"/>
        </w:rPr>
        <w:t> </w:t>
      </w:r>
    </w:p>
    <w:p>
      <w:pPr>
        <w:pStyle w:val="20"/>
        <w:shd w:val="clear" w:color="auto" w:fill="FFFFFF"/>
        <w:jc w:val="center"/>
        <w:rPr>
          <w:rStyle w:val="26"/>
          <w:color w:val="000000"/>
          <w:sz w:val="36"/>
          <w:szCs w:val="36"/>
          <w:shd w:val="clear" w:color="auto" w:fill="FFFFFF"/>
        </w:rPr>
      </w:pPr>
      <w:r>
        <w:rPr>
          <w:rStyle w:val="26"/>
          <w:rFonts w:hint="eastAsia"/>
          <w:color w:val="000000"/>
          <w:sz w:val="36"/>
          <w:szCs w:val="36"/>
          <w:shd w:val="clear" w:color="auto" w:fill="FFFFFF"/>
        </w:rPr>
        <w:t>中小企业划型标准规定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pPr>
        <w:spacing w:line="360" w:lineRule="auto"/>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5"/>
        <w:rPr>
          <w:rFonts w:ascii="宋体" w:hAnsi="宋体" w:cs="宋体"/>
        </w:rPr>
      </w:pPr>
      <w:bookmarkStart w:id="119" w:name="_Toc31975"/>
      <w:r>
        <w:rPr>
          <w:rFonts w:hint="eastAsia" w:ascii="宋体" w:hAnsi="宋体" w:cs="宋体"/>
        </w:rPr>
        <w:t>附件三、残疾人福利性单位声明</w:t>
      </w:r>
      <w:bookmarkEnd w:id="118"/>
      <w:bookmarkEnd w:id="119"/>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5"/>
        <w:rPr>
          <w:rFonts w:ascii="宋体" w:hAnsi="宋体" w:cs="宋体"/>
        </w:rPr>
      </w:pPr>
      <w:bookmarkStart w:id="120" w:name="_Toc2723"/>
      <w:bookmarkStart w:id="121" w:name="_Toc26509"/>
      <w:bookmarkStart w:id="122" w:name="_Toc3053"/>
      <w:bookmarkStart w:id="123" w:name="_Toc16191"/>
      <w:bookmarkStart w:id="124" w:name="_Toc25235"/>
      <w:r>
        <w:rPr>
          <w:rFonts w:hint="eastAsia" w:ascii="宋体" w:hAnsi="宋体" w:cs="宋体"/>
        </w:rPr>
        <w:t>附件四、监狱企业证明文件</w:t>
      </w:r>
      <w:bookmarkEnd w:id="120"/>
      <w:bookmarkEnd w:id="121"/>
      <w:bookmarkEnd w:id="122"/>
      <w:bookmarkEnd w:id="123"/>
      <w:bookmarkEnd w:id="124"/>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5"/>
        <w:adjustRightInd w:val="0"/>
        <w:spacing w:line="416" w:lineRule="atLeast"/>
        <w:textAlignment w:val="baseline"/>
        <w:rPr>
          <w:rFonts w:ascii="宋体" w:hAnsi="宋体" w:cs="宋体"/>
        </w:rPr>
      </w:pPr>
      <w:bookmarkStart w:id="125" w:name="_Toc13122"/>
      <w:bookmarkStart w:id="126" w:name="_Toc5857"/>
      <w:bookmarkStart w:id="127" w:name="_Toc563"/>
      <w:bookmarkStart w:id="128" w:name="_Toc19198"/>
      <w:bookmarkStart w:id="129" w:name="_Toc2126"/>
      <w:bookmarkStart w:id="130" w:name="_Toc25479"/>
      <w:bookmarkStart w:id="131" w:name="_Toc11969"/>
      <w:bookmarkStart w:id="132" w:name="_Toc3267"/>
      <w:r>
        <w:rPr>
          <w:rFonts w:hint="eastAsia" w:ascii="宋体" w:hAnsi="宋体" w:cs="宋体"/>
        </w:rPr>
        <w:t>附件五、“节能产品”，“环境标志产品”证明材料</w:t>
      </w:r>
      <w:bookmarkEnd w:id="125"/>
      <w:bookmarkEnd w:id="126"/>
      <w:bookmarkEnd w:id="127"/>
      <w:bookmarkEnd w:id="128"/>
      <w:bookmarkEnd w:id="129"/>
      <w:bookmarkEnd w:id="130"/>
      <w:bookmarkEnd w:id="131"/>
      <w:bookmarkEnd w:id="132"/>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5"/>
        <w:adjustRightInd w:val="0"/>
        <w:spacing w:line="416" w:lineRule="atLeast"/>
        <w:textAlignment w:val="baseline"/>
        <w:rPr>
          <w:rFonts w:ascii="宋体" w:hAnsi="宋体" w:cs="宋体"/>
        </w:rPr>
        <w:sectPr>
          <w:footerReference r:id="rId15" w:type="default"/>
          <w:pgSz w:w="11906" w:h="16838"/>
          <w:pgMar w:top="1440" w:right="1803" w:bottom="1440" w:left="1803" w:header="851" w:footer="992" w:gutter="0"/>
          <w:cols w:space="720" w:num="1"/>
          <w:docGrid w:type="lines" w:linePitch="319" w:charSpace="0"/>
        </w:sectPr>
      </w:pPr>
    </w:p>
    <w:p>
      <w:pPr>
        <w:pStyle w:val="5"/>
        <w:rPr>
          <w:rFonts w:ascii="宋体" w:hAnsi="宋体" w:cs="宋体"/>
        </w:rPr>
      </w:pPr>
      <w:bookmarkStart w:id="133" w:name="_Toc26351"/>
      <w:bookmarkStart w:id="134" w:name="_Toc4414"/>
      <w:bookmarkStart w:id="135" w:name="_Toc114"/>
      <w:bookmarkStart w:id="136" w:name="_Toc23799"/>
      <w:bookmarkStart w:id="137" w:name="_Toc2461"/>
      <w:bookmarkStart w:id="138" w:name="_Toc24855"/>
      <w:r>
        <w:rPr>
          <w:rFonts w:hint="eastAsia" w:ascii="宋体" w:hAnsi="宋体" w:cs="宋体"/>
        </w:rPr>
        <w:t>附件六、质疑函范本</w:t>
      </w:r>
      <w:bookmarkEnd w:id="133"/>
      <w:bookmarkEnd w:id="134"/>
      <w:bookmarkEnd w:id="135"/>
      <w:bookmarkEnd w:id="136"/>
      <w:bookmarkEnd w:id="137"/>
      <w:bookmarkEnd w:id="138"/>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5"/>
        <w:adjustRightInd w:val="0"/>
        <w:spacing w:line="416" w:lineRule="atLeast"/>
        <w:jc w:val="both"/>
        <w:textAlignment w:val="baseline"/>
        <w:rPr>
          <w:rFonts w:ascii="宋体" w:hAnsi="宋体" w:cs="宋体"/>
        </w:rPr>
        <w:sectPr>
          <w:pgSz w:w="11906" w:h="16838"/>
          <w:pgMar w:top="1440" w:right="1803" w:bottom="1440" w:left="1803" w:header="851" w:footer="992" w:gutter="0"/>
          <w:cols w:space="720" w:num="1"/>
          <w:docGrid w:type="lines" w:linePitch="319" w:charSpace="0"/>
        </w:sectPr>
      </w:pPr>
    </w:p>
    <w:p>
      <w:pPr>
        <w:pStyle w:val="5"/>
        <w:adjustRightInd w:val="0"/>
        <w:spacing w:line="416" w:lineRule="atLeast"/>
        <w:jc w:val="left"/>
        <w:textAlignment w:val="baseline"/>
        <w:rPr>
          <w:rFonts w:ascii="宋体" w:hAnsi="宋体" w:cs="宋体"/>
        </w:rPr>
      </w:pPr>
      <w:bookmarkStart w:id="139" w:name="_Toc19722"/>
      <w:r>
        <w:rPr>
          <w:rFonts w:hint="eastAsia" w:ascii="宋体" w:hAnsi="宋体" w:cs="宋体"/>
        </w:rPr>
        <w:t>附件</w:t>
      </w:r>
      <w:bookmarkEnd w:id="107"/>
      <w:bookmarkEnd w:id="108"/>
      <w:r>
        <w:rPr>
          <w:rFonts w:hint="eastAsia" w:ascii="宋体" w:hAnsi="宋体" w:cs="宋体"/>
        </w:rPr>
        <w:t>七、保证金退还账户信息确认表</w:t>
      </w:r>
      <w:bookmarkEnd w:id="109"/>
      <w:bookmarkEnd w:id="139"/>
      <w:bookmarkStart w:id="140" w:name="_Toc378248335"/>
    </w:p>
    <w:p>
      <w:pPr>
        <w:rPr>
          <w:rFonts w:ascii="宋体" w:hAnsi="宋体" w:cs="宋体"/>
        </w:rPr>
      </w:pPr>
    </w:p>
    <w:bookmarkEnd w:id="0"/>
    <w:bookmarkEnd w:id="140"/>
    <w:p>
      <w:pPr>
        <w:rPr>
          <w:rFonts w:ascii="宋体" w:hAnsi="宋体" w:cs="宋体"/>
          <w:sz w:val="28"/>
          <w:szCs w:val="28"/>
        </w:rPr>
      </w:pPr>
      <w:bookmarkStart w:id="141" w:name="_Toc27416"/>
      <w:r>
        <w:rPr>
          <w:rFonts w:hint="eastAsia" w:ascii="宋体" w:hAnsi="宋体" w:cs="宋体"/>
          <w:sz w:val="28"/>
          <w:szCs w:val="28"/>
        </w:rPr>
        <w:t>项目名称：</w:t>
      </w:r>
      <w:r>
        <w:rPr>
          <w:rFonts w:hint="eastAsia" w:ascii="宋体" w:hAnsi="宋体" w:cs="宋体"/>
          <w:kern w:val="0"/>
          <w:sz w:val="24"/>
          <w:szCs w:val="24"/>
        </w:rPr>
        <w:t>_____________________________</w:t>
      </w:r>
      <w:bookmarkEnd w:id="141"/>
    </w:p>
    <w:p>
      <w:pPr>
        <w:tabs>
          <w:tab w:val="center" w:pos="4150"/>
        </w:tabs>
        <w:rPr>
          <w:rFonts w:ascii="宋体" w:hAnsi="宋体" w:cs="宋体"/>
          <w:sz w:val="28"/>
          <w:szCs w:val="28"/>
        </w:rPr>
      </w:pPr>
      <w:bookmarkStart w:id="142" w:name="_Toc14801"/>
      <w:r>
        <w:rPr>
          <w:rFonts w:hint="eastAsia" w:ascii="宋体" w:hAnsi="宋体" w:cs="宋体"/>
          <w:sz w:val="28"/>
          <w:szCs w:val="28"/>
        </w:rPr>
        <w:t>项目编号：</w:t>
      </w:r>
      <w:r>
        <w:rPr>
          <w:rFonts w:hint="eastAsia" w:ascii="宋体" w:hAnsi="宋体" w:cs="宋体"/>
          <w:kern w:val="0"/>
          <w:sz w:val="24"/>
          <w:szCs w:val="24"/>
        </w:rPr>
        <w:t>_____________________________</w:t>
      </w:r>
      <w:bookmarkEnd w:id="142"/>
      <w:r>
        <w:rPr>
          <w:rFonts w:hint="eastAsia" w:ascii="宋体" w:hAnsi="宋体" w:cs="宋体"/>
          <w:sz w:val="28"/>
          <w:szCs w:val="28"/>
        </w:rPr>
        <w:tab/>
      </w:r>
    </w:p>
    <w:p>
      <w:pPr>
        <w:pStyle w:val="22"/>
        <w:ind w:firstLine="210"/>
      </w:pPr>
    </w:p>
    <w:tbl>
      <w:tblPr>
        <w:tblStyle w:val="23"/>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ind w:firstLine="819" w:firstLineChars="100"/>
        <w:jc w:val="left"/>
        <w:rPr>
          <w:rFonts w:ascii="宋体" w:hAnsi="宋体" w:cs="宋体"/>
          <w:b/>
          <w:spacing w:val="48"/>
          <w:sz w:val="72"/>
          <w:szCs w:val="72"/>
        </w:rPr>
        <w:sectPr>
          <w:headerReference r:id="rId16" w:type="default"/>
          <w:footerReference r:id="rId17" w:type="default"/>
          <w:pgSz w:w="11906" w:h="16838"/>
          <w:pgMar w:top="1440" w:right="1803" w:bottom="1440" w:left="1803" w:header="851" w:footer="992" w:gutter="0"/>
          <w:cols w:space="720" w:num="1"/>
          <w:docGrid w:type="lines" w:linePitch="319" w:charSpace="0"/>
        </w:sect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12"/>
        <w:rPr>
          <w:rFonts w:ascii="宋体" w:hAnsi="宋体" w:cs="宋体"/>
          <w:spacing w:val="48"/>
          <w:sz w:val="72"/>
          <w:szCs w:val="72"/>
        </w:rPr>
      </w:pPr>
    </w:p>
    <w:p>
      <w:pPr>
        <w:rPr>
          <w:rFonts w:ascii="宋体" w:hAnsi="宋体" w:cs="宋体"/>
          <w:spacing w:val="48"/>
          <w:sz w:val="72"/>
          <w:szCs w:val="72"/>
        </w:rPr>
      </w:pPr>
    </w:p>
    <w:p>
      <w:pPr>
        <w:pStyle w:val="12"/>
        <w:rPr>
          <w:rFonts w:ascii="宋体" w:hAnsi="宋体" w:cs="宋体"/>
          <w:spacing w:val="48"/>
          <w:sz w:val="72"/>
          <w:szCs w:val="72"/>
        </w:rPr>
      </w:pPr>
    </w:p>
    <w:p/>
    <w:p/>
    <w:p>
      <w:pPr>
        <w:pStyle w:val="7"/>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sectPr>
      <w:footerReference r:id="rId18"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910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w="6350">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15pt;mso-position-horizontal:center;mso-position-horizontal-relative:margin;mso-wrap-style:none;z-index:251662336;mso-width-relative:page;mso-height-relative:page;" filled="f" stroked="f" coordsize="21600,21600" o:gfxdata="UEsDBAoAAAAAAIdO4kAAAAAAAAAAAAAAAAAEAAAAZHJzL1BLAwQUAAAACACHTuJARGgdcdIAAAAD&#10;AQAADwAAAGRycy9kb3ducmV2LnhtbE2PwU7DMBBE70j8g7VI3KjTBAEKcSpREY5INBw4buNtkmKv&#10;I9tNw99juMBlpdGMZt5Wm8UaMZMPo2MF61UGgrhzeuRewXvb3DyACBFZo3FMCr4owKa+vKiw1O7M&#10;bzTvYi9SCYcSFQwxTqWUoRvIYli5iTh5B+ctxiR9L7XHcyq3RuZZdictjpwWBpxoO1D3uTtZBdum&#10;bf1MwZsPemmK4+vTLT0vSl1frbNHEJGW+BeGH/yEDnVi2rsT6yCMgvRI/L3Ju88LEHsFeVGArCv5&#10;n73+BlBLAwQUAAAACACHTuJAibVIhjICAABTBAAADgAAAGRycy9lMm9Eb2MueG1srVTBjtMwEL0j&#10;8Q+W7zTpst1lq6arslURUsWuVBBn13EaS7bHst0m5QPgDzhx4c539TsYO0kXLRz2wMWdzIzf+L2Z&#10;6ey21YochPMSTEHHo5wSYTiU0uwK+unj6tUbSnxgpmQKjCjoUXh6O3/5YtbYqbiAGlQpHEEQ46eN&#10;LWgdgp1mmee10MyPwAqDwQqcZgE/3S4rHWsQXavsIs+vsgZcaR1w4T16l12Q9ojuOYBQVZKLJfC9&#10;FiZ0qE4oFpCSr6X1dJ5eW1WCh/uq8iIQVVBkGtKJRdDexjObz9h055itJe+fwJ7zhCecNJMGi56h&#10;liwwsnfyLygtuQMPVRhx0FlHJCmCLMb5E202NbMicUGpvT2L7v8fLP9weHBElgW9psQwjQ0/ff92&#10;+vHr9PMruY7yNNZPMWtjMS+0b6HFoRn8Hp2RdVs5HX+RD8E4ins8iyvaQDg6Lyc343xCCcfQ+PL6&#10;ZjKJKNnjZet8eCdAk2gU1GHvkqTssPahSx1SYi0DK6lU6p8ypCno1etJni6cIwiuDNaIFLqnRiu0&#10;27bntYXyiLQcdHPhLV9JLL5mPjwwh4OATHBVwj0elQIsAr1FSQ3uy7/8MR/7g1FKGhysghrcI0rU&#10;e4N9izM4GG4wtoNh9voOcFLHuIKWJxMvuKAGs3KgP+P+LGINDDHDsVJBw2DehW64cf+4WCxSEk6a&#10;ZWFtNpZH6Ciet4t9QAGTrlGUToleK5y11Jl+L+Iw//mdsh7/C+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RoHXHSAAAAAwEAAA8AAAAAAAAAAQAgAAAAIgAAAGRycy9kb3ducmV2LnhtbFBLAQIU&#10;ABQAAAAIAIdO4kCJtUiGMgIAAFMEAAAOAAAAAAAAAAEAIAAAACEBAABkcnMvZTJvRG9jLnhtbFBL&#10;BQYAAAAABgAGAFkBAADFBQ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r>
                      <w:rPr>
                        <w:rFonts w:hint="eastAsia"/>
                        <w:sz w:val="18"/>
                      </w:rP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1320"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401320" cy="147955"/>
                      </a:xfrm>
                      <a:prstGeom prst="rect">
                        <a:avLst/>
                      </a:prstGeom>
                      <a:noFill/>
                      <a:ln w="6350">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65pt;width:31.6pt;mso-position-horizontal:center;mso-position-horizontal-relative:margin;mso-wrap-style:none;z-index:251659264;mso-width-relative:page;mso-height-relative:page;" filled="f" stroked="f" coordsize="21600,21600" o:gfxdata="UEsDBAoAAAAAAIdO4kAAAAAAAAAAAAAAAAAEAAAAZHJzL1BLAwQUAAAACACHTuJAPFcjfdIAAAAD&#10;AQAADwAAAGRycy9kb3ducmV2LnhtbE2PwU7DMBBE70j8g7VI3KjTBFUoxKlERTgi0XDguI23SYq9&#10;jmw3DX+P4QKXlUYzmnlbbRdrxEw+jI4VrFcZCOLO6ZF7Be9tc/cAIkRkjcYxKfiiANv6+qrCUrsL&#10;v9G8j71IJRxKVDDEOJVShm4gi2HlJuLkHZ23GJP0vdQeL6ncGpln2UZaHDktDDjRbqDuc3+2CnZN&#10;2/qZgjcf9NIUp9ene3pelLq9WWePICIt8S8MP/gJHerEdHBn1kEYBemR+HuTtylyEAcFeVGArCv5&#10;n73+BlBLAwQUAAAACACHTuJAli8KyzECAABTBAAADgAAAGRycy9lMm9Eb2MueG1srVTNjtMwEL4j&#10;8Q6W7zRpu12garoqWxUhVexKBXF2HaeJ5D/ZbpPyAPAGnPbCnefqc/A5abpo4bAHLu7EM/5mvm9m&#10;OrtplCQH4XxldEaHg5QSobnJK73L6OdPq1dvKPGB6ZxJo0VGj8LTm/nLF7PaTsXIlEbmwhGAaD+t&#10;bUbLEOw0STwvhWJ+YKzQcBbGKRbw6XZJ7lgNdCWTUZpeJ7VxuXWGC+9xu+yc9IzongNoiqLiYmn4&#10;XgkdOlQnJAug5MvKejpvqy0KwcNdUXgRiMwomIb2RBLY23gm8xmb7hyzZcXPJbDnlPCEk2KVRtIL&#10;1JIFRvau+gtKVdwZb4ow4EYlHZFWEbAYpk+02ZTMipYLpPb2Irr/f7D84+HekSrP6JgSzRQafvrx&#10;/fTw6/TzGxlGeWrrp4jaWMSF5p1pMDT9vcdlZN0UTsVf8CHwQ9zjRVzRBMJxeZUOxyN4OFzDq9dv&#10;J5OIkjw+ts6H98IoEo2MOvSulZQd1j50oX1IzKXNqpKy7Z/UpM7o9XiStg8uHoBLjRyRQldqtEKz&#10;bc68tiY/gpYz3Vx4y1cVkq+ZD/fMYRBQL1Yl3OEopEESc7YoKY37+q/7GI/+wEtJjcHKqMYeUSI/&#10;aPQNgKE3XG9se0Pv1a3BpA6xgpa3Jh64IHuzcEZ9wf4sYg64mObIlNHQm7ehG27sHxeLRRuESbMs&#10;rPXG8ggdxfN2sQ8QsNU1itIpcdYKs9Z25rwXcZj//G6j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FcjfdIAAAADAQAADwAAAAAAAAABACAAAAAiAAAAZHJzL2Rvd25yZXYueG1sUEsBAhQA&#10;FAAAAAgAh07iQJYvCssxAgAAUwQAAA4AAAAAAAAAAQAgAAAAIQEAAGRycy9lMm9Eb2MueG1sUEsF&#10;BgAAAAAGAAYAWQEAAMQ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910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w="6350">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15pt;mso-position-horizontal:center;mso-position-horizontal-relative:margin;mso-wrap-style:none;z-index:251660288;mso-width-relative:page;mso-height-relative:page;" filled="f" stroked="f" coordsize="21600,21600" o:gfxdata="UEsDBAoAAAAAAIdO4kAAAAAAAAAAAAAAAAAEAAAAZHJzL1BLAwQUAAAACACHTuJARGgdcdIAAAAD&#10;AQAADwAAAGRycy9kb3ducmV2LnhtbE2PwU7DMBBE70j8g7VI3KjTBAEKcSpREY5INBw4buNtkmKv&#10;I9tNw99juMBlpdGMZt5Wm8UaMZMPo2MF61UGgrhzeuRewXvb3DyACBFZo3FMCr4owKa+vKiw1O7M&#10;bzTvYi9SCYcSFQwxTqWUoRvIYli5iTh5B+ctxiR9L7XHcyq3RuZZdictjpwWBpxoO1D3uTtZBdum&#10;bf1MwZsPemmK4+vTLT0vSl1frbNHEJGW+BeGH/yEDnVi2rsT6yCMgvRI/L3Ju88LEHsFeVGArCv5&#10;n73+BlBLAwQUAAAACACHTuJAxk03dDECAABTBAAADgAAAGRycy9lMm9Eb2MueG1srVTBjtMwEL0j&#10;8Q+W7zRp2S5s1XRVtipCWrErFcTZdewmku2xbLdJ+QD4A0574c539TsYO0kXLRz2wMWdzIzf+L2Z&#10;6fy61YochPM1mIKORzklwnAoa7Mr6OdP61dvKfGBmZIpMKKgR+Hp9eLli3ljZ2ICFahSOIIgxs8a&#10;W9AqBDvLMs8roZkfgRUGgxKcZgE/3S4rHWsQXatskueXWQOutA648B69qy5Ie0T3HECQsuZiBXyv&#10;hQkdqhOKBaTkq9p6ukivlVLwcCelF4GogiLTkE4sgvY2ntlizmY7x2xV8/4J7DlPeMJJs9pg0TPU&#10;igVG9q7+C0rX3IEHGUYcdNYRSYogi3H+RJtNxaxIXFBqb8+i+/8Hyz8e7h2py4JOKDFMY8NPP76f&#10;Hn6dfn4jkyhPY/0MszYW80L7DlocmsHv0RlZt9Lp+It8CMZR3ONZXNEGwtF5Mb0a51NKOIbGF2+u&#10;ptOIkj1ets6H9wI0iUZBHfYuScoOtz50qUNKrGVgXSuV+qcMaQp6+XqapwvnCIIrgzUihe6p0Qrt&#10;tu15baE8Ii0H3Vx4y9c1Fr9lPtwzh4OATHBVwh0eUgEWgd6ipAL39V/+mI/9wSglDQ5WQQ3uESXq&#10;g8G+xRkcDDcY28Ewe30DOKljXEHLk4kXXFCDKR3oL7g/y1gDQ8xwrFTQMJg3oRtu3D8ulsuUhJNm&#10;Wbg1G8sjdBTP2+U+oIBJ1yhKp0SvFc5a6ky/F3GY//xOWY//B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GgdcdIAAAADAQAADwAAAAAAAAABACAAAAAiAAAAZHJzL2Rvd25yZXYueG1sUEsBAhQA&#10;FAAAAAgAh07iQMZNN3QxAgAAUwQAAA4AAAAAAAAAAQAgAAAAIQEAAGRycy9lMm9Eb2MueG1sUEsF&#10;BgAAAAAGAAYAWQEAAMQ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C9eS7JxwEAAIsDAAAOAAAAZHJzL2Uyb0RvYy54bWytU81uEzEQviPx&#10;DpbvxJuqgXaVTQWKipAQIBUewPHaWUv+k8fJbl4A3oATF+48V56DsXeT0vbSAxfveGb2m/m+GS9v&#10;BmvIXkbQ3jV0PqsokU74VrttQ799vX11RQkk7lpuvJMNPUigN6uXL5Z9qOWF77xpZSQI4qDuQ0O7&#10;lELNGIhOWg4zH6TDoPLR8oTXuGVt5D2iW8Muquo1631sQ/RCAqB3PQbphBifA+iV0kKuvdhZ6dKI&#10;GqXhCSlBpwPQVelWKSnSZ6VAJmIaikxTObEI2pt8stWS19vIQ6fF1AJ/TguPOFmuHRY9Q6154mQX&#10;9RMoq0X04FWaCW/ZSKQogizm1SNt7joeZOGCUkM4iw7/D1Z82n+JRLcNxbE7bnHgx58/jr/+HH9/&#10;J1dZnj5AjVl3AfPS8M4PuDQnP6Azsx5UtPmLfAjGUdzDWVw5JCLQebm4nlcLSgSG5pdvrheLjMLu&#10;fw4R0nvpLclGQyPOrkjK9x8hjamnlFzL+VttTJmfcQ8ciJk9LHc+dpitNGyGic7Gtwdk0+PYG+pw&#10;yykxHxyqmjfkZMSTsZmMXAPC213CwqWfjDpCTcVwRoXRtE95Cf69l6z7N7T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JRAk3RAAAAAwEAAA8AAAAAAAAAAQAgAAAAIgAAAGRycy9kb3ducmV2Lnht&#10;bFBLAQIUABQAAAAIAIdO4kC9eS7JxwEAAIsDAAAOAAAAAAAAAAEAIAAAACA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45910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w="6350">
                        <a:noFill/>
                      </a:ln>
                    </wps:spPr>
                    <wps:txbx>
                      <w:txbxContent>
                        <w:p>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15pt;mso-position-horizontal:center;mso-position-horizontal-relative:margin;mso-wrap-style:none;z-index:251665408;mso-width-relative:page;mso-height-relative:page;" filled="f" stroked="f" coordsize="21600,21600" o:gfxdata="UEsDBAoAAAAAAIdO4kAAAAAAAAAAAAAAAAAEAAAAZHJzL1BLAwQUAAAACACHTuJARGgdcdIAAAAD&#10;AQAADwAAAGRycy9kb3ducmV2LnhtbE2PwU7DMBBE70j8g7VI3KjTBAEKcSpREY5INBw4buNtkmKv&#10;I9tNw99juMBlpdGMZt5Wm8UaMZMPo2MF61UGgrhzeuRewXvb3DyACBFZo3FMCr4owKa+vKiw1O7M&#10;bzTvYi9SCYcSFQwxTqWUoRvIYli5iTh5B+ctxiR9L7XHcyq3RuZZdictjpwWBpxoO1D3uTtZBdum&#10;bf1MwZsPemmK4+vTLT0vSl1frbNHEJGW+BeGH/yEDnVi2rsT6yCMgvRI/L3Ju88LEHsFeVGArCv5&#10;n73+BlBLAwQUAAAACACHTuJAZXTazTECAABTBAAADgAAAGRycy9lMm9Eb2MueG1srVTBjtMwEL0j&#10;8Q+W7zTpsl1o1XRVtipCWrErFcTZdewmku2xbLdJ+QD4A0574c539TsYO0kXLRz2wMWdzIzf+L2Z&#10;6fy61YochPM1mIKORzklwnAoa7Mr6OdP61dvKfGBmZIpMKKgR+Hp9eLli3ljZ+ICKlClcARBjJ81&#10;tqBVCHaWZZ5XQjM/AisMBiU4zQJ+ul1WOtYgulbZRZ5fZQ240jrgwnv0rrog7RHdcwBBypqLFfC9&#10;FiZ0qE4oFpCSr2rr6SK9VkrBw52UXgSiCopMQzqxCNrbeGaLOZvtHLNVzfsnsOc84QknzWqDRc9Q&#10;KxYY2bv6LyhdcwceZBhx0FlHJCmCLMb5E202FbMicUGpvT2L7v8fLP94uHekLgs6pcQwjQ0//fh+&#10;evh1+vmNTKM8jfUzzNpYzAvtO2hxaAa/R2dk3Uqn4y/yIRhHcY9ncUUbCEfn5WQ6zieUcAyNL99M&#10;J5OIkj1ets6H9wI0iUZBHfYuScoOtz50qUNKrGVgXSuV+qcMaQp69XqSpwvnCIIrgzUihe6p0Qrt&#10;tu15baE8Ii0H3Vx4y9c1Fr9lPtwzh4OATHBVwh0eUgEWgd6ipAL39V/+mI/9wSglDQ5WQQ3uESXq&#10;g8G+xRkcDDcY28Ewe30DOKljXEHLk4kXXFCDKR3oL7g/y1gDQ8xwrFTQMJg3oRtu3D8ulsuUhJNm&#10;Wbg1G8sjdBTP2+U+oIBJ1yhKp0SvFc5a6ky/F3GY//xOWY//B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GgdcdIAAAADAQAADwAAAAAAAAABACAAAAAiAAAAZHJzL2Rvd25yZXYueG1sUEsBAhQA&#10;FAAAAAgAh07iQGV02s0xAgAAUwQAAA4AAAAAAAAAAQAgAAAAIQEAAGRycy9lMm9Eb2MueG1sUEsF&#10;BgAAAAAGAAYAWQEAAMQ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45910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36.15pt;mso-position-horizontal:center;mso-position-horizontal-relative:margin;mso-wrap-style:none;z-index:251666432;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p8hJNxwEAAI0DAAAOAAAAZHJzL2Uyb0RvYy54bWytU82O0zAQviPx&#10;Dpbv1OmqBTZqugJVi5AQIC08gOvYjSX/yeM26QvAG3Diwp3n6nPs2Em7sFz2wMUZz0y+me+b8epm&#10;sIYcZATtXUPns4oS6YRvtds19OuX2xevKYHEXcuNd7KhRwn0Zv382aoPtbzynTetjARBHNR9aGiX&#10;UqgZA9FJy2Hmg3QYVD5anvAad6yNvEd0a9hVVb1kvY9tiF5IAPRuxiCdEONTAL1SWsiNF3srXRpR&#10;ozQ8ISXodAC6Lt0qJUX6pBTIRExDkWkqJxZBe5tPtl7xehd56LSYWuBPaeERJ8u1w6IXqA1PnOyj&#10;/gfKahE9eJVmwls2EimKIIt59Uibu44HWbig1BAuosP/gxUfD58j0S1uwoISxy1O/PTj++nn79Ov&#10;bwR9KFAfoMa8u4CZaXjrB0w++wGdmfegos1fZEQwjvIeL/LKIRGBzsXyel4tKREYmi9eXS+XGYU9&#10;/BwipHfSW5KNhkacXhGVHz5AGlPPKbmW87famDJB4/5yIGb2sNz52GG20rAdJjpb3x6RTY+Db6jD&#10;PafEvHeoa96RsxHPxnYycg0Ib/YJC5d+MuoINRXDKRVG00blNfjzXrIeXtH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JRAk3RAAAAAwEAAA8AAAAAAAAAAQAgAAAAIgAAAGRycy9kb3ducmV2Lnht&#10;bFBLAQIUABQAAAAIAIdO4kBp8hJNxwEAAI0DAAAOAAAAAAAAAAEAIAAAACA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r>
      <w:rPr>
        <w:rFonts w:ascii="宋体"/>
      </w:rPr>
      <w:tab/>
    </w:r>
    <w:r>
      <w:rPr>
        <w:rFonts w:ascii="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5910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w="6350">
                        <a:noFill/>
                      </a:ln>
                    </wps:spPr>
                    <wps:txbx>
                      <w:txbxContent>
                        <w:p>
                          <w:pPr>
                            <w:pStyle w:val="15"/>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15pt;mso-position-horizontal:center;mso-position-horizontal-relative:margin;mso-wrap-style:none;z-index:251664384;mso-width-relative:page;mso-height-relative:page;" filled="f" stroked="f" coordsize="21600,21600" o:gfxdata="UEsDBAoAAAAAAIdO4kAAAAAAAAAAAAAAAAAEAAAAZHJzL1BLAwQUAAAACACHTuJARGgdcdIAAAAD&#10;AQAADwAAAGRycy9kb3ducmV2LnhtbE2PwU7DMBBE70j8g7VI3KjTBAEKcSpREY5INBw4buNtkmKv&#10;I9tNw99juMBlpdGMZt5Wm8UaMZMPo2MF61UGgrhzeuRewXvb3DyACBFZo3FMCr4owKa+vKiw1O7M&#10;bzTvYi9SCYcSFQwxTqWUoRvIYli5iTh5B+ctxiR9L7XHcyq3RuZZdictjpwWBpxoO1D3uTtZBdum&#10;bf1MwZsPemmK4+vTLT0vSl1frbNHEJGW+BeGH/yEDnVi2rsT6yCMgvRI/L3Ju88LEHsFeVGArCv5&#10;n73+BlBLAwQUAAAACACHTuJATOKd1zECAABTBAAADgAAAGRycy9lMm9Eb2MueG1srVTBjtMwEL0j&#10;8Q+W7zTp0i5s1XRVtipCWrErFcTZdewmku2xbLdJ+QD4A0574c539TsYO0kXLRz2wMWdzIzf+L2Z&#10;6fy61YochPM1mIKORzklwnAoa7Mr6OdP61dvKfGBmZIpMKKgR+Hp9eLli3ljZ+ICKlClcARBjJ81&#10;tqBVCHaWZZ5XQjM/AisMBiU4zQJ+ul1WOtYgulbZRZ5fZg240jrgwnv0rrog7RHdcwBBypqLFfC9&#10;FiZ0qE4oFpCSr2rr6SK9VkrBw52UXgSiCopMQzqxCNrbeGaLOZvtHLNVzfsnsOc84QknzWqDRc9Q&#10;KxYY2bv6LyhdcwceZBhx0FlHJCmCLMb5E202FbMicUGpvT2L7v8fLP94uHekLgs6ocQwjQ0//fh+&#10;evh1+vmNTKI8jfUzzNpYzAvtO2hxaAa/R2dk3Uqn4y/yIRhHcY9ncUUbCEfnZHo1zqeUcAyNJ2+u&#10;ptOIkj1ets6H9wI0iUZBHfYuScoOtz50qUNKrGVgXSuV+qcMaQp6+XqapwvnCIIrgzUihe6p0Qrt&#10;tu15baE8Ii0H3Vx4y9c1Fr9lPtwzh4OATHBVwh0eUgEWgd6ipAL39V/+mI/9wSglDQ5WQQ3uESXq&#10;g8G+xRkcDDcY28Ewe30DOKljXEHLk4kXXFCDKR3oL7g/y1gDQ8xwrFTQMJg3oRtu3D8ulsuUhJNm&#10;Wbg1G8sjdBTP2+U+oIBJ1yhKp0SvFc5a6ky/F3GY//xOWY//B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GgdcdIAAAADAQAADwAAAAAAAAABACAAAAAiAAAAZHJzL2Rvd25yZXYueG1sUEsBAhQA&#10;FAAAAAgAh07iQEzindcxAgAAUwQAAA4AAAAAAAAAAQAgAAAAIQEAAGRycy9lMm9Eb2MueG1sUEsF&#10;BgAAAAAGAAYAWQEAAMQ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9105" cy="147955"/>
              <wp:effectExtent l="0" t="0" r="0" b="0"/>
              <wp:wrapNone/>
              <wp:docPr id="1" name="文本框 5"/>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w="6350">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1.65pt;width:36.15pt;mso-position-horizontal:center;mso-position-horizontal-relative:margin;mso-wrap-style:none;z-index:251661312;mso-width-relative:page;mso-height-relative:page;" filled="f" stroked="f" coordsize="21600,21600" o:gfxdata="UEsDBAoAAAAAAIdO4kAAAAAAAAAAAAAAAAAEAAAAZHJzL1BLAwQUAAAACACHTuJARGgdcdIAAAAD&#10;AQAADwAAAGRycy9kb3ducmV2LnhtbE2PwU7DMBBE70j8g7VI3KjTBAEKcSpREY5INBw4buNtkmKv&#10;I9tNw99juMBlpdGMZt5Wm8UaMZMPo2MF61UGgrhzeuRewXvb3DyACBFZo3FMCr4owKa+vKiw1O7M&#10;bzTvYi9SCYcSFQwxTqWUoRvIYli5iTh5B+ctxiR9L7XHcyq3RuZZdictjpwWBpxoO1D3uTtZBdum&#10;bf1MwZsPemmK4+vTLT0vSl1frbNHEJGW+BeGH/yEDnVi2rsT6yCMgvRI/L3Ju88LEHsFeVGArCv5&#10;n73+BlBLAwQUAAAACACHTuJASUQGNy4CAABTBAAADgAAAGRycy9lMm9Eb2MueG1srVTLbhMxFN0j&#10;8Q+W92SS0hQaZVKFRkFIEa0UEGvH48mM5JdsJzPhA+APWHXDnu/Kd3DsmaSosOiCjXPnvs+592Z6&#10;0ypJ9sL52uicjgZDSoTmpqj1NqefPy1fvaXEB6YLJo0WOT0IT29mL19MGzsRF6YyshCOIIn2k8bm&#10;tArBTrLM80oo5gfGCg1jaZxiAZ9umxWONciuZHYxHF5ljXGFdYYL76FddEbaZ3TPSWjKsuZiYfhO&#10;CR26rE5IFgDJV7X1dJa6LUvBw11ZehGIzCmQhvSiCORNfLPZlE22jtmq5n0L7DktPMGkWK1R9Jxq&#10;wQIjO1f/lUrV3BlvyjDgRmUdkMQIUIyGT7hZV8yKhAVUe3sm3f+/tPzj/t6RusAmUKKZwsCPP74f&#10;H34df34j40hPY/0EXmsLv9C+M2107fUeyoi6LZ2Kv8BDYAe5hzO5og2EQ3k5vh4Nx5RwmEaXb67H&#10;KXv2GGydD++FUSQKOXWYXaKU7Vc+oCBcTy6xljbLWso0P6lJk9Or1+NhCjhbECE1AiOErtUohXbT&#10;9v1vTHEALGe6vfCWL2sUXzEf7pnDIgAJTiXc4SmlQRHTS5RUxn39lz76Yz6wUtJgsXKqcUeUyA8a&#10;c4s7eBLcSdicBL1TtwabilmglyQiwAV5Ektn1BfczzzWgIlpjko5DSfxNnTLjfvjYj5PTtg0y8JK&#10;ry2PqSN53s53AQQmXiMpHRM9V9i1RHd/F3GZ//xOXo//Bb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GgdcdIAAAADAQAADwAAAAAAAAABACAAAAAiAAAAZHJzL2Rvd25yZXYueG1sUEsBAhQAFAAA&#10;AAgAh07iQElEBjcuAgAAUwQAAA4AAAAAAAAAAQAgAAAAIQ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r>
                      <w:rPr>
                        <w:rFonts w:hint="eastAsia"/>
                        <w:sz w:val="18"/>
                      </w:rP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榆林学院能源系统优化科研平台设备购置项目                                                     ZMZB2022YLXY-387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C99BDCD1"/>
    <w:multiLevelType w:val="singleLevel"/>
    <w:tmpl w:val="C99BDCD1"/>
    <w:lvl w:ilvl="0" w:tentative="0">
      <w:start w:val="1"/>
      <w:numFmt w:val="chineseCounting"/>
      <w:suff w:val="nothing"/>
      <w:lvlText w:val="（%1）"/>
      <w:lvlJc w:val="left"/>
      <w:rPr>
        <w:rFonts w:hint="eastAsia"/>
      </w:rPr>
    </w:lvl>
  </w:abstractNum>
  <w:abstractNum w:abstractNumId="2">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3">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4">
    <w:nsid w:val="FE83A189"/>
    <w:multiLevelType w:val="singleLevel"/>
    <w:tmpl w:val="FE83A189"/>
    <w:lvl w:ilvl="0" w:tentative="0">
      <w:start w:val="5"/>
      <w:numFmt w:val="chineseCounting"/>
      <w:suff w:val="space"/>
      <w:lvlText w:val="第%1部分"/>
      <w:lvlJc w:val="left"/>
      <w:rPr>
        <w:rFonts w:hint="eastAsia"/>
      </w:rPr>
    </w:lvl>
  </w:abstractNum>
  <w:abstractNum w:abstractNumId="5">
    <w:nsid w:val="0A3665C6"/>
    <w:multiLevelType w:val="singleLevel"/>
    <w:tmpl w:val="0A3665C6"/>
    <w:lvl w:ilvl="0" w:tentative="0">
      <w:start w:val="1"/>
      <w:numFmt w:val="lowerLetter"/>
      <w:suff w:val="nothing"/>
      <w:lvlText w:val="%1）"/>
      <w:lvlJc w:val="left"/>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3F2B4A30"/>
    <w:multiLevelType w:val="singleLevel"/>
    <w:tmpl w:val="3F2B4A30"/>
    <w:lvl w:ilvl="0" w:tentative="0">
      <w:start w:val="6"/>
      <w:numFmt w:val="chineseCounting"/>
      <w:suff w:val="space"/>
      <w:lvlText w:val="第%1部分"/>
      <w:lvlJc w:val="left"/>
      <w:rPr>
        <w:rFonts w:hint="eastAsia"/>
      </w:rPr>
    </w:lvl>
  </w:abstractNum>
  <w:abstractNum w:abstractNumId="8">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1">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2">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6">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7">
    <w:nsid w:val="58BE9BEE"/>
    <w:multiLevelType w:val="singleLevel"/>
    <w:tmpl w:val="58BE9BEE"/>
    <w:lvl w:ilvl="0" w:tentative="0">
      <w:start w:val="1"/>
      <w:numFmt w:val="lowerLetter"/>
      <w:lvlText w:val="%1."/>
      <w:lvlJc w:val="left"/>
      <w:pPr>
        <w:ind w:left="425" w:hanging="425"/>
      </w:pPr>
      <w:rPr>
        <w:rFonts w:hint="default"/>
      </w:rPr>
    </w:lvl>
  </w:abstractNum>
  <w:abstractNum w:abstractNumId="18">
    <w:nsid w:val="58BE9C35"/>
    <w:multiLevelType w:val="singleLevel"/>
    <w:tmpl w:val="58BE9C35"/>
    <w:lvl w:ilvl="0" w:tentative="0">
      <w:start w:val="1"/>
      <w:numFmt w:val="decimal"/>
      <w:suff w:val="nothing"/>
      <w:lvlText w:val="（%1）"/>
      <w:lvlJc w:val="left"/>
      <w:pPr>
        <w:ind w:left="0" w:firstLine="420"/>
      </w:pPr>
      <w:rPr>
        <w:rFonts w:hint="default"/>
      </w:rPr>
    </w:lvl>
  </w:abstractNum>
  <w:abstractNum w:abstractNumId="19">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0">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1">
    <w:nsid w:val="59DADF1A"/>
    <w:multiLevelType w:val="singleLevel"/>
    <w:tmpl w:val="59DADF1A"/>
    <w:lvl w:ilvl="0" w:tentative="0">
      <w:start w:val="1"/>
      <w:numFmt w:val="lowerLetter"/>
      <w:lvlText w:val="%1."/>
      <w:lvlJc w:val="left"/>
      <w:pPr>
        <w:ind w:left="425" w:hanging="425"/>
      </w:pPr>
      <w:rPr>
        <w:rFonts w:hint="default"/>
      </w:rPr>
    </w:lvl>
  </w:abstractNum>
  <w:abstractNum w:abstractNumId="22">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3">
    <w:nsid w:val="5FB1E77F"/>
    <w:multiLevelType w:val="singleLevel"/>
    <w:tmpl w:val="5FB1E77F"/>
    <w:lvl w:ilvl="0" w:tentative="0">
      <w:start w:val="1"/>
      <w:numFmt w:val="decimal"/>
      <w:suff w:val="nothing"/>
      <w:lvlText w:val="%1、"/>
      <w:lvlJc w:val="left"/>
    </w:lvl>
  </w:abstractNum>
  <w:abstractNum w:abstractNumId="24">
    <w:nsid w:val="744D776A"/>
    <w:multiLevelType w:val="singleLevel"/>
    <w:tmpl w:val="744D776A"/>
    <w:lvl w:ilvl="0" w:tentative="0">
      <w:start w:val="2"/>
      <w:numFmt w:val="decimal"/>
      <w:suff w:val="nothing"/>
      <w:lvlText w:val="%1、"/>
      <w:lvlJc w:val="left"/>
    </w:lvl>
  </w:abstractNum>
  <w:abstractNum w:abstractNumId="25">
    <w:nsid w:val="7EBA4DB1"/>
    <w:multiLevelType w:val="singleLevel"/>
    <w:tmpl w:val="7EBA4DB1"/>
    <w:lvl w:ilvl="0" w:tentative="0">
      <w:start w:val="3"/>
      <w:numFmt w:val="chineseCounting"/>
      <w:suff w:val="nothing"/>
      <w:lvlText w:val="%1、"/>
      <w:lvlJc w:val="left"/>
      <w:rPr>
        <w:rFonts w:hint="eastAsia"/>
      </w:rPr>
    </w:lvl>
  </w:abstractNum>
  <w:num w:numId="1">
    <w:abstractNumId w:val="1"/>
  </w:num>
  <w:num w:numId="2">
    <w:abstractNumId w:val="20"/>
  </w:num>
  <w:num w:numId="3">
    <w:abstractNumId w:val="23"/>
  </w:num>
  <w:num w:numId="4">
    <w:abstractNumId w:val="24"/>
  </w:num>
  <w:num w:numId="5">
    <w:abstractNumId w:val="22"/>
  </w:num>
  <w:num w:numId="6">
    <w:abstractNumId w:val="2"/>
  </w:num>
  <w:num w:numId="7">
    <w:abstractNumId w:val="0"/>
  </w:num>
  <w:num w:numId="8">
    <w:abstractNumId w:val="3"/>
  </w:num>
  <w:num w:numId="9">
    <w:abstractNumId w:val="11"/>
  </w:num>
  <w:num w:numId="10">
    <w:abstractNumId w:val="9"/>
  </w:num>
  <w:num w:numId="11">
    <w:abstractNumId w:val="15"/>
  </w:num>
  <w:num w:numId="12">
    <w:abstractNumId w:val="19"/>
  </w:num>
  <w:num w:numId="13">
    <w:abstractNumId w:val="10"/>
  </w:num>
  <w:num w:numId="14">
    <w:abstractNumId w:val="12"/>
  </w:num>
  <w:num w:numId="15">
    <w:abstractNumId w:val="18"/>
  </w:num>
  <w:num w:numId="16">
    <w:abstractNumId w:val="17"/>
  </w:num>
  <w:num w:numId="17">
    <w:abstractNumId w:val="13"/>
  </w:num>
  <w:num w:numId="18">
    <w:abstractNumId w:val="14"/>
  </w:num>
  <w:num w:numId="19">
    <w:abstractNumId w:val="21"/>
  </w:num>
  <w:num w:numId="20">
    <w:abstractNumId w:val="16"/>
  </w:num>
  <w:num w:numId="21">
    <w:abstractNumId w:val="4"/>
  </w:num>
  <w:num w:numId="22">
    <w:abstractNumId w:val="5"/>
  </w:num>
  <w:num w:numId="23">
    <w:abstractNumId w:val="7"/>
  </w:num>
  <w:num w:numId="24">
    <w:abstractNumId w:val="25"/>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jRkMGE3NzQxYjczMTVhMGMzZWI2OGY4N2I2NjYifQ=="/>
  </w:docVars>
  <w:rsids>
    <w:rsidRoot w:val="73D96FF7"/>
    <w:rsid w:val="00004A4A"/>
    <w:rsid w:val="00011382"/>
    <w:rsid w:val="000211C9"/>
    <w:rsid w:val="000231DC"/>
    <w:rsid w:val="00023390"/>
    <w:rsid w:val="000238BB"/>
    <w:rsid w:val="00024B0E"/>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52D0F"/>
    <w:rsid w:val="00165B88"/>
    <w:rsid w:val="001660DB"/>
    <w:rsid w:val="00170F41"/>
    <w:rsid w:val="0017206B"/>
    <w:rsid w:val="00172D09"/>
    <w:rsid w:val="00177B3B"/>
    <w:rsid w:val="00181EE0"/>
    <w:rsid w:val="00192085"/>
    <w:rsid w:val="00194A9B"/>
    <w:rsid w:val="0019682E"/>
    <w:rsid w:val="001977B7"/>
    <w:rsid w:val="001C6002"/>
    <w:rsid w:val="001D7C98"/>
    <w:rsid w:val="001E0D18"/>
    <w:rsid w:val="0020496B"/>
    <w:rsid w:val="002056B6"/>
    <w:rsid w:val="002129A4"/>
    <w:rsid w:val="00215036"/>
    <w:rsid w:val="0021698E"/>
    <w:rsid w:val="0021740C"/>
    <w:rsid w:val="00217AC1"/>
    <w:rsid w:val="00223417"/>
    <w:rsid w:val="00231B14"/>
    <w:rsid w:val="00235885"/>
    <w:rsid w:val="00270726"/>
    <w:rsid w:val="002738E0"/>
    <w:rsid w:val="002741EB"/>
    <w:rsid w:val="0027762D"/>
    <w:rsid w:val="00282BBC"/>
    <w:rsid w:val="002852D2"/>
    <w:rsid w:val="002859D1"/>
    <w:rsid w:val="00290808"/>
    <w:rsid w:val="00294A47"/>
    <w:rsid w:val="00295107"/>
    <w:rsid w:val="00295734"/>
    <w:rsid w:val="002A48B6"/>
    <w:rsid w:val="002B7581"/>
    <w:rsid w:val="002C270B"/>
    <w:rsid w:val="002C270E"/>
    <w:rsid w:val="002C2F7E"/>
    <w:rsid w:val="002E2D34"/>
    <w:rsid w:val="002E4681"/>
    <w:rsid w:val="002F3450"/>
    <w:rsid w:val="002F4DAB"/>
    <w:rsid w:val="002F72C6"/>
    <w:rsid w:val="00302EA2"/>
    <w:rsid w:val="00304406"/>
    <w:rsid w:val="00312C6A"/>
    <w:rsid w:val="00335D7C"/>
    <w:rsid w:val="00336890"/>
    <w:rsid w:val="00337DD7"/>
    <w:rsid w:val="00341F1A"/>
    <w:rsid w:val="0034773D"/>
    <w:rsid w:val="0035259F"/>
    <w:rsid w:val="00353817"/>
    <w:rsid w:val="003572BD"/>
    <w:rsid w:val="003612FE"/>
    <w:rsid w:val="00366AA2"/>
    <w:rsid w:val="0038235A"/>
    <w:rsid w:val="003862A4"/>
    <w:rsid w:val="00393542"/>
    <w:rsid w:val="00393768"/>
    <w:rsid w:val="003A3C26"/>
    <w:rsid w:val="003A607D"/>
    <w:rsid w:val="003C65D7"/>
    <w:rsid w:val="003E23A6"/>
    <w:rsid w:val="003E3530"/>
    <w:rsid w:val="003F3F76"/>
    <w:rsid w:val="003F6452"/>
    <w:rsid w:val="00405C58"/>
    <w:rsid w:val="00436561"/>
    <w:rsid w:val="00440843"/>
    <w:rsid w:val="00442960"/>
    <w:rsid w:val="00483AF6"/>
    <w:rsid w:val="0048715E"/>
    <w:rsid w:val="004A6288"/>
    <w:rsid w:val="004B74EA"/>
    <w:rsid w:val="004C20E4"/>
    <w:rsid w:val="004D344C"/>
    <w:rsid w:val="004E0DB0"/>
    <w:rsid w:val="004E1511"/>
    <w:rsid w:val="004E727F"/>
    <w:rsid w:val="004F0CBA"/>
    <w:rsid w:val="004F73C4"/>
    <w:rsid w:val="0051677A"/>
    <w:rsid w:val="00517FC5"/>
    <w:rsid w:val="005205B4"/>
    <w:rsid w:val="005233BF"/>
    <w:rsid w:val="0053531B"/>
    <w:rsid w:val="00540EAF"/>
    <w:rsid w:val="00542C94"/>
    <w:rsid w:val="005455C2"/>
    <w:rsid w:val="00546F4D"/>
    <w:rsid w:val="00547961"/>
    <w:rsid w:val="00550FA1"/>
    <w:rsid w:val="00557479"/>
    <w:rsid w:val="00563ABD"/>
    <w:rsid w:val="005654BD"/>
    <w:rsid w:val="00574B0A"/>
    <w:rsid w:val="00586CAB"/>
    <w:rsid w:val="005B0FDD"/>
    <w:rsid w:val="005C3C4A"/>
    <w:rsid w:val="005C70B4"/>
    <w:rsid w:val="005D2B92"/>
    <w:rsid w:val="005E2DE4"/>
    <w:rsid w:val="005F155C"/>
    <w:rsid w:val="005F7BCF"/>
    <w:rsid w:val="00614D0D"/>
    <w:rsid w:val="0061645E"/>
    <w:rsid w:val="00622B85"/>
    <w:rsid w:val="006266A4"/>
    <w:rsid w:val="0062740F"/>
    <w:rsid w:val="00627D03"/>
    <w:rsid w:val="006332C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60526"/>
    <w:rsid w:val="00765CB7"/>
    <w:rsid w:val="00772F53"/>
    <w:rsid w:val="00780786"/>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42B8"/>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C5FC5"/>
    <w:rsid w:val="008D2180"/>
    <w:rsid w:val="008D5F96"/>
    <w:rsid w:val="008E706B"/>
    <w:rsid w:val="0090208B"/>
    <w:rsid w:val="00907ACF"/>
    <w:rsid w:val="0091005F"/>
    <w:rsid w:val="0091056D"/>
    <w:rsid w:val="00934485"/>
    <w:rsid w:val="0093690D"/>
    <w:rsid w:val="00942C88"/>
    <w:rsid w:val="00962424"/>
    <w:rsid w:val="0096664F"/>
    <w:rsid w:val="009675B0"/>
    <w:rsid w:val="00973C40"/>
    <w:rsid w:val="009844C9"/>
    <w:rsid w:val="009A0E9B"/>
    <w:rsid w:val="009B4737"/>
    <w:rsid w:val="009C2C63"/>
    <w:rsid w:val="009E16B7"/>
    <w:rsid w:val="009F2F47"/>
    <w:rsid w:val="009F49F1"/>
    <w:rsid w:val="009F5386"/>
    <w:rsid w:val="00A0037E"/>
    <w:rsid w:val="00A064D9"/>
    <w:rsid w:val="00A155EB"/>
    <w:rsid w:val="00A20D8B"/>
    <w:rsid w:val="00A248C2"/>
    <w:rsid w:val="00A24C3D"/>
    <w:rsid w:val="00A250DB"/>
    <w:rsid w:val="00A408C9"/>
    <w:rsid w:val="00A438FC"/>
    <w:rsid w:val="00A44779"/>
    <w:rsid w:val="00A46C3A"/>
    <w:rsid w:val="00A50364"/>
    <w:rsid w:val="00A536EE"/>
    <w:rsid w:val="00A55CE7"/>
    <w:rsid w:val="00A66EF0"/>
    <w:rsid w:val="00A70F35"/>
    <w:rsid w:val="00A8797F"/>
    <w:rsid w:val="00A93A06"/>
    <w:rsid w:val="00A955D8"/>
    <w:rsid w:val="00AA033B"/>
    <w:rsid w:val="00AA4076"/>
    <w:rsid w:val="00AA607D"/>
    <w:rsid w:val="00AB0507"/>
    <w:rsid w:val="00AB151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B68C2"/>
    <w:rsid w:val="00BC178F"/>
    <w:rsid w:val="00BC7B00"/>
    <w:rsid w:val="00BD20A7"/>
    <w:rsid w:val="00BD21CE"/>
    <w:rsid w:val="00BE0B22"/>
    <w:rsid w:val="00BF25D2"/>
    <w:rsid w:val="00BF4861"/>
    <w:rsid w:val="00C03D95"/>
    <w:rsid w:val="00C12406"/>
    <w:rsid w:val="00C12F3A"/>
    <w:rsid w:val="00C2032D"/>
    <w:rsid w:val="00C2375E"/>
    <w:rsid w:val="00C42D03"/>
    <w:rsid w:val="00C45A0B"/>
    <w:rsid w:val="00C55611"/>
    <w:rsid w:val="00C604C4"/>
    <w:rsid w:val="00C70CA0"/>
    <w:rsid w:val="00CA3986"/>
    <w:rsid w:val="00CA77AE"/>
    <w:rsid w:val="00CC4A0A"/>
    <w:rsid w:val="00CC5E31"/>
    <w:rsid w:val="00CD068E"/>
    <w:rsid w:val="00CD08DB"/>
    <w:rsid w:val="00CD26FE"/>
    <w:rsid w:val="00CD560B"/>
    <w:rsid w:val="00CD6C1E"/>
    <w:rsid w:val="00CE3F73"/>
    <w:rsid w:val="00CE7F49"/>
    <w:rsid w:val="00CF12F8"/>
    <w:rsid w:val="00D13372"/>
    <w:rsid w:val="00D14D31"/>
    <w:rsid w:val="00D17765"/>
    <w:rsid w:val="00D17FBF"/>
    <w:rsid w:val="00D21431"/>
    <w:rsid w:val="00D4535F"/>
    <w:rsid w:val="00D46AC8"/>
    <w:rsid w:val="00D54846"/>
    <w:rsid w:val="00D571EE"/>
    <w:rsid w:val="00D752E3"/>
    <w:rsid w:val="00D81CAE"/>
    <w:rsid w:val="00D8338D"/>
    <w:rsid w:val="00D9385B"/>
    <w:rsid w:val="00DB2477"/>
    <w:rsid w:val="00DB7527"/>
    <w:rsid w:val="00DC5342"/>
    <w:rsid w:val="00DC68B6"/>
    <w:rsid w:val="00DE0A1E"/>
    <w:rsid w:val="00DE1122"/>
    <w:rsid w:val="00DE4D90"/>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97E13"/>
    <w:rsid w:val="00EA2EE5"/>
    <w:rsid w:val="00EA56CE"/>
    <w:rsid w:val="00EA7A49"/>
    <w:rsid w:val="00EB54D7"/>
    <w:rsid w:val="00F1148E"/>
    <w:rsid w:val="00F11A9A"/>
    <w:rsid w:val="00F1478D"/>
    <w:rsid w:val="00F1601A"/>
    <w:rsid w:val="00F35029"/>
    <w:rsid w:val="00F465E3"/>
    <w:rsid w:val="00F549A0"/>
    <w:rsid w:val="00F572F6"/>
    <w:rsid w:val="00F61A0D"/>
    <w:rsid w:val="00F65CA7"/>
    <w:rsid w:val="00F66EB2"/>
    <w:rsid w:val="00F7126A"/>
    <w:rsid w:val="00F72C32"/>
    <w:rsid w:val="00F74AE3"/>
    <w:rsid w:val="00F83468"/>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BF446B"/>
    <w:rsid w:val="01C33E75"/>
    <w:rsid w:val="01CF4650"/>
    <w:rsid w:val="01DC4B6D"/>
    <w:rsid w:val="01DE0A3D"/>
    <w:rsid w:val="01FF0589"/>
    <w:rsid w:val="021A2C53"/>
    <w:rsid w:val="02262629"/>
    <w:rsid w:val="0236353E"/>
    <w:rsid w:val="023D07CA"/>
    <w:rsid w:val="024B29A8"/>
    <w:rsid w:val="025A529E"/>
    <w:rsid w:val="025B2BDD"/>
    <w:rsid w:val="025C1F43"/>
    <w:rsid w:val="02691867"/>
    <w:rsid w:val="02BC1EC1"/>
    <w:rsid w:val="02C33764"/>
    <w:rsid w:val="02DD6925"/>
    <w:rsid w:val="02FB3B23"/>
    <w:rsid w:val="030A3205"/>
    <w:rsid w:val="03174B40"/>
    <w:rsid w:val="03366953"/>
    <w:rsid w:val="034A7BA5"/>
    <w:rsid w:val="034C23A0"/>
    <w:rsid w:val="0353555C"/>
    <w:rsid w:val="036C5F1A"/>
    <w:rsid w:val="037E757B"/>
    <w:rsid w:val="038E1A4F"/>
    <w:rsid w:val="03A35E51"/>
    <w:rsid w:val="03B24429"/>
    <w:rsid w:val="03CF2F3E"/>
    <w:rsid w:val="03E47515"/>
    <w:rsid w:val="040403C7"/>
    <w:rsid w:val="040E0152"/>
    <w:rsid w:val="04166D26"/>
    <w:rsid w:val="043A7A3B"/>
    <w:rsid w:val="043B10FF"/>
    <w:rsid w:val="046924E7"/>
    <w:rsid w:val="048D0480"/>
    <w:rsid w:val="04B42133"/>
    <w:rsid w:val="04BA794E"/>
    <w:rsid w:val="04C31C0F"/>
    <w:rsid w:val="04C37E19"/>
    <w:rsid w:val="04C55795"/>
    <w:rsid w:val="04D12D71"/>
    <w:rsid w:val="04FD40F2"/>
    <w:rsid w:val="05257DE5"/>
    <w:rsid w:val="05372DA4"/>
    <w:rsid w:val="054A41B7"/>
    <w:rsid w:val="0572456D"/>
    <w:rsid w:val="05741D34"/>
    <w:rsid w:val="059A41B6"/>
    <w:rsid w:val="05A50E7C"/>
    <w:rsid w:val="06023542"/>
    <w:rsid w:val="063F5626"/>
    <w:rsid w:val="067C233D"/>
    <w:rsid w:val="06937984"/>
    <w:rsid w:val="06967A3F"/>
    <w:rsid w:val="06A628AE"/>
    <w:rsid w:val="06B62CBE"/>
    <w:rsid w:val="06C771A3"/>
    <w:rsid w:val="06FB686B"/>
    <w:rsid w:val="0708350A"/>
    <w:rsid w:val="0711360B"/>
    <w:rsid w:val="072B23BE"/>
    <w:rsid w:val="073C007C"/>
    <w:rsid w:val="077274B4"/>
    <w:rsid w:val="07A01238"/>
    <w:rsid w:val="07CB6CD5"/>
    <w:rsid w:val="07D05206"/>
    <w:rsid w:val="08140636"/>
    <w:rsid w:val="081A04E8"/>
    <w:rsid w:val="083C757D"/>
    <w:rsid w:val="084166EA"/>
    <w:rsid w:val="088A04F0"/>
    <w:rsid w:val="088A3FB8"/>
    <w:rsid w:val="093C0A37"/>
    <w:rsid w:val="09622283"/>
    <w:rsid w:val="09B0067D"/>
    <w:rsid w:val="09D82846"/>
    <w:rsid w:val="09DC53A7"/>
    <w:rsid w:val="0A6E15A5"/>
    <w:rsid w:val="0A874C05"/>
    <w:rsid w:val="0A8F50B9"/>
    <w:rsid w:val="0A9C5FF3"/>
    <w:rsid w:val="0A9E0AC8"/>
    <w:rsid w:val="0ACD7171"/>
    <w:rsid w:val="0AE15B50"/>
    <w:rsid w:val="0AF807D7"/>
    <w:rsid w:val="0B0F5C9F"/>
    <w:rsid w:val="0B247B39"/>
    <w:rsid w:val="0B424B21"/>
    <w:rsid w:val="0B4B1E06"/>
    <w:rsid w:val="0B532BA8"/>
    <w:rsid w:val="0B6A5D37"/>
    <w:rsid w:val="0B7C3EA1"/>
    <w:rsid w:val="0BAB4E0E"/>
    <w:rsid w:val="0BAD6248"/>
    <w:rsid w:val="0BAF4CCB"/>
    <w:rsid w:val="0BBA3C56"/>
    <w:rsid w:val="0C0309BA"/>
    <w:rsid w:val="0C59040C"/>
    <w:rsid w:val="0C665824"/>
    <w:rsid w:val="0C8D1F69"/>
    <w:rsid w:val="0C9310A3"/>
    <w:rsid w:val="0C984361"/>
    <w:rsid w:val="0CB03CD2"/>
    <w:rsid w:val="0CE41B31"/>
    <w:rsid w:val="0CF301A5"/>
    <w:rsid w:val="0CFD04BC"/>
    <w:rsid w:val="0D204A5D"/>
    <w:rsid w:val="0D323FC1"/>
    <w:rsid w:val="0D514FF5"/>
    <w:rsid w:val="0D614C51"/>
    <w:rsid w:val="0D625B94"/>
    <w:rsid w:val="0D751E61"/>
    <w:rsid w:val="0D8777F6"/>
    <w:rsid w:val="0DB713C3"/>
    <w:rsid w:val="0DC62A71"/>
    <w:rsid w:val="0E051381"/>
    <w:rsid w:val="0E3D6A8E"/>
    <w:rsid w:val="0E4076C5"/>
    <w:rsid w:val="0E837DDF"/>
    <w:rsid w:val="0E9E3572"/>
    <w:rsid w:val="0EA10147"/>
    <w:rsid w:val="0EAB764C"/>
    <w:rsid w:val="0EB5635E"/>
    <w:rsid w:val="0EB8754C"/>
    <w:rsid w:val="0EEB7659"/>
    <w:rsid w:val="0EFB59A3"/>
    <w:rsid w:val="0F01175D"/>
    <w:rsid w:val="0F025BAA"/>
    <w:rsid w:val="0F7B63A0"/>
    <w:rsid w:val="0F7B7C0B"/>
    <w:rsid w:val="0F9C0159"/>
    <w:rsid w:val="0FC04A43"/>
    <w:rsid w:val="0FDA6AD2"/>
    <w:rsid w:val="0FE60143"/>
    <w:rsid w:val="0FE6342C"/>
    <w:rsid w:val="101476C3"/>
    <w:rsid w:val="10170212"/>
    <w:rsid w:val="10275AEB"/>
    <w:rsid w:val="1080507E"/>
    <w:rsid w:val="108064F2"/>
    <w:rsid w:val="10821A66"/>
    <w:rsid w:val="109B45F4"/>
    <w:rsid w:val="10A56817"/>
    <w:rsid w:val="10B4058D"/>
    <w:rsid w:val="10C35B5C"/>
    <w:rsid w:val="10D77C07"/>
    <w:rsid w:val="112C6590"/>
    <w:rsid w:val="112F00E3"/>
    <w:rsid w:val="11611D49"/>
    <w:rsid w:val="11674F3D"/>
    <w:rsid w:val="11694370"/>
    <w:rsid w:val="117141C3"/>
    <w:rsid w:val="118F1C4B"/>
    <w:rsid w:val="11915752"/>
    <w:rsid w:val="11A54DB1"/>
    <w:rsid w:val="11C473B7"/>
    <w:rsid w:val="11D24E50"/>
    <w:rsid w:val="11D263D2"/>
    <w:rsid w:val="11F93CC8"/>
    <w:rsid w:val="121D5AA7"/>
    <w:rsid w:val="123E07AF"/>
    <w:rsid w:val="128B082A"/>
    <w:rsid w:val="12914B30"/>
    <w:rsid w:val="12B17AA6"/>
    <w:rsid w:val="12C93DE0"/>
    <w:rsid w:val="12D76A20"/>
    <w:rsid w:val="12F46E80"/>
    <w:rsid w:val="132A4818"/>
    <w:rsid w:val="136B5FEA"/>
    <w:rsid w:val="13873D73"/>
    <w:rsid w:val="13A91C52"/>
    <w:rsid w:val="13D83775"/>
    <w:rsid w:val="13EC7D20"/>
    <w:rsid w:val="13ED1D45"/>
    <w:rsid w:val="141D790D"/>
    <w:rsid w:val="144B4EFE"/>
    <w:rsid w:val="145910E0"/>
    <w:rsid w:val="147501D3"/>
    <w:rsid w:val="14E11E31"/>
    <w:rsid w:val="15007ACD"/>
    <w:rsid w:val="151F4732"/>
    <w:rsid w:val="15372FA4"/>
    <w:rsid w:val="153A1F28"/>
    <w:rsid w:val="153F05C2"/>
    <w:rsid w:val="15565AEA"/>
    <w:rsid w:val="158F403B"/>
    <w:rsid w:val="159076D6"/>
    <w:rsid w:val="15C11B01"/>
    <w:rsid w:val="15CE0A89"/>
    <w:rsid w:val="15E3346A"/>
    <w:rsid w:val="162A541E"/>
    <w:rsid w:val="166B472B"/>
    <w:rsid w:val="16704C68"/>
    <w:rsid w:val="16B877F8"/>
    <w:rsid w:val="16BC52DE"/>
    <w:rsid w:val="171A2CB4"/>
    <w:rsid w:val="171B2434"/>
    <w:rsid w:val="173C04C3"/>
    <w:rsid w:val="173E2A85"/>
    <w:rsid w:val="176652E8"/>
    <w:rsid w:val="176F4594"/>
    <w:rsid w:val="17915A7E"/>
    <w:rsid w:val="17F50DED"/>
    <w:rsid w:val="18025D64"/>
    <w:rsid w:val="18154FAB"/>
    <w:rsid w:val="181803D7"/>
    <w:rsid w:val="18196EE4"/>
    <w:rsid w:val="184433FB"/>
    <w:rsid w:val="184D4A07"/>
    <w:rsid w:val="188C4E41"/>
    <w:rsid w:val="18C56911"/>
    <w:rsid w:val="18CB0D78"/>
    <w:rsid w:val="18E447E1"/>
    <w:rsid w:val="18F1275C"/>
    <w:rsid w:val="19217C54"/>
    <w:rsid w:val="19247ED6"/>
    <w:rsid w:val="194E4D9E"/>
    <w:rsid w:val="196B2692"/>
    <w:rsid w:val="198C2B7E"/>
    <w:rsid w:val="19947705"/>
    <w:rsid w:val="19B368EA"/>
    <w:rsid w:val="19B86659"/>
    <w:rsid w:val="19B95A0C"/>
    <w:rsid w:val="19F02A92"/>
    <w:rsid w:val="19F70E42"/>
    <w:rsid w:val="1A195EF1"/>
    <w:rsid w:val="1A1B111D"/>
    <w:rsid w:val="1A4E3356"/>
    <w:rsid w:val="1A5D78BC"/>
    <w:rsid w:val="1A681627"/>
    <w:rsid w:val="1A7847F0"/>
    <w:rsid w:val="1A7B4DAB"/>
    <w:rsid w:val="1AAB623F"/>
    <w:rsid w:val="1AB84DFF"/>
    <w:rsid w:val="1AC75E51"/>
    <w:rsid w:val="1ACD364A"/>
    <w:rsid w:val="1ADD5B4A"/>
    <w:rsid w:val="1AE678F5"/>
    <w:rsid w:val="1B117444"/>
    <w:rsid w:val="1B242D7C"/>
    <w:rsid w:val="1B5148C2"/>
    <w:rsid w:val="1B5D0A58"/>
    <w:rsid w:val="1B8018C9"/>
    <w:rsid w:val="1B9A5644"/>
    <w:rsid w:val="1BAB764D"/>
    <w:rsid w:val="1BE374A9"/>
    <w:rsid w:val="1C1C3E85"/>
    <w:rsid w:val="1C4F3974"/>
    <w:rsid w:val="1C8C2322"/>
    <w:rsid w:val="1CA52C2F"/>
    <w:rsid w:val="1CAF7990"/>
    <w:rsid w:val="1CC33031"/>
    <w:rsid w:val="1CD157D9"/>
    <w:rsid w:val="1CDF1CFC"/>
    <w:rsid w:val="1D063AAC"/>
    <w:rsid w:val="1D3B78D9"/>
    <w:rsid w:val="1D7840F1"/>
    <w:rsid w:val="1D836679"/>
    <w:rsid w:val="1D8D2955"/>
    <w:rsid w:val="1D9D3D4A"/>
    <w:rsid w:val="1DC96E12"/>
    <w:rsid w:val="1E0D50FB"/>
    <w:rsid w:val="1E352C70"/>
    <w:rsid w:val="1E4574C2"/>
    <w:rsid w:val="1E536B13"/>
    <w:rsid w:val="1E5545E4"/>
    <w:rsid w:val="1E557FB0"/>
    <w:rsid w:val="1E582526"/>
    <w:rsid w:val="1E853844"/>
    <w:rsid w:val="1E9D58D6"/>
    <w:rsid w:val="1ED878EA"/>
    <w:rsid w:val="1EE51DD3"/>
    <w:rsid w:val="1F066F88"/>
    <w:rsid w:val="1F21349C"/>
    <w:rsid w:val="1F254E7A"/>
    <w:rsid w:val="1F772657"/>
    <w:rsid w:val="1FA62D37"/>
    <w:rsid w:val="1FB168A4"/>
    <w:rsid w:val="1FC658C9"/>
    <w:rsid w:val="1FCA7CDE"/>
    <w:rsid w:val="1FE3716A"/>
    <w:rsid w:val="1FED24E5"/>
    <w:rsid w:val="202D7E73"/>
    <w:rsid w:val="202F4E7D"/>
    <w:rsid w:val="2037677D"/>
    <w:rsid w:val="206007DE"/>
    <w:rsid w:val="206B4F6D"/>
    <w:rsid w:val="207D383C"/>
    <w:rsid w:val="20851F20"/>
    <w:rsid w:val="20AE2418"/>
    <w:rsid w:val="20B42211"/>
    <w:rsid w:val="20BA0299"/>
    <w:rsid w:val="20C47A5B"/>
    <w:rsid w:val="20E6100E"/>
    <w:rsid w:val="20F52E31"/>
    <w:rsid w:val="20FA64C2"/>
    <w:rsid w:val="21283873"/>
    <w:rsid w:val="21430515"/>
    <w:rsid w:val="214E24EE"/>
    <w:rsid w:val="21805ABF"/>
    <w:rsid w:val="21A47267"/>
    <w:rsid w:val="21A85F9F"/>
    <w:rsid w:val="21B5407C"/>
    <w:rsid w:val="21BC252B"/>
    <w:rsid w:val="21CA7177"/>
    <w:rsid w:val="21DD6CCE"/>
    <w:rsid w:val="21F15373"/>
    <w:rsid w:val="221710F1"/>
    <w:rsid w:val="224F3B68"/>
    <w:rsid w:val="22547778"/>
    <w:rsid w:val="22745C5B"/>
    <w:rsid w:val="227F1D33"/>
    <w:rsid w:val="22A56E76"/>
    <w:rsid w:val="22B25267"/>
    <w:rsid w:val="22C84DCC"/>
    <w:rsid w:val="231A43B2"/>
    <w:rsid w:val="23280C8D"/>
    <w:rsid w:val="232910C4"/>
    <w:rsid w:val="23302798"/>
    <w:rsid w:val="23423B80"/>
    <w:rsid w:val="236915C9"/>
    <w:rsid w:val="239E1028"/>
    <w:rsid w:val="23A139B1"/>
    <w:rsid w:val="23B41069"/>
    <w:rsid w:val="23C12EE0"/>
    <w:rsid w:val="23C22EFD"/>
    <w:rsid w:val="23CB460C"/>
    <w:rsid w:val="23DD33CC"/>
    <w:rsid w:val="23E16E04"/>
    <w:rsid w:val="23EB433F"/>
    <w:rsid w:val="240C32C9"/>
    <w:rsid w:val="24132D46"/>
    <w:rsid w:val="242817F7"/>
    <w:rsid w:val="244F371F"/>
    <w:rsid w:val="2465351D"/>
    <w:rsid w:val="24681476"/>
    <w:rsid w:val="248E37F3"/>
    <w:rsid w:val="249220C6"/>
    <w:rsid w:val="24A16B59"/>
    <w:rsid w:val="24A9239B"/>
    <w:rsid w:val="24AA65D4"/>
    <w:rsid w:val="24C85D1D"/>
    <w:rsid w:val="24D526FD"/>
    <w:rsid w:val="24E76BE8"/>
    <w:rsid w:val="25035A1C"/>
    <w:rsid w:val="25070CC1"/>
    <w:rsid w:val="251B0083"/>
    <w:rsid w:val="252B0BB3"/>
    <w:rsid w:val="252E7189"/>
    <w:rsid w:val="25513E86"/>
    <w:rsid w:val="255C02B9"/>
    <w:rsid w:val="25645475"/>
    <w:rsid w:val="25675458"/>
    <w:rsid w:val="25722BAF"/>
    <w:rsid w:val="258E7B7F"/>
    <w:rsid w:val="259B0C90"/>
    <w:rsid w:val="25A55A28"/>
    <w:rsid w:val="25C333AE"/>
    <w:rsid w:val="262A3084"/>
    <w:rsid w:val="262C35F3"/>
    <w:rsid w:val="26574779"/>
    <w:rsid w:val="26720AE8"/>
    <w:rsid w:val="26722DF5"/>
    <w:rsid w:val="26850A44"/>
    <w:rsid w:val="26A42276"/>
    <w:rsid w:val="26A95916"/>
    <w:rsid w:val="26AC2D46"/>
    <w:rsid w:val="26B048CF"/>
    <w:rsid w:val="26BC75B0"/>
    <w:rsid w:val="26D95C81"/>
    <w:rsid w:val="271375AF"/>
    <w:rsid w:val="27200E83"/>
    <w:rsid w:val="27226628"/>
    <w:rsid w:val="27240C26"/>
    <w:rsid w:val="27272B7E"/>
    <w:rsid w:val="272804A6"/>
    <w:rsid w:val="273F53E1"/>
    <w:rsid w:val="27685E57"/>
    <w:rsid w:val="277327DA"/>
    <w:rsid w:val="277A6499"/>
    <w:rsid w:val="27AD4732"/>
    <w:rsid w:val="27EF5D71"/>
    <w:rsid w:val="27FC6AB7"/>
    <w:rsid w:val="281A3B7F"/>
    <w:rsid w:val="281D4CB6"/>
    <w:rsid w:val="28225114"/>
    <w:rsid w:val="282461B2"/>
    <w:rsid w:val="28266EC2"/>
    <w:rsid w:val="28414907"/>
    <w:rsid w:val="285F4DA4"/>
    <w:rsid w:val="28641DDC"/>
    <w:rsid w:val="286D7311"/>
    <w:rsid w:val="288663F2"/>
    <w:rsid w:val="28907CBF"/>
    <w:rsid w:val="28983BDF"/>
    <w:rsid w:val="28994044"/>
    <w:rsid w:val="28BA778B"/>
    <w:rsid w:val="28CF7855"/>
    <w:rsid w:val="28E37577"/>
    <w:rsid w:val="292667B7"/>
    <w:rsid w:val="2927416E"/>
    <w:rsid w:val="292852C2"/>
    <w:rsid w:val="29403833"/>
    <w:rsid w:val="2961335E"/>
    <w:rsid w:val="296278BF"/>
    <w:rsid w:val="29840596"/>
    <w:rsid w:val="298C53B4"/>
    <w:rsid w:val="2A066D84"/>
    <w:rsid w:val="2A1F0EA2"/>
    <w:rsid w:val="2A8B74F7"/>
    <w:rsid w:val="2A9C4475"/>
    <w:rsid w:val="2AA03DAB"/>
    <w:rsid w:val="2AB526BC"/>
    <w:rsid w:val="2ADB2B70"/>
    <w:rsid w:val="2AE74455"/>
    <w:rsid w:val="2AEE3A39"/>
    <w:rsid w:val="2B333009"/>
    <w:rsid w:val="2B412076"/>
    <w:rsid w:val="2B4D7F9A"/>
    <w:rsid w:val="2B7D78DD"/>
    <w:rsid w:val="2B81314E"/>
    <w:rsid w:val="2B8B76FF"/>
    <w:rsid w:val="2BA613A2"/>
    <w:rsid w:val="2BB704E0"/>
    <w:rsid w:val="2BE84F13"/>
    <w:rsid w:val="2C0C1A2C"/>
    <w:rsid w:val="2C253078"/>
    <w:rsid w:val="2C494E79"/>
    <w:rsid w:val="2C4E2C7E"/>
    <w:rsid w:val="2C4F375B"/>
    <w:rsid w:val="2C682DF7"/>
    <w:rsid w:val="2C6C1C2D"/>
    <w:rsid w:val="2C6C1EF3"/>
    <w:rsid w:val="2C8E168F"/>
    <w:rsid w:val="2CB07168"/>
    <w:rsid w:val="2CB62549"/>
    <w:rsid w:val="2CB80691"/>
    <w:rsid w:val="2CDC63DA"/>
    <w:rsid w:val="2CDF0540"/>
    <w:rsid w:val="2CEA061D"/>
    <w:rsid w:val="2D0C5661"/>
    <w:rsid w:val="2D1A6B8B"/>
    <w:rsid w:val="2D3C7A1B"/>
    <w:rsid w:val="2D400C03"/>
    <w:rsid w:val="2D4B72A4"/>
    <w:rsid w:val="2D527FBC"/>
    <w:rsid w:val="2D574004"/>
    <w:rsid w:val="2D6932C5"/>
    <w:rsid w:val="2D9B2B4F"/>
    <w:rsid w:val="2DAA3BA2"/>
    <w:rsid w:val="2DC3526B"/>
    <w:rsid w:val="2DCF7CDF"/>
    <w:rsid w:val="2DF511F5"/>
    <w:rsid w:val="2E004BE0"/>
    <w:rsid w:val="2E084B99"/>
    <w:rsid w:val="2E762EEB"/>
    <w:rsid w:val="2E9236A2"/>
    <w:rsid w:val="2E9B4165"/>
    <w:rsid w:val="2EA1604F"/>
    <w:rsid w:val="2EC94570"/>
    <w:rsid w:val="2EF82D13"/>
    <w:rsid w:val="2F06540D"/>
    <w:rsid w:val="2F362D1D"/>
    <w:rsid w:val="2F3E1D3D"/>
    <w:rsid w:val="2F520D6A"/>
    <w:rsid w:val="2F631E0B"/>
    <w:rsid w:val="2F983C4C"/>
    <w:rsid w:val="2F9B4539"/>
    <w:rsid w:val="2FD35FF4"/>
    <w:rsid w:val="301E0417"/>
    <w:rsid w:val="30405287"/>
    <w:rsid w:val="306E5BF5"/>
    <w:rsid w:val="30811BCF"/>
    <w:rsid w:val="30852C88"/>
    <w:rsid w:val="309464E0"/>
    <w:rsid w:val="309E3F2C"/>
    <w:rsid w:val="30A41A34"/>
    <w:rsid w:val="30E33E00"/>
    <w:rsid w:val="312225A7"/>
    <w:rsid w:val="313A1FDF"/>
    <w:rsid w:val="314E5250"/>
    <w:rsid w:val="316B4950"/>
    <w:rsid w:val="31AA7C21"/>
    <w:rsid w:val="31B643EF"/>
    <w:rsid w:val="31CF685F"/>
    <w:rsid w:val="31D811CD"/>
    <w:rsid w:val="31D90966"/>
    <w:rsid w:val="31E70161"/>
    <w:rsid w:val="31F66D75"/>
    <w:rsid w:val="32042F99"/>
    <w:rsid w:val="324C33B5"/>
    <w:rsid w:val="324C7ED8"/>
    <w:rsid w:val="327B69E7"/>
    <w:rsid w:val="3284589B"/>
    <w:rsid w:val="32A51B90"/>
    <w:rsid w:val="32C80D83"/>
    <w:rsid w:val="32E77D37"/>
    <w:rsid w:val="33137B9F"/>
    <w:rsid w:val="33415A8D"/>
    <w:rsid w:val="337B73ED"/>
    <w:rsid w:val="33803480"/>
    <w:rsid w:val="3385457C"/>
    <w:rsid w:val="339A55B4"/>
    <w:rsid w:val="339E2468"/>
    <w:rsid w:val="33A91D17"/>
    <w:rsid w:val="33B44E41"/>
    <w:rsid w:val="33CC4CB4"/>
    <w:rsid w:val="34041022"/>
    <w:rsid w:val="34395956"/>
    <w:rsid w:val="346059E8"/>
    <w:rsid w:val="34756687"/>
    <w:rsid w:val="34A66303"/>
    <w:rsid w:val="34AC3731"/>
    <w:rsid w:val="34BF7AA6"/>
    <w:rsid w:val="34EF0B9B"/>
    <w:rsid w:val="350668B2"/>
    <w:rsid w:val="351211E7"/>
    <w:rsid w:val="35335936"/>
    <w:rsid w:val="355557F2"/>
    <w:rsid w:val="3562627B"/>
    <w:rsid w:val="356A00B5"/>
    <w:rsid w:val="357709D0"/>
    <w:rsid w:val="35C70E9A"/>
    <w:rsid w:val="35D02EC3"/>
    <w:rsid w:val="360C4565"/>
    <w:rsid w:val="36124F93"/>
    <w:rsid w:val="362B6A5C"/>
    <w:rsid w:val="36514DFC"/>
    <w:rsid w:val="365A592A"/>
    <w:rsid w:val="3671559A"/>
    <w:rsid w:val="36815F72"/>
    <w:rsid w:val="36A73099"/>
    <w:rsid w:val="36E253DC"/>
    <w:rsid w:val="36F339C4"/>
    <w:rsid w:val="37257AC4"/>
    <w:rsid w:val="375F69DD"/>
    <w:rsid w:val="3776777C"/>
    <w:rsid w:val="37A07100"/>
    <w:rsid w:val="37A406E4"/>
    <w:rsid w:val="37CF183F"/>
    <w:rsid w:val="37D6300B"/>
    <w:rsid w:val="37F40831"/>
    <w:rsid w:val="38010FF7"/>
    <w:rsid w:val="380751D0"/>
    <w:rsid w:val="38217B55"/>
    <w:rsid w:val="385345AE"/>
    <w:rsid w:val="3869690E"/>
    <w:rsid w:val="38750FF3"/>
    <w:rsid w:val="38756D44"/>
    <w:rsid w:val="38845C7E"/>
    <w:rsid w:val="38B60A2B"/>
    <w:rsid w:val="38BD74B9"/>
    <w:rsid w:val="38EE156D"/>
    <w:rsid w:val="38F37C80"/>
    <w:rsid w:val="39015C75"/>
    <w:rsid w:val="391D14E6"/>
    <w:rsid w:val="3920726B"/>
    <w:rsid w:val="39340E5C"/>
    <w:rsid w:val="393B5AA8"/>
    <w:rsid w:val="39544F71"/>
    <w:rsid w:val="39A0438C"/>
    <w:rsid w:val="39C63022"/>
    <w:rsid w:val="39FE7EC6"/>
    <w:rsid w:val="3A444D54"/>
    <w:rsid w:val="3A5B049C"/>
    <w:rsid w:val="3A8B5D1B"/>
    <w:rsid w:val="3AB25A48"/>
    <w:rsid w:val="3AB516BE"/>
    <w:rsid w:val="3AD64B79"/>
    <w:rsid w:val="3AEC2F68"/>
    <w:rsid w:val="3B2D369C"/>
    <w:rsid w:val="3B334A39"/>
    <w:rsid w:val="3B4018AB"/>
    <w:rsid w:val="3B5062F7"/>
    <w:rsid w:val="3B577533"/>
    <w:rsid w:val="3B745C0D"/>
    <w:rsid w:val="3B784CCF"/>
    <w:rsid w:val="3B94140D"/>
    <w:rsid w:val="3BBE43C5"/>
    <w:rsid w:val="3BC96A15"/>
    <w:rsid w:val="3BCF39B2"/>
    <w:rsid w:val="3BE01215"/>
    <w:rsid w:val="3BEF6065"/>
    <w:rsid w:val="3C015CC0"/>
    <w:rsid w:val="3C016AC1"/>
    <w:rsid w:val="3C02534D"/>
    <w:rsid w:val="3C3F4224"/>
    <w:rsid w:val="3C62595E"/>
    <w:rsid w:val="3C720169"/>
    <w:rsid w:val="3CBE566C"/>
    <w:rsid w:val="3CD66166"/>
    <w:rsid w:val="3CF52B1F"/>
    <w:rsid w:val="3D0C725A"/>
    <w:rsid w:val="3D7822ED"/>
    <w:rsid w:val="3D7B3BE0"/>
    <w:rsid w:val="3DA24227"/>
    <w:rsid w:val="3DA93405"/>
    <w:rsid w:val="3DC6046B"/>
    <w:rsid w:val="3DD55229"/>
    <w:rsid w:val="3DDA621C"/>
    <w:rsid w:val="3E142590"/>
    <w:rsid w:val="3E2E7EBE"/>
    <w:rsid w:val="3E521D31"/>
    <w:rsid w:val="3E6727A9"/>
    <w:rsid w:val="3E7976CC"/>
    <w:rsid w:val="3E8C6133"/>
    <w:rsid w:val="3E8D2978"/>
    <w:rsid w:val="3EB601A9"/>
    <w:rsid w:val="3ED668C3"/>
    <w:rsid w:val="3F281DC2"/>
    <w:rsid w:val="3F297732"/>
    <w:rsid w:val="3F4732B9"/>
    <w:rsid w:val="3F4944A8"/>
    <w:rsid w:val="3F503F29"/>
    <w:rsid w:val="3F5807E0"/>
    <w:rsid w:val="3F94557E"/>
    <w:rsid w:val="3FB50150"/>
    <w:rsid w:val="3FCC7B66"/>
    <w:rsid w:val="3FFA4413"/>
    <w:rsid w:val="401972B4"/>
    <w:rsid w:val="40487D82"/>
    <w:rsid w:val="405B5800"/>
    <w:rsid w:val="40A01669"/>
    <w:rsid w:val="41072E0E"/>
    <w:rsid w:val="41252929"/>
    <w:rsid w:val="413B3F1A"/>
    <w:rsid w:val="41480453"/>
    <w:rsid w:val="416B49EF"/>
    <w:rsid w:val="41735FD8"/>
    <w:rsid w:val="41A40996"/>
    <w:rsid w:val="41CB616E"/>
    <w:rsid w:val="41DB6AA5"/>
    <w:rsid w:val="41DD2167"/>
    <w:rsid w:val="41FC0FA7"/>
    <w:rsid w:val="421D11FF"/>
    <w:rsid w:val="423F1CC9"/>
    <w:rsid w:val="424B600F"/>
    <w:rsid w:val="42515F96"/>
    <w:rsid w:val="4262727B"/>
    <w:rsid w:val="42637D55"/>
    <w:rsid w:val="42BF2FF3"/>
    <w:rsid w:val="42C10E48"/>
    <w:rsid w:val="42CA44EA"/>
    <w:rsid w:val="42D3676F"/>
    <w:rsid w:val="42EF792C"/>
    <w:rsid w:val="431123CE"/>
    <w:rsid w:val="431E55F4"/>
    <w:rsid w:val="432D2509"/>
    <w:rsid w:val="4338080B"/>
    <w:rsid w:val="4365744A"/>
    <w:rsid w:val="436D3273"/>
    <w:rsid w:val="4370627C"/>
    <w:rsid w:val="437D03C2"/>
    <w:rsid w:val="439E46C5"/>
    <w:rsid w:val="43E52ADD"/>
    <w:rsid w:val="43F354D7"/>
    <w:rsid w:val="440139FF"/>
    <w:rsid w:val="440A1946"/>
    <w:rsid w:val="44162084"/>
    <w:rsid w:val="44452CEF"/>
    <w:rsid w:val="44752DC1"/>
    <w:rsid w:val="44832F7B"/>
    <w:rsid w:val="44947BD4"/>
    <w:rsid w:val="44AA3750"/>
    <w:rsid w:val="44B52CB1"/>
    <w:rsid w:val="44C804E0"/>
    <w:rsid w:val="4507271E"/>
    <w:rsid w:val="45226E5D"/>
    <w:rsid w:val="455A64B5"/>
    <w:rsid w:val="455C5643"/>
    <w:rsid w:val="45760E21"/>
    <w:rsid w:val="45965327"/>
    <w:rsid w:val="45BA248B"/>
    <w:rsid w:val="460B7E0C"/>
    <w:rsid w:val="461812ED"/>
    <w:rsid w:val="46223A8A"/>
    <w:rsid w:val="46314DBD"/>
    <w:rsid w:val="4643282A"/>
    <w:rsid w:val="4682603A"/>
    <w:rsid w:val="46C633A0"/>
    <w:rsid w:val="46D908D3"/>
    <w:rsid w:val="47101887"/>
    <w:rsid w:val="472813A6"/>
    <w:rsid w:val="47752F9E"/>
    <w:rsid w:val="47765791"/>
    <w:rsid w:val="477A01FD"/>
    <w:rsid w:val="47801AB2"/>
    <w:rsid w:val="4780267D"/>
    <w:rsid w:val="4795235B"/>
    <w:rsid w:val="47E567CE"/>
    <w:rsid w:val="486A14E7"/>
    <w:rsid w:val="486D6717"/>
    <w:rsid w:val="48894303"/>
    <w:rsid w:val="49072A64"/>
    <w:rsid w:val="49123615"/>
    <w:rsid w:val="491E3D88"/>
    <w:rsid w:val="493731EA"/>
    <w:rsid w:val="4944592C"/>
    <w:rsid w:val="49587582"/>
    <w:rsid w:val="495D141B"/>
    <w:rsid w:val="496B237A"/>
    <w:rsid w:val="49804F26"/>
    <w:rsid w:val="49990406"/>
    <w:rsid w:val="49AF4B75"/>
    <w:rsid w:val="49C647D9"/>
    <w:rsid w:val="49D47304"/>
    <w:rsid w:val="4A343D33"/>
    <w:rsid w:val="4A4679EC"/>
    <w:rsid w:val="4A522936"/>
    <w:rsid w:val="4A7D62A7"/>
    <w:rsid w:val="4A8166C5"/>
    <w:rsid w:val="4A8803F3"/>
    <w:rsid w:val="4A9F523E"/>
    <w:rsid w:val="4A9F776C"/>
    <w:rsid w:val="4ABE5F7D"/>
    <w:rsid w:val="4AC95516"/>
    <w:rsid w:val="4ADC34C0"/>
    <w:rsid w:val="4B0706EF"/>
    <w:rsid w:val="4B151CDA"/>
    <w:rsid w:val="4B2E5F87"/>
    <w:rsid w:val="4B3423D0"/>
    <w:rsid w:val="4B7C57A9"/>
    <w:rsid w:val="4B9535D0"/>
    <w:rsid w:val="4BF65473"/>
    <w:rsid w:val="4C1C5ED1"/>
    <w:rsid w:val="4C296DFE"/>
    <w:rsid w:val="4C4308E7"/>
    <w:rsid w:val="4C5F554A"/>
    <w:rsid w:val="4C674BE3"/>
    <w:rsid w:val="4C796238"/>
    <w:rsid w:val="4C83051A"/>
    <w:rsid w:val="4C8D7864"/>
    <w:rsid w:val="4CA2136F"/>
    <w:rsid w:val="4CC330C3"/>
    <w:rsid w:val="4CD07A2A"/>
    <w:rsid w:val="4CF25575"/>
    <w:rsid w:val="4CFE48B1"/>
    <w:rsid w:val="4D042A23"/>
    <w:rsid w:val="4D6543A8"/>
    <w:rsid w:val="4D8D7BF0"/>
    <w:rsid w:val="4DBB674D"/>
    <w:rsid w:val="4DEE42BB"/>
    <w:rsid w:val="4E41681A"/>
    <w:rsid w:val="4E486266"/>
    <w:rsid w:val="4E4C2F10"/>
    <w:rsid w:val="4E50554E"/>
    <w:rsid w:val="4E834EF3"/>
    <w:rsid w:val="4E9614A2"/>
    <w:rsid w:val="4E9E4D53"/>
    <w:rsid w:val="4EA253CD"/>
    <w:rsid w:val="4EA62219"/>
    <w:rsid w:val="4EB9101B"/>
    <w:rsid w:val="4ECC459F"/>
    <w:rsid w:val="4EDF533B"/>
    <w:rsid w:val="4EE80E4C"/>
    <w:rsid w:val="4F046328"/>
    <w:rsid w:val="4F0A38E9"/>
    <w:rsid w:val="4F0C1D27"/>
    <w:rsid w:val="4F0C6D7F"/>
    <w:rsid w:val="4F1763A9"/>
    <w:rsid w:val="4F3139CE"/>
    <w:rsid w:val="4F3F4AE5"/>
    <w:rsid w:val="4F813436"/>
    <w:rsid w:val="4F8F59C8"/>
    <w:rsid w:val="4F9A2F39"/>
    <w:rsid w:val="4FA52BCF"/>
    <w:rsid w:val="4FA9296D"/>
    <w:rsid w:val="4FE60EDF"/>
    <w:rsid w:val="4FF5614D"/>
    <w:rsid w:val="50456945"/>
    <w:rsid w:val="50527BFF"/>
    <w:rsid w:val="507C0F0A"/>
    <w:rsid w:val="508C41C3"/>
    <w:rsid w:val="50987303"/>
    <w:rsid w:val="509A5FF6"/>
    <w:rsid w:val="50B21FB5"/>
    <w:rsid w:val="50EA598E"/>
    <w:rsid w:val="513D7C0C"/>
    <w:rsid w:val="514A4278"/>
    <w:rsid w:val="51550A01"/>
    <w:rsid w:val="51580D72"/>
    <w:rsid w:val="516B7014"/>
    <w:rsid w:val="516F5BB5"/>
    <w:rsid w:val="517A72F6"/>
    <w:rsid w:val="51876787"/>
    <w:rsid w:val="519D4926"/>
    <w:rsid w:val="51D514A1"/>
    <w:rsid w:val="51E86261"/>
    <w:rsid w:val="51F60FA4"/>
    <w:rsid w:val="523429DF"/>
    <w:rsid w:val="526762D2"/>
    <w:rsid w:val="528C2DEB"/>
    <w:rsid w:val="52A10892"/>
    <w:rsid w:val="52A43116"/>
    <w:rsid w:val="52B453D9"/>
    <w:rsid w:val="52B925C9"/>
    <w:rsid w:val="52DA0145"/>
    <w:rsid w:val="52EF5B8A"/>
    <w:rsid w:val="53157BAA"/>
    <w:rsid w:val="532100DD"/>
    <w:rsid w:val="532631EC"/>
    <w:rsid w:val="535B075B"/>
    <w:rsid w:val="537D3F15"/>
    <w:rsid w:val="53C82084"/>
    <w:rsid w:val="53F56162"/>
    <w:rsid w:val="543437C0"/>
    <w:rsid w:val="54407DB7"/>
    <w:rsid w:val="54476E39"/>
    <w:rsid w:val="545170B4"/>
    <w:rsid w:val="54572022"/>
    <w:rsid w:val="54581443"/>
    <w:rsid w:val="5478018A"/>
    <w:rsid w:val="54993A1A"/>
    <w:rsid w:val="54AA6DEE"/>
    <w:rsid w:val="54D142AB"/>
    <w:rsid w:val="54E149C6"/>
    <w:rsid w:val="54EB48D8"/>
    <w:rsid w:val="550012B8"/>
    <w:rsid w:val="55171F21"/>
    <w:rsid w:val="551E0C98"/>
    <w:rsid w:val="552C3E22"/>
    <w:rsid w:val="553E1633"/>
    <w:rsid w:val="554910C3"/>
    <w:rsid w:val="5565794F"/>
    <w:rsid w:val="55866B82"/>
    <w:rsid w:val="55AC70FA"/>
    <w:rsid w:val="55B66503"/>
    <w:rsid w:val="55CC7FEC"/>
    <w:rsid w:val="55E02539"/>
    <w:rsid w:val="55F95A0A"/>
    <w:rsid w:val="562A4F52"/>
    <w:rsid w:val="562D14FF"/>
    <w:rsid w:val="56312E45"/>
    <w:rsid w:val="563F794A"/>
    <w:rsid w:val="5660269B"/>
    <w:rsid w:val="567815A1"/>
    <w:rsid w:val="56864EC0"/>
    <w:rsid w:val="56C1389A"/>
    <w:rsid w:val="56C70E4C"/>
    <w:rsid w:val="56DA0379"/>
    <w:rsid w:val="56E61DD1"/>
    <w:rsid w:val="56E629BF"/>
    <w:rsid w:val="571A3316"/>
    <w:rsid w:val="57531AE5"/>
    <w:rsid w:val="57700F1E"/>
    <w:rsid w:val="57743876"/>
    <w:rsid w:val="5788259C"/>
    <w:rsid w:val="57BA6A69"/>
    <w:rsid w:val="57C96BB6"/>
    <w:rsid w:val="57D60F67"/>
    <w:rsid w:val="57F721C7"/>
    <w:rsid w:val="58767185"/>
    <w:rsid w:val="58873070"/>
    <w:rsid w:val="58BD13B3"/>
    <w:rsid w:val="590239D6"/>
    <w:rsid w:val="59074258"/>
    <w:rsid w:val="599260CF"/>
    <w:rsid w:val="59A374A2"/>
    <w:rsid w:val="59A6390C"/>
    <w:rsid w:val="59A85A0F"/>
    <w:rsid w:val="59BF4E8F"/>
    <w:rsid w:val="59DE576D"/>
    <w:rsid w:val="59FF3DD5"/>
    <w:rsid w:val="5A061F05"/>
    <w:rsid w:val="5A2D5907"/>
    <w:rsid w:val="5A9E14BA"/>
    <w:rsid w:val="5AAF18B6"/>
    <w:rsid w:val="5ACE61DC"/>
    <w:rsid w:val="5AD71FC8"/>
    <w:rsid w:val="5AE01549"/>
    <w:rsid w:val="5AF25320"/>
    <w:rsid w:val="5B0B6C13"/>
    <w:rsid w:val="5B0C3813"/>
    <w:rsid w:val="5B5D0668"/>
    <w:rsid w:val="5B6A7475"/>
    <w:rsid w:val="5B8A69B6"/>
    <w:rsid w:val="5B954541"/>
    <w:rsid w:val="5B9736F3"/>
    <w:rsid w:val="5BA849E6"/>
    <w:rsid w:val="5BDA6D7F"/>
    <w:rsid w:val="5BE119C8"/>
    <w:rsid w:val="5C2B4972"/>
    <w:rsid w:val="5C312F2C"/>
    <w:rsid w:val="5C625955"/>
    <w:rsid w:val="5CA54AB0"/>
    <w:rsid w:val="5D002351"/>
    <w:rsid w:val="5D002A38"/>
    <w:rsid w:val="5D177993"/>
    <w:rsid w:val="5D207458"/>
    <w:rsid w:val="5D3B7CB5"/>
    <w:rsid w:val="5D560EE3"/>
    <w:rsid w:val="5D584373"/>
    <w:rsid w:val="5D754025"/>
    <w:rsid w:val="5D9B3801"/>
    <w:rsid w:val="5DB01940"/>
    <w:rsid w:val="5DE272CE"/>
    <w:rsid w:val="5DE646D3"/>
    <w:rsid w:val="5E0B1330"/>
    <w:rsid w:val="5E1A1A2D"/>
    <w:rsid w:val="5E1A2D19"/>
    <w:rsid w:val="5E7B078E"/>
    <w:rsid w:val="5E822A4A"/>
    <w:rsid w:val="5E966EBF"/>
    <w:rsid w:val="5EBF22BC"/>
    <w:rsid w:val="5EF23316"/>
    <w:rsid w:val="5EFD63A0"/>
    <w:rsid w:val="5F114066"/>
    <w:rsid w:val="5F2F40A8"/>
    <w:rsid w:val="5F3E31FA"/>
    <w:rsid w:val="5F6A2CAD"/>
    <w:rsid w:val="5F75009A"/>
    <w:rsid w:val="5F7D52C6"/>
    <w:rsid w:val="5F8E65CB"/>
    <w:rsid w:val="5F903222"/>
    <w:rsid w:val="5F93366B"/>
    <w:rsid w:val="60247767"/>
    <w:rsid w:val="603302D2"/>
    <w:rsid w:val="60634048"/>
    <w:rsid w:val="60734876"/>
    <w:rsid w:val="60A22725"/>
    <w:rsid w:val="60EE6452"/>
    <w:rsid w:val="60F04887"/>
    <w:rsid w:val="60F465F9"/>
    <w:rsid w:val="60F90953"/>
    <w:rsid w:val="60FD7201"/>
    <w:rsid w:val="61054C82"/>
    <w:rsid w:val="610C7077"/>
    <w:rsid w:val="61343B02"/>
    <w:rsid w:val="613D6DF3"/>
    <w:rsid w:val="616A3F2E"/>
    <w:rsid w:val="616D1CC8"/>
    <w:rsid w:val="618427EF"/>
    <w:rsid w:val="61B94090"/>
    <w:rsid w:val="61C25F13"/>
    <w:rsid w:val="61F53810"/>
    <w:rsid w:val="62053E15"/>
    <w:rsid w:val="62225E76"/>
    <w:rsid w:val="62254142"/>
    <w:rsid w:val="622A2A87"/>
    <w:rsid w:val="622E05F6"/>
    <w:rsid w:val="62436AF8"/>
    <w:rsid w:val="626744CC"/>
    <w:rsid w:val="6273108A"/>
    <w:rsid w:val="6286335F"/>
    <w:rsid w:val="62BD06F1"/>
    <w:rsid w:val="62F345C8"/>
    <w:rsid w:val="6319602F"/>
    <w:rsid w:val="63263B2D"/>
    <w:rsid w:val="632931AB"/>
    <w:rsid w:val="63737E4E"/>
    <w:rsid w:val="63846BFA"/>
    <w:rsid w:val="63B1112C"/>
    <w:rsid w:val="63D802E2"/>
    <w:rsid w:val="63DC2FBF"/>
    <w:rsid w:val="63E72F74"/>
    <w:rsid w:val="64081316"/>
    <w:rsid w:val="642D1726"/>
    <w:rsid w:val="64820E7F"/>
    <w:rsid w:val="64A1252C"/>
    <w:rsid w:val="64E9238A"/>
    <w:rsid w:val="64EF0725"/>
    <w:rsid w:val="65470E93"/>
    <w:rsid w:val="6567363D"/>
    <w:rsid w:val="65A74A29"/>
    <w:rsid w:val="65E567ED"/>
    <w:rsid w:val="65F3104F"/>
    <w:rsid w:val="6655160C"/>
    <w:rsid w:val="66560D21"/>
    <w:rsid w:val="668039D7"/>
    <w:rsid w:val="66930774"/>
    <w:rsid w:val="66963E6A"/>
    <w:rsid w:val="66986334"/>
    <w:rsid w:val="669F75AA"/>
    <w:rsid w:val="66AB7437"/>
    <w:rsid w:val="66B44E00"/>
    <w:rsid w:val="66B81ECD"/>
    <w:rsid w:val="66C80FC5"/>
    <w:rsid w:val="66D974CE"/>
    <w:rsid w:val="66F9067A"/>
    <w:rsid w:val="67573614"/>
    <w:rsid w:val="677C6D6C"/>
    <w:rsid w:val="678C3314"/>
    <w:rsid w:val="67B20FA6"/>
    <w:rsid w:val="67F379B8"/>
    <w:rsid w:val="67F97C4C"/>
    <w:rsid w:val="67FD04D0"/>
    <w:rsid w:val="680B1697"/>
    <w:rsid w:val="6821718F"/>
    <w:rsid w:val="68595677"/>
    <w:rsid w:val="68891211"/>
    <w:rsid w:val="688E2440"/>
    <w:rsid w:val="68B17662"/>
    <w:rsid w:val="68C609BD"/>
    <w:rsid w:val="69346EC6"/>
    <w:rsid w:val="69556DF3"/>
    <w:rsid w:val="69AA76EB"/>
    <w:rsid w:val="6A121C16"/>
    <w:rsid w:val="6A18437A"/>
    <w:rsid w:val="6A2161D7"/>
    <w:rsid w:val="6A2E1384"/>
    <w:rsid w:val="6A364250"/>
    <w:rsid w:val="6A670669"/>
    <w:rsid w:val="6A8F05CE"/>
    <w:rsid w:val="6AEF48D3"/>
    <w:rsid w:val="6AF30FB6"/>
    <w:rsid w:val="6B014FD4"/>
    <w:rsid w:val="6B196B05"/>
    <w:rsid w:val="6B336FB1"/>
    <w:rsid w:val="6B931956"/>
    <w:rsid w:val="6B940955"/>
    <w:rsid w:val="6BD6293B"/>
    <w:rsid w:val="6BD834E5"/>
    <w:rsid w:val="6C17681A"/>
    <w:rsid w:val="6C203850"/>
    <w:rsid w:val="6C7D7C51"/>
    <w:rsid w:val="6C96341D"/>
    <w:rsid w:val="6CAB48F3"/>
    <w:rsid w:val="6CB00BC9"/>
    <w:rsid w:val="6CD51390"/>
    <w:rsid w:val="6D054E50"/>
    <w:rsid w:val="6D1D796E"/>
    <w:rsid w:val="6D306281"/>
    <w:rsid w:val="6D4570DF"/>
    <w:rsid w:val="6D8B0645"/>
    <w:rsid w:val="6DA8216A"/>
    <w:rsid w:val="6E0063F0"/>
    <w:rsid w:val="6E014F3D"/>
    <w:rsid w:val="6E0A3EFC"/>
    <w:rsid w:val="6E677B1D"/>
    <w:rsid w:val="6E694D2F"/>
    <w:rsid w:val="6E8D18D4"/>
    <w:rsid w:val="6E914468"/>
    <w:rsid w:val="6E996F51"/>
    <w:rsid w:val="6E9C5B3F"/>
    <w:rsid w:val="6EDE238A"/>
    <w:rsid w:val="6EEE0563"/>
    <w:rsid w:val="6EFC154D"/>
    <w:rsid w:val="6EFC2AE2"/>
    <w:rsid w:val="6F1E04BD"/>
    <w:rsid w:val="6F1E3EFE"/>
    <w:rsid w:val="6F8B4B86"/>
    <w:rsid w:val="6F9279EB"/>
    <w:rsid w:val="6FAC7618"/>
    <w:rsid w:val="6FAF3FAC"/>
    <w:rsid w:val="6FBE188C"/>
    <w:rsid w:val="6FBE5187"/>
    <w:rsid w:val="6FC81D38"/>
    <w:rsid w:val="6FCE4375"/>
    <w:rsid w:val="6FD3032B"/>
    <w:rsid w:val="6FDB0951"/>
    <w:rsid w:val="6FDB55D0"/>
    <w:rsid w:val="6FE4396C"/>
    <w:rsid w:val="6FE93249"/>
    <w:rsid w:val="7001090D"/>
    <w:rsid w:val="700910BA"/>
    <w:rsid w:val="702D6286"/>
    <w:rsid w:val="706247DB"/>
    <w:rsid w:val="706B3EB8"/>
    <w:rsid w:val="707149A2"/>
    <w:rsid w:val="70812FE7"/>
    <w:rsid w:val="709779C9"/>
    <w:rsid w:val="70982A51"/>
    <w:rsid w:val="70E05BBA"/>
    <w:rsid w:val="71041996"/>
    <w:rsid w:val="71383E8B"/>
    <w:rsid w:val="713E4E22"/>
    <w:rsid w:val="71455E8F"/>
    <w:rsid w:val="719B43F2"/>
    <w:rsid w:val="719D4AD1"/>
    <w:rsid w:val="71C44FBC"/>
    <w:rsid w:val="71DA7D55"/>
    <w:rsid w:val="71F50C85"/>
    <w:rsid w:val="7240030F"/>
    <w:rsid w:val="72417AB9"/>
    <w:rsid w:val="72613DF1"/>
    <w:rsid w:val="72953A77"/>
    <w:rsid w:val="72C60B5E"/>
    <w:rsid w:val="72CD7E53"/>
    <w:rsid w:val="72D51A93"/>
    <w:rsid w:val="72DB4CD1"/>
    <w:rsid w:val="72DC52F8"/>
    <w:rsid w:val="72F51C1D"/>
    <w:rsid w:val="73031B08"/>
    <w:rsid w:val="73162AB8"/>
    <w:rsid w:val="731F509A"/>
    <w:rsid w:val="73345818"/>
    <w:rsid w:val="73443457"/>
    <w:rsid w:val="734E311B"/>
    <w:rsid w:val="73782115"/>
    <w:rsid w:val="73A23474"/>
    <w:rsid w:val="73B57597"/>
    <w:rsid w:val="73D96FF7"/>
    <w:rsid w:val="741F2B6E"/>
    <w:rsid w:val="74261FB2"/>
    <w:rsid w:val="743B0372"/>
    <w:rsid w:val="74556998"/>
    <w:rsid w:val="745B2C64"/>
    <w:rsid w:val="74815C6A"/>
    <w:rsid w:val="74934DDC"/>
    <w:rsid w:val="74B577C1"/>
    <w:rsid w:val="74DB41A1"/>
    <w:rsid w:val="75157A83"/>
    <w:rsid w:val="751C658E"/>
    <w:rsid w:val="75254F5B"/>
    <w:rsid w:val="752862B7"/>
    <w:rsid w:val="752A694B"/>
    <w:rsid w:val="75333069"/>
    <w:rsid w:val="753A2F94"/>
    <w:rsid w:val="753D49D9"/>
    <w:rsid w:val="75492238"/>
    <w:rsid w:val="75984460"/>
    <w:rsid w:val="75A04D5B"/>
    <w:rsid w:val="75A72CCB"/>
    <w:rsid w:val="75DD0B81"/>
    <w:rsid w:val="761634C4"/>
    <w:rsid w:val="76406639"/>
    <w:rsid w:val="7641097A"/>
    <w:rsid w:val="76437287"/>
    <w:rsid w:val="76797FDB"/>
    <w:rsid w:val="76875D36"/>
    <w:rsid w:val="76B34156"/>
    <w:rsid w:val="76E72756"/>
    <w:rsid w:val="77104A47"/>
    <w:rsid w:val="773F2DC7"/>
    <w:rsid w:val="77701812"/>
    <w:rsid w:val="77950C6E"/>
    <w:rsid w:val="77A34B0F"/>
    <w:rsid w:val="77AA1EDD"/>
    <w:rsid w:val="77C1059D"/>
    <w:rsid w:val="77F34632"/>
    <w:rsid w:val="77F67257"/>
    <w:rsid w:val="77FC131B"/>
    <w:rsid w:val="7801671E"/>
    <w:rsid w:val="780358A9"/>
    <w:rsid w:val="78143870"/>
    <w:rsid w:val="783D58E3"/>
    <w:rsid w:val="78A546FD"/>
    <w:rsid w:val="78A830C7"/>
    <w:rsid w:val="78AB4BB7"/>
    <w:rsid w:val="78D0048E"/>
    <w:rsid w:val="78E05550"/>
    <w:rsid w:val="78E125CE"/>
    <w:rsid w:val="78E536C4"/>
    <w:rsid w:val="78F348F2"/>
    <w:rsid w:val="79201FA7"/>
    <w:rsid w:val="79275B39"/>
    <w:rsid w:val="792B2D45"/>
    <w:rsid w:val="793B4D24"/>
    <w:rsid w:val="794B7537"/>
    <w:rsid w:val="798F2AF2"/>
    <w:rsid w:val="799631B9"/>
    <w:rsid w:val="79970C64"/>
    <w:rsid w:val="79A947AE"/>
    <w:rsid w:val="79AC3305"/>
    <w:rsid w:val="79B43785"/>
    <w:rsid w:val="79C20908"/>
    <w:rsid w:val="79CE6DF0"/>
    <w:rsid w:val="7A1C17B7"/>
    <w:rsid w:val="7A204F4D"/>
    <w:rsid w:val="7A2C501E"/>
    <w:rsid w:val="7A301ED1"/>
    <w:rsid w:val="7A5B6EF4"/>
    <w:rsid w:val="7A745CF2"/>
    <w:rsid w:val="7A9573C9"/>
    <w:rsid w:val="7AB00950"/>
    <w:rsid w:val="7AB93AD6"/>
    <w:rsid w:val="7ABF22A2"/>
    <w:rsid w:val="7AE371F5"/>
    <w:rsid w:val="7AE8618D"/>
    <w:rsid w:val="7B0A4D75"/>
    <w:rsid w:val="7B460C77"/>
    <w:rsid w:val="7B4B04E9"/>
    <w:rsid w:val="7B5468E1"/>
    <w:rsid w:val="7B676B0E"/>
    <w:rsid w:val="7B866719"/>
    <w:rsid w:val="7B9B51CE"/>
    <w:rsid w:val="7BBC7F06"/>
    <w:rsid w:val="7BC97788"/>
    <w:rsid w:val="7BE06E4C"/>
    <w:rsid w:val="7BE76AAF"/>
    <w:rsid w:val="7BEB5F65"/>
    <w:rsid w:val="7C22419B"/>
    <w:rsid w:val="7C292921"/>
    <w:rsid w:val="7C3359C2"/>
    <w:rsid w:val="7C414133"/>
    <w:rsid w:val="7C4F5DA0"/>
    <w:rsid w:val="7C754ED8"/>
    <w:rsid w:val="7C8F32DA"/>
    <w:rsid w:val="7CAE6553"/>
    <w:rsid w:val="7CB14210"/>
    <w:rsid w:val="7CDE5175"/>
    <w:rsid w:val="7CE706DB"/>
    <w:rsid w:val="7D0A274B"/>
    <w:rsid w:val="7D29174B"/>
    <w:rsid w:val="7D32766A"/>
    <w:rsid w:val="7D332ACA"/>
    <w:rsid w:val="7D684372"/>
    <w:rsid w:val="7DB16FCC"/>
    <w:rsid w:val="7DBB1D68"/>
    <w:rsid w:val="7DC55C93"/>
    <w:rsid w:val="7DD601AF"/>
    <w:rsid w:val="7DDF2D9D"/>
    <w:rsid w:val="7E1B7F2D"/>
    <w:rsid w:val="7E31544E"/>
    <w:rsid w:val="7E42189C"/>
    <w:rsid w:val="7E440313"/>
    <w:rsid w:val="7E4A3DEF"/>
    <w:rsid w:val="7E5B6364"/>
    <w:rsid w:val="7E6F4FD0"/>
    <w:rsid w:val="7EC60394"/>
    <w:rsid w:val="7EFD6E57"/>
    <w:rsid w:val="7F112ED5"/>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jc w:val="center"/>
      <w:outlineLvl w:val="0"/>
    </w:pPr>
    <w:rPr>
      <w:rFonts w:ascii="Times New Roman" w:hAnsi="Times New Roman"/>
      <w:b/>
      <w:kern w:val="44"/>
      <w:sz w:val="32"/>
    </w:rPr>
  </w:style>
  <w:style w:type="paragraph" w:styleId="5">
    <w:name w:val="heading 2"/>
    <w:basedOn w:val="1"/>
    <w:next w:val="1"/>
    <w:qFormat/>
    <w:uiPriority w:val="0"/>
    <w:pPr>
      <w:keepNext/>
      <w:keepLines/>
      <w:spacing w:line="413" w:lineRule="auto"/>
      <w:jc w:val="center"/>
      <w:outlineLvl w:val="1"/>
    </w:pPr>
    <w:rPr>
      <w:rFonts w:ascii="Arial" w:hAnsi="Arial"/>
      <w:b/>
      <w:sz w:val="28"/>
    </w:rPr>
  </w:style>
  <w:style w:type="paragraph" w:styleId="6">
    <w:name w:val="heading 3"/>
    <w:basedOn w:val="1"/>
    <w:next w:val="1"/>
    <w:link w:val="3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jc w:val="left"/>
      <w:outlineLvl w:val="3"/>
    </w:pPr>
    <w:rPr>
      <w:rFonts w:hint="eastAsia" w:ascii="Arial" w:hAnsi="Arial"/>
      <w:b/>
      <w:sz w:val="32"/>
    </w:rPr>
  </w:style>
  <w:style w:type="paragraph" w:styleId="8">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9">
    <w:name w:val="Normal Indent"/>
    <w:basedOn w:val="1"/>
    <w:next w:val="10"/>
    <w:qFormat/>
    <w:uiPriority w:val="0"/>
    <w:pPr>
      <w:ind w:firstLine="420"/>
    </w:pPr>
  </w:style>
  <w:style w:type="paragraph" w:styleId="10">
    <w:name w:val="Plain Text"/>
    <w:basedOn w:val="1"/>
    <w:link w:val="32"/>
    <w:qFormat/>
    <w:uiPriority w:val="0"/>
    <w:pPr>
      <w:spacing w:line="324" w:lineRule="auto"/>
    </w:pPr>
    <w:rPr>
      <w:rFonts w:ascii="宋体" w:hAnsi="Courier New" w:cs="Courier New"/>
      <w:szCs w:val="21"/>
    </w:rPr>
  </w:style>
  <w:style w:type="paragraph" w:styleId="11">
    <w:name w:val="annotation text"/>
    <w:basedOn w:val="1"/>
    <w:link w:val="33"/>
    <w:qFormat/>
    <w:uiPriority w:val="0"/>
    <w:pPr>
      <w:jc w:val="left"/>
    </w:pPr>
  </w:style>
  <w:style w:type="paragraph" w:styleId="12">
    <w:name w:val="Body Text"/>
    <w:basedOn w:val="1"/>
    <w:next w:val="1"/>
    <w:qFormat/>
    <w:uiPriority w:val="99"/>
  </w:style>
  <w:style w:type="paragraph" w:styleId="13">
    <w:name w:val="Body Text Indent 2"/>
    <w:basedOn w:val="1"/>
    <w:qFormat/>
    <w:uiPriority w:val="0"/>
    <w:pPr>
      <w:spacing w:line="400" w:lineRule="exact"/>
      <w:ind w:firstLine="475" w:firstLineChars="198"/>
    </w:pPr>
    <w:rPr>
      <w:rFonts w:ascii="宋体" w:hAnsi="宋体"/>
      <w:sz w:val="24"/>
      <w:szCs w:val="24"/>
    </w:rPr>
  </w:style>
  <w:style w:type="paragraph" w:styleId="14">
    <w:name w:val="Balloon Text"/>
    <w:basedOn w:val="1"/>
    <w:link w:val="3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4"/>
    <w:basedOn w:val="1"/>
    <w:next w:val="1"/>
    <w:unhideWhenUsed/>
    <w:qFormat/>
    <w:uiPriority w:val="39"/>
    <w:pPr>
      <w:ind w:left="1260" w:leftChars="600"/>
    </w:pPr>
    <w:rPr>
      <w:szCs w:val="24"/>
    </w:rPr>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11"/>
    <w:next w:val="11"/>
    <w:link w:val="35"/>
    <w:qFormat/>
    <w:uiPriority w:val="0"/>
    <w:rPr>
      <w:b/>
      <w:bCs/>
    </w:rPr>
  </w:style>
  <w:style w:type="paragraph" w:styleId="22">
    <w:name w:val="Body Text First Indent"/>
    <w:basedOn w:val="12"/>
    <w:next w:val="1"/>
    <w:qFormat/>
    <w:uiPriority w:val="99"/>
    <w:pPr>
      <w:ind w:firstLine="420" w:firstLineChars="1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4"/>
      <w:szCs w:val="24"/>
    </w:rPr>
  </w:style>
  <w:style w:type="character" w:styleId="27">
    <w:name w:val="page number"/>
    <w:qFormat/>
    <w:uiPriority w:val="0"/>
  </w:style>
  <w:style w:type="character" w:styleId="28">
    <w:name w:val="FollowedHyperlink"/>
    <w:qFormat/>
    <w:uiPriority w:val="0"/>
    <w:rPr>
      <w:rFonts w:hint="eastAsia" w:ascii="宋体" w:hAnsi="宋体" w:eastAsia="宋体" w:cs="宋体"/>
      <w:color w:val="000000"/>
      <w:sz w:val="18"/>
      <w:szCs w:val="18"/>
      <w:u w:val="none"/>
    </w:rPr>
  </w:style>
  <w:style w:type="character" w:styleId="29">
    <w:name w:val="Hyperlink"/>
    <w:qFormat/>
    <w:uiPriority w:val="0"/>
    <w:rPr>
      <w:rFonts w:hint="eastAsia" w:ascii="宋体" w:hAnsi="宋体" w:eastAsia="宋体" w:cs="宋体"/>
      <w:color w:val="000000"/>
      <w:sz w:val="18"/>
      <w:szCs w:val="18"/>
      <w:u w:val="none"/>
    </w:rPr>
  </w:style>
  <w:style w:type="character" w:styleId="30">
    <w:name w:val="annotation reference"/>
    <w:qFormat/>
    <w:uiPriority w:val="0"/>
    <w:rPr>
      <w:sz w:val="21"/>
      <w:szCs w:val="21"/>
    </w:rPr>
  </w:style>
  <w:style w:type="character" w:customStyle="1" w:styleId="31">
    <w:name w:val="标题 3 字符"/>
    <w:link w:val="6"/>
    <w:qFormat/>
    <w:uiPriority w:val="0"/>
    <w:rPr>
      <w:rFonts w:ascii="Calibri" w:hAnsi="Calibri"/>
      <w:b/>
      <w:kern w:val="2"/>
      <w:sz w:val="32"/>
      <w:szCs w:val="22"/>
    </w:rPr>
  </w:style>
  <w:style w:type="character" w:customStyle="1" w:styleId="32">
    <w:name w:val="纯文本 字符"/>
    <w:link w:val="10"/>
    <w:qFormat/>
    <w:uiPriority w:val="0"/>
    <w:rPr>
      <w:rFonts w:ascii="宋体" w:hAnsi="Courier New" w:cs="Courier New"/>
      <w:szCs w:val="21"/>
    </w:rPr>
  </w:style>
  <w:style w:type="character" w:customStyle="1" w:styleId="33">
    <w:name w:val="批注文字 字符"/>
    <w:link w:val="11"/>
    <w:qFormat/>
    <w:uiPriority w:val="0"/>
    <w:rPr>
      <w:rFonts w:ascii="Calibri" w:hAnsi="Calibri" w:eastAsia="宋体" w:cs="Times New Roman"/>
      <w:kern w:val="2"/>
      <w:sz w:val="21"/>
      <w:szCs w:val="22"/>
    </w:rPr>
  </w:style>
  <w:style w:type="character" w:customStyle="1" w:styleId="34">
    <w:name w:val="批注框文本 字符"/>
    <w:link w:val="14"/>
    <w:qFormat/>
    <w:uiPriority w:val="0"/>
    <w:rPr>
      <w:rFonts w:ascii="Calibri" w:hAnsi="Calibri" w:eastAsia="宋体" w:cs="Times New Roman"/>
      <w:kern w:val="2"/>
      <w:sz w:val="18"/>
      <w:szCs w:val="18"/>
    </w:rPr>
  </w:style>
  <w:style w:type="character" w:customStyle="1" w:styleId="35">
    <w:name w:val="批注主题 字符"/>
    <w:link w:val="21"/>
    <w:qFormat/>
    <w:uiPriority w:val="0"/>
    <w:rPr>
      <w:rFonts w:ascii="Calibri" w:hAnsi="Calibri" w:eastAsia="宋体" w:cs="Times New Roman"/>
      <w:b/>
      <w:bCs/>
      <w:kern w:val="2"/>
      <w:sz w:val="21"/>
      <w:szCs w:val="22"/>
    </w:rPr>
  </w:style>
  <w:style w:type="character" w:customStyle="1" w:styleId="36">
    <w:name w:val="font41"/>
    <w:qFormat/>
    <w:uiPriority w:val="0"/>
    <w:rPr>
      <w:rFonts w:hint="eastAsia" w:ascii="宋体" w:hAnsi="宋体" w:eastAsia="宋体" w:cs="宋体"/>
      <w:color w:val="000000"/>
      <w:sz w:val="22"/>
      <w:szCs w:val="22"/>
      <w:u w:val="none"/>
    </w:rPr>
  </w:style>
  <w:style w:type="character" w:customStyle="1" w:styleId="37">
    <w:name w:val="font11"/>
    <w:qFormat/>
    <w:uiPriority w:val="0"/>
    <w:rPr>
      <w:rFonts w:hint="eastAsia" w:ascii="宋体" w:hAnsi="宋体" w:eastAsia="宋体" w:cs="宋体"/>
      <w:b/>
      <w:color w:val="000000"/>
      <w:sz w:val="22"/>
      <w:szCs w:val="22"/>
      <w:u w:val="none"/>
    </w:rPr>
  </w:style>
  <w:style w:type="paragraph" w:customStyle="1" w:styleId="38">
    <w:name w:val="列出段落1"/>
    <w:basedOn w:val="1"/>
    <w:unhideWhenUsed/>
    <w:qFormat/>
    <w:uiPriority w:val="99"/>
    <w:pPr>
      <w:ind w:firstLine="420" w:firstLineChars="200"/>
    </w:pPr>
  </w:style>
  <w:style w:type="character" w:customStyle="1" w:styleId="39">
    <w:name w:val="apple-converted-space"/>
    <w:qFormat/>
    <w:uiPriority w:val="0"/>
  </w:style>
  <w:style w:type="character" w:customStyle="1" w:styleId="40">
    <w:name w:val="font31"/>
    <w:qFormat/>
    <w:uiPriority w:val="0"/>
    <w:rPr>
      <w:rFonts w:hint="eastAsia" w:ascii="宋体" w:hAnsi="宋体" w:eastAsia="宋体" w:cs="宋体"/>
      <w:color w:val="000000"/>
      <w:sz w:val="22"/>
      <w:szCs w:val="22"/>
      <w:u w:val="none"/>
    </w:rPr>
  </w:style>
  <w:style w:type="paragraph" w:customStyle="1" w:styleId="41">
    <w:name w:val="1正文"/>
    <w:basedOn w:val="1"/>
    <w:qFormat/>
    <w:uiPriority w:val="0"/>
    <w:pPr>
      <w:spacing w:line="360" w:lineRule="auto"/>
      <w:ind w:firstLine="424" w:firstLineChars="202"/>
    </w:pPr>
    <w:rPr>
      <w:rFonts w:ascii="黑体" w:hAnsi="宋体" w:eastAsia="黑体"/>
      <w:kern w:val="0"/>
      <w:sz w:val="20"/>
    </w:rPr>
  </w:style>
  <w:style w:type="paragraph" w:customStyle="1" w:styleId="4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43">
    <w:name w:val="样式 首行缩进:  2 字符"/>
    <w:basedOn w:val="1"/>
    <w:qFormat/>
    <w:uiPriority w:val="0"/>
    <w:pPr>
      <w:ind w:firstLine="560"/>
    </w:pPr>
    <w:rPr>
      <w:rFonts w:eastAsia="仿宋_GB2312" w:cs="宋体"/>
      <w:sz w:val="24"/>
      <w:szCs w:val="20"/>
    </w:rPr>
  </w:style>
  <w:style w:type="paragraph" w:customStyle="1" w:styleId="44">
    <w:name w:val="样式9 Char"/>
    <w:basedOn w:val="1"/>
    <w:qFormat/>
    <w:uiPriority w:val="0"/>
    <w:pPr>
      <w:spacing w:line="440" w:lineRule="exact"/>
      <w:ind w:firstLine="200" w:firstLineChars="200"/>
    </w:pPr>
    <w:rPr>
      <w:spacing w:val="6"/>
      <w:szCs w:val="20"/>
    </w:rPr>
  </w:style>
  <w:style w:type="paragraph" w:customStyle="1" w:styleId="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_Style 3"/>
    <w:basedOn w:val="1"/>
    <w:qFormat/>
    <w:uiPriority w:val="34"/>
    <w:pPr>
      <w:ind w:firstLine="420" w:firstLineChars="200"/>
    </w:pPr>
  </w:style>
  <w:style w:type="paragraph" w:customStyle="1" w:styleId="47">
    <w:name w:val="列表段落1"/>
    <w:basedOn w:val="1"/>
    <w:qFormat/>
    <w:uiPriority w:val="34"/>
    <w:pPr>
      <w:ind w:firstLine="420" w:firstLineChars="200"/>
    </w:pPr>
  </w:style>
  <w:style w:type="character" w:customStyle="1" w:styleId="48">
    <w:name w:val="NormalCharacter"/>
    <w:qFormat/>
    <w:uiPriority w:val="0"/>
  </w:style>
  <w:style w:type="paragraph" w:customStyle="1" w:styleId="4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24900</Words>
  <Characters>28088</Characters>
  <Lines>237</Lines>
  <Paragraphs>66</Paragraphs>
  <TotalTime>0</TotalTime>
  <ScaleCrop>false</ScaleCrop>
  <LinksUpToDate>false</LinksUpToDate>
  <CharactersWithSpaces>29994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2022-12-17T06:02:00Z</dcterms:created>
  <dc:creator>Administrator</dc:creator>
  <cp:lastModifiedBy>趁早</cp:lastModifiedBy>
  <cp:lastPrinted>2021-05-10T07:24:00Z</cp:lastPrinted>
  <dcterms:modified xsi:type="dcterms:W3CDTF">2022-12-24T04:02:17Z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EE21B49AA8914193B2808D689B448B3C</vt:lpwstr>
  </property>
</Properties>
</file>