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26575"/>
      <w:bookmarkStart w:id="1" w:name="_Toc3302"/>
      <w:bookmarkStart w:id="2" w:name="_Toc2813"/>
      <w:bookmarkStart w:id="3" w:name="_Toc27511"/>
      <w:bookmarkStart w:id="4" w:name="_Toc27507"/>
      <w:r>
        <w:rPr>
          <w:rFonts w:hint="eastAsia" w:ascii="宋体" w:hAnsi="宋体" w:cs="宋体"/>
        </w:rPr>
        <w:t>第一部分 竞争性磋商公告</w:t>
      </w:r>
      <w:bookmarkEnd w:id="0"/>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西安医学院基于网络威胁的安全运营项目（二次）</w:t>
      </w:r>
      <w:r>
        <w:rPr>
          <w:rFonts w:hint="eastAsia" w:ascii="宋体" w:hAnsi="宋体" w:cs="宋体"/>
          <w:kern w:val="0"/>
          <w:sz w:val="24"/>
          <w:szCs w:val="24"/>
        </w:rPr>
        <w:t>进行竞争性磋商，欢迎符合资格条件的、有能力提供本次项目所需货物和服务的供应商参加磋商。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西安医学院基于网络威胁的安全运营项目（二次）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bookmarkStart w:id="5" w:name="OLE_LINK2"/>
      <w:r>
        <w:rPr>
          <w:rFonts w:hint="eastAsia" w:ascii="宋体" w:hAnsi="宋体" w:cs="宋体"/>
          <w:kern w:val="0"/>
          <w:sz w:val="24"/>
          <w:szCs w:val="24"/>
          <w:lang w:eastAsia="zh-CN"/>
        </w:rPr>
        <w:t>SXWZ2022ZB-YXY-255A</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5"/>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4"/>
        <w:spacing w:line="360" w:lineRule="auto"/>
        <w:ind w:firstLine="960" w:firstLineChars="400"/>
        <w:rPr>
          <w:rFonts w:hint="eastAsia" w:ascii="宋体" w:hAnsi="宋体" w:eastAsia="宋体" w:cs="宋体"/>
          <w:kern w:val="0"/>
          <w:sz w:val="24"/>
          <w:szCs w:val="24"/>
          <w:lang w:val="en-US" w:eastAsia="zh-CN"/>
        </w:rPr>
      </w:pPr>
      <w:r>
        <w:rPr>
          <w:rFonts w:hint="eastAsia" w:ascii="宋体" w:hAnsi="宋体" w:cs="宋体"/>
          <w:kern w:val="0"/>
          <w:sz w:val="24"/>
          <w:szCs w:val="24"/>
        </w:rPr>
        <w:t>采购内容：基于网络威胁的安全运营</w:t>
      </w:r>
      <w:r>
        <w:rPr>
          <w:rFonts w:hint="eastAsia" w:ascii="宋体" w:hAnsi="宋体" w:cs="宋体"/>
          <w:kern w:val="0"/>
          <w:sz w:val="24"/>
          <w:szCs w:val="24"/>
          <w:lang w:val="en-US" w:eastAsia="zh-CN"/>
        </w:rPr>
        <w:t>项目</w:t>
      </w:r>
    </w:p>
    <w:p>
      <w:pPr>
        <w:pStyle w:val="4"/>
        <w:spacing w:line="360" w:lineRule="auto"/>
        <w:ind w:firstLine="960" w:firstLineChars="400"/>
        <w:rPr>
          <w:rFonts w:ascii="宋体" w:hAnsi="宋体" w:cs="宋体"/>
          <w:sz w:val="24"/>
          <w:szCs w:val="24"/>
        </w:rPr>
      </w:pPr>
      <w:r>
        <w:rPr>
          <w:rFonts w:hint="eastAsia" w:ascii="宋体" w:hAnsi="宋体" w:cs="宋体"/>
          <w:kern w:val="0"/>
          <w:sz w:val="24"/>
          <w:szCs w:val="24"/>
        </w:rPr>
        <w:t>采购预算：</w:t>
      </w:r>
      <w:r>
        <w:rPr>
          <w:rFonts w:hint="eastAsia" w:ascii="宋体" w:hAnsi="宋体" w:cs="宋体"/>
          <w:sz w:val="24"/>
          <w:szCs w:val="24"/>
          <w:lang w:val="en-US" w:eastAsia="zh-CN"/>
        </w:rPr>
        <w:t>85</w:t>
      </w:r>
      <w:r>
        <w:rPr>
          <w:rFonts w:hint="eastAsia" w:ascii="宋体" w:hAnsi="宋体" w:cs="宋体"/>
          <w:sz w:val="24"/>
          <w:szCs w:val="24"/>
        </w:rPr>
        <w:t>0000.00元</w:t>
      </w:r>
    </w:p>
    <w:p>
      <w:pPr>
        <w:pStyle w:val="4"/>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4"/>
        <w:spacing w:line="360" w:lineRule="auto"/>
        <w:ind w:firstLine="960" w:firstLineChars="400"/>
      </w:pPr>
      <w:r>
        <w:rPr>
          <w:rFonts w:hint="eastAsia" w:ascii="宋体" w:hAnsi="宋体" w:cs="宋体"/>
          <w:sz w:val="24"/>
          <w:szCs w:val="24"/>
        </w:rPr>
        <w:t xml:space="preserve">项目性质：财政资金 </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财务状况证明：提供经会计师事务所审计的2020年或2021年财务审计报告，或在开标日期前六个月内其基本开户银行出具的资信证明；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pStyle w:val="8"/>
        <w:spacing w:line="360" w:lineRule="auto"/>
        <w:ind w:left="0" w:leftChars="0" w:firstLine="0"/>
        <w:rPr>
          <w:rFonts w:hint="eastAsia" w:ascii="宋体" w:hAnsi="宋体" w:cs="宋体"/>
          <w:bCs/>
          <w:kern w:val="0"/>
          <w:sz w:val="24"/>
          <w:szCs w:val="24"/>
        </w:rPr>
      </w:pPr>
      <w:r>
        <w:rPr>
          <w:rFonts w:hint="eastAsia" w:ascii="宋体" w:hAnsi="宋体" w:cs="宋体"/>
          <w:bCs/>
          <w:kern w:val="0"/>
          <w:sz w:val="24"/>
          <w:szCs w:val="24"/>
        </w:rPr>
        <w:t xml:space="preserve">    6、非法定代表人参加磋商的，须提供法定代表人授权委托书及被授权人身份证原件；法定代表人参加磋商时,只须提供法定代表人身份证原件</w:t>
      </w:r>
      <w:r>
        <w:rPr>
          <w:rFonts w:hint="eastAsia" w:ascii="宋体" w:hAnsi="宋体" w:cs="宋体"/>
          <w:bCs/>
          <w:kern w:val="0"/>
          <w:sz w:val="24"/>
          <w:szCs w:val="24"/>
          <w:lang w:eastAsia="zh-CN"/>
        </w:rPr>
        <w:t>；</w:t>
      </w:r>
      <w:r>
        <w:rPr>
          <w:rFonts w:hint="eastAsia" w:ascii="宋体" w:hAnsi="宋体" w:cs="宋体"/>
          <w:bCs/>
          <w:kern w:val="0"/>
          <w:sz w:val="24"/>
          <w:szCs w:val="24"/>
        </w:rPr>
        <w:t xml:space="preserve"> </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7、</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sz w:val="24"/>
          <w:highlight w:val="none"/>
        </w:rPr>
        <w:t>发售时间：</w:t>
      </w:r>
      <w:r>
        <w:rPr>
          <w:rFonts w:hint="eastAsia" w:ascii="宋体" w:hAnsi="宋体" w:cs="宋体"/>
          <w:b/>
          <w:bCs/>
          <w:sz w:val="24"/>
          <w:highlight w:val="none"/>
        </w:rPr>
        <w:t>2022年</w:t>
      </w:r>
      <w:r>
        <w:rPr>
          <w:rFonts w:hint="eastAsia" w:ascii="宋体" w:hAnsi="宋体" w:cs="宋体"/>
          <w:b/>
          <w:bCs/>
          <w:sz w:val="24"/>
          <w:highlight w:val="none"/>
          <w:lang w:val="en-US" w:eastAsia="zh-CN"/>
        </w:rPr>
        <w:t>12</w:t>
      </w:r>
      <w:r>
        <w:rPr>
          <w:rFonts w:hint="eastAsia" w:ascii="宋体" w:hAnsi="宋体" w:cs="宋体"/>
          <w:b/>
          <w:bCs/>
          <w:sz w:val="24"/>
          <w:highlight w:val="none"/>
        </w:rPr>
        <w:t>月</w:t>
      </w:r>
      <w:r>
        <w:rPr>
          <w:rFonts w:hint="eastAsia" w:ascii="宋体" w:hAnsi="宋体" w:cs="宋体"/>
          <w:b/>
          <w:bCs/>
          <w:sz w:val="24"/>
          <w:highlight w:val="none"/>
          <w:lang w:val="en-US" w:eastAsia="zh-CN"/>
        </w:rPr>
        <w:t>27</w:t>
      </w:r>
      <w:r>
        <w:rPr>
          <w:rFonts w:hint="eastAsia" w:ascii="宋体" w:hAnsi="宋体" w:cs="宋体"/>
          <w:b/>
          <w:bCs/>
          <w:sz w:val="24"/>
          <w:highlight w:val="none"/>
        </w:rPr>
        <w:t>日至202</w:t>
      </w:r>
      <w:r>
        <w:rPr>
          <w:rFonts w:hint="eastAsia" w:ascii="宋体" w:hAnsi="宋体" w:cs="宋体"/>
          <w:b/>
          <w:bCs/>
          <w:sz w:val="24"/>
          <w:highlight w:val="none"/>
          <w:lang w:val="en-US" w:eastAsia="zh-CN"/>
        </w:rPr>
        <w:t>3</w:t>
      </w:r>
      <w:r>
        <w:rPr>
          <w:rFonts w:hint="eastAsia" w:ascii="宋体" w:hAnsi="宋体" w:cs="宋体"/>
          <w:b/>
          <w:bCs/>
          <w:sz w:val="24"/>
          <w:highlight w:val="none"/>
        </w:rPr>
        <w:t>年</w:t>
      </w:r>
      <w:r>
        <w:rPr>
          <w:rFonts w:hint="eastAsia" w:ascii="宋体" w:hAnsi="宋体" w:cs="宋体"/>
          <w:b/>
          <w:bCs/>
          <w:sz w:val="24"/>
          <w:highlight w:val="none"/>
          <w:lang w:val="en-US" w:eastAsia="zh-CN"/>
        </w:rPr>
        <w:t>01</w:t>
      </w:r>
      <w:r>
        <w:rPr>
          <w:rFonts w:hint="eastAsia" w:ascii="宋体" w:hAnsi="宋体" w:cs="宋体"/>
          <w:b/>
          <w:bCs/>
          <w:sz w:val="24"/>
          <w:highlight w:val="none"/>
        </w:rPr>
        <w:t>月</w:t>
      </w:r>
      <w:r>
        <w:rPr>
          <w:rFonts w:hint="eastAsia" w:ascii="宋体" w:hAnsi="宋体" w:cs="宋体"/>
          <w:b/>
          <w:bCs/>
          <w:sz w:val="24"/>
          <w:highlight w:val="none"/>
          <w:lang w:val="en-US" w:eastAsia="zh-CN"/>
        </w:rPr>
        <w:t>04</w:t>
      </w:r>
      <w:r>
        <w:rPr>
          <w:rFonts w:hint="eastAsia" w:ascii="宋体" w:hAnsi="宋体" w:cs="宋体"/>
          <w:b/>
          <w:bCs/>
          <w:sz w:val="24"/>
          <w:highlight w:val="none"/>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highlight w:val="none"/>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3、文件售价：¥500元/套，现金购买，售后不退，谢绝邮寄。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Theme="minorEastAsia" w:hAnsiTheme="minorEastAsia" w:cstheme="minorEastAsia"/>
          <w:kern w:val="0"/>
          <w:sz w:val="24"/>
          <w:szCs w:val="24"/>
          <w:highlight w:val="none"/>
        </w:rPr>
        <w:t>供应商领取标书时，请携带单位介绍信及经办人身份证原件及复印件加盖公章。（2）请</w:t>
      </w:r>
      <w:r>
        <w:rPr>
          <w:rFonts w:hint="eastAsia" w:asciiTheme="minorEastAsia" w:hAnsiTheme="minorEastAsia" w:cstheme="minorEastAsia"/>
          <w:kern w:val="0"/>
          <w:sz w:val="24"/>
          <w:szCs w:val="24"/>
          <w:highlight w:val="none"/>
          <w:lang w:val="en-US" w:eastAsia="zh-CN"/>
        </w:rPr>
        <w:t>供应商</w:t>
      </w:r>
      <w:r>
        <w:rPr>
          <w:rFonts w:hint="eastAsia" w:asciiTheme="minorEastAsia" w:hAnsiTheme="minorEastAsia" w:cstheme="minorEastAsia"/>
          <w:kern w:val="0"/>
          <w:sz w:val="24"/>
          <w:szCs w:val="24"/>
          <w:highlight w:val="none"/>
        </w:rPr>
        <w:t>按照《陕西省财政厅关于政府采购供应商注册登记有关事项的通知》中的要求，通过陕西省政府采购网（http://www.ccgp-shaanxi.gov.cn/）注册登记加入陕西省政府采购供应商库。</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kern w:val="0"/>
          <w:sz w:val="24"/>
          <w:szCs w:val="24"/>
          <w:highlight w:val="none"/>
        </w:rPr>
        <w:t>1、磋商响应文件递交截止时间：</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01</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10</w:t>
      </w:r>
      <w:r>
        <w:rPr>
          <w:rFonts w:hint="eastAsia" w:ascii="宋体" w:hAnsi="宋体" w:cs="宋体"/>
          <w:b/>
          <w:bCs/>
          <w:color w:val="000000" w:themeColor="text1"/>
          <w:kern w:val="0"/>
          <w:sz w:val="24"/>
          <w:szCs w:val="24"/>
          <w:highlight w:val="none"/>
          <w14:textFill>
            <w14:solidFill>
              <w14:schemeClr w14:val="tx1"/>
            </w14:solidFill>
          </w14:textFill>
        </w:rPr>
        <w:t>日14</w:t>
      </w:r>
      <w:r>
        <w:rPr>
          <w:rFonts w:hint="eastAsia" w:ascii="宋体" w:hAnsi="宋体" w:cs="宋体"/>
          <w:b/>
          <w:bCs/>
          <w:color w:val="000000" w:themeColor="text1"/>
          <w:sz w:val="24"/>
          <w:szCs w:val="24"/>
          <w:highlight w:val="none"/>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01</w:t>
      </w:r>
      <w:r>
        <w:rPr>
          <w:rFonts w:hint="eastAsia" w:ascii="宋体" w:hAnsi="宋体" w:cs="宋体"/>
          <w:b/>
          <w:bCs/>
          <w:color w:val="000000" w:themeColor="text1"/>
          <w:kern w:val="0"/>
          <w:sz w:val="24"/>
          <w:szCs w:val="24"/>
          <w:highlight w:val="none"/>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10</w:t>
      </w:r>
      <w:r>
        <w:rPr>
          <w:rFonts w:hint="eastAsia" w:ascii="宋体" w:hAnsi="宋体" w:cs="宋体"/>
          <w:b/>
          <w:bCs/>
          <w:color w:val="000000" w:themeColor="text1"/>
          <w:kern w:val="0"/>
          <w:sz w:val="24"/>
          <w:szCs w:val="24"/>
          <w:highlight w:val="none"/>
          <w14:textFill>
            <w14:solidFill>
              <w14:schemeClr w14:val="tx1"/>
            </w14:solidFill>
          </w14:textFill>
        </w:rPr>
        <w:t>日14:30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highlight w:val="none"/>
        </w:rPr>
        <w:t>3、磋商地点：西安市莲湖区西关正街英达大厦1503会议室</w:t>
      </w:r>
      <w:r>
        <w:rPr>
          <w:rFonts w:hint="eastAsia" w:ascii="宋体" w:hAnsi="宋体" w:cs="宋体"/>
          <w:kern w:val="0"/>
          <w:sz w:val="24"/>
          <w:szCs w:val="24"/>
        </w:rPr>
        <w:t>。</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1、采购项目联系人：崔方明 刘嘉辉 赵志文 许芳芳</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highlight w:val="none"/>
        </w:rPr>
        <w:t>2022年</w:t>
      </w: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27</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6" w:name="_Toc438048787"/>
      <w:bookmarkStart w:id="7" w:name="_Toc2880"/>
      <w:bookmarkStart w:id="8" w:name="_Toc30089"/>
      <w:bookmarkStart w:id="9" w:name="_Toc29948"/>
      <w:bookmarkStart w:id="10" w:name="_Toc31083"/>
      <w:bookmarkStart w:id="11" w:name="_Toc31864"/>
      <w:r>
        <w:rPr>
          <w:rFonts w:hint="eastAsia" w:ascii="宋体" w:hAnsi="宋体" w:cs="宋体"/>
        </w:rPr>
        <w:t>第二部分 供应商须知前附表</w:t>
      </w:r>
      <w:bookmarkEnd w:id="6"/>
      <w:bookmarkEnd w:id="7"/>
      <w:bookmarkEnd w:id="8"/>
      <w:bookmarkEnd w:id="9"/>
      <w:bookmarkEnd w:id="10"/>
      <w:bookmarkEnd w:id="11"/>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Lines="50"/>
              <w:jc w:val="center"/>
              <w:rPr>
                <w:rFonts w:ascii="宋体" w:hAnsi="宋体" w:cs="宋体"/>
                <w:b/>
                <w:szCs w:val="21"/>
              </w:rPr>
            </w:pPr>
            <w:r>
              <w:rPr>
                <w:rFonts w:hint="eastAsia" w:ascii="宋体" w:hAnsi="宋体" w:cs="宋体"/>
                <w:b/>
                <w:szCs w:val="21"/>
              </w:rPr>
              <w:t>条款</w:t>
            </w:r>
          </w:p>
        </w:tc>
        <w:tc>
          <w:tcPr>
            <w:tcW w:w="7359" w:type="dxa"/>
          </w:tcPr>
          <w:p>
            <w:pPr>
              <w:spacing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499" w:type="dxa"/>
            <w:vAlign w:val="center"/>
          </w:tcPr>
          <w:p>
            <w:pPr>
              <w:spacing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项目名称</w:t>
            </w:r>
          </w:p>
        </w:tc>
        <w:tc>
          <w:tcPr>
            <w:tcW w:w="7359" w:type="dxa"/>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lang w:eastAsia="zh-CN"/>
              </w:rPr>
              <w:t>西安医学院基于网络威胁的安全运营项目（二次）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pStyle w:val="8"/>
              <w:ind w:left="0" w:leftChars="0" w:firstLine="0"/>
            </w:pPr>
            <w:r>
              <w:rPr>
                <w:rFonts w:hint="eastAsia"/>
              </w:rPr>
              <w:t>联 系 人：</w:t>
            </w:r>
            <w:r>
              <w:rPr>
                <w:rFonts w:hint="eastAsia"/>
                <w:lang w:val="en-US" w:eastAsia="zh-CN"/>
              </w:rPr>
              <w:t>许</w:t>
            </w:r>
            <w:r>
              <w:rPr>
                <w:rFonts w:hint="eastAsia"/>
              </w:rPr>
              <w:t>老师</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widowControl/>
              <w:wordWrap w:val="0"/>
              <w:spacing w:line="360" w:lineRule="auto"/>
              <w:jc w:val="left"/>
              <w:rPr>
                <w:rFonts w:ascii="宋体" w:hAnsi="宋体" w:cs="宋体"/>
                <w:szCs w:val="21"/>
              </w:rPr>
            </w:pPr>
            <w:r>
              <w:rPr>
                <w:rFonts w:hint="eastAsia" w:ascii="宋体" w:hAnsi="宋体" w:cs="宋体"/>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 xml:space="preserve">联   系   人：崔方明 刘嘉辉 赵志文 许芳芳 </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标  段</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本次采购不分标段，供应商可根据自身的资质情况和经营范围对本项目进行磋商，不得自行分解或只对本次项目中的品目进行不完全磋商，任何不完全的磋商将按无效磋商处理。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 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jc w:val="center"/>
              <w:rPr>
                <w:rFonts w:ascii="宋体" w:hAnsi="宋体" w:cs="宋体"/>
                <w:szCs w:val="21"/>
              </w:rPr>
            </w:pPr>
            <w:r>
              <w:rPr>
                <w:rFonts w:hint="eastAsia" w:ascii="宋体" w:hAnsi="宋体" w:cs="宋体"/>
                <w:szCs w:val="21"/>
              </w:rPr>
              <w:t>资 格</w:t>
            </w:r>
          </w:p>
          <w:p>
            <w:pPr>
              <w:jc w:val="center"/>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4、财务状况证明：提供经会计师事务所审计的2020年或2021年财务审计报告，或在开标日期前六个月内其基本开户银行出具的资信证明；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hint="eastAsia" w:ascii="宋体" w:hAnsi="宋体" w:cs="宋体"/>
                <w:b/>
                <w:bCs w:val="0"/>
                <w:kern w:val="0"/>
                <w:szCs w:val="21"/>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lang w:val="en-US" w:eastAsia="zh-CN"/>
              </w:rPr>
              <w:t>7、</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4"/>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4"/>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b/>
                <w:bCs/>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b/>
                <w:bCs/>
                <w:color w:val="000000"/>
                <w:szCs w:val="21"/>
              </w:rPr>
              <w:t>人</w:t>
            </w:r>
            <w:r>
              <w:rPr>
                <w:rFonts w:hint="eastAsia" w:ascii="宋体" w:hAnsi="宋体"/>
                <w:b/>
                <w:bCs/>
                <w:szCs w:val="21"/>
              </w:rPr>
              <w:t>民币</w:t>
            </w:r>
            <w:r>
              <w:rPr>
                <w:rFonts w:hint="eastAsia" w:ascii="宋体" w:hAnsi="宋体"/>
                <w:b/>
                <w:bCs/>
                <w:szCs w:val="21"/>
                <w:lang w:eastAsia="zh-CN"/>
              </w:rPr>
              <w:t>壹万伍仟</w:t>
            </w:r>
            <w:r>
              <w:rPr>
                <w:rFonts w:hint="eastAsia" w:ascii="宋体" w:hAnsi="宋体"/>
                <w:b/>
                <w:bCs/>
                <w:szCs w:val="21"/>
              </w:rPr>
              <w:t>元整（</w:t>
            </w:r>
            <w:r>
              <w:rPr>
                <w:rFonts w:hint="eastAsia" w:ascii="宋体" w:hAnsi="宋体"/>
                <w:b/>
                <w:bCs/>
                <w:szCs w:val="21"/>
                <w:lang w:val="en-US" w:eastAsia="zh-CN"/>
              </w:rPr>
              <w:t>15000</w:t>
            </w:r>
            <w:r>
              <w:rPr>
                <w:rFonts w:hint="eastAsia" w:ascii="宋体" w:hAnsi="宋体"/>
                <w:b/>
                <w:bCs/>
                <w:szCs w:val="21"/>
              </w:rPr>
              <w:t>元）</w:t>
            </w:r>
          </w:p>
          <w:p>
            <w:pPr>
              <w:spacing w:line="360" w:lineRule="auto"/>
              <w:ind w:firstLine="422" w:firstLineChars="200"/>
              <w:jc w:val="left"/>
              <w:rPr>
                <w:szCs w:val="21"/>
              </w:rPr>
            </w:pPr>
            <w:r>
              <w:rPr>
                <w:rFonts w:hint="eastAsia" w:asciiTheme="minorEastAsia" w:hAnsiTheme="minorEastAsia" w:cstheme="minorEastAsia"/>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255A</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1"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92"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是否允许采购进口产品</w:t>
            </w:r>
          </w:p>
        </w:tc>
        <w:tc>
          <w:tcPr>
            <w:tcW w:w="7359" w:type="dxa"/>
            <w:vAlign w:val="center"/>
          </w:tcPr>
          <w:p>
            <w:pPr>
              <w:ind w:firstLine="420" w:firstLineChars="200"/>
              <w:jc w:val="left"/>
              <w:rPr>
                <w:rFonts w:ascii="宋体" w:hAnsi="宋体" w:cs="宋体"/>
                <w:szCs w:val="21"/>
              </w:rPr>
            </w:pPr>
            <w:r>
              <w:rPr>
                <w:rFonts w:hint="eastAsia" w:ascii="宋体" w:hAnsi="宋体" w:cs="宋体"/>
                <w:kern w:val="0"/>
                <w:szCs w:val="21"/>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3"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kern w:val="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pStyle w:val="6"/>
              <w:jc w:val="center"/>
              <w:rPr>
                <w:rFonts w:hAnsi="宋体" w:cs="宋体"/>
              </w:rPr>
            </w:pPr>
            <w:r>
              <w:rPr>
                <w:rFonts w:hint="eastAsia" w:hAnsi="宋体"/>
              </w:rPr>
              <w:t>样品</w:t>
            </w:r>
          </w:p>
        </w:tc>
        <w:tc>
          <w:tcPr>
            <w:tcW w:w="7359" w:type="dxa"/>
            <w:vAlign w:val="center"/>
          </w:tcPr>
          <w:p>
            <w:pPr>
              <w:pStyle w:val="6"/>
              <w:jc w:val="left"/>
              <w:rPr>
                <w:rFonts w:hAnsi="宋体" w:cs="宋体"/>
              </w:rPr>
            </w:pPr>
            <w:r>
              <w:rPr>
                <w:rFonts w:hint="eastAsia" w:hAnsi="宋体"/>
              </w:rPr>
              <w:t>是否要求提供样品：</w:t>
            </w:r>
            <w:r>
              <w:rPr>
                <w:rFonts w:hAnsi="宋体"/>
              </w:rPr>
              <w:t>□</w:t>
            </w:r>
            <w:r>
              <w:rPr>
                <w:rFonts w:hint="eastAsia" w:hAnsi="宋体"/>
              </w:rPr>
              <w:t>是/</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pStyle w:val="6"/>
              <w:jc w:val="center"/>
              <w:rPr>
                <w:rFonts w:hAnsi="宋体" w:cs="宋体"/>
              </w:rPr>
            </w:pPr>
            <w:r>
              <w:rPr>
                <w:rFonts w:hint="eastAsia" w:hAnsi="宋体"/>
              </w:rPr>
              <w:t>现场踏勘</w:t>
            </w:r>
          </w:p>
        </w:tc>
        <w:tc>
          <w:tcPr>
            <w:tcW w:w="7359" w:type="dxa"/>
            <w:vAlign w:val="center"/>
          </w:tcPr>
          <w:p>
            <w:pPr>
              <w:pStyle w:val="6"/>
              <w:jc w:val="left"/>
              <w:rPr>
                <w:rFonts w:hAnsi="宋体" w:cs="宋体"/>
              </w:rPr>
            </w:pPr>
            <w:r>
              <w:rPr>
                <w:rFonts w:hint="eastAsia" w:hAnsi="宋体"/>
              </w:rPr>
              <w:t>是否组织踏勘：</w:t>
            </w:r>
            <w:r>
              <w:rPr>
                <w:rFonts w:hAnsi="宋体"/>
              </w:rPr>
              <w:t>□</w:t>
            </w:r>
            <w:r>
              <w:rPr>
                <w:rFonts w:hint="eastAsia" w:hAnsi="宋体"/>
              </w:rPr>
              <w:t>组织/</w:t>
            </w:r>
            <w:r>
              <w:rPr>
                <w:rFonts w:hAnsi="宋体"/>
              </w:rPr>
              <w:fldChar w:fldCharType="begin"/>
            </w:r>
            <w:r>
              <w:rPr>
                <w:rFonts w:hAnsi="宋体"/>
              </w:rPr>
              <w:instrText xml:space="preserve"> </w:instrText>
            </w:r>
            <w:r>
              <w:rPr>
                <w:rFonts w:hint="eastAsia" w:hAnsi="宋体"/>
              </w:rPr>
              <w:instrText xml:space="preserve">eq \o\ac(</w:instrText>
            </w:r>
            <w:r>
              <w:rPr>
                <w:rFonts w:hint="eastAsia" w:hAnsi="宋体"/>
                <w:position w:val="-4"/>
                <w:sz w:val="31"/>
              </w:rPr>
              <w:instrText xml:space="preserve">□</w:instrText>
            </w:r>
            <w:r>
              <w:rPr>
                <w:rFonts w:hint="eastAsia" w:hAnsi="宋体"/>
              </w:rPr>
              <w:instrText xml:space="preserve">,√)</w:instrText>
            </w:r>
            <w:r>
              <w:rPr>
                <w:rFonts w:hAnsi="宋体"/>
              </w:rPr>
              <w:fldChar w:fldCharType="end"/>
            </w:r>
            <w:r>
              <w:rPr>
                <w:rFonts w:hint="eastAsia" w:hAnsi="宋体"/>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spacing w:line="360" w:lineRule="auto"/>
              <w:jc w:val="center"/>
              <w:rPr>
                <w:rFonts w:ascii="宋体" w:hAnsi="宋体" w:cs="宋体"/>
                <w:sz w:val="24"/>
                <w:szCs w:val="24"/>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 w:val="24"/>
                <w:szCs w:val="24"/>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ascii="宋体" w:hAnsi="宋体" w:cs="宋体"/>
                <w:szCs w:val="21"/>
              </w:rPr>
            </w:pPr>
            <w:r>
              <w:rPr>
                <w:rFonts w:hint="eastAsia" w:ascii="宋体" w:hAnsi="宋体" w:cs="宋体"/>
                <w:szCs w:val="21"/>
              </w:rPr>
              <w:t>18</w:t>
            </w:r>
          </w:p>
        </w:tc>
        <w:tc>
          <w:tcPr>
            <w:tcW w:w="1062" w:type="dxa"/>
            <w:vAlign w:val="center"/>
          </w:tcPr>
          <w:p>
            <w:pPr>
              <w:spacing w:line="360" w:lineRule="auto"/>
              <w:jc w:val="center"/>
              <w:rPr>
                <w:rFonts w:ascii="宋体" w:hAnsi="宋体" w:cs="宋体"/>
                <w:szCs w:val="21"/>
              </w:rPr>
            </w:pPr>
            <w:r>
              <w:rPr>
                <w:rFonts w:hint="eastAsia" w:ascii="宋体" w:hAnsi="宋体" w:cs="宋体"/>
                <w:szCs w:val="21"/>
              </w:rPr>
              <w:t>政府采购融资政策</w:t>
            </w:r>
          </w:p>
        </w:tc>
        <w:tc>
          <w:tcPr>
            <w:tcW w:w="7359" w:type="dxa"/>
            <w:vAlign w:val="center"/>
          </w:tcPr>
          <w:p>
            <w:pPr>
              <w:spacing w:line="360" w:lineRule="auto"/>
              <w:rPr>
                <w:rFonts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762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cstate="print"/>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1" w:hRule="atLeast"/>
        </w:trPr>
        <w:tc>
          <w:tcPr>
            <w:tcW w:w="499" w:type="dxa"/>
            <w:vAlign w:val="center"/>
          </w:tcPr>
          <w:p>
            <w:pPr>
              <w:jc w:val="center"/>
              <w:rPr>
                <w:rFonts w:hint="default" w:ascii="宋体" w:hAnsi="宋体" w:eastAsia="宋体" w:cs="宋体"/>
                <w:b/>
                <w:bCs/>
                <w:szCs w:val="21"/>
                <w:lang w:val="en-US" w:eastAsia="zh-CN"/>
              </w:rPr>
            </w:pPr>
            <w:r>
              <w:rPr>
                <w:rFonts w:hint="eastAsia" w:ascii="宋体" w:hAnsi="宋体" w:cs="宋体"/>
                <w:b/>
                <w:bCs/>
                <w:szCs w:val="21"/>
                <w:lang w:val="en-US" w:eastAsia="zh-CN"/>
              </w:rPr>
              <w:t>19</w:t>
            </w:r>
          </w:p>
        </w:tc>
        <w:tc>
          <w:tcPr>
            <w:tcW w:w="1062" w:type="dxa"/>
            <w:vAlign w:val="center"/>
          </w:tcPr>
          <w:p>
            <w:pPr>
              <w:spacing w:line="360" w:lineRule="auto"/>
              <w:jc w:val="center"/>
              <w:rPr>
                <w:rFonts w:hint="eastAsia" w:ascii="宋体" w:hAnsi="宋体" w:eastAsia="宋体" w:cs="宋体"/>
                <w:b/>
                <w:bCs/>
                <w:szCs w:val="21"/>
                <w:lang w:val="en-US" w:eastAsia="zh-CN"/>
              </w:rPr>
            </w:pPr>
            <w:r>
              <w:rPr>
                <w:rFonts w:hint="eastAsia" w:ascii="宋体" w:hAnsi="宋体" w:cs="宋体"/>
                <w:b/>
                <w:bCs/>
                <w:szCs w:val="21"/>
                <w:lang w:val="en-US" w:eastAsia="zh-CN"/>
              </w:rPr>
              <w:t>核心产品</w:t>
            </w:r>
          </w:p>
        </w:tc>
        <w:tc>
          <w:tcPr>
            <w:tcW w:w="7359" w:type="dxa"/>
            <w:vAlign w:val="center"/>
          </w:tcPr>
          <w:p>
            <w:pPr>
              <w:spacing w:line="360" w:lineRule="auto"/>
              <w:rPr>
                <w:rFonts w:hint="eastAsia" w:hAnsi="宋体" w:eastAsia="宋体" w:cs="宋体"/>
                <w:b/>
                <w:bCs/>
                <w:szCs w:val="21"/>
                <w:lang w:eastAsia="zh-CN"/>
              </w:rPr>
            </w:pPr>
            <w:r>
              <w:rPr>
                <w:rFonts w:hint="eastAsia" w:hAnsi="宋体" w:cs="宋体"/>
                <w:b/>
                <w:bCs/>
                <w:szCs w:val="21"/>
                <w:lang w:val="en-US" w:eastAsia="zh-CN"/>
              </w:rPr>
              <w:t>1、</w:t>
            </w:r>
            <w:r>
              <w:rPr>
                <w:rFonts w:hint="eastAsia" w:hAnsi="宋体" w:cs="宋体"/>
                <w:b/>
                <w:bCs/>
                <w:szCs w:val="21"/>
              </w:rPr>
              <w:t>基于大数据的全流量安全态势及应用监控智能展示和预警系统</w:t>
            </w:r>
            <w:r>
              <w:rPr>
                <w:rFonts w:hint="eastAsia" w:hAnsi="宋体" w:cs="宋体"/>
                <w:b/>
                <w:bCs/>
                <w:szCs w:val="21"/>
                <w:lang w:eastAsia="zh-CN"/>
              </w:rPr>
              <w:t>。</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0930" cy="147955"/>
              <wp:effectExtent l="0" t="0" r="0" b="0"/>
              <wp:wrapNone/>
              <wp:docPr id="7" name="文本框 29"/>
              <wp:cNvGraphicFramePr/>
              <a:graphic xmlns:a="http://schemas.openxmlformats.org/drawingml/2006/main">
                <a:graphicData uri="http://schemas.microsoft.com/office/word/2010/wordprocessingShape">
                  <wps:wsp>
                    <wps:cNvSpPr txBox="1"/>
                    <wps:spPr>
                      <a:xfrm>
                        <a:off x="0" y="0"/>
                        <a:ext cx="1090930" cy="147955"/>
                      </a:xfrm>
                      <a:prstGeom prst="rect">
                        <a:avLst/>
                      </a:prstGeom>
                      <a:noFill/>
                      <a:ln>
                        <a:noFill/>
                      </a:ln>
                      <a:effectLst/>
                    </wps:spPr>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1.65pt;width:85.9pt;mso-position-horizontal:center;mso-position-horizontal-relative:margin;mso-wrap-style:none;z-index:251659264;mso-width-relative:page;mso-height-relative:page;" filled="f" stroked="f" coordsize="21600,21600" o:gfxdata="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&#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RjOudEAAAAEAQAADwAAAAAAAAABACAAAAAiAAAA&#10;ZHJzL2Rvd25yZXYueG1sUEsBAhQAFAAAAAgAh07iQGRw647VAQAApwMAAA4AAAAAAAAAAQAgAAAA&#10;IAEAAGRycy9lMm9Eb2MueG1sUEsFBgAAAAAGAAYAWQEAAGc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zY4ZjZhNzg5NDZlYmI1OTQ5MDViZDVhNzg1ODAifQ=="/>
  </w:docVars>
  <w:rsids>
    <w:rsidRoot w:val="64BA1407"/>
    <w:rsid w:val="64BA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2">
    <w:name w:val="heading 4"/>
    <w:basedOn w:val="1"/>
    <w:next w:val="1"/>
    <w:unhideWhenUsed/>
    <w:qFormat/>
    <w:uiPriority w:val="0"/>
    <w:pPr>
      <w:keepNext/>
      <w:keepLines/>
      <w:jc w:val="left"/>
      <w:outlineLvl w:val="3"/>
    </w:pPr>
    <w:rPr>
      <w:rFonts w:hint="eastAsia" w:ascii="Arial" w:hAnsi="Arial"/>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Indent"/>
    <w:basedOn w:val="1"/>
    <w:unhideWhenUsed/>
    <w:qFormat/>
    <w:uiPriority w:val="99"/>
    <w:pPr>
      <w:ind w:left="420" w:leftChars="200"/>
    </w:pPr>
  </w:style>
  <w:style w:type="paragraph" w:styleId="6">
    <w:name w:val="Plain Text"/>
    <w:basedOn w:val="1"/>
    <w:qFormat/>
    <w:uiPriority w:val="99"/>
    <w:pPr>
      <w:spacing w:line="324" w:lineRule="auto"/>
    </w:pPr>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5"/>
    <w:next w:val="4"/>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2022-12-27T02:36:00Z</dcterms:created>
  <dc:creator>许芳芳</dc:creator>
  <cp:lastModifiedBy>许芳芳</cp:lastModifiedBy>
  <dcterms:modified xsi:type="dcterms:W3CDTF">2022-12-27T02:36:57Z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8CD089175A6545B19758CE183707BB66</vt:lpwstr>
  </property>
</Properties>
</file>