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1.采购人与代理机构共同审查了各投标单位的资质文件，均满足招标文件要求。</w:t>
      </w:r>
    </w:p>
    <w:p>
      <w:pPr>
        <w:rPr>
          <w:rFonts w:hint="eastAsia"/>
        </w:rPr>
      </w:pPr>
      <w:r>
        <w:rPr>
          <w:rFonts w:hint="eastAsia"/>
        </w:rPr>
        <w:t>2.评标专家对各投标单位提供的投标文件进行了符合性审查，均满足招标文件要求。</w:t>
      </w:r>
    </w:p>
    <w:p>
      <w:r>
        <w:rPr>
          <w:rFonts w:hint="eastAsia"/>
        </w:rPr>
        <w:t>3.评标专家按照招标文件既定的评审办法对各供应商进行了综合赋分，推荐排序第一的“西安交通大学”为拟中标单位。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000000"/>
    <w:rsid w:val="1F15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2022-12-27T06:50:37Z</dcterms:created>
  <dc:creator>86137</dc:creator>
  <cp:lastModifiedBy>c</cp:lastModifiedBy>
  <dcterms:modified xsi:type="dcterms:W3CDTF">2022-12-27T06:50:50Z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CC6C6E80BAE54A06BB3198FBBA371DC6</vt:lpwstr>
  </property>
</Properties>
</file>