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03" w:firstLineChars="200"/>
        <w:jc w:val="center"/>
        <w:rPr>
          <w:rFonts w:hint="eastAsia" w:ascii="黑体" w:hAnsi="仿宋" w:eastAsia="黑体" w:cs="黑体"/>
          <w:b/>
          <w:bCs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黑体" w:hAnsi="仿宋" w:eastAsia="黑体" w:cs="黑体"/>
          <w:b/>
          <w:bCs/>
          <w:color w:val="auto"/>
          <w:sz w:val="40"/>
          <w:szCs w:val="40"/>
          <w:highlight w:val="none"/>
          <w:lang w:val="en-US" w:eastAsia="zh-CN"/>
        </w:rPr>
        <w:t>采购需求</w:t>
      </w:r>
    </w:p>
    <w:bookmarkEnd w:id="0"/>
    <w:p>
      <w:pPr>
        <w:spacing w:line="360" w:lineRule="auto"/>
        <w:ind w:firstLine="482" w:firstLineChars="200"/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一、技术参数</w:t>
      </w:r>
    </w:p>
    <w:tbl>
      <w:tblPr>
        <w:tblStyle w:val="5"/>
        <w:tblW w:w="0" w:type="auto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6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目录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试剂名称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天门冬氨酸氨基转移酶线粒体同工酶（m-AST）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产地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方法学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速率法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检测标本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检测用途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用于体外检测人血清样本中的m-AST含量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线性范围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10-125U/L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抗干扰能力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对溶血、乳糜、脂血标本抗干扰能力强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批内精密度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CV≤10%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批间精密度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CV≤10%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正确度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满足《中华人民共和国卫生行业标准WS/T420-2013-临床实验室对商品定量试剂盒分析性能的验证》标准的要求。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参考值范围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满足《中华人民共和国卫生行业标准WS/T420-2013-临床实验室对商品定量试剂盒分析性能的验证》标准的要求。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分析灵敏度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检测浓度为80.0U/L的样本时, 吸光度变化率不小于 0.02。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定标品及质控品</w:t>
            </w:r>
          </w:p>
        </w:tc>
        <w:tc>
          <w:tcPr>
            <w:tcW w:w="6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由供应商免费提供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二、商务条款要求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1"/>
          <w:highlight w:val="none"/>
          <w:lang w:val="en-US" w:eastAsia="zh-CN" w:bidi="ar-SA"/>
        </w:rPr>
        <w:t>1.售后服务要求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耗材试剂进院后的有效期不小于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近效期产品无条件更换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2.免费培训操作人员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技术支持响应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时间2小时，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必要时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24小时到位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包装及其他要求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1.符合出厂规范、包装完整无破损、满足长途运输要求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2．防雨、防潮、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灭菌方式、有效期、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各种符号、标识清楚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3.必须为原装、全新产品，渠道合法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3.供货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及验收要求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1.到货期：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按采购人需求随时供货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供货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地点：采购人指定地点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供货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完成时间：接用户通知后5个工作日内完成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运输：按照产品的运输要求执行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3.5.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验收标准及费用：（1）符合采购人与成交供应商签订的经济合同（2）符合磋商文件的技术要求、商务要求（3）符合产品原样本技术数据（4）符合国家有关技术规范和标准。所有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运输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、验收的手续及费用由供应商自行办理和承担，采购人提供相关辅助。</w:t>
      </w:r>
    </w:p>
    <w:p>
      <w:pPr>
        <w:spacing w:line="360" w:lineRule="auto"/>
        <w:ind w:firstLine="482" w:firstLineChars="200"/>
      </w:pPr>
      <w:r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黑体" w:hAnsi="仿宋" w:eastAsia="黑体" w:cs="黑体"/>
          <w:b/>
          <w:bCs/>
          <w:color w:val="auto"/>
          <w:sz w:val="24"/>
          <w:szCs w:val="24"/>
          <w:highlight w:val="none"/>
        </w:rPr>
        <w:t>、付款方式及结算要求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付款方式：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以中标单价为依据，按实际配送量结算。验收合格入库后，回款周期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13个月（若中标人属于院方现有的供应商，按现有回款周期执行）。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支付方式：银行转帐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结算要求：必须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符合“一票”或者“两票”的要求；做到货票同行。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MTBmMDM4YzI4MmQyYTc5Mzg1Nzk2NzVhNzI3YWMifQ=="/>
  </w:docVars>
  <w:rsids>
    <w:rsidRoot w:val="00000000"/>
    <w:rsid w:val="7C710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9"/>
    <w:pPr>
      <w:spacing w:line="360" w:lineRule="auto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1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deqinzhaobiao</dc:creator>
  <cp:lastModifiedBy>deqinzhaobiao</cp:lastModifiedBy>
  <dcterms:modified xsi:type="dcterms:W3CDTF">2022-12-29T08:43:20Z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00D9124A46984E25ACDA6A39E1B4AE54</vt:lpwstr>
  </property>
</Properties>
</file>