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陕西中医药大学附属医院射频治疗仪采购项目</w:t>
      </w:r>
    </w:p>
    <w:tbl>
      <w:tblPr>
        <w:tblStyle w:val="3"/>
        <w:tblW w:w="831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928"/>
        <w:gridCol w:w="1246"/>
        <w:gridCol w:w="1092"/>
        <w:gridCol w:w="204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6" w:hRule="atLeast"/>
        </w:trPr>
        <w:tc>
          <w:tcPr>
            <w:tcW w:w="39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32"/>
              </w:rPr>
              <w:t>设备名称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数量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总预算</w:t>
            </w: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7" w:hRule="atLeast"/>
        </w:trPr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射频治疗仪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158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DU2N2Y5ZWQ0ZTgxZTM5ODFmYTMxZDdlYTA5MDgifQ=="/>
  </w:docVars>
  <w:rsids>
    <w:rsidRoot w:val="6B7761B5"/>
    <w:rsid w:val="6B7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2022-12-04T07:06:00Z</dcterms:created>
  <dc:creator>陕西德信招标有限公司</dc:creator>
  <cp:lastModifiedBy>陕西德信招标有限公司</cp:lastModifiedBy>
  <dcterms:modified xsi:type="dcterms:W3CDTF">2022-12-04T07:06:55Z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AF5496B456284EC5B9C67025124F422B</vt:lpwstr>
  </property>
</Properties>
</file>