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lang w:eastAsia="zh-CN"/>
        </w:rPr>
        <w:t>ZMZB2022XHZ-192</w:t>
      </w:r>
    </w:p>
    <w:p>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pPr>
        <w:pStyle w:val="10"/>
      </w:pPr>
    </w:p>
    <w:p>
      <w:pPr>
        <w:adjustRightInd w:val="0"/>
        <w:snapToGrid w:val="0"/>
        <w:spacing w:line="360" w:lineRule="auto"/>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西安航空职业技术学院</w:t>
      </w:r>
    </w:p>
    <w:p>
      <w:pPr>
        <w:jc w:val="center"/>
        <w:rPr>
          <w:rFonts w:hint="eastAsia" w:eastAsia="宋体"/>
          <w:lang w:eastAsia="zh-CN"/>
        </w:rPr>
      </w:pPr>
      <w:r>
        <w:rPr>
          <w:rFonts w:hint="eastAsia" w:ascii="宋体" w:hAnsi="宋体" w:cs="宋体"/>
          <w:b/>
          <w:bCs/>
          <w:sz w:val="48"/>
          <w:szCs w:val="48"/>
          <w:lang w:eastAsia="zh-CN"/>
        </w:rPr>
        <w:t>新能源汽车技术实验室采购项目</w:t>
      </w:r>
    </w:p>
    <w:p>
      <w:pPr>
        <w:adjustRightInd w:val="0"/>
        <w:snapToGrid w:val="0"/>
        <w:spacing w:line="360" w:lineRule="auto"/>
        <w:jc w:val="left"/>
        <w:rPr>
          <w:rFonts w:ascii="宋体" w:hAnsi="宋体" w:cs="宋体"/>
        </w:rPr>
      </w:pPr>
    </w:p>
    <w:p>
      <w:pPr>
        <w:pStyle w:val="10"/>
        <w:rPr>
          <w:rFonts w:ascii="宋体" w:hAnsi="宋体" w:cs="宋体"/>
        </w:rPr>
      </w:pPr>
    </w:p>
    <w:p>
      <w:pPr>
        <w:rPr>
          <w:rFonts w:ascii="宋体" w:hAnsi="宋体" w:cs="宋体"/>
        </w:rPr>
      </w:pPr>
    </w:p>
    <w:p>
      <w:pPr>
        <w:pStyle w:val="5"/>
      </w:pPr>
      <w:r>
        <w:rPr>
          <w:sz w:val="22"/>
          <w:szCs w:val="24"/>
        </w:rPr>
        <w:drawing>
          <wp:anchor distT="0" distB="0" distL="114300" distR="114300" simplePos="0" relativeHeight="251668480" behindDoc="0" locked="0" layoutInCell="1" allowOverlap="1">
            <wp:simplePos x="0" y="0"/>
            <wp:positionH relativeFrom="column">
              <wp:posOffset>1424305</wp:posOffset>
            </wp:positionH>
            <wp:positionV relativeFrom="paragraph">
              <wp:posOffset>60325</wp:posOffset>
            </wp:positionV>
            <wp:extent cx="2095500" cy="1087120"/>
            <wp:effectExtent l="0" t="0" r="0" b="1778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6"/>
                    <a:stretch>
                      <a:fillRect/>
                    </a:stretch>
                  </pic:blipFill>
                  <pic:spPr>
                    <a:xfrm>
                      <a:off x="0" y="0"/>
                      <a:ext cx="2095500" cy="1087120"/>
                    </a:xfrm>
                    <a:prstGeom prst="rect">
                      <a:avLst/>
                    </a:prstGeom>
                    <a:noFill/>
                    <a:ln>
                      <a:noFill/>
                    </a:ln>
                  </pic:spPr>
                </pic:pic>
              </a:graphicData>
            </a:graphic>
          </wp:anchor>
        </w:drawing>
      </w:r>
    </w:p>
    <w:p>
      <w:pPr>
        <w:pStyle w:val="5"/>
      </w:pPr>
    </w:p>
    <w:p>
      <w:pPr>
        <w:pStyle w:val="10"/>
        <w:rPr>
          <w:rFonts w:ascii="宋体" w:hAnsi="宋体" w:cs="宋体"/>
        </w:rPr>
      </w:pPr>
    </w:p>
    <w:p/>
    <w:p>
      <w:pPr>
        <w:rPr>
          <w:rFonts w:ascii="宋体" w:hAnsi="宋体" w:cs="宋体"/>
          <w:b/>
          <w:sz w:val="52"/>
          <w:szCs w:val="52"/>
        </w:rPr>
      </w:pPr>
    </w:p>
    <w:p>
      <w:pPr>
        <w:rPr>
          <w:rFonts w:ascii="宋体" w:hAnsi="宋体" w:cs="宋体"/>
        </w:rPr>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rPr>
          <w:rFonts w:ascii="宋体" w:hAnsi="宋体" w:cs="宋体"/>
          <w:b/>
          <w:sz w:val="32"/>
          <w:szCs w:val="32"/>
        </w:rPr>
      </w:pPr>
    </w:p>
    <w:p>
      <w:pPr>
        <w:adjustRightInd w:val="0"/>
        <w:snapToGrid w:val="0"/>
        <w:spacing w:line="360" w:lineRule="auto"/>
        <w:jc w:val="center"/>
        <w:rPr>
          <w:rFonts w:ascii="宋体" w:hAnsi="宋体" w:cs="宋体"/>
          <w:b/>
          <w:sz w:val="32"/>
          <w:szCs w:val="32"/>
        </w:rPr>
      </w:pPr>
    </w:p>
    <w:p>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pPr>
        <w:adjustRightInd w:val="0"/>
        <w:snapToGrid w:val="0"/>
        <w:spacing w:line="600" w:lineRule="auto"/>
        <w:jc w:val="center"/>
        <w:rPr>
          <w:rFonts w:ascii="宋体" w:hAnsi="宋体" w:cs="宋体"/>
          <w:b/>
          <w:sz w:val="40"/>
          <w:szCs w:val="40"/>
        </w:rPr>
        <w:sectPr>
          <w:headerReference r:id="rId4" w:type="first"/>
          <w:footerReference r:id="rId6"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sz w:val="36"/>
          <w:szCs w:val="36"/>
        </w:rPr>
        <w:t>2022年</w:t>
      </w:r>
      <w:r>
        <w:rPr>
          <w:rFonts w:hint="eastAsia" w:ascii="宋体" w:hAnsi="宋体" w:cs="宋体"/>
          <w:b/>
          <w:sz w:val="36"/>
          <w:szCs w:val="36"/>
          <w:lang w:val="en-US" w:eastAsia="zh-CN"/>
        </w:rPr>
        <w:t>7</w:t>
      </w:r>
      <w:r>
        <w:rPr>
          <w:rFonts w:hint="eastAsia" w:ascii="宋体" w:hAnsi="宋体" w:cs="宋体"/>
          <w:b/>
          <w:sz w:val="36"/>
          <w:szCs w:val="36"/>
        </w:rPr>
        <w:t>月</w:t>
      </w:r>
    </w:p>
    <w:p>
      <w:pPr>
        <w:pStyle w:val="14"/>
        <w:tabs>
          <w:tab w:val="right" w:leader="dot" w:pos="8306"/>
        </w:tabs>
        <w:spacing w:line="360" w:lineRule="auto"/>
        <w:jc w:val="center"/>
        <w:rPr>
          <w:rFonts w:ascii="宋体" w:hAnsi="宋体" w:cs="宋体"/>
          <w:b/>
          <w:bCs/>
          <w:sz w:val="36"/>
          <w:szCs w:val="36"/>
        </w:rPr>
      </w:pPr>
    </w:p>
    <w:p>
      <w:pPr>
        <w:pStyle w:val="14"/>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jc w:val="center"/>
      </w:pPr>
    </w:p>
    <w:p>
      <w:pPr>
        <w:pStyle w:val="14"/>
        <w:tabs>
          <w:tab w:val="right" w:leader="dot" w:pos="8620"/>
        </w:tabs>
      </w:pPr>
      <w:r>
        <w:fldChar w:fldCharType="begin"/>
      </w:r>
      <w:r>
        <w:instrText xml:space="preserve">TOC \o "1-3" \h \u </w:instrText>
      </w:r>
      <w:r>
        <w:fldChar w:fldCharType="separate"/>
      </w:r>
      <w:r>
        <w:fldChar w:fldCharType="begin"/>
      </w:r>
      <w:r>
        <w:instrText xml:space="preserve"> HYPERLINK \l "_Toc25197" </w:instrText>
      </w:r>
      <w:r>
        <w:fldChar w:fldCharType="separate"/>
      </w:r>
      <w:r>
        <w:rPr>
          <w:rFonts w:hint="eastAsia" w:ascii="宋体" w:hAnsi="宋体" w:cs="宋体"/>
          <w:szCs w:val="36"/>
        </w:rPr>
        <w:t>第一部分  公开招标公告</w:t>
      </w:r>
      <w:r>
        <w:tab/>
      </w:r>
      <w:r>
        <w:fldChar w:fldCharType="begin"/>
      </w:r>
      <w:r>
        <w:instrText xml:space="preserve"> PAGEREF _Toc25197 \h </w:instrText>
      </w:r>
      <w:r>
        <w:fldChar w:fldCharType="separate"/>
      </w:r>
      <w:r>
        <w:t>1</w:t>
      </w:r>
      <w:r>
        <w:fldChar w:fldCharType="end"/>
      </w:r>
      <w:r>
        <w:fldChar w:fldCharType="end"/>
      </w:r>
    </w:p>
    <w:p>
      <w:pPr>
        <w:pStyle w:val="14"/>
        <w:tabs>
          <w:tab w:val="right" w:leader="dot" w:pos="8620"/>
        </w:tabs>
      </w:pPr>
      <w:r>
        <w:fldChar w:fldCharType="begin"/>
      </w:r>
      <w:r>
        <w:instrText xml:space="preserve"> HYPERLINK \l "_Toc26705" </w:instrText>
      </w:r>
      <w:r>
        <w:fldChar w:fldCharType="separate"/>
      </w:r>
      <w:r>
        <w:rPr>
          <w:rFonts w:hint="eastAsia" w:ascii="宋体" w:hAnsi="宋体" w:cs="宋体"/>
          <w:szCs w:val="36"/>
        </w:rPr>
        <w:t>第二部分  供应商须知前附表</w:t>
      </w:r>
      <w:r>
        <w:tab/>
      </w:r>
      <w:r>
        <w:fldChar w:fldCharType="begin"/>
      </w:r>
      <w:r>
        <w:instrText xml:space="preserve"> PAGEREF _Toc26705 \h </w:instrText>
      </w:r>
      <w:r>
        <w:fldChar w:fldCharType="separate"/>
      </w:r>
      <w:r>
        <w:t>5</w:t>
      </w:r>
      <w:r>
        <w:fldChar w:fldCharType="end"/>
      </w:r>
      <w:r>
        <w:fldChar w:fldCharType="end"/>
      </w:r>
    </w:p>
    <w:p>
      <w:pPr>
        <w:pStyle w:val="14"/>
        <w:tabs>
          <w:tab w:val="right" w:leader="dot" w:pos="8620"/>
        </w:tabs>
      </w:pPr>
      <w:r>
        <w:fldChar w:fldCharType="begin"/>
      </w:r>
      <w:r>
        <w:instrText xml:space="preserve"> HYPERLINK \l "_Toc5210" </w:instrText>
      </w:r>
      <w:r>
        <w:fldChar w:fldCharType="separate"/>
      </w:r>
      <w:r>
        <w:rPr>
          <w:rFonts w:hint="eastAsia" w:ascii="宋体" w:hAnsi="宋体" w:cs="宋体"/>
          <w:szCs w:val="36"/>
        </w:rPr>
        <w:t>第三部分  供应商须知</w:t>
      </w:r>
      <w:r>
        <w:tab/>
      </w:r>
      <w:r>
        <w:fldChar w:fldCharType="begin"/>
      </w:r>
      <w:r>
        <w:instrText xml:space="preserve"> PAGEREF _Toc5210 \h </w:instrText>
      </w:r>
      <w:r>
        <w:fldChar w:fldCharType="separate"/>
      </w:r>
      <w:r>
        <w:t>11</w:t>
      </w:r>
      <w:r>
        <w:fldChar w:fldCharType="end"/>
      </w:r>
      <w:r>
        <w:fldChar w:fldCharType="end"/>
      </w:r>
    </w:p>
    <w:p>
      <w:pPr>
        <w:pStyle w:val="15"/>
        <w:tabs>
          <w:tab w:val="right" w:leader="dot" w:pos="8620"/>
        </w:tabs>
      </w:pPr>
      <w:r>
        <w:fldChar w:fldCharType="begin"/>
      </w:r>
      <w:r>
        <w:instrText xml:space="preserve"> HYPERLINK \l "_Toc3346" </w:instrText>
      </w:r>
      <w:r>
        <w:fldChar w:fldCharType="separate"/>
      </w:r>
      <w:r>
        <w:rPr>
          <w:rFonts w:hint="eastAsia" w:ascii="宋体" w:hAnsi="宋体" w:cs="宋体"/>
          <w:szCs w:val="36"/>
        </w:rPr>
        <w:t>一、总 则</w:t>
      </w:r>
      <w:r>
        <w:tab/>
      </w:r>
      <w:r>
        <w:fldChar w:fldCharType="begin"/>
      </w:r>
      <w:r>
        <w:instrText xml:space="preserve"> PAGEREF _Toc3346 \h </w:instrText>
      </w:r>
      <w:r>
        <w:fldChar w:fldCharType="separate"/>
      </w:r>
      <w:r>
        <w:t>11</w:t>
      </w:r>
      <w:r>
        <w:fldChar w:fldCharType="end"/>
      </w:r>
      <w:r>
        <w:fldChar w:fldCharType="end"/>
      </w:r>
    </w:p>
    <w:p>
      <w:pPr>
        <w:pStyle w:val="15"/>
        <w:tabs>
          <w:tab w:val="right" w:leader="dot" w:pos="8620"/>
        </w:tabs>
      </w:pPr>
      <w:r>
        <w:fldChar w:fldCharType="begin"/>
      </w:r>
      <w:r>
        <w:instrText xml:space="preserve"> HYPERLINK \l "_Toc12029" </w:instrText>
      </w:r>
      <w:r>
        <w:fldChar w:fldCharType="separate"/>
      </w:r>
      <w:r>
        <w:rPr>
          <w:rFonts w:hint="eastAsia" w:ascii="宋体" w:hAnsi="宋体" w:cs="宋体"/>
          <w:szCs w:val="28"/>
        </w:rPr>
        <w:t>二、 招标文件</w:t>
      </w:r>
      <w:r>
        <w:tab/>
      </w:r>
      <w:r>
        <w:fldChar w:fldCharType="begin"/>
      </w:r>
      <w:r>
        <w:instrText xml:space="preserve"> PAGEREF _Toc12029 \h </w:instrText>
      </w:r>
      <w:r>
        <w:fldChar w:fldCharType="separate"/>
      </w:r>
      <w:r>
        <w:t>13</w:t>
      </w:r>
      <w:r>
        <w:fldChar w:fldCharType="end"/>
      </w:r>
      <w:r>
        <w:fldChar w:fldCharType="end"/>
      </w:r>
    </w:p>
    <w:p>
      <w:pPr>
        <w:pStyle w:val="15"/>
        <w:tabs>
          <w:tab w:val="right" w:leader="dot" w:pos="8620"/>
        </w:tabs>
      </w:pPr>
      <w:r>
        <w:fldChar w:fldCharType="begin"/>
      </w:r>
      <w:r>
        <w:instrText xml:space="preserve"> HYPERLINK \l "_Toc12591" </w:instrText>
      </w:r>
      <w:r>
        <w:fldChar w:fldCharType="separate"/>
      </w:r>
      <w:r>
        <w:rPr>
          <w:rFonts w:hint="eastAsia" w:ascii="宋体" w:hAnsi="宋体" w:cs="宋体"/>
          <w:szCs w:val="28"/>
        </w:rPr>
        <w:t>三、投标文件</w:t>
      </w:r>
      <w:r>
        <w:tab/>
      </w:r>
      <w:r>
        <w:fldChar w:fldCharType="begin"/>
      </w:r>
      <w:r>
        <w:instrText xml:space="preserve"> PAGEREF _Toc12591 \h </w:instrText>
      </w:r>
      <w:r>
        <w:fldChar w:fldCharType="separate"/>
      </w:r>
      <w:r>
        <w:t>15</w:t>
      </w:r>
      <w:r>
        <w:fldChar w:fldCharType="end"/>
      </w:r>
      <w:r>
        <w:fldChar w:fldCharType="end"/>
      </w:r>
    </w:p>
    <w:p>
      <w:pPr>
        <w:pStyle w:val="15"/>
        <w:tabs>
          <w:tab w:val="right" w:leader="dot" w:pos="8620"/>
        </w:tabs>
      </w:pPr>
      <w:r>
        <w:fldChar w:fldCharType="begin"/>
      </w:r>
      <w:r>
        <w:instrText xml:space="preserve"> HYPERLINK \l "_Toc778" </w:instrText>
      </w:r>
      <w:r>
        <w:fldChar w:fldCharType="separate"/>
      </w:r>
      <w:r>
        <w:rPr>
          <w:rFonts w:hint="eastAsia" w:ascii="宋体" w:hAnsi="宋体" w:cs="宋体"/>
          <w:bCs/>
          <w:kern w:val="0"/>
          <w:szCs w:val="28"/>
        </w:rPr>
        <w:t>四、投标文件的递交</w:t>
      </w:r>
      <w:r>
        <w:tab/>
      </w:r>
      <w:r>
        <w:fldChar w:fldCharType="begin"/>
      </w:r>
      <w:r>
        <w:instrText xml:space="preserve"> PAGEREF _Toc778 \h </w:instrText>
      </w:r>
      <w:r>
        <w:fldChar w:fldCharType="separate"/>
      </w:r>
      <w:r>
        <w:t>18</w:t>
      </w:r>
      <w:r>
        <w:fldChar w:fldCharType="end"/>
      </w:r>
      <w:r>
        <w:fldChar w:fldCharType="end"/>
      </w:r>
    </w:p>
    <w:p>
      <w:pPr>
        <w:pStyle w:val="15"/>
        <w:tabs>
          <w:tab w:val="right" w:leader="dot" w:pos="8620"/>
        </w:tabs>
      </w:pPr>
      <w:r>
        <w:fldChar w:fldCharType="begin"/>
      </w:r>
      <w:r>
        <w:instrText xml:space="preserve"> HYPERLINK \l "_Toc2353" </w:instrText>
      </w:r>
      <w:r>
        <w:fldChar w:fldCharType="separate"/>
      </w:r>
      <w:r>
        <w:rPr>
          <w:rFonts w:hint="eastAsia" w:ascii="宋体" w:hAnsi="宋体" w:cs="宋体"/>
          <w:bCs/>
          <w:kern w:val="0"/>
          <w:szCs w:val="28"/>
        </w:rPr>
        <w:t>五、 开标、评审、定标</w:t>
      </w:r>
      <w:r>
        <w:tab/>
      </w:r>
      <w:r>
        <w:fldChar w:fldCharType="begin"/>
      </w:r>
      <w:r>
        <w:instrText xml:space="preserve"> PAGEREF _Toc2353 \h </w:instrText>
      </w:r>
      <w:r>
        <w:fldChar w:fldCharType="separate"/>
      </w:r>
      <w:r>
        <w:t>18</w:t>
      </w:r>
      <w:r>
        <w:fldChar w:fldCharType="end"/>
      </w:r>
      <w:r>
        <w:fldChar w:fldCharType="end"/>
      </w:r>
    </w:p>
    <w:p>
      <w:pPr>
        <w:pStyle w:val="14"/>
        <w:tabs>
          <w:tab w:val="right" w:leader="dot" w:pos="8620"/>
        </w:tabs>
      </w:pPr>
      <w:r>
        <w:fldChar w:fldCharType="begin"/>
      </w:r>
      <w:r>
        <w:instrText xml:space="preserve"> HYPERLINK \l "_Toc1494" </w:instrText>
      </w:r>
      <w:r>
        <w:fldChar w:fldCharType="separate"/>
      </w:r>
      <w:r>
        <w:rPr>
          <w:rFonts w:hint="eastAsia" w:ascii="宋体" w:hAnsi="宋体" w:cs="宋体"/>
          <w:szCs w:val="36"/>
        </w:rPr>
        <w:t>第四部分 评标方法</w:t>
      </w:r>
      <w:r>
        <w:tab/>
      </w:r>
      <w:r>
        <w:fldChar w:fldCharType="begin"/>
      </w:r>
      <w:r>
        <w:instrText xml:space="preserve"> PAGEREF _Toc1494 \h </w:instrText>
      </w:r>
      <w:r>
        <w:fldChar w:fldCharType="separate"/>
      </w:r>
      <w:r>
        <w:t>24</w:t>
      </w:r>
      <w:r>
        <w:fldChar w:fldCharType="end"/>
      </w:r>
      <w:r>
        <w:fldChar w:fldCharType="end"/>
      </w:r>
    </w:p>
    <w:p>
      <w:pPr>
        <w:pStyle w:val="14"/>
        <w:tabs>
          <w:tab w:val="right" w:leader="dot" w:pos="8620"/>
        </w:tabs>
      </w:pPr>
      <w:r>
        <w:fldChar w:fldCharType="begin"/>
      </w:r>
      <w:r>
        <w:instrText xml:space="preserve"> HYPERLINK \l "_Toc29655" </w:instrText>
      </w:r>
      <w:r>
        <w:fldChar w:fldCharType="separate"/>
      </w:r>
      <w:r>
        <w:rPr>
          <w:rFonts w:hint="eastAsia" w:ascii="宋体" w:hAnsi="宋体" w:cs="宋体"/>
          <w:szCs w:val="36"/>
        </w:rPr>
        <w:t>第五部分 采购要求</w:t>
      </w:r>
      <w:r>
        <w:tab/>
      </w:r>
      <w:r>
        <w:fldChar w:fldCharType="begin"/>
      </w:r>
      <w:r>
        <w:instrText xml:space="preserve"> PAGEREF _Toc29655 \h </w:instrText>
      </w:r>
      <w:r>
        <w:fldChar w:fldCharType="separate"/>
      </w:r>
      <w:r>
        <w:t>28</w:t>
      </w:r>
      <w:r>
        <w:fldChar w:fldCharType="end"/>
      </w:r>
      <w:r>
        <w:fldChar w:fldCharType="end"/>
      </w:r>
    </w:p>
    <w:p>
      <w:pPr>
        <w:pStyle w:val="14"/>
        <w:tabs>
          <w:tab w:val="right" w:leader="dot" w:pos="8620"/>
        </w:tabs>
      </w:pPr>
      <w:r>
        <w:fldChar w:fldCharType="begin"/>
      </w:r>
      <w:r>
        <w:instrText xml:space="preserve"> HYPERLINK \l "_Toc28326" </w:instrText>
      </w:r>
      <w:r>
        <w:fldChar w:fldCharType="separate"/>
      </w:r>
      <w:r>
        <w:rPr>
          <w:rFonts w:hint="eastAsia" w:ascii="宋体" w:hAnsi="宋体" w:cs="宋体"/>
          <w:bCs/>
          <w:szCs w:val="36"/>
        </w:rPr>
        <w:t>第六部分 合同条款</w:t>
      </w:r>
      <w:r>
        <w:tab/>
      </w:r>
      <w:r>
        <w:fldChar w:fldCharType="begin"/>
      </w:r>
      <w:r>
        <w:instrText xml:space="preserve"> PAGEREF _Toc28326 \h </w:instrText>
      </w:r>
      <w:r>
        <w:fldChar w:fldCharType="separate"/>
      </w:r>
      <w:r>
        <w:t>34</w:t>
      </w:r>
      <w:r>
        <w:fldChar w:fldCharType="end"/>
      </w:r>
      <w:r>
        <w:fldChar w:fldCharType="end"/>
      </w:r>
    </w:p>
    <w:p>
      <w:pPr>
        <w:pStyle w:val="14"/>
        <w:tabs>
          <w:tab w:val="right" w:leader="dot" w:pos="8620"/>
        </w:tabs>
      </w:pPr>
      <w:r>
        <w:fldChar w:fldCharType="begin"/>
      </w:r>
      <w:r>
        <w:instrText xml:space="preserve"> HYPERLINK \l "_Toc27958" </w:instrText>
      </w:r>
      <w:r>
        <w:fldChar w:fldCharType="separate"/>
      </w:r>
      <w:r>
        <w:rPr>
          <w:rFonts w:hint="eastAsia" w:ascii="宋体" w:hAnsi="宋体" w:cs="宋体"/>
          <w:szCs w:val="36"/>
        </w:rPr>
        <w:t>第七部分  投标文件格式</w:t>
      </w:r>
      <w:r>
        <w:tab/>
      </w:r>
      <w:r>
        <w:fldChar w:fldCharType="begin"/>
      </w:r>
      <w:r>
        <w:instrText xml:space="preserve"> PAGEREF _Toc27958 \h </w:instrText>
      </w:r>
      <w:r>
        <w:fldChar w:fldCharType="separate"/>
      </w:r>
      <w:r>
        <w:t>46</w:t>
      </w:r>
      <w:r>
        <w:fldChar w:fldCharType="end"/>
      </w:r>
      <w:r>
        <w:fldChar w:fldCharType="end"/>
      </w:r>
    </w:p>
    <w:p>
      <w:pPr>
        <w:pStyle w:val="15"/>
        <w:tabs>
          <w:tab w:val="right" w:leader="dot" w:pos="8620"/>
        </w:tabs>
      </w:pPr>
      <w:r>
        <w:fldChar w:fldCharType="begin"/>
      </w:r>
      <w:r>
        <w:instrText xml:space="preserve"> HYPERLINK \l "_Toc11324" </w:instrText>
      </w:r>
      <w:r>
        <w:fldChar w:fldCharType="separate"/>
      </w:r>
      <w:r>
        <w:rPr>
          <w:rFonts w:hint="eastAsia" w:ascii="宋体" w:hAnsi="宋体" w:cs="宋体"/>
          <w:szCs w:val="36"/>
        </w:rPr>
        <w:t>第一部分  投标函</w:t>
      </w:r>
      <w:r>
        <w:tab/>
      </w:r>
      <w:r>
        <w:fldChar w:fldCharType="begin"/>
      </w:r>
      <w:r>
        <w:instrText xml:space="preserve"> PAGEREF _Toc11324 \h </w:instrText>
      </w:r>
      <w:r>
        <w:fldChar w:fldCharType="separate"/>
      </w:r>
      <w:r>
        <w:t>48</w:t>
      </w:r>
      <w:r>
        <w:fldChar w:fldCharType="end"/>
      </w:r>
      <w:r>
        <w:fldChar w:fldCharType="end"/>
      </w:r>
    </w:p>
    <w:p>
      <w:pPr>
        <w:pStyle w:val="15"/>
        <w:tabs>
          <w:tab w:val="right" w:leader="dot" w:pos="8620"/>
        </w:tabs>
      </w:pPr>
      <w:r>
        <w:fldChar w:fldCharType="begin"/>
      </w:r>
      <w:r>
        <w:instrText xml:space="preserve"> HYPERLINK \l "_Toc3970" </w:instrText>
      </w:r>
      <w:r>
        <w:fldChar w:fldCharType="separate"/>
      </w:r>
      <w:r>
        <w:rPr>
          <w:rFonts w:hint="eastAsia" w:ascii="宋体" w:hAnsi="宋体" w:cs="宋体"/>
          <w:szCs w:val="36"/>
        </w:rPr>
        <w:t>第二部分 报价一览表</w:t>
      </w:r>
      <w:r>
        <w:tab/>
      </w:r>
      <w:r>
        <w:fldChar w:fldCharType="begin"/>
      </w:r>
      <w:r>
        <w:instrText xml:space="preserve"> PAGEREF _Toc3970 \h </w:instrText>
      </w:r>
      <w:r>
        <w:fldChar w:fldCharType="separate"/>
      </w:r>
      <w:r>
        <w:t>49</w:t>
      </w:r>
      <w:r>
        <w:fldChar w:fldCharType="end"/>
      </w:r>
      <w:r>
        <w:fldChar w:fldCharType="end"/>
      </w:r>
    </w:p>
    <w:p>
      <w:pPr>
        <w:pStyle w:val="15"/>
        <w:tabs>
          <w:tab w:val="right" w:leader="dot" w:pos="8620"/>
        </w:tabs>
      </w:pPr>
      <w:r>
        <w:fldChar w:fldCharType="begin"/>
      </w:r>
      <w:r>
        <w:instrText xml:space="preserve"> HYPERLINK \l "_Toc30997" </w:instrText>
      </w:r>
      <w: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商务及技术响应说明</w:t>
      </w:r>
      <w:r>
        <w:tab/>
      </w:r>
      <w:r>
        <w:fldChar w:fldCharType="begin"/>
      </w:r>
      <w:r>
        <w:instrText xml:space="preserve"> PAGEREF _Toc30997 \h </w:instrText>
      </w:r>
      <w:r>
        <w:fldChar w:fldCharType="separate"/>
      </w:r>
      <w:r>
        <w:t>51</w:t>
      </w:r>
      <w:r>
        <w:fldChar w:fldCharType="end"/>
      </w:r>
      <w:r>
        <w:fldChar w:fldCharType="end"/>
      </w:r>
    </w:p>
    <w:p>
      <w:pPr>
        <w:pStyle w:val="15"/>
        <w:tabs>
          <w:tab w:val="right" w:leader="dot" w:pos="8620"/>
        </w:tabs>
      </w:pPr>
      <w:r>
        <w:fldChar w:fldCharType="begin"/>
      </w:r>
      <w:r>
        <w:instrText xml:space="preserve"> HYPERLINK \l "_Toc2697" </w:instrText>
      </w:r>
      <w:r>
        <w:fldChar w:fldCharType="separate"/>
      </w:r>
      <w:r>
        <w:rPr>
          <w:rFonts w:hint="eastAsia" w:ascii="宋体" w:hAnsi="宋体" w:cs="宋体"/>
          <w:bCs/>
          <w:szCs w:val="32"/>
        </w:rPr>
        <w:t>商务偏离表</w:t>
      </w:r>
      <w:r>
        <w:tab/>
      </w:r>
      <w:r>
        <w:fldChar w:fldCharType="begin"/>
      </w:r>
      <w:r>
        <w:instrText xml:space="preserve"> PAGEREF _Toc2697 \h </w:instrText>
      </w:r>
      <w:r>
        <w:fldChar w:fldCharType="separate"/>
      </w:r>
      <w:r>
        <w:t>51</w:t>
      </w:r>
      <w:r>
        <w:fldChar w:fldCharType="end"/>
      </w:r>
      <w:r>
        <w:fldChar w:fldCharType="end"/>
      </w:r>
    </w:p>
    <w:p>
      <w:pPr>
        <w:pStyle w:val="15"/>
        <w:tabs>
          <w:tab w:val="right" w:leader="dot" w:pos="8620"/>
        </w:tabs>
      </w:pPr>
      <w:r>
        <w:fldChar w:fldCharType="begin"/>
      </w:r>
      <w:r>
        <w:instrText xml:space="preserve"> HYPERLINK \l "_Toc24472" </w:instrText>
      </w:r>
      <w:r>
        <w:fldChar w:fldCharType="separate"/>
      </w:r>
      <w:r>
        <w:rPr>
          <w:rFonts w:hint="eastAsia" w:ascii="宋体" w:hAnsi="宋体" w:cs="宋体"/>
          <w:bCs/>
          <w:szCs w:val="32"/>
        </w:rPr>
        <w:t>技术偏离表</w:t>
      </w:r>
      <w:r>
        <w:tab/>
      </w:r>
      <w:r>
        <w:fldChar w:fldCharType="begin"/>
      </w:r>
      <w:r>
        <w:instrText xml:space="preserve"> PAGEREF _Toc24472 \h </w:instrText>
      </w:r>
      <w:r>
        <w:fldChar w:fldCharType="separate"/>
      </w:r>
      <w:r>
        <w:t>52</w:t>
      </w:r>
      <w:r>
        <w:fldChar w:fldCharType="end"/>
      </w:r>
      <w:r>
        <w:fldChar w:fldCharType="end"/>
      </w:r>
    </w:p>
    <w:p>
      <w:pPr>
        <w:pStyle w:val="15"/>
        <w:tabs>
          <w:tab w:val="right" w:leader="dot" w:pos="8620"/>
        </w:tabs>
      </w:pPr>
      <w:r>
        <w:fldChar w:fldCharType="begin"/>
      </w:r>
      <w:r>
        <w:instrText xml:space="preserve"> HYPERLINK \l "_Toc10328" </w:instrText>
      </w:r>
      <w:r>
        <w:fldChar w:fldCharType="separate"/>
      </w:r>
      <w:r>
        <w:rPr>
          <w:rFonts w:hint="eastAsia" w:ascii="宋体" w:hAnsi="宋体" w:cs="宋体"/>
          <w:szCs w:val="36"/>
        </w:rPr>
        <w:t>第四部分  供应商资格要求</w:t>
      </w:r>
      <w:r>
        <w:tab/>
      </w:r>
      <w:r>
        <w:fldChar w:fldCharType="begin"/>
      </w:r>
      <w:r>
        <w:instrText xml:space="preserve"> PAGEREF _Toc10328 \h </w:instrText>
      </w:r>
      <w:r>
        <w:fldChar w:fldCharType="separate"/>
      </w:r>
      <w:r>
        <w:t>53</w:t>
      </w:r>
      <w:r>
        <w:fldChar w:fldCharType="end"/>
      </w:r>
      <w:r>
        <w:fldChar w:fldCharType="end"/>
      </w:r>
    </w:p>
    <w:p>
      <w:pPr>
        <w:pStyle w:val="15"/>
        <w:tabs>
          <w:tab w:val="right" w:leader="dot" w:pos="8620"/>
        </w:tabs>
      </w:pPr>
      <w:r>
        <w:fldChar w:fldCharType="begin"/>
      </w:r>
      <w:r>
        <w:instrText xml:space="preserve"> HYPERLINK \l "_Toc2495" </w:instrText>
      </w:r>
      <w:r>
        <w:fldChar w:fldCharType="separate"/>
      </w:r>
      <w:r>
        <w:rPr>
          <w:rFonts w:hint="eastAsia" w:ascii="宋体" w:hAnsi="宋体" w:cs="宋体"/>
          <w:szCs w:val="36"/>
        </w:rPr>
        <w:t>第五部分 技术与服务方案</w:t>
      </w:r>
      <w:r>
        <w:tab/>
      </w:r>
      <w:r>
        <w:fldChar w:fldCharType="begin"/>
      </w:r>
      <w:r>
        <w:instrText xml:space="preserve"> PAGEREF _Toc2495 \h </w:instrText>
      </w:r>
      <w:r>
        <w:fldChar w:fldCharType="separate"/>
      </w:r>
      <w:r>
        <w:t>62</w:t>
      </w:r>
      <w:r>
        <w:fldChar w:fldCharType="end"/>
      </w:r>
      <w:r>
        <w:fldChar w:fldCharType="end"/>
      </w:r>
    </w:p>
    <w:p>
      <w:pPr>
        <w:pStyle w:val="15"/>
        <w:tabs>
          <w:tab w:val="right" w:leader="dot" w:pos="8620"/>
        </w:tabs>
      </w:pPr>
      <w:r>
        <w:fldChar w:fldCharType="begin"/>
      </w:r>
      <w:r>
        <w:instrText xml:space="preserve"> HYPERLINK \l "_Toc14408" </w:instrText>
      </w:r>
      <w:r>
        <w:fldChar w:fldCharType="separate"/>
      </w:r>
      <w:r>
        <w:rPr>
          <w:rFonts w:hint="eastAsia" w:ascii="宋体" w:hAnsi="宋体" w:cs="宋体"/>
          <w:szCs w:val="36"/>
        </w:rPr>
        <w:t>第六部分  服务承诺</w:t>
      </w:r>
      <w:r>
        <w:tab/>
      </w:r>
      <w:r>
        <w:fldChar w:fldCharType="begin"/>
      </w:r>
      <w:r>
        <w:instrText xml:space="preserve"> PAGEREF _Toc14408 \h </w:instrText>
      </w:r>
      <w:r>
        <w:fldChar w:fldCharType="separate"/>
      </w:r>
      <w:r>
        <w:t>63</w:t>
      </w:r>
      <w:r>
        <w:fldChar w:fldCharType="end"/>
      </w:r>
      <w:r>
        <w:fldChar w:fldCharType="end"/>
      </w:r>
    </w:p>
    <w:p>
      <w:pPr>
        <w:pStyle w:val="15"/>
        <w:tabs>
          <w:tab w:val="right" w:leader="dot" w:pos="8620"/>
        </w:tabs>
      </w:pPr>
      <w:r>
        <w:fldChar w:fldCharType="begin"/>
      </w:r>
      <w:r>
        <w:instrText xml:space="preserve"> HYPERLINK \l "_Toc25440" </w:instrText>
      </w:r>
      <w:r>
        <w:fldChar w:fldCharType="separate"/>
      </w:r>
      <w:r>
        <w:rPr>
          <w:rFonts w:hint="eastAsia" w:ascii="宋体" w:hAnsi="宋体" w:cs="宋体"/>
          <w:szCs w:val="36"/>
        </w:rPr>
        <w:t>第七部分  业绩一览表</w:t>
      </w:r>
      <w:r>
        <w:tab/>
      </w:r>
      <w:r>
        <w:fldChar w:fldCharType="begin"/>
      </w:r>
      <w:r>
        <w:instrText xml:space="preserve"> PAGEREF _Toc25440 \h </w:instrText>
      </w:r>
      <w:r>
        <w:fldChar w:fldCharType="separate"/>
      </w:r>
      <w:r>
        <w:t>64</w:t>
      </w:r>
      <w:r>
        <w:fldChar w:fldCharType="end"/>
      </w:r>
      <w:r>
        <w:fldChar w:fldCharType="end"/>
      </w:r>
    </w:p>
    <w:p>
      <w:pPr>
        <w:pStyle w:val="15"/>
        <w:tabs>
          <w:tab w:val="right" w:leader="dot" w:pos="8620"/>
        </w:tabs>
      </w:pPr>
      <w:r>
        <w:fldChar w:fldCharType="begin"/>
      </w:r>
      <w:r>
        <w:instrText xml:space="preserve"> HYPERLINK \l "_Toc28975" </w:instrText>
      </w:r>
      <w:r>
        <w:fldChar w:fldCharType="separate"/>
      </w:r>
      <w:r>
        <w:rPr>
          <w:rFonts w:hint="eastAsia" w:ascii="宋体" w:hAnsi="宋体" w:cs="宋体"/>
          <w:szCs w:val="36"/>
        </w:rPr>
        <w:t>第八部分 供应商认为有必要说明的其他问题</w:t>
      </w:r>
      <w:r>
        <w:tab/>
      </w:r>
      <w:r>
        <w:fldChar w:fldCharType="begin"/>
      </w:r>
      <w:r>
        <w:instrText xml:space="preserve"> PAGEREF _Toc28975 \h </w:instrText>
      </w:r>
      <w:r>
        <w:fldChar w:fldCharType="separate"/>
      </w:r>
      <w:r>
        <w:t>65</w:t>
      </w:r>
      <w:r>
        <w:fldChar w:fldCharType="end"/>
      </w:r>
      <w:r>
        <w:fldChar w:fldCharType="end"/>
      </w:r>
    </w:p>
    <w:p>
      <w:pPr>
        <w:pStyle w:val="11"/>
        <w:tabs>
          <w:tab w:val="right" w:leader="dot" w:pos="8620"/>
        </w:tabs>
      </w:pPr>
      <w:r>
        <w:fldChar w:fldCharType="begin"/>
      </w:r>
      <w:r>
        <w:instrText xml:space="preserve"> HYPERLINK \l "_Toc16620" </w:instrText>
      </w:r>
      <w:r>
        <w:fldChar w:fldCharType="separate"/>
      </w:r>
      <w:r>
        <w:rPr>
          <w:rFonts w:hint="eastAsia" w:ascii="宋体" w:hAnsi="宋体" w:cs="宋体"/>
        </w:rPr>
        <w:t>附件一、封袋正面标识式样</w:t>
      </w:r>
      <w:r>
        <w:tab/>
      </w:r>
      <w:r>
        <w:fldChar w:fldCharType="begin"/>
      </w:r>
      <w:r>
        <w:instrText xml:space="preserve"> PAGEREF _Toc16620 \h </w:instrText>
      </w:r>
      <w:r>
        <w:fldChar w:fldCharType="separate"/>
      </w:r>
      <w:r>
        <w:t>66</w:t>
      </w:r>
      <w:r>
        <w:fldChar w:fldCharType="end"/>
      </w:r>
      <w:r>
        <w:fldChar w:fldCharType="end"/>
      </w:r>
    </w:p>
    <w:p>
      <w:pPr>
        <w:pStyle w:val="11"/>
        <w:tabs>
          <w:tab w:val="right" w:leader="dot" w:pos="8620"/>
        </w:tabs>
      </w:pPr>
      <w:r>
        <w:fldChar w:fldCharType="begin"/>
      </w:r>
      <w:r>
        <w:instrText xml:space="preserve"> HYPERLINK \l "_Toc13028" </w:instrText>
      </w:r>
      <w:r>
        <w:fldChar w:fldCharType="separate"/>
      </w:r>
      <w:r>
        <w:rPr>
          <w:rFonts w:hint="eastAsia" w:ascii="宋体" w:hAnsi="宋体" w:cs="宋体"/>
        </w:rPr>
        <w:t>附件二、中小企业声明函（货物）</w:t>
      </w:r>
      <w:r>
        <w:tab/>
      </w:r>
      <w:r>
        <w:fldChar w:fldCharType="begin"/>
      </w:r>
      <w:r>
        <w:instrText xml:space="preserve"> PAGEREF _Toc13028 \h </w:instrText>
      </w:r>
      <w:r>
        <w:fldChar w:fldCharType="separate"/>
      </w:r>
      <w:r>
        <w:t>68</w:t>
      </w:r>
      <w:r>
        <w:fldChar w:fldCharType="end"/>
      </w:r>
      <w:r>
        <w:fldChar w:fldCharType="end"/>
      </w:r>
    </w:p>
    <w:p>
      <w:pPr>
        <w:pStyle w:val="11"/>
        <w:tabs>
          <w:tab w:val="right" w:leader="dot" w:pos="8620"/>
        </w:tabs>
      </w:pPr>
      <w:r>
        <w:fldChar w:fldCharType="begin"/>
      </w:r>
      <w:r>
        <w:instrText xml:space="preserve"> HYPERLINK \l "_Toc4963" </w:instrText>
      </w:r>
      <w:r>
        <w:fldChar w:fldCharType="separate"/>
      </w:r>
      <w:r>
        <w:rPr>
          <w:rFonts w:hint="eastAsia" w:ascii="宋体" w:hAnsi="宋体" w:cs="宋体"/>
        </w:rPr>
        <w:t>附件三、残疾人福利性单位声明</w:t>
      </w:r>
      <w:r>
        <w:tab/>
      </w:r>
      <w:r>
        <w:fldChar w:fldCharType="begin"/>
      </w:r>
      <w:r>
        <w:instrText xml:space="preserve"> PAGEREF _Toc4963 \h </w:instrText>
      </w:r>
      <w:r>
        <w:fldChar w:fldCharType="separate"/>
      </w:r>
      <w:r>
        <w:t>73</w:t>
      </w:r>
      <w:r>
        <w:fldChar w:fldCharType="end"/>
      </w:r>
      <w:r>
        <w:fldChar w:fldCharType="end"/>
      </w:r>
    </w:p>
    <w:p>
      <w:pPr>
        <w:pStyle w:val="11"/>
        <w:tabs>
          <w:tab w:val="right" w:leader="dot" w:pos="8620"/>
        </w:tabs>
      </w:pPr>
      <w:r>
        <w:fldChar w:fldCharType="begin"/>
      </w:r>
      <w:r>
        <w:instrText xml:space="preserve"> HYPERLINK \l "_Toc226" </w:instrText>
      </w:r>
      <w:r>
        <w:fldChar w:fldCharType="separate"/>
      </w:r>
      <w:r>
        <w:rPr>
          <w:rFonts w:hint="eastAsia" w:ascii="宋体" w:hAnsi="宋体" w:cs="宋体"/>
        </w:rPr>
        <w:t>附件四、监狱企业证明文件</w:t>
      </w:r>
      <w:r>
        <w:tab/>
      </w:r>
      <w:r>
        <w:fldChar w:fldCharType="begin"/>
      </w:r>
      <w:r>
        <w:instrText xml:space="preserve"> PAGEREF _Toc226 \h </w:instrText>
      </w:r>
      <w:r>
        <w:fldChar w:fldCharType="separate"/>
      </w:r>
      <w:r>
        <w:t>73</w:t>
      </w:r>
      <w:r>
        <w:fldChar w:fldCharType="end"/>
      </w:r>
      <w:r>
        <w:fldChar w:fldCharType="end"/>
      </w:r>
    </w:p>
    <w:p>
      <w:pPr>
        <w:pStyle w:val="11"/>
        <w:tabs>
          <w:tab w:val="right" w:leader="dot" w:pos="8620"/>
        </w:tabs>
      </w:pPr>
      <w:r>
        <w:fldChar w:fldCharType="begin"/>
      </w:r>
      <w:r>
        <w:instrText xml:space="preserve"> HYPERLINK \l "_Toc13539" </w:instrText>
      </w:r>
      <w:r>
        <w:fldChar w:fldCharType="separate"/>
      </w:r>
      <w:r>
        <w:rPr>
          <w:rFonts w:hint="eastAsia" w:ascii="宋体" w:hAnsi="宋体" w:cs="宋体"/>
        </w:rPr>
        <w:t>附件五、“节能产品”，“环境标志产品”证明材料</w:t>
      </w:r>
      <w:r>
        <w:tab/>
      </w:r>
      <w:r>
        <w:fldChar w:fldCharType="begin"/>
      </w:r>
      <w:r>
        <w:instrText xml:space="preserve"> PAGEREF _Toc13539 \h </w:instrText>
      </w:r>
      <w:r>
        <w:fldChar w:fldCharType="separate"/>
      </w:r>
      <w:r>
        <w:t>73</w:t>
      </w:r>
      <w:r>
        <w:fldChar w:fldCharType="end"/>
      </w:r>
      <w:r>
        <w:fldChar w:fldCharType="end"/>
      </w:r>
    </w:p>
    <w:p>
      <w:pPr>
        <w:pStyle w:val="11"/>
        <w:tabs>
          <w:tab w:val="right" w:leader="dot" w:pos="8620"/>
        </w:tabs>
      </w:pPr>
      <w:r>
        <w:fldChar w:fldCharType="begin"/>
      </w:r>
      <w:r>
        <w:instrText xml:space="preserve"> HYPERLINK \l "_Toc26392" </w:instrText>
      </w:r>
      <w:r>
        <w:fldChar w:fldCharType="separate"/>
      </w:r>
      <w:r>
        <w:rPr>
          <w:rFonts w:hint="eastAsia" w:ascii="宋体" w:hAnsi="宋体" w:cs="宋体"/>
        </w:rPr>
        <w:t>附件六、质疑函范本</w:t>
      </w:r>
      <w:r>
        <w:tab/>
      </w:r>
      <w:r>
        <w:fldChar w:fldCharType="begin"/>
      </w:r>
      <w:r>
        <w:instrText xml:space="preserve"> PAGEREF _Toc26392 \h </w:instrText>
      </w:r>
      <w:r>
        <w:fldChar w:fldCharType="separate"/>
      </w:r>
      <w:r>
        <w:t>74</w:t>
      </w:r>
      <w:r>
        <w:fldChar w:fldCharType="end"/>
      </w:r>
      <w:r>
        <w:fldChar w:fldCharType="end"/>
      </w:r>
    </w:p>
    <w:p>
      <w:pPr>
        <w:pStyle w:val="11"/>
        <w:tabs>
          <w:tab w:val="right" w:leader="dot" w:pos="8620"/>
        </w:tabs>
      </w:pPr>
      <w:r>
        <w:fldChar w:fldCharType="begin"/>
      </w:r>
      <w:r>
        <w:instrText xml:space="preserve"> HYPERLINK \l "_Toc23229" </w:instrText>
      </w:r>
      <w:r>
        <w:fldChar w:fldCharType="separate"/>
      </w:r>
      <w:r>
        <w:rPr>
          <w:rFonts w:hint="eastAsia" w:ascii="宋体" w:hAnsi="宋体" w:cs="宋体"/>
        </w:rPr>
        <w:t>附件七、保证金退还账户信息确认表</w:t>
      </w:r>
      <w:r>
        <w:tab/>
      </w:r>
      <w:r>
        <w:fldChar w:fldCharType="begin"/>
      </w:r>
      <w:r>
        <w:instrText xml:space="preserve"> PAGEREF _Toc23229 \h </w:instrText>
      </w:r>
      <w:r>
        <w:fldChar w:fldCharType="separate"/>
      </w:r>
      <w:r>
        <w:t>76</w:t>
      </w:r>
      <w:r>
        <w:fldChar w:fldCharType="end"/>
      </w:r>
      <w:r>
        <w:fldChar w:fldCharType="end"/>
      </w:r>
    </w:p>
    <w:p>
      <w:r>
        <w:fldChar w:fldCharType="end"/>
      </w:r>
      <w:bookmarkStart w:id="1" w:name="_Toc26575"/>
      <w:bookmarkStart w:id="2" w:name="_Toc2435"/>
    </w:p>
    <w:p>
      <w:pPr>
        <w:pStyle w:val="3"/>
        <w:spacing w:before="312" w:beforeLines="100" w:after="468" w:afterLines="150" w:line="600" w:lineRule="exact"/>
        <w:rPr>
          <w:rFonts w:ascii="宋体" w:hAnsi="宋体" w:cs="宋体"/>
          <w:sz w:val="36"/>
          <w:szCs w:val="36"/>
        </w:rPr>
        <w:sectPr>
          <w:footerReference r:id="rId7" w:type="default"/>
          <w:pgSz w:w="11906" w:h="16838"/>
          <w:pgMar w:top="1440" w:right="1486" w:bottom="1440" w:left="1800" w:header="851" w:footer="992" w:gutter="0"/>
          <w:cols w:space="720" w:num="1"/>
          <w:docGrid w:type="lines" w:linePitch="312" w:charSpace="0"/>
        </w:sectPr>
      </w:pPr>
    </w:p>
    <w:p>
      <w:pPr>
        <w:pStyle w:val="2"/>
        <w:spacing w:before="312" w:beforeLines="100" w:after="468" w:afterLines="150" w:line="600" w:lineRule="exact"/>
        <w:rPr>
          <w:rFonts w:ascii="宋体" w:hAnsi="宋体" w:cs="宋体"/>
          <w:sz w:val="36"/>
          <w:szCs w:val="36"/>
        </w:rPr>
      </w:pPr>
      <w:bookmarkStart w:id="3" w:name="_Toc25197"/>
      <w:r>
        <w:rPr>
          <w:rFonts w:hint="eastAsia" w:ascii="宋体" w:hAnsi="宋体" w:cs="宋体"/>
          <w:sz w:val="36"/>
          <w:szCs w:val="36"/>
        </w:rPr>
        <w:t>第一部分  公开招标公告</w:t>
      </w:r>
      <w:bookmarkEnd w:id="1"/>
      <w:bookmarkEnd w:id="2"/>
      <w:bookmarkEnd w:id="3"/>
    </w:p>
    <w:p>
      <w:pPr>
        <w:spacing w:line="360" w:lineRule="auto"/>
        <w:ind w:firstLine="482" w:firstLineChars="200"/>
        <w:rPr>
          <w:rFonts w:ascii="宋体" w:hAnsi="宋体" w:cs="宋体"/>
          <w:b/>
          <w:bCs/>
          <w:sz w:val="24"/>
          <w:szCs w:val="24"/>
        </w:rPr>
      </w:pPr>
      <w:r>
        <w:rPr>
          <w:rFonts w:hint="eastAsia" w:ascii="宋体" w:hAnsi="宋体" w:cs="宋体"/>
          <w:b/>
          <w:bCs/>
          <w:sz w:val="24"/>
          <w:szCs w:val="24"/>
        </w:rPr>
        <w:t>项目概况</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新能源汽车技术实验室采购项目</w:t>
      </w:r>
      <w:r>
        <w:rPr>
          <w:rFonts w:hint="eastAsia" w:ascii="宋体" w:hAnsi="宋体" w:cs="宋体"/>
          <w:sz w:val="24"/>
          <w:szCs w:val="24"/>
        </w:rPr>
        <w:t>的潜在投标人应在西安市雁塔区科技路10号华奥大厦A座20层2002室开标室获取招标文件，并于2022年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u w:val="none"/>
          <w:lang w:val="en-US" w:eastAsia="zh-CN"/>
        </w:rPr>
        <w:t>17</w:t>
      </w:r>
      <w:r>
        <w:rPr>
          <w:rFonts w:hint="eastAsia" w:ascii="宋体" w:hAnsi="宋体" w:cs="宋体"/>
          <w:sz w:val="24"/>
          <w:szCs w:val="24"/>
          <w:u w:val="none"/>
        </w:rPr>
        <w:t>日</w:t>
      </w:r>
      <w:r>
        <w:rPr>
          <w:rFonts w:hint="eastAsia" w:ascii="宋体" w:hAnsi="宋体" w:cs="宋体"/>
          <w:sz w:val="24"/>
          <w:szCs w:val="24"/>
          <w:u w:val="none"/>
          <w:lang w:val="en-US" w:eastAsia="zh-CN"/>
        </w:rPr>
        <w:t>10</w:t>
      </w:r>
      <w:r>
        <w:rPr>
          <w:rFonts w:hint="eastAsia" w:ascii="宋体" w:hAnsi="宋体" w:cs="宋体"/>
          <w:sz w:val="24"/>
          <w:szCs w:val="24"/>
          <w:u w:val="none"/>
        </w:rPr>
        <w:t>时</w:t>
      </w:r>
      <w:r>
        <w:rPr>
          <w:rFonts w:hint="eastAsia" w:ascii="宋体" w:hAnsi="宋体" w:cs="宋体"/>
          <w:sz w:val="24"/>
          <w:szCs w:val="24"/>
          <w:u w:val="none"/>
          <w:lang w:val="en-US" w:eastAsia="zh-CN"/>
        </w:rPr>
        <w:t>00</w:t>
      </w:r>
      <w:r>
        <w:rPr>
          <w:rFonts w:hint="eastAsia" w:ascii="宋体" w:hAnsi="宋体" w:cs="宋体"/>
          <w:sz w:val="24"/>
          <w:szCs w:val="24"/>
        </w:rPr>
        <w:t>分（北京时间）前递交投标文件。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一、项目基本情况</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ZMZB2022XHZ-192</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新能源汽车技术实验室采购项目</w:t>
      </w:r>
    </w:p>
    <w:p>
      <w:pPr>
        <w:spacing w:line="360" w:lineRule="auto"/>
        <w:ind w:firstLine="480" w:firstLineChars="200"/>
        <w:rPr>
          <w:rFonts w:ascii="宋体" w:hAnsi="宋体" w:cs="宋体"/>
          <w:sz w:val="24"/>
          <w:szCs w:val="24"/>
        </w:rPr>
      </w:pPr>
      <w:r>
        <w:rPr>
          <w:rFonts w:hint="eastAsia" w:ascii="宋体" w:hAnsi="宋体" w:cs="宋体"/>
          <w:sz w:val="24"/>
          <w:szCs w:val="24"/>
        </w:rPr>
        <w:t>采购方式：公开招标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000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00.00元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新能源汽车技术实验室采购项目</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000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00.00元</w:t>
      </w:r>
    </w:p>
    <w:p>
      <w:pPr>
        <w:spacing w:line="360" w:lineRule="auto"/>
        <w:ind w:firstLine="480" w:firstLineChars="200"/>
        <w:rPr>
          <w:rFonts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000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00.00元</w:t>
      </w:r>
    </w:p>
    <w:tbl>
      <w:tblPr>
        <w:tblStyle w:val="19"/>
        <w:tblW w:w="9859" w:type="dxa"/>
        <w:tblInd w:w="0" w:type="dxa"/>
        <w:tblLayout w:type="fixed"/>
        <w:tblCellMar>
          <w:top w:w="0" w:type="dxa"/>
          <w:left w:w="0" w:type="dxa"/>
          <w:bottom w:w="0" w:type="dxa"/>
          <w:right w:w="0" w:type="dxa"/>
        </w:tblCellMar>
      </w:tblPr>
      <w:tblGrid>
        <w:gridCol w:w="600"/>
        <w:gridCol w:w="1298"/>
        <w:gridCol w:w="1994"/>
        <w:gridCol w:w="1125"/>
        <w:gridCol w:w="1359"/>
        <w:gridCol w:w="1716"/>
        <w:gridCol w:w="1767"/>
      </w:tblGrid>
      <w:tr>
        <w:tblPrEx>
          <w:tblCellMar>
            <w:top w:w="0" w:type="dxa"/>
            <w:left w:w="0" w:type="dxa"/>
            <w:bottom w:w="0" w:type="dxa"/>
            <w:right w:w="0" w:type="dxa"/>
          </w:tblCellMar>
        </w:tblPrEx>
        <w:trPr>
          <w:trHeight w:val="1809" w:hRule="atLeast"/>
          <w:tblHeader/>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品目名称</w:t>
            </w:r>
          </w:p>
        </w:tc>
        <w:tc>
          <w:tcPr>
            <w:tcW w:w="19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采购标的</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3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技术规格、参数及要求</w:t>
            </w:r>
          </w:p>
        </w:tc>
        <w:tc>
          <w:tcPr>
            <w:tcW w:w="17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品目预算(元)</w:t>
            </w:r>
          </w:p>
        </w:tc>
        <w:tc>
          <w:tcPr>
            <w:tcW w:w="17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758" w:hRule="atLeast"/>
        </w:trPr>
        <w:tc>
          <w:tcPr>
            <w:tcW w:w="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1-1</w:t>
            </w:r>
          </w:p>
        </w:tc>
        <w:tc>
          <w:tcPr>
            <w:tcW w:w="12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ascii="宋体" w:hAnsi="宋体" w:cs="宋体"/>
                <w:sz w:val="24"/>
                <w:szCs w:val="24"/>
              </w:rPr>
              <w:t>教学专用仪器</w:t>
            </w:r>
          </w:p>
        </w:tc>
        <w:tc>
          <w:tcPr>
            <w:tcW w:w="19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ascii="宋体" w:hAnsi="宋体" w:cs="宋体"/>
                <w:sz w:val="24"/>
                <w:szCs w:val="24"/>
              </w:rPr>
              <w:t>教学设备</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1(批)</w:t>
            </w:r>
          </w:p>
        </w:tc>
        <w:tc>
          <w:tcPr>
            <w:tcW w:w="13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详见采购文件</w:t>
            </w:r>
          </w:p>
        </w:tc>
        <w:tc>
          <w:tcPr>
            <w:tcW w:w="17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000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00.00</w:t>
            </w:r>
          </w:p>
        </w:tc>
        <w:tc>
          <w:tcPr>
            <w:tcW w:w="17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000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00.00</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合同履行期限：自合同签订后</w:t>
      </w:r>
      <w:r>
        <w:rPr>
          <w:rFonts w:hint="eastAsia" w:ascii="宋体" w:hAnsi="宋体" w:cs="宋体"/>
          <w:sz w:val="24"/>
          <w:szCs w:val="24"/>
          <w:lang w:val="en-US" w:eastAsia="zh-CN"/>
        </w:rPr>
        <w:t>至</w:t>
      </w:r>
      <w:r>
        <w:rPr>
          <w:rFonts w:hint="eastAsia" w:ascii="宋体" w:hAnsi="宋体" w:cs="宋体"/>
          <w:sz w:val="24"/>
          <w:szCs w:val="24"/>
        </w:rPr>
        <w:t>该项目</w:t>
      </w:r>
      <w:r>
        <w:rPr>
          <w:rFonts w:hint="eastAsia" w:ascii="宋体" w:hAnsi="宋体" w:cs="宋体"/>
          <w:sz w:val="24"/>
          <w:szCs w:val="24"/>
          <w:lang w:val="en-US" w:eastAsia="zh-CN"/>
        </w:rPr>
        <w:t>服务期</w:t>
      </w:r>
      <w:r>
        <w:rPr>
          <w:rFonts w:hint="eastAsia" w:ascii="宋体" w:hAnsi="宋体" w:cs="宋体"/>
          <w:sz w:val="24"/>
          <w:szCs w:val="24"/>
        </w:rPr>
        <w:t>结束（具体服务起止日期可随合同签订时间相应顺延）</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1.满足《中华人民共和国政府釆购法》第二十二条规定；</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2.落实政府采购政策需满足的资格要求：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新能源汽车技术实验室采购项目</w:t>
      </w:r>
      <w:r>
        <w:rPr>
          <w:rFonts w:hint="eastAsia" w:ascii="宋体" w:hAnsi="宋体" w:cs="宋体"/>
          <w:sz w:val="24"/>
          <w:szCs w:val="24"/>
        </w:rPr>
        <w:t>)落实政府采购政策需满足的资格要求如下:</w:t>
      </w:r>
    </w:p>
    <w:p>
      <w:pPr>
        <w:spacing w:line="360" w:lineRule="auto"/>
        <w:rPr>
          <w:rFonts w:ascii="宋体" w:hAnsi="宋体" w:cs="宋体"/>
          <w:sz w:val="24"/>
          <w:szCs w:val="24"/>
        </w:rPr>
      </w:pPr>
      <w:r>
        <w:rPr>
          <w:rFonts w:hint="eastAsia" w:ascii="宋体" w:hAnsi="宋体" w:cs="宋体"/>
          <w:sz w:val="24"/>
          <w:szCs w:val="24"/>
        </w:rPr>
        <w:t>（1）《政府采购促进中小企业发展管理办法》（财库〔2020〕46号）； </w:t>
      </w:r>
      <w:r>
        <w:rPr>
          <w:rFonts w:hint="eastAsia" w:ascii="宋体" w:hAnsi="宋体" w:cs="宋体"/>
          <w:sz w:val="24"/>
          <w:szCs w:val="24"/>
        </w:rPr>
        <w:br w:type="textWrapping"/>
      </w:r>
      <w:r>
        <w:rPr>
          <w:rFonts w:hint="eastAsia" w:ascii="宋体" w:hAnsi="宋体" w:cs="宋体"/>
          <w:sz w:val="24"/>
          <w:szCs w:val="24"/>
        </w:rPr>
        <w:t>（2）《财政部 司法部关于政府采购支持监狱企业发展有关问题的通知》（财库〔2014〕68号）；</w:t>
      </w:r>
      <w:r>
        <w:rPr>
          <w:rFonts w:hint="eastAsia" w:ascii="宋体" w:hAnsi="宋体" w:cs="宋体"/>
          <w:sz w:val="24"/>
          <w:szCs w:val="24"/>
        </w:rPr>
        <w:br w:type="textWrapping"/>
      </w:r>
      <w:r>
        <w:rPr>
          <w:rFonts w:hint="eastAsia" w:ascii="宋体" w:hAnsi="宋体" w:cs="宋体"/>
          <w:sz w:val="24"/>
          <w:szCs w:val="24"/>
        </w:rPr>
        <w:t>（3）《国务院办公厅关于建立政府强制采购节能产品制度的通知》（国办发〔2007〕51号）；</w:t>
      </w:r>
      <w:r>
        <w:rPr>
          <w:rFonts w:hint="eastAsia" w:ascii="宋体" w:hAnsi="宋体" w:cs="宋体"/>
          <w:sz w:val="24"/>
          <w:szCs w:val="24"/>
        </w:rPr>
        <w:br w:type="textWrapping"/>
      </w:r>
      <w:r>
        <w:rPr>
          <w:rFonts w:hint="eastAsia" w:ascii="宋体" w:hAnsi="宋体" w:cs="宋体"/>
          <w:sz w:val="24"/>
          <w:szCs w:val="24"/>
        </w:rPr>
        <w:t>（4）《节能产品政府采购实施意见》（财库〔2004〕185号）；</w:t>
      </w:r>
      <w:r>
        <w:rPr>
          <w:rFonts w:hint="eastAsia" w:ascii="宋体" w:hAnsi="宋体" w:cs="宋体"/>
          <w:sz w:val="24"/>
          <w:szCs w:val="24"/>
        </w:rPr>
        <w:br w:type="textWrapping"/>
      </w:r>
      <w:r>
        <w:rPr>
          <w:rFonts w:hint="eastAsia" w:ascii="宋体" w:hAnsi="宋体" w:cs="宋体"/>
          <w:sz w:val="24"/>
          <w:szCs w:val="24"/>
        </w:rPr>
        <w:t>（5）《环境标志产品政府采购实施的意见》（财库〔2006〕90号）；</w:t>
      </w:r>
      <w:r>
        <w:rPr>
          <w:rFonts w:hint="eastAsia" w:ascii="宋体" w:hAnsi="宋体" w:cs="宋体"/>
          <w:sz w:val="24"/>
          <w:szCs w:val="24"/>
        </w:rPr>
        <w:br w:type="textWrapping"/>
      </w:r>
      <w:r>
        <w:rPr>
          <w:rFonts w:hint="eastAsia" w:ascii="宋体" w:hAnsi="宋体" w:cs="宋体"/>
          <w:sz w:val="24"/>
          <w:szCs w:val="24"/>
        </w:rPr>
        <w:t>（6）《三部门联合发布关于促进残疾人就业政府采购政策的通知》（财库〔2017〕141号）；</w:t>
      </w:r>
      <w:r>
        <w:rPr>
          <w:rFonts w:hint="eastAsia" w:ascii="宋体" w:hAnsi="宋体" w:cs="宋体"/>
          <w:sz w:val="24"/>
          <w:szCs w:val="24"/>
        </w:rPr>
        <w:br w:type="textWrapping"/>
      </w:r>
      <w:r>
        <w:rPr>
          <w:rFonts w:hint="eastAsia" w:ascii="宋体" w:hAnsi="宋体" w:cs="宋体"/>
          <w:sz w:val="24"/>
          <w:szCs w:val="24"/>
        </w:rPr>
        <w:t>（7）《财政部 发展改革委 生态环境部 市场监管总局关于调整优化节能产品、环境标志产品政府采购执行机制的通知》（财库〔2019〕9号）；</w:t>
      </w:r>
      <w:r>
        <w:rPr>
          <w:rFonts w:hint="eastAsia" w:ascii="宋体" w:hAnsi="宋体" w:cs="宋体"/>
          <w:sz w:val="24"/>
          <w:szCs w:val="24"/>
        </w:rPr>
        <w:br w:type="textWrapping"/>
      </w:r>
      <w:r>
        <w:rPr>
          <w:rFonts w:hint="eastAsia" w:ascii="宋体" w:hAnsi="宋体" w:cs="宋体"/>
          <w:sz w:val="24"/>
          <w:szCs w:val="24"/>
        </w:rPr>
        <w:t>（8）《财政部 农业农村部 国家乡村振兴局关于运用政府采购政策支持乡村产业振兴的通知》 （财库〔2021〕19号）；</w:t>
      </w:r>
    </w:p>
    <w:p>
      <w:pPr>
        <w:spacing w:line="360" w:lineRule="auto"/>
        <w:rPr>
          <w:rFonts w:ascii="宋体" w:hAnsi="宋体" w:cs="宋体"/>
          <w:sz w:val="24"/>
          <w:szCs w:val="24"/>
        </w:rPr>
      </w:pPr>
      <w:r>
        <w:rPr>
          <w:rFonts w:hint="eastAsia" w:ascii="宋体" w:hAnsi="宋体" w:cs="宋体"/>
          <w:sz w:val="24"/>
          <w:szCs w:val="24"/>
        </w:rPr>
        <w:t>（9）陕西省财政厅关于印发《陕西省中小企业政府采购信用融资办法》（陕财办采〔2018〕23号）。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szCs w:val="24"/>
        </w:rPr>
        <w:t>3.本项目的特定资格要求：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新能源汽车技术实验室采购项目</w:t>
      </w:r>
      <w:r>
        <w:rPr>
          <w:rFonts w:hint="eastAsia" w:ascii="宋体" w:hAnsi="宋体" w:cs="宋体"/>
          <w:sz w:val="24"/>
          <w:szCs w:val="24"/>
        </w:rPr>
        <w:t>)特定资格要求如下:</w:t>
      </w:r>
    </w:p>
    <w:p>
      <w:pPr>
        <w:numPr>
          <w:ilvl w:val="0"/>
          <w:numId w:val="1"/>
        </w:numPr>
        <w:spacing w:line="360" w:lineRule="auto"/>
        <w:rPr>
          <w:rFonts w:ascii="宋体" w:hAnsi="宋体" w:cs="宋体"/>
          <w:sz w:val="24"/>
          <w:szCs w:val="24"/>
        </w:rPr>
      </w:pP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cs="宋体"/>
          <w:sz w:val="24"/>
          <w:szCs w:val="24"/>
        </w:rPr>
        <w:br w:type="textWrapping"/>
      </w:r>
      <w:r>
        <w:rPr>
          <w:rFonts w:hint="eastAsia" w:ascii="宋体" w:hAnsi="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br w:type="textWrapping"/>
      </w:r>
      <w:r>
        <w:rPr>
          <w:rFonts w:hint="eastAsia" w:ascii="宋体" w:hAnsi="宋体" w:cs="宋体"/>
          <w:sz w:val="24"/>
          <w:szCs w:val="24"/>
        </w:rPr>
        <w:t>（3）税收缴纳证明：提供2021年9月以来至少一个月的纳税证明或完税证明，依法免税的单位应提供相关证明材料； </w:t>
      </w:r>
      <w:r>
        <w:rPr>
          <w:rFonts w:hint="eastAsia" w:ascii="宋体" w:hAnsi="宋体" w:cs="宋体"/>
          <w:sz w:val="24"/>
          <w:szCs w:val="24"/>
        </w:rPr>
        <w:br w:type="textWrapping"/>
      </w:r>
      <w:r>
        <w:rPr>
          <w:rFonts w:hint="eastAsia" w:ascii="宋体" w:hAnsi="宋体" w:cs="宋体"/>
          <w:sz w:val="24"/>
          <w:szCs w:val="24"/>
        </w:rPr>
        <w:t>（4）社会保障资金缴纳证明：提供2021年9月以来至少一个月的社会保障资金缴存单据或社保机构开具的社会保险参保缴费情况证明。依法不需要缴纳社会保障资金的供应商应提供相关文件证明；</w:t>
      </w:r>
      <w:r>
        <w:rPr>
          <w:rFonts w:hint="eastAsia" w:ascii="宋体" w:hAnsi="宋体" w:cs="宋体"/>
          <w:sz w:val="24"/>
          <w:szCs w:val="24"/>
        </w:rPr>
        <w:br w:type="textWrapping"/>
      </w:r>
      <w:r>
        <w:rPr>
          <w:rFonts w:hint="eastAsia" w:ascii="宋体" w:hAnsi="宋体" w:cs="宋体"/>
          <w:sz w:val="24"/>
          <w:szCs w:val="24"/>
        </w:rPr>
        <w:t>（5）具有履行合同所必需的设备和专业技术能力的书面声明；</w:t>
      </w:r>
    </w:p>
    <w:p>
      <w:pPr>
        <w:spacing w:line="360" w:lineRule="auto"/>
        <w:rPr>
          <w:rFonts w:ascii="宋体" w:hAnsi="宋体" w:cs="宋体"/>
          <w:sz w:val="24"/>
          <w:szCs w:val="24"/>
        </w:rPr>
      </w:pPr>
      <w:r>
        <w:rPr>
          <w:rFonts w:hint="eastAsia" w:ascii="宋体" w:hAnsi="宋体" w:cs="宋体"/>
          <w:sz w:val="24"/>
          <w:szCs w:val="24"/>
        </w:rPr>
        <w:t>（6）参加政府采购活动前3年内在经营活动中没有重大违法记录的书面声明；</w:t>
      </w:r>
      <w:r>
        <w:rPr>
          <w:rFonts w:hint="eastAsia" w:ascii="宋体" w:hAnsi="宋体" w:cs="宋体"/>
          <w:sz w:val="24"/>
          <w:szCs w:val="24"/>
        </w:rPr>
        <w:br w:type="textWrapping"/>
      </w:r>
      <w:r>
        <w:rPr>
          <w:rFonts w:hint="eastAsia" w:ascii="宋体" w:hAnsi="宋体" w:cs="宋体"/>
          <w:sz w:val="24"/>
          <w:szCs w:val="24"/>
        </w:rPr>
        <w:t>（7）非法定代表人参加投标的，须提供法定代表人委托授权书及被授权人身份证，法定代表人参加投标时,只须提供法定代表人身份证； </w:t>
      </w:r>
      <w:r>
        <w:rPr>
          <w:rFonts w:hint="eastAsia" w:ascii="宋体" w:hAnsi="宋体" w:cs="宋体"/>
          <w:sz w:val="24"/>
          <w:szCs w:val="24"/>
        </w:rPr>
        <w:br w:type="textWrapping"/>
      </w:r>
      <w:r>
        <w:rPr>
          <w:rFonts w:hint="eastAsia" w:ascii="宋体" w:hAnsi="宋体" w:cs="宋体"/>
          <w:sz w:val="24"/>
          <w:szCs w:val="24"/>
        </w:rPr>
        <w:t>（8）本项目不接受联合体投标。</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时间：2022年</w:t>
      </w:r>
      <w:r>
        <w:rPr>
          <w:rFonts w:hint="eastAsia" w:ascii="宋体" w:hAnsi="宋体" w:cs="宋体"/>
          <w:sz w:val="24"/>
          <w:szCs w:val="24"/>
          <w:u w:val="single"/>
          <w:lang w:val="en-US" w:eastAsia="zh-CN"/>
        </w:rPr>
        <w:t>7</w:t>
      </w:r>
      <w:r>
        <w:rPr>
          <w:rFonts w:hint="eastAsia" w:ascii="宋体" w:hAnsi="宋体" w:cs="宋体"/>
          <w:sz w:val="24"/>
          <w:szCs w:val="24"/>
        </w:rPr>
        <w:t>月</w:t>
      </w:r>
      <w:r>
        <w:rPr>
          <w:rFonts w:hint="eastAsia" w:ascii="宋体" w:hAnsi="宋体" w:cs="宋体"/>
          <w:sz w:val="24"/>
          <w:szCs w:val="24"/>
          <w:u w:val="single"/>
          <w:lang w:val="en-US" w:eastAsia="zh-CN"/>
        </w:rPr>
        <w:t>26</w:t>
      </w:r>
      <w:r>
        <w:rPr>
          <w:rFonts w:hint="eastAsia" w:ascii="宋体" w:hAnsi="宋体" w:cs="宋体"/>
          <w:sz w:val="24"/>
          <w:szCs w:val="24"/>
        </w:rPr>
        <w:t>日至2022年</w:t>
      </w:r>
      <w:r>
        <w:rPr>
          <w:rFonts w:hint="eastAsia" w:ascii="宋体" w:hAnsi="宋体" w:cs="宋体"/>
          <w:sz w:val="24"/>
          <w:szCs w:val="24"/>
          <w:u w:val="single"/>
          <w:lang w:val="en-US" w:eastAsia="zh-CN"/>
        </w:rPr>
        <w:t>8</w:t>
      </w:r>
      <w:r>
        <w:rPr>
          <w:rFonts w:hint="eastAsia" w:ascii="宋体" w:hAnsi="宋体" w:cs="宋体"/>
          <w:sz w:val="24"/>
          <w:szCs w:val="24"/>
        </w:rPr>
        <w:t>月</w:t>
      </w:r>
      <w:r>
        <w:rPr>
          <w:rFonts w:hint="eastAsia" w:ascii="宋体" w:hAnsi="宋体" w:cs="宋体"/>
          <w:sz w:val="24"/>
          <w:szCs w:val="24"/>
          <w:u w:val="single"/>
          <w:lang w:val="en-US" w:eastAsia="zh-CN"/>
        </w:rPr>
        <w:t xml:space="preserve"> 2</w:t>
      </w:r>
      <w:r>
        <w:rPr>
          <w:rFonts w:hint="eastAsia" w:ascii="宋体" w:hAnsi="宋体" w:cs="宋体"/>
          <w:sz w:val="24"/>
          <w:szCs w:val="24"/>
        </w:rPr>
        <w:t>日，每天上午09:00:00至12:00:00，下午13:30:00至17:00:00（北京时间,法定节假日除外）</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方式：现场获取</w:t>
      </w:r>
    </w:p>
    <w:p>
      <w:pPr>
        <w:spacing w:line="360" w:lineRule="auto"/>
        <w:ind w:firstLine="480" w:firstLineChars="200"/>
        <w:rPr>
          <w:rFonts w:ascii="宋体" w:hAnsi="宋体" w:cs="宋体"/>
          <w:sz w:val="24"/>
          <w:szCs w:val="24"/>
        </w:rPr>
      </w:pPr>
      <w:r>
        <w:rPr>
          <w:rFonts w:hint="eastAsia" w:ascii="宋体" w:hAnsi="宋体" w:cs="宋体"/>
          <w:sz w:val="24"/>
          <w:szCs w:val="24"/>
        </w:rPr>
        <w:t>售价：500元</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四、提交投标文件截止时间、开标时间和地点</w:t>
      </w:r>
    </w:p>
    <w:p>
      <w:pPr>
        <w:spacing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u w:val="single"/>
          <w:lang w:val="en-US" w:eastAsia="zh-CN"/>
        </w:rPr>
        <w:t xml:space="preserve"> 8</w:t>
      </w:r>
      <w:r>
        <w:rPr>
          <w:rFonts w:hint="eastAsia" w:ascii="宋体" w:hAnsi="宋体" w:cs="宋体"/>
          <w:sz w:val="24"/>
          <w:szCs w:val="24"/>
        </w:rPr>
        <w:t>月</w:t>
      </w:r>
      <w:r>
        <w:rPr>
          <w:rFonts w:hint="eastAsia" w:ascii="宋体" w:hAnsi="宋体" w:cs="宋体"/>
          <w:sz w:val="24"/>
          <w:szCs w:val="24"/>
          <w:u w:val="single"/>
          <w:lang w:val="en-US" w:eastAsia="zh-CN"/>
        </w:rPr>
        <w:t xml:space="preserve"> 17</w:t>
      </w:r>
      <w:r>
        <w:rPr>
          <w:rFonts w:hint="eastAsia" w:ascii="宋体" w:hAnsi="宋体" w:cs="宋体"/>
          <w:sz w:val="24"/>
          <w:szCs w:val="24"/>
        </w:rPr>
        <w:t xml:space="preserve">日 </w:t>
      </w:r>
      <w:r>
        <w:rPr>
          <w:rFonts w:hint="eastAsia" w:ascii="宋体" w:hAnsi="宋体" w:cs="宋体"/>
          <w:sz w:val="24"/>
          <w:szCs w:val="24"/>
          <w:u w:val="single"/>
          <w:lang w:val="en-US" w:eastAsia="zh-CN"/>
        </w:rPr>
        <w:t>10</w:t>
      </w:r>
      <w:r>
        <w:rPr>
          <w:rFonts w:hint="eastAsia" w:ascii="宋体" w:hAnsi="宋体" w:cs="宋体"/>
          <w:sz w:val="24"/>
          <w:szCs w:val="24"/>
        </w:rPr>
        <w:t>时</w:t>
      </w:r>
      <w:r>
        <w:rPr>
          <w:rFonts w:hint="eastAsia" w:ascii="宋体" w:hAnsi="宋体" w:cs="宋体"/>
          <w:sz w:val="24"/>
          <w:szCs w:val="24"/>
          <w:u w:val="single"/>
          <w:lang w:val="en-US" w:eastAsia="zh-CN"/>
        </w:rPr>
        <w:t>00</w:t>
      </w:r>
      <w:r>
        <w:rPr>
          <w:rFonts w:hint="eastAsia" w:ascii="宋体" w:hAnsi="宋体" w:cs="宋体"/>
          <w:sz w:val="24"/>
          <w:szCs w:val="24"/>
        </w:rPr>
        <w:t>分</w:t>
      </w:r>
      <w:r>
        <w:rPr>
          <w:rFonts w:hint="eastAsia" w:ascii="宋体" w:hAnsi="宋体" w:cs="宋体"/>
          <w:sz w:val="24"/>
          <w:szCs w:val="24"/>
          <w:u w:val="single"/>
          <w:lang w:val="en-US" w:eastAsia="zh-CN"/>
        </w:rPr>
        <w:t>00</w:t>
      </w:r>
      <w:r>
        <w:rPr>
          <w:rFonts w:hint="eastAsia" w:ascii="宋体" w:hAnsi="宋体" w:cs="宋体"/>
          <w:sz w:val="24"/>
          <w:szCs w:val="24"/>
        </w:rPr>
        <w:t>秒 （北京时间）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地点：西安市雁塔区科技路10号华奥大厦A座20层2002室开标室</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五、公告期限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自本公告发布之日起5个工作日。</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六、其他补充事宜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本项目开标地点：西安市雁塔区科技路10号华奥大厦A座20层2002室开标室</w:t>
      </w:r>
    </w:p>
    <w:p>
      <w:pPr>
        <w:spacing w:line="360" w:lineRule="auto"/>
        <w:ind w:firstLine="480" w:firstLineChars="200"/>
        <w:rPr>
          <w:rFonts w:ascii="宋体" w:hAnsi="宋体" w:cs="宋体"/>
          <w:sz w:val="24"/>
          <w:szCs w:val="24"/>
        </w:rPr>
      </w:pPr>
      <w:r>
        <w:rPr>
          <w:rFonts w:hint="eastAsia" w:ascii="宋体" w:hAnsi="宋体" w:cs="宋体"/>
          <w:sz w:val="24"/>
          <w:szCs w:val="24"/>
        </w:rPr>
        <w:t>（1）现场购买公开招标文件时请提供单位介绍信原件、身份证原件及复印件加盖公章；网上购买请提前电话咨询后，提供单位介绍信、身份证复印件加盖公章扫描件发送至shanxizhuoming_zb@163.com邮箱（邮件标题命名格式为“供应商名称+联系人+联系电话+项目名称”），标书费现金或银行转账支付。</w:t>
      </w:r>
    </w:p>
    <w:p>
      <w:pPr>
        <w:spacing w:line="360" w:lineRule="auto"/>
        <w:ind w:firstLine="480" w:firstLineChars="200"/>
        <w:rPr>
          <w:rFonts w:ascii="宋体" w:hAnsi="宋体" w:cs="宋体"/>
          <w:sz w:val="24"/>
          <w:szCs w:val="24"/>
        </w:rPr>
      </w:pPr>
      <w:r>
        <w:rPr>
          <w:rFonts w:hint="eastAsia" w:ascii="宋体" w:hAnsi="宋体" w:cs="宋体"/>
          <w:sz w:val="24"/>
          <w:szCs w:val="24"/>
        </w:rPr>
        <w:t>（2）请供应商按照陕西省财政厅关于政府采购供应商注册登记有关事项的通知中的要求，通过陕西省政府采购网（http://www.ccgp-shaanxi.gov.cn/）注册登记加入陕西省政府采购供应商库。</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1.釆购人信息</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西安航空职业技术学院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地址：西安市阎良区迎宾大道500号</w:t>
      </w:r>
    </w:p>
    <w:p>
      <w:pPr>
        <w:spacing w:line="360" w:lineRule="auto"/>
        <w:ind w:firstLine="480" w:firstLineChars="200"/>
        <w:rPr>
          <w:rFonts w:ascii="宋体" w:hAnsi="宋体" w:cs="宋体"/>
          <w:sz w:val="24"/>
          <w:szCs w:val="24"/>
          <w:highlight w:val="yellow"/>
        </w:rPr>
      </w:pPr>
      <w:r>
        <w:rPr>
          <w:rFonts w:hint="eastAsia" w:ascii="宋体" w:hAnsi="宋体" w:cs="宋体"/>
          <w:sz w:val="24"/>
          <w:szCs w:val="24"/>
        </w:rPr>
        <w:t xml:space="preserve">联系方式：于老师    029-86852376           </w:t>
      </w:r>
    </w:p>
    <w:p>
      <w:pPr>
        <w:spacing w:line="360" w:lineRule="auto"/>
        <w:ind w:firstLine="480" w:firstLineChars="200"/>
        <w:rPr>
          <w:rFonts w:ascii="宋体" w:hAnsi="宋体" w:cs="宋体"/>
          <w:sz w:val="24"/>
          <w:szCs w:val="24"/>
        </w:rPr>
      </w:pPr>
      <w:r>
        <w:rPr>
          <w:rFonts w:hint="eastAsia" w:ascii="宋体" w:hAnsi="宋体" w:cs="宋体"/>
          <w:sz w:val="24"/>
          <w:szCs w:val="24"/>
        </w:rPr>
        <w:t>2.釆购代理机构信息</w:t>
      </w:r>
    </w:p>
    <w:p>
      <w:pPr>
        <w:spacing w:line="360" w:lineRule="auto"/>
        <w:ind w:firstLine="480" w:firstLineChars="200"/>
        <w:rPr>
          <w:rFonts w:ascii="宋体" w:hAnsi="宋体" w:cs="宋体"/>
          <w:sz w:val="24"/>
          <w:szCs w:val="24"/>
        </w:rPr>
      </w:pPr>
      <w:r>
        <w:rPr>
          <w:rFonts w:hint="eastAsia" w:ascii="宋体" w:hAnsi="宋体" w:cs="宋体"/>
          <w:sz w:val="24"/>
          <w:szCs w:val="24"/>
        </w:rPr>
        <w:t>名称：陕西卓佲项目管理有限公司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联系方式：029-88440695</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项目联系人：董菊莉</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eastAsia="zh-CN"/>
        </w:rPr>
        <w:t>魏萌</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电话：029-88440695</w:t>
      </w: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p>
    <w:p>
      <w:pPr>
        <w:spacing w:line="360" w:lineRule="auto"/>
        <w:jc w:val="right"/>
        <w:rPr>
          <w:rFonts w:ascii="宋体" w:hAnsi="宋体" w:cs="宋体"/>
          <w:sz w:val="24"/>
          <w:szCs w:val="24"/>
        </w:rPr>
      </w:pPr>
      <w:r>
        <w:rPr>
          <w:rFonts w:hint="eastAsia" w:ascii="宋体" w:hAnsi="宋体" w:cs="宋体"/>
          <w:sz w:val="24"/>
          <w:szCs w:val="24"/>
        </w:rPr>
        <w:t>陕西卓佲项目管理有限公司</w:t>
      </w:r>
    </w:p>
    <w:p>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2022年</w:t>
      </w:r>
      <w:r>
        <w:rPr>
          <w:rFonts w:hint="eastAsia" w:ascii="宋体" w:hAnsi="宋体" w:cs="宋体"/>
          <w:sz w:val="24"/>
          <w:szCs w:val="24"/>
          <w:u w:val="single"/>
          <w:lang w:val="en-US" w:eastAsia="zh-CN"/>
        </w:rPr>
        <w:t>7</w:t>
      </w:r>
      <w:r>
        <w:rPr>
          <w:rFonts w:hint="eastAsia" w:ascii="宋体" w:hAnsi="宋体" w:cs="宋体"/>
          <w:sz w:val="24"/>
          <w:szCs w:val="24"/>
        </w:rPr>
        <w:t>月</w:t>
      </w:r>
      <w:r>
        <w:rPr>
          <w:rFonts w:hint="eastAsia" w:ascii="宋体" w:hAnsi="宋体" w:cs="宋体"/>
          <w:sz w:val="24"/>
          <w:szCs w:val="24"/>
          <w:u w:val="single"/>
          <w:lang w:val="en-US" w:eastAsia="zh-CN"/>
        </w:rPr>
        <w:t xml:space="preserve"> 26</w:t>
      </w:r>
      <w:r>
        <w:rPr>
          <w:rFonts w:hint="eastAsia" w:ascii="宋体" w:hAnsi="宋体" w:cs="宋体"/>
          <w:sz w:val="24"/>
          <w:szCs w:val="24"/>
        </w:rPr>
        <w:t>日</w:t>
      </w:r>
    </w:p>
    <w:p>
      <w:pPr>
        <w:spacing w:line="360" w:lineRule="auto"/>
        <w:jc w:val="right"/>
        <w:rPr>
          <w:rFonts w:ascii="宋体" w:hAnsi="宋体" w:cs="宋体"/>
          <w:sz w:val="24"/>
          <w:szCs w:val="24"/>
        </w:rPr>
      </w:pPr>
    </w:p>
    <w:p>
      <w:pPr>
        <w:pStyle w:val="2"/>
        <w:keepLines w:val="0"/>
        <w:ind w:firstLine="562" w:firstLineChars="175"/>
        <w:rPr>
          <w:rFonts w:ascii="宋体" w:hAnsi="宋体" w:cs="宋体"/>
        </w:rPr>
        <w:sectPr>
          <w:footerReference r:id="rId8" w:type="default"/>
          <w:pgSz w:w="11906" w:h="16838"/>
          <w:pgMar w:top="1440" w:right="1486" w:bottom="1440" w:left="1800" w:header="851" w:footer="992" w:gutter="0"/>
          <w:pgNumType w:fmt="decimal" w:start="1"/>
          <w:cols w:space="720" w:num="1"/>
          <w:docGrid w:type="lines" w:linePitch="312" w:charSpace="0"/>
        </w:sectPr>
      </w:pPr>
    </w:p>
    <w:p>
      <w:pPr>
        <w:pStyle w:val="2"/>
        <w:spacing w:before="312" w:beforeLines="100" w:after="156" w:afterLines="50" w:line="600" w:lineRule="exact"/>
        <w:rPr>
          <w:rFonts w:ascii="宋体" w:hAnsi="宋体" w:cs="宋体"/>
          <w:sz w:val="36"/>
          <w:szCs w:val="36"/>
        </w:rPr>
      </w:pPr>
      <w:bookmarkStart w:id="4" w:name="_Toc31006"/>
      <w:bookmarkStart w:id="5" w:name="_Toc26705"/>
      <w:bookmarkStart w:id="6" w:name="_Toc438048787"/>
      <w:bookmarkStart w:id="7" w:name="_Toc30089"/>
      <w:r>
        <w:rPr>
          <w:rFonts w:hint="eastAsia" w:ascii="宋体" w:hAnsi="宋体" w:cs="宋体"/>
          <w:sz w:val="36"/>
          <w:szCs w:val="36"/>
        </w:rPr>
        <w:t>第二部分  供应商须知前附表</w:t>
      </w:r>
      <w:bookmarkEnd w:id="4"/>
      <w:bookmarkEnd w:id="5"/>
      <w:bookmarkEnd w:id="6"/>
      <w:bookmarkEnd w:id="7"/>
    </w:p>
    <w:tbl>
      <w:tblPr>
        <w:tblStyle w:val="19"/>
        <w:tblpPr w:leftFromText="180" w:rightFromText="180" w:vertAnchor="text" w:horzAnchor="page" w:tblpX="1509" w:tblpY="309"/>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noWrap w:val="0"/>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noWrap w:val="0"/>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noWrap w:val="0"/>
            <w:vAlign w:val="top"/>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noWrap w:val="0"/>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219" w:type="dxa"/>
            <w:noWrap w:val="0"/>
            <w:vAlign w:val="top"/>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numPr>
                <w:ilvl w:val="0"/>
                <w:numId w:val="2"/>
              </w:numPr>
              <w:spacing w:line="360" w:lineRule="auto"/>
              <w:rPr>
                <w:rFonts w:ascii="宋体" w:hAnsi="宋体" w:cs="宋体"/>
                <w:sz w:val="24"/>
                <w:szCs w:val="24"/>
              </w:rPr>
            </w:pPr>
            <w:r>
              <w:rPr>
                <w:rFonts w:hint="eastAsia" w:ascii="宋体" w:hAnsi="宋体" w:cs="宋体"/>
                <w:sz w:val="24"/>
                <w:szCs w:val="24"/>
              </w:rPr>
              <w:t>特定资格条件：</w:t>
            </w:r>
          </w:p>
          <w:p>
            <w:pPr>
              <w:numPr>
                <w:ilvl w:val="0"/>
                <w:numId w:val="3"/>
              </w:numPr>
              <w:spacing w:line="360" w:lineRule="auto"/>
              <w:rPr>
                <w:rFonts w:ascii="宋体" w:hAnsi="宋体" w:cs="宋体"/>
                <w:sz w:val="24"/>
                <w:szCs w:val="24"/>
              </w:rPr>
            </w:pPr>
            <w:r>
              <w:rPr>
                <w:rFonts w:hint="eastAsia" w:ascii="宋体" w:hAnsi="宋体" w:cs="宋体"/>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cs="宋体"/>
                <w:sz w:val="24"/>
                <w:szCs w:val="24"/>
              </w:rPr>
              <w:br w:type="textWrapping"/>
            </w:r>
            <w:r>
              <w:rPr>
                <w:rFonts w:hint="eastAsia" w:ascii="宋体" w:hAnsi="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sz w:val="24"/>
                <w:szCs w:val="24"/>
              </w:rPr>
              <w:br w:type="textWrapping"/>
            </w:r>
            <w:r>
              <w:rPr>
                <w:rFonts w:hint="eastAsia" w:ascii="宋体" w:hAnsi="宋体" w:cs="宋体"/>
                <w:sz w:val="24"/>
                <w:szCs w:val="24"/>
              </w:rPr>
              <w:t>（3）税收缴纳证明：提供2021年9月以来至少一个月的纳税证明或完税证明，依法免税的单位应提供相关证明材料； </w:t>
            </w:r>
            <w:r>
              <w:rPr>
                <w:rFonts w:hint="eastAsia" w:ascii="宋体" w:hAnsi="宋体" w:cs="宋体"/>
                <w:sz w:val="24"/>
                <w:szCs w:val="24"/>
              </w:rPr>
              <w:br w:type="textWrapping"/>
            </w:r>
            <w:r>
              <w:rPr>
                <w:rFonts w:hint="eastAsia" w:ascii="宋体" w:hAnsi="宋体" w:cs="宋体"/>
                <w:sz w:val="24"/>
                <w:szCs w:val="24"/>
              </w:rPr>
              <w:t>（4）社会保障资金缴纳证明：提供2021年9月以来至少一个月的社会保障资金缴存单据或社保机构开具的社会保险参保缴费情况证明。依法不需要缴纳社会保障资金的供应商应提供相关文件证明；</w:t>
            </w:r>
          </w:p>
          <w:p>
            <w:pPr>
              <w:spacing w:line="360" w:lineRule="auto"/>
              <w:rPr>
                <w:rFonts w:ascii="宋体" w:hAnsi="宋体" w:cs="宋体"/>
                <w:sz w:val="24"/>
                <w:szCs w:val="24"/>
              </w:rPr>
            </w:pPr>
            <w:r>
              <w:rPr>
                <w:rFonts w:hint="eastAsia" w:ascii="宋体" w:hAnsi="宋体" w:cs="宋体"/>
                <w:sz w:val="24"/>
                <w:szCs w:val="24"/>
              </w:rPr>
              <w:t>（5）具有履行合同所必需的设备和专业技术能力的书面声明；</w:t>
            </w:r>
            <w:r>
              <w:rPr>
                <w:rFonts w:hint="eastAsia" w:ascii="宋体" w:hAnsi="宋体" w:cs="宋体"/>
                <w:sz w:val="24"/>
                <w:szCs w:val="24"/>
              </w:rPr>
              <w:br w:type="textWrapping"/>
            </w:r>
            <w:r>
              <w:rPr>
                <w:rFonts w:hint="eastAsia" w:ascii="宋体" w:hAnsi="宋体" w:cs="宋体"/>
                <w:sz w:val="24"/>
                <w:szCs w:val="24"/>
              </w:rPr>
              <w:t>（6）参加政府采购活动前3年内在经营活动中没有重大违法记录的书面声明；</w:t>
            </w:r>
            <w:r>
              <w:rPr>
                <w:rFonts w:hint="eastAsia" w:ascii="宋体" w:hAnsi="宋体" w:cs="宋体"/>
                <w:sz w:val="24"/>
                <w:szCs w:val="24"/>
              </w:rPr>
              <w:br w:type="textWrapping"/>
            </w:r>
            <w:r>
              <w:rPr>
                <w:rFonts w:hint="eastAsia" w:ascii="宋体" w:hAnsi="宋体" w:cs="宋体"/>
                <w:sz w:val="24"/>
                <w:szCs w:val="24"/>
              </w:rPr>
              <w:t>（7）非法定代表人参加投标的，须提供法定代表人委托授权书及被授权人身份证，法定代表人参加投标时,只须提供法定代表人身份证； </w:t>
            </w:r>
            <w:r>
              <w:rPr>
                <w:rFonts w:hint="eastAsia" w:ascii="宋体" w:hAnsi="宋体" w:cs="宋体"/>
                <w:sz w:val="24"/>
                <w:szCs w:val="24"/>
              </w:rPr>
              <w:br w:type="textWrapping"/>
            </w:r>
            <w:r>
              <w:rPr>
                <w:rFonts w:hint="eastAsia" w:ascii="宋体" w:hAnsi="宋体" w:cs="宋体"/>
                <w:sz w:val="24"/>
                <w:szCs w:val="24"/>
              </w:rPr>
              <w:t>（8）本项目不接受联合体投标。</w:t>
            </w:r>
          </w:p>
          <w:p>
            <w:pPr>
              <w:spacing w:line="360" w:lineRule="auto"/>
              <w:ind w:firstLine="422" w:firstLineChars="175"/>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noWrap w:val="0"/>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219" w:type="dxa"/>
            <w:noWrap w:val="0"/>
            <w:vAlign w:val="top"/>
          </w:tcPr>
          <w:p>
            <w:pPr>
              <w:pStyle w:val="12"/>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pPr>
              <w:numPr>
                <w:ilvl w:val="0"/>
                <w:numId w:val="4"/>
              </w:numPr>
              <w:spacing w:line="360" w:lineRule="auto"/>
              <w:ind w:firstLine="0"/>
              <w:rPr>
                <w:rFonts w:ascii="宋体" w:hAnsi="宋体" w:cs="宋体"/>
                <w:sz w:val="24"/>
                <w:szCs w:val="24"/>
              </w:rPr>
            </w:pPr>
            <w:r>
              <w:rPr>
                <w:rFonts w:hint="eastAsia" w:ascii="宋体" w:hAnsi="宋体" w:cs="宋体"/>
                <w:sz w:val="24"/>
                <w:szCs w:val="24"/>
              </w:rPr>
              <w:t xml:space="preserve">投标报价超过采购预算或者最高限价； </w:t>
            </w:r>
          </w:p>
          <w:p>
            <w:pPr>
              <w:numPr>
                <w:ilvl w:val="0"/>
                <w:numId w:val="4"/>
              </w:numPr>
              <w:spacing w:line="360" w:lineRule="auto"/>
              <w:ind w:firstLine="0"/>
              <w:rPr>
                <w:rFonts w:ascii="宋体" w:hAnsi="宋体" w:cs="宋体"/>
                <w:sz w:val="24"/>
                <w:szCs w:val="24"/>
              </w:rPr>
            </w:pPr>
            <w:r>
              <w:rPr>
                <w:rFonts w:hint="eastAsia" w:ascii="宋体" w:hAnsi="宋体" w:cs="宋体"/>
                <w:sz w:val="24"/>
                <w:szCs w:val="24"/>
              </w:rPr>
              <w:t>投标文件的</w:t>
            </w:r>
            <w:r>
              <w:rPr>
                <w:rFonts w:hint="eastAsia" w:ascii="宋体" w:hAnsi="宋体" w:cs="宋体"/>
                <w:sz w:val="24"/>
                <w:szCs w:val="24"/>
                <w:lang w:eastAsia="zh-CN"/>
              </w:rPr>
              <w:t>供货</w:t>
            </w:r>
            <w:r>
              <w:rPr>
                <w:rFonts w:hint="eastAsia" w:ascii="宋体" w:hAnsi="宋体" w:cs="宋体"/>
                <w:sz w:val="24"/>
                <w:szCs w:val="24"/>
              </w:rPr>
              <w:t>期不满足招标文件要求；</w:t>
            </w:r>
          </w:p>
          <w:p>
            <w:pPr>
              <w:numPr>
                <w:ilvl w:val="0"/>
                <w:numId w:val="4"/>
              </w:numPr>
              <w:spacing w:line="360" w:lineRule="auto"/>
              <w:ind w:firstLine="0"/>
              <w:rPr>
                <w:rFonts w:ascii="宋体" w:hAnsi="宋体" w:cs="宋体"/>
                <w:sz w:val="24"/>
                <w:szCs w:val="24"/>
              </w:rPr>
            </w:pPr>
            <w:r>
              <w:rPr>
                <w:rFonts w:hint="eastAsia" w:ascii="宋体" w:hAnsi="宋体" w:cs="宋体"/>
                <w:sz w:val="24"/>
                <w:szCs w:val="24"/>
              </w:rPr>
              <w:t>投标文件的质保期不满足招标文件要求；</w:t>
            </w:r>
          </w:p>
          <w:p>
            <w:pPr>
              <w:spacing w:line="360" w:lineRule="auto"/>
              <w:rPr>
                <w:rFonts w:ascii="宋体" w:hAnsi="宋体" w:cs="宋体"/>
                <w:sz w:val="24"/>
                <w:szCs w:val="24"/>
              </w:rPr>
            </w:pPr>
            <w:r>
              <w:rPr>
                <w:rFonts w:hint="eastAsia" w:ascii="宋体" w:hAnsi="宋体" w:cs="宋体"/>
                <w:sz w:val="24"/>
                <w:szCs w:val="24"/>
              </w:rPr>
              <w:t>（4）投标文件的数量、签署、盖章、装订不符合招标文件要求；</w:t>
            </w:r>
          </w:p>
          <w:p>
            <w:pPr>
              <w:spacing w:line="360" w:lineRule="auto"/>
              <w:rPr>
                <w:rFonts w:ascii="宋体" w:hAnsi="宋体" w:cs="宋体"/>
                <w:sz w:val="24"/>
                <w:szCs w:val="24"/>
              </w:rPr>
            </w:pPr>
            <w:r>
              <w:rPr>
                <w:rFonts w:hint="eastAsia" w:ascii="宋体" w:hAnsi="宋体" w:cs="宋体"/>
                <w:sz w:val="24"/>
                <w:szCs w:val="24"/>
              </w:rPr>
              <w:t>（5）投标文件无投标有效期或有效期达不到招标文件要求的；</w:t>
            </w:r>
          </w:p>
          <w:p>
            <w:pPr>
              <w:spacing w:line="360" w:lineRule="auto"/>
              <w:rPr>
                <w:rFonts w:ascii="宋体" w:hAnsi="宋体" w:cs="宋体"/>
                <w:sz w:val="24"/>
                <w:szCs w:val="24"/>
              </w:rPr>
            </w:pPr>
            <w:r>
              <w:rPr>
                <w:rFonts w:hint="eastAsia" w:ascii="宋体" w:hAnsi="宋体" w:cs="宋体"/>
                <w:sz w:val="24"/>
                <w:szCs w:val="24"/>
              </w:rPr>
              <w:t>（6）供应商未按照招标文件要求缴纳投标保证金或投标保证金缴纳金额少于招标文件要求的；</w:t>
            </w:r>
          </w:p>
          <w:p>
            <w:pPr>
              <w:spacing w:line="360" w:lineRule="auto"/>
              <w:rPr>
                <w:rFonts w:ascii="宋体" w:hAnsi="宋体" w:cs="宋体"/>
                <w:sz w:val="24"/>
                <w:szCs w:val="24"/>
              </w:rPr>
            </w:pPr>
            <w:r>
              <w:rPr>
                <w:rFonts w:hint="eastAsia" w:ascii="宋体" w:hAnsi="宋体" w:cs="宋体"/>
                <w:sz w:val="24"/>
                <w:szCs w:val="24"/>
              </w:rPr>
              <w:t>（7）供应商针对同一项目递交两份或多份内容不同的投标文件，未书面声明哪一份是有效的或出现选择性报价的；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（8）投标文件的标的数量不满足采购要求的；</w:t>
            </w:r>
          </w:p>
          <w:p>
            <w:pPr>
              <w:spacing w:line="360" w:lineRule="auto"/>
              <w:rPr>
                <w:rFonts w:ascii="宋体" w:hAnsi="宋体" w:cs="宋体"/>
                <w:sz w:val="24"/>
                <w:szCs w:val="24"/>
              </w:rPr>
            </w:pPr>
            <w:r>
              <w:rPr>
                <w:rFonts w:hint="eastAsia" w:ascii="宋体" w:hAnsi="宋体" w:cs="宋体"/>
                <w:sz w:val="24"/>
                <w:szCs w:val="24"/>
              </w:rPr>
              <w:t>（9）投标文件含有采购人不能接受的附加条件的；</w:t>
            </w:r>
          </w:p>
          <w:p>
            <w:pPr>
              <w:spacing w:line="360" w:lineRule="auto"/>
              <w:rPr>
                <w:rFonts w:ascii="宋体" w:hAnsi="宋体" w:cs="宋体"/>
                <w:b/>
                <w:bCs/>
                <w:sz w:val="24"/>
                <w:szCs w:val="24"/>
              </w:rPr>
            </w:pPr>
            <w:r>
              <w:rPr>
                <w:rFonts w:hint="eastAsia" w:ascii="宋体" w:hAnsi="宋体" w:cs="宋体"/>
                <w:b/>
                <w:bCs/>
                <w:sz w:val="24"/>
                <w:szCs w:val="24"/>
              </w:rPr>
              <w:t>（10）</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（11）法律、法规和招标文件规定的其他无效情形。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505" w:type="dxa"/>
            <w:noWrap w:val="0"/>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219" w:type="dxa"/>
            <w:noWrap w:val="0"/>
            <w:vAlign w:val="top"/>
          </w:tcPr>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供货期：</w:t>
            </w:r>
            <w:r>
              <w:rPr>
                <w:rFonts w:hint="eastAsia" w:ascii="宋体" w:hAnsi="宋体" w:cs="宋体"/>
                <w:sz w:val="24"/>
                <w:szCs w:val="24"/>
                <w:lang w:val="en-US" w:eastAsia="zh-CN"/>
              </w:rPr>
              <w:t>40</w:t>
            </w:r>
            <w:r>
              <w:rPr>
                <w:rFonts w:hint="eastAsia" w:ascii="宋体" w:hAnsi="宋体" w:cs="宋体"/>
                <w:sz w:val="24"/>
                <w:szCs w:val="24"/>
              </w:rPr>
              <w:t>日历日。</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质保期：12个月，质保期自验收合格之日起算。</w:t>
            </w:r>
          </w:p>
          <w:p>
            <w:pPr>
              <w:spacing w:line="360" w:lineRule="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.质保要求：设备在安装后12个月内若出现质量为题，免费提供设备更换和维修，之后设备出现问题，提供维修服务。</w:t>
            </w:r>
          </w:p>
          <w:p>
            <w:pPr>
              <w:spacing w:line="360" w:lineRule="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付款方式：学校组织验收合格后支付合同价款的95%，其余5%于质保期满一年后，双方无异议，一次性无息支付。合同中含工程部分，价款在1万元（含）以上的，工程部分经学校审计处审计后，按照审计价计入合同价款支付。（本付款方式之外的支付方式，需经学校计划财务处审核）</w:t>
            </w:r>
          </w:p>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sz w:val="24"/>
                <w:szCs w:val="24"/>
              </w:rPr>
              <w:t>.培训需求：设备安装之后，免费为所有专业教学老师提供设备使用和维护培训。</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6.履约保证金：供应商中标后须向学校交纳履约保证金，履约保证金数量为中标金额的</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p>
          <w:p>
            <w:pPr>
              <w:spacing w:line="360" w:lineRule="auto"/>
            </w:pPr>
            <w:r>
              <w:rPr>
                <w:rFonts w:hint="eastAsia" w:ascii="宋体" w:hAnsi="宋体" w:cs="宋体"/>
                <w:b/>
                <w:bCs/>
                <w:sz w:val="24"/>
                <w:szCs w:val="24"/>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noWrap w:val="0"/>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noWrap w:val="0"/>
            <w:vAlign w:val="top"/>
          </w:tcPr>
          <w:p>
            <w:pPr>
              <w:pStyle w:val="6"/>
              <w:spacing w:line="360" w:lineRule="auto"/>
              <w:ind w:firstLine="0"/>
              <w:jc w:val="left"/>
              <w:rPr>
                <w:rFonts w:ascii="宋体" w:hAnsi="宋体" w:cs="宋体"/>
                <w:b/>
                <w:bCs/>
                <w:sz w:val="24"/>
                <w:szCs w:val="24"/>
              </w:rPr>
            </w:pPr>
            <w:r>
              <w:rPr>
                <w:rFonts w:hint="eastAsia" w:ascii="宋体" w:hAnsi="宋体" w:cs="宋体"/>
                <w:b/>
                <w:bCs/>
                <w:sz w:val="24"/>
                <w:szCs w:val="24"/>
              </w:rPr>
              <w:t>1、保证金的缴纳：人民币</w:t>
            </w:r>
            <w:r>
              <w:rPr>
                <w:rFonts w:hint="eastAsia" w:ascii="宋体" w:hAnsi="宋体" w:cs="宋体"/>
                <w:b/>
                <w:bCs/>
                <w:sz w:val="24"/>
                <w:szCs w:val="24"/>
                <w:lang w:val="en-US" w:eastAsia="zh-CN"/>
              </w:rPr>
              <w:t>贰万整</w:t>
            </w:r>
            <w:r>
              <w:rPr>
                <w:rFonts w:hint="eastAsia" w:ascii="宋体" w:hAnsi="宋体" w:cs="宋体"/>
                <w:b/>
                <w:bCs/>
                <w:sz w:val="24"/>
                <w:szCs w:val="24"/>
              </w:rPr>
              <w:t>（¥</w:t>
            </w:r>
            <w:r>
              <w:rPr>
                <w:rFonts w:hint="eastAsia" w:ascii="宋体" w:hAnsi="宋体" w:cs="宋体"/>
                <w:b/>
                <w:bCs/>
                <w:sz w:val="24"/>
                <w:szCs w:val="24"/>
                <w:lang w:val="en-US" w:eastAsia="zh-CN"/>
              </w:rPr>
              <w:t>2</w:t>
            </w:r>
            <w:r>
              <w:rPr>
                <w:rFonts w:hint="eastAsia" w:ascii="宋体" w:hAnsi="宋体" w:cs="宋体"/>
                <w:b/>
                <w:bCs/>
                <w:sz w:val="24"/>
                <w:szCs w:val="24"/>
              </w:rPr>
              <w:t>0000.00元）</w:t>
            </w:r>
          </w:p>
          <w:p>
            <w:pPr>
              <w:pStyle w:val="6"/>
              <w:spacing w:line="360" w:lineRule="auto"/>
              <w:ind w:firstLine="0"/>
              <w:jc w:val="left"/>
              <w:rPr>
                <w:rFonts w:ascii="宋体" w:hAnsi="宋体" w:cs="宋体"/>
                <w:sz w:val="24"/>
                <w:szCs w:val="24"/>
              </w:rPr>
            </w:pPr>
            <w:r>
              <w:rPr>
                <w:rFonts w:hint="eastAsia" w:ascii="宋体" w:hAnsi="宋体" w:cs="宋体"/>
                <w:sz w:val="24"/>
                <w:szCs w:val="24"/>
              </w:rPr>
              <w:t>缴纳截止时间：同投标文件递交截止时间一致</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360" w:lineRule="auto"/>
              <w:jc w:val="left"/>
              <w:rPr>
                <w:rFonts w:ascii="宋体" w:hAnsi="宋体" w:cs="宋体"/>
                <w:sz w:val="24"/>
                <w:szCs w:val="24"/>
              </w:rPr>
            </w:pPr>
            <w:r>
              <w:rPr>
                <w:rFonts w:hint="eastAsia" w:ascii="宋体" w:hAnsi="宋体" w:cs="宋体"/>
                <w:sz w:val="24"/>
                <w:szCs w:val="24"/>
              </w:rPr>
              <w:t>户名：陕西卓佲项目管理有限公司</w:t>
            </w:r>
          </w:p>
          <w:p>
            <w:pPr>
              <w:spacing w:line="360" w:lineRule="auto"/>
              <w:jc w:val="left"/>
              <w:rPr>
                <w:rFonts w:ascii="宋体" w:hAnsi="宋体" w:cs="宋体"/>
                <w:sz w:val="24"/>
                <w:szCs w:val="24"/>
              </w:rPr>
            </w:pPr>
            <w:r>
              <w:rPr>
                <w:rFonts w:hint="eastAsia" w:ascii="宋体" w:hAnsi="宋体" w:cs="宋体"/>
                <w:sz w:val="24"/>
                <w:szCs w:val="24"/>
              </w:rPr>
              <w:t>开户行名称：中国光大银行西安太白路支行</w:t>
            </w:r>
          </w:p>
          <w:p>
            <w:pPr>
              <w:spacing w:line="360" w:lineRule="auto"/>
              <w:jc w:val="left"/>
              <w:rPr>
                <w:rFonts w:ascii="宋体" w:hAnsi="宋体" w:cs="宋体"/>
                <w:sz w:val="24"/>
                <w:szCs w:val="24"/>
              </w:rPr>
            </w:pPr>
            <w:r>
              <w:rPr>
                <w:rFonts w:hint="eastAsia" w:ascii="宋体" w:hAnsi="宋体" w:cs="宋体"/>
                <w:sz w:val="24"/>
                <w:szCs w:val="24"/>
              </w:rPr>
              <w:t>账号：78590188000191476</w:t>
            </w:r>
          </w:p>
          <w:p>
            <w:pPr>
              <w:spacing w:line="360" w:lineRule="auto"/>
              <w:jc w:val="left"/>
              <w:rPr>
                <w:rFonts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ascii="宋体" w:hAnsi="宋体" w:cs="宋体"/>
                <w:sz w:val="24"/>
                <w:szCs w:val="24"/>
              </w:rPr>
            </w:pPr>
            <w:r>
              <w:rPr>
                <w:rFonts w:hint="eastAsia" w:ascii="宋体" w:hAnsi="宋体" w:cs="宋体"/>
                <w:sz w:val="24"/>
                <w:szCs w:val="24"/>
              </w:rPr>
              <w:t>转账摘要：</w:t>
            </w:r>
            <w:r>
              <w:rPr>
                <w:rFonts w:hint="eastAsia" w:ascii="宋体" w:hAnsi="宋体" w:cs="宋体"/>
                <w:sz w:val="24"/>
                <w:szCs w:val="24"/>
                <w:lang w:val="en-US" w:eastAsia="zh-CN"/>
              </w:rPr>
              <w:t>西航职</w:t>
            </w:r>
            <w:r>
              <w:rPr>
                <w:rFonts w:hint="eastAsia" w:ascii="宋体" w:hAnsi="宋体" w:cs="宋体"/>
                <w:sz w:val="24"/>
                <w:szCs w:val="24"/>
              </w:rPr>
              <w:t>-</w:t>
            </w:r>
            <w:r>
              <w:rPr>
                <w:rFonts w:hint="eastAsia" w:ascii="宋体" w:hAnsi="宋体" w:cs="宋体"/>
                <w:sz w:val="24"/>
                <w:szCs w:val="24"/>
                <w:lang w:val="en-US" w:eastAsia="zh-CN"/>
              </w:rPr>
              <w:t>192</w:t>
            </w:r>
            <w:r>
              <w:rPr>
                <w:rFonts w:hint="eastAsia" w:ascii="宋体" w:hAnsi="宋体" w:cs="宋体"/>
                <w:sz w:val="24"/>
                <w:szCs w:val="24"/>
              </w:rPr>
              <w:t xml:space="preserve"> 投标保证金</w:t>
            </w:r>
          </w:p>
          <w:p>
            <w:pPr>
              <w:pStyle w:val="5"/>
              <w:numPr>
                <w:ilvl w:val="0"/>
                <w:numId w:val="5"/>
              </w:numPr>
              <w:rPr>
                <w:rFonts w:hint="default" w:ascii="宋体" w:hAnsi="宋体" w:cs="宋体"/>
                <w:sz w:val="24"/>
                <w:szCs w:val="24"/>
              </w:rPr>
            </w:pPr>
            <w:r>
              <w:rPr>
                <w:rFonts w:ascii="宋体" w:hAnsi="宋体" w:cs="宋体"/>
                <w:sz w:val="24"/>
                <w:szCs w:val="24"/>
              </w:rPr>
              <w:t>保证金的退还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2.1未成交的供应商在退取投标保证金时，须携带以下资料办理到代理机构的财务部门办理:</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rPr>
              <w:t>保证金退还信息确认表（加盖公章）见</w:t>
            </w:r>
            <w:r>
              <w:rPr>
                <w:rFonts w:hint="eastAsia" w:ascii="宋体" w:hAnsi="宋体" w:cs="宋体"/>
                <w:b/>
                <w:bCs/>
                <w:sz w:val="24"/>
                <w:szCs w:val="24"/>
              </w:rPr>
              <w:t>附件七</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一并交给工作人员，当天未提交保证金退还账户信息确认表与投标保证金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的供应商，在开标后将以上资料盖章扫描件发送至邮箱shanxizhuoming_zb@163.com并致电告知。</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2"/>
              </w:rPr>
            </w:pPr>
            <w:r>
              <w:rPr>
                <w:rFonts w:hint="eastAsia" w:ascii="宋体" w:hAnsi="宋体" w:cs="宋体"/>
                <w:bCs/>
                <w:color w:val="auto"/>
                <w:kern w:val="2"/>
              </w:rPr>
              <w:t>2.2中标供应商在退取投标保证金时，除携带上述资料外还需携带与采购人签订的采购合同。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noWrap w:val="0"/>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219" w:type="dxa"/>
            <w:noWrap w:val="0"/>
            <w:vAlign w:val="center"/>
          </w:tcPr>
          <w:p>
            <w:pPr>
              <w:spacing w:line="360" w:lineRule="auto"/>
              <w:rPr>
                <w:rFonts w:ascii="宋体" w:hAnsi="宋体" w:cs="宋体"/>
                <w:sz w:val="24"/>
                <w:szCs w:val="24"/>
              </w:rPr>
            </w:pPr>
            <w:r>
              <w:rPr>
                <w:rFonts w:hint="eastAsia" w:ascii="宋体" w:hAnsi="宋体" w:cs="宋体"/>
                <w:b/>
                <w:bCs/>
                <w:sz w:val="24"/>
                <w:szCs w:val="24"/>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219" w:type="dxa"/>
            <w:noWrap w:val="0"/>
            <w:vAlign w:val="center"/>
          </w:tcPr>
          <w:p>
            <w:pPr>
              <w:numPr>
                <w:ilvl w:val="0"/>
                <w:numId w:val="7"/>
              </w:numPr>
              <w:spacing w:line="360" w:lineRule="auto"/>
              <w:ind w:firstLine="0"/>
              <w:jc w:val="left"/>
              <w:rPr>
                <w:rFonts w:ascii="宋体" w:hAnsi="宋体" w:cs="宋体"/>
                <w:b/>
                <w:bCs/>
                <w:sz w:val="24"/>
                <w:szCs w:val="24"/>
              </w:rPr>
            </w:pPr>
            <w:r>
              <w:rPr>
                <w:rFonts w:hint="eastAsia" w:ascii="宋体" w:hAnsi="宋体" w:cs="宋体"/>
                <w:b/>
                <w:bCs/>
                <w:sz w:val="24"/>
                <w:szCs w:val="24"/>
              </w:rPr>
              <w:t>供应商应当根据招标文件的要求和范围，以人民币为货币，以元为报价单位。</w:t>
            </w:r>
          </w:p>
          <w:p>
            <w:pPr>
              <w:numPr>
                <w:ilvl w:val="0"/>
                <w:numId w:val="7"/>
              </w:numPr>
              <w:spacing w:line="360" w:lineRule="auto"/>
              <w:ind w:firstLine="0"/>
              <w:jc w:val="left"/>
              <w:rPr>
                <w:rFonts w:ascii="宋体" w:hAnsi="宋体" w:cs="宋体"/>
                <w:sz w:val="24"/>
                <w:szCs w:val="24"/>
              </w:rPr>
            </w:pPr>
            <w:r>
              <w:rPr>
                <w:rFonts w:hint="eastAsia" w:ascii="宋体" w:hAnsi="宋体" w:cs="宋体"/>
                <w:b/>
                <w:bCs/>
                <w:sz w:val="24"/>
                <w:szCs w:val="24"/>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r>
              <w:rPr>
                <w:rFonts w:hint="eastAsia" w:ascii="宋体" w:hAnsi="宋体" w:cs="宋体"/>
                <w:sz w:val="24"/>
                <w:szCs w:val="24"/>
              </w:rPr>
              <w:t>。投标报价表中标明本次货物、服务的所有单项价格和总价。</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供应商应在投标文件中的开标一览表上按招标文件规定要求填写，并由法定代表人或被授权人代表签署；任何有选择的报价不予接受。</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219" w:type="dxa"/>
            <w:noWrap w:val="0"/>
            <w:vAlign w:val="center"/>
          </w:tcPr>
          <w:p>
            <w:pPr>
              <w:spacing w:line="360" w:lineRule="auto"/>
              <w:jc w:val="left"/>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肆</w:t>
            </w:r>
            <w:r>
              <w:rPr>
                <w:rFonts w:hint="eastAsia" w:ascii="宋体" w:hAnsi="宋体" w:cs="宋体"/>
                <w:sz w:val="24"/>
                <w:szCs w:val="24"/>
              </w:rPr>
              <w:t>份、开标一览表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60"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胶装装订成册，推荐双面打印，在书脊处标明项目名称、</w:t>
            </w:r>
            <w:r>
              <w:rPr>
                <w:rFonts w:hint="eastAsia" w:ascii="宋体" w:hAnsi="宋体" w:cs="宋体"/>
                <w:b/>
                <w:bCs/>
                <w:sz w:val="24"/>
                <w:szCs w:val="24"/>
                <w:lang w:eastAsia="zh-CN"/>
              </w:rPr>
              <w:t>项目编号、</w:t>
            </w:r>
            <w:r>
              <w:rPr>
                <w:rFonts w:hint="eastAsia" w:ascii="宋体" w:hAnsi="宋体" w:cs="宋体"/>
                <w:b/>
                <w:bCs/>
                <w:sz w:val="24"/>
                <w:szCs w:val="24"/>
              </w:rPr>
              <w:t>供应商名称（机打或手写均可</w:t>
            </w:r>
            <w:r>
              <w:rPr>
                <w:rFonts w:hint="eastAsia" w:ascii="宋体" w:hAnsi="宋体" w:cs="宋体"/>
                <w:b/>
                <w:bCs/>
                <w:sz w:val="24"/>
                <w:szCs w:val="24"/>
                <w:lang w:eastAsia="zh-CN"/>
              </w:rPr>
              <w:t>），</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219" w:type="dxa"/>
            <w:noWrap w:val="0"/>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供应商在投标文件中指定的页面的落款处，按招标文件要求由供应商的法定代表人或其授权代表在规定的签章处签字或盖章。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219" w:type="dxa"/>
            <w:noWrap w:val="0"/>
            <w:vAlign w:val="center"/>
          </w:tcPr>
          <w:p>
            <w:pPr>
              <w:pStyle w:val="23"/>
              <w:spacing w:line="360" w:lineRule="auto"/>
              <w:rPr>
                <w:kern w:val="2"/>
              </w:rPr>
            </w:pPr>
            <w:r>
              <w:rPr>
                <w:rFonts w:hint="eastAsia"/>
                <w:kern w:val="2"/>
              </w:rPr>
              <w:t>1、密封要求：</w:t>
            </w:r>
          </w:p>
          <w:p>
            <w:pPr>
              <w:pStyle w:val="23"/>
              <w:spacing w:line="360" w:lineRule="auto"/>
              <w:rPr>
                <w:kern w:val="2"/>
              </w:rPr>
            </w:pPr>
            <w:r>
              <w:rPr>
                <w:rFonts w:hint="eastAsia"/>
                <w:kern w:val="2"/>
              </w:rPr>
              <w:t>开标一览表单独密封递交，</w:t>
            </w:r>
          </w:p>
          <w:p>
            <w:pPr>
              <w:pStyle w:val="23"/>
              <w:spacing w:line="360" w:lineRule="auto"/>
              <w:rPr>
                <w:kern w:val="2"/>
              </w:rPr>
            </w:pPr>
            <w:r>
              <w:rPr>
                <w:rFonts w:hint="eastAsia"/>
                <w:kern w:val="2"/>
              </w:rPr>
              <w:t>电子文档单独密封递交。</w:t>
            </w:r>
          </w:p>
          <w:p>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pPr>
              <w:spacing w:line="360" w:lineRule="auto"/>
              <w:jc w:val="left"/>
              <w:rPr>
                <w:rFonts w:ascii="宋体" w:hAnsi="宋体" w:cs="宋体"/>
                <w:sz w:val="24"/>
                <w:szCs w:val="24"/>
              </w:rPr>
            </w:pPr>
            <w:r>
              <w:rPr>
                <w:rFonts w:hint="eastAsia" w:ascii="宋体" w:hAnsi="宋体" w:cs="宋体"/>
                <w:sz w:val="24"/>
                <w:szCs w:val="24"/>
              </w:rPr>
              <w:t>2、在封袋正面标明“正本”“副本”“电子版”“开标一览表”字样。封袋应密封完整（密封以不泄露供应商商业机密、投标文件内容为标准，封面标识见招标文件附件一），如果未按上述规定进行密封，供应商的投标文件有权被拒绝。</w:t>
            </w:r>
          </w:p>
          <w:p>
            <w:pPr>
              <w:spacing w:line="360"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3、如果供应商未按上述要求密封及加写标记，误投或过早启封的投标文件，将自行承担其投标文件被视为无效投标文件的风险。</w:t>
            </w:r>
          </w:p>
          <w:p>
            <w:pPr>
              <w:spacing w:line="360" w:lineRule="auto"/>
              <w:jc w:val="left"/>
              <w:rPr>
                <w:rFonts w:ascii="宋体" w:hAnsi="宋体" w:cs="宋体"/>
                <w:sz w:val="24"/>
                <w:szCs w:val="24"/>
              </w:rPr>
            </w:pPr>
            <w:r>
              <w:rPr>
                <w:rFonts w:hint="eastAsia" w:ascii="宋体" w:hAnsi="宋体" w:cs="宋体"/>
                <w:sz w:val="24"/>
                <w:szCs w:val="24"/>
              </w:rPr>
              <w:t>4、本次招标只接受简体中文文字的投标文件；如投标文件中出现外文资料，需配以中文译文。否则，由此引发的一切责任由供应商自负。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noWrap w:val="0"/>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11</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b/>
                <w:bCs/>
                <w:sz w:val="24"/>
                <w:szCs w:val="24"/>
              </w:rPr>
              <w:t>评分标准</w:t>
            </w:r>
          </w:p>
        </w:tc>
        <w:tc>
          <w:tcPr>
            <w:tcW w:w="7219" w:type="dxa"/>
            <w:noWrap w:val="0"/>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69" w:hRule="atLeast"/>
        </w:trPr>
        <w:tc>
          <w:tcPr>
            <w:tcW w:w="505" w:type="dxa"/>
            <w:noWrap w:val="0"/>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12</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219" w:type="dxa"/>
            <w:noWrap w:val="0"/>
            <w:vAlign w:val="center"/>
          </w:tcPr>
          <w:p>
            <w:pPr>
              <w:spacing w:line="360" w:lineRule="auto"/>
              <w:rPr>
                <w:rFonts w:ascii="宋体" w:hAnsi="宋体" w:cs="宋体"/>
                <w:sz w:val="24"/>
                <w:szCs w:val="24"/>
              </w:rPr>
            </w:pPr>
            <w:r>
              <w:rPr>
                <w:rFonts w:hint="eastAsia" w:ascii="宋体" w:hAnsi="宋体" w:cs="宋体"/>
                <w:sz w:val="24"/>
                <w:szCs w:val="24"/>
              </w:rPr>
              <w:t>不允许采购进口产品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219" w:type="dxa"/>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noWrap w:val="0"/>
            <w:vAlign w:val="center"/>
          </w:tcPr>
          <w:p>
            <w:pPr>
              <w:spacing w:line="360" w:lineRule="auto"/>
              <w:rPr>
                <w:rFonts w:ascii="宋体" w:hAnsi="宋体" w:cs="宋体"/>
                <w:sz w:val="24"/>
                <w:szCs w:val="24"/>
              </w:rPr>
            </w:pPr>
            <w:r>
              <w:rPr>
                <w:rFonts w:hint="eastAsia" w:ascii="宋体" w:hAnsi="宋体" w:cs="宋体"/>
                <w:sz w:val="24"/>
                <w:szCs w:val="24"/>
              </w:rPr>
              <w:t xml:space="preserve"> 参照国家计委颁布的《招标代理服务收费管理暂行办法》（计价格[2002]1980号）和发改办价格[2003]857号文件等法律法规规定的计价标准下浮20%收取（含税），按照中标金额差额定率累进法计算，由中标/成交单位一次性支付。</w:t>
            </w:r>
          </w:p>
          <w:p>
            <w:pPr>
              <w:spacing w:line="360" w:lineRule="auto"/>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219" w:type="dxa"/>
            <w:noWrap w:val="0"/>
            <w:vAlign w:val="center"/>
          </w:tcPr>
          <w:p>
            <w:pPr>
              <w:pStyle w:val="14"/>
              <w:rPr>
                <w:rFonts w:ascii="仿宋" w:hAnsi="仿宋" w:cs="Courier New"/>
                <w:color w:val="000000"/>
                <w:sz w:val="24"/>
                <w:szCs w:val="24"/>
              </w:rPr>
            </w:pPr>
            <w:r>
              <w:rPr>
                <w:rFonts w:hint="eastAsia" w:ascii="仿宋" w:hAnsi="仿宋" w:cs="Courier New"/>
                <w:sz w:val="24"/>
                <w:szCs w:val="24"/>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494" w:type="dxa"/>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所属行业</w:t>
            </w:r>
          </w:p>
        </w:tc>
        <w:tc>
          <w:tcPr>
            <w:tcW w:w="7219" w:type="dxa"/>
            <w:noWrap w:val="0"/>
            <w:vAlign w:val="center"/>
          </w:tcPr>
          <w:p>
            <w:pPr>
              <w:pStyle w:val="14"/>
              <w:rPr>
                <w:rFonts w:hint="eastAsia" w:ascii="仿宋" w:hAnsi="仿宋" w:eastAsia="宋体" w:cs="Courier New"/>
                <w:color w:val="000000"/>
                <w:sz w:val="24"/>
                <w:szCs w:val="24"/>
                <w:lang w:val="en-US" w:eastAsia="zh-CN"/>
              </w:rPr>
            </w:pPr>
            <w:r>
              <w:rPr>
                <w:rFonts w:hint="eastAsia" w:ascii="仿宋" w:hAnsi="仿宋" w:cs="Courier New"/>
                <w:color w:val="000000"/>
                <w:sz w:val="24"/>
                <w:szCs w:val="24"/>
                <w:lang w:val="en-US" w:eastAsia="zh-CN"/>
              </w:rPr>
              <w:t>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494" w:type="dxa"/>
            <w:noWrap w:val="0"/>
            <w:vAlign w:val="center"/>
          </w:tcPr>
          <w:p>
            <w:pPr>
              <w:spacing w:line="360" w:lineRule="auto"/>
              <w:jc w:val="center"/>
              <w:rPr>
                <w:sz w:val="24"/>
                <w:szCs w:val="24"/>
              </w:rPr>
            </w:pPr>
            <w:r>
              <w:rPr>
                <w:rFonts w:hint="eastAsia" w:ascii="宋体" w:hAnsi="宋体" w:cs="宋体"/>
                <w:b/>
                <w:bCs/>
                <w:sz w:val="24"/>
                <w:szCs w:val="24"/>
              </w:rPr>
              <w:t>核心产品</w:t>
            </w:r>
          </w:p>
        </w:tc>
        <w:tc>
          <w:tcPr>
            <w:tcW w:w="7219" w:type="dxa"/>
            <w:noWrap w:val="0"/>
            <w:vAlign w:val="center"/>
          </w:tcPr>
          <w:p>
            <w:r>
              <w:rPr>
                <w:rFonts w:hint="eastAsia" w:ascii="宋体" w:hAnsi="宋体" w:eastAsia="宋体" w:cs="宋体"/>
                <w:kern w:val="0"/>
                <w:sz w:val="21"/>
                <w:szCs w:val="21"/>
                <w:highlight w:val="yellow"/>
                <w:lang w:val="en-US" w:eastAsia="zh-CN"/>
              </w:rPr>
              <w:t>纯电动汽车整车测试平台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49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是否专门面向中小企业</w:t>
            </w:r>
          </w:p>
        </w:tc>
        <w:tc>
          <w:tcPr>
            <w:tcW w:w="7219" w:type="dxa"/>
            <w:noWrap w:val="0"/>
            <w:vAlign w:val="center"/>
          </w:tcPr>
          <w:p>
            <w:pPr>
              <w:ind w:right="158" w:rightChars="75"/>
              <w:rPr>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494" w:type="dxa"/>
            <w:noWrap w:val="0"/>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是否允许大中企业</w:t>
            </w:r>
          </w:p>
          <w:p>
            <w:pPr>
              <w:spacing w:line="360" w:lineRule="auto"/>
              <w:jc w:val="center"/>
              <w:rPr>
                <w:rFonts w:ascii="宋体" w:hAnsi="宋体" w:cs="宋体"/>
                <w:sz w:val="24"/>
                <w:szCs w:val="24"/>
                <w:lang w:val="zh-CN"/>
              </w:rPr>
            </w:pPr>
            <w:r>
              <w:rPr>
                <w:rFonts w:hint="eastAsia" w:ascii="宋体" w:hAnsi="宋体" w:cs="宋体"/>
                <w:sz w:val="24"/>
                <w:szCs w:val="24"/>
                <w:lang w:val="zh-CN"/>
              </w:rPr>
              <w:t>向小微企业分包</w:t>
            </w:r>
          </w:p>
        </w:tc>
        <w:tc>
          <w:tcPr>
            <w:tcW w:w="7219" w:type="dxa"/>
            <w:noWrap w:val="0"/>
            <w:vAlign w:val="center"/>
          </w:tcPr>
          <w:p>
            <w:pPr>
              <w:spacing w:line="360" w:lineRule="auto"/>
              <w:jc w:val="left"/>
              <w:rPr>
                <w:rFonts w:ascii="宋体" w:hAnsi="宋体" w:cs="宋体"/>
                <w:sz w:val="24"/>
                <w:szCs w:val="24"/>
              </w:rPr>
            </w:pPr>
            <w:r>
              <w:rPr>
                <w:rFonts w:hint="eastAsia" w:ascii="宋体" w:hAnsi="宋体" w:cs="宋体"/>
                <w:sz w:val="24"/>
                <w:szCs w:val="24"/>
              </w:rPr>
              <w:t>否</w:t>
            </w:r>
          </w:p>
          <w:p>
            <w:pPr>
              <w:spacing w:line="360" w:lineRule="auto"/>
              <w:jc w:val="lef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noWrap w:val="0"/>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219" w:type="dxa"/>
            <w:noWrap w:val="0"/>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494" w:type="dxa"/>
            <w:noWrap w:val="0"/>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219" w:type="dxa"/>
            <w:noWrap w:val="0"/>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494" w:type="dxa"/>
            <w:noWrap w:val="0"/>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供应商信用信息查询截止时点</w:t>
            </w:r>
          </w:p>
        </w:tc>
        <w:tc>
          <w:tcPr>
            <w:tcW w:w="7219" w:type="dxa"/>
            <w:noWrap w:val="0"/>
            <w:vAlign w:val="center"/>
          </w:tcPr>
          <w:p>
            <w:pPr>
              <w:spacing w:line="360" w:lineRule="auto"/>
              <w:rPr>
                <w:rFonts w:ascii="宋体" w:hAnsi="宋体" w:cs="宋体"/>
                <w:sz w:val="24"/>
                <w:szCs w:val="24"/>
                <w:lang w:val="zh-CN"/>
              </w:rPr>
            </w:pPr>
            <w:r>
              <w:rPr>
                <w:rFonts w:hint="eastAsia" w:ascii="宋体" w:hAnsi="宋体" w:cs="宋体"/>
                <w:sz w:val="24"/>
                <w:szCs w:val="24"/>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23</w:t>
            </w:r>
          </w:p>
        </w:tc>
        <w:tc>
          <w:tcPr>
            <w:tcW w:w="1494" w:type="dxa"/>
            <w:noWrap w:val="0"/>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分包</w:t>
            </w:r>
          </w:p>
        </w:tc>
        <w:tc>
          <w:tcPr>
            <w:tcW w:w="7219" w:type="dxa"/>
            <w:noWrap w:val="0"/>
            <w:vAlign w:val="center"/>
          </w:tcPr>
          <w:p>
            <w:pPr>
              <w:spacing w:line="360" w:lineRule="auto"/>
              <w:rPr>
                <w:rFonts w:ascii="宋体" w:hAnsi="宋体" w:cs="宋体"/>
                <w:sz w:val="24"/>
                <w:szCs w:val="24"/>
              </w:rPr>
            </w:pPr>
            <w:r>
              <w:rPr>
                <w:rFonts w:hint="eastAsia" w:ascii="宋体" w:hAnsi="宋体" w:cs="宋体"/>
                <w:sz w:val="24"/>
                <w:szCs w:val="24"/>
              </w:rPr>
              <w:t>本次采购采用整体打包方式，供应商可根据自身的资质情况和经营范围对本项目进行投标，不得将其自行分解或只对本次项目中的品目进行不完全投标，任何不完全的投标将按无效投标处理。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1494" w:type="dxa"/>
            <w:noWrap w:val="0"/>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非实质性偏离</w:t>
            </w:r>
          </w:p>
        </w:tc>
        <w:tc>
          <w:tcPr>
            <w:tcW w:w="7219" w:type="dxa"/>
            <w:noWrap w:val="0"/>
            <w:vAlign w:val="center"/>
          </w:tcPr>
          <w:p>
            <w:pPr>
              <w:spacing w:line="360" w:lineRule="auto"/>
              <w:rPr>
                <w:rFonts w:ascii="宋体" w:hAnsi="宋体" w:cs="宋体"/>
                <w:sz w:val="24"/>
                <w:szCs w:val="24"/>
              </w:rPr>
            </w:pPr>
            <w:r>
              <w:rPr>
                <w:rFonts w:hint="eastAsia" w:ascii="宋体" w:hAnsi="宋体" w:cs="宋体"/>
                <w:sz w:val="24"/>
                <w:szCs w:val="24"/>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5</w:t>
            </w:r>
          </w:p>
        </w:tc>
        <w:tc>
          <w:tcPr>
            <w:tcW w:w="1494" w:type="dxa"/>
            <w:noWrap w:val="0"/>
            <w:vAlign w:val="center"/>
          </w:tcPr>
          <w:p>
            <w:pPr>
              <w:pStyle w:val="12"/>
              <w:spacing w:line="336" w:lineRule="auto"/>
              <w:jc w:val="center"/>
              <w:rPr>
                <w:rFonts w:hAnsi="宋体" w:cs="宋体"/>
                <w:sz w:val="24"/>
                <w:szCs w:val="24"/>
                <w:lang w:val="zh-CN"/>
              </w:rPr>
            </w:pPr>
            <w:r>
              <w:rPr>
                <w:rFonts w:hint="eastAsia" w:ascii="仿宋" w:hAnsi="仿宋"/>
                <w:color w:val="000000"/>
                <w:sz w:val="24"/>
                <w:szCs w:val="24"/>
              </w:rPr>
              <w:t>其他</w:t>
            </w:r>
          </w:p>
        </w:tc>
        <w:tc>
          <w:tcPr>
            <w:tcW w:w="7219" w:type="dxa"/>
            <w:noWrap w:val="0"/>
            <w:vAlign w:val="center"/>
          </w:tcPr>
          <w:p>
            <w:pPr>
              <w:pStyle w:val="12"/>
              <w:spacing w:line="336" w:lineRule="auto"/>
              <w:jc w:val="left"/>
              <w:rPr>
                <w:highlight w:val="yellow"/>
                <w:lang w:val="zh-CN"/>
              </w:rPr>
            </w:pPr>
            <w:r>
              <w:rPr>
                <w:rFonts w:hint="eastAsia" w:ascii="仿宋" w:hAnsi="仿宋"/>
                <w:color w:val="000000"/>
                <w:sz w:val="24"/>
                <w:szCs w:val="24"/>
              </w:rPr>
              <w:t>采购文件与媒体发布的采购公告不一致时，以公告为准；正文与前附表表述不一致时，以供应商须知前附表为准。</w:t>
            </w:r>
          </w:p>
        </w:tc>
      </w:tr>
    </w:tbl>
    <w:p>
      <w:pPr>
        <w:pStyle w:val="2"/>
        <w:keepLines w:val="0"/>
        <w:spacing w:before="312" w:beforeLines="100" w:after="312" w:afterLines="100" w:line="500" w:lineRule="exact"/>
        <w:rPr>
          <w:rFonts w:ascii="宋体" w:hAnsi="宋体" w:cs="宋体"/>
          <w:sz w:val="36"/>
          <w:szCs w:val="36"/>
        </w:rPr>
        <w:sectPr>
          <w:footerReference r:id="rId9" w:type="default"/>
          <w:pgSz w:w="11906" w:h="16838"/>
          <w:pgMar w:top="1440" w:right="1706" w:bottom="1440" w:left="1800" w:header="851" w:footer="992" w:gutter="0"/>
          <w:pgNumType w:fmt="decimal"/>
          <w:cols w:space="720" w:num="1"/>
          <w:docGrid w:type="lines" w:linePitch="312" w:charSpace="0"/>
        </w:sectPr>
      </w:pPr>
      <w:bookmarkStart w:id="8" w:name="_Toc10023"/>
      <w:bookmarkStart w:id="9" w:name="_Toc19272"/>
    </w:p>
    <w:bookmarkEnd w:id="8"/>
    <w:bookmarkEnd w:id="9"/>
    <w:p>
      <w:pPr>
        <w:pStyle w:val="2"/>
        <w:keepLines w:val="0"/>
        <w:spacing w:before="312" w:beforeLines="100" w:after="312" w:afterLines="100" w:line="500" w:lineRule="exact"/>
        <w:rPr>
          <w:rFonts w:ascii="宋体" w:hAnsi="宋体" w:cs="宋体"/>
          <w:sz w:val="36"/>
          <w:szCs w:val="36"/>
        </w:rPr>
      </w:pPr>
      <w:bookmarkStart w:id="10" w:name="_Toc20193"/>
      <w:bookmarkStart w:id="11" w:name="_Toc5210"/>
      <w:r>
        <w:rPr>
          <w:rFonts w:hint="eastAsia" w:ascii="宋体" w:hAnsi="宋体" w:cs="宋体"/>
          <w:sz w:val="36"/>
          <w:szCs w:val="36"/>
        </w:rPr>
        <w:t>第三部分  供应商须知</w:t>
      </w:r>
      <w:bookmarkEnd w:id="10"/>
      <w:bookmarkEnd w:id="11"/>
    </w:p>
    <w:p>
      <w:pPr>
        <w:ind w:firstLine="720" w:firstLineChars="200"/>
        <w:jc w:val="center"/>
        <w:outlineLvl w:val="1"/>
        <w:rPr>
          <w:rFonts w:ascii="宋体" w:hAnsi="宋体" w:cs="宋体"/>
          <w:sz w:val="36"/>
          <w:szCs w:val="36"/>
        </w:rPr>
      </w:pPr>
      <w:bookmarkStart w:id="12" w:name="_Toc8204"/>
      <w:bookmarkStart w:id="13" w:name="_Toc3346"/>
      <w:bookmarkStart w:id="14" w:name="_Toc26739"/>
      <w:bookmarkStart w:id="15" w:name="_Toc32490"/>
      <w:r>
        <w:rPr>
          <w:rFonts w:hint="eastAsia" w:ascii="宋体" w:hAnsi="宋体" w:cs="宋体"/>
          <w:sz w:val="36"/>
          <w:szCs w:val="36"/>
        </w:rPr>
        <w:t>一、总 则</w:t>
      </w:r>
      <w:bookmarkEnd w:id="12"/>
      <w:bookmarkEnd w:id="13"/>
      <w:bookmarkEnd w:id="14"/>
      <w:bookmarkEnd w:id="15"/>
    </w:p>
    <w:p>
      <w:pPr>
        <w:pStyle w:val="4"/>
        <w:numPr>
          <w:ilvl w:val="0"/>
          <w:numId w:val="9"/>
        </w:numPr>
        <w:spacing w:line="500" w:lineRule="exact"/>
        <w:ind w:firstLine="562" w:firstLineChars="200"/>
        <w:rPr>
          <w:rFonts w:ascii="宋体" w:hAnsi="宋体" w:cs="宋体"/>
          <w:szCs w:val="28"/>
        </w:rPr>
      </w:pPr>
      <w:bookmarkStart w:id="16" w:name="_Toc24287"/>
      <w:bookmarkStart w:id="17" w:name="_Toc19108"/>
      <w:bookmarkStart w:id="18" w:name="_Toc6742"/>
      <w:bookmarkStart w:id="19" w:name="_Toc358364319"/>
      <w:bookmarkStart w:id="20" w:name="_Toc28660"/>
      <w:bookmarkStart w:id="21" w:name="_Toc9257"/>
      <w:bookmarkStart w:id="22" w:name="_Toc380336725"/>
      <w:bookmarkStart w:id="23" w:name="_Toc11090"/>
      <w:r>
        <w:rPr>
          <w:rFonts w:hint="eastAsia" w:ascii="宋体" w:hAnsi="宋体" w:cs="宋体"/>
          <w:szCs w:val="28"/>
        </w:rPr>
        <w:t>适用范围</w:t>
      </w:r>
      <w:bookmarkEnd w:id="16"/>
      <w:bookmarkEnd w:id="17"/>
      <w:bookmarkEnd w:id="18"/>
      <w:bookmarkEnd w:id="19"/>
      <w:bookmarkEnd w:id="20"/>
      <w:bookmarkEnd w:id="21"/>
      <w:bookmarkEnd w:id="22"/>
      <w:bookmarkEnd w:id="2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4"/>
        <w:numPr>
          <w:ilvl w:val="0"/>
          <w:numId w:val="9"/>
        </w:numPr>
        <w:spacing w:line="500" w:lineRule="exact"/>
        <w:ind w:firstLine="562" w:firstLineChars="200"/>
        <w:rPr>
          <w:rFonts w:ascii="宋体" w:hAnsi="宋体" w:cs="宋体"/>
          <w:szCs w:val="28"/>
        </w:rPr>
      </w:pPr>
      <w:bookmarkStart w:id="24" w:name="_Toc17676"/>
      <w:bookmarkStart w:id="25" w:name="_Toc358364321"/>
      <w:bookmarkStart w:id="26" w:name="_Toc23781"/>
      <w:bookmarkStart w:id="27" w:name="_Toc380336727"/>
      <w:bookmarkStart w:id="28" w:name="_Toc45"/>
      <w:bookmarkStart w:id="29" w:name="_Toc20749"/>
      <w:bookmarkStart w:id="30" w:name="_Toc17332"/>
      <w:bookmarkStart w:id="31" w:name="_Toc20057"/>
      <w:r>
        <w:rPr>
          <w:rFonts w:hint="eastAsia" w:ascii="宋体" w:hAnsi="宋体" w:cs="宋体"/>
          <w:szCs w:val="28"/>
        </w:rPr>
        <w:t>合格的</w:t>
      </w:r>
      <w:bookmarkEnd w:id="24"/>
      <w:bookmarkEnd w:id="25"/>
      <w:bookmarkEnd w:id="26"/>
      <w:bookmarkEnd w:id="27"/>
      <w:r>
        <w:rPr>
          <w:rFonts w:hint="eastAsia" w:ascii="宋体" w:hAnsi="宋体" w:cs="宋体"/>
          <w:szCs w:val="28"/>
        </w:rPr>
        <w:t>供应商</w:t>
      </w:r>
      <w:bookmarkEnd w:id="28"/>
      <w:bookmarkEnd w:id="29"/>
      <w:bookmarkEnd w:id="30"/>
      <w:bookmarkEnd w:id="31"/>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0"/>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2.2供应商应独立于采购人，不得直接或间接地与采购人为采购本次招标的服务进行设计、编制技术规格和其它文件所委托的咨询公司或其附属机构有任何关联。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4"/>
        <w:numPr>
          <w:ilvl w:val="0"/>
          <w:numId w:val="9"/>
        </w:numPr>
        <w:spacing w:line="500" w:lineRule="exact"/>
        <w:ind w:firstLine="562" w:firstLineChars="200"/>
        <w:rPr>
          <w:rFonts w:ascii="宋体" w:hAnsi="宋体" w:cs="宋体"/>
          <w:szCs w:val="28"/>
        </w:rPr>
      </w:pPr>
      <w:bookmarkStart w:id="32" w:name="_Toc5368"/>
      <w:bookmarkStart w:id="33" w:name="_Toc358364322"/>
      <w:bookmarkStart w:id="34" w:name="_Toc22444"/>
      <w:bookmarkStart w:id="35" w:name="_Toc9345"/>
      <w:bookmarkStart w:id="36" w:name="_Toc19"/>
      <w:bookmarkStart w:id="37" w:name="_Toc540"/>
      <w:bookmarkStart w:id="38" w:name="_Toc380336728"/>
      <w:bookmarkStart w:id="39" w:name="_Toc4659"/>
      <w:r>
        <w:rPr>
          <w:rFonts w:hint="eastAsia" w:ascii="宋体" w:hAnsi="宋体" w:cs="宋体"/>
          <w:szCs w:val="28"/>
        </w:rPr>
        <w:t>费用</w:t>
      </w:r>
      <w:bookmarkEnd w:id="32"/>
      <w:bookmarkEnd w:id="33"/>
      <w:bookmarkEnd w:id="34"/>
      <w:bookmarkEnd w:id="35"/>
      <w:bookmarkEnd w:id="36"/>
      <w:bookmarkEnd w:id="37"/>
      <w:bookmarkEnd w:id="38"/>
      <w:bookmarkEnd w:id="39"/>
    </w:p>
    <w:p>
      <w:pPr>
        <w:widowControl/>
        <w:spacing w:line="500" w:lineRule="exact"/>
        <w:ind w:firstLine="480" w:firstLineChars="200"/>
        <w:jc w:val="left"/>
        <w:rPr>
          <w:rFonts w:ascii="宋体" w:hAnsi="宋体" w:cs="宋体"/>
          <w:sz w:val="24"/>
          <w:szCs w:val="24"/>
        </w:rPr>
      </w:pPr>
      <w:bookmarkStart w:id="40" w:name="_Toc5801"/>
      <w:bookmarkStart w:id="41" w:name="_Toc17817"/>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pPr>
        <w:spacing w:line="500" w:lineRule="exact"/>
        <w:ind w:firstLine="480" w:firstLineChars="200"/>
        <w:jc w:val="left"/>
        <w:rPr>
          <w:rFonts w:ascii="宋体" w:hAnsi="宋体" w:cs="宋体"/>
          <w:sz w:val="24"/>
        </w:rPr>
      </w:pPr>
      <w:r>
        <w:rPr>
          <w:rFonts w:hint="eastAsia" w:ascii="宋体" w:hAnsi="宋体" w:cs="宋体"/>
          <w:sz w:val="24"/>
        </w:rPr>
        <w:t>无论投标过程和结果如何，供应商自行承担与投标有关的全部费用。</w:t>
      </w:r>
    </w:p>
    <w:p>
      <w:pPr>
        <w:pStyle w:val="4"/>
        <w:numPr>
          <w:ilvl w:val="0"/>
          <w:numId w:val="9"/>
        </w:numPr>
        <w:spacing w:line="500" w:lineRule="exact"/>
        <w:ind w:firstLine="562" w:firstLineChars="200"/>
        <w:rPr>
          <w:rFonts w:ascii="宋体" w:hAnsi="宋体" w:cs="宋体"/>
          <w:szCs w:val="28"/>
        </w:rPr>
      </w:pPr>
      <w:bookmarkStart w:id="42" w:name="_Toc6084"/>
      <w:bookmarkStart w:id="43" w:name="_Toc14030"/>
      <w:bookmarkStart w:id="44" w:name="_Toc28038"/>
      <w:bookmarkStart w:id="45" w:name="_Toc31143"/>
      <w:r>
        <w:rPr>
          <w:rFonts w:hint="eastAsia" w:ascii="宋体" w:hAnsi="宋体" w:cs="宋体"/>
          <w:szCs w:val="28"/>
        </w:rPr>
        <w:t>实质性偏离</w:t>
      </w:r>
      <w:bookmarkEnd w:id="42"/>
      <w:bookmarkEnd w:id="43"/>
      <w:bookmarkEnd w:id="44"/>
      <w:bookmarkEnd w:id="45"/>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pStyle w:val="4"/>
        <w:numPr>
          <w:ilvl w:val="0"/>
          <w:numId w:val="9"/>
        </w:numPr>
        <w:spacing w:line="500" w:lineRule="exact"/>
        <w:ind w:firstLine="562" w:firstLineChars="200"/>
        <w:rPr>
          <w:rFonts w:ascii="宋体" w:hAnsi="宋体" w:cs="宋体"/>
          <w:szCs w:val="28"/>
        </w:rPr>
      </w:pPr>
      <w:bookmarkStart w:id="46" w:name="_Toc531"/>
      <w:bookmarkStart w:id="47" w:name="_Toc16643"/>
      <w:bookmarkStart w:id="48" w:name="_Toc7641"/>
      <w:bookmarkStart w:id="49" w:name="_Toc217446047"/>
      <w:bookmarkStart w:id="50" w:name="_Toc24283"/>
      <w:r>
        <w:rPr>
          <w:rFonts w:hint="eastAsia" w:ascii="宋体" w:hAnsi="宋体" w:cs="宋体"/>
          <w:szCs w:val="28"/>
        </w:rPr>
        <w:t>知识产权</w:t>
      </w:r>
      <w:bookmarkEnd w:id="46"/>
      <w:bookmarkEnd w:id="47"/>
      <w:bookmarkEnd w:id="48"/>
      <w:bookmarkEnd w:id="49"/>
      <w:bookmarkEnd w:id="50"/>
    </w:p>
    <w:p>
      <w:pPr>
        <w:pStyle w:val="8"/>
        <w:spacing w:line="360" w:lineRule="auto"/>
        <w:ind w:left="0" w:leftChars="0" w:firstLine="480" w:firstLineChars="200"/>
        <w:rPr>
          <w:rFonts w:ascii="宋体" w:hAnsi="宋体" w:cs="宋体"/>
          <w:sz w:val="24"/>
          <w:szCs w:val="24"/>
        </w:rPr>
      </w:pPr>
      <w:r>
        <w:rPr>
          <w:rFonts w:hint="eastAsia" w:ascii="宋体" w:hAnsi="宋体" w:cs="宋体"/>
          <w:sz w:val="24"/>
          <w:szCs w:val="24"/>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sz w:val="24"/>
          <w:szCs w:val="24"/>
        </w:rPr>
      </w:pPr>
      <w:r>
        <w:rPr>
          <w:rFonts w:hint="eastAsia" w:ascii="宋体" w:hAnsi="宋体" w:cs="宋体"/>
          <w:sz w:val="24"/>
          <w:szCs w:val="24"/>
        </w:rPr>
        <w:t>如采用供应商所不拥有的知识产权，则在投标报价中必须包括合法获取该知识产权的相关费用。</w:t>
      </w:r>
    </w:p>
    <w:p>
      <w:pPr>
        <w:pStyle w:val="18"/>
      </w:pPr>
    </w:p>
    <w:p>
      <w:pPr>
        <w:pStyle w:val="18"/>
      </w:pPr>
    </w:p>
    <w:bookmarkEnd w:id="40"/>
    <w:bookmarkEnd w:id="41"/>
    <w:p>
      <w:pPr>
        <w:spacing w:line="360" w:lineRule="auto"/>
        <w:jc w:val="left"/>
        <w:rPr>
          <w:rFonts w:ascii="宋体" w:hAnsi="宋体" w:cs="宋体"/>
          <w:kern w:val="0"/>
          <w:sz w:val="24"/>
          <w:szCs w:val="24"/>
        </w:rPr>
      </w:pPr>
      <w:bookmarkStart w:id="51" w:name="_Toc7144"/>
    </w:p>
    <w:p>
      <w:pPr>
        <w:ind w:firstLine="420" w:firstLineChars="200"/>
        <w:rPr>
          <w:rFonts w:ascii="宋体" w:hAnsi="宋体" w:cs="宋体"/>
        </w:rPr>
      </w:pPr>
      <w:r>
        <w:rPr>
          <w:rFonts w:hint="eastAsia" w:ascii="宋体" w:hAnsi="宋体" w:cs="宋体"/>
        </w:rPr>
        <w:br w:type="page"/>
      </w:r>
    </w:p>
    <w:p>
      <w:pPr>
        <w:numPr>
          <w:ilvl w:val="0"/>
          <w:numId w:val="11"/>
        </w:numPr>
        <w:jc w:val="center"/>
        <w:outlineLvl w:val="1"/>
        <w:rPr>
          <w:rFonts w:ascii="宋体" w:hAnsi="宋体" w:cs="宋体"/>
          <w:sz w:val="36"/>
          <w:szCs w:val="28"/>
        </w:rPr>
      </w:pPr>
      <w:bookmarkStart w:id="52" w:name="_Toc2233"/>
      <w:bookmarkStart w:id="53" w:name="_Toc12029"/>
      <w:bookmarkStart w:id="54" w:name="_Toc4794"/>
      <w:r>
        <w:rPr>
          <w:rFonts w:hint="eastAsia" w:ascii="宋体" w:hAnsi="宋体" w:cs="宋体"/>
          <w:sz w:val="36"/>
          <w:szCs w:val="28"/>
        </w:rPr>
        <w:t>招标文件</w:t>
      </w:r>
      <w:bookmarkEnd w:id="51"/>
      <w:bookmarkEnd w:id="52"/>
      <w:bookmarkEnd w:id="53"/>
      <w:bookmarkEnd w:id="54"/>
    </w:p>
    <w:p>
      <w:pPr>
        <w:pStyle w:val="4"/>
        <w:keepNext w:val="0"/>
        <w:keepLines w:val="0"/>
        <w:numPr>
          <w:ilvl w:val="0"/>
          <w:numId w:val="12"/>
        </w:numPr>
        <w:spacing w:line="500" w:lineRule="exact"/>
        <w:ind w:firstLine="562" w:firstLineChars="200"/>
        <w:rPr>
          <w:rFonts w:ascii="宋体" w:hAnsi="宋体" w:cs="宋体"/>
          <w:szCs w:val="28"/>
        </w:rPr>
      </w:pPr>
      <w:bookmarkStart w:id="55" w:name="_Toc3989"/>
      <w:bookmarkStart w:id="56" w:name="_Toc13558"/>
      <w:bookmarkStart w:id="57" w:name="_Toc4077"/>
      <w:bookmarkStart w:id="58" w:name="_Toc2258"/>
      <w:r>
        <w:rPr>
          <w:rFonts w:hint="eastAsia" w:ascii="宋体" w:hAnsi="宋体" w:cs="宋体"/>
          <w:szCs w:val="28"/>
        </w:rPr>
        <w:t>招标文件的构成</w:t>
      </w:r>
      <w:bookmarkEnd w:id="55"/>
      <w:bookmarkEnd w:id="56"/>
      <w:bookmarkEnd w:id="57"/>
      <w:bookmarkEnd w:id="5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13"/>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作出实质性响应，将导致其投标被拒绝或被认定为无效投标。</w:t>
      </w:r>
    </w:p>
    <w:p>
      <w:pPr>
        <w:pStyle w:val="4"/>
        <w:keepNext w:val="0"/>
        <w:keepLines w:val="0"/>
        <w:numPr>
          <w:ilvl w:val="0"/>
          <w:numId w:val="12"/>
        </w:numPr>
        <w:spacing w:line="500" w:lineRule="exact"/>
        <w:ind w:firstLine="562" w:firstLineChars="200"/>
        <w:rPr>
          <w:rFonts w:ascii="宋体" w:hAnsi="宋体" w:cs="宋体"/>
          <w:szCs w:val="28"/>
        </w:rPr>
      </w:pPr>
      <w:bookmarkStart w:id="59" w:name="_Toc19797"/>
      <w:bookmarkStart w:id="60" w:name="_Toc7486"/>
      <w:bookmarkStart w:id="61" w:name="_Toc18986"/>
      <w:bookmarkStart w:id="62" w:name="_Toc14603"/>
      <w:bookmarkStart w:id="63" w:name="_Toc3817"/>
      <w:r>
        <w:rPr>
          <w:rFonts w:hint="eastAsia" w:ascii="宋体" w:hAnsi="宋体" w:cs="宋体"/>
          <w:szCs w:val="28"/>
        </w:rPr>
        <w:t>招标文件的澄清</w:t>
      </w:r>
      <w:bookmarkEnd w:id="59"/>
      <w:bookmarkEnd w:id="60"/>
      <w:bookmarkEnd w:id="61"/>
      <w:bookmarkEnd w:id="62"/>
      <w:bookmarkEnd w:id="63"/>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4"/>
        <w:keepNext w:val="0"/>
        <w:keepLines w:val="0"/>
        <w:numPr>
          <w:ilvl w:val="0"/>
          <w:numId w:val="12"/>
        </w:numPr>
        <w:spacing w:line="500" w:lineRule="exact"/>
        <w:ind w:firstLine="562" w:firstLineChars="200"/>
        <w:rPr>
          <w:rFonts w:ascii="宋体" w:hAnsi="宋体" w:cs="宋体"/>
          <w:szCs w:val="28"/>
        </w:rPr>
      </w:pPr>
      <w:bookmarkStart w:id="64" w:name="_Toc12674"/>
      <w:bookmarkStart w:id="65" w:name="_Toc4238"/>
      <w:bookmarkStart w:id="66" w:name="_Toc14087"/>
      <w:bookmarkStart w:id="67" w:name="_Toc6390"/>
      <w:bookmarkStart w:id="68" w:name="_Toc14621"/>
      <w:r>
        <w:rPr>
          <w:rFonts w:hint="eastAsia" w:ascii="宋体" w:hAnsi="宋体" w:cs="宋体"/>
          <w:szCs w:val="28"/>
        </w:rPr>
        <w:t>招标文件的修改</w:t>
      </w:r>
      <w:bookmarkEnd w:id="64"/>
      <w:bookmarkEnd w:id="65"/>
      <w:bookmarkEnd w:id="66"/>
      <w:bookmarkEnd w:id="67"/>
      <w:bookmarkEnd w:id="68"/>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4"/>
        <w:numPr>
          <w:ilvl w:val="0"/>
          <w:numId w:val="12"/>
        </w:numPr>
        <w:spacing w:line="500" w:lineRule="exact"/>
        <w:ind w:firstLine="562" w:firstLineChars="200"/>
        <w:rPr>
          <w:rFonts w:ascii="宋体" w:hAnsi="宋体" w:cs="宋体"/>
          <w:szCs w:val="28"/>
        </w:rPr>
      </w:pPr>
      <w:bookmarkStart w:id="69" w:name="_Toc5095"/>
      <w:bookmarkStart w:id="70" w:name="_Toc29467"/>
      <w:bookmarkStart w:id="71" w:name="_Toc29089"/>
      <w:bookmarkStart w:id="72" w:name="_Toc10451"/>
      <w:bookmarkStart w:id="73" w:name="_Toc8379"/>
      <w:r>
        <w:rPr>
          <w:rFonts w:hint="eastAsia" w:ascii="宋体" w:hAnsi="宋体" w:cs="宋体"/>
          <w:szCs w:val="28"/>
        </w:rPr>
        <w:t>招标文件的解释权归代理机构</w:t>
      </w:r>
      <w:bookmarkEnd w:id="69"/>
      <w:bookmarkEnd w:id="70"/>
      <w:bookmarkEnd w:id="71"/>
      <w:bookmarkEnd w:id="72"/>
      <w:bookmarkEnd w:id="73"/>
    </w:p>
    <w:p>
      <w:pPr>
        <w:pStyle w:val="4"/>
        <w:numPr>
          <w:ilvl w:val="0"/>
          <w:numId w:val="12"/>
        </w:numPr>
        <w:spacing w:line="500" w:lineRule="exact"/>
        <w:ind w:firstLine="562" w:firstLineChars="200"/>
        <w:rPr>
          <w:rFonts w:ascii="宋体" w:hAnsi="宋体" w:cs="宋体"/>
          <w:szCs w:val="28"/>
        </w:rPr>
      </w:pPr>
      <w:bookmarkStart w:id="74" w:name="_Toc2169"/>
      <w:bookmarkStart w:id="75" w:name="_Toc25634"/>
      <w:bookmarkStart w:id="76" w:name="_Toc23677"/>
      <w:bookmarkStart w:id="77" w:name="_Toc25947"/>
      <w:r>
        <w:rPr>
          <w:rFonts w:hint="eastAsia" w:ascii="宋体" w:hAnsi="宋体" w:cs="宋体"/>
          <w:szCs w:val="28"/>
        </w:rPr>
        <w:t>落实的政府采购政策</w:t>
      </w:r>
      <w:bookmarkEnd w:id="74"/>
      <w:bookmarkEnd w:id="75"/>
      <w:bookmarkEnd w:id="76"/>
      <w:bookmarkEnd w:id="77"/>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5.1节能产品、环境标志产品</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5.2中小企业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w:t>
      </w: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20</w:t>
      </w:r>
      <w:r>
        <w:rPr>
          <w:rFonts w:hint="eastAsia" w:hAnsi="宋体" w:cs="宋体"/>
          <w:sz w:val="24"/>
          <w:szCs w:val="24"/>
        </w:rPr>
        <w:t>%的扣除，用扣除后的价格参与评审。</w:t>
      </w:r>
      <w:r>
        <w:rPr>
          <w:rFonts w:hint="eastAsia" w:hAnsi="宋体" w:cs="宋体"/>
          <w:sz w:val="24"/>
          <w:szCs w:val="24"/>
          <w:highlight w:val="none"/>
        </w:rPr>
        <w:t>本项目的扣除比例为：小型企业扣除</w:t>
      </w:r>
      <w:r>
        <w:rPr>
          <w:rFonts w:hint="eastAsia" w:hAnsi="宋体" w:cs="宋体"/>
          <w:sz w:val="24"/>
          <w:szCs w:val="24"/>
          <w:highlight w:val="none"/>
          <w:lang w:val="en-US" w:eastAsia="zh-CN"/>
        </w:rPr>
        <w:t>10</w:t>
      </w:r>
      <w:r>
        <w:rPr>
          <w:rFonts w:hint="eastAsia" w:hAnsi="宋体" w:cs="宋体"/>
          <w:sz w:val="24"/>
          <w:szCs w:val="24"/>
          <w:highlight w:val="none"/>
        </w:rPr>
        <w:t>%，微型企业扣除</w:t>
      </w:r>
      <w:r>
        <w:rPr>
          <w:rFonts w:hint="eastAsia" w:hAnsi="宋体" w:cs="宋体"/>
          <w:sz w:val="24"/>
          <w:szCs w:val="24"/>
          <w:highlight w:val="none"/>
          <w:lang w:val="en-US" w:eastAsia="zh-CN"/>
        </w:rPr>
        <w:t>10</w:t>
      </w:r>
      <w:r>
        <w:rPr>
          <w:rFonts w:hint="eastAsia" w:hAnsi="宋体" w:cs="宋体"/>
          <w:sz w:val="24"/>
          <w:szCs w:val="24"/>
          <w:highlight w:val="none"/>
        </w:rPr>
        <w:t>%。工程项目，对小型</w:t>
      </w:r>
      <w:r>
        <w:rPr>
          <w:rFonts w:hint="eastAsia" w:hAnsi="宋体" w:cs="宋体"/>
          <w:sz w:val="24"/>
          <w:szCs w:val="24"/>
        </w:rPr>
        <w:t>和微型企业的价格给予3%～5%的扣除，用扣除后的价格参与评审。</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5.2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5.3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Ansi="宋体" w:cs="宋体"/>
          <w:sz w:val="24"/>
          <w:szCs w:val="24"/>
        </w:rPr>
      </w:pPr>
      <w:r>
        <w:rPr>
          <w:rFonts w:hint="eastAsia" w:hAnsi="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rFonts w:hint="eastAsia" w:ascii="宋体" w:hAnsi="宋体" w:cs="宋体"/>
          <w:sz w:val="24"/>
          <w:szCs w:val="24"/>
          <w:lang w:val="en-US" w:eastAsia="zh-CN"/>
        </w:rPr>
      </w:pPr>
      <w:bookmarkStart w:id="78" w:name="_Toc12591"/>
      <w:bookmarkStart w:id="79" w:name="_Toc18665"/>
      <w:bookmarkStart w:id="80" w:name="_Toc21498"/>
      <w:bookmarkStart w:id="81" w:name="_Toc15601"/>
      <w:r>
        <w:rPr>
          <w:rFonts w:hint="eastAsia" w:ascii="宋体" w:hAnsi="宋体" w:cs="宋体"/>
          <w:sz w:val="24"/>
          <w:szCs w:val="24"/>
          <w:lang w:val="en-US" w:eastAsia="zh-CN"/>
        </w:rPr>
        <w:t>5.4 《财政部 农业农村部 国家乡村振兴局关于运用政府采购政策支持乡村产业振兴的通知》 （财库〔2021〕19号）；</w:t>
      </w:r>
    </w:p>
    <w:p>
      <w:pPr>
        <w:tabs>
          <w:tab w:val="left" w:pos="0"/>
        </w:tabs>
        <w:adjustRightInd w:val="0"/>
        <w:snapToGrid w:val="0"/>
        <w:spacing w:line="500" w:lineRule="exact"/>
        <w:ind w:firstLine="480" w:firstLineChars="200"/>
        <w:jc w:val="left"/>
        <w:rPr>
          <w:rFonts w:hint="eastAsia" w:ascii="宋体" w:hAnsi="宋体" w:eastAsia="宋体" w:cs="宋体"/>
          <w:sz w:val="24"/>
          <w:szCs w:val="24"/>
          <w:lang w:val="en-US" w:eastAsia="zh-CN"/>
        </w:rPr>
        <w:sectPr>
          <w:pgSz w:w="11906" w:h="16838"/>
          <w:pgMar w:top="1440" w:right="1706" w:bottom="1440" w:left="1800" w:header="851" w:footer="992" w:gutter="0"/>
          <w:pgNumType w:fmt="decimal"/>
          <w:cols w:space="720" w:num="1"/>
          <w:docGrid w:type="lines" w:linePitch="312" w:charSpace="0"/>
        </w:sectPr>
      </w:pPr>
      <w:r>
        <w:rPr>
          <w:rFonts w:hint="eastAsia" w:ascii="宋体" w:hAnsi="宋体" w:eastAsia="宋体" w:cs="宋体"/>
          <w:sz w:val="24"/>
          <w:szCs w:val="24"/>
          <w:lang w:val="en-US" w:eastAsia="zh-CN"/>
        </w:rPr>
        <w:t>5.5供应商有融资、担保需求的：《陕西省财政厅关于印发&lt;陕西省中小企业政府采购信用融资办法&gt;的通知》（陕财办采〔2018〕23号）相关政策、业务流程、办理平台（http://www.ccgp-shaanxi.gov.cn/zcdservice/zcd/shanxi/）。</w:t>
      </w:r>
    </w:p>
    <w:p>
      <w:pPr>
        <w:jc w:val="center"/>
        <w:outlineLvl w:val="1"/>
        <w:rPr>
          <w:rFonts w:ascii="宋体" w:hAnsi="宋体" w:cs="宋体"/>
          <w:sz w:val="36"/>
          <w:szCs w:val="28"/>
        </w:rPr>
      </w:pPr>
      <w:r>
        <w:rPr>
          <w:rFonts w:hint="eastAsia" w:ascii="宋体" w:hAnsi="宋体" w:cs="宋体"/>
          <w:sz w:val="36"/>
          <w:szCs w:val="28"/>
        </w:rPr>
        <w:t>三、投标文件</w:t>
      </w:r>
      <w:bookmarkEnd w:id="78"/>
      <w:bookmarkEnd w:id="79"/>
      <w:bookmarkEnd w:id="80"/>
      <w:bookmarkEnd w:id="81"/>
    </w:p>
    <w:p>
      <w:pPr>
        <w:pStyle w:val="4"/>
        <w:numPr>
          <w:ilvl w:val="0"/>
          <w:numId w:val="14"/>
        </w:numPr>
        <w:spacing w:line="500" w:lineRule="exact"/>
        <w:ind w:firstLine="562" w:firstLineChars="200"/>
        <w:rPr>
          <w:rFonts w:ascii="宋体" w:hAnsi="宋体" w:cs="宋体"/>
          <w:szCs w:val="28"/>
        </w:rPr>
      </w:pPr>
      <w:bookmarkStart w:id="82" w:name="_Toc17549"/>
      <w:bookmarkStart w:id="83" w:name="_Toc26457"/>
      <w:bookmarkStart w:id="84" w:name="_Toc5947"/>
      <w:bookmarkStart w:id="85" w:name="_Toc12599"/>
      <w:bookmarkStart w:id="86" w:name="_Toc28281"/>
      <w:r>
        <w:rPr>
          <w:rFonts w:hint="eastAsia" w:ascii="宋体" w:hAnsi="宋体" w:cs="宋体"/>
          <w:szCs w:val="28"/>
        </w:rPr>
        <w:t>投标文件的编制</w:t>
      </w:r>
      <w:bookmarkEnd w:id="82"/>
      <w:bookmarkEnd w:id="83"/>
      <w:bookmarkEnd w:id="84"/>
      <w:bookmarkEnd w:id="85"/>
      <w:bookmarkEnd w:id="86"/>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，按照招标文件所规定的内容顺序，统一编目、编页码装订，由于编排混乱导致投标文件被误读或查找不到，其责任应当由供应商承担。装订必须采用胶装形式，不得采用活页装订，必须编排页码。</w:t>
      </w:r>
    </w:p>
    <w:p>
      <w:pPr>
        <w:pStyle w:val="4"/>
        <w:numPr>
          <w:ilvl w:val="0"/>
          <w:numId w:val="14"/>
        </w:numPr>
        <w:spacing w:line="500" w:lineRule="exact"/>
        <w:ind w:firstLine="482" w:firstLineChars="200"/>
        <w:rPr>
          <w:rFonts w:ascii="宋体" w:hAnsi="宋体" w:cs="宋体"/>
          <w:sz w:val="24"/>
          <w:szCs w:val="24"/>
        </w:rPr>
      </w:pPr>
      <w:bookmarkStart w:id="87" w:name="_Toc21225"/>
      <w:bookmarkStart w:id="88" w:name="_Toc13311"/>
      <w:bookmarkStart w:id="89" w:name="_Toc27646"/>
      <w:bookmarkStart w:id="90" w:name="_Toc222"/>
      <w:bookmarkStart w:id="91" w:name="_Toc279"/>
      <w:bookmarkStart w:id="92" w:name="_Toc1311"/>
      <w:r>
        <w:rPr>
          <w:rFonts w:hint="eastAsia" w:ascii="宋体" w:hAnsi="宋体" w:cs="宋体"/>
          <w:sz w:val="24"/>
          <w:szCs w:val="24"/>
        </w:rPr>
        <w:t>投标报价</w:t>
      </w:r>
      <w:bookmarkEnd w:id="87"/>
      <w:bookmarkEnd w:id="88"/>
      <w:bookmarkEnd w:id="89"/>
      <w:bookmarkEnd w:id="90"/>
      <w:bookmarkEnd w:id="91"/>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4"/>
        <w:numPr>
          <w:ilvl w:val="0"/>
          <w:numId w:val="14"/>
        </w:numPr>
        <w:spacing w:line="500" w:lineRule="exact"/>
        <w:ind w:firstLine="482" w:firstLineChars="200"/>
        <w:rPr>
          <w:rFonts w:ascii="宋体" w:hAnsi="宋体" w:cs="宋体"/>
          <w:sz w:val="24"/>
          <w:szCs w:val="24"/>
        </w:rPr>
      </w:pPr>
      <w:bookmarkStart w:id="93" w:name="_Toc26749"/>
      <w:bookmarkStart w:id="94" w:name="_Toc9570"/>
      <w:bookmarkStart w:id="95" w:name="_Toc21745"/>
      <w:bookmarkStart w:id="96" w:name="_Toc29200"/>
      <w:bookmarkStart w:id="97" w:name="_Toc9753"/>
      <w:r>
        <w:rPr>
          <w:rFonts w:hint="eastAsia" w:ascii="宋体" w:hAnsi="宋体" w:cs="宋体"/>
          <w:sz w:val="24"/>
          <w:szCs w:val="24"/>
        </w:rPr>
        <w:t>投标货币</w:t>
      </w:r>
      <w:bookmarkEnd w:id="93"/>
      <w:bookmarkEnd w:id="94"/>
      <w:bookmarkEnd w:id="95"/>
      <w:bookmarkEnd w:id="96"/>
      <w:bookmarkEnd w:id="97"/>
    </w:p>
    <w:p>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pPr>
        <w:pStyle w:val="4"/>
        <w:numPr>
          <w:ilvl w:val="0"/>
          <w:numId w:val="14"/>
        </w:numPr>
        <w:spacing w:line="500" w:lineRule="exact"/>
        <w:ind w:firstLine="562" w:firstLineChars="200"/>
        <w:rPr>
          <w:rFonts w:ascii="宋体" w:hAnsi="宋体" w:cs="宋体"/>
          <w:szCs w:val="28"/>
        </w:rPr>
      </w:pPr>
      <w:bookmarkStart w:id="98" w:name="_Toc18251"/>
      <w:bookmarkStart w:id="99" w:name="_Toc28815"/>
      <w:bookmarkStart w:id="100" w:name="_Toc288"/>
      <w:bookmarkStart w:id="101" w:name="_Toc31754"/>
      <w:r>
        <w:rPr>
          <w:rFonts w:hint="eastAsia" w:ascii="宋体" w:hAnsi="宋体" w:cs="宋体"/>
          <w:szCs w:val="28"/>
        </w:rPr>
        <w:t>投标保证金</w:t>
      </w:r>
      <w:bookmarkEnd w:id="92"/>
      <w:bookmarkEnd w:id="98"/>
      <w:bookmarkEnd w:id="99"/>
      <w:bookmarkEnd w:id="100"/>
      <w:bookmarkEnd w:id="101"/>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pPr>
        <w:numPr>
          <w:ilvl w:val="0"/>
          <w:numId w:val="15"/>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pPr>
        <w:numPr>
          <w:ilvl w:val="0"/>
          <w:numId w:val="15"/>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5"/>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pPr>
        <w:numPr>
          <w:ilvl w:val="0"/>
          <w:numId w:val="15"/>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pPr>
        <w:numPr>
          <w:ilvl w:val="0"/>
          <w:numId w:val="15"/>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由于中标人原因未能按照招标文件的规定缴纳履约保证金；</w:t>
      </w:r>
    </w:p>
    <w:p>
      <w:pPr>
        <w:numPr>
          <w:ilvl w:val="0"/>
          <w:numId w:val="15"/>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5"/>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5"/>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pPr>
        <w:pStyle w:val="4"/>
        <w:numPr>
          <w:ilvl w:val="0"/>
          <w:numId w:val="14"/>
        </w:numPr>
        <w:spacing w:line="500" w:lineRule="exact"/>
        <w:ind w:firstLine="562" w:firstLineChars="200"/>
        <w:rPr>
          <w:rFonts w:ascii="宋体" w:hAnsi="宋体" w:cs="宋体"/>
          <w:szCs w:val="28"/>
        </w:rPr>
      </w:pPr>
      <w:bookmarkStart w:id="102" w:name="_Toc19668"/>
      <w:bookmarkStart w:id="103" w:name="_Toc2201"/>
      <w:bookmarkStart w:id="104" w:name="_Toc27991"/>
      <w:bookmarkStart w:id="105" w:name="_Toc14869"/>
      <w:bookmarkStart w:id="106" w:name="_Toc16750"/>
      <w:r>
        <w:rPr>
          <w:rFonts w:hint="eastAsia" w:ascii="宋体" w:hAnsi="宋体" w:cs="宋体"/>
          <w:szCs w:val="28"/>
        </w:rPr>
        <w:t>投标有效期</w:t>
      </w:r>
      <w:bookmarkEnd w:id="102"/>
      <w:bookmarkEnd w:id="103"/>
      <w:bookmarkEnd w:id="104"/>
      <w:bookmarkEnd w:id="105"/>
      <w:bookmarkEnd w:id="106"/>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pPr>
        <w:pStyle w:val="4"/>
        <w:numPr>
          <w:ilvl w:val="0"/>
          <w:numId w:val="14"/>
        </w:numPr>
        <w:spacing w:line="500" w:lineRule="exact"/>
        <w:ind w:firstLine="562" w:firstLineChars="200"/>
        <w:rPr>
          <w:rFonts w:ascii="宋体" w:hAnsi="宋体" w:cs="宋体"/>
          <w:szCs w:val="28"/>
        </w:rPr>
      </w:pPr>
      <w:bookmarkStart w:id="107" w:name="_Toc24827"/>
      <w:bookmarkStart w:id="108" w:name="_Toc2319"/>
      <w:bookmarkStart w:id="109" w:name="_Toc24204"/>
      <w:bookmarkStart w:id="110" w:name="_Toc30853"/>
      <w:bookmarkStart w:id="111" w:name="_Toc13314"/>
      <w:r>
        <w:rPr>
          <w:rFonts w:hint="eastAsia" w:ascii="宋体" w:hAnsi="宋体" w:cs="宋体"/>
          <w:szCs w:val="28"/>
        </w:rPr>
        <w:t>投标文件的装订、签署和</w:t>
      </w:r>
      <w:bookmarkEnd w:id="107"/>
      <w:r>
        <w:rPr>
          <w:rFonts w:hint="eastAsia" w:ascii="宋体" w:hAnsi="宋体" w:cs="宋体"/>
          <w:szCs w:val="28"/>
        </w:rPr>
        <w:t>密封</w:t>
      </w:r>
      <w:bookmarkEnd w:id="108"/>
      <w:bookmarkEnd w:id="109"/>
      <w:bookmarkEnd w:id="110"/>
      <w:bookmarkEnd w:id="111"/>
    </w:p>
    <w:p>
      <w:pPr>
        <w:tabs>
          <w:tab w:val="left" w:pos="0"/>
        </w:tabs>
        <w:spacing w:line="500" w:lineRule="exact"/>
        <w:ind w:firstLine="480" w:firstLineChars="200"/>
        <w:rPr>
          <w:rFonts w:ascii="宋体" w:hAnsi="宋体" w:cs="宋体"/>
          <w:sz w:val="24"/>
          <w:szCs w:val="24"/>
        </w:rPr>
      </w:pPr>
      <w:bookmarkStart w:id="112"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112"/>
    <w:p>
      <w:pPr>
        <w:widowControl/>
        <w:numPr>
          <w:ilvl w:val="0"/>
          <w:numId w:val="16"/>
        </w:numPr>
        <w:spacing w:line="500" w:lineRule="exact"/>
        <w:ind w:firstLine="482" w:firstLineChars="200"/>
        <w:jc w:val="center"/>
        <w:outlineLvl w:val="1"/>
        <w:rPr>
          <w:rFonts w:ascii="宋体" w:hAnsi="宋体" w:cs="宋体"/>
          <w:b/>
          <w:bCs/>
          <w:kern w:val="0"/>
          <w:sz w:val="24"/>
          <w:szCs w:val="24"/>
        </w:rPr>
        <w:sectPr>
          <w:footerReference r:id="rId10" w:type="default"/>
          <w:pgSz w:w="11906" w:h="16838"/>
          <w:pgMar w:top="1440" w:right="1706" w:bottom="1440" w:left="1800" w:header="851" w:footer="992" w:gutter="0"/>
          <w:pgNumType w:fmt="decimal"/>
          <w:cols w:space="720" w:num="1"/>
          <w:docGrid w:type="lines" w:linePitch="312" w:charSpace="0"/>
        </w:sectPr>
      </w:pPr>
      <w:bookmarkStart w:id="113" w:name="_Toc3736"/>
    </w:p>
    <w:p>
      <w:pPr>
        <w:widowControl/>
        <w:spacing w:before="159" w:beforeLines="50" w:after="159" w:afterLines="50" w:line="500" w:lineRule="exact"/>
        <w:jc w:val="center"/>
        <w:outlineLvl w:val="1"/>
        <w:rPr>
          <w:rFonts w:ascii="宋体" w:hAnsi="宋体" w:cs="宋体"/>
          <w:b/>
          <w:bCs/>
          <w:kern w:val="0"/>
          <w:sz w:val="32"/>
          <w:szCs w:val="28"/>
        </w:rPr>
      </w:pPr>
      <w:bookmarkStart w:id="114" w:name="_Toc27808"/>
      <w:bookmarkStart w:id="115" w:name="_Toc3565"/>
      <w:bookmarkStart w:id="116" w:name="_Toc6182"/>
      <w:bookmarkStart w:id="117" w:name="_Toc778"/>
      <w:r>
        <w:rPr>
          <w:rFonts w:hint="eastAsia" w:ascii="宋体" w:hAnsi="宋体" w:cs="宋体"/>
          <w:b/>
          <w:bCs/>
          <w:kern w:val="0"/>
          <w:sz w:val="32"/>
          <w:szCs w:val="28"/>
        </w:rPr>
        <w:t>四、投标文件的递交</w:t>
      </w:r>
      <w:bookmarkEnd w:id="114"/>
      <w:bookmarkEnd w:id="115"/>
      <w:bookmarkEnd w:id="116"/>
      <w:bookmarkEnd w:id="117"/>
    </w:p>
    <w:bookmarkEnd w:id="113"/>
    <w:p>
      <w:pPr>
        <w:numPr>
          <w:ilvl w:val="0"/>
          <w:numId w:val="17"/>
        </w:numPr>
        <w:spacing w:line="500" w:lineRule="exact"/>
        <w:ind w:firstLine="562" w:firstLineChars="200"/>
        <w:outlineLvl w:val="2"/>
        <w:rPr>
          <w:rFonts w:ascii="宋体" w:hAnsi="宋体" w:cs="宋体"/>
          <w:b/>
          <w:bCs/>
          <w:sz w:val="28"/>
          <w:szCs w:val="28"/>
        </w:rPr>
      </w:pPr>
      <w:bookmarkStart w:id="118" w:name="_Toc32299"/>
      <w:bookmarkStart w:id="119" w:name="_Toc3685"/>
      <w:bookmarkStart w:id="120" w:name="_Toc4490"/>
      <w:bookmarkStart w:id="121" w:name="_Toc28839"/>
      <w:r>
        <w:rPr>
          <w:rFonts w:hint="eastAsia" w:ascii="宋体" w:hAnsi="宋体" w:cs="宋体"/>
          <w:b/>
          <w:bCs/>
          <w:sz w:val="28"/>
          <w:szCs w:val="28"/>
        </w:rPr>
        <w:t>投标文件递交</w:t>
      </w:r>
      <w:bookmarkEnd w:id="118"/>
      <w:bookmarkEnd w:id="119"/>
      <w:bookmarkEnd w:id="120"/>
      <w:bookmarkEnd w:id="121"/>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numPr>
          <w:ilvl w:val="0"/>
          <w:numId w:val="17"/>
        </w:numPr>
        <w:spacing w:line="500" w:lineRule="exact"/>
        <w:ind w:firstLine="562" w:firstLineChars="200"/>
        <w:outlineLvl w:val="2"/>
        <w:rPr>
          <w:rFonts w:ascii="宋体" w:hAnsi="宋体" w:cs="宋体"/>
          <w:b/>
          <w:bCs/>
          <w:sz w:val="28"/>
          <w:szCs w:val="28"/>
        </w:rPr>
      </w:pPr>
      <w:bookmarkStart w:id="122" w:name="_Toc12741"/>
      <w:bookmarkStart w:id="123" w:name="_Toc544"/>
      <w:bookmarkStart w:id="124" w:name="_Toc3205"/>
      <w:bookmarkStart w:id="125" w:name="_Toc2349"/>
      <w:r>
        <w:rPr>
          <w:rFonts w:hint="eastAsia" w:ascii="宋体" w:hAnsi="宋体" w:cs="宋体"/>
          <w:b/>
          <w:bCs/>
          <w:sz w:val="28"/>
          <w:szCs w:val="28"/>
        </w:rPr>
        <w:t>投标文件的修改和撤回</w:t>
      </w:r>
      <w:bookmarkEnd w:id="122"/>
      <w:bookmarkEnd w:id="123"/>
      <w:bookmarkEnd w:id="124"/>
      <w:bookmarkEnd w:id="125"/>
    </w:p>
    <w:p>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kern w:val="0"/>
          <w:sz w:val="32"/>
          <w:szCs w:val="28"/>
        </w:rPr>
      </w:pPr>
      <w:bookmarkStart w:id="126" w:name="_Toc14415"/>
      <w:bookmarkStart w:id="127" w:name="_Toc23451"/>
      <w:bookmarkStart w:id="128" w:name="_Toc2353"/>
      <w:bookmarkStart w:id="129" w:name="_Toc27066"/>
      <w:bookmarkStart w:id="130" w:name="_Toc17748"/>
      <w:r>
        <w:rPr>
          <w:rFonts w:hint="eastAsia" w:ascii="宋体" w:hAnsi="宋体" w:cs="宋体"/>
          <w:b/>
          <w:bCs/>
          <w:kern w:val="0"/>
          <w:sz w:val="32"/>
          <w:szCs w:val="28"/>
        </w:rPr>
        <w:t>五、 开标、评审、定标</w:t>
      </w:r>
      <w:bookmarkEnd w:id="126"/>
      <w:bookmarkEnd w:id="127"/>
      <w:bookmarkEnd w:id="128"/>
      <w:bookmarkEnd w:id="129"/>
      <w:bookmarkEnd w:id="130"/>
    </w:p>
    <w:p>
      <w:pPr>
        <w:pStyle w:val="4"/>
        <w:keepNext w:val="0"/>
        <w:keepLines w:val="0"/>
        <w:numPr>
          <w:ilvl w:val="0"/>
          <w:numId w:val="18"/>
        </w:numPr>
        <w:spacing w:line="500" w:lineRule="exact"/>
        <w:ind w:firstLine="562"/>
        <w:rPr>
          <w:rFonts w:ascii="宋体" w:hAnsi="宋体" w:cs="宋体"/>
          <w:szCs w:val="28"/>
        </w:rPr>
      </w:pPr>
      <w:bookmarkStart w:id="131" w:name="_Toc1291"/>
      <w:bookmarkStart w:id="132" w:name="_Toc27216"/>
      <w:bookmarkStart w:id="133" w:name="_Toc25883"/>
      <w:bookmarkStart w:id="134" w:name="_Toc9239"/>
      <w:bookmarkStart w:id="135" w:name="_Toc19476"/>
      <w:r>
        <w:rPr>
          <w:rFonts w:hint="eastAsia" w:ascii="宋体" w:hAnsi="宋体" w:cs="宋体"/>
          <w:szCs w:val="28"/>
        </w:rPr>
        <w:t>开标</w:t>
      </w:r>
      <w:bookmarkEnd w:id="131"/>
      <w:bookmarkEnd w:id="132"/>
      <w:bookmarkEnd w:id="133"/>
      <w:bookmarkEnd w:id="134"/>
      <w:bookmarkEnd w:id="135"/>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4"/>
        <w:keepNext w:val="0"/>
        <w:keepLines w:val="0"/>
        <w:numPr>
          <w:ilvl w:val="0"/>
          <w:numId w:val="18"/>
        </w:numPr>
        <w:spacing w:line="500" w:lineRule="exact"/>
        <w:ind w:firstLine="562"/>
        <w:rPr>
          <w:rFonts w:ascii="宋体" w:hAnsi="宋体" w:cs="宋体"/>
          <w:szCs w:val="28"/>
        </w:rPr>
      </w:pPr>
      <w:bookmarkStart w:id="136" w:name="_Toc12917"/>
      <w:bookmarkStart w:id="137" w:name="_Toc3057"/>
      <w:bookmarkStart w:id="138" w:name="_Toc20569"/>
      <w:bookmarkStart w:id="139" w:name="_Toc380336750"/>
      <w:bookmarkStart w:id="140" w:name="_Toc4284"/>
      <w:bookmarkStart w:id="141" w:name="_Toc801"/>
      <w:bookmarkStart w:id="142" w:name="_Toc26137"/>
      <w:bookmarkStart w:id="143" w:name="_Toc358364344"/>
      <w:r>
        <w:rPr>
          <w:rFonts w:hint="eastAsia" w:ascii="宋体" w:hAnsi="宋体" w:cs="宋体"/>
          <w:szCs w:val="28"/>
        </w:rPr>
        <w:t>评标委员会</w:t>
      </w:r>
      <w:bookmarkEnd w:id="136"/>
      <w:bookmarkEnd w:id="137"/>
      <w:bookmarkEnd w:id="138"/>
      <w:bookmarkEnd w:id="139"/>
      <w:bookmarkEnd w:id="140"/>
      <w:bookmarkEnd w:id="141"/>
      <w:bookmarkEnd w:id="142"/>
      <w:bookmarkEnd w:id="143"/>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2.1.1遵纪守法，客观、公正、认真负责地履行职责，审查投标文件是否符合招标文件的要求，并作出评价；</w:t>
      </w:r>
    </w:p>
    <w:p>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4"/>
        <w:numPr>
          <w:ilvl w:val="0"/>
          <w:numId w:val="18"/>
        </w:numPr>
        <w:spacing w:line="500" w:lineRule="exact"/>
        <w:ind w:firstLine="562"/>
        <w:rPr>
          <w:rFonts w:ascii="宋体" w:hAnsi="宋体" w:cs="宋体"/>
          <w:szCs w:val="28"/>
        </w:rPr>
      </w:pPr>
      <w:bookmarkStart w:id="144" w:name="_Toc27940"/>
      <w:bookmarkStart w:id="145" w:name="_Toc386129876"/>
      <w:bookmarkStart w:id="146" w:name="_Toc23584"/>
      <w:bookmarkStart w:id="147" w:name="_Toc5609"/>
      <w:bookmarkStart w:id="148" w:name="_Toc12465"/>
      <w:bookmarkStart w:id="149" w:name="_Toc385958808"/>
      <w:bookmarkStart w:id="150" w:name="_Toc28085"/>
      <w:bookmarkStart w:id="151" w:name="_Toc31862"/>
      <w:r>
        <w:rPr>
          <w:rFonts w:hint="eastAsia" w:ascii="宋体" w:hAnsi="宋体" w:cs="宋体"/>
          <w:szCs w:val="28"/>
        </w:rPr>
        <w:t>投标文件初审</w:t>
      </w:r>
      <w:bookmarkEnd w:id="144"/>
      <w:bookmarkEnd w:id="145"/>
      <w:bookmarkEnd w:id="146"/>
      <w:bookmarkEnd w:id="147"/>
      <w:bookmarkEnd w:id="148"/>
      <w:bookmarkEnd w:id="149"/>
      <w:bookmarkEnd w:id="150"/>
      <w:bookmarkEnd w:id="151"/>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 3.1 供应商的资格性审查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依据法律法规和招标文件的规定，由采购人或代理机构对供应商的资格证明文件进行审查，以确保供应商是否具备相应资格，资格审查内容详见供应商须知前附表。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2"/>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3.3有下列情形之一的，视为供应商串通投标，其投标无效：</w:t>
      </w:r>
    </w:p>
    <w:p>
      <w:pPr>
        <w:pStyle w:val="17"/>
        <w:spacing w:after="210" w:afterAutospacing="0" w:line="27" w:lineRule="atLeast"/>
        <w:jc w:val="both"/>
      </w:pPr>
      <w:r>
        <w:rPr>
          <w:rFonts w:hint="eastAsia"/>
        </w:rPr>
        <w:t>　　（一）不同供应商的投标文件由同一单位或者个人编制；</w:t>
      </w:r>
    </w:p>
    <w:p>
      <w:pPr>
        <w:pStyle w:val="17"/>
        <w:spacing w:after="210" w:afterAutospacing="0" w:line="27" w:lineRule="atLeast"/>
        <w:jc w:val="both"/>
      </w:pPr>
      <w:r>
        <w:rPr>
          <w:rFonts w:hint="eastAsia"/>
        </w:rPr>
        <w:t>　　（二）不同供应商委托同一单位或者个人办理投标事宜；</w:t>
      </w:r>
    </w:p>
    <w:p>
      <w:pPr>
        <w:pStyle w:val="17"/>
        <w:spacing w:after="210" w:afterAutospacing="0" w:line="27" w:lineRule="atLeast"/>
        <w:jc w:val="both"/>
      </w:pPr>
      <w:r>
        <w:rPr>
          <w:rFonts w:hint="eastAsia"/>
        </w:rPr>
        <w:t>　　（三）不同供应商的投标文件载明的项目管理成员或者联系人员为同一人；</w:t>
      </w:r>
    </w:p>
    <w:p>
      <w:pPr>
        <w:pStyle w:val="17"/>
        <w:spacing w:after="210" w:afterAutospacing="0" w:line="27" w:lineRule="atLeast"/>
        <w:jc w:val="both"/>
      </w:pPr>
      <w:r>
        <w:rPr>
          <w:rFonts w:hint="eastAsia"/>
        </w:rPr>
        <w:t>　　（四）不同供应商的投标文件异常一致或者投标报价呈规律性差异；</w:t>
      </w:r>
    </w:p>
    <w:p>
      <w:pPr>
        <w:pStyle w:val="17"/>
        <w:spacing w:after="210" w:afterAutospacing="0" w:line="27" w:lineRule="atLeast"/>
        <w:jc w:val="both"/>
      </w:pPr>
      <w:r>
        <w:rPr>
          <w:rFonts w:hint="eastAsia"/>
        </w:rPr>
        <w:t>　　（五）不同供应商的投标文件相互混装；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4"/>
        <w:numPr>
          <w:ilvl w:val="0"/>
          <w:numId w:val="18"/>
        </w:numPr>
        <w:spacing w:line="500" w:lineRule="exact"/>
        <w:ind w:firstLine="562"/>
        <w:rPr>
          <w:rFonts w:ascii="宋体" w:hAnsi="宋体" w:cs="宋体"/>
          <w:szCs w:val="28"/>
        </w:rPr>
      </w:pPr>
      <w:bookmarkStart w:id="152" w:name="_Toc2171"/>
      <w:bookmarkStart w:id="153" w:name="_Toc32132"/>
      <w:bookmarkStart w:id="154" w:name="_Toc25423"/>
      <w:bookmarkStart w:id="155" w:name="_Toc13155"/>
      <w:bookmarkStart w:id="156" w:name="_Toc17705"/>
      <w:r>
        <w:rPr>
          <w:rFonts w:hint="eastAsia" w:ascii="宋体" w:hAnsi="宋体" w:cs="宋体"/>
          <w:szCs w:val="28"/>
        </w:rPr>
        <w:t>投标文件澄清</w:t>
      </w:r>
      <w:bookmarkEnd w:id="152"/>
      <w:bookmarkEnd w:id="153"/>
      <w:bookmarkEnd w:id="154"/>
      <w:bookmarkEnd w:id="155"/>
      <w:bookmarkEnd w:id="156"/>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4.2 供应商必须按照评标委员会通知的内容和时间作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4"/>
        <w:numPr>
          <w:ilvl w:val="0"/>
          <w:numId w:val="18"/>
        </w:numPr>
        <w:spacing w:line="500" w:lineRule="exact"/>
        <w:ind w:firstLine="562"/>
        <w:rPr>
          <w:rFonts w:ascii="宋体" w:hAnsi="宋体" w:cs="宋体"/>
          <w:szCs w:val="28"/>
        </w:rPr>
      </w:pPr>
      <w:bookmarkStart w:id="157" w:name="_Toc8353"/>
      <w:bookmarkStart w:id="158" w:name="_Toc6584"/>
      <w:bookmarkStart w:id="159" w:name="_Toc20545"/>
      <w:bookmarkStart w:id="160" w:name="_Toc17506"/>
      <w:bookmarkStart w:id="161" w:name="_Toc16689"/>
      <w:r>
        <w:rPr>
          <w:rFonts w:hint="eastAsia" w:ascii="宋体" w:hAnsi="宋体" w:cs="宋体"/>
          <w:szCs w:val="28"/>
        </w:rPr>
        <w:t>评标</w:t>
      </w:r>
      <w:bookmarkEnd w:id="157"/>
      <w:bookmarkEnd w:id="158"/>
      <w:bookmarkEnd w:id="159"/>
      <w:bookmarkEnd w:id="160"/>
      <w:bookmarkEnd w:id="161"/>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4"/>
        <w:numPr>
          <w:ilvl w:val="0"/>
          <w:numId w:val="18"/>
        </w:numPr>
        <w:spacing w:line="500" w:lineRule="exact"/>
        <w:ind w:firstLine="562"/>
        <w:rPr>
          <w:rFonts w:ascii="宋体" w:hAnsi="宋体" w:cs="宋体"/>
          <w:szCs w:val="28"/>
        </w:rPr>
      </w:pPr>
      <w:bookmarkStart w:id="162" w:name="_Toc17362"/>
      <w:bookmarkStart w:id="163" w:name="_Toc30618"/>
      <w:bookmarkStart w:id="164" w:name="_Toc24951"/>
      <w:bookmarkStart w:id="165" w:name="_Toc32646"/>
      <w:bookmarkStart w:id="166" w:name="_Toc12947"/>
      <w:r>
        <w:rPr>
          <w:rFonts w:hint="eastAsia" w:ascii="宋体" w:hAnsi="宋体" w:cs="宋体"/>
          <w:szCs w:val="28"/>
        </w:rPr>
        <w:t>定标</w:t>
      </w:r>
      <w:bookmarkEnd w:id="162"/>
      <w:bookmarkEnd w:id="163"/>
      <w:bookmarkEnd w:id="164"/>
      <w:bookmarkEnd w:id="165"/>
      <w:bookmarkEnd w:id="166"/>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rPr>
          <w:rFonts w:ascii="宋体" w:hAnsi="宋体" w:cs="宋体"/>
          <w:b/>
          <w:bCs/>
          <w:kern w:val="0"/>
          <w:sz w:val="32"/>
          <w:szCs w:val="28"/>
        </w:rPr>
      </w:pPr>
      <w:bookmarkStart w:id="167" w:name="_Toc19972"/>
      <w:bookmarkStart w:id="168" w:name="_Toc25308"/>
      <w:bookmarkStart w:id="169" w:name="_Toc3026"/>
      <w:r>
        <w:rPr>
          <w:rFonts w:hint="eastAsia" w:ascii="宋体" w:hAnsi="宋体" w:cs="宋体"/>
          <w:b/>
          <w:bCs/>
          <w:kern w:val="0"/>
          <w:sz w:val="32"/>
          <w:szCs w:val="28"/>
        </w:rPr>
        <w:t>六、签订合同</w:t>
      </w:r>
      <w:bookmarkEnd w:id="167"/>
      <w:bookmarkEnd w:id="168"/>
      <w:bookmarkEnd w:id="169"/>
    </w:p>
    <w:p>
      <w:pPr>
        <w:pStyle w:val="6"/>
        <w:spacing w:line="360" w:lineRule="auto"/>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rPr>
          <w:rFonts w:ascii="宋体" w:hAnsi="宋体" w:cs="宋体"/>
          <w:b/>
          <w:bCs/>
          <w:kern w:val="0"/>
          <w:sz w:val="32"/>
          <w:szCs w:val="28"/>
        </w:rPr>
      </w:pPr>
      <w:bookmarkStart w:id="170" w:name="_Toc18077"/>
      <w:r>
        <w:rPr>
          <w:rFonts w:hint="eastAsia" w:ascii="宋体" w:hAnsi="宋体" w:cs="宋体"/>
          <w:b/>
          <w:bCs/>
          <w:kern w:val="0"/>
          <w:sz w:val="32"/>
          <w:szCs w:val="28"/>
        </w:rPr>
        <w:t>七、质疑和投诉</w:t>
      </w:r>
      <w:bookmarkEnd w:id="170"/>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质疑受理电话：029-88440695。</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8、提交质疑函地点：西安市雁塔区科技路10号华奥大厦A座20层2002室。</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pStyle w:val="2"/>
        <w:pageBreakBefore/>
        <w:numPr>
          <w:ilvl w:val="0"/>
          <w:numId w:val="20"/>
        </w:numPr>
        <w:spacing w:before="319" w:beforeLines="100" w:after="319" w:afterLines="100" w:line="500" w:lineRule="exact"/>
        <w:rPr>
          <w:rFonts w:ascii="宋体" w:hAnsi="宋体" w:cs="宋体"/>
          <w:color w:val="000000"/>
          <w:sz w:val="36"/>
          <w:szCs w:val="36"/>
        </w:rPr>
      </w:pPr>
      <w:bookmarkStart w:id="171" w:name="_Toc3298"/>
      <w:bookmarkEnd w:id="171"/>
      <w:r>
        <w:rPr>
          <w:rFonts w:hint="eastAsia" w:ascii="宋体" w:hAnsi="宋体" w:cs="宋体"/>
          <w:color w:val="000000"/>
          <w:sz w:val="36"/>
          <w:szCs w:val="36"/>
        </w:rPr>
        <w:t xml:space="preserve">  </w:t>
      </w:r>
      <w:bookmarkStart w:id="172" w:name="_Toc1494"/>
      <w:bookmarkStart w:id="173" w:name="_Toc16984"/>
      <w:r>
        <w:rPr>
          <w:rFonts w:hint="eastAsia" w:ascii="宋体" w:hAnsi="宋体" w:cs="宋体"/>
          <w:color w:val="000000"/>
          <w:sz w:val="36"/>
          <w:szCs w:val="36"/>
        </w:rPr>
        <w:t>评标方法</w:t>
      </w:r>
      <w:bookmarkEnd w:id="172"/>
      <w:bookmarkEnd w:id="173"/>
    </w:p>
    <w:p>
      <w:pPr>
        <w:spacing w:line="500" w:lineRule="exact"/>
        <w:ind w:firstLine="480" w:firstLineChars="200"/>
        <w:rPr>
          <w:sz w:val="24"/>
          <w:szCs w:val="24"/>
        </w:rPr>
      </w:pPr>
      <w:r>
        <w:rPr>
          <w:sz w:val="24"/>
          <w:szCs w:val="24"/>
        </w:rPr>
        <w:t>本次评标</w:t>
      </w:r>
      <w:r>
        <w:rPr>
          <w:rFonts w:hint="eastAsia"/>
          <w:sz w:val="24"/>
          <w:szCs w:val="24"/>
          <w:lang w:eastAsia="zh-CN"/>
        </w:rPr>
        <w:t>方</w:t>
      </w:r>
      <w:r>
        <w:rPr>
          <w:sz w:val="24"/>
          <w:szCs w:val="24"/>
        </w:rPr>
        <w:t>法采用综合评分法，综合评分因素的主要因素为报价、技术、业绩、服务等以及对招标文件的响应程度。每一供应商的最终得分为所有评委评分的算数平均值四舍五入后保留到小数点后两位。</w:t>
      </w:r>
    </w:p>
    <w:p>
      <w:pPr>
        <w:pStyle w:val="10"/>
      </w:pPr>
      <w:r>
        <w:rPr>
          <w:rFonts w:hint="eastAsia"/>
          <w:color w:val="000000"/>
        </w:rPr>
        <w:t>评审标准：</w:t>
      </w:r>
    </w:p>
    <w:tbl>
      <w:tblPr>
        <w:tblStyle w:val="19"/>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23"/>
        <w:gridCol w:w="620"/>
        <w:gridCol w:w="539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60"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223" w:type="dxa"/>
            <w:vAlign w:val="center"/>
          </w:tcPr>
          <w:p>
            <w:pPr>
              <w:spacing w:line="360" w:lineRule="auto"/>
              <w:ind w:firstLine="28"/>
              <w:jc w:val="center"/>
              <w:rPr>
                <w:rFonts w:ascii="宋体" w:hAnsi="宋体" w:cs="宋体"/>
                <w:b/>
                <w:bCs/>
                <w:szCs w:val="21"/>
              </w:rPr>
            </w:pPr>
            <w:r>
              <w:rPr>
                <w:rFonts w:hint="eastAsia" w:ascii="宋体" w:hAnsi="宋体" w:cs="宋体"/>
                <w:b/>
                <w:bCs/>
                <w:szCs w:val="21"/>
              </w:rPr>
              <w:t>评分因素及权重</w:t>
            </w:r>
          </w:p>
        </w:tc>
        <w:tc>
          <w:tcPr>
            <w:tcW w:w="620" w:type="dxa"/>
            <w:vAlign w:val="center"/>
          </w:tcPr>
          <w:p>
            <w:pPr>
              <w:spacing w:line="360" w:lineRule="auto"/>
              <w:ind w:firstLine="28"/>
              <w:jc w:val="center"/>
              <w:rPr>
                <w:rFonts w:ascii="宋体" w:hAnsi="宋体" w:cs="宋体"/>
                <w:b/>
                <w:bCs/>
                <w:szCs w:val="21"/>
              </w:rPr>
            </w:pPr>
            <w:r>
              <w:rPr>
                <w:rFonts w:hint="eastAsia" w:ascii="宋体" w:hAnsi="宋体" w:cs="宋体"/>
                <w:b/>
                <w:bCs/>
                <w:szCs w:val="21"/>
              </w:rPr>
              <w:t>分值</w:t>
            </w:r>
          </w:p>
        </w:tc>
        <w:tc>
          <w:tcPr>
            <w:tcW w:w="5399" w:type="dxa"/>
            <w:vAlign w:val="center"/>
          </w:tcPr>
          <w:p>
            <w:pPr>
              <w:spacing w:line="360" w:lineRule="auto"/>
              <w:ind w:firstLine="28"/>
              <w:jc w:val="center"/>
              <w:rPr>
                <w:rFonts w:ascii="宋体" w:hAnsi="宋体" w:cs="宋体"/>
                <w:b/>
                <w:bCs/>
                <w:szCs w:val="21"/>
              </w:rPr>
            </w:pPr>
            <w:r>
              <w:rPr>
                <w:rFonts w:hint="eastAsia" w:ascii="宋体" w:hAnsi="宋体" w:cs="宋体"/>
                <w:b/>
                <w:bCs/>
                <w:szCs w:val="21"/>
              </w:rPr>
              <w:t>评分标准</w:t>
            </w:r>
          </w:p>
        </w:tc>
        <w:tc>
          <w:tcPr>
            <w:tcW w:w="1375" w:type="dxa"/>
            <w:vAlign w:val="center"/>
          </w:tcPr>
          <w:p>
            <w:pPr>
              <w:spacing w:line="360" w:lineRule="auto"/>
              <w:jc w:val="center"/>
              <w:rPr>
                <w:rFonts w:ascii="宋体" w:hAnsi="宋体" w:cs="宋体"/>
                <w:b/>
                <w:bCs/>
                <w:szCs w:val="21"/>
              </w:rPr>
            </w:pPr>
            <w:r>
              <w:rPr>
                <w:rFonts w:hint="eastAsia" w:ascii="宋体" w:hAnsi="宋体" w:cs="宋体"/>
                <w:b/>
                <w:bCs/>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60" w:type="dxa"/>
            <w:vAlign w:val="center"/>
          </w:tcPr>
          <w:p>
            <w:pPr>
              <w:spacing w:line="360" w:lineRule="auto"/>
              <w:ind w:firstLine="28"/>
              <w:jc w:val="center"/>
              <w:rPr>
                <w:rFonts w:ascii="宋体" w:hAnsi="宋体" w:cs="宋体"/>
                <w:szCs w:val="21"/>
              </w:rPr>
            </w:pPr>
            <w:r>
              <w:rPr>
                <w:rFonts w:hint="eastAsia" w:ascii="宋体" w:hAnsi="宋体" w:cs="宋体"/>
                <w:szCs w:val="21"/>
              </w:rPr>
              <w:t>1</w:t>
            </w:r>
          </w:p>
        </w:tc>
        <w:tc>
          <w:tcPr>
            <w:tcW w:w="1223" w:type="dxa"/>
            <w:vAlign w:val="center"/>
          </w:tcPr>
          <w:p>
            <w:pPr>
              <w:spacing w:line="360" w:lineRule="auto"/>
              <w:ind w:firstLine="28"/>
              <w:jc w:val="center"/>
              <w:rPr>
                <w:rFonts w:ascii="宋体" w:hAnsi="宋体" w:cs="宋体"/>
                <w:szCs w:val="21"/>
              </w:rPr>
            </w:pPr>
            <w:r>
              <w:rPr>
                <w:rFonts w:hint="eastAsia" w:ascii="宋体" w:hAnsi="宋体" w:cs="宋体"/>
                <w:szCs w:val="21"/>
              </w:rPr>
              <w:t>报价30%</w:t>
            </w:r>
          </w:p>
        </w:tc>
        <w:tc>
          <w:tcPr>
            <w:tcW w:w="620" w:type="dxa"/>
            <w:vAlign w:val="center"/>
          </w:tcPr>
          <w:p>
            <w:pPr>
              <w:spacing w:line="360" w:lineRule="auto"/>
              <w:ind w:firstLine="28"/>
              <w:jc w:val="center"/>
              <w:rPr>
                <w:rFonts w:ascii="宋体" w:hAnsi="宋体" w:cs="宋体"/>
                <w:szCs w:val="21"/>
              </w:rPr>
            </w:pPr>
            <w:r>
              <w:rPr>
                <w:rFonts w:hint="eastAsia" w:ascii="宋体" w:hAnsi="宋体" w:cs="宋体"/>
                <w:szCs w:val="21"/>
              </w:rPr>
              <w:t>30</w:t>
            </w:r>
          </w:p>
        </w:tc>
        <w:tc>
          <w:tcPr>
            <w:tcW w:w="5399" w:type="dxa"/>
            <w:vAlign w:val="center"/>
          </w:tcPr>
          <w:p>
            <w:pPr>
              <w:spacing w:line="360" w:lineRule="auto"/>
              <w:rPr>
                <w:rFonts w:ascii="宋体" w:hAnsi="宋体"/>
                <w:szCs w:val="21"/>
              </w:rPr>
            </w:pPr>
            <w:r>
              <w:rPr>
                <w:rFonts w:hint="eastAsia" w:ascii="宋体" w:hAnsi="宋体"/>
                <w:szCs w:val="21"/>
              </w:rPr>
              <w:t>价格分应当采用低价优先法计算，即满足招标文件要求且投标价格最低的投标报价为评标基准价，其价格分为满分。其他供应商的价格分统一按照下列公式计算：</w:t>
            </w:r>
          </w:p>
          <w:p>
            <w:pPr>
              <w:spacing w:line="360" w:lineRule="auto"/>
              <w:rPr>
                <w:rFonts w:ascii="宋体" w:hAnsi="宋体"/>
                <w:szCs w:val="21"/>
              </w:rPr>
            </w:pPr>
            <w:r>
              <w:rPr>
                <w:rFonts w:hint="eastAsia" w:ascii="宋体" w:hAnsi="宋体"/>
                <w:szCs w:val="21"/>
              </w:rPr>
              <w:t>报价得分＝（评标基准价/投标报价）×30。</w:t>
            </w:r>
          </w:p>
          <w:p>
            <w:pPr>
              <w:spacing w:line="360" w:lineRule="auto"/>
              <w:rPr>
                <w:rFonts w:ascii="宋体" w:hAnsi="宋体" w:cs="宋体"/>
                <w:szCs w:val="21"/>
              </w:rPr>
            </w:pPr>
            <w:r>
              <w:rPr>
                <w:rFonts w:hint="eastAsia" w:ascii="宋体" w:hAnsi="宋体"/>
                <w:szCs w:val="21"/>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375" w:type="dxa"/>
            <w:vAlign w:val="center"/>
          </w:tcPr>
          <w:p>
            <w:pPr>
              <w:spacing w:line="360" w:lineRule="auto"/>
              <w:ind w:left="-38"/>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政策性优惠详见下列评审标准备注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60" w:type="dxa"/>
            <w:vAlign w:val="center"/>
          </w:tcPr>
          <w:p>
            <w:pPr>
              <w:spacing w:line="360" w:lineRule="auto"/>
              <w:ind w:firstLine="28"/>
              <w:jc w:val="center"/>
              <w:rPr>
                <w:rFonts w:ascii="宋体" w:hAnsi="宋体" w:cs="宋体"/>
                <w:szCs w:val="21"/>
              </w:rPr>
            </w:pPr>
            <w:r>
              <w:rPr>
                <w:rFonts w:hint="eastAsia" w:ascii="宋体" w:hAnsi="宋体" w:cs="宋体"/>
                <w:szCs w:val="21"/>
              </w:rPr>
              <w:t>2</w:t>
            </w:r>
          </w:p>
        </w:tc>
        <w:tc>
          <w:tcPr>
            <w:tcW w:w="1223" w:type="dxa"/>
            <w:vAlign w:val="center"/>
          </w:tcPr>
          <w:p>
            <w:pPr>
              <w:spacing w:line="360" w:lineRule="auto"/>
              <w:jc w:val="center"/>
              <w:rPr>
                <w:rFonts w:ascii="宋体" w:hAnsi="宋体" w:cs="宋体"/>
                <w:szCs w:val="21"/>
              </w:rPr>
            </w:pPr>
            <w:r>
              <w:rPr>
                <w:rFonts w:hint="eastAsia" w:ascii="宋体" w:hAnsi="宋体" w:cs="宋体"/>
                <w:szCs w:val="21"/>
              </w:rPr>
              <w:t>技术指标和配置</w:t>
            </w:r>
            <w:r>
              <w:rPr>
                <w:rFonts w:ascii="宋体" w:hAnsi="宋体" w:cs="宋体"/>
                <w:szCs w:val="21"/>
              </w:rPr>
              <w:t>3</w:t>
            </w:r>
            <w:r>
              <w:rPr>
                <w:rFonts w:hint="eastAsia" w:ascii="宋体" w:hAnsi="宋体" w:cs="宋体"/>
                <w:szCs w:val="21"/>
              </w:rPr>
              <w:t>5%</w:t>
            </w:r>
          </w:p>
        </w:tc>
        <w:tc>
          <w:tcPr>
            <w:tcW w:w="620" w:type="dxa"/>
            <w:vAlign w:val="center"/>
          </w:tcPr>
          <w:p>
            <w:pPr>
              <w:spacing w:line="360" w:lineRule="auto"/>
              <w:ind w:firstLine="28"/>
              <w:jc w:val="center"/>
              <w:rPr>
                <w:rFonts w:ascii="宋体" w:hAnsi="宋体" w:cs="宋体"/>
                <w:szCs w:val="21"/>
              </w:rPr>
            </w:pPr>
            <w:r>
              <w:rPr>
                <w:rFonts w:ascii="宋体" w:hAnsi="宋体" w:cs="宋体"/>
                <w:szCs w:val="21"/>
              </w:rPr>
              <w:t>3</w:t>
            </w:r>
            <w:r>
              <w:rPr>
                <w:rFonts w:hint="eastAsia" w:ascii="宋体" w:hAnsi="宋体" w:cs="宋体"/>
                <w:szCs w:val="21"/>
              </w:rPr>
              <w:t>5</w:t>
            </w:r>
          </w:p>
        </w:tc>
        <w:tc>
          <w:tcPr>
            <w:tcW w:w="5399" w:type="dxa"/>
          </w:tcPr>
          <w:p>
            <w:pPr>
              <w:spacing w:line="360" w:lineRule="auto"/>
              <w:rPr>
                <w:rFonts w:ascii="宋体" w:hAnsi="宋体" w:cs="宋体"/>
                <w:b/>
                <w:bCs/>
                <w:szCs w:val="21"/>
              </w:rPr>
            </w:pPr>
            <w:r>
              <w:rPr>
                <w:rFonts w:hint="eastAsia" w:ascii="宋体" w:hAnsi="宋体" w:cs="宋体"/>
                <w:b/>
                <w:bCs/>
                <w:szCs w:val="21"/>
              </w:rPr>
              <w:t>根据供应商提供所投产品的技术指标（参数）的相应的证明材料（包括但不限于产品彩页、测试报告、官网和功能截图等技术支持性文件（资料），经评审专家审定得分。</w:t>
            </w:r>
          </w:p>
          <w:p>
            <w:pPr>
              <w:numPr>
                <w:ilvl w:val="0"/>
                <w:numId w:val="21"/>
              </w:numPr>
              <w:spacing w:line="460" w:lineRule="exact"/>
              <w:jc w:val="left"/>
              <w:rPr>
                <w:rFonts w:ascii="宋体" w:hAnsi="宋体" w:cs="宋体"/>
                <w:szCs w:val="21"/>
              </w:rPr>
            </w:pPr>
            <w:r>
              <w:rPr>
                <w:rFonts w:hint="eastAsia" w:ascii="宋体" w:hAnsi="宋体" w:cs="宋体"/>
                <w:szCs w:val="21"/>
              </w:rPr>
              <w:t>基本分（30分）：完全符合采购文件要求，没有负偏离的得30分；技术参数负偏离</w:t>
            </w:r>
            <w:r>
              <w:rPr>
                <w:rFonts w:hint="eastAsia" w:ascii="宋体" w:hAnsi="宋体" w:cs="宋体"/>
                <w:szCs w:val="21"/>
                <w:lang w:eastAsia="zh-CN"/>
              </w:rPr>
              <w:t>（</w:t>
            </w:r>
            <w:r>
              <w:rPr>
                <w:rFonts w:hint="eastAsia" w:ascii="宋体" w:hAnsi="宋体" w:cs="宋体"/>
                <w:szCs w:val="21"/>
                <w:lang w:val="en-US" w:eastAsia="zh-CN"/>
              </w:rPr>
              <w:t>含演示</w:t>
            </w:r>
            <w:r>
              <w:rPr>
                <w:rFonts w:hint="eastAsia" w:ascii="宋体" w:hAnsi="宋体" w:cs="宋体"/>
                <w:szCs w:val="21"/>
                <w:lang w:eastAsia="zh-CN"/>
              </w:rPr>
              <w:t>）</w:t>
            </w:r>
            <w:r>
              <w:rPr>
                <w:rFonts w:hint="eastAsia" w:ascii="宋体" w:hAnsi="宋体" w:cs="宋体"/>
                <w:szCs w:val="21"/>
              </w:rPr>
              <w:t>每项扣</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其余负偏离每项扣1分</w:t>
            </w:r>
            <w:r>
              <w:rPr>
                <w:rFonts w:hint="eastAsia" w:ascii="宋体" w:hAnsi="宋体" w:cs="宋体"/>
                <w:szCs w:val="21"/>
              </w:rPr>
              <w:t>（配套学习平台需要演示内容现场通过真实系统演示进行佐证，不接受ppt、视频演示，演示时间不超过10分钟），扣完为止。</w:t>
            </w:r>
          </w:p>
          <w:p>
            <w:pPr>
              <w:spacing w:line="460" w:lineRule="exact"/>
              <w:jc w:val="left"/>
            </w:pPr>
            <w:r>
              <w:rPr>
                <w:rFonts w:hint="eastAsia" w:ascii="宋体" w:hAnsi="宋体" w:cs="宋体"/>
                <w:szCs w:val="21"/>
              </w:rPr>
              <w:t>2、加分项（5分）：在基本分的基础上，投标产品主要技术指标、参数经评审专家认定优于招标文件规定的相应技术指标、参数，并且有实质性能提升的（提供证明材料），根据响应程度进行相应加分，技术参数正偏离每项加1分，最多加5分。未提供证明材料的不予加分。</w:t>
            </w:r>
          </w:p>
        </w:tc>
        <w:tc>
          <w:tcPr>
            <w:tcW w:w="1375" w:type="dxa"/>
            <w:vAlign w:val="center"/>
          </w:tcPr>
          <w:p>
            <w:pPr>
              <w:spacing w:line="360" w:lineRule="auto"/>
              <w:rPr>
                <w:rFonts w:ascii="宋体" w:hAnsi="宋体" w:cs="宋体"/>
                <w:szCs w:val="21"/>
              </w:rPr>
            </w:pPr>
            <w:r>
              <w:rPr>
                <w:rFonts w:hint="eastAsia" w:ascii="宋体" w:hAnsi="宋体" w:cs="宋体"/>
                <w:szCs w:val="21"/>
              </w:rPr>
              <w:t>演示现场只提供电源，演示所需的其它如：网络环境搭建、各类信号转换、电脑、线材等自行解决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460" w:type="dxa"/>
            <w:vAlign w:val="center"/>
          </w:tcPr>
          <w:p>
            <w:pPr>
              <w:spacing w:line="360" w:lineRule="auto"/>
              <w:ind w:firstLine="28"/>
              <w:jc w:val="center"/>
              <w:rPr>
                <w:rFonts w:ascii="宋体" w:hAnsi="宋体" w:cs="宋体"/>
                <w:szCs w:val="21"/>
              </w:rPr>
            </w:pPr>
            <w:r>
              <w:rPr>
                <w:rFonts w:hint="eastAsia" w:ascii="宋体" w:hAnsi="宋体" w:cs="宋体"/>
                <w:szCs w:val="21"/>
              </w:rPr>
              <w:t>4</w:t>
            </w:r>
          </w:p>
        </w:tc>
        <w:tc>
          <w:tcPr>
            <w:tcW w:w="1223" w:type="dxa"/>
            <w:vAlign w:val="center"/>
          </w:tcPr>
          <w:p>
            <w:pPr>
              <w:spacing w:line="360" w:lineRule="auto"/>
              <w:jc w:val="center"/>
              <w:rPr>
                <w:rFonts w:ascii="宋体" w:hAnsi="宋体" w:cs="宋体"/>
                <w:szCs w:val="21"/>
              </w:rPr>
            </w:pPr>
            <w:r>
              <w:rPr>
                <w:rFonts w:hint="eastAsia" w:ascii="宋体" w:hAnsi="宋体" w:cs="宋体"/>
                <w:szCs w:val="21"/>
              </w:rPr>
              <w:t>项目实施方案</w:t>
            </w:r>
          </w:p>
          <w:p>
            <w:pPr>
              <w:spacing w:line="360" w:lineRule="auto"/>
              <w:jc w:val="center"/>
              <w:rPr>
                <w:rFonts w:ascii="宋体" w:hAnsi="宋体" w:cs="宋体"/>
                <w:szCs w:val="21"/>
              </w:rPr>
            </w:pPr>
            <w:r>
              <w:rPr>
                <w:rFonts w:hint="eastAsia" w:ascii="宋体" w:hAnsi="宋体" w:cs="宋体"/>
                <w:szCs w:val="21"/>
              </w:rPr>
              <w:t>6%</w:t>
            </w:r>
          </w:p>
        </w:tc>
        <w:tc>
          <w:tcPr>
            <w:tcW w:w="620" w:type="dxa"/>
            <w:vAlign w:val="center"/>
          </w:tcPr>
          <w:p>
            <w:pPr>
              <w:spacing w:line="360" w:lineRule="auto"/>
              <w:jc w:val="center"/>
              <w:rPr>
                <w:rFonts w:ascii="宋体" w:hAnsi="宋体" w:cs="宋体"/>
                <w:szCs w:val="21"/>
              </w:rPr>
            </w:pPr>
            <w:r>
              <w:rPr>
                <w:rFonts w:hint="eastAsia" w:ascii="宋体" w:hAnsi="宋体" w:cs="宋体"/>
                <w:szCs w:val="21"/>
              </w:rPr>
              <w:t>6</w:t>
            </w:r>
          </w:p>
        </w:tc>
        <w:tc>
          <w:tcPr>
            <w:tcW w:w="5399" w:type="dxa"/>
          </w:tcPr>
          <w:p>
            <w:pPr>
              <w:spacing w:line="360" w:lineRule="auto"/>
              <w:rPr>
                <w:rFonts w:ascii="宋体" w:hAnsi="宋体" w:cs="宋体"/>
                <w:szCs w:val="21"/>
              </w:rPr>
            </w:pPr>
            <w:r>
              <w:rPr>
                <w:rFonts w:hint="eastAsia" w:ascii="宋体" w:hAnsi="宋体" w:cs="宋体"/>
                <w:szCs w:val="21"/>
              </w:rPr>
              <w:t>根据投标人提供的针对本项目具体实施方案（至少包含备货、供货进度及保证措施，安装、检测、调试措施，安全保障措施，应急处理措施）。方案内容针对性强，完整、全面、详细计4.1-6分；方案内容不够完整、全面的计2.1-4分；方案内容有严重欠缺的计1-2分；未提供项目实施方案不计分。</w:t>
            </w:r>
          </w:p>
        </w:tc>
        <w:tc>
          <w:tcPr>
            <w:tcW w:w="1375" w:type="dxa"/>
            <w:vAlign w:val="center"/>
          </w:tcPr>
          <w:p>
            <w:pPr>
              <w:spacing w:line="480" w:lineRule="auto"/>
              <w:ind w:left="-4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60" w:type="dxa"/>
            <w:vAlign w:val="center"/>
          </w:tcPr>
          <w:p>
            <w:pPr>
              <w:spacing w:line="360" w:lineRule="auto"/>
              <w:ind w:firstLine="28"/>
              <w:jc w:val="center"/>
              <w:rPr>
                <w:rFonts w:ascii="宋体" w:hAnsi="宋体" w:cs="宋体"/>
                <w:szCs w:val="21"/>
              </w:rPr>
            </w:pPr>
            <w:r>
              <w:rPr>
                <w:rFonts w:hint="eastAsia" w:ascii="宋体" w:hAnsi="宋体" w:cs="宋体"/>
                <w:szCs w:val="21"/>
              </w:rPr>
              <w:t>5</w:t>
            </w:r>
          </w:p>
        </w:tc>
        <w:tc>
          <w:tcPr>
            <w:tcW w:w="1223" w:type="dxa"/>
            <w:vAlign w:val="center"/>
          </w:tcPr>
          <w:p>
            <w:pPr>
              <w:spacing w:line="360" w:lineRule="auto"/>
              <w:jc w:val="center"/>
              <w:rPr>
                <w:rFonts w:ascii="宋体" w:hAnsi="宋体" w:cs="宋体"/>
                <w:szCs w:val="21"/>
              </w:rPr>
            </w:pPr>
            <w:r>
              <w:rPr>
                <w:rFonts w:hint="eastAsia" w:ascii="宋体" w:hAnsi="宋体" w:cs="宋体"/>
                <w:szCs w:val="21"/>
              </w:rPr>
              <w:t>质量保证5%</w:t>
            </w:r>
          </w:p>
        </w:tc>
        <w:tc>
          <w:tcPr>
            <w:tcW w:w="62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5399" w:type="dxa"/>
          </w:tcPr>
          <w:p>
            <w:pPr>
              <w:spacing w:line="500" w:lineRule="exact"/>
              <w:rPr>
                <w:rFonts w:ascii="宋体" w:hAnsi="宋体" w:cs="宋体"/>
                <w:szCs w:val="21"/>
              </w:rPr>
            </w:pPr>
            <w:r>
              <w:rPr>
                <w:rFonts w:hint="eastAsia" w:ascii="宋体" w:hAnsi="宋体" w:cs="宋体"/>
                <w:szCs w:val="21"/>
              </w:rPr>
              <w:t>（1）投标人提供的“动力电池装调平台”产品需符合教育部新能源汽车证书的考核要求，同时满足成为此证书评价组织考点建设要求，需要提供评价组织认证佐证材料，提供得1分，不提供不得分；</w:t>
            </w:r>
          </w:p>
          <w:p>
            <w:pPr>
              <w:spacing w:line="500" w:lineRule="exact"/>
              <w:rPr>
                <w:rFonts w:ascii="宋体" w:hAnsi="宋体" w:cs="宋体"/>
                <w:szCs w:val="21"/>
              </w:rPr>
            </w:pPr>
            <w:r>
              <w:rPr>
                <w:rFonts w:hint="eastAsia" w:ascii="宋体" w:hAnsi="宋体" w:cs="宋体"/>
                <w:szCs w:val="21"/>
              </w:rPr>
              <w:t>（2）投标人提供的“驱动电机装调平台”产品需符合教育部新能源汽车证书的考核要求，同时满足成为此证书评价组织考点建设要求，需要提供评价组织认证佐证材料，提供得1分，不提供不得分；</w:t>
            </w:r>
          </w:p>
          <w:p>
            <w:pPr>
              <w:spacing w:line="500" w:lineRule="exact"/>
              <w:rPr>
                <w:rFonts w:ascii="宋体" w:hAnsi="宋体" w:cs="宋体"/>
                <w:szCs w:val="21"/>
              </w:rPr>
            </w:pPr>
            <w:r>
              <w:rPr>
                <w:rFonts w:hint="eastAsia" w:ascii="宋体" w:hAnsi="宋体" w:cs="宋体"/>
                <w:szCs w:val="21"/>
              </w:rPr>
              <w:t>（3）投标人提供汽车职业教育云服务</w:t>
            </w:r>
            <w:r>
              <w:rPr>
                <w:rFonts w:hint="eastAsia" w:ascii="宋体" w:hAnsi="宋体" w:cs="宋体"/>
                <w:szCs w:val="21"/>
                <w:lang w:val="en-US" w:eastAsia="zh-CN"/>
              </w:rPr>
              <w:t>平台</w:t>
            </w:r>
            <w:r>
              <w:rPr>
                <w:rFonts w:hint="eastAsia" w:ascii="宋体" w:hAnsi="宋体" w:cs="宋体"/>
                <w:szCs w:val="21"/>
              </w:rPr>
              <w:t>新能源汽车系统</w:t>
            </w:r>
            <w:r>
              <w:rPr>
                <w:rFonts w:hint="eastAsia" w:ascii="宋体" w:hAnsi="宋体" w:cs="宋体"/>
                <w:szCs w:val="21"/>
                <w:lang w:val="en-US" w:eastAsia="zh-CN"/>
              </w:rPr>
              <w:t>计算机</w:t>
            </w:r>
            <w:r>
              <w:rPr>
                <w:rFonts w:hint="eastAsia" w:ascii="宋体" w:hAnsi="宋体" w:cs="宋体"/>
                <w:szCs w:val="21"/>
              </w:rPr>
              <w:t>软件著作权登记证书、新能源汽车教学数据采集及故障排查系统计算机软件著作权登记证书、电机控制系统智能实训台操作系统软件著作权证书”复印件，每提供1个得1分，最高得3分，不提供不得分。</w:t>
            </w:r>
          </w:p>
        </w:tc>
        <w:tc>
          <w:tcPr>
            <w:tcW w:w="1375" w:type="dxa"/>
            <w:vAlign w:val="center"/>
          </w:tcPr>
          <w:p>
            <w:pPr>
              <w:spacing w:line="360" w:lineRule="auto"/>
              <w:ind w:left="-38"/>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460" w:type="dxa"/>
            <w:vAlign w:val="center"/>
          </w:tcPr>
          <w:p>
            <w:pPr>
              <w:spacing w:line="360" w:lineRule="auto"/>
              <w:ind w:firstLine="28"/>
              <w:jc w:val="center"/>
              <w:rPr>
                <w:rFonts w:ascii="宋体" w:hAnsi="宋体" w:cs="宋体"/>
                <w:szCs w:val="21"/>
              </w:rPr>
            </w:pPr>
            <w:r>
              <w:rPr>
                <w:rFonts w:hint="eastAsia" w:ascii="宋体" w:hAnsi="宋体" w:cs="宋体"/>
                <w:szCs w:val="21"/>
              </w:rPr>
              <w:t>6</w:t>
            </w:r>
          </w:p>
        </w:tc>
        <w:tc>
          <w:tcPr>
            <w:tcW w:w="1223" w:type="dxa"/>
            <w:vAlign w:val="center"/>
          </w:tcPr>
          <w:p>
            <w:pPr>
              <w:spacing w:line="360" w:lineRule="auto"/>
              <w:jc w:val="center"/>
              <w:rPr>
                <w:rFonts w:ascii="宋体" w:hAnsi="宋体" w:cs="宋体"/>
                <w:szCs w:val="21"/>
              </w:rPr>
            </w:pPr>
            <w:r>
              <w:rPr>
                <w:rFonts w:hint="eastAsia" w:ascii="宋体" w:hAnsi="宋体" w:cs="宋体"/>
                <w:szCs w:val="21"/>
              </w:rPr>
              <w:t>售后服务</w:t>
            </w:r>
          </w:p>
          <w:p>
            <w:pPr>
              <w:spacing w:line="360" w:lineRule="auto"/>
              <w:jc w:val="center"/>
              <w:rPr>
                <w:rFonts w:ascii="宋体" w:hAnsi="宋体" w:cs="宋体"/>
                <w:szCs w:val="21"/>
              </w:rPr>
            </w:pPr>
            <w:r>
              <w:rPr>
                <w:rFonts w:hint="eastAsia" w:ascii="宋体" w:hAnsi="宋体" w:cs="宋体"/>
                <w:szCs w:val="21"/>
              </w:rPr>
              <w:t>8%</w:t>
            </w:r>
          </w:p>
        </w:tc>
        <w:tc>
          <w:tcPr>
            <w:tcW w:w="62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5399" w:type="dxa"/>
          </w:tcPr>
          <w:p>
            <w:pPr>
              <w:spacing w:line="360" w:lineRule="auto"/>
              <w:rPr>
                <w:rFonts w:ascii="宋体" w:hAnsi="宋体" w:cs="宋体"/>
                <w:szCs w:val="21"/>
              </w:rPr>
            </w:pPr>
            <w:r>
              <w:rPr>
                <w:rFonts w:hint="eastAsia" w:ascii="宋体" w:hAnsi="宋体"/>
                <w:szCs w:val="21"/>
              </w:rPr>
              <w:t>投标人提供售后服务方案（包含但不限于售后服务保障措施、售后服务人员配置及计划、故障处理等的响应时间安排计划、质量保证期限、质量保证的范围承诺、应急处理方案）</w:t>
            </w:r>
            <w:r>
              <w:rPr>
                <w:rFonts w:hint="eastAsia" w:ascii="宋体" w:hAnsi="宋体" w:cs="宋体"/>
                <w:szCs w:val="21"/>
              </w:rPr>
              <w:t>，方案充实详细、有质量保证承诺，计6.1-8分；有售后服务方案及完整的售后服务承诺，满足质保期内的服务要求，有售后服务的措施，计4.1-6分；售后服务方案不完整，没有针对本项目的售后服务承诺和具体措施，计1-4分；没有售后服务方案不得分。</w:t>
            </w:r>
          </w:p>
        </w:tc>
        <w:tc>
          <w:tcPr>
            <w:tcW w:w="1375" w:type="dxa"/>
            <w:vAlign w:val="center"/>
          </w:tcPr>
          <w:p>
            <w:pPr>
              <w:spacing w:line="360" w:lineRule="auto"/>
              <w:ind w:left="-38"/>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宋体"/>
                <w:szCs w:val="21"/>
              </w:rPr>
            </w:pPr>
            <w:r>
              <w:rPr>
                <w:rFonts w:hint="eastAsia" w:ascii="宋体" w:hAnsi="宋体" w:cs="宋体"/>
                <w:szCs w:val="21"/>
              </w:rPr>
              <w:t>7</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培训方案</w:t>
            </w:r>
          </w:p>
          <w:p>
            <w:pPr>
              <w:spacing w:line="360" w:lineRule="auto"/>
              <w:jc w:val="center"/>
              <w:rPr>
                <w:rFonts w:ascii="宋体" w:hAnsi="宋体" w:cs="宋体"/>
                <w:szCs w:val="21"/>
              </w:rPr>
            </w:pPr>
            <w:r>
              <w:rPr>
                <w:rFonts w:hint="eastAsia" w:ascii="宋体" w:hAnsi="宋体" w:cs="宋体"/>
                <w:szCs w:val="21"/>
              </w:rPr>
              <w:t>6%</w:t>
            </w:r>
          </w:p>
        </w:tc>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6</w:t>
            </w:r>
          </w:p>
        </w:tc>
        <w:tc>
          <w:tcPr>
            <w:tcW w:w="53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根据供应商提供的培训方案及培训效果保证措施等进行综合评分，培训采购人指定的技术人员和管理人员，制定培训课程计划表，列出每种培训的地点和时间、培训的内容、方式、次数等，培训内容应包括所提供产品的原理和技术性能、操作维护方法、安装调试、排除故障等各个方面，培训的具体日期及人数由使用单位确定。培训方案明确，方案完善、科学合理，针对性强、服务承诺明确，计4.1-6分；方案较完整、合理可行、特点和承诺不明确，2.1-4分；方案内容不完整，响应有缺项，与实际需求不符，计1-2分；未提供不计分。</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60" w:lineRule="auto"/>
              <w:ind w:left="-38"/>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宋体"/>
                <w:szCs w:val="21"/>
              </w:rPr>
            </w:pPr>
            <w:r>
              <w:rPr>
                <w:rFonts w:hint="eastAsia" w:ascii="宋体" w:hAnsi="宋体" w:cs="宋体"/>
                <w:szCs w:val="21"/>
              </w:rPr>
              <w:t>8</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人员配备4%</w:t>
            </w:r>
          </w:p>
        </w:tc>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4</w:t>
            </w:r>
          </w:p>
        </w:tc>
        <w:tc>
          <w:tcPr>
            <w:tcW w:w="53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根据投标人针对本项目提供的服务团队进行综合比较；服务团队结构合理、人员分工明确、相应专业技术人员齐全，专业人员能力和业务经验的证明材料齐全，计2.1-4分；服务团队结构基本合理、人员分工基本明确、相应人员证书或证明资料不全，计1-2分；未提供不计分。</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60" w:lineRule="auto"/>
              <w:ind w:left="-38"/>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4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宋体"/>
                <w:szCs w:val="21"/>
              </w:rPr>
            </w:pPr>
            <w:r>
              <w:rPr>
                <w:rFonts w:hint="eastAsia" w:ascii="宋体" w:hAnsi="宋体" w:cs="宋体"/>
                <w:szCs w:val="21"/>
              </w:rPr>
              <w:t>9</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业绩</w:t>
            </w:r>
          </w:p>
          <w:p>
            <w:pPr>
              <w:spacing w:line="360" w:lineRule="auto"/>
              <w:jc w:val="center"/>
              <w:rPr>
                <w:rFonts w:ascii="宋体" w:hAnsi="宋体" w:cs="宋体"/>
                <w:szCs w:val="21"/>
              </w:rPr>
            </w:pPr>
            <w:r>
              <w:rPr>
                <w:rFonts w:hint="eastAsia" w:ascii="宋体" w:hAnsi="宋体" w:cs="宋体"/>
                <w:szCs w:val="21"/>
              </w:rPr>
              <w:t>5%</w:t>
            </w:r>
          </w:p>
        </w:tc>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5</w:t>
            </w:r>
          </w:p>
        </w:tc>
        <w:tc>
          <w:tcPr>
            <w:tcW w:w="53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根据投标人提供的2019年1月1日至今所投同类业绩（以合同签订日期为准，仅限投标人本身，提供合同复印件）进行评定，每份计1分，最高计5分。</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60" w:lineRule="auto"/>
              <w:ind w:left="-38"/>
              <w:jc w:val="center"/>
              <w:rPr>
                <w:rFonts w:ascii="宋体" w:hAnsi="宋体" w:cs="宋体"/>
                <w:szCs w:val="21"/>
              </w:rPr>
            </w:pPr>
            <w:r>
              <w:rPr>
                <w:rFonts w:hint="eastAsia" w:ascii="宋体" w:hAnsi="宋体" w:cs="宋体"/>
                <w:szCs w:val="21"/>
              </w:rPr>
              <w:t>（业绩原件开标现场携带备查）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46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ascii="宋体" w:hAnsi="宋体" w:cs="宋体"/>
                <w:szCs w:val="21"/>
              </w:rPr>
            </w:pPr>
            <w:r>
              <w:rPr>
                <w:rFonts w:hint="eastAsia" w:ascii="宋体" w:hAnsi="宋体" w:cs="宋体"/>
                <w:szCs w:val="21"/>
              </w:rPr>
              <w:t>10</w:t>
            </w:r>
          </w:p>
        </w:tc>
        <w:tc>
          <w:tcPr>
            <w:tcW w:w="1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节能</w:t>
            </w:r>
          </w:p>
          <w:p>
            <w:pPr>
              <w:spacing w:line="360" w:lineRule="auto"/>
              <w:jc w:val="center"/>
              <w:rPr>
                <w:rFonts w:ascii="宋体" w:hAnsi="宋体" w:cs="宋体"/>
                <w:szCs w:val="21"/>
              </w:rPr>
            </w:pPr>
            <w:r>
              <w:rPr>
                <w:rFonts w:hint="eastAsia" w:ascii="宋体" w:hAnsi="宋体" w:cs="宋体"/>
                <w:szCs w:val="21"/>
              </w:rPr>
              <w:t>环保</w:t>
            </w:r>
          </w:p>
          <w:p>
            <w:pPr>
              <w:spacing w:line="360" w:lineRule="auto"/>
              <w:jc w:val="center"/>
              <w:rPr>
                <w:rFonts w:ascii="宋体" w:hAnsi="宋体" w:cs="宋体"/>
                <w:szCs w:val="21"/>
              </w:rPr>
            </w:pPr>
            <w:r>
              <w:rPr>
                <w:rFonts w:hint="eastAsia" w:ascii="宋体" w:hAnsi="宋体" w:cs="宋体"/>
                <w:szCs w:val="21"/>
              </w:rPr>
              <w:t>1%</w:t>
            </w:r>
          </w:p>
        </w:tc>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53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供应商提供的产品属于《节能产品政府采购品目清单》内产品，提供有效期内的节能产品证书，每提供1项得0.5分，属于《环境标志产品政府采购品目清单》内产品的，提供有效期内的环境标志产品证书，每提供1项得0.5分，供应商所投产品中每有一项产品同时为节能产品政府采购品目清单和环境标志产品政府采购品目清单中的设备的，提供有效期内的证书，得1分，最多得1分。（备注：以《中国政府采购网》颁布品目清单为准。）</w:t>
            </w:r>
          </w:p>
        </w:tc>
        <w:tc>
          <w:tcPr>
            <w:tcW w:w="1375" w:type="dxa"/>
            <w:tcBorders>
              <w:top w:val="single" w:color="auto" w:sz="4" w:space="0"/>
              <w:left w:val="single" w:color="auto" w:sz="4" w:space="0"/>
              <w:bottom w:val="single" w:color="auto" w:sz="4" w:space="0"/>
              <w:right w:val="single" w:color="auto" w:sz="4" w:space="0"/>
            </w:tcBorders>
            <w:vAlign w:val="center"/>
          </w:tcPr>
          <w:p>
            <w:pPr>
              <w:spacing w:line="360" w:lineRule="auto"/>
              <w:ind w:left="-38"/>
              <w:rPr>
                <w:rFonts w:ascii="宋体" w:hAnsi="宋体" w:cs="宋体"/>
                <w:szCs w:val="21"/>
              </w:rPr>
            </w:pPr>
          </w:p>
        </w:tc>
      </w:tr>
    </w:tbl>
    <w:p>
      <w:pPr>
        <w:spacing w:line="360" w:lineRule="auto"/>
        <w:rPr>
          <w:rFonts w:ascii="宋体" w:hAnsi="宋体" w:cs="宋体"/>
          <w:b/>
          <w:bCs/>
          <w:sz w:val="24"/>
        </w:rPr>
      </w:pPr>
      <w:r>
        <w:rPr>
          <w:rFonts w:hint="eastAsia" w:ascii="宋体" w:hAnsi="宋体" w:cs="宋体"/>
          <w:b/>
          <w:bCs/>
          <w:sz w:val="24"/>
        </w:rPr>
        <w:t xml:space="preserve">评审标准备注： </w:t>
      </w:r>
    </w:p>
    <w:p>
      <w:pPr>
        <w:spacing w:line="360" w:lineRule="auto"/>
        <w:ind w:firstLine="482" w:firstLineChars="200"/>
        <w:rPr>
          <w:rFonts w:ascii="宋体" w:hAnsi="宋体" w:cs="宋体"/>
          <w:b/>
          <w:bCs/>
          <w:sz w:val="24"/>
        </w:rPr>
      </w:pPr>
      <w:r>
        <w:rPr>
          <w:rFonts w:hint="eastAsia" w:ascii="宋体" w:hAnsi="宋体" w:cs="宋体"/>
          <w:b/>
          <w:bCs/>
          <w:sz w:val="24"/>
        </w:rPr>
        <w:t>1.对于非专门面向中小企业的项目、残疾人福利性单位的项目，对小型和微型企业、残疾人福利性单位产品的价格给予</w:t>
      </w:r>
      <w:r>
        <w:rPr>
          <w:rFonts w:hint="eastAsia" w:ascii="宋体" w:hAnsi="宋体" w:cs="宋体"/>
          <w:b/>
          <w:bCs/>
          <w:sz w:val="24"/>
          <w:lang w:val="en-US" w:eastAsia="zh-CN"/>
        </w:rPr>
        <w:t>10</w:t>
      </w:r>
      <w:r>
        <w:rPr>
          <w:rFonts w:hint="eastAsia" w:ascii="宋体" w:hAnsi="宋体" w:cs="宋体"/>
          <w:b/>
          <w:bCs/>
          <w:sz w:val="24"/>
        </w:rPr>
        <w:t>%的扣除，用扣除后的价格参与评审，残疾人福利性单位属于小型、微型企业的，不重复享受政策；</w:t>
      </w:r>
    </w:p>
    <w:p>
      <w:pPr>
        <w:spacing w:line="360" w:lineRule="auto"/>
        <w:ind w:firstLine="482" w:firstLineChars="200"/>
        <w:rPr>
          <w:rFonts w:ascii="宋体" w:hAnsi="宋体" w:cs="宋体"/>
          <w:b/>
          <w:bCs/>
          <w:sz w:val="24"/>
        </w:rPr>
      </w:pPr>
      <w:r>
        <w:rPr>
          <w:rFonts w:hint="eastAsia" w:ascii="宋体" w:hAnsi="宋体" w:cs="宋体"/>
          <w:b/>
          <w:bCs/>
          <w:sz w:val="24"/>
        </w:rPr>
        <w:t>2.《关于政府采购支持监狱企业发展有关问题的通知》（财库〔2014〕68号）的规定，对监狱企业给予</w:t>
      </w:r>
      <w:r>
        <w:rPr>
          <w:rFonts w:hint="eastAsia" w:ascii="宋体" w:hAnsi="宋体" w:cs="宋体"/>
          <w:b/>
          <w:bCs/>
          <w:sz w:val="24"/>
          <w:lang w:val="en-US" w:eastAsia="zh-CN"/>
        </w:rPr>
        <w:t>10</w:t>
      </w:r>
      <w:r>
        <w:rPr>
          <w:rFonts w:hint="eastAsia" w:ascii="宋体" w:hAnsi="宋体" w:cs="宋体"/>
          <w:b/>
          <w:bCs/>
          <w:sz w:val="24"/>
        </w:rPr>
        <w:t>%的价格扣除，用扣除后的价格参与评审（提供由省级以上监狱管理局、戒毒管理局（含新疆生产建设兵团）出具的属于监狱企业的证明文件）；</w:t>
      </w:r>
    </w:p>
    <w:p>
      <w:pPr>
        <w:spacing w:line="360" w:lineRule="auto"/>
        <w:ind w:firstLine="482" w:firstLineChars="200"/>
        <w:rPr>
          <w:rFonts w:ascii="宋体" w:hAnsi="宋体" w:cs="宋体"/>
          <w:b/>
          <w:bCs/>
          <w:sz w:val="24"/>
        </w:rPr>
      </w:pPr>
      <w:r>
        <w:rPr>
          <w:rFonts w:hint="eastAsia" w:ascii="宋体" w:hAnsi="宋体" w:cs="宋体"/>
          <w:b/>
          <w:bCs/>
          <w:sz w:val="24"/>
        </w:rPr>
        <w:t>3.节能环保产品以节能产品、环境标志产品认证证书为准；</w:t>
      </w:r>
    </w:p>
    <w:p>
      <w:pPr>
        <w:spacing w:line="360" w:lineRule="auto"/>
        <w:ind w:firstLine="482" w:firstLineChars="200"/>
        <w:rPr>
          <w:rFonts w:ascii="宋体" w:hAnsi="宋体" w:cs="宋体"/>
          <w:b/>
          <w:bCs/>
          <w:sz w:val="24"/>
        </w:rPr>
      </w:pPr>
      <w:r>
        <w:rPr>
          <w:rFonts w:hint="eastAsia" w:ascii="宋体" w:hAnsi="宋体" w:cs="宋体"/>
          <w:b/>
          <w:bCs/>
          <w:sz w:val="24"/>
        </w:rPr>
        <w:t>4.技术参数正偏离须在技术响应表中注明正偏离的理由和佐证材料的页码；</w:t>
      </w:r>
    </w:p>
    <w:p>
      <w:pPr>
        <w:spacing w:line="360" w:lineRule="auto"/>
        <w:ind w:firstLine="482" w:firstLineChars="200"/>
        <w:rPr>
          <w:rFonts w:ascii="宋体" w:hAnsi="宋体" w:cs="宋体"/>
          <w:b/>
          <w:bCs/>
          <w:sz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sz w:val="24"/>
        </w:rPr>
        <w:t>5.评审指标出现漏项的最低得分为零分。</w:t>
      </w:r>
      <w:bookmarkStart w:id="174" w:name="_Toc262"/>
    </w:p>
    <w:bookmarkEnd w:id="174"/>
    <w:p>
      <w:pPr>
        <w:pStyle w:val="2"/>
        <w:pageBreakBefore/>
        <w:numPr>
          <w:ilvl w:val="0"/>
          <w:numId w:val="20"/>
        </w:numPr>
        <w:spacing w:before="319" w:beforeLines="100" w:after="319" w:afterLines="100" w:line="500" w:lineRule="exact"/>
        <w:rPr>
          <w:rFonts w:ascii="宋体" w:hAnsi="宋体" w:cs="宋体"/>
          <w:color w:val="000000"/>
          <w:sz w:val="36"/>
          <w:szCs w:val="36"/>
        </w:rPr>
      </w:pPr>
      <w:bookmarkStart w:id="175" w:name="_Toc2536"/>
      <w:bookmarkStart w:id="176" w:name="_Toc15647"/>
      <w:bookmarkStart w:id="177" w:name="_Toc6835"/>
      <w:r>
        <w:rPr>
          <w:rFonts w:hint="eastAsia" w:ascii="宋体" w:hAnsi="宋体" w:cs="宋体"/>
          <w:color w:val="000000"/>
          <w:sz w:val="36"/>
          <w:szCs w:val="36"/>
        </w:rPr>
        <w:t xml:space="preserve"> </w:t>
      </w:r>
      <w:bookmarkStart w:id="178" w:name="_Toc29655"/>
      <w:bookmarkStart w:id="179" w:name="_Toc24448"/>
      <w:r>
        <w:rPr>
          <w:rFonts w:hint="eastAsia" w:ascii="宋体" w:hAnsi="宋体" w:cs="宋体"/>
          <w:color w:val="000000"/>
          <w:sz w:val="36"/>
          <w:szCs w:val="36"/>
        </w:rPr>
        <w:t>采购要求</w:t>
      </w:r>
      <w:bookmarkEnd w:id="178"/>
      <w:bookmarkEnd w:id="179"/>
    </w:p>
    <w:p>
      <w:pPr>
        <w:numPr>
          <w:ilvl w:val="0"/>
          <w:numId w:val="22"/>
        </w:numPr>
        <w:bidi w:val="0"/>
        <w:spacing w:line="360" w:lineRule="auto"/>
        <w:rPr>
          <w:rFonts w:hint="eastAsia" w:ascii="宋体" w:hAnsi="宋体" w:cs="宋体"/>
          <w:b/>
          <w:bCs/>
          <w:color w:val="000000"/>
          <w:szCs w:val="28"/>
          <w:lang w:eastAsia="zh-CN"/>
        </w:rPr>
      </w:pPr>
      <w:r>
        <w:rPr>
          <w:rFonts w:hint="eastAsia" w:ascii="宋体" w:hAnsi="宋体" w:cs="宋体"/>
          <w:b/>
          <w:bCs/>
          <w:color w:val="000000"/>
          <w:szCs w:val="28"/>
          <w:lang w:eastAsia="zh-CN"/>
        </w:rPr>
        <w:t>项目概况：</w:t>
      </w:r>
    </w:p>
    <w:p>
      <w:pPr>
        <w:numPr>
          <w:ilvl w:val="0"/>
          <w:numId w:val="0"/>
        </w:numPr>
        <w:bidi w:val="0"/>
        <w:spacing w:line="360" w:lineRule="auto"/>
        <w:ind w:firstLine="480" w:firstLineChars="200"/>
        <w:rPr>
          <w:rFonts w:hint="eastAsia"/>
          <w:sz w:val="24"/>
          <w:szCs w:val="24"/>
          <w:lang w:eastAsia="zh-CN"/>
        </w:rPr>
      </w:pPr>
      <w:r>
        <w:rPr>
          <w:rFonts w:hint="eastAsia"/>
          <w:sz w:val="24"/>
          <w:szCs w:val="24"/>
          <w:lang w:eastAsia="zh-CN"/>
        </w:rPr>
        <w:t>本项目为适应和满足新能源汽车专业群人才培养及新能源汽车技术专业培训和对外服务而新建新能源汽车实训室，满足40人进行相关新能源汽车实训及培训。建设地址为汽车工程中心，总面积约360㎡。</w:t>
      </w:r>
    </w:p>
    <w:p>
      <w:pPr>
        <w:rPr>
          <w:rFonts w:hint="eastAsia" w:eastAsia="宋体"/>
          <w:b/>
          <w:bCs/>
          <w:sz w:val="28"/>
          <w:szCs w:val="28"/>
          <w:lang w:eastAsia="zh-CN"/>
        </w:rPr>
      </w:pPr>
      <w:r>
        <w:rPr>
          <w:rFonts w:hint="eastAsia" w:ascii="宋体" w:hAnsi="宋体" w:cs="宋体"/>
          <w:b/>
          <w:bCs/>
          <w:sz w:val="28"/>
          <w:szCs w:val="28"/>
          <w:lang w:val="en-US" w:eastAsia="zh-CN"/>
        </w:rPr>
        <w:t>二、技术参数要求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33"/>
        <w:gridCol w:w="3591"/>
        <w:gridCol w:w="1909"/>
        <w:gridCol w:w="514"/>
        <w:gridCol w:w="732"/>
        <w:gridCol w:w="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15"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03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货物名称</w:t>
            </w:r>
          </w:p>
        </w:tc>
        <w:tc>
          <w:tcPr>
            <w:tcW w:w="3591"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技术规格参数要求</w:t>
            </w:r>
          </w:p>
        </w:tc>
        <w:tc>
          <w:tcPr>
            <w:tcW w:w="1909"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功能要求</w:t>
            </w:r>
          </w:p>
        </w:tc>
        <w:tc>
          <w:tcPr>
            <w:tcW w:w="514"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732"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1"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0"/>
                <w:sz w:val="21"/>
                <w:szCs w:val="21"/>
                <w:lang w:val="en-US" w:eastAsia="zh-CN"/>
              </w:rPr>
              <w:t>纯电动汽车整车测试平台</w:t>
            </w:r>
          </w:p>
        </w:tc>
        <w:tc>
          <w:tcPr>
            <w:tcW w:w="3591" w:type="dxa"/>
            <w:noWrap w:val="0"/>
            <w:vAlign w:val="center"/>
          </w:tcPr>
          <w:p>
            <w:pPr>
              <w:pStyle w:val="10"/>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1、整车台架介绍</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全新纯电动汽车，搭载胎压报警、倒车影像、全速自适应巡航、多种驾驶模式切换辅助功能，平台配合整车使用，具备电池管理系统、电机控制系统、充配电系统、整车控制系统、车身控制系统等部件的控制逻辑、CAN网络连接方式、整车数据测量、故障设置与排除。通过以上功能配合教师完成日常教学任务，培养学生新能源汽车故障诊断能力、新能源汽车数据测量与分析能力。</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2、整车技术规格</w:t>
            </w:r>
          </w:p>
          <w:p>
            <w:pPr>
              <w:pStyle w:val="24"/>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设备体积外形指标</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长×宽×高（mm）： ≥4750×1820×1500</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轴距（mm）： ≥2700</w:t>
            </w:r>
          </w:p>
          <w:p>
            <w:pPr>
              <w:pStyle w:val="24"/>
              <w:keepNext w:val="0"/>
              <w:keepLines w:val="0"/>
              <w:pageBreakBefore w:val="0"/>
              <w:numPr>
                <w:ilvl w:val="0"/>
                <w:numId w:val="0"/>
              </w:numPr>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设备技术参数</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轮距前/后（mm）：≥1550/1550</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轮胎规格 ≥215/55R17</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实车操作教学：正常全流程</w:t>
            </w:r>
            <w:r>
              <w:rPr>
                <w:rFonts w:hint="eastAsia" w:ascii="宋体" w:hAnsi="宋体" w:cs="宋体"/>
                <w:color w:val="auto"/>
                <w:sz w:val="21"/>
                <w:szCs w:val="21"/>
                <w:lang w:val="en-US" w:eastAsia="zh-CN"/>
              </w:rPr>
              <w:t>实</w:t>
            </w:r>
            <w:r>
              <w:rPr>
                <w:rFonts w:hint="eastAsia" w:ascii="宋体" w:hAnsi="宋体" w:eastAsia="宋体" w:cs="宋体"/>
                <w:color w:val="auto"/>
                <w:sz w:val="21"/>
                <w:szCs w:val="21"/>
                <w:lang w:val="en-US" w:eastAsia="zh-CN"/>
              </w:rPr>
              <w:t>车；</w:t>
            </w:r>
            <w:r>
              <w:rPr>
                <w:rFonts w:hint="eastAsia" w:ascii="宋体" w:hAnsi="宋体" w:cs="宋体"/>
                <w:color w:val="auto"/>
                <w:sz w:val="21"/>
                <w:szCs w:val="21"/>
                <w:lang w:val="en-US" w:eastAsia="zh-CN"/>
              </w:rPr>
              <w:t>实</w:t>
            </w:r>
            <w:r>
              <w:rPr>
                <w:rFonts w:hint="eastAsia" w:ascii="宋体" w:hAnsi="宋体" w:eastAsia="宋体" w:cs="宋体"/>
                <w:color w:val="auto"/>
                <w:sz w:val="21"/>
                <w:szCs w:val="21"/>
                <w:lang w:val="en-US" w:eastAsia="zh-CN"/>
              </w:rPr>
              <w:t>车故障模拟分析。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部件结构教学：动力电池、驱动电机、电控系统、压缩机等部件结构、原理等线上教学资源；新能源汽车的保养、维护、检修</w:t>
            </w:r>
            <w:r>
              <w:rPr>
                <w:rFonts w:hint="eastAsia" w:ascii="宋体" w:hAnsi="宋体" w:cs="宋体"/>
                <w:color w:val="auto"/>
                <w:sz w:val="21"/>
                <w:szCs w:val="21"/>
                <w:lang w:val="en-US" w:eastAsia="zh-CN"/>
              </w:rPr>
              <w:t>。</w:t>
            </w: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套</w:t>
            </w:r>
          </w:p>
        </w:tc>
        <w:tc>
          <w:tcPr>
            <w:tcW w:w="732"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42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故障诊断仪</w:t>
            </w:r>
          </w:p>
        </w:tc>
        <w:tc>
          <w:tcPr>
            <w:tcW w:w="35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技术要求：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1、本检测仪为一款适用于所有乘用车、轻卡故障诊断检测设备；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2、适合全系统车辆诊断，具备故障引导功能、部件测试功能、故障码分析功能；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3、具备车型技术公告、电路图、部件位置图、维修提示等功能；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4、纯电动汽车动力电池管理系统、电池热管理控制器系统、低压电池管理系统、DC-DC总成系统、主控制器系统、电机控制器系统进行执行元件驱动诊断、编程等基本功能。</w:t>
            </w:r>
          </w:p>
        </w:tc>
        <w:tc>
          <w:tcPr>
            <w:tcW w:w="1909"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2"/>
                <w:sz w:val="21"/>
                <w:szCs w:val="21"/>
                <w:lang w:val="en-US" w:eastAsia="zh-CN" w:bidi="ar-SA"/>
              </w:rPr>
              <w:t>新能源汽车故障检测</w:t>
            </w: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台</w:t>
            </w:r>
          </w:p>
        </w:tc>
        <w:tc>
          <w:tcPr>
            <w:tcW w:w="732" w:type="dxa"/>
            <w:noWrap w:val="0"/>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绝缘工具套装</w:t>
            </w:r>
          </w:p>
        </w:tc>
        <w:tc>
          <w:tcPr>
            <w:tcW w:w="359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技术规格</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1、设备体积外形指标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产品尺寸：≥长700mm×宽450mm×高950mm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内含件数：≥74件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工具是否带磁性：是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是否绝缘：是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制式：公制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工具材质：合金工具钢</w:t>
            </w:r>
          </w:p>
        </w:tc>
        <w:tc>
          <w:tcPr>
            <w:tcW w:w="1909"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2"/>
                <w:sz w:val="21"/>
                <w:szCs w:val="21"/>
                <w:lang w:val="en-US" w:eastAsia="zh-CN" w:bidi="ar-SA"/>
              </w:rPr>
              <w:t>新能源汽车核心部件检测、拆卸和安装</w:t>
            </w:r>
          </w:p>
        </w:tc>
        <w:tc>
          <w:tcPr>
            <w:tcW w:w="5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台</w:t>
            </w:r>
          </w:p>
        </w:tc>
        <w:tc>
          <w:tcPr>
            <w:tcW w:w="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绝缘电阻测试仪</w:t>
            </w:r>
          </w:p>
        </w:tc>
        <w:tc>
          <w:tcPr>
            <w:tcW w:w="3591" w:type="dxa"/>
            <w:noWrap w:val="0"/>
            <w:vAlign w:val="top"/>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技术要求</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2"/>
                <w:sz w:val="21"/>
                <w:szCs w:val="21"/>
                <w:lang w:val="en-US" w:eastAsia="zh-CN" w:bidi="ar-SA"/>
              </w:rPr>
              <w:t>适用汽车电器元件检测,满足CATIII1000V及以上等级，</w:t>
            </w:r>
            <w:r>
              <w:rPr>
                <w:rFonts w:hint="eastAsia" w:ascii="宋体" w:hAnsi="宋体" w:eastAsia="宋体" w:cs="宋体"/>
                <w:color w:val="auto"/>
                <w:sz w:val="21"/>
                <w:szCs w:val="21"/>
                <w:lang w:val="en-US" w:eastAsia="zh-CN"/>
              </w:rPr>
              <w:t>绝缘测试范围从0.01Ω-10.0GΩ。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2、测量功能档包含100V、250V、500 V 和 1000V。</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3、带有通过/失败（比较）功能、保存/调用功能、远程测试探头、带电电路检测功能、容</w:t>
            </w:r>
            <w:r>
              <w:rPr>
                <w:rFonts w:hint="eastAsia" w:ascii="宋体" w:hAnsi="宋体" w:eastAsia="宋体" w:cs="宋体"/>
                <w:color w:val="auto"/>
                <w:kern w:val="2"/>
                <w:sz w:val="21"/>
                <w:szCs w:val="21"/>
                <w:lang w:val="en-US" w:eastAsia="zh-CN" w:bidi="ar-SA"/>
              </w:rPr>
              <w:t>性电压自动放电功能、自动关闭功能。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2"/>
                <w:sz w:val="21"/>
                <w:szCs w:val="21"/>
                <w:lang w:val="en-US" w:eastAsia="zh-CN" w:bidi="ar-SA"/>
              </w:rPr>
              <w:t>4、具有PI极化指数测量，设置任意两点时间，自动测量电阻比率。</w:t>
            </w:r>
          </w:p>
        </w:tc>
        <w:tc>
          <w:tcPr>
            <w:tcW w:w="1909"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kern w:val="2"/>
                <w:sz w:val="21"/>
                <w:szCs w:val="21"/>
                <w:lang w:val="en-US" w:eastAsia="zh-CN" w:bidi="ar-SA"/>
              </w:rPr>
              <w:t>高压部件绝缘电阻测试</w:t>
            </w: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台</w:t>
            </w:r>
          </w:p>
        </w:tc>
        <w:tc>
          <w:tcPr>
            <w:tcW w:w="732"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4"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驱动电机装调平台</w:t>
            </w:r>
          </w:p>
        </w:tc>
        <w:tc>
          <w:tcPr>
            <w:tcW w:w="3591" w:type="dxa"/>
            <w:noWrap w:val="0"/>
            <w:vAlign w:val="top"/>
          </w:tcPr>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1、产品介绍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该平台用于训练学生进行驱动电机组装与测试，电机控制器组装与测试，变速箱组装与测试，80V继电器组装与测试，并与动力总成云交互测控实训平台互联，进行系统装调，静态测试，动态测试，联动测试等；</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2、技术规格</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设备体积外形指标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1）外形尺寸：≥1200*800*1000mm；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2）驱动电机类型采用永磁同步电机，额定功率≥7kw，冷却方式为自然冷却；</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3）电机控制器的电压范围为56VDC-90VDC，通信方式采用CAN通信；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4）工作温度范围：零下 30 ℃至50℃；</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5）防护等级：IP67；</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6）电压范围：50V-100V；额定电压：100V；</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7）额定电流：60A 峰值功率：28kW 电机控制：IGBT。</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1.电机控制器总成装调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2.驱动电机总成装调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3.减速器总成装调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4.电机控制系统高低压线束装调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5.驱动电机冷却回路密封性检测</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6.电机控制系统冷态绝缘电阻检测</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7.三相线束短路/短路检测</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8.驱动电机运转异响检查</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9.定子绕组相电流波形检测</w:t>
            </w:r>
          </w:p>
          <w:p>
            <w:pPr>
              <w:numPr>
                <w:ilvl w:val="0"/>
                <w:numId w:val="0"/>
              </w:numPr>
              <w:tabs>
                <w:tab w:val="left" w:pos="0"/>
              </w:tabs>
              <w:spacing w:line="360" w:lineRule="auto"/>
              <w:jc w:val="center"/>
              <w:outlineLvl w:val="9"/>
              <w:rPr>
                <w:rFonts w:hint="eastAsia" w:ascii="宋体" w:hAnsi="宋体" w:eastAsia="宋体" w:cs="宋体"/>
                <w:color w:val="auto"/>
                <w:kern w:val="2"/>
                <w:sz w:val="21"/>
                <w:szCs w:val="21"/>
                <w:lang w:val="en-US" w:eastAsia="zh-CN" w:bidi="ar-SA"/>
              </w:rPr>
            </w:pP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732"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15"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03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动力电池装调平台</w:t>
            </w:r>
          </w:p>
        </w:tc>
        <w:tc>
          <w:tcPr>
            <w:tcW w:w="3591" w:type="dxa"/>
            <w:noWrap w:val="0"/>
            <w:vAlign w:val="top"/>
          </w:tcPr>
          <w:p>
            <w:pPr>
              <w:pStyle w:val="25"/>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用于训练学生进行电池包组装与测试，车载充电机组装与测试，电池管理系统组装与测试，充放电接口组装与测试，并与动力总成云交互测控实训平台、交直流充电桩云交互测控实训平台互联，进行系统装调，静态测试，动态测试，联动测试等；采用高安全的磷酸铁锂电池作为电源，保障性能同时确保安全；可对电池包、电池模组、单体电池进行检查和组装；预留测量孔，用于检查电压、温度等信号；配备有BMS管理系统，可模拟实际新能源汽车控制逻辑及信号测量；配备有电池接触器，预充电阻、预充继电器等；配备有12V电池及DC-DC转换器；可设置≥8个电池及控制系统故障；</w:t>
            </w:r>
          </w:p>
        </w:tc>
        <w:tc>
          <w:tcPr>
            <w:tcW w:w="19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1.可进行电池模组装调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2.可进行高压控制单元装调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3.可进行车载充电机装调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4.可进行动力电池壳体装调 </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5.可进行BMS装调</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6.可进行动力电池绝缘性检测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7.可进行动力电池气密性检测</w:t>
            </w: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732"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锂电池均衡仪压差修复仪器</w:t>
            </w:r>
          </w:p>
        </w:tc>
        <w:tc>
          <w:tcPr>
            <w:tcW w:w="3591" w:type="dxa"/>
            <w:noWrap w:val="0"/>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技术要求</w:t>
            </w:r>
            <w:r>
              <w:rPr>
                <w:rFonts w:hint="eastAsia" w:ascii="宋体" w:hAnsi="宋体" w:eastAsia="宋体" w:cs="宋体"/>
                <w:color w:val="auto"/>
                <w:sz w:val="21"/>
                <w:szCs w:val="21"/>
                <w:lang w:val="en-US"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1、输出电源：AC200V-245V@50HZ/60HZ,10A</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2、输出阻抗：≥10MQ</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3、输入功率：待机功率80W、满载功率1650W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4、允许温湿度：环境温度&lt;35度;湿度&lt;90%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5、通道间耐压性性能：AC1000V/2min 无异常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6、通道数：8路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7、每一通道参数：输出最高电压5V；最大充电电流20A；最大放电电流20A</w:t>
            </w:r>
          </w:p>
        </w:tc>
        <w:tc>
          <w:tcPr>
            <w:tcW w:w="1909" w:type="dxa"/>
            <w:noWrap w:val="0"/>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检测多种型号锂电池、镍氢电池容量，充放电检测，内阻测试、</w:t>
            </w:r>
          </w:p>
          <w:p>
            <w:pPr>
              <w:keepNext w:val="0"/>
              <w:keepLines w:val="0"/>
              <w:pageBreakBefore w:val="0"/>
              <w:numPr>
                <w:ilvl w:val="0"/>
                <w:numId w:val="0"/>
              </w:numPr>
              <w:tabs>
                <w:tab w:val="left" w:pos="0"/>
              </w:tabs>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分容配对等。隔断式设计，可在不拆包情况下完成检测，适合用锂电池检测修理、组装pack等行业</w:t>
            </w:r>
          </w:p>
        </w:tc>
        <w:tc>
          <w:tcPr>
            <w:tcW w:w="514"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台</w:t>
            </w:r>
          </w:p>
        </w:tc>
        <w:tc>
          <w:tcPr>
            <w:tcW w:w="73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15"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触控一体机交互系统(含支架)</w:t>
            </w:r>
          </w:p>
        </w:tc>
        <w:tc>
          <w:tcPr>
            <w:tcW w:w="3591"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技术参数</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1、尺寸≧86英寸</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2、显示比例16:9</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3、分辨率:≧3840(H)*2160(V)</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4、触摸屏材料:防眩光钢化玻璃</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5、识别原理:红外识别</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6、输入方式:手指、触摸笔等不透光物体</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7、触摸精度:≧2mm</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8、触摸点数:≧20点触摸</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9、触摸屏硬度:≧莫氏7级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10、核芯数不少于4核，主频不低于3.30GHZ，内存:≧32G，固态硬盘:≧256G</w:t>
            </w:r>
          </w:p>
        </w:tc>
        <w:tc>
          <w:tcPr>
            <w:tcW w:w="1909"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实训教学</w:t>
            </w: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kern w:val="2"/>
                <w:sz w:val="21"/>
                <w:szCs w:val="21"/>
                <w:lang w:val="en-US" w:eastAsia="zh-CN" w:bidi="ar-SA"/>
              </w:rPr>
            </w:pPr>
            <w:bookmarkStart w:id="313" w:name="_GoBack"/>
            <w:bookmarkEnd w:id="313"/>
            <w:r>
              <w:rPr>
                <w:rFonts w:hint="eastAsia" w:ascii="宋体" w:hAnsi="宋体" w:eastAsia="宋体" w:cs="宋体"/>
                <w:color w:val="auto"/>
                <w:sz w:val="21"/>
                <w:szCs w:val="21"/>
                <w:lang w:val="en-US" w:eastAsia="zh-CN"/>
              </w:rPr>
              <w:t>台</w:t>
            </w:r>
          </w:p>
        </w:tc>
        <w:tc>
          <w:tcPr>
            <w:tcW w:w="732" w:type="dxa"/>
            <w:noWrap w:val="0"/>
            <w:vAlign w:val="center"/>
          </w:tcPr>
          <w:p>
            <w:pPr>
              <w:keepNext w:val="0"/>
              <w:keepLines w:val="0"/>
              <w:pageBreakBefore w:val="0"/>
              <w:tabs>
                <w:tab w:val="left" w:pos="210"/>
              </w:tabs>
              <w:kinsoku/>
              <w:wordWrap/>
              <w:overflowPunct/>
              <w:topLinePunct w:val="0"/>
              <w:autoSpaceDE/>
              <w:autoSpaceDN/>
              <w:bidi w:val="0"/>
              <w:adjustRightInd/>
              <w:spacing w:line="240" w:lineRule="auto"/>
              <w:ind w:firstLine="210" w:firstLineChars="100"/>
              <w:jc w:val="both"/>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p>
        </w:tc>
        <w:tc>
          <w:tcPr>
            <w:tcW w:w="423" w:type="dxa"/>
            <w:noWrap w:val="0"/>
            <w:vAlign w:val="top"/>
          </w:tcPr>
          <w:p>
            <w:pPr>
              <w:numPr>
                <w:ilvl w:val="0"/>
                <w:numId w:val="0"/>
              </w:numPr>
              <w:tabs>
                <w:tab w:val="left" w:pos="0"/>
              </w:tabs>
              <w:spacing w:line="360" w:lineRule="auto"/>
              <w:outlineLvl w:val="9"/>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615" w:type="dxa"/>
            <w:noWrap w:val="0"/>
            <w:vAlign w:val="center"/>
          </w:tcPr>
          <w:p>
            <w:pPr>
              <w:numPr>
                <w:ilvl w:val="0"/>
                <w:numId w:val="0"/>
              </w:numPr>
              <w:tabs>
                <w:tab w:val="left" w:pos="0"/>
              </w:tabs>
              <w:spacing w:line="360" w:lineRule="auto"/>
              <w:jc w:val="center"/>
              <w:outlineLvl w:val="9"/>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9</w:t>
            </w:r>
          </w:p>
        </w:tc>
        <w:tc>
          <w:tcPr>
            <w:tcW w:w="1033"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kern w:val="0"/>
                <w:sz w:val="21"/>
                <w:szCs w:val="21"/>
                <w:lang w:eastAsia="zh-CN"/>
              </w:rPr>
              <w:t>配套学习平台</w:t>
            </w:r>
          </w:p>
        </w:tc>
        <w:tc>
          <w:tcPr>
            <w:tcW w:w="3591" w:type="dxa"/>
            <w:noWrap w:val="0"/>
            <w:vAlign w:val="top"/>
          </w:tcPr>
          <w:p>
            <w:pPr>
              <w:spacing w:line="360" w:lineRule="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eastAsia="zh-CN"/>
              </w:rPr>
              <w:t>配套学习平台有高职</w:t>
            </w:r>
            <w:r>
              <w:rPr>
                <w:rFonts w:hint="eastAsia" w:asciiTheme="minorEastAsia" w:hAnsiTheme="minorEastAsia" w:eastAsiaTheme="minorEastAsia" w:cstheme="minorEastAsia"/>
                <w:kern w:val="0"/>
                <w:sz w:val="21"/>
                <w:szCs w:val="21"/>
              </w:rPr>
              <w:t>入口。</w:t>
            </w:r>
            <w:r>
              <w:rPr>
                <w:rFonts w:hint="eastAsia" w:asciiTheme="minorEastAsia" w:hAnsiTheme="minorEastAsia" w:eastAsiaTheme="minorEastAsia" w:cstheme="minorEastAsia"/>
                <w:kern w:val="0"/>
                <w:sz w:val="21"/>
                <w:szCs w:val="21"/>
                <w:lang w:eastAsia="zh-CN"/>
              </w:rPr>
              <w:t>（现场演示）</w:t>
            </w:r>
          </w:p>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eastAsia="zh-CN"/>
              </w:rPr>
              <w:t>配套学习平台</w:t>
            </w:r>
            <w:r>
              <w:rPr>
                <w:rFonts w:hint="eastAsia" w:asciiTheme="minorEastAsia" w:hAnsiTheme="minorEastAsia" w:eastAsiaTheme="minorEastAsia" w:cstheme="minorEastAsia"/>
                <w:kern w:val="0"/>
                <w:sz w:val="21"/>
                <w:szCs w:val="21"/>
              </w:rPr>
              <w:t>中包含课程标准、进度计划、教学方案，PPT课件、物料清单、信息页、工作页等课程资源提供下载和打印功能。</w:t>
            </w:r>
            <w:r>
              <w:rPr>
                <w:rFonts w:hint="eastAsia" w:asciiTheme="minorEastAsia" w:hAnsiTheme="minorEastAsia" w:eastAsiaTheme="minorEastAsia" w:cstheme="minorEastAsia"/>
                <w:kern w:val="0"/>
                <w:sz w:val="21"/>
                <w:szCs w:val="21"/>
                <w:lang w:eastAsia="zh-CN"/>
              </w:rPr>
              <w:t>（现场演示）</w:t>
            </w:r>
          </w:p>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（3）每个教学任务同时具备三种不同格式的资源呈现方式（文件夹式、鱼骨图式、时间轴式）、教师根据自己的习惯任选其中一种进行教学。</w:t>
            </w:r>
            <w:r>
              <w:rPr>
                <w:rFonts w:hint="eastAsia" w:asciiTheme="minorEastAsia" w:hAnsiTheme="minorEastAsia" w:eastAsiaTheme="minorEastAsia" w:cstheme="minorEastAsia"/>
                <w:kern w:val="0"/>
                <w:sz w:val="21"/>
                <w:szCs w:val="21"/>
                <w:lang w:eastAsia="zh-CN"/>
              </w:rPr>
              <w:t>（现场演示）</w:t>
            </w:r>
          </w:p>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（4）对教师账号进行管理。</w:t>
            </w:r>
            <w:r>
              <w:rPr>
                <w:rFonts w:hint="eastAsia" w:asciiTheme="minorEastAsia" w:hAnsiTheme="minorEastAsia" w:eastAsiaTheme="minorEastAsia" w:cstheme="minorEastAsia"/>
                <w:kern w:val="0"/>
                <w:sz w:val="21"/>
                <w:szCs w:val="21"/>
                <w:lang w:val="en-US" w:eastAsia="zh-CN"/>
              </w:rPr>
              <w:t>管理员账号</w:t>
            </w:r>
            <w:r>
              <w:rPr>
                <w:rFonts w:hint="eastAsia" w:asciiTheme="minorEastAsia" w:hAnsiTheme="minorEastAsia" w:eastAsiaTheme="minorEastAsia" w:cstheme="minorEastAsia"/>
                <w:kern w:val="0"/>
                <w:sz w:val="21"/>
                <w:szCs w:val="21"/>
              </w:rPr>
              <w:t>可添加并设置任课教师账号，</w:t>
            </w:r>
            <w:r>
              <w:rPr>
                <w:rFonts w:hint="eastAsia" w:asciiTheme="minorEastAsia" w:hAnsiTheme="minorEastAsia" w:eastAsiaTheme="minorEastAsia" w:cstheme="minorEastAsia"/>
                <w:kern w:val="0"/>
                <w:sz w:val="21"/>
                <w:szCs w:val="21"/>
                <w:lang w:val="en-US" w:eastAsia="zh-CN"/>
              </w:rPr>
              <w:t>数量不限。可</w:t>
            </w:r>
            <w:r>
              <w:rPr>
                <w:rFonts w:hint="eastAsia" w:asciiTheme="minorEastAsia" w:hAnsiTheme="minorEastAsia" w:eastAsiaTheme="minorEastAsia" w:cstheme="minorEastAsia"/>
                <w:kern w:val="0"/>
                <w:sz w:val="21"/>
                <w:szCs w:val="21"/>
              </w:rPr>
              <w:t>设置教师名称。可修改任课教师的授课班级权限，对教师账号状态的管理（开启或关闭），可添加任课教师的邮箱信息，可快速查找教师，可删除无用教师账号（如离职教师账号）。</w:t>
            </w:r>
            <w:r>
              <w:rPr>
                <w:rFonts w:hint="eastAsia" w:asciiTheme="minorEastAsia" w:hAnsiTheme="minorEastAsia" w:eastAsiaTheme="minorEastAsia" w:cstheme="minorEastAsia"/>
                <w:kern w:val="0"/>
                <w:sz w:val="21"/>
                <w:szCs w:val="21"/>
                <w:lang w:eastAsia="zh-CN"/>
              </w:rPr>
              <w:t>（现场演示）</w:t>
            </w:r>
          </w:p>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（5）对学生账号进行管理。</w:t>
            </w:r>
            <w:r>
              <w:rPr>
                <w:rFonts w:hint="eastAsia" w:asciiTheme="minorEastAsia" w:hAnsiTheme="minorEastAsia" w:eastAsiaTheme="minorEastAsia" w:cstheme="minorEastAsia"/>
                <w:kern w:val="0"/>
                <w:sz w:val="21"/>
                <w:szCs w:val="21"/>
                <w:lang w:val="en-US" w:eastAsia="zh-CN"/>
              </w:rPr>
              <w:t>管理员账号</w:t>
            </w:r>
            <w:r>
              <w:rPr>
                <w:rFonts w:hint="eastAsia" w:asciiTheme="minorEastAsia" w:hAnsiTheme="minorEastAsia" w:eastAsiaTheme="minorEastAsia" w:cstheme="minorEastAsia"/>
                <w:kern w:val="0"/>
                <w:sz w:val="21"/>
                <w:szCs w:val="21"/>
              </w:rPr>
              <w:t>可添加并设置学生账号，</w:t>
            </w:r>
            <w:r>
              <w:rPr>
                <w:rFonts w:hint="eastAsia" w:asciiTheme="minorEastAsia" w:hAnsiTheme="minorEastAsia" w:eastAsiaTheme="minorEastAsia" w:cstheme="minorEastAsia"/>
                <w:kern w:val="0"/>
                <w:sz w:val="21"/>
                <w:szCs w:val="21"/>
                <w:lang w:val="en-US" w:eastAsia="zh-CN"/>
              </w:rPr>
              <w:t>数量不限。</w:t>
            </w:r>
            <w:r>
              <w:rPr>
                <w:rFonts w:hint="eastAsia" w:asciiTheme="minorEastAsia" w:hAnsiTheme="minorEastAsia" w:eastAsiaTheme="minorEastAsia" w:cstheme="minorEastAsia"/>
                <w:kern w:val="0"/>
                <w:sz w:val="21"/>
                <w:szCs w:val="21"/>
              </w:rPr>
              <w:t>可修改学生的所属班级，对学生状态的管理（正常或离校）。可快速查找学生，可删除无用学生账号（如毕业生账号）。</w:t>
            </w:r>
            <w:r>
              <w:rPr>
                <w:rFonts w:hint="eastAsia" w:asciiTheme="minorEastAsia" w:hAnsiTheme="minorEastAsia" w:eastAsiaTheme="minorEastAsia" w:cstheme="minorEastAsia"/>
                <w:kern w:val="0"/>
                <w:sz w:val="21"/>
                <w:szCs w:val="21"/>
                <w:lang w:eastAsia="zh-CN"/>
              </w:rPr>
              <w:t>（现场演示）</w:t>
            </w:r>
          </w:p>
          <w:p>
            <w:pPr>
              <w:spacing w:line="360" w:lineRule="auto"/>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（6）对教学班级进行管理。可建立教学班级，设置班级名称，对学科专业权限的开通及关闭，对班级状态的管理（开启或关闭）。可快速查找班级，可删除无用班级（如毕业班）；</w:t>
            </w:r>
            <w:r>
              <w:rPr>
                <w:rFonts w:hint="eastAsia" w:asciiTheme="minorEastAsia" w:hAnsiTheme="minorEastAsia" w:eastAsiaTheme="minorEastAsia" w:cstheme="minorEastAsia"/>
                <w:kern w:val="0"/>
                <w:sz w:val="21"/>
                <w:szCs w:val="21"/>
                <w:lang w:eastAsia="zh-CN"/>
              </w:rPr>
              <w:t>（现场演示）</w:t>
            </w:r>
          </w:p>
          <w:p>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内置课程资源包含：</w:t>
            </w:r>
          </w:p>
          <w:p>
            <w:pPr>
              <w:spacing w:line="500" w:lineRule="exac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fldChar w:fldCharType="begin"/>
            </w:r>
            <w:r>
              <w:rPr>
                <w:rFonts w:asciiTheme="minorEastAsia" w:hAnsiTheme="minorEastAsia" w:eastAsiaTheme="minorEastAsia" w:cstheme="minorEastAsia"/>
                <w:sz w:val="21"/>
                <w:szCs w:val="21"/>
              </w:rPr>
              <w:instrText xml:space="preserve"> </w:instrText>
            </w:r>
            <w:r>
              <w:rPr>
                <w:rFonts w:hint="eastAsia" w:asciiTheme="minorEastAsia" w:hAnsiTheme="minorEastAsia" w:eastAsiaTheme="minorEastAsia" w:cstheme="minorEastAsia"/>
                <w:sz w:val="21"/>
                <w:szCs w:val="21"/>
              </w:rPr>
              <w:instrText xml:space="preserve">= 1 \* GB3</w:instrText>
            </w:r>
            <w:r>
              <w:rPr>
                <w:rFonts w:asciiTheme="minorEastAsia" w:hAnsiTheme="minorEastAsia" w:eastAsiaTheme="minorEastAsia" w:cstheme="minorEastAsia"/>
                <w:sz w:val="21"/>
                <w:szCs w:val="21"/>
              </w:rPr>
              <w:instrText xml:space="preserve"> </w:instrText>
            </w:r>
            <w:r>
              <w:rPr>
                <w:rFonts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①</w:t>
            </w:r>
            <w:r>
              <w:rPr>
                <w:rFonts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高压配电系统课程资源；</w:t>
            </w:r>
            <w:r>
              <w:rPr>
                <w:rFonts w:hint="eastAsia" w:asciiTheme="minorEastAsia" w:hAnsiTheme="minorEastAsia" w:eastAsiaTheme="minorEastAsia" w:cstheme="minorEastAsia"/>
                <w:sz w:val="21"/>
                <w:szCs w:val="21"/>
                <w:lang w:eastAsia="zh-CN"/>
              </w:rPr>
              <w:t>（提供截图）</w:t>
            </w:r>
          </w:p>
          <w:p>
            <w:pPr>
              <w:spacing w:line="500" w:lineRule="exac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fldChar w:fldCharType="begin"/>
            </w:r>
            <w:r>
              <w:rPr>
                <w:rFonts w:asciiTheme="minorEastAsia" w:hAnsiTheme="minorEastAsia" w:eastAsiaTheme="minorEastAsia" w:cstheme="minorEastAsia"/>
                <w:sz w:val="21"/>
                <w:szCs w:val="21"/>
              </w:rPr>
              <w:instrText xml:space="preserve"> </w:instrText>
            </w:r>
            <w:r>
              <w:rPr>
                <w:rFonts w:hint="eastAsia" w:asciiTheme="minorEastAsia" w:hAnsiTheme="minorEastAsia" w:eastAsiaTheme="minorEastAsia" w:cstheme="minorEastAsia"/>
                <w:sz w:val="21"/>
                <w:szCs w:val="21"/>
              </w:rPr>
              <w:instrText xml:space="preserve">= 2 \* GB3</w:instrText>
            </w:r>
            <w:r>
              <w:rPr>
                <w:rFonts w:asciiTheme="minorEastAsia" w:hAnsiTheme="minorEastAsia" w:eastAsiaTheme="minorEastAsia" w:cstheme="minorEastAsia"/>
                <w:sz w:val="21"/>
                <w:szCs w:val="21"/>
              </w:rPr>
              <w:instrText xml:space="preserve"> </w:instrText>
            </w:r>
            <w:r>
              <w:rPr>
                <w:rFonts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②</w:t>
            </w:r>
            <w:r>
              <w:rPr>
                <w:rFonts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整车控制系统课程资源；</w:t>
            </w:r>
            <w:r>
              <w:rPr>
                <w:rFonts w:hint="eastAsia" w:asciiTheme="minorEastAsia" w:hAnsiTheme="minorEastAsia" w:eastAsiaTheme="minorEastAsia" w:cstheme="minorEastAsia"/>
                <w:sz w:val="21"/>
                <w:szCs w:val="21"/>
                <w:lang w:eastAsia="zh-CN"/>
              </w:rPr>
              <w:t>（提供截图）</w:t>
            </w:r>
          </w:p>
          <w:p>
            <w:pPr>
              <w:spacing w:line="500" w:lineRule="exact"/>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fldChar w:fldCharType="begin"/>
            </w:r>
            <w:r>
              <w:rPr>
                <w:rFonts w:asciiTheme="minorEastAsia" w:hAnsiTheme="minorEastAsia" w:eastAsiaTheme="minorEastAsia" w:cstheme="minorEastAsia"/>
                <w:sz w:val="21"/>
                <w:szCs w:val="21"/>
              </w:rPr>
              <w:instrText xml:space="preserve"> </w:instrText>
            </w:r>
            <w:r>
              <w:rPr>
                <w:rFonts w:hint="eastAsia" w:asciiTheme="minorEastAsia" w:hAnsiTheme="minorEastAsia" w:eastAsiaTheme="minorEastAsia" w:cstheme="minorEastAsia"/>
                <w:sz w:val="21"/>
                <w:szCs w:val="21"/>
              </w:rPr>
              <w:instrText xml:space="preserve">= 3 \* GB3</w:instrText>
            </w:r>
            <w:r>
              <w:rPr>
                <w:rFonts w:asciiTheme="minorEastAsia" w:hAnsiTheme="minorEastAsia" w:eastAsiaTheme="minorEastAsia" w:cstheme="minorEastAsia"/>
                <w:sz w:val="21"/>
                <w:szCs w:val="21"/>
              </w:rPr>
              <w:instrText xml:space="preserve"> </w:instrText>
            </w:r>
            <w:r>
              <w:rPr>
                <w:rFonts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③</w:t>
            </w:r>
            <w:r>
              <w:rPr>
                <w:rFonts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纯电动汽车电机及控制系统的检修课程资源；</w:t>
            </w:r>
            <w:r>
              <w:rPr>
                <w:rFonts w:hint="eastAsia" w:asciiTheme="minorEastAsia" w:hAnsiTheme="minorEastAsia" w:eastAsiaTheme="minorEastAsia" w:cstheme="minorEastAsia"/>
                <w:sz w:val="21"/>
                <w:szCs w:val="21"/>
                <w:lang w:eastAsia="zh-CN"/>
              </w:rPr>
              <w:t>（提供截图）</w:t>
            </w:r>
          </w:p>
          <w:p>
            <w:pPr>
              <w:spacing w:line="500" w:lineRule="exact"/>
              <w:rPr>
                <w:rFonts w:hint="eastAsia" w:ascii="宋体" w:hAnsi="宋体" w:eastAsia="宋体" w:cs="宋体"/>
                <w:color w:val="auto"/>
                <w:kern w:val="2"/>
                <w:sz w:val="21"/>
                <w:szCs w:val="21"/>
                <w:lang w:val="en-US" w:eastAsia="zh-CN" w:bidi="ar-SA"/>
              </w:rPr>
            </w:pPr>
            <w:r>
              <w:rPr>
                <w:rFonts w:asciiTheme="minorEastAsia" w:hAnsiTheme="minorEastAsia" w:eastAsiaTheme="minorEastAsia" w:cstheme="minorEastAsia"/>
                <w:sz w:val="21"/>
                <w:szCs w:val="21"/>
              </w:rPr>
              <w:fldChar w:fldCharType="begin"/>
            </w:r>
            <w:r>
              <w:rPr>
                <w:rFonts w:asciiTheme="minorEastAsia" w:hAnsiTheme="minorEastAsia" w:eastAsiaTheme="minorEastAsia" w:cstheme="minorEastAsia"/>
                <w:sz w:val="21"/>
                <w:szCs w:val="21"/>
              </w:rPr>
              <w:instrText xml:space="preserve"> </w:instrText>
            </w:r>
            <w:r>
              <w:rPr>
                <w:rFonts w:hint="eastAsia" w:asciiTheme="minorEastAsia" w:hAnsiTheme="minorEastAsia" w:eastAsiaTheme="minorEastAsia" w:cstheme="minorEastAsia"/>
                <w:sz w:val="21"/>
                <w:szCs w:val="21"/>
              </w:rPr>
              <w:instrText xml:space="preserve">= 4 \* GB3</w:instrText>
            </w:r>
            <w:r>
              <w:rPr>
                <w:rFonts w:asciiTheme="minorEastAsia" w:hAnsiTheme="minorEastAsia" w:eastAsiaTheme="minorEastAsia" w:cstheme="minorEastAsia"/>
                <w:sz w:val="21"/>
                <w:szCs w:val="21"/>
              </w:rPr>
              <w:instrText xml:space="preserve"> </w:instrText>
            </w:r>
            <w:r>
              <w:rPr>
                <w:rFonts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④</w:t>
            </w:r>
            <w:r>
              <w:rPr>
                <w:rFonts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纯电动汽车电池及关系系统的检修课程资源；</w:t>
            </w:r>
            <w:r>
              <w:rPr>
                <w:rFonts w:hint="eastAsia" w:asciiTheme="minorEastAsia" w:hAnsiTheme="minorEastAsia" w:eastAsiaTheme="minorEastAsia" w:cstheme="minorEastAsia"/>
                <w:sz w:val="21"/>
                <w:szCs w:val="21"/>
                <w:lang w:eastAsia="zh-CN"/>
              </w:rPr>
              <w:t>（提供截图）</w:t>
            </w:r>
          </w:p>
        </w:tc>
        <w:tc>
          <w:tcPr>
            <w:tcW w:w="1909" w:type="dxa"/>
            <w:noWrap w:val="0"/>
            <w:vAlign w:val="center"/>
          </w:tcPr>
          <w:p>
            <w:pPr>
              <w:numPr>
                <w:ilvl w:val="0"/>
                <w:numId w:val="0"/>
              </w:numPr>
              <w:tabs>
                <w:tab w:val="left" w:pos="0"/>
              </w:tabs>
              <w:spacing w:line="360" w:lineRule="auto"/>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实训教学</w:t>
            </w:r>
          </w:p>
        </w:tc>
        <w:tc>
          <w:tcPr>
            <w:tcW w:w="514" w:type="dxa"/>
            <w:noWrap w:val="0"/>
            <w:vAlign w:val="center"/>
          </w:tcPr>
          <w:p>
            <w:pPr>
              <w:keepNext w:val="0"/>
              <w:keepLines w:val="0"/>
              <w:pageBreakBefore w:val="0"/>
              <w:kinsoku/>
              <w:wordWrap/>
              <w:overflowPunct/>
              <w:topLinePunct w:val="0"/>
              <w:autoSpaceDE/>
              <w:autoSpaceDN/>
              <w:bidi w:val="0"/>
              <w:adjustRightInd/>
              <w:spacing w:line="240" w:lineRule="auto"/>
              <w:ind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套</w:t>
            </w:r>
          </w:p>
        </w:tc>
        <w:tc>
          <w:tcPr>
            <w:tcW w:w="732" w:type="dxa"/>
            <w:noWrap w:val="0"/>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423" w:type="dxa"/>
            <w:noWrap w:val="0"/>
            <w:vAlign w:val="top"/>
          </w:tcPr>
          <w:p>
            <w:pPr>
              <w:numPr>
                <w:ilvl w:val="0"/>
                <w:numId w:val="0"/>
              </w:numPr>
              <w:tabs>
                <w:tab w:val="left" w:pos="0"/>
              </w:tabs>
              <w:spacing w:line="360" w:lineRule="auto"/>
              <w:outlineLvl w:val="9"/>
              <w:rPr>
                <w:rFonts w:hint="default" w:ascii="宋体" w:hAnsi="宋体" w:eastAsia="宋体" w:cs="宋体"/>
                <w:color w:val="auto"/>
                <w:sz w:val="21"/>
                <w:szCs w:val="21"/>
                <w:vertAlign w:val="baseline"/>
                <w:lang w:val="en-US" w:eastAsia="zh-CN"/>
              </w:rPr>
            </w:pPr>
          </w:p>
        </w:tc>
      </w:tr>
    </w:tbl>
    <w:p/>
    <w:p>
      <w:pPr>
        <w:keepNext/>
        <w:keepLines/>
        <w:numPr>
          <w:ilvl w:val="0"/>
          <w:numId w:val="0"/>
        </w:numPr>
        <w:tabs>
          <w:tab w:val="left" w:pos="2410"/>
          <w:tab w:val="center" w:pos="4212"/>
        </w:tabs>
        <w:spacing w:line="360" w:lineRule="auto"/>
        <w:jc w:val="both"/>
        <w:outlineLvl w:val="9"/>
        <w:rPr>
          <w:rFonts w:hint="eastAsia" w:ascii="宋体" w:hAnsi="宋体" w:eastAsia="宋体" w:cs="宋体"/>
          <w:b/>
          <w:bCs/>
          <w:sz w:val="28"/>
          <w:szCs w:val="28"/>
        </w:rPr>
      </w:pPr>
      <w:bookmarkStart w:id="180" w:name="_Toc22767"/>
      <w:r>
        <w:rPr>
          <w:rFonts w:hint="eastAsia" w:ascii="宋体" w:hAnsi="宋体" w:eastAsia="宋体" w:cs="宋体"/>
          <w:b/>
          <w:bCs/>
          <w:sz w:val="28"/>
          <w:szCs w:val="28"/>
          <w:lang w:eastAsia="zh-CN"/>
        </w:rPr>
        <w:t>二、</w:t>
      </w:r>
      <w:r>
        <w:rPr>
          <w:rFonts w:hint="eastAsia" w:ascii="宋体" w:hAnsi="宋体" w:eastAsia="宋体" w:cs="宋体"/>
          <w:b/>
          <w:bCs/>
          <w:sz w:val="28"/>
          <w:szCs w:val="28"/>
          <w:lang w:val="en-US" w:eastAsia="zh-CN"/>
        </w:rPr>
        <w:t>工程量清单</w:t>
      </w:r>
    </w:p>
    <w:tbl>
      <w:tblPr>
        <w:tblStyle w:val="20"/>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013"/>
        <w:gridCol w:w="2720"/>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428" w:type="dxa"/>
            <w:noWrap w:val="0"/>
            <w:vAlign w:val="center"/>
          </w:tcPr>
          <w:p>
            <w:pPr>
              <w:numPr>
                <w:ilvl w:val="0"/>
                <w:numId w:val="0"/>
              </w:numPr>
              <w:tabs>
                <w:tab w:val="left" w:pos="0"/>
              </w:tabs>
              <w:spacing w:line="360" w:lineRule="auto"/>
              <w:jc w:val="center"/>
              <w:outlineLvl w:val="9"/>
              <w:rPr>
                <w:rFonts w:hint="eastAsia" w:ascii="宋体" w:hAnsi="宋体" w:cs="宋体"/>
                <w:vertAlign w:val="baseline"/>
                <w:lang w:val="en-US" w:eastAsia="zh-CN"/>
              </w:rPr>
            </w:pPr>
            <w:r>
              <w:rPr>
                <w:rFonts w:hint="eastAsia" w:ascii="宋体" w:hAnsi="宋体" w:cs="宋体"/>
                <w:vertAlign w:val="baseline"/>
                <w:lang w:val="en-US" w:eastAsia="zh-CN"/>
              </w:rPr>
              <w:t>1</w:t>
            </w:r>
          </w:p>
        </w:tc>
        <w:tc>
          <w:tcPr>
            <w:tcW w:w="1013" w:type="dxa"/>
            <w:noWrap w:val="0"/>
            <w:vAlign w:val="center"/>
          </w:tcPr>
          <w:p>
            <w:pPr>
              <w:jc w:val="center"/>
              <w:rPr>
                <w:rFonts w:hint="default" w:ascii="宋体" w:hAnsi="宋体" w:cs="宋体"/>
                <w:vertAlign w:val="baseline"/>
                <w:lang w:val="en-US" w:eastAsia="zh-CN"/>
              </w:rPr>
            </w:pPr>
            <w:r>
              <w:rPr>
                <w:rFonts w:hint="eastAsia" w:ascii="Times New Roman" w:hAnsi="Times New Roman" w:eastAsia="宋体" w:cs="Times New Roman"/>
                <w:szCs w:val="21"/>
                <w:lang w:val="en-US" w:eastAsia="zh-CN"/>
              </w:rPr>
              <w:t>实验室改造</w:t>
            </w:r>
          </w:p>
        </w:tc>
        <w:tc>
          <w:tcPr>
            <w:tcW w:w="2720" w:type="dxa"/>
            <w:noWrap w:val="0"/>
            <w:vAlign w:val="center"/>
          </w:tcPr>
          <w:p>
            <w:pPr>
              <w:jc w:val="center"/>
              <w:rPr>
                <w:rFonts w:hint="default" w:ascii="宋体" w:hAnsi="宋体" w:cs="宋体"/>
                <w:vertAlign w:val="baseline"/>
                <w:lang w:val="en-US" w:eastAsia="zh-CN"/>
              </w:rPr>
            </w:pPr>
            <w:r>
              <w:rPr>
                <w:rFonts w:hint="eastAsia" w:ascii="Times New Roman" w:hAnsi="Times New Roman" w:eastAsia="宋体" w:cs="Times New Roman"/>
                <w:szCs w:val="21"/>
                <w:lang w:val="en-US" w:eastAsia="zh-CN"/>
              </w:rPr>
              <w:t>拆除玻璃隔断</w:t>
            </w:r>
            <w:r>
              <w:rPr>
                <w:rFonts w:hint="eastAsia" w:cs="Times New Roman"/>
                <w:szCs w:val="21"/>
                <w:lang w:val="en-US" w:eastAsia="zh-CN"/>
              </w:rPr>
              <w:t>，长4米,高2米</w:t>
            </w:r>
          </w:p>
        </w:tc>
        <w:tc>
          <w:tcPr>
            <w:tcW w:w="4370" w:type="dxa"/>
            <w:noWrap w:val="0"/>
            <w:vAlign w:val="center"/>
          </w:tcPr>
          <w:p>
            <w:pPr>
              <w:jc w:val="center"/>
              <w:rPr>
                <w:rFonts w:hint="default" w:ascii="宋体" w:hAnsi="宋体" w:cs="宋体"/>
                <w:vertAlign w:val="baseline"/>
                <w:lang w:val="en-US" w:eastAsia="zh-CN"/>
              </w:rPr>
            </w:pPr>
            <w:r>
              <w:rPr>
                <w:rFonts w:hint="eastAsia" w:ascii="Times New Roman" w:hAnsi="Times New Roman" w:eastAsia="宋体" w:cs="Times New Roman"/>
                <w:szCs w:val="21"/>
                <w:lang w:val="en-US" w:eastAsia="zh-CN"/>
              </w:rPr>
              <w:t>地上画定位线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center"/>
          </w:tcPr>
          <w:p>
            <w:pPr>
              <w:numPr>
                <w:ilvl w:val="0"/>
                <w:numId w:val="0"/>
              </w:numPr>
              <w:tabs>
                <w:tab w:val="left" w:pos="0"/>
              </w:tabs>
              <w:spacing w:line="360" w:lineRule="auto"/>
              <w:jc w:val="center"/>
              <w:outlineLvl w:val="9"/>
              <w:rPr>
                <w:rFonts w:hint="eastAsia" w:ascii="宋体" w:hAnsi="宋体" w:cs="宋体"/>
                <w:vertAlign w:val="baseline"/>
                <w:lang w:val="en-US" w:eastAsia="zh-CN"/>
              </w:rPr>
            </w:pPr>
            <w:r>
              <w:rPr>
                <w:rFonts w:hint="eastAsia" w:ascii="宋体" w:hAnsi="宋体" w:cs="宋体"/>
                <w:vertAlign w:val="baseline"/>
                <w:lang w:val="en-US" w:eastAsia="zh-CN"/>
              </w:rPr>
              <w:t>2</w:t>
            </w:r>
          </w:p>
        </w:tc>
        <w:tc>
          <w:tcPr>
            <w:tcW w:w="1013" w:type="dxa"/>
            <w:noWrap w:val="0"/>
            <w:vAlign w:val="center"/>
          </w:tcPr>
          <w:p>
            <w:pPr>
              <w:jc w:val="center"/>
              <w:rPr>
                <w:rFonts w:hint="default" w:ascii="宋体" w:hAnsi="宋体" w:cs="宋体"/>
                <w:vertAlign w:val="baseline"/>
                <w:lang w:val="en-US" w:eastAsia="zh-CN"/>
              </w:rPr>
            </w:pPr>
            <w:r>
              <w:rPr>
                <w:rFonts w:hint="eastAsia" w:ascii="Times New Roman" w:hAnsi="Times New Roman" w:eastAsia="宋体" w:cs="Times New Roman"/>
                <w:szCs w:val="21"/>
                <w:lang w:val="en-US" w:eastAsia="zh-CN"/>
              </w:rPr>
              <w:t>文化建设</w:t>
            </w:r>
          </w:p>
        </w:tc>
        <w:tc>
          <w:tcPr>
            <w:tcW w:w="2720" w:type="dxa"/>
            <w:noWrap w:val="0"/>
            <w:vAlign w:val="center"/>
          </w:tcPr>
          <w:p>
            <w:pPr>
              <w:jc w:val="center"/>
              <w:rPr>
                <w:rFonts w:hint="default" w:ascii="宋体" w:hAnsi="宋体" w:cs="宋体"/>
                <w:vertAlign w:val="baseline"/>
                <w:lang w:val="en-US" w:eastAsia="zh-CN"/>
              </w:rPr>
            </w:pPr>
            <w:r>
              <w:rPr>
                <w:rFonts w:hint="eastAsia" w:ascii="Times New Roman" w:hAnsi="Times New Roman" w:eastAsia="宋体" w:cs="Times New Roman"/>
                <w:szCs w:val="21"/>
                <w:lang w:val="en-US" w:eastAsia="zh-CN"/>
              </w:rPr>
              <w:t>宣传展板</w:t>
            </w:r>
            <w:r>
              <w:rPr>
                <w:rFonts w:hint="eastAsia" w:cs="Times New Roman"/>
                <w:szCs w:val="21"/>
                <w:lang w:val="en-US" w:eastAsia="zh-CN"/>
              </w:rPr>
              <w:t>，长24米，高2米</w:t>
            </w:r>
          </w:p>
        </w:tc>
        <w:tc>
          <w:tcPr>
            <w:tcW w:w="4370" w:type="dxa"/>
            <w:noWrap w:val="0"/>
            <w:vAlign w:val="center"/>
          </w:tcPr>
          <w:p>
            <w:pPr>
              <w:jc w:val="center"/>
              <w:rPr>
                <w:rFonts w:hint="default" w:ascii="宋体" w:hAnsi="宋体" w:cs="宋体"/>
                <w:vertAlign w:val="baseline"/>
                <w:lang w:val="en-US" w:eastAsia="zh-CN"/>
              </w:rPr>
            </w:pPr>
            <w:r>
              <w:rPr>
                <w:rFonts w:hint="eastAsia" w:ascii="Times New Roman" w:hAnsi="Times New Roman" w:eastAsia="宋体" w:cs="Times New Roman"/>
                <w:szCs w:val="21"/>
                <w:lang w:val="en-US" w:eastAsia="zh-CN"/>
              </w:rPr>
              <w:t>实训室文化、新能源汽车相关展板</w:t>
            </w:r>
          </w:p>
        </w:tc>
      </w:tr>
    </w:tbl>
    <w:p>
      <w:pPr>
        <w:keepNext/>
        <w:keepLines/>
        <w:numPr>
          <w:ilvl w:val="0"/>
          <w:numId w:val="20"/>
        </w:numPr>
        <w:tabs>
          <w:tab w:val="left" w:pos="2410"/>
          <w:tab w:val="center" w:pos="4212"/>
        </w:tabs>
        <w:spacing w:line="360" w:lineRule="auto"/>
        <w:jc w:val="center"/>
        <w:outlineLvl w:val="0"/>
        <w:rPr>
          <w:rFonts w:ascii="宋体" w:hAnsi="宋体" w:cs="宋体"/>
          <w:b/>
          <w:bCs/>
          <w:sz w:val="36"/>
          <w:szCs w:val="36"/>
        </w:rPr>
      </w:pPr>
      <w:r>
        <w:rPr>
          <w:rFonts w:hint="eastAsia" w:ascii="宋体" w:hAnsi="宋体" w:cs="宋体"/>
          <w:b/>
          <w:bCs/>
          <w:sz w:val="36"/>
          <w:szCs w:val="36"/>
        </w:rPr>
        <w:br w:type="page"/>
      </w:r>
      <w:r>
        <w:rPr>
          <w:rFonts w:hint="eastAsia" w:ascii="宋体" w:hAnsi="宋体" w:cs="宋体"/>
          <w:b/>
          <w:bCs/>
          <w:sz w:val="36"/>
          <w:szCs w:val="36"/>
        </w:rPr>
        <w:t xml:space="preserve"> </w:t>
      </w:r>
      <w:bookmarkStart w:id="181" w:name="_Toc28326"/>
      <w:r>
        <w:rPr>
          <w:rFonts w:hint="eastAsia" w:ascii="宋体" w:hAnsi="宋体" w:cs="宋体"/>
          <w:b/>
          <w:bCs/>
          <w:sz w:val="36"/>
          <w:szCs w:val="36"/>
        </w:rPr>
        <w:t>合同条款</w:t>
      </w:r>
      <w:bookmarkEnd w:id="180"/>
      <w:bookmarkEnd w:id="181"/>
    </w:p>
    <w:p>
      <w:pPr>
        <w:adjustRightInd w:val="0"/>
        <w:snapToGrid w:val="0"/>
        <w:spacing w:before="156" w:beforeLines="50" w:after="156" w:afterLines="50"/>
        <w:jc w:val="center"/>
        <w:rPr>
          <w:rFonts w:hint="eastAsia" w:ascii="黑体" w:eastAsia="黑体"/>
          <w:sz w:val="24"/>
        </w:rPr>
      </w:pPr>
    </w:p>
    <w:p>
      <w:pPr>
        <w:adjustRightInd w:val="0"/>
        <w:snapToGrid w:val="0"/>
        <w:spacing w:before="156" w:beforeLines="50" w:after="156" w:afterLines="50"/>
        <w:jc w:val="center"/>
        <w:rPr>
          <w:rFonts w:hint="eastAsia" w:ascii="黑体" w:eastAsia="黑体"/>
          <w:sz w:val="24"/>
        </w:rPr>
      </w:pPr>
    </w:p>
    <w:p>
      <w:pPr>
        <w:adjustRightInd w:val="0"/>
        <w:snapToGrid w:val="0"/>
        <w:spacing w:before="156" w:beforeLines="50" w:after="156" w:afterLines="50"/>
        <w:jc w:val="center"/>
        <w:rPr>
          <w:rFonts w:hint="eastAsia" w:ascii="黑体" w:eastAsia="黑体"/>
          <w:sz w:val="24"/>
        </w:rPr>
      </w:pPr>
    </w:p>
    <w:p>
      <w:pPr>
        <w:adjustRightInd w:val="0"/>
        <w:snapToGrid w:val="0"/>
        <w:spacing w:before="156" w:beforeLines="50" w:after="156" w:afterLines="50"/>
        <w:jc w:val="center"/>
        <w:rPr>
          <w:rFonts w:hint="eastAsia" w:ascii="黑体" w:eastAsia="黑体"/>
          <w:sz w:val="24"/>
        </w:rPr>
      </w:pPr>
    </w:p>
    <w:p>
      <w:pPr>
        <w:adjustRightInd w:val="0"/>
        <w:snapToGrid w:val="0"/>
        <w:spacing w:before="156" w:beforeLines="50" w:after="156" w:afterLines="50"/>
        <w:jc w:val="center"/>
        <w:rPr>
          <w:rFonts w:ascii="宋体" w:hAnsi="宋体"/>
          <w:b/>
          <w:color w:val="000000"/>
          <w:sz w:val="44"/>
          <w:szCs w:val="44"/>
        </w:rPr>
      </w:pPr>
      <w:r>
        <w:rPr>
          <w:rFonts w:hint="eastAsia" w:ascii="黑体" w:eastAsia="黑体"/>
          <w:sz w:val="24"/>
        </w:rPr>
        <w:t xml:space="preserve"> </w:t>
      </w:r>
      <w:r>
        <w:rPr>
          <w:rFonts w:hint="eastAsia" w:ascii="宋体" w:hAnsi="宋体"/>
          <w:b/>
          <w:color w:val="000000"/>
          <w:sz w:val="44"/>
          <w:szCs w:val="44"/>
        </w:rPr>
        <w:t>西安航空职业技术学院</w:t>
      </w:r>
    </w:p>
    <w:p>
      <w:pPr>
        <w:adjustRightInd w:val="0"/>
        <w:snapToGrid w:val="0"/>
        <w:spacing w:before="156" w:beforeLines="50" w:after="156" w:afterLines="50"/>
        <w:jc w:val="center"/>
        <w:rPr>
          <w:rFonts w:ascii="宋体" w:hAnsi="宋体"/>
          <w:b/>
          <w:color w:val="000000"/>
          <w:sz w:val="44"/>
          <w:szCs w:val="44"/>
        </w:rPr>
      </w:pPr>
      <w:r>
        <w:rPr>
          <w:rFonts w:hint="eastAsia" w:ascii="宋体" w:hAnsi="宋体"/>
          <w:b/>
          <w:color w:val="000000"/>
          <w:sz w:val="44"/>
          <w:szCs w:val="44"/>
        </w:rPr>
        <w:t>XXXXXXXXX采购项目</w:t>
      </w:r>
    </w:p>
    <w:p>
      <w:pPr>
        <w:spacing w:line="760" w:lineRule="exact"/>
        <w:jc w:val="center"/>
        <w:rPr>
          <w:rFonts w:ascii="华文中宋" w:hAnsi="华文中宋" w:eastAsia="华文中宋" w:cs="华文中宋"/>
          <w:spacing w:val="28"/>
          <w:kern w:val="0"/>
          <w:sz w:val="44"/>
          <w:szCs w:val="44"/>
        </w:rPr>
      </w:pPr>
    </w:p>
    <w:p>
      <w:pPr>
        <w:spacing w:line="760" w:lineRule="exact"/>
        <w:jc w:val="center"/>
        <w:rPr>
          <w:rFonts w:ascii="华文中宋" w:hAnsi="华文中宋" w:eastAsia="华文中宋" w:cs="华文中宋"/>
          <w:spacing w:val="28"/>
          <w:kern w:val="0"/>
          <w:sz w:val="44"/>
          <w:szCs w:val="44"/>
        </w:rPr>
      </w:pPr>
    </w:p>
    <w:p>
      <w:pPr>
        <w:jc w:val="center"/>
        <w:rPr>
          <w:rFonts w:ascii="华文中宋" w:hAnsi="华文中宋" w:eastAsia="华文中宋"/>
          <w:spacing w:val="113"/>
          <w:kern w:val="0"/>
          <w:sz w:val="52"/>
          <w:szCs w:val="52"/>
        </w:rPr>
      </w:pPr>
      <w:r>
        <w:rPr>
          <w:rFonts w:hint="eastAsia" w:ascii="华文中宋" w:hAnsi="华文中宋" w:eastAsia="华文中宋"/>
          <w:spacing w:val="113"/>
          <w:kern w:val="0"/>
          <w:sz w:val="52"/>
          <w:szCs w:val="52"/>
        </w:rPr>
        <w:t>供货合同</w:t>
      </w:r>
    </w:p>
    <w:p>
      <w:pPr>
        <w:jc w:val="center"/>
        <w:rPr>
          <w:rFonts w:ascii="华文中宋" w:hAnsi="华文中宋" w:eastAsia="华文中宋"/>
          <w:spacing w:val="20"/>
          <w:kern w:val="0"/>
          <w:sz w:val="30"/>
          <w:szCs w:val="30"/>
        </w:rPr>
      </w:pPr>
    </w:p>
    <w:p>
      <w:pPr>
        <w:rPr>
          <w:rFonts w:ascii="华文中宋" w:hAnsi="华文中宋" w:eastAsia="华文中宋"/>
          <w:kern w:val="0"/>
          <w:sz w:val="30"/>
          <w:szCs w:val="30"/>
        </w:rPr>
      </w:pPr>
    </w:p>
    <w:p>
      <w:pPr>
        <w:rPr>
          <w:rFonts w:ascii="华文中宋" w:hAnsi="华文中宋" w:eastAsia="华文中宋"/>
          <w:kern w:val="0"/>
          <w:sz w:val="30"/>
          <w:szCs w:val="30"/>
        </w:rPr>
      </w:pPr>
    </w:p>
    <w:p>
      <w:pPr>
        <w:rPr>
          <w:rFonts w:ascii="华文中宋" w:hAnsi="华文中宋" w:eastAsia="华文中宋"/>
          <w:kern w:val="0"/>
          <w:sz w:val="30"/>
          <w:szCs w:val="30"/>
        </w:rPr>
      </w:pPr>
    </w:p>
    <w:p>
      <w:pPr>
        <w:spacing w:line="560" w:lineRule="exact"/>
        <w:ind w:firstLine="1677" w:firstLineChars="559"/>
        <w:rPr>
          <w:rFonts w:ascii="华文中宋" w:hAnsi="华文中宋" w:eastAsia="华文中宋"/>
          <w:kern w:val="0"/>
          <w:sz w:val="30"/>
          <w:szCs w:val="30"/>
        </w:rPr>
      </w:pPr>
      <w:r>
        <w:rPr>
          <w:rFonts w:hint="eastAsia" w:ascii="华文中宋" w:hAnsi="华文中宋" w:eastAsia="华文中宋"/>
          <w:kern w:val="0"/>
          <w:sz w:val="30"/>
          <w:szCs w:val="30"/>
        </w:rPr>
        <w:t>招标编号：XXXXXXXXXXX</w:t>
      </w:r>
    </w:p>
    <w:p>
      <w:pPr>
        <w:spacing w:line="560" w:lineRule="exact"/>
        <w:ind w:firstLine="1677" w:firstLineChars="559"/>
        <w:rPr>
          <w:rFonts w:ascii="华文中宋" w:hAnsi="华文中宋" w:eastAsia="华文中宋"/>
          <w:kern w:val="0"/>
          <w:sz w:val="30"/>
          <w:szCs w:val="30"/>
        </w:rPr>
      </w:pPr>
      <w:r>
        <w:rPr>
          <w:rFonts w:hint="eastAsia" w:ascii="华文中宋" w:hAnsi="华文中宋" w:eastAsia="华文中宋"/>
          <w:kern w:val="0"/>
          <w:sz w:val="30"/>
          <w:szCs w:val="30"/>
        </w:rPr>
        <w:t>买    方：西安航空职业技术学院</w:t>
      </w:r>
    </w:p>
    <w:p>
      <w:pPr>
        <w:spacing w:line="560" w:lineRule="exact"/>
        <w:ind w:firstLine="1677" w:firstLineChars="559"/>
        <w:rPr>
          <w:rFonts w:ascii="华文中宋" w:hAnsi="华文中宋" w:eastAsia="华文中宋"/>
          <w:kern w:val="0"/>
          <w:sz w:val="30"/>
          <w:szCs w:val="30"/>
        </w:rPr>
      </w:pPr>
      <w:r>
        <w:rPr>
          <w:rFonts w:hint="eastAsia" w:ascii="华文中宋" w:hAnsi="华文中宋" w:eastAsia="华文中宋"/>
          <w:kern w:val="0"/>
          <w:sz w:val="30"/>
          <w:szCs w:val="30"/>
        </w:rPr>
        <w:t xml:space="preserve">卖    方：XXXXXXXXXXXXXXXX </w:t>
      </w:r>
    </w:p>
    <w:p>
      <w:pPr>
        <w:spacing w:line="720" w:lineRule="exact"/>
        <w:ind w:firstLine="1080" w:firstLineChars="300"/>
        <w:rPr>
          <w:rFonts w:ascii="华文中宋" w:hAnsi="华文中宋" w:eastAsia="华文中宋"/>
          <w:kern w:val="0"/>
          <w:sz w:val="36"/>
          <w:szCs w:val="36"/>
        </w:rPr>
      </w:pPr>
      <w:r>
        <w:rPr>
          <w:rFonts w:hint="eastAsia" w:ascii="华文中宋" w:hAnsi="华文中宋" w:eastAsia="华文中宋"/>
          <w:kern w:val="0"/>
          <w:sz w:val="36"/>
          <w:szCs w:val="36"/>
        </w:rPr>
        <w:t xml:space="preserve">                   </w:t>
      </w:r>
    </w:p>
    <w:p>
      <w:pPr>
        <w:rPr>
          <w:rFonts w:ascii="华文中宋" w:hAnsi="华文中宋" w:eastAsia="华文中宋"/>
          <w:kern w:val="0"/>
          <w:sz w:val="36"/>
          <w:szCs w:val="36"/>
        </w:rPr>
      </w:pPr>
    </w:p>
    <w:p>
      <w:pPr>
        <w:spacing w:line="560" w:lineRule="exact"/>
        <w:jc w:val="center"/>
        <w:rPr>
          <w:rFonts w:ascii="楷体_GB2312" w:hAnsi="华文中宋" w:eastAsia="楷体_GB2312"/>
          <w:kern w:val="0"/>
          <w:sz w:val="32"/>
          <w:szCs w:val="32"/>
        </w:rPr>
      </w:pPr>
      <w:r>
        <w:rPr>
          <w:rFonts w:hint="eastAsia" w:ascii="楷体_GB2312" w:hAnsi="楷体_GB2312" w:eastAsia="楷体_GB2312" w:cs="楷体_GB2312"/>
          <w:kern w:val="0"/>
          <w:sz w:val="32"/>
          <w:szCs w:val="32"/>
        </w:rPr>
        <w:t>年  月   日</w:t>
      </w:r>
    </w:p>
    <w:p>
      <w:pPr>
        <w:widowControl/>
        <w:jc w:val="left"/>
        <w:rPr>
          <w:rFonts w:ascii="华文中宋" w:hAnsi="华文中宋" w:eastAsia="华文中宋"/>
          <w:sz w:val="32"/>
          <w:szCs w:val="32"/>
        </w:rPr>
        <w:sectPr>
          <w:footerReference r:id="rId11" w:type="default"/>
          <w:pgSz w:w="11906" w:h="16838"/>
          <w:pgMar w:top="1417" w:right="1417" w:bottom="1417" w:left="1417" w:header="907" w:footer="907" w:gutter="0"/>
          <w:pgNumType w:fmt="decimal"/>
          <w:cols w:space="720" w:num="1"/>
          <w:docGrid w:type="lines" w:linePitch="312" w:charSpace="0"/>
        </w:sectPr>
      </w:pPr>
    </w:p>
    <w:p>
      <w:pPr>
        <w:spacing w:before="332" w:beforeLines="100" w:after="332" w:afterLines="100"/>
        <w:jc w:val="center"/>
        <w:rPr>
          <w:rFonts w:ascii="华文中宋" w:hAnsi="华文中宋" w:eastAsia="华文中宋"/>
          <w:spacing w:val="113"/>
          <w:sz w:val="36"/>
          <w:szCs w:val="36"/>
        </w:rPr>
      </w:pPr>
      <w:r>
        <w:rPr>
          <w:rFonts w:hint="eastAsia" w:ascii="华文中宋" w:hAnsi="华文中宋" w:eastAsia="华文中宋"/>
          <w:spacing w:val="113"/>
          <w:sz w:val="36"/>
          <w:szCs w:val="36"/>
        </w:rPr>
        <w:t>供货合同</w:t>
      </w:r>
    </w:p>
    <w:p>
      <w:pPr>
        <w:spacing w:line="360" w:lineRule="auto"/>
        <w:ind w:firstLine="428" w:firstLineChars="200"/>
        <w:rPr>
          <w:rFonts w:ascii="仿宋" w:hAnsi="仿宋" w:eastAsia="仿宋" w:cs="仿宋"/>
          <w:snapToGrid w:val="0"/>
          <w:kern w:val="0"/>
        </w:rPr>
      </w:pPr>
      <w:r>
        <w:rPr>
          <w:rFonts w:hint="eastAsia" w:ascii="仿宋" w:hAnsi="仿宋" w:eastAsia="仿宋" w:cs="仿宋"/>
        </w:rPr>
        <w:t>西安航空职业技术学院XXXXXXXXXXXXXXXXXXXXX采购项目（项目编号：XXXXXXXXXXXX）由XXXXXXXX招标有限公司组织招标采购,</w:t>
      </w:r>
      <w:r>
        <w:rPr>
          <w:rFonts w:hint="eastAsia" w:ascii="仿宋" w:hAnsi="仿宋" w:eastAsia="仿宋" w:cs="仿宋"/>
          <w:b/>
          <w:bCs/>
          <w:u w:val="single"/>
        </w:rPr>
        <w:t xml:space="preserve"> 西安航空职业技术学院 </w:t>
      </w:r>
      <w:r>
        <w:rPr>
          <w:rFonts w:hint="eastAsia" w:ascii="仿宋" w:hAnsi="仿宋" w:eastAsia="仿宋" w:cs="仿宋"/>
        </w:rPr>
        <w:t>（以下简称“买方”）确定</w:t>
      </w:r>
      <w:r>
        <w:rPr>
          <w:rFonts w:hint="eastAsia" w:ascii="仿宋" w:hAnsi="仿宋" w:eastAsia="仿宋" w:cs="仿宋"/>
          <w:b/>
          <w:bCs/>
          <w:u w:val="single"/>
        </w:rPr>
        <w:t>XXXXXXXXXXXXXX</w:t>
      </w:r>
      <w:r>
        <w:rPr>
          <w:rFonts w:hint="eastAsia" w:ascii="仿宋" w:hAnsi="仿宋" w:eastAsia="仿宋" w:cs="仿宋"/>
        </w:rPr>
        <w:t>（以下简称“卖方”）为中</w:t>
      </w:r>
      <w:r>
        <w:rPr>
          <w:rFonts w:hint="eastAsia" w:ascii="仿宋" w:hAnsi="仿宋" w:eastAsia="仿宋" w:cs="仿宋"/>
          <w:kern w:val="0"/>
        </w:rPr>
        <w:t>标单位。</w:t>
      </w:r>
    </w:p>
    <w:p>
      <w:pPr>
        <w:spacing w:line="360" w:lineRule="auto"/>
        <w:ind w:firstLine="428" w:firstLineChars="200"/>
        <w:rPr>
          <w:rFonts w:ascii="仿宋" w:hAnsi="仿宋" w:eastAsia="仿宋" w:cs="仿宋"/>
        </w:rPr>
      </w:pPr>
      <w:r>
        <w:rPr>
          <w:rFonts w:hint="eastAsia" w:ascii="仿宋" w:hAnsi="仿宋" w:eastAsia="仿宋" w:cs="仿宋"/>
        </w:rPr>
        <w:t>依据《中华人民共和国</w:t>
      </w:r>
      <w:r>
        <w:rPr>
          <w:rFonts w:hint="eastAsia" w:ascii="仿宋" w:hAnsi="仿宋" w:eastAsia="仿宋" w:cs="仿宋"/>
          <w:lang w:eastAsia="zh-CN"/>
        </w:rPr>
        <w:t>民法典</w:t>
      </w:r>
      <w:r>
        <w:rPr>
          <w:rFonts w:hint="eastAsia" w:ascii="仿宋" w:hAnsi="仿宋" w:eastAsia="仿宋" w:cs="仿宋"/>
        </w:rPr>
        <w:t>》和《中华人民共和国政府采购法》，经双方协商，于</w:t>
      </w:r>
      <w:r>
        <w:rPr>
          <w:rFonts w:hint="eastAsia" w:ascii="仿宋" w:hAnsi="仿宋" w:eastAsia="仿宋" w:cs="仿宋"/>
          <w:b/>
          <w:u w:val="single"/>
        </w:rPr>
        <w:t xml:space="preserve">     </w:t>
      </w:r>
      <w:r>
        <w:rPr>
          <w:rFonts w:hint="eastAsia" w:ascii="仿宋" w:hAnsi="仿宋" w:eastAsia="仿宋" w:cs="仿宋"/>
        </w:rPr>
        <w:t>年</w:t>
      </w:r>
      <w:r>
        <w:rPr>
          <w:rFonts w:hint="eastAsia" w:ascii="仿宋" w:hAnsi="仿宋" w:eastAsia="仿宋" w:cs="仿宋"/>
          <w:b/>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日按下述条款和条件签署本合同。</w:t>
      </w:r>
    </w:p>
    <w:p>
      <w:pPr>
        <w:spacing w:line="360" w:lineRule="auto"/>
        <w:ind w:firstLine="428" w:firstLineChars="200"/>
        <w:rPr>
          <w:rFonts w:ascii="仿宋" w:hAnsi="仿宋" w:eastAsia="仿宋" w:cs="仿宋"/>
          <w:b/>
          <w:u w:val="single"/>
        </w:rPr>
      </w:pPr>
      <w:r>
        <w:rPr>
          <w:rFonts w:hint="eastAsia" w:ascii="仿宋" w:hAnsi="仿宋" w:eastAsia="仿宋" w:cs="仿宋"/>
        </w:rPr>
        <w:t>买方通过</w:t>
      </w:r>
      <w:r>
        <w:rPr>
          <w:rFonts w:hint="eastAsia" w:ascii="仿宋" w:hAnsi="仿宋" w:eastAsia="仿宋" w:cs="仿宋"/>
          <w:lang w:eastAsia="zh-CN"/>
        </w:rPr>
        <w:t>竞争性磋商</w:t>
      </w:r>
      <w:r>
        <w:rPr>
          <w:rFonts w:hint="eastAsia" w:ascii="仿宋" w:hAnsi="仿宋" w:eastAsia="仿宋" w:cs="仿宋"/>
        </w:rPr>
        <w:t>接受卖方以总金</w:t>
      </w:r>
      <w:r>
        <w:rPr>
          <w:rFonts w:hint="eastAsia" w:ascii="仿宋" w:hAnsi="仿宋" w:eastAsia="仿宋" w:cs="仿宋"/>
          <w:bCs/>
        </w:rPr>
        <w:t>额</w:t>
      </w:r>
      <w:r>
        <w:rPr>
          <w:rFonts w:hint="eastAsia" w:ascii="仿宋" w:hAnsi="仿宋" w:eastAsia="仿宋" w:cs="仿宋"/>
          <w:b/>
          <w:u w:val="single"/>
        </w:rPr>
        <w:t>XXXXXXXXXX（</w:t>
      </w:r>
      <w:r>
        <w:rPr>
          <w:rFonts w:hint="eastAsia" w:ascii="宋体" w:hAnsi="宋体" w:eastAsia="仿宋" w:cs="宋体"/>
          <w:bCs/>
          <w:u w:val="single"/>
        </w:rPr>
        <w:t>¥</w:t>
      </w:r>
      <w:r>
        <w:rPr>
          <w:rFonts w:hint="eastAsia" w:ascii="仿宋" w:hAnsi="仿宋" w:eastAsia="仿宋" w:cs="仿宋"/>
          <w:b/>
          <w:u w:val="single"/>
        </w:rPr>
        <w:t>：XXXXXXXXXX</w:t>
      </w:r>
      <w:r>
        <w:rPr>
          <w:rFonts w:hint="eastAsia" w:ascii="仿宋" w:hAnsi="仿宋" w:eastAsia="仿宋" w:cs="仿宋"/>
          <w:bCs/>
          <w:u w:val="single"/>
        </w:rPr>
        <w:t>）</w:t>
      </w:r>
      <w:r>
        <w:rPr>
          <w:rFonts w:hint="eastAsia" w:ascii="仿宋" w:hAnsi="仿宋" w:eastAsia="仿宋" w:cs="仿宋"/>
        </w:rPr>
        <w:t>(以下简称“合同价”)提供的合同条款附件所述的货物及服务。</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本合同在此声明如下：</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1.本合同中的词语和术语的含义与合同条款中定义的相同。</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2.下述文件是本合同的一部分，并与本合同一起阅读和解释：</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⑴ 合同通用条款；</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⑵ 合同条款附件；</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⑶ 中标通知书；</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⑷ 招标文件；</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⑸ 投标文件。</w:t>
      </w:r>
    </w:p>
    <w:p>
      <w:pPr>
        <w:pStyle w:val="26"/>
        <w:spacing w:line="360" w:lineRule="auto"/>
        <w:ind w:firstLine="429"/>
        <w:rPr>
          <w:rFonts w:ascii="仿宋" w:hAnsi="仿宋" w:eastAsia="仿宋" w:cs="仿宋"/>
          <w:b w:val="0"/>
          <w:color w:val="auto"/>
        </w:rPr>
      </w:pPr>
      <w:r>
        <w:rPr>
          <w:rFonts w:hint="eastAsia" w:ascii="仿宋" w:hAnsi="仿宋" w:eastAsia="仿宋" w:cs="仿宋"/>
          <w:b w:val="0"/>
          <w:color w:val="auto"/>
        </w:rPr>
        <w:t>3.考虑到买方将按照本合同向卖方支付货款，卖方在此保证全部按照合同的规定向买方提供货物和服务，并修补缺陷。</w:t>
      </w:r>
    </w:p>
    <w:p>
      <w:pPr>
        <w:spacing w:line="360" w:lineRule="auto"/>
        <w:ind w:firstLine="428" w:firstLineChars="200"/>
        <w:rPr>
          <w:rFonts w:ascii="仿宋" w:hAnsi="仿宋" w:eastAsia="仿宋" w:cs="仿宋"/>
          <w:kern w:val="0"/>
        </w:rPr>
      </w:pPr>
      <w:r>
        <w:rPr>
          <w:rFonts w:hint="eastAsia" w:ascii="仿宋" w:hAnsi="仿宋" w:eastAsia="仿宋" w:cs="仿宋"/>
          <w:kern w:val="0"/>
        </w:rPr>
        <w:t>4.考虑到卖方将按照本合同向买方提供货物和服务并修补缺陷，买方在此保证按照合同规定的时间和方式向卖方支付合同价。</w:t>
      </w:r>
    </w:p>
    <w:p>
      <w:pPr>
        <w:snapToGrid w:val="0"/>
        <w:spacing w:line="360" w:lineRule="auto"/>
        <w:ind w:firstLine="428" w:firstLineChars="200"/>
        <w:rPr>
          <w:rFonts w:ascii="仿宋" w:hAnsi="仿宋" w:eastAsia="仿宋" w:cs="仿宋"/>
          <w:snapToGrid w:val="0"/>
          <w:kern w:val="0"/>
        </w:rPr>
      </w:pPr>
      <w:r>
        <w:rPr>
          <w:rFonts w:hint="eastAsia" w:ascii="仿宋" w:hAnsi="仿宋" w:eastAsia="仿宋" w:cs="仿宋"/>
          <w:kern w:val="0"/>
        </w:rPr>
        <w:t>5.</w:t>
      </w:r>
      <w:r>
        <w:rPr>
          <w:rFonts w:hint="eastAsia" w:ascii="仿宋" w:hAnsi="仿宋" w:eastAsia="仿宋" w:cs="仿宋"/>
          <w:snapToGrid w:val="0"/>
          <w:kern w:val="0"/>
        </w:rPr>
        <w:t>本合同一式</w:t>
      </w:r>
      <w:r>
        <w:rPr>
          <w:rFonts w:hint="eastAsia" w:ascii="仿宋" w:hAnsi="仿宋" w:eastAsia="仿宋" w:cs="仿宋"/>
          <w:snapToGrid w:val="0"/>
          <w:kern w:val="0"/>
          <w:u w:val="single"/>
        </w:rPr>
        <w:t xml:space="preserve"> </w:t>
      </w:r>
      <w:r>
        <w:rPr>
          <w:rFonts w:hint="eastAsia" w:ascii="仿宋" w:hAnsi="仿宋" w:eastAsia="仿宋" w:cs="仿宋"/>
          <w:b/>
          <w:snapToGrid w:val="0"/>
          <w:kern w:val="0"/>
          <w:u w:val="single"/>
        </w:rPr>
        <w:t xml:space="preserve">X </w:t>
      </w:r>
      <w:r>
        <w:rPr>
          <w:rFonts w:hint="eastAsia" w:ascii="仿宋" w:hAnsi="仿宋" w:eastAsia="仿宋" w:cs="仿宋"/>
          <w:snapToGrid w:val="0"/>
          <w:kern w:val="0"/>
        </w:rPr>
        <w:t>份，其中，买方</w:t>
      </w:r>
      <w:r>
        <w:rPr>
          <w:rFonts w:hint="eastAsia" w:ascii="仿宋" w:hAnsi="仿宋" w:eastAsia="仿宋" w:cs="仿宋"/>
          <w:snapToGrid w:val="0"/>
          <w:kern w:val="0"/>
          <w:u w:val="single"/>
        </w:rPr>
        <w:t xml:space="preserve"> 肆</w:t>
      </w:r>
      <w:r>
        <w:rPr>
          <w:rFonts w:hint="eastAsia" w:ascii="仿宋" w:hAnsi="仿宋" w:eastAsia="仿宋" w:cs="仿宋"/>
          <w:b/>
          <w:snapToGrid w:val="0"/>
          <w:kern w:val="0"/>
          <w:u w:val="single"/>
        </w:rPr>
        <w:t xml:space="preserve"> </w:t>
      </w:r>
      <w:r>
        <w:rPr>
          <w:rFonts w:hint="eastAsia" w:ascii="仿宋" w:hAnsi="仿宋" w:eastAsia="仿宋" w:cs="仿宋"/>
          <w:snapToGrid w:val="0"/>
          <w:kern w:val="0"/>
        </w:rPr>
        <w:t>份，卖方</w:t>
      </w:r>
      <w:r>
        <w:rPr>
          <w:rFonts w:hint="eastAsia" w:ascii="仿宋" w:hAnsi="仿宋" w:eastAsia="仿宋" w:cs="仿宋"/>
          <w:snapToGrid w:val="0"/>
          <w:kern w:val="0"/>
          <w:u w:val="single"/>
        </w:rPr>
        <w:t xml:space="preserve"> </w:t>
      </w:r>
      <w:r>
        <w:rPr>
          <w:rFonts w:hint="eastAsia" w:ascii="仿宋" w:hAnsi="仿宋" w:eastAsia="仿宋" w:cs="仿宋"/>
          <w:b/>
          <w:snapToGrid w:val="0"/>
          <w:kern w:val="0"/>
          <w:u w:val="single"/>
        </w:rPr>
        <w:t xml:space="preserve">X </w:t>
      </w:r>
      <w:r>
        <w:rPr>
          <w:rFonts w:hint="eastAsia" w:ascii="仿宋" w:hAnsi="仿宋" w:eastAsia="仿宋" w:cs="仿宋"/>
          <w:snapToGrid w:val="0"/>
          <w:kern w:val="0"/>
        </w:rPr>
        <w:t>份，代理机构</w:t>
      </w:r>
      <w:r>
        <w:rPr>
          <w:rFonts w:hint="eastAsia" w:ascii="仿宋" w:hAnsi="仿宋" w:eastAsia="仿宋" w:cs="仿宋"/>
          <w:snapToGrid w:val="0"/>
          <w:kern w:val="0"/>
          <w:u w:val="single"/>
        </w:rPr>
        <w:t>壹</w:t>
      </w:r>
      <w:r>
        <w:rPr>
          <w:rFonts w:hint="eastAsia" w:ascii="仿宋" w:hAnsi="仿宋" w:eastAsia="仿宋" w:cs="仿宋"/>
          <w:bCs/>
          <w:snapToGrid w:val="0"/>
          <w:kern w:val="0"/>
        </w:rPr>
        <w:t>份</w:t>
      </w:r>
      <w:r>
        <w:rPr>
          <w:rFonts w:hint="eastAsia" w:ascii="仿宋" w:hAnsi="仿宋" w:eastAsia="仿宋" w:cs="仿宋"/>
          <w:snapToGrid w:val="0"/>
          <w:kern w:val="0"/>
        </w:rPr>
        <w:t xml:space="preserve">。 </w:t>
      </w:r>
    </w:p>
    <w:p>
      <w:pPr>
        <w:snapToGrid w:val="0"/>
        <w:spacing w:line="360" w:lineRule="auto"/>
        <w:ind w:firstLine="428" w:firstLineChars="200"/>
        <w:rPr>
          <w:rFonts w:ascii="仿宋" w:hAnsi="仿宋" w:eastAsia="仿宋" w:cs="仿宋"/>
          <w:snapToGrid w:val="0"/>
          <w:kern w:val="0"/>
        </w:rPr>
      </w:pPr>
    </w:p>
    <w:p>
      <w:pPr>
        <w:snapToGrid w:val="0"/>
        <w:spacing w:line="360" w:lineRule="auto"/>
        <w:ind w:firstLine="428" w:firstLineChars="200"/>
        <w:rPr>
          <w:rFonts w:ascii="仿宋" w:hAnsi="仿宋" w:eastAsia="仿宋" w:cs="仿宋"/>
          <w:snapToGrid w:val="0"/>
          <w:kern w:val="0"/>
        </w:rPr>
      </w:pPr>
    </w:p>
    <w:p>
      <w:pPr>
        <w:snapToGrid w:val="0"/>
        <w:spacing w:line="360" w:lineRule="auto"/>
        <w:ind w:firstLine="428" w:firstLineChars="200"/>
        <w:rPr>
          <w:rFonts w:ascii="仿宋" w:hAnsi="仿宋" w:eastAsia="仿宋" w:cs="仿宋"/>
          <w:snapToGrid w:val="0"/>
          <w:kern w:val="0"/>
        </w:rPr>
      </w:pPr>
    </w:p>
    <w:p>
      <w:pPr>
        <w:snapToGrid w:val="0"/>
        <w:spacing w:line="360" w:lineRule="auto"/>
        <w:ind w:firstLine="428" w:firstLineChars="200"/>
        <w:rPr>
          <w:rFonts w:ascii="仿宋" w:hAnsi="仿宋" w:eastAsia="仿宋" w:cs="仿宋"/>
          <w:snapToGrid w:val="0"/>
          <w:kern w:val="0"/>
        </w:rPr>
      </w:pPr>
    </w:p>
    <w:p>
      <w:pPr>
        <w:pStyle w:val="27"/>
      </w:pPr>
    </w:p>
    <w:p>
      <w:pPr>
        <w:snapToGrid w:val="0"/>
        <w:spacing w:line="360" w:lineRule="auto"/>
        <w:ind w:firstLine="428" w:firstLineChars="200"/>
        <w:rPr>
          <w:rFonts w:ascii="仿宋" w:hAnsi="仿宋" w:eastAsia="仿宋" w:cs="仿宋"/>
          <w:snapToGrid w:val="0"/>
          <w:kern w:val="0"/>
        </w:rPr>
      </w:pPr>
    </w:p>
    <w:tbl>
      <w:tblPr>
        <w:tblStyle w:val="19"/>
        <w:tblW w:w="0" w:type="auto"/>
        <w:jc w:val="center"/>
        <w:tblLayout w:type="fixed"/>
        <w:tblCellMar>
          <w:top w:w="28" w:type="dxa"/>
          <w:left w:w="57" w:type="dxa"/>
          <w:bottom w:w="28" w:type="dxa"/>
          <w:right w:w="57" w:type="dxa"/>
        </w:tblCellMar>
      </w:tblPr>
      <w:tblGrid>
        <w:gridCol w:w="4777"/>
        <w:gridCol w:w="4577"/>
      </w:tblGrid>
      <w:tr>
        <w:tblPrEx>
          <w:tblCellMar>
            <w:top w:w="28" w:type="dxa"/>
            <w:left w:w="57" w:type="dxa"/>
            <w:bottom w:w="28" w:type="dxa"/>
            <w:right w:w="57" w:type="dxa"/>
          </w:tblCellMar>
        </w:tblPrEx>
        <w:trPr>
          <w:trHeight w:val="454" w:hRule="atLeast"/>
          <w:jc w:val="center"/>
        </w:trPr>
        <w:tc>
          <w:tcPr>
            <w:tcW w:w="4777" w:type="dxa"/>
            <w:noWrap w:val="0"/>
            <w:tcMar>
              <w:top w:w="113" w:type="dxa"/>
              <w:left w:w="227" w:type="dxa"/>
              <w:bottom w:w="113" w:type="dxa"/>
              <w:right w:w="227" w:type="dxa"/>
            </w:tcMar>
            <w:vAlign w:val="top"/>
          </w:tcPr>
          <w:p>
            <w:pPr>
              <w:spacing w:line="360" w:lineRule="auto"/>
              <w:jc w:val="left"/>
              <w:rPr>
                <w:rFonts w:ascii="仿宋" w:hAnsi="仿宋" w:eastAsia="仿宋"/>
                <w:bCs/>
                <w:kern w:val="0"/>
              </w:rPr>
            </w:pPr>
            <w:r>
              <w:rPr>
                <w:rFonts w:hint="eastAsia" w:ascii="仿宋" w:hAnsi="仿宋" w:eastAsia="仿宋"/>
                <w:bCs/>
                <w:kern w:val="0"/>
              </w:rPr>
              <w:t>买方名称：</w:t>
            </w:r>
            <w:r>
              <w:rPr>
                <w:rFonts w:hint="eastAsia" w:ascii="仿宋" w:hAnsi="仿宋" w:eastAsia="仿宋"/>
                <w:snapToGrid w:val="0"/>
                <w:color w:val="000000"/>
                <w:kern w:val="0"/>
              </w:rPr>
              <w:t>西安航空职业技术学院</w:t>
            </w:r>
          </w:p>
          <w:p>
            <w:pPr>
              <w:spacing w:line="360" w:lineRule="auto"/>
              <w:jc w:val="left"/>
              <w:rPr>
                <w:rFonts w:ascii="仿宋" w:hAnsi="仿宋" w:eastAsia="仿宋"/>
                <w:bCs/>
              </w:rPr>
            </w:pPr>
          </w:p>
          <w:p>
            <w:pPr>
              <w:adjustRightInd w:val="0"/>
              <w:snapToGrid w:val="0"/>
              <w:spacing w:line="360" w:lineRule="auto"/>
              <w:jc w:val="left"/>
              <w:rPr>
                <w:rFonts w:ascii="仿宋" w:hAnsi="仿宋" w:eastAsia="仿宋"/>
                <w:bCs/>
                <w:kern w:val="0"/>
              </w:rPr>
            </w:pPr>
          </w:p>
          <w:p>
            <w:pPr>
              <w:adjustRightInd w:val="0"/>
              <w:snapToGrid w:val="0"/>
              <w:spacing w:line="360" w:lineRule="auto"/>
              <w:jc w:val="left"/>
              <w:rPr>
                <w:rFonts w:ascii="仿宋" w:hAnsi="仿宋" w:eastAsia="仿宋"/>
                <w:bCs/>
                <w:kern w:val="0"/>
              </w:rPr>
            </w:pPr>
            <w:r>
              <w:rPr>
                <w:rFonts w:hint="eastAsia" w:ascii="仿宋" w:hAnsi="仿宋" w:eastAsia="仿宋"/>
                <w:bCs/>
                <w:kern w:val="0"/>
              </w:rPr>
              <w:t>买方地址：</w:t>
            </w:r>
            <w:r>
              <w:rPr>
                <w:rFonts w:hint="eastAsia" w:ascii="仿宋" w:hAnsi="仿宋" w:eastAsia="仿宋"/>
                <w:snapToGrid w:val="0"/>
                <w:color w:val="000000"/>
                <w:kern w:val="0"/>
              </w:rPr>
              <w:t xml:space="preserve">西安市阎良区迎宾大道500号 </w:t>
            </w:r>
          </w:p>
          <w:p>
            <w:pPr>
              <w:adjustRightInd w:val="0"/>
              <w:snapToGrid w:val="0"/>
              <w:spacing w:line="360" w:lineRule="auto"/>
              <w:rPr>
                <w:rFonts w:ascii="仿宋" w:hAnsi="仿宋" w:eastAsia="仿宋"/>
                <w:bCs/>
                <w:kern w:val="0"/>
              </w:rPr>
            </w:pPr>
          </w:p>
          <w:p>
            <w:pPr>
              <w:adjustRightInd w:val="0"/>
              <w:snapToGrid w:val="0"/>
              <w:spacing w:line="360" w:lineRule="auto"/>
              <w:rPr>
                <w:rFonts w:ascii="仿宋" w:hAnsi="仿宋" w:eastAsia="仿宋"/>
                <w:bCs/>
                <w:kern w:val="0"/>
              </w:rPr>
            </w:pPr>
            <w:r>
              <w:rPr>
                <w:rFonts w:hint="eastAsia" w:ascii="仿宋" w:hAnsi="仿宋" w:eastAsia="仿宋"/>
                <w:bCs/>
                <w:kern w:val="0"/>
              </w:rPr>
              <w:t>电    话：</w:t>
            </w:r>
            <w:r>
              <w:rPr>
                <w:rFonts w:hint="eastAsia" w:ascii="仿宋" w:hAnsi="仿宋" w:eastAsia="仿宋"/>
                <w:snapToGrid w:val="0"/>
                <w:color w:val="000000"/>
                <w:kern w:val="0"/>
              </w:rPr>
              <w:t>029-86855889</w:t>
            </w:r>
            <w:r>
              <w:rPr>
                <w:rFonts w:hint="eastAsia" w:ascii="仿宋" w:hAnsi="仿宋" w:eastAsia="仿宋"/>
                <w:color w:val="000000"/>
              </w:rPr>
              <w:t xml:space="preserve"> </w:t>
            </w:r>
          </w:p>
          <w:p>
            <w:pPr>
              <w:adjustRightInd w:val="0"/>
              <w:snapToGrid w:val="0"/>
              <w:spacing w:line="360" w:lineRule="auto"/>
              <w:rPr>
                <w:rFonts w:ascii="仿宋" w:hAnsi="仿宋" w:eastAsia="仿宋"/>
                <w:bCs/>
                <w:kern w:val="0"/>
              </w:rPr>
            </w:pPr>
            <w:r>
              <w:rPr>
                <w:rFonts w:hint="eastAsia" w:ascii="仿宋" w:hAnsi="仿宋" w:eastAsia="仿宋"/>
                <w:bCs/>
                <w:kern w:val="0"/>
              </w:rPr>
              <w:t>邮    编：</w:t>
            </w:r>
          </w:p>
          <w:p>
            <w:pPr>
              <w:adjustRightInd w:val="0"/>
              <w:snapToGrid w:val="0"/>
              <w:spacing w:line="360" w:lineRule="auto"/>
              <w:rPr>
                <w:rFonts w:ascii="仿宋" w:hAnsi="仿宋" w:eastAsia="仿宋"/>
                <w:bCs/>
                <w:kern w:val="0"/>
              </w:rPr>
            </w:pPr>
            <w:r>
              <w:rPr>
                <w:rFonts w:hint="eastAsia" w:ascii="仿宋" w:hAnsi="仿宋" w:eastAsia="仿宋"/>
                <w:bCs/>
                <w:kern w:val="0"/>
              </w:rPr>
              <w:t>买方代表签字：</w:t>
            </w:r>
          </w:p>
          <w:p>
            <w:pPr>
              <w:adjustRightInd w:val="0"/>
              <w:snapToGrid w:val="0"/>
              <w:spacing w:line="360" w:lineRule="auto"/>
              <w:rPr>
                <w:rFonts w:ascii="仿宋" w:hAnsi="仿宋" w:eastAsia="仿宋"/>
                <w:bCs/>
                <w:kern w:val="0"/>
              </w:rPr>
            </w:pPr>
            <w:r>
              <w:rPr>
                <w:rFonts w:hint="eastAsia" w:ascii="仿宋" w:hAnsi="仿宋" w:eastAsia="仿宋"/>
                <w:bCs/>
                <w:kern w:val="0"/>
              </w:rPr>
              <w:t>（买方盖章）</w:t>
            </w:r>
          </w:p>
          <w:p>
            <w:pPr>
              <w:adjustRightInd w:val="0"/>
              <w:snapToGrid w:val="0"/>
              <w:spacing w:line="360" w:lineRule="auto"/>
              <w:rPr>
                <w:rFonts w:ascii="仿宋" w:hAnsi="仿宋" w:eastAsia="仿宋"/>
                <w:bCs/>
                <w:kern w:val="0"/>
              </w:rPr>
            </w:pPr>
          </w:p>
        </w:tc>
        <w:tc>
          <w:tcPr>
            <w:tcW w:w="4577" w:type="dxa"/>
            <w:noWrap w:val="0"/>
            <w:tcMar>
              <w:top w:w="113" w:type="dxa"/>
              <w:left w:w="57" w:type="dxa"/>
              <w:bottom w:w="113" w:type="dxa"/>
              <w:right w:w="57" w:type="dxa"/>
            </w:tcMar>
            <w:vAlign w:val="top"/>
          </w:tcPr>
          <w:p>
            <w:pPr>
              <w:autoSpaceDE w:val="0"/>
              <w:autoSpaceDN w:val="0"/>
              <w:adjustRightInd w:val="0"/>
              <w:spacing w:line="360" w:lineRule="auto"/>
              <w:jc w:val="left"/>
              <w:rPr>
                <w:rFonts w:ascii="仿宋" w:hAnsi="仿宋" w:eastAsia="仿宋"/>
                <w:bCs/>
                <w:kern w:val="0"/>
              </w:rPr>
            </w:pPr>
            <w:r>
              <w:rPr>
                <w:rFonts w:hint="eastAsia" w:ascii="仿宋" w:hAnsi="仿宋" w:eastAsia="仿宋"/>
                <w:bCs/>
                <w:kern w:val="0"/>
              </w:rPr>
              <w:t>卖方名称：</w:t>
            </w:r>
          </w:p>
          <w:p>
            <w:pPr>
              <w:autoSpaceDE w:val="0"/>
              <w:autoSpaceDN w:val="0"/>
              <w:adjustRightInd w:val="0"/>
              <w:spacing w:line="360" w:lineRule="auto"/>
              <w:jc w:val="left"/>
              <w:rPr>
                <w:rFonts w:ascii="仿宋" w:hAnsi="仿宋" w:eastAsia="仿宋"/>
                <w:bCs/>
                <w:kern w:val="0"/>
              </w:rPr>
            </w:pPr>
          </w:p>
          <w:p>
            <w:pPr>
              <w:autoSpaceDE w:val="0"/>
              <w:autoSpaceDN w:val="0"/>
              <w:adjustRightInd w:val="0"/>
              <w:spacing w:line="360" w:lineRule="auto"/>
              <w:jc w:val="left"/>
              <w:rPr>
                <w:rFonts w:ascii="仿宋" w:hAnsi="仿宋" w:eastAsia="仿宋"/>
                <w:bCs/>
                <w:kern w:val="0"/>
              </w:rPr>
            </w:pPr>
            <w:r>
              <w:rPr>
                <w:rFonts w:hint="eastAsia" w:ascii="仿宋" w:hAnsi="仿宋" w:eastAsia="仿宋"/>
                <w:bCs/>
                <w:kern w:val="0"/>
              </w:rPr>
              <w:t xml:space="preserve">卖方地址：  </w:t>
            </w:r>
          </w:p>
          <w:p>
            <w:pPr>
              <w:adjustRightInd w:val="0"/>
              <w:snapToGrid w:val="0"/>
              <w:spacing w:line="360" w:lineRule="auto"/>
              <w:rPr>
                <w:rFonts w:ascii="仿宋" w:hAnsi="仿宋" w:eastAsia="仿宋"/>
                <w:bCs/>
                <w:kern w:val="0"/>
                <w:lang w:val="zh-CN"/>
              </w:rPr>
            </w:pPr>
            <w:r>
              <w:rPr>
                <w:rFonts w:hint="eastAsia" w:ascii="仿宋" w:hAnsi="仿宋" w:eastAsia="仿宋"/>
                <w:bCs/>
                <w:kern w:val="0"/>
              </w:rPr>
              <w:t xml:space="preserve">电    话： </w:t>
            </w:r>
          </w:p>
          <w:p>
            <w:pPr>
              <w:adjustRightInd w:val="0"/>
              <w:snapToGrid w:val="0"/>
              <w:spacing w:line="360" w:lineRule="auto"/>
              <w:rPr>
                <w:rFonts w:ascii="仿宋" w:hAnsi="仿宋" w:eastAsia="仿宋"/>
                <w:bCs/>
                <w:kern w:val="0"/>
              </w:rPr>
            </w:pPr>
            <w:r>
              <w:rPr>
                <w:rFonts w:hint="eastAsia" w:ascii="仿宋" w:hAnsi="仿宋" w:eastAsia="仿宋"/>
                <w:bCs/>
                <w:kern w:val="0"/>
              </w:rPr>
              <w:t xml:space="preserve">邮    编： </w:t>
            </w:r>
          </w:p>
          <w:p>
            <w:pPr>
              <w:adjustRightInd w:val="0"/>
              <w:snapToGrid w:val="0"/>
              <w:spacing w:line="360" w:lineRule="auto"/>
              <w:rPr>
                <w:rFonts w:ascii="仿宋" w:hAnsi="仿宋" w:eastAsia="仿宋"/>
                <w:bCs/>
              </w:rPr>
            </w:pPr>
            <w:r>
              <w:rPr>
                <w:rFonts w:hint="eastAsia" w:ascii="仿宋" w:hAnsi="仿宋" w:eastAsia="仿宋"/>
                <w:bCs/>
                <w:kern w:val="0"/>
              </w:rPr>
              <w:t>开户银行</w:t>
            </w:r>
            <w:r>
              <w:rPr>
                <w:rFonts w:hint="eastAsia" w:ascii="仿宋" w:hAnsi="仿宋" w:eastAsia="仿宋"/>
                <w:bCs/>
              </w:rPr>
              <w:t>：</w:t>
            </w:r>
          </w:p>
          <w:p>
            <w:pPr>
              <w:adjustRightInd w:val="0"/>
              <w:snapToGrid w:val="0"/>
              <w:spacing w:line="360" w:lineRule="auto"/>
              <w:rPr>
                <w:rFonts w:ascii="仿宋" w:hAnsi="仿宋" w:eastAsia="仿宋"/>
                <w:bCs/>
                <w:kern w:val="0"/>
              </w:rPr>
            </w:pPr>
            <w:r>
              <w:rPr>
                <w:rFonts w:hint="eastAsia" w:ascii="仿宋" w:hAnsi="仿宋" w:eastAsia="仿宋"/>
                <w:bCs/>
                <w:kern w:val="0"/>
              </w:rPr>
              <w:t xml:space="preserve">帐    号： </w:t>
            </w:r>
          </w:p>
          <w:p>
            <w:pPr>
              <w:adjustRightInd w:val="0"/>
              <w:snapToGrid w:val="0"/>
              <w:spacing w:line="360" w:lineRule="auto"/>
              <w:rPr>
                <w:rFonts w:ascii="仿宋" w:hAnsi="仿宋" w:eastAsia="仿宋"/>
                <w:bCs/>
                <w:kern w:val="0"/>
              </w:rPr>
            </w:pPr>
            <w:r>
              <w:rPr>
                <w:rFonts w:hint="eastAsia" w:ascii="仿宋" w:hAnsi="仿宋" w:eastAsia="仿宋"/>
                <w:bCs/>
                <w:kern w:val="0"/>
              </w:rPr>
              <w:t>卖方代表签字：</w:t>
            </w:r>
          </w:p>
          <w:p>
            <w:pPr>
              <w:adjustRightInd w:val="0"/>
              <w:snapToGrid w:val="0"/>
              <w:spacing w:line="360" w:lineRule="auto"/>
              <w:rPr>
                <w:rFonts w:ascii="仿宋" w:hAnsi="仿宋" w:eastAsia="仿宋"/>
                <w:bCs/>
                <w:kern w:val="0"/>
              </w:rPr>
            </w:pPr>
            <w:r>
              <w:rPr>
                <w:rFonts w:hint="eastAsia" w:ascii="仿宋" w:hAnsi="仿宋" w:eastAsia="仿宋"/>
                <w:bCs/>
                <w:kern w:val="0"/>
              </w:rPr>
              <w:t>（卖方盖章）</w:t>
            </w:r>
          </w:p>
          <w:p>
            <w:pPr>
              <w:adjustRightInd w:val="0"/>
              <w:snapToGrid w:val="0"/>
              <w:spacing w:line="360" w:lineRule="auto"/>
              <w:rPr>
                <w:rFonts w:ascii="仿宋" w:hAnsi="仿宋" w:eastAsia="仿宋"/>
                <w:bCs/>
                <w:kern w:val="0"/>
              </w:rPr>
            </w:pPr>
          </w:p>
        </w:tc>
      </w:tr>
    </w:tbl>
    <w:p>
      <w:pPr>
        <w:spacing w:before="166" w:beforeLines="50" w:line="360" w:lineRule="auto"/>
        <w:rPr>
          <w:rFonts w:ascii="仿宋" w:hAnsi="仿宋" w:eastAsia="仿宋"/>
          <w:kern w:val="0"/>
        </w:rPr>
      </w:pPr>
      <w:r>
        <w:rPr>
          <w:rFonts w:hint="eastAsia" w:ascii="仿宋" w:hAnsi="仿宋" w:eastAsia="仿宋"/>
          <w:kern w:val="0"/>
        </w:rPr>
        <w:t xml:space="preserve">鉴证方名称：陕西卓佲项目管理有限公司 </w:t>
      </w:r>
    </w:p>
    <w:p>
      <w:pPr>
        <w:spacing w:line="360" w:lineRule="auto"/>
        <w:rPr>
          <w:rFonts w:ascii="仿宋" w:hAnsi="仿宋" w:eastAsia="仿宋"/>
          <w:kern w:val="0"/>
        </w:rPr>
      </w:pPr>
      <w:r>
        <w:rPr>
          <w:rFonts w:hint="eastAsia" w:ascii="仿宋" w:hAnsi="仿宋" w:eastAsia="仿宋"/>
          <w:kern w:val="0"/>
        </w:rPr>
        <w:t>鉴证方地址：西安市科技路10号华奥大厦A座</w:t>
      </w:r>
      <w:r>
        <w:rPr>
          <w:rFonts w:hint="eastAsia" w:ascii="仿宋" w:hAnsi="仿宋" w:eastAsia="仿宋"/>
          <w:kern w:val="0"/>
          <w:lang w:val="en-US" w:eastAsia="zh-CN"/>
        </w:rPr>
        <w:t>20层</w:t>
      </w:r>
      <w:r>
        <w:rPr>
          <w:rFonts w:hint="eastAsia" w:ascii="仿宋" w:hAnsi="仿宋" w:eastAsia="仿宋"/>
          <w:kern w:val="0"/>
        </w:rPr>
        <w:t xml:space="preserve">2002室 </w:t>
      </w:r>
    </w:p>
    <w:p>
      <w:pPr>
        <w:spacing w:line="360" w:lineRule="auto"/>
        <w:rPr>
          <w:rFonts w:ascii="仿宋" w:hAnsi="仿宋" w:eastAsia="仿宋"/>
          <w:kern w:val="0"/>
        </w:rPr>
      </w:pPr>
      <w:r>
        <w:rPr>
          <w:rFonts w:hint="eastAsia" w:ascii="仿宋" w:hAnsi="仿宋" w:eastAsia="仿宋"/>
          <w:kern w:val="0"/>
        </w:rPr>
        <w:t xml:space="preserve">邮 编：                       电话：029-88440695         </w:t>
      </w:r>
    </w:p>
    <w:p>
      <w:pPr>
        <w:spacing w:line="360" w:lineRule="auto"/>
        <w:rPr>
          <w:rFonts w:ascii="仿宋" w:hAnsi="仿宋" w:eastAsia="仿宋"/>
          <w:kern w:val="0"/>
        </w:rPr>
      </w:pPr>
      <w:r>
        <w:rPr>
          <w:rFonts w:hint="eastAsia" w:ascii="仿宋" w:hAnsi="仿宋" w:eastAsia="仿宋"/>
          <w:kern w:val="0"/>
        </w:rPr>
        <w:t>鉴证方（签字）：</w:t>
      </w:r>
    </w:p>
    <w:p>
      <w:pPr>
        <w:adjustRightInd w:val="0"/>
        <w:snapToGrid w:val="0"/>
        <w:spacing w:line="360" w:lineRule="auto"/>
        <w:rPr>
          <w:rFonts w:ascii="宋体" w:hAnsi="宋体"/>
          <w:b/>
        </w:rPr>
      </w:pPr>
    </w:p>
    <w:p>
      <w:pPr>
        <w:jc w:val="center"/>
        <w:rPr>
          <w:rFonts w:ascii="华文中宋" w:hAnsi="华文中宋" w:eastAsia="华文中宋"/>
          <w:spacing w:val="113"/>
          <w:sz w:val="36"/>
          <w:szCs w:val="36"/>
        </w:rPr>
      </w:pPr>
      <w:r>
        <w:rPr>
          <w:rFonts w:hint="eastAsia" w:ascii="宋体" w:hAnsi="宋体"/>
        </w:rPr>
        <w:br w:type="page"/>
      </w:r>
      <w:bookmarkStart w:id="182" w:name="_Toc14737"/>
      <w:bookmarkStart w:id="183" w:name="_Toc169606933"/>
      <w:bookmarkStart w:id="184" w:name="_Toc208313805"/>
      <w:bookmarkStart w:id="185" w:name="_Toc169937352"/>
      <w:bookmarkStart w:id="186" w:name="_Toc208335931"/>
      <w:bookmarkStart w:id="187" w:name="_Toc208313870"/>
      <w:bookmarkStart w:id="188" w:name="_Toc169426924"/>
      <w:bookmarkStart w:id="189" w:name="_Toc208313701"/>
      <w:bookmarkStart w:id="190" w:name="_Toc169426658"/>
      <w:bookmarkStart w:id="191" w:name="_Toc169609327"/>
      <w:bookmarkStart w:id="192" w:name="_Toc169609360"/>
      <w:r>
        <w:rPr>
          <w:rFonts w:hint="eastAsia" w:ascii="华文中宋" w:hAnsi="华文中宋" w:eastAsia="华文中宋"/>
          <w:spacing w:val="113"/>
          <w:sz w:val="36"/>
          <w:szCs w:val="36"/>
        </w:rPr>
        <w:t>合同条款</w:t>
      </w:r>
      <w:bookmarkEnd w:id="182"/>
    </w:p>
    <w:bookmarkEnd w:id="183"/>
    <w:bookmarkEnd w:id="184"/>
    <w:bookmarkEnd w:id="185"/>
    <w:bookmarkEnd w:id="186"/>
    <w:bookmarkEnd w:id="187"/>
    <w:bookmarkEnd w:id="188"/>
    <w:bookmarkEnd w:id="189"/>
    <w:bookmarkEnd w:id="190"/>
    <w:bookmarkEnd w:id="191"/>
    <w:bookmarkEnd w:id="192"/>
    <w:p>
      <w:pPr>
        <w:autoSpaceDE w:val="0"/>
        <w:autoSpaceDN w:val="0"/>
        <w:adjustRightInd w:val="0"/>
        <w:spacing w:line="420" w:lineRule="exact"/>
        <w:ind w:firstLine="428" w:firstLineChars="200"/>
        <w:rPr>
          <w:rFonts w:ascii="仿宋" w:hAnsi="仿宋" w:eastAsia="仿宋"/>
          <w:b/>
          <w:kern w:val="0"/>
        </w:rPr>
      </w:pPr>
      <w:r>
        <w:rPr>
          <w:rFonts w:hint="eastAsia" w:ascii="仿宋" w:hAnsi="仿宋" w:eastAsia="仿宋"/>
          <w:b/>
          <w:kern w:val="0"/>
        </w:rPr>
        <w:t>1.定义</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本合同下列术语应解释为：</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1)“合同”系指买卖双方签署的、合同格式中载明的买卖双方所达成的协议，包括所有的附件、附录和上述文件所提到的构成合同的所有文件。</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2)“合同价”系指根据合同规定卖方在正确地完全履行合同义务后买方应支付给卖方的价格。</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3)“货物”系指卖方根据合同规定须向买方提供的一切材料、设备、机械、仪表、备件、工具和／或其它材料。</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4)“服务”系指根据合同规定卖方承担与供货有关的辅助服务，比如包装、运输、保险以及其它的伴随服务，比如安装、调试、提供技术援助、培训和合同中规定卖方应承担的其它义务。</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5)“买方”系指合同中所述购买货物和服务的单位。</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6)“卖方”系指合同中所述提供货物和服务的公司或其它实体。</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7)“项目现场”系指本合同项下货物安装、运行的场地，其名称在合同中指明。</w:t>
      </w:r>
    </w:p>
    <w:p>
      <w:pPr>
        <w:autoSpaceDE w:val="0"/>
        <w:autoSpaceDN w:val="0"/>
        <w:adjustRightInd w:val="0"/>
        <w:spacing w:line="420" w:lineRule="exact"/>
        <w:ind w:firstLine="428" w:firstLineChars="200"/>
        <w:rPr>
          <w:rFonts w:ascii="仿宋" w:hAnsi="仿宋" w:eastAsia="仿宋"/>
          <w:kern w:val="0"/>
        </w:rPr>
      </w:pPr>
      <w:r>
        <w:rPr>
          <w:rFonts w:hint="eastAsia" w:ascii="仿宋" w:hAnsi="仿宋" w:eastAsia="仿宋"/>
          <w:kern w:val="0"/>
        </w:rPr>
        <w:t>8)“天”指日历天数。</w:t>
      </w:r>
    </w:p>
    <w:p>
      <w:pPr>
        <w:spacing w:line="420" w:lineRule="exact"/>
        <w:ind w:firstLine="428" w:firstLineChars="200"/>
        <w:rPr>
          <w:rFonts w:ascii="仿宋" w:hAnsi="仿宋" w:eastAsia="仿宋"/>
          <w:b/>
        </w:rPr>
      </w:pPr>
      <w:r>
        <w:rPr>
          <w:rFonts w:hint="eastAsia" w:ascii="仿宋" w:hAnsi="仿宋" w:eastAsia="仿宋"/>
          <w:b/>
        </w:rPr>
        <w:t>2.适用性</w:t>
      </w:r>
    </w:p>
    <w:p>
      <w:pPr>
        <w:spacing w:line="420" w:lineRule="exact"/>
        <w:ind w:firstLine="428" w:firstLineChars="200"/>
        <w:rPr>
          <w:rFonts w:ascii="仿宋" w:hAnsi="仿宋" w:eastAsia="仿宋"/>
        </w:rPr>
      </w:pPr>
      <w:r>
        <w:rPr>
          <w:rFonts w:hint="eastAsia" w:ascii="仿宋" w:hAnsi="仿宋" w:eastAsia="仿宋"/>
        </w:rPr>
        <w:t>2.1 本合同条款适用于没有被本合同其他部分的条款所取代的范围。</w:t>
      </w:r>
    </w:p>
    <w:p>
      <w:pPr>
        <w:spacing w:line="420" w:lineRule="exact"/>
        <w:ind w:firstLine="428" w:firstLineChars="200"/>
        <w:rPr>
          <w:rFonts w:ascii="仿宋" w:hAnsi="仿宋" w:eastAsia="仿宋"/>
          <w:b/>
          <w:kern w:val="0"/>
        </w:rPr>
      </w:pPr>
      <w:r>
        <w:rPr>
          <w:rFonts w:hint="eastAsia" w:ascii="仿宋" w:hAnsi="仿宋" w:eastAsia="仿宋"/>
          <w:b/>
          <w:kern w:val="0"/>
        </w:rPr>
        <w:t>3.技术规格</w:t>
      </w:r>
    </w:p>
    <w:p>
      <w:pPr>
        <w:spacing w:line="420" w:lineRule="exact"/>
        <w:ind w:firstLine="428" w:firstLineChars="200"/>
        <w:rPr>
          <w:rFonts w:ascii="仿宋" w:hAnsi="仿宋" w:eastAsia="仿宋"/>
          <w:b/>
          <w:kern w:val="0"/>
        </w:rPr>
      </w:pPr>
      <w:r>
        <w:rPr>
          <w:rFonts w:hint="eastAsia" w:ascii="仿宋" w:hAnsi="仿宋" w:eastAsia="仿宋"/>
          <w:kern w:val="0"/>
        </w:rPr>
        <w:t>3.1 本合同下交付的货物应符合技术规格参数与要求所述的标准。如果没有提及适用标准的，则应符合中华人民共和国有关机构发布的最新版本的标准或经过质量管理行政部门备案的企业标准。</w:t>
      </w:r>
    </w:p>
    <w:p>
      <w:pPr>
        <w:spacing w:line="420" w:lineRule="exact"/>
        <w:ind w:firstLine="428" w:firstLineChars="200"/>
        <w:rPr>
          <w:rFonts w:ascii="仿宋" w:hAnsi="仿宋" w:eastAsia="仿宋"/>
          <w:kern w:val="0"/>
        </w:rPr>
      </w:pPr>
      <w:r>
        <w:rPr>
          <w:rFonts w:hint="eastAsia" w:ascii="仿宋" w:hAnsi="仿宋" w:eastAsia="仿宋"/>
          <w:kern w:val="0"/>
        </w:rPr>
        <w:t>3.2 除非技术规格中另有规定，计量单位均采用中华人民共和国法定计量单位。</w:t>
      </w:r>
    </w:p>
    <w:p>
      <w:pPr>
        <w:spacing w:line="420" w:lineRule="exact"/>
        <w:ind w:firstLine="428" w:firstLineChars="200"/>
        <w:rPr>
          <w:rFonts w:ascii="仿宋" w:hAnsi="仿宋" w:eastAsia="仿宋"/>
          <w:b/>
          <w:kern w:val="0"/>
        </w:rPr>
      </w:pPr>
      <w:r>
        <w:rPr>
          <w:rFonts w:hint="eastAsia" w:ascii="仿宋" w:hAnsi="仿宋" w:eastAsia="仿宋"/>
          <w:b/>
          <w:kern w:val="0"/>
        </w:rPr>
        <w:t>4.专利权</w:t>
      </w:r>
    </w:p>
    <w:p>
      <w:pPr>
        <w:spacing w:line="420" w:lineRule="exact"/>
        <w:ind w:firstLine="428" w:firstLineChars="200"/>
        <w:rPr>
          <w:rFonts w:ascii="仿宋" w:hAnsi="仿宋" w:eastAsia="仿宋"/>
          <w:kern w:val="0"/>
        </w:rPr>
      </w:pPr>
      <w:r>
        <w:rPr>
          <w:rFonts w:hint="eastAsia" w:ascii="仿宋" w:hAnsi="仿宋" w:eastAsia="仿宋"/>
          <w:kern w:val="0"/>
        </w:rPr>
        <w:t>4.1 卖方应保证，买方使用该货物或货物的任何一部分时，免受第三方提出的侵犯其专利权、商标权、著作权或其它知识产权的起诉。卖方违反此项义务的，所有责任和费用由卖方承担，造成买方损失的，卖方应负责赔偿。</w:t>
      </w:r>
    </w:p>
    <w:p>
      <w:pPr>
        <w:spacing w:line="420" w:lineRule="exact"/>
        <w:ind w:firstLine="428" w:firstLineChars="200"/>
        <w:rPr>
          <w:rFonts w:ascii="仿宋" w:hAnsi="仿宋" w:eastAsia="仿宋"/>
          <w:b/>
          <w:kern w:val="0"/>
        </w:rPr>
      </w:pPr>
      <w:r>
        <w:rPr>
          <w:rFonts w:hint="eastAsia" w:ascii="仿宋" w:hAnsi="仿宋" w:eastAsia="仿宋"/>
          <w:b/>
          <w:kern w:val="0"/>
        </w:rPr>
        <w:t>5.质保期</w:t>
      </w:r>
    </w:p>
    <w:p>
      <w:pPr>
        <w:adjustRightInd w:val="0"/>
        <w:snapToGrid w:val="0"/>
        <w:spacing w:line="420" w:lineRule="exact"/>
        <w:ind w:firstLine="428" w:firstLineChars="200"/>
        <w:rPr>
          <w:rFonts w:ascii="仿宋" w:hAnsi="仿宋" w:eastAsia="仿宋"/>
          <w:color w:val="auto"/>
          <w:highlight w:val="none"/>
        </w:rPr>
      </w:pPr>
      <w:r>
        <w:rPr>
          <w:rFonts w:hint="eastAsia" w:ascii="仿宋" w:hAnsi="仿宋" w:eastAsia="仿宋"/>
          <w:kern w:val="0"/>
        </w:rPr>
        <w:t xml:space="preserve">5.1 </w:t>
      </w:r>
      <w:r>
        <w:rPr>
          <w:rFonts w:hint="eastAsia" w:ascii="仿宋" w:hAnsi="仿宋" w:eastAsia="仿宋"/>
        </w:rPr>
        <w:t>货物的质保期自终验合格之日起</w:t>
      </w:r>
      <w:r>
        <w:rPr>
          <w:rFonts w:hint="eastAsia" w:ascii="仿宋" w:hAnsi="仿宋" w:eastAsia="仿宋"/>
          <w:u w:val="single"/>
          <w:lang w:val="en-US" w:eastAsia="zh-CN"/>
        </w:rPr>
        <w:t xml:space="preserve">    </w:t>
      </w:r>
      <w:r>
        <w:rPr>
          <w:rFonts w:hint="eastAsia" w:ascii="仿宋" w:hAnsi="仿宋" w:eastAsia="仿宋"/>
          <w:color w:val="auto"/>
          <w:highlight w:val="none"/>
          <w:u w:val="single"/>
          <w:lang w:val="en-US" w:eastAsia="zh-CN"/>
        </w:rPr>
        <w:t xml:space="preserve"> </w:t>
      </w:r>
      <w:r>
        <w:rPr>
          <w:rFonts w:hint="eastAsia" w:ascii="仿宋" w:hAnsi="仿宋" w:eastAsia="仿宋"/>
          <w:color w:val="auto"/>
          <w:highlight w:val="none"/>
        </w:rPr>
        <w:t>个月。</w:t>
      </w:r>
    </w:p>
    <w:p>
      <w:pPr>
        <w:spacing w:line="420" w:lineRule="exact"/>
        <w:ind w:firstLine="428" w:firstLineChars="200"/>
        <w:rPr>
          <w:rFonts w:ascii="仿宋" w:hAnsi="仿宋" w:eastAsia="仿宋"/>
          <w:b/>
          <w:kern w:val="0"/>
        </w:rPr>
      </w:pPr>
      <w:r>
        <w:rPr>
          <w:rFonts w:hint="eastAsia" w:ascii="仿宋" w:hAnsi="仿宋" w:eastAsia="仿宋"/>
          <w:b/>
          <w:kern w:val="0"/>
        </w:rPr>
        <w:t>6.运输及安装调试</w:t>
      </w:r>
    </w:p>
    <w:p>
      <w:pPr>
        <w:adjustRightInd w:val="0"/>
        <w:snapToGrid w:val="0"/>
        <w:spacing w:line="420" w:lineRule="exact"/>
        <w:ind w:firstLine="428" w:firstLineChars="200"/>
        <w:rPr>
          <w:rFonts w:ascii="仿宋" w:hAnsi="仿宋" w:eastAsia="仿宋"/>
        </w:rPr>
      </w:pPr>
      <w:r>
        <w:rPr>
          <w:rFonts w:hint="eastAsia" w:ascii="仿宋" w:hAnsi="仿宋" w:eastAsia="仿宋"/>
          <w:kern w:val="0"/>
        </w:rPr>
        <w:t xml:space="preserve">6.1 </w:t>
      </w:r>
      <w:r>
        <w:rPr>
          <w:rFonts w:hint="eastAsia" w:ascii="仿宋" w:hAnsi="仿宋" w:eastAsia="仿宋"/>
        </w:rPr>
        <w:t>所有货物必须运输至项目地点，卖方负责所有设备的运输、保险、安装、调试。</w:t>
      </w:r>
    </w:p>
    <w:p>
      <w:pPr>
        <w:spacing w:line="420" w:lineRule="exact"/>
        <w:ind w:firstLine="428" w:firstLineChars="200"/>
        <w:rPr>
          <w:rFonts w:ascii="仿宋" w:hAnsi="仿宋" w:eastAsia="仿宋"/>
          <w:b/>
          <w:kern w:val="0"/>
        </w:rPr>
      </w:pPr>
      <w:r>
        <w:rPr>
          <w:rFonts w:hint="eastAsia" w:ascii="仿宋" w:hAnsi="仿宋" w:eastAsia="仿宋"/>
          <w:b/>
          <w:kern w:val="0"/>
        </w:rPr>
        <w:t>7.货物的验收</w:t>
      </w:r>
    </w:p>
    <w:p>
      <w:pPr>
        <w:autoSpaceDN w:val="0"/>
        <w:spacing w:line="440" w:lineRule="exact"/>
        <w:ind w:firstLine="428" w:firstLineChars="200"/>
        <w:rPr>
          <w:rFonts w:ascii="仿宋" w:hAnsi="仿宋" w:eastAsia="仿宋"/>
          <w:color w:val="000000"/>
          <w:kern w:val="0"/>
        </w:rPr>
      </w:pPr>
      <w:bookmarkStart w:id="193" w:name="_Toc167714041"/>
      <w:bookmarkStart w:id="194" w:name="_Toc167712843"/>
      <w:bookmarkStart w:id="195" w:name="_Toc167715238"/>
      <w:r>
        <w:rPr>
          <w:rFonts w:hint="eastAsia" w:ascii="仿宋" w:hAnsi="仿宋" w:eastAsia="仿宋"/>
          <w:color w:val="000000"/>
          <w:kern w:val="0"/>
        </w:rPr>
        <w:t>（1）交货检验：设备到货后，由采购人、中标单位对设备进行开箱检查，检查内容包括：设备名称、规格型号、配置要求、制造商、原产地等。若设备与合同要求不符，采购人将拒绝接收。（2）技术验收：交货检验后，由中标人负责安装调试。安装调试完毕后，中标人提交验收文件，采购方的设备使用单位对设备进行技术验收（中标人协助），验收以国家标准或以合同文本中描述的有关技术要求为准。</w:t>
      </w:r>
    </w:p>
    <w:p>
      <w:pPr>
        <w:autoSpaceDN w:val="0"/>
        <w:spacing w:line="440" w:lineRule="exact"/>
        <w:ind w:firstLine="428" w:firstLineChars="200"/>
        <w:rPr>
          <w:rFonts w:ascii="仿宋" w:hAnsi="仿宋" w:eastAsia="仿宋"/>
          <w:color w:val="000000"/>
          <w:kern w:val="0"/>
        </w:rPr>
      </w:pPr>
      <w:r>
        <w:rPr>
          <w:rFonts w:hint="eastAsia" w:ascii="仿宋" w:hAnsi="仿宋" w:eastAsia="仿宋"/>
          <w:color w:val="000000"/>
          <w:kern w:val="0"/>
        </w:rPr>
        <w:t>（3）最终验收：技术验收合格后的，采购人根据使用单位技术验收报告，组织相关部门对设备进行最终验收。</w:t>
      </w:r>
    </w:p>
    <w:p>
      <w:pPr>
        <w:autoSpaceDN w:val="0"/>
        <w:spacing w:line="440" w:lineRule="exact"/>
        <w:ind w:firstLine="428" w:firstLineChars="200"/>
        <w:rPr>
          <w:rFonts w:ascii="仿宋" w:hAnsi="仿宋" w:eastAsia="仿宋"/>
          <w:color w:val="000000"/>
          <w:kern w:val="0"/>
        </w:rPr>
      </w:pPr>
      <w:r>
        <w:rPr>
          <w:rFonts w:hint="eastAsia" w:ascii="仿宋" w:hAnsi="仿宋" w:eastAsia="仿宋"/>
          <w:color w:val="000000"/>
          <w:kern w:val="0"/>
        </w:rPr>
        <w:t>（4）验收依据</w:t>
      </w:r>
    </w:p>
    <w:p>
      <w:pPr>
        <w:autoSpaceDN w:val="0"/>
        <w:spacing w:line="440" w:lineRule="exact"/>
        <w:ind w:firstLine="428" w:firstLineChars="200"/>
        <w:rPr>
          <w:rFonts w:ascii="仿宋" w:hAnsi="仿宋" w:eastAsia="仿宋"/>
          <w:color w:val="000000"/>
          <w:kern w:val="0"/>
        </w:rPr>
      </w:pPr>
      <w:r>
        <w:rPr>
          <w:rFonts w:hint="eastAsia" w:ascii="仿宋" w:hAnsi="仿宋" w:eastAsia="仿宋"/>
          <w:color w:val="000000"/>
          <w:kern w:val="0"/>
        </w:rPr>
        <w:t xml:space="preserve">合同文本； </w:t>
      </w:r>
    </w:p>
    <w:p>
      <w:pPr>
        <w:autoSpaceDN w:val="0"/>
        <w:spacing w:line="440" w:lineRule="exact"/>
        <w:ind w:firstLine="428" w:firstLineChars="200"/>
        <w:rPr>
          <w:rFonts w:ascii="仿宋" w:hAnsi="仿宋" w:eastAsia="仿宋"/>
          <w:color w:val="000000"/>
          <w:kern w:val="0"/>
        </w:rPr>
      </w:pPr>
      <w:r>
        <w:rPr>
          <w:rFonts w:hint="eastAsia" w:ascii="仿宋" w:hAnsi="仿宋" w:eastAsia="仿宋"/>
          <w:color w:val="000000"/>
          <w:kern w:val="0"/>
        </w:rPr>
        <w:t>国家有关的验收标准及规范；</w:t>
      </w:r>
    </w:p>
    <w:p>
      <w:pPr>
        <w:autoSpaceDN w:val="0"/>
        <w:spacing w:line="440" w:lineRule="exact"/>
        <w:ind w:firstLine="428" w:firstLineChars="200"/>
        <w:rPr>
          <w:rFonts w:ascii="仿宋" w:hAnsi="仿宋" w:eastAsia="仿宋"/>
          <w:color w:val="000000"/>
          <w:kern w:val="0"/>
        </w:rPr>
      </w:pPr>
      <w:r>
        <w:rPr>
          <w:rFonts w:hint="eastAsia" w:ascii="仿宋" w:hAnsi="仿宋" w:eastAsia="仿宋"/>
          <w:color w:val="000000"/>
          <w:kern w:val="0"/>
        </w:rPr>
        <w:t>招标文件；</w:t>
      </w:r>
    </w:p>
    <w:p>
      <w:pPr>
        <w:autoSpaceDN w:val="0"/>
        <w:spacing w:after="166" w:afterLines="50" w:line="440" w:lineRule="exact"/>
        <w:ind w:firstLine="428" w:firstLineChars="200"/>
        <w:rPr>
          <w:rFonts w:ascii="仿宋" w:hAnsi="仿宋" w:eastAsia="仿宋"/>
          <w:color w:val="135ADD"/>
          <w:kern w:val="0"/>
        </w:rPr>
      </w:pPr>
      <w:r>
        <w:rPr>
          <w:rFonts w:hint="eastAsia" w:ascii="仿宋" w:hAnsi="仿宋" w:eastAsia="仿宋"/>
          <w:color w:val="000000"/>
          <w:kern w:val="0"/>
        </w:rPr>
        <w:t>投标文件。</w:t>
      </w:r>
      <w:bookmarkEnd w:id="193"/>
      <w:bookmarkEnd w:id="194"/>
      <w:bookmarkEnd w:id="195"/>
    </w:p>
    <w:p>
      <w:pPr>
        <w:autoSpaceDN w:val="0"/>
        <w:spacing w:after="166" w:afterLines="50" w:line="440" w:lineRule="exact"/>
        <w:ind w:firstLine="428" w:firstLineChars="200"/>
        <w:rPr>
          <w:rFonts w:ascii="仿宋" w:hAnsi="仿宋" w:eastAsia="仿宋"/>
          <w:b/>
          <w:kern w:val="0"/>
        </w:rPr>
      </w:pPr>
      <w:r>
        <w:rPr>
          <w:rFonts w:hint="eastAsia" w:ascii="仿宋" w:hAnsi="仿宋" w:eastAsia="仿宋"/>
          <w:b/>
          <w:kern w:val="0"/>
        </w:rPr>
        <w:t>8.伴随服务</w:t>
      </w:r>
    </w:p>
    <w:p>
      <w:pPr>
        <w:autoSpaceDN w:val="0"/>
        <w:spacing w:line="420" w:lineRule="exact"/>
        <w:ind w:firstLine="428" w:firstLineChars="200"/>
        <w:rPr>
          <w:rFonts w:ascii="仿宋" w:hAnsi="仿宋" w:eastAsia="仿宋"/>
          <w:color w:val="0F4AB4"/>
          <w:kern w:val="0"/>
        </w:rPr>
      </w:pPr>
      <w:r>
        <w:rPr>
          <w:rFonts w:hint="eastAsia" w:ascii="仿宋" w:hAnsi="仿宋" w:eastAsia="仿宋"/>
          <w:kern w:val="0"/>
        </w:rPr>
        <w:t>8.1 除合同条款中另有规定外，买方只应要求卖方提交所供货物的技术文件。包括相应的每一套设备和仪器的中文的技术文件，例如：产品目录、图纸、操作手册、使用说明、维护手册和／或服务指南。这些文件应包装好随同每批货物一起发运。</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8.2 卖方可能被要求提供下列服务中的任一或所有服务，包括“合同条款”与“技术规格与要求”中规定的附加服务（如果有的话）：</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1）实施或监督所供货物的现场组装和/或试运行；</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2）提供货物组装和/或维修所需的工具；</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3）为所供货物的每一适当的单台设备提供详细的操作和维</w:t>
      </w:r>
      <w:r>
        <w:rPr>
          <w:rFonts w:hint="eastAsia" w:ascii="仿宋" w:hAnsi="仿宋" w:eastAsia="仿宋"/>
          <w:kern w:val="0"/>
        </w:rPr>
        <w:t>护手册；</w:t>
      </w:r>
    </w:p>
    <w:p>
      <w:pPr>
        <w:autoSpaceDN w:val="0"/>
        <w:spacing w:line="420" w:lineRule="exact"/>
        <w:ind w:firstLine="428" w:firstLineChars="200"/>
        <w:rPr>
          <w:rFonts w:ascii="仿宋" w:hAnsi="仿宋" w:eastAsia="仿宋"/>
          <w:color w:val="0F4AB4"/>
          <w:kern w:val="0"/>
        </w:rPr>
      </w:pPr>
      <w:r>
        <w:rPr>
          <w:rFonts w:hint="eastAsia" w:ascii="仿宋" w:hAnsi="仿宋" w:eastAsia="仿宋"/>
          <w:color w:val="000000"/>
          <w:kern w:val="0"/>
        </w:rPr>
        <w:t>4</w:t>
      </w:r>
      <w:r>
        <w:rPr>
          <w:rFonts w:hint="eastAsia" w:ascii="仿宋" w:hAnsi="仿宋" w:eastAsia="仿宋"/>
          <w:kern w:val="0"/>
        </w:rPr>
        <w:t>）在双方商定的一定期限内对所供货物实施运行或监督或维护或修理，但前提条件是该服务并不能免除卖方在合同保证期内所承担的义务；</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8.3 卖方应提供“合同条款”与“技术规格与要求”中规定的所有服务。为履行要求的伴随服务的报价或双方商定的费用应包括在合同价中。</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8.4 对于售后服务工作不到位，故意推诿、拖延，造成不良影响或不按规定粘贴联系单的供应商，将报请</w:t>
      </w:r>
      <w:r>
        <w:rPr>
          <w:rFonts w:hint="eastAsia" w:ascii="仿宋" w:hAnsi="仿宋" w:eastAsia="仿宋"/>
          <w:color w:val="000000"/>
        </w:rPr>
        <w:t>当地财政部门</w:t>
      </w:r>
      <w:r>
        <w:rPr>
          <w:rFonts w:hint="eastAsia" w:ascii="仿宋" w:hAnsi="仿宋" w:eastAsia="仿宋"/>
          <w:color w:val="000000"/>
          <w:kern w:val="0"/>
        </w:rPr>
        <w:t>按有关规定进行处理。</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9.备品备件</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9.1 卖方可能被要求提供下列与备品备件有关的材料、通知和资料：</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1）买方从卖方选购备品备件，但前提条件是该选择并不能免除卖方在合同保证期内所承担的义务；</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2）在备品备件停止生产的情况下，卖方应事先将要停止生产的计划通知买方使买方有足够的时间采购所需的备品备件；</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3）在备品备件停止生产后，如果买方要求，卖方应免费向买方提供备品备件的蓝图、图纸和规格。</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9.2 卖方应按“合同条款”与“技术规格与要求”中的规定提供所需的备品备件。</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10.质量保证</w:t>
      </w:r>
    </w:p>
    <w:p>
      <w:pPr>
        <w:autoSpaceDN w:val="0"/>
        <w:spacing w:line="440" w:lineRule="exact"/>
        <w:ind w:firstLine="428" w:firstLineChars="200"/>
        <w:rPr>
          <w:rFonts w:ascii="仿宋" w:hAnsi="仿宋" w:eastAsia="仿宋"/>
          <w:color w:val="000000"/>
          <w:kern w:val="0"/>
        </w:rPr>
      </w:pPr>
      <w:r>
        <w:rPr>
          <w:rFonts w:hint="eastAsia" w:ascii="仿宋" w:hAnsi="仿宋" w:eastAsia="仿宋"/>
          <w:color w:val="000000"/>
          <w:kern w:val="0"/>
        </w:rPr>
        <w:t>10.1 卖方应保证合同项下所供货物与送检合格的样品一致，并且是全新的、未使用过的，是最新或目前最流行的型号和用一流的工艺生产的，并完全符合合同规定的质量、规格和性能的要求,否则其履约保证金将不予退还。所有货物渠道正当，配置合理。卖方进一步保证，合同项下提供的全部货物没有设计、材料或工艺上的缺陷，或者没有因卖方的行为或疏忽而产生的缺陷。卖方应保证其货物在正确安装、正常使用和保养条件下，在其使用寿命期内应具有满意的性能。在货物的质量保证期内，卖方对由于设计、工艺或材料的缺陷而产生的故障负责。</w:t>
      </w:r>
      <w:r>
        <w:rPr>
          <w:rFonts w:hint="eastAsia" w:ascii="仿宋" w:hAnsi="仿宋" w:eastAsia="仿宋"/>
          <w:snapToGrid w:val="0"/>
          <w:color w:val="000000"/>
        </w:rPr>
        <w:t>对于隐蔽性的、通过合理的检查和试验都不能发觉的缺陷，即使质量保证期已过，由于其产品本身的设计缺陷、制造缺陷、组装缺陷造成的故障，仍由卖方免费负责。</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10.2 根据质量检测部门检测结果或者在质量保证期内，如果货物的数量、质量或规格与合同不符，或证实货物是有缺陷的，包括潜在的缺陷，买方应尽快以书面形式向卖方提出所发现的缺陷。</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10.3 卖方收到通知后应在七（7）天时间内以合理的速度免费维修或更换有缺陷的货物或部件。</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10.4 如果卖方收到通知后在七（7）天时间内没有以合理的速度弥补缺陷，买方可提出索赔，并可采取必要的补救措施，但其风险和费用将由卖方承担，买方根据合同规定对卖方行使的其他权利不受影响。</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11.索赔</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11.1 如果卖方对偏差负有责任，而买方在合同条款第10条或合同的其他条款规定的检验、安装、调试、验收和质量保证期内提出了索赔，卖方应按照买方同意的下列一种或几种方式结合起来解决索赔事宜：</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2）根据货物的偏差情况、损坏程度、以及买方所遭受损失的金额，经买卖双方商定降低货物的价格。</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3）用符合合同规定的规格、质量和性能要求的新零件、部件和/或设备来更换有缺陷的部分和/或修补缺陷部分，卖方应承担一切费用和风险并负担买方蒙受的全部损失费用。同时，卖方应按合同条款第10条规定，相应延长所更换货物的质量保证期。</w:t>
      </w:r>
    </w:p>
    <w:p>
      <w:pPr>
        <w:autoSpaceDN w:val="0"/>
        <w:spacing w:line="420" w:lineRule="exact"/>
        <w:ind w:firstLine="428" w:firstLineChars="200"/>
        <w:rPr>
          <w:rFonts w:ascii="仿宋" w:hAnsi="仿宋" w:eastAsia="仿宋"/>
          <w:color w:val="FF0000"/>
          <w:kern w:val="0"/>
        </w:rPr>
      </w:pPr>
      <w:r>
        <w:rPr>
          <w:rFonts w:hint="eastAsia" w:ascii="仿宋" w:hAnsi="仿宋" w:eastAsia="仿宋"/>
          <w:color w:val="000000"/>
          <w:kern w:val="0"/>
        </w:rPr>
        <w:t>11.2 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卖方的履约保证金中扣回索赔金额，</w:t>
      </w:r>
      <w:r>
        <w:rPr>
          <w:rFonts w:hint="eastAsia" w:ascii="仿宋" w:hAnsi="仿宋" w:eastAsia="仿宋"/>
          <w:kern w:val="0"/>
        </w:rPr>
        <w:t>不足部分，买方有权继续要求卖方赔偿。</w:t>
      </w:r>
    </w:p>
    <w:p>
      <w:pPr>
        <w:autoSpaceDN w:val="0"/>
        <w:spacing w:line="420" w:lineRule="exact"/>
        <w:ind w:firstLine="428" w:firstLineChars="200"/>
        <w:rPr>
          <w:rFonts w:ascii="仿宋" w:hAnsi="仿宋" w:eastAsia="仿宋"/>
        </w:rPr>
      </w:pPr>
      <w:r>
        <w:rPr>
          <w:rFonts w:hint="eastAsia" w:ascii="仿宋" w:hAnsi="仿宋" w:eastAsia="仿宋"/>
          <w:b/>
          <w:kern w:val="0"/>
        </w:rPr>
        <w:t>12.付款</w:t>
      </w:r>
    </w:p>
    <w:p>
      <w:pPr>
        <w:spacing w:line="360" w:lineRule="auto"/>
        <w:ind w:firstLine="428" w:firstLineChars="200"/>
        <w:rPr>
          <w:rFonts w:hint="eastAsia" w:ascii="仿宋" w:hAnsi="仿宋" w:eastAsia="仿宋" w:cs="Times New Roman"/>
          <w:color w:val="000000"/>
          <w:kern w:val="0"/>
          <w:highlight w:val="yellow"/>
        </w:rPr>
      </w:pPr>
      <w:r>
        <w:rPr>
          <w:rFonts w:hint="eastAsia" w:ascii="仿宋" w:hAnsi="仿宋" w:eastAsia="仿宋"/>
          <w:bCs/>
          <w:color w:val="000000"/>
          <w:szCs w:val="24"/>
        </w:rPr>
        <w:t>12.1付款方式：学校组织验收合格后支付合同价款的95%，其余5%于质保期满一年后，双方无异议，一次性无息支付。合同中含工程部分，价款在1万元（含）以上的，工程部分经学校审计处审计后，按照审计价计入合同价款支付。（本付款方式之外的支付方式，需经学校计划财务处审核）。</w:t>
      </w:r>
    </w:p>
    <w:p>
      <w:pPr>
        <w:pStyle w:val="12"/>
        <w:adjustRightInd w:val="0"/>
        <w:snapToGrid w:val="0"/>
        <w:spacing w:line="440" w:lineRule="exact"/>
        <w:ind w:firstLine="428" w:firstLineChars="200"/>
        <w:rPr>
          <w:rFonts w:ascii="仿宋" w:hAnsi="仿宋" w:eastAsia="仿宋"/>
          <w:bCs/>
          <w:color w:val="000000"/>
          <w:szCs w:val="24"/>
        </w:rPr>
      </w:pPr>
      <w:r>
        <w:rPr>
          <w:rFonts w:hint="eastAsia" w:ascii="仿宋" w:hAnsi="仿宋" w:eastAsia="仿宋"/>
          <w:color w:val="000000"/>
          <w:szCs w:val="24"/>
        </w:rPr>
        <w:t>12.2</w:t>
      </w:r>
      <w:r>
        <w:rPr>
          <w:rFonts w:hint="eastAsia" w:ascii="仿宋" w:hAnsi="仿宋" w:eastAsia="仿宋"/>
          <w:bCs/>
          <w:color w:val="000000"/>
          <w:szCs w:val="24"/>
        </w:rPr>
        <w:t>质量保证金在中标人完全履行合同约定的售后服务及其他义务，终验合格后满12个月，且无争议时支付。中标人承诺的质保期内仍须按原有承诺承担相关义务，否则采购人将追究成交人的相关法律责任。</w:t>
      </w:r>
    </w:p>
    <w:p>
      <w:pPr>
        <w:pStyle w:val="12"/>
        <w:adjustRightInd w:val="0"/>
        <w:snapToGrid w:val="0"/>
        <w:spacing w:line="440" w:lineRule="exact"/>
        <w:ind w:firstLine="428" w:firstLineChars="200"/>
        <w:rPr>
          <w:rFonts w:ascii="仿宋" w:hAnsi="仿宋" w:eastAsia="仿宋"/>
          <w:color w:val="000000"/>
          <w:szCs w:val="24"/>
        </w:rPr>
      </w:pPr>
      <w:r>
        <w:rPr>
          <w:rFonts w:hint="eastAsia" w:ascii="仿宋" w:hAnsi="仿宋" w:eastAsia="仿宋"/>
          <w:color w:val="000000"/>
          <w:szCs w:val="24"/>
        </w:rPr>
        <w:t>12.3货款支付单位为：西安航空职业技术学院</w:t>
      </w:r>
    </w:p>
    <w:p>
      <w:pPr>
        <w:spacing w:line="440" w:lineRule="exact"/>
        <w:ind w:firstLine="428" w:firstLineChars="200"/>
        <w:rPr>
          <w:rFonts w:ascii="仿宋" w:hAnsi="仿宋" w:eastAsia="仿宋"/>
          <w:color w:val="000000"/>
          <w:kern w:val="0"/>
        </w:rPr>
      </w:pPr>
      <w:r>
        <w:rPr>
          <w:rFonts w:hint="eastAsia" w:ascii="仿宋" w:hAnsi="仿宋" w:eastAsia="仿宋"/>
          <w:color w:val="000000"/>
        </w:rPr>
        <w:t>发票开具的“购货单位（人）名称”为：西安航空职业技术学院</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13.价格</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13.1 卖方在本合同项下提交货物和履行服务的价格应符合中标通知书的所列值，有合同追加的应提供追加金额。</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14.变更指令</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14.1 买方可以在任何时候书面向卖方发出指令，在本合同的一般范围内变更下述一项或几项：</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1）本合同项下提供的货物是专为买方制造时，变更图纸、设计或规格；</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2）运输或包装的方法；</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3）交付地点；</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4）卖方提供的服务。</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14.2 如果上述变更使卖方履行合同义务的费用或时间增加或减少，将对合同价或交付时间或两者进行公平的调整，同时相应修改合同。卖方根据本条进行调整的要求必须在收到买方的变更指令后三十（30）天内提出。</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15.合同修改</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15.1 除了合同条款第14条的情况，不应对合同条款进行任何变更或修改，除非双方同意并签订书面的合同修改书。</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16.转让</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16.1 未经买方事先书面同意，卖方不得部分转让或全部转让其应履行的合同义务。</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17.分包</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17.1 对投标文件中没有明确分包的合同，卖方应书面通知买方其在本合同中将分包的全部分包合同，并需经买方同意，但此分包通知并不能解除卖方履行本合同的责任和义务。</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18.卖方履约延误</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18.1 卖方应按照合同中规定的交付时间和服务要求按时交付和提供服务。</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18.2 在履行合同过程中，如果卖方及其分包人遇到妨碍按时交付和提供服务的情况时，应及时以书面形式将拖延的事实、可能拖延的时间和原因通知买方。买方在收到卖方通知后，应尽快对情况进行评价，并确定是否同意延长交付时间以及是否收取误期赔偿费。延期应通过修改合同的方式由双方认可。</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18.3 除合同条款第21条规定的情况外,除非拖延是根据合同条款第18.2条的规定取得同意而不收取误期赔偿费之外，卖方延误交付，将按合同条款第19条的规定被收取误期赔偿费。</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19.误期赔偿费</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19.1 除合同条款第21条规定的情况外，如果卖方没有按照合同规定的时间交付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五（5%）。一旦达到误期赔偿费的最高限额，买方可考虑根据合同条款第20条的规定终止合同。</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20.违约终止合同</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20.1 在买方对卖方违约而采取的任何补救措施不受影响的情况下，买方可向卖方发出书面违约通知书，提出终止部分或全部合同：</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1）如果卖方未能在合同规定的期限内或买方根据合同条款第18.2条的规定同意延长的期限内提供部分或全部货物；</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2）如果卖方未能履行合同规定的其它任何义务。</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3）如果买方认为卖方在本合同的竞争和实施过程中有腐败和欺诈行为。为此目的，定义下述条件：</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“腐败行为”是指提供、给予、接受或索取任何有价值的物品来影响买方在采购过程或合同实施过程中的行为。</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“欺诈行为”是指为了影响采购过程或合同实施过程而谎报或隐瞒事实，损害买方利益的行为。</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20.2 如果买方根据上述第20.1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21.不可抗力</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21.1 签约双方中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严重火灾、洪水、台风、地震等。</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21.2 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21.3 因合同一方迟延履行合同后发生不可抗力的，不能免除迟延履行方的相应责任。</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22.因破产而终止合同</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22.1 如果卖方破产或无清偿能力，买方可在任何时候以书面形式通知卖方，提出终止合同而不给卖方补偿。该合同的终止将不损害或影响买方已经采取或将要采取的任何行动或补救措施的权利。</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23.因买方的便利而终止合同</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23.1 买方可在任何时候出于自身的便利向卖方发出书面通知全部或部分终止合同，终止通知应明确该终止合同是出于买方的便利，并明确合同终止的程度，以及终止的生效日期。</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23.2 对卖方收到已完成并准备装运的货物，买方应按原合同价格和条款予以接收，对于剩下的货物，买方可：</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1）仅对部分货物按照原来的合同价格和条款予以接受；或</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2）取消对所剩货物的采购，并按双方商定的金额向卖方支付部分完成的货物和服务以及卖方以前已采购的材料和部件的费用。</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24.争议的解决</w:t>
      </w:r>
    </w:p>
    <w:p>
      <w:pPr>
        <w:autoSpaceDN w:val="0"/>
        <w:spacing w:line="420" w:lineRule="exact"/>
        <w:ind w:firstLine="428" w:firstLineChars="200"/>
        <w:rPr>
          <w:rFonts w:ascii="仿宋" w:hAnsi="仿宋" w:eastAsia="仿宋"/>
        </w:rPr>
      </w:pPr>
      <w:r>
        <w:rPr>
          <w:rFonts w:hint="eastAsia" w:ascii="仿宋" w:hAnsi="仿宋" w:eastAsia="仿宋"/>
          <w:color w:val="000000"/>
          <w:kern w:val="0"/>
        </w:rPr>
        <w:t>24.1 因执行本合同所发生的与本合同有关的一切争议,双方应通过友好协商解决。如果协商开始后还不能解决，任何一方均可按中华人民共和国有关法律的规定提交</w:t>
      </w:r>
      <w:r>
        <w:rPr>
          <w:rFonts w:hint="eastAsia" w:ascii="仿宋" w:hAnsi="仿宋" w:eastAsia="仿宋"/>
        </w:rPr>
        <w:t>西安仲裁委仲裁。</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24.2 仲裁裁决应为最终裁决，对双方均具有约束力。</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24.3 仲裁费除仲裁机关另有裁决外均应由败诉方负担。</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24.4 在仲裁期间，除正在进行仲裁的部分外，本合同其它部分应继续执行。</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25.适用法律</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25.1 本合同应按照中华人民共和国的现行法律进行解释。</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26.通知</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26.1 本合同一方给对方的通知应用书面形式送到合同条款中规定的对方的地址。传真要经书面确认。</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26.2 通知以送到日期或通知书的生效日期为生效日期，两者中以晚的一个日期为准。</w:t>
      </w:r>
    </w:p>
    <w:p>
      <w:pPr>
        <w:autoSpaceDN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27.税款</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27.1 按照中华人民共和国税法和有关部门的规定，买方需交纳的与本合同有关的一切税费均应由买方负担。</w:t>
      </w:r>
    </w:p>
    <w:p>
      <w:pPr>
        <w:autoSpaceDN w:val="0"/>
        <w:spacing w:line="420" w:lineRule="exact"/>
        <w:ind w:firstLine="428" w:firstLineChars="200"/>
        <w:rPr>
          <w:rFonts w:ascii="仿宋" w:hAnsi="仿宋" w:eastAsia="仿宋"/>
          <w:color w:val="000000"/>
          <w:kern w:val="0"/>
        </w:rPr>
      </w:pPr>
      <w:r>
        <w:rPr>
          <w:rFonts w:hint="eastAsia" w:ascii="仿宋" w:hAnsi="仿宋" w:eastAsia="仿宋"/>
          <w:color w:val="000000"/>
          <w:kern w:val="0"/>
        </w:rPr>
        <w:t>27.2 按照中华人民共和国税法和有关部门的规定，卖方需交纳的与本合同有关的一切税费均应由卖方负担。</w:t>
      </w:r>
    </w:p>
    <w:p>
      <w:pPr>
        <w:autoSpaceDN w:val="0"/>
        <w:adjustRightInd w:val="0"/>
        <w:snapToGrid w:val="0"/>
        <w:spacing w:before="166" w:beforeLines="50" w:line="420" w:lineRule="exact"/>
        <w:ind w:firstLine="428" w:firstLineChars="200"/>
        <w:rPr>
          <w:rFonts w:ascii="仿宋" w:hAnsi="仿宋" w:eastAsia="仿宋"/>
          <w:b/>
          <w:color w:val="000000"/>
          <w:kern w:val="0"/>
        </w:rPr>
      </w:pPr>
      <w:r>
        <w:rPr>
          <w:rFonts w:hint="eastAsia" w:ascii="仿宋" w:hAnsi="仿宋" w:eastAsia="仿宋"/>
          <w:b/>
          <w:color w:val="000000"/>
          <w:kern w:val="0"/>
        </w:rPr>
        <w:t>28.合同生效</w:t>
      </w:r>
    </w:p>
    <w:p>
      <w:pPr>
        <w:spacing w:line="420" w:lineRule="exact"/>
        <w:ind w:firstLine="428" w:firstLineChars="200"/>
        <w:rPr>
          <w:rFonts w:ascii="仿宋" w:hAnsi="仿宋" w:eastAsia="仿宋"/>
          <w:color w:val="000000"/>
          <w:kern w:val="0"/>
        </w:rPr>
      </w:pPr>
      <w:r>
        <w:rPr>
          <w:rFonts w:hint="eastAsia" w:ascii="仿宋" w:hAnsi="仿宋" w:eastAsia="仿宋"/>
          <w:color w:val="000000"/>
          <w:kern w:val="0"/>
        </w:rPr>
        <w:t>28.1 本合同应在买卖双方及采购代理机构共同签字并加盖三方公章后生效。</w:t>
      </w:r>
    </w:p>
    <w:p>
      <w:pPr>
        <w:widowControl/>
        <w:jc w:val="left"/>
        <w:rPr>
          <w:rFonts w:ascii="仿宋" w:hAnsi="仿宋" w:eastAsia="仿宋" w:cs="仿宋"/>
          <w:b/>
        </w:rPr>
        <w:sectPr>
          <w:pgSz w:w="11906" w:h="16838"/>
          <w:pgMar w:top="1417" w:right="1417" w:bottom="1417" w:left="1417" w:header="907" w:footer="907" w:gutter="0"/>
          <w:pgNumType w:fmt="decimal"/>
          <w:cols w:space="720" w:num="1"/>
          <w:docGrid w:type="linesAndChars" w:linePitch="332" w:charSpace="915"/>
        </w:sectPr>
      </w:pPr>
    </w:p>
    <w:p>
      <w:pPr>
        <w:rPr>
          <w:rFonts w:hint="eastAsia" w:ascii="仿宋" w:hAnsi="仿宋" w:eastAsia="仿宋" w:cs="仿宋"/>
          <w:b/>
          <w:sz w:val="28"/>
          <w:szCs w:val="28"/>
        </w:rPr>
      </w:pPr>
      <w:r>
        <w:rPr>
          <w:rFonts w:hint="eastAsia" w:ascii="仿宋" w:hAnsi="仿宋" w:eastAsia="仿宋" w:cs="仿宋"/>
          <w:b/>
          <w:sz w:val="28"/>
          <w:szCs w:val="28"/>
        </w:rPr>
        <w:t>附件1：供货清单</w:t>
      </w:r>
    </w:p>
    <w:p>
      <w:pPr>
        <w:spacing w:line="360" w:lineRule="exact"/>
        <w:rPr>
          <w:rFonts w:hint="eastAsia" w:ascii="Times New Roman" w:hAnsi="Times New Roman" w:eastAsia="宋体" w:cs="Times New Roman"/>
        </w:rPr>
      </w:pPr>
      <w:r>
        <w:rPr>
          <w:rFonts w:hint="eastAsia" w:ascii="Times New Roman" w:hAnsi="Times New Roman" w:eastAsia="宋体" w:cs="Times New Roman"/>
        </w:rPr>
        <w:t>(所供设备的名称、型号、数量及价格等)</w:t>
      </w:r>
    </w:p>
    <w:p/>
    <w:p>
      <w:pPr>
        <w:widowControl/>
        <w:jc w:val="left"/>
        <w:rPr>
          <w:rFonts w:ascii="宋体" w:hAnsi="宋体"/>
          <w:b/>
          <w:sz w:val="30"/>
          <w:szCs w:val="30"/>
        </w:rPr>
        <w:sectPr>
          <w:pgSz w:w="11906" w:h="16838"/>
          <w:pgMar w:top="1417" w:right="1417" w:bottom="1417" w:left="1417" w:header="907" w:footer="907" w:gutter="0"/>
          <w:pgNumType w:fmt="decimal"/>
          <w:cols w:space="720" w:num="1"/>
          <w:docGrid w:type="linesAndChars" w:linePitch="332" w:charSpace="915"/>
        </w:sectPr>
      </w:pPr>
    </w:p>
    <w:p>
      <w:pPr>
        <w:rPr>
          <w:rFonts w:ascii="仿宋" w:hAnsi="仿宋" w:eastAsia="仿宋" w:cs="仿宋"/>
          <w:b/>
          <w:sz w:val="28"/>
          <w:szCs w:val="28"/>
        </w:rPr>
      </w:pPr>
      <w:r>
        <w:rPr>
          <w:rFonts w:hint="eastAsia" w:ascii="仿宋" w:hAnsi="仿宋" w:eastAsia="仿宋" w:cs="仿宋"/>
          <w:b/>
          <w:sz w:val="28"/>
          <w:szCs w:val="28"/>
        </w:rPr>
        <w:t>附件2：技术要求</w:t>
      </w:r>
    </w:p>
    <w:p>
      <w:pPr>
        <w:spacing w:line="360" w:lineRule="exact"/>
      </w:pPr>
      <w:r>
        <w:rPr>
          <w:rFonts w:hint="eastAsia"/>
        </w:rPr>
        <w:t>（按照投标文件的项目，对所投设备进行技术参数描述）</w:t>
      </w:r>
    </w:p>
    <w:p>
      <w:pPr>
        <w:spacing w:line="480" w:lineRule="exact"/>
        <w:rPr>
          <w:rFonts w:ascii="宋体" w:hAnsi="宋体"/>
          <w:b/>
          <w:kern w:val="0"/>
          <w:sz w:val="24"/>
        </w:rPr>
      </w:pPr>
    </w:p>
    <w:p>
      <w:pPr>
        <w:jc w:val="right"/>
        <w:rPr>
          <w:rFonts w:ascii="宋体" w:hAnsi="宋体"/>
          <w:b/>
          <w:sz w:val="32"/>
          <w:szCs w:val="32"/>
          <w:bdr w:val="single" w:color="auto" w:sz="4" w:space="0"/>
          <w:shd w:val="pct10" w:color="auto" w:fill="FFFFFF"/>
        </w:rPr>
      </w:pPr>
    </w:p>
    <w:p>
      <w:pPr>
        <w:pStyle w:val="2"/>
        <w:keepNext w:val="0"/>
        <w:pageBreakBefore/>
        <w:spacing w:before="319" w:beforeLines="100" w:after="478" w:afterLines="150" w:line="500" w:lineRule="exact"/>
        <w:rPr>
          <w:rFonts w:ascii="宋体" w:hAnsi="宋体" w:cs="宋体"/>
        </w:rPr>
      </w:pPr>
      <w:bookmarkStart w:id="196" w:name="_Toc27958"/>
      <w:bookmarkStart w:id="197" w:name="_Toc2234"/>
      <w:bookmarkStart w:id="198" w:name="_Toc13336"/>
      <w:r>
        <w:rPr>
          <w:rFonts w:hint="eastAsia" w:ascii="宋体" w:hAnsi="宋体" w:cs="宋体"/>
          <w:sz w:val="36"/>
          <w:szCs w:val="36"/>
        </w:rPr>
        <w:t>第七部分  投标文件格式</w:t>
      </w:r>
      <w:bookmarkEnd w:id="196"/>
      <w:bookmarkEnd w:id="197"/>
      <w:bookmarkEnd w:id="198"/>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w w:val="120"/>
          <w:sz w:val="28"/>
          <w:szCs w:val="28"/>
        </w:rPr>
      </w:pPr>
      <w:bookmarkStart w:id="199" w:name="_Toc15364"/>
      <w:r>
        <w:rPr>
          <w:rFonts w:hint="eastAsia" w:ascii="宋体" w:hAnsi="宋体" w:cs="宋体"/>
          <w:b/>
          <w:w w:val="120"/>
          <w:sz w:val="28"/>
          <w:szCs w:val="28"/>
        </w:rPr>
        <w:t>项目编号：</w:t>
      </w:r>
      <w:r>
        <w:rPr>
          <w:rFonts w:hint="eastAsia" w:ascii="宋体" w:hAnsi="宋体" w:cs="宋体"/>
          <w:b/>
          <w:w w:val="120"/>
          <w:sz w:val="28"/>
          <w:szCs w:val="28"/>
          <w:lang w:eastAsia="zh-CN"/>
        </w:rPr>
        <w:t>ZMZB2022XHZ-192</w:t>
      </w:r>
      <w:r>
        <w:rPr>
          <w:rFonts w:hint="eastAsia" w:ascii="宋体" w:hAnsi="宋体" w:cs="宋体"/>
          <w:b/>
          <w:w w:val="120"/>
          <w:sz w:val="28"/>
          <w:szCs w:val="28"/>
        </w:rPr>
        <w:t xml:space="preserve">      （正本或副本）</w:t>
      </w:r>
      <w:bookmarkEnd w:id="199"/>
    </w:p>
    <w:p/>
    <w:p/>
    <w:p/>
    <w:p>
      <w:pPr>
        <w:pStyle w:val="6"/>
        <w:rPr>
          <w:rFonts w:ascii="宋体" w:hAnsi="宋体" w:cs="宋体"/>
        </w:rPr>
      </w:pPr>
    </w:p>
    <w:p>
      <w:pPr>
        <w:snapToGrid w:val="0"/>
        <w:spacing w:line="480" w:lineRule="auto"/>
        <w:ind w:left="-199" w:leftChars="-95"/>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西安航空职业技术学院</w:t>
      </w:r>
    </w:p>
    <w:p>
      <w:pPr>
        <w:snapToGrid w:val="0"/>
        <w:spacing w:line="480" w:lineRule="auto"/>
        <w:jc w:val="center"/>
        <w:rPr>
          <w:rFonts w:hint="eastAsia" w:ascii="宋体" w:hAnsi="宋体" w:eastAsia="宋体" w:cs="宋体"/>
          <w:b/>
          <w:bCs/>
          <w:sz w:val="72"/>
          <w:szCs w:val="72"/>
          <w:lang w:eastAsia="zh-CN"/>
        </w:rPr>
      </w:pPr>
      <w:r>
        <w:rPr>
          <w:rFonts w:hint="eastAsia" w:ascii="宋体" w:hAnsi="宋体" w:cs="宋体"/>
          <w:b/>
          <w:bCs/>
          <w:sz w:val="48"/>
          <w:szCs w:val="48"/>
          <w:lang w:eastAsia="zh-CN"/>
        </w:rPr>
        <w:t>新能源汽车技术实验室采购项目</w:t>
      </w:r>
    </w:p>
    <w:p>
      <w:pPr>
        <w:snapToGrid w:val="0"/>
        <w:spacing w:line="480" w:lineRule="auto"/>
        <w:jc w:val="center"/>
        <w:rPr>
          <w:rFonts w:hint="eastAsia" w:ascii="宋体" w:hAnsi="宋体" w:cs="宋体"/>
          <w:b/>
          <w:bCs/>
          <w:sz w:val="72"/>
          <w:szCs w:val="72"/>
        </w:rPr>
      </w:pPr>
    </w:p>
    <w:p>
      <w:pPr>
        <w:snapToGrid w:val="0"/>
        <w:spacing w:line="480" w:lineRule="auto"/>
        <w:jc w:val="center"/>
        <w:rPr>
          <w:rFonts w:ascii="宋体" w:hAnsi="宋体" w:cs="宋体"/>
          <w:b/>
          <w:bCs/>
          <w:sz w:val="72"/>
          <w:szCs w:val="72"/>
        </w:rPr>
      </w:pPr>
      <w:r>
        <w:rPr>
          <w:rFonts w:hint="eastAsia" w:ascii="宋体" w:hAnsi="宋体" w:cs="宋体"/>
          <w:b/>
          <w:bCs/>
          <w:sz w:val="72"/>
          <w:szCs w:val="72"/>
        </w:rPr>
        <w:t>投标文件</w:t>
      </w:r>
    </w:p>
    <w:p/>
    <w:p>
      <w:pPr>
        <w:snapToGrid w:val="0"/>
        <w:spacing w:line="480" w:lineRule="auto"/>
        <w:jc w:val="left"/>
        <w:rPr>
          <w:rFonts w:ascii="宋体" w:hAnsi="宋体" w:cs="宋体"/>
          <w:sz w:val="32"/>
          <w:szCs w:val="32"/>
        </w:rPr>
      </w:pPr>
      <w:r>
        <w:rPr>
          <w:rFonts w:hint="eastAsia" w:ascii="宋体" w:hAnsi="宋体" w:cs="宋体"/>
          <w:sz w:val="32"/>
          <w:szCs w:val="32"/>
          <w:lang w:val="zh-CN"/>
        </w:rPr>
        <w:t>供应商（单位名称）：</w:t>
      </w:r>
      <w:r>
        <w:rPr>
          <w:rFonts w:hint="eastAsia" w:ascii="宋体" w:hAnsi="宋体" w:cs="宋体"/>
          <w:sz w:val="32"/>
          <w:szCs w:val="32"/>
        </w:rPr>
        <w:t>___________</w:t>
      </w:r>
    </w:p>
    <w:p>
      <w:pPr>
        <w:snapToGrid w:val="0"/>
        <w:spacing w:line="480" w:lineRule="auto"/>
        <w:jc w:val="left"/>
        <w:rPr>
          <w:rFonts w:ascii="宋体" w:hAnsi="宋体" w:cs="宋体"/>
          <w:sz w:val="32"/>
          <w:szCs w:val="32"/>
        </w:rPr>
      </w:pPr>
      <w:r>
        <w:rPr>
          <w:rFonts w:hint="eastAsia" w:ascii="宋体" w:hAnsi="宋体" w:cs="宋体"/>
          <w:sz w:val="32"/>
          <w:szCs w:val="32"/>
        </w:rPr>
        <w:t>日  期</w:t>
      </w:r>
      <w:r>
        <w:rPr>
          <w:rFonts w:hint="eastAsia" w:ascii="宋体" w:hAnsi="宋体" w:cs="宋体"/>
          <w:sz w:val="32"/>
          <w:szCs w:val="32"/>
          <w:lang w:val="zh-CN"/>
        </w:rPr>
        <w:t>：</w:t>
      </w:r>
      <w:r>
        <w:rPr>
          <w:rFonts w:hint="eastAsia" w:ascii="宋体" w:hAnsi="宋体" w:cs="宋体"/>
          <w:sz w:val="32"/>
          <w:szCs w:val="32"/>
        </w:rPr>
        <w:t xml:space="preserve">__________________ </w:t>
      </w:r>
    </w:p>
    <w:p>
      <w:pPr>
        <w:snapToGrid w:val="0"/>
        <w:spacing w:line="480" w:lineRule="auto"/>
        <w:jc w:val="left"/>
        <w:rPr>
          <w:rFonts w:ascii="宋体" w:hAnsi="宋体" w:cs="宋体"/>
          <w:sz w:val="32"/>
          <w:szCs w:val="32"/>
          <w:u w:val="single"/>
        </w:rPr>
      </w:pP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2"/>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2"/>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商务及技术响应说明</w:t>
      </w:r>
    </w:p>
    <w:p>
      <w:pPr>
        <w:pStyle w:val="12"/>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rPr>
        <w:t>供应商资格要求</w:t>
      </w:r>
    </w:p>
    <w:p>
      <w:pPr>
        <w:pStyle w:val="12"/>
        <w:snapToGrid w:val="0"/>
        <w:spacing w:line="480" w:lineRule="auto"/>
        <w:ind w:firstLine="562" w:firstLineChars="200"/>
        <w:jc w:val="left"/>
        <w:rPr>
          <w:rFonts w:hAnsi="宋体" w:cs="宋体"/>
          <w:b/>
          <w:sz w:val="28"/>
          <w:szCs w:val="28"/>
        </w:rPr>
      </w:pPr>
      <w:r>
        <w:rPr>
          <w:rFonts w:hint="eastAsia" w:hAnsi="宋体" w:cs="宋体"/>
          <w:b/>
          <w:sz w:val="28"/>
          <w:szCs w:val="28"/>
        </w:rPr>
        <w:t>第五部分   技术与服务方案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第六部分   服务承诺</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第八部分   供应商认为有必要说明的其他问题</w:t>
      </w:r>
    </w:p>
    <w:p>
      <w:pPr>
        <w:rPr>
          <w:rFonts w:ascii="宋体" w:hAnsi="宋体" w:cs="宋体"/>
        </w:rPr>
      </w:pPr>
    </w:p>
    <w:p>
      <w:pPr>
        <w:pStyle w:val="3"/>
        <w:pageBreakBefore/>
        <w:spacing w:before="319" w:beforeLines="100" w:after="478" w:afterLines="150" w:line="500" w:lineRule="exact"/>
        <w:jc w:val="center"/>
        <w:rPr>
          <w:rFonts w:ascii="宋体" w:hAnsi="宋体" w:cs="宋体"/>
          <w:sz w:val="36"/>
          <w:szCs w:val="36"/>
        </w:rPr>
      </w:pPr>
      <w:bookmarkStart w:id="200" w:name="_Toc11324"/>
      <w:bookmarkStart w:id="201" w:name="_Toc23980"/>
      <w:r>
        <w:rPr>
          <w:rFonts w:hint="eastAsia" w:ascii="宋体" w:hAnsi="宋体" w:cs="宋体"/>
          <w:sz w:val="36"/>
          <w:szCs w:val="36"/>
        </w:rPr>
        <w:t>第一部分  投标函</w:t>
      </w:r>
      <w:bookmarkEnd w:id="175"/>
      <w:bookmarkEnd w:id="200"/>
      <w:bookmarkEnd w:id="201"/>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我单位收到编号为： </w:t>
      </w:r>
      <w:r>
        <w:rPr>
          <w:rFonts w:hint="eastAsia" w:ascii="宋体" w:hAnsi="宋体" w:cs="宋体"/>
          <w:sz w:val="24"/>
          <w:szCs w:val="24"/>
          <w:u w:val="single"/>
          <w:lang w:eastAsia="zh-CN"/>
        </w:rPr>
        <w:t>ZMZB2022XHZ-192</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8"/>
          <w:szCs w:val="28"/>
        </w:rPr>
        <w:t>日</w:t>
      </w:r>
    </w:p>
    <w:p>
      <w:pPr>
        <w:pStyle w:val="3"/>
        <w:numPr>
          <w:ilvl w:val="0"/>
          <w:numId w:val="23"/>
        </w:numPr>
        <w:spacing w:before="319" w:beforeLines="100" w:after="478" w:afterLines="150" w:line="500" w:lineRule="exact"/>
        <w:jc w:val="center"/>
        <w:rPr>
          <w:rFonts w:ascii="宋体" w:hAnsi="宋体" w:cs="宋体"/>
          <w:sz w:val="36"/>
          <w:szCs w:val="36"/>
        </w:rPr>
        <w:sectPr>
          <w:headerReference r:id="rId12" w:type="default"/>
          <w:footerReference r:id="rId13" w:type="default"/>
          <w:pgSz w:w="11906" w:h="16838"/>
          <w:pgMar w:top="1440" w:right="1803" w:bottom="1440" w:left="1803" w:header="851" w:footer="992" w:gutter="0"/>
          <w:pgNumType w:fmt="decimal"/>
          <w:cols w:space="720" w:num="1"/>
          <w:docGrid w:type="lines" w:linePitch="319" w:charSpace="0"/>
        </w:sectPr>
      </w:pPr>
      <w:bookmarkStart w:id="202" w:name="_Toc28494"/>
    </w:p>
    <w:p>
      <w:pPr>
        <w:pStyle w:val="3"/>
        <w:numPr>
          <w:ilvl w:val="0"/>
          <w:numId w:val="23"/>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202"/>
      <w:bookmarkStart w:id="203" w:name="_Toc12164"/>
      <w:bookmarkStart w:id="204" w:name="_Toc3970"/>
      <w:r>
        <w:rPr>
          <w:rFonts w:hint="eastAsia" w:ascii="宋体" w:hAnsi="宋体" w:cs="宋体"/>
          <w:sz w:val="36"/>
          <w:szCs w:val="36"/>
        </w:rPr>
        <w:t>报价一览表</w:t>
      </w:r>
      <w:bookmarkEnd w:id="203"/>
      <w:bookmarkEnd w:id="204"/>
    </w:p>
    <w:p>
      <w:pPr>
        <w:kinsoku w:val="0"/>
        <w:spacing w:line="360" w:lineRule="auto"/>
        <w:jc w:val="lef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西安航空职业技术学院新能源汽车技术实验室采购项目</w:t>
      </w:r>
      <w:r>
        <w:rPr>
          <w:rFonts w:hint="eastAsia" w:ascii="宋体" w:hAnsi="宋体" w:cs="宋体"/>
          <w:sz w:val="24"/>
          <w:szCs w:val="24"/>
        </w:rPr>
        <w:t xml:space="preserve">                      </w:t>
      </w:r>
    </w:p>
    <w:p>
      <w:pPr>
        <w:rPr>
          <w:rFonts w:ascii="宋体" w:hAnsi="宋体" w:cs="宋体"/>
        </w:rPr>
      </w:pPr>
      <w:r>
        <w:rPr>
          <w:rFonts w:hint="eastAsia" w:ascii="宋体" w:hAnsi="宋体" w:cs="宋体"/>
          <w:sz w:val="24"/>
          <w:szCs w:val="24"/>
        </w:rPr>
        <w:t xml:space="preserve">单  位：元    </w:t>
      </w:r>
      <w:r>
        <w:rPr>
          <w:rFonts w:hint="eastAsia" w:ascii="宋体" w:hAnsi="宋体" w:cs="宋体"/>
          <w:sz w:val="28"/>
          <w:szCs w:val="28"/>
        </w:rPr>
        <w:t xml:space="preserve">                       </w:t>
      </w:r>
      <w:r>
        <w:rPr>
          <w:rFonts w:hint="eastAsia" w:ascii="宋体" w:hAnsi="宋体" w:cs="宋体"/>
          <w:sz w:val="24"/>
          <w:szCs w:val="24"/>
        </w:rPr>
        <w:t xml:space="preserve"> </w:t>
      </w:r>
    </w:p>
    <w:tbl>
      <w:tblPr>
        <w:tblStyle w:val="19"/>
        <w:tblpPr w:leftFromText="180" w:rightFromText="180" w:vertAnchor="text" w:horzAnchor="margin" w:tblpY="1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875"/>
        <w:gridCol w:w="2470"/>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305" w:type="dxa"/>
            <w:tcBorders>
              <w:tl2br w:val="single" w:color="auto" w:sz="4" w:space="0"/>
            </w:tcBorders>
            <w:noWrap w:val="0"/>
            <w:vAlign w:val="center"/>
          </w:tcPr>
          <w:p>
            <w:pPr>
              <w:kinsoku w:val="0"/>
              <w:spacing w:line="360" w:lineRule="auto"/>
              <w:ind w:firstLine="720" w:firstLineChars="300"/>
              <w:rPr>
                <w:rFonts w:ascii="宋体" w:hAnsi="宋体" w:cs="宋体"/>
                <w:sz w:val="24"/>
                <w:szCs w:val="24"/>
              </w:rPr>
            </w:pPr>
            <w:r>
              <w:rPr>
                <w:rFonts w:hint="eastAsia" w:ascii="宋体" w:hAnsi="宋体" w:cs="宋体"/>
                <w:sz w:val="24"/>
                <w:szCs w:val="24"/>
              </w:rPr>
              <w:t>报价内容</w:t>
            </w:r>
          </w:p>
          <w:p>
            <w:pPr>
              <w:kinsoku w:val="0"/>
              <w:spacing w:line="360" w:lineRule="auto"/>
              <w:jc w:val="center"/>
              <w:rPr>
                <w:rFonts w:ascii="宋体" w:hAnsi="宋体" w:cs="宋体"/>
                <w:sz w:val="24"/>
                <w:szCs w:val="24"/>
              </w:rPr>
            </w:pPr>
          </w:p>
          <w:p>
            <w:pPr>
              <w:kinsoku w:val="0"/>
              <w:spacing w:line="360" w:lineRule="auto"/>
              <w:rPr>
                <w:rFonts w:ascii="宋体" w:hAnsi="宋体" w:cs="宋体"/>
                <w:sz w:val="24"/>
                <w:szCs w:val="24"/>
              </w:rPr>
            </w:pPr>
            <w:r>
              <w:rPr>
                <w:rFonts w:hint="eastAsia" w:ascii="宋体" w:hAnsi="宋体" w:cs="宋体"/>
                <w:sz w:val="24"/>
                <w:szCs w:val="24"/>
              </w:rPr>
              <w:t>投标内容</w:t>
            </w:r>
          </w:p>
        </w:tc>
        <w:tc>
          <w:tcPr>
            <w:tcW w:w="1875" w:type="dxa"/>
            <w:noWrap w:val="0"/>
            <w:vAlign w:val="center"/>
          </w:tcPr>
          <w:p>
            <w:pPr>
              <w:kinsoku w:val="0"/>
              <w:spacing w:line="360" w:lineRule="auto"/>
              <w:jc w:val="center"/>
              <w:rPr>
                <w:rFonts w:ascii="宋体" w:hAnsi="宋体" w:cs="宋体"/>
                <w:sz w:val="24"/>
                <w:szCs w:val="24"/>
              </w:rPr>
            </w:pPr>
            <w:r>
              <w:rPr>
                <w:rFonts w:hint="eastAsia" w:ascii="宋体" w:hAnsi="宋体" w:cs="宋体"/>
                <w:sz w:val="24"/>
                <w:szCs w:val="24"/>
              </w:rPr>
              <w:t>投标总报价</w:t>
            </w:r>
          </w:p>
          <w:p>
            <w:pPr>
              <w:kinsoku w:val="0"/>
              <w:spacing w:line="360" w:lineRule="auto"/>
              <w:jc w:val="center"/>
              <w:rPr>
                <w:rFonts w:ascii="宋体" w:hAnsi="宋体" w:cs="宋体"/>
                <w:sz w:val="24"/>
                <w:szCs w:val="24"/>
              </w:rPr>
            </w:pPr>
            <w:r>
              <w:rPr>
                <w:rFonts w:hint="eastAsia" w:ascii="宋体" w:hAnsi="宋体" w:cs="宋体"/>
                <w:sz w:val="24"/>
                <w:szCs w:val="24"/>
              </w:rPr>
              <w:t>（元）</w:t>
            </w:r>
          </w:p>
        </w:tc>
        <w:tc>
          <w:tcPr>
            <w:tcW w:w="2470" w:type="dxa"/>
            <w:noWrap w:val="0"/>
            <w:vAlign w:val="center"/>
          </w:tcPr>
          <w:p>
            <w:pPr>
              <w:kinsoku w:val="0"/>
              <w:spacing w:line="360" w:lineRule="auto"/>
              <w:jc w:val="center"/>
              <w:rPr>
                <w:rFonts w:ascii="宋体" w:hAnsi="宋体" w:cs="宋体"/>
                <w:sz w:val="24"/>
                <w:szCs w:val="24"/>
              </w:rPr>
            </w:pPr>
            <w:r>
              <w:rPr>
                <w:rFonts w:hint="eastAsia" w:ascii="宋体" w:hAnsi="宋体" w:cs="宋体"/>
                <w:sz w:val="24"/>
                <w:szCs w:val="24"/>
                <w:lang w:val="en-US" w:eastAsia="zh-CN"/>
              </w:rPr>
              <w:t>供货</w:t>
            </w:r>
            <w:r>
              <w:rPr>
                <w:rFonts w:hint="eastAsia" w:ascii="宋体" w:hAnsi="宋体" w:cs="宋体"/>
                <w:sz w:val="24"/>
                <w:szCs w:val="24"/>
              </w:rPr>
              <w:t>期</w:t>
            </w:r>
          </w:p>
        </w:tc>
        <w:tc>
          <w:tcPr>
            <w:tcW w:w="2413" w:type="dxa"/>
            <w:noWrap w:val="0"/>
            <w:vAlign w:val="center"/>
          </w:tcPr>
          <w:p>
            <w:pPr>
              <w:kinsoku w:val="0"/>
              <w:spacing w:line="360" w:lineRule="auto"/>
              <w:jc w:val="center"/>
              <w:rPr>
                <w:rFonts w:ascii="宋体" w:hAnsi="宋体" w:cs="宋体"/>
                <w:sz w:val="24"/>
                <w:szCs w:val="24"/>
              </w:rPr>
            </w:pPr>
            <w:r>
              <w:rPr>
                <w:rFonts w:hint="eastAsia" w:ascii="宋体" w:hAns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305" w:type="dxa"/>
            <w:noWrap w:val="0"/>
            <w:vAlign w:val="center"/>
          </w:tcPr>
          <w:p>
            <w:pPr>
              <w:kinsoku w:val="0"/>
              <w:spacing w:line="480" w:lineRule="auto"/>
              <w:jc w:val="center"/>
              <w:rPr>
                <w:rFonts w:ascii="宋体" w:hAnsi="宋体" w:cs="宋体"/>
                <w:sz w:val="24"/>
                <w:szCs w:val="24"/>
              </w:rPr>
            </w:pPr>
            <w:r>
              <w:rPr>
                <w:rFonts w:hint="eastAsia" w:ascii="宋体" w:hAnsi="宋体" w:cs="宋体"/>
                <w:sz w:val="24"/>
                <w:szCs w:val="24"/>
                <w:lang w:eastAsia="zh-CN"/>
              </w:rPr>
              <w:t>西安航空职业技术学院新能源汽车技术实验室采购项目</w:t>
            </w:r>
          </w:p>
        </w:tc>
        <w:tc>
          <w:tcPr>
            <w:tcW w:w="1875" w:type="dxa"/>
            <w:noWrap w:val="0"/>
            <w:vAlign w:val="center"/>
          </w:tcPr>
          <w:p>
            <w:pPr>
              <w:kinsoku w:val="0"/>
              <w:spacing w:line="480" w:lineRule="auto"/>
              <w:jc w:val="center"/>
              <w:rPr>
                <w:rFonts w:ascii="宋体" w:hAnsi="宋体" w:cs="宋体"/>
                <w:sz w:val="24"/>
                <w:szCs w:val="24"/>
              </w:rPr>
            </w:pPr>
          </w:p>
        </w:tc>
        <w:tc>
          <w:tcPr>
            <w:tcW w:w="2470" w:type="dxa"/>
            <w:noWrap w:val="0"/>
            <w:vAlign w:val="center"/>
          </w:tcPr>
          <w:p>
            <w:pPr>
              <w:kinsoku w:val="0"/>
              <w:spacing w:line="480" w:lineRule="auto"/>
              <w:jc w:val="center"/>
              <w:rPr>
                <w:rFonts w:ascii="宋体" w:hAnsi="宋体" w:cs="宋体"/>
                <w:sz w:val="24"/>
                <w:szCs w:val="24"/>
              </w:rPr>
            </w:pPr>
          </w:p>
        </w:tc>
        <w:tc>
          <w:tcPr>
            <w:tcW w:w="2413" w:type="dxa"/>
            <w:noWrap w:val="0"/>
            <w:vAlign w:val="center"/>
          </w:tcPr>
          <w:p>
            <w:pPr>
              <w:kinsoku w:val="0"/>
              <w:spacing w:line="48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63" w:type="dxa"/>
            <w:gridSpan w:val="4"/>
            <w:noWrap w:val="0"/>
            <w:vAlign w:val="center"/>
          </w:tcPr>
          <w:p>
            <w:pPr>
              <w:kinsoku w:val="0"/>
              <w:spacing w:line="480" w:lineRule="auto"/>
              <w:jc w:val="left"/>
              <w:rPr>
                <w:rFonts w:ascii="宋体" w:hAnsi="宋体" w:cs="宋体"/>
                <w:sz w:val="24"/>
                <w:szCs w:val="24"/>
              </w:rPr>
            </w:pPr>
            <w:r>
              <w:rPr>
                <w:rFonts w:hint="eastAsia" w:ascii="宋体" w:hAnsi="宋体" w:cs="宋体"/>
                <w:sz w:val="24"/>
                <w:szCs w:val="24"/>
              </w:rPr>
              <w:t>投标总报价：（大</w:t>
            </w:r>
            <w:r>
              <w:rPr>
                <w:rFonts w:ascii="宋体" w:hAnsi="宋体" w:cs="宋体"/>
                <w:sz w:val="24"/>
                <w:szCs w:val="24"/>
              </w:rPr>
              <w:t>写</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（小</w:t>
            </w:r>
            <w:r>
              <w:rPr>
                <w:rFonts w:ascii="宋体" w:hAnsi="宋体" w:cs="宋体"/>
                <w:sz w:val="24"/>
                <w:szCs w:val="24"/>
              </w:rPr>
              <w:t>写</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9063" w:type="dxa"/>
            <w:gridSpan w:val="4"/>
            <w:noWrap w:val="0"/>
            <w:vAlign w:val="center"/>
          </w:tcPr>
          <w:p>
            <w:pPr>
              <w:kinsoku w:val="0"/>
              <w:spacing w:line="480" w:lineRule="auto"/>
              <w:jc w:val="left"/>
              <w:rPr>
                <w:rFonts w:ascii="宋体" w:hAnsi="宋体" w:cs="宋体"/>
                <w:sz w:val="24"/>
                <w:szCs w:val="24"/>
              </w:rPr>
            </w:pPr>
            <w:r>
              <w:rPr>
                <w:rFonts w:hint="eastAsia" w:ascii="宋体" w:hAnsi="宋体" w:cs="宋体"/>
                <w:sz w:val="24"/>
                <w:szCs w:val="24"/>
              </w:rPr>
              <w:t>备注：表内报价内容以元为单位，精确到小数点后两位；</w:t>
            </w:r>
          </w:p>
          <w:p>
            <w:pPr>
              <w:kinsoku w:val="0"/>
              <w:spacing w:line="480" w:lineRule="auto"/>
              <w:ind w:firstLine="720" w:firstLineChars="300"/>
              <w:jc w:val="left"/>
              <w:rPr>
                <w:rFonts w:ascii="宋体" w:hAnsi="宋体" w:cs="宋体"/>
                <w:sz w:val="24"/>
                <w:szCs w:val="24"/>
              </w:rPr>
            </w:pPr>
            <w:r>
              <w:rPr>
                <w:rFonts w:hint="eastAsia" w:ascii="宋体" w:hAnsi="宋体" w:cs="宋体"/>
                <w:sz w:val="24"/>
                <w:szCs w:val="24"/>
              </w:rPr>
              <w:t>严格按照招标文件要求进行填写。</w:t>
            </w: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bookmarkStart w:id="205" w:name="_Toc25619"/>
      <w:r>
        <w:rPr>
          <w:rFonts w:hint="eastAsia" w:ascii="宋体" w:hAnsi="宋体" w:cs="宋体"/>
          <w:b/>
          <w:bCs/>
          <w:spacing w:val="20"/>
          <w:kern w:val="0"/>
          <w:sz w:val="28"/>
          <w:szCs w:val="28"/>
        </w:rPr>
        <w:t>注：此表再制作一份原件单独密封递交，供唱标时使用。</w:t>
      </w:r>
      <w:bookmarkEnd w:id="205"/>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w:t>
      </w:r>
      <w:bookmarkStart w:id="206" w:name="_Toc31361"/>
      <w:r>
        <w:rPr>
          <w:rFonts w:hint="eastAsia" w:ascii="宋体" w:hAnsi="宋体" w:cs="宋体"/>
          <w:b/>
          <w:bCs/>
          <w:spacing w:val="20"/>
          <w:kern w:val="0"/>
          <w:sz w:val="28"/>
          <w:szCs w:val="28"/>
        </w:rPr>
        <w:t>请写明大写、小写。</w:t>
      </w:r>
      <w:bookmarkEnd w:id="206"/>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bookmarkStart w:id="207" w:name="_Toc27684"/>
      <w:r>
        <w:rPr>
          <w:rFonts w:hint="eastAsia" w:ascii="宋体" w:hAnsi="宋体" w:cs="宋体"/>
          <w:sz w:val="24"/>
          <w:szCs w:val="24"/>
        </w:rPr>
        <w:t>供应商（单位名称及公章）：____________________</w:t>
      </w:r>
      <w:bookmarkEnd w:id="207"/>
    </w:p>
    <w:p>
      <w:pPr>
        <w:adjustRightInd w:val="0"/>
        <w:snapToGrid w:val="0"/>
        <w:spacing w:line="480" w:lineRule="auto"/>
        <w:rPr>
          <w:rFonts w:ascii="宋体" w:hAnsi="宋体" w:cs="宋体"/>
          <w:sz w:val="24"/>
          <w:szCs w:val="24"/>
        </w:rPr>
      </w:pPr>
      <w:bookmarkStart w:id="208" w:name="_Toc24420"/>
      <w:r>
        <w:rPr>
          <w:rFonts w:hint="eastAsia" w:ascii="宋体" w:hAnsi="宋体" w:cs="宋体"/>
          <w:sz w:val="24"/>
          <w:szCs w:val="24"/>
        </w:rPr>
        <w:t>法定代表人或被授权人（签字或盖章）：____________________</w:t>
      </w:r>
      <w:bookmarkEnd w:id="208"/>
    </w:p>
    <w:p>
      <w:pPr>
        <w:adjustRightInd w:val="0"/>
        <w:snapToGrid w:val="0"/>
        <w:spacing w:line="48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bookmarkStart w:id="209" w:name="_Toc14425"/>
      <w:r>
        <w:rPr>
          <w:rFonts w:hint="eastAsia" w:ascii="宋体" w:hAnsi="宋体" w:cs="宋体"/>
          <w:sz w:val="24"/>
          <w:szCs w:val="24"/>
        </w:rPr>
        <w:t>日    期：</w:t>
      </w:r>
      <w:bookmarkEnd w:id="209"/>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jc w:val="center"/>
        <w:rPr>
          <w:rFonts w:ascii="宋体" w:hAnsi="宋体" w:cs="宋体"/>
          <w:sz w:val="36"/>
          <w:szCs w:val="36"/>
        </w:rPr>
      </w:pPr>
      <w:bookmarkStart w:id="210" w:name="_Toc14444"/>
      <w:bookmarkStart w:id="211" w:name="_Toc9863"/>
      <w:bookmarkStart w:id="212" w:name="_Toc17641"/>
      <w:bookmarkStart w:id="213" w:name="_Toc6753"/>
      <w:r>
        <w:rPr>
          <w:rFonts w:hint="eastAsia" w:ascii="宋体" w:hAnsi="宋体" w:cs="宋体"/>
          <w:sz w:val="36"/>
          <w:szCs w:val="36"/>
        </w:rPr>
        <w:t>分项报价表</w:t>
      </w:r>
      <w:bookmarkEnd w:id="210"/>
    </w:p>
    <w:p>
      <w:pPr>
        <w:pStyle w:val="6"/>
        <w:ind w:firstLine="0"/>
        <w:rPr>
          <w:rFonts w:ascii="宋体" w:hAnsi="宋体" w:cs="宋体"/>
        </w:rPr>
      </w:pPr>
    </w:p>
    <w:p>
      <w:pPr>
        <w:pStyle w:val="6"/>
        <w:spacing w:line="360" w:lineRule="auto"/>
        <w:ind w:firstLine="0"/>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西安航空职业技术学院新能源汽车技术实验室采购项目</w:t>
      </w:r>
    </w:p>
    <w:p>
      <w:pPr>
        <w:pStyle w:val="6"/>
        <w:spacing w:line="360" w:lineRule="auto"/>
        <w:ind w:firstLine="0"/>
        <w:rPr>
          <w:rFonts w:hint="eastAsia" w:ascii="宋体" w:hAnsi="宋体" w:cs="宋体"/>
          <w:sz w:val="24"/>
          <w:lang w:eastAsia="zh-CN"/>
        </w:rPr>
      </w:pPr>
      <w:r>
        <w:rPr>
          <w:rFonts w:hint="eastAsia" w:ascii="宋体" w:hAnsi="宋体" w:cs="宋体"/>
          <w:sz w:val="24"/>
        </w:rPr>
        <w:t>项目编号：</w:t>
      </w:r>
      <w:r>
        <w:rPr>
          <w:rFonts w:hint="eastAsia" w:ascii="宋体" w:hAnsi="宋体" w:cs="宋体"/>
          <w:sz w:val="24"/>
          <w:lang w:eastAsia="zh-CN"/>
        </w:rPr>
        <w:t>ZMZB2022XHZ-192</w:t>
      </w:r>
    </w:p>
    <w:p>
      <w:pPr>
        <w:pStyle w:val="6"/>
        <w:spacing w:line="360" w:lineRule="auto"/>
        <w:ind w:firstLine="0"/>
        <w:rPr>
          <w:rFonts w:ascii="宋体" w:hAnsi="宋体" w:cs="宋体"/>
          <w:sz w:val="24"/>
          <w:u w:val="single"/>
        </w:rPr>
      </w:pPr>
      <w:r>
        <w:rPr>
          <w:rFonts w:hint="eastAsia" w:ascii="宋体" w:hAnsi="宋体" w:cs="宋体"/>
          <w:sz w:val="24"/>
        </w:rPr>
        <w:t>共</w:t>
      </w:r>
      <w:r>
        <w:rPr>
          <w:rFonts w:hint="eastAsia" w:ascii="宋体" w:hAnsi="宋体" w:cs="宋体"/>
          <w:sz w:val="24"/>
          <w:u w:val="single"/>
        </w:rPr>
        <w:t xml:space="preserve">     </w:t>
      </w:r>
      <w:r>
        <w:rPr>
          <w:rFonts w:hint="eastAsia" w:ascii="宋体" w:hAnsi="宋体" w:cs="宋体"/>
          <w:sz w:val="24"/>
        </w:rPr>
        <w:t>页，第</w:t>
      </w:r>
      <w:r>
        <w:rPr>
          <w:rFonts w:hint="eastAsia" w:ascii="宋体" w:hAnsi="宋体" w:cs="宋体"/>
          <w:sz w:val="24"/>
          <w:u w:val="single"/>
        </w:rPr>
        <w:t xml:space="preserve">     </w:t>
      </w:r>
      <w:r>
        <w:rPr>
          <w:rFonts w:hint="eastAsia" w:ascii="宋体" w:hAnsi="宋体" w:cs="宋体"/>
          <w:sz w:val="24"/>
        </w:rPr>
        <w:t>页</w:t>
      </w:r>
    </w:p>
    <w:tbl>
      <w:tblPr>
        <w:tblStyle w:val="19"/>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noWrap w:val="0"/>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noWrap w:val="0"/>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noWrap w:val="0"/>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noWrap w:val="0"/>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noWrap w:val="0"/>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noWrap w:val="0"/>
            <w:vAlign w:val="center"/>
          </w:tcPr>
          <w:p/>
        </w:tc>
        <w:tc>
          <w:tcPr>
            <w:tcW w:w="530" w:type="dxa"/>
            <w:tcBorders>
              <w:top w:val="single" w:color="auto" w:sz="6" w:space="0"/>
              <w:left w:val="single" w:color="auto" w:sz="4" w:space="0"/>
              <w:bottom w:val="single" w:color="auto" w:sz="4" w:space="0"/>
              <w:right w:val="nil"/>
            </w:tcBorders>
            <w:noWrap w:val="0"/>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noWrap w:val="0"/>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noWrap w:val="0"/>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noWrap w:val="0"/>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noWrap w:val="0"/>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noWrap w:val="0"/>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noWrap w:val="0"/>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noWrap w:val="0"/>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noWrap w:val="0"/>
            <w:vAlign w:val="center"/>
          </w:tcPr>
          <w:p/>
        </w:tc>
        <w:tc>
          <w:tcPr>
            <w:tcW w:w="530" w:type="dxa"/>
            <w:tcBorders>
              <w:top w:val="single" w:color="auto" w:sz="4" w:space="0"/>
              <w:left w:val="single" w:color="auto" w:sz="4" w:space="0"/>
              <w:bottom w:val="single" w:color="auto" w:sz="6" w:space="0"/>
              <w:right w:val="nil"/>
            </w:tcBorders>
            <w:noWrap w:val="0"/>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noWrap w:val="0"/>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noWrap w:val="0"/>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noWrap w:val="0"/>
            <w:vAlign w:val="center"/>
          </w:tcPr>
          <w:p/>
        </w:tc>
        <w:tc>
          <w:tcPr>
            <w:tcW w:w="530" w:type="dxa"/>
            <w:tcBorders>
              <w:top w:val="single" w:color="auto" w:sz="4" w:space="0"/>
              <w:left w:val="single" w:color="auto" w:sz="4" w:space="0"/>
              <w:bottom w:val="single" w:color="auto" w:sz="6" w:space="0"/>
              <w:right w:val="nil"/>
            </w:tcBorders>
            <w:noWrap w:val="0"/>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noWrap w:val="0"/>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noWrap w:val="0"/>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noWrap w:val="0"/>
            <w:vAlign w:val="center"/>
          </w:tcPr>
          <w:p/>
        </w:tc>
        <w:tc>
          <w:tcPr>
            <w:tcW w:w="530" w:type="dxa"/>
            <w:tcBorders>
              <w:top w:val="single" w:color="auto" w:sz="4" w:space="0"/>
              <w:left w:val="single" w:color="auto" w:sz="4" w:space="0"/>
              <w:bottom w:val="single" w:color="auto" w:sz="6" w:space="0"/>
              <w:right w:val="nil"/>
            </w:tcBorders>
            <w:noWrap w:val="0"/>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noWrap w:val="0"/>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noWrap w:val="0"/>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noWrap w:val="0"/>
            <w:vAlign w:val="center"/>
          </w:tcPr>
          <w:p/>
        </w:tc>
        <w:tc>
          <w:tcPr>
            <w:tcW w:w="530" w:type="dxa"/>
            <w:tcBorders>
              <w:top w:val="single" w:color="auto" w:sz="4" w:space="0"/>
              <w:left w:val="single" w:color="auto" w:sz="4" w:space="0"/>
              <w:bottom w:val="single" w:color="auto" w:sz="6" w:space="0"/>
              <w:right w:val="nil"/>
            </w:tcBorders>
            <w:noWrap w:val="0"/>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noWrap w:val="0"/>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noWrap w:val="0"/>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noWrap w:val="0"/>
            <w:vAlign w:val="center"/>
          </w:tcPr>
          <w:p/>
        </w:tc>
        <w:tc>
          <w:tcPr>
            <w:tcW w:w="530" w:type="dxa"/>
            <w:tcBorders>
              <w:top w:val="single" w:color="auto" w:sz="4" w:space="0"/>
              <w:left w:val="single" w:color="auto" w:sz="4" w:space="0"/>
              <w:bottom w:val="single" w:color="auto" w:sz="6" w:space="0"/>
              <w:right w:val="nil"/>
            </w:tcBorders>
            <w:noWrap w:val="0"/>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noWrap w:val="0"/>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noWrap w:val="0"/>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noWrap w:val="0"/>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noWrap w:val="0"/>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noWrap w:val="0"/>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noWrap w:val="0"/>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noWrap w:val="0"/>
            <w:vAlign w:val="center"/>
          </w:tcPr>
          <w:p>
            <w:pPr>
              <w:jc w:val="center"/>
              <w:rPr>
                <w:rFonts w:ascii="宋体" w:cs="宋体"/>
                <w:sz w:val="22"/>
              </w:rPr>
            </w:pPr>
            <w:r>
              <w:rPr>
                <w:rFonts w:hint="eastAsia" w:ascii="宋体" w:cs="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noWrap w:val="0"/>
            <w:vAlign w:val="center"/>
          </w:tcPr>
          <w:p>
            <w:pPr>
              <w:spacing w:before="159"/>
              <w:jc w:val="center"/>
              <w:rPr>
                <w:rFonts w:ascii="宋体" w:cs="宋体"/>
                <w:sz w:val="22"/>
              </w:rPr>
            </w:pPr>
            <w:r>
              <w:rPr>
                <w:rFonts w:hint="eastAsia" w:ascii="宋体" w:cs="宋体"/>
                <w:spacing w:val="-6"/>
                <w:sz w:val="22"/>
              </w:rPr>
              <w:t>保留小数点后两位。</w:t>
            </w:r>
          </w:p>
        </w:tc>
      </w:tr>
    </w:tbl>
    <w:p>
      <w:pPr>
        <w:adjustRightInd w:val="0"/>
        <w:snapToGrid w:val="0"/>
        <w:spacing w:line="480" w:lineRule="auto"/>
        <w:rPr>
          <w:rFonts w:ascii="宋体" w:hAnsi="宋体" w:cs="宋体"/>
          <w:sz w:val="24"/>
          <w:szCs w:val="24"/>
        </w:rPr>
      </w:pPr>
    </w:p>
    <w:p>
      <w:pPr>
        <w:adjustRightInd w:val="0"/>
        <w:snapToGrid w:val="0"/>
        <w:spacing w:line="480" w:lineRule="auto"/>
        <w:rPr>
          <w:rFonts w:ascii="宋体" w:hAnsi="宋体" w:cs="宋体"/>
          <w:sz w:val="24"/>
          <w:szCs w:val="24"/>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bookmarkEnd w:id="211"/>
    <w:bookmarkEnd w:id="212"/>
    <w:bookmarkEnd w:id="213"/>
    <w:p>
      <w:pPr>
        <w:sectPr>
          <w:pgSz w:w="11906" w:h="16838"/>
          <w:pgMar w:top="1440" w:right="1803" w:bottom="1440" w:left="1803" w:header="851" w:footer="992" w:gutter="0"/>
          <w:pgNumType w:fmt="decimal"/>
          <w:cols w:space="720" w:num="1"/>
          <w:docGrid w:type="lines" w:linePitch="319" w:charSpace="0"/>
        </w:sectPr>
      </w:pPr>
    </w:p>
    <w:p>
      <w:pPr>
        <w:pStyle w:val="3"/>
        <w:jc w:val="center"/>
        <w:rPr>
          <w:rFonts w:ascii="宋体" w:hAnsi="宋体" w:cs="宋体"/>
        </w:rPr>
      </w:pPr>
      <w:bookmarkStart w:id="214" w:name="_Toc3356"/>
      <w:bookmarkStart w:id="215" w:name="_Toc5195"/>
      <w:bookmarkStart w:id="216" w:name="_Toc30997"/>
      <w:bookmarkStart w:id="217" w:name="_Toc10126"/>
      <w:bookmarkStart w:id="218" w:name="_Toc9034"/>
      <w:r>
        <w:rPr>
          <w:rFonts w:hint="eastAsia" w:ascii="宋体" w:hAnsi="宋体" w:cs="宋体"/>
        </w:rPr>
        <w:t>第三部分</w:t>
      </w:r>
      <w:bookmarkEnd w:id="214"/>
      <w:r>
        <w:rPr>
          <w:rFonts w:hint="eastAsia" w:ascii="宋体" w:hAnsi="宋体" w:cs="宋体"/>
          <w:sz w:val="36"/>
          <w:szCs w:val="36"/>
        </w:rPr>
        <w:t xml:space="preserve"> </w:t>
      </w:r>
      <w:r>
        <w:rPr>
          <w:rFonts w:hint="eastAsia" w:ascii="宋体" w:hAnsi="宋体" w:cs="宋体"/>
        </w:rPr>
        <w:t>商务及技术响应说明</w:t>
      </w:r>
      <w:bookmarkEnd w:id="215"/>
      <w:bookmarkEnd w:id="216"/>
    </w:p>
    <w:p>
      <w:pPr>
        <w:pStyle w:val="6"/>
        <w:ind w:firstLine="0"/>
        <w:rPr>
          <w:rFonts w:ascii="宋体" w:hAnsi="宋体" w:cs="宋体"/>
        </w:rPr>
      </w:pPr>
    </w:p>
    <w:p>
      <w:pPr>
        <w:jc w:val="center"/>
        <w:outlineLvl w:val="1"/>
        <w:rPr>
          <w:rFonts w:ascii="宋体" w:hAnsi="宋体" w:cs="宋体"/>
          <w:b/>
          <w:bCs/>
          <w:sz w:val="28"/>
          <w:szCs w:val="32"/>
        </w:rPr>
      </w:pPr>
      <w:bookmarkStart w:id="219" w:name="_Toc2697"/>
      <w:bookmarkStart w:id="220" w:name="_Toc9958"/>
      <w:r>
        <w:rPr>
          <w:rFonts w:hint="eastAsia" w:ascii="宋体" w:hAnsi="宋体" w:cs="宋体"/>
          <w:b/>
          <w:bCs/>
          <w:sz w:val="28"/>
          <w:szCs w:val="32"/>
        </w:rPr>
        <w:t>商务偏离表</w:t>
      </w:r>
      <w:bookmarkEnd w:id="219"/>
      <w:bookmarkEnd w:id="220"/>
    </w:p>
    <w:tbl>
      <w:tblPr>
        <w:tblStyle w:val="1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center"/>
          </w:tcPr>
          <w:p>
            <w:pPr>
              <w:pStyle w:val="12"/>
              <w:spacing w:line="360" w:lineRule="auto"/>
              <w:jc w:val="center"/>
              <w:rPr>
                <w:rFonts w:hAnsi="宋体" w:cs="宋体"/>
                <w:sz w:val="24"/>
                <w:szCs w:val="24"/>
              </w:rPr>
            </w:pPr>
            <w:r>
              <w:rPr>
                <w:rFonts w:hint="eastAsia" w:hAnsi="宋体" w:cs="宋体"/>
                <w:sz w:val="24"/>
                <w:szCs w:val="24"/>
              </w:rPr>
              <w:t>序号</w:t>
            </w:r>
          </w:p>
        </w:tc>
        <w:tc>
          <w:tcPr>
            <w:tcW w:w="1521" w:type="dxa"/>
            <w:noWrap w:val="0"/>
            <w:vAlign w:val="center"/>
          </w:tcPr>
          <w:p>
            <w:pPr>
              <w:pStyle w:val="12"/>
              <w:spacing w:line="360" w:lineRule="auto"/>
              <w:jc w:val="center"/>
              <w:rPr>
                <w:rFonts w:hAnsi="宋体" w:cs="宋体"/>
                <w:sz w:val="24"/>
                <w:szCs w:val="24"/>
              </w:rPr>
            </w:pPr>
            <w:r>
              <w:rPr>
                <w:rFonts w:hint="eastAsia" w:hAnsi="宋体" w:cs="宋体"/>
                <w:sz w:val="24"/>
                <w:szCs w:val="24"/>
              </w:rPr>
              <w:t>商务条款</w:t>
            </w:r>
          </w:p>
        </w:tc>
        <w:tc>
          <w:tcPr>
            <w:tcW w:w="1600" w:type="dxa"/>
            <w:noWrap w:val="0"/>
            <w:vAlign w:val="center"/>
          </w:tcPr>
          <w:p>
            <w:pPr>
              <w:pStyle w:val="12"/>
              <w:spacing w:line="360" w:lineRule="auto"/>
              <w:jc w:val="center"/>
              <w:rPr>
                <w:rFonts w:hAnsi="宋体" w:cs="宋体"/>
                <w:sz w:val="24"/>
                <w:szCs w:val="24"/>
              </w:rPr>
            </w:pPr>
            <w:r>
              <w:rPr>
                <w:rFonts w:hint="eastAsia" w:hAnsi="宋体" w:cs="宋体"/>
                <w:sz w:val="24"/>
                <w:szCs w:val="24"/>
              </w:rPr>
              <w:t>商务要求</w:t>
            </w:r>
          </w:p>
          <w:p>
            <w:pPr>
              <w:pStyle w:val="12"/>
              <w:spacing w:line="360" w:lineRule="auto"/>
              <w:jc w:val="center"/>
              <w:rPr>
                <w:rFonts w:hAnsi="宋体" w:cs="宋体"/>
                <w:sz w:val="24"/>
                <w:szCs w:val="24"/>
              </w:rPr>
            </w:pPr>
            <w:r>
              <w:rPr>
                <w:rFonts w:hint="eastAsia" w:hAnsi="宋体" w:cs="宋体"/>
                <w:sz w:val="24"/>
                <w:szCs w:val="24"/>
              </w:rPr>
              <w:t>内容</w:t>
            </w:r>
          </w:p>
        </w:tc>
        <w:tc>
          <w:tcPr>
            <w:tcW w:w="1938" w:type="dxa"/>
            <w:noWrap w:val="0"/>
            <w:vAlign w:val="center"/>
          </w:tcPr>
          <w:p>
            <w:pPr>
              <w:pStyle w:val="12"/>
              <w:spacing w:line="360" w:lineRule="auto"/>
              <w:jc w:val="center"/>
              <w:rPr>
                <w:rFonts w:hAnsi="宋体" w:cs="宋体"/>
                <w:sz w:val="24"/>
                <w:szCs w:val="24"/>
              </w:rPr>
            </w:pPr>
            <w:r>
              <w:rPr>
                <w:rFonts w:hint="eastAsia" w:hAnsi="宋体" w:cs="宋体"/>
                <w:sz w:val="24"/>
                <w:szCs w:val="24"/>
              </w:rPr>
              <w:t>投标文件</w:t>
            </w:r>
          </w:p>
          <w:p>
            <w:pPr>
              <w:pStyle w:val="12"/>
              <w:spacing w:line="360" w:lineRule="auto"/>
              <w:jc w:val="center"/>
              <w:rPr>
                <w:rFonts w:hAnsi="宋体" w:cs="宋体"/>
                <w:sz w:val="24"/>
                <w:szCs w:val="24"/>
              </w:rPr>
            </w:pPr>
            <w:r>
              <w:rPr>
                <w:rFonts w:hint="eastAsia" w:hAnsi="宋体" w:cs="宋体"/>
                <w:sz w:val="24"/>
                <w:szCs w:val="24"/>
              </w:rPr>
              <w:t>响应商务内容</w:t>
            </w:r>
          </w:p>
        </w:tc>
        <w:tc>
          <w:tcPr>
            <w:tcW w:w="1410" w:type="dxa"/>
            <w:noWrap w:val="0"/>
            <w:vAlign w:val="center"/>
          </w:tcPr>
          <w:p>
            <w:pPr>
              <w:pStyle w:val="12"/>
              <w:spacing w:line="360" w:lineRule="auto"/>
              <w:jc w:val="center"/>
              <w:rPr>
                <w:rFonts w:hAnsi="宋体" w:cs="宋体"/>
                <w:sz w:val="24"/>
                <w:szCs w:val="24"/>
              </w:rPr>
            </w:pPr>
            <w:r>
              <w:rPr>
                <w:rFonts w:hint="eastAsia" w:hAnsi="宋体" w:cs="宋体"/>
                <w:sz w:val="24"/>
                <w:szCs w:val="24"/>
              </w:rPr>
              <w:t>偏离情况</w:t>
            </w:r>
          </w:p>
        </w:tc>
        <w:tc>
          <w:tcPr>
            <w:tcW w:w="1356" w:type="dxa"/>
            <w:noWrap w:val="0"/>
            <w:vAlign w:val="center"/>
          </w:tcPr>
          <w:p>
            <w:pPr>
              <w:pStyle w:val="12"/>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center"/>
          </w:tcPr>
          <w:p>
            <w:pPr>
              <w:pStyle w:val="12"/>
              <w:spacing w:line="480" w:lineRule="auto"/>
              <w:ind w:firstLine="480" w:firstLineChars="200"/>
              <w:jc w:val="left"/>
              <w:rPr>
                <w:rFonts w:hAnsi="宋体" w:cs="宋体"/>
                <w:sz w:val="24"/>
                <w:szCs w:val="24"/>
              </w:rPr>
            </w:pPr>
          </w:p>
        </w:tc>
        <w:tc>
          <w:tcPr>
            <w:tcW w:w="1938" w:type="dxa"/>
            <w:noWrap w:val="0"/>
            <w:vAlign w:val="center"/>
          </w:tcPr>
          <w:p>
            <w:pPr>
              <w:pStyle w:val="12"/>
              <w:spacing w:line="480" w:lineRule="auto"/>
              <w:ind w:firstLine="480" w:firstLineChars="200"/>
              <w:jc w:val="left"/>
              <w:rPr>
                <w:rFonts w:hAnsi="宋体" w:cs="宋体"/>
                <w:sz w:val="24"/>
                <w:szCs w:val="24"/>
              </w:rPr>
            </w:pPr>
          </w:p>
        </w:tc>
        <w:tc>
          <w:tcPr>
            <w:tcW w:w="1410" w:type="dxa"/>
            <w:noWrap w:val="0"/>
            <w:vAlign w:val="center"/>
          </w:tcPr>
          <w:p>
            <w:pPr>
              <w:pStyle w:val="12"/>
              <w:spacing w:line="480" w:lineRule="auto"/>
              <w:ind w:firstLine="480" w:firstLineChars="200"/>
              <w:jc w:val="left"/>
              <w:rPr>
                <w:rFonts w:hAnsi="宋体" w:cs="宋体"/>
                <w:sz w:val="24"/>
                <w:szCs w:val="24"/>
              </w:rPr>
            </w:pPr>
          </w:p>
        </w:tc>
        <w:tc>
          <w:tcPr>
            <w:tcW w:w="1356" w:type="dxa"/>
            <w:noWrap w:val="0"/>
            <w:vAlign w:val="center"/>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noWrap w:val="0"/>
            <w:vAlign w:val="top"/>
          </w:tcPr>
          <w:p>
            <w:pPr>
              <w:pStyle w:val="12"/>
              <w:spacing w:line="480" w:lineRule="auto"/>
              <w:jc w:val="left"/>
              <w:rPr>
                <w:rFonts w:hAnsi="宋体" w:cs="宋体"/>
                <w:sz w:val="24"/>
                <w:szCs w:val="24"/>
              </w:rPr>
            </w:pPr>
          </w:p>
        </w:tc>
        <w:tc>
          <w:tcPr>
            <w:tcW w:w="1521" w:type="dxa"/>
            <w:noWrap w:val="0"/>
            <w:vAlign w:val="top"/>
          </w:tcPr>
          <w:p>
            <w:pPr>
              <w:pStyle w:val="12"/>
              <w:spacing w:line="480" w:lineRule="auto"/>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bl>
    <w:p>
      <w:pPr>
        <w:pStyle w:val="6"/>
        <w:numPr>
          <w:ilvl w:val="0"/>
          <w:numId w:val="24"/>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6"/>
        <w:numPr>
          <w:ilvl w:val="0"/>
          <w:numId w:val="24"/>
        </w:numPr>
        <w:spacing w:line="360" w:lineRule="auto"/>
        <w:rPr>
          <w:rFonts w:ascii="宋体" w:hAnsi="宋体" w:cs="宋体"/>
          <w:sz w:val="24"/>
          <w:szCs w:val="24"/>
        </w:rPr>
      </w:pP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pPr>
        <w:pStyle w:val="6"/>
        <w:numPr>
          <w:ilvl w:val="0"/>
          <w:numId w:val="24"/>
        </w:numPr>
        <w:spacing w:line="360" w:lineRule="auto"/>
        <w:rPr>
          <w:rFonts w:ascii="宋体" w:hAnsi="宋体" w:cs="宋体"/>
          <w:sz w:val="24"/>
          <w:szCs w:val="24"/>
        </w:rPr>
      </w:pPr>
      <w:r>
        <w:rPr>
          <w:rFonts w:hint="eastAsia" w:ascii="宋体" w:hAnsi="宋体" w:cs="宋体"/>
          <w:b/>
          <w:bCs/>
          <w:sz w:val="24"/>
          <w:szCs w:val="24"/>
        </w:rPr>
        <w:t>该表可扩展。</w:t>
      </w:r>
    </w:p>
    <w:p>
      <w:pPr>
        <w:pStyle w:val="6"/>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6"/>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headerReference r:id="rId14" w:type="default"/>
          <w:footerReference r:id="rId15"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jc w:val="center"/>
        <w:outlineLvl w:val="1"/>
        <w:rPr>
          <w:rFonts w:ascii="宋体" w:hAnsi="宋体" w:cs="宋体"/>
          <w:b/>
          <w:bCs/>
          <w:sz w:val="28"/>
          <w:szCs w:val="32"/>
        </w:rPr>
      </w:pPr>
      <w:bookmarkStart w:id="221" w:name="_Toc23359"/>
      <w:bookmarkStart w:id="222" w:name="_Toc24472"/>
      <w:r>
        <w:rPr>
          <w:rFonts w:hint="eastAsia" w:ascii="宋体" w:hAnsi="宋体" w:cs="宋体"/>
          <w:b/>
          <w:bCs/>
          <w:sz w:val="28"/>
          <w:szCs w:val="32"/>
        </w:rPr>
        <w:t>技术偏离表</w:t>
      </w:r>
      <w:bookmarkEnd w:id="221"/>
      <w:bookmarkEnd w:id="222"/>
    </w:p>
    <w:p>
      <w:pPr>
        <w:pStyle w:val="6"/>
        <w:ind w:firstLine="0"/>
        <w:rPr>
          <w:rFonts w:ascii="宋体" w:hAnsi="宋体" w:cs="宋体"/>
        </w:rPr>
      </w:pPr>
    </w:p>
    <w:p>
      <w:pPr>
        <w:rPr>
          <w:rFonts w:ascii="宋体" w:hAnsi="宋体" w:cs="宋体"/>
          <w:sz w:val="24"/>
          <w:szCs w:val="24"/>
        </w:rPr>
      </w:pPr>
    </w:p>
    <w:tbl>
      <w:tblPr>
        <w:tblStyle w:val="1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center"/>
          </w:tcPr>
          <w:p>
            <w:pPr>
              <w:pStyle w:val="12"/>
              <w:spacing w:line="360" w:lineRule="auto"/>
              <w:jc w:val="center"/>
              <w:rPr>
                <w:rFonts w:hAnsi="宋体" w:cs="宋体"/>
                <w:sz w:val="24"/>
                <w:szCs w:val="24"/>
              </w:rPr>
            </w:pPr>
            <w:r>
              <w:rPr>
                <w:rFonts w:hint="eastAsia" w:hAnsi="宋体" w:cs="宋体"/>
                <w:sz w:val="24"/>
                <w:szCs w:val="24"/>
              </w:rPr>
              <w:t>序号</w:t>
            </w:r>
          </w:p>
        </w:tc>
        <w:tc>
          <w:tcPr>
            <w:tcW w:w="1521" w:type="dxa"/>
            <w:noWrap w:val="0"/>
            <w:vAlign w:val="center"/>
          </w:tcPr>
          <w:p>
            <w:pPr>
              <w:pStyle w:val="12"/>
              <w:spacing w:line="360" w:lineRule="auto"/>
              <w:jc w:val="center"/>
              <w:rPr>
                <w:rFonts w:hAnsi="宋体" w:cs="宋体"/>
                <w:sz w:val="24"/>
                <w:szCs w:val="24"/>
              </w:rPr>
            </w:pPr>
            <w:r>
              <w:rPr>
                <w:rFonts w:hint="eastAsia" w:hAnsi="宋体" w:cs="宋体"/>
                <w:sz w:val="24"/>
              </w:rPr>
              <w:t>产品名称</w:t>
            </w:r>
          </w:p>
        </w:tc>
        <w:tc>
          <w:tcPr>
            <w:tcW w:w="1600" w:type="dxa"/>
            <w:noWrap w:val="0"/>
            <w:vAlign w:val="center"/>
          </w:tcPr>
          <w:p>
            <w:pPr>
              <w:spacing w:line="500" w:lineRule="exact"/>
              <w:jc w:val="center"/>
              <w:rPr>
                <w:rFonts w:ascii="宋体" w:hAnsi="宋体" w:cs="宋体"/>
                <w:sz w:val="24"/>
              </w:rPr>
            </w:pPr>
            <w:r>
              <w:rPr>
                <w:rFonts w:hint="eastAsia" w:ascii="宋体" w:hAnsi="宋体" w:cs="宋体"/>
                <w:sz w:val="24"/>
              </w:rPr>
              <w:t>标书要求</w:t>
            </w:r>
          </w:p>
          <w:p>
            <w:pPr>
              <w:spacing w:line="500" w:lineRule="exact"/>
              <w:jc w:val="center"/>
              <w:rPr>
                <w:rFonts w:ascii="宋体" w:hAnsi="宋体" w:cs="宋体"/>
                <w:sz w:val="24"/>
                <w:szCs w:val="24"/>
              </w:rPr>
            </w:pPr>
            <w:r>
              <w:rPr>
                <w:rFonts w:hint="eastAsia" w:ascii="宋体" w:hAnsi="宋体" w:cs="宋体"/>
                <w:sz w:val="24"/>
              </w:rPr>
              <w:t>技术指标</w:t>
            </w:r>
          </w:p>
        </w:tc>
        <w:tc>
          <w:tcPr>
            <w:tcW w:w="1938" w:type="dxa"/>
            <w:noWrap w:val="0"/>
            <w:vAlign w:val="center"/>
          </w:tcPr>
          <w:p>
            <w:pPr>
              <w:spacing w:line="500" w:lineRule="exact"/>
              <w:jc w:val="center"/>
              <w:rPr>
                <w:rFonts w:ascii="宋体" w:hAnsi="宋体" w:cs="宋体"/>
                <w:sz w:val="24"/>
              </w:rPr>
            </w:pPr>
            <w:r>
              <w:rPr>
                <w:rFonts w:hint="eastAsia" w:ascii="宋体" w:hAnsi="宋体" w:cs="宋体"/>
                <w:sz w:val="24"/>
              </w:rPr>
              <w:t>投标产品</w:t>
            </w:r>
          </w:p>
          <w:p>
            <w:pPr>
              <w:spacing w:line="500" w:lineRule="exact"/>
              <w:jc w:val="center"/>
              <w:rPr>
                <w:rFonts w:ascii="宋体" w:hAnsi="宋体" w:cs="宋体"/>
                <w:sz w:val="24"/>
                <w:szCs w:val="24"/>
              </w:rPr>
            </w:pPr>
            <w:r>
              <w:rPr>
                <w:rFonts w:hint="eastAsia" w:ascii="宋体" w:hAnsi="宋体" w:cs="宋体"/>
                <w:sz w:val="24"/>
              </w:rPr>
              <w:t>技术指标</w:t>
            </w:r>
          </w:p>
        </w:tc>
        <w:tc>
          <w:tcPr>
            <w:tcW w:w="1410" w:type="dxa"/>
            <w:noWrap w:val="0"/>
            <w:vAlign w:val="center"/>
          </w:tcPr>
          <w:p>
            <w:pPr>
              <w:spacing w:line="500" w:lineRule="exact"/>
              <w:jc w:val="center"/>
              <w:rPr>
                <w:rFonts w:ascii="宋体" w:hAnsi="宋体" w:cs="宋体"/>
                <w:sz w:val="24"/>
                <w:szCs w:val="24"/>
              </w:rPr>
            </w:pPr>
            <w:r>
              <w:rPr>
                <w:rFonts w:hint="eastAsia" w:ascii="宋体" w:hAnsi="宋体" w:cs="宋体"/>
                <w:sz w:val="24"/>
              </w:rPr>
              <w:t>偏离情况</w:t>
            </w:r>
          </w:p>
        </w:tc>
        <w:tc>
          <w:tcPr>
            <w:tcW w:w="1356" w:type="dxa"/>
            <w:noWrap w:val="0"/>
            <w:vAlign w:val="center"/>
          </w:tcPr>
          <w:p>
            <w:pPr>
              <w:pStyle w:val="12"/>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center"/>
          </w:tcPr>
          <w:p>
            <w:pPr>
              <w:pStyle w:val="12"/>
              <w:spacing w:line="480" w:lineRule="auto"/>
              <w:ind w:firstLine="480" w:firstLineChars="200"/>
              <w:jc w:val="left"/>
              <w:rPr>
                <w:rFonts w:hAnsi="宋体" w:cs="宋体"/>
                <w:sz w:val="24"/>
                <w:szCs w:val="24"/>
              </w:rPr>
            </w:pPr>
          </w:p>
        </w:tc>
        <w:tc>
          <w:tcPr>
            <w:tcW w:w="1938" w:type="dxa"/>
            <w:noWrap w:val="0"/>
            <w:vAlign w:val="center"/>
          </w:tcPr>
          <w:p>
            <w:pPr>
              <w:pStyle w:val="12"/>
              <w:spacing w:line="480" w:lineRule="auto"/>
              <w:ind w:firstLine="480" w:firstLineChars="200"/>
              <w:jc w:val="left"/>
              <w:rPr>
                <w:rFonts w:hAnsi="宋体" w:cs="宋体"/>
                <w:sz w:val="24"/>
                <w:szCs w:val="24"/>
              </w:rPr>
            </w:pPr>
          </w:p>
        </w:tc>
        <w:tc>
          <w:tcPr>
            <w:tcW w:w="1410" w:type="dxa"/>
            <w:noWrap w:val="0"/>
            <w:vAlign w:val="center"/>
          </w:tcPr>
          <w:p>
            <w:pPr>
              <w:pStyle w:val="12"/>
              <w:spacing w:line="480" w:lineRule="auto"/>
              <w:ind w:firstLine="480" w:firstLineChars="200"/>
              <w:jc w:val="left"/>
              <w:rPr>
                <w:rFonts w:hAnsi="宋体" w:cs="宋体"/>
                <w:sz w:val="24"/>
                <w:szCs w:val="24"/>
              </w:rPr>
            </w:pPr>
          </w:p>
        </w:tc>
        <w:tc>
          <w:tcPr>
            <w:tcW w:w="1356" w:type="dxa"/>
            <w:noWrap w:val="0"/>
            <w:vAlign w:val="center"/>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2"/>
              <w:spacing w:line="480" w:lineRule="auto"/>
              <w:ind w:firstLine="480" w:firstLineChars="200"/>
              <w:jc w:val="left"/>
              <w:rPr>
                <w:rFonts w:hAnsi="宋体" w:cs="宋体"/>
                <w:sz w:val="24"/>
                <w:szCs w:val="24"/>
              </w:rPr>
            </w:pPr>
          </w:p>
        </w:tc>
        <w:tc>
          <w:tcPr>
            <w:tcW w:w="1521" w:type="dxa"/>
            <w:noWrap w:val="0"/>
            <w:vAlign w:val="top"/>
          </w:tcPr>
          <w:p>
            <w:pPr>
              <w:pStyle w:val="12"/>
              <w:spacing w:line="480" w:lineRule="auto"/>
              <w:ind w:firstLine="480" w:firstLineChars="200"/>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noWrap w:val="0"/>
            <w:vAlign w:val="top"/>
          </w:tcPr>
          <w:p>
            <w:pPr>
              <w:pStyle w:val="12"/>
              <w:spacing w:line="480" w:lineRule="auto"/>
              <w:jc w:val="left"/>
              <w:rPr>
                <w:rFonts w:hAnsi="宋体" w:cs="宋体"/>
                <w:sz w:val="24"/>
                <w:szCs w:val="24"/>
              </w:rPr>
            </w:pPr>
          </w:p>
        </w:tc>
        <w:tc>
          <w:tcPr>
            <w:tcW w:w="1521" w:type="dxa"/>
            <w:noWrap w:val="0"/>
            <w:vAlign w:val="top"/>
          </w:tcPr>
          <w:p>
            <w:pPr>
              <w:pStyle w:val="12"/>
              <w:spacing w:line="480" w:lineRule="auto"/>
              <w:jc w:val="left"/>
              <w:rPr>
                <w:rFonts w:hAnsi="宋体" w:cs="宋体"/>
                <w:sz w:val="24"/>
                <w:szCs w:val="24"/>
              </w:rPr>
            </w:pPr>
          </w:p>
        </w:tc>
        <w:tc>
          <w:tcPr>
            <w:tcW w:w="1600" w:type="dxa"/>
            <w:noWrap w:val="0"/>
            <w:vAlign w:val="top"/>
          </w:tcPr>
          <w:p>
            <w:pPr>
              <w:pStyle w:val="12"/>
              <w:spacing w:line="480" w:lineRule="auto"/>
              <w:ind w:firstLine="480" w:firstLineChars="200"/>
              <w:jc w:val="left"/>
              <w:rPr>
                <w:rFonts w:hAnsi="宋体" w:cs="宋体"/>
                <w:sz w:val="24"/>
                <w:szCs w:val="24"/>
              </w:rPr>
            </w:pPr>
          </w:p>
        </w:tc>
        <w:tc>
          <w:tcPr>
            <w:tcW w:w="1938" w:type="dxa"/>
            <w:noWrap w:val="0"/>
            <w:vAlign w:val="top"/>
          </w:tcPr>
          <w:p>
            <w:pPr>
              <w:pStyle w:val="12"/>
              <w:spacing w:line="480" w:lineRule="auto"/>
              <w:ind w:firstLine="480" w:firstLineChars="200"/>
              <w:jc w:val="left"/>
              <w:rPr>
                <w:rFonts w:hAnsi="宋体" w:cs="宋体"/>
                <w:sz w:val="24"/>
                <w:szCs w:val="24"/>
              </w:rPr>
            </w:pPr>
          </w:p>
        </w:tc>
        <w:tc>
          <w:tcPr>
            <w:tcW w:w="1410" w:type="dxa"/>
            <w:noWrap w:val="0"/>
            <w:vAlign w:val="top"/>
          </w:tcPr>
          <w:p>
            <w:pPr>
              <w:pStyle w:val="12"/>
              <w:spacing w:line="480" w:lineRule="auto"/>
              <w:ind w:firstLine="480" w:firstLineChars="200"/>
              <w:jc w:val="left"/>
              <w:rPr>
                <w:rFonts w:hAnsi="宋体" w:cs="宋体"/>
                <w:sz w:val="24"/>
                <w:szCs w:val="24"/>
              </w:rPr>
            </w:pPr>
          </w:p>
        </w:tc>
        <w:tc>
          <w:tcPr>
            <w:tcW w:w="1356" w:type="dxa"/>
            <w:noWrap w:val="0"/>
            <w:vAlign w:val="top"/>
          </w:tcPr>
          <w:p>
            <w:pPr>
              <w:pStyle w:val="12"/>
              <w:spacing w:line="480" w:lineRule="auto"/>
              <w:ind w:firstLine="480" w:firstLineChars="200"/>
              <w:jc w:val="left"/>
              <w:rPr>
                <w:rFonts w:hAnsi="宋体" w:cs="宋体"/>
                <w:sz w:val="24"/>
                <w:szCs w:val="24"/>
              </w:rPr>
            </w:pPr>
          </w:p>
        </w:tc>
      </w:tr>
    </w:tbl>
    <w:p>
      <w:pPr>
        <w:pStyle w:val="6"/>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6"/>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pPr>
        <w:pStyle w:val="6"/>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6"/>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8"/>
          <w:szCs w:val="28"/>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bookmarkEnd w:id="217"/>
    <w:bookmarkEnd w:id="218"/>
    <w:p>
      <w:pPr>
        <w:rPr>
          <w:rFonts w:ascii="宋体" w:hAnsi="宋体" w:cs="宋体"/>
        </w:rPr>
      </w:pPr>
      <w:bookmarkStart w:id="223" w:name="OLE_LINK1"/>
      <w:bookmarkStart w:id="224" w:name="_Toc31390"/>
    </w:p>
    <w:bookmarkEnd w:id="223"/>
    <w:p>
      <w:pPr>
        <w:pStyle w:val="3"/>
        <w:jc w:val="center"/>
        <w:rPr>
          <w:rFonts w:ascii="宋体" w:hAnsi="宋体" w:cs="宋体"/>
          <w:sz w:val="36"/>
          <w:szCs w:val="36"/>
        </w:rPr>
      </w:pPr>
      <w:bookmarkStart w:id="225" w:name="_Toc10328"/>
      <w:bookmarkStart w:id="226" w:name="_Toc8621"/>
      <w:bookmarkStart w:id="227" w:name="_Toc10114"/>
      <w:bookmarkStart w:id="228" w:name="_Toc6356"/>
      <w:r>
        <w:rPr>
          <w:rFonts w:hint="eastAsia" w:ascii="宋体" w:hAnsi="宋体" w:cs="宋体"/>
          <w:sz w:val="36"/>
          <w:szCs w:val="36"/>
        </w:rPr>
        <w:t>第四部分  供应商资格要求</w:t>
      </w:r>
      <w:bookmarkEnd w:id="225"/>
      <w:bookmarkEnd w:id="226"/>
      <w:bookmarkEnd w:id="227"/>
      <w:bookmarkEnd w:id="228"/>
    </w:p>
    <w:p>
      <w:pPr>
        <w:rPr>
          <w:rFonts w:ascii="宋体" w:hAnsi="宋体" w:cs="宋体"/>
        </w:rPr>
      </w:pPr>
    </w:p>
    <w:p>
      <w:pPr>
        <w:snapToGrid w:val="0"/>
        <w:spacing w:line="360" w:lineRule="auto"/>
        <w:ind w:right="-199" w:rightChars="-95"/>
        <w:jc w:val="left"/>
        <w:rPr>
          <w:rFonts w:ascii="宋体" w:hAnsi="宋体" w:cs="宋体"/>
          <w:kern w:val="0"/>
          <w:sz w:val="24"/>
          <w:szCs w:val="24"/>
        </w:rPr>
      </w:pPr>
      <w:r>
        <w:rPr>
          <w:rFonts w:hint="eastAsia" w:ascii="宋体" w:hAnsi="宋体" w:cs="宋体"/>
          <w:kern w:val="0"/>
          <w:sz w:val="24"/>
          <w:szCs w:val="24"/>
        </w:rPr>
        <w:t>供应商根据招标文件公告资质要求内容附资质证明文件。</w:t>
      </w:r>
    </w:p>
    <w:p>
      <w:pPr>
        <w:pStyle w:val="10"/>
        <w:rPr>
          <w:rFonts w:ascii="宋体" w:hAnsi="宋体" w:cs="宋体"/>
        </w:rPr>
        <w:sectPr>
          <w:headerReference r:id="rId16"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 xml:space="preserve">                       </w:t>
      </w: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0"/>
        <w:rPr>
          <w:rFonts w:ascii="宋体" w:hAnsi="宋体" w:cs="宋体"/>
          <w:color w:val="auto"/>
          <w:sz w:val="32"/>
          <w:szCs w:val="32"/>
        </w:rPr>
      </w:pPr>
      <w:r>
        <w:rPr>
          <w:rFonts w:hint="eastAsia" w:ascii="宋体" w:hAnsi="宋体" w:cs="宋体"/>
          <w:color w:val="auto"/>
          <w:sz w:val="32"/>
          <w:szCs w:val="32"/>
        </w:rPr>
        <w:t>满足《中华人民共和国政府采购法》第二十二条规定的</w:t>
      </w:r>
    </w:p>
    <w:p>
      <w:pPr>
        <w:pStyle w:val="10"/>
        <w:jc w:val="center"/>
        <w:rPr>
          <w:rFonts w:ascii="宋体" w:hAnsi="宋体" w:cs="宋体"/>
          <w:color w:val="auto"/>
          <w:sz w:val="32"/>
          <w:szCs w:val="32"/>
        </w:rPr>
      </w:pPr>
      <w:r>
        <w:rPr>
          <w:rFonts w:hint="eastAsia" w:ascii="宋体" w:hAnsi="宋体" w:cs="宋体"/>
          <w:color w:val="auto"/>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我单位参与陕西卓佲项目管理有限公司组织________________________(项目名称)公开招标，我公司符合《中华人民共和国政府采购法》规定的供应商资格条件：</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5"/>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0"/>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12"/>
        <w:spacing w:line="500" w:lineRule="exact"/>
        <w:jc w:val="left"/>
        <w:rPr>
          <w:rFonts w:hAnsi="宋体" w:cs="宋体"/>
          <w:sz w:val="24"/>
          <w:szCs w:val="24"/>
        </w:rPr>
      </w:pPr>
    </w:p>
    <w:p>
      <w:pPr>
        <w:pStyle w:val="12"/>
        <w:spacing w:line="480" w:lineRule="auto"/>
        <w:jc w:val="left"/>
        <w:rPr>
          <w:rFonts w:hAnsi="宋体" w:cs="宋体"/>
          <w:sz w:val="24"/>
        </w:rPr>
      </w:pPr>
    </w:p>
    <w:p>
      <w:pPr>
        <w:pStyle w:val="12"/>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2"/>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8"/>
          <w:szCs w:val="28"/>
        </w:rPr>
        <w:t>日</w:t>
      </w: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4"/>
          <w:szCs w:val="24"/>
          <w:u w:val="single"/>
        </w:rPr>
      </w:pP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7" w:type="default"/>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3、税收缴纳证明：提供2021年9月以来至少一个月的纳税证明或完税证明，依法免税的单位应提供相关证明材料；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4、社会保障资金缴纳证明：提供2021年9月以来至少一个月的社会保障资金缴存单据或社保机构开具的社会保险参保缴费情况证明。依法不需要缴纳社会保障资金的供应商应提供相关文件证明；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jc w:val="left"/>
        <w:rPr>
          <w:rFonts w:ascii="宋体" w:hAnsi="宋体" w:cs="宋体"/>
          <w:sz w:val="28"/>
          <w:szCs w:val="32"/>
        </w:rPr>
      </w:pPr>
      <w:r>
        <w:rPr>
          <w:rFonts w:hint="eastAsia" w:ascii="宋体" w:hAnsi="宋体" w:cs="宋体"/>
          <w:sz w:val="28"/>
          <w:szCs w:val="32"/>
        </w:rPr>
        <w:tab/>
      </w:r>
    </w:p>
    <w:p>
      <w:pPr>
        <w:pStyle w:val="6"/>
      </w:pPr>
    </w:p>
    <w:p>
      <w:pPr>
        <w:tabs>
          <w:tab w:val="left" w:pos="2235"/>
        </w:tabs>
        <w:jc w:val="left"/>
        <w:rPr>
          <w:rFonts w:ascii="宋体" w:hAnsi="宋体" w:cs="宋体"/>
          <w:sz w:val="28"/>
          <w:szCs w:val="32"/>
        </w:rPr>
      </w:pPr>
      <w:r>
        <w:rPr>
          <w:rFonts w:hint="eastAsia" w:ascii="宋体" w:hAnsi="宋体" w:cs="宋体"/>
          <w:sz w:val="28"/>
          <w:szCs w:val="32"/>
        </w:rPr>
        <w:tab/>
      </w:r>
    </w:p>
    <w:p>
      <w:pPr>
        <w:pStyle w:val="6"/>
        <w:rPr>
          <w:rFonts w:ascii="宋体" w:hAnsi="宋体" w:cs="宋体"/>
          <w:sz w:val="28"/>
          <w:szCs w:val="32"/>
        </w:rPr>
      </w:pPr>
    </w:p>
    <w:p>
      <w:pPr>
        <w:pStyle w:val="12"/>
        <w:rPr>
          <w:rFonts w:hAnsi="宋体" w:cs="宋体"/>
          <w:sz w:val="28"/>
          <w:szCs w:val="32"/>
        </w:rPr>
      </w:pPr>
    </w:p>
    <w:p>
      <w:pPr>
        <w:pStyle w:val="12"/>
        <w:rPr>
          <w:rFonts w:hAnsi="宋体" w:cs="宋体"/>
          <w:sz w:val="28"/>
          <w:szCs w:val="32"/>
        </w:rPr>
      </w:pPr>
    </w:p>
    <w:p>
      <w:pPr>
        <w:pStyle w:val="12"/>
        <w:rPr>
          <w:rFonts w:hAnsi="宋体" w:cs="宋体"/>
          <w:sz w:val="28"/>
          <w:szCs w:val="32"/>
        </w:rPr>
      </w:pPr>
    </w:p>
    <w:p>
      <w:pPr>
        <w:pStyle w:val="12"/>
        <w:rPr>
          <w:rFonts w:hAnsi="宋体" w:cs="宋体"/>
          <w:sz w:val="28"/>
          <w:szCs w:val="32"/>
        </w:rPr>
      </w:pPr>
    </w:p>
    <w:p>
      <w:pPr>
        <w:pStyle w:val="12"/>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szCs w:val="24"/>
        </w:rPr>
      </w:pPr>
      <w:r>
        <w:rPr>
          <w:rFonts w:hint="eastAsia" w:ascii="宋体" w:hAnsi="宋体" w:cs="宋体"/>
          <w:sz w:val="32"/>
          <w:szCs w:val="24"/>
        </w:rPr>
        <w:t>5、履行合同所必需的设备和专业技术能力声明（格式）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2"/>
        <w:spacing w:line="500" w:lineRule="exact"/>
        <w:jc w:val="left"/>
        <w:rPr>
          <w:rFonts w:hAnsi="宋体" w:cs="宋体"/>
          <w:sz w:val="24"/>
          <w:szCs w:val="24"/>
        </w:rPr>
      </w:pPr>
    </w:p>
    <w:p>
      <w:pPr>
        <w:pStyle w:val="12"/>
        <w:spacing w:line="480" w:lineRule="auto"/>
        <w:jc w:val="left"/>
        <w:rPr>
          <w:rFonts w:hAnsi="宋体" w:cs="宋体"/>
          <w:sz w:val="24"/>
        </w:rPr>
      </w:pPr>
    </w:p>
    <w:p>
      <w:pPr>
        <w:pStyle w:val="12"/>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2"/>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sz w:val="32"/>
          <w:szCs w:val="24"/>
        </w:rPr>
      </w:pPr>
      <w:r>
        <w:rPr>
          <w:rFonts w:hint="eastAsia" w:ascii="宋体" w:hAnsi="宋体" w:cs="宋体"/>
          <w:sz w:val="32"/>
          <w:szCs w:val="24"/>
        </w:rPr>
        <w:br w:type="page"/>
      </w: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2"/>
        <w:spacing w:line="500" w:lineRule="exact"/>
        <w:jc w:val="left"/>
        <w:rPr>
          <w:rFonts w:hAnsi="宋体" w:cs="宋体"/>
          <w:sz w:val="24"/>
          <w:szCs w:val="24"/>
        </w:rPr>
      </w:pPr>
    </w:p>
    <w:p>
      <w:pPr>
        <w:pStyle w:val="12"/>
        <w:spacing w:line="480" w:lineRule="auto"/>
        <w:jc w:val="left"/>
        <w:rPr>
          <w:rFonts w:hAnsi="宋体" w:cs="宋体"/>
          <w:sz w:val="24"/>
        </w:rPr>
      </w:pPr>
    </w:p>
    <w:p>
      <w:pPr>
        <w:pStyle w:val="12"/>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2"/>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0"/>
            <w:vAlign w:val="center"/>
          </w:tcPr>
          <w:p>
            <w:pPr>
              <w:tabs>
                <w:tab w:val="left" w:pos="210"/>
              </w:tabs>
              <w:spacing w:line="360" w:lineRule="auto"/>
              <w:jc w:val="left"/>
              <w:rPr>
                <w:rFonts w:ascii="宋体" w:hAnsi="宋体" w:cs="宋体"/>
                <w:kern w:val="0"/>
              </w:rPr>
            </w:pPr>
            <w:r>
              <w:rPr>
                <w:rFonts w:hint="eastAsia" w:ascii="宋体" w:hAnsi="宋体" w:cs="宋体"/>
                <w:kern w:val="0"/>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企</w:t>
            </w:r>
          </w:p>
          <w:p>
            <w:pPr>
              <w:tabs>
                <w:tab w:val="left" w:pos="210"/>
              </w:tabs>
              <w:spacing w:line="360" w:lineRule="auto"/>
              <w:jc w:val="center"/>
              <w:rPr>
                <w:rFonts w:ascii="宋体" w:hAnsi="宋体" w:cs="宋体"/>
                <w:kern w:val="0"/>
              </w:rPr>
            </w:pPr>
            <w:r>
              <w:rPr>
                <w:rFonts w:hint="eastAsia" w:ascii="宋体" w:hAnsi="宋体" w:cs="宋体"/>
                <w:kern w:val="0"/>
              </w:rPr>
              <w:t>业</w:t>
            </w:r>
          </w:p>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企业名称</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法定地址</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邮政编码</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工商登记机关</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统一社会信用代码</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姓名</w:t>
            </w:r>
          </w:p>
        </w:tc>
        <w:tc>
          <w:tcPr>
            <w:tcW w:w="2340" w:type="dxa"/>
            <w:gridSpan w:val="2"/>
            <w:noWrap w:val="0"/>
            <w:vAlign w:val="center"/>
          </w:tcPr>
          <w:p>
            <w:pPr>
              <w:tabs>
                <w:tab w:val="left" w:pos="210"/>
              </w:tabs>
              <w:spacing w:line="360" w:lineRule="auto"/>
              <w:ind w:firstLine="420" w:firstLineChars="200"/>
              <w:jc w:val="left"/>
              <w:rPr>
                <w:rFonts w:ascii="宋体" w:hAnsi="宋体" w:cs="宋体"/>
                <w:kern w:val="0"/>
              </w:rPr>
            </w:pPr>
          </w:p>
        </w:tc>
        <w:tc>
          <w:tcPr>
            <w:tcW w:w="2156" w:type="dxa"/>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性别</w:t>
            </w:r>
          </w:p>
        </w:tc>
        <w:tc>
          <w:tcPr>
            <w:tcW w:w="2160" w:type="dxa"/>
            <w:noWrap w:val="0"/>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职务</w:t>
            </w:r>
          </w:p>
        </w:tc>
        <w:tc>
          <w:tcPr>
            <w:tcW w:w="2340" w:type="dxa"/>
            <w:gridSpan w:val="2"/>
            <w:noWrap w:val="0"/>
            <w:vAlign w:val="center"/>
          </w:tcPr>
          <w:p>
            <w:pPr>
              <w:tabs>
                <w:tab w:val="left" w:pos="210"/>
              </w:tabs>
              <w:spacing w:line="360" w:lineRule="auto"/>
              <w:jc w:val="left"/>
              <w:rPr>
                <w:rFonts w:ascii="宋体" w:hAnsi="宋体" w:cs="宋体"/>
                <w:kern w:val="0"/>
              </w:rPr>
            </w:pPr>
          </w:p>
        </w:tc>
        <w:tc>
          <w:tcPr>
            <w:tcW w:w="2156" w:type="dxa"/>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联系电话</w:t>
            </w:r>
          </w:p>
        </w:tc>
        <w:tc>
          <w:tcPr>
            <w:tcW w:w="2160" w:type="dxa"/>
            <w:noWrap w:val="0"/>
            <w:vAlign w:val="center"/>
          </w:tcPr>
          <w:p>
            <w:pPr>
              <w:tabs>
                <w:tab w:val="left" w:pos="210"/>
              </w:tabs>
              <w:spacing w:line="360" w:lineRule="auto"/>
              <w:ind w:firstLine="420" w:firstLineChars="200"/>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pPr>
              <w:tabs>
                <w:tab w:val="left" w:pos="210"/>
              </w:tabs>
              <w:spacing w:line="360" w:lineRule="auto"/>
              <w:ind w:firstLine="420" w:firstLineChars="200"/>
              <w:jc w:val="center"/>
              <w:rPr>
                <w:rFonts w:ascii="宋体" w:hAnsi="宋体" w:cs="宋体"/>
                <w:kern w:val="0"/>
              </w:rPr>
            </w:pPr>
          </w:p>
        </w:tc>
        <w:tc>
          <w:tcPr>
            <w:tcW w:w="2160" w:type="dxa"/>
            <w:noWrap w:val="0"/>
            <w:vAlign w:val="center"/>
          </w:tcPr>
          <w:p>
            <w:pPr>
              <w:tabs>
                <w:tab w:val="left" w:pos="210"/>
              </w:tabs>
              <w:spacing w:line="360" w:lineRule="auto"/>
              <w:rPr>
                <w:rFonts w:ascii="宋体" w:hAnsi="宋体" w:cs="宋体"/>
                <w:kern w:val="0"/>
              </w:rPr>
            </w:pPr>
            <w:r>
              <w:rPr>
                <w:rFonts w:hint="eastAsia" w:ascii="宋体" w:hAnsi="宋体" w:cs="宋体"/>
                <w:kern w:val="0"/>
              </w:rPr>
              <w:t>传真</w:t>
            </w:r>
          </w:p>
        </w:tc>
        <w:tc>
          <w:tcPr>
            <w:tcW w:w="6656" w:type="dxa"/>
            <w:gridSpan w:val="4"/>
            <w:noWrap w:val="0"/>
            <w:vAlign w:val="center"/>
          </w:tcPr>
          <w:p>
            <w:pPr>
              <w:tabs>
                <w:tab w:val="left" w:pos="210"/>
              </w:tabs>
              <w:spacing w:line="36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0"/>
            <w:vAlign w:val="center"/>
          </w:tcPr>
          <w:p>
            <w:pPr>
              <w:tabs>
                <w:tab w:val="left" w:pos="210"/>
              </w:tabs>
              <w:spacing w:line="360" w:lineRule="auto"/>
              <w:jc w:val="center"/>
              <w:rPr>
                <w:rFonts w:ascii="宋体" w:hAnsi="宋体" w:cs="宋体"/>
                <w:kern w:val="0"/>
              </w:rPr>
            </w:pPr>
            <w:r>
              <w:rPr>
                <w:rFonts w:hint="eastAsia" w:ascii="宋体" w:hAnsi="宋体" w:cs="宋体"/>
                <w:kern w:val="0"/>
              </w:rPr>
              <w:t>法</w:t>
            </w:r>
          </w:p>
          <w:p>
            <w:pPr>
              <w:tabs>
                <w:tab w:val="left" w:pos="210"/>
              </w:tabs>
              <w:spacing w:line="360" w:lineRule="auto"/>
              <w:jc w:val="center"/>
              <w:rPr>
                <w:rFonts w:ascii="宋体" w:hAnsi="宋体" w:cs="宋体"/>
                <w:kern w:val="0"/>
              </w:rPr>
            </w:pPr>
            <w:r>
              <w:rPr>
                <w:rFonts w:hint="eastAsia" w:ascii="宋体" w:hAnsi="宋体" w:cs="宋体"/>
                <w:kern w:val="0"/>
              </w:rPr>
              <w:t>定</w:t>
            </w:r>
          </w:p>
          <w:p>
            <w:pPr>
              <w:tabs>
                <w:tab w:val="left" w:pos="210"/>
              </w:tabs>
              <w:spacing w:line="360" w:lineRule="auto"/>
              <w:jc w:val="center"/>
              <w:rPr>
                <w:rFonts w:ascii="宋体" w:hAnsi="宋体" w:cs="宋体"/>
                <w:kern w:val="0"/>
              </w:rPr>
            </w:pPr>
            <w:r>
              <w:rPr>
                <w:rFonts w:hint="eastAsia" w:ascii="宋体" w:hAnsi="宋体" w:cs="宋体"/>
                <w:kern w:val="0"/>
              </w:rPr>
              <w:t>代</w:t>
            </w:r>
          </w:p>
          <w:p>
            <w:pPr>
              <w:tabs>
                <w:tab w:val="left" w:pos="210"/>
              </w:tabs>
              <w:spacing w:line="360" w:lineRule="auto"/>
              <w:jc w:val="center"/>
              <w:rPr>
                <w:rFonts w:ascii="宋体" w:hAnsi="宋体" w:cs="宋体"/>
                <w:kern w:val="0"/>
              </w:rPr>
            </w:pPr>
            <w:r>
              <w:rPr>
                <w:rFonts w:hint="eastAsia" w:ascii="宋体" w:hAnsi="宋体" w:cs="宋体"/>
                <w:kern w:val="0"/>
              </w:rPr>
              <w:t>表</w:t>
            </w:r>
          </w:p>
          <w:p>
            <w:pPr>
              <w:tabs>
                <w:tab w:val="left" w:pos="210"/>
              </w:tabs>
              <w:spacing w:line="360" w:lineRule="auto"/>
              <w:jc w:val="center"/>
              <w:rPr>
                <w:rFonts w:ascii="宋体" w:hAnsi="宋体" w:cs="宋体"/>
                <w:kern w:val="0"/>
              </w:rPr>
            </w:pPr>
            <w:r>
              <w:rPr>
                <w:rFonts w:hint="eastAsia" w:ascii="宋体" w:hAnsi="宋体" w:cs="宋体"/>
                <w:kern w:val="0"/>
              </w:rPr>
              <w:t>人</w:t>
            </w:r>
          </w:p>
          <w:p>
            <w:pPr>
              <w:tabs>
                <w:tab w:val="left" w:pos="210"/>
              </w:tabs>
              <w:spacing w:line="360" w:lineRule="auto"/>
              <w:jc w:val="center"/>
              <w:rPr>
                <w:rFonts w:ascii="宋体" w:hAnsi="宋体" w:cs="宋体"/>
                <w:kern w:val="0"/>
              </w:rPr>
            </w:pPr>
            <w:r>
              <w:rPr>
                <w:rFonts w:hint="eastAsia" w:ascii="宋体" w:hAnsi="宋体" w:cs="宋体"/>
                <w:kern w:val="0"/>
              </w:rPr>
              <w:t>身</w:t>
            </w:r>
          </w:p>
          <w:p>
            <w:pPr>
              <w:tabs>
                <w:tab w:val="left" w:pos="210"/>
              </w:tabs>
              <w:spacing w:line="360" w:lineRule="auto"/>
              <w:jc w:val="center"/>
              <w:rPr>
                <w:rFonts w:ascii="宋体" w:hAnsi="宋体" w:cs="宋体"/>
                <w:kern w:val="0"/>
              </w:rPr>
            </w:pPr>
            <w:r>
              <w:rPr>
                <w:rFonts w:hint="eastAsia" w:ascii="宋体" w:hAnsi="宋体" w:cs="宋体"/>
                <w:kern w:val="0"/>
              </w:rPr>
              <w:t>份</w:t>
            </w:r>
          </w:p>
          <w:p>
            <w:pPr>
              <w:tabs>
                <w:tab w:val="left" w:pos="210"/>
              </w:tabs>
              <w:spacing w:line="360" w:lineRule="auto"/>
              <w:jc w:val="center"/>
              <w:rPr>
                <w:rFonts w:ascii="宋体" w:hAnsi="宋体" w:cs="宋体"/>
                <w:kern w:val="0"/>
              </w:rPr>
            </w:pPr>
            <w:r>
              <w:rPr>
                <w:rFonts w:hint="eastAsia" w:ascii="宋体" w:hAnsi="宋体" w:cs="宋体"/>
                <w:kern w:val="0"/>
              </w:rPr>
              <w:t>证</w:t>
            </w:r>
          </w:p>
          <w:p>
            <w:pPr>
              <w:tabs>
                <w:tab w:val="left" w:pos="210"/>
              </w:tabs>
              <w:spacing w:line="360" w:lineRule="auto"/>
              <w:jc w:val="center"/>
              <w:rPr>
                <w:rFonts w:ascii="宋体" w:hAnsi="宋体" w:cs="宋体"/>
                <w:kern w:val="0"/>
              </w:rPr>
            </w:pPr>
            <w:r>
              <w:rPr>
                <w:rFonts w:hint="eastAsia" w:ascii="宋体" w:hAnsi="宋体" w:cs="宋体"/>
                <w:kern w:val="0"/>
              </w:rPr>
              <w:t>复</w:t>
            </w:r>
          </w:p>
          <w:p>
            <w:pPr>
              <w:tabs>
                <w:tab w:val="left" w:pos="210"/>
              </w:tabs>
              <w:spacing w:line="360" w:lineRule="auto"/>
              <w:jc w:val="center"/>
              <w:rPr>
                <w:rFonts w:ascii="宋体" w:hAnsi="宋体" w:cs="宋体"/>
                <w:kern w:val="0"/>
              </w:rPr>
            </w:pPr>
            <w:r>
              <w:rPr>
                <w:rFonts w:hint="eastAsia" w:ascii="宋体" w:hAnsi="宋体" w:cs="宋体"/>
                <w:kern w:val="0"/>
              </w:rPr>
              <w:t>印</w:t>
            </w:r>
          </w:p>
          <w:p>
            <w:pPr>
              <w:tabs>
                <w:tab w:val="left" w:pos="210"/>
              </w:tabs>
              <w:spacing w:line="360" w:lineRule="auto"/>
              <w:jc w:val="center"/>
              <w:rPr>
                <w:rFonts w:ascii="宋体" w:hAnsi="宋体" w:cs="宋体"/>
                <w:kern w:val="0"/>
              </w:rPr>
            </w:pPr>
            <w:r>
              <w:rPr>
                <w:rFonts w:hint="eastAsia" w:ascii="宋体" w:hAnsi="宋体" w:cs="宋体"/>
                <w:kern w:val="0"/>
              </w:rPr>
              <w:t>件</w:t>
            </w:r>
          </w:p>
        </w:tc>
        <w:tc>
          <w:tcPr>
            <w:tcW w:w="4316" w:type="dxa"/>
            <w:gridSpan w:val="2"/>
            <w:vMerge w:val="restart"/>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（正反面）</w:t>
            </w:r>
          </w:p>
        </w:tc>
        <w:tc>
          <w:tcPr>
            <w:tcW w:w="4500" w:type="dxa"/>
            <w:gridSpan w:val="3"/>
            <w:noWrap w:val="0"/>
            <w:vAlign w:val="center"/>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0"/>
            <w:vAlign w:val="center"/>
          </w:tcPr>
          <w:p>
            <w:pPr>
              <w:tabs>
                <w:tab w:val="left" w:pos="210"/>
              </w:tabs>
              <w:spacing w:line="360" w:lineRule="auto"/>
              <w:ind w:firstLine="420" w:firstLineChars="200"/>
              <w:jc w:val="left"/>
              <w:rPr>
                <w:rFonts w:ascii="宋体" w:hAnsi="宋体" w:cs="宋体"/>
                <w:kern w:val="0"/>
              </w:rPr>
            </w:pPr>
          </w:p>
        </w:tc>
        <w:tc>
          <w:tcPr>
            <w:tcW w:w="4316" w:type="dxa"/>
            <w:gridSpan w:val="2"/>
            <w:vMerge w:val="continue"/>
            <w:noWrap w:val="0"/>
            <w:vAlign w:val="center"/>
          </w:tcPr>
          <w:p>
            <w:pPr>
              <w:tabs>
                <w:tab w:val="left" w:pos="210"/>
              </w:tabs>
              <w:spacing w:line="360" w:lineRule="auto"/>
              <w:ind w:firstLine="420" w:firstLineChars="200"/>
              <w:jc w:val="left"/>
              <w:rPr>
                <w:rFonts w:ascii="宋体" w:hAnsi="宋体" w:cs="宋体"/>
                <w:kern w:val="0"/>
              </w:rPr>
            </w:pPr>
          </w:p>
        </w:tc>
        <w:tc>
          <w:tcPr>
            <w:tcW w:w="4500" w:type="dxa"/>
            <w:gridSpan w:val="3"/>
            <w:noWrap w:val="0"/>
            <w:vAlign w:val="bottom"/>
          </w:tcPr>
          <w:p>
            <w:pPr>
              <w:tabs>
                <w:tab w:val="left" w:pos="210"/>
              </w:tabs>
              <w:spacing w:line="360" w:lineRule="auto"/>
              <w:ind w:firstLine="420" w:firstLineChars="200"/>
              <w:jc w:val="left"/>
              <w:rPr>
                <w:rFonts w:ascii="宋体" w:hAnsi="宋体" w:cs="宋体"/>
                <w:kern w:val="0"/>
              </w:rPr>
            </w:pPr>
            <w:r>
              <w:rPr>
                <w:rFonts w:hint="eastAsia" w:ascii="宋体" w:hAnsi="宋体" w:cs="宋体"/>
                <w:kern w:val="0"/>
              </w:rPr>
              <w:t>（公章）</w:t>
            </w: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tabs>
                <w:tab w:val="left" w:pos="210"/>
              </w:tabs>
              <w:spacing w:line="360" w:lineRule="auto"/>
              <w:jc w:val="left"/>
              <w:rPr>
                <w:rFonts w:ascii="宋体" w:hAnsi="宋体" w:cs="宋体"/>
                <w:kern w:val="0"/>
              </w:rPr>
            </w:pPr>
          </w:p>
          <w:p>
            <w:pPr>
              <w:adjustRightInd w:val="0"/>
              <w:snapToGrid w:val="0"/>
              <w:spacing w:line="480" w:lineRule="auto"/>
              <w:ind w:firstLine="480" w:firstLineChars="200"/>
              <w:jc w:val="right"/>
              <w:rPr>
                <w:rFonts w:ascii="宋体" w:hAnsi="宋体" w:cs="宋体"/>
                <w:kern w:val="0"/>
              </w:rPr>
            </w:pPr>
            <w:r>
              <w:rPr>
                <w:rFonts w:hint="eastAsia" w:ascii="宋体" w:hAnsi="宋体" w:cs="宋体"/>
                <w:sz w:val="24"/>
              </w:rPr>
              <w:t>_________年______月 _____日</w:t>
            </w:r>
          </w:p>
        </w:tc>
      </w:tr>
    </w:tbl>
    <w:p>
      <w:pPr>
        <w:pStyle w:val="12"/>
        <w:spacing w:line="500" w:lineRule="exact"/>
        <w:jc w:val="center"/>
        <w:rPr>
          <w:rFonts w:hAnsi="宋体" w:cs="宋体"/>
          <w:sz w:val="24"/>
          <w:szCs w:val="24"/>
        </w:rPr>
      </w:pPr>
      <w:r>
        <w:rPr>
          <w:rFonts w:hint="eastAsia" w:hAnsi="宋体" w:cs="宋体"/>
          <w:b/>
          <w:sz w:val="24"/>
          <w:szCs w:val="24"/>
        </w:rPr>
        <w:br w:type="page"/>
      </w:r>
      <w:r>
        <w:rPr>
          <w:rFonts w:hint="eastAsia" w:hAnsi="宋体" w:cs="宋体"/>
          <w:b/>
          <w:sz w:val="24"/>
          <w:szCs w:val="24"/>
        </w:rPr>
        <w:t>7-2法定代表人授权书（格式）</w:t>
      </w:r>
    </w:p>
    <w:p>
      <w:pPr>
        <w:pStyle w:val="12"/>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的采购活动。以我方名义全权处理该项目有关招标、签订合同以及执行合同等一切事宜。</w:t>
      </w:r>
    </w:p>
    <w:p>
      <w:pPr>
        <w:spacing w:line="360" w:lineRule="auto"/>
        <w:ind w:firstLine="482" w:firstLineChars="200"/>
        <w:rPr>
          <w:rFonts w:ascii="宋体" w:hAnsi="宋体" w:cs="宋体"/>
          <w:b/>
          <w:bCs/>
          <w:sz w:val="24"/>
          <w:szCs w:val="24"/>
        </w:rPr>
      </w:pPr>
      <w:r>
        <w:rPr>
          <w:rFonts w:hint="eastAsia" w:ascii="宋体" w:hAnsi="宋体" w:cs="宋体"/>
          <w:b/>
          <w:bCs/>
          <w:sz w:val="24"/>
        </w:rPr>
        <w:t>本授权书自</w:t>
      </w:r>
      <w:r>
        <w:rPr>
          <w:rFonts w:hint="eastAsia" w:ascii="宋体" w:hAnsi="宋体" w:cs="宋体"/>
          <w:b/>
          <w:bCs/>
          <w:sz w:val="24"/>
          <w:u w:val="single"/>
          <w:lang w:val="en-US" w:eastAsia="zh-CN"/>
        </w:rPr>
        <w:t xml:space="preserve">     </w:t>
      </w:r>
      <w:r>
        <w:rPr>
          <w:rFonts w:hint="eastAsia" w:ascii="宋体" w:hAnsi="宋体" w:cs="宋体"/>
          <w:b/>
          <w:bCs/>
          <w:sz w:val="24"/>
          <w:u w:val="none"/>
          <w:lang w:val="en-US" w:eastAsia="zh-CN"/>
        </w:rPr>
        <w:t>年</w:t>
      </w:r>
      <w:r>
        <w:rPr>
          <w:rFonts w:hint="eastAsia" w:ascii="宋体" w:hAnsi="宋体" w:cs="宋体"/>
          <w:b/>
          <w:bCs/>
          <w:sz w:val="24"/>
          <w:u w:val="single"/>
          <w:lang w:val="en-US" w:eastAsia="zh-CN"/>
        </w:rPr>
        <w:t xml:space="preserve">     </w:t>
      </w:r>
      <w:r>
        <w:rPr>
          <w:rFonts w:hint="eastAsia" w:ascii="宋体" w:hAnsi="宋体" w:cs="宋体"/>
          <w:b/>
          <w:bCs/>
          <w:sz w:val="24"/>
          <w:u w:val="none"/>
          <w:lang w:val="en-US" w:eastAsia="zh-CN"/>
        </w:rPr>
        <w:t>月</w:t>
      </w:r>
      <w:r>
        <w:rPr>
          <w:rFonts w:hint="eastAsia" w:ascii="宋体" w:hAnsi="宋体" w:cs="宋体"/>
          <w:b/>
          <w:bCs/>
          <w:sz w:val="24"/>
          <w:u w:val="single"/>
          <w:lang w:val="en-US" w:eastAsia="zh-CN"/>
        </w:rPr>
        <w:t xml:space="preserve">    </w:t>
      </w:r>
      <w:r>
        <w:rPr>
          <w:rFonts w:hint="eastAsia" w:ascii="宋体" w:hAnsi="宋体" w:cs="宋体"/>
          <w:b/>
          <w:bCs/>
          <w:sz w:val="24"/>
          <w:u w:val="none"/>
          <w:lang w:val="en-US" w:eastAsia="zh-CN"/>
        </w:rPr>
        <w:t>日签字生效，</w:t>
      </w:r>
      <w:r>
        <w:rPr>
          <w:rFonts w:hint="eastAsia" w:ascii="宋体" w:hAnsi="宋体" w:cs="宋体"/>
          <w:b/>
          <w:bCs/>
          <w:sz w:val="24"/>
        </w:rPr>
        <w:t>有效期与投标文件有效期一致，特此声明。</w:t>
      </w:r>
    </w:p>
    <w:p>
      <w:pPr>
        <w:pStyle w:val="12"/>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8"/>
          <w:szCs w:val="28"/>
        </w:rPr>
        <w:t>__________________</w:t>
      </w:r>
    </w:p>
    <w:p>
      <w:pPr>
        <w:pStyle w:val="12"/>
        <w:spacing w:line="500" w:lineRule="exact"/>
        <w:ind w:firstLine="480" w:firstLineChars="200"/>
        <w:jc w:val="left"/>
        <w:rPr>
          <w:rFonts w:hAnsi="宋体" w:cs="宋体"/>
          <w:sz w:val="24"/>
          <w:szCs w:val="24"/>
        </w:rPr>
      </w:pPr>
      <w:r>
        <w:rPr>
          <w:rFonts w:hint="eastAsia" w:hAnsi="宋体" w:cs="宋体"/>
          <w:sz w:val="24"/>
          <w:szCs w:val="24"/>
        </w:rPr>
        <w:t xml:space="preserve">法定代表人（签字或盖章）： </w:t>
      </w:r>
      <w:r>
        <w:rPr>
          <w:rFonts w:hint="eastAsia" w:hAnsi="宋体" w:cs="宋体"/>
          <w:sz w:val="28"/>
          <w:szCs w:val="28"/>
        </w:rPr>
        <w:t>__________________</w:t>
      </w:r>
    </w:p>
    <w:p>
      <w:pPr>
        <w:pStyle w:val="12"/>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8"/>
          <w:szCs w:val="28"/>
        </w:rPr>
        <w:t>_____________</w:t>
      </w:r>
      <w:r>
        <w:rPr>
          <w:rFonts w:hint="eastAsia" w:hAnsi="宋体" w:cs="宋体"/>
          <w:sz w:val="24"/>
          <w:szCs w:val="24"/>
        </w:rPr>
        <w:t>性别：</w:t>
      </w:r>
      <w:r>
        <w:rPr>
          <w:rFonts w:hint="eastAsia" w:hAnsi="宋体" w:cs="宋体"/>
          <w:sz w:val="28"/>
          <w:szCs w:val="28"/>
        </w:rPr>
        <w:t>____________</w:t>
      </w:r>
      <w:r>
        <w:rPr>
          <w:rFonts w:hint="eastAsia" w:hAnsi="宋体" w:cs="宋体"/>
          <w:sz w:val="24"/>
          <w:szCs w:val="24"/>
        </w:rPr>
        <w:t>职务：</w:t>
      </w:r>
      <w:r>
        <w:rPr>
          <w:rFonts w:hint="eastAsia" w:hAnsi="宋体" w:cs="宋体"/>
          <w:sz w:val="28"/>
          <w:szCs w:val="28"/>
        </w:rPr>
        <w:t>_________</w:t>
      </w:r>
    </w:p>
    <w:p>
      <w:pPr>
        <w:pStyle w:val="12"/>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  </w:t>
      </w:r>
      <w:r>
        <w:rPr>
          <w:rFonts w:hint="eastAsia" w:hAnsi="宋体" w:cs="宋体"/>
          <w:sz w:val="28"/>
          <w:szCs w:val="28"/>
        </w:rPr>
        <w:t>________________</w:t>
      </w:r>
    </w:p>
    <w:p>
      <w:pPr>
        <w:pStyle w:val="12"/>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8"/>
          <w:szCs w:val="28"/>
        </w:rPr>
        <w:t>________________</w:t>
      </w:r>
    </w:p>
    <w:p>
      <w:pPr>
        <w:pStyle w:val="12"/>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19"/>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pPr>
              <w:pStyle w:val="12"/>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法定代表人身份证复印件（正反面）</w:t>
            </w:r>
          </w:p>
          <w:p>
            <w:pPr>
              <w:pStyle w:val="12"/>
              <w:spacing w:line="500" w:lineRule="exact"/>
              <w:jc w:val="left"/>
              <w:rPr>
                <w:rFonts w:hAnsi="宋体" w:cs="宋体"/>
                <w:sz w:val="24"/>
                <w:szCs w:val="24"/>
                <w:shd w:val="pct10" w:color="auto" w:fill="FFFFFF"/>
              </w:rPr>
            </w:pPr>
          </w:p>
        </w:tc>
        <w:tc>
          <w:tcPr>
            <w:tcW w:w="4546" w:type="dxa"/>
            <w:shd w:val="clear" w:color="auto" w:fill="D9D9D9"/>
            <w:noWrap w:val="0"/>
            <w:vAlign w:val="center"/>
          </w:tcPr>
          <w:p>
            <w:pPr>
              <w:pStyle w:val="12"/>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被授权人身份证复印件（正反面）</w:t>
            </w:r>
          </w:p>
          <w:p>
            <w:pPr>
              <w:pStyle w:val="12"/>
              <w:spacing w:line="500" w:lineRule="exact"/>
              <w:ind w:firstLine="480" w:firstLineChars="200"/>
              <w:jc w:val="left"/>
              <w:rPr>
                <w:rFonts w:hAnsi="宋体" w:cs="宋体"/>
                <w:sz w:val="24"/>
                <w:szCs w:val="24"/>
                <w:shd w:val="pct10" w:color="auto" w:fill="FFFFFF"/>
              </w:rPr>
            </w:pPr>
          </w:p>
        </w:tc>
      </w:tr>
    </w:tbl>
    <w:p>
      <w:pPr>
        <w:pStyle w:val="3"/>
        <w:spacing w:before="319" w:beforeLines="100" w:after="478" w:afterLines="150" w:line="500" w:lineRule="exact"/>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229" w:name="_Toc12851"/>
      <w:bookmarkStart w:id="230" w:name="_Toc9172"/>
      <w:bookmarkStart w:id="231" w:name="_Toc1803"/>
    </w:p>
    <w:bookmarkEnd w:id="229"/>
    <w:bookmarkEnd w:id="230"/>
    <w:p>
      <w:pPr>
        <w:widowControl/>
        <w:spacing w:line="360" w:lineRule="auto"/>
        <w:ind w:left="840"/>
        <w:jc w:val="center"/>
        <w:rPr>
          <w:rFonts w:ascii="宋体" w:hAnsi="宋体" w:cs="宋体"/>
          <w:sz w:val="32"/>
          <w:szCs w:val="32"/>
        </w:rPr>
      </w:pPr>
      <w:bookmarkStart w:id="232" w:name="_Toc19138"/>
      <w:bookmarkStart w:id="233" w:name="_Toc23165"/>
      <w:bookmarkStart w:id="234" w:name="_Toc18964"/>
      <w:r>
        <w:rPr>
          <w:rFonts w:hint="eastAsia" w:ascii="宋体" w:hAnsi="宋体" w:cs="宋体"/>
          <w:sz w:val="32"/>
          <w:szCs w:val="32"/>
        </w:rPr>
        <w:t>8、本项目不接受联合体</w:t>
      </w:r>
    </w:p>
    <w:p>
      <w:pPr>
        <w:pStyle w:val="6"/>
        <w:ind w:left="420" w:leftChars="200" w:firstLine="0"/>
        <w:rPr>
          <w:rFonts w:ascii="宋体" w:hAnsi="宋体" w:cs="宋体"/>
        </w:rPr>
      </w:pPr>
    </w:p>
    <w:p>
      <w:pPr>
        <w:pStyle w:val="7"/>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6"/>
        <w:rPr>
          <w:rFonts w:ascii="宋体" w:hAnsi="宋体" w:cs="宋体"/>
          <w:sz w:val="24"/>
          <w:szCs w:val="24"/>
        </w:rPr>
      </w:pPr>
    </w:p>
    <w:p>
      <w:pPr>
        <w:pStyle w:val="6"/>
        <w:rPr>
          <w:rFonts w:ascii="宋体" w:hAnsi="宋体" w:cs="宋体"/>
          <w:sz w:val="24"/>
          <w:szCs w:val="24"/>
        </w:rPr>
      </w:pPr>
    </w:p>
    <w:p>
      <w:pPr>
        <w:pStyle w:val="6"/>
        <w:rPr>
          <w:rFonts w:ascii="宋体" w:hAnsi="宋体" w:cs="宋体"/>
          <w:sz w:val="24"/>
          <w:szCs w:val="24"/>
        </w:rPr>
      </w:pPr>
    </w:p>
    <w:p>
      <w:pPr>
        <w:pStyle w:val="6"/>
        <w:rPr>
          <w:rFonts w:ascii="宋体" w:hAnsi="宋体" w:cs="宋体"/>
          <w:sz w:val="24"/>
          <w:szCs w:val="24"/>
        </w:rPr>
      </w:pPr>
    </w:p>
    <w:p>
      <w:pPr>
        <w:pStyle w:val="6"/>
        <w:rPr>
          <w:rFonts w:ascii="宋体" w:hAnsi="宋体" w:cs="宋体"/>
          <w:sz w:val="24"/>
          <w:szCs w:val="24"/>
        </w:rPr>
      </w:pPr>
    </w:p>
    <w:p>
      <w:pPr>
        <w:pStyle w:val="6"/>
        <w:rPr>
          <w:rFonts w:ascii="宋体" w:hAnsi="宋体" w:cs="宋体"/>
          <w:sz w:val="24"/>
          <w:szCs w:val="24"/>
        </w:rPr>
      </w:pPr>
    </w:p>
    <w:p>
      <w:pPr>
        <w:pStyle w:val="12"/>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2"/>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8" w:type="default"/>
          <w:pgSz w:w="11906" w:h="16838"/>
          <w:pgMar w:top="1440" w:right="1803" w:bottom="1440" w:left="1803" w:header="851" w:footer="992" w:gutter="0"/>
          <w:pgNumType w:fmt="decimal"/>
          <w:cols w:space="720" w:num="1"/>
          <w:docGrid w:type="lines" w:linePitch="319" w:charSpace="0"/>
        </w:sectPr>
      </w:pPr>
    </w:p>
    <w:p>
      <w:pPr>
        <w:pStyle w:val="6"/>
        <w:ind w:firstLine="0"/>
        <w:rPr>
          <w:rFonts w:ascii="宋体" w:hAnsi="宋体" w:cs="宋体"/>
          <w:kern w:val="0"/>
          <w:sz w:val="24"/>
          <w:u w:val="single"/>
        </w:rPr>
      </w:pPr>
    </w:p>
    <w:p>
      <w:pPr>
        <w:pStyle w:val="3"/>
        <w:tabs>
          <w:tab w:val="left" w:pos="2096"/>
          <w:tab w:val="center" w:pos="5024"/>
        </w:tabs>
        <w:spacing w:before="319" w:beforeLines="100" w:after="478" w:afterLines="150" w:line="500" w:lineRule="exact"/>
        <w:jc w:val="center"/>
        <w:rPr>
          <w:rFonts w:ascii="宋体" w:hAnsi="宋体" w:cs="宋体"/>
          <w:sz w:val="36"/>
          <w:szCs w:val="36"/>
        </w:rPr>
      </w:pPr>
      <w:bookmarkStart w:id="235" w:name="_Toc2495"/>
      <w:bookmarkStart w:id="236" w:name="_Toc23526"/>
      <w:r>
        <w:rPr>
          <w:rFonts w:hint="eastAsia" w:ascii="宋体" w:hAnsi="宋体" w:cs="宋体"/>
          <w:sz w:val="36"/>
          <w:szCs w:val="36"/>
        </w:rPr>
        <w:t xml:space="preserve">第五部分 </w:t>
      </w:r>
      <w:bookmarkEnd w:id="232"/>
      <w:bookmarkEnd w:id="233"/>
      <w:bookmarkEnd w:id="234"/>
      <w:r>
        <w:rPr>
          <w:rFonts w:hint="eastAsia" w:ascii="宋体" w:hAnsi="宋体" w:cs="宋体"/>
          <w:sz w:val="36"/>
          <w:szCs w:val="36"/>
        </w:rPr>
        <w:t>技术与服务方案</w:t>
      </w:r>
      <w:bookmarkEnd w:id="235"/>
      <w:bookmarkEnd w:id="236"/>
    </w:p>
    <w:p>
      <w:pPr>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480" w:lineRule="auto"/>
        <w:rPr>
          <w:rFonts w:ascii="宋体" w:hAnsi="宋体" w:cs="宋体"/>
        </w:rPr>
        <w:sectPr>
          <w:pgSz w:w="11906" w:h="16838"/>
          <w:pgMar w:top="1440" w:right="1803" w:bottom="1440" w:left="1803" w:header="851" w:footer="992" w:gutter="0"/>
          <w:pgNumType w:fmt="decimal"/>
          <w:cols w:space="720" w:num="1"/>
          <w:docGrid w:type="lines" w:linePitch="319" w:charSpace="0"/>
        </w:sectPr>
      </w:pPr>
    </w:p>
    <w:bookmarkEnd w:id="231"/>
    <w:p>
      <w:pPr>
        <w:pStyle w:val="3"/>
        <w:spacing w:before="319" w:beforeLines="100" w:after="478" w:afterLines="150" w:line="500" w:lineRule="exact"/>
        <w:jc w:val="center"/>
        <w:rPr>
          <w:rFonts w:ascii="宋体" w:hAnsi="宋体" w:cs="宋体"/>
          <w:sz w:val="36"/>
          <w:szCs w:val="36"/>
        </w:rPr>
      </w:pPr>
      <w:bookmarkStart w:id="237" w:name="_Toc16328"/>
      <w:bookmarkStart w:id="238" w:name="_Toc27522"/>
      <w:bookmarkStart w:id="239" w:name="_Toc26563"/>
      <w:bookmarkStart w:id="240" w:name="_Toc7311"/>
      <w:bookmarkStart w:id="241" w:name="_Toc14408"/>
      <w:bookmarkStart w:id="242" w:name="_Toc10667"/>
      <w:r>
        <w:rPr>
          <w:rFonts w:hint="eastAsia" w:ascii="宋体" w:hAnsi="宋体" w:cs="宋体"/>
          <w:sz w:val="36"/>
          <w:szCs w:val="36"/>
        </w:rPr>
        <w:t xml:space="preserve">第六部分  </w:t>
      </w:r>
      <w:bookmarkEnd w:id="237"/>
      <w:bookmarkEnd w:id="238"/>
      <w:bookmarkEnd w:id="239"/>
      <w:bookmarkStart w:id="243" w:name="_Toc21288"/>
      <w:bookmarkEnd w:id="243"/>
      <w:r>
        <w:rPr>
          <w:rFonts w:hint="eastAsia" w:ascii="宋体" w:hAnsi="宋体" w:cs="宋体"/>
          <w:sz w:val="36"/>
          <w:szCs w:val="36"/>
        </w:rPr>
        <w:t>服务承诺</w:t>
      </w:r>
      <w:bookmarkEnd w:id="240"/>
      <w:bookmarkEnd w:id="241"/>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pStyle w:val="3"/>
        <w:jc w:val="center"/>
        <w:rPr>
          <w:rFonts w:ascii="宋体" w:hAnsi="宋体" w:cs="宋体"/>
          <w:sz w:val="36"/>
          <w:szCs w:val="36"/>
        </w:rPr>
      </w:pPr>
      <w:bookmarkStart w:id="244" w:name="_Toc3945"/>
      <w:r>
        <w:rPr>
          <w:rFonts w:hint="eastAsia" w:ascii="宋体" w:hAnsi="宋体" w:cs="宋体"/>
          <w:sz w:val="36"/>
          <w:szCs w:val="36"/>
        </w:rPr>
        <w:br w:type="page"/>
      </w:r>
      <w:bookmarkStart w:id="245" w:name="_Toc2376"/>
      <w:bookmarkStart w:id="246" w:name="_Toc2785"/>
      <w:bookmarkStart w:id="247" w:name="_Toc25440"/>
      <w:r>
        <w:rPr>
          <w:rFonts w:hint="eastAsia" w:ascii="宋体" w:hAnsi="宋体" w:cs="宋体"/>
          <w:sz w:val="36"/>
          <w:szCs w:val="36"/>
        </w:rPr>
        <w:t>第七部分  业绩一览表</w:t>
      </w:r>
      <w:bookmarkEnd w:id="244"/>
      <w:bookmarkEnd w:id="245"/>
      <w:bookmarkEnd w:id="246"/>
      <w:bookmarkEnd w:id="24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年份</w:t>
            </w:r>
          </w:p>
        </w:tc>
        <w:tc>
          <w:tcPr>
            <w:tcW w:w="1602"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noWrap w:val="0"/>
            <w:vAlign w:val="center"/>
          </w:tcPr>
          <w:p>
            <w:pPr>
              <w:spacing w:line="400" w:lineRule="exact"/>
              <w:jc w:val="center"/>
              <w:rPr>
                <w:rFonts w:ascii="宋体" w:hAnsi="宋体" w:cs="宋体"/>
              </w:rPr>
            </w:pPr>
            <w:r>
              <w:rPr>
                <w:rFonts w:hint="eastAsia" w:ascii="宋体" w:hAnsi="宋体" w:cs="宋体"/>
              </w:rPr>
              <w:t>合同签订时间</w:t>
            </w:r>
          </w:p>
        </w:tc>
        <w:tc>
          <w:tcPr>
            <w:tcW w:w="1577" w:type="dxa"/>
            <w:tcBorders>
              <w:top w:val="single" w:color="auto" w:sz="4" w:space="0"/>
            </w:tcBorders>
            <w:noWrap w:val="0"/>
            <w:vAlign w:val="center"/>
          </w:tcPr>
          <w:p>
            <w:pPr>
              <w:spacing w:line="400" w:lineRule="exact"/>
              <w:ind w:firstLine="105" w:firstLineChars="50"/>
              <w:jc w:val="center"/>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noWrap w:val="0"/>
            <w:vAlign w:val="center"/>
          </w:tcPr>
          <w:p>
            <w:pPr>
              <w:spacing w:line="400" w:lineRule="exact"/>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noWrap w:val="0"/>
            <w:vAlign w:val="center"/>
          </w:tcPr>
          <w:p>
            <w:pPr>
              <w:spacing w:line="400" w:lineRule="exact"/>
              <w:jc w:val="center"/>
              <w:rPr>
                <w:rFonts w:ascii="宋体" w:hAnsi="宋体" w:cs="宋体"/>
              </w:rPr>
            </w:pPr>
          </w:p>
        </w:tc>
        <w:tc>
          <w:tcPr>
            <w:tcW w:w="1602" w:type="dxa"/>
            <w:noWrap w:val="0"/>
            <w:vAlign w:val="center"/>
          </w:tcPr>
          <w:p>
            <w:pPr>
              <w:spacing w:line="400" w:lineRule="exact"/>
              <w:jc w:val="center"/>
              <w:rPr>
                <w:rFonts w:ascii="宋体" w:hAnsi="宋体" w:cs="宋体"/>
              </w:rPr>
            </w:pPr>
          </w:p>
        </w:tc>
        <w:tc>
          <w:tcPr>
            <w:tcW w:w="1468" w:type="dxa"/>
            <w:noWrap w:val="0"/>
            <w:vAlign w:val="center"/>
          </w:tcPr>
          <w:p>
            <w:pPr>
              <w:spacing w:line="400" w:lineRule="exact"/>
              <w:jc w:val="center"/>
              <w:rPr>
                <w:rFonts w:ascii="宋体" w:hAnsi="宋体" w:cs="宋体"/>
              </w:rPr>
            </w:pPr>
          </w:p>
        </w:tc>
        <w:tc>
          <w:tcPr>
            <w:tcW w:w="1485" w:type="dxa"/>
            <w:noWrap w:val="0"/>
            <w:vAlign w:val="center"/>
          </w:tcPr>
          <w:p>
            <w:pPr>
              <w:spacing w:line="400" w:lineRule="exact"/>
              <w:jc w:val="center"/>
              <w:rPr>
                <w:rFonts w:ascii="宋体" w:hAnsi="宋体" w:cs="宋体"/>
              </w:rPr>
            </w:pPr>
          </w:p>
        </w:tc>
        <w:tc>
          <w:tcPr>
            <w:tcW w:w="1577" w:type="dxa"/>
            <w:noWrap w:val="0"/>
            <w:vAlign w:val="center"/>
          </w:tcPr>
          <w:p>
            <w:pPr>
              <w:spacing w:line="400" w:lineRule="exact"/>
              <w:jc w:val="center"/>
              <w:rPr>
                <w:rFonts w:ascii="宋体" w:hAnsi="宋体" w:cs="宋体"/>
              </w:rPr>
            </w:pPr>
          </w:p>
        </w:tc>
        <w:tc>
          <w:tcPr>
            <w:tcW w:w="1163"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noWrap w:val="0"/>
            <w:vAlign w:val="center"/>
          </w:tcPr>
          <w:p>
            <w:pPr>
              <w:spacing w:line="400" w:lineRule="exact"/>
              <w:jc w:val="center"/>
              <w:rPr>
                <w:rFonts w:ascii="宋体" w:hAnsi="宋体" w:cs="宋体"/>
              </w:rPr>
            </w:pPr>
          </w:p>
        </w:tc>
        <w:tc>
          <w:tcPr>
            <w:tcW w:w="1602" w:type="dxa"/>
            <w:noWrap w:val="0"/>
            <w:vAlign w:val="center"/>
          </w:tcPr>
          <w:p>
            <w:pPr>
              <w:spacing w:line="400" w:lineRule="exact"/>
              <w:jc w:val="center"/>
              <w:rPr>
                <w:rFonts w:ascii="宋体" w:hAnsi="宋体" w:cs="宋体"/>
              </w:rPr>
            </w:pPr>
          </w:p>
        </w:tc>
        <w:tc>
          <w:tcPr>
            <w:tcW w:w="1468" w:type="dxa"/>
            <w:noWrap w:val="0"/>
            <w:vAlign w:val="center"/>
          </w:tcPr>
          <w:p>
            <w:pPr>
              <w:spacing w:line="400" w:lineRule="exact"/>
              <w:jc w:val="center"/>
              <w:rPr>
                <w:rFonts w:ascii="宋体" w:hAnsi="宋体" w:cs="宋体"/>
              </w:rPr>
            </w:pPr>
          </w:p>
        </w:tc>
        <w:tc>
          <w:tcPr>
            <w:tcW w:w="1485" w:type="dxa"/>
            <w:noWrap w:val="0"/>
            <w:vAlign w:val="center"/>
          </w:tcPr>
          <w:p>
            <w:pPr>
              <w:spacing w:line="400" w:lineRule="exact"/>
              <w:jc w:val="center"/>
              <w:rPr>
                <w:rFonts w:ascii="宋体" w:hAnsi="宋体" w:cs="宋体"/>
              </w:rPr>
            </w:pPr>
          </w:p>
        </w:tc>
        <w:tc>
          <w:tcPr>
            <w:tcW w:w="1577" w:type="dxa"/>
            <w:noWrap w:val="0"/>
            <w:vAlign w:val="center"/>
          </w:tcPr>
          <w:p>
            <w:pPr>
              <w:spacing w:line="400" w:lineRule="exact"/>
              <w:jc w:val="center"/>
              <w:rPr>
                <w:rFonts w:ascii="宋体" w:hAnsi="宋体" w:cs="宋体"/>
              </w:rPr>
            </w:pPr>
          </w:p>
        </w:tc>
        <w:tc>
          <w:tcPr>
            <w:tcW w:w="1163"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noWrap w:val="0"/>
            <w:vAlign w:val="center"/>
          </w:tcPr>
          <w:p>
            <w:pPr>
              <w:spacing w:line="400" w:lineRule="exact"/>
              <w:jc w:val="center"/>
              <w:rPr>
                <w:rFonts w:ascii="宋体" w:hAnsi="宋体" w:cs="宋体"/>
              </w:rPr>
            </w:pPr>
          </w:p>
        </w:tc>
        <w:tc>
          <w:tcPr>
            <w:tcW w:w="1602" w:type="dxa"/>
            <w:noWrap w:val="0"/>
            <w:vAlign w:val="center"/>
          </w:tcPr>
          <w:p>
            <w:pPr>
              <w:spacing w:line="400" w:lineRule="exact"/>
              <w:jc w:val="center"/>
              <w:rPr>
                <w:rFonts w:ascii="宋体" w:hAnsi="宋体" w:cs="宋体"/>
              </w:rPr>
            </w:pPr>
          </w:p>
        </w:tc>
        <w:tc>
          <w:tcPr>
            <w:tcW w:w="1468" w:type="dxa"/>
            <w:noWrap w:val="0"/>
            <w:vAlign w:val="center"/>
          </w:tcPr>
          <w:p>
            <w:pPr>
              <w:spacing w:line="400" w:lineRule="exact"/>
              <w:jc w:val="center"/>
              <w:rPr>
                <w:rFonts w:ascii="宋体" w:hAnsi="宋体" w:cs="宋体"/>
              </w:rPr>
            </w:pPr>
          </w:p>
        </w:tc>
        <w:tc>
          <w:tcPr>
            <w:tcW w:w="1485" w:type="dxa"/>
            <w:noWrap w:val="0"/>
            <w:vAlign w:val="center"/>
          </w:tcPr>
          <w:p>
            <w:pPr>
              <w:spacing w:line="400" w:lineRule="exact"/>
              <w:jc w:val="center"/>
              <w:rPr>
                <w:rFonts w:ascii="宋体" w:hAnsi="宋体" w:cs="宋体"/>
              </w:rPr>
            </w:pPr>
          </w:p>
        </w:tc>
        <w:tc>
          <w:tcPr>
            <w:tcW w:w="1577" w:type="dxa"/>
            <w:noWrap w:val="0"/>
            <w:vAlign w:val="center"/>
          </w:tcPr>
          <w:p>
            <w:pPr>
              <w:spacing w:line="400" w:lineRule="exact"/>
              <w:jc w:val="center"/>
              <w:rPr>
                <w:rFonts w:ascii="宋体" w:hAnsi="宋体" w:cs="宋体"/>
              </w:rPr>
            </w:pPr>
          </w:p>
        </w:tc>
        <w:tc>
          <w:tcPr>
            <w:tcW w:w="1163"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noWrap w:val="0"/>
            <w:vAlign w:val="center"/>
          </w:tcPr>
          <w:p>
            <w:pPr>
              <w:spacing w:line="400" w:lineRule="exact"/>
              <w:jc w:val="center"/>
              <w:rPr>
                <w:rFonts w:ascii="宋体" w:hAnsi="宋体" w:cs="宋体"/>
              </w:rPr>
            </w:pPr>
          </w:p>
        </w:tc>
        <w:tc>
          <w:tcPr>
            <w:tcW w:w="1602" w:type="dxa"/>
            <w:tcBorders>
              <w:right w:val="single" w:color="auto" w:sz="4" w:space="0"/>
            </w:tcBorders>
            <w:noWrap w:val="0"/>
            <w:vAlign w:val="center"/>
          </w:tcPr>
          <w:p>
            <w:pPr>
              <w:spacing w:line="400" w:lineRule="exact"/>
              <w:jc w:val="center"/>
              <w:rPr>
                <w:rFonts w:ascii="宋体" w:hAnsi="宋体" w:cs="宋体"/>
              </w:rPr>
            </w:pPr>
          </w:p>
        </w:tc>
        <w:tc>
          <w:tcPr>
            <w:tcW w:w="1468" w:type="dxa"/>
            <w:tcBorders>
              <w:left w:val="single" w:color="auto" w:sz="4" w:space="0"/>
            </w:tcBorders>
            <w:noWrap w:val="0"/>
            <w:vAlign w:val="center"/>
          </w:tcPr>
          <w:p>
            <w:pPr>
              <w:spacing w:line="400" w:lineRule="exact"/>
              <w:jc w:val="center"/>
              <w:rPr>
                <w:rFonts w:ascii="宋体" w:hAnsi="宋体" w:cs="宋体"/>
              </w:rPr>
            </w:pPr>
          </w:p>
        </w:tc>
        <w:tc>
          <w:tcPr>
            <w:tcW w:w="1485" w:type="dxa"/>
            <w:noWrap w:val="0"/>
            <w:vAlign w:val="center"/>
          </w:tcPr>
          <w:p>
            <w:pPr>
              <w:spacing w:line="400" w:lineRule="exact"/>
              <w:jc w:val="center"/>
              <w:rPr>
                <w:rFonts w:ascii="宋体" w:hAnsi="宋体" w:cs="宋体"/>
              </w:rPr>
            </w:pPr>
          </w:p>
        </w:tc>
        <w:tc>
          <w:tcPr>
            <w:tcW w:w="1577" w:type="dxa"/>
            <w:noWrap w:val="0"/>
            <w:vAlign w:val="center"/>
          </w:tcPr>
          <w:p>
            <w:pPr>
              <w:spacing w:line="400" w:lineRule="exact"/>
              <w:jc w:val="center"/>
              <w:rPr>
                <w:rFonts w:ascii="宋体" w:hAnsi="宋体" w:cs="宋体"/>
              </w:rPr>
            </w:pPr>
          </w:p>
        </w:tc>
        <w:tc>
          <w:tcPr>
            <w:tcW w:w="1163" w:type="dxa"/>
            <w:tcBorders>
              <w:left w:val="single" w:color="auto" w:sz="4" w:space="0"/>
            </w:tcBorders>
            <w:noWrap w:val="0"/>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noWrap w:val="0"/>
            <w:vAlign w:val="center"/>
          </w:tcPr>
          <w:p>
            <w:pPr>
              <w:spacing w:line="400" w:lineRule="exact"/>
              <w:rPr>
                <w:rFonts w:ascii="宋体" w:hAnsi="宋体" w:cs="宋体"/>
              </w:rPr>
            </w:pPr>
          </w:p>
        </w:tc>
        <w:tc>
          <w:tcPr>
            <w:tcW w:w="1602" w:type="dxa"/>
            <w:tcBorders>
              <w:left w:val="single" w:color="auto" w:sz="4" w:space="0"/>
              <w:right w:val="single" w:color="auto" w:sz="4" w:space="0"/>
            </w:tcBorders>
            <w:noWrap w:val="0"/>
            <w:vAlign w:val="center"/>
          </w:tcPr>
          <w:p>
            <w:pPr>
              <w:spacing w:line="400" w:lineRule="exact"/>
              <w:rPr>
                <w:rFonts w:ascii="宋体" w:hAnsi="宋体" w:cs="宋体"/>
              </w:rPr>
            </w:pPr>
          </w:p>
        </w:tc>
        <w:tc>
          <w:tcPr>
            <w:tcW w:w="1468" w:type="dxa"/>
            <w:tcBorders>
              <w:left w:val="single" w:color="auto" w:sz="4" w:space="0"/>
              <w:right w:val="single" w:color="auto" w:sz="4" w:space="0"/>
            </w:tcBorders>
            <w:noWrap w:val="0"/>
            <w:vAlign w:val="center"/>
          </w:tcPr>
          <w:p>
            <w:pPr>
              <w:spacing w:line="400" w:lineRule="exact"/>
              <w:rPr>
                <w:rFonts w:ascii="宋体" w:hAnsi="宋体" w:cs="宋体"/>
              </w:rPr>
            </w:pPr>
          </w:p>
        </w:tc>
        <w:tc>
          <w:tcPr>
            <w:tcW w:w="1485" w:type="dxa"/>
            <w:tcBorders>
              <w:left w:val="single" w:color="auto" w:sz="4" w:space="0"/>
              <w:right w:val="single" w:color="auto" w:sz="4" w:space="0"/>
            </w:tcBorders>
            <w:noWrap w:val="0"/>
            <w:vAlign w:val="center"/>
          </w:tcPr>
          <w:p>
            <w:pPr>
              <w:spacing w:line="400" w:lineRule="exact"/>
              <w:rPr>
                <w:rFonts w:ascii="宋体" w:hAnsi="宋体" w:cs="宋体"/>
              </w:rPr>
            </w:pPr>
          </w:p>
        </w:tc>
        <w:tc>
          <w:tcPr>
            <w:tcW w:w="1577" w:type="dxa"/>
            <w:tcBorders>
              <w:left w:val="single" w:color="auto" w:sz="4" w:space="0"/>
              <w:right w:val="single" w:color="auto" w:sz="4" w:space="0"/>
            </w:tcBorders>
            <w:noWrap w:val="0"/>
            <w:vAlign w:val="center"/>
          </w:tcPr>
          <w:p>
            <w:pPr>
              <w:spacing w:line="400" w:lineRule="exact"/>
              <w:jc w:val="center"/>
              <w:rPr>
                <w:rFonts w:ascii="宋体" w:hAnsi="宋体" w:cs="宋体"/>
              </w:rPr>
            </w:pPr>
          </w:p>
        </w:tc>
        <w:tc>
          <w:tcPr>
            <w:tcW w:w="1163" w:type="dxa"/>
            <w:tcBorders>
              <w:left w:val="single" w:color="auto" w:sz="4" w:space="0"/>
            </w:tcBorders>
            <w:noWrap w:val="0"/>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noWrap w:val="0"/>
            <w:vAlign w:val="center"/>
          </w:tcPr>
          <w:p>
            <w:pPr>
              <w:spacing w:line="400" w:lineRule="exact"/>
              <w:rPr>
                <w:rFonts w:ascii="宋体" w:hAnsi="宋体" w:cs="宋体"/>
              </w:rPr>
            </w:pPr>
          </w:p>
        </w:tc>
        <w:tc>
          <w:tcPr>
            <w:tcW w:w="1602" w:type="dxa"/>
            <w:noWrap w:val="0"/>
            <w:vAlign w:val="center"/>
          </w:tcPr>
          <w:p>
            <w:pPr>
              <w:spacing w:line="400" w:lineRule="exact"/>
              <w:rPr>
                <w:rFonts w:ascii="宋体" w:hAnsi="宋体" w:cs="宋体"/>
              </w:rPr>
            </w:pPr>
          </w:p>
        </w:tc>
        <w:tc>
          <w:tcPr>
            <w:tcW w:w="1468" w:type="dxa"/>
            <w:noWrap w:val="0"/>
            <w:vAlign w:val="center"/>
          </w:tcPr>
          <w:p>
            <w:pPr>
              <w:spacing w:line="400" w:lineRule="exact"/>
              <w:rPr>
                <w:rFonts w:ascii="宋体" w:hAnsi="宋体" w:cs="宋体"/>
              </w:rPr>
            </w:pPr>
          </w:p>
        </w:tc>
        <w:tc>
          <w:tcPr>
            <w:tcW w:w="1485" w:type="dxa"/>
            <w:noWrap w:val="0"/>
            <w:vAlign w:val="center"/>
          </w:tcPr>
          <w:p>
            <w:pPr>
              <w:spacing w:line="400" w:lineRule="exact"/>
              <w:rPr>
                <w:rFonts w:ascii="宋体" w:hAnsi="宋体" w:cs="宋体"/>
              </w:rPr>
            </w:pPr>
          </w:p>
        </w:tc>
        <w:tc>
          <w:tcPr>
            <w:tcW w:w="1577" w:type="dxa"/>
            <w:tcBorders>
              <w:right w:val="single" w:color="auto" w:sz="4" w:space="0"/>
            </w:tcBorders>
            <w:noWrap w:val="0"/>
            <w:vAlign w:val="center"/>
          </w:tcPr>
          <w:p>
            <w:pPr>
              <w:spacing w:line="400" w:lineRule="exact"/>
              <w:jc w:val="center"/>
              <w:rPr>
                <w:rFonts w:ascii="宋体" w:hAnsi="宋体" w:cs="宋体"/>
              </w:rPr>
            </w:pPr>
          </w:p>
        </w:tc>
        <w:tc>
          <w:tcPr>
            <w:tcW w:w="1163" w:type="dxa"/>
            <w:tcBorders>
              <w:left w:val="single" w:color="auto" w:sz="4" w:space="0"/>
            </w:tcBorders>
            <w:noWrap w:val="0"/>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noWrap w:val="0"/>
            <w:vAlign w:val="center"/>
          </w:tcPr>
          <w:p>
            <w:pPr>
              <w:spacing w:line="400" w:lineRule="exact"/>
              <w:jc w:val="center"/>
              <w:rPr>
                <w:rFonts w:ascii="宋体" w:hAnsi="宋体" w:cs="宋体"/>
              </w:rPr>
            </w:pPr>
          </w:p>
        </w:tc>
        <w:tc>
          <w:tcPr>
            <w:tcW w:w="1602" w:type="dxa"/>
            <w:tcBorders>
              <w:bottom w:val="single" w:color="auto" w:sz="4" w:space="0"/>
            </w:tcBorders>
            <w:noWrap w:val="0"/>
            <w:vAlign w:val="center"/>
          </w:tcPr>
          <w:p>
            <w:pPr>
              <w:spacing w:line="400" w:lineRule="exact"/>
              <w:jc w:val="center"/>
              <w:rPr>
                <w:rFonts w:ascii="宋体" w:hAnsi="宋体" w:cs="宋体"/>
              </w:rPr>
            </w:pPr>
          </w:p>
        </w:tc>
        <w:tc>
          <w:tcPr>
            <w:tcW w:w="1468" w:type="dxa"/>
            <w:tcBorders>
              <w:bottom w:val="single" w:color="auto" w:sz="4" w:space="0"/>
            </w:tcBorders>
            <w:noWrap w:val="0"/>
            <w:vAlign w:val="center"/>
          </w:tcPr>
          <w:p>
            <w:pPr>
              <w:spacing w:line="400" w:lineRule="exact"/>
              <w:jc w:val="center"/>
              <w:rPr>
                <w:rFonts w:ascii="宋体" w:hAnsi="宋体" w:cs="宋体"/>
              </w:rPr>
            </w:pPr>
          </w:p>
        </w:tc>
        <w:tc>
          <w:tcPr>
            <w:tcW w:w="1485" w:type="dxa"/>
            <w:tcBorders>
              <w:bottom w:val="single" w:color="auto" w:sz="4" w:space="0"/>
            </w:tcBorders>
            <w:noWrap w:val="0"/>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noWrap w:val="0"/>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noWrap w:val="0"/>
            <w:vAlign w:val="center"/>
          </w:tcPr>
          <w:p>
            <w:pPr>
              <w:spacing w:line="400" w:lineRule="exact"/>
              <w:jc w:val="center"/>
              <w:rPr>
                <w:rFonts w:ascii="宋体" w:hAnsi="宋体" w:cs="宋体"/>
              </w:rPr>
            </w:pPr>
          </w:p>
        </w:tc>
      </w:tr>
    </w:tbl>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3"/>
        <w:numPr>
          <w:ilvl w:val="0"/>
          <w:numId w:val="26"/>
        </w:numPr>
        <w:spacing w:before="319" w:beforeLines="100" w:after="478" w:afterLines="150" w:line="500" w:lineRule="exact"/>
        <w:jc w:val="center"/>
        <w:rPr>
          <w:rFonts w:ascii="宋体" w:hAnsi="宋体" w:cs="宋体"/>
          <w:sz w:val="36"/>
          <w:szCs w:val="36"/>
        </w:rPr>
      </w:pPr>
      <w:bookmarkStart w:id="248" w:name="_Toc19279"/>
      <w:r>
        <w:rPr>
          <w:rFonts w:hint="eastAsia" w:ascii="宋体" w:hAnsi="宋体" w:cs="宋体"/>
          <w:sz w:val="36"/>
          <w:szCs w:val="36"/>
        </w:rPr>
        <w:br w:type="page"/>
      </w:r>
      <w:bookmarkStart w:id="249" w:name="_Toc31275"/>
      <w:r>
        <w:rPr>
          <w:rFonts w:hint="eastAsia" w:ascii="宋体" w:hAnsi="宋体" w:cs="宋体"/>
          <w:sz w:val="36"/>
          <w:szCs w:val="36"/>
        </w:rPr>
        <w:t xml:space="preserve"> </w:t>
      </w:r>
      <w:bookmarkStart w:id="250" w:name="_Toc28975"/>
      <w:bookmarkStart w:id="251" w:name="_Toc7794"/>
      <w:r>
        <w:rPr>
          <w:rFonts w:hint="eastAsia" w:ascii="宋体" w:hAnsi="宋体" w:cs="宋体"/>
          <w:sz w:val="36"/>
          <w:szCs w:val="36"/>
        </w:rPr>
        <w:t>供应商认为有必要说明的其他问题</w:t>
      </w:r>
      <w:bookmarkEnd w:id="248"/>
      <w:bookmarkEnd w:id="249"/>
      <w:bookmarkEnd w:id="250"/>
      <w:bookmarkEnd w:id="251"/>
    </w:p>
    <w:p/>
    <w:p>
      <w:pPr>
        <w:pStyle w:val="10"/>
        <w:rPr>
          <w:color w:val="auto"/>
        </w:rPr>
        <w:sectPr>
          <w:pgSz w:w="11906" w:h="16838"/>
          <w:pgMar w:top="1440" w:right="1803" w:bottom="1440" w:left="1803" w:header="851" w:footer="992" w:gutter="0"/>
          <w:pgNumType w:fmt="decimal"/>
          <w:cols w:space="720" w:num="1"/>
          <w:docGrid w:type="lines" w:linePitch="319" w:charSpace="0"/>
        </w:sectPr>
      </w:pPr>
      <w:r>
        <w:rPr>
          <w:rFonts w:hint="eastAsia"/>
          <w:color w:val="auto"/>
        </w:rPr>
        <w:t>例如：投标保证金缴纳凭证</w:t>
      </w:r>
    </w:p>
    <w:bookmarkEnd w:id="242"/>
    <w:p>
      <w:pPr>
        <w:pStyle w:val="4"/>
        <w:adjustRightInd w:val="0"/>
        <w:spacing w:line="416" w:lineRule="atLeast"/>
        <w:jc w:val="center"/>
        <w:textAlignment w:val="baseline"/>
        <w:rPr>
          <w:rFonts w:ascii="宋体" w:hAnsi="宋体" w:cs="宋体"/>
        </w:rPr>
      </w:pPr>
      <w:bookmarkStart w:id="252" w:name="_Toc22177"/>
      <w:bookmarkStart w:id="253" w:name="_Toc16620"/>
      <w:r>
        <w:rPr>
          <w:rFonts w:hint="eastAsia" w:ascii="宋体" w:hAnsi="宋体" w:cs="宋体"/>
        </w:rPr>
        <w:t>附件一、封袋正面标识式样</w:t>
      </w:r>
      <w:bookmarkEnd w:id="224"/>
      <w:bookmarkEnd w:id="252"/>
      <w:bookmarkEnd w:id="253"/>
    </w:p>
    <w:p>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pPr>
        <w:spacing w:line="460" w:lineRule="exact"/>
        <w:ind w:firstLine="420" w:firstLineChars="200"/>
        <w:jc w:val="center"/>
        <w:rPr>
          <w:rFonts w:ascii="宋体" w:hAnsi="宋体" w:cs="宋体"/>
          <w:b/>
          <w:sz w:val="24"/>
        </w:rPr>
      </w:pPr>
      <w: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113030</wp:posOffset>
                </wp:positionV>
                <wp:extent cx="5861050" cy="3168015"/>
                <wp:effectExtent l="4445" t="4445" r="20955" b="8890"/>
                <wp:wrapNone/>
                <wp:docPr id="13" name="文本框 13"/>
                <wp:cNvGraphicFramePr/>
                <a:graphic xmlns:a="http://schemas.openxmlformats.org/drawingml/2006/main">
                  <a:graphicData uri="http://schemas.microsoft.com/office/word/2010/wordprocessingShape">
                    <wps:wsp>
                      <wps:cNvSpPr txBox="1"/>
                      <wps:spPr>
                        <a:xfrm>
                          <a:off x="0" y="0"/>
                          <a:ext cx="5861050" cy="31680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jc w:val="center"/>
                              <w:rPr>
                                <w:b/>
                                <w:sz w:val="44"/>
                                <w:szCs w:val="44"/>
                              </w:rPr>
                            </w:pPr>
                            <w:r>
                              <w:rPr>
                                <w:rFonts w:hint="eastAsia"/>
                                <w:b/>
                                <w:sz w:val="44"/>
                                <w:szCs w:val="44"/>
                              </w:rPr>
                              <w:t>投标文件（正本）</w:t>
                            </w:r>
                          </w:p>
                          <w:p>
                            <w:pPr>
                              <w:pStyle w:val="5"/>
                              <w:ind w:firstLine="3092" w:firstLineChars="1100"/>
                              <w:jc w:val="both"/>
                              <w:rPr>
                                <w:rFonts w:hint="default"/>
                                <w:sz w:val="28"/>
                                <w:szCs w:val="28"/>
                              </w:rPr>
                            </w:pPr>
                            <w:r>
                              <w:rPr>
                                <w:sz w:val="28"/>
                                <w:szCs w:val="28"/>
                              </w:rPr>
                              <w:t>（非开标会议不得启封）</w:t>
                            </w:r>
                          </w:p>
                          <w:p>
                            <w:pPr>
                              <w:rPr>
                                <w:sz w:val="28"/>
                                <w:szCs w:val="28"/>
                              </w:rPr>
                            </w:pP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_x0000_s1026" o:spid="_x0000_s1026" o:spt="202" type="#_x0000_t202" style="position:absolute;left:0pt;margin-left:-27.55pt;margin-top:8.9pt;height:249.45pt;width:461.5pt;z-index:251660288;mso-width-relative:page;mso-height-relative:page;" fillcolor="#FFFFFF" filled="t" stroked="t" coordsize="21600,21600" o:gfxdata="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0avSbZAAAA&#10;CgEAAA8AAAAAAAAAAQAgAAAAIgAAAGRycy9kb3ducmV2LnhtbFBLAQIUABQAAAAIAIdO4kBbxSKv&#10;HAIAAFUEAAAOAAAAAAAAAAEAIAAAACgBAABkcnMvZTJvRG9jLnhtbFBLBQYAAAAABgAGAFkBAAC2&#10;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jc w:val="center"/>
                        <w:rPr>
                          <w:b/>
                          <w:sz w:val="44"/>
                          <w:szCs w:val="44"/>
                        </w:rPr>
                      </w:pPr>
                      <w:r>
                        <w:rPr>
                          <w:rFonts w:hint="eastAsia"/>
                          <w:b/>
                          <w:sz w:val="44"/>
                          <w:szCs w:val="44"/>
                        </w:rPr>
                        <w:t>投标文件（正本）</w:t>
                      </w:r>
                    </w:p>
                    <w:p>
                      <w:pPr>
                        <w:pStyle w:val="5"/>
                        <w:ind w:firstLine="3092" w:firstLineChars="1100"/>
                        <w:jc w:val="both"/>
                        <w:rPr>
                          <w:rFonts w:hint="default"/>
                          <w:sz w:val="28"/>
                          <w:szCs w:val="28"/>
                        </w:rPr>
                      </w:pPr>
                      <w:r>
                        <w:rPr>
                          <w:sz w:val="28"/>
                          <w:szCs w:val="28"/>
                        </w:rPr>
                        <w:t>（非开标会议不得启封）</w:t>
                      </w:r>
                    </w:p>
                    <w:p>
                      <w:pPr>
                        <w:rPr>
                          <w:sz w:val="28"/>
                          <w:szCs w:val="28"/>
                        </w:rPr>
                      </w:pP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pStyle w:val="6"/>
        <w:rPr>
          <w:rFonts w:ascii="宋体" w:hAnsi="宋体" w:cs="宋体"/>
        </w:rPr>
      </w:pPr>
    </w:p>
    <w:p>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pPr>
        <w:tabs>
          <w:tab w:val="left" w:pos="8280"/>
        </w:tabs>
        <w:spacing w:line="460" w:lineRule="exact"/>
        <w:ind w:firstLine="482" w:firstLineChars="200"/>
        <w:jc w:val="center"/>
        <w:rPr>
          <w:rFonts w:ascii="宋体" w:hAnsi="宋体" w:cs="宋体"/>
          <w:b/>
          <w:sz w:val="24"/>
        </w:rPr>
      </w:pPr>
    </w:p>
    <w:p>
      <w:pPr>
        <w:ind w:firstLine="420" w:firstLineChars="200"/>
        <w:jc w:val="cente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69850</wp:posOffset>
                </wp:positionV>
                <wp:extent cx="5891530" cy="3001645"/>
                <wp:effectExtent l="4445" t="4445" r="9525" b="22860"/>
                <wp:wrapNone/>
                <wp:docPr id="7" name="文本框 7"/>
                <wp:cNvGraphicFramePr/>
                <a:graphic xmlns:a="http://schemas.openxmlformats.org/drawingml/2006/main">
                  <a:graphicData uri="http://schemas.microsoft.com/office/word/2010/wordprocessingShape">
                    <wps:wsp>
                      <wps:cNvSpPr txBox="1"/>
                      <wps:spPr>
                        <a:xfrm>
                          <a:off x="0" y="0"/>
                          <a:ext cx="5891530" cy="30016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pStyle w:val="10"/>
                              <w:ind w:firstLine="2650" w:firstLineChars="600"/>
                              <w:jc w:val="left"/>
                              <w:rPr>
                                <w:sz w:val="28"/>
                                <w:szCs w:val="28"/>
                              </w:rPr>
                            </w:pPr>
                            <w:r>
                              <w:rPr>
                                <w:rFonts w:hint="eastAsia"/>
                                <w:b/>
                                <w:color w:val="auto"/>
                                <w:sz w:val="44"/>
                                <w:szCs w:val="44"/>
                              </w:rPr>
                              <w:t>投标文件（副本）</w:t>
                            </w:r>
                          </w:p>
                          <w:p>
                            <w:pPr>
                              <w:pStyle w:val="5"/>
                              <w:ind w:firstLine="3092" w:firstLineChars="1100"/>
                              <w:rPr>
                                <w:rFonts w:hint="default"/>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Pr>
                              <w:rPr>
                                <w:sz w:val="28"/>
                                <w:szCs w:val="28"/>
                              </w:rPr>
                            </w:pPr>
                          </w:p>
                        </w:txbxContent>
                      </wps:txbx>
                      <wps:bodyPr wrap="square" upright="1"/>
                    </wps:wsp>
                  </a:graphicData>
                </a:graphic>
              </wp:anchor>
            </w:drawing>
          </mc:Choice>
          <mc:Fallback>
            <w:pict>
              <v:shape id="_x0000_s1026" o:spid="_x0000_s1026" o:spt="202" type="#_x0000_t202" style="position:absolute;left:0pt;margin-left:-24.75pt;margin-top:5.5pt;height:236.35pt;width:463.9pt;z-index:251661312;mso-width-relative:page;mso-height-relative:page;" fillcolor="#FFFFFF" filled="t" stroked="t" coordsize="21600,21600" o:gfxdata="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6sFG/ZAAAA&#10;CgEAAA8AAAAAAAAAAQAgAAAAIgAAAGRycy9kb3ducmV2LnhtbFBLAQIUABQAAAAIAIdO4kA6U0yl&#10;HAIAAFMEAAAOAAAAAAAAAAEAIAAAACgBAABkcnMvZTJvRG9jLnhtbFBLBQYAAAAABgAGAFkBAAC2&#10;BQ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pStyle w:val="10"/>
                        <w:ind w:firstLine="2650" w:firstLineChars="600"/>
                        <w:jc w:val="left"/>
                        <w:rPr>
                          <w:sz w:val="28"/>
                          <w:szCs w:val="28"/>
                        </w:rPr>
                      </w:pPr>
                      <w:r>
                        <w:rPr>
                          <w:rFonts w:hint="eastAsia"/>
                          <w:b/>
                          <w:color w:val="auto"/>
                          <w:sz w:val="44"/>
                          <w:szCs w:val="44"/>
                        </w:rPr>
                        <w:t>投标文件（副本）</w:t>
                      </w:r>
                    </w:p>
                    <w:p>
                      <w:pPr>
                        <w:pStyle w:val="5"/>
                        <w:ind w:firstLine="3092" w:firstLineChars="1100"/>
                        <w:rPr>
                          <w:rFonts w:hint="default"/>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widowControl/>
        <w:spacing w:line="460" w:lineRule="exact"/>
        <w:ind w:firstLine="480" w:firstLineChars="200"/>
        <w:jc w:val="center"/>
        <w:rPr>
          <w:rFonts w:ascii="宋体" w:hAnsi="宋体" w:cs="宋体"/>
          <w:sz w:val="24"/>
          <w:szCs w:val="28"/>
        </w:rPr>
        <w:sectPr>
          <w:footerReference r:id="rId19" w:type="default"/>
          <w:pgSz w:w="11906" w:h="16838"/>
          <w:pgMar w:top="1440" w:right="1803" w:bottom="1440" w:left="1803" w:header="851" w:footer="992" w:gutter="0"/>
          <w:pgNumType w:fmt="decimal"/>
          <w:cols w:space="720" w:num="1"/>
          <w:docGrid w:type="lines" w:linePitch="319" w:charSpace="0"/>
        </w:sectPr>
      </w:pPr>
    </w:p>
    <w:p>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pPr>
        <w:spacing w:line="460" w:lineRule="exact"/>
        <w:ind w:firstLine="420" w:firstLineChars="200"/>
        <w:jc w:val="center"/>
        <w:rPr>
          <w:rFonts w:ascii="宋体" w:hAnsi="宋体" w:cs="宋体"/>
          <w:b/>
          <w:sz w:val="24"/>
        </w:rPr>
      </w:pPr>
      <w:r>
        <mc:AlternateContent>
          <mc:Choice Requires="wps">
            <w:drawing>
              <wp:anchor distT="0" distB="0" distL="114300" distR="114300" simplePos="0" relativeHeight="251662336" behindDoc="0" locked="0" layoutInCell="1" allowOverlap="1">
                <wp:simplePos x="0" y="0"/>
                <wp:positionH relativeFrom="column">
                  <wp:posOffset>-325755</wp:posOffset>
                </wp:positionH>
                <wp:positionV relativeFrom="paragraph">
                  <wp:posOffset>191135</wp:posOffset>
                </wp:positionV>
                <wp:extent cx="5770245" cy="2898775"/>
                <wp:effectExtent l="4445" t="4445" r="16510" b="11430"/>
                <wp:wrapNone/>
                <wp:docPr id="11" name="文本框 11"/>
                <wp:cNvGraphicFramePr/>
                <a:graphic xmlns:a="http://schemas.openxmlformats.org/drawingml/2006/main">
                  <a:graphicData uri="http://schemas.microsoft.com/office/word/2010/wordprocessingShape">
                    <wps:wsp>
                      <wps:cNvSpPr txBox="1"/>
                      <wps:spPr>
                        <a:xfrm>
                          <a:off x="0" y="0"/>
                          <a:ext cx="5770245" cy="2898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pStyle w:val="5"/>
                              <w:ind w:firstLine="3092" w:firstLineChars="700"/>
                              <w:jc w:val="both"/>
                              <w:rPr>
                                <w:rFonts w:hint="default"/>
                                <w:sz w:val="28"/>
                                <w:szCs w:val="28"/>
                              </w:rPr>
                            </w:pPr>
                            <w:r>
                              <w:rPr>
                                <w:sz w:val="44"/>
                                <w:szCs w:val="44"/>
                              </w:rPr>
                              <w:t>报价一览表</w:t>
                            </w:r>
                          </w:p>
                          <w:p>
                            <w:pPr>
                              <w:pStyle w:val="5"/>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Pr>
                              <w:rPr>
                                <w:sz w:val="28"/>
                                <w:szCs w:val="28"/>
                              </w:rPr>
                            </w:pPr>
                          </w:p>
                        </w:txbxContent>
                      </wps:txbx>
                      <wps:bodyPr wrap="square" upright="1"/>
                    </wps:wsp>
                  </a:graphicData>
                </a:graphic>
              </wp:anchor>
            </w:drawing>
          </mc:Choice>
          <mc:Fallback>
            <w:pict>
              <v:shape id="_x0000_s1026" o:spid="_x0000_s1026" o:spt="202" type="#_x0000_t202" style="position:absolute;left:0pt;margin-left:-25.65pt;margin-top:15.05pt;height:228.25pt;width:454.35pt;z-index:251662336;mso-width-relative:page;mso-height-relative:page;" fillcolor="#FFFFFF" filled="t" stroked="t" coordsize="21600,21600" o:gfxdata="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3iV92gAA&#10;AAoBAAAPAAAAAAAAAAEAIAAAACIAAABkcnMvZG93bnJldi54bWxQSwECFAAUAAAACACHTuJADZF4&#10;UhwCAABVBAAADgAAAAAAAAABACAAAAApAQAAZHJzL2Uyb0RvYy54bWxQSwUGAAAAAAYABgBZAQAA&#10;tw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pStyle w:val="5"/>
                        <w:ind w:firstLine="3092" w:firstLineChars="700"/>
                        <w:jc w:val="both"/>
                        <w:rPr>
                          <w:rFonts w:hint="default"/>
                          <w:sz w:val="28"/>
                          <w:szCs w:val="28"/>
                        </w:rPr>
                      </w:pPr>
                      <w:r>
                        <w:rPr>
                          <w:sz w:val="44"/>
                          <w:szCs w:val="44"/>
                        </w:rPr>
                        <w:t>报价一览表</w:t>
                      </w:r>
                    </w:p>
                    <w:p>
                      <w:pPr>
                        <w:pStyle w:val="5"/>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Pr>
                        <w:rPr>
                          <w:sz w:val="28"/>
                          <w:szCs w:val="28"/>
                        </w:rPr>
                      </w:pP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20" w:firstLineChars="200"/>
        <w:jc w:val="center"/>
        <w:rPr>
          <w:rFonts w:ascii="宋体" w:hAnsi="宋体" w:cs="宋体"/>
          <w:b/>
          <w:sz w:val="24"/>
        </w:rPr>
      </w:pPr>
      <w:r>
        <mc:AlternateContent>
          <mc:Choice Requires="wps">
            <w:drawing>
              <wp:anchor distT="0" distB="0" distL="114300" distR="114300" simplePos="0" relativeHeight="251663360" behindDoc="0" locked="0" layoutInCell="1" allowOverlap="1">
                <wp:simplePos x="0" y="0"/>
                <wp:positionH relativeFrom="column">
                  <wp:posOffset>-331470</wp:posOffset>
                </wp:positionH>
                <wp:positionV relativeFrom="paragraph">
                  <wp:posOffset>142240</wp:posOffset>
                </wp:positionV>
                <wp:extent cx="5796280" cy="3162935"/>
                <wp:effectExtent l="4445" t="4445" r="9525" b="13970"/>
                <wp:wrapNone/>
                <wp:docPr id="10" name="文本框 10"/>
                <wp:cNvGraphicFramePr/>
                <a:graphic xmlns:a="http://schemas.openxmlformats.org/drawingml/2006/main">
                  <a:graphicData uri="http://schemas.microsoft.com/office/word/2010/wordprocessingShape">
                    <wps:wsp>
                      <wps:cNvSpPr txBox="1"/>
                      <wps:spPr>
                        <a:xfrm>
                          <a:off x="0" y="0"/>
                          <a:ext cx="5750560" cy="31629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pStyle w:val="5"/>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_x0000_s1026" o:spid="_x0000_s1026" o:spt="202" type="#_x0000_t202" style="position:absolute;left:0pt;margin-left:-26.1pt;margin-top:11.2pt;height:249.05pt;width:456.4pt;z-index:251663360;mso-width-relative:page;mso-height-relative:page;" fillcolor="#FFFFFF" filled="t" stroked="t" coordsize="21600,21600" o:gfxdata="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iTGR62gAA&#10;AAoBAAAPAAAAAAAAAAEAIAAAACIAAABkcnMvZG93bnJldi54bWxQSwECFAAUAAAACACHTuJATdmI&#10;tBwCAABVBAAADgAAAAAAAAABACAAAAApAQAAZHJzL2Uyb0RvYy54bWxQSwUGAAAAAAYABgBZAQAA&#10;twUAAAAA&#10;">
                <v:fill on="t" focussize="0,0"/>
                <v:stroke color="#000000" joinstyle="miter"/>
                <v:imagedata o:title=""/>
                <o:lock v:ext="edit" aspectratio="f"/>
                <v:textbox>
                  <w:txbxContent>
                    <w:p>
                      <w:pPr>
                        <w:rPr>
                          <w:rFonts w:hint="eastAsia" w:eastAsia="宋体"/>
                          <w:sz w:val="28"/>
                          <w:szCs w:val="28"/>
                          <w:lang w:eastAsia="zh-CN"/>
                        </w:rPr>
                      </w:pPr>
                      <w:r>
                        <w:rPr>
                          <w:rFonts w:hint="eastAsia"/>
                          <w:sz w:val="28"/>
                          <w:szCs w:val="28"/>
                        </w:rPr>
                        <w:t>致：陕西卓佲项目管理有限公司        项目编号：</w:t>
                      </w:r>
                      <w:r>
                        <w:rPr>
                          <w:rFonts w:hint="eastAsia"/>
                          <w:sz w:val="28"/>
                          <w:szCs w:val="28"/>
                          <w:lang w:eastAsia="zh-CN"/>
                        </w:rPr>
                        <w:t>ZMZB2022XHZ-192</w:t>
                      </w:r>
                    </w:p>
                    <w:p>
                      <w:pPr>
                        <w:rPr>
                          <w:rFonts w:hint="eastAsia" w:eastAsia="宋体"/>
                          <w:sz w:val="28"/>
                          <w:szCs w:val="28"/>
                          <w:lang w:eastAsia="zh-CN"/>
                        </w:rPr>
                      </w:pPr>
                      <w:r>
                        <w:rPr>
                          <w:rFonts w:hint="eastAsia"/>
                          <w:sz w:val="28"/>
                          <w:szCs w:val="28"/>
                        </w:rPr>
                        <w:t>项目名称：</w:t>
                      </w:r>
                      <w:r>
                        <w:rPr>
                          <w:rFonts w:hint="eastAsia"/>
                          <w:sz w:val="28"/>
                          <w:szCs w:val="28"/>
                          <w:lang w:eastAsia="zh-CN"/>
                        </w:rPr>
                        <w:t>西安航空职业技术学院新能源汽车技术实验室采购项目</w:t>
                      </w:r>
                    </w:p>
                    <w:p>
                      <w:pPr>
                        <w:pStyle w:val="5"/>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254" w:name="_Toc18633"/>
      <w:bookmarkStart w:id="255" w:name="_Toc20374"/>
      <w:bookmarkStart w:id="256" w:name="_Toc1641"/>
      <w:bookmarkStart w:id="257" w:name="_Toc8177"/>
      <w:bookmarkStart w:id="258" w:name="_Toc3008"/>
      <w:bookmarkStart w:id="259" w:name="_Toc20088"/>
      <w:bookmarkStart w:id="260" w:name="_Toc11632"/>
      <w:bookmarkStart w:id="261" w:name="_Toc30485"/>
      <w:bookmarkStart w:id="262" w:name="_Toc2630"/>
      <w:bookmarkStart w:id="263" w:name="_Toc27136"/>
      <w:bookmarkStart w:id="264" w:name="_Toc13028"/>
      <w:bookmarkStart w:id="265" w:name="_Toc15467"/>
      <w:bookmarkStart w:id="266" w:name="_Toc30536"/>
      <w:bookmarkStart w:id="267" w:name="_Toc30870"/>
      <w:r>
        <w:rPr>
          <w:rFonts w:hint="eastAsia" w:ascii="宋体" w:hAnsi="宋体" w:cs="宋体"/>
        </w:rPr>
        <w:t>附件二、中小企业</w:t>
      </w:r>
      <w:bookmarkEnd w:id="254"/>
      <w:bookmarkEnd w:id="255"/>
      <w:bookmarkEnd w:id="256"/>
      <w:bookmarkEnd w:id="257"/>
      <w:bookmarkEnd w:id="258"/>
      <w:bookmarkEnd w:id="259"/>
      <w:bookmarkEnd w:id="260"/>
      <w:bookmarkEnd w:id="261"/>
      <w:bookmarkEnd w:id="262"/>
      <w:r>
        <w:rPr>
          <w:rFonts w:hint="eastAsia" w:ascii="宋体" w:hAnsi="宋体" w:cs="宋体"/>
        </w:rPr>
        <w:t>声明函（货物）</w:t>
      </w:r>
      <w:bookmarkEnd w:id="263"/>
      <w:bookmarkEnd w:id="264"/>
    </w:p>
    <w:p>
      <w:pPr>
        <w:spacing w:line="360" w:lineRule="auto"/>
        <w:ind w:right="140" w:firstLine="641"/>
        <w:rPr>
          <w:rFonts w:ascii="宋体" w:hAnsi="宋体" w:cs="宋体"/>
          <w:sz w:val="24"/>
          <w:szCs w:val="24"/>
        </w:rPr>
      </w:pPr>
      <w:bookmarkStart w:id="268" w:name="_Toc6022"/>
      <w:bookmarkStart w:id="269" w:name="_Toc21117"/>
      <w:bookmarkStart w:id="270" w:name="_Toc32438"/>
      <w:bookmarkStart w:id="271" w:name="_Toc10807"/>
      <w:bookmarkStart w:id="272" w:name="_Toc5814"/>
      <w:bookmarkStart w:id="273" w:name="_Toc11896"/>
      <w:bookmarkStart w:id="274" w:name="_Toc12531"/>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0"/>
        <w:numPr>
          <w:ilvl w:val="0"/>
          <w:numId w:val="27"/>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0"/>
        <w:numPr>
          <w:ilvl w:val="0"/>
          <w:numId w:val="27"/>
        </w:numPr>
        <w:spacing w:line="360" w:lineRule="auto"/>
        <w:rPr>
          <w:rFonts w:ascii="宋体" w:hAnsi="宋体" w:cs="宋体"/>
          <w:color w:val="auto"/>
          <w:w w:val="97"/>
        </w:rPr>
      </w:pPr>
      <w:r>
        <w:rPr>
          <w:rFonts w:hint="eastAsia" w:ascii="宋体" w:hAnsi="宋体" w:cs="宋体"/>
          <w:color w:val="auto"/>
          <w:w w:val="97"/>
          <w:u w:val="single"/>
        </w:rPr>
        <w:t xml:space="preserve">    （标的名称）</w:t>
      </w:r>
      <w:r>
        <w:rPr>
          <w:rFonts w:hint="eastAsia" w:ascii="宋体" w:hAnsi="宋体" w:cs="宋体"/>
          <w:color w:val="auto"/>
          <w:w w:val="97"/>
        </w:rPr>
        <w:t xml:space="preserve"> ，属于</w:t>
      </w:r>
      <w:r>
        <w:rPr>
          <w:rFonts w:hint="eastAsia" w:ascii="宋体" w:hAnsi="宋体" w:cs="宋体"/>
          <w:color w:val="auto"/>
          <w:w w:val="97"/>
          <w:u w:val="single"/>
        </w:rPr>
        <w:t xml:space="preserve">                （采购文件中明确的所属行业）            </w:t>
      </w:r>
    </w:p>
    <w:p>
      <w:pPr>
        <w:spacing w:line="360" w:lineRule="auto"/>
        <w:rPr>
          <w:rFonts w:ascii="宋体" w:hAnsi="宋体" w:cs="宋体"/>
          <w:w w:val="97"/>
          <w:sz w:val="24"/>
          <w:szCs w:val="24"/>
          <w:u w:val="single"/>
        </w:rPr>
      </w:pP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rPr>
          <w:rFonts w:ascii="宋体" w:hAnsi="宋体" w:cs="宋体"/>
          <w:sz w:val="24"/>
          <w:szCs w:val="24"/>
        </w:rPr>
      </w:pPr>
    </w:p>
    <w:p>
      <w:pPr>
        <w:spacing w:line="360" w:lineRule="auto"/>
        <w:ind w:left="3840" w:right="1900"/>
        <w:rPr>
          <w:rFonts w:ascii="宋体" w:hAnsi="宋体" w:cs="宋体"/>
          <w:sz w:val="24"/>
          <w:szCs w:val="24"/>
        </w:rPr>
      </w:pPr>
      <w:r>
        <w:rPr>
          <w:rFonts w:hint="eastAsia" w:ascii="宋体" w:hAnsi="宋体" w:cs="宋体"/>
          <w:sz w:val="24"/>
          <w:szCs w:val="24"/>
        </w:rPr>
        <w:t>企业名称（盖章）：</w:t>
      </w:r>
    </w:p>
    <w:p>
      <w:pPr>
        <w:spacing w:line="360" w:lineRule="auto"/>
        <w:ind w:left="3840" w:right="1900"/>
        <w:rPr>
          <w:rFonts w:ascii="宋体" w:hAnsi="宋体" w:cs="宋体"/>
          <w:sz w:val="24"/>
          <w:szCs w:val="24"/>
        </w:rPr>
      </w:pPr>
      <w:r>
        <w:rPr>
          <w:rFonts w:hint="eastAsia" w:ascii="宋体" w:hAnsi="宋体" w:cs="宋体"/>
          <w:sz w:val="24"/>
          <w:szCs w:val="24"/>
        </w:rPr>
        <w:t>日期：</w:t>
      </w:r>
    </w:p>
    <w:p>
      <w:pPr>
        <w:pStyle w:val="12"/>
        <w:spacing w:line="360" w:lineRule="auto"/>
        <w:rPr>
          <w:rFonts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3"/>
        <w:keepNext w:val="0"/>
        <w:keepLines w:val="0"/>
        <w:widowControl/>
        <w:shd w:val="clear" w:color="auto" w:fill="FFFFFF"/>
        <w:spacing w:before="450" w:after="300" w:line="540" w:lineRule="atLeast"/>
        <w:jc w:val="both"/>
        <w:textAlignment w:val="baseline"/>
        <w:rPr>
          <w:rFonts w:ascii="微软雅黑" w:hAnsi="微软雅黑" w:eastAsia="微软雅黑" w:cs="微软雅黑"/>
          <w:color w:val="383940"/>
          <w:sz w:val="39"/>
          <w:szCs w:val="39"/>
          <w:shd w:val="clear" w:color="auto" w:fill="FFFFFF"/>
        </w:rPr>
        <w:sectPr>
          <w:footerReference r:id="rId20" w:type="default"/>
          <w:pgSz w:w="11906" w:h="16838"/>
          <w:pgMar w:top="1440" w:right="1803" w:bottom="1440" w:left="1803" w:header="851" w:footer="992" w:gutter="0"/>
          <w:pgNumType w:fmt="decimal"/>
          <w:cols w:space="720" w:num="1"/>
          <w:docGrid w:type="lines" w:linePitch="319" w:charSpace="0"/>
        </w:sectPr>
      </w:pPr>
    </w:p>
    <w:p>
      <w:pPr>
        <w:pStyle w:val="3"/>
        <w:keepNext w:val="0"/>
        <w:keepLines w:val="0"/>
        <w:widowControl/>
        <w:shd w:val="clear" w:color="auto" w:fill="FFFFFF"/>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17"/>
        <w:shd w:val="clear" w:color="auto" w:fill="FFFFFF"/>
        <w:spacing w:line="360" w:lineRule="auto"/>
        <w:rPr>
          <w:color w:val="000000"/>
        </w:rPr>
      </w:pPr>
      <w:r>
        <w:rPr>
          <w:rFonts w:hint="eastAsia"/>
          <w:color w:val="000000"/>
          <w:shd w:val="clear" w:color="auto" w:fill="FFFFFF"/>
        </w:rPr>
        <w:t>各省、自治区、直辖市人民政府，国务院各部委、各直属机构及有关单位：</w:t>
      </w:r>
      <w:r>
        <w:rPr>
          <w:rFonts w:hint="eastAsia"/>
          <w:color w:val="000000"/>
          <w:shd w:val="clear" w:color="auto" w:fill="FFFFFF"/>
        </w:rPr>
        <w:br w:type="textWrapping"/>
      </w: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olor w:val="000000"/>
          <w:shd w:val="clear" w:color="auto" w:fill="FFFFFF"/>
        </w:rPr>
        <w:br w:type="textWrapping"/>
      </w:r>
      <w:r>
        <w:rPr>
          <w:rFonts w:hint="eastAsia"/>
          <w:color w:val="000000"/>
          <w:shd w:val="clear" w:color="auto" w:fill="FFFFFF"/>
        </w:rPr>
        <w:t>　　　　　　　　　　　　　　　　　　　　　工业和信息化部　国家统计局</w:t>
      </w:r>
      <w:r>
        <w:rPr>
          <w:rFonts w:hint="eastAsia"/>
          <w:color w:val="000000"/>
          <w:shd w:val="clear" w:color="auto" w:fill="FFFFFF"/>
        </w:rPr>
        <w:br w:type="textWrapping"/>
      </w:r>
      <w:r>
        <w:rPr>
          <w:rFonts w:hint="eastAsia"/>
          <w:color w:val="000000"/>
          <w:shd w:val="clear" w:color="auto" w:fill="FFFFFF"/>
        </w:rPr>
        <w:t>　　　　　　　　　　　　　　　　　　　　国家发展和改革委员会　财政部</w:t>
      </w:r>
      <w:r>
        <w:rPr>
          <w:rFonts w:hint="eastAsia"/>
          <w:color w:val="000000"/>
          <w:shd w:val="clear" w:color="auto" w:fill="FFFFFF"/>
        </w:rPr>
        <w:br w:type="textWrapping"/>
      </w:r>
      <w:r>
        <w:rPr>
          <w:rFonts w:hint="eastAsia"/>
          <w:color w:val="000000"/>
          <w:shd w:val="clear" w:color="auto" w:fill="FFFFFF"/>
        </w:rPr>
        <w:t>　　　　　　　　　　　　　　　　　　　　　　　　二○一一年六月十八日</w:t>
      </w:r>
    </w:p>
    <w:p>
      <w:pPr>
        <w:pStyle w:val="17"/>
        <w:shd w:val="clear" w:color="auto" w:fill="FFFFFF"/>
        <w:rPr>
          <w:color w:val="000000"/>
        </w:rPr>
      </w:pPr>
      <w:r>
        <w:rPr>
          <w:rFonts w:hint="eastAsia"/>
          <w:color w:val="000000"/>
          <w:shd w:val="clear" w:color="auto" w:fill="FFFFFF"/>
        </w:rPr>
        <w:t> </w:t>
      </w:r>
    </w:p>
    <w:p>
      <w:pPr>
        <w:pStyle w:val="17"/>
        <w:shd w:val="clear" w:color="auto" w:fill="FFFFFF"/>
        <w:jc w:val="center"/>
        <w:rPr>
          <w:rStyle w:val="22"/>
          <w:color w:val="000000"/>
          <w:sz w:val="36"/>
          <w:szCs w:val="36"/>
          <w:shd w:val="clear" w:color="auto" w:fill="FFFFFF"/>
        </w:rPr>
      </w:pPr>
      <w:r>
        <w:rPr>
          <w:rStyle w:val="22"/>
          <w:rFonts w:hint="eastAsia"/>
          <w:color w:val="000000"/>
          <w:sz w:val="36"/>
          <w:szCs w:val="36"/>
          <w:shd w:val="clear" w:color="auto" w:fill="FFFFFF"/>
        </w:rPr>
        <w:t>中小企业划型标准规定</w:t>
      </w:r>
    </w:p>
    <w:p>
      <w:pPr>
        <w:spacing w:line="360" w:lineRule="auto"/>
        <w:rPr>
          <w:sz w:val="24"/>
          <w:szCs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四、各行业划型标准为：</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五、企业类型的划分以统计部门的统计数据为依据。</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九、本规定由工业和信息化部、国家统计局会同有关部门负责解释。</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4"/>
        <w:rPr>
          <w:rFonts w:ascii="宋体" w:hAnsi="宋体" w:cs="宋体"/>
        </w:rPr>
      </w:pPr>
      <w:bookmarkStart w:id="275" w:name="_Toc21327"/>
      <w:bookmarkStart w:id="276" w:name="_Toc4963"/>
      <w:r>
        <w:rPr>
          <w:rFonts w:hint="eastAsia" w:ascii="宋体" w:hAnsi="宋体" w:cs="宋体"/>
        </w:rPr>
        <w:t>附件三、残疾人福利性单位声明</w:t>
      </w:r>
      <w:bookmarkEnd w:id="268"/>
      <w:bookmarkEnd w:id="269"/>
      <w:bookmarkEnd w:id="270"/>
      <w:bookmarkEnd w:id="271"/>
      <w:bookmarkEnd w:id="272"/>
      <w:bookmarkEnd w:id="273"/>
      <w:bookmarkEnd w:id="274"/>
      <w:bookmarkEnd w:id="275"/>
      <w:bookmarkEnd w:id="276"/>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277" w:name="_Toc26509"/>
      <w:bookmarkStart w:id="278" w:name="_Toc3053"/>
      <w:bookmarkStart w:id="279" w:name="_Toc2723"/>
      <w:bookmarkStart w:id="280" w:name="_Toc226"/>
      <w:r>
        <w:rPr>
          <w:rFonts w:hint="eastAsia" w:ascii="宋体" w:hAnsi="宋体" w:cs="宋体"/>
        </w:rPr>
        <w:t>附件四、监狱企业证明文件</w:t>
      </w:r>
      <w:bookmarkEnd w:id="265"/>
      <w:bookmarkEnd w:id="266"/>
      <w:bookmarkEnd w:id="267"/>
      <w:bookmarkEnd w:id="277"/>
      <w:bookmarkEnd w:id="278"/>
      <w:bookmarkEnd w:id="279"/>
      <w:bookmarkEnd w:id="280"/>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281" w:name="_Toc2126"/>
      <w:bookmarkStart w:id="282" w:name="_Toc13122"/>
      <w:bookmarkStart w:id="283" w:name="_Toc3267"/>
      <w:bookmarkStart w:id="284" w:name="_Toc13539"/>
      <w:bookmarkStart w:id="285" w:name="_Toc19198"/>
      <w:bookmarkStart w:id="286" w:name="_Toc563"/>
      <w:bookmarkStart w:id="287" w:name="_Toc11969"/>
      <w:bookmarkStart w:id="288" w:name="_Toc13303"/>
      <w:r>
        <w:rPr>
          <w:rFonts w:hint="eastAsia" w:ascii="宋体" w:hAnsi="宋体" w:cs="宋体"/>
        </w:rPr>
        <w:t>附件五、“节能产品”，“环境标志产品”证明材料</w:t>
      </w:r>
      <w:bookmarkEnd w:id="281"/>
      <w:bookmarkEnd w:id="282"/>
      <w:bookmarkEnd w:id="283"/>
      <w:bookmarkEnd w:id="284"/>
      <w:bookmarkEnd w:id="285"/>
      <w:bookmarkEnd w:id="286"/>
      <w:bookmarkEnd w:id="287"/>
      <w:bookmarkEnd w:id="288"/>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3"/>
        <w:adjustRightInd w:val="0"/>
        <w:spacing w:line="416" w:lineRule="atLeast"/>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rPr>
          <w:rFonts w:ascii="宋体" w:hAnsi="宋体" w:cs="宋体"/>
        </w:rPr>
      </w:pPr>
      <w:bookmarkStart w:id="289" w:name="_Toc23799"/>
      <w:bookmarkStart w:id="290" w:name="_Toc26392"/>
      <w:bookmarkStart w:id="291" w:name="_Toc4414"/>
      <w:bookmarkStart w:id="292" w:name="_Toc19997"/>
      <w:bookmarkStart w:id="293" w:name="_Toc26351"/>
      <w:bookmarkStart w:id="294" w:name="_Toc24855"/>
      <w:bookmarkStart w:id="295" w:name="_Toc11924"/>
      <w:bookmarkStart w:id="296" w:name="_Toc10027"/>
      <w:bookmarkStart w:id="297" w:name="_Toc5338"/>
      <w:r>
        <w:rPr>
          <w:rFonts w:hint="eastAsia" w:ascii="宋体" w:hAnsi="宋体" w:cs="宋体"/>
        </w:rPr>
        <w:t>附件六、质疑函范本</w:t>
      </w:r>
      <w:bookmarkEnd w:id="289"/>
      <w:bookmarkEnd w:id="290"/>
      <w:bookmarkEnd w:id="291"/>
      <w:bookmarkEnd w:id="292"/>
      <w:bookmarkEnd w:id="293"/>
      <w:bookmarkEnd w:id="294"/>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3"/>
        <w:adjustRightInd w:val="0"/>
        <w:spacing w:line="416" w:lineRule="atLeast"/>
        <w:jc w:val="both"/>
        <w:textAlignment w:val="baseline"/>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adjustRightInd w:val="0"/>
        <w:spacing w:line="416" w:lineRule="atLeast"/>
        <w:textAlignment w:val="baseline"/>
        <w:rPr>
          <w:rFonts w:ascii="宋体" w:hAnsi="宋体" w:cs="宋体"/>
        </w:rPr>
      </w:pPr>
      <w:bookmarkStart w:id="298" w:name="_Toc23229"/>
      <w:bookmarkStart w:id="299" w:name="_Toc19897"/>
      <w:bookmarkStart w:id="300" w:name="_Toc2686"/>
      <w:bookmarkStart w:id="301" w:name="_Toc1200"/>
      <w:bookmarkStart w:id="302" w:name="_Toc21151"/>
      <w:r>
        <w:rPr>
          <w:rFonts w:hint="eastAsia" w:ascii="宋体" w:hAnsi="宋体" w:cs="宋体"/>
        </w:rPr>
        <w:t>附件七、保证金退还账户信息确认表</w:t>
      </w:r>
      <w:bookmarkEnd w:id="295"/>
      <w:bookmarkEnd w:id="296"/>
      <w:bookmarkEnd w:id="297"/>
      <w:bookmarkEnd w:id="298"/>
      <w:bookmarkEnd w:id="299"/>
      <w:bookmarkEnd w:id="300"/>
      <w:bookmarkEnd w:id="301"/>
      <w:bookmarkEnd w:id="302"/>
      <w:bookmarkStart w:id="303" w:name="_Toc378248335"/>
    </w:p>
    <w:p>
      <w:pPr>
        <w:rPr>
          <w:rFonts w:ascii="宋体" w:hAnsi="宋体" w:cs="宋体"/>
        </w:rPr>
      </w:pPr>
    </w:p>
    <w:p>
      <w:pPr>
        <w:rPr>
          <w:rFonts w:ascii="宋体" w:hAnsi="宋体" w:cs="宋体"/>
          <w:sz w:val="28"/>
          <w:szCs w:val="28"/>
        </w:rPr>
      </w:pPr>
      <w:bookmarkStart w:id="304" w:name="_Toc27416"/>
      <w:r>
        <w:rPr>
          <w:rFonts w:hint="eastAsia" w:ascii="宋体" w:hAnsi="宋体" w:cs="宋体"/>
          <w:sz w:val="28"/>
          <w:szCs w:val="28"/>
        </w:rPr>
        <w:t>项目名称：</w:t>
      </w:r>
      <w:r>
        <w:rPr>
          <w:rFonts w:hint="eastAsia" w:ascii="宋体" w:hAnsi="宋体" w:cs="宋体"/>
          <w:kern w:val="0"/>
          <w:sz w:val="24"/>
          <w:szCs w:val="24"/>
        </w:rPr>
        <w:t>_____________________________</w:t>
      </w:r>
      <w:bookmarkEnd w:id="304"/>
    </w:p>
    <w:p>
      <w:pPr>
        <w:tabs>
          <w:tab w:val="center" w:pos="4150"/>
        </w:tabs>
        <w:rPr>
          <w:rFonts w:ascii="宋体" w:hAnsi="宋体" w:cs="宋体"/>
          <w:sz w:val="28"/>
          <w:szCs w:val="28"/>
        </w:rPr>
      </w:pPr>
      <w:bookmarkStart w:id="305" w:name="_Toc14801"/>
      <w:r>
        <w:rPr>
          <w:rFonts w:hint="eastAsia" w:ascii="宋体" w:hAnsi="宋体" w:cs="宋体"/>
          <w:sz w:val="28"/>
          <w:szCs w:val="28"/>
        </w:rPr>
        <w:t>项目编号：</w:t>
      </w:r>
      <w:bookmarkEnd w:id="303"/>
      <w:r>
        <w:rPr>
          <w:rFonts w:hint="eastAsia" w:ascii="宋体" w:hAnsi="宋体" w:cs="宋体"/>
          <w:kern w:val="0"/>
          <w:sz w:val="24"/>
          <w:szCs w:val="24"/>
        </w:rPr>
        <w:t>_____________________________</w:t>
      </w:r>
      <w:bookmarkEnd w:id="305"/>
      <w:r>
        <w:rPr>
          <w:rFonts w:hint="eastAsia" w:ascii="宋体" w:hAnsi="宋体" w:cs="宋体"/>
          <w:sz w:val="28"/>
          <w:szCs w:val="28"/>
        </w:rPr>
        <w:tab/>
      </w:r>
    </w:p>
    <w:p>
      <w:pPr>
        <w:pStyle w:val="18"/>
      </w:pPr>
    </w:p>
    <w:tbl>
      <w:tblPr>
        <w:tblStyle w:val="19"/>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noWrap w:val="0"/>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noWrap w:val="0"/>
            <w:vAlign w:val="top"/>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noWrap w:val="0"/>
            <w:vAlign w:val="top"/>
          </w:tcPr>
          <w:p>
            <w:pPr>
              <w:rPr>
                <w:rFonts w:ascii="宋体" w:hAnsi="宋体" w:cs="宋体"/>
                <w:sz w:val="24"/>
                <w:szCs w:val="24"/>
              </w:rPr>
            </w:pPr>
          </w:p>
        </w:tc>
        <w:tc>
          <w:tcPr>
            <w:tcW w:w="6372" w:type="dxa"/>
            <w:gridSpan w:val="2"/>
            <w:noWrap w:val="0"/>
            <w:vAlign w:val="top"/>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noWrap w:val="0"/>
            <w:vAlign w:val="center"/>
          </w:tcPr>
          <w:p>
            <w:pPr>
              <w:rPr>
                <w:rFonts w:ascii="宋体" w:hAnsi="宋体" w:cs="宋体"/>
              </w:rPr>
            </w:pPr>
            <w:r>
              <w:rPr>
                <w:rFonts w:hint="eastAsia" w:ascii="宋体" w:hAnsi="宋体" w:cs="宋体"/>
              </w:rPr>
              <w:t>收款单位（盖章）</w:t>
            </w:r>
          </w:p>
        </w:tc>
        <w:tc>
          <w:tcPr>
            <w:tcW w:w="2370" w:type="dxa"/>
            <w:noWrap w:val="0"/>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noWrap w:val="0"/>
            <w:vAlign w:val="top"/>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noWrap w:val="0"/>
            <w:vAlign w:val="top"/>
          </w:tcPr>
          <w:p>
            <w:pPr>
              <w:rPr>
                <w:rFonts w:ascii="宋体" w:hAnsi="宋体" w:cs="宋体"/>
                <w:sz w:val="24"/>
                <w:szCs w:val="24"/>
              </w:rPr>
            </w:pPr>
          </w:p>
        </w:tc>
        <w:tc>
          <w:tcPr>
            <w:tcW w:w="2370" w:type="dxa"/>
            <w:noWrap w:val="0"/>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noWrap w:val="0"/>
            <w:vAlign w:val="top"/>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noWrap w:val="0"/>
            <w:vAlign w:val="top"/>
          </w:tcPr>
          <w:p>
            <w:pPr>
              <w:rPr>
                <w:rFonts w:ascii="宋体" w:hAnsi="宋体" w:cs="宋体"/>
                <w:sz w:val="24"/>
                <w:szCs w:val="24"/>
              </w:rPr>
            </w:pPr>
          </w:p>
        </w:tc>
        <w:tc>
          <w:tcPr>
            <w:tcW w:w="2370" w:type="dxa"/>
            <w:noWrap w:val="0"/>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noWrap w:val="0"/>
            <w:vAlign w:val="top"/>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noWrap w:val="0"/>
            <w:vAlign w:val="top"/>
          </w:tcPr>
          <w:p>
            <w:pPr>
              <w:rPr>
                <w:rFonts w:ascii="宋体" w:hAnsi="宋体" w:cs="宋体"/>
                <w:sz w:val="24"/>
                <w:szCs w:val="24"/>
              </w:rPr>
            </w:pPr>
          </w:p>
        </w:tc>
        <w:tc>
          <w:tcPr>
            <w:tcW w:w="2370" w:type="dxa"/>
            <w:noWrap w:val="0"/>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noWrap w:val="0"/>
            <w:vAlign w:val="top"/>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pPr>
        <w:jc w:val="left"/>
        <w:rPr>
          <w:rFonts w:ascii="宋体" w:hAnsi="宋体" w:cs="宋体"/>
          <w:b/>
          <w:bCs/>
          <w:spacing w:val="48"/>
          <w:sz w:val="72"/>
          <w:szCs w:val="72"/>
        </w:rPr>
      </w:pPr>
    </w:p>
    <w:p>
      <w:pPr>
        <w:rPr>
          <w:rFonts w:ascii="宋体" w:hAnsi="宋体" w:cs="宋体"/>
        </w:rPr>
      </w:pPr>
    </w:p>
    <w:p>
      <w:pPr>
        <w:jc w:val="left"/>
        <w:rPr>
          <w:rFonts w:ascii="宋体" w:hAnsi="宋体" w:cs="宋体"/>
          <w:b/>
          <w:bCs/>
          <w:spacing w:val="48"/>
          <w:sz w:val="72"/>
          <w:szCs w:val="72"/>
        </w:rPr>
      </w:pPr>
    </w:p>
    <w:p>
      <w:pPr>
        <w:rPr>
          <w:rFonts w:ascii="宋体" w:hAnsi="宋体" w:cs="宋体"/>
        </w:rPr>
      </w:pPr>
    </w:p>
    <w:p>
      <w:pPr>
        <w:rPr>
          <w:rFonts w:ascii="宋体" w:hAnsi="宋体" w:cs="宋体"/>
          <w:b/>
          <w:bCs/>
          <w:spacing w:val="48"/>
          <w:sz w:val="72"/>
          <w:szCs w:val="72"/>
        </w:rPr>
      </w:pPr>
    </w:p>
    <w:p>
      <w:pPr>
        <w:rPr>
          <w:rFonts w:ascii="宋体" w:hAnsi="宋体" w:cs="宋体"/>
        </w:rPr>
      </w:pPr>
    </w:p>
    <w:p>
      <w:pPr>
        <w:jc w:val="left"/>
        <w:rPr>
          <w:rFonts w:ascii="宋体" w:hAnsi="宋体" w:cs="宋体"/>
          <w:b/>
          <w:spacing w:val="48"/>
          <w:sz w:val="72"/>
          <w:szCs w:val="72"/>
        </w:rPr>
        <w:sectPr>
          <w:headerReference r:id="rId21" w:type="default"/>
          <w:footerReference r:id="rId22"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hAnsi="宋体" w:cs="宋体"/>
          <w:b/>
          <w:spacing w:val="48"/>
          <w:sz w:val="72"/>
          <w:szCs w:val="72"/>
        </w:rPr>
      </w:pPr>
      <w:bookmarkStart w:id="306" w:name="_Toc25994"/>
    </w:p>
    <w:p>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bookmarkEnd w:id="306"/>
    </w:p>
    <w:p>
      <w:pPr>
        <w:jc w:val="left"/>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9" w:firstLineChars="100"/>
        <w:rPr>
          <w:rFonts w:ascii="宋体" w:hAnsi="宋体" w:cs="宋体"/>
          <w:b/>
          <w:spacing w:val="48"/>
          <w:sz w:val="72"/>
          <w:szCs w:val="72"/>
        </w:rPr>
      </w:pPr>
      <w:bookmarkStart w:id="307" w:name="_Toc9946"/>
      <w:r>
        <w:rPr>
          <w:rFonts w:hint="eastAsia" w:ascii="宋体" w:hAnsi="宋体" w:cs="宋体"/>
          <w:b/>
          <w:spacing w:val="48"/>
          <w:sz w:val="72"/>
          <w:szCs w:val="72"/>
        </w:rPr>
        <w:t>专业       高效</w:t>
      </w:r>
      <w:bookmarkEnd w:id="307"/>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308" w:name="_Toc32384"/>
      <w:r>
        <w:rPr>
          <w:rFonts w:hint="eastAsia" w:ascii="宋体" w:hAnsi="宋体" w:cs="宋体"/>
          <w:b/>
          <w:sz w:val="30"/>
          <w:szCs w:val="30"/>
        </w:rPr>
        <w:t>企业名称：陕西卓佲项目管理有限公司</w:t>
      </w:r>
      <w:bookmarkEnd w:id="308"/>
    </w:p>
    <w:p>
      <w:pPr>
        <w:rPr>
          <w:rFonts w:ascii="宋体" w:hAnsi="宋体" w:cs="宋体"/>
          <w:b/>
          <w:sz w:val="30"/>
          <w:szCs w:val="30"/>
        </w:rPr>
      </w:pPr>
      <w:bookmarkStart w:id="309" w:name="_Toc25918"/>
      <w:r>
        <w:rPr>
          <w:rFonts w:hint="eastAsia" w:ascii="宋体" w:hAnsi="宋体" w:cs="宋体"/>
          <w:b/>
          <w:sz w:val="30"/>
          <w:szCs w:val="30"/>
        </w:rPr>
        <w:t>地址：西安市雁塔区科技路十号华奥大厦A座20层2002室</w:t>
      </w:r>
      <w:bookmarkEnd w:id="309"/>
    </w:p>
    <w:p>
      <w:pPr>
        <w:rPr>
          <w:rFonts w:ascii="宋体" w:hAnsi="宋体" w:cs="宋体"/>
          <w:b/>
          <w:sz w:val="30"/>
          <w:szCs w:val="30"/>
        </w:rPr>
      </w:pPr>
      <w:bookmarkStart w:id="310" w:name="_Toc26276"/>
      <w:r>
        <w:rPr>
          <w:rFonts w:hint="eastAsia" w:ascii="宋体" w:hAnsi="宋体" w:cs="宋体"/>
          <w:b/>
          <w:sz w:val="30"/>
          <w:szCs w:val="30"/>
        </w:rPr>
        <w:t>邮政编码：710065</w:t>
      </w:r>
      <w:bookmarkEnd w:id="310"/>
    </w:p>
    <w:p>
      <w:pPr>
        <w:rPr>
          <w:rFonts w:ascii="宋体" w:hAnsi="宋体" w:cs="宋体"/>
          <w:b/>
          <w:sz w:val="30"/>
          <w:szCs w:val="30"/>
        </w:rPr>
      </w:pPr>
      <w:bookmarkStart w:id="311" w:name="_Toc1409"/>
      <w:r>
        <w:rPr>
          <w:rFonts w:hint="eastAsia" w:ascii="宋体" w:hAnsi="宋体" w:cs="宋体"/>
          <w:b/>
          <w:sz w:val="30"/>
          <w:szCs w:val="30"/>
        </w:rPr>
        <w:t>电话：029-88440695</w:t>
      </w:r>
      <w:bookmarkEnd w:id="311"/>
    </w:p>
    <w:p>
      <w:pPr>
        <w:rPr>
          <w:rFonts w:ascii="宋体" w:hAnsi="宋体" w:cs="宋体"/>
        </w:rPr>
      </w:pPr>
      <w:bookmarkStart w:id="312" w:name="_Toc13292"/>
      <w:r>
        <w:rPr>
          <w:rFonts w:hint="eastAsia" w:ascii="宋体" w:hAnsi="宋体" w:cs="宋体"/>
          <w:b/>
          <w:sz w:val="30"/>
          <w:szCs w:val="30"/>
        </w:rPr>
        <w:t>传真：029-88440695</w:t>
      </w:r>
      <w:bookmarkEnd w:id="312"/>
    </w:p>
    <w:bookmarkEnd w:id="0"/>
    <w:bookmarkEnd w:id="176"/>
    <w:bookmarkEnd w:id="177"/>
    <w:p>
      <w:pPr>
        <w:rPr>
          <w:rFonts w:ascii="宋体" w:hAnsi="宋体" w:cs="宋体"/>
        </w:rPr>
      </w:pPr>
    </w:p>
    <w:p/>
    <w:sectPr>
      <w:headerReference r:id="rId23" w:type="default"/>
      <w:footerReference r:id="rId24"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阿里巴巴普惠体 R">
    <w:altName w:val="宋体"/>
    <w:panose1 w:val="00020600040101010101"/>
    <w:charset w:val="86"/>
    <w:family w:val="roman"/>
    <w:pitch w:val="default"/>
    <w:sig w:usb0="00000000" w:usb1="00000000" w:usb2="0000001E" w:usb3="00000000" w:csb0="000400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0"/>
        <w:tab w:val="right" w:pos="8420"/>
        <w:tab w:val="clear" w:pos="4153"/>
      </w:tabs>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1eK8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sLsWRY2&#10;+t7yCB3l8Xa5D5AzqRxF6ZVAd+IB05f6dN6UON5/nlPU47/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TV4rzICAABl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C723658C"/>
    <w:multiLevelType w:val="singleLevel"/>
    <w:tmpl w:val="C723658C"/>
    <w:lvl w:ilvl="0" w:tentative="0">
      <w:start w:val="1"/>
      <w:numFmt w:val="decimal"/>
      <w:suff w:val="nothing"/>
      <w:lvlText w:val="（%1）"/>
      <w:lvlJc w:val="left"/>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D13AC5B"/>
    <w:multiLevelType w:val="singleLevel"/>
    <w:tmpl w:val="DD13AC5B"/>
    <w:lvl w:ilvl="0" w:tentative="0">
      <w:start w:val="1"/>
      <w:numFmt w:val="decimal"/>
      <w:suff w:val="nothing"/>
      <w:lvlText w:val="%1、"/>
      <w:lvlJc w:val="left"/>
    </w:lvl>
  </w:abstractNum>
  <w:abstractNum w:abstractNumId="5">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6">
    <w:nsid w:val="F20ECAEB"/>
    <w:multiLevelType w:val="singleLevel"/>
    <w:tmpl w:val="F20ECAEB"/>
    <w:lvl w:ilvl="0" w:tentative="0">
      <w:start w:val="4"/>
      <w:numFmt w:val="chineseCounting"/>
      <w:suff w:val="space"/>
      <w:lvlText w:val="第%1部分"/>
      <w:lvlJc w:val="left"/>
      <w:rPr>
        <w:rFonts w:hint="eastAsia"/>
      </w:rPr>
    </w:lvl>
  </w:abstractNum>
  <w:abstractNum w:abstractNumId="7">
    <w:nsid w:val="1515093B"/>
    <w:multiLevelType w:val="singleLevel"/>
    <w:tmpl w:val="1515093B"/>
    <w:lvl w:ilvl="0" w:tentative="0">
      <w:start w:val="1"/>
      <w:numFmt w:val="chineseCounting"/>
      <w:suff w:val="nothing"/>
      <w:lvlText w:val="%1、"/>
      <w:lvlJc w:val="left"/>
      <w:rPr>
        <w:rFonts w:hint="eastAsia"/>
      </w:rPr>
    </w:lvl>
  </w:abstractNum>
  <w:abstractNum w:abstractNumId="8">
    <w:nsid w:val="19B057FC"/>
    <w:multiLevelType w:val="singleLevel"/>
    <w:tmpl w:val="19B057FC"/>
    <w:lvl w:ilvl="0" w:tentative="0">
      <w:start w:val="1"/>
      <w:numFmt w:val="decimal"/>
      <w:suff w:val="nothing"/>
      <w:lvlText w:val="%1、"/>
      <w:lvlJc w:val="left"/>
      <w:pPr>
        <w:ind w:left="140" w:firstLine="0"/>
      </w:pPr>
    </w:lvl>
  </w:abstractNum>
  <w:abstractNum w:abstractNumId="9">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0">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1">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2">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3">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4">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5">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6">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7">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8">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9">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0">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1">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2">
    <w:nsid w:val="604094DA"/>
    <w:multiLevelType w:val="singleLevel"/>
    <w:tmpl w:val="604094DA"/>
    <w:lvl w:ilvl="0" w:tentative="0">
      <w:start w:val="1"/>
      <w:numFmt w:val="decimal"/>
      <w:suff w:val="space"/>
      <w:lvlText w:val="%1."/>
      <w:lvlJc w:val="left"/>
    </w:lvl>
  </w:abstractNum>
  <w:abstractNum w:abstractNumId="23">
    <w:nsid w:val="61F7CCE3"/>
    <w:multiLevelType w:val="singleLevel"/>
    <w:tmpl w:val="61F7CCE3"/>
    <w:lvl w:ilvl="0" w:tentative="0">
      <w:start w:val="2"/>
      <w:numFmt w:val="chineseCounting"/>
      <w:suff w:val="space"/>
      <w:lvlText w:val="第%1部分"/>
      <w:lvlJc w:val="left"/>
      <w:rPr>
        <w:rFonts w:hint="eastAsia"/>
      </w:rPr>
    </w:lvl>
  </w:abstractNum>
  <w:abstractNum w:abstractNumId="24">
    <w:nsid w:val="64402E50"/>
    <w:multiLevelType w:val="singleLevel"/>
    <w:tmpl w:val="64402E50"/>
    <w:lvl w:ilvl="0" w:tentative="0">
      <w:start w:val="8"/>
      <w:numFmt w:val="chineseCounting"/>
      <w:suff w:val="space"/>
      <w:lvlText w:val="第%1部分"/>
      <w:lvlJc w:val="left"/>
      <w:rPr>
        <w:rFonts w:hint="eastAsia"/>
      </w:rPr>
    </w:lvl>
  </w:abstractNum>
  <w:abstractNum w:abstractNumId="25">
    <w:nsid w:val="73C392C8"/>
    <w:multiLevelType w:val="singleLevel"/>
    <w:tmpl w:val="73C392C8"/>
    <w:lvl w:ilvl="0" w:tentative="0">
      <w:start w:val="1"/>
      <w:numFmt w:val="decimal"/>
      <w:suff w:val="nothing"/>
      <w:lvlText w:val="（%1）"/>
      <w:lvlJc w:val="left"/>
    </w:lvl>
  </w:abstractNum>
  <w:abstractNum w:abstractNumId="26">
    <w:nsid w:val="744D776A"/>
    <w:multiLevelType w:val="singleLevel"/>
    <w:tmpl w:val="744D776A"/>
    <w:lvl w:ilvl="0" w:tentative="0">
      <w:start w:val="2"/>
      <w:numFmt w:val="decimal"/>
      <w:suff w:val="nothing"/>
      <w:lvlText w:val="%1、"/>
      <w:lvlJc w:val="left"/>
    </w:lvl>
  </w:abstractNum>
  <w:num w:numId="1">
    <w:abstractNumId w:val="2"/>
  </w:num>
  <w:num w:numId="2">
    <w:abstractNumId w:val="3"/>
  </w:num>
  <w:num w:numId="3">
    <w:abstractNumId w:val="25"/>
  </w:num>
  <w:num w:numId="4">
    <w:abstractNumId w:val="20"/>
  </w:num>
  <w:num w:numId="5">
    <w:abstractNumId w:val="26"/>
  </w:num>
  <w:num w:numId="6">
    <w:abstractNumId w:val="21"/>
  </w:num>
  <w:num w:numId="7">
    <w:abstractNumId w:val="5"/>
  </w:num>
  <w:num w:numId="8">
    <w:abstractNumId w:val="0"/>
  </w:num>
  <w:num w:numId="9">
    <w:abstractNumId w:val="12"/>
  </w:num>
  <w:num w:numId="10">
    <w:abstractNumId w:val="10"/>
  </w:num>
  <w:num w:numId="11">
    <w:abstractNumId w:val="1"/>
  </w:num>
  <w:num w:numId="12">
    <w:abstractNumId w:val="16"/>
  </w:num>
  <w:num w:numId="13">
    <w:abstractNumId w:val="17"/>
  </w:num>
  <w:num w:numId="14">
    <w:abstractNumId w:val="13"/>
  </w:num>
  <w:num w:numId="15">
    <w:abstractNumId w:val="18"/>
  </w:num>
  <w:num w:numId="16">
    <w:abstractNumId w:val="11"/>
  </w:num>
  <w:num w:numId="17">
    <w:abstractNumId w:val="14"/>
  </w:num>
  <w:num w:numId="18">
    <w:abstractNumId w:val="15"/>
  </w:num>
  <w:num w:numId="19">
    <w:abstractNumId w:val="19"/>
  </w:num>
  <w:num w:numId="20">
    <w:abstractNumId w:val="6"/>
  </w:num>
  <w:num w:numId="21">
    <w:abstractNumId w:val="4"/>
  </w:num>
  <w:num w:numId="22">
    <w:abstractNumId w:val="7"/>
  </w:num>
  <w:num w:numId="23">
    <w:abstractNumId w:val="23"/>
  </w:num>
  <w:num w:numId="24">
    <w:abstractNumId w:val="8"/>
  </w:num>
  <w:num w:numId="25">
    <w:abstractNumId w:val="9"/>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00000000"/>
    <w:rsid w:val="012B53ED"/>
    <w:rsid w:val="019B1B31"/>
    <w:rsid w:val="10155097"/>
    <w:rsid w:val="10300050"/>
    <w:rsid w:val="10D629DA"/>
    <w:rsid w:val="14147491"/>
    <w:rsid w:val="14291E2B"/>
    <w:rsid w:val="15EA64E1"/>
    <w:rsid w:val="170E4E4D"/>
    <w:rsid w:val="19B169CA"/>
    <w:rsid w:val="1D67132D"/>
    <w:rsid w:val="1DC54940"/>
    <w:rsid w:val="2C5766F8"/>
    <w:rsid w:val="2FFE4FF8"/>
    <w:rsid w:val="30132170"/>
    <w:rsid w:val="33386686"/>
    <w:rsid w:val="348F691E"/>
    <w:rsid w:val="3A08780F"/>
    <w:rsid w:val="45712395"/>
    <w:rsid w:val="4D4C48B0"/>
    <w:rsid w:val="4F486410"/>
    <w:rsid w:val="57B86FB7"/>
    <w:rsid w:val="5A0A173D"/>
    <w:rsid w:val="5A2871C3"/>
    <w:rsid w:val="5DC920C8"/>
    <w:rsid w:val="66A15115"/>
    <w:rsid w:val="66FB4280"/>
    <w:rsid w:val="678B21FE"/>
    <w:rsid w:val="74942A15"/>
    <w:rsid w:val="75EF275A"/>
    <w:rsid w:val="7E28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b/>
      <w:kern w:val="44"/>
      <w:sz w:val="32"/>
      <w:szCs w:val="20"/>
    </w:rPr>
  </w:style>
  <w:style w:type="paragraph" w:styleId="3">
    <w:name w:val="heading 2"/>
    <w:basedOn w:val="1"/>
    <w:next w:val="1"/>
    <w:qFormat/>
    <w:uiPriority w:val="0"/>
    <w:pPr>
      <w:keepNext/>
      <w:keepLines/>
      <w:spacing w:line="413" w:lineRule="auto"/>
      <w:jc w:val="left"/>
      <w:outlineLvl w:val="1"/>
    </w:pPr>
    <w:rPr>
      <w:rFonts w:ascii="Arial" w:hAnsi="Arial"/>
      <w:b/>
      <w:sz w:val="28"/>
    </w:rPr>
  </w:style>
  <w:style w:type="paragraph" w:styleId="4">
    <w:name w:val="heading 3"/>
    <w:basedOn w:val="1"/>
    <w:next w:val="1"/>
    <w:qFormat/>
    <w:uiPriority w:val="0"/>
    <w:pPr>
      <w:keepNext/>
      <w:keepLines/>
      <w:spacing w:line="413" w:lineRule="auto"/>
      <w:outlineLvl w:val="2"/>
    </w:pPr>
    <w:rPr>
      <w:b/>
      <w:sz w:val="28"/>
    </w:rPr>
  </w:style>
  <w:style w:type="paragraph" w:styleId="5">
    <w:name w:val="heading 4"/>
    <w:basedOn w:val="1"/>
    <w:next w:val="1"/>
    <w:qFormat/>
    <w:uiPriority w:val="0"/>
    <w:pPr>
      <w:keepNext/>
      <w:keepLines/>
      <w:jc w:val="left"/>
      <w:outlineLvl w:val="3"/>
    </w:pPr>
    <w:rPr>
      <w:rFonts w:hint="eastAsia" w:ascii="Arial" w:hAnsi="Arial"/>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First Indent 2"/>
    <w:basedOn w:val="8"/>
    <w:unhideWhenUsed/>
    <w:qFormat/>
    <w:uiPriority w:val="0"/>
    <w:pPr>
      <w:ind w:firstLine="420" w:firstLineChars="200"/>
    </w:pPr>
    <w:rPr>
      <w:szCs w:val="20"/>
    </w:rPr>
  </w:style>
  <w:style w:type="paragraph" w:styleId="8">
    <w:name w:val="Body Text Indent"/>
    <w:basedOn w:val="1"/>
    <w:qFormat/>
    <w:uiPriority w:val="0"/>
    <w:pPr>
      <w:ind w:left="420" w:leftChars="200"/>
    </w:pPr>
  </w:style>
  <w:style w:type="paragraph" w:styleId="9">
    <w:name w:val="annotation text"/>
    <w:basedOn w:val="1"/>
    <w:qFormat/>
    <w:uiPriority w:val="0"/>
    <w:pPr>
      <w:jc w:val="left"/>
    </w:pPr>
    <w:rPr>
      <w:rFonts w:ascii="宋体" w:hAnsi="Calibri"/>
      <w:kern w:val="0"/>
      <w:sz w:val="34"/>
    </w:rPr>
  </w:style>
  <w:style w:type="paragraph" w:styleId="10">
    <w:name w:val="Body Text"/>
    <w:basedOn w:val="1"/>
    <w:next w:val="1"/>
    <w:qFormat/>
    <w:uiPriority w:val="0"/>
    <w:rPr>
      <w:color w:val="993300"/>
      <w:kern w:val="0"/>
      <w:sz w:val="24"/>
      <w:szCs w:val="24"/>
    </w:rPr>
  </w:style>
  <w:style w:type="paragraph" w:styleId="11">
    <w:name w:val="toc 3"/>
    <w:basedOn w:val="1"/>
    <w:next w:val="1"/>
    <w:qFormat/>
    <w:uiPriority w:val="0"/>
    <w:pPr>
      <w:ind w:left="840" w:leftChars="400"/>
    </w:pPr>
  </w:style>
  <w:style w:type="paragraph" w:styleId="12">
    <w:name w:val="Plain Text"/>
    <w:basedOn w:val="1"/>
    <w:qFormat/>
    <w:uiPriority w:val="0"/>
    <w:pPr>
      <w:spacing w:line="324" w:lineRule="auto"/>
    </w:pPr>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0"/>
    <w:pPr>
      <w:jc w:val="center"/>
    </w:pPr>
    <w:rPr>
      <w:b/>
      <w:spacing w:val="-20"/>
      <w:w w:val="130"/>
      <w:sz w:val="48"/>
      <w:szCs w:val="2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0"/>
    <w:next w:val="1"/>
    <w:qFormat/>
    <w:uiPriority w:val="0"/>
    <w:rPr>
      <w:rFonts w:hAnsi="宋体"/>
      <w:sz w:val="18"/>
      <w:szCs w:val="18"/>
    </w:rPr>
  </w:style>
  <w:style w:type="table" w:styleId="20">
    <w:name w:val="Table Grid"/>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sz w:val="24"/>
      <w:szCs w:val="24"/>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4">
    <w:name w:val="List Paragraph"/>
    <w:basedOn w:val="1"/>
    <w:qFormat/>
    <w:uiPriority w:val="99"/>
    <w:pPr>
      <w:ind w:firstLine="420" w:firstLineChars="200"/>
    </w:pPr>
  </w:style>
  <w:style w:type="paragraph" w:customStyle="1" w:styleId="25">
    <w:name w:val="表格CXH"/>
    <w:basedOn w:val="1"/>
    <w:qFormat/>
    <w:uiPriority w:val="0"/>
    <w:pPr>
      <w:widowControl/>
      <w:snapToGrid w:val="0"/>
      <w:jc w:val="left"/>
    </w:pPr>
    <w:rPr>
      <w:rFonts w:ascii="等线" w:hAnsi="等线" w:eastAsia="阿里巴巴普惠体 R" w:cs="Times New Roman"/>
    </w:rPr>
  </w:style>
  <w:style w:type="paragraph" w:customStyle="1" w:styleId="26">
    <w:name w:val="Char Char4 Char Char Char Char"/>
    <w:basedOn w:val="1"/>
    <w:qFormat/>
    <w:uiPriority w:val="0"/>
    <w:pPr>
      <w:spacing w:line="440" w:lineRule="atLeast"/>
      <w:ind w:firstLine="482" w:firstLineChars="200"/>
    </w:pPr>
    <w:rPr>
      <w:rFonts w:ascii="宋体" w:hAnsi="宋体"/>
      <w:b/>
      <w:color w:val="000000"/>
    </w:rPr>
  </w:style>
  <w:style w:type="paragraph" w:customStyle="1" w:styleId="27">
    <w:name w:val="无间隔11"/>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31493</Words>
  <Characters>34267</Characters>
  <Lines>0</Lines>
  <Paragraphs>0</Paragraphs>
  <TotalTime>15</TotalTime>
  <ScaleCrop>false</ScaleCrop>
  <LinksUpToDate>false</LinksUpToDate>
  <CharactersWithSpaces>36163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2022-07-12T14:52:00Z</dcterms:created>
  <dc:creator>Administrator</dc:creator>
  <cp:lastModifiedBy>じ☆veSunny</cp:lastModifiedBy>
  <dcterms:modified xsi:type="dcterms:W3CDTF">2022-07-28T03:04:19Z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5B41CFFB090D42D2AEF9A5C63CA8C459</vt:lpwstr>
  </property>
</Properties>
</file>