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spacing w:line="360" w:lineRule="auto"/>
        <w:ind w:firstLine="2570" w:firstLineChars="800"/>
        <w:rPr>
          <w:rFonts w:hAnsi="宋体" w:cs="宋体"/>
          <w:b/>
          <w:sz w:val="32"/>
          <w:szCs w:val="32"/>
        </w:rPr>
      </w:pPr>
      <w:r>
        <w:rPr>
          <w:rFonts w:hint="eastAsia" w:hAnsi="宋体" w:cs="宋体"/>
          <w:b/>
          <w:sz w:val="32"/>
          <w:szCs w:val="32"/>
        </w:rPr>
        <w:t>项目编号：</w:t>
      </w:r>
      <w:r>
        <w:rPr>
          <w:rFonts w:hAnsi="宋体" w:cs="宋体"/>
          <w:b/>
          <w:sz w:val="32"/>
          <w:szCs w:val="32"/>
        </w:rPr>
        <w:t>SCIT-ZG-SX2022070006</w:t>
      </w:r>
    </w:p>
    <w:p>
      <w:pPr>
        <w:pStyle w:val="11"/>
        <w:spacing w:line="360" w:lineRule="auto"/>
        <w:rPr>
          <w:rFonts w:hAnsi="宋体" w:cs="宋体"/>
          <w:b/>
          <w:bCs/>
          <w:sz w:val="52"/>
          <w:szCs w:val="72"/>
        </w:rPr>
      </w:pPr>
    </w:p>
    <w:p>
      <w:pPr>
        <w:pStyle w:val="11"/>
        <w:spacing w:line="360" w:lineRule="auto"/>
        <w:jc w:val="center"/>
        <w:rPr>
          <w:rFonts w:hAnsi="宋体" w:cs="宋体"/>
          <w:sz w:val="21"/>
        </w:rPr>
      </w:pPr>
      <w:r>
        <w:rPr>
          <w:rFonts w:hint="eastAsia" w:hAnsi="宋体" w:cs="宋体"/>
          <w:b/>
          <w:bCs/>
          <w:sz w:val="52"/>
          <w:szCs w:val="72"/>
        </w:rPr>
        <w:t>西安建筑科技大学制冷型红外探测器采购项目</w:t>
      </w:r>
    </w:p>
    <w:p>
      <w:pPr>
        <w:pStyle w:val="11"/>
        <w:spacing w:line="360" w:lineRule="auto"/>
        <w:rPr>
          <w:rFonts w:hAnsi="宋体" w:cs="宋体"/>
          <w:sz w:val="21"/>
        </w:rPr>
      </w:pPr>
    </w:p>
    <w:p>
      <w:pPr>
        <w:pStyle w:val="11"/>
        <w:spacing w:line="360" w:lineRule="auto"/>
        <w:rPr>
          <w:rFonts w:hAnsi="宋体" w:cs="宋体"/>
        </w:rPr>
      </w:pPr>
    </w:p>
    <w:p>
      <w:pPr>
        <w:spacing w:line="360" w:lineRule="auto"/>
        <w:jc w:val="center"/>
        <w:rPr>
          <w:rFonts w:hAnsi="宋体" w:cs="宋体"/>
          <w:b/>
          <w:color w:val="auto"/>
          <w:sz w:val="52"/>
          <w:szCs w:val="52"/>
        </w:rPr>
      </w:pPr>
      <w:r>
        <w:rPr>
          <w:rFonts w:hint="eastAsia" w:hAnsi="宋体" w:cs="宋体"/>
          <w:b/>
          <w:color w:val="auto"/>
          <w:sz w:val="52"/>
          <w:szCs w:val="52"/>
        </w:rPr>
        <w:t>招</w:t>
      </w:r>
    </w:p>
    <w:p>
      <w:pPr>
        <w:spacing w:line="360" w:lineRule="auto"/>
        <w:jc w:val="center"/>
        <w:rPr>
          <w:rFonts w:hAnsi="宋体" w:cs="宋体"/>
          <w:b/>
          <w:color w:val="auto"/>
          <w:sz w:val="52"/>
          <w:szCs w:val="52"/>
        </w:rPr>
      </w:pPr>
      <w:r>
        <w:rPr>
          <w:rFonts w:hint="eastAsia" w:hAnsi="宋体" w:cs="宋体"/>
          <w:b/>
          <w:color w:val="auto"/>
          <w:sz w:val="52"/>
          <w:szCs w:val="52"/>
        </w:rPr>
        <w:t>标</w:t>
      </w:r>
    </w:p>
    <w:p>
      <w:pPr>
        <w:spacing w:line="360" w:lineRule="auto"/>
        <w:jc w:val="center"/>
        <w:rPr>
          <w:rFonts w:hAnsi="宋体" w:cs="宋体"/>
          <w:b/>
          <w:color w:val="auto"/>
          <w:sz w:val="52"/>
          <w:szCs w:val="52"/>
        </w:rPr>
      </w:pPr>
      <w:r>
        <w:rPr>
          <w:rFonts w:hint="eastAsia" w:hAnsi="宋体" w:cs="宋体"/>
          <w:b/>
          <w:color w:val="auto"/>
          <w:sz w:val="52"/>
          <w:szCs w:val="52"/>
        </w:rPr>
        <w:t>文</w:t>
      </w:r>
    </w:p>
    <w:p>
      <w:pPr>
        <w:spacing w:line="360" w:lineRule="auto"/>
        <w:jc w:val="center"/>
        <w:rPr>
          <w:rFonts w:hAnsi="宋体" w:cs="宋体"/>
          <w:b/>
          <w:color w:val="auto"/>
          <w:sz w:val="72"/>
          <w:szCs w:val="72"/>
        </w:rPr>
      </w:pPr>
      <w:r>
        <w:rPr>
          <w:rFonts w:hint="eastAsia" w:hAnsi="宋体" w:cs="宋体"/>
          <w:b/>
          <w:color w:val="auto"/>
          <w:sz w:val="52"/>
          <w:szCs w:val="52"/>
        </w:rPr>
        <w:t>件</w:t>
      </w:r>
    </w:p>
    <w:p>
      <w:pPr>
        <w:spacing w:line="360" w:lineRule="auto"/>
        <w:rPr>
          <w:rFonts w:hAnsi="宋体" w:cs="宋体"/>
          <w:b/>
          <w:color w:val="auto"/>
          <w:sz w:val="32"/>
          <w:szCs w:val="32"/>
        </w:rPr>
      </w:pPr>
    </w:p>
    <w:p>
      <w:pPr>
        <w:pStyle w:val="11"/>
        <w:spacing w:line="360" w:lineRule="auto"/>
        <w:rPr>
          <w:rFonts w:hAnsi="宋体" w:cs="宋体"/>
          <w:b/>
          <w:sz w:val="32"/>
          <w:szCs w:val="32"/>
        </w:rPr>
      </w:pPr>
    </w:p>
    <w:p>
      <w:pPr>
        <w:pStyle w:val="11"/>
        <w:spacing w:line="360" w:lineRule="auto"/>
        <w:rPr>
          <w:rFonts w:hAnsi="宋体" w:cs="宋体"/>
          <w:b/>
          <w:sz w:val="32"/>
          <w:szCs w:val="32"/>
        </w:rPr>
      </w:pPr>
    </w:p>
    <w:p>
      <w:pPr>
        <w:spacing w:line="360" w:lineRule="auto"/>
        <w:jc w:val="center"/>
        <w:rPr>
          <w:rFonts w:hAnsi="宋体" w:cs="宋体"/>
          <w:b/>
          <w:color w:val="auto"/>
          <w:sz w:val="32"/>
          <w:szCs w:val="32"/>
        </w:rPr>
      </w:pPr>
      <w:bookmarkStart w:id="0" w:name="_Toc3944"/>
      <w:r>
        <w:rPr>
          <w:rFonts w:hint="eastAsia" w:hAnsi="宋体" w:cs="宋体"/>
          <w:b/>
          <w:color w:val="auto"/>
          <w:sz w:val="32"/>
          <w:szCs w:val="32"/>
        </w:rPr>
        <w:t>中国·陕西</w:t>
      </w:r>
    </w:p>
    <w:p>
      <w:pPr>
        <w:spacing w:line="360" w:lineRule="auto"/>
        <w:jc w:val="center"/>
        <w:rPr>
          <w:rFonts w:hAnsi="宋体" w:cs="宋体"/>
          <w:b/>
          <w:color w:val="auto"/>
          <w:sz w:val="32"/>
          <w:szCs w:val="32"/>
        </w:rPr>
      </w:pPr>
      <w:r>
        <w:rPr>
          <w:rFonts w:hint="eastAsia" w:hAnsi="宋体" w:cs="宋体"/>
          <w:b/>
          <w:color w:val="auto"/>
          <w:sz w:val="32"/>
          <w:szCs w:val="32"/>
        </w:rPr>
        <w:t>四川国际招标有限责任公司</w:t>
      </w:r>
    </w:p>
    <w:p>
      <w:pPr>
        <w:jc w:val="center"/>
      </w:pPr>
      <w:r>
        <w:rPr>
          <w:rFonts w:hint="eastAsia" w:hAnsi="宋体" w:cs="宋体"/>
          <w:b/>
          <w:color w:val="auto"/>
          <w:sz w:val="32"/>
          <w:szCs w:val="32"/>
        </w:rPr>
        <w:t>202</w:t>
      </w:r>
      <w:r>
        <w:rPr>
          <w:rFonts w:hAnsi="宋体" w:cs="宋体"/>
          <w:b/>
          <w:color w:val="auto"/>
          <w:sz w:val="32"/>
          <w:szCs w:val="32"/>
        </w:rPr>
        <w:t>2</w:t>
      </w:r>
      <w:r>
        <w:rPr>
          <w:rFonts w:hint="eastAsia" w:hAnsi="宋体" w:cs="宋体"/>
          <w:b/>
          <w:color w:val="auto"/>
          <w:sz w:val="32"/>
          <w:szCs w:val="32"/>
        </w:rPr>
        <w:t>年</w:t>
      </w:r>
      <w:r>
        <w:rPr>
          <w:rFonts w:hAnsi="宋体" w:cs="宋体"/>
          <w:b/>
          <w:color w:val="auto"/>
          <w:sz w:val="32"/>
          <w:szCs w:val="32"/>
        </w:rPr>
        <w:t>07</w:t>
      </w:r>
      <w:r>
        <w:rPr>
          <w:rFonts w:hint="eastAsia" w:hAnsi="宋体" w:cs="宋体"/>
          <w:b/>
          <w:color w:val="auto"/>
          <w:sz w:val="32"/>
          <w:szCs w:val="32"/>
        </w:rPr>
        <w:t>月</w:t>
      </w:r>
      <w:r>
        <w:rPr>
          <w:rFonts w:hint="eastAsia"/>
        </w:rPr>
        <w:br w:type="page"/>
      </w:r>
      <w:r>
        <w:rPr>
          <w:rFonts w:hint="eastAsia"/>
          <w:b/>
          <w:sz w:val="32"/>
        </w:rPr>
        <w:t>目录</w:t>
      </w:r>
    </w:p>
    <w:p>
      <w:pPr>
        <w:pStyle w:val="22"/>
        <w:tabs>
          <w:tab w:val="right" w:leader="dot" w:pos="8959"/>
        </w:tabs>
        <w:spacing w:line="360" w:lineRule="auto"/>
        <w:rPr>
          <w:rFonts w:hAnsi="宋体" w:cs="宋体"/>
          <w:color w:val="auto"/>
          <w:spacing w:val="-4"/>
          <w:sz w:val="28"/>
          <w:szCs w:val="28"/>
        </w:rPr>
      </w:pPr>
      <w:r>
        <w:rPr>
          <w:rFonts w:hint="eastAsia" w:hAnsi="宋体" w:cs="宋体"/>
          <w:color w:val="auto"/>
          <w:kern w:val="2"/>
          <w:sz w:val="28"/>
          <w:szCs w:val="28"/>
        </w:rPr>
        <w:fldChar w:fldCharType="begin"/>
      </w:r>
      <w:r>
        <w:rPr>
          <w:rFonts w:hint="eastAsia" w:hAnsi="宋体" w:cs="宋体"/>
          <w:color w:val="auto"/>
          <w:kern w:val="2"/>
          <w:sz w:val="28"/>
          <w:szCs w:val="28"/>
        </w:rPr>
        <w:instrText xml:space="preserve">TOC \o "1-1" \h \u </w:instrText>
      </w:r>
      <w:r>
        <w:rPr>
          <w:rFonts w:hint="eastAsia" w:hAnsi="宋体" w:cs="宋体"/>
          <w:color w:val="auto"/>
          <w:kern w:val="2"/>
          <w:sz w:val="28"/>
          <w:szCs w:val="28"/>
        </w:rPr>
        <w:fldChar w:fldCharType="separate"/>
      </w:r>
      <w:r>
        <w:fldChar w:fldCharType="begin"/>
      </w:r>
      <w:r>
        <w:instrText xml:space="preserve"> HYPERLINK \l "_Toc12243" </w:instrText>
      </w:r>
      <w:r>
        <w:fldChar w:fldCharType="separate"/>
      </w:r>
      <w:r>
        <w:rPr>
          <w:rFonts w:hint="eastAsia" w:hAnsi="宋体" w:cs="宋体"/>
          <w:color w:val="auto"/>
          <w:spacing w:val="-4"/>
          <w:sz w:val="28"/>
          <w:szCs w:val="28"/>
        </w:rPr>
        <w:t>第一章 投标邀请</w:t>
      </w:r>
      <w:r>
        <w:rPr>
          <w:rFonts w:hint="eastAsia" w:hAnsi="宋体" w:cs="宋体"/>
          <w:color w:val="auto"/>
          <w:spacing w:val="-4"/>
          <w:sz w:val="28"/>
          <w:szCs w:val="28"/>
        </w:rPr>
        <w:tab/>
      </w:r>
      <w:r>
        <w:rPr>
          <w:rFonts w:hint="eastAsia" w:hAnsi="宋体" w:cs="宋体"/>
          <w:color w:val="auto"/>
          <w:spacing w:val="-4"/>
          <w:sz w:val="28"/>
          <w:szCs w:val="28"/>
        </w:rPr>
        <w:fldChar w:fldCharType="begin"/>
      </w:r>
      <w:r>
        <w:rPr>
          <w:rFonts w:hint="eastAsia" w:hAnsi="宋体" w:cs="宋体"/>
          <w:color w:val="auto"/>
          <w:spacing w:val="-4"/>
          <w:sz w:val="28"/>
          <w:szCs w:val="28"/>
        </w:rPr>
        <w:instrText xml:space="preserve"> PAGEREF _Toc12243 </w:instrText>
      </w:r>
      <w:r>
        <w:rPr>
          <w:rFonts w:hint="eastAsia" w:hAnsi="宋体" w:cs="宋体"/>
          <w:color w:val="auto"/>
          <w:spacing w:val="-4"/>
          <w:sz w:val="28"/>
          <w:szCs w:val="28"/>
        </w:rPr>
        <w:fldChar w:fldCharType="separate"/>
      </w:r>
      <w:r>
        <w:rPr>
          <w:rFonts w:hAnsi="宋体" w:cs="宋体"/>
          <w:color w:val="auto"/>
          <w:spacing w:val="-4"/>
          <w:sz w:val="28"/>
          <w:szCs w:val="28"/>
        </w:rPr>
        <w:t>3</w:t>
      </w:r>
      <w:r>
        <w:rPr>
          <w:rFonts w:hint="eastAsia" w:hAnsi="宋体" w:cs="宋体"/>
          <w:color w:val="auto"/>
          <w:spacing w:val="-4"/>
          <w:sz w:val="28"/>
          <w:szCs w:val="28"/>
        </w:rPr>
        <w:fldChar w:fldCharType="end"/>
      </w:r>
      <w:r>
        <w:rPr>
          <w:rFonts w:hint="eastAsia" w:hAnsi="宋体" w:cs="宋体"/>
          <w:color w:val="auto"/>
          <w:spacing w:val="-4"/>
          <w:sz w:val="28"/>
          <w:szCs w:val="28"/>
        </w:rPr>
        <w:fldChar w:fldCharType="end"/>
      </w:r>
    </w:p>
    <w:p>
      <w:pPr>
        <w:pStyle w:val="22"/>
        <w:tabs>
          <w:tab w:val="right" w:leader="dot" w:pos="8959"/>
        </w:tabs>
        <w:spacing w:line="360" w:lineRule="auto"/>
        <w:rPr>
          <w:rFonts w:hAnsi="宋体" w:cs="宋体"/>
          <w:color w:val="auto"/>
          <w:spacing w:val="-4"/>
          <w:sz w:val="28"/>
          <w:szCs w:val="28"/>
        </w:rPr>
      </w:pPr>
      <w:r>
        <w:fldChar w:fldCharType="begin"/>
      </w:r>
      <w:r>
        <w:instrText xml:space="preserve"> HYPERLINK \l "_Toc17487" </w:instrText>
      </w:r>
      <w:r>
        <w:fldChar w:fldCharType="separate"/>
      </w:r>
      <w:r>
        <w:rPr>
          <w:rFonts w:hint="eastAsia" w:hAnsi="宋体" w:cs="宋体"/>
          <w:color w:val="auto"/>
          <w:spacing w:val="-4"/>
          <w:sz w:val="28"/>
          <w:szCs w:val="28"/>
        </w:rPr>
        <w:t>第二章 投标人须知</w:t>
      </w:r>
      <w:r>
        <w:rPr>
          <w:rFonts w:hint="eastAsia" w:hAnsi="宋体" w:cs="宋体"/>
          <w:color w:val="auto"/>
          <w:spacing w:val="-4"/>
          <w:sz w:val="28"/>
          <w:szCs w:val="28"/>
        </w:rPr>
        <w:tab/>
      </w:r>
      <w:r>
        <w:rPr>
          <w:rFonts w:hint="eastAsia" w:hAnsi="宋体" w:cs="宋体"/>
          <w:color w:val="auto"/>
          <w:spacing w:val="-4"/>
          <w:sz w:val="28"/>
          <w:szCs w:val="28"/>
        </w:rPr>
        <w:fldChar w:fldCharType="begin"/>
      </w:r>
      <w:r>
        <w:rPr>
          <w:rFonts w:hint="eastAsia" w:hAnsi="宋体" w:cs="宋体"/>
          <w:color w:val="auto"/>
          <w:spacing w:val="-4"/>
          <w:sz w:val="28"/>
          <w:szCs w:val="28"/>
        </w:rPr>
        <w:instrText xml:space="preserve"> PAGEREF _Toc17487 </w:instrText>
      </w:r>
      <w:r>
        <w:rPr>
          <w:rFonts w:hint="eastAsia" w:hAnsi="宋体" w:cs="宋体"/>
          <w:color w:val="auto"/>
          <w:spacing w:val="-4"/>
          <w:sz w:val="28"/>
          <w:szCs w:val="28"/>
        </w:rPr>
        <w:fldChar w:fldCharType="separate"/>
      </w:r>
      <w:r>
        <w:rPr>
          <w:rFonts w:hAnsi="宋体" w:cs="宋体"/>
          <w:color w:val="auto"/>
          <w:spacing w:val="-4"/>
          <w:sz w:val="28"/>
          <w:szCs w:val="28"/>
        </w:rPr>
        <w:t>5</w:t>
      </w:r>
      <w:r>
        <w:rPr>
          <w:rFonts w:hint="eastAsia" w:hAnsi="宋体" w:cs="宋体"/>
          <w:color w:val="auto"/>
          <w:spacing w:val="-4"/>
          <w:sz w:val="28"/>
          <w:szCs w:val="28"/>
        </w:rPr>
        <w:fldChar w:fldCharType="end"/>
      </w:r>
      <w:r>
        <w:rPr>
          <w:rFonts w:hint="eastAsia" w:hAnsi="宋体" w:cs="宋体"/>
          <w:color w:val="auto"/>
          <w:spacing w:val="-4"/>
          <w:sz w:val="28"/>
          <w:szCs w:val="28"/>
        </w:rPr>
        <w:fldChar w:fldCharType="end"/>
      </w:r>
    </w:p>
    <w:p>
      <w:pPr>
        <w:pStyle w:val="22"/>
        <w:tabs>
          <w:tab w:val="right" w:leader="dot" w:pos="8959"/>
        </w:tabs>
        <w:spacing w:line="360" w:lineRule="auto"/>
        <w:rPr>
          <w:rFonts w:hAnsi="宋体" w:cs="宋体"/>
          <w:color w:val="auto"/>
          <w:spacing w:val="-4"/>
          <w:sz w:val="28"/>
          <w:szCs w:val="28"/>
        </w:rPr>
      </w:pPr>
      <w:r>
        <w:fldChar w:fldCharType="begin"/>
      </w:r>
      <w:r>
        <w:instrText xml:space="preserve"> HYPERLINK \l "_Toc23631" </w:instrText>
      </w:r>
      <w:r>
        <w:fldChar w:fldCharType="separate"/>
      </w:r>
      <w:r>
        <w:rPr>
          <w:rFonts w:hint="eastAsia" w:hAnsi="宋体" w:cs="宋体"/>
          <w:color w:val="auto"/>
          <w:spacing w:val="-4"/>
          <w:sz w:val="28"/>
          <w:szCs w:val="28"/>
        </w:rPr>
        <w:t>第三章 投标文件格式</w:t>
      </w:r>
      <w:r>
        <w:rPr>
          <w:rFonts w:hint="eastAsia" w:hAnsi="宋体" w:cs="宋体"/>
          <w:color w:val="auto"/>
          <w:spacing w:val="-4"/>
          <w:sz w:val="28"/>
          <w:szCs w:val="28"/>
        </w:rPr>
        <w:tab/>
      </w:r>
      <w:r>
        <w:rPr>
          <w:rFonts w:hint="eastAsia" w:hAnsi="宋体" w:cs="宋体"/>
          <w:color w:val="auto"/>
          <w:spacing w:val="-4"/>
          <w:sz w:val="28"/>
          <w:szCs w:val="28"/>
        </w:rPr>
        <w:fldChar w:fldCharType="begin"/>
      </w:r>
      <w:r>
        <w:rPr>
          <w:rFonts w:hint="eastAsia" w:hAnsi="宋体" w:cs="宋体"/>
          <w:color w:val="auto"/>
          <w:spacing w:val="-4"/>
          <w:sz w:val="28"/>
          <w:szCs w:val="28"/>
        </w:rPr>
        <w:instrText xml:space="preserve"> PAGEREF _Toc23631 </w:instrText>
      </w:r>
      <w:r>
        <w:rPr>
          <w:rFonts w:hint="eastAsia" w:hAnsi="宋体" w:cs="宋体"/>
          <w:color w:val="auto"/>
          <w:spacing w:val="-4"/>
          <w:sz w:val="28"/>
          <w:szCs w:val="28"/>
        </w:rPr>
        <w:fldChar w:fldCharType="separate"/>
      </w:r>
      <w:r>
        <w:rPr>
          <w:rFonts w:hAnsi="宋体" w:cs="宋体"/>
          <w:color w:val="auto"/>
          <w:spacing w:val="-4"/>
          <w:sz w:val="28"/>
          <w:szCs w:val="28"/>
        </w:rPr>
        <w:t>17</w:t>
      </w:r>
      <w:r>
        <w:rPr>
          <w:rFonts w:hint="eastAsia" w:hAnsi="宋体" w:cs="宋体"/>
          <w:color w:val="auto"/>
          <w:spacing w:val="-4"/>
          <w:sz w:val="28"/>
          <w:szCs w:val="28"/>
        </w:rPr>
        <w:fldChar w:fldCharType="end"/>
      </w:r>
      <w:r>
        <w:rPr>
          <w:rFonts w:hint="eastAsia" w:hAnsi="宋体" w:cs="宋体"/>
          <w:color w:val="auto"/>
          <w:spacing w:val="-4"/>
          <w:sz w:val="28"/>
          <w:szCs w:val="28"/>
        </w:rPr>
        <w:fldChar w:fldCharType="end"/>
      </w:r>
    </w:p>
    <w:p>
      <w:pPr>
        <w:pStyle w:val="22"/>
        <w:tabs>
          <w:tab w:val="right" w:leader="dot" w:pos="8959"/>
        </w:tabs>
        <w:spacing w:line="360" w:lineRule="auto"/>
        <w:rPr>
          <w:rFonts w:hAnsi="宋体" w:cs="宋体"/>
          <w:color w:val="auto"/>
          <w:spacing w:val="-4"/>
          <w:sz w:val="28"/>
          <w:szCs w:val="28"/>
        </w:rPr>
      </w:pPr>
      <w:r>
        <w:fldChar w:fldCharType="begin"/>
      </w:r>
      <w:r>
        <w:instrText xml:space="preserve"> HYPERLINK \l "_Toc10210" </w:instrText>
      </w:r>
      <w:r>
        <w:fldChar w:fldCharType="separate"/>
      </w:r>
      <w:r>
        <w:rPr>
          <w:rFonts w:hint="eastAsia" w:hAnsi="宋体" w:cs="宋体"/>
          <w:color w:val="auto"/>
          <w:spacing w:val="-4"/>
          <w:sz w:val="28"/>
          <w:szCs w:val="28"/>
        </w:rPr>
        <w:t>第四章 投标人和投标产品的资格、资质性及其他类似效力要求</w:t>
      </w:r>
      <w:r>
        <w:rPr>
          <w:rFonts w:hint="eastAsia" w:hAnsi="宋体" w:cs="宋体"/>
          <w:color w:val="auto"/>
          <w:spacing w:val="-4"/>
          <w:sz w:val="28"/>
          <w:szCs w:val="28"/>
        </w:rPr>
        <w:tab/>
      </w:r>
      <w:r>
        <w:rPr>
          <w:rFonts w:hint="eastAsia" w:hAnsi="宋体" w:cs="宋体"/>
          <w:color w:val="auto"/>
          <w:spacing w:val="-4"/>
          <w:sz w:val="28"/>
          <w:szCs w:val="28"/>
        </w:rPr>
        <w:fldChar w:fldCharType="begin"/>
      </w:r>
      <w:r>
        <w:rPr>
          <w:rFonts w:hint="eastAsia" w:hAnsi="宋体" w:cs="宋体"/>
          <w:color w:val="auto"/>
          <w:spacing w:val="-4"/>
          <w:sz w:val="28"/>
          <w:szCs w:val="28"/>
        </w:rPr>
        <w:instrText xml:space="preserve"> PAGEREF _Toc10210 </w:instrText>
      </w:r>
      <w:r>
        <w:rPr>
          <w:rFonts w:hint="eastAsia" w:hAnsi="宋体" w:cs="宋体"/>
          <w:color w:val="auto"/>
          <w:spacing w:val="-4"/>
          <w:sz w:val="28"/>
          <w:szCs w:val="28"/>
        </w:rPr>
        <w:fldChar w:fldCharType="separate"/>
      </w:r>
      <w:r>
        <w:rPr>
          <w:rFonts w:hAnsi="宋体" w:cs="宋体"/>
          <w:color w:val="auto"/>
          <w:spacing w:val="-4"/>
          <w:sz w:val="28"/>
          <w:szCs w:val="28"/>
        </w:rPr>
        <w:t>30</w:t>
      </w:r>
      <w:r>
        <w:rPr>
          <w:rFonts w:hint="eastAsia" w:hAnsi="宋体" w:cs="宋体"/>
          <w:color w:val="auto"/>
          <w:spacing w:val="-4"/>
          <w:sz w:val="28"/>
          <w:szCs w:val="28"/>
        </w:rPr>
        <w:fldChar w:fldCharType="end"/>
      </w:r>
      <w:r>
        <w:rPr>
          <w:rFonts w:hint="eastAsia" w:hAnsi="宋体" w:cs="宋体"/>
          <w:color w:val="auto"/>
          <w:spacing w:val="-4"/>
          <w:sz w:val="28"/>
          <w:szCs w:val="28"/>
        </w:rPr>
        <w:fldChar w:fldCharType="end"/>
      </w:r>
    </w:p>
    <w:p>
      <w:pPr>
        <w:pStyle w:val="22"/>
        <w:tabs>
          <w:tab w:val="right" w:leader="dot" w:pos="8959"/>
        </w:tabs>
        <w:spacing w:line="360" w:lineRule="auto"/>
        <w:rPr>
          <w:rFonts w:hAnsi="宋体" w:cs="宋体"/>
          <w:color w:val="auto"/>
          <w:spacing w:val="-4"/>
          <w:sz w:val="28"/>
          <w:szCs w:val="28"/>
        </w:rPr>
      </w:pPr>
      <w:r>
        <w:fldChar w:fldCharType="begin"/>
      </w:r>
      <w:r>
        <w:instrText xml:space="preserve"> HYPERLINK \l "_Toc3745" </w:instrText>
      </w:r>
      <w:r>
        <w:fldChar w:fldCharType="separate"/>
      </w:r>
      <w:r>
        <w:rPr>
          <w:rFonts w:hint="eastAsia" w:hAnsi="宋体" w:cs="宋体"/>
          <w:color w:val="auto"/>
          <w:spacing w:val="-4"/>
          <w:sz w:val="28"/>
          <w:szCs w:val="28"/>
        </w:rPr>
        <w:t>第五章 招标项目要求</w:t>
      </w:r>
      <w:r>
        <w:rPr>
          <w:rFonts w:hint="eastAsia" w:hAnsi="宋体" w:cs="宋体"/>
          <w:color w:val="auto"/>
          <w:spacing w:val="-4"/>
          <w:sz w:val="28"/>
          <w:szCs w:val="28"/>
        </w:rPr>
        <w:tab/>
      </w:r>
      <w:r>
        <w:rPr>
          <w:rFonts w:hint="eastAsia" w:hAnsi="宋体" w:cs="宋体"/>
          <w:color w:val="auto"/>
          <w:spacing w:val="-4"/>
          <w:sz w:val="28"/>
          <w:szCs w:val="28"/>
        </w:rPr>
        <w:fldChar w:fldCharType="begin"/>
      </w:r>
      <w:r>
        <w:rPr>
          <w:rFonts w:hint="eastAsia" w:hAnsi="宋体" w:cs="宋体"/>
          <w:color w:val="auto"/>
          <w:spacing w:val="-4"/>
          <w:sz w:val="28"/>
          <w:szCs w:val="28"/>
        </w:rPr>
        <w:instrText xml:space="preserve"> PAGEREF _Toc3745 </w:instrText>
      </w:r>
      <w:r>
        <w:rPr>
          <w:rFonts w:hint="eastAsia" w:hAnsi="宋体" w:cs="宋体"/>
          <w:color w:val="auto"/>
          <w:spacing w:val="-4"/>
          <w:sz w:val="28"/>
          <w:szCs w:val="28"/>
        </w:rPr>
        <w:fldChar w:fldCharType="separate"/>
      </w:r>
      <w:r>
        <w:rPr>
          <w:rFonts w:hAnsi="宋体" w:cs="宋体"/>
          <w:color w:val="auto"/>
          <w:spacing w:val="-4"/>
          <w:sz w:val="28"/>
          <w:szCs w:val="28"/>
        </w:rPr>
        <w:t>24</w:t>
      </w:r>
      <w:r>
        <w:rPr>
          <w:rFonts w:hint="eastAsia" w:hAnsi="宋体" w:cs="宋体"/>
          <w:color w:val="auto"/>
          <w:spacing w:val="-4"/>
          <w:sz w:val="28"/>
          <w:szCs w:val="28"/>
        </w:rPr>
        <w:fldChar w:fldCharType="end"/>
      </w:r>
      <w:r>
        <w:rPr>
          <w:rFonts w:hint="eastAsia" w:hAnsi="宋体" w:cs="宋体"/>
          <w:color w:val="auto"/>
          <w:spacing w:val="-4"/>
          <w:sz w:val="28"/>
          <w:szCs w:val="28"/>
        </w:rPr>
        <w:fldChar w:fldCharType="end"/>
      </w:r>
    </w:p>
    <w:p>
      <w:pPr>
        <w:pStyle w:val="22"/>
        <w:tabs>
          <w:tab w:val="right" w:leader="dot" w:pos="8959"/>
        </w:tabs>
        <w:spacing w:line="360" w:lineRule="auto"/>
        <w:rPr>
          <w:rFonts w:hAnsi="宋体" w:cs="宋体"/>
          <w:color w:val="auto"/>
          <w:spacing w:val="-4"/>
          <w:sz w:val="28"/>
          <w:szCs w:val="28"/>
        </w:rPr>
      </w:pPr>
      <w:r>
        <w:fldChar w:fldCharType="begin"/>
      </w:r>
      <w:r>
        <w:instrText xml:space="preserve"> HYPERLINK \l "_Toc12657" </w:instrText>
      </w:r>
      <w:r>
        <w:fldChar w:fldCharType="separate"/>
      </w:r>
      <w:r>
        <w:rPr>
          <w:rFonts w:hint="eastAsia" w:hAnsi="宋体" w:cs="宋体"/>
          <w:color w:val="auto"/>
          <w:spacing w:val="-4"/>
          <w:sz w:val="28"/>
          <w:szCs w:val="28"/>
        </w:rPr>
        <w:t>第六章 评标办法</w:t>
      </w:r>
      <w:r>
        <w:rPr>
          <w:rFonts w:hint="eastAsia" w:hAnsi="宋体" w:cs="宋体"/>
          <w:color w:val="auto"/>
          <w:spacing w:val="-4"/>
          <w:sz w:val="28"/>
          <w:szCs w:val="28"/>
        </w:rPr>
        <w:tab/>
      </w:r>
      <w:r>
        <w:rPr>
          <w:rFonts w:hint="eastAsia" w:hAnsi="宋体" w:cs="宋体"/>
          <w:color w:val="auto"/>
          <w:spacing w:val="-4"/>
          <w:sz w:val="28"/>
          <w:szCs w:val="28"/>
        </w:rPr>
        <w:fldChar w:fldCharType="begin"/>
      </w:r>
      <w:r>
        <w:rPr>
          <w:rFonts w:hint="eastAsia" w:hAnsi="宋体" w:cs="宋体"/>
          <w:color w:val="auto"/>
          <w:spacing w:val="-4"/>
          <w:sz w:val="28"/>
          <w:szCs w:val="28"/>
        </w:rPr>
        <w:instrText xml:space="preserve"> PAGEREF _Toc12657 </w:instrText>
      </w:r>
      <w:r>
        <w:rPr>
          <w:rFonts w:hint="eastAsia" w:hAnsi="宋体" w:cs="宋体"/>
          <w:color w:val="auto"/>
          <w:spacing w:val="-4"/>
          <w:sz w:val="28"/>
          <w:szCs w:val="28"/>
        </w:rPr>
        <w:fldChar w:fldCharType="separate"/>
      </w:r>
      <w:r>
        <w:rPr>
          <w:rFonts w:hAnsi="宋体" w:cs="宋体"/>
          <w:color w:val="auto"/>
          <w:spacing w:val="-4"/>
          <w:sz w:val="28"/>
          <w:szCs w:val="28"/>
        </w:rPr>
        <w:t>47</w:t>
      </w:r>
      <w:r>
        <w:rPr>
          <w:rFonts w:hint="eastAsia" w:hAnsi="宋体" w:cs="宋体"/>
          <w:color w:val="auto"/>
          <w:spacing w:val="-4"/>
          <w:sz w:val="28"/>
          <w:szCs w:val="28"/>
        </w:rPr>
        <w:fldChar w:fldCharType="end"/>
      </w:r>
      <w:r>
        <w:rPr>
          <w:rFonts w:hint="eastAsia" w:hAnsi="宋体" w:cs="宋体"/>
          <w:color w:val="auto"/>
          <w:spacing w:val="-4"/>
          <w:sz w:val="28"/>
          <w:szCs w:val="28"/>
        </w:rPr>
        <w:fldChar w:fldCharType="end"/>
      </w:r>
    </w:p>
    <w:p>
      <w:pPr>
        <w:pStyle w:val="22"/>
        <w:tabs>
          <w:tab w:val="right" w:leader="dot" w:pos="8959"/>
        </w:tabs>
        <w:spacing w:line="360" w:lineRule="auto"/>
        <w:rPr>
          <w:rFonts w:hAnsi="宋体" w:cs="宋体"/>
          <w:color w:val="auto"/>
          <w:sz w:val="28"/>
          <w:szCs w:val="28"/>
        </w:rPr>
      </w:pPr>
      <w:r>
        <w:fldChar w:fldCharType="begin"/>
      </w:r>
      <w:r>
        <w:instrText xml:space="preserve"> HYPERLINK \l "_Toc27016" </w:instrText>
      </w:r>
      <w:r>
        <w:fldChar w:fldCharType="separate"/>
      </w:r>
      <w:r>
        <w:rPr>
          <w:rFonts w:hint="eastAsia" w:hAnsi="宋体" w:cs="宋体"/>
          <w:color w:val="auto"/>
          <w:spacing w:val="-4"/>
          <w:sz w:val="28"/>
          <w:szCs w:val="28"/>
        </w:rPr>
        <w:t>第七章 合同条款（仅供参考）</w:t>
      </w:r>
      <w:r>
        <w:rPr>
          <w:rFonts w:hint="eastAsia" w:hAnsi="宋体" w:cs="宋体"/>
          <w:color w:val="auto"/>
          <w:spacing w:val="-4"/>
          <w:sz w:val="28"/>
          <w:szCs w:val="28"/>
        </w:rPr>
        <w:tab/>
      </w:r>
      <w:r>
        <w:rPr>
          <w:rFonts w:hint="eastAsia" w:hAnsi="宋体" w:cs="宋体"/>
          <w:color w:val="auto"/>
          <w:spacing w:val="-4"/>
          <w:sz w:val="28"/>
          <w:szCs w:val="28"/>
        </w:rPr>
        <w:fldChar w:fldCharType="begin"/>
      </w:r>
      <w:r>
        <w:rPr>
          <w:rFonts w:hint="eastAsia" w:hAnsi="宋体" w:cs="宋体"/>
          <w:color w:val="auto"/>
          <w:spacing w:val="-4"/>
          <w:sz w:val="28"/>
          <w:szCs w:val="28"/>
        </w:rPr>
        <w:instrText xml:space="preserve"> PAGEREF _Toc27016 </w:instrText>
      </w:r>
      <w:r>
        <w:rPr>
          <w:rFonts w:hint="eastAsia" w:hAnsi="宋体" w:cs="宋体"/>
          <w:color w:val="auto"/>
          <w:spacing w:val="-4"/>
          <w:sz w:val="28"/>
          <w:szCs w:val="28"/>
        </w:rPr>
        <w:fldChar w:fldCharType="separate"/>
      </w:r>
      <w:r>
        <w:rPr>
          <w:rFonts w:hAnsi="宋体" w:cs="宋体"/>
          <w:color w:val="auto"/>
          <w:spacing w:val="-4"/>
          <w:sz w:val="28"/>
          <w:szCs w:val="28"/>
        </w:rPr>
        <w:t>49</w:t>
      </w:r>
      <w:r>
        <w:rPr>
          <w:rFonts w:hint="eastAsia" w:hAnsi="宋体" w:cs="宋体"/>
          <w:color w:val="auto"/>
          <w:spacing w:val="-4"/>
          <w:sz w:val="28"/>
          <w:szCs w:val="28"/>
        </w:rPr>
        <w:fldChar w:fldCharType="end"/>
      </w:r>
      <w:r>
        <w:rPr>
          <w:rFonts w:hint="eastAsia" w:hAnsi="宋体" w:cs="宋体"/>
          <w:color w:val="auto"/>
          <w:spacing w:val="-4"/>
          <w:sz w:val="28"/>
          <w:szCs w:val="28"/>
        </w:rPr>
        <w:fldChar w:fldCharType="end"/>
      </w:r>
    </w:p>
    <w:p>
      <w:pPr>
        <w:pStyle w:val="3"/>
        <w:spacing w:line="360" w:lineRule="auto"/>
        <w:jc w:val="center"/>
        <w:rPr>
          <w:rFonts w:hAnsi="宋体" w:cs="宋体"/>
          <w:b w:val="0"/>
          <w:kern w:val="2"/>
          <w:sz w:val="28"/>
          <w:szCs w:val="28"/>
        </w:rPr>
      </w:pPr>
      <w:r>
        <w:rPr>
          <w:rFonts w:hint="eastAsia" w:hAnsi="宋体" w:cs="宋体"/>
          <w:b w:val="0"/>
          <w:kern w:val="2"/>
          <w:sz w:val="28"/>
          <w:szCs w:val="28"/>
        </w:rPr>
        <w:fldChar w:fldCharType="end"/>
      </w:r>
    </w:p>
    <w:p>
      <w:pPr>
        <w:pStyle w:val="3"/>
        <w:spacing w:line="360" w:lineRule="auto"/>
        <w:jc w:val="center"/>
        <w:rPr>
          <w:rFonts w:hAnsi="宋体" w:cs="宋体"/>
          <w:b w:val="0"/>
          <w:kern w:val="2"/>
          <w:sz w:val="28"/>
          <w:szCs w:val="28"/>
        </w:rPr>
      </w:pPr>
    </w:p>
    <w:p>
      <w:pPr>
        <w:pStyle w:val="3"/>
        <w:spacing w:line="360" w:lineRule="auto"/>
        <w:jc w:val="center"/>
        <w:rPr>
          <w:rFonts w:hAnsi="宋体" w:cs="宋体"/>
          <w:kern w:val="2"/>
        </w:rPr>
      </w:pPr>
    </w:p>
    <w:bookmarkEnd w:id="0"/>
    <w:p>
      <w:pPr>
        <w:spacing w:line="360" w:lineRule="auto"/>
        <w:ind w:right="36" w:rightChars="15"/>
        <w:rPr>
          <w:rFonts w:hAnsi="宋体" w:cs="宋体"/>
          <w:color w:val="auto"/>
        </w:rPr>
      </w:pPr>
    </w:p>
    <w:p>
      <w:pPr>
        <w:pStyle w:val="3"/>
        <w:spacing w:line="360" w:lineRule="auto"/>
        <w:jc w:val="center"/>
        <w:rPr>
          <w:rFonts w:hAnsi="宋体" w:cs="宋体"/>
          <w:sz w:val="24"/>
          <w:szCs w:val="24"/>
        </w:rPr>
      </w:pPr>
      <w:bookmarkStart w:id="1" w:name="_Toc22329"/>
      <w:bookmarkStart w:id="2" w:name="_Toc5602"/>
      <w:bookmarkStart w:id="3" w:name="_Toc2889"/>
      <w:r>
        <w:rPr>
          <w:rFonts w:hint="eastAsia" w:hAnsi="宋体" w:cs="宋体"/>
        </w:rPr>
        <w:br w:type="page"/>
      </w:r>
      <w:bookmarkStart w:id="4" w:name="_Toc11063"/>
      <w:bookmarkStart w:id="5" w:name="_Toc12243"/>
      <w:bookmarkStart w:id="6" w:name="_Toc31835"/>
      <w:r>
        <w:rPr>
          <w:rFonts w:hint="eastAsia" w:hAnsi="宋体" w:cs="宋体"/>
          <w:sz w:val="24"/>
          <w:szCs w:val="24"/>
        </w:rPr>
        <w:t>第一章投标邀请</w:t>
      </w:r>
      <w:bookmarkEnd w:id="1"/>
      <w:bookmarkEnd w:id="2"/>
      <w:bookmarkEnd w:id="3"/>
      <w:bookmarkEnd w:id="4"/>
      <w:bookmarkEnd w:id="5"/>
      <w:bookmarkEnd w:id="6"/>
    </w:p>
    <w:p>
      <w:pPr>
        <w:spacing w:line="420" w:lineRule="exact"/>
        <w:ind w:firstLine="480" w:firstLineChars="200"/>
        <w:rPr>
          <w:rFonts w:hAnsi="宋体" w:cs="宋体"/>
          <w:color w:val="auto"/>
        </w:rPr>
      </w:pPr>
      <w:bookmarkStart w:id="7" w:name="_Toc217446031"/>
      <w:bookmarkStart w:id="8" w:name="_Toc213397009"/>
      <w:bookmarkStart w:id="9" w:name="_Toc16540"/>
      <w:bookmarkStart w:id="10" w:name="_Toc23046"/>
      <w:bookmarkStart w:id="11" w:name="_Toc213496267"/>
      <w:bookmarkStart w:id="12" w:name="_Toc24237"/>
      <w:bookmarkStart w:id="13" w:name="_Toc213396759"/>
      <w:bookmarkStart w:id="14" w:name="_Toc15854"/>
      <w:bookmarkStart w:id="15" w:name="_Toc213396945"/>
      <w:r>
        <w:rPr>
          <w:rFonts w:hint="eastAsia" w:hAnsi="宋体" w:cs="宋体"/>
          <w:color w:val="auto"/>
        </w:rPr>
        <w:t>四川国际招标有限责任公司</w:t>
      </w:r>
      <w:bookmarkStart w:id="16" w:name="OLE_LINK4"/>
      <w:r>
        <w:rPr>
          <w:rFonts w:hint="eastAsia" w:hAnsi="宋体" w:cs="宋体"/>
          <w:color w:val="auto"/>
        </w:rPr>
        <w:t>受西安建筑科技大学的委托</w:t>
      </w:r>
      <w:bookmarkEnd w:id="16"/>
      <w:r>
        <w:rPr>
          <w:rFonts w:hint="eastAsia" w:hAnsi="宋体" w:cs="宋体"/>
          <w:color w:val="auto"/>
        </w:rPr>
        <w:t>，经政府采购管理部门批准，按照政府采购程序，拟对西安建筑科技大学制冷型红外探测器采购项目进行公开招标，欢迎符合资格条件的、有能力提供本项目所需货物和服务的供应商参加投标。</w:t>
      </w:r>
    </w:p>
    <w:p>
      <w:pPr>
        <w:spacing w:line="420" w:lineRule="exact"/>
        <w:rPr>
          <w:rFonts w:hAnsi="宋体" w:cs="宋体"/>
          <w:color w:val="auto"/>
        </w:rPr>
      </w:pPr>
      <w:r>
        <w:rPr>
          <w:rFonts w:hint="eastAsia" w:hAnsi="宋体" w:cs="宋体"/>
          <w:color w:val="auto"/>
        </w:rPr>
        <w:t>一、采购项目名称：西安建筑科技大学制冷型红外探测器采购项目</w:t>
      </w:r>
    </w:p>
    <w:p>
      <w:pPr>
        <w:pStyle w:val="92"/>
        <w:spacing w:line="420" w:lineRule="exact"/>
        <w:ind w:firstLine="0" w:firstLineChars="0"/>
        <w:rPr>
          <w:rFonts w:hAnsi="宋体" w:cs="宋体"/>
          <w:color w:val="auto"/>
        </w:rPr>
      </w:pPr>
      <w:r>
        <w:rPr>
          <w:rFonts w:hint="eastAsia" w:hAnsi="宋体" w:cs="宋体"/>
          <w:color w:val="auto"/>
        </w:rPr>
        <w:t>二、采购项目编号：</w:t>
      </w:r>
      <w:r>
        <w:rPr>
          <w:rFonts w:hAnsi="宋体" w:cs="宋体"/>
          <w:color w:val="auto"/>
        </w:rPr>
        <w:t>SCIT-ZG-SX2022070006</w:t>
      </w:r>
    </w:p>
    <w:p>
      <w:pPr>
        <w:spacing w:line="420" w:lineRule="exact"/>
        <w:rPr>
          <w:rFonts w:hAnsi="宋体"/>
        </w:rPr>
      </w:pPr>
      <w:bookmarkStart w:id="17" w:name="OLE_LINK5"/>
      <w:r>
        <w:rPr>
          <w:rFonts w:hAnsi="宋体"/>
        </w:rPr>
        <w:t>三、采购人名称：</w:t>
      </w:r>
      <w:r>
        <w:rPr>
          <w:rFonts w:hint="eastAsia" w:hAnsi="宋体"/>
        </w:rPr>
        <w:t>西安建筑科技大学</w:t>
      </w:r>
    </w:p>
    <w:p>
      <w:pPr>
        <w:tabs>
          <w:tab w:val="left" w:pos="1620"/>
        </w:tabs>
        <w:spacing w:line="420" w:lineRule="exact"/>
        <w:ind w:right="-226"/>
        <w:jc w:val="left"/>
        <w:rPr>
          <w:rFonts w:hAnsi="宋体"/>
        </w:rPr>
      </w:pPr>
      <w:r>
        <w:rPr>
          <w:rFonts w:hAnsi="宋体"/>
        </w:rPr>
        <w:t xml:space="preserve">    地址：</w:t>
      </w:r>
      <w:r>
        <w:rPr>
          <w:rFonts w:hint="eastAsia" w:hAnsi="宋体"/>
        </w:rPr>
        <w:t>西安市雁塔路中段13号</w:t>
      </w:r>
    </w:p>
    <w:p>
      <w:pPr>
        <w:tabs>
          <w:tab w:val="left" w:pos="1620"/>
        </w:tabs>
        <w:spacing w:line="420" w:lineRule="exact"/>
        <w:ind w:right="-226" w:firstLine="480" w:firstLineChars="200"/>
        <w:jc w:val="left"/>
        <w:rPr>
          <w:rFonts w:hAnsi="宋体"/>
        </w:rPr>
      </w:pPr>
      <w:r>
        <w:rPr>
          <w:rFonts w:hint="eastAsia" w:hAnsi="宋体"/>
        </w:rPr>
        <w:t>联系人：闫老师</w:t>
      </w:r>
    </w:p>
    <w:p>
      <w:pPr>
        <w:tabs>
          <w:tab w:val="left" w:pos="1620"/>
        </w:tabs>
        <w:spacing w:line="420" w:lineRule="exact"/>
        <w:ind w:right="-226" w:firstLine="480" w:firstLineChars="200"/>
        <w:jc w:val="left"/>
        <w:rPr>
          <w:rFonts w:hAnsi="宋体"/>
        </w:rPr>
      </w:pPr>
      <w:r>
        <w:rPr>
          <w:rFonts w:hint="eastAsia" w:hAnsi="宋体"/>
        </w:rPr>
        <w:t>联系方式：029-82201427</w:t>
      </w:r>
    </w:p>
    <w:p>
      <w:pPr>
        <w:pStyle w:val="92"/>
        <w:spacing w:line="420" w:lineRule="exact"/>
        <w:ind w:firstLine="0" w:firstLineChars="0"/>
        <w:rPr>
          <w:rFonts w:hAnsi="宋体" w:cs="宋体"/>
          <w:color w:val="auto"/>
        </w:rPr>
      </w:pPr>
      <w:r>
        <w:rPr>
          <w:rFonts w:hint="eastAsia" w:hAnsi="宋体" w:cs="宋体"/>
          <w:color w:val="auto"/>
        </w:rPr>
        <w:t>四、采购代理机构名称：四川国际招标有限责任公司</w:t>
      </w:r>
    </w:p>
    <w:p>
      <w:pPr>
        <w:pStyle w:val="92"/>
        <w:spacing w:line="420" w:lineRule="exact"/>
        <w:ind w:firstLine="465" w:firstLineChars="0"/>
        <w:rPr>
          <w:rFonts w:hAnsi="宋体" w:cs="宋体"/>
          <w:color w:val="auto"/>
        </w:rPr>
      </w:pPr>
      <w:r>
        <w:rPr>
          <w:rFonts w:hint="eastAsia" w:hAnsi="宋体" w:cs="宋体"/>
          <w:color w:val="auto"/>
        </w:rPr>
        <w:t>地址：西安市高新区唐延路35号旺座现代城G座2301室</w:t>
      </w:r>
      <w:bookmarkEnd w:id="17"/>
    </w:p>
    <w:p>
      <w:pPr>
        <w:pStyle w:val="92"/>
        <w:spacing w:line="420" w:lineRule="exact"/>
        <w:ind w:firstLine="0" w:firstLineChars="0"/>
        <w:rPr>
          <w:rFonts w:hAnsi="宋体" w:cs="宋体"/>
          <w:color w:val="auto"/>
        </w:rPr>
      </w:pPr>
      <w:r>
        <w:rPr>
          <w:rFonts w:hint="eastAsia" w:hAnsi="宋体" w:cs="宋体"/>
          <w:color w:val="auto"/>
        </w:rPr>
        <w:t>五、采购内容和要求</w:t>
      </w:r>
    </w:p>
    <w:p>
      <w:pPr>
        <w:pStyle w:val="92"/>
        <w:spacing w:line="420" w:lineRule="exact"/>
        <w:ind w:firstLine="199" w:firstLineChars="83"/>
        <w:rPr>
          <w:rFonts w:hAnsi="宋体"/>
        </w:rPr>
      </w:pPr>
      <w:r>
        <w:rPr>
          <w:rFonts w:hAnsi="宋体"/>
        </w:rPr>
        <w:t>本项目共1个包 ，</w:t>
      </w:r>
      <w:r>
        <w:rPr>
          <w:rFonts w:hint="eastAsia" w:hAnsi="宋体" w:cs="宋体"/>
        </w:rPr>
        <w:t>采购</w:t>
      </w:r>
      <w:r>
        <w:rPr>
          <w:rFonts w:hint="eastAsia" w:asciiTheme="minorEastAsia" w:hAnsiTheme="minorEastAsia" w:eastAsiaTheme="minorEastAsia"/>
        </w:rPr>
        <w:t>设备</w:t>
      </w:r>
      <w:r>
        <w:rPr>
          <w:rFonts w:hint="eastAsia" w:hAnsi="宋体" w:cs="宋体"/>
        </w:rPr>
        <w:t>一批</w:t>
      </w:r>
      <w:r>
        <w:rPr>
          <w:rFonts w:hAnsi="宋体"/>
        </w:rPr>
        <w:t>（具体详见</w:t>
      </w:r>
      <w:r>
        <w:rPr>
          <w:rFonts w:hint="eastAsia" w:hAnsi="宋体"/>
        </w:rPr>
        <w:t>招标</w:t>
      </w:r>
      <w:r>
        <w:rPr>
          <w:rFonts w:hAnsi="宋体"/>
        </w:rPr>
        <w:t>文件）；</w:t>
      </w:r>
    </w:p>
    <w:p>
      <w:pPr>
        <w:tabs>
          <w:tab w:val="left" w:pos="1620"/>
        </w:tabs>
        <w:spacing w:line="420" w:lineRule="exact"/>
        <w:ind w:right="-226" w:rightChars="-94" w:firstLine="240" w:firstLineChars="100"/>
        <w:rPr>
          <w:rFonts w:hAnsi="宋体"/>
        </w:rPr>
      </w:pPr>
      <w:r>
        <w:rPr>
          <w:rFonts w:hAnsi="宋体"/>
        </w:rPr>
        <w:t>资金性质：</w:t>
      </w:r>
      <w:r>
        <w:rPr>
          <w:rFonts w:hAnsi="宋体"/>
          <w:bCs/>
          <w:spacing w:val="-4"/>
        </w:rPr>
        <w:t>财政资金</w:t>
      </w:r>
      <w:r>
        <w:rPr>
          <w:rFonts w:hint="eastAsia" w:hAnsi="宋体"/>
          <w:bCs/>
          <w:spacing w:val="-4"/>
        </w:rPr>
        <w:t>；</w:t>
      </w:r>
    </w:p>
    <w:p>
      <w:pPr>
        <w:tabs>
          <w:tab w:val="left" w:pos="1620"/>
        </w:tabs>
        <w:spacing w:line="420" w:lineRule="exact"/>
        <w:ind w:right="-226" w:rightChars="-94" w:firstLine="240" w:firstLineChars="100"/>
        <w:rPr>
          <w:rFonts w:hAnsi="宋体"/>
          <w:bCs/>
          <w:spacing w:val="-4"/>
        </w:rPr>
      </w:pPr>
      <w:r>
        <w:rPr>
          <w:rFonts w:hint="eastAsia" w:hAnsi="宋体"/>
        </w:rPr>
        <w:t>项目用途：自用</w:t>
      </w:r>
      <w:r>
        <w:rPr>
          <w:rFonts w:hint="eastAsia" w:hAnsi="宋体"/>
          <w:bCs/>
          <w:spacing w:val="-4"/>
        </w:rPr>
        <w:t>；</w:t>
      </w:r>
    </w:p>
    <w:p>
      <w:pPr>
        <w:tabs>
          <w:tab w:val="left" w:pos="1620"/>
          <w:tab w:val="left" w:pos="3405"/>
        </w:tabs>
        <w:spacing w:line="420" w:lineRule="exact"/>
        <w:ind w:right="-226" w:rightChars="-94" w:firstLine="232" w:firstLineChars="100"/>
        <w:rPr>
          <w:rFonts w:hAnsi="宋体"/>
          <w:bCs/>
          <w:spacing w:val="-4"/>
        </w:rPr>
      </w:pPr>
      <w:r>
        <w:rPr>
          <w:rFonts w:hint="eastAsia" w:hAnsi="宋体"/>
          <w:bCs/>
          <w:spacing w:val="-4"/>
        </w:rPr>
        <w:t>采购预算：</w:t>
      </w:r>
      <w:r>
        <w:rPr>
          <w:rFonts w:hAnsi="宋体"/>
        </w:rPr>
        <w:t>96</w:t>
      </w:r>
      <w:r>
        <w:rPr>
          <w:rFonts w:hint="eastAsia" w:hAnsi="宋体"/>
          <w:bCs/>
          <w:spacing w:val="-4"/>
        </w:rPr>
        <w:t>万元；</w:t>
      </w:r>
    </w:p>
    <w:p>
      <w:pPr>
        <w:tabs>
          <w:tab w:val="left" w:pos="1620"/>
          <w:tab w:val="left" w:pos="3405"/>
        </w:tabs>
        <w:spacing w:line="420" w:lineRule="exact"/>
        <w:ind w:right="-226" w:rightChars="-94" w:firstLine="232" w:firstLineChars="100"/>
        <w:rPr>
          <w:rFonts w:hAnsi="宋体"/>
          <w:bCs/>
          <w:spacing w:val="-4"/>
        </w:rPr>
      </w:pPr>
      <w:r>
        <w:rPr>
          <w:rFonts w:hAnsi="宋体"/>
          <w:bCs/>
          <w:spacing w:val="-4"/>
        </w:rPr>
        <w:t>最高限价：</w:t>
      </w:r>
      <w:r>
        <w:rPr>
          <w:rFonts w:hint="eastAsia" w:hAnsi="宋体"/>
          <w:bCs/>
          <w:spacing w:val="-4"/>
        </w:rPr>
        <w:t>9</w:t>
      </w:r>
      <w:r>
        <w:rPr>
          <w:rFonts w:hAnsi="宋体"/>
          <w:bCs/>
          <w:spacing w:val="-4"/>
        </w:rPr>
        <w:t>0万元</w:t>
      </w:r>
      <w:r>
        <w:rPr>
          <w:rFonts w:hAnsi="宋体"/>
          <w:bCs/>
          <w:spacing w:val="-4"/>
        </w:rPr>
        <w:tab/>
      </w:r>
    </w:p>
    <w:p>
      <w:pPr>
        <w:pStyle w:val="92"/>
        <w:spacing w:line="420" w:lineRule="exact"/>
        <w:ind w:firstLine="0" w:firstLineChars="0"/>
        <w:rPr>
          <w:rFonts w:hAnsi="宋体" w:cs="宋体"/>
          <w:color w:val="auto"/>
        </w:rPr>
      </w:pPr>
      <w:r>
        <w:rPr>
          <w:rFonts w:hint="eastAsia" w:hAnsi="宋体" w:cs="宋体"/>
          <w:color w:val="auto"/>
        </w:rPr>
        <w:t>六、供应商资质要求：</w:t>
      </w:r>
    </w:p>
    <w:p>
      <w:pPr>
        <w:pStyle w:val="92"/>
        <w:spacing w:line="420" w:lineRule="exact"/>
        <w:ind w:firstLine="0" w:firstLineChars="0"/>
        <w:rPr>
          <w:rFonts w:hAnsi="宋体" w:cs="宋体"/>
          <w:color w:val="auto"/>
        </w:rPr>
      </w:pPr>
      <w:r>
        <w:rPr>
          <w:rFonts w:hint="eastAsia" w:hAnsi="宋体" w:cs="宋体"/>
          <w:color w:val="auto"/>
        </w:rPr>
        <w:t>1、具备《中华人民共和国政府采购法》第二十二条规定的条件；</w:t>
      </w:r>
    </w:p>
    <w:p>
      <w:pPr>
        <w:pStyle w:val="92"/>
        <w:spacing w:line="420" w:lineRule="exact"/>
        <w:ind w:firstLine="0" w:firstLineChars="0"/>
        <w:rPr>
          <w:rFonts w:hAnsi="宋体" w:cs="宋体"/>
          <w:color w:val="auto"/>
        </w:rPr>
      </w:pPr>
      <w:r>
        <w:rPr>
          <w:rFonts w:hint="eastAsia" w:hAnsi="宋体" w:cs="宋体"/>
          <w:color w:val="auto"/>
        </w:rPr>
        <w:t>2、</w:t>
      </w:r>
      <w:r>
        <w:t>具有独立承担民事责任能力的法人、其他组织或自然人，提供统一社会信用代码的营业执照（事业单位具有有效的事业单位法人证书，自然人提供身份证明）；</w:t>
      </w:r>
    </w:p>
    <w:p>
      <w:pPr>
        <w:pStyle w:val="92"/>
        <w:spacing w:line="420" w:lineRule="exact"/>
        <w:ind w:firstLine="0" w:firstLineChars="0"/>
        <w:rPr>
          <w:rFonts w:hAnsi="宋体" w:cs="宋体"/>
          <w:color w:val="auto"/>
        </w:rPr>
      </w:pPr>
      <w:r>
        <w:rPr>
          <w:rFonts w:hAnsi="宋体" w:cs="宋体"/>
          <w:color w:val="auto"/>
        </w:rPr>
        <w:t>3</w:t>
      </w:r>
      <w:r>
        <w:rPr>
          <w:rFonts w:hint="eastAsia" w:hAnsi="宋体" w:cs="宋体"/>
          <w:color w:val="auto"/>
        </w:rPr>
        <w:t>、法定代表人授权书及被授权人身份证（法定代表人直接参加只须提交其身份证）；</w:t>
      </w:r>
    </w:p>
    <w:p>
      <w:pPr>
        <w:pStyle w:val="92"/>
        <w:spacing w:line="420" w:lineRule="exact"/>
        <w:ind w:firstLine="0" w:firstLineChars="0"/>
        <w:rPr>
          <w:rFonts w:hAnsi="宋体"/>
        </w:rPr>
      </w:pPr>
      <w:r>
        <w:rPr>
          <w:rFonts w:hAnsi="宋体" w:cs="宋体"/>
          <w:color w:val="auto"/>
        </w:rPr>
        <w:t>4</w:t>
      </w:r>
      <w:r>
        <w:rPr>
          <w:rFonts w:hint="eastAsia" w:hAnsi="宋体" w:cs="宋体"/>
          <w:color w:val="auto"/>
        </w:rPr>
        <w:t>、</w:t>
      </w:r>
      <w:r>
        <w:rPr>
          <w:rFonts w:hint="eastAsia" w:hAnsi="宋体"/>
        </w:rPr>
        <w:t>投标人未被列入失信被执行人、重大税收违法案件当事人名单、政府采购严重违法失信行为记录；</w:t>
      </w:r>
    </w:p>
    <w:p>
      <w:pPr>
        <w:spacing w:line="420" w:lineRule="exact"/>
        <w:rPr>
          <w:rFonts w:hAnsi="宋体"/>
          <w:spacing w:val="-4"/>
        </w:rPr>
      </w:pPr>
      <w:r>
        <w:rPr>
          <w:rFonts w:hint="eastAsia" w:hAnsi="宋体"/>
          <w:spacing w:val="-4"/>
        </w:rPr>
        <w:t>5、本项目专门面向中小企业；</w:t>
      </w:r>
    </w:p>
    <w:p>
      <w:pPr>
        <w:pStyle w:val="92"/>
        <w:spacing w:line="420" w:lineRule="exact"/>
        <w:ind w:firstLine="0" w:firstLineChars="0"/>
        <w:rPr>
          <w:rFonts w:hAnsi="宋体" w:cs="宋体"/>
          <w:color w:val="auto"/>
        </w:rPr>
      </w:pPr>
      <w:r>
        <w:rPr>
          <w:rFonts w:hAnsi="宋体" w:cs="宋体"/>
          <w:color w:val="auto"/>
        </w:rPr>
        <w:t>6</w:t>
      </w:r>
      <w:r>
        <w:rPr>
          <w:rFonts w:hint="eastAsia" w:hAnsi="宋体" w:cs="宋体"/>
          <w:color w:val="auto"/>
        </w:rPr>
        <w:t>、本项目不接受联合体。</w:t>
      </w:r>
    </w:p>
    <w:p>
      <w:pPr>
        <w:pStyle w:val="92"/>
        <w:spacing w:line="420" w:lineRule="exact"/>
        <w:ind w:firstLine="0" w:firstLineChars="0"/>
        <w:rPr>
          <w:rFonts w:hAnsi="宋体" w:cs="宋体"/>
          <w:color w:val="auto"/>
        </w:rPr>
      </w:pPr>
      <w:r>
        <w:rPr>
          <w:rFonts w:hint="eastAsia" w:hAnsi="宋体" w:cs="宋体"/>
          <w:color w:val="auto"/>
        </w:rPr>
        <w:t>七、采购项目需要落实的政府采购政策：</w:t>
      </w:r>
    </w:p>
    <w:p>
      <w:pPr>
        <w:spacing w:line="420" w:lineRule="exact"/>
        <w:ind w:firstLine="480" w:firstLineChars="200"/>
      </w:pPr>
      <w:r>
        <w:rPr>
          <w:rFonts w:hint="eastAsia"/>
        </w:rPr>
        <w:t>依据《中华人民共和国政府采购法》及《中华人民共和国政府采购法实施条例》的有关规定，落实政府采购政策，详见磋商文件。</w:t>
      </w:r>
    </w:p>
    <w:p>
      <w:pPr>
        <w:spacing w:line="420" w:lineRule="exact"/>
        <w:jc w:val="left"/>
        <w:rPr>
          <w:rFonts w:hAnsi="宋体"/>
        </w:rPr>
      </w:pPr>
      <w:r>
        <w:rPr>
          <w:rFonts w:hint="eastAsia" w:hAnsi="宋体"/>
        </w:rPr>
        <w:t xml:space="preserve">（1）《政府采购促进中小企业发展管理办法》（财库〔2020〕46号） </w:t>
      </w:r>
    </w:p>
    <w:p>
      <w:pPr>
        <w:spacing w:line="420" w:lineRule="exact"/>
        <w:jc w:val="left"/>
        <w:rPr>
          <w:rFonts w:hAnsi="宋体"/>
        </w:rPr>
      </w:pPr>
      <w:r>
        <w:rPr>
          <w:rFonts w:hint="eastAsia" w:hAnsi="宋体"/>
        </w:rPr>
        <w:t>（2）《财政部司法部关于政府采购支持监狱企业发展有关问题通知》（财库〔2014〕68号）；</w:t>
      </w:r>
    </w:p>
    <w:p>
      <w:pPr>
        <w:spacing w:line="420" w:lineRule="exact"/>
        <w:jc w:val="left"/>
        <w:rPr>
          <w:rFonts w:hAnsi="宋体"/>
        </w:rPr>
      </w:pPr>
      <w:r>
        <w:rPr>
          <w:rFonts w:hint="eastAsia" w:hAnsi="宋体"/>
        </w:rPr>
        <w:t>（3）《国务院办公厅关于建立政府强制采购节能产品制度的通知》（国办发〔2007〕51号）；</w:t>
      </w:r>
    </w:p>
    <w:p>
      <w:pPr>
        <w:spacing w:line="420" w:lineRule="exact"/>
        <w:jc w:val="left"/>
        <w:rPr>
          <w:rFonts w:hAnsi="宋体"/>
        </w:rPr>
      </w:pPr>
      <w:r>
        <w:rPr>
          <w:rFonts w:hint="eastAsia" w:hAnsi="宋体"/>
        </w:rPr>
        <w:t>（4）《环境标志产品政府采购实施的意见》（财库〔2006〕90号）；</w:t>
      </w:r>
    </w:p>
    <w:p>
      <w:pPr>
        <w:spacing w:line="420" w:lineRule="exact"/>
        <w:jc w:val="left"/>
        <w:rPr>
          <w:rFonts w:hAnsi="宋体"/>
        </w:rPr>
      </w:pPr>
      <w:r>
        <w:rPr>
          <w:rFonts w:hint="eastAsia" w:hAnsi="宋体"/>
        </w:rPr>
        <w:t>（5）《关于促进残疾人就业政府采购政策的通知》（财库〔2017〕141号）。</w:t>
      </w:r>
    </w:p>
    <w:p>
      <w:pPr>
        <w:spacing w:line="420" w:lineRule="exact"/>
        <w:jc w:val="left"/>
        <w:rPr>
          <w:rFonts w:hAnsi="宋体"/>
        </w:rPr>
      </w:pPr>
      <w:r>
        <w:rPr>
          <w:rFonts w:hint="eastAsia" w:hAnsi="宋体"/>
        </w:rPr>
        <w:t>（6）《陕西省中小企业政府采购信用融资办法》（陕财办采〔2018〕23号）；</w:t>
      </w:r>
    </w:p>
    <w:p>
      <w:pPr>
        <w:spacing w:line="420" w:lineRule="exact"/>
        <w:jc w:val="left"/>
        <w:rPr>
          <w:rFonts w:hAnsi="宋体"/>
        </w:rPr>
      </w:pPr>
      <w:r>
        <w:rPr>
          <w:rFonts w:hint="eastAsia" w:hAnsi="宋体"/>
        </w:rPr>
        <w:t>（7）其他需要落实的政府采购政策。</w:t>
      </w:r>
    </w:p>
    <w:p>
      <w:pPr>
        <w:pStyle w:val="92"/>
        <w:spacing w:line="420" w:lineRule="exact"/>
        <w:ind w:firstLine="0" w:firstLineChars="0"/>
        <w:rPr>
          <w:rFonts w:hAnsi="宋体" w:cs="宋体"/>
          <w:color w:val="auto"/>
        </w:rPr>
      </w:pPr>
      <w:r>
        <w:rPr>
          <w:rFonts w:hint="eastAsia" w:hAnsi="宋体" w:cs="宋体"/>
          <w:color w:val="auto"/>
        </w:rPr>
        <w:t>八、招标文件发售时间、地点：</w:t>
      </w:r>
    </w:p>
    <w:p>
      <w:pPr>
        <w:pStyle w:val="92"/>
        <w:spacing w:line="420" w:lineRule="exact"/>
        <w:ind w:firstLine="0" w:firstLineChars="0"/>
        <w:rPr>
          <w:rFonts w:hAnsi="宋体" w:cs="宋体"/>
          <w:color w:val="auto"/>
        </w:rPr>
      </w:pPr>
      <w:r>
        <w:rPr>
          <w:rFonts w:hint="eastAsia" w:hAnsi="宋体" w:cs="宋体"/>
          <w:color w:val="auto"/>
        </w:rPr>
        <w:t>1、发售时间：202</w:t>
      </w:r>
      <w:r>
        <w:rPr>
          <w:rFonts w:hAnsi="宋体" w:cs="宋体"/>
          <w:color w:val="auto"/>
        </w:rPr>
        <w:t>2</w:t>
      </w:r>
      <w:r>
        <w:rPr>
          <w:rFonts w:hint="eastAsia" w:hAnsi="宋体" w:cs="宋体"/>
          <w:color w:val="auto"/>
        </w:rPr>
        <w:t>年</w:t>
      </w:r>
      <w:r>
        <w:rPr>
          <w:rFonts w:hAnsi="宋体" w:cs="宋体"/>
          <w:color w:val="auto"/>
        </w:rPr>
        <w:t>07</w:t>
      </w:r>
      <w:r>
        <w:rPr>
          <w:rFonts w:hint="eastAsia" w:hAnsi="宋体" w:cs="宋体"/>
          <w:color w:val="auto"/>
        </w:rPr>
        <w:t>月</w:t>
      </w:r>
      <w:r>
        <w:rPr>
          <w:rFonts w:hAnsi="宋体" w:cs="宋体"/>
          <w:color w:val="auto"/>
        </w:rPr>
        <w:t>25</w:t>
      </w:r>
      <w:r>
        <w:rPr>
          <w:rFonts w:hint="eastAsia" w:hAnsi="宋体" w:cs="宋体"/>
          <w:color w:val="auto"/>
        </w:rPr>
        <w:t>日至20</w:t>
      </w:r>
      <w:r>
        <w:rPr>
          <w:rFonts w:hAnsi="宋体" w:cs="宋体"/>
          <w:color w:val="auto"/>
        </w:rPr>
        <w:t>22</w:t>
      </w:r>
      <w:r>
        <w:rPr>
          <w:rFonts w:hint="eastAsia" w:hAnsi="宋体" w:cs="宋体"/>
          <w:color w:val="auto"/>
        </w:rPr>
        <w:t>年</w:t>
      </w:r>
      <w:r>
        <w:rPr>
          <w:rFonts w:hAnsi="宋体" w:cs="宋体"/>
          <w:color w:val="auto"/>
        </w:rPr>
        <w:t>08</w:t>
      </w:r>
      <w:r>
        <w:rPr>
          <w:rFonts w:hint="eastAsia" w:hAnsi="宋体" w:cs="宋体"/>
          <w:color w:val="auto"/>
        </w:rPr>
        <w:t>月</w:t>
      </w:r>
      <w:r>
        <w:rPr>
          <w:rFonts w:hAnsi="宋体" w:cs="宋体"/>
          <w:color w:val="auto"/>
        </w:rPr>
        <w:t>01</w:t>
      </w:r>
      <w:r>
        <w:rPr>
          <w:rFonts w:hint="eastAsia" w:hAnsi="宋体" w:cs="宋体"/>
          <w:color w:val="auto"/>
        </w:rPr>
        <w:t>日上午9:00-11:30，下午13:00-16:30 （北京时间，法定节假日除外）。</w:t>
      </w:r>
    </w:p>
    <w:p>
      <w:pPr>
        <w:pStyle w:val="92"/>
        <w:spacing w:line="420" w:lineRule="exact"/>
        <w:ind w:firstLine="0" w:firstLineChars="0"/>
        <w:rPr>
          <w:rFonts w:hAnsi="宋体" w:cs="宋体"/>
          <w:color w:val="auto"/>
        </w:rPr>
      </w:pPr>
      <w:r>
        <w:rPr>
          <w:rFonts w:hint="eastAsia" w:hAnsi="宋体" w:cs="宋体"/>
          <w:color w:val="auto"/>
        </w:rPr>
        <w:t>2、发售地点：西安市高新区唐延路35号旺座现代城G座2301室</w:t>
      </w:r>
    </w:p>
    <w:p>
      <w:pPr>
        <w:tabs>
          <w:tab w:val="left" w:pos="1620"/>
        </w:tabs>
        <w:spacing w:line="420" w:lineRule="exact"/>
        <w:ind w:right="-226"/>
        <w:jc w:val="left"/>
        <w:rPr>
          <w:rFonts w:hAnsi="宋体" w:cs="宋体"/>
          <w:color w:val="auto"/>
        </w:rPr>
      </w:pPr>
      <w:r>
        <w:rPr>
          <w:rFonts w:hint="eastAsia" w:hAnsi="宋体" w:cs="宋体"/>
          <w:color w:val="auto"/>
        </w:rPr>
        <w:t>3、发售联系人：刘女士，电话：029-88854272转8001；</w:t>
      </w:r>
    </w:p>
    <w:p>
      <w:pPr>
        <w:pStyle w:val="92"/>
        <w:spacing w:line="420" w:lineRule="exact"/>
        <w:ind w:firstLine="0" w:firstLineChars="0"/>
        <w:rPr>
          <w:rFonts w:hAnsi="宋体" w:cs="宋体"/>
          <w:color w:val="auto"/>
        </w:rPr>
      </w:pPr>
      <w:r>
        <w:rPr>
          <w:rFonts w:hint="eastAsia" w:hAnsi="宋体" w:cs="宋体"/>
          <w:color w:val="auto"/>
        </w:rPr>
        <w:t>4、文件售价：人民币</w:t>
      </w:r>
      <w:r>
        <w:rPr>
          <w:rFonts w:hAnsi="宋体" w:cs="宋体"/>
          <w:color w:val="auto"/>
        </w:rPr>
        <w:t>5</w:t>
      </w:r>
      <w:r>
        <w:rPr>
          <w:rFonts w:hint="eastAsia" w:hAnsi="宋体" w:cs="宋体"/>
          <w:color w:val="auto"/>
        </w:rPr>
        <w:t>00元/套，招标文件谢绝邮寄，售后不退，投标资格不能转让。</w:t>
      </w:r>
    </w:p>
    <w:p>
      <w:pPr>
        <w:pStyle w:val="92"/>
        <w:spacing w:line="420" w:lineRule="exact"/>
        <w:ind w:firstLine="0" w:firstLineChars="0"/>
        <w:rPr>
          <w:rFonts w:hAnsi="宋体" w:cs="宋体"/>
          <w:color w:val="auto"/>
        </w:rPr>
      </w:pPr>
      <w:r>
        <w:rPr>
          <w:rFonts w:hint="eastAsia" w:hAnsi="宋体" w:cs="宋体"/>
          <w:color w:val="auto"/>
        </w:rPr>
        <w:t>供应商购买招标文件时请携带：1、单位介绍信；2、本人身份证复印件加盖公章。</w:t>
      </w:r>
    </w:p>
    <w:p>
      <w:pPr>
        <w:pStyle w:val="92"/>
        <w:spacing w:line="420" w:lineRule="exact"/>
        <w:ind w:firstLine="0" w:firstLineChars="0"/>
        <w:rPr>
          <w:rFonts w:hAnsi="宋体" w:cs="宋体"/>
          <w:color w:val="auto"/>
        </w:rPr>
      </w:pPr>
      <w:r>
        <w:rPr>
          <w:rFonts w:hint="eastAsia" w:hAnsi="宋体" w:cs="宋体"/>
          <w:color w:val="auto"/>
        </w:rPr>
        <w:t>九、投标文件递交截止时间及开标时间和地点：</w:t>
      </w:r>
    </w:p>
    <w:p>
      <w:pPr>
        <w:pStyle w:val="92"/>
        <w:spacing w:line="420" w:lineRule="exact"/>
        <w:ind w:firstLine="0" w:firstLineChars="0"/>
        <w:rPr>
          <w:rFonts w:hAnsi="宋体" w:cs="宋体"/>
          <w:color w:val="auto"/>
        </w:rPr>
      </w:pPr>
      <w:r>
        <w:rPr>
          <w:rFonts w:hint="eastAsia" w:hAnsi="宋体" w:cs="宋体"/>
          <w:color w:val="auto"/>
        </w:rPr>
        <w:t>1、投标文件递交截止时间：202</w:t>
      </w:r>
      <w:r>
        <w:rPr>
          <w:rFonts w:hAnsi="宋体" w:cs="宋体"/>
          <w:color w:val="auto"/>
        </w:rPr>
        <w:t>2</w:t>
      </w:r>
      <w:r>
        <w:rPr>
          <w:rFonts w:hint="eastAsia" w:hAnsi="宋体" w:cs="宋体"/>
          <w:color w:val="auto"/>
        </w:rPr>
        <w:t>年</w:t>
      </w:r>
      <w:r>
        <w:rPr>
          <w:rFonts w:hAnsi="宋体" w:cs="宋体"/>
          <w:color w:val="auto"/>
        </w:rPr>
        <w:t>08</w:t>
      </w:r>
      <w:r>
        <w:rPr>
          <w:rFonts w:hint="eastAsia" w:hAnsi="宋体" w:cs="宋体"/>
          <w:color w:val="auto"/>
        </w:rPr>
        <w:t>月</w:t>
      </w:r>
      <w:r>
        <w:rPr>
          <w:rFonts w:hAnsi="宋体" w:cs="宋体"/>
          <w:color w:val="auto"/>
        </w:rPr>
        <w:t>16</w:t>
      </w:r>
      <w:r>
        <w:rPr>
          <w:rFonts w:hint="eastAsia" w:hAnsi="宋体" w:cs="宋体"/>
          <w:color w:val="auto"/>
        </w:rPr>
        <w:t>日</w:t>
      </w:r>
      <w:r>
        <w:rPr>
          <w:rFonts w:hAnsi="宋体" w:cs="宋体"/>
          <w:color w:val="auto"/>
        </w:rPr>
        <w:t>14</w:t>
      </w:r>
      <w:r>
        <w:rPr>
          <w:rFonts w:hint="eastAsia" w:hAnsi="宋体" w:cs="宋体"/>
          <w:color w:val="auto"/>
        </w:rPr>
        <w:t>:30（北京时间）</w:t>
      </w:r>
    </w:p>
    <w:p>
      <w:pPr>
        <w:pStyle w:val="92"/>
        <w:spacing w:line="420" w:lineRule="exact"/>
        <w:ind w:firstLine="0" w:firstLineChars="0"/>
        <w:rPr>
          <w:rFonts w:hAnsi="宋体" w:cs="宋体"/>
          <w:color w:val="auto"/>
        </w:rPr>
      </w:pPr>
      <w:r>
        <w:rPr>
          <w:rFonts w:hint="eastAsia" w:hAnsi="宋体" w:cs="宋体"/>
          <w:color w:val="auto"/>
        </w:rPr>
        <w:t>2、开标时间：202</w:t>
      </w:r>
      <w:r>
        <w:rPr>
          <w:rFonts w:hAnsi="宋体" w:cs="宋体"/>
          <w:color w:val="auto"/>
        </w:rPr>
        <w:t>2</w:t>
      </w:r>
      <w:r>
        <w:rPr>
          <w:rFonts w:hint="eastAsia" w:hAnsi="宋体" w:cs="宋体"/>
          <w:color w:val="auto"/>
        </w:rPr>
        <w:t>年</w:t>
      </w:r>
      <w:r>
        <w:rPr>
          <w:rFonts w:hAnsi="宋体" w:cs="宋体"/>
          <w:color w:val="auto"/>
        </w:rPr>
        <w:t>08</w:t>
      </w:r>
      <w:r>
        <w:rPr>
          <w:rFonts w:hint="eastAsia" w:hAnsi="宋体" w:cs="宋体"/>
          <w:color w:val="auto"/>
        </w:rPr>
        <w:t>月</w:t>
      </w:r>
      <w:r>
        <w:rPr>
          <w:rFonts w:hAnsi="宋体" w:cs="宋体"/>
          <w:color w:val="auto"/>
        </w:rPr>
        <w:t>16</w:t>
      </w:r>
      <w:r>
        <w:rPr>
          <w:rFonts w:hint="eastAsia" w:hAnsi="宋体" w:cs="宋体"/>
          <w:color w:val="auto"/>
        </w:rPr>
        <w:t>日</w:t>
      </w:r>
      <w:r>
        <w:rPr>
          <w:rFonts w:hAnsi="宋体" w:cs="宋体"/>
          <w:color w:val="auto"/>
        </w:rPr>
        <w:t>14</w:t>
      </w:r>
      <w:r>
        <w:rPr>
          <w:rFonts w:hint="eastAsia" w:hAnsi="宋体" w:cs="宋体"/>
          <w:color w:val="auto"/>
        </w:rPr>
        <w:t>:30（北京时间）</w:t>
      </w:r>
    </w:p>
    <w:p>
      <w:pPr>
        <w:pStyle w:val="92"/>
        <w:spacing w:line="420" w:lineRule="exact"/>
        <w:ind w:firstLine="0" w:firstLineChars="0"/>
        <w:rPr>
          <w:rFonts w:hAnsi="宋体" w:cs="宋体"/>
          <w:color w:val="auto"/>
        </w:rPr>
      </w:pPr>
      <w:r>
        <w:rPr>
          <w:rFonts w:hint="eastAsia" w:hAnsi="宋体" w:cs="宋体"/>
          <w:color w:val="auto"/>
        </w:rPr>
        <w:t>3、开标地点：四川国际招标有限责任公司陕西分公司（西安市高新区唐延路35号旺座现代城G座2301室）。</w:t>
      </w:r>
    </w:p>
    <w:p>
      <w:pPr>
        <w:pStyle w:val="92"/>
        <w:spacing w:line="420" w:lineRule="exact"/>
        <w:ind w:firstLine="0" w:firstLineChars="0"/>
        <w:rPr>
          <w:rFonts w:hAnsi="宋体" w:cs="宋体"/>
          <w:color w:val="auto"/>
        </w:rPr>
      </w:pPr>
      <w:r>
        <w:rPr>
          <w:rFonts w:hint="eastAsia" w:hAnsi="宋体" w:cs="宋体"/>
          <w:color w:val="auto"/>
        </w:rPr>
        <w:t>十、其他应说明的事项：</w:t>
      </w:r>
    </w:p>
    <w:p>
      <w:pPr>
        <w:pStyle w:val="92"/>
        <w:spacing w:line="420" w:lineRule="exact"/>
        <w:ind w:firstLine="0" w:firstLineChars="0"/>
        <w:rPr>
          <w:rFonts w:hAnsi="宋体" w:cs="宋体"/>
          <w:color w:val="auto"/>
        </w:rPr>
      </w:pPr>
      <w:r>
        <w:rPr>
          <w:rFonts w:hint="eastAsia" w:hAnsi="宋体" w:cs="宋体"/>
          <w:color w:val="auto"/>
        </w:rPr>
        <w:t>采购项目联系人：谭先生</w:t>
      </w:r>
    </w:p>
    <w:p>
      <w:pPr>
        <w:pStyle w:val="92"/>
        <w:spacing w:line="420" w:lineRule="exact"/>
        <w:ind w:firstLine="0" w:firstLineChars="0"/>
        <w:rPr>
          <w:rFonts w:hAnsi="宋体" w:cs="宋体"/>
          <w:color w:val="auto"/>
        </w:rPr>
      </w:pPr>
      <w:r>
        <w:rPr>
          <w:rFonts w:hint="eastAsia" w:hAnsi="宋体" w:cs="宋体"/>
          <w:color w:val="auto"/>
        </w:rPr>
        <w:t>联系方式：029-88854272转8003</w:t>
      </w:r>
    </w:p>
    <w:p>
      <w:pPr>
        <w:pStyle w:val="92"/>
        <w:spacing w:line="420" w:lineRule="exact"/>
        <w:ind w:firstLine="0" w:firstLineChars="0"/>
        <w:rPr>
          <w:rFonts w:hAnsi="宋体" w:cs="宋体"/>
          <w:color w:val="auto"/>
        </w:rPr>
      </w:pPr>
      <w:r>
        <w:rPr>
          <w:rFonts w:hint="eastAsia" w:hAnsi="宋体" w:cs="宋体"/>
          <w:color w:val="auto"/>
        </w:rPr>
        <w:t>采购代理机构开户名称：四川国际招标有限责任公司陕西分公司</w:t>
      </w:r>
    </w:p>
    <w:p>
      <w:pPr>
        <w:pStyle w:val="92"/>
        <w:spacing w:line="420" w:lineRule="exact"/>
        <w:ind w:firstLine="0" w:firstLineChars="0"/>
        <w:rPr>
          <w:rFonts w:hAnsi="宋体" w:cs="宋体"/>
          <w:color w:val="auto"/>
        </w:rPr>
      </w:pPr>
      <w:r>
        <w:rPr>
          <w:rFonts w:hint="eastAsia" w:hAnsi="宋体" w:cs="宋体"/>
          <w:color w:val="auto"/>
        </w:rPr>
        <w:t>开户银行：中国民生银行股份有限公司西安高新开发区支行</w:t>
      </w:r>
    </w:p>
    <w:p>
      <w:pPr>
        <w:spacing w:line="420" w:lineRule="exact"/>
        <w:rPr>
          <w:rFonts w:hAnsi="宋体" w:cs="宋体"/>
          <w:color w:val="auto"/>
        </w:rPr>
      </w:pPr>
      <w:r>
        <w:rPr>
          <w:rFonts w:hint="eastAsia" w:hAnsi="宋体" w:cs="宋体"/>
          <w:color w:val="auto"/>
        </w:rPr>
        <w:t>账号：9902001773411374</w:t>
      </w:r>
    </w:p>
    <w:p>
      <w:pPr>
        <w:spacing w:line="420" w:lineRule="exact"/>
        <w:rPr>
          <w:rFonts w:hAnsi="宋体" w:cs="宋体"/>
          <w:color w:val="auto"/>
        </w:rPr>
      </w:pPr>
      <w:r>
        <w:rPr>
          <w:rFonts w:hint="eastAsia" w:hAnsi="宋体" w:cs="宋体"/>
          <w:color w:val="auto"/>
        </w:rPr>
        <w:t>十一、本采购公告的公告期限为5个工作日。</w:t>
      </w:r>
    </w:p>
    <w:p>
      <w:pPr>
        <w:pStyle w:val="92"/>
        <w:spacing w:line="420" w:lineRule="exact"/>
        <w:ind w:firstLine="5040" w:firstLineChars="2100"/>
        <w:rPr>
          <w:rFonts w:hAnsi="宋体" w:cs="宋体"/>
          <w:color w:val="auto"/>
        </w:rPr>
      </w:pPr>
      <w:r>
        <w:rPr>
          <w:rFonts w:hint="eastAsia" w:hAnsi="宋体" w:cs="宋体"/>
          <w:color w:val="auto"/>
        </w:rPr>
        <w:t>四川国际招标有限责任公司</w:t>
      </w:r>
    </w:p>
    <w:p>
      <w:pPr>
        <w:pStyle w:val="92"/>
        <w:spacing w:line="420" w:lineRule="exact"/>
        <w:ind w:firstLine="5880" w:firstLineChars="2450"/>
        <w:rPr>
          <w:rFonts w:hAnsi="宋体" w:cs="宋体"/>
          <w:color w:val="auto"/>
        </w:rPr>
      </w:pPr>
      <w:r>
        <w:rPr>
          <w:rFonts w:hint="eastAsia" w:hAnsi="宋体" w:cs="宋体"/>
          <w:color w:val="auto"/>
        </w:rPr>
        <w:t>202</w:t>
      </w:r>
      <w:r>
        <w:rPr>
          <w:rFonts w:hAnsi="宋体" w:cs="宋体"/>
          <w:color w:val="auto"/>
        </w:rPr>
        <w:t>2</w:t>
      </w:r>
      <w:r>
        <w:rPr>
          <w:rFonts w:hint="eastAsia" w:hAnsi="宋体" w:cs="宋体"/>
          <w:color w:val="auto"/>
        </w:rPr>
        <w:t>年</w:t>
      </w:r>
      <w:r>
        <w:rPr>
          <w:rFonts w:hAnsi="宋体" w:cs="宋体"/>
          <w:color w:val="auto"/>
        </w:rPr>
        <w:t>07</w:t>
      </w:r>
      <w:r>
        <w:rPr>
          <w:rFonts w:hint="eastAsia" w:hAnsi="宋体" w:cs="宋体"/>
          <w:color w:val="auto"/>
        </w:rPr>
        <w:t>月</w:t>
      </w:r>
    </w:p>
    <w:p>
      <w:pPr>
        <w:pStyle w:val="3"/>
        <w:spacing w:line="360" w:lineRule="auto"/>
        <w:jc w:val="center"/>
        <w:rPr>
          <w:rFonts w:hAnsi="宋体" w:cs="宋体"/>
        </w:rPr>
      </w:pPr>
      <w:bookmarkStart w:id="18" w:name="_Toc17487"/>
      <w:bookmarkStart w:id="19" w:name="_Toc20173"/>
      <w:bookmarkStart w:id="20" w:name="_Toc13578"/>
      <w:r>
        <w:rPr>
          <w:rFonts w:hint="eastAsia" w:hAnsi="宋体" w:cs="宋体"/>
          <w:sz w:val="24"/>
          <w:szCs w:val="24"/>
        </w:rPr>
        <w:br w:type="page"/>
      </w:r>
      <w:r>
        <w:rPr>
          <w:rFonts w:hint="eastAsia" w:hAnsi="宋体" w:cs="宋体"/>
        </w:rPr>
        <w:t>第二章投标人须知</w:t>
      </w:r>
      <w:bookmarkEnd w:id="7"/>
      <w:bookmarkEnd w:id="8"/>
      <w:bookmarkEnd w:id="9"/>
      <w:bookmarkEnd w:id="10"/>
      <w:bookmarkEnd w:id="11"/>
      <w:bookmarkEnd w:id="12"/>
      <w:bookmarkEnd w:id="13"/>
      <w:bookmarkEnd w:id="14"/>
      <w:bookmarkEnd w:id="15"/>
      <w:bookmarkEnd w:id="18"/>
      <w:bookmarkEnd w:id="19"/>
      <w:bookmarkEnd w:id="20"/>
      <w:bookmarkStart w:id="21" w:name="_Toc217446032"/>
      <w:bookmarkStart w:id="22" w:name="_Toc213396760"/>
      <w:bookmarkStart w:id="23" w:name="_Toc213396946"/>
      <w:bookmarkStart w:id="24" w:name="_Toc189727030"/>
      <w:bookmarkStart w:id="25" w:name="_Toc213496268"/>
      <w:bookmarkStart w:id="26" w:name="_Toc213397010"/>
    </w:p>
    <w:p>
      <w:pPr>
        <w:keepNext/>
        <w:keepLines/>
        <w:spacing w:before="340" w:after="330" w:line="360" w:lineRule="auto"/>
        <w:jc w:val="center"/>
        <w:rPr>
          <w:rFonts w:hAnsi="宋体" w:cs="宋体"/>
          <w:color w:val="auto"/>
          <w:sz w:val="36"/>
          <w:szCs w:val="36"/>
        </w:rPr>
      </w:pPr>
      <w:bookmarkStart w:id="27" w:name="_Toc4373"/>
      <w:bookmarkStart w:id="28" w:name="_Toc12315"/>
      <w:bookmarkStart w:id="29" w:name="_Toc22279"/>
      <w:bookmarkStart w:id="30" w:name="_Toc8615"/>
      <w:bookmarkStart w:id="31" w:name="_Toc20817"/>
      <w:bookmarkStart w:id="32" w:name="_Toc5181"/>
      <w:r>
        <w:rPr>
          <w:rFonts w:hint="eastAsia" w:hAnsi="宋体" w:cs="宋体"/>
          <w:color w:val="auto"/>
          <w:sz w:val="36"/>
          <w:szCs w:val="36"/>
        </w:rPr>
        <w:t>一、投标人须知前附表</w:t>
      </w:r>
      <w:bookmarkEnd w:id="21"/>
      <w:bookmarkEnd w:id="22"/>
      <w:bookmarkEnd w:id="23"/>
      <w:bookmarkEnd w:id="24"/>
      <w:bookmarkEnd w:id="25"/>
      <w:bookmarkEnd w:id="26"/>
      <w:bookmarkEnd w:id="27"/>
      <w:bookmarkEnd w:id="28"/>
      <w:bookmarkEnd w:id="29"/>
      <w:bookmarkEnd w:id="30"/>
      <w:bookmarkEnd w:id="31"/>
      <w:bookmarkEnd w:id="32"/>
    </w:p>
    <w:tbl>
      <w:tblPr>
        <w:tblStyle w:val="32"/>
        <w:tblW w:w="868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532"/>
        <w:gridCol w:w="1780"/>
        <w:gridCol w:w="63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1" w:hRule="exact"/>
          <w:tblHeader/>
          <w:jc w:val="center"/>
        </w:trPr>
        <w:tc>
          <w:tcPr>
            <w:tcW w:w="532" w:type="dxa"/>
            <w:vAlign w:val="center"/>
          </w:tcPr>
          <w:p>
            <w:pPr>
              <w:pStyle w:val="108"/>
              <w:spacing w:line="360" w:lineRule="auto"/>
              <w:ind w:left="9"/>
              <w:jc w:val="center"/>
              <w:rPr>
                <w:color w:val="auto"/>
                <w:kern w:val="2"/>
                <w:sz w:val="21"/>
                <w:szCs w:val="21"/>
              </w:rPr>
            </w:pPr>
            <w:r>
              <w:rPr>
                <w:rFonts w:hint="eastAsia"/>
                <w:color w:val="auto"/>
                <w:kern w:val="2"/>
                <w:sz w:val="21"/>
                <w:szCs w:val="21"/>
              </w:rPr>
              <w:t>序号</w:t>
            </w:r>
          </w:p>
        </w:tc>
        <w:tc>
          <w:tcPr>
            <w:tcW w:w="1780" w:type="dxa"/>
            <w:vAlign w:val="center"/>
          </w:tcPr>
          <w:p>
            <w:pPr>
              <w:pStyle w:val="108"/>
              <w:spacing w:line="360" w:lineRule="auto"/>
              <w:ind w:left="38"/>
              <w:jc w:val="center"/>
              <w:rPr>
                <w:color w:val="auto"/>
                <w:kern w:val="2"/>
                <w:sz w:val="21"/>
                <w:szCs w:val="21"/>
              </w:rPr>
            </w:pPr>
            <w:r>
              <w:rPr>
                <w:rFonts w:hint="eastAsia"/>
                <w:color w:val="auto"/>
                <w:kern w:val="2"/>
                <w:sz w:val="21"/>
                <w:szCs w:val="21"/>
              </w:rPr>
              <w:t>应知事项</w:t>
            </w:r>
          </w:p>
        </w:tc>
        <w:tc>
          <w:tcPr>
            <w:tcW w:w="6374" w:type="dxa"/>
            <w:vAlign w:val="center"/>
          </w:tcPr>
          <w:p>
            <w:pPr>
              <w:pStyle w:val="108"/>
              <w:spacing w:line="360" w:lineRule="auto"/>
              <w:jc w:val="center"/>
              <w:rPr>
                <w:color w:val="auto"/>
                <w:kern w:val="2"/>
                <w:sz w:val="21"/>
                <w:szCs w:val="21"/>
              </w:rPr>
            </w:pPr>
            <w:r>
              <w:rPr>
                <w:rFonts w:hint="eastAsia"/>
                <w:color w:val="auto"/>
                <w:kern w:val="2"/>
                <w:sz w:val="21"/>
                <w:szCs w:val="21"/>
              </w:rPr>
              <w:t>说明和要求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774" w:hRule="exact"/>
          <w:jc w:val="center"/>
        </w:trPr>
        <w:tc>
          <w:tcPr>
            <w:tcW w:w="532" w:type="dxa"/>
            <w:vAlign w:val="center"/>
          </w:tcPr>
          <w:p>
            <w:pPr>
              <w:pStyle w:val="108"/>
              <w:spacing w:line="360" w:lineRule="auto"/>
              <w:ind w:right="230"/>
              <w:jc w:val="center"/>
              <w:rPr>
                <w:color w:val="auto"/>
                <w:kern w:val="2"/>
                <w:sz w:val="21"/>
                <w:szCs w:val="21"/>
              </w:rPr>
            </w:pPr>
            <w:r>
              <w:rPr>
                <w:rFonts w:hint="eastAsia"/>
                <w:color w:val="auto"/>
                <w:kern w:val="2"/>
                <w:sz w:val="21"/>
                <w:szCs w:val="21"/>
              </w:rPr>
              <w:t xml:space="preserve"> 1</w:t>
            </w:r>
          </w:p>
        </w:tc>
        <w:tc>
          <w:tcPr>
            <w:tcW w:w="1780" w:type="dxa"/>
            <w:vAlign w:val="center"/>
          </w:tcPr>
          <w:p>
            <w:pPr>
              <w:pStyle w:val="108"/>
              <w:spacing w:line="360" w:lineRule="auto"/>
              <w:ind w:left="38"/>
              <w:rPr>
                <w:color w:val="auto"/>
                <w:kern w:val="2"/>
                <w:sz w:val="21"/>
                <w:szCs w:val="21"/>
              </w:rPr>
            </w:pPr>
            <w:r>
              <w:rPr>
                <w:rFonts w:hint="eastAsia"/>
                <w:color w:val="auto"/>
                <w:kern w:val="2"/>
                <w:sz w:val="21"/>
                <w:szCs w:val="21"/>
                <w:lang w:val="zh-CN"/>
              </w:rPr>
              <w:t>采购预算</w:t>
            </w:r>
          </w:p>
        </w:tc>
        <w:tc>
          <w:tcPr>
            <w:tcW w:w="6374" w:type="dxa"/>
            <w:vAlign w:val="center"/>
          </w:tcPr>
          <w:p>
            <w:pPr>
              <w:pStyle w:val="108"/>
              <w:spacing w:line="360" w:lineRule="auto"/>
              <w:rPr>
                <w:color w:val="auto"/>
                <w:kern w:val="2"/>
                <w:sz w:val="21"/>
                <w:szCs w:val="21"/>
              </w:rPr>
            </w:pPr>
            <w:r>
              <w:rPr>
                <w:rFonts w:hint="eastAsia"/>
                <w:color w:val="auto"/>
                <w:kern w:val="2"/>
                <w:sz w:val="21"/>
                <w:szCs w:val="21"/>
              </w:rPr>
              <w:t>本项目报价不能超过政府采购预算：</w:t>
            </w:r>
          </w:p>
          <w:p>
            <w:pPr>
              <w:pStyle w:val="108"/>
              <w:spacing w:line="360" w:lineRule="auto"/>
              <w:rPr>
                <w:sz w:val="21"/>
                <w:szCs w:val="21"/>
              </w:rPr>
            </w:pPr>
            <w:r>
              <w:rPr>
                <w:sz w:val="21"/>
                <w:szCs w:val="21"/>
                <w:u w:val="single"/>
              </w:rPr>
              <w:t>96</w:t>
            </w:r>
            <w:r>
              <w:rPr>
                <w:sz w:val="21"/>
                <w:szCs w:val="21"/>
              </w:rPr>
              <w:t>万元</w:t>
            </w:r>
            <w:r>
              <w:rPr>
                <w:rFonts w:hint="eastAsia"/>
                <w:sz w:val="21"/>
                <w:szCs w:val="21"/>
              </w:rPr>
              <w:t>。</w:t>
            </w:r>
            <w:r>
              <w:rPr>
                <w:rFonts w:hint="eastAsia"/>
                <w:color w:val="auto"/>
                <w:kern w:val="2"/>
                <w:sz w:val="21"/>
                <w:szCs w:val="21"/>
              </w:rPr>
              <w:t>最高限价：</w:t>
            </w:r>
            <w:r>
              <w:rPr>
                <w:rFonts w:hint="eastAsia"/>
                <w:color w:val="auto"/>
                <w:kern w:val="2"/>
                <w:sz w:val="21"/>
                <w:szCs w:val="21"/>
                <w:u w:val="single"/>
              </w:rPr>
              <w:t>9</w:t>
            </w:r>
            <w:r>
              <w:rPr>
                <w:color w:val="auto"/>
                <w:kern w:val="2"/>
                <w:sz w:val="21"/>
                <w:szCs w:val="21"/>
                <w:u w:val="single"/>
              </w:rPr>
              <w:t>0</w:t>
            </w:r>
            <w:r>
              <w:rPr>
                <w:rFonts w:hint="eastAsia"/>
                <w:color w:val="auto"/>
                <w:kern w:val="2"/>
                <w:sz w:val="21"/>
                <w:szCs w:val="21"/>
              </w:rPr>
              <w:t>万元</w:t>
            </w:r>
          </w:p>
          <w:p>
            <w:pPr>
              <w:pStyle w:val="108"/>
              <w:spacing w:line="360" w:lineRule="auto"/>
              <w:rPr>
                <w:color w:val="auto"/>
                <w:kern w:val="2"/>
                <w:sz w:val="21"/>
                <w:szCs w:val="21"/>
              </w:rPr>
            </w:pPr>
            <w:r>
              <w:rPr>
                <w:rFonts w:hint="eastAsia"/>
                <w:color w:val="auto"/>
                <w:kern w:val="2"/>
                <w:sz w:val="21"/>
                <w:szCs w:val="21"/>
              </w:rPr>
              <w:t>投标报价超过采购预算（最高限价）的投标文件，将被视为无效投标文件。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40" w:hRule="exact"/>
          <w:jc w:val="center"/>
        </w:trPr>
        <w:tc>
          <w:tcPr>
            <w:tcW w:w="532" w:type="dxa"/>
            <w:vAlign w:val="center"/>
          </w:tcPr>
          <w:p>
            <w:pPr>
              <w:pStyle w:val="108"/>
              <w:spacing w:line="360" w:lineRule="auto"/>
              <w:ind w:right="230"/>
              <w:jc w:val="center"/>
              <w:rPr>
                <w:color w:val="auto"/>
                <w:kern w:val="2"/>
                <w:sz w:val="21"/>
                <w:szCs w:val="21"/>
              </w:rPr>
            </w:pPr>
            <w:r>
              <w:rPr>
                <w:rFonts w:hint="eastAsia"/>
                <w:color w:val="auto"/>
                <w:kern w:val="2"/>
                <w:sz w:val="21"/>
                <w:szCs w:val="21"/>
              </w:rPr>
              <w:t xml:space="preserve"> 2</w:t>
            </w:r>
          </w:p>
          <w:p>
            <w:pPr>
              <w:pStyle w:val="108"/>
              <w:spacing w:line="360" w:lineRule="auto"/>
              <w:ind w:right="230"/>
              <w:jc w:val="center"/>
              <w:rPr>
                <w:color w:val="auto"/>
                <w:kern w:val="2"/>
                <w:sz w:val="21"/>
                <w:szCs w:val="21"/>
              </w:rPr>
            </w:pPr>
          </w:p>
        </w:tc>
        <w:tc>
          <w:tcPr>
            <w:tcW w:w="1780" w:type="dxa"/>
            <w:vAlign w:val="center"/>
          </w:tcPr>
          <w:p>
            <w:pPr>
              <w:pStyle w:val="108"/>
              <w:spacing w:line="360" w:lineRule="auto"/>
              <w:ind w:left="38"/>
              <w:rPr>
                <w:color w:val="auto"/>
                <w:kern w:val="2"/>
                <w:sz w:val="21"/>
                <w:szCs w:val="21"/>
              </w:rPr>
            </w:pPr>
            <w:r>
              <w:rPr>
                <w:rFonts w:hint="eastAsia"/>
                <w:color w:val="auto"/>
                <w:kern w:val="2"/>
                <w:sz w:val="21"/>
                <w:szCs w:val="21"/>
              </w:rPr>
              <w:t>采购方式</w:t>
            </w:r>
          </w:p>
        </w:tc>
        <w:tc>
          <w:tcPr>
            <w:tcW w:w="6374" w:type="dxa"/>
            <w:vAlign w:val="center"/>
          </w:tcPr>
          <w:p>
            <w:pPr>
              <w:pStyle w:val="108"/>
              <w:spacing w:line="360" w:lineRule="auto"/>
              <w:ind w:firstLine="105" w:firstLineChars="50"/>
              <w:rPr>
                <w:color w:val="auto"/>
                <w:kern w:val="2"/>
                <w:sz w:val="21"/>
                <w:szCs w:val="21"/>
              </w:rPr>
            </w:pPr>
            <w:r>
              <w:rPr>
                <w:rFonts w:hint="eastAsia"/>
                <w:color w:val="auto"/>
                <w:kern w:val="2"/>
                <w:sz w:val="21"/>
                <w:szCs w:val="21"/>
              </w:rPr>
              <w:t>公开招标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14" w:hRule="atLeast"/>
          <w:jc w:val="center"/>
        </w:trPr>
        <w:tc>
          <w:tcPr>
            <w:tcW w:w="532" w:type="dxa"/>
            <w:vAlign w:val="center"/>
          </w:tcPr>
          <w:p>
            <w:pPr>
              <w:pStyle w:val="108"/>
              <w:spacing w:line="360" w:lineRule="auto"/>
              <w:ind w:right="230"/>
              <w:jc w:val="center"/>
              <w:rPr>
                <w:color w:val="auto"/>
                <w:kern w:val="2"/>
                <w:sz w:val="21"/>
                <w:szCs w:val="21"/>
              </w:rPr>
            </w:pPr>
            <w:r>
              <w:rPr>
                <w:rFonts w:hint="eastAsia"/>
                <w:color w:val="auto"/>
                <w:kern w:val="2"/>
                <w:sz w:val="21"/>
                <w:szCs w:val="21"/>
              </w:rPr>
              <w:t xml:space="preserve"> 3</w:t>
            </w:r>
          </w:p>
        </w:tc>
        <w:tc>
          <w:tcPr>
            <w:tcW w:w="1780" w:type="dxa"/>
            <w:vAlign w:val="center"/>
          </w:tcPr>
          <w:p>
            <w:pPr>
              <w:pStyle w:val="108"/>
              <w:spacing w:line="360" w:lineRule="auto"/>
              <w:rPr>
                <w:color w:val="auto"/>
                <w:kern w:val="2"/>
                <w:sz w:val="21"/>
                <w:szCs w:val="21"/>
              </w:rPr>
            </w:pPr>
            <w:r>
              <w:rPr>
                <w:rFonts w:hint="eastAsia"/>
                <w:color w:val="auto"/>
                <w:kern w:val="2"/>
                <w:sz w:val="21"/>
                <w:szCs w:val="21"/>
              </w:rPr>
              <w:t>评标方法</w:t>
            </w:r>
          </w:p>
        </w:tc>
        <w:tc>
          <w:tcPr>
            <w:tcW w:w="6374" w:type="dxa"/>
            <w:vAlign w:val="center"/>
          </w:tcPr>
          <w:p>
            <w:pPr>
              <w:pStyle w:val="108"/>
              <w:spacing w:line="360" w:lineRule="auto"/>
              <w:ind w:firstLine="105" w:firstLineChars="50"/>
              <w:rPr>
                <w:color w:val="auto"/>
                <w:kern w:val="2"/>
                <w:sz w:val="21"/>
                <w:szCs w:val="21"/>
              </w:rPr>
            </w:pPr>
            <w:r>
              <w:rPr>
                <w:rFonts w:hint="eastAsia"/>
                <w:color w:val="auto"/>
                <w:kern w:val="2"/>
                <w:sz w:val="21"/>
                <w:szCs w:val="21"/>
              </w:rPr>
              <w:t>综合评分法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60" w:hRule="atLeast"/>
          <w:jc w:val="center"/>
        </w:trPr>
        <w:tc>
          <w:tcPr>
            <w:tcW w:w="532" w:type="dxa"/>
            <w:vAlign w:val="center"/>
          </w:tcPr>
          <w:p>
            <w:pPr>
              <w:pStyle w:val="108"/>
              <w:spacing w:line="360" w:lineRule="auto"/>
              <w:ind w:right="230"/>
              <w:jc w:val="center"/>
              <w:rPr>
                <w:color w:val="auto"/>
                <w:kern w:val="2"/>
                <w:sz w:val="21"/>
                <w:szCs w:val="21"/>
              </w:rPr>
            </w:pPr>
            <w:r>
              <w:rPr>
                <w:rFonts w:hint="eastAsia"/>
                <w:color w:val="auto"/>
                <w:kern w:val="2"/>
                <w:sz w:val="21"/>
                <w:szCs w:val="21"/>
              </w:rPr>
              <w:t xml:space="preserve"> 4</w:t>
            </w:r>
          </w:p>
        </w:tc>
        <w:tc>
          <w:tcPr>
            <w:tcW w:w="1780" w:type="dxa"/>
            <w:vAlign w:val="center"/>
          </w:tcPr>
          <w:p>
            <w:pPr>
              <w:pStyle w:val="108"/>
              <w:spacing w:line="360" w:lineRule="auto"/>
              <w:ind w:left="96"/>
              <w:rPr>
                <w:color w:val="auto"/>
                <w:kern w:val="2"/>
                <w:sz w:val="21"/>
                <w:szCs w:val="21"/>
              </w:rPr>
            </w:pPr>
            <w:r>
              <w:rPr>
                <w:rFonts w:hint="eastAsia"/>
                <w:color w:val="auto"/>
                <w:kern w:val="2"/>
                <w:sz w:val="21"/>
                <w:szCs w:val="21"/>
              </w:rPr>
              <w:t>投标保证金</w:t>
            </w:r>
          </w:p>
        </w:tc>
        <w:tc>
          <w:tcPr>
            <w:tcW w:w="6374" w:type="dxa"/>
            <w:vAlign w:val="center"/>
          </w:tcPr>
          <w:p>
            <w:pPr>
              <w:pStyle w:val="108"/>
              <w:spacing w:line="360" w:lineRule="auto"/>
              <w:rPr>
                <w:color w:val="auto"/>
                <w:sz w:val="21"/>
                <w:szCs w:val="21"/>
              </w:rPr>
            </w:pPr>
            <w:r>
              <w:rPr>
                <w:rFonts w:hint="eastAsia"/>
                <w:color w:val="auto"/>
                <w:sz w:val="21"/>
                <w:szCs w:val="21"/>
              </w:rPr>
              <w:t>投标保证金额（人民币）：</w:t>
            </w:r>
          </w:p>
          <w:p>
            <w:pPr>
              <w:ind w:left="1597" w:leftChars="53" w:hanging="1470" w:hangingChars="700"/>
              <w:jc w:val="left"/>
              <w:rPr>
                <w:rFonts w:hAnsi="宋体"/>
                <w:sz w:val="21"/>
                <w:szCs w:val="21"/>
              </w:rPr>
            </w:pPr>
            <w:bookmarkStart w:id="33" w:name="OLE_LINK19"/>
            <w:bookmarkStart w:id="34" w:name="OLE_LINK6"/>
            <w:bookmarkStart w:id="35" w:name="OLE_LINK18"/>
            <w:r>
              <w:rPr>
                <w:rFonts w:hAnsi="宋体"/>
                <w:sz w:val="21"/>
                <w:szCs w:val="21"/>
              </w:rPr>
              <w:t>人民币18000元。</w:t>
            </w:r>
          </w:p>
          <w:p>
            <w:pPr>
              <w:pStyle w:val="108"/>
              <w:spacing w:line="360" w:lineRule="auto"/>
              <w:rPr>
                <w:color w:val="auto"/>
                <w:sz w:val="21"/>
                <w:szCs w:val="21"/>
              </w:rPr>
            </w:pPr>
            <w:r>
              <w:rPr>
                <w:rFonts w:hint="eastAsia"/>
                <w:color w:val="auto"/>
                <w:sz w:val="21"/>
                <w:szCs w:val="21"/>
              </w:rPr>
              <w:t>交款方式：投标保证金应当以网银、支票、汇票、本票或</w:t>
            </w:r>
            <w:r>
              <w:rPr>
                <w:rFonts w:hint="eastAsia"/>
                <w:color w:val="auto"/>
                <w:sz w:val="21"/>
                <w:szCs w:val="21"/>
                <w:lang w:val="zh-CN"/>
              </w:rPr>
              <w:t>金融机构出具的保函</w:t>
            </w:r>
            <w:r>
              <w:rPr>
                <w:rFonts w:hint="eastAsia"/>
                <w:color w:val="auto"/>
                <w:sz w:val="21"/>
                <w:szCs w:val="21"/>
              </w:rPr>
              <w:t>等非现金形式交纳。投标人未按照招标文件规定交纳投标保证金的，</w:t>
            </w:r>
            <w:bookmarkStart w:id="36" w:name="OLE_LINK13"/>
            <w:r>
              <w:rPr>
                <w:rFonts w:hint="eastAsia"/>
                <w:color w:val="auto"/>
                <w:sz w:val="21"/>
                <w:szCs w:val="21"/>
              </w:rPr>
              <w:t>投标无效。</w:t>
            </w:r>
            <w:bookmarkEnd w:id="36"/>
            <w:r>
              <w:rPr>
                <w:rFonts w:hint="eastAsia"/>
                <w:b/>
                <w:bCs/>
                <w:color w:val="auto"/>
                <w:sz w:val="21"/>
                <w:szCs w:val="21"/>
              </w:rPr>
              <w:t>保证金交纳截止时间为到账时间</w:t>
            </w:r>
            <w:r>
              <w:rPr>
                <w:rFonts w:hint="eastAsia"/>
                <w:color w:val="auto"/>
                <w:sz w:val="21"/>
                <w:szCs w:val="21"/>
              </w:rPr>
              <w:t>。请各报名供应商在规定时间内交纳投标保证金，避免因银行退票等，出现保证金未按时到账等情况影响正常投标</w:t>
            </w:r>
            <w:r>
              <w:rPr>
                <w:rFonts w:hint="eastAsia"/>
                <w:color w:val="auto"/>
                <w:sz w:val="21"/>
                <w:szCs w:val="21"/>
                <w:lang w:val="zh-CN"/>
              </w:rPr>
              <w:t>（若以保函方式提交的，必须在保证金截止时间前开具</w:t>
            </w:r>
            <w:r>
              <w:rPr>
                <w:rFonts w:hint="eastAsia"/>
                <w:sz w:val="21"/>
                <w:szCs w:val="21"/>
                <w:lang w:val="zh-CN"/>
              </w:rPr>
              <w:t>，且须在递交</w:t>
            </w:r>
            <w:r>
              <w:rPr>
                <w:sz w:val="21"/>
                <w:szCs w:val="21"/>
                <w:lang w:val="zh-CN"/>
              </w:rPr>
              <w:t>投标</w:t>
            </w:r>
            <w:r>
              <w:rPr>
                <w:rFonts w:hint="eastAsia"/>
                <w:sz w:val="21"/>
                <w:szCs w:val="21"/>
                <w:lang w:val="zh-CN"/>
              </w:rPr>
              <w:t>文件截止</w:t>
            </w:r>
            <w:r>
              <w:rPr>
                <w:sz w:val="21"/>
                <w:szCs w:val="21"/>
                <w:lang w:val="zh-CN"/>
              </w:rPr>
              <w:t>时间前</w:t>
            </w:r>
            <w:r>
              <w:rPr>
                <w:rFonts w:hint="eastAsia"/>
                <w:sz w:val="21"/>
                <w:szCs w:val="21"/>
                <w:lang w:val="zh-CN"/>
              </w:rPr>
              <w:t>提交</w:t>
            </w:r>
            <w:r>
              <w:rPr>
                <w:sz w:val="21"/>
                <w:szCs w:val="21"/>
                <w:lang w:val="zh-CN"/>
              </w:rPr>
              <w:t>保函原件到采购代理机构财务室</w:t>
            </w:r>
            <w:r>
              <w:rPr>
                <w:rFonts w:hint="eastAsia"/>
                <w:color w:val="auto"/>
                <w:sz w:val="21"/>
                <w:szCs w:val="21"/>
                <w:lang w:val="zh-CN"/>
              </w:rPr>
              <w:t>）</w:t>
            </w:r>
            <w:r>
              <w:rPr>
                <w:rFonts w:hint="eastAsia"/>
                <w:color w:val="auto"/>
                <w:sz w:val="21"/>
                <w:szCs w:val="21"/>
              </w:rPr>
              <w:t>。</w:t>
            </w:r>
          </w:p>
          <w:p>
            <w:pPr>
              <w:pStyle w:val="108"/>
              <w:spacing w:line="360" w:lineRule="auto"/>
              <w:ind w:firstLine="316" w:firstLineChars="150"/>
              <w:rPr>
                <w:b/>
                <w:color w:val="auto"/>
                <w:sz w:val="21"/>
                <w:szCs w:val="21"/>
              </w:rPr>
            </w:pPr>
            <w:r>
              <w:rPr>
                <w:rFonts w:hint="eastAsia"/>
                <w:b/>
                <w:color w:val="auto"/>
                <w:sz w:val="21"/>
                <w:szCs w:val="21"/>
              </w:rPr>
              <w:t>请务必在转款时在摘要处注明:项目编号，同时请电话查询是否到账：（029-88854271转8015），投标时只需将银行出具的保证金交纳凭证复印件</w:t>
            </w:r>
            <w:r>
              <w:rPr>
                <w:rFonts w:hint="eastAsia"/>
                <w:b/>
                <w:sz w:val="21"/>
                <w:szCs w:val="21"/>
              </w:rPr>
              <w:t>（或</w:t>
            </w:r>
            <w:r>
              <w:rPr>
                <w:b/>
                <w:sz w:val="21"/>
                <w:szCs w:val="21"/>
              </w:rPr>
              <w:t>电汇</w:t>
            </w:r>
            <w:r>
              <w:rPr>
                <w:rFonts w:hint="eastAsia"/>
                <w:b/>
                <w:sz w:val="21"/>
                <w:szCs w:val="21"/>
              </w:rPr>
              <w:t>凭证</w:t>
            </w:r>
            <w:r>
              <w:rPr>
                <w:b/>
                <w:sz w:val="21"/>
                <w:szCs w:val="21"/>
              </w:rPr>
              <w:t>复印件</w:t>
            </w:r>
            <w:r>
              <w:rPr>
                <w:rFonts w:hint="eastAsia"/>
                <w:b/>
                <w:sz w:val="21"/>
                <w:szCs w:val="21"/>
              </w:rPr>
              <w:t>或</w:t>
            </w:r>
            <w:r>
              <w:rPr>
                <w:b/>
                <w:sz w:val="21"/>
                <w:szCs w:val="21"/>
              </w:rPr>
              <w:t>采购代理机构</w:t>
            </w:r>
            <w:r>
              <w:rPr>
                <w:rFonts w:hint="eastAsia"/>
                <w:b/>
                <w:sz w:val="21"/>
                <w:szCs w:val="21"/>
              </w:rPr>
              <w:t>出具</w:t>
            </w:r>
            <w:r>
              <w:rPr>
                <w:b/>
                <w:sz w:val="21"/>
                <w:szCs w:val="21"/>
              </w:rPr>
              <w:t>的收据</w:t>
            </w:r>
            <w:r>
              <w:rPr>
                <w:rFonts w:hint="eastAsia"/>
                <w:b/>
                <w:sz w:val="21"/>
                <w:szCs w:val="21"/>
              </w:rPr>
              <w:t>复印件等）</w:t>
            </w:r>
            <w:r>
              <w:rPr>
                <w:rFonts w:hint="eastAsia"/>
                <w:b/>
                <w:color w:val="auto"/>
                <w:sz w:val="21"/>
                <w:szCs w:val="21"/>
              </w:rPr>
              <w:t>加盖公章放入投标文件正本中即可</w:t>
            </w:r>
            <w:bookmarkEnd w:id="33"/>
            <w:r>
              <w:rPr>
                <w:rFonts w:hint="eastAsia"/>
                <w:b/>
                <w:color w:val="auto"/>
                <w:sz w:val="21"/>
                <w:szCs w:val="21"/>
              </w:rPr>
              <w:t>。</w:t>
            </w:r>
            <w:bookmarkEnd w:id="34"/>
          </w:p>
          <w:bookmarkEnd w:id="35"/>
          <w:p>
            <w:pPr>
              <w:pStyle w:val="108"/>
              <w:spacing w:line="360" w:lineRule="auto"/>
              <w:ind w:firstLine="210" w:firstLineChars="100"/>
              <w:rPr>
                <w:color w:val="auto"/>
                <w:sz w:val="21"/>
                <w:szCs w:val="21"/>
              </w:rPr>
            </w:pPr>
            <w:r>
              <w:rPr>
                <w:rFonts w:hint="eastAsia"/>
                <w:color w:val="auto"/>
                <w:sz w:val="21"/>
                <w:szCs w:val="21"/>
              </w:rPr>
              <w:t>收款单位：四川国际招标有限责任公司陕西分公司</w:t>
            </w:r>
          </w:p>
          <w:p>
            <w:pPr>
              <w:pStyle w:val="108"/>
              <w:spacing w:line="360" w:lineRule="auto"/>
              <w:ind w:firstLine="210" w:firstLineChars="100"/>
              <w:rPr>
                <w:color w:val="auto"/>
                <w:sz w:val="21"/>
                <w:szCs w:val="21"/>
              </w:rPr>
            </w:pPr>
            <w:r>
              <w:rPr>
                <w:rFonts w:hint="eastAsia"/>
                <w:color w:val="auto"/>
                <w:sz w:val="21"/>
                <w:szCs w:val="21"/>
              </w:rPr>
              <w:t>开户行：中国民生银行股份有限公司西安高新开发区支行</w:t>
            </w:r>
          </w:p>
          <w:p>
            <w:pPr>
              <w:pStyle w:val="108"/>
              <w:spacing w:line="360" w:lineRule="auto"/>
              <w:ind w:firstLine="210" w:firstLineChars="100"/>
              <w:rPr>
                <w:color w:val="auto"/>
                <w:sz w:val="21"/>
                <w:szCs w:val="21"/>
              </w:rPr>
            </w:pPr>
            <w:r>
              <w:rPr>
                <w:rFonts w:hint="eastAsia"/>
                <w:color w:val="auto"/>
                <w:sz w:val="21"/>
                <w:szCs w:val="21"/>
              </w:rPr>
              <w:t>银行账号：9902001773411374</w:t>
            </w:r>
          </w:p>
          <w:p>
            <w:pPr>
              <w:pStyle w:val="108"/>
              <w:spacing w:line="360" w:lineRule="auto"/>
              <w:ind w:firstLine="210" w:firstLineChars="100"/>
              <w:rPr>
                <w:b/>
                <w:color w:val="auto"/>
                <w:sz w:val="21"/>
                <w:szCs w:val="21"/>
              </w:rPr>
            </w:pPr>
            <w:r>
              <w:rPr>
                <w:rFonts w:hint="eastAsia"/>
                <w:color w:val="auto"/>
                <w:sz w:val="21"/>
                <w:szCs w:val="21"/>
              </w:rPr>
              <w:t>保证金交纳截止时间：投标文件递交截止时间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71" w:hRule="atLeast"/>
          <w:jc w:val="center"/>
        </w:trPr>
        <w:tc>
          <w:tcPr>
            <w:tcW w:w="532" w:type="dxa"/>
            <w:vAlign w:val="center"/>
          </w:tcPr>
          <w:p>
            <w:pPr>
              <w:pStyle w:val="108"/>
              <w:spacing w:line="360" w:lineRule="auto"/>
              <w:ind w:right="230"/>
              <w:jc w:val="center"/>
              <w:rPr>
                <w:color w:val="auto"/>
                <w:kern w:val="2"/>
                <w:sz w:val="21"/>
                <w:szCs w:val="21"/>
              </w:rPr>
            </w:pPr>
            <w:bookmarkStart w:id="37" w:name="_Toc183582205"/>
            <w:bookmarkStart w:id="38" w:name="_Toc183682342"/>
            <w:bookmarkStart w:id="39" w:name="_Toc217446034"/>
            <w:r>
              <w:rPr>
                <w:rFonts w:hint="eastAsia"/>
                <w:color w:val="auto"/>
                <w:kern w:val="2"/>
                <w:sz w:val="21"/>
                <w:szCs w:val="21"/>
              </w:rPr>
              <w:t xml:space="preserve"> 5</w:t>
            </w:r>
          </w:p>
        </w:tc>
        <w:tc>
          <w:tcPr>
            <w:tcW w:w="1780" w:type="dxa"/>
            <w:vAlign w:val="center"/>
          </w:tcPr>
          <w:p>
            <w:pPr>
              <w:pStyle w:val="108"/>
              <w:spacing w:line="360" w:lineRule="auto"/>
              <w:rPr>
                <w:color w:val="auto"/>
                <w:sz w:val="21"/>
                <w:szCs w:val="21"/>
                <w:lang w:val="zh-CN"/>
              </w:rPr>
            </w:pPr>
            <w:r>
              <w:rPr>
                <w:rFonts w:hint="eastAsia"/>
                <w:color w:val="auto"/>
                <w:sz w:val="21"/>
                <w:szCs w:val="21"/>
                <w:lang w:val="zh-CN"/>
              </w:rPr>
              <w:t>履约保证金</w:t>
            </w:r>
          </w:p>
        </w:tc>
        <w:tc>
          <w:tcPr>
            <w:tcW w:w="6374" w:type="dxa"/>
            <w:vAlign w:val="center"/>
          </w:tcPr>
          <w:p>
            <w:pPr>
              <w:pStyle w:val="108"/>
              <w:spacing w:line="360" w:lineRule="auto"/>
              <w:ind w:firstLine="210" w:firstLineChars="100"/>
              <w:rPr>
                <w:color w:val="auto"/>
                <w:sz w:val="21"/>
                <w:szCs w:val="21"/>
              </w:rPr>
            </w:pPr>
            <w:r>
              <w:rPr>
                <w:rFonts w:hint="eastAsia"/>
                <w:color w:val="auto"/>
                <w:sz w:val="21"/>
                <w:szCs w:val="21"/>
              </w:rPr>
              <w:t>供应商中标后凭中标通知书向采购人缴纳中标金额的5%作为履约保证金，待合同履约完毕后无息退还。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71" w:hRule="atLeast"/>
          <w:jc w:val="center"/>
        </w:trPr>
        <w:tc>
          <w:tcPr>
            <w:tcW w:w="532" w:type="dxa"/>
            <w:vAlign w:val="center"/>
          </w:tcPr>
          <w:p>
            <w:pPr>
              <w:pStyle w:val="108"/>
              <w:spacing w:line="360" w:lineRule="auto"/>
              <w:ind w:right="230"/>
              <w:jc w:val="center"/>
              <w:rPr>
                <w:color w:val="auto"/>
                <w:kern w:val="2"/>
                <w:sz w:val="21"/>
                <w:szCs w:val="21"/>
              </w:rPr>
            </w:pPr>
            <w:r>
              <w:rPr>
                <w:rFonts w:hint="eastAsia"/>
                <w:color w:val="auto"/>
                <w:kern w:val="2"/>
                <w:sz w:val="21"/>
                <w:szCs w:val="21"/>
              </w:rPr>
              <w:t>6</w:t>
            </w:r>
          </w:p>
        </w:tc>
        <w:tc>
          <w:tcPr>
            <w:tcW w:w="1780" w:type="dxa"/>
            <w:vAlign w:val="center"/>
          </w:tcPr>
          <w:p>
            <w:pPr>
              <w:pStyle w:val="108"/>
              <w:spacing w:line="360" w:lineRule="auto"/>
              <w:ind w:right="230"/>
              <w:jc w:val="center"/>
              <w:rPr>
                <w:color w:val="auto"/>
                <w:kern w:val="2"/>
                <w:sz w:val="21"/>
                <w:szCs w:val="21"/>
              </w:rPr>
            </w:pPr>
            <w:r>
              <w:rPr>
                <w:rFonts w:hint="eastAsia"/>
                <w:color w:val="auto"/>
                <w:kern w:val="2"/>
                <w:sz w:val="21"/>
                <w:szCs w:val="21"/>
              </w:rPr>
              <w:t>节能、环保产品政府采购政策</w:t>
            </w:r>
          </w:p>
        </w:tc>
        <w:tc>
          <w:tcPr>
            <w:tcW w:w="6374" w:type="dxa"/>
            <w:vAlign w:val="center"/>
          </w:tcPr>
          <w:p>
            <w:pPr>
              <w:pStyle w:val="108"/>
              <w:spacing w:line="360" w:lineRule="auto"/>
              <w:ind w:firstLine="105" w:firstLineChars="50"/>
              <w:rPr>
                <w:color w:val="auto"/>
                <w:sz w:val="21"/>
                <w:szCs w:val="21"/>
              </w:rPr>
            </w:pPr>
            <w:r>
              <w:rPr>
                <w:rFonts w:hint="eastAsia"/>
                <w:color w:val="auto"/>
                <w:sz w:val="21"/>
                <w:szCs w:val="21"/>
              </w:rPr>
              <w:t>节能、环保产品政府采购政策：</w:t>
            </w:r>
          </w:p>
          <w:p>
            <w:pPr>
              <w:pStyle w:val="108"/>
              <w:spacing w:line="360" w:lineRule="auto"/>
              <w:ind w:firstLine="105" w:firstLineChars="50"/>
              <w:rPr>
                <w:color w:val="auto"/>
                <w:sz w:val="21"/>
                <w:szCs w:val="21"/>
              </w:rPr>
            </w:pPr>
            <w:r>
              <w:rPr>
                <w:rFonts w:hint="eastAsia"/>
                <w:color w:val="auto"/>
                <w:sz w:val="21"/>
                <w:szCs w:val="21"/>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108"/>
              <w:spacing w:line="360" w:lineRule="auto"/>
              <w:ind w:firstLine="105" w:firstLineChars="50"/>
              <w:rPr>
                <w:color w:val="auto"/>
                <w:sz w:val="21"/>
                <w:szCs w:val="21"/>
              </w:rPr>
            </w:pPr>
            <w:r>
              <w:rPr>
                <w:rFonts w:hint="eastAsia"/>
                <w:color w:val="auto"/>
                <w:sz w:val="21"/>
                <w:szCs w:val="21"/>
              </w:rPr>
              <w:t>本项目采购的产品属于品目清单范围内优先采购的，按照第六章《综合评分明细表》的规则进行加分。</w:t>
            </w:r>
          </w:p>
          <w:p>
            <w:pPr>
              <w:pStyle w:val="108"/>
              <w:spacing w:line="360" w:lineRule="auto"/>
              <w:ind w:firstLine="105" w:firstLineChars="50"/>
              <w:rPr>
                <w:color w:val="auto"/>
                <w:sz w:val="21"/>
                <w:szCs w:val="21"/>
              </w:rPr>
            </w:pPr>
            <w:r>
              <w:rPr>
                <w:rFonts w:hint="eastAsia"/>
                <w:color w:val="auto"/>
                <w:sz w:val="21"/>
                <w:szCs w:val="21"/>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71" w:hRule="atLeast"/>
          <w:jc w:val="center"/>
        </w:trPr>
        <w:tc>
          <w:tcPr>
            <w:tcW w:w="532" w:type="dxa"/>
            <w:vAlign w:val="center"/>
          </w:tcPr>
          <w:p>
            <w:pPr>
              <w:pStyle w:val="108"/>
              <w:spacing w:line="360" w:lineRule="auto"/>
              <w:ind w:firstLine="105" w:firstLineChars="50"/>
              <w:rPr>
                <w:color w:val="auto"/>
                <w:sz w:val="21"/>
                <w:szCs w:val="21"/>
              </w:rPr>
            </w:pPr>
            <w:r>
              <w:rPr>
                <w:rFonts w:hint="eastAsia"/>
                <w:color w:val="auto"/>
                <w:sz w:val="21"/>
                <w:szCs w:val="21"/>
              </w:rPr>
              <w:t>7</w:t>
            </w:r>
          </w:p>
        </w:tc>
        <w:tc>
          <w:tcPr>
            <w:tcW w:w="1780" w:type="dxa"/>
            <w:vAlign w:val="center"/>
          </w:tcPr>
          <w:p>
            <w:pPr>
              <w:pStyle w:val="108"/>
              <w:spacing w:line="360" w:lineRule="auto"/>
              <w:rPr>
                <w:color w:val="auto"/>
                <w:sz w:val="21"/>
                <w:szCs w:val="21"/>
                <w:lang w:val="zh-CN"/>
              </w:rPr>
            </w:pPr>
            <w:r>
              <w:rPr>
                <w:rFonts w:hint="eastAsia"/>
                <w:color w:val="auto"/>
                <w:kern w:val="2"/>
                <w:sz w:val="21"/>
                <w:szCs w:val="21"/>
              </w:rPr>
              <w:t>中小企业政策的说明（监狱企业、残疾人福利性单位</w:t>
            </w:r>
            <w:r>
              <w:rPr>
                <w:rFonts w:hint="eastAsia"/>
                <w:color w:val="auto"/>
                <w:sz w:val="21"/>
                <w:szCs w:val="21"/>
              </w:rPr>
              <w:t>视同小微企业</w:t>
            </w:r>
            <w:r>
              <w:rPr>
                <w:rFonts w:hint="eastAsia"/>
                <w:color w:val="auto"/>
                <w:kern w:val="2"/>
                <w:sz w:val="21"/>
                <w:szCs w:val="21"/>
              </w:rPr>
              <w:t>）</w:t>
            </w:r>
          </w:p>
        </w:tc>
        <w:tc>
          <w:tcPr>
            <w:tcW w:w="6374" w:type="dxa"/>
            <w:vAlign w:val="center"/>
          </w:tcPr>
          <w:p>
            <w:pPr>
              <w:pStyle w:val="108"/>
              <w:spacing w:line="360" w:lineRule="auto"/>
              <w:ind w:firstLine="105" w:firstLineChars="50"/>
              <w:rPr>
                <w:color w:val="auto"/>
                <w:sz w:val="21"/>
                <w:szCs w:val="21"/>
              </w:rPr>
            </w:pPr>
            <w:r>
              <w:rPr>
                <w:rFonts w:hint="eastAsia"/>
                <w:color w:val="auto"/>
                <w:sz w:val="21"/>
                <w:szCs w:val="21"/>
              </w:rPr>
              <w:t>1、根据《政府采购促进中小企业发展管理办法》（财库〔2020〕46号）的规定，对于经主管预算单位统筹后未预留份额专门面向中小企业采购的采购项目，以及预留份额项目中的非预留部分采购包，对符合规定的小微企业报价给予10%的扣除，用扣除后的价格参加评审。</w:t>
            </w:r>
          </w:p>
          <w:p>
            <w:pPr>
              <w:pStyle w:val="108"/>
              <w:spacing w:line="360" w:lineRule="auto"/>
              <w:ind w:firstLine="105" w:firstLineChars="50"/>
              <w:rPr>
                <w:color w:val="auto"/>
                <w:sz w:val="21"/>
                <w:szCs w:val="21"/>
              </w:rPr>
            </w:pPr>
            <w:r>
              <w:rPr>
                <w:rFonts w:hint="eastAsia"/>
                <w:color w:val="auto"/>
                <w:sz w:val="21"/>
                <w:szCs w:val="21"/>
              </w:rPr>
              <w:t>2、参加政府采购活动的中小企业（监狱企业）提供《中小企业（监狱企业）声明函》原件，未提供的，视为放弃享受小微企业价格扣除优惠政策。</w:t>
            </w:r>
          </w:p>
          <w:p>
            <w:pPr>
              <w:pStyle w:val="108"/>
              <w:spacing w:line="360" w:lineRule="auto"/>
              <w:ind w:firstLine="105" w:firstLineChars="50"/>
              <w:rPr>
                <w:color w:val="auto"/>
                <w:sz w:val="21"/>
                <w:szCs w:val="21"/>
              </w:rPr>
            </w:pPr>
            <w:r>
              <w:rPr>
                <w:rFonts w:hint="eastAsia"/>
                <w:color w:val="auto"/>
                <w:sz w:val="21"/>
                <w:szCs w:val="21"/>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30%以上的，采购人、采购代理机构应当对联合体或者大中型企业的报价给予4%的扣除，用扣除后的价格参加评审。</w:t>
            </w:r>
          </w:p>
          <w:p>
            <w:pPr>
              <w:pStyle w:val="108"/>
              <w:spacing w:line="360" w:lineRule="auto"/>
              <w:ind w:firstLine="105" w:firstLineChars="50"/>
              <w:rPr>
                <w:color w:val="auto"/>
                <w:sz w:val="21"/>
                <w:szCs w:val="21"/>
              </w:rPr>
            </w:pPr>
            <w:r>
              <w:rPr>
                <w:rFonts w:hint="eastAsia"/>
                <w:color w:val="auto"/>
                <w:sz w:val="21"/>
                <w:szCs w:val="21"/>
              </w:rPr>
              <w:t>联合体各方均为小型、微型企业的，联合体视同为小型、微型企业享受规定的扶持政策。组成联合体的大中型企业和其他自然人、法人或者其他组织，与小型、微型企业之间不得存在投资关系。</w:t>
            </w:r>
          </w:p>
          <w:p>
            <w:pPr>
              <w:pStyle w:val="108"/>
              <w:spacing w:line="360" w:lineRule="auto"/>
              <w:ind w:firstLine="105" w:firstLineChars="50"/>
              <w:rPr>
                <w:color w:val="auto"/>
                <w:sz w:val="21"/>
                <w:szCs w:val="21"/>
              </w:rPr>
            </w:pPr>
            <w:r>
              <w:rPr>
                <w:rFonts w:hint="eastAsia"/>
                <w:color w:val="auto"/>
                <w:sz w:val="21"/>
                <w:szCs w:val="21"/>
              </w:rPr>
              <w:t>4、参加政府采购活动的残疾人福利性单位应当提供《残疾人福利性单位声明函》原件，未提供的，视为放弃享受小微企业价格扣除优惠政策。</w:t>
            </w:r>
          </w:p>
          <w:p>
            <w:pPr>
              <w:pStyle w:val="108"/>
              <w:spacing w:line="360" w:lineRule="auto"/>
              <w:ind w:firstLine="105" w:firstLineChars="50"/>
              <w:rPr>
                <w:color w:val="auto"/>
                <w:sz w:val="21"/>
                <w:szCs w:val="21"/>
              </w:rPr>
            </w:pPr>
            <w:r>
              <w:rPr>
                <w:rFonts w:hint="eastAsia"/>
                <w:color w:val="auto"/>
                <w:sz w:val="21"/>
                <w:szCs w:val="21"/>
              </w:rPr>
              <w:t>5. 符合中小企业划分标准的个体工商户，在政府采购活动中视同中小企业。</w:t>
            </w:r>
          </w:p>
          <w:p>
            <w:pPr>
              <w:pStyle w:val="108"/>
              <w:spacing w:line="360" w:lineRule="auto"/>
              <w:ind w:firstLine="110" w:firstLineChars="50"/>
              <w:rPr>
                <w:color w:val="auto"/>
                <w:sz w:val="21"/>
                <w:szCs w:val="21"/>
                <w:lang w:val="zh-CN"/>
              </w:rPr>
            </w:pPr>
            <w:r>
              <w:rPr>
                <w:rFonts w:hint="eastAsia"/>
                <w:b/>
                <w:bCs/>
                <w:sz w:val="22"/>
                <w:szCs w:val="22"/>
              </w:rPr>
              <w:t>注：本项目为专门面向中小企业采购，故小微企业不再进行价格优惠评审。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01" w:hRule="atLeast"/>
          <w:jc w:val="center"/>
        </w:trPr>
        <w:tc>
          <w:tcPr>
            <w:tcW w:w="532" w:type="dxa"/>
            <w:vAlign w:val="center"/>
          </w:tcPr>
          <w:p>
            <w:pPr>
              <w:pStyle w:val="108"/>
              <w:spacing w:line="360" w:lineRule="auto"/>
              <w:ind w:right="230"/>
              <w:jc w:val="center"/>
              <w:rPr>
                <w:color w:val="auto"/>
                <w:kern w:val="2"/>
                <w:sz w:val="21"/>
                <w:szCs w:val="21"/>
              </w:rPr>
            </w:pPr>
            <w:r>
              <w:rPr>
                <w:rFonts w:hint="eastAsia"/>
                <w:color w:val="auto"/>
                <w:kern w:val="2"/>
                <w:sz w:val="21"/>
                <w:szCs w:val="21"/>
              </w:rPr>
              <w:t>8</w:t>
            </w:r>
          </w:p>
        </w:tc>
        <w:tc>
          <w:tcPr>
            <w:tcW w:w="1780" w:type="dxa"/>
            <w:vAlign w:val="center"/>
          </w:tcPr>
          <w:p>
            <w:pPr>
              <w:pStyle w:val="108"/>
              <w:spacing w:line="360" w:lineRule="auto"/>
              <w:rPr>
                <w:color w:val="auto"/>
                <w:kern w:val="2"/>
                <w:sz w:val="21"/>
                <w:szCs w:val="21"/>
              </w:rPr>
            </w:pPr>
            <w:r>
              <w:rPr>
                <w:rFonts w:hint="eastAsia"/>
                <w:color w:val="auto"/>
                <w:sz w:val="21"/>
                <w:szCs w:val="21"/>
                <w:lang w:val="zh-CN"/>
              </w:rPr>
              <w:t>招标服务费</w:t>
            </w:r>
          </w:p>
        </w:tc>
        <w:tc>
          <w:tcPr>
            <w:tcW w:w="6374" w:type="dxa"/>
            <w:vAlign w:val="center"/>
          </w:tcPr>
          <w:p>
            <w:pPr>
              <w:pStyle w:val="108"/>
              <w:spacing w:line="360" w:lineRule="auto"/>
              <w:ind w:firstLine="105" w:firstLineChars="50"/>
              <w:rPr>
                <w:color w:val="auto"/>
                <w:sz w:val="21"/>
                <w:szCs w:val="21"/>
                <w:lang w:val="zh-CN"/>
              </w:rPr>
            </w:pPr>
            <w:r>
              <w:rPr>
                <w:rFonts w:hint="eastAsia"/>
                <w:color w:val="auto"/>
                <w:sz w:val="21"/>
                <w:szCs w:val="21"/>
                <w:lang w:val="zh-CN"/>
              </w:rPr>
              <w:t>以中标金额作为计算基数,参照国家计委计价格[2002]1980号及发改办价格[2003]857号通知规定下浮2</w:t>
            </w:r>
            <w:r>
              <w:rPr>
                <w:color w:val="auto"/>
                <w:sz w:val="21"/>
                <w:szCs w:val="21"/>
                <w:lang w:val="zh-CN"/>
              </w:rPr>
              <w:t>5</w:t>
            </w:r>
            <w:r>
              <w:rPr>
                <w:rFonts w:hint="eastAsia"/>
                <w:color w:val="auto"/>
                <w:sz w:val="21"/>
                <w:szCs w:val="21"/>
                <w:lang w:val="zh-CN"/>
              </w:rPr>
              <w:t>％</w:t>
            </w:r>
            <w:r>
              <w:rPr>
                <w:rFonts w:hint="eastAsia"/>
                <w:b/>
                <w:color w:val="auto"/>
                <w:sz w:val="21"/>
                <w:szCs w:val="21"/>
                <w:lang w:val="zh-CN"/>
              </w:rPr>
              <w:t>,</w:t>
            </w:r>
            <w:r>
              <w:rPr>
                <w:rFonts w:hint="eastAsia"/>
                <w:color w:val="auto"/>
                <w:sz w:val="21"/>
                <w:szCs w:val="21"/>
                <w:lang w:val="zh-CN"/>
              </w:rPr>
              <w:t>由中标人在领取中标通知书前向招标代理机构交纳招标服务费。</w:t>
            </w:r>
          </w:p>
          <w:p>
            <w:pPr>
              <w:pStyle w:val="108"/>
              <w:spacing w:line="360" w:lineRule="auto"/>
              <w:rPr>
                <w:color w:val="auto"/>
                <w:sz w:val="21"/>
                <w:szCs w:val="21"/>
              </w:rPr>
            </w:pPr>
            <w:r>
              <w:rPr>
                <w:rFonts w:hint="eastAsia"/>
                <w:color w:val="auto"/>
                <w:sz w:val="21"/>
                <w:szCs w:val="21"/>
              </w:rPr>
              <w:t>招标代理服务费支付方式：银行转账或现金方式</w:t>
            </w:r>
          </w:p>
          <w:p>
            <w:pPr>
              <w:pStyle w:val="108"/>
              <w:spacing w:line="360" w:lineRule="auto"/>
              <w:rPr>
                <w:color w:val="auto"/>
                <w:sz w:val="21"/>
                <w:szCs w:val="21"/>
              </w:rPr>
            </w:pPr>
            <w:r>
              <w:rPr>
                <w:rFonts w:hint="eastAsia"/>
                <w:color w:val="auto"/>
                <w:sz w:val="21"/>
                <w:szCs w:val="21"/>
              </w:rPr>
              <w:t>收款单位：四川国际招标有限责任公司陕西分公司</w:t>
            </w:r>
          </w:p>
          <w:p>
            <w:pPr>
              <w:pStyle w:val="108"/>
              <w:spacing w:line="360" w:lineRule="auto"/>
              <w:rPr>
                <w:color w:val="auto"/>
                <w:sz w:val="21"/>
                <w:szCs w:val="21"/>
              </w:rPr>
            </w:pPr>
            <w:r>
              <w:rPr>
                <w:rFonts w:hint="eastAsia"/>
                <w:color w:val="auto"/>
                <w:sz w:val="21"/>
                <w:szCs w:val="21"/>
              </w:rPr>
              <w:t>开户行：中国民生银行股份有限公司西安高新开发区支行</w:t>
            </w:r>
          </w:p>
          <w:p>
            <w:pPr>
              <w:pStyle w:val="108"/>
              <w:spacing w:line="360" w:lineRule="auto"/>
              <w:rPr>
                <w:color w:val="auto"/>
                <w:sz w:val="21"/>
                <w:szCs w:val="21"/>
              </w:rPr>
            </w:pPr>
            <w:r>
              <w:rPr>
                <w:rFonts w:hint="eastAsia"/>
                <w:color w:val="auto"/>
                <w:sz w:val="21"/>
                <w:szCs w:val="21"/>
              </w:rPr>
              <w:t>银行账号：9902001773411374</w:t>
            </w:r>
          </w:p>
          <w:tbl>
            <w:tblPr>
              <w:tblStyle w:val="32"/>
              <w:tblW w:w="6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478"/>
              <w:gridCol w:w="1477"/>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827" w:type="dxa"/>
                </w:tcPr>
                <w:p>
                  <w:pPr>
                    <w:spacing w:line="360" w:lineRule="auto"/>
                    <w:rPr>
                      <w:rFonts w:hAnsi="宋体" w:cs="宋体"/>
                      <w:b/>
                      <w:color w:val="auto"/>
                      <w:sz w:val="15"/>
                      <w:szCs w:val="15"/>
                    </w:rPr>
                  </w:pPr>
                </w:p>
                <w:p>
                  <w:pPr>
                    <w:spacing w:line="360" w:lineRule="auto"/>
                    <w:rPr>
                      <w:rFonts w:hAnsi="宋体" w:cs="宋体"/>
                      <w:b/>
                      <w:color w:val="auto"/>
                      <w:sz w:val="15"/>
                      <w:szCs w:val="15"/>
                    </w:rPr>
                  </w:pPr>
                  <w:r>
                    <w:rPr>
                      <w:rFonts w:hint="eastAsia" w:hAnsi="宋体" w:cs="宋体"/>
                      <w:b/>
                      <w:color w:val="auto"/>
                      <w:sz w:val="15"/>
                      <w:szCs w:val="15"/>
                    </w:rPr>
                    <w:t>服务类型</w:t>
                  </w:r>
                </w:p>
                <w:p>
                  <w:pPr>
                    <w:snapToGrid w:val="0"/>
                    <w:spacing w:line="360" w:lineRule="auto"/>
                    <w:rPr>
                      <w:rFonts w:hAnsi="宋体" w:cs="宋体"/>
                      <w:b/>
                      <w:color w:val="auto"/>
                      <w:sz w:val="15"/>
                      <w:szCs w:val="15"/>
                    </w:rPr>
                  </w:pPr>
                </w:p>
                <w:p>
                  <w:pPr>
                    <w:snapToGrid w:val="0"/>
                    <w:spacing w:line="360" w:lineRule="auto"/>
                    <w:rPr>
                      <w:rFonts w:hAnsi="宋体" w:cs="宋体"/>
                      <w:b/>
                      <w:color w:val="auto"/>
                      <w:sz w:val="15"/>
                      <w:szCs w:val="15"/>
                    </w:rPr>
                  </w:pPr>
                  <w:r>
                    <w:rPr>
                      <w:rFonts w:hint="eastAsia" w:hAnsi="宋体" w:cs="宋体"/>
                      <w:b/>
                      <w:color w:val="auto"/>
                      <w:sz w:val="15"/>
                      <w:szCs w:val="15"/>
                    </w:rPr>
                    <w:t>费率</w:t>
                  </w:r>
                </w:p>
                <w:p>
                  <w:pPr>
                    <w:snapToGrid w:val="0"/>
                    <w:spacing w:line="360" w:lineRule="auto"/>
                    <w:rPr>
                      <w:rFonts w:hAnsi="宋体" w:cs="宋体"/>
                      <w:b/>
                      <w:color w:val="auto"/>
                      <w:sz w:val="15"/>
                      <w:szCs w:val="15"/>
                    </w:rPr>
                  </w:pPr>
                </w:p>
                <w:p>
                  <w:pPr>
                    <w:snapToGrid w:val="0"/>
                    <w:spacing w:line="360" w:lineRule="auto"/>
                    <w:rPr>
                      <w:rFonts w:hAnsi="宋体" w:cs="宋体"/>
                      <w:b/>
                      <w:color w:val="auto"/>
                      <w:sz w:val="15"/>
                      <w:szCs w:val="15"/>
                    </w:rPr>
                  </w:pPr>
                  <w:r>
                    <w:rPr>
                      <w:rFonts w:hint="eastAsia" w:hAnsi="宋体" w:cs="宋体"/>
                      <w:b/>
                      <w:color w:val="auto"/>
                      <w:sz w:val="15"/>
                      <w:szCs w:val="15"/>
                    </w:rPr>
                    <w:t>中标金额</w:t>
                  </w:r>
                </w:p>
                <w:p>
                  <w:pPr>
                    <w:snapToGrid w:val="0"/>
                    <w:spacing w:line="360" w:lineRule="auto"/>
                    <w:rPr>
                      <w:rFonts w:hAnsi="宋体" w:cs="宋体"/>
                      <w:b/>
                      <w:color w:val="auto"/>
                      <w:sz w:val="15"/>
                      <w:szCs w:val="15"/>
                    </w:rPr>
                  </w:pPr>
                  <w:r>
                    <w:rPr>
                      <w:rFonts w:hint="eastAsia" w:hAnsi="宋体" w:cs="宋体"/>
                      <w:b/>
                      <w:color w:val="auto"/>
                      <w:sz w:val="15"/>
                      <w:szCs w:val="15"/>
                    </w:rPr>
                    <w:t>（万元）</w:t>
                  </w:r>
                </w:p>
              </w:tc>
              <w:tc>
                <w:tcPr>
                  <w:tcW w:w="1478" w:type="dxa"/>
                  <w:vAlign w:val="center"/>
                </w:tcPr>
                <w:p>
                  <w:pPr>
                    <w:spacing w:line="360" w:lineRule="auto"/>
                    <w:jc w:val="center"/>
                    <w:rPr>
                      <w:rFonts w:hAnsi="宋体" w:cs="宋体"/>
                      <w:b/>
                      <w:color w:val="auto"/>
                      <w:sz w:val="15"/>
                      <w:szCs w:val="15"/>
                    </w:rPr>
                  </w:pPr>
                  <w:r>
                    <w:rPr>
                      <w:rFonts w:hint="eastAsia" w:hAnsi="宋体" w:cs="宋体"/>
                      <w:b/>
                      <w:color w:val="auto"/>
                      <w:sz w:val="15"/>
                      <w:szCs w:val="15"/>
                    </w:rPr>
                    <w:t>货物招标</w:t>
                  </w:r>
                </w:p>
              </w:tc>
              <w:tc>
                <w:tcPr>
                  <w:tcW w:w="1477" w:type="dxa"/>
                  <w:vAlign w:val="center"/>
                </w:tcPr>
                <w:p>
                  <w:pPr>
                    <w:spacing w:line="360" w:lineRule="auto"/>
                    <w:jc w:val="center"/>
                    <w:rPr>
                      <w:rFonts w:hAnsi="宋体" w:cs="宋体"/>
                      <w:b/>
                      <w:color w:val="auto"/>
                      <w:sz w:val="15"/>
                      <w:szCs w:val="15"/>
                    </w:rPr>
                  </w:pPr>
                  <w:r>
                    <w:rPr>
                      <w:rFonts w:hint="eastAsia" w:hAnsi="宋体" w:cs="宋体"/>
                      <w:b/>
                      <w:color w:val="auto"/>
                      <w:sz w:val="15"/>
                      <w:szCs w:val="15"/>
                    </w:rPr>
                    <w:t>服务招标</w:t>
                  </w:r>
                </w:p>
              </w:tc>
              <w:tc>
                <w:tcPr>
                  <w:tcW w:w="1478" w:type="dxa"/>
                  <w:vAlign w:val="center"/>
                </w:tcPr>
                <w:p>
                  <w:pPr>
                    <w:spacing w:line="360" w:lineRule="auto"/>
                    <w:jc w:val="center"/>
                    <w:rPr>
                      <w:rFonts w:hAnsi="宋体" w:cs="宋体"/>
                      <w:b/>
                      <w:color w:val="auto"/>
                      <w:sz w:val="15"/>
                      <w:szCs w:val="15"/>
                    </w:rPr>
                  </w:pPr>
                  <w:r>
                    <w:rPr>
                      <w:rFonts w:hint="eastAsia" w:hAnsi="宋体" w:cs="宋体"/>
                      <w:b/>
                      <w:color w:val="auto"/>
                      <w:sz w:val="15"/>
                      <w:szCs w:val="15"/>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827" w:type="dxa"/>
                </w:tcPr>
                <w:p>
                  <w:pPr>
                    <w:spacing w:line="360" w:lineRule="auto"/>
                    <w:jc w:val="center"/>
                    <w:rPr>
                      <w:rFonts w:hAnsi="宋体" w:cs="宋体"/>
                      <w:color w:val="auto"/>
                      <w:sz w:val="21"/>
                      <w:szCs w:val="11"/>
                    </w:rPr>
                  </w:pPr>
                  <w:r>
                    <w:rPr>
                      <w:rFonts w:hint="eastAsia" w:hAnsi="宋体" w:cs="宋体"/>
                      <w:color w:val="auto"/>
                      <w:sz w:val="21"/>
                      <w:szCs w:val="11"/>
                    </w:rPr>
                    <w:t>100以下</w:t>
                  </w:r>
                </w:p>
              </w:tc>
              <w:tc>
                <w:tcPr>
                  <w:tcW w:w="1478" w:type="dxa"/>
                </w:tcPr>
                <w:p>
                  <w:pPr>
                    <w:spacing w:line="360" w:lineRule="auto"/>
                    <w:jc w:val="center"/>
                    <w:rPr>
                      <w:rFonts w:hAnsi="宋体" w:cs="宋体"/>
                      <w:color w:val="auto"/>
                      <w:sz w:val="21"/>
                      <w:szCs w:val="11"/>
                    </w:rPr>
                  </w:pPr>
                  <w:r>
                    <w:rPr>
                      <w:rFonts w:hint="eastAsia" w:hAnsi="宋体" w:cs="宋体"/>
                      <w:color w:val="auto"/>
                      <w:sz w:val="21"/>
                      <w:szCs w:val="11"/>
                    </w:rPr>
                    <w:t>1.5%</w:t>
                  </w:r>
                </w:p>
              </w:tc>
              <w:tc>
                <w:tcPr>
                  <w:tcW w:w="1477" w:type="dxa"/>
                </w:tcPr>
                <w:p>
                  <w:pPr>
                    <w:spacing w:line="360" w:lineRule="auto"/>
                    <w:jc w:val="center"/>
                    <w:rPr>
                      <w:rFonts w:hAnsi="宋体" w:cs="宋体"/>
                      <w:color w:val="auto"/>
                      <w:sz w:val="21"/>
                      <w:szCs w:val="11"/>
                    </w:rPr>
                  </w:pPr>
                  <w:r>
                    <w:rPr>
                      <w:rFonts w:hint="eastAsia" w:hAnsi="宋体" w:cs="宋体"/>
                      <w:color w:val="auto"/>
                      <w:sz w:val="21"/>
                      <w:szCs w:val="11"/>
                    </w:rPr>
                    <w:t>1.5%</w:t>
                  </w:r>
                </w:p>
              </w:tc>
              <w:tc>
                <w:tcPr>
                  <w:tcW w:w="1478" w:type="dxa"/>
                </w:tcPr>
                <w:p>
                  <w:pPr>
                    <w:spacing w:line="360" w:lineRule="auto"/>
                    <w:jc w:val="center"/>
                    <w:rPr>
                      <w:rFonts w:hAnsi="宋体" w:cs="宋体"/>
                      <w:color w:val="auto"/>
                      <w:sz w:val="21"/>
                      <w:szCs w:val="11"/>
                    </w:rPr>
                  </w:pPr>
                  <w:r>
                    <w:rPr>
                      <w:rFonts w:hint="eastAsia" w:hAnsi="宋体" w:cs="宋体"/>
                      <w:color w:val="auto"/>
                      <w:sz w:val="21"/>
                      <w:szCs w:val="1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Pr>
                <w:p>
                  <w:pPr>
                    <w:spacing w:line="360" w:lineRule="auto"/>
                    <w:jc w:val="center"/>
                    <w:rPr>
                      <w:rFonts w:hAnsi="宋体" w:cs="宋体"/>
                      <w:color w:val="auto"/>
                      <w:sz w:val="21"/>
                      <w:szCs w:val="11"/>
                    </w:rPr>
                  </w:pPr>
                  <w:r>
                    <w:rPr>
                      <w:rFonts w:hint="eastAsia" w:hAnsi="宋体" w:cs="宋体"/>
                      <w:color w:val="auto"/>
                      <w:sz w:val="21"/>
                      <w:szCs w:val="11"/>
                    </w:rPr>
                    <w:t>100-500</w:t>
                  </w:r>
                </w:p>
              </w:tc>
              <w:tc>
                <w:tcPr>
                  <w:tcW w:w="1478" w:type="dxa"/>
                </w:tcPr>
                <w:p>
                  <w:pPr>
                    <w:spacing w:line="360" w:lineRule="auto"/>
                    <w:jc w:val="center"/>
                    <w:rPr>
                      <w:rFonts w:hAnsi="宋体" w:cs="宋体"/>
                      <w:color w:val="auto"/>
                      <w:sz w:val="21"/>
                      <w:szCs w:val="11"/>
                    </w:rPr>
                  </w:pPr>
                  <w:r>
                    <w:rPr>
                      <w:rFonts w:hint="eastAsia" w:hAnsi="宋体" w:cs="宋体"/>
                      <w:color w:val="auto"/>
                      <w:sz w:val="21"/>
                      <w:szCs w:val="11"/>
                    </w:rPr>
                    <w:t>1.1%</w:t>
                  </w:r>
                </w:p>
              </w:tc>
              <w:tc>
                <w:tcPr>
                  <w:tcW w:w="1477" w:type="dxa"/>
                </w:tcPr>
                <w:p>
                  <w:pPr>
                    <w:spacing w:line="360" w:lineRule="auto"/>
                    <w:jc w:val="center"/>
                    <w:rPr>
                      <w:rFonts w:hAnsi="宋体" w:cs="宋体"/>
                      <w:color w:val="auto"/>
                      <w:sz w:val="21"/>
                      <w:szCs w:val="11"/>
                    </w:rPr>
                  </w:pPr>
                  <w:r>
                    <w:rPr>
                      <w:rFonts w:hint="eastAsia" w:hAnsi="宋体" w:cs="宋体"/>
                      <w:color w:val="auto"/>
                      <w:sz w:val="21"/>
                      <w:szCs w:val="11"/>
                    </w:rPr>
                    <w:t>0.8%</w:t>
                  </w:r>
                </w:p>
              </w:tc>
              <w:tc>
                <w:tcPr>
                  <w:tcW w:w="1478" w:type="dxa"/>
                </w:tcPr>
                <w:p>
                  <w:pPr>
                    <w:spacing w:line="360" w:lineRule="auto"/>
                    <w:jc w:val="center"/>
                    <w:rPr>
                      <w:rFonts w:hAnsi="宋体" w:cs="宋体"/>
                      <w:color w:val="auto"/>
                      <w:sz w:val="21"/>
                      <w:szCs w:val="11"/>
                    </w:rPr>
                  </w:pPr>
                  <w:r>
                    <w:rPr>
                      <w:rFonts w:hint="eastAsia" w:hAnsi="宋体" w:cs="宋体"/>
                      <w:color w:val="auto"/>
                      <w:sz w:val="21"/>
                      <w:szCs w:val="1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Pr>
                <w:p>
                  <w:pPr>
                    <w:spacing w:line="360" w:lineRule="auto"/>
                    <w:jc w:val="center"/>
                    <w:rPr>
                      <w:rFonts w:hAnsi="宋体" w:cs="宋体"/>
                      <w:color w:val="auto"/>
                      <w:sz w:val="21"/>
                      <w:szCs w:val="11"/>
                    </w:rPr>
                  </w:pPr>
                  <w:r>
                    <w:rPr>
                      <w:rFonts w:hint="eastAsia" w:hAnsi="宋体" w:cs="宋体"/>
                      <w:color w:val="auto"/>
                      <w:sz w:val="21"/>
                      <w:szCs w:val="11"/>
                    </w:rPr>
                    <w:t>500-1000</w:t>
                  </w:r>
                </w:p>
              </w:tc>
              <w:tc>
                <w:tcPr>
                  <w:tcW w:w="1478" w:type="dxa"/>
                </w:tcPr>
                <w:p>
                  <w:pPr>
                    <w:spacing w:line="360" w:lineRule="auto"/>
                    <w:jc w:val="center"/>
                    <w:rPr>
                      <w:rFonts w:hAnsi="宋体" w:cs="宋体"/>
                      <w:color w:val="auto"/>
                      <w:sz w:val="21"/>
                      <w:szCs w:val="11"/>
                    </w:rPr>
                  </w:pPr>
                  <w:r>
                    <w:rPr>
                      <w:rFonts w:hint="eastAsia" w:hAnsi="宋体" w:cs="宋体"/>
                      <w:color w:val="auto"/>
                      <w:sz w:val="21"/>
                      <w:szCs w:val="11"/>
                    </w:rPr>
                    <w:t>0.8%</w:t>
                  </w:r>
                </w:p>
              </w:tc>
              <w:tc>
                <w:tcPr>
                  <w:tcW w:w="1477" w:type="dxa"/>
                </w:tcPr>
                <w:p>
                  <w:pPr>
                    <w:spacing w:line="360" w:lineRule="auto"/>
                    <w:jc w:val="center"/>
                    <w:rPr>
                      <w:rFonts w:hAnsi="宋体" w:cs="宋体"/>
                      <w:color w:val="auto"/>
                      <w:sz w:val="21"/>
                      <w:szCs w:val="11"/>
                    </w:rPr>
                  </w:pPr>
                  <w:r>
                    <w:rPr>
                      <w:rFonts w:hint="eastAsia" w:hAnsi="宋体" w:cs="宋体"/>
                      <w:color w:val="auto"/>
                      <w:sz w:val="21"/>
                      <w:szCs w:val="11"/>
                    </w:rPr>
                    <w:t>0.45%</w:t>
                  </w:r>
                </w:p>
              </w:tc>
              <w:tc>
                <w:tcPr>
                  <w:tcW w:w="1478" w:type="dxa"/>
                </w:tcPr>
                <w:p>
                  <w:pPr>
                    <w:spacing w:line="360" w:lineRule="auto"/>
                    <w:jc w:val="center"/>
                    <w:rPr>
                      <w:rFonts w:hAnsi="宋体" w:cs="宋体"/>
                      <w:color w:val="auto"/>
                      <w:sz w:val="21"/>
                      <w:szCs w:val="11"/>
                    </w:rPr>
                  </w:pPr>
                  <w:r>
                    <w:rPr>
                      <w:rFonts w:hint="eastAsia" w:hAnsi="宋体" w:cs="宋体"/>
                      <w:color w:val="auto"/>
                      <w:sz w:val="21"/>
                      <w:szCs w:val="1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 w:hRule="atLeast"/>
                <w:jc w:val="center"/>
              </w:trPr>
              <w:tc>
                <w:tcPr>
                  <w:tcW w:w="1827" w:type="dxa"/>
                </w:tcPr>
                <w:p>
                  <w:pPr>
                    <w:spacing w:line="360" w:lineRule="auto"/>
                    <w:jc w:val="center"/>
                    <w:rPr>
                      <w:rFonts w:hAnsi="宋体" w:cs="宋体"/>
                      <w:color w:val="auto"/>
                      <w:sz w:val="21"/>
                      <w:szCs w:val="11"/>
                    </w:rPr>
                  </w:pPr>
                  <w:r>
                    <w:rPr>
                      <w:rFonts w:hint="eastAsia" w:hAnsi="宋体" w:cs="宋体"/>
                      <w:color w:val="auto"/>
                      <w:sz w:val="21"/>
                      <w:szCs w:val="11"/>
                    </w:rPr>
                    <w:t>1000-5000</w:t>
                  </w:r>
                </w:p>
              </w:tc>
              <w:tc>
                <w:tcPr>
                  <w:tcW w:w="1478" w:type="dxa"/>
                </w:tcPr>
                <w:p>
                  <w:pPr>
                    <w:spacing w:line="360" w:lineRule="auto"/>
                    <w:jc w:val="center"/>
                    <w:rPr>
                      <w:rFonts w:hAnsi="宋体" w:cs="宋体"/>
                      <w:color w:val="auto"/>
                      <w:sz w:val="21"/>
                      <w:szCs w:val="11"/>
                    </w:rPr>
                  </w:pPr>
                  <w:r>
                    <w:rPr>
                      <w:rFonts w:hint="eastAsia" w:hAnsi="宋体" w:cs="宋体"/>
                      <w:color w:val="auto"/>
                      <w:sz w:val="21"/>
                      <w:szCs w:val="11"/>
                    </w:rPr>
                    <w:t>0.5%</w:t>
                  </w:r>
                </w:p>
              </w:tc>
              <w:tc>
                <w:tcPr>
                  <w:tcW w:w="1477" w:type="dxa"/>
                </w:tcPr>
                <w:p>
                  <w:pPr>
                    <w:spacing w:line="360" w:lineRule="auto"/>
                    <w:jc w:val="center"/>
                    <w:rPr>
                      <w:rFonts w:hAnsi="宋体" w:cs="宋体"/>
                      <w:color w:val="auto"/>
                      <w:sz w:val="21"/>
                      <w:szCs w:val="11"/>
                    </w:rPr>
                  </w:pPr>
                  <w:r>
                    <w:rPr>
                      <w:rFonts w:hint="eastAsia" w:hAnsi="宋体" w:cs="宋体"/>
                      <w:color w:val="auto"/>
                      <w:sz w:val="21"/>
                      <w:szCs w:val="11"/>
                    </w:rPr>
                    <w:t>0.25%</w:t>
                  </w:r>
                </w:p>
              </w:tc>
              <w:tc>
                <w:tcPr>
                  <w:tcW w:w="1478" w:type="dxa"/>
                </w:tcPr>
                <w:p>
                  <w:pPr>
                    <w:spacing w:line="360" w:lineRule="auto"/>
                    <w:jc w:val="center"/>
                    <w:rPr>
                      <w:rFonts w:hAnsi="宋体" w:cs="宋体"/>
                      <w:color w:val="auto"/>
                      <w:sz w:val="21"/>
                      <w:szCs w:val="11"/>
                    </w:rPr>
                  </w:pPr>
                  <w:r>
                    <w:rPr>
                      <w:rFonts w:hint="eastAsia" w:hAnsi="宋体" w:cs="宋体"/>
                      <w:color w:val="auto"/>
                      <w:sz w:val="21"/>
                      <w:szCs w:val="1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Pr>
                <w:p>
                  <w:pPr>
                    <w:spacing w:line="360" w:lineRule="auto"/>
                    <w:jc w:val="center"/>
                    <w:rPr>
                      <w:rFonts w:hAnsi="宋体" w:cs="宋体"/>
                      <w:color w:val="auto"/>
                      <w:sz w:val="21"/>
                      <w:szCs w:val="11"/>
                    </w:rPr>
                  </w:pPr>
                  <w:r>
                    <w:rPr>
                      <w:rFonts w:hint="eastAsia" w:hAnsi="宋体" w:cs="宋体"/>
                      <w:color w:val="auto"/>
                      <w:sz w:val="21"/>
                      <w:szCs w:val="11"/>
                    </w:rPr>
                    <w:t>5000-10000</w:t>
                  </w:r>
                </w:p>
              </w:tc>
              <w:tc>
                <w:tcPr>
                  <w:tcW w:w="1478" w:type="dxa"/>
                </w:tcPr>
                <w:p>
                  <w:pPr>
                    <w:spacing w:line="360" w:lineRule="auto"/>
                    <w:jc w:val="center"/>
                    <w:rPr>
                      <w:rFonts w:hAnsi="宋体" w:cs="宋体"/>
                      <w:color w:val="auto"/>
                      <w:sz w:val="21"/>
                      <w:szCs w:val="11"/>
                    </w:rPr>
                  </w:pPr>
                  <w:r>
                    <w:rPr>
                      <w:rFonts w:hint="eastAsia" w:hAnsi="宋体" w:cs="宋体"/>
                      <w:color w:val="auto"/>
                      <w:sz w:val="21"/>
                      <w:szCs w:val="11"/>
                    </w:rPr>
                    <w:t>0.25%</w:t>
                  </w:r>
                </w:p>
              </w:tc>
              <w:tc>
                <w:tcPr>
                  <w:tcW w:w="1477" w:type="dxa"/>
                </w:tcPr>
                <w:p>
                  <w:pPr>
                    <w:spacing w:line="360" w:lineRule="auto"/>
                    <w:jc w:val="center"/>
                    <w:rPr>
                      <w:rFonts w:hAnsi="宋体" w:cs="宋体"/>
                      <w:color w:val="auto"/>
                      <w:sz w:val="21"/>
                      <w:szCs w:val="11"/>
                    </w:rPr>
                  </w:pPr>
                  <w:r>
                    <w:rPr>
                      <w:rFonts w:hint="eastAsia" w:hAnsi="宋体" w:cs="宋体"/>
                      <w:color w:val="auto"/>
                      <w:sz w:val="21"/>
                      <w:szCs w:val="11"/>
                    </w:rPr>
                    <w:t>0.1%</w:t>
                  </w:r>
                </w:p>
              </w:tc>
              <w:tc>
                <w:tcPr>
                  <w:tcW w:w="1478" w:type="dxa"/>
                </w:tcPr>
                <w:p>
                  <w:pPr>
                    <w:spacing w:line="360" w:lineRule="auto"/>
                    <w:jc w:val="center"/>
                    <w:rPr>
                      <w:rFonts w:hAnsi="宋体" w:cs="宋体"/>
                      <w:color w:val="auto"/>
                      <w:sz w:val="21"/>
                      <w:szCs w:val="11"/>
                    </w:rPr>
                  </w:pPr>
                  <w:r>
                    <w:rPr>
                      <w:rFonts w:hint="eastAsia" w:hAnsi="宋体" w:cs="宋体"/>
                      <w:color w:val="auto"/>
                      <w:sz w:val="21"/>
                      <w:szCs w:val="1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Pr>
                <w:p>
                  <w:pPr>
                    <w:spacing w:line="360" w:lineRule="auto"/>
                    <w:jc w:val="center"/>
                    <w:rPr>
                      <w:rFonts w:hAnsi="宋体" w:cs="宋体"/>
                      <w:color w:val="auto"/>
                      <w:sz w:val="21"/>
                      <w:szCs w:val="11"/>
                    </w:rPr>
                  </w:pPr>
                  <w:r>
                    <w:rPr>
                      <w:rFonts w:hint="eastAsia" w:hAnsi="宋体" w:cs="宋体"/>
                      <w:color w:val="auto"/>
                      <w:sz w:val="21"/>
                      <w:szCs w:val="11"/>
                    </w:rPr>
                    <w:t>10000-100000</w:t>
                  </w:r>
                </w:p>
              </w:tc>
              <w:tc>
                <w:tcPr>
                  <w:tcW w:w="1478" w:type="dxa"/>
                </w:tcPr>
                <w:p>
                  <w:pPr>
                    <w:spacing w:line="360" w:lineRule="auto"/>
                    <w:jc w:val="center"/>
                    <w:rPr>
                      <w:rFonts w:hAnsi="宋体" w:cs="宋体"/>
                      <w:color w:val="auto"/>
                      <w:sz w:val="21"/>
                      <w:szCs w:val="11"/>
                    </w:rPr>
                  </w:pPr>
                  <w:r>
                    <w:rPr>
                      <w:rFonts w:hint="eastAsia" w:hAnsi="宋体" w:cs="宋体"/>
                      <w:color w:val="auto"/>
                      <w:sz w:val="21"/>
                      <w:szCs w:val="11"/>
                    </w:rPr>
                    <w:t>0.05%</w:t>
                  </w:r>
                </w:p>
              </w:tc>
              <w:tc>
                <w:tcPr>
                  <w:tcW w:w="1477" w:type="dxa"/>
                </w:tcPr>
                <w:p>
                  <w:pPr>
                    <w:spacing w:line="360" w:lineRule="auto"/>
                    <w:jc w:val="center"/>
                    <w:rPr>
                      <w:rFonts w:hAnsi="宋体" w:cs="宋体"/>
                      <w:color w:val="auto"/>
                      <w:sz w:val="21"/>
                      <w:szCs w:val="11"/>
                    </w:rPr>
                  </w:pPr>
                  <w:r>
                    <w:rPr>
                      <w:rFonts w:hint="eastAsia" w:hAnsi="宋体" w:cs="宋体"/>
                      <w:color w:val="auto"/>
                      <w:sz w:val="21"/>
                      <w:szCs w:val="11"/>
                    </w:rPr>
                    <w:t>0.05%</w:t>
                  </w:r>
                </w:p>
              </w:tc>
              <w:tc>
                <w:tcPr>
                  <w:tcW w:w="1478" w:type="dxa"/>
                </w:tcPr>
                <w:p>
                  <w:pPr>
                    <w:spacing w:line="360" w:lineRule="auto"/>
                    <w:jc w:val="center"/>
                    <w:rPr>
                      <w:rFonts w:hAnsi="宋体" w:cs="宋体"/>
                      <w:color w:val="auto"/>
                      <w:sz w:val="21"/>
                      <w:szCs w:val="11"/>
                    </w:rPr>
                  </w:pPr>
                  <w:r>
                    <w:rPr>
                      <w:rFonts w:hint="eastAsia" w:hAnsi="宋体" w:cs="宋体"/>
                      <w:color w:val="auto"/>
                      <w:sz w:val="21"/>
                      <w:szCs w:val="1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827" w:type="dxa"/>
                </w:tcPr>
                <w:p>
                  <w:pPr>
                    <w:spacing w:line="360" w:lineRule="auto"/>
                    <w:jc w:val="center"/>
                    <w:rPr>
                      <w:rFonts w:hAnsi="宋体" w:cs="宋体"/>
                      <w:color w:val="auto"/>
                      <w:sz w:val="21"/>
                      <w:szCs w:val="11"/>
                    </w:rPr>
                  </w:pPr>
                  <w:r>
                    <w:rPr>
                      <w:rFonts w:hint="eastAsia" w:hAnsi="宋体" w:cs="宋体"/>
                      <w:color w:val="auto"/>
                      <w:sz w:val="21"/>
                      <w:szCs w:val="11"/>
                    </w:rPr>
                    <w:t>1000000以上</w:t>
                  </w:r>
                </w:p>
              </w:tc>
              <w:tc>
                <w:tcPr>
                  <w:tcW w:w="1478" w:type="dxa"/>
                </w:tcPr>
                <w:p>
                  <w:pPr>
                    <w:spacing w:line="360" w:lineRule="auto"/>
                    <w:jc w:val="center"/>
                    <w:rPr>
                      <w:rFonts w:hAnsi="宋体" w:cs="宋体"/>
                      <w:color w:val="auto"/>
                      <w:sz w:val="21"/>
                      <w:szCs w:val="11"/>
                    </w:rPr>
                  </w:pPr>
                  <w:r>
                    <w:rPr>
                      <w:rFonts w:hint="eastAsia" w:hAnsi="宋体" w:cs="宋体"/>
                      <w:color w:val="auto"/>
                      <w:sz w:val="21"/>
                      <w:szCs w:val="11"/>
                    </w:rPr>
                    <w:t>0.01%</w:t>
                  </w:r>
                </w:p>
              </w:tc>
              <w:tc>
                <w:tcPr>
                  <w:tcW w:w="1477" w:type="dxa"/>
                </w:tcPr>
                <w:p>
                  <w:pPr>
                    <w:spacing w:line="360" w:lineRule="auto"/>
                    <w:jc w:val="center"/>
                    <w:rPr>
                      <w:rFonts w:hAnsi="宋体" w:cs="宋体"/>
                      <w:color w:val="auto"/>
                      <w:sz w:val="21"/>
                      <w:szCs w:val="11"/>
                    </w:rPr>
                  </w:pPr>
                  <w:r>
                    <w:rPr>
                      <w:rFonts w:hint="eastAsia" w:hAnsi="宋体" w:cs="宋体"/>
                      <w:color w:val="auto"/>
                      <w:sz w:val="21"/>
                      <w:szCs w:val="11"/>
                    </w:rPr>
                    <w:t>0.01%</w:t>
                  </w:r>
                </w:p>
              </w:tc>
              <w:tc>
                <w:tcPr>
                  <w:tcW w:w="1478" w:type="dxa"/>
                </w:tcPr>
                <w:p>
                  <w:pPr>
                    <w:spacing w:line="360" w:lineRule="auto"/>
                    <w:jc w:val="center"/>
                    <w:rPr>
                      <w:rFonts w:hAnsi="宋体" w:cs="宋体"/>
                      <w:color w:val="auto"/>
                      <w:sz w:val="21"/>
                      <w:szCs w:val="11"/>
                    </w:rPr>
                  </w:pPr>
                  <w:r>
                    <w:rPr>
                      <w:rFonts w:hint="eastAsia" w:hAnsi="宋体" w:cs="宋体"/>
                      <w:color w:val="auto"/>
                      <w:sz w:val="21"/>
                      <w:szCs w:val="11"/>
                    </w:rPr>
                    <w:t>0.01%</w:t>
                  </w:r>
                </w:p>
              </w:tc>
            </w:tr>
          </w:tbl>
          <w:p>
            <w:pPr>
              <w:pStyle w:val="108"/>
              <w:spacing w:line="360" w:lineRule="auto"/>
              <w:rPr>
                <w:b/>
                <w:bCs/>
                <w:color w:val="auto"/>
                <w:kern w:val="2"/>
                <w:sz w:val="21"/>
                <w:szCs w:val="21"/>
              </w:rPr>
            </w:pPr>
          </w:p>
          <w:p>
            <w:pPr>
              <w:pStyle w:val="108"/>
              <w:spacing w:line="360" w:lineRule="auto"/>
              <w:rPr>
                <w:b/>
                <w:bCs/>
                <w:color w:val="auto"/>
                <w:kern w:val="2"/>
                <w:sz w:val="21"/>
                <w:szCs w:val="21"/>
              </w:rPr>
            </w:pPr>
            <w:r>
              <w:rPr>
                <w:rFonts w:hint="eastAsia"/>
                <w:color w:val="auto"/>
                <w:sz w:val="21"/>
                <w:szCs w:val="21"/>
                <w:lang w:val="zh-CN"/>
              </w:rPr>
              <w:t>注:1、按本表费率计算的收费为招标代理服务全过程的收费基准价格。2、招标代理服务收费按差额定率累进法计算。例如：某工程招标代理业务中标金额为6000万元，计算招标代理服务收费额如下：  100万元×1.0%=1万元  (500-100)万元×0.7%=2.8万元 (1000-500)万元×0.55%=2.75万元 (5000-1000)万元×0.35%=14万元 (6000-5000)万元×0.2%=2万元合计收费=1＋2.8＋2.75＋14＋2=22.55(万元)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240" w:hRule="atLeast"/>
          <w:jc w:val="center"/>
        </w:trPr>
        <w:tc>
          <w:tcPr>
            <w:tcW w:w="532" w:type="dxa"/>
            <w:vAlign w:val="center"/>
          </w:tcPr>
          <w:p>
            <w:pPr>
              <w:pStyle w:val="108"/>
              <w:spacing w:line="360" w:lineRule="auto"/>
              <w:ind w:right="230"/>
              <w:jc w:val="center"/>
              <w:rPr>
                <w:color w:val="auto"/>
                <w:kern w:val="2"/>
                <w:sz w:val="20"/>
                <w:szCs w:val="20"/>
              </w:rPr>
            </w:pPr>
            <w:r>
              <w:rPr>
                <w:color w:val="auto"/>
                <w:kern w:val="2"/>
                <w:sz w:val="20"/>
                <w:szCs w:val="20"/>
              </w:rPr>
              <w:t>9</w:t>
            </w:r>
          </w:p>
        </w:tc>
        <w:tc>
          <w:tcPr>
            <w:tcW w:w="1780" w:type="dxa"/>
            <w:vAlign w:val="center"/>
          </w:tcPr>
          <w:p>
            <w:pPr>
              <w:pStyle w:val="108"/>
              <w:ind w:firstLine="120" w:firstLineChars="50"/>
              <w:rPr>
                <w:rFonts w:ascii="Times New Roman" w:cs="Times New Roman"/>
                <w:kern w:val="2"/>
                <w:lang w:val="zh-CN"/>
              </w:rPr>
            </w:pPr>
            <w:r>
              <w:rPr>
                <w:rFonts w:hint="eastAsia" w:ascii="Times New Roman" w:cs="Times New Roman"/>
                <w:kern w:val="2"/>
                <w:lang w:val="zh-CN"/>
              </w:rPr>
              <w:t>政府采购信用担保及信用融资政策</w:t>
            </w:r>
          </w:p>
          <w:p>
            <w:pPr>
              <w:pStyle w:val="108"/>
              <w:spacing w:line="360" w:lineRule="auto"/>
              <w:ind w:left="96"/>
              <w:rPr>
                <w:color w:val="auto"/>
                <w:sz w:val="21"/>
                <w:szCs w:val="21"/>
              </w:rPr>
            </w:pPr>
          </w:p>
        </w:tc>
        <w:tc>
          <w:tcPr>
            <w:tcW w:w="6374" w:type="dxa"/>
            <w:vAlign w:val="center"/>
          </w:tcPr>
          <w:p>
            <w:pPr>
              <w:adjustRightInd w:val="0"/>
              <w:snapToGrid w:val="0"/>
              <w:spacing w:line="360" w:lineRule="auto"/>
              <w:ind w:firstLine="480" w:firstLineChars="200"/>
              <w:rPr>
                <w:rFonts w:ascii="Times New Roman" w:hAnsi="宋体"/>
                <w:lang w:val="zh-CN"/>
              </w:rPr>
            </w:pPr>
            <w:r>
              <w:rPr>
                <w:rFonts w:hint="eastAsia" w:ascii="Times New Roman" w:hAnsi="宋体"/>
                <w:lang w:val="zh-CN"/>
              </w:rPr>
              <w:t>为支持和促进中小企业发展，进一步发挥政府采购政策功能作用，有效缓解中小企业融资难、融资贵问题，根据财政部财库【2011】124号文件的精神及陕西省财政厅关于印发《陕西省中小企业政府采购信用融资办法》陕财办采〔2018〕23号规定，有需要的投标人可自行决定是否参加，并按信用融资办法的相关程序申请办理。</w:t>
            </w:r>
          </w:p>
          <w:p>
            <w:pPr>
              <w:rPr>
                <w:rFonts w:ascii="Times New Roman" w:hAnsi="宋体"/>
                <w:lang w:val="zh-CN"/>
              </w:rPr>
            </w:pPr>
            <w:r>
              <w:rPr>
                <w:rFonts w:hint="eastAsia" w:ascii="Times New Roman" w:hAnsi="宋体"/>
                <w:lang w:val="zh-CN"/>
              </w:rPr>
              <w:t>陕西省政府采购支持中小企业信用融资合作银行名单详见（陕西采购与招标网-采购动态-重要通知http://www.ccgp-shaanxi.gov.cn/）</w:t>
            </w:r>
          </w:p>
          <w:p>
            <w:pPr>
              <w:pStyle w:val="108"/>
              <w:spacing w:line="360" w:lineRule="auto"/>
              <w:ind w:firstLine="105" w:firstLineChars="50"/>
              <w:rPr>
                <w:color w:val="auto"/>
                <w:sz w:val="21"/>
                <w:szCs w:val="21"/>
              </w:rPr>
            </w:pPr>
          </w:p>
        </w:tc>
      </w:tr>
    </w:tbl>
    <w:p>
      <w:pPr>
        <w:spacing w:line="360" w:lineRule="auto"/>
        <w:jc w:val="left"/>
        <w:rPr>
          <w:rFonts w:hAnsi="宋体" w:cs="宋体"/>
          <w:b/>
          <w:color w:val="auto"/>
          <w:sz w:val="28"/>
          <w:szCs w:val="28"/>
        </w:rPr>
      </w:pPr>
      <w:bookmarkStart w:id="40" w:name="_Toc23324"/>
      <w:bookmarkStart w:id="41" w:name="_Toc7492"/>
      <w:bookmarkStart w:id="42" w:name="_Toc1793"/>
      <w:bookmarkStart w:id="43" w:name="_Toc22823"/>
    </w:p>
    <w:p>
      <w:pPr>
        <w:spacing w:line="360" w:lineRule="auto"/>
        <w:jc w:val="left"/>
        <w:rPr>
          <w:rFonts w:hAnsi="宋体" w:cs="宋体"/>
          <w:b/>
          <w:color w:val="auto"/>
          <w:sz w:val="28"/>
          <w:szCs w:val="28"/>
        </w:rPr>
      </w:pPr>
    </w:p>
    <w:p>
      <w:pPr>
        <w:spacing w:line="360" w:lineRule="auto"/>
        <w:jc w:val="left"/>
        <w:rPr>
          <w:rFonts w:hAnsi="宋体" w:cs="宋体"/>
          <w:b/>
          <w:color w:val="auto"/>
          <w:sz w:val="28"/>
          <w:szCs w:val="28"/>
        </w:rPr>
      </w:pPr>
      <w:r>
        <w:rPr>
          <w:rFonts w:hint="eastAsia" w:hAnsi="宋体" w:cs="宋体"/>
          <w:b/>
          <w:color w:val="auto"/>
          <w:sz w:val="28"/>
          <w:szCs w:val="28"/>
        </w:rPr>
        <w:t>投标保证金退还注意事项</w:t>
      </w:r>
    </w:p>
    <w:p>
      <w:pPr>
        <w:spacing w:line="360" w:lineRule="auto"/>
        <w:ind w:left="-284" w:right="120" w:rightChars="50"/>
        <w:rPr>
          <w:rFonts w:hAnsi="宋体" w:cs="宋体"/>
          <w:color w:val="auto"/>
          <w:sz w:val="21"/>
          <w:szCs w:val="21"/>
          <w:lang w:val="zh-CN"/>
        </w:rPr>
      </w:pPr>
      <w:bookmarkStart w:id="44" w:name="OLE_LINK17"/>
      <w:r>
        <w:rPr>
          <w:rFonts w:hint="eastAsia" w:hAnsi="宋体" w:cs="宋体"/>
          <w:color w:val="auto"/>
          <w:sz w:val="21"/>
          <w:szCs w:val="21"/>
          <w:lang w:val="zh-CN"/>
        </w:rPr>
        <w:t>1.评标结束后，中标结果公告发布网站为：</w:t>
      </w:r>
      <w:r>
        <w:rPr>
          <w:rFonts w:hint="eastAsia" w:hAnsi="宋体" w:cs="宋体"/>
          <w:b/>
          <w:bCs/>
          <w:color w:val="auto"/>
          <w:sz w:val="21"/>
          <w:szCs w:val="21"/>
          <w:u w:val="single"/>
          <w:lang w:val="zh-CN"/>
        </w:rPr>
        <w:t>陕西省政府采购网</w:t>
      </w:r>
      <w:r>
        <w:rPr>
          <w:rFonts w:hint="eastAsia" w:hAnsi="宋体" w:cs="宋体"/>
          <w:color w:val="auto"/>
          <w:sz w:val="21"/>
          <w:szCs w:val="21"/>
          <w:lang w:val="zh-CN"/>
        </w:rPr>
        <w:t>；</w:t>
      </w:r>
    </w:p>
    <w:p>
      <w:pPr>
        <w:spacing w:line="360" w:lineRule="auto"/>
        <w:ind w:left="-284" w:right="120" w:rightChars="50"/>
        <w:rPr>
          <w:rFonts w:hAnsi="宋体" w:cs="宋体"/>
          <w:color w:val="auto"/>
          <w:sz w:val="21"/>
          <w:szCs w:val="21"/>
          <w:lang w:val="zh-CN"/>
        </w:rPr>
      </w:pPr>
      <w:r>
        <w:rPr>
          <w:rFonts w:hint="eastAsia" w:hAnsi="宋体" w:cs="宋体"/>
          <w:color w:val="auto"/>
          <w:sz w:val="21"/>
          <w:szCs w:val="21"/>
          <w:lang w:val="zh-CN"/>
        </w:rPr>
        <w:t>2.我司工作人员将在法定时间内通知中标供应商领取中标通知书。中标人请在确认中标服务费已到账后，携带单位介绍信原件及领取人身份证复印件（原件备查）前往我司办理领取手续。</w:t>
      </w:r>
    </w:p>
    <w:p>
      <w:pPr>
        <w:spacing w:line="360" w:lineRule="auto"/>
        <w:ind w:left="-284" w:right="120" w:rightChars="50"/>
        <w:rPr>
          <w:rFonts w:hAnsi="宋体" w:cs="宋体"/>
          <w:color w:val="auto"/>
          <w:sz w:val="21"/>
          <w:szCs w:val="21"/>
          <w:lang w:val="zh-CN"/>
        </w:rPr>
      </w:pPr>
      <w:r>
        <w:rPr>
          <w:rFonts w:hint="eastAsia" w:hAnsi="宋体" w:cs="宋体"/>
          <w:color w:val="auto"/>
          <w:sz w:val="21"/>
          <w:szCs w:val="21"/>
          <w:lang w:val="zh-CN"/>
        </w:rPr>
        <w:t>3.保证金退还程序：</w:t>
      </w:r>
    </w:p>
    <w:p>
      <w:pPr>
        <w:spacing w:line="360" w:lineRule="auto"/>
        <w:ind w:left="-238" w:right="120" w:rightChars="50" w:firstLine="210" w:firstLineChars="100"/>
        <w:rPr>
          <w:rFonts w:hAnsi="宋体" w:cs="宋体"/>
          <w:color w:val="auto"/>
          <w:sz w:val="21"/>
          <w:szCs w:val="21"/>
          <w:lang w:val="zh-CN"/>
        </w:rPr>
      </w:pPr>
      <w:r>
        <w:rPr>
          <w:rFonts w:hint="eastAsia" w:hAnsi="宋体" w:cs="宋体"/>
          <w:color w:val="auto"/>
          <w:sz w:val="21"/>
          <w:szCs w:val="21"/>
          <w:lang w:val="zh-CN"/>
        </w:rPr>
        <w:t>未中标供应商：我司将在中标通知书发出之日（结果公告期满次日）起5个工作日内退还未中标供应商的投标保证金，各供应商可自行查账，若项目中标通知书发出后5个工作日没有收到保证金的，可拨打我公司财务部电话查询。</w:t>
      </w:r>
    </w:p>
    <w:p>
      <w:pPr>
        <w:spacing w:line="360" w:lineRule="auto"/>
        <w:ind w:left="-238" w:right="120" w:rightChars="50" w:firstLine="210" w:firstLineChars="100"/>
        <w:rPr>
          <w:rFonts w:hAnsi="宋体" w:cs="宋体"/>
          <w:color w:val="auto"/>
          <w:sz w:val="21"/>
          <w:szCs w:val="21"/>
          <w:lang w:val="zh-CN"/>
        </w:rPr>
      </w:pPr>
      <w:r>
        <w:rPr>
          <w:rFonts w:hint="eastAsia" w:hAnsi="宋体" w:cs="宋体"/>
          <w:color w:val="auto"/>
          <w:sz w:val="21"/>
          <w:szCs w:val="21"/>
          <w:lang w:val="zh-CN"/>
        </w:rPr>
        <w:t>中标供应商：我司将在收到中标供应商提供的采购合同（原件一份）后5个工作日内退还中标供应商的投标保证金。若5个工作日未收到保证金的，可拨打我公司财务部电话查询</w:t>
      </w:r>
    </w:p>
    <w:p>
      <w:pPr>
        <w:spacing w:line="360" w:lineRule="auto"/>
        <w:ind w:left="-238" w:right="120" w:rightChars="50" w:firstLine="210" w:firstLineChars="100"/>
        <w:rPr>
          <w:rFonts w:hAnsi="宋体" w:cs="宋体"/>
          <w:color w:val="auto"/>
          <w:sz w:val="21"/>
          <w:szCs w:val="21"/>
          <w:lang w:val="zh-CN"/>
        </w:rPr>
      </w:pPr>
      <w:r>
        <w:rPr>
          <w:rFonts w:hint="eastAsia" w:hAnsi="宋体" w:cs="宋体"/>
          <w:color w:val="auto"/>
          <w:sz w:val="21"/>
          <w:szCs w:val="21"/>
        </w:rPr>
        <w:t>4.</w:t>
      </w:r>
      <w:r>
        <w:rPr>
          <w:rFonts w:hint="eastAsia" w:hAnsi="宋体" w:cs="宋体"/>
          <w:color w:val="auto"/>
          <w:sz w:val="21"/>
          <w:szCs w:val="21"/>
          <w:lang w:val="zh-CN"/>
        </w:rPr>
        <w:t>查询电话：029-88854272-8015</w:t>
      </w:r>
    </w:p>
    <w:bookmarkEnd w:id="44"/>
    <w:p>
      <w:pPr>
        <w:keepNext/>
        <w:keepLines/>
        <w:spacing w:before="340" w:after="330" w:line="360" w:lineRule="auto"/>
        <w:rPr>
          <w:rFonts w:hAnsi="宋体" w:cs="宋体"/>
          <w:color w:val="auto"/>
        </w:rPr>
      </w:pPr>
      <w:bookmarkStart w:id="45" w:name="_Toc24931"/>
      <w:bookmarkStart w:id="46" w:name="_Toc5874"/>
      <w:r>
        <w:rPr>
          <w:rFonts w:hint="eastAsia" w:hAnsi="宋体" w:cs="宋体"/>
          <w:color w:val="auto"/>
          <w:sz w:val="36"/>
          <w:szCs w:val="36"/>
        </w:rPr>
        <w:br w:type="page"/>
      </w:r>
      <w:r>
        <w:rPr>
          <w:rFonts w:hint="eastAsia" w:hAnsi="宋体" w:cs="宋体"/>
          <w:color w:val="auto"/>
          <w:sz w:val="36"/>
          <w:szCs w:val="36"/>
        </w:rPr>
        <w:t>二、总则</w:t>
      </w:r>
      <w:bookmarkEnd w:id="40"/>
      <w:bookmarkEnd w:id="41"/>
      <w:bookmarkEnd w:id="42"/>
      <w:bookmarkEnd w:id="43"/>
      <w:bookmarkEnd w:id="45"/>
      <w:bookmarkEnd w:id="46"/>
    </w:p>
    <w:p>
      <w:pPr>
        <w:pStyle w:val="5"/>
        <w:spacing w:line="360" w:lineRule="auto"/>
        <w:rPr>
          <w:rFonts w:ascii="宋体" w:hAnsi="宋体" w:cs="宋体"/>
          <w:sz w:val="24"/>
        </w:rPr>
      </w:pPr>
      <w:bookmarkStart w:id="47" w:name="_Toc21879"/>
      <w:r>
        <w:rPr>
          <w:rFonts w:hint="eastAsia" w:ascii="宋体" w:hAnsi="宋体" w:cs="宋体"/>
          <w:sz w:val="24"/>
        </w:rPr>
        <w:t>1.</w:t>
      </w:r>
      <w:bookmarkEnd w:id="37"/>
      <w:bookmarkEnd w:id="38"/>
      <w:r>
        <w:rPr>
          <w:rFonts w:hint="eastAsia" w:ascii="宋体" w:hAnsi="宋体" w:cs="宋体"/>
          <w:sz w:val="24"/>
        </w:rPr>
        <w:t>适用范围</w:t>
      </w:r>
      <w:bookmarkEnd w:id="39"/>
      <w:bookmarkEnd w:id="47"/>
    </w:p>
    <w:p>
      <w:pPr>
        <w:tabs>
          <w:tab w:val="left" w:pos="7665"/>
        </w:tabs>
        <w:spacing w:line="360" w:lineRule="auto"/>
        <w:ind w:firstLine="480" w:firstLineChars="200"/>
        <w:rPr>
          <w:rFonts w:hAnsi="宋体" w:cs="宋体"/>
          <w:color w:val="auto"/>
        </w:rPr>
      </w:pPr>
      <w:r>
        <w:rPr>
          <w:rFonts w:hint="eastAsia" w:hAnsi="宋体" w:cs="宋体"/>
          <w:color w:val="auto"/>
        </w:rPr>
        <w:t>1.1 本招标文件仅适用于本次公开招标采购项目。</w:t>
      </w:r>
    </w:p>
    <w:p>
      <w:pPr>
        <w:pStyle w:val="5"/>
        <w:spacing w:line="360" w:lineRule="auto"/>
        <w:rPr>
          <w:rFonts w:ascii="宋体" w:hAnsi="宋体" w:cs="宋体"/>
          <w:sz w:val="24"/>
        </w:rPr>
      </w:pPr>
      <w:bookmarkStart w:id="48" w:name="_Toc183582206"/>
      <w:bookmarkStart w:id="49" w:name="_Toc183682343"/>
      <w:bookmarkStart w:id="50" w:name="_Toc458"/>
      <w:bookmarkStart w:id="51" w:name="_Toc217446035"/>
      <w:r>
        <w:rPr>
          <w:rFonts w:hint="eastAsia" w:ascii="宋体" w:hAnsi="宋体" w:cs="宋体"/>
          <w:sz w:val="24"/>
        </w:rPr>
        <w:t xml:space="preserve">2. </w:t>
      </w:r>
      <w:bookmarkEnd w:id="48"/>
      <w:bookmarkEnd w:id="49"/>
      <w:r>
        <w:rPr>
          <w:rFonts w:hint="eastAsia" w:ascii="宋体" w:hAnsi="宋体" w:cs="宋体"/>
          <w:sz w:val="24"/>
        </w:rPr>
        <w:t>有关定义</w:t>
      </w:r>
      <w:bookmarkEnd w:id="50"/>
      <w:bookmarkEnd w:id="51"/>
    </w:p>
    <w:p>
      <w:pPr>
        <w:tabs>
          <w:tab w:val="left" w:pos="7665"/>
        </w:tabs>
        <w:spacing w:line="360" w:lineRule="auto"/>
        <w:ind w:firstLine="480" w:firstLineChars="200"/>
        <w:rPr>
          <w:rFonts w:hAnsi="宋体" w:cs="宋体"/>
          <w:color w:val="auto"/>
        </w:rPr>
      </w:pPr>
      <w:r>
        <w:rPr>
          <w:rFonts w:hint="eastAsia" w:hAnsi="宋体" w:cs="宋体"/>
          <w:color w:val="auto"/>
        </w:rPr>
        <w:t>2.1 “采购人”系指依法进行政府采购的国家机关、事业单位、团体组织。本次招标的采购人是</w:t>
      </w:r>
      <w:r>
        <w:rPr>
          <w:rFonts w:hint="eastAsia" w:hAnsi="宋体" w:cs="宋体"/>
          <w:color w:val="auto"/>
          <w:u w:val="single"/>
        </w:rPr>
        <w:t>西安建筑科技大学</w:t>
      </w:r>
      <w:r>
        <w:rPr>
          <w:rFonts w:hint="eastAsia" w:hAnsi="宋体" w:cs="宋体"/>
          <w:color w:val="auto"/>
        </w:rPr>
        <w:t>。</w:t>
      </w:r>
    </w:p>
    <w:p>
      <w:pPr>
        <w:tabs>
          <w:tab w:val="left" w:pos="7665"/>
        </w:tabs>
        <w:spacing w:line="360" w:lineRule="auto"/>
        <w:ind w:firstLine="480" w:firstLineChars="200"/>
        <w:rPr>
          <w:rFonts w:hAnsi="宋体" w:cs="宋体"/>
          <w:color w:val="auto"/>
        </w:rPr>
      </w:pPr>
      <w:r>
        <w:rPr>
          <w:rFonts w:hint="eastAsia" w:hAnsi="宋体" w:cs="宋体"/>
          <w:color w:val="auto"/>
        </w:rPr>
        <w:t>2.2 “采购代理机构”系指根据采购人的委托依法办理招标事宜的采购机构。本次招标的采购代理机构是</w:t>
      </w:r>
      <w:r>
        <w:rPr>
          <w:rFonts w:hint="eastAsia" w:hAnsi="宋体" w:cs="宋体"/>
          <w:color w:val="auto"/>
          <w:u w:val="single"/>
        </w:rPr>
        <w:t>四川国际招标有限责任公司</w:t>
      </w:r>
      <w:r>
        <w:rPr>
          <w:rFonts w:hint="eastAsia" w:hAnsi="宋体" w:cs="宋体"/>
          <w:color w:val="auto"/>
        </w:rPr>
        <w:t>。</w:t>
      </w:r>
    </w:p>
    <w:p>
      <w:pPr>
        <w:tabs>
          <w:tab w:val="left" w:pos="7665"/>
        </w:tabs>
        <w:spacing w:line="360" w:lineRule="auto"/>
        <w:ind w:firstLine="480" w:firstLineChars="200"/>
        <w:rPr>
          <w:rFonts w:hAnsi="宋体" w:cs="宋体"/>
          <w:color w:val="auto"/>
        </w:rPr>
      </w:pPr>
      <w:r>
        <w:rPr>
          <w:rFonts w:hint="eastAsia" w:hAnsi="宋体" w:cs="宋体"/>
          <w:color w:val="auto"/>
        </w:rPr>
        <w:t>2.3 “招标采购单位”系指“采购人”和“采购代理机构”的统称。</w:t>
      </w:r>
    </w:p>
    <w:p>
      <w:pPr>
        <w:tabs>
          <w:tab w:val="left" w:pos="7665"/>
        </w:tabs>
        <w:spacing w:line="360" w:lineRule="auto"/>
        <w:ind w:firstLine="480" w:firstLineChars="200"/>
        <w:rPr>
          <w:rFonts w:hAnsi="宋体" w:cs="宋体"/>
          <w:color w:val="auto"/>
        </w:rPr>
      </w:pPr>
      <w:r>
        <w:rPr>
          <w:rFonts w:hint="eastAsia" w:hAnsi="宋体" w:cs="宋体"/>
          <w:color w:val="auto"/>
        </w:rPr>
        <w:t>2.4 “投标人”系指购买了招标文件拟参加投标和向采购人提供服务的供应商。</w:t>
      </w:r>
    </w:p>
    <w:p>
      <w:pPr>
        <w:pStyle w:val="5"/>
        <w:spacing w:line="360" w:lineRule="auto"/>
        <w:rPr>
          <w:rFonts w:ascii="宋体" w:hAnsi="宋体" w:cs="宋体"/>
          <w:sz w:val="24"/>
        </w:rPr>
      </w:pPr>
      <w:bookmarkStart w:id="52" w:name="_Toc217390843"/>
      <w:bookmarkStart w:id="53" w:name="_Toc217446036"/>
      <w:bookmarkStart w:id="54" w:name="_Toc183682344"/>
      <w:bookmarkStart w:id="55" w:name="_Toc183582207"/>
      <w:bookmarkStart w:id="56" w:name="_Toc6652"/>
      <w:bookmarkStart w:id="57" w:name="_Toc183682346"/>
      <w:bookmarkStart w:id="58" w:name="_Toc77400779"/>
      <w:bookmarkStart w:id="59" w:name="_Toc22869"/>
      <w:bookmarkStart w:id="60" w:name="_Toc183582209"/>
      <w:bookmarkStart w:id="61" w:name="_Toc18993"/>
      <w:bookmarkStart w:id="62" w:name="_Toc24610"/>
      <w:bookmarkStart w:id="63" w:name="_Toc13653"/>
      <w:bookmarkStart w:id="64" w:name="_Toc13323"/>
      <w:bookmarkStart w:id="65" w:name="_Toc89075875"/>
      <w:bookmarkStart w:id="66" w:name="_Toc217446038"/>
      <w:r>
        <w:rPr>
          <w:rFonts w:hint="eastAsia" w:ascii="宋体" w:hAnsi="宋体" w:cs="宋体"/>
          <w:sz w:val="24"/>
        </w:rPr>
        <w:t>3. 合格的投标人</w:t>
      </w:r>
      <w:bookmarkEnd w:id="52"/>
      <w:bookmarkEnd w:id="53"/>
      <w:bookmarkEnd w:id="54"/>
      <w:bookmarkEnd w:id="55"/>
    </w:p>
    <w:p>
      <w:pPr>
        <w:tabs>
          <w:tab w:val="left" w:pos="7665"/>
        </w:tabs>
        <w:spacing w:line="360" w:lineRule="auto"/>
        <w:ind w:firstLine="480" w:firstLineChars="200"/>
        <w:rPr>
          <w:rFonts w:hAnsi="宋体" w:cs="宋体"/>
          <w:color w:val="auto"/>
        </w:rPr>
      </w:pPr>
      <w:r>
        <w:rPr>
          <w:rFonts w:hint="eastAsia" w:hAnsi="宋体" w:cs="宋体"/>
          <w:color w:val="auto"/>
        </w:rPr>
        <w:t>合格的投标人应具备以下条件：</w:t>
      </w:r>
    </w:p>
    <w:p>
      <w:pPr>
        <w:tabs>
          <w:tab w:val="left" w:pos="7665"/>
        </w:tabs>
        <w:spacing w:line="360" w:lineRule="auto"/>
        <w:ind w:firstLine="480" w:firstLineChars="200"/>
        <w:rPr>
          <w:rFonts w:hAnsi="宋体" w:cs="宋体"/>
          <w:color w:val="auto"/>
          <w:spacing w:val="-4"/>
        </w:rPr>
      </w:pPr>
      <w:r>
        <w:rPr>
          <w:rFonts w:hint="eastAsia" w:hAnsi="宋体" w:cs="宋体"/>
          <w:color w:val="auto"/>
        </w:rPr>
        <w:t>（1）本招标文件规定的供应商资格条件</w:t>
      </w:r>
      <w:r>
        <w:rPr>
          <w:rFonts w:hint="eastAsia" w:hAnsi="宋体" w:cs="宋体"/>
          <w:color w:val="auto"/>
          <w:spacing w:val="-4"/>
        </w:rPr>
        <w:t>；</w:t>
      </w:r>
    </w:p>
    <w:p>
      <w:pPr>
        <w:tabs>
          <w:tab w:val="left" w:pos="7665"/>
        </w:tabs>
        <w:spacing w:line="360" w:lineRule="auto"/>
        <w:ind w:firstLine="480" w:firstLineChars="200"/>
        <w:rPr>
          <w:rFonts w:hAnsi="宋体" w:cs="宋体"/>
          <w:color w:val="auto"/>
        </w:rPr>
      </w:pPr>
      <w:r>
        <w:rPr>
          <w:rFonts w:hint="eastAsia" w:hAnsi="宋体" w:cs="宋体"/>
          <w:color w:val="auto"/>
        </w:rPr>
        <w:t>（2）遵守国家有关的法律、法规、规章和其他政策制度；</w:t>
      </w:r>
    </w:p>
    <w:p>
      <w:pPr>
        <w:tabs>
          <w:tab w:val="left" w:pos="7665"/>
        </w:tabs>
        <w:spacing w:line="360" w:lineRule="auto"/>
        <w:ind w:firstLine="480" w:firstLineChars="200"/>
        <w:rPr>
          <w:rFonts w:hAnsi="宋体" w:cs="宋体"/>
          <w:color w:val="auto"/>
        </w:rPr>
      </w:pPr>
      <w:r>
        <w:rPr>
          <w:rFonts w:hint="eastAsia" w:hAnsi="宋体" w:cs="宋体"/>
          <w:color w:val="auto"/>
        </w:rPr>
        <w:t>（3）向采购代理机构购买了招标文件。</w:t>
      </w:r>
    </w:p>
    <w:p>
      <w:pPr>
        <w:pStyle w:val="5"/>
        <w:spacing w:line="360" w:lineRule="auto"/>
        <w:rPr>
          <w:rFonts w:ascii="宋体" w:hAnsi="宋体" w:cs="宋体"/>
          <w:sz w:val="24"/>
        </w:rPr>
      </w:pPr>
      <w:bookmarkStart w:id="67" w:name="_Toc217446037"/>
      <w:bookmarkStart w:id="68" w:name="_Toc183582208"/>
      <w:bookmarkStart w:id="69" w:name="_Toc183682345"/>
      <w:r>
        <w:rPr>
          <w:rFonts w:hint="eastAsia" w:ascii="宋体" w:hAnsi="宋体" w:cs="宋体"/>
          <w:sz w:val="24"/>
        </w:rPr>
        <w:t>4. 投标费用</w:t>
      </w:r>
      <w:bookmarkEnd w:id="67"/>
      <w:bookmarkEnd w:id="68"/>
      <w:bookmarkEnd w:id="69"/>
    </w:p>
    <w:p>
      <w:pPr>
        <w:tabs>
          <w:tab w:val="left" w:pos="7665"/>
        </w:tabs>
        <w:spacing w:line="360" w:lineRule="auto"/>
        <w:ind w:firstLine="480"/>
        <w:rPr>
          <w:rFonts w:hAnsi="宋体" w:cs="宋体"/>
          <w:color w:val="auto"/>
        </w:rPr>
      </w:pPr>
      <w:r>
        <w:rPr>
          <w:rFonts w:hint="eastAsia" w:hAnsi="宋体" w:cs="宋体"/>
          <w:color w:val="auto"/>
        </w:rPr>
        <w:t>投标人参加投标的有关费用由投标人自行承担。</w:t>
      </w:r>
    </w:p>
    <w:p>
      <w:pPr>
        <w:pStyle w:val="5"/>
        <w:spacing w:line="360" w:lineRule="auto"/>
        <w:rPr>
          <w:rFonts w:ascii="宋体" w:hAnsi="宋体" w:cs="宋体"/>
          <w:sz w:val="24"/>
        </w:rPr>
      </w:pPr>
      <w:r>
        <w:rPr>
          <w:rFonts w:hint="eastAsia" w:ascii="宋体" w:hAnsi="宋体" w:cs="宋体"/>
          <w:sz w:val="24"/>
        </w:rPr>
        <w:t>5. 充分、公平竞争保障措施</w:t>
      </w:r>
    </w:p>
    <w:p>
      <w:pPr>
        <w:pStyle w:val="104"/>
        <w:spacing w:line="360" w:lineRule="auto"/>
        <w:ind w:left="1" w:firstLine="482" w:firstLineChars="200"/>
        <w:rPr>
          <w:rFonts w:hAnsi="宋体" w:cs="宋体"/>
          <w:b/>
          <w:color w:val="auto"/>
          <w:sz w:val="24"/>
        </w:rPr>
      </w:pPr>
      <w:r>
        <w:rPr>
          <w:rFonts w:hint="eastAsia" w:hAnsi="宋体" w:cs="宋体"/>
          <w:b/>
          <w:color w:val="auto"/>
          <w:sz w:val="24"/>
        </w:rPr>
        <w:t>5.1 提供相同品牌产品处理。</w:t>
      </w:r>
    </w:p>
    <w:p>
      <w:pPr>
        <w:pStyle w:val="92"/>
        <w:ind w:firstLine="472" w:firstLineChars="196"/>
        <w:rPr>
          <w:rFonts w:hAnsi="宋体" w:cs="宋体"/>
          <w:bCs/>
          <w:color w:val="auto"/>
        </w:rPr>
      </w:pPr>
      <w:r>
        <w:rPr>
          <w:rFonts w:hint="eastAsia" w:hAnsi="宋体" w:cs="宋体"/>
          <w:b/>
          <w:color w:val="auto"/>
        </w:rPr>
        <w:t xml:space="preserve">5.1.1 </w:t>
      </w:r>
      <w:r>
        <w:rPr>
          <w:rFonts w:hint="eastAsia" w:hAnsi="宋体" w:cs="宋体"/>
          <w:bCs/>
          <w:color w:val="auto"/>
        </w:rPr>
        <w:t>非单一产品采购项目中，采购人根据采购项目技术构成、产品价格比重等合理确定核心产品。多家投标人提供的任一核心产品品牌相同的，视为提供相同品牌产品。</w:t>
      </w:r>
    </w:p>
    <w:p>
      <w:pPr>
        <w:pStyle w:val="104"/>
        <w:spacing w:line="360" w:lineRule="auto"/>
        <w:ind w:left="1" w:firstLine="482" w:firstLineChars="200"/>
        <w:rPr>
          <w:rFonts w:hAnsi="宋体" w:cs="宋体"/>
          <w:b/>
          <w:color w:val="auto"/>
          <w:sz w:val="24"/>
        </w:rPr>
      </w:pPr>
      <w:r>
        <w:rPr>
          <w:rFonts w:hint="eastAsia" w:hAnsi="宋体" w:cs="宋体"/>
          <w:b/>
          <w:color w:val="auto"/>
          <w:sz w:val="24"/>
        </w:rPr>
        <w:t>5.1.2 采用最低评标价法的采购项目（本项目不适用）。</w:t>
      </w:r>
    </w:p>
    <w:p>
      <w:pPr>
        <w:pStyle w:val="104"/>
        <w:spacing w:line="360" w:lineRule="auto"/>
        <w:ind w:left="1" w:firstLine="480" w:firstLineChars="200"/>
        <w:rPr>
          <w:rFonts w:hAnsi="宋体" w:cs="宋体"/>
          <w:bCs/>
          <w:color w:val="auto"/>
          <w:sz w:val="24"/>
        </w:rPr>
      </w:pPr>
      <w:r>
        <w:rPr>
          <w:rFonts w:hint="eastAsia" w:hAnsi="宋体" w:cs="宋体"/>
          <w:bCs/>
          <w:color w:val="auto"/>
          <w:sz w:val="24"/>
        </w:rPr>
        <w:t>提供相同品牌产品的不同投标人参加同一合同项下投标的，以其中通过资格审查、符合性审查且报价最低的参加评标；报价相同的，由采购人采取随机抽取方式确定一个参加评标的投标人，其他投标无效。</w:t>
      </w:r>
    </w:p>
    <w:p>
      <w:pPr>
        <w:pStyle w:val="104"/>
        <w:spacing w:line="360" w:lineRule="auto"/>
        <w:ind w:left="1" w:firstLine="482" w:firstLineChars="200"/>
        <w:rPr>
          <w:rFonts w:hAnsi="宋体" w:cs="宋体"/>
          <w:b/>
          <w:color w:val="auto"/>
          <w:sz w:val="24"/>
        </w:rPr>
      </w:pPr>
      <w:r>
        <w:rPr>
          <w:rFonts w:hint="eastAsia" w:hAnsi="宋体" w:cs="宋体"/>
          <w:b/>
          <w:color w:val="auto"/>
          <w:sz w:val="24"/>
        </w:rPr>
        <w:t>5.1.3 采用综合评分法的采购项目。</w:t>
      </w:r>
    </w:p>
    <w:p>
      <w:pPr>
        <w:pStyle w:val="104"/>
        <w:spacing w:line="360" w:lineRule="auto"/>
        <w:ind w:left="1" w:firstLine="480" w:firstLineChars="200"/>
        <w:rPr>
          <w:rFonts w:hAnsi="宋体" w:cs="宋体"/>
          <w:bCs/>
          <w:color w:val="auto"/>
          <w:sz w:val="24"/>
        </w:rPr>
      </w:pPr>
      <w:r>
        <w:rPr>
          <w:rFonts w:hint="eastAsia" w:hAnsi="宋体" w:cs="宋体"/>
          <w:bCs/>
          <w:color w:val="auto"/>
          <w:sz w:val="24"/>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pStyle w:val="104"/>
        <w:spacing w:line="360" w:lineRule="auto"/>
        <w:ind w:left="1" w:firstLine="482" w:firstLineChars="200"/>
        <w:rPr>
          <w:rFonts w:hAnsi="宋体" w:cs="宋体"/>
          <w:color w:val="auto"/>
          <w:sz w:val="24"/>
        </w:rPr>
      </w:pPr>
      <w:r>
        <w:rPr>
          <w:rFonts w:hint="eastAsia" w:hAnsi="宋体" w:cs="宋体"/>
          <w:b/>
          <w:color w:val="auto"/>
          <w:sz w:val="24"/>
        </w:rPr>
        <w:t>5.2 利害关系供应商处理。</w:t>
      </w:r>
      <w:r>
        <w:rPr>
          <w:rFonts w:hint="eastAsia" w:hAnsi="宋体" w:cs="宋体"/>
          <w:color w:val="auto"/>
          <w:sz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104"/>
        <w:spacing w:line="360" w:lineRule="auto"/>
        <w:ind w:left="1" w:firstLine="482" w:firstLineChars="200"/>
        <w:rPr>
          <w:rFonts w:hAnsi="宋体" w:cs="宋体"/>
          <w:color w:val="auto"/>
          <w:sz w:val="24"/>
        </w:rPr>
      </w:pPr>
      <w:r>
        <w:rPr>
          <w:rFonts w:hint="eastAsia" w:hAnsi="宋体" w:cs="宋体"/>
          <w:b/>
          <w:color w:val="auto"/>
          <w:sz w:val="24"/>
        </w:rPr>
        <w:t>5.3 前期参与供应商处理。</w:t>
      </w:r>
      <w:r>
        <w:rPr>
          <w:rFonts w:hint="eastAsia" w:hAnsi="宋体" w:cs="宋体"/>
          <w:color w:val="auto"/>
          <w:sz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104"/>
        <w:spacing w:line="360" w:lineRule="auto"/>
        <w:ind w:left="1" w:firstLine="482" w:firstLineChars="200"/>
        <w:rPr>
          <w:rFonts w:hAnsi="宋体" w:cs="宋体"/>
          <w:color w:val="auto"/>
          <w:sz w:val="24"/>
        </w:rPr>
      </w:pPr>
      <w:r>
        <w:rPr>
          <w:rFonts w:hint="eastAsia" w:hAnsi="宋体" w:cs="宋体"/>
          <w:b/>
          <w:color w:val="auto"/>
          <w:sz w:val="24"/>
        </w:rPr>
        <w:t>5.4 利害关系代理人处理。</w:t>
      </w:r>
      <w:r>
        <w:rPr>
          <w:rFonts w:hint="eastAsia" w:hAnsi="宋体" w:cs="宋体"/>
          <w:color w:val="auto"/>
          <w:sz w:val="24"/>
        </w:rPr>
        <w:t>2家以上的供应商不得在同一合同项下的采购项目中，同时委托同一个自然人、同一家庭的人员、同一单位的人员作为其代理人，否则，其投标文件作为无效处理。</w:t>
      </w:r>
    </w:p>
    <w:p>
      <w:pPr>
        <w:keepNext/>
        <w:keepLines/>
        <w:spacing w:before="340" w:after="330" w:line="360" w:lineRule="auto"/>
        <w:jc w:val="center"/>
        <w:rPr>
          <w:rFonts w:hAnsi="宋体" w:cs="宋体"/>
          <w:color w:val="auto"/>
          <w:sz w:val="36"/>
          <w:szCs w:val="36"/>
        </w:rPr>
      </w:pPr>
      <w:r>
        <w:rPr>
          <w:rFonts w:hint="eastAsia" w:hAnsi="宋体" w:cs="宋体"/>
          <w:color w:val="auto"/>
          <w:sz w:val="36"/>
          <w:szCs w:val="36"/>
        </w:rPr>
        <w:t>三、招标文件</w:t>
      </w:r>
      <w:bookmarkEnd w:id="56"/>
      <w:bookmarkEnd w:id="57"/>
      <w:bookmarkEnd w:id="58"/>
      <w:bookmarkEnd w:id="59"/>
      <w:bookmarkEnd w:id="60"/>
      <w:bookmarkEnd w:id="61"/>
      <w:bookmarkEnd w:id="62"/>
      <w:bookmarkEnd w:id="63"/>
      <w:bookmarkEnd w:id="64"/>
      <w:bookmarkEnd w:id="65"/>
      <w:bookmarkEnd w:id="66"/>
    </w:p>
    <w:p>
      <w:pPr>
        <w:pStyle w:val="5"/>
        <w:spacing w:line="360" w:lineRule="auto"/>
        <w:rPr>
          <w:rFonts w:ascii="宋体" w:hAnsi="宋体" w:cs="宋体"/>
          <w:sz w:val="24"/>
        </w:rPr>
      </w:pPr>
      <w:bookmarkStart w:id="70" w:name="_Toc3193"/>
      <w:bookmarkStart w:id="71" w:name="_Toc183582210"/>
      <w:bookmarkStart w:id="72" w:name="_Toc183682347"/>
      <w:bookmarkStart w:id="73" w:name="_Toc217446039"/>
      <w:r>
        <w:rPr>
          <w:rFonts w:hint="eastAsia" w:ascii="宋体" w:hAnsi="宋体" w:cs="宋体"/>
          <w:sz w:val="24"/>
        </w:rPr>
        <w:t>6．招标文件的构成</w:t>
      </w:r>
      <w:bookmarkEnd w:id="70"/>
      <w:bookmarkEnd w:id="71"/>
      <w:bookmarkEnd w:id="72"/>
      <w:bookmarkEnd w:id="73"/>
    </w:p>
    <w:p>
      <w:pPr>
        <w:tabs>
          <w:tab w:val="left" w:pos="720"/>
        </w:tabs>
        <w:spacing w:line="360" w:lineRule="auto"/>
        <w:ind w:firstLine="480" w:firstLineChars="200"/>
        <w:rPr>
          <w:rFonts w:hAnsi="宋体" w:cs="宋体"/>
          <w:color w:val="auto"/>
        </w:rPr>
      </w:pPr>
      <w:r>
        <w:rPr>
          <w:rFonts w:hint="eastAsia" w:hAnsi="宋体" w:cs="宋体"/>
          <w:color w:val="auto"/>
        </w:rPr>
        <w:t>6</w:t>
      </w:r>
      <w:r>
        <w:rPr>
          <w:rFonts w:hint="eastAsia" w:hAnsi="宋体" w:cs="宋体"/>
          <w:b/>
          <w:bCs/>
          <w:color w:val="auto"/>
        </w:rPr>
        <w:t>.</w:t>
      </w:r>
      <w:r>
        <w:rPr>
          <w:rFonts w:hint="eastAsia" w:hAnsi="宋体" w:cs="宋体"/>
          <w:color w:val="auto"/>
        </w:rPr>
        <w:t>1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360" w:lineRule="auto"/>
        <w:rPr>
          <w:rFonts w:hAnsi="宋体" w:cs="宋体"/>
          <w:color w:val="auto"/>
        </w:rPr>
      </w:pPr>
      <w:r>
        <w:rPr>
          <w:rFonts w:hint="eastAsia" w:hAnsi="宋体" w:cs="宋体"/>
          <w:color w:val="auto"/>
        </w:rPr>
        <w:t>（一）投标邀请；</w:t>
      </w:r>
    </w:p>
    <w:p>
      <w:pPr>
        <w:tabs>
          <w:tab w:val="left" w:pos="720"/>
        </w:tabs>
        <w:spacing w:line="360" w:lineRule="auto"/>
        <w:rPr>
          <w:rFonts w:hAnsi="宋体" w:cs="宋体"/>
          <w:color w:val="auto"/>
        </w:rPr>
      </w:pPr>
      <w:r>
        <w:rPr>
          <w:rFonts w:hint="eastAsia" w:hAnsi="宋体" w:cs="宋体"/>
          <w:color w:val="auto"/>
        </w:rPr>
        <w:t>（二）投标人须知；</w:t>
      </w:r>
    </w:p>
    <w:p>
      <w:pPr>
        <w:tabs>
          <w:tab w:val="left" w:pos="720"/>
        </w:tabs>
        <w:spacing w:line="360" w:lineRule="auto"/>
        <w:rPr>
          <w:rFonts w:hAnsi="宋体" w:cs="宋体"/>
          <w:color w:val="auto"/>
        </w:rPr>
      </w:pPr>
      <w:r>
        <w:rPr>
          <w:rFonts w:hint="eastAsia" w:hAnsi="宋体" w:cs="宋体"/>
          <w:color w:val="auto"/>
        </w:rPr>
        <w:t>（三）投标文件格式；</w:t>
      </w:r>
    </w:p>
    <w:p>
      <w:pPr>
        <w:tabs>
          <w:tab w:val="left" w:pos="720"/>
        </w:tabs>
        <w:spacing w:line="360" w:lineRule="auto"/>
        <w:rPr>
          <w:rFonts w:hAnsi="宋体" w:cs="宋体"/>
          <w:color w:val="auto"/>
        </w:rPr>
      </w:pPr>
      <w:r>
        <w:rPr>
          <w:rFonts w:hint="eastAsia" w:hAnsi="宋体" w:cs="宋体"/>
          <w:color w:val="auto"/>
        </w:rPr>
        <w:t>（四）投标人和投标产品（如涉及）的资格、资质性及其他类似效力要求；</w:t>
      </w:r>
    </w:p>
    <w:p>
      <w:pPr>
        <w:tabs>
          <w:tab w:val="left" w:pos="720"/>
        </w:tabs>
        <w:spacing w:line="360" w:lineRule="auto"/>
        <w:rPr>
          <w:rFonts w:hAnsi="宋体" w:cs="宋体"/>
          <w:color w:val="auto"/>
        </w:rPr>
      </w:pPr>
      <w:r>
        <w:rPr>
          <w:rFonts w:hint="eastAsia" w:hAnsi="宋体" w:cs="宋体"/>
          <w:color w:val="auto"/>
        </w:rPr>
        <w:t>（五）投标人应当提供的资格、资质性及其他类似效力要求的相关证明材料；</w:t>
      </w:r>
    </w:p>
    <w:p>
      <w:pPr>
        <w:tabs>
          <w:tab w:val="left" w:pos="720"/>
        </w:tabs>
        <w:spacing w:line="360" w:lineRule="auto"/>
        <w:rPr>
          <w:rFonts w:hAnsi="宋体" w:cs="宋体"/>
          <w:color w:val="auto"/>
        </w:rPr>
      </w:pPr>
      <w:r>
        <w:rPr>
          <w:rFonts w:hint="eastAsia" w:hAnsi="宋体" w:cs="宋体"/>
          <w:color w:val="auto"/>
        </w:rPr>
        <w:t>（六）招标项目要求；</w:t>
      </w:r>
    </w:p>
    <w:p>
      <w:pPr>
        <w:tabs>
          <w:tab w:val="left" w:pos="720"/>
        </w:tabs>
        <w:spacing w:line="360" w:lineRule="auto"/>
        <w:rPr>
          <w:rFonts w:hAnsi="宋体" w:cs="宋体"/>
          <w:color w:val="auto"/>
        </w:rPr>
      </w:pPr>
      <w:r>
        <w:rPr>
          <w:rFonts w:hint="eastAsia" w:hAnsi="宋体" w:cs="宋体"/>
          <w:color w:val="auto"/>
        </w:rPr>
        <w:t>（七）评标办法；</w:t>
      </w:r>
    </w:p>
    <w:p>
      <w:pPr>
        <w:tabs>
          <w:tab w:val="left" w:pos="720"/>
        </w:tabs>
        <w:spacing w:line="360" w:lineRule="auto"/>
        <w:rPr>
          <w:rFonts w:hAnsi="宋体" w:cs="宋体"/>
          <w:color w:val="auto"/>
        </w:rPr>
      </w:pPr>
      <w:r>
        <w:rPr>
          <w:rFonts w:hint="eastAsia" w:hAnsi="宋体" w:cs="宋体"/>
          <w:color w:val="auto"/>
        </w:rPr>
        <w:t>（八）合同主要条款。</w:t>
      </w:r>
    </w:p>
    <w:p>
      <w:pPr>
        <w:tabs>
          <w:tab w:val="left" w:pos="7665"/>
        </w:tabs>
        <w:spacing w:line="360" w:lineRule="auto"/>
        <w:rPr>
          <w:rFonts w:hAnsi="宋体" w:cs="宋体"/>
          <w:color w:val="auto"/>
        </w:rPr>
      </w:pPr>
      <w:r>
        <w:rPr>
          <w:rFonts w:hint="eastAsia" w:hAnsi="宋体" w:cs="宋体"/>
          <w:color w:val="auto"/>
        </w:rPr>
        <w:t xml:space="preserve">    6</w:t>
      </w:r>
      <w:r>
        <w:rPr>
          <w:rFonts w:hint="eastAsia" w:hAnsi="宋体" w:cs="宋体"/>
          <w:b/>
          <w:bCs/>
          <w:color w:val="auto"/>
        </w:rPr>
        <w:t>.</w:t>
      </w:r>
      <w:r>
        <w:rPr>
          <w:rFonts w:hint="eastAsia" w:hAnsi="宋体" w:cs="宋体"/>
          <w:color w:val="auto"/>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5"/>
        <w:spacing w:line="360" w:lineRule="auto"/>
        <w:rPr>
          <w:rFonts w:ascii="宋体" w:hAnsi="宋体" w:cs="宋体"/>
          <w:sz w:val="24"/>
        </w:rPr>
      </w:pPr>
      <w:bookmarkStart w:id="74" w:name="_Toc183582211"/>
      <w:bookmarkStart w:id="75" w:name="_Toc183682348"/>
      <w:bookmarkStart w:id="76" w:name="_Toc12704"/>
      <w:bookmarkStart w:id="77" w:name="_Toc217446040"/>
      <w:r>
        <w:rPr>
          <w:rFonts w:hint="eastAsia" w:ascii="宋体" w:hAnsi="宋体" w:cs="宋体"/>
          <w:sz w:val="24"/>
        </w:rPr>
        <w:t>7. 招标文件的澄清</w:t>
      </w:r>
      <w:bookmarkEnd w:id="74"/>
      <w:bookmarkEnd w:id="75"/>
      <w:r>
        <w:rPr>
          <w:rFonts w:hint="eastAsia" w:ascii="宋体" w:hAnsi="宋体" w:cs="宋体"/>
          <w:sz w:val="24"/>
        </w:rPr>
        <w:t>和修改</w:t>
      </w:r>
      <w:bookmarkEnd w:id="76"/>
      <w:bookmarkEnd w:id="77"/>
    </w:p>
    <w:p>
      <w:pPr>
        <w:tabs>
          <w:tab w:val="left" w:pos="7665"/>
        </w:tabs>
        <w:spacing w:line="360" w:lineRule="auto"/>
        <w:ind w:firstLine="480" w:firstLineChars="200"/>
        <w:rPr>
          <w:rFonts w:hAnsi="宋体" w:cs="宋体"/>
          <w:color w:val="auto"/>
        </w:rPr>
      </w:pPr>
      <w:bookmarkStart w:id="78" w:name="_Toc24268"/>
      <w:bookmarkStart w:id="79" w:name="_Toc3696"/>
      <w:bookmarkStart w:id="80" w:name="_Toc217446042"/>
      <w:bookmarkStart w:id="81" w:name="_Toc21900"/>
      <w:bookmarkStart w:id="82" w:name="_Toc89075876"/>
      <w:bookmarkStart w:id="83" w:name="_Toc183682351"/>
      <w:bookmarkStart w:id="84" w:name="_Toc18406"/>
      <w:bookmarkStart w:id="85" w:name="_Toc183582214"/>
      <w:bookmarkStart w:id="86" w:name="_Toc77400780"/>
      <w:bookmarkStart w:id="87" w:name="_Toc13906"/>
      <w:bookmarkStart w:id="88" w:name="_Toc14522"/>
      <w:r>
        <w:rPr>
          <w:rFonts w:hint="eastAsia" w:hAnsi="宋体" w:cs="宋体"/>
          <w:color w:val="auto"/>
        </w:rPr>
        <w:t>7.1 招标采购单位可以依法对招标文件进行澄清或者修改。</w:t>
      </w:r>
    </w:p>
    <w:p>
      <w:pPr>
        <w:tabs>
          <w:tab w:val="left" w:pos="7665"/>
        </w:tabs>
        <w:spacing w:line="360" w:lineRule="auto"/>
        <w:ind w:firstLine="480" w:firstLineChars="200"/>
        <w:rPr>
          <w:rFonts w:hAnsi="宋体" w:cs="宋体"/>
          <w:color w:val="auto"/>
        </w:rPr>
      </w:pPr>
      <w:r>
        <w:rPr>
          <w:rFonts w:hint="eastAsia" w:hAnsi="宋体" w:cs="宋体"/>
          <w:color w:val="auto"/>
        </w:rPr>
        <w:t>7.2 招标采购单位对已发出的招标文件进行澄清或者修改，应当以书面形式将澄清或者修改的内容通知所有购买了招标文件的供应商，同时在陕西省政府采购网上发布</w:t>
      </w:r>
      <w:r>
        <w:rPr>
          <w:rFonts w:hint="eastAsia" w:hAnsi="宋体" w:cs="宋体"/>
          <w:b/>
          <w:bCs/>
          <w:color w:val="auto"/>
        </w:rPr>
        <w:t>变更/澄清公告</w:t>
      </w:r>
      <w:r>
        <w:rPr>
          <w:rFonts w:hint="eastAsia" w:hAnsi="宋体" w:cs="宋体"/>
          <w:color w:val="auto"/>
        </w:rPr>
        <w:t>。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pPr>
        <w:tabs>
          <w:tab w:val="left" w:pos="7665"/>
        </w:tabs>
        <w:spacing w:line="360" w:lineRule="auto"/>
        <w:ind w:firstLine="480" w:firstLineChars="200"/>
        <w:rPr>
          <w:rFonts w:hAnsi="宋体" w:cs="宋体"/>
          <w:color w:val="auto"/>
        </w:rPr>
      </w:pPr>
      <w:r>
        <w:rPr>
          <w:rFonts w:hint="eastAsia" w:hAnsi="宋体" w:cs="宋体"/>
          <w:color w:val="auto"/>
        </w:rPr>
        <w:t>7.3 供应商应于投标文件递交截止时间之前在《陕西省政府采购网》查询本项目的更正公告，以保证其对招标文件做出正确的响应。供应商未按要求下载相关文件，或由于未及时关注更正公告的信息造成的后果，其责任由供应商自行负责。</w:t>
      </w:r>
    </w:p>
    <w:p>
      <w:pPr>
        <w:tabs>
          <w:tab w:val="left" w:pos="7665"/>
        </w:tabs>
        <w:spacing w:line="360" w:lineRule="auto"/>
        <w:ind w:firstLine="480" w:firstLineChars="200"/>
        <w:rPr>
          <w:rFonts w:hAnsi="宋体" w:cs="宋体"/>
          <w:color w:val="auto"/>
        </w:rPr>
      </w:pPr>
      <w:r>
        <w:rPr>
          <w:rFonts w:hint="eastAsia" w:hAnsi="宋体" w:cs="宋体"/>
          <w:color w:val="auto"/>
        </w:rPr>
        <w:t>更正公告通过供应商报名时备注的电子邮箱发送至所有购买招标文件的供应商，供应商在收到相应更正公告后，以书面形式给予确认，该更正公告作为招标文件的组成部分，具有约束作用。如供应商未给予书面回复，则视为收到并认可该更正公告的内容。</w:t>
      </w:r>
    </w:p>
    <w:p>
      <w:pPr>
        <w:tabs>
          <w:tab w:val="left" w:pos="7665"/>
        </w:tabs>
        <w:spacing w:line="360" w:lineRule="auto"/>
        <w:ind w:firstLine="480" w:firstLineChars="200"/>
        <w:rPr>
          <w:rFonts w:hAnsi="宋体" w:cs="宋体"/>
          <w:color w:val="auto"/>
        </w:rPr>
      </w:pPr>
      <w:r>
        <w:rPr>
          <w:rFonts w:hint="eastAsia" w:hAnsi="宋体" w:cs="宋体"/>
          <w:color w:val="auto"/>
        </w:rPr>
        <w:t>7.4 投标人认为需要对招标文件进行澄清或者修改的，可以以书面形式向招标采购单位构提出申请，但招标采购单位可以决定是否采纳投标人的申请事项。</w:t>
      </w:r>
    </w:p>
    <w:p>
      <w:pPr>
        <w:pStyle w:val="5"/>
        <w:spacing w:line="360" w:lineRule="auto"/>
        <w:ind w:firstLine="482" w:firstLineChars="200"/>
        <w:rPr>
          <w:rFonts w:ascii="宋体" w:hAnsi="宋体" w:cs="宋体"/>
          <w:sz w:val="24"/>
        </w:rPr>
      </w:pPr>
      <w:bookmarkStart w:id="89" w:name="_Toc208848971"/>
      <w:bookmarkStart w:id="90" w:name="_Toc217446041"/>
      <w:r>
        <w:rPr>
          <w:rFonts w:hint="eastAsia" w:ascii="宋体" w:hAnsi="宋体" w:cs="宋体"/>
          <w:sz w:val="24"/>
        </w:rPr>
        <w:t>8. 答疑会和现场</w:t>
      </w:r>
      <w:bookmarkEnd w:id="89"/>
      <w:bookmarkEnd w:id="90"/>
      <w:r>
        <w:rPr>
          <w:rFonts w:hint="eastAsia" w:ascii="宋体" w:hAnsi="宋体" w:cs="宋体"/>
          <w:sz w:val="24"/>
        </w:rPr>
        <w:t>踏勘</w:t>
      </w:r>
    </w:p>
    <w:p>
      <w:pPr>
        <w:tabs>
          <w:tab w:val="left" w:pos="7665"/>
        </w:tabs>
        <w:spacing w:line="360" w:lineRule="auto"/>
        <w:ind w:firstLine="480" w:firstLineChars="200"/>
        <w:rPr>
          <w:rFonts w:hAnsi="宋体" w:cs="宋体"/>
          <w:color w:val="auto"/>
        </w:rPr>
      </w:pPr>
      <w:r>
        <w:rPr>
          <w:rFonts w:hint="eastAsia" w:hAnsi="宋体" w:cs="宋体"/>
          <w:color w:val="auto"/>
        </w:rPr>
        <w:t>8.1 根据采购项目和具体情况，招标采购单位认为有必要，可以在招标文件提供期限截止后，组织已获取招标文件的潜在投标人现场踏勘或者召开开标前答疑会。组织现场踏勘或者召开答疑会的，应当以书面形式通知所有获取招标文件的潜在投标人。</w:t>
      </w:r>
    </w:p>
    <w:p>
      <w:pPr>
        <w:tabs>
          <w:tab w:val="left" w:pos="7665"/>
        </w:tabs>
        <w:spacing w:line="360" w:lineRule="auto"/>
        <w:ind w:firstLine="480" w:firstLineChars="200"/>
        <w:rPr>
          <w:rFonts w:hAnsi="宋体" w:cs="宋体"/>
          <w:color w:val="auto"/>
        </w:rPr>
      </w:pPr>
      <w:r>
        <w:rPr>
          <w:rFonts w:hint="eastAsia" w:hAnsi="宋体" w:cs="宋体"/>
          <w:color w:val="auto"/>
        </w:rPr>
        <w:t>8.2 供应商踏勘现场所发生的一切费用由供应商自己承担。</w:t>
      </w:r>
    </w:p>
    <w:p>
      <w:pPr>
        <w:rPr>
          <w:color w:val="auto"/>
        </w:rPr>
      </w:pPr>
    </w:p>
    <w:p>
      <w:pPr>
        <w:keepNext/>
        <w:keepLines/>
        <w:spacing w:before="340" w:after="330" w:line="360" w:lineRule="auto"/>
        <w:jc w:val="center"/>
        <w:rPr>
          <w:rFonts w:hAnsi="宋体" w:cs="宋体"/>
          <w:color w:val="auto"/>
        </w:rPr>
      </w:pPr>
      <w:r>
        <w:rPr>
          <w:rFonts w:hint="eastAsia" w:hAnsi="宋体" w:cs="宋体"/>
          <w:color w:val="auto"/>
          <w:sz w:val="36"/>
          <w:szCs w:val="36"/>
        </w:rPr>
        <w:t>四、投标文件</w:t>
      </w:r>
    </w:p>
    <w:bookmarkEnd w:id="78"/>
    <w:bookmarkEnd w:id="79"/>
    <w:bookmarkEnd w:id="80"/>
    <w:bookmarkEnd w:id="81"/>
    <w:bookmarkEnd w:id="82"/>
    <w:bookmarkEnd w:id="83"/>
    <w:bookmarkEnd w:id="84"/>
    <w:bookmarkEnd w:id="85"/>
    <w:bookmarkEnd w:id="86"/>
    <w:bookmarkEnd w:id="87"/>
    <w:bookmarkEnd w:id="88"/>
    <w:p>
      <w:pPr>
        <w:pStyle w:val="5"/>
        <w:spacing w:line="360" w:lineRule="auto"/>
        <w:ind w:firstLine="482" w:firstLineChars="200"/>
        <w:rPr>
          <w:rFonts w:ascii="宋体" w:hAnsi="宋体" w:cs="宋体"/>
          <w:sz w:val="24"/>
        </w:rPr>
      </w:pPr>
      <w:bookmarkStart w:id="91" w:name="_Toc217446043"/>
      <w:bookmarkStart w:id="92" w:name="_Toc183682352"/>
      <w:bookmarkStart w:id="93" w:name="_Toc183582215"/>
      <w:bookmarkStart w:id="94" w:name="_Toc183682361"/>
      <w:bookmarkStart w:id="95" w:name="_Toc183582224"/>
      <w:bookmarkStart w:id="96" w:name="_Toc217446051"/>
      <w:bookmarkStart w:id="97" w:name="_Toc23329"/>
      <w:r>
        <w:rPr>
          <w:rFonts w:hint="eastAsia" w:ascii="宋体" w:hAnsi="宋体" w:cs="宋体"/>
          <w:sz w:val="24"/>
        </w:rPr>
        <w:t>9．投标文件的语言</w:t>
      </w:r>
      <w:bookmarkEnd w:id="91"/>
      <w:bookmarkEnd w:id="92"/>
      <w:bookmarkEnd w:id="93"/>
    </w:p>
    <w:p>
      <w:pPr>
        <w:tabs>
          <w:tab w:val="left" w:pos="1134"/>
        </w:tabs>
        <w:spacing w:line="360" w:lineRule="auto"/>
        <w:ind w:firstLine="480" w:firstLineChars="200"/>
        <w:jc w:val="left"/>
        <w:rPr>
          <w:rFonts w:hAnsi="宋体" w:cs="宋体"/>
          <w:color w:val="auto"/>
        </w:rPr>
      </w:pPr>
      <w:bookmarkStart w:id="98" w:name="_Toc183682353"/>
      <w:bookmarkStart w:id="99" w:name="_Toc217446044"/>
      <w:bookmarkStart w:id="100" w:name="_Toc183582216"/>
      <w:r>
        <w:rPr>
          <w:rFonts w:hint="eastAsia" w:hAnsi="宋体" w:cs="宋体"/>
          <w:color w:val="auto"/>
        </w:rPr>
        <w:t>9.1投标人提交的投标文件以及投标人与招标采购单位就有关投标的所有来往书面文件均须使用中文。投标文件中如附有外文资料，主要部分对应翻译成中文并加盖投标人公章后附在相关外文资料后面。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line="360" w:lineRule="auto"/>
        <w:ind w:firstLine="480" w:firstLineChars="200"/>
        <w:jc w:val="left"/>
        <w:rPr>
          <w:rFonts w:hAnsi="宋体" w:cs="宋体"/>
          <w:color w:val="auto"/>
        </w:rPr>
      </w:pPr>
      <w:r>
        <w:rPr>
          <w:rFonts w:hint="eastAsia" w:hAnsi="宋体" w:cs="宋体"/>
          <w:color w:val="auto"/>
        </w:rPr>
        <w:t>9.2 翻译的中文资料与外文资料如果出现差异和矛盾时，以中文为准。涉嫌虚假响应的按照相关法律法规处理。</w:t>
      </w:r>
    </w:p>
    <w:p>
      <w:pPr>
        <w:spacing w:line="360" w:lineRule="auto"/>
        <w:ind w:firstLine="480" w:firstLineChars="200"/>
        <w:rPr>
          <w:rFonts w:hAnsi="宋体" w:cs="宋体"/>
          <w:color w:val="auto"/>
        </w:rPr>
      </w:pPr>
      <w:r>
        <w:rPr>
          <w:rFonts w:hint="eastAsia" w:hAnsi="宋体" w:cs="宋体"/>
          <w:color w:val="auto"/>
        </w:rPr>
        <w:t>9.3 如因未翻译而造成的废标，由投标人承担。</w:t>
      </w:r>
    </w:p>
    <w:p>
      <w:pPr>
        <w:pStyle w:val="5"/>
        <w:spacing w:line="360" w:lineRule="auto"/>
        <w:ind w:firstLine="482" w:firstLineChars="200"/>
        <w:rPr>
          <w:rFonts w:ascii="宋体" w:hAnsi="宋体" w:cs="宋体"/>
          <w:sz w:val="24"/>
        </w:rPr>
      </w:pPr>
      <w:r>
        <w:rPr>
          <w:rFonts w:hint="eastAsia" w:ascii="宋体" w:hAnsi="宋体" w:cs="宋体"/>
          <w:sz w:val="24"/>
        </w:rPr>
        <w:t>10．计量单位</w:t>
      </w:r>
      <w:bookmarkEnd w:id="98"/>
      <w:bookmarkEnd w:id="99"/>
      <w:bookmarkEnd w:id="100"/>
    </w:p>
    <w:p>
      <w:pPr>
        <w:spacing w:line="360" w:lineRule="auto"/>
        <w:ind w:firstLine="470" w:firstLineChars="196"/>
        <w:rPr>
          <w:rFonts w:hAnsi="宋体" w:cs="宋体"/>
          <w:color w:val="auto"/>
        </w:rPr>
      </w:pPr>
      <w:r>
        <w:rPr>
          <w:rFonts w:hint="eastAsia" w:hAnsi="宋体" w:cs="宋体"/>
          <w:color w:val="auto"/>
        </w:rPr>
        <w:t>除招标文件中另有规定外，本次采购项目所有合同项下的投标均采用国家法定的计量单位。</w:t>
      </w:r>
    </w:p>
    <w:p>
      <w:pPr>
        <w:pStyle w:val="5"/>
        <w:spacing w:line="360" w:lineRule="auto"/>
        <w:ind w:firstLine="482" w:firstLineChars="200"/>
        <w:rPr>
          <w:rFonts w:ascii="宋体" w:hAnsi="宋体" w:cs="宋体"/>
          <w:sz w:val="24"/>
        </w:rPr>
      </w:pPr>
      <w:bookmarkStart w:id="101" w:name="_Toc217446045"/>
      <w:r>
        <w:rPr>
          <w:rFonts w:hint="eastAsia" w:ascii="宋体" w:hAnsi="宋体" w:cs="宋体"/>
          <w:sz w:val="24"/>
        </w:rPr>
        <w:t>11. 投标货币</w:t>
      </w:r>
      <w:bookmarkEnd w:id="101"/>
    </w:p>
    <w:p>
      <w:pPr>
        <w:spacing w:line="360" w:lineRule="auto"/>
        <w:ind w:firstLine="470" w:firstLineChars="196"/>
        <w:rPr>
          <w:rFonts w:hAnsi="宋体" w:cs="宋体"/>
          <w:color w:val="auto"/>
        </w:rPr>
      </w:pPr>
      <w:r>
        <w:rPr>
          <w:rFonts w:hint="eastAsia" w:hAnsi="宋体" w:cs="宋体"/>
          <w:color w:val="auto"/>
        </w:rPr>
        <w:t>本次招标项目的投标均以人民币报价。</w:t>
      </w:r>
    </w:p>
    <w:p>
      <w:pPr>
        <w:pStyle w:val="5"/>
        <w:spacing w:line="360" w:lineRule="auto"/>
        <w:ind w:firstLine="482" w:firstLineChars="200"/>
        <w:rPr>
          <w:rFonts w:ascii="宋体" w:hAnsi="宋体" w:cs="宋体"/>
          <w:sz w:val="24"/>
        </w:rPr>
      </w:pPr>
      <w:bookmarkStart w:id="102" w:name="_Toc217446046"/>
      <w:r>
        <w:rPr>
          <w:rFonts w:hint="eastAsia" w:ascii="宋体" w:hAnsi="宋体" w:cs="宋体"/>
          <w:sz w:val="24"/>
        </w:rPr>
        <w:t>12. 联合体投标</w:t>
      </w:r>
      <w:bookmarkEnd w:id="102"/>
      <w:r>
        <w:rPr>
          <w:rFonts w:hint="eastAsia" w:ascii="宋体" w:hAnsi="宋体" w:cs="宋体"/>
          <w:sz w:val="24"/>
        </w:rPr>
        <w:t>（本项目不适用）</w:t>
      </w:r>
    </w:p>
    <w:p>
      <w:pPr>
        <w:pStyle w:val="5"/>
        <w:spacing w:line="360" w:lineRule="auto"/>
        <w:ind w:firstLine="482" w:firstLineChars="200"/>
        <w:rPr>
          <w:rFonts w:ascii="宋体" w:hAnsi="宋体" w:cs="宋体"/>
          <w:sz w:val="24"/>
        </w:rPr>
      </w:pPr>
      <w:bookmarkStart w:id="103" w:name="_Toc308164797"/>
      <w:bookmarkStart w:id="104" w:name="_Toc217446047"/>
      <w:r>
        <w:rPr>
          <w:rFonts w:hint="eastAsia" w:ascii="宋体" w:hAnsi="宋体" w:cs="宋体"/>
          <w:sz w:val="24"/>
        </w:rPr>
        <w:t>13. 知识产权</w:t>
      </w:r>
      <w:bookmarkEnd w:id="103"/>
      <w:bookmarkEnd w:id="104"/>
    </w:p>
    <w:p>
      <w:pPr>
        <w:spacing w:line="360" w:lineRule="auto"/>
        <w:ind w:firstLine="470" w:firstLineChars="196"/>
        <w:rPr>
          <w:rFonts w:hAnsi="宋体" w:cs="宋体"/>
          <w:color w:val="auto"/>
        </w:rPr>
      </w:pPr>
      <w:r>
        <w:rPr>
          <w:rFonts w:hint="eastAsia" w:hAnsi="宋体" w:cs="宋体"/>
          <w:color w:val="auto"/>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spacing w:line="360" w:lineRule="auto"/>
        <w:ind w:firstLine="470" w:firstLineChars="196"/>
        <w:rPr>
          <w:rFonts w:hAnsi="宋体" w:cs="宋体"/>
          <w:color w:val="auto"/>
        </w:rPr>
      </w:pPr>
      <w:r>
        <w:rPr>
          <w:rFonts w:hint="eastAsia" w:hAnsi="宋体" w:cs="宋体"/>
          <w:color w:val="auto"/>
        </w:rPr>
        <w:t>13.2 采购人享有本项目实施过程中产生的知识成果及知识产权。</w:t>
      </w:r>
    </w:p>
    <w:p>
      <w:pPr>
        <w:spacing w:line="360" w:lineRule="auto"/>
        <w:ind w:firstLine="480" w:firstLineChars="200"/>
        <w:rPr>
          <w:rFonts w:hAnsi="宋体" w:cs="宋体"/>
          <w:color w:val="auto"/>
        </w:rPr>
      </w:pPr>
      <w:r>
        <w:rPr>
          <w:rFonts w:hint="eastAsia" w:hAnsi="宋体" w:cs="宋体"/>
          <w:color w:val="auto"/>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hAnsi="宋体" w:cs="宋体"/>
          <w:color w:val="auto"/>
        </w:rPr>
      </w:pPr>
      <w:r>
        <w:rPr>
          <w:rFonts w:hint="eastAsia" w:hAnsi="宋体" w:cs="宋体"/>
          <w:color w:val="auto"/>
        </w:rPr>
        <w:t>13.4 如采用投标人所不拥有的知识产权，则在投标报价中必须包括合法获取该知识产权的相关费用。</w:t>
      </w:r>
    </w:p>
    <w:p>
      <w:pPr>
        <w:pStyle w:val="5"/>
        <w:spacing w:line="360" w:lineRule="auto"/>
        <w:ind w:firstLine="482" w:firstLineChars="200"/>
        <w:rPr>
          <w:rFonts w:ascii="宋体" w:hAnsi="宋体" w:cs="宋体"/>
          <w:sz w:val="24"/>
        </w:rPr>
      </w:pPr>
      <w:bookmarkStart w:id="105" w:name="_Toc217446048"/>
      <w:bookmarkStart w:id="106" w:name="_Toc308164798"/>
      <w:bookmarkStart w:id="107" w:name="_Toc183582217"/>
      <w:bookmarkStart w:id="108" w:name="_Toc183682354"/>
      <w:r>
        <w:rPr>
          <w:rFonts w:hint="eastAsia" w:ascii="宋体" w:hAnsi="宋体" w:cs="宋体"/>
          <w:sz w:val="24"/>
        </w:rPr>
        <w:t>14．投标文件的组成</w:t>
      </w:r>
      <w:bookmarkEnd w:id="105"/>
      <w:bookmarkEnd w:id="106"/>
      <w:bookmarkEnd w:id="107"/>
      <w:bookmarkEnd w:id="108"/>
    </w:p>
    <w:p>
      <w:pPr>
        <w:spacing w:line="360" w:lineRule="auto"/>
        <w:ind w:firstLine="480" w:firstLineChars="200"/>
        <w:rPr>
          <w:rFonts w:hAnsi="宋体" w:cs="宋体"/>
          <w:color w:val="auto"/>
        </w:rPr>
      </w:pPr>
      <w:r>
        <w:rPr>
          <w:rFonts w:hint="eastAsia" w:hAnsi="宋体" w:cs="宋体"/>
          <w:color w:val="auto"/>
        </w:rPr>
        <w:t>投标人应按照招标文件的规定和要求编制投标文件。投标人编写的投标文件应至少包括下列两部分文件：</w:t>
      </w:r>
    </w:p>
    <w:p>
      <w:pPr>
        <w:spacing w:line="360" w:lineRule="auto"/>
        <w:ind w:firstLine="482" w:firstLineChars="200"/>
        <w:rPr>
          <w:rFonts w:hAnsi="宋体" w:cs="宋体"/>
          <w:b/>
          <w:color w:val="auto"/>
        </w:rPr>
      </w:pPr>
      <w:r>
        <w:rPr>
          <w:rFonts w:hint="eastAsia" w:hAnsi="宋体" w:cs="宋体"/>
          <w:b/>
          <w:color w:val="auto"/>
        </w:rPr>
        <w:t>文件一：资格性投标文件（用于资格审查）</w:t>
      </w:r>
    </w:p>
    <w:p>
      <w:pPr>
        <w:spacing w:line="360" w:lineRule="auto"/>
        <w:ind w:firstLine="480" w:firstLineChars="200"/>
        <w:rPr>
          <w:rFonts w:hAnsi="宋体" w:cs="宋体"/>
          <w:color w:val="auto"/>
        </w:rPr>
      </w:pPr>
      <w:r>
        <w:rPr>
          <w:rFonts w:hint="eastAsia" w:hAnsi="宋体" w:cs="宋体"/>
          <w:color w:val="auto"/>
        </w:rPr>
        <w:t>严格按照第四章要求提供相关资格、资质性及其他类似效力要求的相关证明材料。</w:t>
      </w:r>
    </w:p>
    <w:p>
      <w:pPr>
        <w:spacing w:line="360" w:lineRule="auto"/>
        <w:ind w:firstLine="482" w:firstLineChars="200"/>
        <w:rPr>
          <w:rFonts w:hAnsi="宋体" w:cs="宋体"/>
          <w:b/>
          <w:color w:val="auto"/>
        </w:rPr>
      </w:pPr>
      <w:r>
        <w:rPr>
          <w:rFonts w:hint="eastAsia" w:hAnsi="宋体" w:cs="宋体"/>
          <w:b/>
          <w:color w:val="auto"/>
        </w:rPr>
        <w:t>文件二：其它响应性投标文件（用于资格审查以外的评标）</w:t>
      </w:r>
    </w:p>
    <w:p>
      <w:pPr>
        <w:spacing w:line="360" w:lineRule="auto"/>
        <w:ind w:firstLine="480" w:firstLineChars="200"/>
        <w:rPr>
          <w:rFonts w:hAnsi="宋体" w:cs="宋体"/>
          <w:color w:val="auto"/>
        </w:rPr>
      </w:pPr>
      <w:r>
        <w:rPr>
          <w:rFonts w:hint="eastAsia" w:hAnsi="宋体" w:cs="宋体"/>
          <w:color w:val="auto"/>
        </w:rPr>
        <w:t>严格按照招标文件要求提供以下五个方面的相关材料：</w:t>
      </w:r>
    </w:p>
    <w:p>
      <w:pPr>
        <w:spacing w:line="360" w:lineRule="auto"/>
        <w:ind w:firstLine="482" w:firstLineChars="200"/>
        <w:rPr>
          <w:rFonts w:hAnsi="宋体" w:cs="宋体"/>
          <w:color w:val="auto"/>
        </w:rPr>
      </w:pPr>
      <w:r>
        <w:rPr>
          <w:rFonts w:hint="eastAsia" w:hAnsi="宋体" w:cs="宋体"/>
          <w:b/>
          <w:color w:val="auto"/>
        </w:rPr>
        <w:t>（一）报价部分。</w:t>
      </w:r>
      <w:r>
        <w:rPr>
          <w:rFonts w:hint="eastAsia" w:hAnsi="宋体" w:cs="宋体"/>
          <w:bCs/>
          <w:color w:val="auto"/>
        </w:rPr>
        <w:t>投标人</w:t>
      </w:r>
      <w:r>
        <w:rPr>
          <w:rFonts w:hint="eastAsia" w:hAnsi="宋体" w:cs="宋体"/>
          <w:color w:val="auto"/>
        </w:rPr>
        <w:t>按照招标文件要求填写的“开标一览表”及“报价明细表”。本次招标报价要求：</w:t>
      </w:r>
    </w:p>
    <w:p>
      <w:pPr>
        <w:spacing w:line="360" w:lineRule="auto"/>
        <w:ind w:firstLine="720" w:firstLineChars="300"/>
        <w:rPr>
          <w:rFonts w:hAnsi="宋体" w:cs="宋体"/>
          <w:color w:val="auto"/>
        </w:rPr>
      </w:pPr>
      <w:r>
        <w:rPr>
          <w:rFonts w:hint="eastAsia" w:hAnsi="宋体" w:cs="宋体"/>
          <w:color w:val="auto"/>
        </w:rPr>
        <w:t>（1）投标人的报价是投标人响应招标项目要求的全部工作内容的价格体现，包括投标人完成本项目所需的一切费用。</w:t>
      </w:r>
    </w:p>
    <w:p>
      <w:pPr>
        <w:spacing w:line="360" w:lineRule="auto"/>
        <w:ind w:left="2" w:firstLine="480" w:firstLineChars="200"/>
        <w:rPr>
          <w:rFonts w:hAnsi="宋体" w:cs="宋体"/>
          <w:color w:val="auto"/>
        </w:rPr>
      </w:pPr>
      <w:r>
        <w:rPr>
          <w:rFonts w:hint="eastAsia" w:hAnsi="宋体" w:cs="宋体"/>
          <w:color w:val="auto"/>
        </w:rPr>
        <w:t>（2）投标人每种货物只允许有一个报价，并且在合同履行过程中是固定不变的，任何有选择或可调整的报价将不予接受，并按无效投标处理。</w:t>
      </w:r>
    </w:p>
    <w:p>
      <w:pPr>
        <w:spacing w:line="360" w:lineRule="auto"/>
        <w:ind w:firstLine="482" w:firstLineChars="200"/>
        <w:rPr>
          <w:rFonts w:hAnsi="宋体" w:cs="宋体"/>
          <w:b/>
          <w:bCs/>
          <w:color w:val="auto"/>
        </w:rPr>
      </w:pPr>
      <w:r>
        <w:rPr>
          <w:rFonts w:hint="eastAsia" w:hAnsi="宋体" w:cs="宋体"/>
          <w:b/>
          <w:color w:val="auto"/>
        </w:rPr>
        <w:t>（二）技术部分。</w:t>
      </w:r>
      <w:r>
        <w:rPr>
          <w:rFonts w:hint="eastAsia" w:hAnsi="宋体" w:cs="宋体"/>
          <w:color w:val="auto"/>
        </w:rPr>
        <w:t>投标人按照招标文件要求做出的技术应答，主要是针对招标项目的技术指标、参数和技术要求做出的实质性响应和满足。投标人的技术应答包括下列内容：</w:t>
      </w:r>
    </w:p>
    <w:p>
      <w:pPr>
        <w:spacing w:line="360" w:lineRule="auto"/>
        <w:ind w:left="170" w:leftChars="71"/>
        <w:rPr>
          <w:rFonts w:hint="eastAsia" w:hAnsi="宋体" w:eastAsia="宋体" w:cs="宋体"/>
          <w:color w:val="auto"/>
          <w:lang w:eastAsia="zh-CN"/>
        </w:rPr>
      </w:pPr>
      <w:r>
        <w:rPr>
          <w:rFonts w:hint="eastAsia" w:hAnsi="宋体" w:cs="宋体"/>
          <w:color w:val="auto"/>
        </w:rPr>
        <w:t>（1）投标产品的品牌、型号；</w:t>
      </w:r>
    </w:p>
    <w:p>
      <w:pPr>
        <w:spacing w:line="360" w:lineRule="auto"/>
        <w:ind w:left="170" w:leftChars="71"/>
        <w:rPr>
          <w:rFonts w:hint="eastAsia" w:hAnsi="宋体" w:eastAsia="宋体" w:cs="宋体"/>
          <w:color w:val="auto"/>
          <w:lang w:eastAsia="zh-CN"/>
        </w:rPr>
      </w:pPr>
      <w:r>
        <w:rPr>
          <w:rFonts w:hint="eastAsia" w:hAnsi="宋体" w:cs="宋体"/>
          <w:color w:val="auto"/>
        </w:rPr>
        <w:t>（2）投标产品技术应答表（应当尽可能提供检测报告、产品彩页资料等材料予以佐证）；</w:t>
      </w:r>
    </w:p>
    <w:p>
      <w:pPr>
        <w:spacing w:line="360" w:lineRule="auto"/>
        <w:ind w:left="170" w:leftChars="71"/>
        <w:rPr>
          <w:rFonts w:hAnsi="宋体" w:cs="宋体"/>
          <w:color w:val="auto"/>
        </w:rPr>
      </w:pPr>
      <w:r>
        <w:rPr>
          <w:rFonts w:hint="eastAsia" w:hAnsi="宋体" w:cs="宋体"/>
          <w:color w:val="auto"/>
        </w:rPr>
        <w:t>（3）项目实施方案</w:t>
      </w:r>
    </w:p>
    <w:p>
      <w:pPr>
        <w:spacing w:line="360" w:lineRule="auto"/>
        <w:ind w:left="170" w:leftChars="71"/>
        <w:rPr>
          <w:rFonts w:hAnsi="宋体" w:cs="宋体"/>
          <w:color w:val="auto"/>
        </w:rPr>
      </w:pPr>
      <w:r>
        <w:rPr>
          <w:rFonts w:hint="eastAsia" w:hAnsi="宋体" w:cs="宋体"/>
          <w:color w:val="auto"/>
        </w:rPr>
        <w:t>（4）投标人认为需要提供的文件和资料。</w:t>
      </w:r>
    </w:p>
    <w:p>
      <w:pPr>
        <w:spacing w:line="360" w:lineRule="auto"/>
        <w:ind w:firstLine="482" w:firstLineChars="200"/>
        <w:rPr>
          <w:rFonts w:hAnsi="宋体" w:cs="宋体"/>
          <w:color w:val="auto"/>
        </w:rPr>
      </w:pPr>
      <w:r>
        <w:rPr>
          <w:rFonts w:hint="eastAsia" w:hAnsi="宋体" w:cs="宋体"/>
          <w:b/>
          <w:color w:val="auto"/>
        </w:rPr>
        <w:t>（三）商务部分。</w:t>
      </w:r>
      <w:r>
        <w:rPr>
          <w:rFonts w:hint="eastAsia" w:hAnsi="宋体" w:cs="宋体"/>
          <w:color w:val="auto"/>
        </w:rPr>
        <w:t>投标人按照招标文件要求提供的有关文件及优惠承诺。包括以下内容：</w:t>
      </w:r>
    </w:p>
    <w:p>
      <w:pPr>
        <w:spacing w:line="360" w:lineRule="auto"/>
        <w:ind w:firstLine="480" w:firstLineChars="200"/>
        <w:rPr>
          <w:rFonts w:hAnsi="宋体" w:cs="宋体"/>
          <w:color w:val="auto"/>
        </w:rPr>
      </w:pPr>
      <w:r>
        <w:rPr>
          <w:rFonts w:hint="eastAsia" w:hAnsi="宋体" w:cs="宋体"/>
          <w:color w:val="auto"/>
        </w:rPr>
        <w:t>（1）投标函；</w:t>
      </w:r>
    </w:p>
    <w:p>
      <w:pPr>
        <w:spacing w:line="360" w:lineRule="auto"/>
        <w:ind w:firstLine="480" w:firstLineChars="200"/>
        <w:rPr>
          <w:rFonts w:hAnsi="宋体" w:cs="宋体"/>
          <w:color w:val="auto"/>
        </w:rPr>
      </w:pPr>
      <w:r>
        <w:rPr>
          <w:rFonts w:hint="eastAsia" w:hAnsi="宋体" w:cs="宋体"/>
          <w:color w:val="auto"/>
        </w:rPr>
        <w:t>（2）投标人承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pPr>
        <w:spacing w:line="360" w:lineRule="auto"/>
        <w:ind w:firstLine="480" w:firstLineChars="200"/>
        <w:rPr>
          <w:rFonts w:hAnsi="宋体" w:cs="宋体"/>
          <w:color w:val="auto"/>
        </w:rPr>
      </w:pPr>
      <w:r>
        <w:rPr>
          <w:rFonts w:hint="eastAsia" w:hAnsi="宋体" w:cs="宋体"/>
          <w:color w:val="auto"/>
        </w:rPr>
        <w:t>（3）证明投标人业绩和荣誉的有关材料复印件；</w:t>
      </w:r>
    </w:p>
    <w:p>
      <w:pPr>
        <w:spacing w:line="360" w:lineRule="auto"/>
        <w:ind w:firstLine="480" w:firstLineChars="200"/>
        <w:rPr>
          <w:rFonts w:hAnsi="宋体" w:cs="宋体"/>
          <w:color w:val="auto"/>
        </w:rPr>
      </w:pPr>
      <w:r>
        <w:rPr>
          <w:rFonts w:hint="eastAsia" w:hAnsi="宋体" w:cs="宋体"/>
          <w:color w:val="auto"/>
        </w:rPr>
        <w:t>（4）商务应答表；</w:t>
      </w:r>
    </w:p>
    <w:p>
      <w:pPr>
        <w:spacing w:line="360" w:lineRule="auto"/>
        <w:ind w:firstLine="480" w:firstLineChars="200"/>
        <w:rPr>
          <w:rFonts w:hAnsi="宋体" w:cs="宋体"/>
          <w:color w:val="auto"/>
        </w:rPr>
      </w:pPr>
      <w:r>
        <w:rPr>
          <w:rFonts w:hint="eastAsia" w:hAnsi="宋体" w:cs="宋体"/>
          <w:color w:val="auto"/>
        </w:rPr>
        <w:t>（5）其他投标人认为需要提供的文件和资料。</w:t>
      </w:r>
    </w:p>
    <w:p>
      <w:pPr>
        <w:spacing w:line="360" w:lineRule="auto"/>
        <w:ind w:firstLine="482" w:firstLineChars="200"/>
        <w:rPr>
          <w:rFonts w:hAnsi="宋体" w:cs="宋体"/>
          <w:b/>
          <w:bCs/>
          <w:color w:val="auto"/>
        </w:rPr>
      </w:pPr>
      <w:r>
        <w:rPr>
          <w:rFonts w:hint="eastAsia" w:hAnsi="宋体" w:cs="宋体"/>
          <w:b/>
          <w:color w:val="auto"/>
        </w:rPr>
        <w:t>（四）售后服务。</w:t>
      </w:r>
      <w:r>
        <w:rPr>
          <w:rFonts w:hint="eastAsia" w:hAnsi="宋体" w:cs="宋体"/>
          <w:color w:val="auto"/>
        </w:rPr>
        <w:t>投标人按照招标文件中售后服务要求作出的积极响应和承诺。包括以下内容：</w:t>
      </w:r>
    </w:p>
    <w:p>
      <w:pPr>
        <w:spacing w:line="360" w:lineRule="auto"/>
        <w:ind w:firstLine="480" w:firstLineChars="200"/>
        <w:rPr>
          <w:rFonts w:hAnsi="宋体" w:cs="宋体"/>
          <w:color w:val="auto"/>
        </w:rPr>
      </w:pPr>
      <w:r>
        <w:rPr>
          <w:rFonts w:hint="eastAsia" w:hAnsi="宋体" w:cs="宋体"/>
          <w:color w:val="auto"/>
        </w:rPr>
        <w:t>（1）产品制造厂家或投标人设立的售后服务机构网点清单、服务电话和维修人员名单；</w:t>
      </w:r>
    </w:p>
    <w:p>
      <w:pPr>
        <w:spacing w:line="360" w:lineRule="auto"/>
        <w:ind w:firstLine="480" w:firstLineChars="200"/>
        <w:rPr>
          <w:rFonts w:hAnsi="宋体" w:cs="宋体"/>
          <w:color w:val="auto"/>
        </w:rPr>
      </w:pPr>
      <w:r>
        <w:rPr>
          <w:rFonts w:hint="eastAsia" w:hAnsi="宋体" w:cs="宋体"/>
          <w:color w:val="auto"/>
        </w:rPr>
        <w:t>（2）说明投标产品的保修时间、保修期内的保修内容与范围、维修响应时间等。提供投标人或产品制造厂家的服务承诺和保障措施；</w:t>
      </w:r>
    </w:p>
    <w:p>
      <w:pPr>
        <w:spacing w:line="360" w:lineRule="auto"/>
        <w:ind w:firstLine="480" w:firstLineChars="200"/>
        <w:rPr>
          <w:rFonts w:hAnsi="宋体" w:cs="宋体"/>
          <w:color w:val="auto"/>
        </w:rPr>
      </w:pPr>
      <w:r>
        <w:rPr>
          <w:rFonts w:hint="eastAsia" w:hAnsi="宋体" w:cs="宋体"/>
          <w:color w:val="auto"/>
        </w:rPr>
        <w:t>（3）培训措施：说明培训内容及培训的时间、地点、目标、培训人数、收费标准和办法；</w:t>
      </w:r>
    </w:p>
    <w:p>
      <w:pPr>
        <w:spacing w:line="360" w:lineRule="auto"/>
        <w:ind w:firstLine="480" w:firstLineChars="200"/>
        <w:rPr>
          <w:rFonts w:hAnsi="宋体" w:cs="宋体"/>
          <w:color w:val="auto"/>
        </w:rPr>
      </w:pPr>
      <w:r>
        <w:rPr>
          <w:rFonts w:hint="eastAsia" w:hAnsi="宋体" w:cs="宋体"/>
          <w:color w:val="auto"/>
        </w:rPr>
        <w:t>（4）其他有利于用户的服务承诺。</w:t>
      </w:r>
    </w:p>
    <w:p>
      <w:pPr>
        <w:spacing w:line="360" w:lineRule="auto"/>
        <w:ind w:firstLine="480" w:firstLineChars="200"/>
        <w:rPr>
          <w:rFonts w:hAnsi="宋体" w:cs="宋体"/>
          <w:color w:val="auto"/>
        </w:rPr>
      </w:pPr>
      <w:r>
        <w:rPr>
          <w:rFonts w:hint="eastAsia" w:hAnsi="宋体" w:cs="宋体"/>
          <w:color w:val="auto"/>
        </w:rPr>
        <w:t>注：投标人承诺的保修时间、保修内容与范围等需要投标产品制造厂家授权的，投标人必须保证其承诺的保修时间、保修内容与范围等得到了制造厂家授权，如其承诺的保修时间、保修内容与范围等与制造厂家授权不一致的，以投标人承诺的为准。</w:t>
      </w:r>
    </w:p>
    <w:p>
      <w:pPr>
        <w:adjustRightInd w:val="0"/>
        <w:snapToGrid w:val="0"/>
        <w:spacing w:line="360" w:lineRule="auto"/>
        <w:ind w:firstLine="482" w:firstLineChars="200"/>
        <w:rPr>
          <w:rFonts w:hAnsi="宋体" w:cs="宋体"/>
          <w:color w:val="auto"/>
        </w:rPr>
      </w:pPr>
      <w:r>
        <w:rPr>
          <w:rFonts w:hint="eastAsia" w:hAnsi="宋体" w:cs="宋体"/>
          <w:b/>
          <w:bCs/>
          <w:color w:val="auto"/>
        </w:rPr>
        <w:t>（五）其他部分。</w:t>
      </w:r>
      <w:r>
        <w:rPr>
          <w:rFonts w:hint="eastAsia" w:hAnsi="宋体" w:cs="宋体"/>
          <w:bCs/>
          <w:color w:val="auto"/>
        </w:rPr>
        <w:t>投标人按照招标文件要求作出的其他应答和承诺。</w:t>
      </w:r>
    </w:p>
    <w:p>
      <w:pPr>
        <w:pStyle w:val="5"/>
        <w:tabs>
          <w:tab w:val="left" w:pos="3480"/>
        </w:tabs>
        <w:spacing w:line="360" w:lineRule="auto"/>
        <w:ind w:firstLine="482" w:firstLineChars="200"/>
        <w:rPr>
          <w:rFonts w:ascii="宋体" w:hAnsi="宋体" w:cs="宋体"/>
          <w:sz w:val="24"/>
        </w:rPr>
      </w:pPr>
      <w:bookmarkStart w:id="109" w:name="_Toc183582218"/>
      <w:bookmarkStart w:id="110" w:name="_Toc183682355"/>
      <w:bookmarkStart w:id="111" w:name="_Toc308164799"/>
      <w:bookmarkStart w:id="112" w:name="_Toc217446049"/>
      <w:r>
        <w:rPr>
          <w:rFonts w:hint="eastAsia" w:ascii="宋体" w:hAnsi="宋体" w:cs="宋体"/>
          <w:sz w:val="24"/>
        </w:rPr>
        <w:t>15．投标文件格式</w:t>
      </w:r>
      <w:bookmarkEnd w:id="109"/>
      <w:bookmarkEnd w:id="110"/>
      <w:bookmarkEnd w:id="111"/>
      <w:bookmarkEnd w:id="112"/>
    </w:p>
    <w:p>
      <w:pPr>
        <w:tabs>
          <w:tab w:val="left" w:pos="7665"/>
        </w:tabs>
        <w:spacing w:line="360" w:lineRule="auto"/>
        <w:ind w:left="14" w:leftChars="6" w:firstLine="480" w:firstLineChars="200"/>
        <w:rPr>
          <w:rFonts w:hAnsi="宋体" w:cs="宋体"/>
          <w:color w:val="auto"/>
        </w:rPr>
      </w:pPr>
      <w:r>
        <w:rPr>
          <w:rFonts w:hint="eastAsia" w:hAnsi="宋体" w:cs="宋体"/>
          <w:color w:val="auto"/>
        </w:rPr>
        <w:t>15.1 投标人应执行招标文件第三章的规定要求。第三章格式中“注”的内容，投标人可自行决定是否保留在投标文件中，未保留的视为投标人默认接受“注”的内容。</w:t>
      </w:r>
    </w:p>
    <w:p>
      <w:pPr>
        <w:tabs>
          <w:tab w:val="left" w:pos="7665"/>
        </w:tabs>
        <w:spacing w:line="360" w:lineRule="auto"/>
        <w:ind w:left="14" w:leftChars="6" w:firstLine="480" w:firstLineChars="200"/>
        <w:rPr>
          <w:rFonts w:hAnsi="宋体" w:cs="宋体"/>
          <w:color w:val="auto"/>
        </w:rPr>
      </w:pPr>
      <w:r>
        <w:rPr>
          <w:rFonts w:hint="eastAsia" w:hAnsi="宋体" w:cs="宋体"/>
          <w:color w:val="auto"/>
        </w:rPr>
        <w:t>15.2 对于没有格式要求的投标文件由投标人自行编写。</w:t>
      </w:r>
    </w:p>
    <w:p>
      <w:pPr>
        <w:pStyle w:val="5"/>
        <w:spacing w:line="360" w:lineRule="auto"/>
        <w:ind w:firstLine="482" w:firstLineChars="200"/>
        <w:rPr>
          <w:rFonts w:ascii="宋体" w:hAnsi="宋体" w:cs="宋体"/>
          <w:sz w:val="24"/>
        </w:rPr>
      </w:pPr>
      <w:bookmarkStart w:id="113" w:name="_Toc183682360"/>
      <w:bookmarkStart w:id="114" w:name="_Toc308164800"/>
      <w:bookmarkStart w:id="115" w:name="_Toc217446050"/>
      <w:bookmarkStart w:id="116" w:name="_Toc183582223"/>
      <w:r>
        <w:rPr>
          <w:rFonts w:hint="eastAsia" w:ascii="宋体" w:hAnsi="宋体" w:cs="宋体"/>
          <w:sz w:val="24"/>
        </w:rPr>
        <w:t>16．投标保证金</w:t>
      </w:r>
      <w:bookmarkEnd w:id="113"/>
      <w:bookmarkEnd w:id="114"/>
      <w:bookmarkEnd w:id="115"/>
      <w:bookmarkEnd w:id="116"/>
    </w:p>
    <w:p>
      <w:pPr>
        <w:spacing w:line="360" w:lineRule="auto"/>
        <w:ind w:firstLine="480" w:firstLineChars="200"/>
        <w:rPr>
          <w:rFonts w:hAnsi="宋体" w:cs="宋体"/>
          <w:color w:val="auto"/>
        </w:rPr>
      </w:pPr>
      <w:r>
        <w:rPr>
          <w:rFonts w:hint="eastAsia" w:hAnsi="宋体" w:cs="宋体"/>
          <w:color w:val="auto"/>
        </w:rPr>
        <w:t>16.1 投标人投标时，必须以人民币提交招标文件规定数额的投标保证金，并作为其投标的一部分。</w:t>
      </w:r>
    </w:p>
    <w:p>
      <w:pPr>
        <w:tabs>
          <w:tab w:val="left" w:pos="1134"/>
        </w:tabs>
        <w:spacing w:line="360" w:lineRule="auto"/>
        <w:ind w:firstLine="424" w:firstLineChars="177"/>
        <w:rPr>
          <w:rFonts w:hAnsi="宋体" w:cs="宋体"/>
          <w:color w:val="auto"/>
        </w:rPr>
      </w:pPr>
      <w:r>
        <w:rPr>
          <w:rFonts w:hint="eastAsia" w:hAnsi="宋体" w:cs="宋体"/>
          <w:color w:val="auto"/>
        </w:rPr>
        <w:t>16.2投标保证金交款方式：详见投标人须知前附表。</w:t>
      </w:r>
    </w:p>
    <w:p>
      <w:pPr>
        <w:tabs>
          <w:tab w:val="left" w:pos="1134"/>
        </w:tabs>
        <w:spacing w:line="360" w:lineRule="auto"/>
        <w:ind w:firstLine="424" w:firstLineChars="177"/>
        <w:rPr>
          <w:rFonts w:hAnsi="宋体" w:cs="宋体"/>
          <w:color w:val="auto"/>
        </w:rPr>
      </w:pPr>
      <w:r>
        <w:rPr>
          <w:rFonts w:hint="eastAsia" w:hAnsi="宋体" w:cs="宋体"/>
          <w:color w:val="auto"/>
        </w:rPr>
        <w:t>16.3未中标人的投标保证金，将在中标通知书发出后五个工作日内全额退还（非现金方式），中标人的投标保证金在中标人与采购人签订采购合同并按规定递交相关资料后5个工作日内退还（非现金方式），退还保证金需要的相关资料请参见第二章保证金退还注意事项</w:t>
      </w:r>
      <w:r>
        <w:rPr>
          <w:rFonts w:hint="eastAsia" w:hAnsi="宋体" w:cs="宋体"/>
          <w:bCs/>
          <w:color w:val="auto"/>
        </w:rPr>
        <w:t>（注：</w:t>
      </w:r>
      <w:r>
        <w:rPr>
          <w:rFonts w:hint="eastAsia" w:hAnsi="宋体" w:cs="宋体"/>
          <w:bCs/>
          <w:color w:val="auto"/>
        </w:rPr>
        <w:fldChar w:fldCharType="begin"/>
      </w:r>
      <w:r>
        <w:rPr>
          <w:rFonts w:hint="eastAsia" w:hAnsi="宋体" w:cs="宋体"/>
          <w:bCs/>
          <w:color w:val="auto"/>
        </w:rPr>
        <w:instrText xml:space="preserve"> = 1 \* GB3 \* MERGEFORMAT </w:instrText>
      </w:r>
      <w:r>
        <w:rPr>
          <w:rFonts w:hint="eastAsia" w:hAnsi="宋体" w:cs="宋体"/>
          <w:bCs/>
          <w:color w:val="auto"/>
        </w:rPr>
        <w:fldChar w:fldCharType="separate"/>
      </w:r>
      <w:r>
        <w:rPr>
          <w:rFonts w:hint="eastAsia" w:hAnsi="宋体" w:cs="宋体"/>
          <w:bCs/>
          <w:color w:val="auto"/>
        </w:rPr>
        <w:t>①</w:t>
      </w:r>
      <w:r>
        <w:rPr>
          <w:rFonts w:hint="eastAsia" w:hAnsi="宋体" w:cs="宋体"/>
          <w:bCs/>
          <w:color w:val="auto"/>
        </w:rPr>
        <w:fldChar w:fldCharType="end"/>
      </w:r>
      <w:r>
        <w:rPr>
          <w:rFonts w:hint="eastAsia" w:hAnsi="宋体" w:cs="宋体"/>
          <w:bCs/>
          <w:color w:val="auto"/>
        </w:rPr>
        <w:t>因投标人自身原因造成的保证金延迟退还或者投标人和采购代理机构书面协商可以延迟退还的，采购代理机构不承担相应责任；</w:t>
      </w:r>
      <w:r>
        <w:rPr>
          <w:rFonts w:hint="eastAsia" w:hAnsi="宋体" w:cs="宋体"/>
          <w:bCs/>
          <w:color w:val="auto"/>
        </w:rPr>
        <w:fldChar w:fldCharType="begin"/>
      </w:r>
      <w:r>
        <w:rPr>
          <w:rFonts w:hint="eastAsia" w:hAnsi="宋体" w:cs="宋体"/>
          <w:bCs/>
          <w:color w:val="auto"/>
        </w:rPr>
        <w:instrText xml:space="preserve"> = 2 \* GB3 \* MERGEFORMAT </w:instrText>
      </w:r>
      <w:r>
        <w:rPr>
          <w:rFonts w:hint="eastAsia" w:hAnsi="宋体" w:cs="宋体"/>
          <w:bCs/>
          <w:color w:val="auto"/>
        </w:rPr>
        <w:fldChar w:fldCharType="separate"/>
      </w:r>
      <w:r>
        <w:rPr>
          <w:rFonts w:hint="eastAsia" w:hAnsi="宋体" w:cs="宋体"/>
          <w:bCs/>
          <w:color w:val="auto"/>
        </w:rPr>
        <w:t>②</w:t>
      </w:r>
      <w:r>
        <w:rPr>
          <w:rFonts w:hint="eastAsia" w:hAnsi="宋体" w:cs="宋体"/>
          <w:bCs/>
          <w:color w:val="auto"/>
        </w:rPr>
        <w:fldChar w:fldCharType="end"/>
      </w:r>
      <w:r>
        <w:rPr>
          <w:rFonts w:hint="eastAsia" w:hAnsi="宋体" w:cs="宋体"/>
          <w:bCs/>
          <w:color w:val="auto"/>
        </w:rPr>
        <w:t>供应商因涉嫌违法违规，按照规定应当不予退还保证金的，有关部门处理认定违法违规行为期间不计入退还保证金时限之内。）</w:t>
      </w:r>
    </w:p>
    <w:p>
      <w:pPr>
        <w:spacing w:line="360" w:lineRule="auto"/>
        <w:ind w:firstLine="480" w:firstLineChars="200"/>
        <w:rPr>
          <w:rFonts w:hAnsi="宋体" w:cs="宋体"/>
          <w:color w:val="auto"/>
        </w:rPr>
      </w:pPr>
      <w:r>
        <w:rPr>
          <w:rFonts w:hint="eastAsia" w:hAnsi="宋体" w:cs="宋体"/>
          <w:color w:val="auto"/>
        </w:rPr>
        <w:t>16.4发生下列情形之一的，采购代理机构可以不予退还投标保证金：</w:t>
      </w:r>
    </w:p>
    <w:p>
      <w:pPr>
        <w:spacing w:line="360" w:lineRule="auto"/>
        <w:ind w:firstLine="470" w:firstLineChars="196"/>
        <w:rPr>
          <w:rFonts w:hAnsi="宋体" w:cs="宋体"/>
          <w:color w:val="auto"/>
        </w:rPr>
      </w:pPr>
      <w:r>
        <w:rPr>
          <w:rFonts w:hint="eastAsia" w:hAnsi="宋体" w:cs="宋体"/>
          <w:color w:val="auto"/>
        </w:rPr>
        <w:t>（1）在招标文件规定的投标截止时间后撤回投标的；</w:t>
      </w:r>
    </w:p>
    <w:p>
      <w:pPr>
        <w:spacing w:line="360" w:lineRule="auto"/>
        <w:ind w:firstLine="470" w:firstLineChars="196"/>
        <w:rPr>
          <w:rFonts w:hAnsi="宋体" w:cs="宋体"/>
          <w:color w:val="auto"/>
        </w:rPr>
      </w:pPr>
      <w:r>
        <w:rPr>
          <w:rFonts w:hint="eastAsia" w:hAnsi="宋体" w:cs="宋体"/>
          <w:color w:val="auto"/>
        </w:rPr>
        <w:t>（2）在采购人确定中标人以前放弃中标候选资格的；</w:t>
      </w:r>
    </w:p>
    <w:p>
      <w:pPr>
        <w:spacing w:line="360" w:lineRule="auto"/>
        <w:ind w:firstLine="470" w:firstLineChars="196"/>
        <w:rPr>
          <w:rFonts w:hAnsi="宋体" w:cs="宋体"/>
          <w:color w:val="auto"/>
        </w:rPr>
      </w:pPr>
      <w:r>
        <w:rPr>
          <w:rFonts w:hint="eastAsia" w:hAnsi="宋体" w:cs="宋体"/>
          <w:color w:val="auto"/>
        </w:rPr>
        <w:t>（3）中标后放弃中标、不领取或者不接收中标通知书的；</w:t>
      </w:r>
    </w:p>
    <w:p>
      <w:pPr>
        <w:spacing w:line="360" w:lineRule="auto"/>
        <w:ind w:firstLine="470" w:firstLineChars="196"/>
        <w:rPr>
          <w:rFonts w:hAnsi="宋体" w:cs="宋体"/>
          <w:color w:val="auto"/>
        </w:rPr>
      </w:pPr>
      <w:r>
        <w:rPr>
          <w:rFonts w:hint="eastAsia" w:hAnsi="宋体" w:cs="宋体"/>
          <w:color w:val="auto"/>
        </w:rPr>
        <w:t>（4）由于中标人的原因未能按照招标文件的规定与采购人签订合同的；</w:t>
      </w:r>
    </w:p>
    <w:p>
      <w:pPr>
        <w:spacing w:line="360" w:lineRule="auto"/>
        <w:ind w:firstLine="470" w:firstLineChars="196"/>
        <w:rPr>
          <w:rFonts w:hAnsi="宋体" w:cs="宋体"/>
          <w:color w:val="auto"/>
        </w:rPr>
      </w:pPr>
      <w:r>
        <w:rPr>
          <w:rFonts w:hint="eastAsia" w:hAnsi="宋体" w:cs="宋体"/>
          <w:color w:val="auto"/>
        </w:rPr>
        <w:t>（5）由于中标人的原因未能按照招标文件的规定交纳履约保证金的；</w:t>
      </w:r>
    </w:p>
    <w:p>
      <w:pPr>
        <w:spacing w:line="360" w:lineRule="auto"/>
        <w:ind w:firstLine="470" w:firstLineChars="196"/>
        <w:rPr>
          <w:rFonts w:hAnsi="宋体" w:cs="宋体"/>
          <w:color w:val="auto"/>
        </w:rPr>
      </w:pPr>
      <w:r>
        <w:rPr>
          <w:rFonts w:hint="eastAsia" w:hAnsi="宋体" w:cs="宋体"/>
          <w:color w:val="auto"/>
        </w:rPr>
        <w:t>（6）投标人提供虚假资料的；</w:t>
      </w:r>
    </w:p>
    <w:p>
      <w:pPr>
        <w:spacing w:line="360" w:lineRule="auto"/>
        <w:ind w:firstLine="470" w:firstLineChars="196"/>
        <w:rPr>
          <w:rFonts w:hAnsi="宋体" w:cs="宋体"/>
          <w:color w:val="auto"/>
        </w:rPr>
      </w:pPr>
      <w:r>
        <w:rPr>
          <w:rFonts w:hint="eastAsia" w:hAnsi="宋体" w:cs="宋体"/>
          <w:color w:val="auto"/>
        </w:rPr>
        <w:t>（7）投标有效期内，投标人在政府采购活动中有违法、违规、违纪行为。</w:t>
      </w:r>
    </w:p>
    <w:p>
      <w:pPr>
        <w:spacing w:line="360" w:lineRule="auto"/>
        <w:ind w:firstLine="470" w:firstLineChars="196"/>
        <w:rPr>
          <w:rFonts w:hAnsi="宋体" w:cs="宋体"/>
          <w:color w:val="auto"/>
        </w:rPr>
      </w:pPr>
      <w:r>
        <w:rPr>
          <w:rFonts w:hint="eastAsia" w:hAnsi="宋体" w:cs="宋体"/>
          <w:color w:val="auto"/>
        </w:rPr>
        <w:t>（8）投标有效期内，投标人撤销投标文件的。</w:t>
      </w:r>
    </w:p>
    <w:p>
      <w:pPr>
        <w:pStyle w:val="5"/>
        <w:spacing w:line="360" w:lineRule="auto"/>
        <w:rPr>
          <w:rFonts w:ascii="宋体" w:hAnsi="宋体" w:cs="宋体"/>
          <w:b w:val="0"/>
          <w:sz w:val="24"/>
        </w:rPr>
      </w:pPr>
      <w:r>
        <w:rPr>
          <w:rFonts w:hint="eastAsia" w:ascii="宋体" w:hAnsi="宋体" w:cs="宋体"/>
          <w:bCs/>
          <w:sz w:val="24"/>
        </w:rPr>
        <w:t>17．投标有效期</w:t>
      </w:r>
      <w:bookmarkEnd w:id="94"/>
      <w:bookmarkEnd w:id="95"/>
      <w:bookmarkEnd w:id="96"/>
      <w:bookmarkEnd w:id="97"/>
    </w:p>
    <w:p>
      <w:pPr>
        <w:tabs>
          <w:tab w:val="left" w:pos="7665"/>
        </w:tabs>
        <w:spacing w:line="360" w:lineRule="auto"/>
        <w:ind w:left="14" w:leftChars="6" w:firstLine="480" w:firstLineChars="200"/>
        <w:rPr>
          <w:rFonts w:hAnsi="宋体" w:cs="宋体"/>
          <w:color w:val="auto"/>
        </w:rPr>
      </w:pPr>
      <w:bookmarkStart w:id="117" w:name="_Toc183582225"/>
      <w:bookmarkStart w:id="118" w:name="_Toc23833"/>
      <w:bookmarkStart w:id="119" w:name="_Toc217446052"/>
      <w:bookmarkStart w:id="120" w:name="_Toc183682362"/>
      <w:r>
        <w:rPr>
          <w:rFonts w:hint="eastAsia" w:hAnsi="宋体" w:cs="宋体"/>
          <w:color w:val="auto"/>
        </w:rPr>
        <w:t>17.1 本项目投标有效期为投标截止时间届满后</w:t>
      </w:r>
      <w:r>
        <w:rPr>
          <w:rFonts w:hint="eastAsia" w:hAnsi="宋体" w:cs="宋体"/>
          <w:b/>
          <w:bCs/>
          <w:color w:val="auto"/>
        </w:rPr>
        <w:t>90</w:t>
      </w:r>
      <w:r>
        <w:rPr>
          <w:rFonts w:hint="eastAsia" w:hAnsi="宋体" w:cs="宋体"/>
          <w:color w:val="auto"/>
        </w:rPr>
        <w:t>天（投标有效期从提交投标文件的截至之日起算）。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360" w:lineRule="auto"/>
        <w:ind w:left="14" w:leftChars="6" w:firstLine="360" w:firstLineChars="150"/>
        <w:rPr>
          <w:rFonts w:hAnsi="宋体" w:cs="宋体"/>
          <w:color w:val="auto"/>
        </w:rPr>
      </w:pPr>
      <w:r>
        <w:rPr>
          <w:rFonts w:hint="eastAsia" w:hAnsi="宋体" w:cs="宋体"/>
          <w:color w:val="auto"/>
        </w:rPr>
        <w:t>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tabs>
          <w:tab w:val="left" w:pos="7665"/>
        </w:tabs>
        <w:spacing w:line="360" w:lineRule="auto"/>
        <w:ind w:left="14" w:leftChars="6" w:firstLine="360" w:firstLineChars="150"/>
        <w:rPr>
          <w:rFonts w:hAnsi="宋体" w:cs="宋体"/>
          <w:color w:val="auto"/>
        </w:rPr>
      </w:pPr>
      <w:r>
        <w:rPr>
          <w:rFonts w:hint="eastAsia" w:hAnsi="宋体" w:cs="宋体"/>
          <w:color w:val="auto"/>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line="360" w:lineRule="auto"/>
        <w:rPr>
          <w:rFonts w:ascii="宋体" w:hAnsi="宋体" w:cs="宋体"/>
          <w:bCs/>
          <w:sz w:val="24"/>
        </w:rPr>
      </w:pPr>
      <w:r>
        <w:rPr>
          <w:rFonts w:hint="eastAsia" w:ascii="宋体" w:hAnsi="宋体" w:cs="宋体"/>
          <w:bCs/>
          <w:sz w:val="24"/>
        </w:rPr>
        <w:t>18．投标文件的印制和签署</w:t>
      </w:r>
      <w:bookmarkEnd w:id="117"/>
      <w:bookmarkEnd w:id="118"/>
      <w:bookmarkEnd w:id="119"/>
      <w:bookmarkEnd w:id="120"/>
    </w:p>
    <w:p>
      <w:pPr>
        <w:tabs>
          <w:tab w:val="left" w:pos="1080"/>
        </w:tabs>
        <w:spacing w:line="360" w:lineRule="auto"/>
        <w:ind w:firstLine="460" w:firstLineChars="192"/>
        <w:rPr>
          <w:rFonts w:hAnsi="宋体" w:cs="宋体"/>
          <w:color w:val="auto"/>
        </w:rPr>
      </w:pPr>
      <w:bookmarkStart w:id="121" w:name="_Toc89075877"/>
      <w:bookmarkStart w:id="122" w:name="_Toc183682363"/>
      <w:bookmarkStart w:id="123" w:name="_Toc77400781"/>
      <w:bookmarkStart w:id="124" w:name="_Toc183582226"/>
      <w:bookmarkStart w:id="125" w:name="_Toc20628"/>
      <w:bookmarkStart w:id="126" w:name="_Toc217446053"/>
      <w:r>
        <w:rPr>
          <w:rFonts w:hint="eastAsia" w:hAnsi="宋体" w:cs="宋体"/>
          <w:color w:val="auto"/>
        </w:rPr>
        <w:t>18.1投标文件分为“资格性投标文件”和“其他响应性投标文件”两部分，且该两部分应分册装订。资格性投标文件包括招标文件第四章要求的证明材料，其他响应性投标文件包括投标人响应招标文件全部要求的证明材料（资格证明材料除外）。资格性投标文件用于采购人或采购代理机构资格审查，其他响应性投标文件用于评标委员会评标。</w:t>
      </w:r>
    </w:p>
    <w:p>
      <w:pPr>
        <w:tabs>
          <w:tab w:val="left" w:pos="1080"/>
        </w:tabs>
        <w:spacing w:line="360" w:lineRule="auto"/>
        <w:ind w:firstLine="460" w:firstLineChars="192"/>
        <w:rPr>
          <w:rFonts w:hAnsi="宋体" w:cs="宋体"/>
          <w:color w:val="auto"/>
        </w:rPr>
      </w:pPr>
      <w:r>
        <w:rPr>
          <w:rFonts w:hint="eastAsia" w:hAnsi="宋体" w:cs="宋体"/>
          <w:color w:val="auto"/>
        </w:rPr>
        <w:t>18.2 投标人应按18.1准备两部分投标文件，每部分含正本一份、副本</w:t>
      </w:r>
      <w:r>
        <w:rPr>
          <w:rFonts w:hint="eastAsia" w:hAnsi="宋体" w:cs="宋体"/>
          <w:b/>
          <w:bCs/>
          <w:color w:val="auto"/>
        </w:rPr>
        <w:t>四</w:t>
      </w:r>
      <w:r>
        <w:rPr>
          <w:rFonts w:hint="eastAsia" w:hAnsi="宋体" w:cs="宋体"/>
          <w:color w:val="auto"/>
        </w:rPr>
        <w:t>份和相应的电子文档壹份，以及用于开标唱标单独密封提交的“开标一览表”（壹份）。投标文件的正本和副本应在其封面右上角清楚地标明“正本”或“副本”字样。若正本和副本有不一致的内容，以正本书面投标文件为准。</w:t>
      </w:r>
    </w:p>
    <w:p>
      <w:pPr>
        <w:tabs>
          <w:tab w:val="left" w:pos="7665"/>
        </w:tabs>
        <w:spacing w:line="360" w:lineRule="auto"/>
        <w:ind w:firstLine="480" w:firstLineChars="200"/>
        <w:rPr>
          <w:rFonts w:hAnsi="宋体" w:cs="宋体"/>
          <w:color w:val="auto"/>
        </w:rPr>
      </w:pPr>
      <w:r>
        <w:rPr>
          <w:rFonts w:hint="eastAsia" w:hAnsi="宋体" w:cs="宋体"/>
          <w:color w:val="auto"/>
        </w:rPr>
        <w:t>18.3 投标文件的打印和书写应清楚工整，任何行间插字、涂改或增删，必须由投标人的法定代表人或其委托代理人：签字或盖个人印鉴。字迹潦草、表达不清或可能导致非唯一理解的投标文件可能视为无效投标。</w:t>
      </w:r>
    </w:p>
    <w:p>
      <w:pPr>
        <w:tabs>
          <w:tab w:val="left" w:pos="7665"/>
        </w:tabs>
        <w:spacing w:line="360" w:lineRule="auto"/>
        <w:ind w:firstLine="480" w:firstLineChars="200"/>
        <w:rPr>
          <w:rFonts w:hAnsi="宋体" w:cs="宋体"/>
          <w:color w:val="auto"/>
        </w:rPr>
      </w:pPr>
      <w:r>
        <w:rPr>
          <w:rFonts w:hint="eastAsia" w:hAnsi="宋体" w:cs="宋体"/>
          <w:color w:val="auto"/>
        </w:rPr>
        <w:t>18.4 投标文件正本和副本必须装订成册并编码（左侧胶装）。</w:t>
      </w:r>
    </w:p>
    <w:p>
      <w:pPr>
        <w:tabs>
          <w:tab w:val="left" w:pos="7665"/>
        </w:tabs>
        <w:spacing w:line="360" w:lineRule="auto"/>
        <w:ind w:firstLine="480" w:firstLineChars="200"/>
        <w:rPr>
          <w:rFonts w:hAnsi="宋体" w:cs="宋体"/>
          <w:color w:val="auto"/>
        </w:rPr>
      </w:pPr>
      <w:r>
        <w:rPr>
          <w:rFonts w:hint="eastAsia" w:hAnsi="宋体" w:cs="宋体"/>
          <w:color w:val="auto"/>
        </w:rPr>
        <w:t>18.5 投标文件统一用A4幅面纸印制（建议优先使用双面打印胶装并编码）。</w:t>
      </w:r>
    </w:p>
    <w:p>
      <w:pPr>
        <w:tabs>
          <w:tab w:val="left" w:pos="7665"/>
        </w:tabs>
        <w:spacing w:line="360" w:lineRule="auto"/>
        <w:ind w:firstLine="480" w:firstLineChars="200"/>
        <w:rPr>
          <w:rFonts w:hAnsi="宋体" w:cs="宋体"/>
          <w:color w:val="auto"/>
        </w:rPr>
      </w:pPr>
      <w:r>
        <w:rPr>
          <w:rFonts w:hint="eastAsia" w:hAnsi="宋体" w:cs="宋体"/>
          <w:color w:val="auto"/>
        </w:rPr>
        <w:t>18.6  投标文件须从目录开始连续、逐页编制页码便于评标小组进行评审。</w:t>
      </w:r>
    </w:p>
    <w:p>
      <w:pPr>
        <w:tabs>
          <w:tab w:val="left" w:pos="7665"/>
        </w:tabs>
        <w:spacing w:line="360" w:lineRule="auto"/>
        <w:ind w:firstLine="480" w:firstLineChars="200"/>
        <w:rPr>
          <w:rFonts w:hAnsi="宋体" w:cs="宋体"/>
          <w:color w:val="auto"/>
        </w:rPr>
      </w:pPr>
      <w:r>
        <w:rPr>
          <w:rFonts w:hint="eastAsia" w:hAnsi="宋体" w:cs="宋体"/>
          <w:color w:val="auto"/>
        </w:rPr>
        <w:t>18.7投标文件应根据招标文件的要求制作，签署、盖章和内容应完整，如有遗漏，投标人将自行承担其投标文件被视为无效投标文件的风险。</w:t>
      </w:r>
    </w:p>
    <w:p>
      <w:pPr>
        <w:pStyle w:val="5"/>
        <w:spacing w:line="360" w:lineRule="auto"/>
        <w:rPr>
          <w:rFonts w:ascii="宋体" w:hAnsi="宋体" w:cs="宋体"/>
          <w:sz w:val="24"/>
        </w:rPr>
      </w:pPr>
      <w:r>
        <w:rPr>
          <w:rFonts w:hint="eastAsia" w:ascii="宋体" w:hAnsi="宋体" w:cs="宋体"/>
          <w:bCs/>
          <w:sz w:val="24"/>
        </w:rPr>
        <w:t xml:space="preserve">19. </w:t>
      </w:r>
      <w:r>
        <w:rPr>
          <w:rFonts w:hint="eastAsia" w:ascii="宋体" w:hAnsi="宋体" w:cs="宋体"/>
          <w:sz w:val="24"/>
        </w:rPr>
        <w:t>投标文件的密封和标</w:t>
      </w:r>
      <w:bookmarkEnd w:id="121"/>
      <w:bookmarkEnd w:id="122"/>
      <w:bookmarkEnd w:id="123"/>
      <w:bookmarkEnd w:id="124"/>
      <w:r>
        <w:rPr>
          <w:rFonts w:hint="eastAsia" w:ascii="宋体" w:hAnsi="宋体" w:cs="宋体"/>
          <w:sz w:val="24"/>
        </w:rPr>
        <w:t>注</w:t>
      </w:r>
      <w:bookmarkEnd w:id="125"/>
      <w:bookmarkEnd w:id="126"/>
    </w:p>
    <w:p>
      <w:pPr>
        <w:tabs>
          <w:tab w:val="left" w:pos="1080"/>
        </w:tabs>
        <w:spacing w:line="360" w:lineRule="auto"/>
        <w:ind w:firstLine="480" w:firstLineChars="200"/>
        <w:rPr>
          <w:rFonts w:hAnsi="宋体" w:cs="宋体"/>
          <w:color w:val="auto"/>
        </w:rPr>
      </w:pPr>
      <w:r>
        <w:rPr>
          <w:rFonts w:hint="eastAsia" w:hAnsi="宋体" w:cs="宋体"/>
          <w:color w:val="auto"/>
        </w:rPr>
        <w:t>19.1 投标人应在投标文件正本和所有副本的封面上注明“资格性投标文件/其他响应性投标文件、正本/副本、投标人名称、招标编号、项目名称及分包号（如有分包）”。</w:t>
      </w:r>
    </w:p>
    <w:p>
      <w:pPr>
        <w:tabs>
          <w:tab w:val="left" w:pos="1080"/>
        </w:tabs>
        <w:spacing w:line="360" w:lineRule="auto"/>
        <w:ind w:firstLine="460" w:firstLineChars="192"/>
        <w:rPr>
          <w:rFonts w:hAnsi="宋体" w:cs="宋体"/>
          <w:color w:val="auto"/>
        </w:rPr>
      </w:pPr>
      <w:r>
        <w:rPr>
          <w:rFonts w:hint="eastAsia" w:hAnsi="宋体" w:cs="宋体"/>
          <w:color w:val="auto"/>
        </w:rPr>
        <w:t>19.2 投标文件包括资格性投标文件正本及副本、其他响应性投标文件正本及副本、电子文档和用于开标唱标单独提交的“开标一览表”。投标文件应当密封，其中，“开标一览表”单独密封。</w:t>
      </w:r>
    </w:p>
    <w:p>
      <w:pPr>
        <w:tabs>
          <w:tab w:val="left" w:pos="1080"/>
        </w:tabs>
        <w:spacing w:line="360" w:lineRule="auto"/>
        <w:ind w:firstLine="460" w:firstLineChars="192"/>
        <w:rPr>
          <w:rFonts w:hAnsi="宋体" w:cs="宋体"/>
          <w:color w:val="auto"/>
        </w:rPr>
      </w:pPr>
      <w:r>
        <w:rPr>
          <w:rFonts w:hint="eastAsia" w:hAnsi="宋体" w:cs="宋体"/>
          <w:color w:val="auto"/>
        </w:rPr>
        <w:t>19.3 投标文件的密封袋上应当注明资格性投标文件/其他响应性投标文件/开标一览表/电子文档、投标人名称、招标编号、项目名称及分包号（如有分包）。</w:t>
      </w:r>
    </w:p>
    <w:p>
      <w:pPr>
        <w:tabs>
          <w:tab w:val="left" w:pos="7665"/>
        </w:tabs>
        <w:spacing w:line="360" w:lineRule="auto"/>
        <w:ind w:firstLine="480" w:firstLineChars="200"/>
        <w:rPr>
          <w:rFonts w:hAnsi="宋体" w:cs="宋体"/>
          <w:color w:val="auto"/>
        </w:rPr>
      </w:pPr>
      <w:r>
        <w:rPr>
          <w:rFonts w:hint="eastAsia" w:hAnsi="宋体" w:cs="宋体"/>
          <w:color w:val="auto"/>
        </w:rPr>
        <w:t>19.4 所有外层密封袋的封口处应粘贴牢固，并加盖密封章（投标人公章）。</w:t>
      </w:r>
    </w:p>
    <w:p>
      <w:pPr>
        <w:pStyle w:val="5"/>
        <w:spacing w:line="360" w:lineRule="auto"/>
        <w:ind w:firstLine="482" w:firstLineChars="200"/>
        <w:rPr>
          <w:rFonts w:ascii="宋体" w:hAnsi="宋体" w:cs="宋体"/>
          <w:sz w:val="24"/>
        </w:rPr>
      </w:pPr>
      <w:bookmarkStart w:id="127" w:name="_Toc183582227"/>
      <w:bookmarkStart w:id="128" w:name="_Toc183682364"/>
      <w:bookmarkStart w:id="129" w:name="_Toc308164804"/>
      <w:bookmarkStart w:id="130" w:name="_Toc217446054"/>
      <w:bookmarkStart w:id="131" w:name="_Toc21425"/>
      <w:bookmarkStart w:id="132" w:name="_Toc25807"/>
      <w:bookmarkStart w:id="133" w:name="_Toc12048"/>
      <w:bookmarkStart w:id="134" w:name="_Toc20112"/>
      <w:bookmarkStart w:id="135" w:name="_Toc23631"/>
      <w:bookmarkStart w:id="136" w:name="_Toc4869"/>
      <w:bookmarkStart w:id="137" w:name="_Toc21680"/>
      <w:bookmarkStart w:id="138" w:name="_Toc217446082"/>
      <w:r>
        <w:rPr>
          <w:rFonts w:hint="eastAsia" w:ascii="宋体" w:hAnsi="宋体" w:cs="宋体"/>
          <w:sz w:val="24"/>
        </w:rPr>
        <w:t>20</w:t>
      </w:r>
      <w:r>
        <w:rPr>
          <w:rFonts w:hint="eastAsia" w:ascii="宋体" w:hAnsi="宋体" w:cs="宋体"/>
          <w:sz w:val="28"/>
          <w:szCs w:val="28"/>
        </w:rPr>
        <w:t>．</w:t>
      </w:r>
      <w:r>
        <w:rPr>
          <w:rFonts w:hint="eastAsia" w:ascii="宋体" w:hAnsi="宋体" w:cs="宋体"/>
          <w:sz w:val="24"/>
        </w:rPr>
        <w:t>投标文件的</w:t>
      </w:r>
      <w:bookmarkEnd w:id="127"/>
      <w:bookmarkEnd w:id="128"/>
      <w:r>
        <w:rPr>
          <w:rFonts w:hint="eastAsia" w:ascii="宋体" w:hAnsi="宋体" w:cs="宋体"/>
          <w:sz w:val="24"/>
        </w:rPr>
        <w:t>递交</w:t>
      </w:r>
      <w:bookmarkEnd w:id="129"/>
      <w:bookmarkEnd w:id="130"/>
    </w:p>
    <w:p>
      <w:pPr>
        <w:tabs>
          <w:tab w:val="left" w:pos="1095"/>
        </w:tabs>
        <w:spacing w:line="360" w:lineRule="auto"/>
        <w:ind w:firstLine="460" w:firstLineChars="192"/>
        <w:rPr>
          <w:rFonts w:hAnsi="宋体" w:cs="宋体"/>
          <w:color w:val="auto"/>
        </w:rPr>
      </w:pPr>
      <w:r>
        <w:rPr>
          <w:rFonts w:hint="eastAsia" w:hAnsi="宋体" w:cs="宋体"/>
          <w:color w:val="auto"/>
        </w:rPr>
        <w:t>20.1 投标人应在招标文件规定的投标截止时间前，将投标文件按招标文件的规定密封后送达开标地点。投标截止时间以后送达的投标文件将不予接收，招标采购单位将告知投标人不予接收的原因。</w:t>
      </w:r>
    </w:p>
    <w:p>
      <w:pPr>
        <w:tabs>
          <w:tab w:val="left" w:pos="1095"/>
        </w:tabs>
        <w:spacing w:line="360" w:lineRule="auto"/>
        <w:ind w:firstLine="460" w:firstLineChars="192"/>
        <w:rPr>
          <w:rFonts w:hAnsi="宋体" w:cs="宋体"/>
          <w:color w:val="auto"/>
        </w:rPr>
      </w:pPr>
      <w:r>
        <w:rPr>
          <w:rFonts w:hint="eastAsia" w:hAnsi="宋体" w:cs="宋体"/>
          <w:color w:val="auto"/>
        </w:rPr>
        <w:t>20.2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pPr>
        <w:tabs>
          <w:tab w:val="left" w:pos="1095"/>
        </w:tabs>
        <w:spacing w:line="360" w:lineRule="auto"/>
        <w:ind w:firstLine="460" w:firstLineChars="192"/>
        <w:rPr>
          <w:rFonts w:hAnsi="宋体" w:cs="宋体"/>
          <w:color w:val="auto"/>
        </w:rPr>
      </w:pPr>
      <w:r>
        <w:rPr>
          <w:rFonts w:hint="eastAsia" w:hAnsi="宋体" w:cs="宋体"/>
          <w:color w:val="auto"/>
        </w:rPr>
        <w:t>20.3本次招标不接收邮寄的投标文件。</w:t>
      </w:r>
    </w:p>
    <w:p>
      <w:pPr>
        <w:pStyle w:val="5"/>
        <w:spacing w:line="360" w:lineRule="auto"/>
        <w:ind w:firstLine="482" w:firstLineChars="200"/>
        <w:rPr>
          <w:rFonts w:ascii="宋体" w:hAnsi="宋体" w:cs="宋体"/>
          <w:sz w:val="24"/>
        </w:rPr>
      </w:pPr>
      <w:bookmarkStart w:id="139" w:name="_Toc183582228"/>
      <w:bookmarkStart w:id="140" w:name="_Toc183682365"/>
      <w:bookmarkStart w:id="141" w:name="_Toc217446055"/>
      <w:bookmarkStart w:id="142" w:name="_Toc308164805"/>
      <w:bookmarkStart w:id="143" w:name="_Toc183582231"/>
      <w:bookmarkStart w:id="144" w:name="_Toc89075878"/>
      <w:bookmarkStart w:id="145" w:name="_Toc77400782"/>
      <w:bookmarkStart w:id="146" w:name="_Toc183682368"/>
      <w:bookmarkStart w:id="147" w:name="_Toc217446056"/>
      <w:r>
        <w:rPr>
          <w:rFonts w:hint="eastAsia" w:ascii="宋体" w:hAnsi="宋体" w:cs="宋体"/>
          <w:sz w:val="24"/>
        </w:rPr>
        <w:t>21．投标文件的修改和撤</w:t>
      </w:r>
      <w:bookmarkEnd w:id="139"/>
      <w:bookmarkEnd w:id="140"/>
      <w:r>
        <w:rPr>
          <w:rFonts w:hint="eastAsia" w:ascii="宋体" w:hAnsi="宋体" w:cs="宋体"/>
          <w:sz w:val="24"/>
        </w:rPr>
        <w:t>回</w:t>
      </w:r>
      <w:bookmarkEnd w:id="141"/>
    </w:p>
    <w:p>
      <w:pPr>
        <w:spacing w:line="360" w:lineRule="auto"/>
        <w:rPr>
          <w:rFonts w:hAnsi="宋体" w:cs="宋体"/>
          <w:color w:val="auto"/>
        </w:rPr>
      </w:pPr>
      <w:r>
        <w:rPr>
          <w:rFonts w:hint="eastAsia" w:hAnsi="宋体" w:cs="宋体"/>
          <w:color w:val="auto"/>
        </w:rPr>
        <w:t>21.1 投标人在递交了投标文件后，可以修改或撤回其投标文件，但必须在规定的投标截止时间前，以书面形式通知采购代理机构。</w:t>
      </w:r>
    </w:p>
    <w:p>
      <w:pPr>
        <w:spacing w:line="360" w:lineRule="auto"/>
        <w:rPr>
          <w:rFonts w:hAnsi="宋体" w:cs="宋体"/>
          <w:color w:val="auto"/>
        </w:rPr>
      </w:pPr>
      <w:r>
        <w:rPr>
          <w:rFonts w:hint="eastAsia" w:hAnsi="宋体" w:cs="宋体"/>
          <w:color w:val="auto"/>
        </w:rPr>
        <w:t>21.2 投标人的修改书或撤回通知书，应由其法定代表人或委托代理人签署并盖单位印章。修改书应按投标须知第19条规定进行密封和标注，并在密封袋上标注“修改”字样。</w:t>
      </w:r>
    </w:p>
    <w:p>
      <w:pPr>
        <w:spacing w:line="360" w:lineRule="auto"/>
        <w:rPr>
          <w:rFonts w:hAnsi="宋体" w:cs="宋体"/>
          <w:color w:val="auto"/>
        </w:rPr>
      </w:pPr>
      <w:r>
        <w:rPr>
          <w:rFonts w:hint="eastAsia" w:hAnsi="宋体" w:cs="宋体"/>
          <w:color w:val="auto"/>
        </w:rPr>
        <w:t>21.3 在投标截止时间之后，投标人不得对其递交的投标文件做任何修改或撤销投标。</w:t>
      </w:r>
    </w:p>
    <w:p>
      <w:pPr>
        <w:pStyle w:val="4"/>
        <w:spacing w:line="360" w:lineRule="auto"/>
        <w:jc w:val="center"/>
        <w:rPr>
          <w:rFonts w:ascii="宋体" w:hAnsi="宋体" w:cs="宋体"/>
        </w:rPr>
      </w:pPr>
      <w:r>
        <w:rPr>
          <w:rFonts w:hint="eastAsia" w:ascii="宋体" w:hAnsi="宋体" w:cs="宋体"/>
        </w:rPr>
        <w:t>五、开标和中标</w:t>
      </w:r>
      <w:bookmarkEnd w:id="142"/>
      <w:bookmarkEnd w:id="143"/>
      <w:bookmarkEnd w:id="144"/>
      <w:bookmarkEnd w:id="145"/>
      <w:bookmarkEnd w:id="146"/>
      <w:bookmarkEnd w:id="147"/>
    </w:p>
    <w:p>
      <w:pPr>
        <w:pStyle w:val="5"/>
        <w:spacing w:line="360" w:lineRule="auto"/>
        <w:ind w:firstLine="482" w:firstLineChars="200"/>
        <w:rPr>
          <w:rFonts w:ascii="宋体" w:hAnsi="宋体" w:cs="宋体"/>
          <w:sz w:val="24"/>
        </w:rPr>
      </w:pPr>
      <w:bookmarkStart w:id="148" w:name="_Toc217446057"/>
      <w:bookmarkStart w:id="149" w:name="_Toc183582232"/>
      <w:bookmarkStart w:id="150" w:name="_Toc183682369"/>
      <w:bookmarkStart w:id="151" w:name="_Toc308164806"/>
      <w:r>
        <w:rPr>
          <w:rFonts w:hint="eastAsia" w:ascii="宋体" w:hAnsi="宋体" w:cs="宋体"/>
          <w:sz w:val="24"/>
        </w:rPr>
        <w:t>22．开标</w:t>
      </w:r>
      <w:bookmarkEnd w:id="148"/>
      <w:bookmarkEnd w:id="149"/>
      <w:bookmarkEnd w:id="150"/>
      <w:bookmarkEnd w:id="151"/>
    </w:p>
    <w:p>
      <w:pPr>
        <w:spacing w:before="120" w:line="360" w:lineRule="auto"/>
        <w:ind w:firstLine="480" w:firstLineChars="200"/>
        <w:rPr>
          <w:rFonts w:hAnsi="宋体" w:cs="宋体"/>
          <w:color w:val="auto"/>
        </w:rPr>
      </w:pPr>
      <w:r>
        <w:rPr>
          <w:rFonts w:hint="eastAsia" w:hAnsi="宋体" w:cs="宋体"/>
          <w:color w:val="auto"/>
        </w:rPr>
        <w:t>22.1 开标在招标文件规定的时间和地点公开进行，采购人、投标人应派代表参加并签到以证明其出席。开标由采购代理机构主持，邀请投标人参加。评标委员会成员不参加开标活动。</w:t>
      </w:r>
    </w:p>
    <w:p>
      <w:pPr>
        <w:spacing w:line="360" w:lineRule="auto"/>
        <w:ind w:firstLine="480" w:firstLineChars="200"/>
        <w:rPr>
          <w:rFonts w:hAnsi="宋体" w:cs="宋体"/>
          <w:color w:val="auto"/>
        </w:rPr>
      </w:pPr>
      <w:r>
        <w:rPr>
          <w:rFonts w:hint="eastAsia" w:hAnsi="宋体" w:cs="宋体"/>
          <w:color w:val="auto"/>
        </w:rPr>
        <w:t>22.2 开标时，可根据具体情况邀请有关监督管理部门对开标活动进行现场监督。</w:t>
      </w:r>
    </w:p>
    <w:p>
      <w:pPr>
        <w:spacing w:line="360" w:lineRule="auto"/>
        <w:ind w:firstLine="480" w:firstLineChars="200"/>
        <w:rPr>
          <w:rFonts w:hAnsi="宋体" w:cs="宋体"/>
          <w:color w:val="auto"/>
        </w:rPr>
      </w:pPr>
      <w:r>
        <w:rPr>
          <w:rFonts w:hint="eastAsia" w:hAnsi="宋体" w:cs="宋体"/>
          <w:color w:val="auto"/>
        </w:rPr>
        <w:t>22.3 开标时，由投标人或者其推选的代表检查其自己递交的投标文件的密封情况，经确认无误后，由招标工作人员将投标人单独递交的“开标一览表”当众拆封，并由唱标人员按照招标文件规定的内容进行宣读。</w:t>
      </w:r>
    </w:p>
    <w:p>
      <w:pPr>
        <w:spacing w:line="360" w:lineRule="auto"/>
        <w:ind w:firstLine="480" w:firstLineChars="200"/>
        <w:rPr>
          <w:rFonts w:hAnsi="宋体" w:cs="宋体"/>
          <w:color w:val="auto"/>
        </w:rPr>
      </w:pPr>
      <w:r>
        <w:rPr>
          <w:rFonts w:hint="eastAsia" w:hAnsi="宋体" w:cs="宋体"/>
          <w:color w:val="auto"/>
        </w:rPr>
        <w:t>22.4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pPr>
        <w:spacing w:line="360" w:lineRule="auto"/>
        <w:ind w:firstLine="480" w:firstLineChars="200"/>
        <w:rPr>
          <w:rFonts w:hAnsi="宋体" w:cs="宋体"/>
          <w:color w:val="auto"/>
        </w:rPr>
      </w:pPr>
      <w:r>
        <w:rPr>
          <w:rFonts w:hint="eastAsia" w:hAnsi="宋体" w:cs="宋体"/>
          <w:color w:val="auto"/>
        </w:rPr>
        <w:t>22.5 投标文件中相关内容与“开标一览表”不一致的，以“开标一览表”为准。对不同文字文本投标文件的解释发生异议的，以中文文本为准。</w:t>
      </w:r>
    </w:p>
    <w:p>
      <w:pPr>
        <w:spacing w:line="360" w:lineRule="auto"/>
        <w:ind w:firstLine="480" w:firstLineChars="200"/>
        <w:rPr>
          <w:rFonts w:hAnsi="宋体" w:cs="宋体"/>
          <w:color w:val="auto"/>
        </w:rPr>
      </w:pPr>
      <w:r>
        <w:rPr>
          <w:rFonts w:hint="eastAsia" w:hAnsi="宋体" w:cs="宋体"/>
          <w:color w:val="auto"/>
        </w:rPr>
        <w:t>22.6所有投标唱标完毕，如投标人代表对宣读的“开标一览表”上的内容有异议的，应在获得开标会主持人同意后当场提出。</w:t>
      </w:r>
    </w:p>
    <w:p>
      <w:pPr>
        <w:spacing w:line="360" w:lineRule="auto"/>
        <w:ind w:firstLine="480" w:firstLineChars="200"/>
        <w:rPr>
          <w:rFonts w:hAnsi="宋体" w:cs="宋体"/>
          <w:color w:val="auto"/>
        </w:rPr>
      </w:pPr>
      <w:r>
        <w:rPr>
          <w:rFonts w:hint="eastAsia" w:hAnsi="宋体" w:cs="宋体"/>
          <w:color w:val="auto"/>
        </w:rPr>
        <w:t>22.7投标人未参加开标的，视同认可开标结果。</w:t>
      </w:r>
    </w:p>
    <w:p>
      <w:pPr>
        <w:pStyle w:val="5"/>
        <w:spacing w:line="360" w:lineRule="auto"/>
        <w:ind w:firstLine="482" w:firstLineChars="200"/>
        <w:rPr>
          <w:rFonts w:ascii="宋体" w:hAnsi="宋体" w:cs="宋体"/>
          <w:sz w:val="24"/>
        </w:rPr>
      </w:pPr>
      <w:bookmarkStart w:id="152" w:name="_Toc308164807"/>
      <w:bookmarkStart w:id="153" w:name="_Toc217446058"/>
      <w:r>
        <w:rPr>
          <w:rFonts w:hint="eastAsia" w:ascii="宋体" w:hAnsi="宋体" w:cs="宋体"/>
          <w:sz w:val="24"/>
        </w:rPr>
        <w:t>23. 开标程序</w:t>
      </w:r>
      <w:bookmarkEnd w:id="152"/>
      <w:bookmarkEnd w:id="153"/>
    </w:p>
    <w:p>
      <w:pPr>
        <w:spacing w:line="360" w:lineRule="auto"/>
        <w:ind w:firstLine="480" w:firstLineChars="200"/>
        <w:rPr>
          <w:rFonts w:hAnsi="宋体" w:cs="宋体"/>
          <w:color w:val="auto"/>
        </w:rPr>
      </w:pPr>
      <w:r>
        <w:rPr>
          <w:rFonts w:hint="eastAsia" w:hAnsi="宋体" w:cs="宋体"/>
          <w:color w:val="auto"/>
        </w:rPr>
        <w:t>23.1 开标会主持人按照招标文件规定的开标时间宣布开标，按照规定要求主持开标会。开标将按以下程序进行：</w:t>
      </w:r>
    </w:p>
    <w:p>
      <w:pPr>
        <w:numPr>
          <w:ilvl w:val="0"/>
          <w:numId w:val="1"/>
        </w:numPr>
        <w:spacing w:line="360" w:lineRule="auto"/>
        <w:ind w:firstLine="480" w:firstLineChars="200"/>
        <w:rPr>
          <w:rFonts w:hAnsi="宋体" w:cs="宋体"/>
          <w:color w:val="auto"/>
        </w:rPr>
      </w:pPr>
      <w:r>
        <w:rPr>
          <w:rFonts w:hint="eastAsia" w:hAnsi="宋体" w:cs="宋体"/>
          <w:color w:val="auto"/>
        </w:rPr>
        <w:t>宣布开标会开始。当众宣布参加开标会主持人、唱标人、会议记录人以及根据情况邀请的现场监督人等工作人员</w:t>
      </w:r>
    </w:p>
    <w:p>
      <w:pPr>
        <w:spacing w:line="360" w:lineRule="auto"/>
        <w:ind w:firstLine="480" w:firstLineChars="200"/>
        <w:rPr>
          <w:rFonts w:hAnsi="宋体" w:cs="宋体"/>
          <w:color w:val="auto"/>
        </w:rPr>
      </w:pPr>
      <w:r>
        <w:rPr>
          <w:rFonts w:hint="eastAsia" w:hAnsi="宋体" w:cs="宋体"/>
          <w:color w:val="auto"/>
        </w:rPr>
        <w:t>（2）根据投标人或者其推选的代表对投标文件密封的检查结果，当众宣布投标文件的密封情况。</w:t>
      </w:r>
    </w:p>
    <w:p>
      <w:pPr>
        <w:spacing w:line="360" w:lineRule="auto"/>
        <w:ind w:firstLine="480" w:firstLineChars="200"/>
        <w:rPr>
          <w:rFonts w:hAnsi="宋体" w:cs="宋体"/>
          <w:color w:val="auto"/>
        </w:rPr>
      </w:pPr>
      <w:r>
        <w:rPr>
          <w:rFonts w:hint="eastAsia" w:hAnsi="宋体" w:cs="宋体"/>
          <w:color w:val="auto"/>
        </w:rPr>
        <w:t>（3）开标唱标。主持人宣布开标后，由现场工作人员按任意顺序对投标人的投标文件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pPr>
        <w:spacing w:line="360" w:lineRule="auto"/>
        <w:ind w:firstLine="480" w:firstLineChars="200"/>
        <w:rPr>
          <w:rFonts w:hAnsi="宋体" w:cs="宋体"/>
          <w:color w:val="auto"/>
        </w:rPr>
      </w:pPr>
      <w:r>
        <w:rPr>
          <w:rFonts w:hint="eastAsia" w:hAnsi="宋体" w:cs="宋体"/>
          <w:color w:val="auto"/>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陕西省政府采购网上查询。</w:t>
      </w:r>
    </w:p>
    <w:p>
      <w:pPr>
        <w:pStyle w:val="5"/>
        <w:spacing w:line="360" w:lineRule="auto"/>
        <w:ind w:firstLine="482" w:firstLineChars="200"/>
        <w:rPr>
          <w:rFonts w:ascii="宋体" w:hAnsi="宋体" w:cs="宋体"/>
          <w:sz w:val="24"/>
        </w:rPr>
      </w:pPr>
      <w:bookmarkStart w:id="154" w:name="_Toc183682375"/>
      <w:bookmarkStart w:id="155" w:name="_Toc183582238"/>
      <w:bookmarkStart w:id="156" w:name="_Toc217446063"/>
      <w:bookmarkStart w:id="157" w:name="_Toc308164809"/>
      <w:r>
        <w:rPr>
          <w:rFonts w:hint="eastAsia" w:ascii="宋体" w:hAnsi="宋体" w:cs="宋体"/>
          <w:sz w:val="24"/>
        </w:rPr>
        <w:t>24．开评标过程存档</w:t>
      </w:r>
    </w:p>
    <w:p>
      <w:pPr>
        <w:spacing w:line="360" w:lineRule="auto"/>
        <w:ind w:firstLine="480" w:firstLineChars="200"/>
        <w:rPr>
          <w:rFonts w:hAnsi="宋体" w:cs="宋体"/>
          <w:color w:val="auto"/>
        </w:rPr>
      </w:pPr>
      <w:r>
        <w:rPr>
          <w:rFonts w:hint="eastAsia" w:hAnsi="宋体" w:cs="宋体"/>
          <w:color w:val="auto"/>
        </w:rPr>
        <w:t>开标和评标过程进行全过程电子监控，并将电子监控资料存储介质留存归档。</w:t>
      </w:r>
    </w:p>
    <w:p>
      <w:pPr>
        <w:pStyle w:val="5"/>
        <w:spacing w:line="360" w:lineRule="auto"/>
        <w:ind w:firstLine="482" w:firstLineChars="200"/>
        <w:rPr>
          <w:rFonts w:ascii="宋体" w:hAnsi="宋体" w:cs="宋体"/>
          <w:sz w:val="24"/>
        </w:rPr>
      </w:pPr>
      <w:r>
        <w:rPr>
          <w:rFonts w:hint="eastAsia" w:ascii="宋体" w:hAnsi="宋体" w:cs="宋体"/>
          <w:sz w:val="24"/>
        </w:rPr>
        <w:t>25.中标通知</w:t>
      </w:r>
      <w:bookmarkEnd w:id="154"/>
      <w:bookmarkEnd w:id="155"/>
      <w:r>
        <w:rPr>
          <w:rFonts w:hint="eastAsia" w:ascii="宋体" w:hAnsi="宋体" w:cs="宋体"/>
          <w:sz w:val="24"/>
        </w:rPr>
        <w:t>书</w:t>
      </w:r>
      <w:bookmarkEnd w:id="156"/>
      <w:bookmarkEnd w:id="157"/>
    </w:p>
    <w:p>
      <w:pPr>
        <w:tabs>
          <w:tab w:val="left" w:pos="7665"/>
        </w:tabs>
        <w:spacing w:line="360" w:lineRule="auto"/>
        <w:ind w:firstLine="480" w:firstLineChars="200"/>
        <w:rPr>
          <w:rFonts w:hAnsi="宋体" w:cs="宋体"/>
          <w:color w:val="auto"/>
        </w:rPr>
      </w:pPr>
      <w:r>
        <w:rPr>
          <w:rFonts w:hint="eastAsia" w:hAnsi="宋体" w:cs="宋体"/>
          <w:color w:val="auto"/>
        </w:rPr>
        <w:t>25</w:t>
      </w:r>
      <w:r>
        <w:rPr>
          <w:rFonts w:hint="eastAsia" w:hAnsi="宋体" w:cs="宋体"/>
          <w:bCs/>
          <w:color w:val="auto"/>
        </w:rPr>
        <w:t>.</w:t>
      </w:r>
      <w:r>
        <w:rPr>
          <w:rFonts w:hint="eastAsia" w:hAnsi="宋体" w:cs="宋体"/>
          <w:color w:val="auto"/>
        </w:rPr>
        <w:t>1 中标通知书为签订政府采购合同的依据之一，是合同的有效组成部分。</w:t>
      </w:r>
    </w:p>
    <w:p>
      <w:pPr>
        <w:tabs>
          <w:tab w:val="left" w:pos="7665"/>
        </w:tabs>
        <w:spacing w:line="360" w:lineRule="auto"/>
        <w:ind w:firstLine="480"/>
        <w:rPr>
          <w:rFonts w:hAnsi="宋体" w:cs="宋体"/>
          <w:color w:val="auto"/>
        </w:rPr>
      </w:pPr>
      <w:r>
        <w:rPr>
          <w:rFonts w:hint="eastAsia" w:hAnsi="宋体" w:cs="宋体"/>
          <w:color w:val="auto"/>
        </w:rPr>
        <w:t>25.2 中标通知书对采购人和中标人均具有法律效力。中标通知书发出后，采购人改变中标结果，或者中标人无正当理由放弃中标的，应当承担相应的法律责任。</w:t>
      </w:r>
    </w:p>
    <w:p>
      <w:pPr>
        <w:tabs>
          <w:tab w:val="left" w:pos="7665"/>
        </w:tabs>
        <w:spacing w:line="360" w:lineRule="auto"/>
        <w:ind w:firstLine="480"/>
        <w:rPr>
          <w:rFonts w:hAnsi="宋体" w:cs="宋体"/>
          <w:color w:val="auto"/>
        </w:rPr>
      </w:pPr>
      <w:r>
        <w:rPr>
          <w:rFonts w:hint="eastAsia" w:hAnsi="宋体" w:cs="宋体"/>
          <w:color w:val="auto"/>
        </w:rPr>
        <w:t>25．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line="360" w:lineRule="auto"/>
        <w:ind w:firstLine="480"/>
        <w:rPr>
          <w:rFonts w:hAnsi="宋体" w:cs="宋体"/>
          <w:color w:val="auto"/>
        </w:rPr>
      </w:pPr>
      <w:r>
        <w:rPr>
          <w:rFonts w:hint="eastAsia" w:hAnsi="宋体" w:cs="宋体"/>
          <w:color w:val="auto"/>
        </w:rPr>
        <w:t>25.4中标公告发出后，中标供应商自行领取中标通知书的，可凭有效身份证明证件到采购代理机构办理。</w:t>
      </w:r>
    </w:p>
    <w:p>
      <w:pPr>
        <w:pStyle w:val="4"/>
        <w:spacing w:line="360" w:lineRule="auto"/>
        <w:jc w:val="center"/>
        <w:rPr>
          <w:rFonts w:ascii="宋体" w:hAnsi="宋体" w:cs="宋体"/>
          <w:szCs w:val="28"/>
        </w:rPr>
      </w:pPr>
      <w:bookmarkStart w:id="158" w:name="_Toc308164810"/>
      <w:bookmarkStart w:id="159" w:name="_Toc217446064"/>
      <w:bookmarkStart w:id="160" w:name="_Toc183582240"/>
      <w:bookmarkStart w:id="161" w:name="_Toc183682377"/>
      <w:r>
        <w:rPr>
          <w:rFonts w:hint="eastAsia" w:ascii="宋体" w:hAnsi="宋体" w:cs="宋体"/>
          <w:szCs w:val="28"/>
        </w:rPr>
        <w:t>六、签订及履行合同和验收</w:t>
      </w:r>
      <w:bookmarkEnd w:id="158"/>
      <w:bookmarkEnd w:id="159"/>
    </w:p>
    <w:p>
      <w:pPr>
        <w:pStyle w:val="5"/>
        <w:spacing w:line="360" w:lineRule="auto"/>
        <w:ind w:firstLine="482" w:firstLineChars="200"/>
        <w:rPr>
          <w:rFonts w:ascii="宋体" w:hAnsi="宋体" w:cs="宋体"/>
          <w:b w:val="0"/>
          <w:sz w:val="24"/>
        </w:rPr>
      </w:pPr>
      <w:bookmarkStart w:id="162" w:name="_Toc308164811"/>
      <w:bookmarkStart w:id="163" w:name="_Toc217446065"/>
      <w:r>
        <w:rPr>
          <w:rFonts w:hint="eastAsia" w:ascii="宋体" w:hAnsi="宋体" w:cs="宋体"/>
          <w:sz w:val="24"/>
        </w:rPr>
        <w:t>26.签订合同</w:t>
      </w:r>
      <w:bookmarkEnd w:id="162"/>
      <w:bookmarkEnd w:id="163"/>
    </w:p>
    <w:p>
      <w:pPr>
        <w:spacing w:line="360" w:lineRule="auto"/>
        <w:ind w:firstLine="480" w:firstLineChars="200"/>
        <w:rPr>
          <w:rFonts w:hAnsi="宋体" w:cs="宋体"/>
          <w:color w:val="auto"/>
        </w:rPr>
      </w:pPr>
      <w:r>
        <w:rPr>
          <w:rFonts w:hint="eastAsia" w:hAnsi="宋体" w:cs="宋体"/>
          <w:color w:val="auto"/>
        </w:rPr>
        <w:t>26.1 中标人应在中标通知书发出之日起三十日内与采购人签订采购合同。由于中标人的原因逾期未与采购人签订采购合同的，将视为放弃中标，取消其中标资格并将按相关规定进行处理。</w:t>
      </w:r>
    </w:p>
    <w:p>
      <w:pPr>
        <w:spacing w:line="360" w:lineRule="auto"/>
        <w:ind w:firstLine="420" w:firstLineChars="175"/>
        <w:rPr>
          <w:rFonts w:hAnsi="宋体" w:cs="宋体"/>
          <w:color w:val="auto"/>
        </w:rPr>
      </w:pPr>
      <w:r>
        <w:rPr>
          <w:rFonts w:hint="eastAsia" w:hAnsi="宋体" w:cs="宋体"/>
          <w:color w:val="auto"/>
        </w:rPr>
        <w:t>26.2 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line="360" w:lineRule="auto"/>
        <w:ind w:firstLine="420" w:firstLineChars="175"/>
        <w:rPr>
          <w:rFonts w:hAnsi="宋体" w:cs="宋体"/>
          <w:color w:val="auto"/>
        </w:rPr>
      </w:pPr>
      <w:r>
        <w:rPr>
          <w:rFonts w:hint="eastAsia" w:hAnsi="宋体" w:cs="宋体"/>
          <w:color w:val="auto"/>
        </w:rPr>
        <w:t>26.3 中标人拒绝与采购人签订合同的，采购人可以按照评审报告推荐的中标候选人名单排序，确定下一候选人为中标供应商，也可以重新开展政府采购活动。</w:t>
      </w:r>
    </w:p>
    <w:p>
      <w:pPr>
        <w:spacing w:line="360" w:lineRule="auto"/>
        <w:ind w:firstLine="420" w:firstLineChars="175"/>
        <w:rPr>
          <w:rFonts w:hAnsi="宋体" w:cs="宋体"/>
          <w:color w:val="auto"/>
        </w:rPr>
      </w:pPr>
      <w:r>
        <w:rPr>
          <w:rFonts w:hint="eastAsia" w:hAnsi="宋体" w:cs="宋体"/>
          <w:color w:val="auto"/>
        </w:rPr>
        <w:t>26.4 中标人在合同签订之后三个工作日内，将签订的合同（一式壹份）送采购代理机构。中标人应及时到采购代理机构办理。</w:t>
      </w:r>
    </w:p>
    <w:p>
      <w:pPr>
        <w:pStyle w:val="4"/>
        <w:spacing w:line="360" w:lineRule="auto"/>
        <w:ind w:firstLine="482" w:firstLineChars="200"/>
        <w:rPr>
          <w:rFonts w:ascii="宋体" w:hAnsi="宋体" w:cs="宋体"/>
          <w:sz w:val="24"/>
        </w:rPr>
      </w:pPr>
      <w:r>
        <w:rPr>
          <w:rFonts w:hint="eastAsia" w:ascii="宋体" w:hAnsi="宋体" w:cs="宋体"/>
          <w:sz w:val="24"/>
        </w:rPr>
        <w:t>27. 合同分包（本项目不适用）</w:t>
      </w:r>
    </w:p>
    <w:p>
      <w:pPr>
        <w:spacing w:line="360" w:lineRule="auto"/>
        <w:ind w:firstLine="480" w:firstLineChars="200"/>
        <w:rPr>
          <w:rFonts w:hAnsi="宋体" w:cs="宋体"/>
          <w:color w:val="auto"/>
        </w:rPr>
      </w:pPr>
      <w:r>
        <w:rPr>
          <w:rFonts w:hint="eastAsia" w:hAnsi="宋体" w:cs="宋体"/>
          <w:color w:val="auto"/>
        </w:rPr>
        <w:t>27.1 经采购人同意，中标人可以依法采取分包方式履行合同。这种要求应当在合同签订之前征得采购人同意，并且分包供应商履行的分包项目的品牌、规格型号及技术要求等，必须与中标的一致。</w:t>
      </w:r>
    </w:p>
    <w:p>
      <w:pPr>
        <w:spacing w:line="360" w:lineRule="auto"/>
        <w:ind w:firstLine="480" w:firstLineChars="200"/>
        <w:rPr>
          <w:rFonts w:hAnsi="宋体" w:cs="宋体"/>
          <w:color w:val="auto"/>
        </w:rPr>
      </w:pPr>
      <w:r>
        <w:rPr>
          <w:rFonts w:hint="eastAsia" w:hAnsi="宋体" w:cs="宋体"/>
          <w:color w:val="auto"/>
        </w:rPr>
        <w:t>分包履行合同的部分应当为采购项目的非主体、非关键性工作，不属于中标人的主要合同义务。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80" w:firstLineChars="200"/>
        <w:rPr>
          <w:rFonts w:hAnsi="宋体" w:cs="宋体"/>
          <w:color w:val="auto"/>
        </w:rPr>
      </w:pPr>
      <w:r>
        <w:rPr>
          <w:rFonts w:hint="eastAsia" w:hAnsi="宋体" w:cs="宋体"/>
          <w:color w:val="auto"/>
        </w:rPr>
        <w:t>27.2 采购合同实行分包履行的，中标人就采购项目和分包项目向采购人负责，分包供应商就分包项目承担责任。</w:t>
      </w:r>
    </w:p>
    <w:p>
      <w:pPr>
        <w:spacing w:line="360" w:lineRule="auto"/>
        <w:ind w:firstLine="540" w:firstLineChars="225"/>
        <w:rPr>
          <w:rFonts w:hAnsi="宋体" w:cs="宋体"/>
          <w:color w:val="auto"/>
        </w:rPr>
      </w:pPr>
      <w:r>
        <w:rPr>
          <w:rFonts w:hint="eastAsia" w:hAnsi="宋体" w:cs="宋体"/>
          <w:color w:val="auto"/>
        </w:rPr>
        <w:t>27.3 中小企业依据《政府采购促进中小企业发展暂行办法》（财库[2011]181号）规定的政策获取政府采购合同后，小型、微型企业不得分包或转包给大型、中型企业，中型企业不得分包或转包给大型企业。</w:t>
      </w:r>
    </w:p>
    <w:p>
      <w:pPr>
        <w:pStyle w:val="4"/>
        <w:spacing w:line="360" w:lineRule="auto"/>
        <w:ind w:firstLine="482" w:firstLineChars="200"/>
        <w:rPr>
          <w:rFonts w:ascii="宋体" w:hAnsi="宋体" w:cs="宋体"/>
          <w:sz w:val="24"/>
        </w:rPr>
      </w:pPr>
      <w:r>
        <w:rPr>
          <w:rFonts w:hint="eastAsia" w:ascii="宋体" w:hAnsi="宋体" w:cs="宋体"/>
          <w:sz w:val="24"/>
        </w:rPr>
        <w:t>28.合同转包（本项目不适用）</w:t>
      </w:r>
    </w:p>
    <w:p>
      <w:pPr>
        <w:spacing w:line="360" w:lineRule="auto"/>
        <w:ind w:firstLine="540" w:firstLineChars="225"/>
        <w:rPr>
          <w:rFonts w:hAnsi="宋体" w:cs="宋体"/>
          <w:color w:val="auto"/>
        </w:rPr>
      </w:pPr>
      <w:r>
        <w:rPr>
          <w:rFonts w:hint="eastAsia" w:hAnsi="宋体" w:cs="宋体"/>
          <w:color w:val="auto"/>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360" w:lineRule="auto"/>
        <w:ind w:firstLine="540" w:firstLineChars="225"/>
        <w:rPr>
          <w:rFonts w:hAnsi="宋体" w:cs="宋体"/>
          <w:color w:val="auto"/>
        </w:rPr>
      </w:pPr>
      <w:r>
        <w:rPr>
          <w:rFonts w:hint="eastAsia" w:hAnsi="宋体" w:cs="宋体"/>
          <w:color w:val="auto"/>
        </w:rPr>
        <w:t>中标人转包的，视同拒绝履行政府采购合同义务，将依法追究法律责任。</w:t>
      </w:r>
    </w:p>
    <w:p>
      <w:pPr>
        <w:pStyle w:val="4"/>
        <w:spacing w:line="360" w:lineRule="auto"/>
        <w:ind w:firstLine="482" w:firstLineChars="200"/>
        <w:rPr>
          <w:rFonts w:ascii="宋体" w:hAnsi="宋体" w:cs="宋体"/>
          <w:sz w:val="24"/>
        </w:rPr>
      </w:pPr>
      <w:bookmarkStart w:id="164" w:name="_Toc217446066"/>
      <w:r>
        <w:rPr>
          <w:rFonts w:hint="eastAsia" w:ascii="宋体" w:hAnsi="宋体" w:cs="宋体"/>
          <w:sz w:val="24"/>
        </w:rPr>
        <w:t>29.</w:t>
      </w:r>
      <w:bookmarkEnd w:id="164"/>
      <w:r>
        <w:rPr>
          <w:rFonts w:hint="eastAsia" w:ascii="宋体" w:hAnsi="宋体" w:cs="宋体"/>
          <w:sz w:val="24"/>
        </w:rPr>
        <w:t>补充合同</w:t>
      </w:r>
    </w:p>
    <w:p>
      <w:pPr>
        <w:spacing w:line="360" w:lineRule="auto"/>
        <w:ind w:firstLine="480" w:firstLineChars="200"/>
        <w:rPr>
          <w:rFonts w:hAnsi="宋体" w:cs="宋体"/>
          <w:color w:val="auto"/>
        </w:rPr>
      </w:pPr>
      <w:r>
        <w:rPr>
          <w:rFonts w:hint="eastAsia" w:hAnsi="宋体" w:cs="宋体"/>
          <w:color w:val="auto"/>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numPr>
          <w:ilvl w:val="0"/>
          <w:numId w:val="2"/>
        </w:numPr>
        <w:spacing w:line="360" w:lineRule="auto"/>
        <w:ind w:firstLine="482" w:firstLineChars="200"/>
        <w:rPr>
          <w:rFonts w:ascii="宋体" w:hAnsi="宋体" w:cs="宋体"/>
          <w:sz w:val="24"/>
        </w:rPr>
      </w:pPr>
      <w:bookmarkStart w:id="165" w:name="_Toc308164812"/>
      <w:bookmarkStart w:id="166" w:name="_Toc217446068"/>
      <w:r>
        <w:rPr>
          <w:rFonts w:hint="eastAsia" w:ascii="宋体" w:hAnsi="宋体" w:cs="宋体"/>
          <w:sz w:val="24"/>
        </w:rPr>
        <w:t>履约保证金</w:t>
      </w:r>
      <w:bookmarkEnd w:id="165"/>
      <w:bookmarkEnd w:id="166"/>
    </w:p>
    <w:p>
      <w:pPr>
        <w:spacing w:line="360" w:lineRule="auto"/>
        <w:ind w:firstLine="720" w:firstLineChars="300"/>
        <w:rPr>
          <w:rFonts w:hAnsi="宋体" w:cs="宋体"/>
          <w:color w:val="auto"/>
        </w:rPr>
      </w:pPr>
      <w:r>
        <w:rPr>
          <w:rFonts w:hint="eastAsia" w:hAnsi="宋体" w:cs="宋体"/>
          <w:color w:val="auto"/>
        </w:rPr>
        <w:t>供应商中标后凭中标通知书向采购人缴纳中标金额的5%作为履约保证金，待合同履约完毕后无息退还。</w:t>
      </w:r>
    </w:p>
    <w:p>
      <w:pPr>
        <w:pStyle w:val="5"/>
        <w:spacing w:line="360" w:lineRule="auto"/>
        <w:ind w:firstLine="482" w:firstLineChars="200"/>
        <w:rPr>
          <w:rFonts w:ascii="宋体" w:hAnsi="宋体" w:cs="宋体"/>
          <w:b w:val="0"/>
          <w:bCs/>
          <w:sz w:val="24"/>
        </w:rPr>
      </w:pPr>
      <w:bookmarkStart w:id="167" w:name="_Toc217446077"/>
      <w:bookmarkStart w:id="168" w:name="_Toc308164818"/>
      <w:bookmarkStart w:id="169" w:name="_Toc217446071"/>
      <w:r>
        <w:rPr>
          <w:rFonts w:hint="eastAsia" w:ascii="宋体" w:hAnsi="宋体" w:cs="宋体"/>
          <w:sz w:val="24"/>
        </w:rPr>
        <w:t>31.资金支付</w:t>
      </w:r>
      <w:bookmarkEnd w:id="167"/>
      <w:bookmarkEnd w:id="168"/>
    </w:p>
    <w:p>
      <w:pPr>
        <w:spacing w:line="360" w:lineRule="auto"/>
        <w:ind w:firstLine="480" w:firstLineChars="200"/>
        <w:rPr>
          <w:rFonts w:hAnsi="宋体" w:cs="宋体"/>
          <w:color w:val="auto"/>
        </w:rPr>
      </w:pPr>
      <w:r>
        <w:rPr>
          <w:rFonts w:hint="eastAsia" w:hAnsi="宋体" w:cs="宋体"/>
          <w:color w:val="auto"/>
        </w:rPr>
        <w:t>采购人将按照政府采购合同规定，及时向中标供应商支付采购资金。本项目采购资金付款详见第五章商务要求中付款方式。</w:t>
      </w:r>
    </w:p>
    <w:bookmarkEnd w:id="160"/>
    <w:bookmarkEnd w:id="161"/>
    <w:bookmarkEnd w:id="169"/>
    <w:p>
      <w:pPr>
        <w:pStyle w:val="4"/>
        <w:spacing w:line="360" w:lineRule="auto"/>
        <w:jc w:val="center"/>
        <w:rPr>
          <w:rFonts w:ascii="宋体" w:hAnsi="宋体" w:cs="宋体"/>
          <w:szCs w:val="28"/>
        </w:rPr>
      </w:pPr>
      <w:bookmarkStart w:id="170" w:name="_Toc308164815"/>
      <w:bookmarkStart w:id="171" w:name="_Toc217446074"/>
      <w:bookmarkStart w:id="172" w:name="_Toc183682380"/>
      <w:bookmarkStart w:id="173" w:name="_Toc183582243"/>
      <w:r>
        <w:rPr>
          <w:rFonts w:hint="eastAsia" w:ascii="宋体" w:hAnsi="宋体" w:cs="宋体"/>
          <w:szCs w:val="28"/>
        </w:rPr>
        <w:t>七、投标纪律要求</w:t>
      </w:r>
      <w:bookmarkEnd w:id="170"/>
      <w:bookmarkEnd w:id="171"/>
    </w:p>
    <w:p>
      <w:pPr>
        <w:pStyle w:val="5"/>
        <w:spacing w:line="360" w:lineRule="auto"/>
        <w:ind w:firstLine="482" w:firstLineChars="200"/>
        <w:rPr>
          <w:rFonts w:ascii="宋体" w:hAnsi="宋体" w:cs="宋体"/>
          <w:sz w:val="24"/>
        </w:rPr>
      </w:pPr>
      <w:bookmarkStart w:id="174" w:name="_Toc217446075"/>
      <w:bookmarkStart w:id="175" w:name="_Toc308164816"/>
      <w:r>
        <w:rPr>
          <w:rFonts w:hint="eastAsia" w:ascii="宋体" w:hAnsi="宋体" w:cs="宋体"/>
          <w:sz w:val="24"/>
        </w:rPr>
        <w:t>32. 投标人</w:t>
      </w:r>
      <w:bookmarkEnd w:id="174"/>
      <w:bookmarkEnd w:id="175"/>
      <w:r>
        <w:rPr>
          <w:rFonts w:hint="eastAsia" w:ascii="宋体" w:hAnsi="宋体" w:cs="宋体"/>
          <w:sz w:val="24"/>
        </w:rPr>
        <w:t>纪律要求</w:t>
      </w:r>
    </w:p>
    <w:p>
      <w:pPr>
        <w:pStyle w:val="8"/>
        <w:spacing w:line="360" w:lineRule="auto"/>
        <w:ind w:firstLine="480"/>
        <w:rPr>
          <w:rFonts w:hAnsi="宋体" w:cs="宋体"/>
          <w:sz w:val="24"/>
          <w:szCs w:val="24"/>
        </w:rPr>
      </w:pPr>
      <w:r>
        <w:rPr>
          <w:rFonts w:hint="eastAsia" w:hAnsi="宋体" w:cs="宋体"/>
          <w:sz w:val="24"/>
          <w:szCs w:val="24"/>
        </w:rPr>
        <w:t>投标人应当遵循公平竞争的原则，不得恶意串通，不得妨碍其他投标人的竞争行为，不得损害采购人或者其他投标人的合法权益。</w:t>
      </w:r>
    </w:p>
    <w:p>
      <w:pPr>
        <w:pStyle w:val="8"/>
        <w:spacing w:line="360" w:lineRule="auto"/>
        <w:ind w:firstLine="480"/>
        <w:rPr>
          <w:rFonts w:hAnsi="宋体" w:cs="宋体"/>
          <w:sz w:val="24"/>
          <w:szCs w:val="24"/>
        </w:rPr>
      </w:pPr>
      <w:r>
        <w:rPr>
          <w:rFonts w:hint="eastAsia" w:hAnsi="宋体" w:cs="宋体"/>
          <w:sz w:val="24"/>
          <w:szCs w:val="24"/>
        </w:rPr>
        <w:t>在评标过程中发现投标人有上述情形的，评标委员会应当认定其投标无效，并书面报告本级财政部门。</w:t>
      </w:r>
    </w:p>
    <w:p>
      <w:pPr>
        <w:spacing w:line="360" w:lineRule="auto"/>
        <w:ind w:firstLine="480" w:firstLineChars="200"/>
        <w:rPr>
          <w:rFonts w:hAnsi="宋体" w:cs="宋体"/>
          <w:color w:val="auto"/>
        </w:rPr>
      </w:pPr>
      <w:r>
        <w:rPr>
          <w:rFonts w:hint="eastAsia" w:hAnsi="宋体" w:cs="宋体"/>
          <w:color w:val="auto"/>
        </w:rPr>
        <w:t>32.1 投标人参加本项目投标不得有下列情形：</w:t>
      </w:r>
    </w:p>
    <w:p>
      <w:pPr>
        <w:spacing w:line="360" w:lineRule="auto"/>
        <w:ind w:firstLine="480" w:firstLineChars="200"/>
        <w:rPr>
          <w:rFonts w:hAnsi="宋体" w:cs="宋体"/>
          <w:color w:val="auto"/>
        </w:rPr>
      </w:pPr>
      <w:r>
        <w:rPr>
          <w:rFonts w:hint="eastAsia" w:hAnsi="宋体" w:cs="宋体"/>
          <w:color w:val="auto"/>
        </w:rPr>
        <w:t>（1）提供虚假材料谋取中标；</w:t>
      </w:r>
    </w:p>
    <w:p>
      <w:pPr>
        <w:spacing w:line="360" w:lineRule="auto"/>
        <w:ind w:firstLine="480" w:firstLineChars="200"/>
        <w:rPr>
          <w:rFonts w:hAnsi="宋体" w:cs="宋体"/>
          <w:color w:val="auto"/>
        </w:rPr>
      </w:pPr>
      <w:r>
        <w:rPr>
          <w:rFonts w:hint="eastAsia" w:hAnsi="宋体" w:cs="宋体"/>
          <w:color w:val="auto"/>
        </w:rPr>
        <w:t>（2）采取不正当手段诋毁、排挤其他投标人；</w:t>
      </w:r>
    </w:p>
    <w:p>
      <w:pPr>
        <w:spacing w:line="360" w:lineRule="auto"/>
        <w:ind w:firstLine="480" w:firstLineChars="200"/>
        <w:rPr>
          <w:rFonts w:hAnsi="宋体" w:cs="宋体"/>
          <w:color w:val="auto"/>
        </w:rPr>
      </w:pPr>
      <w:r>
        <w:rPr>
          <w:rFonts w:hint="eastAsia" w:hAnsi="宋体" w:cs="宋体"/>
          <w:color w:val="auto"/>
        </w:rPr>
        <w:t>（3）与招标采购单位、其他投标人恶意串通；</w:t>
      </w:r>
    </w:p>
    <w:p>
      <w:pPr>
        <w:spacing w:line="360" w:lineRule="auto"/>
        <w:ind w:firstLine="480" w:firstLineChars="200"/>
        <w:rPr>
          <w:rFonts w:hAnsi="宋体" w:cs="宋体"/>
          <w:color w:val="auto"/>
        </w:rPr>
      </w:pPr>
      <w:r>
        <w:rPr>
          <w:rFonts w:hint="eastAsia" w:hAnsi="宋体" w:cs="宋体"/>
          <w:color w:val="auto"/>
        </w:rPr>
        <w:t>（4）向招标采购单位、评标委员会成员行贿或者提供其他不正当利益；</w:t>
      </w:r>
    </w:p>
    <w:p>
      <w:pPr>
        <w:spacing w:line="360" w:lineRule="auto"/>
        <w:ind w:firstLine="480" w:firstLineChars="200"/>
        <w:rPr>
          <w:rFonts w:hAnsi="宋体" w:cs="宋体"/>
          <w:color w:val="auto"/>
        </w:rPr>
      </w:pPr>
      <w:r>
        <w:rPr>
          <w:rFonts w:hint="eastAsia" w:hAnsi="宋体" w:cs="宋体"/>
          <w:color w:val="auto"/>
        </w:rPr>
        <w:t>（5）在招标过程中与招标采购单位进行协商谈判；</w:t>
      </w:r>
    </w:p>
    <w:p>
      <w:pPr>
        <w:spacing w:line="360" w:lineRule="auto"/>
        <w:ind w:firstLine="480" w:firstLineChars="200"/>
        <w:rPr>
          <w:rFonts w:hAnsi="宋体" w:cs="宋体"/>
          <w:color w:val="auto"/>
        </w:rPr>
      </w:pPr>
      <w:r>
        <w:rPr>
          <w:rFonts w:hint="eastAsia" w:hAnsi="宋体" w:cs="宋体"/>
          <w:color w:val="auto"/>
        </w:rPr>
        <w:t>（6）中标或者成交后无正当理由拒不与采购人签订政府采购合同；</w:t>
      </w:r>
    </w:p>
    <w:p>
      <w:pPr>
        <w:spacing w:line="360" w:lineRule="auto"/>
        <w:ind w:firstLine="480" w:firstLineChars="200"/>
        <w:rPr>
          <w:rFonts w:hAnsi="宋体" w:cs="宋体"/>
          <w:color w:val="auto"/>
        </w:rPr>
      </w:pPr>
      <w:r>
        <w:rPr>
          <w:rFonts w:hint="eastAsia" w:hAnsi="宋体" w:cs="宋体"/>
          <w:color w:val="auto"/>
        </w:rPr>
        <w:t>（7）未按照采购文件确定的事项签订政府采购合同；</w:t>
      </w:r>
    </w:p>
    <w:p>
      <w:pPr>
        <w:spacing w:line="360" w:lineRule="auto"/>
        <w:ind w:firstLine="480" w:firstLineChars="200"/>
        <w:rPr>
          <w:rFonts w:hAnsi="宋体" w:cs="宋体"/>
          <w:color w:val="auto"/>
        </w:rPr>
      </w:pPr>
      <w:r>
        <w:rPr>
          <w:rFonts w:hint="eastAsia" w:hAnsi="宋体" w:cs="宋体"/>
          <w:color w:val="auto"/>
        </w:rPr>
        <w:t>（8）将政府采购合同转包或者违规分包；</w:t>
      </w:r>
    </w:p>
    <w:p>
      <w:pPr>
        <w:spacing w:line="360" w:lineRule="auto"/>
        <w:ind w:firstLine="480" w:firstLineChars="200"/>
        <w:rPr>
          <w:rFonts w:hAnsi="宋体" w:cs="宋体"/>
          <w:color w:val="auto"/>
        </w:rPr>
      </w:pPr>
      <w:r>
        <w:rPr>
          <w:rFonts w:hint="eastAsia" w:hAnsi="宋体" w:cs="宋体"/>
          <w:color w:val="auto"/>
        </w:rPr>
        <w:t>（9）提供假冒伪劣产品；</w:t>
      </w:r>
    </w:p>
    <w:p>
      <w:pPr>
        <w:spacing w:line="360" w:lineRule="auto"/>
        <w:ind w:firstLine="480" w:firstLineChars="200"/>
        <w:rPr>
          <w:rFonts w:hAnsi="宋体" w:cs="宋体"/>
          <w:color w:val="auto"/>
        </w:rPr>
      </w:pPr>
      <w:r>
        <w:rPr>
          <w:rFonts w:hint="eastAsia" w:hAnsi="宋体" w:cs="宋体"/>
          <w:color w:val="auto"/>
        </w:rPr>
        <w:t>（10）擅自变更、中止或者终止政府采购合同；</w:t>
      </w:r>
    </w:p>
    <w:p>
      <w:pPr>
        <w:spacing w:line="360" w:lineRule="auto"/>
        <w:ind w:firstLine="480" w:firstLineChars="200"/>
        <w:rPr>
          <w:rFonts w:hAnsi="宋体" w:cs="宋体"/>
          <w:color w:val="auto"/>
        </w:rPr>
      </w:pPr>
      <w:r>
        <w:rPr>
          <w:rFonts w:hint="eastAsia" w:hAnsi="宋体" w:cs="宋体"/>
          <w:color w:val="auto"/>
        </w:rPr>
        <w:t>（11）拒绝有关部门的监督检查或者向监督检查部门提供虚假情况；</w:t>
      </w:r>
    </w:p>
    <w:p>
      <w:pPr>
        <w:spacing w:line="360" w:lineRule="auto"/>
        <w:ind w:firstLine="480" w:firstLineChars="200"/>
        <w:rPr>
          <w:rFonts w:hAnsi="宋体" w:cs="宋体"/>
          <w:color w:val="auto"/>
        </w:rPr>
      </w:pPr>
      <w:r>
        <w:rPr>
          <w:rFonts w:hint="eastAsia" w:hAnsi="宋体" w:cs="宋体"/>
          <w:color w:val="auto"/>
        </w:rPr>
        <w:t>（12）法律法规规定的其他情形。</w:t>
      </w:r>
    </w:p>
    <w:p>
      <w:pPr>
        <w:spacing w:line="360" w:lineRule="auto"/>
        <w:ind w:firstLine="480" w:firstLineChars="200"/>
        <w:rPr>
          <w:rFonts w:hAnsi="宋体" w:cs="宋体"/>
          <w:color w:val="auto"/>
        </w:rPr>
      </w:pPr>
      <w:r>
        <w:rPr>
          <w:rFonts w:hint="eastAsia" w:hAnsi="宋体" w:cs="宋体"/>
          <w:color w:val="auto"/>
        </w:rPr>
        <w:t>投标人有上述情形的，按照规定追究法律责任，具备（1）-（10）条情形之一的，同时将取消中标资格或者认定中标无效。</w:t>
      </w:r>
    </w:p>
    <w:p>
      <w:pPr>
        <w:spacing w:line="360" w:lineRule="auto"/>
        <w:ind w:firstLine="480" w:firstLineChars="200"/>
        <w:rPr>
          <w:rFonts w:hAnsi="宋体" w:cs="宋体"/>
          <w:color w:val="auto"/>
        </w:rPr>
      </w:pPr>
      <w:r>
        <w:rPr>
          <w:rFonts w:hint="eastAsia" w:hAnsi="宋体" w:cs="宋体"/>
          <w:color w:val="auto"/>
        </w:rPr>
        <w:t>32.2 投标人有下列情形之一的，视为投标人串通投标，其投标无效：</w:t>
      </w:r>
    </w:p>
    <w:p>
      <w:pPr>
        <w:spacing w:line="360" w:lineRule="auto"/>
        <w:ind w:firstLine="480" w:firstLineChars="200"/>
        <w:rPr>
          <w:rFonts w:hAnsi="宋体" w:cs="宋体"/>
          <w:color w:val="auto"/>
        </w:rPr>
      </w:pPr>
      <w:r>
        <w:rPr>
          <w:rFonts w:hint="eastAsia" w:hAnsi="宋体" w:cs="宋体"/>
          <w:color w:val="auto"/>
        </w:rPr>
        <w:t>（1）不同投标人的投标文件由同一单位或者个人编制；</w:t>
      </w:r>
    </w:p>
    <w:p>
      <w:pPr>
        <w:spacing w:line="360" w:lineRule="auto"/>
        <w:ind w:firstLine="480" w:firstLineChars="200"/>
        <w:rPr>
          <w:rFonts w:hAnsi="宋体" w:cs="宋体"/>
          <w:color w:val="auto"/>
        </w:rPr>
      </w:pPr>
      <w:r>
        <w:rPr>
          <w:rFonts w:hint="eastAsia" w:hAnsi="宋体" w:cs="宋体"/>
          <w:color w:val="auto"/>
        </w:rPr>
        <w:t>（2）不同投标人委托同一单位或者个人办理投标事宜；</w:t>
      </w:r>
    </w:p>
    <w:p>
      <w:pPr>
        <w:spacing w:line="360" w:lineRule="auto"/>
        <w:ind w:firstLine="480" w:firstLineChars="200"/>
        <w:rPr>
          <w:rFonts w:hAnsi="宋体" w:cs="宋体"/>
          <w:color w:val="auto"/>
        </w:rPr>
      </w:pPr>
      <w:r>
        <w:rPr>
          <w:rFonts w:hint="eastAsia" w:hAnsi="宋体" w:cs="宋体"/>
          <w:color w:val="auto"/>
        </w:rPr>
        <w:t>（3）不同投标人的投标文件载明的项目管理成员或者联系人员为同一人；</w:t>
      </w:r>
    </w:p>
    <w:p>
      <w:pPr>
        <w:spacing w:line="360" w:lineRule="auto"/>
        <w:ind w:firstLine="480" w:firstLineChars="200"/>
        <w:rPr>
          <w:rFonts w:hAnsi="宋体" w:cs="宋体"/>
          <w:color w:val="auto"/>
        </w:rPr>
      </w:pPr>
      <w:r>
        <w:rPr>
          <w:rFonts w:hint="eastAsia" w:hAnsi="宋体" w:cs="宋体"/>
          <w:color w:val="auto"/>
        </w:rPr>
        <w:t>（4）不同投标人的投标文件异常一致或者投标报价呈规律性差异；</w:t>
      </w:r>
    </w:p>
    <w:p>
      <w:pPr>
        <w:spacing w:line="360" w:lineRule="auto"/>
        <w:ind w:firstLine="480" w:firstLineChars="200"/>
        <w:rPr>
          <w:rFonts w:hAnsi="宋体" w:cs="宋体"/>
          <w:color w:val="auto"/>
        </w:rPr>
      </w:pPr>
      <w:r>
        <w:rPr>
          <w:rFonts w:hint="eastAsia" w:hAnsi="宋体" w:cs="宋体"/>
          <w:color w:val="auto"/>
        </w:rPr>
        <w:t>（5）不同投标人的投标文件相互混装；</w:t>
      </w:r>
    </w:p>
    <w:p>
      <w:pPr>
        <w:spacing w:line="360" w:lineRule="auto"/>
        <w:ind w:firstLine="480" w:firstLineChars="200"/>
        <w:rPr>
          <w:rFonts w:hAnsi="宋体" w:cs="宋体"/>
          <w:color w:val="auto"/>
        </w:rPr>
      </w:pPr>
      <w:r>
        <w:rPr>
          <w:rFonts w:hint="eastAsia" w:hAnsi="宋体" w:cs="宋体"/>
          <w:color w:val="auto"/>
        </w:rPr>
        <w:t>（6）不同投标人的投标保证金从同一单位或者个人的账户转出。</w:t>
      </w:r>
    </w:p>
    <w:p>
      <w:pPr>
        <w:spacing w:line="360" w:lineRule="auto"/>
        <w:ind w:firstLine="480" w:firstLineChars="200"/>
        <w:rPr>
          <w:rFonts w:hAnsi="宋体" w:cs="宋体"/>
          <w:color w:val="auto"/>
        </w:rPr>
      </w:pPr>
      <w:r>
        <w:rPr>
          <w:rFonts w:hint="eastAsia" w:hAnsi="宋体" w:cs="宋体"/>
          <w:color w:val="auto"/>
        </w:rPr>
        <w:t>32.3 投标人存在下列情况之一的，投标无效:</w:t>
      </w:r>
    </w:p>
    <w:p>
      <w:pPr>
        <w:spacing w:line="360" w:lineRule="auto"/>
        <w:ind w:firstLine="480" w:firstLineChars="200"/>
        <w:rPr>
          <w:rFonts w:hAnsi="宋体" w:cs="宋体"/>
          <w:color w:val="auto"/>
        </w:rPr>
      </w:pPr>
      <w:r>
        <w:rPr>
          <w:rFonts w:hint="eastAsia" w:hAnsi="宋体" w:cs="宋体"/>
          <w:color w:val="auto"/>
        </w:rPr>
        <w:t>（1）未按照招标文件的规定提交投标保证金的；</w:t>
      </w:r>
    </w:p>
    <w:p>
      <w:pPr>
        <w:spacing w:line="360" w:lineRule="auto"/>
        <w:ind w:firstLine="480" w:firstLineChars="200"/>
        <w:rPr>
          <w:rFonts w:hAnsi="宋体" w:cs="宋体"/>
          <w:color w:val="auto"/>
        </w:rPr>
      </w:pPr>
      <w:r>
        <w:rPr>
          <w:rFonts w:hint="eastAsia" w:hAnsi="宋体" w:cs="宋体"/>
          <w:color w:val="auto"/>
        </w:rPr>
        <w:t>（2）投标文件未按招标文件要求签署、盖章的；</w:t>
      </w:r>
    </w:p>
    <w:p>
      <w:pPr>
        <w:spacing w:line="360" w:lineRule="auto"/>
        <w:ind w:firstLine="480" w:firstLineChars="200"/>
        <w:rPr>
          <w:rFonts w:hAnsi="宋体" w:cs="宋体"/>
          <w:color w:val="auto"/>
        </w:rPr>
      </w:pPr>
      <w:r>
        <w:rPr>
          <w:rFonts w:hint="eastAsia" w:hAnsi="宋体" w:cs="宋体"/>
          <w:color w:val="auto"/>
        </w:rPr>
        <w:t>（3）不具备招标文件中规定的资格要求的；</w:t>
      </w:r>
    </w:p>
    <w:p>
      <w:pPr>
        <w:spacing w:line="360" w:lineRule="auto"/>
        <w:ind w:firstLine="480" w:firstLineChars="200"/>
        <w:rPr>
          <w:rFonts w:hAnsi="宋体" w:cs="宋体"/>
          <w:color w:val="auto"/>
        </w:rPr>
      </w:pPr>
      <w:r>
        <w:rPr>
          <w:rFonts w:hint="eastAsia" w:hAnsi="宋体" w:cs="宋体"/>
          <w:color w:val="auto"/>
        </w:rPr>
        <w:t>（4）报价超过招标文件中规定的预算金额或者最高限价的；</w:t>
      </w:r>
    </w:p>
    <w:p>
      <w:pPr>
        <w:spacing w:line="360" w:lineRule="auto"/>
        <w:ind w:firstLine="480" w:firstLineChars="200"/>
        <w:rPr>
          <w:rFonts w:hAnsi="宋体" w:cs="宋体"/>
          <w:color w:val="auto"/>
        </w:rPr>
      </w:pPr>
      <w:r>
        <w:rPr>
          <w:rFonts w:hint="eastAsia" w:hAnsi="宋体" w:cs="宋体"/>
          <w:color w:val="auto"/>
        </w:rPr>
        <w:t>（5）投标文件含有采购人不能接受的附加条件的；</w:t>
      </w:r>
    </w:p>
    <w:p>
      <w:pPr>
        <w:spacing w:line="360" w:lineRule="auto"/>
        <w:ind w:firstLine="480" w:firstLineChars="200"/>
        <w:rPr>
          <w:rFonts w:hAnsi="宋体" w:cs="宋体"/>
          <w:color w:val="auto"/>
        </w:rPr>
      </w:pPr>
      <w:r>
        <w:rPr>
          <w:rFonts w:hint="eastAsia" w:hAnsi="宋体" w:cs="宋体"/>
          <w:color w:val="auto"/>
        </w:rPr>
        <w:t>（6）法律、法规和招标文件规定的其他无效情形。</w:t>
      </w:r>
    </w:p>
    <w:p>
      <w:pPr>
        <w:pStyle w:val="4"/>
        <w:spacing w:line="360" w:lineRule="auto"/>
        <w:jc w:val="center"/>
        <w:rPr>
          <w:rFonts w:ascii="宋体" w:hAnsi="宋体" w:cs="宋体"/>
          <w:szCs w:val="28"/>
        </w:rPr>
      </w:pPr>
      <w:bookmarkStart w:id="176" w:name="_Toc308164819"/>
      <w:bookmarkStart w:id="177" w:name="_Toc217446078"/>
      <w:r>
        <w:rPr>
          <w:rFonts w:hint="eastAsia" w:ascii="宋体" w:hAnsi="宋体" w:cs="宋体"/>
          <w:szCs w:val="28"/>
        </w:rPr>
        <w:t>八、询问、质疑和投诉</w:t>
      </w:r>
      <w:bookmarkEnd w:id="176"/>
      <w:bookmarkEnd w:id="177"/>
      <w:bookmarkStart w:id="178" w:name="_Toc217446079"/>
    </w:p>
    <w:bookmarkEnd w:id="178"/>
    <w:p>
      <w:pPr>
        <w:spacing w:line="360" w:lineRule="auto"/>
        <w:ind w:firstLine="472" w:firstLineChars="196"/>
        <w:jc w:val="left"/>
        <w:outlineLvl w:val="1"/>
        <w:rPr>
          <w:rFonts w:hAnsi="宋体" w:cs="宋体"/>
          <w:color w:val="auto"/>
        </w:rPr>
      </w:pPr>
      <w:r>
        <w:rPr>
          <w:rFonts w:hint="eastAsia" w:hAnsi="宋体" w:cs="宋体"/>
          <w:b/>
          <w:color w:val="auto"/>
        </w:rPr>
        <w:t>3</w:t>
      </w:r>
      <w:bookmarkEnd w:id="172"/>
      <w:bookmarkEnd w:id="173"/>
      <w:r>
        <w:rPr>
          <w:rFonts w:hint="eastAsia" w:hAnsi="宋体" w:cs="宋体"/>
          <w:b/>
          <w:color w:val="auto"/>
        </w:rPr>
        <w:t>3．</w:t>
      </w:r>
      <w:r>
        <w:rPr>
          <w:rFonts w:hint="eastAsia" w:hAnsi="宋体" w:cs="宋体"/>
          <w:color w:val="auto"/>
        </w:rPr>
        <w:t>询问、质疑、投诉的接收和处理严格按照《中华人民共和国政府采购法》、《中华人民共和国政府采购法实施条例》、《政府采购货物和服务招标投标管理办法》、《政府采购供应商投诉办法》、《财政部关于加强政府采购供应商投诉受理审查工作的通知》和《中华人民共和国财政部令第94号--政府采购质疑和投诉办法》等的相关规定办理.</w:t>
      </w:r>
    </w:p>
    <w:p>
      <w:pPr>
        <w:spacing w:line="360" w:lineRule="auto"/>
        <w:ind w:firstLine="470" w:firstLineChars="196"/>
        <w:jc w:val="left"/>
        <w:outlineLvl w:val="1"/>
        <w:rPr>
          <w:rFonts w:hAnsi="宋体" w:cs="宋体"/>
          <w:color w:val="auto"/>
        </w:rPr>
      </w:pPr>
      <w:r>
        <w:rPr>
          <w:rFonts w:hint="eastAsia" w:hAnsi="宋体" w:cs="宋体"/>
          <w:color w:val="auto"/>
        </w:rPr>
        <w:t>注：根据《中华人民共和国政府采购法》等规定，供应商质疑不得超出采购文件、采购过程、采购结果的范围，供应商质疑不得超出采购文件、采购过程、采购结果的范围,供应商针对同一采购程序环节的质疑应在法定质疑期内一次性提出。</w:t>
      </w:r>
    </w:p>
    <w:p>
      <w:pPr>
        <w:pStyle w:val="11"/>
        <w:spacing w:line="360" w:lineRule="auto"/>
        <w:ind w:firstLine="720" w:firstLineChars="300"/>
        <w:rPr>
          <w:rFonts w:hAnsi="宋体" w:cs="宋体"/>
          <w:sz w:val="24"/>
        </w:rPr>
      </w:pPr>
      <w:r>
        <w:rPr>
          <w:rFonts w:hint="eastAsia" w:hAnsi="宋体" w:cs="宋体"/>
          <w:sz w:val="24"/>
        </w:rPr>
        <w:t>接收质疑函的方式：书面形式</w:t>
      </w:r>
    </w:p>
    <w:p>
      <w:pPr>
        <w:pStyle w:val="11"/>
        <w:spacing w:line="360" w:lineRule="auto"/>
        <w:ind w:firstLine="720" w:firstLineChars="300"/>
        <w:rPr>
          <w:rFonts w:hAnsi="宋体" w:cs="宋体"/>
          <w:sz w:val="24"/>
        </w:rPr>
      </w:pPr>
      <w:r>
        <w:rPr>
          <w:rFonts w:hint="eastAsia" w:hAnsi="宋体" w:cs="宋体"/>
          <w:sz w:val="24"/>
        </w:rPr>
        <w:t>联系部门：招标部项目负责人：谭先生</w:t>
      </w:r>
    </w:p>
    <w:p>
      <w:pPr>
        <w:pStyle w:val="11"/>
        <w:spacing w:line="360" w:lineRule="auto"/>
        <w:ind w:firstLine="720" w:firstLineChars="300"/>
        <w:rPr>
          <w:rFonts w:hAnsi="宋体" w:cs="宋体"/>
          <w:sz w:val="24"/>
        </w:rPr>
      </w:pPr>
      <w:r>
        <w:rPr>
          <w:rFonts w:hint="eastAsia" w:hAnsi="宋体" w:cs="宋体"/>
          <w:sz w:val="24"/>
        </w:rPr>
        <w:t>联系电话：88854271转8003</w:t>
      </w:r>
    </w:p>
    <w:p>
      <w:pPr>
        <w:pStyle w:val="11"/>
        <w:spacing w:line="360" w:lineRule="auto"/>
        <w:ind w:firstLine="720" w:firstLineChars="300"/>
        <w:rPr>
          <w:rFonts w:hAnsi="宋体" w:cs="宋体"/>
          <w:sz w:val="24"/>
        </w:rPr>
      </w:pPr>
      <w:r>
        <w:rPr>
          <w:rFonts w:hint="eastAsia" w:hAnsi="宋体" w:cs="宋体"/>
          <w:sz w:val="24"/>
        </w:rPr>
        <w:t>通讯地址：西安市高新区唐延路35号旺座现代城G座2301室</w:t>
      </w:r>
    </w:p>
    <w:p>
      <w:pPr>
        <w:pStyle w:val="4"/>
        <w:spacing w:line="360" w:lineRule="auto"/>
        <w:jc w:val="center"/>
        <w:rPr>
          <w:rFonts w:ascii="宋体" w:hAnsi="宋体" w:cs="宋体"/>
          <w:szCs w:val="28"/>
        </w:rPr>
      </w:pPr>
      <w:r>
        <w:rPr>
          <w:rFonts w:hint="eastAsia" w:ascii="宋体" w:hAnsi="宋体" w:cs="宋体"/>
          <w:szCs w:val="28"/>
        </w:rPr>
        <w:t>九、其他</w:t>
      </w:r>
    </w:p>
    <w:p>
      <w:pPr>
        <w:spacing w:line="360" w:lineRule="auto"/>
        <w:ind w:firstLine="482" w:firstLineChars="200"/>
        <w:jc w:val="left"/>
        <w:outlineLvl w:val="1"/>
        <w:rPr>
          <w:rFonts w:hAnsi="宋体" w:cs="宋体"/>
          <w:color w:val="auto"/>
        </w:rPr>
      </w:pPr>
      <w:r>
        <w:rPr>
          <w:rFonts w:hint="eastAsia" w:hAnsi="宋体" w:cs="宋体"/>
          <w:b/>
          <w:color w:val="auto"/>
        </w:rPr>
        <w:t>34.</w:t>
      </w:r>
      <w:r>
        <w:rPr>
          <w:rFonts w:hint="eastAsia" w:hAnsi="宋体" w:cs="宋体"/>
          <w:color w:val="auto"/>
        </w:rPr>
        <w:t>本招标文件中所引相关法律制度规定，在政府采购中有变化的，按照变化后的相关法律制度规定执行。本章和第六章中“1.总则、2.评标方法、3.评标程序”规定的内容条款，在本项目投标截止时间届满后，因相关法律制度规定的变化导致不符合相关法律制度规定的，直接按照变化后的相关法律制度规定执行，本招标文件不再做调整。</w:t>
      </w:r>
    </w:p>
    <w:p>
      <w:pPr>
        <w:rPr>
          <w:color w:val="auto"/>
        </w:rPr>
      </w:pPr>
    </w:p>
    <w:bookmarkEnd w:id="131"/>
    <w:bookmarkEnd w:id="132"/>
    <w:bookmarkEnd w:id="133"/>
    <w:bookmarkEnd w:id="134"/>
    <w:bookmarkEnd w:id="135"/>
    <w:bookmarkEnd w:id="136"/>
    <w:bookmarkEnd w:id="137"/>
    <w:p>
      <w:pPr>
        <w:jc w:val="left"/>
        <w:rPr>
          <w:rFonts w:hAnsi="宋体" w:cs="宋体"/>
          <w:b/>
          <w:color w:val="auto"/>
          <w:kern w:val="44"/>
          <w:sz w:val="36"/>
          <w:szCs w:val="36"/>
        </w:rPr>
      </w:pPr>
      <w:bookmarkStart w:id="179" w:name="_Toc28837"/>
      <w:bookmarkStart w:id="180" w:name="_Toc1164"/>
      <w:bookmarkStart w:id="181" w:name="_Toc3360"/>
      <w:bookmarkStart w:id="182" w:name="_Toc14559"/>
      <w:bookmarkStart w:id="183" w:name="_Toc12725"/>
      <w:bookmarkStart w:id="184" w:name="_Toc18945"/>
      <w:r>
        <w:rPr>
          <w:rFonts w:hAnsi="宋体" w:cs="宋体"/>
          <w:sz w:val="36"/>
          <w:szCs w:val="36"/>
        </w:rPr>
        <w:br w:type="page"/>
      </w:r>
    </w:p>
    <w:p>
      <w:pPr>
        <w:pStyle w:val="3"/>
        <w:spacing w:line="360" w:lineRule="auto"/>
        <w:jc w:val="center"/>
        <w:rPr>
          <w:rFonts w:hAnsi="宋体" w:cs="宋体"/>
          <w:sz w:val="36"/>
          <w:szCs w:val="36"/>
        </w:rPr>
      </w:pPr>
      <w:r>
        <w:rPr>
          <w:rFonts w:hint="eastAsia" w:hAnsi="宋体" w:cs="宋体"/>
          <w:sz w:val="36"/>
          <w:szCs w:val="36"/>
        </w:rPr>
        <w:t>第三章投标文件格式</w:t>
      </w:r>
    </w:p>
    <w:bookmarkEnd w:id="138"/>
    <w:bookmarkEnd w:id="179"/>
    <w:bookmarkEnd w:id="180"/>
    <w:bookmarkEnd w:id="181"/>
    <w:bookmarkEnd w:id="182"/>
    <w:bookmarkEnd w:id="183"/>
    <w:bookmarkEnd w:id="184"/>
    <w:p>
      <w:pPr>
        <w:pStyle w:val="3"/>
        <w:spacing w:line="360" w:lineRule="auto"/>
        <w:jc w:val="center"/>
        <w:rPr>
          <w:rFonts w:hAnsi="宋体" w:cs="宋体"/>
          <w:sz w:val="32"/>
        </w:rPr>
      </w:pPr>
      <w:bookmarkStart w:id="185" w:name="_Toc3745"/>
      <w:bookmarkStart w:id="186" w:name="_Toc22296"/>
      <w:bookmarkStart w:id="187" w:name="_Toc536"/>
      <w:bookmarkStart w:id="188" w:name="_Toc32593"/>
      <w:r>
        <w:rPr>
          <w:rFonts w:hint="eastAsia" w:hAnsi="宋体" w:cs="宋体"/>
          <w:sz w:val="32"/>
        </w:rPr>
        <w:t>第一部分“资格性投标文件”格式</w:t>
      </w:r>
    </w:p>
    <w:p>
      <w:pPr>
        <w:spacing w:line="360" w:lineRule="auto"/>
        <w:jc w:val="center"/>
        <w:rPr>
          <w:rFonts w:hAnsi="宋体" w:cs="宋体"/>
          <w:b/>
          <w:color w:val="auto"/>
          <w:sz w:val="32"/>
          <w:szCs w:val="32"/>
        </w:rPr>
      </w:pPr>
      <w:r>
        <w:rPr>
          <w:rFonts w:hint="eastAsia" w:hAnsi="宋体" w:cs="宋体"/>
          <w:b/>
          <w:color w:val="auto"/>
          <w:sz w:val="32"/>
          <w:szCs w:val="32"/>
        </w:rPr>
        <w:t>格式1-1 封面：</w:t>
      </w:r>
    </w:p>
    <w:p>
      <w:pPr>
        <w:spacing w:line="360" w:lineRule="auto"/>
        <w:jc w:val="right"/>
        <w:rPr>
          <w:rFonts w:hAnsi="宋体" w:cs="宋体"/>
          <w:b/>
          <w:color w:val="auto"/>
          <w:sz w:val="36"/>
        </w:rPr>
      </w:pPr>
      <w:r>
        <w:rPr>
          <w:rFonts w:hint="eastAsia" w:hAnsi="宋体" w:cs="宋体"/>
          <w:b/>
          <w:color w:val="auto"/>
          <w:sz w:val="36"/>
        </w:rPr>
        <w:t>（正本/副本）</w:t>
      </w:r>
    </w:p>
    <w:p>
      <w:pPr>
        <w:spacing w:line="360" w:lineRule="auto"/>
        <w:rPr>
          <w:rFonts w:hAnsi="宋体" w:cs="宋体"/>
          <w:b/>
          <w:color w:val="auto"/>
          <w:sz w:val="32"/>
          <w:szCs w:val="32"/>
        </w:rPr>
      </w:pPr>
    </w:p>
    <w:p>
      <w:pPr>
        <w:spacing w:line="360" w:lineRule="auto"/>
        <w:jc w:val="center"/>
        <w:rPr>
          <w:rFonts w:hAnsi="宋体" w:cs="宋体"/>
          <w:b/>
          <w:color w:val="auto"/>
          <w:sz w:val="72"/>
        </w:rPr>
      </w:pPr>
      <w:r>
        <w:rPr>
          <w:rFonts w:hint="eastAsia" w:hAnsi="宋体" w:cs="宋体"/>
          <w:b/>
          <w:color w:val="auto"/>
          <w:sz w:val="40"/>
          <w:szCs w:val="48"/>
        </w:rPr>
        <w:t>项目</w:t>
      </w:r>
    </w:p>
    <w:p>
      <w:pPr>
        <w:spacing w:line="360" w:lineRule="auto"/>
        <w:rPr>
          <w:rFonts w:hAnsi="宋体" w:cs="宋体"/>
          <w:b/>
          <w:color w:val="auto"/>
          <w:sz w:val="52"/>
          <w:szCs w:val="52"/>
        </w:rPr>
      </w:pPr>
    </w:p>
    <w:p>
      <w:pPr>
        <w:spacing w:line="360" w:lineRule="auto"/>
        <w:jc w:val="center"/>
        <w:rPr>
          <w:rFonts w:hAnsi="宋体" w:cs="宋体"/>
          <w:b/>
          <w:color w:val="auto"/>
          <w:sz w:val="36"/>
        </w:rPr>
      </w:pPr>
      <w:r>
        <w:rPr>
          <w:rFonts w:hint="eastAsia" w:hAnsi="宋体" w:cs="宋体"/>
          <w:b/>
          <w:color w:val="auto"/>
          <w:sz w:val="52"/>
          <w:szCs w:val="52"/>
        </w:rPr>
        <w:t>资格性投标文件</w:t>
      </w:r>
    </w:p>
    <w:p>
      <w:pPr>
        <w:spacing w:line="360" w:lineRule="auto"/>
        <w:rPr>
          <w:rFonts w:hAnsi="宋体" w:cs="宋体"/>
          <w:b/>
          <w:color w:val="auto"/>
          <w:sz w:val="36"/>
        </w:rPr>
      </w:pPr>
    </w:p>
    <w:p>
      <w:pPr>
        <w:spacing w:line="360" w:lineRule="auto"/>
        <w:jc w:val="left"/>
        <w:rPr>
          <w:rFonts w:hAnsi="宋体" w:cs="宋体"/>
          <w:b/>
          <w:color w:val="auto"/>
          <w:sz w:val="32"/>
          <w:u w:val="single"/>
        </w:rPr>
      </w:pPr>
      <w:r>
        <w:rPr>
          <w:rFonts w:hint="eastAsia" w:hAnsi="宋体" w:cs="宋体"/>
          <w:b/>
          <w:color w:val="auto"/>
          <w:sz w:val="32"/>
        </w:rPr>
        <w:t>投标人名称：</w:t>
      </w:r>
    </w:p>
    <w:p>
      <w:pPr>
        <w:spacing w:line="360" w:lineRule="auto"/>
        <w:jc w:val="left"/>
        <w:rPr>
          <w:rFonts w:hAnsi="宋体" w:cs="宋体"/>
          <w:b/>
          <w:color w:val="auto"/>
          <w:sz w:val="32"/>
        </w:rPr>
      </w:pPr>
      <w:r>
        <w:rPr>
          <w:rFonts w:hint="eastAsia" w:hAnsi="宋体" w:cs="宋体"/>
          <w:b/>
          <w:color w:val="auto"/>
          <w:sz w:val="32"/>
        </w:rPr>
        <w:t>采购项目编号：</w:t>
      </w:r>
    </w:p>
    <w:p>
      <w:pPr>
        <w:spacing w:line="360" w:lineRule="auto"/>
        <w:jc w:val="left"/>
        <w:rPr>
          <w:rFonts w:hAnsi="宋体" w:cs="宋体"/>
          <w:b/>
          <w:color w:val="auto"/>
          <w:sz w:val="32"/>
        </w:rPr>
      </w:pPr>
      <w:r>
        <w:rPr>
          <w:rFonts w:hint="eastAsia" w:hAnsi="宋体" w:cs="宋体"/>
          <w:b/>
          <w:color w:val="auto"/>
          <w:sz w:val="32"/>
        </w:rPr>
        <w:t>包号：</w:t>
      </w:r>
    </w:p>
    <w:p>
      <w:pPr>
        <w:spacing w:line="360" w:lineRule="auto"/>
        <w:rPr>
          <w:rFonts w:hAnsi="宋体" w:cs="宋体"/>
          <w:b/>
          <w:color w:val="auto"/>
          <w:sz w:val="32"/>
        </w:rPr>
      </w:pPr>
      <w:r>
        <w:rPr>
          <w:rFonts w:hint="eastAsia" w:hAnsi="宋体" w:cs="宋体"/>
          <w:b/>
          <w:color w:val="auto"/>
          <w:sz w:val="32"/>
        </w:rPr>
        <w:t>时间：年月日</w:t>
      </w:r>
    </w:p>
    <w:p>
      <w:pPr>
        <w:spacing w:line="360" w:lineRule="auto"/>
        <w:jc w:val="left"/>
        <w:rPr>
          <w:rFonts w:hAnsi="宋体" w:cs="宋体"/>
          <w:b/>
          <w:color w:val="auto"/>
          <w:sz w:val="32"/>
          <w:szCs w:val="32"/>
        </w:rPr>
      </w:pPr>
      <w:r>
        <w:rPr>
          <w:rFonts w:hint="eastAsia" w:hAnsi="宋体" w:cs="宋体"/>
          <w:b/>
          <w:color w:val="auto"/>
          <w:sz w:val="32"/>
          <w:szCs w:val="32"/>
        </w:rPr>
        <w:br w:type="page"/>
      </w:r>
      <w:r>
        <w:rPr>
          <w:rFonts w:hint="eastAsia" w:hAnsi="宋体" w:cs="宋体"/>
          <w:b/>
          <w:color w:val="auto"/>
          <w:sz w:val="32"/>
          <w:szCs w:val="32"/>
        </w:rPr>
        <w:t xml:space="preserve">格式1-2 </w:t>
      </w:r>
    </w:p>
    <w:p>
      <w:pPr>
        <w:spacing w:line="360" w:lineRule="auto"/>
        <w:jc w:val="center"/>
        <w:rPr>
          <w:rFonts w:hAnsi="宋体" w:cs="宋体"/>
          <w:b/>
          <w:color w:val="auto"/>
          <w:sz w:val="32"/>
          <w:szCs w:val="32"/>
        </w:rPr>
      </w:pPr>
      <w:r>
        <w:rPr>
          <w:rFonts w:hint="eastAsia" w:hAnsi="宋体" w:cs="宋体"/>
          <w:b/>
          <w:color w:val="auto"/>
          <w:sz w:val="32"/>
          <w:szCs w:val="32"/>
        </w:rPr>
        <w:t>一、法定代表人授权书</w:t>
      </w:r>
    </w:p>
    <w:p>
      <w:pPr>
        <w:spacing w:line="360" w:lineRule="auto"/>
        <w:ind w:firstLine="472" w:firstLineChars="196"/>
        <w:jc w:val="left"/>
        <w:outlineLvl w:val="1"/>
        <w:rPr>
          <w:rFonts w:hAnsi="宋体" w:cs="宋体"/>
          <w:b/>
          <w:color w:val="auto"/>
        </w:rPr>
      </w:pPr>
    </w:p>
    <w:p>
      <w:pPr>
        <w:spacing w:line="360" w:lineRule="auto"/>
        <w:ind w:firstLine="472" w:firstLineChars="196"/>
        <w:jc w:val="left"/>
        <w:outlineLvl w:val="1"/>
        <w:rPr>
          <w:rFonts w:hAnsi="宋体" w:cs="宋体"/>
          <w:b/>
          <w:color w:val="auto"/>
        </w:rPr>
      </w:pPr>
    </w:p>
    <w:p>
      <w:pPr>
        <w:spacing w:line="360" w:lineRule="auto"/>
        <w:jc w:val="left"/>
        <w:outlineLvl w:val="1"/>
        <w:rPr>
          <w:rFonts w:hAnsi="宋体" w:cs="宋体"/>
          <w:color w:val="auto"/>
        </w:rPr>
      </w:pPr>
      <w:r>
        <w:rPr>
          <w:rFonts w:hint="eastAsia" w:hAnsi="宋体" w:cs="宋体"/>
          <w:color w:val="auto"/>
          <w:u w:val="single"/>
        </w:rPr>
        <w:t>（采购代理机构名称）</w:t>
      </w:r>
      <w:r>
        <w:rPr>
          <w:rFonts w:hint="eastAsia" w:hAnsi="宋体" w:cs="宋体"/>
          <w:color w:val="auto"/>
        </w:rPr>
        <w:t>：</w:t>
      </w:r>
    </w:p>
    <w:p>
      <w:pPr>
        <w:spacing w:line="360" w:lineRule="auto"/>
        <w:ind w:firstLine="470" w:firstLineChars="196"/>
        <w:jc w:val="left"/>
        <w:outlineLvl w:val="1"/>
        <w:rPr>
          <w:rFonts w:hAnsi="宋体" w:cs="宋体"/>
          <w:color w:val="auto"/>
        </w:rPr>
      </w:pPr>
      <w:r>
        <w:rPr>
          <w:rFonts w:hint="eastAsia" w:hAnsi="宋体" w:cs="宋体"/>
          <w:color w:val="auto"/>
        </w:rPr>
        <w:t>本授权声明：</w:t>
      </w:r>
      <w:r>
        <w:rPr>
          <w:rFonts w:hint="eastAsia" w:hAnsi="宋体" w:cs="宋体"/>
          <w:color w:val="auto"/>
          <w:u w:val="single"/>
        </w:rPr>
        <w:t>（投标人名称）（法定代表人姓名、职务）</w:t>
      </w:r>
      <w:r>
        <w:rPr>
          <w:rFonts w:hint="eastAsia" w:hAnsi="宋体" w:cs="宋体"/>
          <w:color w:val="auto"/>
        </w:rPr>
        <w:t>授权被授权人</w:t>
      </w:r>
      <w:r>
        <w:rPr>
          <w:rFonts w:hint="eastAsia" w:hAnsi="宋体" w:cs="宋体"/>
          <w:color w:val="auto"/>
          <w:u w:val="single"/>
        </w:rPr>
        <w:t>(姓名、职务）</w:t>
      </w:r>
      <w:r>
        <w:rPr>
          <w:rFonts w:hint="eastAsia" w:hAnsi="宋体" w:cs="宋体"/>
          <w:color w:val="auto"/>
        </w:rPr>
        <w:t>为我方“”项目（招标编号：）投标活动的合法代表，以我方名义全权处理该项目有关投标、签订合同以及执行合同等一切事宜。</w:t>
      </w:r>
    </w:p>
    <w:p>
      <w:pPr>
        <w:spacing w:line="360" w:lineRule="auto"/>
        <w:ind w:firstLine="470" w:firstLineChars="196"/>
        <w:jc w:val="left"/>
        <w:outlineLvl w:val="1"/>
        <w:rPr>
          <w:rFonts w:hAnsi="宋体" w:cs="宋体"/>
          <w:color w:val="auto"/>
        </w:rPr>
      </w:pPr>
      <w:r>
        <w:rPr>
          <w:rFonts w:hint="eastAsia" w:hAnsi="宋体" w:cs="宋体"/>
          <w:color w:val="auto"/>
        </w:rPr>
        <w:t>特此声明。</w:t>
      </w:r>
    </w:p>
    <w:p>
      <w:pPr>
        <w:spacing w:line="360" w:lineRule="auto"/>
        <w:ind w:firstLine="470" w:firstLineChars="196"/>
        <w:jc w:val="left"/>
        <w:outlineLvl w:val="1"/>
        <w:rPr>
          <w:rFonts w:hAnsi="宋体" w:cs="宋体"/>
          <w:color w:val="auto"/>
        </w:rPr>
      </w:pPr>
    </w:p>
    <w:p>
      <w:pPr>
        <w:pStyle w:val="11"/>
        <w:spacing w:line="360" w:lineRule="auto"/>
        <w:rPr>
          <w:rFonts w:hAnsi="宋体" w:cs="宋体"/>
        </w:rPr>
      </w:pPr>
    </w:p>
    <w:p>
      <w:pPr>
        <w:pStyle w:val="11"/>
        <w:spacing w:line="360" w:lineRule="auto"/>
        <w:rPr>
          <w:rFonts w:hAnsi="宋体" w:cs="宋体"/>
        </w:rPr>
      </w:pPr>
    </w:p>
    <w:p>
      <w:pPr>
        <w:pStyle w:val="11"/>
        <w:spacing w:line="360" w:lineRule="auto"/>
        <w:rPr>
          <w:rFonts w:hAnsi="宋体" w:cs="宋体"/>
        </w:rPr>
      </w:pPr>
    </w:p>
    <w:p>
      <w:pPr>
        <w:pStyle w:val="11"/>
        <w:spacing w:line="360" w:lineRule="auto"/>
        <w:rPr>
          <w:rFonts w:hAnsi="宋体" w:cs="宋体"/>
        </w:rPr>
      </w:pPr>
    </w:p>
    <w:p>
      <w:pPr>
        <w:pStyle w:val="11"/>
        <w:spacing w:line="360" w:lineRule="auto"/>
        <w:rPr>
          <w:rFonts w:hAnsi="宋体" w:cs="宋体"/>
        </w:rPr>
      </w:pPr>
    </w:p>
    <w:p>
      <w:pPr>
        <w:spacing w:line="360" w:lineRule="auto"/>
        <w:ind w:firstLine="470" w:firstLineChars="196"/>
        <w:jc w:val="left"/>
        <w:outlineLvl w:val="1"/>
        <w:rPr>
          <w:rFonts w:hAnsi="宋体" w:cs="宋体"/>
          <w:color w:val="auto"/>
        </w:rPr>
      </w:pPr>
      <w:r>
        <w:rPr>
          <w:rFonts w:hint="eastAsia" w:hAnsi="宋体" w:cs="宋体"/>
          <w:color w:val="auto"/>
        </w:rPr>
        <w:t>法定代表人（签字或盖章）：</w:t>
      </w:r>
    </w:p>
    <w:p>
      <w:pPr>
        <w:spacing w:line="360" w:lineRule="auto"/>
        <w:ind w:firstLine="470" w:firstLineChars="196"/>
        <w:jc w:val="left"/>
        <w:outlineLvl w:val="1"/>
        <w:rPr>
          <w:rFonts w:hAnsi="宋体" w:cs="宋体"/>
          <w:color w:val="auto"/>
        </w:rPr>
      </w:pPr>
      <w:r>
        <w:rPr>
          <w:rFonts w:hint="eastAsia" w:hAnsi="宋体" w:cs="宋体"/>
          <w:color w:val="auto"/>
        </w:rPr>
        <w:t>委托代理人（签字或盖章）：</w:t>
      </w:r>
    </w:p>
    <w:p>
      <w:pPr>
        <w:spacing w:line="360" w:lineRule="auto"/>
        <w:ind w:firstLine="470" w:firstLineChars="196"/>
        <w:jc w:val="left"/>
        <w:outlineLvl w:val="1"/>
        <w:rPr>
          <w:rFonts w:hAnsi="宋体" w:cs="宋体"/>
          <w:color w:val="auto"/>
        </w:rPr>
      </w:pPr>
      <w:r>
        <w:rPr>
          <w:rFonts w:hint="eastAsia" w:hAnsi="宋体" w:cs="宋体"/>
          <w:color w:val="auto"/>
        </w:rPr>
        <w:t>投标人名称：（盖公章）</w:t>
      </w:r>
    </w:p>
    <w:p>
      <w:pPr>
        <w:spacing w:line="360" w:lineRule="auto"/>
        <w:ind w:firstLine="470" w:firstLineChars="196"/>
        <w:jc w:val="left"/>
        <w:outlineLvl w:val="1"/>
        <w:rPr>
          <w:rFonts w:hAnsi="宋体" w:cs="宋体"/>
          <w:color w:val="auto"/>
        </w:rPr>
      </w:pPr>
      <w:r>
        <w:rPr>
          <w:rFonts w:hint="eastAsia" w:hAnsi="宋体" w:cs="宋体"/>
          <w:color w:val="auto"/>
        </w:rPr>
        <w:t>日期：</w:t>
      </w:r>
    </w:p>
    <w:p>
      <w:pPr>
        <w:spacing w:line="360" w:lineRule="auto"/>
        <w:jc w:val="left"/>
        <w:outlineLvl w:val="1"/>
        <w:rPr>
          <w:rFonts w:hAnsi="宋体" w:cs="宋体"/>
          <w:b/>
          <w:color w:val="auto"/>
        </w:rPr>
      </w:pPr>
      <w:bookmarkStart w:id="189" w:name="_Toc217446084"/>
    </w:p>
    <w:p>
      <w:pPr>
        <w:spacing w:line="360" w:lineRule="auto"/>
        <w:jc w:val="left"/>
        <w:outlineLvl w:val="1"/>
        <w:rPr>
          <w:rFonts w:hAnsi="宋体" w:cs="宋体"/>
          <w:b/>
          <w:color w:val="auto"/>
        </w:rPr>
      </w:pPr>
    </w:p>
    <w:p>
      <w:pPr>
        <w:pStyle w:val="2"/>
        <w:rPr>
          <w:color w:val="auto"/>
        </w:rPr>
      </w:pPr>
    </w:p>
    <w:p>
      <w:pPr>
        <w:spacing w:line="360" w:lineRule="auto"/>
        <w:rPr>
          <w:rFonts w:hAnsi="宋体" w:cs="宋体"/>
          <w:b/>
          <w:color w:val="auto"/>
        </w:rPr>
      </w:pPr>
      <w:r>
        <w:rPr>
          <w:rFonts w:hint="eastAsia" w:hAnsi="宋体" w:cs="宋体"/>
          <w:b/>
          <w:color w:val="auto"/>
        </w:rPr>
        <w:t>附：1. 法定代表人身份证正反面复印件（加盖公章）</w:t>
      </w:r>
    </w:p>
    <w:p>
      <w:pPr>
        <w:spacing w:line="360" w:lineRule="auto"/>
        <w:rPr>
          <w:rFonts w:hAnsi="宋体" w:cs="宋体"/>
          <w:b/>
          <w:color w:val="auto"/>
        </w:rPr>
      </w:pPr>
      <w:r>
        <w:rPr>
          <w:rFonts w:hint="eastAsia" w:hAnsi="宋体" w:cs="宋体"/>
          <w:b/>
          <w:color w:val="auto"/>
        </w:rPr>
        <w:t>2. 委托代理人身份证正反面复印件（加盖公章）</w:t>
      </w:r>
    </w:p>
    <w:bookmarkEnd w:id="189"/>
    <w:p>
      <w:pPr>
        <w:spacing w:line="360" w:lineRule="auto"/>
        <w:jc w:val="left"/>
        <w:rPr>
          <w:rFonts w:hAnsi="宋体" w:cs="宋体"/>
          <w:b/>
          <w:color w:val="auto"/>
          <w:sz w:val="32"/>
          <w:szCs w:val="32"/>
        </w:rPr>
      </w:pPr>
      <w:r>
        <w:rPr>
          <w:rFonts w:hint="eastAsia" w:hAnsi="宋体" w:cs="宋体"/>
          <w:b/>
          <w:color w:val="auto"/>
          <w:sz w:val="32"/>
          <w:szCs w:val="32"/>
        </w:rPr>
        <w:t xml:space="preserve">格式1-3               </w:t>
      </w:r>
    </w:p>
    <w:p>
      <w:pPr>
        <w:spacing w:line="360" w:lineRule="auto"/>
        <w:jc w:val="left"/>
        <w:rPr>
          <w:rFonts w:hAnsi="宋体" w:cs="宋体"/>
          <w:b/>
          <w:color w:val="auto"/>
          <w:sz w:val="32"/>
          <w:szCs w:val="32"/>
        </w:rPr>
      </w:pPr>
      <w:r>
        <w:rPr>
          <w:rFonts w:hint="eastAsia" w:hAnsi="宋体" w:cs="宋体"/>
          <w:b/>
          <w:color w:val="auto"/>
          <w:sz w:val="32"/>
          <w:szCs w:val="32"/>
        </w:rPr>
        <w:t>二、《中华人民共和国政府采购法》第二十二条承诺函</w:t>
      </w:r>
    </w:p>
    <w:p>
      <w:pPr>
        <w:spacing w:line="360" w:lineRule="auto"/>
        <w:jc w:val="center"/>
        <w:outlineLvl w:val="1"/>
        <w:rPr>
          <w:rFonts w:hAnsi="宋体" w:cs="宋体"/>
          <w:b/>
          <w:color w:val="auto"/>
        </w:rPr>
      </w:pPr>
    </w:p>
    <w:p>
      <w:pPr>
        <w:spacing w:line="360" w:lineRule="auto"/>
        <w:jc w:val="left"/>
        <w:outlineLvl w:val="1"/>
        <w:rPr>
          <w:rFonts w:hAnsi="宋体" w:cs="宋体"/>
          <w:color w:val="auto"/>
        </w:rPr>
      </w:pPr>
      <w:r>
        <w:rPr>
          <w:rFonts w:hint="eastAsia" w:hAnsi="宋体" w:cs="宋体"/>
          <w:color w:val="auto"/>
          <w:u w:val="single"/>
        </w:rPr>
        <w:t>（采购代理机构名称）</w:t>
      </w:r>
      <w:r>
        <w:rPr>
          <w:rFonts w:hint="eastAsia" w:hAnsi="宋体" w:cs="宋体"/>
          <w:color w:val="auto"/>
        </w:rPr>
        <w:t>：</w:t>
      </w:r>
    </w:p>
    <w:p>
      <w:pPr>
        <w:spacing w:line="360" w:lineRule="auto"/>
        <w:ind w:firstLine="480" w:firstLineChars="200"/>
        <w:jc w:val="left"/>
        <w:outlineLvl w:val="1"/>
        <w:rPr>
          <w:rFonts w:hAnsi="宋体" w:cs="宋体"/>
          <w:color w:val="auto"/>
        </w:rPr>
      </w:pPr>
      <w:r>
        <w:rPr>
          <w:rFonts w:hint="eastAsia" w:hAnsi="宋体" w:cs="宋体"/>
          <w:color w:val="auto"/>
        </w:rPr>
        <w:t>我单位作为本次采购项目的投标人，根据招标文件要求，现郑重承诺如下：</w:t>
      </w:r>
    </w:p>
    <w:p>
      <w:pPr>
        <w:spacing w:line="360" w:lineRule="auto"/>
        <w:ind w:firstLine="480" w:firstLineChars="200"/>
        <w:jc w:val="left"/>
        <w:outlineLvl w:val="1"/>
        <w:rPr>
          <w:rFonts w:hAnsi="宋体" w:cs="宋体"/>
          <w:color w:val="auto"/>
        </w:rPr>
      </w:pPr>
      <w:r>
        <w:rPr>
          <w:rFonts w:hint="eastAsia" w:hAnsi="宋体" w:cs="宋体"/>
          <w:color w:val="auto"/>
        </w:rPr>
        <w:t>具备《中华人民共和国政府采购法》第二十二条第一款和本项目规定的条件：</w:t>
      </w:r>
    </w:p>
    <w:p>
      <w:pPr>
        <w:spacing w:line="360" w:lineRule="auto"/>
        <w:ind w:firstLine="480" w:firstLineChars="200"/>
        <w:jc w:val="left"/>
        <w:outlineLvl w:val="1"/>
        <w:rPr>
          <w:rFonts w:hAnsi="宋体" w:cs="宋体"/>
          <w:color w:val="auto"/>
        </w:rPr>
      </w:pPr>
      <w:r>
        <w:rPr>
          <w:rFonts w:hint="eastAsia" w:hAnsi="宋体" w:cs="宋体"/>
          <w:color w:val="auto"/>
        </w:rPr>
        <w:t>（一）具有独立承担民事责任的能力；</w:t>
      </w:r>
    </w:p>
    <w:p>
      <w:pPr>
        <w:spacing w:line="360" w:lineRule="auto"/>
        <w:ind w:firstLine="480" w:firstLineChars="200"/>
        <w:jc w:val="left"/>
        <w:outlineLvl w:val="1"/>
        <w:rPr>
          <w:rFonts w:hAnsi="宋体" w:cs="宋体"/>
          <w:color w:val="auto"/>
        </w:rPr>
      </w:pPr>
      <w:r>
        <w:rPr>
          <w:rFonts w:hint="eastAsia" w:hAnsi="宋体" w:cs="宋体"/>
          <w:color w:val="auto"/>
        </w:rPr>
        <w:t>（二）具有良好的商业信誉和健全的财务会计制度；</w:t>
      </w:r>
    </w:p>
    <w:p>
      <w:pPr>
        <w:spacing w:line="360" w:lineRule="auto"/>
        <w:ind w:firstLine="480" w:firstLineChars="200"/>
        <w:jc w:val="left"/>
        <w:outlineLvl w:val="1"/>
        <w:rPr>
          <w:rFonts w:hAnsi="宋体" w:cs="宋体"/>
          <w:color w:val="auto"/>
        </w:rPr>
      </w:pPr>
      <w:r>
        <w:rPr>
          <w:rFonts w:hint="eastAsia" w:hAnsi="宋体" w:cs="宋体"/>
          <w:color w:val="auto"/>
        </w:rPr>
        <w:t>（三）具有履行合同所必需的设备和专业技术能力；</w:t>
      </w:r>
    </w:p>
    <w:p>
      <w:pPr>
        <w:spacing w:line="360" w:lineRule="auto"/>
        <w:ind w:firstLine="480" w:firstLineChars="200"/>
        <w:jc w:val="left"/>
        <w:outlineLvl w:val="1"/>
        <w:rPr>
          <w:rFonts w:hAnsi="宋体" w:cs="宋体"/>
          <w:color w:val="auto"/>
        </w:rPr>
      </w:pPr>
      <w:r>
        <w:rPr>
          <w:rFonts w:hint="eastAsia" w:hAnsi="宋体" w:cs="宋体"/>
          <w:color w:val="auto"/>
        </w:rPr>
        <w:t>（四）有依法缴纳税收和社会保障资金的良好记录；</w:t>
      </w:r>
    </w:p>
    <w:p>
      <w:pPr>
        <w:spacing w:line="360" w:lineRule="auto"/>
        <w:ind w:firstLine="480" w:firstLineChars="200"/>
        <w:jc w:val="left"/>
        <w:outlineLvl w:val="1"/>
        <w:rPr>
          <w:rFonts w:hAnsi="宋体" w:cs="宋体"/>
          <w:color w:val="auto"/>
        </w:rPr>
      </w:pPr>
      <w:r>
        <w:rPr>
          <w:rFonts w:hint="eastAsia" w:hAnsi="宋体" w:cs="宋体"/>
          <w:color w:val="auto"/>
        </w:rPr>
        <w:t>（五）参加政府采购活动前三年内，在经营活动中没有重大违法记录；</w:t>
      </w:r>
    </w:p>
    <w:p>
      <w:pPr>
        <w:spacing w:line="360" w:lineRule="auto"/>
        <w:ind w:firstLine="480" w:firstLineChars="200"/>
        <w:jc w:val="left"/>
        <w:outlineLvl w:val="1"/>
        <w:rPr>
          <w:rFonts w:hAnsi="宋体" w:cs="宋体"/>
          <w:color w:val="auto"/>
        </w:rPr>
      </w:pPr>
      <w:r>
        <w:rPr>
          <w:rFonts w:hint="eastAsia" w:hAnsi="宋体" w:cs="宋体"/>
          <w:color w:val="auto"/>
        </w:rPr>
        <w:t>（六）法律、行政法规规定的其他条件；</w:t>
      </w:r>
    </w:p>
    <w:p>
      <w:pPr>
        <w:spacing w:line="360" w:lineRule="auto"/>
        <w:ind w:firstLine="480" w:firstLineChars="200"/>
        <w:jc w:val="left"/>
        <w:outlineLvl w:val="1"/>
        <w:rPr>
          <w:rFonts w:hAnsi="宋体" w:cs="宋体"/>
          <w:color w:val="auto"/>
        </w:rPr>
      </w:pPr>
      <w:r>
        <w:rPr>
          <w:rFonts w:hint="eastAsia" w:hAnsi="宋体" w:cs="宋体"/>
          <w:color w:val="auto"/>
        </w:rPr>
        <w:t>（七）根据采购项目提出的特殊条件。</w:t>
      </w:r>
    </w:p>
    <w:p>
      <w:pPr>
        <w:pStyle w:val="11"/>
        <w:spacing w:line="360" w:lineRule="auto"/>
        <w:rPr>
          <w:rFonts w:hAnsi="宋体" w:cs="宋体"/>
        </w:rPr>
      </w:pPr>
    </w:p>
    <w:p>
      <w:pPr>
        <w:pStyle w:val="11"/>
        <w:spacing w:line="360" w:lineRule="auto"/>
        <w:rPr>
          <w:rFonts w:hAnsi="宋体" w:cs="宋体"/>
        </w:rPr>
      </w:pPr>
    </w:p>
    <w:p>
      <w:pPr>
        <w:pStyle w:val="11"/>
        <w:spacing w:line="360" w:lineRule="auto"/>
        <w:rPr>
          <w:rFonts w:hAnsi="宋体" w:cs="宋体"/>
        </w:rPr>
      </w:pPr>
    </w:p>
    <w:p>
      <w:pPr>
        <w:spacing w:line="360" w:lineRule="auto"/>
        <w:ind w:firstLine="470" w:firstLineChars="196"/>
        <w:jc w:val="left"/>
        <w:outlineLvl w:val="1"/>
        <w:rPr>
          <w:rFonts w:hAnsi="宋体" w:cs="宋体"/>
          <w:color w:val="auto"/>
        </w:rPr>
      </w:pPr>
      <w:r>
        <w:rPr>
          <w:rFonts w:hint="eastAsia" w:hAnsi="宋体" w:cs="宋体"/>
          <w:color w:val="auto"/>
        </w:rPr>
        <w:t>投标人名称：（盖公章）。</w:t>
      </w:r>
    </w:p>
    <w:p>
      <w:pPr>
        <w:spacing w:line="360" w:lineRule="auto"/>
        <w:ind w:firstLine="470" w:firstLineChars="196"/>
        <w:jc w:val="left"/>
        <w:outlineLvl w:val="1"/>
        <w:rPr>
          <w:rFonts w:hAnsi="宋体" w:cs="宋体"/>
          <w:color w:val="auto"/>
        </w:rPr>
      </w:pPr>
      <w:r>
        <w:rPr>
          <w:rFonts w:hint="eastAsia" w:hAnsi="宋体" w:cs="宋体"/>
          <w:color w:val="auto"/>
        </w:rPr>
        <w:t>法定代表人或委托代理人（签字或盖章）：</w:t>
      </w:r>
    </w:p>
    <w:p>
      <w:pPr>
        <w:spacing w:line="360" w:lineRule="auto"/>
        <w:ind w:firstLine="470" w:firstLineChars="196"/>
        <w:jc w:val="left"/>
        <w:outlineLvl w:val="1"/>
        <w:rPr>
          <w:rFonts w:hAnsi="宋体" w:cs="宋体"/>
          <w:color w:val="auto"/>
        </w:rPr>
      </w:pPr>
      <w:r>
        <w:rPr>
          <w:rFonts w:hint="eastAsia" w:hAnsi="宋体" w:cs="宋体"/>
          <w:color w:val="auto"/>
        </w:rPr>
        <w:t>日期：</w:t>
      </w:r>
    </w:p>
    <w:p>
      <w:pPr>
        <w:spacing w:line="360" w:lineRule="auto"/>
        <w:outlineLvl w:val="1"/>
        <w:rPr>
          <w:rFonts w:hAnsi="宋体" w:cs="宋体"/>
          <w:color w:val="auto"/>
          <w:sz w:val="21"/>
          <w:szCs w:val="21"/>
        </w:rPr>
      </w:pPr>
      <w:r>
        <w:rPr>
          <w:rFonts w:hint="eastAsia" w:hAnsi="宋体" w:cs="宋体"/>
          <w:color w:val="auto"/>
        </w:rPr>
        <w:br w:type="page"/>
      </w:r>
    </w:p>
    <w:p>
      <w:pPr>
        <w:spacing w:line="360" w:lineRule="atLeast"/>
        <w:outlineLvl w:val="1"/>
        <w:rPr>
          <w:rFonts w:hAnsi="宋体"/>
          <w:b/>
          <w:sz w:val="32"/>
          <w:szCs w:val="32"/>
        </w:rPr>
      </w:pPr>
      <w:r>
        <w:rPr>
          <w:rFonts w:hint="eastAsia" w:hAnsi="宋体"/>
          <w:b/>
          <w:sz w:val="32"/>
          <w:szCs w:val="32"/>
        </w:rPr>
        <w:t xml:space="preserve">格式1-4  </w:t>
      </w:r>
    </w:p>
    <w:p>
      <w:pPr>
        <w:numPr>
          <w:ilvl w:val="0"/>
          <w:numId w:val="3"/>
        </w:numPr>
        <w:spacing w:line="360" w:lineRule="atLeast"/>
        <w:ind w:firstLine="643" w:firstLineChars="200"/>
        <w:jc w:val="center"/>
        <w:outlineLvl w:val="1"/>
        <w:rPr>
          <w:rFonts w:hAnsi="宋体"/>
          <w:b/>
          <w:sz w:val="32"/>
          <w:szCs w:val="32"/>
        </w:rPr>
      </w:pPr>
      <w:r>
        <w:rPr>
          <w:rFonts w:hint="eastAsia" w:hAnsi="宋体"/>
          <w:b/>
          <w:sz w:val="32"/>
          <w:szCs w:val="32"/>
        </w:rPr>
        <w:t>承诺函</w:t>
      </w:r>
    </w:p>
    <w:p>
      <w:pPr>
        <w:pStyle w:val="11"/>
        <w:rPr>
          <w:rFonts w:hAnsi="宋体"/>
          <w:sz w:val="24"/>
        </w:rPr>
      </w:pPr>
    </w:p>
    <w:p>
      <w:pPr>
        <w:spacing w:line="360" w:lineRule="atLeast"/>
        <w:jc w:val="left"/>
        <w:outlineLvl w:val="1"/>
        <w:rPr>
          <w:rFonts w:hAnsi="宋体"/>
        </w:rPr>
      </w:pPr>
      <w:r>
        <w:rPr>
          <w:rFonts w:hint="eastAsia" w:hAnsi="宋体"/>
          <w:u w:val="single"/>
        </w:rPr>
        <w:t>（采购代理机构名称）</w:t>
      </w:r>
      <w:r>
        <w:rPr>
          <w:rFonts w:hint="eastAsia" w:hAnsi="宋体"/>
        </w:rPr>
        <w:t>：</w:t>
      </w:r>
    </w:p>
    <w:p>
      <w:pPr>
        <w:spacing w:line="360" w:lineRule="atLeast"/>
        <w:ind w:firstLine="480" w:firstLineChars="200"/>
        <w:jc w:val="left"/>
        <w:outlineLvl w:val="1"/>
        <w:rPr>
          <w:rFonts w:hAnsi="宋体"/>
        </w:rPr>
      </w:pPr>
      <w:r>
        <w:rPr>
          <w:rFonts w:hint="eastAsia" w:hAnsi="宋体"/>
        </w:rPr>
        <w:t>作为本次采购项目的投标人，根据招标文件要求，现郑重承诺如下：</w:t>
      </w:r>
    </w:p>
    <w:p>
      <w:pPr>
        <w:spacing w:line="360" w:lineRule="atLeast"/>
        <w:ind w:firstLine="480" w:firstLineChars="200"/>
        <w:jc w:val="left"/>
        <w:outlineLvl w:val="1"/>
        <w:rPr>
          <w:rFonts w:hAnsi="宋体"/>
        </w:rPr>
      </w:pPr>
      <w:r>
        <w:rPr>
          <w:rFonts w:hint="eastAsia" w:hAnsi="宋体"/>
        </w:rPr>
        <w:t>本单位未被列入失信被执行人、重大税收违法案件当事人名单、政府采购严重违法失信行为记录名单。</w:t>
      </w:r>
    </w:p>
    <w:p>
      <w:pPr>
        <w:spacing w:line="360" w:lineRule="atLeast"/>
        <w:ind w:firstLine="480" w:firstLineChars="200"/>
        <w:jc w:val="left"/>
        <w:outlineLvl w:val="1"/>
        <w:rPr>
          <w:rFonts w:hAnsi="宋体"/>
        </w:rPr>
      </w:pPr>
      <w:r>
        <w:rPr>
          <w:rFonts w:hint="eastAsia" w:hAnsi="宋体"/>
        </w:rPr>
        <w:t>本单位对上述承诺的内容事项真实性负责。如经查实上述承诺的内容事项存在虚假情形，本单位愿意承担因此产生的后果及法律责任。</w:t>
      </w:r>
    </w:p>
    <w:p>
      <w:pPr>
        <w:spacing w:line="360" w:lineRule="auto"/>
        <w:rPr>
          <w:rFonts w:hAnsi="宋体"/>
          <w:bCs/>
        </w:rPr>
      </w:pPr>
    </w:p>
    <w:p>
      <w:pPr>
        <w:spacing w:line="360" w:lineRule="atLeast"/>
        <w:ind w:firstLine="470" w:firstLineChars="196"/>
        <w:jc w:val="left"/>
        <w:outlineLvl w:val="1"/>
        <w:rPr>
          <w:rFonts w:hAnsi="宋体"/>
        </w:rPr>
      </w:pPr>
      <w:r>
        <w:rPr>
          <w:rFonts w:hint="eastAsia" w:hAnsi="宋体"/>
        </w:rPr>
        <w:t>投标人名称：（盖公章）。</w:t>
      </w:r>
    </w:p>
    <w:p>
      <w:pPr>
        <w:spacing w:line="360" w:lineRule="atLeast"/>
        <w:ind w:firstLine="470" w:firstLineChars="196"/>
        <w:jc w:val="left"/>
        <w:outlineLvl w:val="1"/>
        <w:rPr>
          <w:rFonts w:hAnsi="宋体"/>
        </w:rPr>
      </w:pPr>
      <w:r>
        <w:rPr>
          <w:rFonts w:hint="eastAsia" w:hAnsi="宋体"/>
        </w:rPr>
        <w:t>法定代表人或委托代理人（签字或盖章）：</w:t>
      </w:r>
    </w:p>
    <w:p>
      <w:pPr>
        <w:spacing w:line="360" w:lineRule="atLeast"/>
        <w:ind w:firstLine="470" w:firstLineChars="196"/>
        <w:jc w:val="left"/>
        <w:outlineLvl w:val="1"/>
        <w:rPr>
          <w:rFonts w:hAnsi="宋体"/>
        </w:rPr>
      </w:pPr>
      <w:r>
        <w:rPr>
          <w:rFonts w:hint="eastAsia" w:hAnsi="宋体"/>
        </w:rPr>
        <w:t>日期：</w:t>
      </w:r>
    </w:p>
    <w:p>
      <w:pPr>
        <w:spacing w:line="360" w:lineRule="auto"/>
        <w:rPr>
          <w:rFonts w:hAnsi="宋体" w:cs="宋体"/>
          <w:b/>
          <w:color w:val="auto"/>
          <w:sz w:val="32"/>
          <w:szCs w:val="32"/>
        </w:rPr>
      </w:pPr>
    </w:p>
    <w:p>
      <w:pPr>
        <w:pStyle w:val="2"/>
      </w:pPr>
      <w:r>
        <w:br w:type="page"/>
      </w:r>
    </w:p>
    <w:p>
      <w:pPr>
        <w:spacing w:line="360" w:lineRule="auto"/>
        <w:rPr>
          <w:rFonts w:hAnsi="宋体" w:cs="宋体"/>
          <w:b/>
          <w:color w:val="auto"/>
          <w:sz w:val="32"/>
          <w:szCs w:val="32"/>
        </w:rPr>
      </w:pPr>
      <w:r>
        <w:rPr>
          <w:rFonts w:hint="eastAsia" w:hAnsi="宋体" w:cs="宋体"/>
          <w:b/>
          <w:color w:val="auto"/>
          <w:sz w:val="32"/>
          <w:szCs w:val="32"/>
        </w:rPr>
        <w:t>格式1-5</w:t>
      </w:r>
    </w:p>
    <w:p>
      <w:pPr>
        <w:spacing w:line="360" w:lineRule="atLeast"/>
        <w:jc w:val="center"/>
        <w:outlineLvl w:val="1"/>
        <w:rPr>
          <w:rFonts w:ascii="仿宋" w:hAnsi="仿宋" w:eastAsia="仿宋"/>
          <w:b/>
          <w:sz w:val="32"/>
          <w:szCs w:val="32"/>
        </w:rPr>
      </w:pPr>
      <w:r>
        <w:rPr>
          <w:rFonts w:hint="eastAsia" w:ascii="仿宋" w:hAnsi="仿宋" w:eastAsia="仿宋"/>
          <w:b/>
          <w:sz w:val="32"/>
          <w:szCs w:val="32"/>
        </w:rPr>
        <w:t>四、中小企业声明函</w:t>
      </w:r>
    </w:p>
    <w:p>
      <w:pPr>
        <w:spacing w:line="360" w:lineRule="atLeast"/>
        <w:jc w:val="center"/>
        <w:outlineLvl w:val="1"/>
        <w:rPr>
          <w:rFonts w:ascii="仿宋" w:hAnsi="仿宋" w:eastAsia="仿宋"/>
          <w:b/>
          <w:sz w:val="32"/>
          <w:szCs w:val="32"/>
        </w:rPr>
      </w:pPr>
    </w:p>
    <w:p>
      <w:pPr>
        <w:spacing w:line="360" w:lineRule="auto"/>
        <w:ind w:firstLine="480" w:firstLineChars="200"/>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xml:space="preserve">本公司郑重声明，根据《政府采购促进中小企业发展管理办法》（财库〔2020〕46 号）的规定，本公司（联合体）参加 </w:t>
      </w:r>
      <w:r>
        <w:rPr>
          <w:rFonts w:hint="eastAsia" w:asciiTheme="minorEastAsia" w:hAnsiTheme="minorEastAsia" w:eastAsiaTheme="minorEastAsia" w:cstheme="minorEastAsia"/>
          <w:u w:val="single"/>
        </w:rPr>
        <w:t xml:space="preserve">（单位名称） </w:t>
      </w:r>
      <w:r>
        <w:rPr>
          <w:rFonts w:hint="eastAsia" w:asciiTheme="minorEastAsia" w:hAnsiTheme="minorEastAsia" w:eastAsiaTheme="minorEastAsia" w:cstheme="minorEastAsia"/>
        </w:rPr>
        <w:t xml:space="preserve">的 </w:t>
      </w:r>
      <w:r>
        <w:rPr>
          <w:rFonts w:hint="eastAsia" w:asciiTheme="minorEastAsia" w:hAnsiTheme="minorEastAsia" w:eastAsiaTheme="minorEastAsia" w:cstheme="minorEastAsia"/>
          <w:u w:val="single"/>
        </w:rPr>
        <w:t xml:space="preserve">（项目名称） </w:t>
      </w:r>
      <w:r>
        <w:rPr>
          <w:rFonts w:hint="eastAsia" w:asciiTheme="minorEastAsia" w:hAnsiTheme="minorEastAsia" w:eastAsiaTheme="minorEastAsia" w:cstheme="minorEastAsia"/>
        </w:rPr>
        <w:t>采购活动，提供的货物全部由符合政策要求的中小企业制造。相关企业（含联合体中的中小企业、签订分包意向协议的中小企业）的具体情况如下：</w:t>
      </w:r>
    </w:p>
    <w:p>
      <w:pPr>
        <w:spacing w:line="360" w:lineRule="auto"/>
        <w:ind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w:t>
      </w:r>
      <w:bookmarkStart w:id="190" w:name="_Toc417911732"/>
      <w:bookmarkStart w:id="191" w:name="_Toc413748654"/>
      <w:bookmarkStart w:id="192" w:name="_Toc387147344"/>
      <w:bookmarkStart w:id="193" w:name="_Toc419811733"/>
      <w:bookmarkStart w:id="194" w:name="_Toc387658050"/>
      <w:r>
        <w:rPr>
          <w:rFonts w:hint="eastAsia" w:asciiTheme="minorEastAsia" w:hAnsiTheme="minorEastAsia" w:eastAsiaTheme="minorEastAsia" w:cstheme="minorEastAsia"/>
        </w:rPr>
        <w:t xml:space="preserve">1. </w:t>
      </w:r>
      <w:r>
        <w:rPr>
          <w:rFonts w:hint="eastAsia" w:asciiTheme="minorEastAsia" w:hAnsiTheme="minorEastAsia" w:eastAsiaTheme="minorEastAsia" w:cstheme="minorEastAsia"/>
          <w:u w:val="single"/>
        </w:rPr>
        <w:t xml:space="preserve">（标的名称） </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 xml:space="preserve"> （采购文件中明确的所属行业） </w:t>
      </w:r>
      <w:r>
        <w:rPr>
          <w:rFonts w:hint="eastAsia" w:asciiTheme="minorEastAsia" w:hAnsiTheme="minorEastAsia" w:eastAsiaTheme="minorEastAsia" w:cstheme="minorEastAsia"/>
        </w:rPr>
        <w:t>；制造商为</w:t>
      </w:r>
      <w:r>
        <w:rPr>
          <w:rFonts w:hint="eastAsia" w:asciiTheme="minorEastAsia" w:hAnsiTheme="minorEastAsia" w:eastAsiaTheme="minorEastAsia" w:cstheme="minorEastAsia"/>
          <w:u w:val="single"/>
        </w:rPr>
        <w:t xml:space="preserve"> （企业名称） </w:t>
      </w:r>
      <w:r>
        <w:rPr>
          <w:rFonts w:hint="eastAsia" w:asciiTheme="minorEastAsia" w:hAnsiTheme="minorEastAsia" w:eastAsiaTheme="minorEastAsia" w:cstheme="minorEastAsia"/>
        </w:rPr>
        <w:t>，从业人员人，营业收入为万元，资产总额为万元，属于</w:t>
      </w:r>
      <w:r>
        <w:rPr>
          <w:rFonts w:hint="eastAsia" w:asciiTheme="minorEastAsia" w:hAnsiTheme="minorEastAsia" w:eastAsiaTheme="minorEastAsia" w:cstheme="minorEastAsia"/>
          <w:u w:val="single"/>
        </w:rPr>
        <w:t xml:space="preserve"> （中型企业、小型企业、微型企业） </w:t>
      </w:r>
      <w:r>
        <w:rPr>
          <w:rFonts w:hint="eastAsia" w:asciiTheme="minorEastAsia" w:hAnsiTheme="minorEastAsia" w:eastAsiaTheme="minorEastAsia" w:cstheme="minorEastAsia"/>
        </w:rPr>
        <w:t>；</w:t>
      </w:r>
    </w:p>
    <w:p>
      <w:pPr>
        <w:spacing w:line="360" w:lineRule="auto"/>
        <w:ind w:firstLine="600" w:firstLineChars="250"/>
        <w:jc w:val="left"/>
        <w:rPr>
          <w:rFonts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u w:val="single"/>
        </w:rPr>
        <w:t xml:space="preserve"> （标的名称） </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 xml:space="preserve"> （采购文件中明确的所属行业） </w:t>
      </w:r>
      <w:r>
        <w:rPr>
          <w:rFonts w:hint="eastAsia" w:asciiTheme="minorEastAsia" w:hAnsiTheme="minorEastAsia" w:eastAsiaTheme="minorEastAsia" w:cstheme="minorEastAsia"/>
        </w:rPr>
        <w:t>；制造商为</w:t>
      </w:r>
      <w:r>
        <w:rPr>
          <w:rFonts w:hint="eastAsia" w:asciiTheme="minorEastAsia" w:hAnsiTheme="minorEastAsia" w:eastAsiaTheme="minorEastAsia" w:cstheme="minorEastAsia"/>
          <w:u w:val="single"/>
        </w:rPr>
        <w:t xml:space="preserve"> （企业名称） </w:t>
      </w:r>
      <w:r>
        <w:rPr>
          <w:rFonts w:hint="eastAsia" w:asciiTheme="minorEastAsia" w:hAnsiTheme="minorEastAsia" w:eastAsiaTheme="minorEastAsia" w:cstheme="minorEastAsia"/>
        </w:rPr>
        <w:t>，从业人员人，营业收入为万元，资产总额为万元，属于</w:t>
      </w:r>
      <w:r>
        <w:rPr>
          <w:rFonts w:hint="eastAsia" w:asciiTheme="minorEastAsia" w:hAnsiTheme="minorEastAsia" w:eastAsiaTheme="minorEastAsia" w:cstheme="minorEastAsia"/>
          <w:u w:val="single"/>
        </w:rPr>
        <w:t xml:space="preserve"> （中型企业、小型企业、微型企业） </w:t>
      </w:r>
      <w:r>
        <w:rPr>
          <w:rFonts w:hint="eastAsia" w:asciiTheme="minorEastAsia" w:hAnsiTheme="minorEastAsia" w:eastAsiaTheme="minorEastAsia" w:cstheme="minorEastAsia"/>
        </w:rPr>
        <w:t>；</w:t>
      </w:r>
    </w:p>
    <w:p>
      <w:pPr>
        <w:spacing w:line="360" w:lineRule="auto"/>
        <w:ind w:firstLine="600" w:firstLineChars="250"/>
        <w:jc w:val="left"/>
        <w:rPr>
          <w:rFonts w:asciiTheme="minorEastAsia" w:hAnsiTheme="minorEastAsia" w:eastAsiaTheme="minorEastAsia" w:cstheme="minorEastAsia"/>
        </w:rPr>
      </w:pPr>
      <w:r>
        <w:rPr>
          <w:rFonts w:hint="eastAsia" w:asciiTheme="minorEastAsia" w:hAnsiTheme="minorEastAsia" w:eastAsiaTheme="minorEastAsia" w:cstheme="minorEastAsia"/>
        </w:rPr>
        <w:t>……</w:t>
      </w:r>
    </w:p>
    <w:p>
      <w:pPr>
        <w:spacing w:line="360" w:lineRule="auto"/>
        <w:ind w:firstLine="600" w:firstLineChars="250"/>
        <w:jc w:val="left"/>
        <w:rPr>
          <w:rFonts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pPr>
        <w:spacing w:line="360" w:lineRule="auto"/>
        <w:ind w:firstLine="600" w:firstLineChars="250"/>
        <w:jc w:val="left"/>
        <w:rPr>
          <w:rFonts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企业名称（盖章）：</w:t>
      </w:r>
    </w:p>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日 期：</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注：</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w:t>
      </w:r>
      <w:bookmarkEnd w:id="190"/>
      <w:bookmarkEnd w:id="191"/>
      <w:bookmarkEnd w:id="192"/>
      <w:bookmarkEnd w:id="193"/>
      <w:bookmarkEnd w:id="194"/>
      <w:r>
        <w:rPr>
          <w:rFonts w:hint="eastAsia" w:asciiTheme="minorEastAsia" w:hAnsiTheme="minorEastAsia" w:eastAsiaTheme="minorEastAsia" w:cstheme="minorEastAsia"/>
        </w:rPr>
        <w:t>从业人员、营业收入、资产总额填报上一年度数据，无上一年度数据的新成立企业可不填报。</w:t>
      </w:r>
    </w:p>
    <w:p>
      <w:pPr>
        <w:spacing w:line="360" w:lineRule="auto"/>
        <w:rPr>
          <w:rFonts w:ascii="仿宋" w:hAnsi="仿宋" w:eastAsia="仿宋" w:cs="宋体"/>
        </w:rPr>
      </w:pPr>
      <w:r>
        <w:rPr>
          <w:rFonts w:hint="eastAsia" w:ascii="仿宋" w:hAnsi="仿宋" w:eastAsia="仿宋" w:cs="宋体"/>
        </w:rPr>
        <w:br w:type="page"/>
      </w:r>
    </w:p>
    <w:p>
      <w:pPr>
        <w:spacing w:line="360" w:lineRule="auto"/>
        <w:rPr>
          <w:rFonts w:ascii="仿宋" w:hAnsi="仿宋" w:eastAsia="仿宋"/>
          <w:b/>
          <w:sz w:val="32"/>
          <w:szCs w:val="32"/>
        </w:rPr>
      </w:pPr>
      <w:r>
        <w:rPr>
          <w:rFonts w:hint="eastAsia" w:ascii="仿宋" w:hAnsi="仿宋" w:eastAsia="仿宋"/>
          <w:b/>
          <w:sz w:val="32"/>
          <w:szCs w:val="32"/>
        </w:rPr>
        <w:t>格式1-6</w:t>
      </w:r>
    </w:p>
    <w:p>
      <w:pPr>
        <w:jc w:val="center"/>
        <w:rPr>
          <w:rFonts w:ascii="仿宋" w:hAnsi="仿宋" w:eastAsia="仿宋"/>
          <w:b/>
          <w:sz w:val="32"/>
          <w:szCs w:val="32"/>
        </w:rPr>
      </w:pPr>
      <w:r>
        <w:rPr>
          <w:rFonts w:hint="eastAsia" w:ascii="仿宋" w:hAnsi="仿宋" w:eastAsia="仿宋"/>
          <w:b/>
          <w:sz w:val="32"/>
          <w:szCs w:val="32"/>
        </w:rPr>
        <w:t xml:space="preserve"> 五、残疾人福利性单位声明函</w:t>
      </w:r>
    </w:p>
    <w:p>
      <w:pPr>
        <w:spacing w:line="588" w:lineRule="exact"/>
        <w:rPr>
          <w:rFonts w:ascii="仿宋" w:hAnsi="仿宋" w:eastAsia="仿宋" w:cs="宋体"/>
          <w:b/>
          <w:spacing w:val="6"/>
        </w:rPr>
      </w:pPr>
    </w:p>
    <w:p>
      <w:pPr>
        <w:spacing w:line="588" w:lineRule="exact"/>
        <w:ind w:firstLine="504" w:firstLineChars="200"/>
        <w:rPr>
          <w:rFonts w:hAnsi="宋体" w:cs="宋体"/>
          <w:spacing w:val="6"/>
        </w:rPr>
      </w:pPr>
      <w:r>
        <w:rPr>
          <w:rFonts w:hint="eastAsia" w:hAnsi="宋体" w:cs="宋体"/>
          <w:spacing w:val="6"/>
        </w:rPr>
        <w:t>本单位郑重声明，根据《财政部 民政部 中国残疾人联合会关于促进残疾人就业政府采购政策的通知》（财库</w:t>
      </w:r>
      <w:r>
        <w:rPr>
          <w:rFonts w:hint="eastAsia" w:hAnsi="宋体" w:cs="宋体"/>
        </w:rPr>
        <w:t>〔2017〕 141</w:t>
      </w:r>
      <w:r>
        <w:rPr>
          <w:rFonts w:hint="eastAsia" w:hAnsi="宋体" w:cs="宋体"/>
          <w:spacing w:val="6"/>
        </w:rPr>
        <w:t>号）的规定，本单位为符合条件的残疾人福利性单位，且本单位参加</w:t>
      </w:r>
      <w:r>
        <w:rPr>
          <w:rFonts w:hint="eastAsia" w:hAnsi="宋体" w:cs="宋体"/>
          <w:u w:val="single"/>
        </w:rPr>
        <w:t>XXXX</w:t>
      </w:r>
      <w:r>
        <w:rPr>
          <w:rFonts w:hint="eastAsia" w:hAnsi="宋体" w:cs="宋体"/>
          <w:spacing w:val="6"/>
        </w:rPr>
        <w:t>单位的</w:t>
      </w:r>
      <w:r>
        <w:rPr>
          <w:rFonts w:hint="eastAsia" w:hAnsi="宋体" w:cs="宋体"/>
          <w:u w:val="single"/>
        </w:rPr>
        <w:t>XXXX</w:t>
      </w:r>
      <w:r>
        <w:rPr>
          <w:rFonts w:hint="eastAsia" w:hAnsi="宋体" w:cs="宋体"/>
          <w:spacing w:val="6"/>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Ansi="宋体" w:cs="宋体"/>
          <w:spacing w:val="6"/>
        </w:rPr>
      </w:pPr>
      <w:r>
        <w:rPr>
          <w:rFonts w:hint="eastAsia" w:hAnsi="宋体" w:cs="宋体"/>
          <w:spacing w:val="6"/>
        </w:rPr>
        <w:t>本单位对上述声明的真实性负责。如有虚假，将依法承担相应责任。</w:t>
      </w:r>
    </w:p>
    <w:p>
      <w:pPr>
        <w:spacing w:line="588" w:lineRule="exact"/>
        <w:rPr>
          <w:rFonts w:hAnsi="宋体" w:cs="宋体"/>
          <w:spacing w:val="6"/>
        </w:rPr>
      </w:pPr>
    </w:p>
    <w:p>
      <w:pPr>
        <w:spacing w:line="588" w:lineRule="exact"/>
        <w:rPr>
          <w:rFonts w:hAnsi="宋体" w:cs="宋体"/>
          <w:spacing w:val="6"/>
        </w:rPr>
      </w:pPr>
    </w:p>
    <w:p>
      <w:pPr>
        <w:tabs>
          <w:tab w:val="left" w:pos="4860"/>
        </w:tabs>
        <w:spacing w:line="588" w:lineRule="exact"/>
        <w:ind w:right="1560"/>
        <w:rPr>
          <w:rFonts w:hAnsi="宋体" w:cs="宋体"/>
          <w:spacing w:val="6"/>
        </w:rPr>
      </w:pPr>
      <w:r>
        <w:rPr>
          <w:rFonts w:hint="eastAsia" w:hAnsi="宋体" w:cs="宋体"/>
          <w:spacing w:val="6"/>
        </w:rPr>
        <w:t>单位名称（盖章）：</w:t>
      </w:r>
    </w:p>
    <w:p>
      <w:pPr>
        <w:rPr>
          <w:rFonts w:hAnsi="宋体" w:cs="宋体"/>
          <w:spacing w:val="6"/>
        </w:rPr>
      </w:pPr>
      <w:r>
        <w:rPr>
          <w:rFonts w:hint="eastAsia" w:hAnsi="宋体" w:cs="宋体"/>
          <w:spacing w:val="6"/>
        </w:rPr>
        <w:t>日  期：</w:t>
      </w:r>
    </w:p>
    <w:p>
      <w:pPr>
        <w:spacing w:line="360" w:lineRule="auto"/>
        <w:rPr>
          <w:rFonts w:hAnsi="宋体" w:cs="宋体"/>
        </w:rPr>
      </w:pPr>
    </w:p>
    <w:p>
      <w:pPr>
        <w:spacing w:line="360" w:lineRule="auto"/>
        <w:rPr>
          <w:rFonts w:hAnsi="宋体" w:cs="宋体"/>
        </w:rPr>
      </w:pPr>
      <w:r>
        <w:rPr>
          <w:rFonts w:hint="eastAsia" w:hAnsi="宋体" w:cs="宋体"/>
        </w:rPr>
        <w:t>注：</w:t>
      </w:r>
    </w:p>
    <w:p>
      <w:pPr>
        <w:numPr>
          <w:ilvl w:val="0"/>
          <w:numId w:val="4"/>
        </w:numPr>
        <w:spacing w:line="360" w:lineRule="auto"/>
        <w:rPr>
          <w:rFonts w:hAnsi="宋体" w:cs="宋体"/>
        </w:rPr>
      </w:pPr>
      <w:r>
        <w:rPr>
          <w:rFonts w:hint="eastAsia" w:hAnsi="宋体" w:cs="宋体"/>
        </w:rPr>
        <w:t>残疾人福利性单位视同小型、微型企业，享受预留份额、评审中价格扣除等促进中小企业发展的政府采购政策。残疾人福利性单位属于小型、微型企业的，不重复享受政策。</w:t>
      </w:r>
    </w:p>
    <w:p>
      <w:pPr>
        <w:numPr>
          <w:ilvl w:val="0"/>
          <w:numId w:val="4"/>
        </w:numPr>
        <w:spacing w:line="360" w:lineRule="auto"/>
        <w:rPr>
          <w:rFonts w:hAnsi="宋体" w:cs="宋体"/>
        </w:rPr>
      </w:pPr>
      <w:r>
        <w:rPr>
          <w:rFonts w:hint="eastAsia" w:hAnsi="宋体" w:cs="宋体"/>
        </w:rPr>
        <w:t>投标人为非残疾人福利性单位的，可不提供此声明。</w:t>
      </w:r>
    </w:p>
    <w:p>
      <w:pPr>
        <w:jc w:val="left"/>
        <w:rPr>
          <w:rFonts w:hAnsi="宋体" w:cs="宋体"/>
        </w:rPr>
      </w:pPr>
      <w:r>
        <w:rPr>
          <w:rFonts w:hint="eastAsia" w:hAnsi="宋体" w:cs="宋体"/>
        </w:rPr>
        <w:br w:type="page"/>
      </w:r>
    </w:p>
    <w:p>
      <w:pPr>
        <w:jc w:val="left"/>
        <w:rPr>
          <w:rFonts w:ascii="仿宋" w:hAnsi="仿宋" w:eastAsia="仿宋" w:cs="宋体"/>
        </w:rPr>
      </w:pPr>
    </w:p>
    <w:p>
      <w:pPr>
        <w:spacing w:line="360" w:lineRule="auto"/>
        <w:rPr>
          <w:rFonts w:ascii="仿宋" w:hAnsi="仿宋" w:eastAsia="仿宋"/>
          <w:b/>
          <w:sz w:val="32"/>
          <w:szCs w:val="32"/>
        </w:rPr>
      </w:pPr>
      <w:r>
        <w:rPr>
          <w:rFonts w:hint="eastAsia" w:ascii="仿宋" w:hAnsi="仿宋" w:eastAsia="仿宋"/>
          <w:b/>
          <w:sz w:val="32"/>
          <w:szCs w:val="32"/>
        </w:rPr>
        <w:t>格式1-7</w:t>
      </w:r>
    </w:p>
    <w:p>
      <w:pPr>
        <w:jc w:val="center"/>
        <w:rPr>
          <w:rFonts w:ascii="仿宋" w:hAnsi="仿宋" w:eastAsia="仿宋"/>
          <w:b/>
          <w:sz w:val="32"/>
          <w:szCs w:val="32"/>
        </w:rPr>
      </w:pPr>
      <w:r>
        <w:rPr>
          <w:rFonts w:hint="eastAsia" w:ascii="仿宋" w:hAnsi="仿宋" w:eastAsia="仿宋"/>
          <w:b/>
          <w:sz w:val="32"/>
          <w:szCs w:val="32"/>
        </w:rPr>
        <w:t>六、监狱企业</w:t>
      </w:r>
    </w:p>
    <w:p>
      <w:pPr>
        <w:spacing w:line="588" w:lineRule="exact"/>
        <w:rPr>
          <w:rFonts w:hAnsi="宋体" w:cs="宋体"/>
          <w:b/>
          <w:spacing w:val="6"/>
        </w:rPr>
      </w:pPr>
    </w:p>
    <w:p>
      <w:pPr>
        <w:spacing w:line="360" w:lineRule="auto"/>
        <w:ind w:firstLine="480" w:firstLineChars="200"/>
        <w:jc w:val="left"/>
        <w:rPr>
          <w:rFonts w:hAnsi="宋体" w:cs="宋体"/>
        </w:rPr>
      </w:pPr>
      <w:r>
        <w:rPr>
          <w:rFonts w:hint="eastAsia" w:hAnsi="宋体" w:cs="宋体"/>
        </w:rPr>
        <w:t>根据《政府采购支持监狱企业发展有关问题的通知》（财库〔2014〕68号）的规定监狱企业参加采购活动的，应提供由省级以上监狱管理局、戒毒管理局(含新疆生产建设兵团)出具的属于监狱企业的证明文件。</w:t>
      </w:r>
    </w:p>
    <w:p>
      <w:pPr>
        <w:spacing w:line="360" w:lineRule="auto"/>
        <w:jc w:val="left"/>
        <w:rPr>
          <w:rFonts w:hAnsi="宋体" w:cs="宋体"/>
        </w:rPr>
      </w:pPr>
      <w:r>
        <w:rPr>
          <w:rFonts w:hint="eastAsia" w:hAnsi="宋体" w:cs="宋体"/>
        </w:rPr>
        <w:t>注：</w:t>
      </w:r>
    </w:p>
    <w:p>
      <w:pPr>
        <w:spacing w:line="360" w:lineRule="auto"/>
        <w:rPr>
          <w:rFonts w:hAnsi="宋体" w:cs="宋体"/>
        </w:rPr>
      </w:pPr>
      <w:r>
        <w:rPr>
          <w:rFonts w:hint="eastAsia" w:hAnsi="宋体" w:cs="宋体"/>
        </w:rPr>
        <w:t>1、投标人符合《政府采购支持监狱企业发展有关问题的通知》（财库〔2014〕68号）规定的划分标准为监狱企业适用。</w:t>
      </w:r>
    </w:p>
    <w:p>
      <w:pPr>
        <w:spacing w:line="360" w:lineRule="auto"/>
        <w:outlineLvl w:val="0"/>
        <w:rPr>
          <w:rFonts w:hAnsi="宋体" w:cs="宋体"/>
        </w:rPr>
      </w:pPr>
      <w:r>
        <w:rPr>
          <w:rFonts w:hint="eastAsia" w:hAnsi="宋体" w:cs="宋体"/>
        </w:rPr>
        <w:t>2、在政府采购活动中，监狱企业视同小型、微型企业，享受预留份额、评审中价格扣除等政府采购促进中小企业发展的政府采购政策。</w:t>
      </w:r>
    </w:p>
    <w:p>
      <w:pPr>
        <w:rPr>
          <w:rFonts w:hAnsi="宋体" w:cs="宋体"/>
        </w:rPr>
      </w:pPr>
      <w:r>
        <w:rPr>
          <w:rFonts w:hint="eastAsia" w:hAnsi="宋体" w:cs="宋体"/>
        </w:rPr>
        <w:br w:type="page"/>
      </w:r>
    </w:p>
    <w:p>
      <w:pPr>
        <w:spacing w:line="360" w:lineRule="auto"/>
        <w:rPr>
          <w:rFonts w:hAnsi="宋体" w:cs="宋体"/>
          <w:b/>
          <w:color w:val="auto"/>
          <w:sz w:val="32"/>
          <w:szCs w:val="32"/>
        </w:rPr>
      </w:pPr>
      <w:r>
        <w:rPr>
          <w:rFonts w:hint="eastAsia" w:hAnsi="宋体" w:cs="宋体"/>
          <w:b/>
          <w:color w:val="auto"/>
          <w:sz w:val="32"/>
          <w:szCs w:val="32"/>
        </w:rPr>
        <w:t>格式1-8</w:t>
      </w:r>
    </w:p>
    <w:p>
      <w:pPr>
        <w:spacing w:line="360" w:lineRule="auto"/>
        <w:ind w:firstLine="790" w:firstLineChars="246"/>
        <w:jc w:val="center"/>
        <w:rPr>
          <w:rFonts w:hAnsi="宋体" w:cs="宋体"/>
          <w:b/>
          <w:color w:val="auto"/>
          <w:sz w:val="32"/>
          <w:szCs w:val="32"/>
        </w:rPr>
      </w:pPr>
      <w:r>
        <w:rPr>
          <w:rFonts w:hint="eastAsia" w:hAnsi="宋体" w:cs="宋体"/>
          <w:b/>
          <w:color w:val="auto"/>
          <w:sz w:val="32"/>
          <w:szCs w:val="32"/>
        </w:rPr>
        <w:t>七、投标人和投标产品其他资格、资质性及其他类似效力要求的相关证明材料</w:t>
      </w:r>
    </w:p>
    <w:p>
      <w:pPr>
        <w:spacing w:line="360" w:lineRule="auto"/>
        <w:rPr>
          <w:rFonts w:hAnsi="宋体" w:cs="宋体"/>
          <w:bCs/>
          <w:color w:val="auto"/>
        </w:rPr>
      </w:pPr>
      <w:r>
        <w:rPr>
          <w:rFonts w:hint="eastAsia" w:hAnsi="宋体" w:cs="宋体"/>
          <w:bCs/>
          <w:color w:val="auto"/>
        </w:rPr>
        <w:t>注：投标人应按招标文件第四章相关要求提供佐证材料，有格式要求的从其要求，无格式要求的格式自拟。</w:t>
      </w:r>
    </w:p>
    <w:p>
      <w:pPr>
        <w:tabs>
          <w:tab w:val="left" w:pos="900"/>
        </w:tabs>
        <w:spacing w:line="360" w:lineRule="auto"/>
        <w:jc w:val="center"/>
        <w:rPr>
          <w:rFonts w:hAnsi="宋体" w:cs="宋体"/>
          <w:b/>
          <w:color w:val="auto"/>
          <w:sz w:val="32"/>
        </w:rPr>
      </w:pPr>
      <w:r>
        <w:rPr>
          <w:rFonts w:hint="eastAsia" w:hAnsi="宋体" w:cs="宋体"/>
          <w:b/>
          <w:color w:val="auto"/>
          <w:sz w:val="32"/>
        </w:rPr>
        <w:br w:type="page"/>
      </w:r>
      <w:r>
        <w:rPr>
          <w:rFonts w:hint="eastAsia" w:hAnsi="宋体" w:cs="宋体"/>
          <w:b/>
          <w:color w:val="auto"/>
          <w:sz w:val="32"/>
        </w:rPr>
        <w:t>第二部分“其他响应性投标文件”格式</w:t>
      </w:r>
    </w:p>
    <w:p>
      <w:pPr>
        <w:spacing w:line="360" w:lineRule="auto"/>
        <w:rPr>
          <w:rFonts w:hAnsi="宋体" w:cs="宋体"/>
          <w:b/>
          <w:color w:val="auto"/>
          <w:sz w:val="32"/>
          <w:szCs w:val="32"/>
        </w:rPr>
      </w:pPr>
    </w:p>
    <w:p>
      <w:pPr>
        <w:spacing w:line="360" w:lineRule="auto"/>
        <w:rPr>
          <w:rFonts w:hAnsi="宋体" w:cs="宋体"/>
          <w:b/>
          <w:color w:val="auto"/>
          <w:sz w:val="32"/>
          <w:szCs w:val="32"/>
        </w:rPr>
      </w:pPr>
      <w:r>
        <w:rPr>
          <w:rFonts w:hint="eastAsia" w:hAnsi="宋体" w:cs="宋体"/>
          <w:b/>
          <w:color w:val="auto"/>
          <w:sz w:val="32"/>
          <w:szCs w:val="32"/>
        </w:rPr>
        <w:t>格式2-1             封面：</w:t>
      </w:r>
    </w:p>
    <w:p>
      <w:pPr>
        <w:spacing w:line="360" w:lineRule="auto"/>
        <w:jc w:val="right"/>
        <w:rPr>
          <w:rFonts w:hAnsi="宋体" w:cs="宋体"/>
          <w:b/>
          <w:color w:val="auto"/>
          <w:sz w:val="36"/>
        </w:rPr>
      </w:pPr>
      <w:r>
        <w:rPr>
          <w:rFonts w:hint="eastAsia" w:hAnsi="宋体" w:cs="宋体"/>
          <w:b/>
          <w:color w:val="auto"/>
          <w:sz w:val="36"/>
        </w:rPr>
        <w:t>（正本/副本）</w:t>
      </w:r>
    </w:p>
    <w:p>
      <w:pPr>
        <w:spacing w:line="360" w:lineRule="auto"/>
        <w:rPr>
          <w:rFonts w:hAnsi="宋体" w:cs="宋体"/>
          <w:b/>
          <w:color w:val="auto"/>
          <w:sz w:val="32"/>
          <w:szCs w:val="32"/>
        </w:rPr>
      </w:pPr>
    </w:p>
    <w:p>
      <w:pPr>
        <w:spacing w:line="360" w:lineRule="auto"/>
        <w:rPr>
          <w:rFonts w:hAnsi="宋体" w:cs="宋体"/>
          <w:b/>
          <w:color w:val="auto"/>
          <w:sz w:val="32"/>
          <w:szCs w:val="32"/>
        </w:rPr>
      </w:pPr>
    </w:p>
    <w:p>
      <w:pPr>
        <w:spacing w:line="360" w:lineRule="auto"/>
        <w:jc w:val="center"/>
        <w:rPr>
          <w:rFonts w:hAnsi="宋体" w:cs="宋体"/>
          <w:b/>
          <w:color w:val="auto"/>
          <w:sz w:val="72"/>
        </w:rPr>
      </w:pPr>
      <w:r>
        <w:rPr>
          <w:rFonts w:hint="eastAsia" w:hAnsi="宋体" w:cs="宋体"/>
          <w:b/>
          <w:color w:val="auto"/>
          <w:sz w:val="40"/>
          <w:szCs w:val="48"/>
        </w:rPr>
        <w:t>项目</w:t>
      </w:r>
    </w:p>
    <w:p>
      <w:pPr>
        <w:spacing w:line="360" w:lineRule="auto"/>
        <w:rPr>
          <w:rFonts w:hAnsi="宋体" w:cs="宋体"/>
          <w:b/>
          <w:color w:val="auto"/>
          <w:sz w:val="52"/>
          <w:szCs w:val="52"/>
        </w:rPr>
      </w:pPr>
    </w:p>
    <w:p>
      <w:pPr>
        <w:spacing w:line="360" w:lineRule="auto"/>
        <w:jc w:val="center"/>
        <w:rPr>
          <w:rFonts w:hAnsi="宋体" w:cs="宋体"/>
          <w:b/>
          <w:color w:val="auto"/>
          <w:sz w:val="32"/>
          <w:szCs w:val="32"/>
        </w:rPr>
      </w:pPr>
      <w:r>
        <w:rPr>
          <w:rFonts w:hint="eastAsia" w:hAnsi="宋体" w:cs="宋体"/>
          <w:b/>
          <w:color w:val="auto"/>
          <w:sz w:val="52"/>
          <w:szCs w:val="52"/>
        </w:rPr>
        <w:t>其他响应性投标文件</w:t>
      </w:r>
    </w:p>
    <w:p>
      <w:pPr>
        <w:spacing w:line="360" w:lineRule="auto"/>
        <w:rPr>
          <w:rFonts w:hAnsi="宋体" w:cs="宋体"/>
          <w:b/>
          <w:color w:val="auto"/>
          <w:sz w:val="36"/>
        </w:rPr>
      </w:pPr>
    </w:p>
    <w:p>
      <w:pPr>
        <w:spacing w:line="360" w:lineRule="auto"/>
        <w:jc w:val="left"/>
        <w:rPr>
          <w:rFonts w:hAnsi="宋体" w:cs="宋体"/>
          <w:b/>
          <w:color w:val="auto"/>
          <w:sz w:val="32"/>
          <w:u w:val="single"/>
        </w:rPr>
      </w:pPr>
      <w:r>
        <w:rPr>
          <w:rFonts w:hint="eastAsia" w:hAnsi="宋体" w:cs="宋体"/>
          <w:b/>
          <w:color w:val="auto"/>
          <w:sz w:val="32"/>
        </w:rPr>
        <w:t>投标人名称：</w:t>
      </w:r>
    </w:p>
    <w:p>
      <w:pPr>
        <w:spacing w:line="360" w:lineRule="auto"/>
        <w:jc w:val="left"/>
        <w:rPr>
          <w:rFonts w:hAnsi="宋体" w:cs="宋体"/>
          <w:b/>
          <w:color w:val="auto"/>
          <w:sz w:val="32"/>
          <w:u w:val="single"/>
        </w:rPr>
      </w:pPr>
      <w:r>
        <w:rPr>
          <w:rFonts w:hint="eastAsia" w:hAnsi="宋体" w:cs="宋体"/>
          <w:b/>
          <w:color w:val="auto"/>
          <w:sz w:val="32"/>
        </w:rPr>
        <w:t>采购项目编号：</w:t>
      </w:r>
    </w:p>
    <w:p>
      <w:pPr>
        <w:spacing w:line="360" w:lineRule="auto"/>
        <w:jc w:val="left"/>
        <w:rPr>
          <w:rFonts w:hAnsi="宋体" w:cs="宋体"/>
          <w:b/>
          <w:color w:val="auto"/>
          <w:sz w:val="32"/>
        </w:rPr>
      </w:pPr>
      <w:r>
        <w:rPr>
          <w:rFonts w:hint="eastAsia" w:hAnsi="宋体" w:cs="宋体"/>
          <w:b/>
          <w:color w:val="auto"/>
          <w:sz w:val="32"/>
        </w:rPr>
        <w:t>包号：</w:t>
      </w:r>
    </w:p>
    <w:p>
      <w:pPr>
        <w:spacing w:line="360" w:lineRule="auto"/>
        <w:rPr>
          <w:rFonts w:hAnsi="宋体" w:cs="宋体"/>
          <w:b/>
          <w:color w:val="auto"/>
          <w:sz w:val="32"/>
        </w:rPr>
      </w:pPr>
      <w:r>
        <w:rPr>
          <w:rFonts w:hint="eastAsia" w:hAnsi="宋体" w:cs="宋体"/>
          <w:b/>
          <w:color w:val="auto"/>
          <w:sz w:val="32"/>
        </w:rPr>
        <w:t>时间：年月日</w:t>
      </w:r>
    </w:p>
    <w:p>
      <w:pPr>
        <w:spacing w:line="360" w:lineRule="auto"/>
        <w:rPr>
          <w:rFonts w:hAnsi="宋体" w:cs="宋体"/>
          <w:b/>
          <w:color w:val="auto"/>
          <w:sz w:val="32"/>
          <w:szCs w:val="32"/>
        </w:rPr>
      </w:pPr>
      <w:r>
        <w:rPr>
          <w:rFonts w:hint="eastAsia" w:hAnsi="宋体" w:cs="宋体"/>
          <w:b/>
          <w:color w:val="auto"/>
          <w:sz w:val="32"/>
          <w:szCs w:val="32"/>
        </w:rPr>
        <w:br w:type="page"/>
      </w:r>
      <w:r>
        <w:rPr>
          <w:rFonts w:hint="eastAsia" w:hAnsi="宋体" w:cs="宋体"/>
          <w:b/>
          <w:color w:val="auto"/>
          <w:sz w:val="32"/>
          <w:szCs w:val="32"/>
        </w:rPr>
        <w:t>格式2-2</w:t>
      </w:r>
      <w:bookmarkStart w:id="195" w:name="_Toc20015"/>
      <w:bookmarkStart w:id="196" w:name="_Toc32711"/>
      <w:bookmarkStart w:id="197" w:name="_Toc10210"/>
    </w:p>
    <w:p>
      <w:pPr>
        <w:spacing w:line="360" w:lineRule="auto"/>
        <w:jc w:val="center"/>
        <w:outlineLvl w:val="1"/>
        <w:rPr>
          <w:rFonts w:hAnsi="宋体" w:cs="宋体"/>
          <w:b/>
          <w:color w:val="auto"/>
          <w:sz w:val="32"/>
          <w:szCs w:val="32"/>
        </w:rPr>
      </w:pPr>
      <w:r>
        <w:rPr>
          <w:rFonts w:hint="eastAsia" w:hAnsi="宋体" w:cs="宋体"/>
          <w:b/>
          <w:color w:val="auto"/>
          <w:sz w:val="32"/>
          <w:szCs w:val="32"/>
        </w:rPr>
        <w:t>一、投标函</w:t>
      </w:r>
    </w:p>
    <w:p>
      <w:pPr>
        <w:jc w:val="center"/>
        <w:outlineLvl w:val="1"/>
        <w:rPr>
          <w:rFonts w:hAnsi="宋体" w:cs="宋体"/>
          <w:b/>
          <w:color w:val="auto"/>
        </w:rPr>
      </w:pPr>
    </w:p>
    <w:p>
      <w:pPr>
        <w:pStyle w:val="18"/>
        <w:spacing w:line="240" w:lineRule="auto"/>
        <w:ind w:left="480"/>
        <w:rPr>
          <w:rFonts w:ascii="宋体" w:hAnsi="宋体" w:cs="宋体"/>
          <w:bCs/>
          <w:color w:val="auto"/>
        </w:rPr>
      </w:pPr>
      <w:bookmarkStart w:id="198" w:name="_Toc308164824"/>
      <w:r>
        <w:rPr>
          <w:rFonts w:hint="eastAsia" w:ascii="宋体" w:hAnsi="宋体" w:cs="宋体"/>
          <w:bCs/>
          <w:color w:val="auto"/>
        </w:rPr>
        <w:t>__________________（采购代理机构名称）：</w:t>
      </w:r>
    </w:p>
    <w:p>
      <w:pPr>
        <w:pStyle w:val="18"/>
        <w:spacing w:line="240" w:lineRule="auto"/>
        <w:ind w:left="480" w:firstLine="480" w:firstLineChars="200"/>
        <w:rPr>
          <w:rFonts w:ascii="宋体" w:hAnsi="宋体" w:cs="宋体"/>
          <w:bCs/>
          <w:color w:val="auto"/>
        </w:rPr>
      </w:pPr>
      <w:r>
        <w:rPr>
          <w:rFonts w:hint="eastAsia" w:ascii="宋体" w:hAnsi="宋体" w:cs="宋体"/>
          <w:bCs/>
          <w:color w:val="auto"/>
        </w:rPr>
        <w:t>我方全面研究了“_________”项目招标文件（招标编号：_________），决定参加贵单位组织的本项目投标。我方授权</w:t>
      </w:r>
      <w:r>
        <w:rPr>
          <w:rFonts w:hint="eastAsia" w:ascii="宋体" w:hAnsi="宋体" w:cs="宋体"/>
          <w:bCs/>
          <w:color w:val="auto"/>
          <w:u w:val="single"/>
        </w:rPr>
        <w:t>（姓名、职务）</w:t>
      </w:r>
      <w:r>
        <w:rPr>
          <w:rFonts w:hint="eastAsia" w:ascii="宋体" w:hAnsi="宋体" w:cs="宋体"/>
          <w:bCs/>
          <w:color w:val="auto"/>
        </w:rPr>
        <w:t>代表我方</w:t>
      </w:r>
      <w:r>
        <w:rPr>
          <w:rFonts w:hint="eastAsia" w:ascii="宋体" w:hAnsi="宋体" w:cs="宋体"/>
          <w:bCs/>
          <w:color w:val="auto"/>
          <w:u w:val="single"/>
        </w:rPr>
        <w:t>（投标单位的名称）</w:t>
      </w:r>
      <w:r>
        <w:rPr>
          <w:rFonts w:hint="eastAsia" w:ascii="宋体" w:hAnsi="宋体" w:cs="宋体"/>
          <w:bCs/>
          <w:color w:val="auto"/>
        </w:rPr>
        <w:t>全权处理本项目投标的有关事宜。</w:t>
      </w:r>
    </w:p>
    <w:p>
      <w:pPr>
        <w:pStyle w:val="18"/>
        <w:spacing w:line="240" w:lineRule="auto"/>
        <w:ind w:left="480" w:firstLine="480" w:firstLineChars="200"/>
        <w:rPr>
          <w:rFonts w:ascii="宋体" w:hAnsi="宋体" w:cs="宋体"/>
          <w:bCs/>
          <w:color w:val="auto"/>
        </w:rPr>
      </w:pPr>
      <w:r>
        <w:rPr>
          <w:rFonts w:hint="eastAsia" w:ascii="宋体" w:hAnsi="宋体" w:cs="宋体"/>
          <w:bCs/>
          <w:color w:val="auto"/>
        </w:rPr>
        <w:t>1、我方自愿按照招标文件规定的各项要求向采购人提供所需货物/服务，总投标价为人民币_________万元（大写：_________）。</w:t>
      </w:r>
    </w:p>
    <w:p>
      <w:pPr>
        <w:pStyle w:val="18"/>
        <w:spacing w:line="240" w:lineRule="auto"/>
        <w:ind w:left="648" w:leftChars="270" w:firstLine="360" w:firstLineChars="150"/>
        <w:rPr>
          <w:rFonts w:ascii="宋体" w:hAnsi="宋体" w:cs="宋体"/>
          <w:bCs/>
          <w:color w:val="auto"/>
        </w:rPr>
      </w:pPr>
      <w:r>
        <w:rPr>
          <w:rFonts w:hint="eastAsia" w:ascii="宋体" w:hAnsi="宋体" w:cs="宋体"/>
          <w:bCs/>
          <w:color w:val="auto"/>
        </w:rPr>
        <w:t>2、一旦我方中标，我方将严格履行合同规定的责任和义务，保证按我方承诺时间内完成项目的供货、安装、调试并交付采购人验收、使用。</w:t>
      </w:r>
    </w:p>
    <w:p>
      <w:pPr>
        <w:pStyle w:val="18"/>
        <w:spacing w:line="240" w:lineRule="auto"/>
        <w:ind w:left="480" w:firstLine="480" w:firstLineChars="200"/>
        <w:rPr>
          <w:rFonts w:ascii="宋体" w:hAnsi="宋体" w:cs="宋体"/>
          <w:bCs/>
          <w:color w:val="auto"/>
        </w:rPr>
      </w:pPr>
      <w:r>
        <w:rPr>
          <w:rFonts w:hint="eastAsia" w:ascii="宋体" w:hAnsi="宋体" w:cs="宋体"/>
          <w:bCs/>
          <w:color w:val="auto"/>
        </w:rPr>
        <w:t>3、我方同意按照招标文件的要求，向贵单位交纳人民币_________万元（大写：_________）的投标保证金。并承诺：下列任何情况发生时，我方将不要求退还投标保证金：</w:t>
      </w:r>
    </w:p>
    <w:p>
      <w:pPr>
        <w:pStyle w:val="18"/>
        <w:spacing w:line="240" w:lineRule="auto"/>
        <w:ind w:left="480" w:firstLine="480" w:firstLineChars="200"/>
        <w:rPr>
          <w:rFonts w:ascii="宋体" w:hAnsi="宋体" w:cs="宋体"/>
          <w:bCs/>
          <w:color w:val="auto"/>
        </w:rPr>
      </w:pPr>
      <w:r>
        <w:rPr>
          <w:rFonts w:hint="eastAsia" w:ascii="宋体" w:hAnsi="宋体" w:cs="宋体"/>
          <w:bCs/>
          <w:color w:val="auto"/>
        </w:rPr>
        <w:t>（1）如果我方在投标有效期内撤回投标；</w:t>
      </w:r>
    </w:p>
    <w:p>
      <w:pPr>
        <w:pStyle w:val="18"/>
        <w:spacing w:line="240" w:lineRule="auto"/>
        <w:ind w:left="480" w:firstLine="480" w:firstLineChars="200"/>
        <w:rPr>
          <w:rFonts w:ascii="宋体" w:hAnsi="宋体" w:cs="宋体"/>
          <w:bCs/>
          <w:color w:val="auto"/>
        </w:rPr>
      </w:pPr>
      <w:r>
        <w:rPr>
          <w:rFonts w:hint="eastAsia" w:ascii="宋体" w:hAnsi="宋体" w:cs="宋体"/>
          <w:bCs/>
          <w:color w:val="auto"/>
        </w:rPr>
        <w:t>（2）我方提供了虚假响应招标文件的投标文件；</w:t>
      </w:r>
    </w:p>
    <w:p>
      <w:pPr>
        <w:pStyle w:val="18"/>
        <w:spacing w:line="240" w:lineRule="auto"/>
        <w:ind w:left="480" w:firstLine="480" w:firstLineChars="200"/>
        <w:rPr>
          <w:rFonts w:ascii="宋体" w:hAnsi="宋体" w:cs="宋体"/>
          <w:bCs/>
          <w:color w:val="auto"/>
        </w:rPr>
      </w:pPr>
      <w:r>
        <w:rPr>
          <w:rFonts w:hint="eastAsia" w:ascii="宋体" w:hAnsi="宋体" w:cs="宋体"/>
          <w:bCs/>
          <w:color w:val="auto"/>
        </w:rPr>
        <w:t>（3）在投标过程中有违规违纪行为；</w:t>
      </w:r>
    </w:p>
    <w:p>
      <w:pPr>
        <w:pStyle w:val="18"/>
        <w:spacing w:line="240" w:lineRule="auto"/>
        <w:ind w:left="480" w:firstLine="480" w:firstLineChars="200"/>
        <w:rPr>
          <w:rFonts w:ascii="宋体" w:hAnsi="宋体" w:cs="宋体"/>
          <w:bCs/>
          <w:color w:val="auto"/>
        </w:rPr>
      </w:pPr>
      <w:r>
        <w:rPr>
          <w:rFonts w:hint="eastAsia" w:ascii="宋体" w:hAnsi="宋体" w:cs="宋体"/>
          <w:bCs/>
          <w:color w:val="auto"/>
        </w:rPr>
        <w:t>（4）我方在投标有效期内收到中标通知书后，由于我方原因未能按照招标文件要求提交履约保证金或与采购人签订并履行合同。</w:t>
      </w:r>
    </w:p>
    <w:p>
      <w:pPr>
        <w:pStyle w:val="18"/>
        <w:spacing w:line="240" w:lineRule="auto"/>
        <w:ind w:left="480" w:firstLine="480" w:firstLineChars="200"/>
        <w:rPr>
          <w:rFonts w:ascii="宋体" w:hAnsi="宋体" w:cs="宋体"/>
          <w:bCs/>
          <w:color w:val="auto"/>
        </w:rPr>
      </w:pPr>
      <w:r>
        <w:rPr>
          <w:rFonts w:hint="eastAsia" w:ascii="宋体" w:hAnsi="宋体" w:cs="宋体"/>
          <w:bCs/>
          <w:color w:val="auto"/>
        </w:rPr>
        <w:t>4、我方为本项目提交的投标文件正本1份，副本4份，电子文档（U盘）1份，用于开标唱标的“开标一览表”1份。</w:t>
      </w:r>
    </w:p>
    <w:p>
      <w:pPr>
        <w:pStyle w:val="18"/>
        <w:spacing w:line="240" w:lineRule="auto"/>
        <w:ind w:left="480" w:firstLine="480" w:firstLineChars="200"/>
        <w:rPr>
          <w:rFonts w:ascii="宋体" w:hAnsi="宋体" w:cs="宋体"/>
          <w:bCs/>
          <w:color w:val="auto"/>
        </w:rPr>
      </w:pPr>
      <w:r>
        <w:rPr>
          <w:rFonts w:hint="eastAsia" w:ascii="宋体" w:hAnsi="宋体" w:cs="宋体"/>
          <w:bCs/>
          <w:color w:val="auto"/>
        </w:rPr>
        <w:t>5、我方承诺投标有效期为开标后</w:t>
      </w:r>
      <w:r>
        <w:rPr>
          <w:rFonts w:hint="eastAsia" w:ascii="宋体" w:hAnsi="宋体" w:cs="宋体"/>
          <w:bCs/>
          <w:color w:val="auto"/>
          <w:u w:val="single"/>
        </w:rPr>
        <w:t>90</w:t>
      </w:r>
      <w:r>
        <w:rPr>
          <w:rFonts w:hint="eastAsia" w:ascii="宋体" w:hAnsi="宋体" w:cs="宋体"/>
          <w:bCs/>
          <w:color w:val="auto"/>
        </w:rPr>
        <w:t>天（日历日）。</w:t>
      </w:r>
    </w:p>
    <w:p>
      <w:pPr>
        <w:pStyle w:val="18"/>
        <w:spacing w:line="240" w:lineRule="auto"/>
        <w:ind w:left="480" w:firstLine="480" w:firstLineChars="200"/>
        <w:rPr>
          <w:rFonts w:ascii="宋体" w:hAnsi="宋体" w:cs="宋体"/>
          <w:bCs/>
          <w:color w:val="auto"/>
        </w:rPr>
      </w:pPr>
      <w:r>
        <w:rPr>
          <w:rFonts w:hint="eastAsia" w:ascii="宋体" w:hAnsi="宋体" w:cs="宋体"/>
          <w:bCs/>
          <w:color w:val="auto"/>
        </w:rPr>
        <w:t>6、我方愿意提供贵公司可能另外要求的，与投标有关的文件资料，并保证我方已提供和将要提供的文件资料是真实、准确的。</w:t>
      </w:r>
    </w:p>
    <w:p>
      <w:pPr>
        <w:pStyle w:val="18"/>
        <w:spacing w:line="240" w:lineRule="auto"/>
        <w:ind w:left="480" w:firstLine="480" w:firstLineChars="200"/>
        <w:rPr>
          <w:rFonts w:ascii="宋体" w:hAnsi="宋体" w:cs="宋体"/>
          <w:bCs/>
          <w:color w:val="auto"/>
        </w:rPr>
      </w:pPr>
      <w:r>
        <w:rPr>
          <w:rFonts w:hint="eastAsia" w:ascii="宋体" w:hAnsi="宋体" w:cs="宋体"/>
          <w:bCs/>
          <w:color w:val="auto"/>
        </w:rPr>
        <w:t>7、我方完全理解采购人不一定将合同授予最低报价的投标人的行为。</w:t>
      </w:r>
    </w:p>
    <w:p>
      <w:pPr>
        <w:pStyle w:val="18"/>
        <w:spacing w:line="240" w:lineRule="auto"/>
        <w:ind w:left="480" w:firstLine="480" w:firstLineChars="200"/>
        <w:rPr>
          <w:rFonts w:ascii="宋体" w:hAnsi="宋体" w:cs="宋体"/>
          <w:bCs/>
          <w:color w:val="auto"/>
        </w:rPr>
      </w:pPr>
      <w:r>
        <w:rPr>
          <w:rFonts w:hint="eastAsia" w:ascii="宋体" w:hAnsi="宋体" w:cs="宋体"/>
          <w:bCs/>
          <w:color w:val="auto"/>
        </w:rPr>
        <w:t>投标人名称：（盖公章）</w:t>
      </w:r>
    </w:p>
    <w:p>
      <w:pPr>
        <w:pStyle w:val="18"/>
        <w:spacing w:line="240" w:lineRule="auto"/>
        <w:ind w:left="480" w:firstLine="480" w:firstLineChars="200"/>
        <w:rPr>
          <w:rFonts w:ascii="宋体" w:hAnsi="宋体" w:cs="宋体"/>
          <w:bCs/>
          <w:color w:val="auto"/>
        </w:rPr>
      </w:pPr>
      <w:r>
        <w:rPr>
          <w:rFonts w:hint="eastAsia" w:ascii="宋体" w:hAnsi="宋体" w:cs="宋体"/>
          <w:bCs/>
          <w:color w:val="auto"/>
        </w:rPr>
        <w:t>法定代表人或</w:t>
      </w:r>
      <w:r>
        <w:rPr>
          <w:rFonts w:hint="eastAsia" w:ascii="宋体" w:hAnsi="宋体" w:cs="宋体"/>
          <w:color w:val="auto"/>
        </w:rPr>
        <w:t>委托代理人</w:t>
      </w:r>
      <w:r>
        <w:rPr>
          <w:rFonts w:hint="eastAsia" w:ascii="宋体" w:hAnsi="宋体" w:cs="宋体"/>
          <w:bCs/>
          <w:color w:val="auto"/>
        </w:rPr>
        <w:t>（签字或盖章）：</w:t>
      </w:r>
    </w:p>
    <w:p>
      <w:pPr>
        <w:pStyle w:val="18"/>
        <w:spacing w:line="240" w:lineRule="auto"/>
        <w:ind w:left="480" w:firstLine="480" w:firstLineChars="200"/>
        <w:rPr>
          <w:rFonts w:ascii="宋体" w:hAnsi="宋体" w:cs="宋体"/>
          <w:bCs/>
          <w:color w:val="auto"/>
        </w:rPr>
      </w:pPr>
      <w:r>
        <w:rPr>
          <w:rFonts w:hint="eastAsia" w:ascii="宋体" w:hAnsi="宋体" w:cs="宋体"/>
          <w:bCs/>
          <w:color w:val="auto"/>
        </w:rPr>
        <w:t>通讯地址：</w:t>
      </w:r>
    </w:p>
    <w:p>
      <w:pPr>
        <w:pStyle w:val="18"/>
        <w:spacing w:line="240" w:lineRule="auto"/>
        <w:ind w:left="480" w:firstLine="480" w:firstLineChars="200"/>
        <w:rPr>
          <w:rFonts w:ascii="宋体" w:hAnsi="宋体" w:cs="宋体"/>
          <w:bCs/>
          <w:color w:val="auto"/>
        </w:rPr>
      </w:pPr>
      <w:r>
        <w:rPr>
          <w:rFonts w:hint="eastAsia" w:ascii="宋体" w:hAnsi="宋体" w:cs="宋体"/>
          <w:bCs/>
          <w:color w:val="auto"/>
        </w:rPr>
        <w:t>邮政编码：</w:t>
      </w:r>
    </w:p>
    <w:p>
      <w:pPr>
        <w:pStyle w:val="18"/>
        <w:spacing w:line="240" w:lineRule="auto"/>
        <w:ind w:left="480" w:firstLine="480" w:firstLineChars="200"/>
        <w:rPr>
          <w:rFonts w:ascii="宋体" w:hAnsi="宋体" w:cs="宋体"/>
          <w:bCs/>
          <w:color w:val="auto"/>
        </w:rPr>
      </w:pPr>
      <w:r>
        <w:rPr>
          <w:rFonts w:hint="eastAsia" w:ascii="宋体" w:hAnsi="宋体" w:cs="宋体"/>
          <w:bCs/>
          <w:color w:val="auto"/>
        </w:rPr>
        <w:t>联系电话：</w:t>
      </w:r>
    </w:p>
    <w:p>
      <w:pPr>
        <w:pStyle w:val="18"/>
        <w:spacing w:line="240" w:lineRule="auto"/>
        <w:ind w:left="480" w:firstLine="480" w:firstLineChars="200"/>
        <w:rPr>
          <w:rFonts w:ascii="宋体" w:hAnsi="宋体" w:cs="宋体"/>
          <w:bCs/>
          <w:color w:val="auto"/>
        </w:rPr>
      </w:pPr>
      <w:r>
        <w:rPr>
          <w:rFonts w:hint="eastAsia" w:ascii="宋体" w:hAnsi="宋体" w:cs="宋体"/>
          <w:bCs/>
          <w:color w:val="auto"/>
        </w:rPr>
        <w:t>传真：</w:t>
      </w:r>
    </w:p>
    <w:p>
      <w:pPr>
        <w:pStyle w:val="18"/>
        <w:spacing w:line="240" w:lineRule="auto"/>
        <w:ind w:left="480" w:firstLine="480" w:firstLineChars="200"/>
        <w:rPr>
          <w:rFonts w:ascii="宋体" w:hAnsi="宋体" w:cs="宋体"/>
          <w:color w:val="auto"/>
          <w:sz w:val="36"/>
          <w:szCs w:val="36"/>
        </w:rPr>
      </w:pPr>
      <w:r>
        <w:rPr>
          <w:rFonts w:hint="eastAsia" w:ascii="宋体" w:hAnsi="宋体" w:cs="宋体"/>
          <w:bCs/>
          <w:color w:val="auto"/>
        </w:rPr>
        <w:t>日期：</w:t>
      </w:r>
    </w:p>
    <w:p>
      <w:pPr>
        <w:spacing w:line="360" w:lineRule="auto"/>
        <w:rPr>
          <w:rFonts w:hAnsi="宋体" w:cs="宋体"/>
          <w:b/>
          <w:color w:val="auto"/>
          <w:sz w:val="32"/>
          <w:szCs w:val="32"/>
        </w:rPr>
      </w:pPr>
      <w:r>
        <w:rPr>
          <w:rFonts w:hint="eastAsia" w:hAnsi="宋体" w:cs="宋体"/>
          <w:b/>
          <w:color w:val="auto"/>
          <w:sz w:val="32"/>
          <w:szCs w:val="32"/>
        </w:rPr>
        <w:br w:type="page"/>
      </w:r>
      <w:r>
        <w:rPr>
          <w:rFonts w:hint="eastAsia" w:hAnsi="宋体" w:cs="宋体"/>
          <w:b/>
          <w:color w:val="auto"/>
          <w:sz w:val="32"/>
          <w:szCs w:val="32"/>
        </w:rPr>
        <w:t>格式2-3</w:t>
      </w:r>
    </w:p>
    <w:p>
      <w:pPr>
        <w:spacing w:line="360" w:lineRule="auto"/>
        <w:jc w:val="center"/>
        <w:outlineLvl w:val="1"/>
        <w:rPr>
          <w:rFonts w:hAnsi="宋体" w:cs="宋体"/>
          <w:b/>
          <w:color w:val="auto"/>
          <w:sz w:val="32"/>
          <w:szCs w:val="32"/>
        </w:rPr>
      </w:pPr>
      <w:r>
        <w:rPr>
          <w:rFonts w:hint="eastAsia" w:hAnsi="宋体" w:cs="宋体"/>
          <w:b/>
          <w:color w:val="auto"/>
          <w:sz w:val="32"/>
          <w:szCs w:val="32"/>
        </w:rPr>
        <w:t>二、承诺函</w:t>
      </w:r>
    </w:p>
    <w:p>
      <w:pPr>
        <w:spacing w:line="360" w:lineRule="auto"/>
        <w:jc w:val="center"/>
        <w:outlineLvl w:val="1"/>
        <w:rPr>
          <w:rFonts w:hAnsi="宋体" w:cs="宋体"/>
          <w:b/>
          <w:color w:val="auto"/>
        </w:rPr>
      </w:pPr>
    </w:p>
    <w:p>
      <w:pPr>
        <w:spacing w:line="360" w:lineRule="auto"/>
        <w:jc w:val="left"/>
        <w:outlineLvl w:val="1"/>
        <w:rPr>
          <w:rFonts w:hAnsi="宋体" w:cs="宋体"/>
          <w:color w:val="auto"/>
        </w:rPr>
      </w:pPr>
      <w:r>
        <w:rPr>
          <w:rFonts w:hint="eastAsia" w:hAnsi="宋体" w:cs="宋体"/>
          <w:color w:val="auto"/>
          <w:u w:val="single"/>
        </w:rPr>
        <w:t>（采购代理机构名称）</w:t>
      </w:r>
      <w:r>
        <w:rPr>
          <w:rFonts w:hint="eastAsia" w:hAnsi="宋体" w:cs="宋体"/>
          <w:color w:val="auto"/>
        </w:rPr>
        <w:t>：</w:t>
      </w:r>
    </w:p>
    <w:p>
      <w:pPr>
        <w:spacing w:line="360" w:lineRule="auto"/>
        <w:ind w:firstLine="480" w:firstLineChars="200"/>
        <w:jc w:val="left"/>
        <w:outlineLvl w:val="1"/>
        <w:rPr>
          <w:rFonts w:hAnsi="宋体" w:cs="宋体"/>
          <w:color w:val="auto"/>
        </w:rPr>
      </w:pPr>
      <w:r>
        <w:rPr>
          <w:rFonts w:hint="eastAsia" w:hAnsi="宋体" w:cs="宋体"/>
          <w:color w:val="auto"/>
        </w:rPr>
        <w:t>我单位作为本次采购项目的投标人，根据招标文件要求，现郑重承诺如下：</w:t>
      </w:r>
    </w:p>
    <w:p>
      <w:pPr>
        <w:spacing w:line="360" w:lineRule="auto"/>
        <w:ind w:firstLine="480" w:firstLineChars="200"/>
        <w:jc w:val="left"/>
        <w:outlineLvl w:val="1"/>
        <w:rPr>
          <w:rFonts w:hAnsi="宋体" w:cs="宋体"/>
          <w:color w:val="auto"/>
        </w:rPr>
      </w:pPr>
      <w:r>
        <w:rPr>
          <w:rFonts w:hint="eastAsia" w:hAnsi="宋体" w:cs="宋体"/>
          <w:color w:val="auto"/>
        </w:rPr>
        <w:t>一、完全接受和满足本项目招标文件中规定的实质性要求，如对招标文件有异议，已依法进行维权救济，不存在对招标文件有异议的同时又参加投标以求侥幸中标或者为实现其他非法目的的行为。</w:t>
      </w:r>
    </w:p>
    <w:p>
      <w:pPr>
        <w:spacing w:line="360" w:lineRule="auto"/>
        <w:ind w:firstLine="480" w:firstLineChars="200"/>
        <w:jc w:val="left"/>
        <w:outlineLvl w:val="1"/>
        <w:rPr>
          <w:rFonts w:hAnsi="宋体" w:cs="宋体"/>
          <w:color w:val="auto"/>
        </w:rPr>
      </w:pPr>
      <w:r>
        <w:rPr>
          <w:rFonts w:hint="eastAsia" w:hAnsi="宋体" w:cs="宋体"/>
          <w:color w:val="auto"/>
        </w:rPr>
        <w:t>二、参加本次招标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pPr>
        <w:spacing w:line="360" w:lineRule="auto"/>
        <w:ind w:firstLine="480" w:firstLineChars="200"/>
        <w:jc w:val="left"/>
        <w:outlineLvl w:val="1"/>
        <w:rPr>
          <w:rFonts w:hAnsi="宋体" w:cs="宋体"/>
          <w:color w:val="auto"/>
        </w:rPr>
      </w:pPr>
      <w:r>
        <w:rPr>
          <w:rFonts w:hint="eastAsia" w:hAnsi="宋体" w:cs="宋体"/>
          <w:color w:val="auto"/>
        </w:rPr>
        <w:t>三、参加本次招标采购活动，不存在和其他供应商在同一合同项下的采购项目中，同时委托同一个自然人、同一家庭的人员、同一单位的人员作为代理人的行为。</w:t>
      </w:r>
    </w:p>
    <w:p>
      <w:pPr>
        <w:spacing w:line="360" w:lineRule="auto"/>
        <w:ind w:firstLine="480" w:firstLineChars="200"/>
        <w:jc w:val="left"/>
        <w:outlineLvl w:val="1"/>
        <w:rPr>
          <w:rFonts w:hAnsi="宋体" w:cs="宋体"/>
          <w:color w:val="auto"/>
        </w:rPr>
      </w:pPr>
      <w:r>
        <w:rPr>
          <w:rFonts w:hint="eastAsia" w:hAnsi="宋体" w:cs="宋体"/>
          <w:color w:val="auto"/>
        </w:rPr>
        <w:t>四、投标文件中提供的能够给予我单位带来优惠、好处的任何材料资料和技术、服务、商务、响应产品等响应承诺情况都是真实的、有效的、合法的。</w:t>
      </w:r>
    </w:p>
    <w:p>
      <w:pPr>
        <w:spacing w:line="360" w:lineRule="auto"/>
        <w:ind w:firstLine="480" w:firstLineChars="200"/>
        <w:jc w:val="left"/>
        <w:outlineLvl w:val="1"/>
        <w:rPr>
          <w:rFonts w:hAnsi="宋体" w:cs="宋体"/>
          <w:color w:val="auto"/>
        </w:rPr>
      </w:pPr>
      <w:r>
        <w:rPr>
          <w:rFonts w:hint="eastAsia" w:hAnsi="宋体" w:cs="宋体"/>
          <w:color w:val="auto"/>
        </w:rPr>
        <w:t>五、如本项目评标过程中需要提供样品，则我单位提供的样品即为中标后将要提供的中标产品，我单位对提供样品的性能和质量负责，因样品存在缺陷或者不符合招标文件要求导致未能中标的，我单位愿意承担相应不利后果。</w:t>
      </w:r>
    </w:p>
    <w:p>
      <w:pPr>
        <w:spacing w:line="360" w:lineRule="auto"/>
        <w:ind w:firstLine="480" w:firstLineChars="200"/>
        <w:jc w:val="left"/>
        <w:outlineLvl w:val="1"/>
        <w:rPr>
          <w:rFonts w:hAnsi="宋体" w:cs="宋体"/>
          <w:color w:val="auto"/>
        </w:rPr>
      </w:pPr>
      <w:r>
        <w:rPr>
          <w:rFonts w:hint="eastAsia" w:hAnsi="宋体" w:cs="宋体"/>
          <w:color w:val="auto"/>
        </w:rPr>
        <w:t>本单位对上述承诺的内容事项真实性负责。如经查实上述承诺的内容事项存在虚假，我单位愿意接受以提供虚假材料谋取中标追究法律责任。</w:t>
      </w:r>
    </w:p>
    <w:p>
      <w:pPr>
        <w:spacing w:line="360" w:lineRule="auto"/>
        <w:ind w:firstLine="470" w:firstLineChars="196"/>
        <w:jc w:val="left"/>
        <w:outlineLvl w:val="1"/>
        <w:rPr>
          <w:rFonts w:hAnsi="宋体" w:cs="宋体"/>
          <w:color w:val="auto"/>
        </w:rPr>
      </w:pPr>
    </w:p>
    <w:p>
      <w:pPr>
        <w:pStyle w:val="11"/>
        <w:spacing w:line="360" w:lineRule="auto"/>
        <w:rPr>
          <w:rFonts w:hAnsi="宋体" w:cs="宋体"/>
        </w:rPr>
      </w:pPr>
    </w:p>
    <w:p>
      <w:pPr>
        <w:pStyle w:val="11"/>
        <w:spacing w:line="360" w:lineRule="auto"/>
        <w:rPr>
          <w:rFonts w:hAnsi="宋体" w:cs="宋体"/>
        </w:rPr>
      </w:pPr>
    </w:p>
    <w:p>
      <w:pPr>
        <w:spacing w:line="360" w:lineRule="auto"/>
        <w:ind w:firstLine="470" w:firstLineChars="196"/>
        <w:jc w:val="left"/>
        <w:outlineLvl w:val="1"/>
        <w:rPr>
          <w:rFonts w:hAnsi="宋体" w:cs="宋体"/>
          <w:color w:val="auto"/>
        </w:rPr>
      </w:pPr>
      <w:r>
        <w:rPr>
          <w:rFonts w:hint="eastAsia" w:hAnsi="宋体" w:cs="宋体"/>
          <w:color w:val="auto"/>
        </w:rPr>
        <w:t>投标人名称：（盖公章）</w:t>
      </w:r>
    </w:p>
    <w:p>
      <w:pPr>
        <w:spacing w:line="360" w:lineRule="auto"/>
        <w:ind w:firstLine="470" w:firstLineChars="196"/>
        <w:jc w:val="left"/>
        <w:outlineLvl w:val="1"/>
        <w:rPr>
          <w:rFonts w:hAnsi="宋体" w:cs="宋体"/>
          <w:color w:val="auto"/>
        </w:rPr>
      </w:pPr>
      <w:r>
        <w:rPr>
          <w:rFonts w:hint="eastAsia" w:hAnsi="宋体" w:cs="宋体"/>
          <w:color w:val="auto"/>
        </w:rPr>
        <w:t>法定代表人或委托代理人（签字或盖章）：</w:t>
      </w:r>
    </w:p>
    <w:p>
      <w:pPr>
        <w:spacing w:line="360" w:lineRule="auto"/>
        <w:ind w:firstLine="470" w:firstLineChars="196"/>
        <w:jc w:val="left"/>
        <w:outlineLvl w:val="1"/>
        <w:rPr>
          <w:rFonts w:hAnsi="宋体" w:cs="宋体"/>
          <w:color w:val="auto"/>
        </w:rPr>
      </w:pPr>
      <w:r>
        <w:rPr>
          <w:rFonts w:hint="eastAsia" w:hAnsi="宋体" w:cs="宋体"/>
          <w:color w:val="auto"/>
        </w:rPr>
        <w:t>日期：</w:t>
      </w:r>
    </w:p>
    <w:p>
      <w:pPr>
        <w:spacing w:line="360" w:lineRule="auto"/>
        <w:rPr>
          <w:rFonts w:hAnsi="宋体" w:cs="宋体"/>
          <w:b/>
          <w:color w:val="auto"/>
          <w:sz w:val="32"/>
          <w:szCs w:val="32"/>
        </w:rPr>
      </w:pPr>
      <w:r>
        <w:rPr>
          <w:rFonts w:hint="eastAsia" w:hAnsi="宋体" w:cs="宋体"/>
          <w:b/>
          <w:color w:val="auto"/>
          <w:sz w:val="32"/>
          <w:szCs w:val="32"/>
        </w:rPr>
        <w:br w:type="page"/>
      </w:r>
      <w:r>
        <w:rPr>
          <w:rFonts w:hint="eastAsia" w:hAnsi="宋体" w:cs="宋体"/>
          <w:b/>
          <w:color w:val="auto"/>
          <w:sz w:val="32"/>
          <w:szCs w:val="32"/>
        </w:rPr>
        <w:t>格式2-4</w:t>
      </w:r>
    </w:p>
    <w:bookmarkEnd w:id="198"/>
    <w:p>
      <w:pPr>
        <w:numPr>
          <w:ilvl w:val="0"/>
          <w:numId w:val="5"/>
        </w:numPr>
        <w:ind w:firstLine="643" w:firstLineChars="200"/>
        <w:jc w:val="center"/>
        <w:rPr>
          <w:rFonts w:hAnsi="宋体" w:cs="宋体"/>
          <w:b/>
          <w:color w:val="auto"/>
          <w:sz w:val="32"/>
          <w:szCs w:val="32"/>
        </w:rPr>
      </w:pPr>
      <w:bookmarkStart w:id="199" w:name="_Toc217446085"/>
      <w:r>
        <w:rPr>
          <w:rFonts w:hint="eastAsia" w:hAnsi="宋体" w:cs="宋体"/>
          <w:b/>
          <w:color w:val="auto"/>
          <w:sz w:val="32"/>
          <w:szCs w:val="32"/>
        </w:rPr>
        <w:t>开标一览表</w:t>
      </w:r>
      <w:bookmarkEnd w:id="199"/>
    </w:p>
    <w:p>
      <w:pPr>
        <w:pStyle w:val="11"/>
        <w:rPr>
          <w:rFonts w:hAnsi="宋体" w:cs="宋体"/>
          <w:sz w:val="24"/>
        </w:rPr>
      </w:pPr>
      <w:r>
        <w:rPr>
          <w:rFonts w:hint="eastAsia" w:hAnsi="宋体" w:cs="宋体"/>
          <w:sz w:val="24"/>
        </w:rPr>
        <w:t>项目编号/包号：</w:t>
      </w:r>
    </w:p>
    <w:tbl>
      <w:tblPr>
        <w:tblStyle w:val="32"/>
        <w:tblW w:w="99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418"/>
        <w:gridCol w:w="1342"/>
        <w:gridCol w:w="642"/>
        <w:gridCol w:w="1549"/>
        <w:gridCol w:w="1335"/>
        <w:gridCol w:w="1335"/>
        <w:gridCol w:w="900"/>
        <w:gridCol w:w="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2" w:type="dxa"/>
            <w:vAlign w:val="center"/>
          </w:tcPr>
          <w:p>
            <w:pPr>
              <w:jc w:val="center"/>
              <w:rPr>
                <w:rFonts w:hAnsi="宋体" w:cs="宋体"/>
                <w:color w:val="auto"/>
              </w:rPr>
            </w:pPr>
            <w:r>
              <w:rPr>
                <w:rFonts w:hint="eastAsia" w:hAnsi="宋体" w:cs="宋体"/>
                <w:color w:val="auto"/>
              </w:rPr>
              <w:t>序号</w:t>
            </w:r>
          </w:p>
        </w:tc>
        <w:tc>
          <w:tcPr>
            <w:tcW w:w="1418" w:type="dxa"/>
            <w:vAlign w:val="center"/>
          </w:tcPr>
          <w:p>
            <w:pPr>
              <w:jc w:val="center"/>
              <w:rPr>
                <w:rFonts w:hAnsi="宋体" w:cs="宋体"/>
                <w:color w:val="auto"/>
              </w:rPr>
            </w:pPr>
            <w:r>
              <w:rPr>
                <w:rFonts w:hint="eastAsia" w:hAnsi="宋体" w:cs="宋体"/>
                <w:color w:val="auto"/>
              </w:rPr>
              <w:t>货物名称</w:t>
            </w:r>
          </w:p>
        </w:tc>
        <w:tc>
          <w:tcPr>
            <w:tcW w:w="1342" w:type="dxa"/>
            <w:vAlign w:val="center"/>
          </w:tcPr>
          <w:p>
            <w:pPr>
              <w:rPr>
                <w:rFonts w:hAnsi="宋体" w:cs="宋体"/>
                <w:color w:val="auto"/>
              </w:rPr>
            </w:pPr>
            <w:r>
              <w:rPr>
                <w:rFonts w:hint="eastAsia" w:hAnsi="宋体" w:cs="宋体"/>
                <w:color w:val="auto"/>
              </w:rPr>
              <w:t>制造商家品牌及规格型号</w:t>
            </w:r>
          </w:p>
        </w:tc>
        <w:tc>
          <w:tcPr>
            <w:tcW w:w="642" w:type="dxa"/>
            <w:vAlign w:val="center"/>
          </w:tcPr>
          <w:p>
            <w:pPr>
              <w:jc w:val="center"/>
              <w:rPr>
                <w:rFonts w:hAnsi="宋体" w:cs="宋体"/>
                <w:color w:val="auto"/>
              </w:rPr>
            </w:pPr>
            <w:r>
              <w:rPr>
                <w:rFonts w:hint="eastAsia" w:hAnsi="宋体" w:cs="宋体"/>
                <w:color w:val="auto"/>
              </w:rPr>
              <w:t>数量</w:t>
            </w:r>
          </w:p>
        </w:tc>
        <w:tc>
          <w:tcPr>
            <w:tcW w:w="1549" w:type="dxa"/>
            <w:vAlign w:val="center"/>
          </w:tcPr>
          <w:p>
            <w:pPr>
              <w:jc w:val="center"/>
              <w:rPr>
                <w:rFonts w:hAnsi="宋体" w:cs="宋体"/>
                <w:color w:val="auto"/>
              </w:rPr>
            </w:pPr>
            <w:r>
              <w:rPr>
                <w:rFonts w:hint="eastAsia" w:hAnsi="宋体" w:cs="宋体"/>
                <w:color w:val="auto"/>
              </w:rPr>
              <w:t>投标单价</w:t>
            </w:r>
          </w:p>
          <w:p>
            <w:pPr>
              <w:jc w:val="center"/>
              <w:rPr>
                <w:rFonts w:hAnsi="宋体" w:cs="宋体"/>
                <w:color w:val="auto"/>
              </w:rPr>
            </w:pPr>
            <w:r>
              <w:rPr>
                <w:rFonts w:hint="eastAsia" w:hAnsi="宋体" w:cs="宋体"/>
                <w:color w:val="auto"/>
              </w:rPr>
              <w:t>（人民币）</w:t>
            </w:r>
          </w:p>
        </w:tc>
        <w:tc>
          <w:tcPr>
            <w:tcW w:w="1335" w:type="dxa"/>
            <w:vAlign w:val="center"/>
          </w:tcPr>
          <w:p>
            <w:pPr>
              <w:jc w:val="center"/>
              <w:rPr>
                <w:rFonts w:hAnsi="宋体" w:cs="宋体"/>
                <w:color w:val="auto"/>
              </w:rPr>
            </w:pPr>
            <w:r>
              <w:rPr>
                <w:rFonts w:hint="eastAsia" w:hAnsi="宋体" w:cs="宋体"/>
                <w:color w:val="auto"/>
              </w:rPr>
              <w:t>小计</w:t>
            </w:r>
          </w:p>
          <w:p>
            <w:pPr>
              <w:jc w:val="center"/>
              <w:rPr>
                <w:rFonts w:hAnsi="宋体" w:cs="宋体"/>
                <w:color w:val="auto"/>
              </w:rPr>
            </w:pPr>
            <w:r>
              <w:rPr>
                <w:rFonts w:hint="eastAsia" w:hAnsi="宋体" w:cs="宋体"/>
                <w:color w:val="auto"/>
              </w:rPr>
              <w:t>（人民币）</w:t>
            </w:r>
          </w:p>
        </w:tc>
        <w:tc>
          <w:tcPr>
            <w:tcW w:w="1335" w:type="dxa"/>
            <w:vAlign w:val="center"/>
          </w:tcPr>
          <w:p>
            <w:pPr>
              <w:jc w:val="center"/>
              <w:rPr>
                <w:rFonts w:hAnsi="宋体" w:cs="宋体"/>
                <w:color w:val="auto"/>
              </w:rPr>
            </w:pPr>
            <w:r>
              <w:rPr>
                <w:rFonts w:hint="eastAsia" w:hAnsi="宋体" w:cs="宋体"/>
                <w:color w:val="auto"/>
              </w:rPr>
              <w:t>交货时间</w:t>
            </w:r>
          </w:p>
        </w:tc>
        <w:tc>
          <w:tcPr>
            <w:tcW w:w="900" w:type="dxa"/>
            <w:vAlign w:val="center"/>
          </w:tcPr>
          <w:p>
            <w:pPr>
              <w:jc w:val="center"/>
              <w:rPr>
                <w:rFonts w:hAnsi="宋体" w:cs="宋体"/>
                <w:color w:val="auto"/>
              </w:rPr>
            </w:pPr>
            <w:r>
              <w:rPr>
                <w:rFonts w:hint="eastAsia" w:hAnsi="宋体" w:cs="宋体"/>
                <w:color w:val="auto"/>
              </w:rPr>
              <w:t>质保期</w:t>
            </w:r>
          </w:p>
        </w:tc>
        <w:tc>
          <w:tcPr>
            <w:tcW w:w="967" w:type="dxa"/>
            <w:vAlign w:val="center"/>
          </w:tcPr>
          <w:p>
            <w:pPr>
              <w:jc w:val="center"/>
              <w:rPr>
                <w:rFonts w:hAnsi="宋体" w:cs="宋体"/>
                <w:color w:val="auto"/>
              </w:rPr>
            </w:pPr>
            <w:r>
              <w:rPr>
                <w:rFonts w:hint="eastAsia" w:hAnsi="宋体" w:cs="宋体"/>
                <w:color w:val="auto"/>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2" w:type="dxa"/>
            <w:vAlign w:val="center"/>
          </w:tcPr>
          <w:p>
            <w:pPr>
              <w:ind w:firstLine="105" w:firstLineChars="50"/>
              <w:jc w:val="center"/>
              <w:rPr>
                <w:rFonts w:hAnsi="宋体" w:cs="宋体"/>
                <w:color w:val="auto"/>
                <w:sz w:val="21"/>
                <w:szCs w:val="21"/>
              </w:rPr>
            </w:pPr>
            <w:r>
              <w:rPr>
                <w:rFonts w:hint="eastAsia" w:hAnsi="宋体" w:cs="宋体"/>
                <w:color w:val="auto"/>
                <w:sz w:val="21"/>
                <w:szCs w:val="21"/>
              </w:rPr>
              <w:t>1</w:t>
            </w:r>
          </w:p>
        </w:tc>
        <w:tc>
          <w:tcPr>
            <w:tcW w:w="1418" w:type="dxa"/>
            <w:vAlign w:val="center"/>
          </w:tcPr>
          <w:p>
            <w:pPr>
              <w:ind w:firstLine="105" w:firstLineChars="50"/>
              <w:rPr>
                <w:rFonts w:hAnsi="宋体" w:cs="宋体"/>
                <w:color w:val="auto"/>
                <w:sz w:val="21"/>
                <w:szCs w:val="21"/>
              </w:rPr>
            </w:pPr>
            <w:r>
              <w:rPr>
                <w:rFonts w:hint="eastAsia" w:hAnsi="宋体" w:cs="宋体"/>
                <w:color w:val="auto"/>
                <w:sz w:val="21"/>
                <w:szCs w:val="21"/>
              </w:rPr>
              <w:t>....</w:t>
            </w:r>
          </w:p>
        </w:tc>
        <w:tc>
          <w:tcPr>
            <w:tcW w:w="1342" w:type="dxa"/>
            <w:vAlign w:val="center"/>
          </w:tcPr>
          <w:p>
            <w:pPr>
              <w:ind w:firstLine="105" w:firstLineChars="50"/>
              <w:rPr>
                <w:rFonts w:hAnsi="宋体" w:cs="宋体"/>
                <w:color w:val="auto"/>
                <w:sz w:val="21"/>
                <w:szCs w:val="21"/>
              </w:rPr>
            </w:pPr>
          </w:p>
        </w:tc>
        <w:tc>
          <w:tcPr>
            <w:tcW w:w="642" w:type="dxa"/>
            <w:vAlign w:val="center"/>
          </w:tcPr>
          <w:p>
            <w:pPr>
              <w:ind w:firstLine="105" w:firstLineChars="50"/>
              <w:rPr>
                <w:rFonts w:hAnsi="宋体" w:cs="宋体"/>
                <w:color w:val="auto"/>
                <w:sz w:val="21"/>
                <w:szCs w:val="21"/>
              </w:rPr>
            </w:pPr>
          </w:p>
        </w:tc>
        <w:tc>
          <w:tcPr>
            <w:tcW w:w="1549" w:type="dxa"/>
            <w:vAlign w:val="center"/>
          </w:tcPr>
          <w:p>
            <w:pPr>
              <w:ind w:firstLine="105" w:firstLineChars="50"/>
              <w:rPr>
                <w:rFonts w:hAnsi="宋体" w:cs="宋体"/>
                <w:color w:val="auto"/>
                <w:sz w:val="21"/>
                <w:szCs w:val="21"/>
              </w:rPr>
            </w:pPr>
          </w:p>
        </w:tc>
        <w:tc>
          <w:tcPr>
            <w:tcW w:w="1335" w:type="dxa"/>
          </w:tcPr>
          <w:p>
            <w:pPr>
              <w:ind w:firstLine="105" w:firstLineChars="50"/>
              <w:rPr>
                <w:rFonts w:hAnsi="宋体" w:cs="宋体"/>
                <w:color w:val="auto"/>
                <w:sz w:val="21"/>
                <w:szCs w:val="21"/>
              </w:rPr>
            </w:pPr>
          </w:p>
        </w:tc>
        <w:tc>
          <w:tcPr>
            <w:tcW w:w="1335" w:type="dxa"/>
            <w:vAlign w:val="center"/>
          </w:tcPr>
          <w:p>
            <w:pPr>
              <w:ind w:firstLine="105" w:firstLineChars="50"/>
              <w:rPr>
                <w:rFonts w:hAnsi="宋体" w:cs="宋体"/>
                <w:color w:val="auto"/>
                <w:sz w:val="21"/>
                <w:szCs w:val="21"/>
              </w:rPr>
            </w:pPr>
          </w:p>
        </w:tc>
        <w:tc>
          <w:tcPr>
            <w:tcW w:w="900" w:type="dxa"/>
            <w:vAlign w:val="center"/>
          </w:tcPr>
          <w:p>
            <w:pPr>
              <w:ind w:firstLine="105" w:firstLineChars="50"/>
              <w:rPr>
                <w:rFonts w:hAnsi="宋体" w:cs="宋体"/>
                <w:color w:val="auto"/>
                <w:sz w:val="21"/>
                <w:szCs w:val="21"/>
              </w:rPr>
            </w:pPr>
          </w:p>
        </w:tc>
        <w:tc>
          <w:tcPr>
            <w:tcW w:w="967" w:type="dxa"/>
            <w:vAlign w:val="center"/>
          </w:tcPr>
          <w:p>
            <w:pPr>
              <w:ind w:firstLine="105" w:firstLineChars="50"/>
              <w:rPr>
                <w:rFonts w:hAnsi="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2" w:type="dxa"/>
            <w:vAlign w:val="center"/>
          </w:tcPr>
          <w:p>
            <w:pPr>
              <w:ind w:firstLine="105" w:firstLineChars="50"/>
              <w:jc w:val="center"/>
              <w:rPr>
                <w:rFonts w:hAnsi="宋体" w:cs="宋体"/>
                <w:color w:val="auto"/>
                <w:sz w:val="21"/>
                <w:szCs w:val="21"/>
              </w:rPr>
            </w:pPr>
            <w:r>
              <w:rPr>
                <w:rFonts w:hint="eastAsia" w:hAnsi="宋体" w:cs="宋体"/>
                <w:color w:val="auto"/>
                <w:sz w:val="21"/>
                <w:szCs w:val="21"/>
              </w:rPr>
              <w:t>2</w:t>
            </w:r>
          </w:p>
        </w:tc>
        <w:tc>
          <w:tcPr>
            <w:tcW w:w="1418" w:type="dxa"/>
            <w:vAlign w:val="center"/>
          </w:tcPr>
          <w:p>
            <w:pPr>
              <w:ind w:firstLine="105" w:firstLineChars="50"/>
              <w:rPr>
                <w:rFonts w:hAnsi="宋体" w:cs="宋体"/>
                <w:color w:val="auto"/>
                <w:sz w:val="21"/>
                <w:szCs w:val="21"/>
              </w:rPr>
            </w:pPr>
            <w:r>
              <w:rPr>
                <w:rFonts w:hint="eastAsia" w:hAnsi="宋体" w:cs="宋体"/>
                <w:color w:val="auto"/>
                <w:sz w:val="21"/>
                <w:szCs w:val="21"/>
              </w:rPr>
              <w:t>....</w:t>
            </w:r>
          </w:p>
        </w:tc>
        <w:tc>
          <w:tcPr>
            <w:tcW w:w="1342" w:type="dxa"/>
            <w:vAlign w:val="center"/>
          </w:tcPr>
          <w:p>
            <w:pPr>
              <w:ind w:firstLine="105" w:firstLineChars="50"/>
              <w:rPr>
                <w:rFonts w:hAnsi="宋体" w:cs="宋体"/>
                <w:color w:val="auto"/>
                <w:sz w:val="21"/>
                <w:szCs w:val="21"/>
              </w:rPr>
            </w:pPr>
          </w:p>
        </w:tc>
        <w:tc>
          <w:tcPr>
            <w:tcW w:w="642" w:type="dxa"/>
            <w:vAlign w:val="center"/>
          </w:tcPr>
          <w:p>
            <w:pPr>
              <w:ind w:firstLine="105" w:firstLineChars="50"/>
              <w:rPr>
                <w:rFonts w:hAnsi="宋体" w:cs="宋体"/>
                <w:color w:val="auto"/>
                <w:sz w:val="21"/>
                <w:szCs w:val="21"/>
              </w:rPr>
            </w:pPr>
          </w:p>
        </w:tc>
        <w:tc>
          <w:tcPr>
            <w:tcW w:w="1549" w:type="dxa"/>
            <w:vAlign w:val="center"/>
          </w:tcPr>
          <w:p>
            <w:pPr>
              <w:ind w:firstLine="105" w:firstLineChars="50"/>
              <w:rPr>
                <w:rFonts w:hAnsi="宋体" w:cs="宋体"/>
                <w:color w:val="auto"/>
                <w:sz w:val="21"/>
                <w:szCs w:val="21"/>
              </w:rPr>
            </w:pPr>
          </w:p>
        </w:tc>
        <w:tc>
          <w:tcPr>
            <w:tcW w:w="1335" w:type="dxa"/>
          </w:tcPr>
          <w:p>
            <w:pPr>
              <w:ind w:firstLine="105" w:firstLineChars="50"/>
              <w:rPr>
                <w:rFonts w:hAnsi="宋体" w:cs="宋体"/>
                <w:color w:val="auto"/>
                <w:sz w:val="21"/>
                <w:szCs w:val="21"/>
              </w:rPr>
            </w:pPr>
          </w:p>
        </w:tc>
        <w:tc>
          <w:tcPr>
            <w:tcW w:w="1335" w:type="dxa"/>
            <w:vAlign w:val="center"/>
          </w:tcPr>
          <w:p>
            <w:pPr>
              <w:ind w:firstLine="105" w:firstLineChars="50"/>
              <w:rPr>
                <w:rFonts w:hAnsi="宋体" w:cs="宋体"/>
                <w:color w:val="auto"/>
                <w:sz w:val="21"/>
                <w:szCs w:val="21"/>
              </w:rPr>
            </w:pPr>
          </w:p>
        </w:tc>
        <w:tc>
          <w:tcPr>
            <w:tcW w:w="900" w:type="dxa"/>
            <w:vAlign w:val="center"/>
          </w:tcPr>
          <w:p>
            <w:pPr>
              <w:ind w:firstLine="105" w:firstLineChars="50"/>
              <w:rPr>
                <w:rFonts w:hAnsi="宋体" w:cs="宋体"/>
                <w:color w:val="auto"/>
                <w:sz w:val="21"/>
                <w:szCs w:val="21"/>
              </w:rPr>
            </w:pPr>
          </w:p>
        </w:tc>
        <w:tc>
          <w:tcPr>
            <w:tcW w:w="967" w:type="dxa"/>
            <w:vAlign w:val="center"/>
          </w:tcPr>
          <w:p>
            <w:pPr>
              <w:ind w:firstLine="105" w:firstLineChars="50"/>
              <w:rPr>
                <w:rFonts w:hAnsi="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2" w:type="dxa"/>
            <w:vAlign w:val="center"/>
          </w:tcPr>
          <w:p>
            <w:pPr>
              <w:ind w:firstLine="105" w:firstLineChars="50"/>
              <w:jc w:val="center"/>
              <w:rPr>
                <w:rFonts w:hAnsi="宋体" w:cs="宋体"/>
                <w:color w:val="auto"/>
                <w:sz w:val="21"/>
                <w:szCs w:val="21"/>
              </w:rPr>
            </w:pPr>
            <w:r>
              <w:rPr>
                <w:rFonts w:hint="eastAsia" w:hAnsi="宋体" w:cs="宋体"/>
                <w:color w:val="auto"/>
                <w:sz w:val="21"/>
                <w:szCs w:val="21"/>
              </w:rPr>
              <w:t>3</w:t>
            </w:r>
          </w:p>
        </w:tc>
        <w:tc>
          <w:tcPr>
            <w:tcW w:w="1418" w:type="dxa"/>
            <w:vAlign w:val="center"/>
          </w:tcPr>
          <w:p>
            <w:pPr>
              <w:ind w:firstLine="105" w:firstLineChars="50"/>
              <w:rPr>
                <w:rFonts w:hAnsi="宋体" w:cs="宋体"/>
                <w:color w:val="auto"/>
                <w:sz w:val="21"/>
                <w:szCs w:val="21"/>
              </w:rPr>
            </w:pPr>
          </w:p>
        </w:tc>
        <w:tc>
          <w:tcPr>
            <w:tcW w:w="1342" w:type="dxa"/>
            <w:vAlign w:val="center"/>
          </w:tcPr>
          <w:p>
            <w:pPr>
              <w:ind w:firstLine="105" w:firstLineChars="50"/>
              <w:rPr>
                <w:rFonts w:hAnsi="宋体" w:cs="宋体"/>
                <w:color w:val="auto"/>
                <w:sz w:val="21"/>
                <w:szCs w:val="21"/>
              </w:rPr>
            </w:pPr>
          </w:p>
        </w:tc>
        <w:tc>
          <w:tcPr>
            <w:tcW w:w="642" w:type="dxa"/>
            <w:vAlign w:val="center"/>
          </w:tcPr>
          <w:p>
            <w:pPr>
              <w:ind w:firstLine="105" w:firstLineChars="50"/>
              <w:rPr>
                <w:rFonts w:hAnsi="宋体" w:cs="宋体"/>
                <w:color w:val="auto"/>
                <w:sz w:val="21"/>
                <w:szCs w:val="21"/>
              </w:rPr>
            </w:pPr>
          </w:p>
        </w:tc>
        <w:tc>
          <w:tcPr>
            <w:tcW w:w="1549" w:type="dxa"/>
            <w:vAlign w:val="center"/>
          </w:tcPr>
          <w:p>
            <w:pPr>
              <w:ind w:firstLine="105" w:firstLineChars="50"/>
              <w:rPr>
                <w:rFonts w:hAnsi="宋体" w:cs="宋体"/>
                <w:color w:val="auto"/>
                <w:sz w:val="21"/>
                <w:szCs w:val="21"/>
              </w:rPr>
            </w:pPr>
          </w:p>
        </w:tc>
        <w:tc>
          <w:tcPr>
            <w:tcW w:w="1335" w:type="dxa"/>
          </w:tcPr>
          <w:p>
            <w:pPr>
              <w:ind w:firstLine="105" w:firstLineChars="50"/>
              <w:rPr>
                <w:rFonts w:hAnsi="宋体" w:cs="宋体"/>
                <w:color w:val="auto"/>
                <w:sz w:val="21"/>
                <w:szCs w:val="21"/>
              </w:rPr>
            </w:pPr>
          </w:p>
        </w:tc>
        <w:tc>
          <w:tcPr>
            <w:tcW w:w="1335" w:type="dxa"/>
            <w:vAlign w:val="center"/>
          </w:tcPr>
          <w:p>
            <w:pPr>
              <w:ind w:firstLine="105" w:firstLineChars="50"/>
              <w:rPr>
                <w:rFonts w:hAnsi="宋体" w:cs="宋体"/>
                <w:color w:val="auto"/>
                <w:sz w:val="21"/>
                <w:szCs w:val="21"/>
              </w:rPr>
            </w:pPr>
          </w:p>
        </w:tc>
        <w:tc>
          <w:tcPr>
            <w:tcW w:w="900" w:type="dxa"/>
            <w:vAlign w:val="center"/>
          </w:tcPr>
          <w:p>
            <w:pPr>
              <w:ind w:firstLine="105" w:firstLineChars="50"/>
              <w:rPr>
                <w:rFonts w:hAnsi="宋体" w:cs="宋体"/>
                <w:color w:val="auto"/>
                <w:sz w:val="21"/>
                <w:szCs w:val="21"/>
              </w:rPr>
            </w:pPr>
          </w:p>
        </w:tc>
        <w:tc>
          <w:tcPr>
            <w:tcW w:w="967" w:type="dxa"/>
            <w:vAlign w:val="center"/>
          </w:tcPr>
          <w:p>
            <w:pPr>
              <w:ind w:firstLine="105" w:firstLineChars="50"/>
              <w:rPr>
                <w:rFonts w:hAnsi="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2" w:type="dxa"/>
            <w:vAlign w:val="center"/>
          </w:tcPr>
          <w:p>
            <w:pPr>
              <w:ind w:firstLine="105" w:firstLineChars="50"/>
              <w:jc w:val="center"/>
              <w:rPr>
                <w:rFonts w:hAnsi="宋体" w:cs="宋体"/>
                <w:color w:val="auto"/>
                <w:sz w:val="21"/>
                <w:szCs w:val="21"/>
              </w:rPr>
            </w:pPr>
            <w:r>
              <w:rPr>
                <w:rFonts w:hint="eastAsia" w:hAnsi="宋体" w:cs="宋体"/>
                <w:color w:val="auto"/>
                <w:sz w:val="21"/>
                <w:szCs w:val="21"/>
              </w:rPr>
              <w:t>4</w:t>
            </w:r>
          </w:p>
        </w:tc>
        <w:tc>
          <w:tcPr>
            <w:tcW w:w="1418" w:type="dxa"/>
            <w:vAlign w:val="center"/>
          </w:tcPr>
          <w:p>
            <w:pPr>
              <w:ind w:firstLine="105" w:firstLineChars="50"/>
              <w:rPr>
                <w:rFonts w:hAnsi="宋体" w:cs="宋体"/>
                <w:color w:val="auto"/>
                <w:sz w:val="21"/>
                <w:szCs w:val="21"/>
              </w:rPr>
            </w:pPr>
          </w:p>
        </w:tc>
        <w:tc>
          <w:tcPr>
            <w:tcW w:w="1342" w:type="dxa"/>
            <w:vAlign w:val="center"/>
          </w:tcPr>
          <w:p>
            <w:pPr>
              <w:ind w:firstLine="105" w:firstLineChars="50"/>
              <w:rPr>
                <w:rFonts w:hAnsi="宋体" w:cs="宋体"/>
                <w:color w:val="auto"/>
                <w:sz w:val="21"/>
                <w:szCs w:val="21"/>
              </w:rPr>
            </w:pPr>
          </w:p>
        </w:tc>
        <w:tc>
          <w:tcPr>
            <w:tcW w:w="642" w:type="dxa"/>
            <w:vAlign w:val="center"/>
          </w:tcPr>
          <w:p>
            <w:pPr>
              <w:ind w:firstLine="105" w:firstLineChars="50"/>
              <w:rPr>
                <w:rFonts w:hAnsi="宋体" w:cs="宋体"/>
                <w:color w:val="auto"/>
                <w:sz w:val="21"/>
                <w:szCs w:val="21"/>
              </w:rPr>
            </w:pPr>
          </w:p>
        </w:tc>
        <w:tc>
          <w:tcPr>
            <w:tcW w:w="1549" w:type="dxa"/>
            <w:vAlign w:val="center"/>
          </w:tcPr>
          <w:p>
            <w:pPr>
              <w:ind w:firstLine="105" w:firstLineChars="50"/>
              <w:rPr>
                <w:rFonts w:hAnsi="宋体" w:cs="宋体"/>
                <w:color w:val="auto"/>
                <w:sz w:val="21"/>
                <w:szCs w:val="21"/>
              </w:rPr>
            </w:pPr>
          </w:p>
        </w:tc>
        <w:tc>
          <w:tcPr>
            <w:tcW w:w="1335" w:type="dxa"/>
          </w:tcPr>
          <w:p>
            <w:pPr>
              <w:ind w:firstLine="105" w:firstLineChars="50"/>
              <w:rPr>
                <w:rFonts w:hAnsi="宋体" w:cs="宋体"/>
                <w:color w:val="auto"/>
                <w:sz w:val="21"/>
                <w:szCs w:val="21"/>
              </w:rPr>
            </w:pPr>
          </w:p>
        </w:tc>
        <w:tc>
          <w:tcPr>
            <w:tcW w:w="1335" w:type="dxa"/>
            <w:vAlign w:val="center"/>
          </w:tcPr>
          <w:p>
            <w:pPr>
              <w:ind w:firstLine="105" w:firstLineChars="50"/>
              <w:rPr>
                <w:rFonts w:hAnsi="宋体" w:cs="宋体"/>
                <w:color w:val="auto"/>
                <w:sz w:val="21"/>
                <w:szCs w:val="21"/>
              </w:rPr>
            </w:pPr>
          </w:p>
        </w:tc>
        <w:tc>
          <w:tcPr>
            <w:tcW w:w="900" w:type="dxa"/>
            <w:vAlign w:val="center"/>
          </w:tcPr>
          <w:p>
            <w:pPr>
              <w:ind w:firstLine="105" w:firstLineChars="50"/>
              <w:rPr>
                <w:rFonts w:hAnsi="宋体" w:cs="宋体"/>
                <w:color w:val="auto"/>
                <w:sz w:val="21"/>
                <w:szCs w:val="21"/>
              </w:rPr>
            </w:pPr>
          </w:p>
        </w:tc>
        <w:tc>
          <w:tcPr>
            <w:tcW w:w="967" w:type="dxa"/>
            <w:vAlign w:val="center"/>
          </w:tcPr>
          <w:p>
            <w:pPr>
              <w:ind w:firstLine="105" w:firstLineChars="50"/>
              <w:rPr>
                <w:rFonts w:hAnsi="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9930" w:type="dxa"/>
            <w:gridSpan w:val="9"/>
          </w:tcPr>
          <w:p>
            <w:pPr>
              <w:ind w:firstLine="105" w:firstLineChars="50"/>
              <w:rPr>
                <w:rFonts w:hAnsi="宋体" w:cs="宋体"/>
                <w:color w:val="auto"/>
                <w:sz w:val="21"/>
                <w:szCs w:val="21"/>
              </w:rPr>
            </w:pPr>
          </w:p>
          <w:p>
            <w:pPr>
              <w:ind w:firstLine="105" w:firstLineChars="50"/>
              <w:rPr>
                <w:rFonts w:hAnsi="宋体" w:cs="宋体"/>
                <w:color w:val="auto"/>
                <w:sz w:val="21"/>
                <w:szCs w:val="21"/>
              </w:rPr>
            </w:pPr>
            <w:r>
              <w:rPr>
                <w:rFonts w:hint="eastAsia" w:hAnsi="宋体" w:cs="宋体"/>
                <w:color w:val="auto"/>
                <w:sz w:val="21"/>
                <w:szCs w:val="21"/>
              </w:rPr>
              <w:t>投标总价（人民币） 小写：       万元</w:t>
            </w:r>
          </w:p>
          <w:p>
            <w:pPr>
              <w:ind w:firstLine="2100" w:firstLineChars="1000"/>
              <w:rPr>
                <w:rFonts w:hAnsi="宋体" w:cs="宋体"/>
                <w:color w:val="auto"/>
              </w:rPr>
            </w:pPr>
            <w:r>
              <w:rPr>
                <w:rFonts w:hint="eastAsia" w:hAnsi="宋体" w:cs="宋体"/>
                <w:color w:val="auto"/>
                <w:sz w:val="21"/>
                <w:szCs w:val="21"/>
              </w:rPr>
              <w:t>大写：</w:t>
            </w:r>
          </w:p>
        </w:tc>
      </w:tr>
    </w:tbl>
    <w:p>
      <w:pPr>
        <w:jc w:val="left"/>
        <w:outlineLvl w:val="1"/>
        <w:rPr>
          <w:rFonts w:hAnsi="宋体" w:cs="宋体"/>
          <w:color w:val="auto"/>
        </w:rPr>
      </w:pPr>
    </w:p>
    <w:p>
      <w:pPr>
        <w:ind w:firstLine="470" w:firstLineChars="196"/>
        <w:jc w:val="left"/>
        <w:outlineLvl w:val="1"/>
        <w:rPr>
          <w:rFonts w:hAnsi="宋体" w:cs="宋体"/>
          <w:color w:val="auto"/>
        </w:rPr>
      </w:pPr>
      <w:r>
        <w:rPr>
          <w:rFonts w:hint="eastAsia" w:hAnsi="宋体" w:cs="宋体"/>
          <w:color w:val="auto"/>
        </w:rPr>
        <w:t>注：1. 报价应是最终用户验收合格后的总价，包括设备运输、保险、代理、安装调试、培训、税费、费用和招标文件规定的其它费用。</w:t>
      </w:r>
    </w:p>
    <w:p>
      <w:pPr>
        <w:ind w:firstLine="960" w:firstLineChars="400"/>
        <w:rPr>
          <w:rFonts w:hAnsi="宋体" w:cs="宋体"/>
          <w:color w:val="auto"/>
        </w:rPr>
      </w:pPr>
      <w:r>
        <w:rPr>
          <w:rFonts w:hint="eastAsia" w:hAnsi="宋体" w:cs="宋体"/>
          <w:color w:val="auto"/>
        </w:rPr>
        <w:t>2、“开标一览表”除了单独密封递交外，投标文件（正副本）也应当提供。</w:t>
      </w:r>
    </w:p>
    <w:p>
      <w:pPr>
        <w:ind w:firstLine="960" w:firstLineChars="400"/>
        <w:rPr>
          <w:rFonts w:hAnsi="宋体" w:cs="宋体"/>
          <w:color w:val="auto"/>
        </w:rPr>
      </w:pPr>
      <w:r>
        <w:rPr>
          <w:rFonts w:hint="eastAsia" w:hAnsi="宋体" w:cs="宋体"/>
          <w:color w:val="auto"/>
        </w:rPr>
        <w:t>3、如是进口设备，须在表格中标明“进口”。招标文件未明确“允许进口”的，供应商以进口产品进行投标时，将视为无效投标。</w:t>
      </w:r>
    </w:p>
    <w:p>
      <w:pPr>
        <w:ind w:firstLine="470" w:firstLineChars="196"/>
        <w:jc w:val="left"/>
        <w:outlineLvl w:val="1"/>
        <w:rPr>
          <w:rFonts w:hAnsi="宋体" w:cs="宋体"/>
          <w:color w:val="auto"/>
        </w:rPr>
      </w:pPr>
    </w:p>
    <w:p>
      <w:pPr>
        <w:pStyle w:val="11"/>
        <w:rPr>
          <w:rFonts w:hAnsi="宋体" w:cs="宋体"/>
        </w:rPr>
      </w:pPr>
    </w:p>
    <w:p>
      <w:pPr>
        <w:ind w:firstLine="470" w:firstLineChars="196"/>
        <w:jc w:val="left"/>
        <w:outlineLvl w:val="1"/>
        <w:rPr>
          <w:rFonts w:hAnsi="宋体" w:cs="宋体"/>
          <w:color w:val="auto"/>
        </w:rPr>
      </w:pPr>
      <w:r>
        <w:rPr>
          <w:rFonts w:hint="eastAsia" w:hAnsi="宋体" w:cs="宋体"/>
          <w:color w:val="auto"/>
        </w:rPr>
        <w:t>投标人名称：（盖公章）</w:t>
      </w:r>
    </w:p>
    <w:p>
      <w:pPr>
        <w:ind w:firstLine="470" w:firstLineChars="196"/>
        <w:jc w:val="left"/>
        <w:outlineLvl w:val="1"/>
        <w:rPr>
          <w:rFonts w:hAnsi="宋体" w:cs="宋体"/>
          <w:color w:val="auto"/>
        </w:rPr>
      </w:pPr>
      <w:r>
        <w:rPr>
          <w:rFonts w:hint="eastAsia" w:hAnsi="宋体" w:cs="宋体"/>
          <w:color w:val="auto"/>
        </w:rPr>
        <w:t>法定代表人或委托代理人（签字或盖章）：</w:t>
      </w:r>
    </w:p>
    <w:p>
      <w:pPr>
        <w:ind w:firstLine="470" w:firstLineChars="196"/>
        <w:jc w:val="left"/>
        <w:outlineLvl w:val="1"/>
        <w:rPr>
          <w:rFonts w:hAnsi="宋体" w:cs="宋体"/>
          <w:b/>
          <w:color w:val="auto"/>
        </w:rPr>
        <w:sectPr>
          <w:headerReference r:id="rId3" w:type="default"/>
          <w:footerReference r:id="rId4" w:type="default"/>
          <w:pgSz w:w="11907" w:h="16840"/>
          <w:pgMar w:top="1440" w:right="1474" w:bottom="1440" w:left="1474" w:header="851" w:footer="992" w:gutter="0"/>
          <w:cols w:space="720" w:num="1"/>
          <w:docGrid w:linePitch="312" w:charSpace="0"/>
        </w:sectPr>
      </w:pPr>
      <w:r>
        <w:rPr>
          <w:rFonts w:hint="eastAsia" w:hAnsi="宋体" w:cs="宋体"/>
          <w:color w:val="auto"/>
        </w:rPr>
        <w:t>日期：</w:t>
      </w:r>
    </w:p>
    <w:p>
      <w:pPr>
        <w:spacing w:line="360" w:lineRule="auto"/>
        <w:rPr>
          <w:rFonts w:hAnsi="宋体" w:cs="宋体"/>
          <w:b/>
          <w:color w:val="auto"/>
          <w:sz w:val="32"/>
          <w:szCs w:val="32"/>
        </w:rPr>
      </w:pPr>
      <w:bookmarkStart w:id="200" w:name="_Toc217446086"/>
      <w:r>
        <w:rPr>
          <w:rFonts w:hint="eastAsia" w:hAnsi="宋体" w:cs="宋体"/>
          <w:b/>
          <w:color w:val="auto"/>
          <w:sz w:val="32"/>
          <w:szCs w:val="32"/>
        </w:rPr>
        <w:t>格式2-5</w:t>
      </w:r>
    </w:p>
    <w:p>
      <w:pPr>
        <w:spacing w:line="24" w:lineRule="atLeast"/>
        <w:jc w:val="center"/>
        <w:outlineLvl w:val="1"/>
        <w:rPr>
          <w:rFonts w:hAnsi="宋体" w:cs="宋体"/>
          <w:b/>
          <w:color w:val="auto"/>
          <w:sz w:val="32"/>
          <w:szCs w:val="32"/>
        </w:rPr>
      </w:pPr>
      <w:r>
        <w:rPr>
          <w:rFonts w:hint="eastAsia" w:hAnsi="宋体" w:cs="宋体"/>
          <w:b/>
          <w:color w:val="auto"/>
          <w:sz w:val="32"/>
          <w:szCs w:val="32"/>
        </w:rPr>
        <w:t>四、分项报价明细表</w:t>
      </w:r>
      <w:bookmarkEnd w:id="200"/>
    </w:p>
    <w:p>
      <w:pPr>
        <w:spacing w:line="24" w:lineRule="atLeast"/>
        <w:ind w:firstLine="472" w:firstLineChars="196"/>
        <w:jc w:val="left"/>
        <w:outlineLvl w:val="1"/>
        <w:rPr>
          <w:rFonts w:hAnsi="宋体" w:cs="宋体"/>
          <w:b/>
          <w:color w:val="auto"/>
        </w:rPr>
      </w:pPr>
    </w:p>
    <w:p>
      <w:pPr>
        <w:spacing w:line="24" w:lineRule="atLeast"/>
        <w:ind w:firstLine="470" w:firstLineChars="196"/>
        <w:jc w:val="left"/>
        <w:outlineLvl w:val="1"/>
        <w:rPr>
          <w:rFonts w:hAnsi="宋体" w:cs="宋体"/>
          <w:color w:val="auto"/>
        </w:rPr>
      </w:pPr>
      <w:r>
        <w:rPr>
          <w:rFonts w:hint="eastAsia" w:hAnsi="宋体" w:cs="宋体"/>
          <w:color w:val="auto"/>
        </w:rPr>
        <w:t>第X包</w:t>
      </w:r>
    </w:p>
    <w:tbl>
      <w:tblPr>
        <w:tblStyle w:val="32"/>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75"/>
        <w:gridCol w:w="1360"/>
        <w:gridCol w:w="888"/>
        <w:gridCol w:w="1212"/>
        <w:gridCol w:w="840"/>
        <w:gridCol w:w="841"/>
        <w:gridCol w:w="876"/>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77" w:type="dxa"/>
            <w:vAlign w:val="center"/>
          </w:tcPr>
          <w:p>
            <w:pPr>
              <w:spacing w:line="24" w:lineRule="atLeast"/>
              <w:jc w:val="center"/>
              <w:outlineLvl w:val="1"/>
              <w:rPr>
                <w:rFonts w:hAnsi="宋体" w:cs="宋体"/>
                <w:color w:val="auto"/>
              </w:rPr>
            </w:pPr>
            <w:r>
              <w:rPr>
                <w:rFonts w:hint="eastAsia" w:hAnsi="宋体" w:cs="宋体"/>
                <w:color w:val="auto"/>
              </w:rPr>
              <w:t>序号</w:t>
            </w:r>
          </w:p>
        </w:tc>
        <w:tc>
          <w:tcPr>
            <w:tcW w:w="1275" w:type="dxa"/>
            <w:vAlign w:val="center"/>
          </w:tcPr>
          <w:p>
            <w:pPr>
              <w:spacing w:line="24" w:lineRule="atLeast"/>
              <w:jc w:val="center"/>
              <w:outlineLvl w:val="1"/>
              <w:rPr>
                <w:rFonts w:hAnsi="宋体" w:cs="宋体"/>
                <w:color w:val="auto"/>
              </w:rPr>
            </w:pPr>
            <w:r>
              <w:rPr>
                <w:rFonts w:hint="eastAsia" w:hAnsi="宋体" w:cs="宋体"/>
                <w:color w:val="auto"/>
              </w:rPr>
              <w:t>产品名称</w:t>
            </w:r>
          </w:p>
        </w:tc>
        <w:tc>
          <w:tcPr>
            <w:tcW w:w="1360" w:type="dxa"/>
            <w:vAlign w:val="center"/>
          </w:tcPr>
          <w:p>
            <w:pPr>
              <w:spacing w:line="24" w:lineRule="atLeast"/>
              <w:jc w:val="center"/>
              <w:outlineLvl w:val="1"/>
              <w:rPr>
                <w:rFonts w:hAnsi="宋体" w:cs="宋体"/>
                <w:color w:val="auto"/>
              </w:rPr>
            </w:pPr>
            <w:r>
              <w:rPr>
                <w:rFonts w:hint="eastAsia" w:hAnsi="宋体" w:cs="宋体"/>
                <w:color w:val="auto"/>
              </w:rPr>
              <w:t>规格型号</w:t>
            </w:r>
          </w:p>
        </w:tc>
        <w:tc>
          <w:tcPr>
            <w:tcW w:w="888" w:type="dxa"/>
            <w:vAlign w:val="center"/>
          </w:tcPr>
          <w:p>
            <w:pPr>
              <w:spacing w:line="24" w:lineRule="atLeast"/>
              <w:jc w:val="center"/>
              <w:outlineLvl w:val="1"/>
              <w:rPr>
                <w:rFonts w:hAnsi="宋体" w:cs="宋体"/>
                <w:color w:val="auto"/>
              </w:rPr>
            </w:pPr>
            <w:r>
              <w:rPr>
                <w:rFonts w:hint="eastAsia" w:hAnsi="宋体" w:cs="宋体"/>
                <w:color w:val="auto"/>
              </w:rPr>
              <w:t>品牌</w:t>
            </w:r>
          </w:p>
        </w:tc>
        <w:tc>
          <w:tcPr>
            <w:tcW w:w="1212" w:type="dxa"/>
            <w:vAlign w:val="center"/>
          </w:tcPr>
          <w:p>
            <w:pPr>
              <w:spacing w:line="24" w:lineRule="atLeast"/>
              <w:jc w:val="center"/>
              <w:outlineLvl w:val="1"/>
              <w:rPr>
                <w:rFonts w:hAnsi="宋体" w:cs="宋体"/>
                <w:color w:val="auto"/>
              </w:rPr>
            </w:pPr>
            <w:r>
              <w:rPr>
                <w:rFonts w:hint="eastAsia" w:hAnsi="宋体" w:cs="宋体"/>
                <w:color w:val="auto"/>
              </w:rPr>
              <w:t>单位</w:t>
            </w:r>
          </w:p>
        </w:tc>
        <w:tc>
          <w:tcPr>
            <w:tcW w:w="840" w:type="dxa"/>
            <w:vAlign w:val="center"/>
          </w:tcPr>
          <w:p>
            <w:pPr>
              <w:spacing w:line="24" w:lineRule="atLeast"/>
              <w:jc w:val="center"/>
              <w:outlineLvl w:val="1"/>
              <w:rPr>
                <w:rFonts w:hAnsi="宋体" w:cs="宋体"/>
                <w:color w:val="auto"/>
              </w:rPr>
            </w:pPr>
            <w:r>
              <w:rPr>
                <w:rFonts w:hint="eastAsia" w:hAnsi="宋体" w:cs="宋体"/>
                <w:color w:val="auto"/>
              </w:rPr>
              <w:t>数量</w:t>
            </w:r>
          </w:p>
        </w:tc>
        <w:tc>
          <w:tcPr>
            <w:tcW w:w="841" w:type="dxa"/>
            <w:vAlign w:val="center"/>
          </w:tcPr>
          <w:p>
            <w:pPr>
              <w:jc w:val="center"/>
              <w:rPr>
                <w:rFonts w:hAnsi="宋体" w:cs="宋体"/>
                <w:color w:val="auto"/>
              </w:rPr>
            </w:pPr>
            <w:r>
              <w:rPr>
                <w:rFonts w:hint="eastAsia" w:hAnsi="宋体" w:cs="宋体"/>
                <w:color w:val="auto"/>
              </w:rPr>
              <w:t>投标单价</w:t>
            </w:r>
          </w:p>
          <w:p>
            <w:pPr>
              <w:spacing w:line="24" w:lineRule="atLeast"/>
              <w:jc w:val="center"/>
              <w:outlineLvl w:val="1"/>
              <w:rPr>
                <w:rFonts w:hAnsi="宋体" w:cs="宋体"/>
                <w:color w:val="auto"/>
              </w:rPr>
            </w:pPr>
          </w:p>
        </w:tc>
        <w:tc>
          <w:tcPr>
            <w:tcW w:w="876" w:type="dxa"/>
            <w:vAlign w:val="center"/>
          </w:tcPr>
          <w:p>
            <w:pPr>
              <w:spacing w:line="24" w:lineRule="atLeast"/>
              <w:jc w:val="center"/>
              <w:outlineLvl w:val="1"/>
              <w:rPr>
                <w:rFonts w:hAnsi="宋体" w:cs="宋体"/>
                <w:color w:val="auto"/>
              </w:rPr>
            </w:pPr>
            <w:r>
              <w:rPr>
                <w:rFonts w:hint="eastAsia" w:hAnsi="宋体" w:cs="宋体"/>
                <w:color w:val="auto"/>
              </w:rPr>
              <w:t>小计</w:t>
            </w:r>
          </w:p>
        </w:tc>
        <w:tc>
          <w:tcPr>
            <w:tcW w:w="843" w:type="dxa"/>
            <w:vAlign w:val="center"/>
          </w:tcPr>
          <w:p>
            <w:pPr>
              <w:spacing w:line="24" w:lineRule="atLeast"/>
              <w:outlineLvl w:val="1"/>
              <w:rPr>
                <w:rFonts w:hAnsi="宋体" w:cs="宋体"/>
                <w:color w:val="auto"/>
              </w:rPr>
            </w:pPr>
            <w:r>
              <w:rPr>
                <w:rFonts w:hint="eastAsia" w:hAnsi="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spacing w:line="24" w:lineRule="atLeast"/>
              <w:ind w:firstLine="470" w:firstLineChars="196"/>
              <w:jc w:val="left"/>
              <w:outlineLvl w:val="1"/>
              <w:rPr>
                <w:rFonts w:hAnsi="宋体" w:cs="宋体"/>
                <w:color w:val="auto"/>
              </w:rPr>
            </w:pPr>
          </w:p>
        </w:tc>
        <w:tc>
          <w:tcPr>
            <w:tcW w:w="1275" w:type="dxa"/>
            <w:vAlign w:val="center"/>
          </w:tcPr>
          <w:p>
            <w:pPr>
              <w:spacing w:line="24" w:lineRule="atLeast"/>
              <w:ind w:firstLine="470" w:firstLineChars="196"/>
              <w:jc w:val="left"/>
              <w:outlineLvl w:val="1"/>
              <w:rPr>
                <w:rFonts w:hAnsi="宋体" w:cs="宋体"/>
                <w:color w:val="auto"/>
              </w:rPr>
            </w:pPr>
          </w:p>
        </w:tc>
        <w:tc>
          <w:tcPr>
            <w:tcW w:w="1360" w:type="dxa"/>
            <w:vAlign w:val="center"/>
          </w:tcPr>
          <w:p>
            <w:pPr>
              <w:spacing w:line="24" w:lineRule="atLeast"/>
              <w:ind w:firstLine="470" w:firstLineChars="196"/>
              <w:jc w:val="left"/>
              <w:outlineLvl w:val="1"/>
              <w:rPr>
                <w:rFonts w:hAnsi="宋体" w:cs="宋体"/>
                <w:color w:val="auto"/>
              </w:rPr>
            </w:pPr>
          </w:p>
        </w:tc>
        <w:tc>
          <w:tcPr>
            <w:tcW w:w="888" w:type="dxa"/>
            <w:vAlign w:val="center"/>
          </w:tcPr>
          <w:p>
            <w:pPr>
              <w:spacing w:line="24" w:lineRule="atLeast"/>
              <w:ind w:firstLine="470" w:firstLineChars="196"/>
              <w:jc w:val="left"/>
              <w:outlineLvl w:val="1"/>
              <w:rPr>
                <w:rFonts w:hAnsi="宋体" w:cs="宋体"/>
                <w:color w:val="auto"/>
              </w:rPr>
            </w:pPr>
          </w:p>
        </w:tc>
        <w:tc>
          <w:tcPr>
            <w:tcW w:w="1212" w:type="dxa"/>
            <w:vAlign w:val="center"/>
          </w:tcPr>
          <w:p>
            <w:pPr>
              <w:spacing w:line="24" w:lineRule="atLeast"/>
              <w:ind w:firstLine="470" w:firstLineChars="196"/>
              <w:jc w:val="left"/>
              <w:outlineLvl w:val="1"/>
              <w:rPr>
                <w:rFonts w:hAnsi="宋体" w:cs="宋体"/>
                <w:color w:val="auto"/>
              </w:rPr>
            </w:pPr>
          </w:p>
        </w:tc>
        <w:tc>
          <w:tcPr>
            <w:tcW w:w="840" w:type="dxa"/>
            <w:vAlign w:val="center"/>
          </w:tcPr>
          <w:p>
            <w:pPr>
              <w:spacing w:line="24" w:lineRule="atLeast"/>
              <w:ind w:firstLine="470" w:firstLineChars="196"/>
              <w:jc w:val="left"/>
              <w:outlineLvl w:val="1"/>
              <w:rPr>
                <w:rFonts w:hAnsi="宋体" w:cs="宋体"/>
                <w:color w:val="auto"/>
              </w:rPr>
            </w:pPr>
          </w:p>
        </w:tc>
        <w:tc>
          <w:tcPr>
            <w:tcW w:w="841" w:type="dxa"/>
            <w:vAlign w:val="center"/>
          </w:tcPr>
          <w:p>
            <w:pPr>
              <w:spacing w:line="24" w:lineRule="atLeast"/>
              <w:ind w:firstLine="470" w:firstLineChars="196"/>
              <w:jc w:val="left"/>
              <w:outlineLvl w:val="1"/>
              <w:rPr>
                <w:rFonts w:hAnsi="宋体" w:cs="宋体"/>
                <w:color w:val="auto"/>
              </w:rPr>
            </w:pPr>
          </w:p>
        </w:tc>
        <w:tc>
          <w:tcPr>
            <w:tcW w:w="876" w:type="dxa"/>
            <w:vAlign w:val="center"/>
          </w:tcPr>
          <w:p>
            <w:pPr>
              <w:spacing w:line="24" w:lineRule="atLeast"/>
              <w:ind w:firstLine="470" w:firstLineChars="196"/>
              <w:jc w:val="left"/>
              <w:outlineLvl w:val="1"/>
              <w:rPr>
                <w:rFonts w:hAnsi="宋体" w:cs="宋体"/>
                <w:color w:val="auto"/>
              </w:rPr>
            </w:pPr>
          </w:p>
        </w:tc>
        <w:tc>
          <w:tcPr>
            <w:tcW w:w="843" w:type="dxa"/>
            <w:vAlign w:val="center"/>
          </w:tcPr>
          <w:p>
            <w:pPr>
              <w:spacing w:line="24" w:lineRule="atLeast"/>
              <w:ind w:firstLine="470" w:firstLineChars="196"/>
              <w:jc w:val="left"/>
              <w:outlineLvl w:val="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spacing w:line="24" w:lineRule="atLeast"/>
              <w:ind w:firstLine="470" w:firstLineChars="196"/>
              <w:jc w:val="left"/>
              <w:outlineLvl w:val="1"/>
              <w:rPr>
                <w:rFonts w:hAnsi="宋体" w:cs="宋体"/>
                <w:color w:val="auto"/>
              </w:rPr>
            </w:pPr>
          </w:p>
        </w:tc>
        <w:tc>
          <w:tcPr>
            <w:tcW w:w="1275" w:type="dxa"/>
            <w:vAlign w:val="center"/>
          </w:tcPr>
          <w:p>
            <w:pPr>
              <w:spacing w:line="24" w:lineRule="atLeast"/>
              <w:ind w:firstLine="470" w:firstLineChars="196"/>
              <w:jc w:val="left"/>
              <w:outlineLvl w:val="1"/>
              <w:rPr>
                <w:rFonts w:hAnsi="宋体" w:cs="宋体"/>
                <w:color w:val="auto"/>
              </w:rPr>
            </w:pPr>
          </w:p>
        </w:tc>
        <w:tc>
          <w:tcPr>
            <w:tcW w:w="1360" w:type="dxa"/>
            <w:vAlign w:val="center"/>
          </w:tcPr>
          <w:p>
            <w:pPr>
              <w:spacing w:line="24" w:lineRule="atLeast"/>
              <w:ind w:firstLine="470" w:firstLineChars="196"/>
              <w:jc w:val="left"/>
              <w:outlineLvl w:val="1"/>
              <w:rPr>
                <w:rFonts w:hAnsi="宋体" w:cs="宋体"/>
                <w:color w:val="auto"/>
              </w:rPr>
            </w:pPr>
          </w:p>
        </w:tc>
        <w:tc>
          <w:tcPr>
            <w:tcW w:w="888" w:type="dxa"/>
            <w:vAlign w:val="center"/>
          </w:tcPr>
          <w:p>
            <w:pPr>
              <w:spacing w:line="24" w:lineRule="atLeast"/>
              <w:ind w:firstLine="470" w:firstLineChars="196"/>
              <w:jc w:val="left"/>
              <w:outlineLvl w:val="1"/>
              <w:rPr>
                <w:rFonts w:hAnsi="宋体" w:cs="宋体"/>
                <w:color w:val="auto"/>
              </w:rPr>
            </w:pPr>
          </w:p>
        </w:tc>
        <w:tc>
          <w:tcPr>
            <w:tcW w:w="1212" w:type="dxa"/>
            <w:vAlign w:val="center"/>
          </w:tcPr>
          <w:p>
            <w:pPr>
              <w:spacing w:line="24" w:lineRule="atLeast"/>
              <w:ind w:firstLine="470" w:firstLineChars="196"/>
              <w:jc w:val="left"/>
              <w:outlineLvl w:val="1"/>
              <w:rPr>
                <w:rFonts w:hAnsi="宋体" w:cs="宋体"/>
                <w:color w:val="auto"/>
              </w:rPr>
            </w:pPr>
          </w:p>
        </w:tc>
        <w:tc>
          <w:tcPr>
            <w:tcW w:w="840" w:type="dxa"/>
            <w:vAlign w:val="center"/>
          </w:tcPr>
          <w:p>
            <w:pPr>
              <w:spacing w:line="24" w:lineRule="atLeast"/>
              <w:ind w:firstLine="470" w:firstLineChars="196"/>
              <w:jc w:val="left"/>
              <w:outlineLvl w:val="1"/>
              <w:rPr>
                <w:rFonts w:hAnsi="宋体" w:cs="宋体"/>
                <w:color w:val="auto"/>
              </w:rPr>
            </w:pPr>
          </w:p>
        </w:tc>
        <w:tc>
          <w:tcPr>
            <w:tcW w:w="841" w:type="dxa"/>
            <w:vAlign w:val="center"/>
          </w:tcPr>
          <w:p>
            <w:pPr>
              <w:spacing w:line="24" w:lineRule="atLeast"/>
              <w:ind w:firstLine="470" w:firstLineChars="196"/>
              <w:jc w:val="left"/>
              <w:outlineLvl w:val="1"/>
              <w:rPr>
                <w:rFonts w:hAnsi="宋体" w:cs="宋体"/>
                <w:color w:val="auto"/>
              </w:rPr>
            </w:pPr>
          </w:p>
        </w:tc>
        <w:tc>
          <w:tcPr>
            <w:tcW w:w="876" w:type="dxa"/>
            <w:vAlign w:val="center"/>
          </w:tcPr>
          <w:p>
            <w:pPr>
              <w:spacing w:line="24" w:lineRule="atLeast"/>
              <w:ind w:firstLine="470" w:firstLineChars="196"/>
              <w:jc w:val="left"/>
              <w:outlineLvl w:val="1"/>
              <w:rPr>
                <w:rFonts w:hAnsi="宋体" w:cs="宋体"/>
                <w:color w:val="auto"/>
              </w:rPr>
            </w:pPr>
          </w:p>
        </w:tc>
        <w:tc>
          <w:tcPr>
            <w:tcW w:w="843" w:type="dxa"/>
            <w:vAlign w:val="center"/>
          </w:tcPr>
          <w:p>
            <w:pPr>
              <w:spacing w:line="24" w:lineRule="atLeast"/>
              <w:ind w:firstLine="470" w:firstLineChars="196"/>
              <w:jc w:val="left"/>
              <w:outlineLvl w:val="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spacing w:line="24" w:lineRule="atLeast"/>
              <w:ind w:firstLine="470" w:firstLineChars="196"/>
              <w:jc w:val="left"/>
              <w:outlineLvl w:val="1"/>
              <w:rPr>
                <w:rFonts w:hAnsi="宋体" w:cs="宋体"/>
                <w:color w:val="auto"/>
              </w:rPr>
            </w:pPr>
          </w:p>
        </w:tc>
        <w:tc>
          <w:tcPr>
            <w:tcW w:w="1275" w:type="dxa"/>
            <w:vAlign w:val="center"/>
          </w:tcPr>
          <w:p>
            <w:pPr>
              <w:spacing w:line="24" w:lineRule="atLeast"/>
              <w:ind w:firstLine="470" w:firstLineChars="196"/>
              <w:jc w:val="left"/>
              <w:outlineLvl w:val="1"/>
              <w:rPr>
                <w:rFonts w:hAnsi="宋体" w:cs="宋体"/>
                <w:color w:val="auto"/>
              </w:rPr>
            </w:pPr>
          </w:p>
        </w:tc>
        <w:tc>
          <w:tcPr>
            <w:tcW w:w="1360" w:type="dxa"/>
            <w:vAlign w:val="center"/>
          </w:tcPr>
          <w:p>
            <w:pPr>
              <w:spacing w:line="24" w:lineRule="atLeast"/>
              <w:ind w:firstLine="470" w:firstLineChars="196"/>
              <w:jc w:val="left"/>
              <w:outlineLvl w:val="1"/>
              <w:rPr>
                <w:rFonts w:hAnsi="宋体" w:cs="宋体"/>
                <w:color w:val="auto"/>
              </w:rPr>
            </w:pPr>
          </w:p>
        </w:tc>
        <w:tc>
          <w:tcPr>
            <w:tcW w:w="888" w:type="dxa"/>
            <w:vAlign w:val="center"/>
          </w:tcPr>
          <w:p>
            <w:pPr>
              <w:spacing w:line="24" w:lineRule="atLeast"/>
              <w:ind w:firstLine="470" w:firstLineChars="196"/>
              <w:jc w:val="left"/>
              <w:outlineLvl w:val="1"/>
              <w:rPr>
                <w:rFonts w:hAnsi="宋体" w:cs="宋体"/>
                <w:color w:val="auto"/>
              </w:rPr>
            </w:pPr>
          </w:p>
        </w:tc>
        <w:tc>
          <w:tcPr>
            <w:tcW w:w="1212" w:type="dxa"/>
            <w:vAlign w:val="center"/>
          </w:tcPr>
          <w:p>
            <w:pPr>
              <w:spacing w:line="24" w:lineRule="atLeast"/>
              <w:ind w:firstLine="470" w:firstLineChars="196"/>
              <w:jc w:val="left"/>
              <w:outlineLvl w:val="1"/>
              <w:rPr>
                <w:rFonts w:hAnsi="宋体" w:cs="宋体"/>
                <w:color w:val="auto"/>
              </w:rPr>
            </w:pPr>
          </w:p>
        </w:tc>
        <w:tc>
          <w:tcPr>
            <w:tcW w:w="840" w:type="dxa"/>
            <w:vAlign w:val="center"/>
          </w:tcPr>
          <w:p>
            <w:pPr>
              <w:spacing w:line="24" w:lineRule="atLeast"/>
              <w:ind w:firstLine="470" w:firstLineChars="196"/>
              <w:jc w:val="left"/>
              <w:outlineLvl w:val="1"/>
              <w:rPr>
                <w:rFonts w:hAnsi="宋体" w:cs="宋体"/>
                <w:color w:val="auto"/>
              </w:rPr>
            </w:pPr>
          </w:p>
        </w:tc>
        <w:tc>
          <w:tcPr>
            <w:tcW w:w="841" w:type="dxa"/>
            <w:vAlign w:val="center"/>
          </w:tcPr>
          <w:p>
            <w:pPr>
              <w:spacing w:line="24" w:lineRule="atLeast"/>
              <w:ind w:firstLine="470" w:firstLineChars="196"/>
              <w:jc w:val="left"/>
              <w:outlineLvl w:val="1"/>
              <w:rPr>
                <w:rFonts w:hAnsi="宋体" w:cs="宋体"/>
                <w:color w:val="auto"/>
              </w:rPr>
            </w:pPr>
          </w:p>
        </w:tc>
        <w:tc>
          <w:tcPr>
            <w:tcW w:w="876" w:type="dxa"/>
            <w:vAlign w:val="center"/>
          </w:tcPr>
          <w:p>
            <w:pPr>
              <w:spacing w:line="24" w:lineRule="atLeast"/>
              <w:ind w:firstLine="470" w:firstLineChars="196"/>
              <w:jc w:val="left"/>
              <w:outlineLvl w:val="1"/>
              <w:rPr>
                <w:rFonts w:hAnsi="宋体" w:cs="宋体"/>
                <w:color w:val="auto"/>
              </w:rPr>
            </w:pPr>
          </w:p>
        </w:tc>
        <w:tc>
          <w:tcPr>
            <w:tcW w:w="843" w:type="dxa"/>
            <w:vAlign w:val="center"/>
          </w:tcPr>
          <w:p>
            <w:pPr>
              <w:spacing w:line="24" w:lineRule="atLeast"/>
              <w:ind w:firstLine="470" w:firstLineChars="196"/>
              <w:jc w:val="left"/>
              <w:outlineLvl w:val="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tcBorders>
              <w:left w:val="single" w:color="auto" w:sz="4" w:space="0"/>
            </w:tcBorders>
            <w:vAlign w:val="center"/>
          </w:tcPr>
          <w:p>
            <w:pPr>
              <w:spacing w:line="24" w:lineRule="atLeast"/>
              <w:ind w:firstLine="470" w:firstLineChars="196"/>
              <w:jc w:val="left"/>
              <w:outlineLvl w:val="1"/>
              <w:rPr>
                <w:rFonts w:hAnsi="宋体" w:cs="宋体"/>
                <w:color w:val="auto"/>
              </w:rPr>
            </w:pPr>
          </w:p>
        </w:tc>
        <w:tc>
          <w:tcPr>
            <w:tcW w:w="1275" w:type="dxa"/>
            <w:vAlign w:val="center"/>
          </w:tcPr>
          <w:p>
            <w:pPr>
              <w:spacing w:line="24" w:lineRule="atLeast"/>
              <w:ind w:firstLine="470" w:firstLineChars="196"/>
              <w:jc w:val="left"/>
              <w:outlineLvl w:val="1"/>
              <w:rPr>
                <w:rFonts w:hAnsi="宋体" w:cs="宋体"/>
                <w:color w:val="auto"/>
              </w:rPr>
            </w:pPr>
          </w:p>
        </w:tc>
        <w:tc>
          <w:tcPr>
            <w:tcW w:w="1360" w:type="dxa"/>
            <w:vAlign w:val="center"/>
          </w:tcPr>
          <w:p>
            <w:pPr>
              <w:spacing w:line="24" w:lineRule="atLeast"/>
              <w:ind w:firstLine="470" w:firstLineChars="196"/>
              <w:jc w:val="left"/>
              <w:outlineLvl w:val="1"/>
              <w:rPr>
                <w:rFonts w:hAnsi="宋体" w:cs="宋体"/>
                <w:color w:val="auto"/>
              </w:rPr>
            </w:pPr>
          </w:p>
        </w:tc>
        <w:tc>
          <w:tcPr>
            <w:tcW w:w="888" w:type="dxa"/>
            <w:vAlign w:val="center"/>
          </w:tcPr>
          <w:p>
            <w:pPr>
              <w:spacing w:line="24" w:lineRule="atLeast"/>
              <w:ind w:firstLine="470" w:firstLineChars="196"/>
              <w:jc w:val="left"/>
              <w:outlineLvl w:val="1"/>
              <w:rPr>
                <w:rFonts w:hAnsi="宋体" w:cs="宋体"/>
                <w:color w:val="auto"/>
              </w:rPr>
            </w:pPr>
          </w:p>
        </w:tc>
        <w:tc>
          <w:tcPr>
            <w:tcW w:w="1212" w:type="dxa"/>
            <w:vAlign w:val="center"/>
          </w:tcPr>
          <w:p>
            <w:pPr>
              <w:spacing w:line="24" w:lineRule="atLeast"/>
              <w:ind w:firstLine="470" w:firstLineChars="196"/>
              <w:jc w:val="left"/>
              <w:outlineLvl w:val="1"/>
              <w:rPr>
                <w:rFonts w:hAnsi="宋体" w:cs="宋体"/>
                <w:color w:val="auto"/>
              </w:rPr>
            </w:pPr>
          </w:p>
        </w:tc>
        <w:tc>
          <w:tcPr>
            <w:tcW w:w="840" w:type="dxa"/>
            <w:vAlign w:val="center"/>
          </w:tcPr>
          <w:p>
            <w:pPr>
              <w:spacing w:line="24" w:lineRule="atLeast"/>
              <w:ind w:firstLine="470" w:firstLineChars="196"/>
              <w:jc w:val="left"/>
              <w:outlineLvl w:val="1"/>
              <w:rPr>
                <w:rFonts w:hAnsi="宋体" w:cs="宋体"/>
                <w:color w:val="auto"/>
              </w:rPr>
            </w:pPr>
          </w:p>
        </w:tc>
        <w:tc>
          <w:tcPr>
            <w:tcW w:w="841" w:type="dxa"/>
            <w:vAlign w:val="center"/>
          </w:tcPr>
          <w:p>
            <w:pPr>
              <w:spacing w:line="24" w:lineRule="atLeast"/>
              <w:ind w:firstLine="470" w:firstLineChars="196"/>
              <w:jc w:val="left"/>
              <w:outlineLvl w:val="1"/>
              <w:rPr>
                <w:rFonts w:hAnsi="宋体" w:cs="宋体"/>
                <w:color w:val="auto"/>
              </w:rPr>
            </w:pPr>
          </w:p>
        </w:tc>
        <w:tc>
          <w:tcPr>
            <w:tcW w:w="876" w:type="dxa"/>
            <w:vAlign w:val="center"/>
          </w:tcPr>
          <w:p>
            <w:pPr>
              <w:spacing w:line="24" w:lineRule="atLeast"/>
              <w:ind w:firstLine="470" w:firstLineChars="196"/>
              <w:jc w:val="left"/>
              <w:outlineLvl w:val="1"/>
              <w:rPr>
                <w:rFonts w:hAnsi="宋体" w:cs="宋体"/>
                <w:color w:val="auto"/>
              </w:rPr>
            </w:pPr>
          </w:p>
        </w:tc>
        <w:tc>
          <w:tcPr>
            <w:tcW w:w="843" w:type="dxa"/>
            <w:vAlign w:val="center"/>
          </w:tcPr>
          <w:p>
            <w:pPr>
              <w:spacing w:line="24" w:lineRule="atLeast"/>
              <w:ind w:firstLine="470" w:firstLineChars="196"/>
              <w:jc w:val="left"/>
              <w:outlineLvl w:val="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spacing w:line="24" w:lineRule="atLeast"/>
              <w:ind w:firstLine="470" w:firstLineChars="196"/>
              <w:jc w:val="left"/>
              <w:outlineLvl w:val="1"/>
              <w:rPr>
                <w:rFonts w:hAnsi="宋体" w:cs="宋体"/>
                <w:color w:val="auto"/>
              </w:rPr>
            </w:pPr>
          </w:p>
        </w:tc>
        <w:tc>
          <w:tcPr>
            <w:tcW w:w="1275" w:type="dxa"/>
            <w:vAlign w:val="center"/>
          </w:tcPr>
          <w:p>
            <w:pPr>
              <w:spacing w:line="24" w:lineRule="atLeast"/>
              <w:ind w:firstLine="470" w:firstLineChars="196"/>
              <w:jc w:val="left"/>
              <w:outlineLvl w:val="1"/>
              <w:rPr>
                <w:rFonts w:hAnsi="宋体" w:cs="宋体"/>
                <w:color w:val="auto"/>
              </w:rPr>
            </w:pPr>
          </w:p>
        </w:tc>
        <w:tc>
          <w:tcPr>
            <w:tcW w:w="1360" w:type="dxa"/>
            <w:vAlign w:val="center"/>
          </w:tcPr>
          <w:p>
            <w:pPr>
              <w:spacing w:line="24" w:lineRule="atLeast"/>
              <w:ind w:firstLine="470" w:firstLineChars="196"/>
              <w:jc w:val="left"/>
              <w:outlineLvl w:val="1"/>
              <w:rPr>
                <w:rFonts w:hAnsi="宋体" w:cs="宋体"/>
                <w:color w:val="auto"/>
              </w:rPr>
            </w:pPr>
          </w:p>
        </w:tc>
        <w:tc>
          <w:tcPr>
            <w:tcW w:w="888" w:type="dxa"/>
            <w:vAlign w:val="center"/>
          </w:tcPr>
          <w:p>
            <w:pPr>
              <w:spacing w:line="24" w:lineRule="atLeast"/>
              <w:ind w:firstLine="470" w:firstLineChars="196"/>
              <w:jc w:val="left"/>
              <w:outlineLvl w:val="1"/>
              <w:rPr>
                <w:rFonts w:hAnsi="宋体" w:cs="宋体"/>
                <w:color w:val="auto"/>
              </w:rPr>
            </w:pPr>
          </w:p>
        </w:tc>
        <w:tc>
          <w:tcPr>
            <w:tcW w:w="1212" w:type="dxa"/>
            <w:vAlign w:val="center"/>
          </w:tcPr>
          <w:p>
            <w:pPr>
              <w:spacing w:line="24" w:lineRule="atLeast"/>
              <w:ind w:firstLine="470" w:firstLineChars="196"/>
              <w:jc w:val="left"/>
              <w:outlineLvl w:val="1"/>
              <w:rPr>
                <w:rFonts w:hAnsi="宋体" w:cs="宋体"/>
                <w:color w:val="auto"/>
              </w:rPr>
            </w:pPr>
          </w:p>
        </w:tc>
        <w:tc>
          <w:tcPr>
            <w:tcW w:w="840" w:type="dxa"/>
            <w:vAlign w:val="center"/>
          </w:tcPr>
          <w:p>
            <w:pPr>
              <w:spacing w:line="24" w:lineRule="atLeast"/>
              <w:ind w:firstLine="470" w:firstLineChars="196"/>
              <w:jc w:val="left"/>
              <w:outlineLvl w:val="1"/>
              <w:rPr>
                <w:rFonts w:hAnsi="宋体" w:cs="宋体"/>
                <w:color w:val="auto"/>
              </w:rPr>
            </w:pPr>
          </w:p>
        </w:tc>
        <w:tc>
          <w:tcPr>
            <w:tcW w:w="841" w:type="dxa"/>
            <w:vAlign w:val="center"/>
          </w:tcPr>
          <w:p>
            <w:pPr>
              <w:spacing w:line="24" w:lineRule="atLeast"/>
              <w:ind w:firstLine="470" w:firstLineChars="196"/>
              <w:jc w:val="left"/>
              <w:outlineLvl w:val="1"/>
              <w:rPr>
                <w:rFonts w:hAnsi="宋体" w:cs="宋体"/>
                <w:color w:val="auto"/>
              </w:rPr>
            </w:pPr>
          </w:p>
        </w:tc>
        <w:tc>
          <w:tcPr>
            <w:tcW w:w="876" w:type="dxa"/>
            <w:vAlign w:val="center"/>
          </w:tcPr>
          <w:p>
            <w:pPr>
              <w:spacing w:line="24" w:lineRule="atLeast"/>
              <w:ind w:firstLine="470" w:firstLineChars="196"/>
              <w:jc w:val="left"/>
              <w:outlineLvl w:val="1"/>
              <w:rPr>
                <w:rFonts w:hAnsi="宋体" w:cs="宋体"/>
                <w:color w:val="auto"/>
              </w:rPr>
            </w:pPr>
          </w:p>
        </w:tc>
        <w:tc>
          <w:tcPr>
            <w:tcW w:w="843" w:type="dxa"/>
            <w:vAlign w:val="center"/>
          </w:tcPr>
          <w:p>
            <w:pPr>
              <w:spacing w:line="24" w:lineRule="atLeast"/>
              <w:ind w:firstLine="470" w:firstLineChars="196"/>
              <w:jc w:val="left"/>
              <w:outlineLvl w:val="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spacing w:line="24" w:lineRule="atLeast"/>
              <w:ind w:firstLine="470" w:firstLineChars="196"/>
              <w:jc w:val="left"/>
              <w:outlineLvl w:val="1"/>
              <w:rPr>
                <w:rFonts w:hAnsi="宋体" w:cs="宋体"/>
                <w:color w:val="auto"/>
              </w:rPr>
            </w:pPr>
          </w:p>
        </w:tc>
        <w:tc>
          <w:tcPr>
            <w:tcW w:w="1275" w:type="dxa"/>
            <w:vAlign w:val="center"/>
          </w:tcPr>
          <w:p>
            <w:pPr>
              <w:spacing w:line="24" w:lineRule="atLeast"/>
              <w:ind w:firstLine="470" w:firstLineChars="196"/>
              <w:jc w:val="left"/>
              <w:outlineLvl w:val="1"/>
              <w:rPr>
                <w:rFonts w:hAnsi="宋体" w:cs="宋体"/>
                <w:color w:val="auto"/>
              </w:rPr>
            </w:pPr>
          </w:p>
        </w:tc>
        <w:tc>
          <w:tcPr>
            <w:tcW w:w="1360" w:type="dxa"/>
            <w:vAlign w:val="center"/>
          </w:tcPr>
          <w:p>
            <w:pPr>
              <w:spacing w:line="24" w:lineRule="atLeast"/>
              <w:ind w:firstLine="470" w:firstLineChars="196"/>
              <w:jc w:val="left"/>
              <w:outlineLvl w:val="1"/>
              <w:rPr>
                <w:rFonts w:hAnsi="宋体" w:cs="宋体"/>
                <w:color w:val="auto"/>
              </w:rPr>
            </w:pPr>
          </w:p>
        </w:tc>
        <w:tc>
          <w:tcPr>
            <w:tcW w:w="888" w:type="dxa"/>
            <w:vAlign w:val="center"/>
          </w:tcPr>
          <w:p>
            <w:pPr>
              <w:spacing w:line="24" w:lineRule="atLeast"/>
              <w:ind w:firstLine="470" w:firstLineChars="196"/>
              <w:jc w:val="left"/>
              <w:outlineLvl w:val="1"/>
              <w:rPr>
                <w:rFonts w:hAnsi="宋体" w:cs="宋体"/>
                <w:color w:val="auto"/>
              </w:rPr>
            </w:pPr>
          </w:p>
        </w:tc>
        <w:tc>
          <w:tcPr>
            <w:tcW w:w="1212" w:type="dxa"/>
            <w:vAlign w:val="center"/>
          </w:tcPr>
          <w:p>
            <w:pPr>
              <w:spacing w:line="24" w:lineRule="atLeast"/>
              <w:ind w:firstLine="470" w:firstLineChars="196"/>
              <w:jc w:val="left"/>
              <w:outlineLvl w:val="1"/>
              <w:rPr>
                <w:rFonts w:hAnsi="宋体" w:cs="宋体"/>
                <w:color w:val="auto"/>
              </w:rPr>
            </w:pPr>
          </w:p>
        </w:tc>
        <w:tc>
          <w:tcPr>
            <w:tcW w:w="840" w:type="dxa"/>
            <w:vAlign w:val="center"/>
          </w:tcPr>
          <w:p>
            <w:pPr>
              <w:spacing w:line="24" w:lineRule="atLeast"/>
              <w:ind w:firstLine="470" w:firstLineChars="196"/>
              <w:jc w:val="left"/>
              <w:outlineLvl w:val="1"/>
              <w:rPr>
                <w:rFonts w:hAnsi="宋体" w:cs="宋体"/>
                <w:color w:val="auto"/>
              </w:rPr>
            </w:pPr>
          </w:p>
        </w:tc>
        <w:tc>
          <w:tcPr>
            <w:tcW w:w="841" w:type="dxa"/>
            <w:vAlign w:val="center"/>
          </w:tcPr>
          <w:p>
            <w:pPr>
              <w:spacing w:line="24" w:lineRule="atLeast"/>
              <w:ind w:firstLine="470" w:firstLineChars="196"/>
              <w:jc w:val="left"/>
              <w:outlineLvl w:val="1"/>
              <w:rPr>
                <w:rFonts w:hAnsi="宋体" w:cs="宋体"/>
                <w:color w:val="auto"/>
              </w:rPr>
            </w:pPr>
          </w:p>
        </w:tc>
        <w:tc>
          <w:tcPr>
            <w:tcW w:w="876" w:type="dxa"/>
            <w:vAlign w:val="center"/>
          </w:tcPr>
          <w:p>
            <w:pPr>
              <w:spacing w:line="24" w:lineRule="atLeast"/>
              <w:ind w:firstLine="470" w:firstLineChars="196"/>
              <w:jc w:val="left"/>
              <w:outlineLvl w:val="1"/>
              <w:rPr>
                <w:rFonts w:hAnsi="宋体" w:cs="宋体"/>
                <w:color w:val="auto"/>
              </w:rPr>
            </w:pPr>
          </w:p>
        </w:tc>
        <w:tc>
          <w:tcPr>
            <w:tcW w:w="843" w:type="dxa"/>
            <w:vAlign w:val="center"/>
          </w:tcPr>
          <w:p>
            <w:pPr>
              <w:spacing w:line="24" w:lineRule="atLeast"/>
              <w:ind w:firstLine="470" w:firstLineChars="196"/>
              <w:jc w:val="left"/>
              <w:outlineLvl w:val="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12" w:type="dxa"/>
            <w:gridSpan w:val="9"/>
            <w:tcBorders>
              <w:top w:val="single" w:color="auto" w:sz="4" w:space="0"/>
              <w:bottom w:val="single" w:color="auto" w:sz="4" w:space="0"/>
            </w:tcBorders>
            <w:vAlign w:val="center"/>
          </w:tcPr>
          <w:p>
            <w:pPr>
              <w:spacing w:line="24" w:lineRule="atLeast"/>
              <w:ind w:firstLine="470" w:firstLineChars="196"/>
              <w:jc w:val="left"/>
              <w:outlineLvl w:val="1"/>
              <w:rPr>
                <w:rFonts w:hAnsi="宋体" w:cs="宋体"/>
                <w:color w:val="auto"/>
              </w:rPr>
            </w:pPr>
            <w:r>
              <w:rPr>
                <w:rFonts w:hint="eastAsia" w:hAnsi="宋体" w:cs="宋体"/>
                <w:color w:val="auto"/>
              </w:rPr>
              <w:t>分项报价合计（万元）：大写：</w:t>
            </w:r>
          </w:p>
        </w:tc>
      </w:tr>
    </w:tbl>
    <w:p>
      <w:pPr>
        <w:spacing w:line="24" w:lineRule="atLeast"/>
        <w:jc w:val="left"/>
        <w:outlineLvl w:val="1"/>
        <w:rPr>
          <w:rFonts w:hAnsi="宋体" w:cs="宋体"/>
          <w:color w:val="auto"/>
        </w:rPr>
      </w:pPr>
    </w:p>
    <w:p>
      <w:pPr>
        <w:spacing w:line="24" w:lineRule="atLeast"/>
        <w:ind w:left="840" w:hanging="840" w:hangingChars="350"/>
        <w:rPr>
          <w:rFonts w:hAnsi="宋体" w:cs="宋体"/>
          <w:color w:val="auto"/>
        </w:rPr>
      </w:pPr>
      <w:bookmarkStart w:id="201" w:name="_Toc217446087"/>
      <w:r>
        <w:rPr>
          <w:rFonts w:hint="eastAsia" w:hAnsi="宋体" w:cs="宋体"/>
          <w:color w:val="auto"/>
        </w:rPr>
        <w:t>注：1、投标人必须按“分项报价明细表”的格式详细报出投标总价的各个组成部分的报价，否则作无效投标处理。</w:t>
      </w:r>
    </w:p>
    <w:p>
      <w:pPr>
        <w:spacing w:line="24" w:lineRule="atLeast"/>
        <w:ind w:firstLine="480"/>
        <w:jc w:val="left"/>
        <w:rPr>
          <w:rFonts w:hAnsi="宋体" w:cs="宋体"/>
          <w:color w:val="auto"/>
        </w:rPr>
      </w:pPr>
      <w:r>
        <w:rPr>
          <w:rFonts w:hint="eastAsia" w:hAnsi="宋体" w:cs="宋体"/>
          <w:color w:val="auto"/>
        </w:rPr>
        <w:t>2、投标人在本表中必须详细注明所投产品的“品牌”和“规格型号”，自行承担填写错误被视为无效投标文件的风险。</w:t>
      </w:r>
    </w:p>
    <w:p>
      <w:pPr>
        <w:adjustRightInd w:val="0"/>
        <w:spacing w:line="24" w:lineRule="atLeast"/>
        <w:jc w:val="left"/>
        <w:rPr>
          <w:rFonts w:hAnsi="宋体" w:cs="宋体"/>
          <w:color w:val="auto"/>
          <w:sz w:val="28"/>
        </w:rPr>
      </w:pPr>
    </w:p>
    <w:p>
      <w:pPr>
        <w:pStyle w:val="11"/>
        <w:spacing w:line="24" w:lineRule="atLeast"/>
        <w:rPr>
          <w:rFonts w:hAnsi="宋体" w:cs="宋体"/>
        </w:rPr>
      </w:pPr>
    </w:p>
    <w:p>
      <w:pPr>
        <w:adjustRightInd w:val="0"/>
        <w:spacing w:line="24" w:lineRule="atLeast"/>
        <w:ind w:firstLine="480" w:firstLineChars="200"/>
        <w:jc w:val="left"/>
        <w:rPr>
          <w:rFonts w:hAnsi="宋体" w:cs="宋体"/>
          <w:color w:val="auto"/>
        </w:rPr>
      </w:pPr>
      <w:r>
        <w:rPr>
          <w:rFonts w:hint="eastAsia" w:hAnsi="宋体" w:cs="宋体"/>
          <w:color w:val="auto"/>
        </w:rPr>
        <w:t>投标人名称：（盖公章）</w:t>
      </w:r>
    </w:p>
    <w:p>
      <w:pPr>
        <w:spacing w:line="24" w:lineRule="atLeast"/>
        <w:ind w:firstLine="470" w:firstLineChars="196"/>
        <w:jc w:val="left"/>
        <w:outlineLvl w:val="1"/>
        <w:rPr>
          <w:rFonts w:hAnsi="宋体" w:cs="宋体"/>
          <w:color w:val="auto"/>
        </w:rPr>
      </w:pPr>
      <w:r>
        <w:rPr>
          <w:rFonts w:hint="eastAsia" w:hAnsi="宋体" w:cs="宋体"/>
          <w:color w:val="auto"/>
        </w:rPr>
        <w:t>法定代表人或委托代理人（签字或盖章）：</w:t>
      </w:r>
    </w:p>
    <w:p>
      <w:pPr>
        <w:adjustRightInd w:val="0"/>
        <w:spacing w:line="24" w:lineRule="atLeast"/>
        <w:ind w:firstLine="480" w:firstLineChars="200"/>
        <w:jc w:val="left"/>
        <w:rPr>
          <w:rFonts w:hAnsi="宋体" w:cs="宋体"/>
          <w:color w:val="auto"/>
        </w:rPr>
      </w:pPr>
      <w:r>
        <w:rPr>
          <w:rFonts w:hint="eastAsia" w:hAnsi="宋体" w:cs="宋体"/>
          <w:color w:val="auto"/>
        </w:rPr>
        <w:t>日期：</w:t>
      </w:r>
    </w:p>
    <w:p>
      <w:pPr>
        <w:spacing w:line="360" w:lineRule="auto"/>
        <w:ind w:firstLine="470" w:firstLineChars="196"/>
        <w:jc w:val="left"/>
        <w:outlineLvl w:val="1"/>
        <w:rPr>
          <w:rFonts w:hAnsi="宋体" w:cs="宋体"/>
          <w:b/>
          <w:color w:val="auto"/>
          <w:sz w:val="32"/>
          <w:szCs w:val="32"/>
        </w:rPr>
      </w:pPr>
      <w:r>
        <w:rPr>
          <w:rFonts w:hint="eastAsia" w:hAnsi="宋体" w:cs="宋体"/>
          <w:color w:val="auto"/>
        </w:rPr>
        <w:br w:type="page"/>
      </w:r>
      <w:r>
        <w:rPr>
          <w:rFonts w:hint="eastAsia" w:hAnsi="宋体" w:cs="宋体"/>
          <w:b/>
          <w:color w:val="auto"/>
          <w:sz w:val="32"/>
          <w:szCs w:val="32"/>
        </w:rPr>
        <w:t>格式2-6</w:t>
      </w:r>
    </w:p>
    <w:p>
      <w:pPr>
        <w:spacing w:line="360" w:lineRule="auto"/>
        <w:jc w:val="center"/>
        <w:outlineLvl w:val="1"/>
        <w:rPr>
          <w:rFonts w:hAnsi="宋体" w:cs="宋体"/>
          <w:b/>
          <w:color w:val="auto"/>
          <w:sz w:val="32"/>
          <w:szCs w:val="32"/>
        </w:rPr>
      </w:pPr>
      <w:r>
        <w:rPr>
          <w:rFonts w:hint="eastAsia" w:hAnsi="宋体" w:cs="宋体"/>
          <w:b/>
          <w:color w:val="auto"/>
          <w:sz w:val="32"/>
          <w:szCs w:val="32"/>
        </w:rPr>
        <w:t>五、商务应答表</w:t>
      </w:r>
      <w:bookmarkEnd w:id="201"/>
    </w:p>
    <w:p>
      <w:pPr>
        <w:spacing w:line="360" w:lineRule="auto"/>
        <w:ind w:firstLine="472" w:firstLineChars="196"/>
        <w:jc w:val="left"/>
        <w:outlineLvl w:val="1"/>
        <w:rPr>
          <w:rFonts w:hAnsi="宋体" w:cs="宋体"/>
          <w:b/>
          <w:color w:val="auto"/>
        </w:rPr>
      </w:pPr>
    </w:p>
    <w:p>
      <w:pPr>
        <w:pStyle w:val="21"/>
        <w:pBdr>
          <w:bottom w:val="none" w:color="auto" w:sz="0" w:space="0"/>
        </w:pBdr>
        <w:tabs>
          <w:tab w:val="clear" w:pos="4153"/>
          <w:tab w:val="clear" w:pos="8306"/>
        </w:tabs>
        <w:snapToGrid/>
        <w:spacing w:line="360" w:lineRule="auto"/>
        <w:rPr>
          <w:rFonts w:ascii="宋体" w:hAnsi="宋体" w:cs="宋体"/>
          <w:sz w:val="24"/>
        </w:rPr>
      </w:pPr>
      <w:r>
        <w:rPr>
          <w:rFonts w:hint="eastAsia" w:ascii="宋体" w:hAnsi="宋体" w:cs="宋体"/>
          <w:sz w:val="24"/>
        </w:rPr>
        <w:t>招标编号/包号：</w:t>
      </w:r>
    </w:p>
    <w:tbl>
      <w:tblPr>
        <w:tblStyle w:val="32"/>
        <w:tblW w:w="882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04"/>
        <w:gridCol w:w="1466"/>
        <w:gridCol w:w="3103"/>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60" w:type="dxa"/>
            <w:vAlign w:val="center"/>
          </w:tcPr>
          <w:p>
            <w:pPr>
              <w:spacing w:line="360" w:lineRule="auto"/>
              <w:jc w:val="center"/>
              <w:rPr>
                <w:rFonts w:hAnsi="宋体" w:cs="宋体"/>
                <w:color w:val="auto"/>
                <w:sz w:val="21"/>
                <w:szCs w:val="21"/>
              </w:rPr>
            </w:pPr>
            <w:r>
              <w:rPr>
                <w:rFonts w:hint="eastAsia" w:hAnsi="宋体" w:cs="宋体"/>
                <w:color w:val="auto"/>
                <w:sz w:val="21"/>
                <w:szCs w:val="21"/>
              </w:rPr>
              <w:t>序号</w:t>
            </w:r>
          </w:p>
        </w:tc>
        <w:tc>
          <w:tcPr>
            <w:tcW w:w="1704" w:type="dxa"/>
            <w:vAlign w:val="center"/>
          </w:tcPr>
          <w:p>
            <w:pPr>
              <w:spacing w:line="360" w:lineRule="auto"/>
              <w:jc w:val="center"/>
              <w:rPr>
                <w:rFonts w:hAnsi="宋体" w:cs="宋体"/>
                <w:color w:val="auto"/>
                <w:sz w:val="21"/>
                <w:szCs w:val="21"/>
              </w:rPr>
            </w:pPr>
            <w:r>
              <w:rPr>
                <w:rFonts w:hint="eastAsia" w:hAnsi="宋体" w:cs="宋体"/>
                <w:color w:val="auto"/>
                <w:sz w:val="21"/>
                <w:szCs w:val="21"/>
              </w:rPr>
              <w:t>招标文件条目号</w:t>
            </w:r>
          </w:p>
        </w:tc>
        <w:tc>
          <w:tcPr>
            <w:tcW w:w="1466" w:type="dxa"/>
            <w:vAlign w:val="center"/>
          </w:tcPr>
          <w:p>
            <w:pPr>
              <w:spacing w:line="360" w:lineRule="auto"/>
              <w:jc w:val="center"/>
              <w:rPr>
                <w:rFonts w:hAnsi="宋体" w:cs="宋体"/>
                <w:color w:val="auto"/>
                <w:sz w:val="21"/>
                <w:szCs w:val="21"/>
              </w:rPr>
            </w:pPr>
            <w:r>
              <w:rPr>
                <w:rFonts w:hint="eastAsia" w:hAnsi="宋体" w:cs="宋体"/>
                <w:color w:val="auto"/>
                <w:sz w:val="21"/>
                <w:szCs w:val="21"/>
              </w:rPr>
              <w:t>招标要求</w:t>
            </w:r>
          </w:p>
        </w:tc>
        <w:tc>
          <w:tcPr>
            <w:tcW w:w="3103" w:type="dxa"/>
            <w:vAlign w:val="center"/>
          </w:tcPr>
          <w:p>
            <w:pPr>
              <w:spacing w:line="360" w:lineRule="auto"/>
              <w:jc w:val="center"/>
              <w:rPr>
                <w:rFonts w:hAnsi="宋体" w:cs="宋体"/>
                <w:color w:val="auto"/>
                <w:sz w:val="21"/>
                <w:szCs w:val="21"/>
              </w:rPr>
            </w:pPr>
            <w:r>
              <w:rPr>
                <w:rFonts w:hint="eastAsia" w:hAnsi="宋体" w:cs="宋体"/>
                <w:color w:val="auto"/>
                <w:sz w:val="21"/>
                <w:szCs w:val="21"/>
              </w:rPr>
              <w:t>投标应答</w:t>
            </w:r>
          </w:p>
        </w:tc>
        <w:tc>
          <w:tcPr>
            <w:tcW w:w="1587" w:type="dxa"/>
            <w:vAlign w:val="center"/>
          </w:tcPr>
          <w:p>
            <w:pPr>
              <w:spacing w:line="360" w:lineRule="auto"/>
              <w:jc w:val="center"/>
              <w:rPr>
                <w:rFonts w:hAnsi="宋体" w:cs="宋体"/>
                <w:color w:val="auto"/>
                <w:sz w:val="21"/>
                <w:szCs w:val="21"/>
              </w:rPr>
            </w:pPr>
            <w:r>
              <w:rPr>
                <w:rFonts w:hint="eastAsia" w:hAnsi="宋体" w:cs="宋体"/>
                <w:color w:val="auto"/>
                <w:sz w:val="21"/>
                <w:szCs w:val="21"/>
              </w:rPr>
              <w:t>响应/正偏离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60" w:type="dxa"/>
          </w:tcPr>
          <w:p>
            <w:pPr>
              <w:spacing w:line="360" w:lineRule="auto"/>
              <w:jc w:val="center"/>
              <w:rPr>
                <w:rFonts w:hAnsi="宋体" w:cs="宋体"/>
                <w:color w:val="auto"/>
                <w:sz w:val="32"/>
              </w:rPr>
            </w:pPr>
          </w:p>
        </w:tc>
        <w:tc>
          <w:tcPr>
            <w:tcW w:w="1704" w:type="dxa"/>
          </w:tcPr>
          <w:p>
            <w:pPr>
              <w:spacing w:line="360" w:lineRule="auto"/>
              <w:jc w:val="center"/>
              <w:rPr>
                <w:rFonts w:hAnsi="宋体" w:cs="宋体"/>
                <w:color w:val="auto"/>
                <w:sz w:val="32"/>
              </w:rPr>
            </w:pPr>
          </w:p>
        </w:tc>
        <w:tc>
          <w:tcPr>
            <w:tcW w:w="1466" w:type="dxa"/>
          </w:tcPr>
          <w:p>
            <w:pPr>
              <w:spacing w:line="360" w:lineRule="auto"/>
              <w:jc w:val="center"/>
              <w:rPr>
                <w:rFonts w:hAnsi="宋体" w:cs="宋体"/>
                <w:color w:val="auto"/>
                <w:sz w:val="32"/>
              </w:rPr>
            </w:pPr>
          </w:p>
        </w:tc>
        <w:tc>
          <w:tcPr>
            <w:tcW w:w="3103" w:type="dxa"/>
          </w:tcPr>
          <w:p>
            <w:pPr>
              <w:spacing w:line="360" w:lineRule="auto"/>
              <w:ind w:left="422" w:hanging="422" w:hangingChars="132"/>
              <w:jc w:val="center"/>
              <w:rPr>
                <w:rFonts w:hAnsi="宋体" w:cs="宋体"/>
                <w:color w:val="auto"/>
                <w:sz w:val="32"/>
              </w:rPr>
            </w:pPr>
          </w:p>
        </w:tc>
        <w:tc>
          <w:tcPr>
            <w:tcW w:w="1587" w:type="dxa"/>
          </w:tcPr>
          <w:p>
            <w:pPr>
              <w:spacing w:line="360" w:lineRule="auto"/>
              <w:ind w:left="422" w:hanging="422" w:hangingChars="132"/>
              <w:jc w:val="center"/>
              <w:rPr>
                <w:rFonts w:hAnsi="宋体" w:cs="宋体"/>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60" w:type="dxa"/>
          </w:tcPr>
          <w:p>
            <w:pPr>
              <w:spacing w:line="360" w:lineRule="auto"/>
              <w:jc w:val="center"/>
              <w:rPr>
                <w:rFonts w:hAnsi="宋体" w:cs="宋体"/>
                <w:color w:val="auto"/>
                <w:sz w:val="32"/>
              </w:rPr>
            </w:pPr>
          </w:p>
        </w:tc>
        <w:tc>
          <w:tcPr>
            <w:tcW w:w="1704" w:type="dxa"/>
          </w:tcPr>
          <w:p>
            <w:pPr>
              <w:spacing w:line="360" w:lineRule="auto"/>
              <w:jc w:val="center"/>
              <w:rPr>
                <w:rFonts w:hAnsi="宋体" w:cs="宋体"/>
                <w:color w:val="auto"/>
                <w:sz w:val="32"/>
              </w:rPr>
            </w:pPr>
          </w:p>
        </w:tc>
        <w:tc>
          <w:tcPr>
            <w:tcW w:w="1466" w:type="dxa"/>
          </w:tcPr>
          <w:p>
            <w:pPr>
              <w:spacing w:line="360" w:lineRule="auto"/>
              <w:jc w:val="center"/>
              <w:rPr>
                <w:rFonts w:hAnsi="宋体" w:cs="宋体"/>
                <w:color w:val="auto"/>
                <w:sz w:val="32"/>
              </w:rPr>
            </w:pPr>
          </w:p>
        </w:tc>
        <w:tc>
          <w:tcPr>
            <w:tcW w:w="3103" w:type="dxa"/>
          </w:tcPr>
          <w:p>
            <w:pPr>
              <w:spacing w:line="360" w:lineRule="auto"/>
              <w:jc w:val="center"/>
              <w:rPr>
                <w:rFonts w:hAnsi="宋体" w:cs="宋体"/>
                <w:color w:val="auto"/>
                <w:sz w:val="32"/>
              </w:rPr>
            </w:pPr>
          </w:p>
        </w:tc>
        <w:tc>
          <w:tcPr>
            <w:tcW w:w="1587" w:type="dxa"/>
          </w:tcPr>
          <w:p>
            <w:pPr>
              <w:spacing w:line="360" w:lineRule="auto"/>
              <w:jc w:val="center"/>
              <w:rPr>
                <w:rFonts w:hAnsi="宋体" w:cs="宋体"/>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60" w:type="dxa"/>
          </w:tcPr>
          <w:p>
            <w:pPr>
              <w:spacing w:line="360" w:lineRule="auto"/>
              <w:jc w:val="center"/>
              <w:rPr>
                <w:rFonts w:hAnsi="宋体" w:cs="宋体"/>
                <w:color w:val="auto"/>
                <w:sz w:val="32"/>
              </w:rPr>
            </w:pPr>
          </w:p>
        </w:tc>
        <w:tc>
          <w:tcPr>
            <w:tcW w:w="1704" w:type="dxa"/>
          </w:tcPr>
          <w:p>
            <w:pPr>
              <w:spacing w:line="360" w:lineRule="auto"/>
              <w:jc w:val="center"/>
              <w:rPr>
                <w:rFonts w:hAnsi="宋体" w:cs="宋体"/>
                <w:color w:val="auto"/>
                <w:sz w:val="32"/>
              </w:rPr>
            </w:pPr>
          </w:p>
        </w:tc>
        <w:tc>
          <w:tcPr>
            <w:tcW w:w="1466" w:type="dxa"/>
          </w:tcPr>
          <w:p>
            <w:pPr>
              <w:spacing w:line="360" w:lineRule="auto"/>
              <w:jc w:val="center"/>
              <w:rPr>
                <w:rFonts w:hAnsi="宋体" w:cs="宋体"/>
                <w:color w:val="auto"/>
                <w:sz w:val="32"/>
              </w:rPr>
            </w:pPr>
          </w:p>
        </w:tc>
        <w:tc>
          <w:tcPr>
            <w:tcW w:w="3103" w:type="dxa"/>
          </w:tcPr>
          <w:p>
            <w:pPr>
              <w:spacing w:line="360" w:lineRule="auto"/>
              <w:jc w:val="center"/>
              <w:rPr>
                <w:rFonts w:hAnsi="宋体" w:cs="宋体"/>
                <w:color w:val="auto"/>
                <w:sz w:val="32"/>
              </w:rPr>
            </w:pPr>
          </w:p>
        </w:tc>
        <w:tc>
          <w:tcPr>
            <w:tcW w:w="1587" w:type="dxa"/>
          </w:tcPr>
          <w:p>
            <w:pPr>
              <w:spacing w:line="360" w:lineRule="auto"/>
              <w:jc w:val="center"/>
              <w:rPr>
                <w:rFonts w:hAnsi="宋体" w:cs="宋体"/>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60" w:type="dxa"/>
          </w:tcPr>
          <w:p>
            <w:pPr>
              <w:spacing w:line="360" w:lineRule="auto"/>
              <w:jc w:val="center"/>
              <w:rPr>
                <w:rFonts w:hAnsi="宋体" w:cs="宋体"/>
                <w:color w:val="auto"/>
                <w:sz w:val="32"/>
              </w:rPr>
            </w:pPr>
          </w:p>
        </w:tc>
        <w:tc>
          <w:tcPr>
            <w:tcW w:w="1704" w:type="dxa"/>
          </w:tcPr>
          <w:p>
            <w:pPr>
              <w:spacing w:line="360" w:lineRule="auto"/>
              <w:jc w:val="center"/>
              <w:rPr>
                <w:rFonts w:hAnsi="宋体" w:cs="宋体"/>
                <w:color w:val="auto"/>
                <w:sz w:val="32"/>
              </w:rPr>
            </w:pPr>
          </w:p>
        </w:tc>
        <w:tc>
          <w:tcPr>
            <w:tcW w:w="1466" w:type="dxa"/>
          </w:tcPr>
          <w:p>
            <w:pPr>
              <w:spacing w:line="360" w:lineRule="auto"/>
              <w:jc w:val="center"/>
              <w:rPr>
                <w:rFonts w:hAnsi="宋体" w:cs="宋体"/>
                <w:color w:val="auto"/>
                <w:sz w:val="32"/>
              </w:rPr>
            </w:pPr>
          </w:p>
        </w:tc>
        <w:tc>
          <w:tcPr>
            <w:tcW w:w="3103" w:type="dxa"/>
          </w:tcPr>
          <w:p>
            <w:pPr>
              <w:spacing w:line="360" w:lineRule="auto"/>
              <w:jc w:val="center"/>
              <w:rPr>
                <w:rFonts w:hAnsi="宋体" w:cs="宋体"/>
                <w:color w:val="auto"/>
                <w:sz w:val="32"/>
              </w:rPr>
            </w:pPr>
          </w:p>
        </w:tc>
        <w:tc>
          <w:tcPr>
            <w:tcW w:w="1587" w:type="dxa"/>
          </w:tcPr>
          <w:p>
            <w:pPr>
              <w:spacing w:line="360" w:lineRule="auto"/>
              <w:jc w:val="center"/>
              <w:rPr>
                <w:rFonts w:hAnsi="宋体" w:cs="宋体"/>
                <w:color w:val="auto"/>
                <w:sz w:val="32"/>
              </w:rPr>
            </w:pPr>
          </w:p>
        </w:tc>
      </w:tr>
    </w:tbl>
    <w:p>
      <w:pPr>
        <w:spacing w:line="360" w:lineRule="auto"/>
        <w:rPr>
          <w:rFonts w:hAnsi="宋体" w:cs="宋体"/>
          <w:color w:val="auto"/>
        </w:rPr>
      </w:pPr>
      <w:r>
        <w:rPr>
          <w:rFonts w:hint="eastAsia" w:hAnsi="宋体" w:cs="宋体"/>
          <w:color w:val="auto"/>
        </w:rPr>
        <w:t>注：1.投标供应商须对商务条款逐条响应，并保证响应的真实性。</w:t>
      </w:r>
    </w:p>
    <w:p>
      <w:pPr>
        <w:spacing w:line="360" w:lineRule="auto"/>
        <w:ind w:firstLine="480"/>
        <w:rPr>
          <w:rFonts w:hAnsi="宋体" w:cs="宋体"/>
          <w:color w:val="auto"/>
        </w:rPr>
      </w:pPr>
      <w:r>
        <w:rPr>
          <w:rFonts w:hint="eastAsia" w:hAnsi="宋体" w:cs="宋体"/>
          <w:color w:val="auto"/>
        </w:rPr>
        <w:t>2.投标供应商未按要求响应的，漏项的，自行承担被视为无效投标文件的风险。</w:t>
      </w:r>
    </w:p>
    <w:p>
      <w:pPr>
        <w:spacing w:line="360" w:lineRule="auto"/>
        <w:ind w:firstLine="480"/>
        <w:rPr>
          <w:rFonts w:hAnsi="宋体" w:cs="宋体"/>
          <w:color w:val="auto"/>
        </w:rPr>
      </w:pPr>
      <w:r>
        <w:rPr>
          <w:rFonts w:hint="eastAsia" w:hAnsi="宋体" w:cs="宋体"/>
          <w:color w:val="auto"/>
        </w:rPr>
        <w:t>3.商务条款不允许负偏离。</w:t>
      </w:r>
    </w:p>
    <w:p>
      <w:pPr>
        <w:spacing w:line="360" w:lineRule="auto"/>
        <w:ind w:left="617" w:leftChars="57" w:hanging="480" w:hangingChars="200"/>
        <w:rPr>
          <w:rFonts w:hAnsi="宋体" w:cs="宋体"/>
          <w:color w:val="auto"/>
        </w:rPr>
      </w:pPr>
    </w:p>
    <w:p>
      <w:pPr>
        <w:adjustRightInd w:val="0"/>
        <w:spacing w:line="360" w:lineRule="auto"/>
        <w:ind w:firstLine="490" w:firstLineChars="175"/>
        <w:jc w:val="left"/>
        <w:rPr>
          <w:rFonts w:hAnsi="宋体" w:cs="宋体"/>
          <w:bCs/>
          <w:color w:val="auto"/>
          <w:sz w:val="28"/>
          <w:szCs w:val="28"/>
        </w:rPr>
      </w:pPr>
    </w:p>
    <w:p>
      <w:pPr>
        <w:adjustRightInd w:val="0"/>
        <w:spacing w:line="360" w:lineRule="auto"/>
        <w:ind w:firstLine="420" w:firstLineChars="175"/>
        <w:jc w:val="left"/>
        <w:rPr>
          <w:rFonts w:hAnsi="宋体" w:cs="宋体"/>
          <w:bCs/>
          <w:color w:val="auto"/>
        </w:rPr>
      </w:pPr>
      <w:r>
        <w:rPr>
          <w:rFonts w:hint="eastAsia" w:hAnsi="宋体" w:cs="宋体"/>
          <w:bCs/>
          <w:color w:val="auto"/>
        </w:rPr>
        <w:t>投标人名称：（盖公章）</w:t>
      </w:r>
    </w:p>
    <w:p>
      <w:pPr>
        <w:spacing w:line="360" w:lineRule="auto"/>
        <w:ind w:firstLine="470" w:firstLineChars="196"/>
        <w:jc w:val="left"/>
        <w:outlineLvl w:val="1"/>
        <w:rPr>
          <w:rFonts w:hAnsi="宋体" w:cs="宋体"/>
          <w:color w:val="auto"/>
        </w:rPr>
      </w:pPr>
      <w:r>
        <w:rPr>
          <w:rFonts w:hint="eastAsia" w:hAnsi="宋体" w:cs="宋体"/>
          <w:color w:val="auto"/>
        </w:rPr>
        <w:t>法定代表人或委托代理人（签字或盖章）：</w:t>
      </w:r>
    </w:p>
    <w:p>
      <w:pPr>
        <w:adjustRightInd w:val="0"/>
        <w:spacing w:line="360" w:lineRule="auto"/>
        <w:ind w:firstLine="420" w:firstLineChars="175"/>
        <w:jc w:val="left"/>
        <w:rPr>
          <w:rFonts w:hAnsi="宋体" w:cs="宋体"/>
          <w:bCs/>
          <w:color w:val="auto"/>
        </w:rPr>
      </w:pPr>
      <w:r>
        <w:rPr>
          <w:rFonts w:hint="eastAsia" w:hAnsi="宋体" w:cs="宋体"/>
          <w:bCs/>
          <w:color w:val="auto"/>
        </w:rPr>
        <w:t>日期:</w:t>
      </w:r>
    </w:p>
    <w:p>
      <w:pPr>
        <w:spacing w:line="360" w:lineRule="auto"/>
        <w:rPr>
          <w:rFonts w:hAnsi="宋体" w:cs="宋体"/>
          <w:bCs/>
          <w:color w:val="auto"/>
          <w:sz w:val="28"/>
          <w:szCs w:val="28"/>
        </w:rPr>
      </w:pPr>
    </w:p>
    <w:p>
      <w:pPr>
        <w:spacing w:line="360" w:lineRule="auto"/>
        <w:rPr>
          <w:rFonts w:hAnsi="宋体" w:cs="宋体"/>
          <w:bCs/>
          <w:color w:val="auto"/>
          <w:sz w:val="28"/>
          <w:szCs w:val="28"/>
        </w:rPr>
      </w:pPr>
    </w:p>
    <w:p>
      <w:pPr>
        <w:spacing w:line="360" w:lineRule="auto"/>
        <w:rPr>
          <w:rFonts w:hAnsi="宋体" w:cs="宋体"/>
          <w:bCs/>
          <w:color w:val="auto"/>
          <w:sz w:val="28"/>
          <w:szCs w:val="28"/>
        </w:rPr>
      </w:pPr>
    </w:p>
    <w:p>
      <w:pPr>
        <w:spacing w:line="360" w:lineRule="auto"/>
        <w:rPr>
          <w:rFonts w:hAnsi="宋体" w:cs="宋体"/>
          <w:b/>
          <w:color w:val="auto"/>
          <w:sz w:val="32"/>
          <w:szCs w:val="32"/>
        </w:rPr>
      </w:pPr>
      <w:r>
        <w:rPr>
          <w:rFonts w:hint="eastAsia" w:hAnsi="宋体" w:cs="宋体"/>
          <w:color w:val="auto"/>
        </w:rPr>
        <w:br w:type="page"/>
      </w:r>
      <w:r>
        <w:rPr>
          <w:rFonts w:hint="eastAsia" w:hAnsi="宋体" w:cs="宋体"/>
          <w:b/>
          <w:color w:val="auto"/>
          <w:sz w:val="32"/>
          <w:szCs w:val="32"/>
        </w:rPr>
        <w:t>格式2-7</w:t>
      </w:r>
    </w:p>
    <w:p>
      <w:pPr>
        <w:spacing w:line="360" w:lineRule="auto"/>
        <w:jc w:val="center"/>
        <w:outlineLvl w:val="1"/>
        <w:rPr>
          <w:rFonts w:hAnsi="宋体" w:cs="宋体"/>
          <w:b/>
          <w:color w:val="auto"/>
          <w:sz w:val="32"/>
          <w:szCs w:val="32"/>
        </w:rPr>
      </w:pPr>
      <w:bookmarkStart w:id="202" w:name="_Toc217446088"/>
      <w:r>
        <w:rPr>
          <w:rFonts w:hint="eastAsia" w:hAnsi="宋体" w:cs="宋体"/>
          <w:b/>
          <w:color w:val="auto"/>
          <w:sz w:val="32"/>
          <w:szCs w:val="32"/>
        </w:rPr>
        <w:t>六、投标人基本情况表</w:t>
      </w:r>
      <w:bookmarkEnd w:id="202"/>
    </w:p>
    <w:tbl>
      <w:tblPr>
        <w:tblStyle w:val="32"/>
        <w:tblW w:w="8679"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08"/>
        <w:gridCol w:w="1010"/>
        <w:gridCol w:w="1308"/>
        <w:gridCol w:w="1319"/>
        <w:gridCol w:w="1394"/>
        <w:gridCol w:w="166"/>
        <w:gridCol w:w="731"/>
        <w:gridCol w:w="114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7" w:hRule="atLeast"/>
        </w:trPr>
        <w:tc>
          <w:tcPr>
            <w:tcW w:w="1608" w:type="dxa"/>
            <w:vAlign w:val="center"/>
          </w:tcPr>
          <w:p>
            <w:pPr>
              <w:spacing w:line="360" w:lineRule="auto"/>
              <w:jc w:val="left"/>
              <w:outlineLvl w:val="1"/>
              <w:rPr>
                <w:rFonts w:hAnsi="宋体" w:cs="宋体"/>
                <w:color w:val="auto"/>
              </w:rPr>
            </w:pPr>
            <w:r>
              <w:rPr>
                <w:rFonts w:hint="eastAsia" w:hAnsi="宋体" w:cs="宋体"/>
                <w:color w:val="auto"/>
              </w:rPr>
              <w:t>投标人名称</w:t>
            </w:r>
          </w:p>
        </w:tc>
        <w:tc>
          <w:tcPr>
            <w:tcW w:w="7071" w:type="dxa"/>
            <w:gridSpan w:val="7"/>
            <w:vAlign w:val="center"/>
          </w:tcPr>
          <w:p>
            <w:pPr>
              <w:spacing w:line="360" w:lineRule="auto"/>
              <w:ind w:firstLine="470" w:firstLineChars="196"/>
              <w:jc w:val="left"/>
              <w:outlineLvl w:val="1"/>
              <w:rPr>
                <w:rFonts w:hAnsi="宋体" w:cs="宋体"/>
                <w:color w:val="auto"/>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2" w:hRule="atLeast"/>
        </w:trPr>
        <w:tc>
          <w:tcPr>
            <w:tcW w:w="1608" w:type="dxa"/>
            <w:vAlign w:val="center"/>
          </w:tcPr>
          <w:p>
            <w:pPr>
              <w:spacing w:line="360" w:lineRule="auto"/>
              <w:jc w:val="left"/>
              <w:outlineLvl w:val="1"/>
              <w:rPr>
                <w:rFonts w:hAnsi="宋体" w:cs="宋体"/>
                <w:color w:val="auto"/>
              </w:rPr>
            </w:pPr>
            <w:r>
              <w:rPr>
                <w:rFonts w:hint="eastAsia" w:hAnsi="宋体" w:cs="宋体"/>
                <w:color w:val="auto"/>
              </w:rPr>
              <w:t>注册地址</w:t>
            </w:r>
          </w:p>
        </w:tc>
        <w:tc>
          <w:tcPr>
            <w:tcW w:w="3637" w:type="dxa"/>
            <w:gridSpan w:val="3"/>
            <w:vAlign w:val="center"/>
          </w:tcPr>
          <w:p>
            <w:pPr>
              <w:spacing w:line="360" w:lineRule="auto"/>
              <w:ind w:firstLine="470" w:firstLineChars="196"/>
              <w:jc w:val="left"/>
              <w:outlineLvl w:val="1"/>
              <w:rPr>
                <w:rFonts w:hAnsi="宋体" w:cs="宋体"/>
                <w:color w:val="auto"/>
              </w:rPr>
            </w:pPr>
          </w:p>
        </w:tc>
        <w:tc>
          <w:tcPr>
            <w:tcW w:w="1394" w:type="dxa"/>
            <w:vAlign w:val="center"/>
          </w:tcPr>
          <w:p>
            <w:pPr>
              <w:spacing w:line="360" w:lineRule="auto"/>
              <w:jc w:val="left"/>
              <w:outlineLvl w:val="1"/>
              <w:rPr>
                <w:rFonts w:hAnsi="宋体" w:cs="宋体"/>
                <w:color w:val="auto"/>
              </w:rPr>
            </w:pPr>
            <w:r>
              <w:rPr>
                <w:rFonts w:hint="eastAsia" w:hAnsi="宋体" w:cs="宋体"/>
                <w:color w:val="auto"/>
              </w:rPr>
              <w:t>邮政编码</w:t>
            </w:r>
          </w:p>
        </w:tc>
        <w:tc>
          <w:tcPr>
            <w:tcW w:w="2040" w:type="dxa"/>
            <w:gridSpan w:val="3"/>
            <w:vAlign w:val="center"/>
          </w:tcPr>
          <w:p>
            <w:pPr>
              <w:spacing w:line="360" w:lineRule="auto"/>
              <w:ind w:firstLine="470" w:firstLineChars="196"/>
              <w:jc w:val="left"/>
              <w:outlineLvl w:val="1"/>
              <w:rPr>
                <w:rFonts w:hAnsi="宋体" w:cs="宋体"/>
                <w:color w:val="auto"/>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2" w:hRule="atLeast"/>
        </w:trPr>
        <w:tc>
          <w:tcPr>
            <w:tcW w:w="1608" w:type="dxa"/>
            <w:vMerge w:val="restart"/>
            <w:vAlign w:val="center"/>
          </w:tcPr>
          <w:p>
            <w:pPr>
              <w:spacing w:line="360" w:lineRule="auto"/>
              <w:jc w:val="left"/>
              <w:outlineLvl w:val="1"/>
              <w:rPr>
                <w:rFonts w:hAnsi="宋体" w:cs="宋体"/>
                <w:color w:val="auto"/>
              </w:rPr>
            </w:pPr>
            <w:r>
              <w:rPr>
                <w:rFonts w:hint="eastAsia" w:hAnsi="宋体" w:cs="宋体"/>
                <w:color w:val="auto"/>
              </w:rPr>
              <w:t>联系方式</w:t>
            </w:r>
          </w:p>
        </w:tc>
        <w:tc>
          <w:tcPr>
            <w:tcW w:w="1010" w:type="dxa"/>
            <w:vAlign w:val="center"/>
          </w:tcPr>
          <w:p>
            <w:pPr>
              <w:spacing w:line="360" w:lineRule="auto"/>
              <w:jc w:val="left"/>
              <w:outlineLvl w:val="1"/>
              <w:rPr>
                <w:rFonts w:hAnsi="宋体" w:cs="宋体"/>
                <w:color w:val="auto"/>
              </w:rPr>
            </w:pPr>
            <w:r>
              <w:rPr>
                <w:rFonts w:hint="eastAsia" w:hAnsi="宋体" w:cs="宋体"/>
                <w:color w:val="auto"/>
              </w:rPr>
              <w:t>联系人</w:t>
            </w:r>
          </w:p>
        </w:tc>
        <w:tc>
          <w:tcPr>
            <w:tcW w:w="2627" w:type="dxa"/>
            <w:gridSpan w:val="2"/>
            <w:vAlign w:val="center"/>
          </w:tcPr>
          <w:p>
            <w:pPr>
              <w:spacing w:line="360" w:lineRule="auto"/>
              <w:ind w:firstLine="470" w:firstLineChars="196"/>
              <w:jc w:val="left"/>
              <w:outlineLvl w:val="1"/>
              <w:rPr>
                <w:rFonts w:hAnsi="宋体" w:cs="宋体"/>
                <w:color w:val="auto"/>
              </w:rPr>
            </w:pPr>
          </w:p>
        </w:tc>
        <w:tc>
          <w:tcPr>
            <w:tcW w:w="1394" w:type="dxa"/>
            <w:vAlign w:val="center"/>
          </w:tcPr>
          <w:p>
            <w:pPr>
              <w:spacing w:line="360" w:lineRule="auto"/>
              <w:ind w:firstLine="470" w:firstLineChars="196"/>
              <w:jc w:val="left"/>
              <w:outlineLvl w:val="1"/>
              <w:rPr>
                <w:rFonts w:hAnsi="宋体" w:cs="宋体"/>
                <w:color w:val="auto"/>
              </w:rPr>
            </w:pPr>
            <w:r>
              <w:rPr>
                <w:rFonts w:hint="eastAsia" w:hAnsi="宋体" w:cs="宋体"/>
                <w:color w:val="auto"/>
              </w:rPr>
              <w:t>电话</w:t>
            </w:r>
          </w:p>
        </w:tc>
        <w:tc>
          <w:tcPr>
            <w:tcW w:w="2040" w:type="dxa"/>
            <w:gridSpan w:val="3"/>
            <w:vAlign w:val="center"/>
          </w:tcPr>
          <w:p>
            <w:pPr>
              <w:spacing w:line="360" w:lineRule="auto"/>
              <w:ind w:firstLine="470" w:firstLineChars="196"/>
              <w:jc w:val="left"/>
              <w:outlineLvl w:val="1"/>
              <w:rPr>
                <w:rFonts w:hAnsi="宋体" w:cs="宋体"/>
                <w:color w:val="auto"/>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2" w:hRule="atLeast"/>
        </w:trPr>
        <w:tc>
          <w:tcPr>
            <w:tcW w:w="1608" w:type="dxa"/>
            <w:vMerge w:val="continue"/>
            <w:vAlign w:val="center"/>
          </w:tcPr>
          <w:p>
            <w:pPr>
              <w:spacing w:line="360" w:lineRule="auto"/>
              <w:rPr>
                <w:rFonts w:hAnsi="宋体" w:cs="宋体"/>
                <w:color w:val="auto"/>
              </w:rPr>
            </w:pPr>
          </w:p>
        </w:tc>
        <w:tc>
          <w:tcPr>
            <w:tcW w:w="1010" w:type="dxa"/>
            <w:vAlign w:val="center"/>
          </w:tcPr>
          <w:p>
            <w:pPr>
              <w:spacing w:line="360" w:lineRule="auto"/>
              <w:jc w:val="left"/>
              <w:outlineLvl w:val="1"/>
              <w:rPr>
                <w:rFonts w:hAnsi="宋体" w:cs="宋体"/>
                <w:color w:val="auto"/>
              </w:rPr>
            </w:pPr>
            <w:r>
              <w:rPr>
                <w:rFonts w:hint="eastAsia" w:hAnsi="宋体" w:cs="宋体"/>
                <w:color w:val="auto"/>
              </w:rPr>
              <w:t>传真</w:t>
            </w:r>
          </w:p>
        </w:tc>
        <w:tc>
          <w:tcPr>
            <w:tcW w:w="2627" w:type="dxa"/>
            <w:gridSpan w:val="2"/>
            <w:vAlign w:val="center"/>
          </w:tcPr>
          <w:p>
            <w:pPr>
              <w:spacing w:line="360" w:lineRule="auto"/>
              <w:ind w:firstLine="470" w:firstLineChars="196"/>
              <w:jc w:val="left"/>
              <w:outlineLvl w:val="1"/>
              <w:rPr>
                <w:rFonts w:hAnsi="宋体" w:cs="宋体"/>
                <w:color w:val="auto"/>
              </w:rPr>
            </w:pPr>
          </w:p>
        </w:tc>
        <w:tc>
          <w:tcPr>
            <w:tcW w:w="1394" w:type="dxa"/>
            <w:vAlign w:val="center"/>
          </w:tcPr>
          <w:p>
            <w:pPr>
              <w:spacing w:line="360" w:lineRule="auto"/>
              <w:ind w:firstLine="470" w:firstLineChars="196"/>
              <w:jc w:val="left"/>
              <w:outlineLvl w:val="1"/>
              <w:rPr>
                <w:rFonts w:hAnsi="宋体" w:cs="宋体"/>
                <w:color w:val="auto"/>
              </w:rPr>
            </w:pPr>
            <w:r>
              <w:rPr>
                <w:rFonts w:hint="eastAsia" w:hAnsi="宋体" w:cs="宋体"/>
                <w:color w:val="auto"/>
              </w:rPr>
              <w:t>网址</w:t>
            </w:r>
          </w:p>
        </w:tc>
        <w:tc>
          <w:tcPr>
            <w:tcW w:w="2040" w:type="dxa"/>
            <w:gridSpan w:val="3"/>
            <w:vAlign w:val="center"/>
          </w:tcPr>
          <w:p>
            <w:pPr>
              <w:spacing w:line="360" w:lineRule="auto"/>
              <w:ind w:firstLine="470" w:firstLineChars="196"/>
              <w:jc w:val="left"/>
              <w:outlineLvl w:val="1"/>
              <w:rPr>
                <w:rFonts w:hAnsi="宋体" w:cs="宋体"/>
                <w:color w:val="auto"/>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2" w:hRule="atLeast"/>
        </w:trPr>
        <w:tc>
          <w:tcPr>
            <w:tcW w:w="1608" w:type="dxa"/>
            <w:vAlign w:val="center"/>
          </w:tcPr>
          <w:p>
            <w:pPr>
              <w:spacing w:line="360" w:lineRule="auto"/>
              <w:jc w:val="left"/>
              <w:outlineLvl w:val="1"/>
              <w:rPr>
                <w:rFonts w:hAnsi="宋体" w:cs="宋体"/>
                <w:color w:val="auto"/>
              </w:rPr>
            </w:pPr>
            <w:r>
              <w:rPr>
                <w:rFonts w:hint="eastAsia" w:hAnsi="宋体" w:cs="宋体"/>
                <w:color w:val="auto"/>
              </w:rPr>
              <w:t>组织结构</w:t>
            </w:r>
          </w:p>
        </w:tc>
        <w:tc>
          <w:tcPr>
            <w:tcW w:w="7071" w:type="dxa"/>
            <w:gridSpan w:val="7"/>
            <w:vAlign w:val="center"/>
          </w:tcPr>
          <w:p>
            <w:pPr>
              <w:spacing w:line="360" w:lineRule="auto"/>
              <w:ind w:firstLine="470" w:firstLineChars="196"/>
              <w:jc w:val="left"/>
              <w:outlineLvl w:val="1"/>
              <w:rPr>
                <w:rFonts w:hAnsi="宋体" w:cs="宋体"/>
                <w:color w:val="auto"/>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1608" w:type="dxa"/>
            <w:vAlign w:val="center"/>
          </w:tcPr>
          <w:p>
            <w:pPr>
              <w:spacing w:line="360" w:lineRule="auto"/>
              <w:jc w:val="left"/>
              <w:outlineLvl w:val="1"/>
              <w:rPr>
                <w:rFonts w:hAnsi="宋体" w:cs="宋体"/>
                <w:color w:val="auto"/>
              </w:rPr>
            </w:pPr>
            <w:r>
              <w:rPr>
                <w:rFonts w:hint="eastAsia" w:hAnsi="宋体" w:cs="宋体"/>
                <w:color w:val="auto"/>
              </w:rPr>
              <w:t>法定代表人</w:t>
            </w:r>
          </w:p>
        </w:tc>
        <w:tc>
          <w:tcPr>
            <w:tcW w:w="1010" w:type="dxa"/>
            <w:vAlign w:val="center"/>
          </w:tcPr>
          <w:p>
            <w:pPr>
              <w:spacing w:line="360" w:lineRule="auto"/>
              <w:jc w:val="left"/>
              <w:outlineLvl w:val="1"/>
              <w:rPr>
                <w:rFonts w:hAnsi="宋体" w:cs="宋体"/>
                <w:color w:val="auto"/>
              </w:rPr>
            </w:pPr>
            <w:r>
              <w:rPr>
                <w:rFonts w:hint="eastAsia" w:hAnsi="宋体" w:cs="宋体"/>
                <w:color w:val="auto"/>
              </w:rPr>
              <w:t>姓名</w:t>
            </w:r>
          </w:p>
        </w:tc>
        <w:tc>
          <w:tcPr>
            <w:tcW w:w="1308" w:type="dxa"/>
            <w:vAlign w:val="center"/>
          </w:tcPr>
          <w:p>
            <w:pPr>
              <w:spacing w:line="360" w:lineRule="auto"/>
              <w:ind w:firstLine="470" w:firstLineChars="196"/>
              <w:jc w:val="left"/>
              <w:outlineLvl w:val="1"/>
              <w:rPr>
                <w:rFonts w:hAnsi="宋体" w:cs="宋体"/>
                <w:color w:val="auto"/>
              </w:rPr>
            </w:pPr>
          </w:p>
        </w:tc>
        <w:tc>
          <w:tcPr>
            <w:tcW w:w="1319" w:type="dxa"/>
            <w:vAlign w:val="center"/>
          </w:tcPr>
          <w:p>
            <w:pPr>
              <w:spacing w:line="360" w:lineRule="auto"/>
              <w:jc w:val="left"/>
              <w:outlineLvl w:val="1"/>
              <w:rPr>
                <w:rFonts w:hAnsi="宋体" w:cs="宋体"/>
                <w:color w:val="auto"/>
              </w:rPr>
            </w:pPr>
            <w:r>
              <w:rPr>
                <w:rFonts w:hint="eastAsia" w:hAnsi="宋体" w:cs="宋体"/>
                <w:color w:val="auto"/>
              </w:rPr>
              <w:t>技术职称</w:t>
            </w:r>
          </w:p>
        </w:tc>
        <w:tc>
          <w:tcPr>
            <w:tcW w:w="1394" w:type="dxa"/>
            <w:vAlign w:val="center"/>
          </w:tcPr>
          <w:p>
            <w:pPr>
              <w:spacing w:line="360" w:lineRule="auto"/>
              <w:ind w:firstLine="470" w:firstLineChars="196"/>
              <w:jc w:val="left"/>
              <w:outlineLvl w:val="1"/>
              <w:rPr>
                <w:rFonts w:hAnsi="宋体" w:cs="宋体"/>
                <w:color w:val="auto"/>
              </w:rPr>
            </w:pPr>
          </w:p>
        </w:tc>
        <w:tc>
          <w:tcPr>
            <w:tcW w:w="897" w:type="dxa"/>
            <w:gridSpan w:val="2"/>
            <w:vAlign w:val="center"/>
          </w:tcPr>
          <w:p>
            <w:pPr>
              <w:spacing w:line="360" w:lineRule="auto"/>
              <w:jc w:val="left"/>
              <w:outlineLvl w:val="1"/>
              <w:rPr>
                <w:rFonts w:hAnsi="宋体" w:cs="宋体"/>
                <w:color w:val="auto"/>
              </w:rPr>
            </w:pPr>
            <w:r>
              <w:rPr>
                <w:rFonts w:hint="eastAsia" w:hAnsi="宋体" w:cs="宋体"/>
                <w:color w:val="auto"/>
              </w:rPr>
              <w:t>电话</w:t>
            </w:r>
          </w:p>
        </w:tc>
        <w:tc>
          <w:tcPr>
            <w:tcW w:w="1143" w:type="dxa"/>
            <w:vAlign w:val="center"/>
          </w:tcPr>
          <w:p>
            <w:pPr>
              <w:spacing w:line="360" w:lineRule="auto"/>
              <w:ind w:firstLine="470" w:firstLineChars="196"/>
              <w:jc w:val="left"/>
              <w:outlineLvl w:val="1"/>
              <w:rPr>
                <w:rFonts w:hAnsi="宋体" w:cs="宋体"/>
                <w:color w:val="auto"/>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1608" w:type="dxa"/>
            <w:vAlign w:val="center"/>
          </w:tcPr>
          <w:p>
            <w:pPr>
              <w:spacing w:line="360" w:lineRule="auto"/>
              <w:jc w:val="left"/>
              <w:outlineLvl w:val="1"/>
              <w:rPr>
                <w:rFonts w:hAnsi="宋体" w:cs="宋体"/>
                <w:color w:val="auto"/>
              </w:rPr>
            </w:pPr>
            <w:r>
              <w:rPr>
                <w:rFonts w:hint="eastAsia" w:hAnsi="宋体" w:cs="宋体"/>
                <w:color w:val="auto"/>
              </w:rPr>
              <w:t>技术负责人</w:t>
            </w:r>
          </w:p>
        </w:tc>
        <w:tc>
          <w:tcPr>
            <w:tcW w:w="1010" w:type="dxa"/>
            <w:vAlign w:val="center"/>
          </w:tcPr>
          <w:p>
            <w:pPr>
              <w:spacing w:line="360" w:lineRule="auto"/>
              <w:jc w:val="left"/>
              <w:outlineLvl w:val="1"/>
              <w:rPr>
                <w:rFonts w:hAnsi="宋体" w:cs="宋体"/>
                <w:color w:val="auto"/>
              </w:rPr>
            </w:pPr>
            <w:r>
              <w:rPr>
                <w:rFonts w:hint="eastAsia" w:hAnsi="宋体" w:cs="宋体"/>
                <w:color w:val="auto"/>
              </w:rPr>
              <w:t>姓名</w:t>
            </w:r>
          </w:p>
        </w:tc>
        <w:tc>
          <w:tcPr>
            <w:tcW w:w="1308" w:type="dxa"/>
            <w:vAlign w:val="center"/>
          </w:tcPr>
          <w:p>
            <w:pPr>
              <w:spacing w:line="360" w:lineRule="auto"/>
              <w:ind w:firstLine="470" w:firstLineChars="196"/>
              <w:jc w:val="left"/>
              <w:outlineLvl w:val="1"/>
              <w:rPr>
                <w:rFonts w:hAnsi="宋体" w:cs="宋体"/>
                <w:color w:val="auto"/>
              </w:rPr>
            </w:pPr>
          </w:p>
        </w:tc>
        <w:tc>
          <w:tcPr>
            <w:tcW w:w="1319" w:type="dxa"/>
            <w:vAlign w:val="center"/>
          </w:tcPr>
          <w:p>
            <w:pPr>
              <w:spacing w:line="360" w:lineRule="auto"/>
              <w:jc w:val="left"/>
              <w:outlineLvl w:val="1"/>
              <w:rPr>
                <w:rFonts w:hAnsi="宋体" w:cs="宋体"/>
                <w:color w:val="auto"/>
              </w:rPr>
            </w:pPr>
            <w:r>
              <w:rPr>
                <w:rFonts w:hint="eastAsia" w:hAnsi="宋体" w:cs="宋体"/>
                <w:color w:val="auto"/>
              </w:rPr>
              <w:t>技术职称</w:t>
            </w:r>
          </w:p>
        </w:tc>
        <w:tc>
          <w:tcPr>
            <w:tcW w:w="1394" w:type="dxa"/>
            <w:vAlign w:val="center"/>
          </w:tcPr>
          <w:p>
            <w:pPr>
              <w:spacing w:line="360" w:lineRule="auto"/>
              <w:ind w:firstLine="470" w:firstLineChars="196"/>
              <w:jc w:val="left"/>
              <w:outlineLvl w:val="1"/>
              <w:rPr>
                <w:rFonts w:hAnsi="宋体" w:cs="宋体"/>
                <w:color w:val="auto"/>
              </w:rPr>
            </w:pPr>
          </w:p>
        </w:tc>
        <w:tc>
          <w:tcPr>
            <w:tcW w:w="897" w:type="dxa"/>
            <w:gridSpan w:val="2"/>
            <w:vAlign w:val="center"/>
          </w:tcPr>
          <w:p>
            <w:pPr>
              <w:spacing w:line="360" w:lineRule="auto"/>
              <w:jc w:val="left"/>
              <w:outlineLvl w:val="1"/>
              <w:rPr>
                <w:rFonts w:hAnsi="宋体" w:cs="宋体"/>
                <w:color w:val="auto"/>
              </w:rPr>
            </w:pPr>
            <w:r>
              <w:rPr>
                <w:rFonts w:hint="eastAsia" w:hAnsi="宋体" w:cs="宋体"/>
                <w:color w:val="auto"/>
              </w:rPr>
              <w:t>电话</w:t>
            </w:r>
          </w:p>
        </w:tc>
        <w:tc>
          <w:tcPr>
            <w:tcW w:w="1143" w:type="dxa"/>
            <w:vAlign w:val="center"/>
          </w:tcPr>
          <w:p>
            <w:pPr>
              <w:spacing w:line="360" w:lineRule="auto"/>
              <w:ind w:firstLine="470" w:firstLineChars="196"/>
              <w:jc w:val="left"/>
              <w:outlineLvl w:val="1"/>
              <w:rPr>
                <w:rFonts w:hAnsi="宋体" w:cs="宋体"/>
                <w:color w:val="auto"/>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2" w:hRule="atLeast"/>
        </w:trPr>
        <w:tc>
          <w:tcPr>
            <w:tcW w:w="1608" w:type="dxa"/>
            <w:vAlign w:val="center"/>
          </w:tcPr>
          <w:p>
            <w:pPr>
              <w:spacing w:line="360" w:lineRule="auto"/>
              <w:jc w:val="left"/>
              <w:outlineLvl w:val="1"/>
              <w:rPr>
                <w:rFonts w:hAnsi="宋体" w:cs="宋体"/>
                <w:color w:val="auto"/>
              </w:rPr>
            </w:pPr>
            <w:r>
              <w:rPr>
                <w:rFonts w:hint="eastAsia" w:hAnsi="宋体" w:cs="宋体"/>
                <w:color w:val="auto"/>
              </w:rPr>
              <w:t>成立时间</w:t>
            </w:r>
          </w:p>
        </w:tc>
        <w:tc>
          <w:tcPr>
            <w:tcW w:w="2318" w:type="dxa"/>
            <w:gridSpan w:val="2"/>
            <w:vAlign w:val="center"/>
          </w:tcPr>
          <w:p>
            <w:pPr>
              <w:spacing w:line="360" w:lineRule="auto"/>
              <w:ind w:firstLine="470" w:firstLineChars="196"/>
              <w:jc w:val="left"/>
              <w:outlineLvl w:val="1"/>
              <w:rPr>
                <w:rFonts w:hAnsi="宋体" w:cs="宋体"/>
                <w:color w:val="auto"/>
              </w:rPr>
            </w:pPr>
          </w:p>
        </w:tc>
        <w:tc>
          <w:tcPr>
            <w:tcW w:w="4753" w:type="dxa"/>
            <w:gridSpan w:val="5"/>
            <w:vAlign w:val="center"/>
          </w:tcPr>
          <w:p>
            <w:pPr>
              <w:spacing w:line="360" w:lineRule="auto"/>
              <w:jc w:val="left"/>
              <w:outlineLvl w:val="1"/>
              <w:rPr>
                <w:rFonts w:hAnsi="宋体" w:cs="宋体"/>
                <w:color w:val="auto"/>
              </w:rPr>
            </w:pPr>
            <w:r>
              <w:rPr>
                <w:rFonts w:hint="eastAsia" w:hAnsi="宋体" w:cs="宋体"/>
                <w:color w:val="auto"/>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90" w:hRule="atLeast"/>
        </w:trPr>
        <w:tc>
          <w:tcPr>
            <w:tcW w:w="1608" w:type="dxa"/>
            <w:vAlign w:val="center"/>
          </w:tcPr>
          <w:p>
            <w:pPr>
              <w:spacing w:line="360" w:lineRule="auto"/>
              <w:jc w:val="left"/>
              <w:outlineLvl w:val="1"/>
              <w:rPr>
                <w:rFonts w:hAnsi="宋体" w:cs="宋体"/>
                <w:color w:val="auto"/>
              </w:rPr>
            </w:pPr>
            <w:r>
              <w:rPr>
                <w:rFonts w:hint="eastAsia" w:hAnsi="宋体" w:cs="宋体"/>
                <w:color w:val="auto"/>
              </w:rPr>
              <w:t>企业资质等级</w:t>
            </w:r>
          </w:p>
        </w:tc>
        <w:tc>
          <w:tcPr>
            <w:tcW w:w="2318" w:type="dxa"/>
            <w:gridSpan w:val="2"/>
            <w:vAlign w:val="center"/>
          </w:tcPr>
          <w:p>
            <w:pPr>
              <w:spacing w:line="360" w:lineRule="auto"/>
              <w:ind w:firstLine="470" w:firstLineChars="196"/>
              <w:jc w:val="left"/>
              <w:outlineLvl w:val="1"/>
              <w:rPr>
                <w:rFonts w:hAnsi="宋体" w:cs="宋体"/>
                <w:color w:val="auto"/>
              </w:rPr>
            </w:pPr>
          </w:p>
        </w:tc>
        <w:tc>
          <w:tcPr>
            <w:tcW w:w="1319" w:type="dxa"/>
            <w:vMerge w:val="restart"/>
            <w:vAlign w:val="center"/>
          </w:tcPr>
          <w:p>
            <w:pPr>
              <w:spacing w:line="360" w:lineRule="auto"/>
              <w:ind w:firstLine="470" w:firstLineChars="196"/>
              <w:jc w:val="left"/>
              <w:outlineLvl w:val="1"/>
              <w:rPr>
                <w:rFonts w:hAnsi="宋体" w:cs="宋体"/>
                <w:color w:val="auto"/>
              </w:rPr>
            </w:pPr>
            <w:r>
              <w:rPr>
                <w:rFonts w:hint="eastAsia" w:hAnsi="宋体" w:cs="宋体"/>
                <w:color w:val="auto"/>
              </w:rPr>
              <w:t>其中</w:t>
            </w:r>
          </w:p>
        </w:tc>
        <w:tc>
          <w:tcPr>
            <w:tcW w:w="1560" w:type="dxa"/>
            <w:gridSpan w:val="2"/>
            <w:vAlign w:val="center"/>
          </w:tcPr>
          <w:p>
            <w:pPr>
              <w:spacing w:line="360" w:lineRule="auto"/>
              <w:jc w:val="left"/>
              <w:outlineLvl w:val="1"/>
              <w:rPr>
                <w:rFonts w:hAnsi="宋体" w:cs="宋体"/>
                <w:color w:val="auto"/>
              </w:rPr>
            </w:pPr>
            <w:r>
              <w:rPr>
                <w:rFonts w:hint="eastAsia" w:hAnsi="宋体" w:cs="宋体"/>
                <w:color w:val="auto"/>
              </w:rPr>
              <w:t>项目经理</w:t>
            </w:r>
          </w:p>
        </w:tc>
        <w:tc>
          <w:tcPr>
            <w:tcW w:w="1874" w:type="dxa"/>
            <w:gridSpan w:val="2"/>
            <w:vAlign w:val="center"/>
          </w:tcPr>
          <w:p>
            <w:pPr>
              <w:spacing w:line="360" w:lineRule="auto"/>
              <w:ind w:firstLine="470" w:firstLineChars="196"/>
              <w:jc w:val="left"/>
              <w:outlineLvl w:val="1"/>
              <w:rPr>
                <w:rFonts w:hAnsi="宋体" w:cs="宋体"/>
                <w:color w:val="auto"/>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90" w:hRule="atLeast"/>
        </w:trPr>
        <w:tc>
          <w:tcPr>
            <w:tcW w:w="1608" w:type="dxa"/>
            <w:vAlign w:val="center"/>
          </w:tcPr>
          <w:p>
            <w:pPr>
              <w:spacing w:line="360" w:lineRule="auto"/>
              <w:jc w:val="left"/>
              <w:outlineLvl w:val="1"/>
              <w:rPr>
                <w:rFonts w:hAnsi="宋体" w:cs="宋体"/>
                <w:color w:val="auto"/>
              </w:rPr>
            </w:pPr>
            <w:r>
              <w:rPr>
                <w:rFonts w:hint="eastAsia" w:hAnsi="宋体" w:cs="宋体"/>
                <w:color w:val="auto"/>
              </w:rPr>
              <w:t>营业执照号</w:t>
            </w:r>
          </w:p>
        </w:tc>
        <w:tc>
          <w:tcPr>
            <w:tcW w:w="2318" w:type="dxa"/>
            <w:gridSpan w:val="2"/>
            <w:vAlign w:val="center"/>
          </w:tcPr>
          <w:p>
            <w:pPr>
              <w:spacing w:line="360" w:lineRule="auto"/>
              <w:ind w:firstLine="470" w:firstLineChars="196"/>
              <w:jc w:val="left"/>
              <w:outlineLvl w:val="1"/>
              <w:rPr>
                <w:rFonts w:hAnsi="宋体" w:cs="宋体"/>
                <w:color w:val="auto"/>
              </w:rPr>
            </w:pPr>
          </w:p>
        </w:tc>
        <w:tc>
          <w:tcPr>
            <w:tcW w:w="1319" w:type="dxa"/>
            <w:vMerge w:val="continue"/>
            <w:vAlign w:val="center"/>
          </w:tcPr>
          <w:p>
            <w:pPr>
              <w:spacing w:line="360" w:lineRule="auto"/>
              <w:rPr>
                <w:rFonts w:hAnsi="宋体" w:cs="宋体"/>
                <w:color w:val="auto"/>
              </w:rPr>
            </w:pPr>
          </w:p>
        </w:tc>
        <w:tc>
          <w:tcPr>
            <w:tcW w:w="1560" w:type="dxa"/>
            <w:gridSpan w:val="2"/>
            <w:vAlign w:val="center"/>
          </w:tcPr>
          <w:p>
            <w:pPr>
              <w:spacing w:line="360" w:lineRule="auto"/>
              <w:jc w:val="left"/>
              <w:outlineLvl w:val="1"/>
              <w:rPr>
                <w:rFonts w:hAnsi="宋体" w:cs="宋体"/>
                <w:color w:val="auto"/>
              </w:rPr>
            </w:pPr>
            <w:r>
              <w:rPr>
                <w:rFonts w:hint="eastAsia" w:hAnsi="宋体" w:cs="宋体"/>
                <w:color w:val="auto"/>
              </w:rPr>
              <w:t>高级职称人员</w:t>
            </w:r>
          </w:p>
        </w:tc>
        <w:tc>
          <w:tcPr>
            <w:tcW w:w="1874" w:type="dxa"/>
            <w:gridSpan w:val="2"/>
            <w:vAlign w:val="center"/>
          </w:tcPr>
          <w:p>
            <w:pPr>
              <w:spacing w:line="360" w:lineRule="auto"/>
              <w:ind w:firstLine="470" w:firstLineChars="196"/>
              <w:jc w:val="left"/>
              <w:outlineLvl w:val="1"/>
              <w:rPr>
                <w:rFonts w:hAnsi="宋体" w:cs="宋体"/>
                <w:color w:val="auto"/>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90" w:hRule="atLeast"/>
        </w:trPr>
        <w:tc>
          <w:tcPr>
            <w:tcW w:w="1608" w:type="dxa"/>
            <w:vAlign w:val="center"/>
          </w:tcPr>
          <w:p>
            <w:pPr>
              <w:spacing w:line="360" w:lineRule="auto"/>
              <w:jc w:val="left"/>
              <w:outlineLvl w:val="1"/>
              <w:rPr>
                <w:rFonts w:hAnsi="宋体" w:cs="宋体"/>
                <w:color w:val="auto"/>
              </w:rPr>
            </w:pPr>
            <w:r>
              <w:rPr>
                <w:rFonts w:hint="eastAsia" w:hAnsi="宋体" w:cs="宋体"/>
                <w:color w:val="auto"/>
              </w:rPr>
              <w:t>注册资金</w:t>
            </w:r>
          </w:p>
        </w:tc>
        <w:tc>
          <w:tcPr>
            <w:tcW w:w="2318" w:type="dxa"/>
            <w:gridSpan w:val="2"/>
            <w:vAlign w:val="center"/>
          </w:tcPr>
          <w:p>
            <w:pPr>
              <w:spacing w:line="360" w:lineRule="auto"/>
              <w:ind w:firstLine="470" w:firstLineChars="196"/>
              <w:jc w:val="left"/>
              <w:outlineLvl w:val="1"/>
              <w:rPr>
                <w:rFonts w:hAnsi="宋体" w:cs="宋体"/>
                <w:color w:val="auto"/>
              </w:rPr>
            </w:pPr>
          </w:p>
        </w:tc>
        <w:tc>
          <w:tcPr>
            <w:tcW w:w="1319" w:type="dxa"/>
            <w:vMerge w:val="continue"/>
            <w:vAlign w:val="center"/>
          </w:tcPr>
          <w:p>
            <w:pPr>
              <w:spacing w:line="360" w:lineRule="auto"/>
              <w:rPr>
                <w:rFonts w:hAnsi="宋体" w:cs="宋体"/>
                <w:color w:val="auto"/>
              </w:rPr>
            </w:pPr>
          </w:p>
        </w:tc>
        <w:tc>
          <w:tcPr>
            <w:tcW w:w="1560" w:type="dxa"/>
            <w:gridSpan w:val="2"/>
            <w:vAlign w:val="center"/>
          </w:tcPr>
          <w:p>
            <w:pPr>
              <w:spacing w:line="360" w:lineRule="auto"/>
              <w:jc w:val="left"/>
              <w:outlineLvl w:val="1"/>
              <w:rPr>
                <w:rFonts w:hAnsi="宋体" w:cs="宋体"/>
                <w:color w:val="auto"/>
              </w:rPr>
            </w:pPr>
            <w:r>
              <w:rPr>
                <w:rFonts w:hint="eastAsia" w:hAnsi="宋体" w:cs="宋体"/>
                <w:color w:val="auto"/>
              </w:rPr>
              <w:t>中级职称人员</w:t>
            </w:r>
          </w:p>
        </w:tc>
        <w:tc>
          <w:tcPr>
            <w:tcW w:w="1874" w:type="dxa"/>
            <w:gridSpan w:val="2"/>
            <w:vAlign w:val="center"/>
          </w:tcPr>
          <w:p>
            <w:pPr>
              <w:spacing w:line="360" w:lineRule="auto"/>
              <w:ind w:firstLine="470" w:firstLineChars="196"/>
              <w:jc w:val="left"/>
              <w:outlineLvl w:val="1"/>
              <w:rPr>
                <w:rFonts w:hAnsi="宋体" w:cs="宋体"/>
                <w:color w:val="auto"/>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90" w:hRule="atLeast"/>
        </w:trPr>
        <w:tc>
          <w:tcPr>
            <w:tcW w:w="1608" w:type="dxa"/>
            <w:vAlign w:val="center"/>
          </w:tcPr>
          <w:p>
            <w:pPr>
              <w:spacing w:line="360" w:lineRule="auto"/>
              <w:jc w:val="left"/>
              <w:outlineLvl w:val="1"/>
              <w:rPr>
                <w:rFonts w:hAnsi="宋体" w:cs="宋体"/>
                <w:color w:val="auto"/>
              </w:rPr>
            </w:pPr>
            <w:r>
              <w:rPr>
                <w:rFonts w:hint="eastAsia" w:hAnsi="宋体" w:cs="宋体"/>
                <w:color w:val="auto"/>
              </w:rPr>
              <w:t>开户银行</w:t>
            </w:r>
          </w:p>
        </w:tc>
        <w:tc>
          <w:tcPr>
            <w:tcW w:w="2318" w:type="dxa"/>
            <w:gridSpan w:val="2"/>
            <w:vAlign w:val="center"/>
          </w:tcPr>
          <w:p>
            <w:pPr>
              <w:spacing w:line="360" w:lineRule="auto"/>
              <w:ind w:firstLine="470" w:firstLineChars="196"/>
              <w:jc w:val="left"/>
              <w:outlineLvl w:val="1"/>
              <w:rPr>
                <w:rFonts w:hAnsi="宋体" w:cs="宋体"/>
                <w:color w:val="auto"/>
              </w:rPr>
            </w:pPr>
          </w:p>
        </w:tc>
        <w:tc>
          <w:tcPr>
            <w:tcW w:w="1319" w:type="dxa"/>
            <w:vMerge w:val="continue"/>
            <w:vAlign w:val="center"/>
          </w:tcPr>
          <w:p>
            <w:pPr>
              <w:spacing w:line="360" w:lineRule="auto"/>
              <w:rPr>
                <w:rFonts w:hAnsi="宋体" w:cs="宋体"/>
                <w:color w:val="auto"/>
              </w:rPr>
            </w:pPr>
          </w:p>
        </w:tc>
        <w:tc>
          <w:tcPr>
            <w:tcW w:w="1560" w:type="dxa"/>
            <w:gridSpan w:val="2"/>
            <w:vAlign w:val="center"/>
          </w:tcPr>
          <w:p>
            <w:pPr>
              <w:spacing w:line="360" w:lineRule="auto"/>
              <w:jc w:val="left"/>
              <w:outlineLvl w:val="1"/>
              <w:rPr>
                <w:rFonts w:hAnsi="宋体" w:cs="宋体"/>
                <w:color w:val="auto"/>
              </w:rPr>
            </w:pPr>
            <w:r>
              <w:rPr>
                <w:rFonts w:hint="eastAsia" w:hAnsi="宋体" w:cs="宋体"/>
                <w:color w:val="auto"/>
              </w:rPr>
              <w:t>初级职称人员</w:t>
            </w:r>
          </w:p>
        </w:tc>
        <w:tc>
          <w:tcPr>
            <w:tcW w:w="1874" w:type="dxa"/>
            <w:gridSpan w:val="2"/>
            <w:vAlign w:val="center"/>
          </w:tcPr>
          <w:p>
            <w:pPr>
              <w:spacing w:line="360" w:lineRule="auto"/>
              <w:ind w:firstLine="470" w:firstLineChars="196"/>
              <w:jc w:val="left"/>
              <w:outlineLvl w:val="1"/>
              <w:rPr>
                <w:rFonts w:hAnsi="宋体" w:cs="宋体"/>
                <w:color w:val="auto"/>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2" w:hRule="atLeast"/>
        </w:trPr>
        <w:tc>
          <w:tcPr>
            <w:tcW w:w="1608" w:type="dxa"/>
            <w:vAlign w:val="center"/>
          </w:tcPr>
          <w:p>
            <w:pPr>
              <w:spacing w:line="360" w:lineRule="auto"/>
              <w:ind w:firstLine="470" w:firstLineChars="196"/>
              <w:jc w:val="left"/>
              <w:outlineLvl w:val="1"/>
              <w:rPr>
                <w:rFonts w:hAnsi="宋体" w:cs="宋体"/>
                <w:color w:val="auto"/>
              </w:rPr>
            </w:pPr>
            <w:r>
              <w:rPr>
                <w:rFonts w:hint="eastAsia" w:hAnsi="宋体" w:cs="宋体"/>
                <w:color w:val="auto"/>
              </w:rPr>
              <w:t>账号</w:t>
            </w:r>
          </w:p>
        </w:tc>
        <w:tc>
          <w:tcPr>
            <w:tcW w:w="2318" w:type="dxa"/>
            <w:gridSpan w:val="2"/>
            <w:vAlign w:val="center"/>
          </w:tcPr>
          <w:p>
            <w:pPr>
              <w:spacing w:line="360" w:lineRule="auto"/>
              <w:ind w:firstLine="470" w:firstLineChars="196"/>
              <w:jc w:val="left"/>
              <w:outlineLvl w:val="1"/>
              <w:rPr>
                <w:rFonts w:hAnsi="宋体" w:cs="宋体"/>
                <w:color w:val="auto"/>
              </w:rPr>
            </w:pPr>
          </w:p>
        </w:tc>
        <w:tc>
          <w:tcPr>
            <w:tcW w:w="1319" w:type="dxa"/>
            <w:vMerge w:val="continue"/>
            <w:vAlign w:val="center"/>
          </w:tcPr>
          <w:p>
            <w:pPr>
              <w:spacing w:line="360" w:lineRule="auto"/>
              <w:rPr>
                <w:rFonts w:hAnsi="宋体" w:cs="宋体"/>
                <w:color w:val="auto"/>
              </w:rPr>
            </w:pPr>
          </w:p>
        </w:tc>
        <w:tc>
          <w:tcPr>
            <w:tcW w:w="1560" w:type="dxa"/>
            <w:gridSpan w:val="2"/>
            <w:vAlign w:val="center"/>
          </w:tcPr>
          <w:p>
            <w:pPr>
              <w:spacing w:line="360" w:lineRule="auto"/>
              <w:ind w:firstLine="470" w:firstLineChars="196"/>
              <w:jc w:val="left"/>
              <w:outlineLvl w:val="1"/>
              <w:rPr>
                <w:rFonts w:hAnsi="宋体" w:cs="宋体"/>
                <w:color w:val="auto"/>
              </w:rPr>
            </w:pPr>
            <w:r>
              <w:rPr>
                <w:rFonts w:hint="eastAsia" w:hAnsi="宋体" w:cs="宋体"/>
                <w:color w:val="auto"/>
              </w:rPr>
              <w:t>技工</w:t>
            </w:r>
          </w:p>
        </w:tc>
        <w:tc>
          <w:tcPr>
            <w:tcW w:w="1874" w:type="dxa"/>
            <w:gridSpan w:val="2"/>
            <w:vAlign w:val="center"/>
          </w:tcPr>
          <w:p>
            <w:pPr>
              <w:spacing w:line="360" w:lineRule="auto"/>
              <w:ind w:firstLine="470" w:firstLineChars="196"/>
              <w:jc w:val="left"/>
              <w:outlineLvl w:val="1"/>
              <w:rPr>
                <w:rFonts w:hAnsi="宋体" w:cs="宋体"/>
                <w:color w:val="auto"/>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64" w:hRule="atLeast"/>
        </w:trPr>
        <w:tc>
          <w:tcPr>
            <w:tcW w:w="1608" w:type="dxa"/>
            <w:vAlign w:val="center"/>
          </w:tcPr>
          <w:p>
            <w:pPr>
              <w:spacing w:line="360" w:lineRule="auto"/>
              <w:jc w:val="left"/>
              <w:outlineLvl w:val="1"/>
              <w:rPr>
                <w:rFonts w:hAnsi="宋体" w:cs="宋体"/>
                <w:color w:val="auto"/>
              </w:rPr>
            </w:pPr>
            <w:r>
              <w:rPr>
                <w:rFonts w:hint="eastAsia" w:hAnsi="宋体" w:cs="宋体"/>
                <w:color w:val="auto"/>
              </w:rPr>
              <w:t>经营范围</w:t>
            </w:r>
          </w:p>
        </w:tc>
        <w:tc>
          <w:tcPr>
            <w:tcW w:w="7071" w:type="dxa"/>
            <w:gridSpan w:val="7"/>
            <w:vAlign w:val="center"/>
          </w:tcPr>
          <w:p>
            <w:pPr>
              <w:spacing w:line="360" w:lineRule="auto"/>
              <w:ind w:firstLine="470" w:firstLineChars="196"/>
              <w:jc w:val="left"/>
              <w:outlineLvl w:val="1"/>
              <w:rPr>
                <w:rFonts w:hAnsi="宋体" w:cs="宋体"/>
                <w:color w:val="auto"/>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01" w:hRule="atLeast"/>
        </w:trPr>
        <w:tc>
          <w:tcPr>
            <w:tcW w:w="1608" w:type="dxa"/>
          </w:tcPr>
          <w:p>
            <w:pPr>
              <w:spacing w:line="360" w:lineRule="auto"/>
              <w:ind w:firstLine="470" w:firstLineChars="196"/>
              <w:jc w:val="left"/>
              <w:outlineLvl w:val="1"/>
              <w:rPr>
                <w:rFonts w:hAnsi="宋体" w:cs="宋体"/>
                <w:color w:val="auto"/>
              </w:rPr>
            </w:pPr>
            <w:r>
              <w:rPr>
                <w:rFonts w:hint="eastAsia" w:hAnsi="宋体" w:cs="宋体"/>
                <w:color w:val="auto"/>
              </w:rPr>
              <w:t>备注</w:t>
            </w:r>
          </w:p>
        </w:tc>
        <w:tc>
          <w:tcPr>
            <w:tcW w:w="7071" w:type="dxa"/>
            <w:gridSpan w:val="7"/>
          </w:tcPr>
          <w:p>
            <w:pPr>
              <w:spacing w:line="360" w:lineRule="auto"/>
              <w:ind w:firstLine="470" w:firstLineChars="196"/>
              <w:jc w:val="left"/>
              <w:outlineLvl w:val="1"/>
              <w:rPr>
                <w:rFonts w:hAnsi="宋体" w:cs="宋体"/>
                <w:color w:val="auto"/>
              </w:rPr>
            </w:pPr>
          </w:p>
        </w:tc>
      </w:tr>
    </w:tbl>
    <w:p>
      <w:pPr>
        <w:spacing w:line="360" w:lineRule="auto"/>
        <w:ind w:firstLine="470" w:firstLineChars="196"/>
        <w:jc w:val="left"/>
        <w:outlineLvl w:val="1"/>
        <w:rPr>
          <w:rFonts w:hAnsi="宋体" w:cs="宋体"/>
          <w:color w:val="auto"/>
        </w:rPr>
      </w:pPr>
      <w:r>
        <w:rPr>
          <w:rFonts w:hint="eastAsia" w:hAnsi="宋体" w:cs="宋体"/>
          <w:color w:val="auto"/>
        </w:rPr>
        <w:t>投标人名称：（盖公章）</w:t>
      </w:r>
    </w:p>
    <w:p>
      <w:pPr>
        <w:spacing w:line="360" w:lineRule="auto"/>
        <w:ind w:firstLine="470" w:firstLineChars="196"/>
        <w:jc w:val="left"/>
        <w:outlineLvl w:val="1"/>
        <w:rPr>
          <w:rFonts w:hAnsi="宋体" w:cs="宋体"/>
          <w:color w:val="auto"/>
        </w:rPr>
      </w:pPr>
      <w:r>
        <w:rPr>
          <w:rFonts w:hint="eastAsia" w:hAnsi="宋体" w:cs="宋体"/>
          <w:color w:val="auto"/>
        </w:rPr>
        <w:t>法定代表人或委托代理人（签字或盖章）：</w:t>
      </w:r>
    </w:p>
    <w:p>
      <w:pPr>
        <w:spacing w:line="360" w:lineRule="auto"/>
        <w:ind w:firstLine="470" w:firstLineChars="196"/>
        <w:jc w:val="left"/>
        <w:outlineLvl w:val="1"/>
        <w:rPr>
          <w:rFonts w:hAnsi="宋体" w:cs="宋体"/>
          <w:color w:val="auto"/>
        </w:rPr>
      </w:pPr>
      <w:r>
        <w:rPr>
          <w:rFonts w:hint="eastAsia" w:hAnsi="宋体" w:cs="宋体"/>
          <w:color w:val="auto"/>
        </w:rPr>
        <w:t xml:space="preserve">日期: </w:t>
      </w:r>
    </w:p>
    <w:p>
      <w:pPr>
        <w:spacing w:line="360" w:lineRule="auto"/>
        <w:rPr>
          <w:rFonts w:hAnsi="宋体" w:cs="宋体"/>
          <w:b/>
          <w:color w:val="auto"/>
          <w:sz w:val="32"/>
          <w:szCs w:val="32"/>
        </w:rPr>
      </w:pPr>
      <w:bookmarkStart w:id="203" w:name="_Toc217446089"/>
      <w:r>
        <w:rPr>
          <w:rFonts w:hint="eastAsia" w:hAnsi="宋体" w:cs="宋体"/>
          <w:b/>
          <w:color w:val="auto"/>
          <w:sz w:val="36"/>
          <w:szCs w:val="36"/>
        </w:rPr>
        <w:br w:type="page"/>
      </w:r>
      <w:r>
        <w:rPr>
          <w:rFonts w:hint="eastAsia" w:hAnsi="宋体" w:cs="宋体"/>
          <w:b/>
          <w:color w:val="auto"/>
          <w:sz w:val="32"/>
          <w:szCs w:val="32"/>
        </w:rPr>
        <w:t>格式2-8</w:t>
      </w:r>
    </w:p>
    <w:p>
      <w:pPr>
        <w:spacing w:line="360" w:lineRule="auto"/>
        <w:jc w:val="center"/>
        <w:outlineLvl w:val="1"/>
        <w:rPr>
          <w:rFonts w:hAnsi="宋体" w:cs="宋体"/>
          <w:b/>
          <w:color w:val="auto"/>
          <w:sz w:val="36"/>
          <w:szCs w:val="36"/>
        </w:rPr>
      </w:pPr>
      <w:r>
        <w:rPr>
          <w:rFonts w:hint="eastAsia" w:hAnsi="宋体" w:cs="宋体"/>
          <w:b/>
          <w:color w:val="auto"/>
          <w:sz w:val="36"/>
          <w:szCs w:val="36"/>
        </w:rPr>
        <w:t>七、类似项目业绩一览表</w:t>
      </w:r>
      <w:bookmarkEnd w:id="203"/>
    </w:p>
    <w:p>
      <w:pPr>
        <w:spacing w:line="360" w:lineRule="auto"/>
        <w:ind w:firstLine="472" w:firstLineChars="196"/>
        <w:jc w:val="left"/>
        <w:outlineLvl w:val="1"/>
        <w:rPr>
          <w:rFonts w:hAnsi="宋体" w:cs="宋体"/>
          <w:b/>
          <w:color w:val="auto"/>
        </w:rPr>
      </w:pPr>
    </w:p>
    <w:tbl>
      <w:tblPr>
        <w:tblStyle w:val="32"/>
        <w:tblW w:w="85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621"/>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spacing w:line="360" w:lineRule="auto"/>
              <w:jc w:val="left"/>
              <w:outlineLvl w:val="1"/>
              <w:rPr>
                <w:rFonts w:hAnsi="宋体" w:cs="宋体"/>
                <w:color w:val="auto"/>
              </w:rPr>
            </w:pPr>
            <w:r>
              <w:rPr>
                <w:rFonts w:hint="eastAsia" w:hAnsi="宋体" w:cs="宋体"/>
                <w:color w:val="auto"/>
              </w:rPr>
              <w:t>年份</w:t>
            </w:r>
          </w:p>
        </w:tc>
        <w:tc>
          <w:tcPr>
            <w:tcW w:w="1440" w:type="dxa"/>
            <w:vAlign w:val="center"/>
          </w:tcPr>
          <w:p>
            <w:pPr>
              <w:spacing w:line="360" w:lineRule="auto"/>
              <w:jc w:val="left"/>
              <w:outlineLvl w:val="1"/>
              <w:rPr>
                <w:rFonts w:hAnsi="宋体" w:cs="宋体"/>
                <w:color w:val="auto"/>
              </w:rPr>
            </w:pPr>
            <w:r>
              <w:rPr>
                <w:rFonts w:hint="eastAsia" w:hAnsi="宋体" w:cs="宋体"/>
                <w:color w:val="auto"/>
              </w:rPr>
              <w:t>用户名称</w:t>
            </w:r>
          </w:p>
        </w:tc>
        <w:tc>
          <w:tcPr>
            <w:tcW w:w="1320" w:type="dxa"/>
            <w:vAlign w:val="center"/>
          </w:tcPr>
          <w:p>
            <w:pPr>
              <w:spacing w:line="360" w:lineRule="auto"/>
              <w:jc w:val="left"/>
              <w:outlineLvl w:val="1"/>
              <w:rPr>
                <w:rFonts w:hAnsi="宋体" w:cs="宋体"/>
                <w:color w:val="auto"/>
              </w:rPr>
            </w:pPr>
            <w:r>
              <w:rPr>
                <w:rFonts w:hint="eastAsia" w:hAnsi="宋体" w:cs="宋体"/>
                <w:color w:val="auto"/>
              </w:rPr>
              <w:t>项目名称</w:t>
            </w:r>
          </w:p>
        </w:tc>
        <w:tc>
          <w:tcPr>
            <w:tcW w:w="1161" w:type="dxa"/>
            <w:vAlign w:val="center"/>
          </w:tcPr>
          <w:p>
            <w:pPr>
              <w:spacing w:line="360" w:lineRule="auto"/>
              <w:jc w:val="left"/>
              <w:outlineLvl w:val="1"/>
              <w:rPr>
                <w:rFonts w:hAnsi="宋体" w:cs="宋体"/>
                <w:color w:val="auto"/>
              </w:rPr>
            </w:pPr>
            <w:r>
              <w:rPr>
                <w:rFonts w:hint="eastAsia" w:hAnsi="宋体" w:cs="宋体"/>
                <w:color w:val="auto"/>
              </w:rPr>
              <w:t>完成时间</w:t>
            </w:r>
          </w:p>
        </w:tc>
        <w:tc>
          <w:tcPr>
            <w:tcW w:w="1260" w:type="dxa"/>
            <w:vAlign w:val="center"/>
          </w:tcPr>
          <w:p>
            <w:pPr>
              <w:spacing w:line="360" w:lineRule="auto"/>
              <w:jc w:val="left"/>
              <w:outlineLvl w:val="1"/>
              <w:rPr>
                <w:rFonts w:hAnsi="宋体" w:cs="宋体"/>
                <w:color w:val="auto"/>
              </w:rPr>
            </w:pPr>
            <w:r>
              <w:rPr>
                <w:rFonts w:hint="eastAsia" w:hAnsi="宋体" w:cs="宋体"/>
                <w:color w:val="auto"/>
              </w:rPr>
              <w:t>合同金额</w:t>
            </w:r>
          </w:p>
        </w:tc>
        <w:tc>
          <w:tcPr>
            <w:tcW w:w="1630" w:type="dxa"/>
            <w:gridSpan w:val="2"/>
            <w:tcBorders>
              <w:right w:val="single" w:color="auto" w:sz="4" w:space="0"/>
            </w:tcBorders>
            <w:vAlign w:val="center"/>
          </w:tcPr>
          <w:p>
            <w:pPr>
              <w:spacing w:line="360" w:lineRule="auto"/>
              <w:jc w:val="left"/>
              <w:outlineLvl w:val="1"/>
              <w:rPr>
                <w:rFonts w:hAnsi="宋体" w:cs="宋体"/>
                <w:color w:val="auto"/>
              </w:rPr>
            </w:pPr>
            <w:r>
              <w:rPr>
                <w:rFonts w:hint="eastAsia" w:hAnsi="宋体" w:cs="宋体"/>
                <w:color w:val="auto"/>
              </w:rPr>
              <w:t>是否通过验收</w:t>
            </w:r>
          </w:p>
        </w:tc>
        <w:tc>
          <w:tcPr>
            <w:tcW w:w="992" w:type="dxa"/>
            <w:tcBorders>
              <w:left w:val="single" w:color="auto" w:sz="4" w:space="0"/>
            </w:tcBorders>
            <w:vAlign w:val="center"/>
          </w:tcPr>
          <w:p>
            <w:pPr>
              <w:spacing w:line="360" w:lineRule="auto"/>
              <w:jc w:val="left"/>
              <w:outlineLvl w:val="1"/>
              <w:rPr>
                <w:rFonts w:hAnsi="宋体" w:cs="宋体"/>
                <w:color w:val="auto"/>
              </w:rPr>
            </w:pPr>
            <w:r>
              <w:rPr>
                <w:rFonts w:hint="eastAsia" w:hAnsi="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uto"/>
              <w:ind w:firstLine="470" w:firstLineChars="196"/>
              <w:jc w:val="left"/>
              <w:outlineLvl w:val="1"/>
              <w:rPr>
                <w:rFonts w:hAnsi="宋体" w:cs="宋体"/>
                <w:color w:val="auto"/>
              </w:rPr>
            </w:pPr>
          </w:p>
        </w:tc>
        <w:tc>
          <w:tcPr>
            <w:tcW w:w="1440" w:type="dxa"/>
            <w:vAlign w:val="center"/>
          </w:tcPr>
          <w:p>
            <w:pPr>
              <w:spacing w:line="360" w:lineRule="auto"/>
              <w:ind w:firstLine="470" w:firstLineChars="196"/>
              <w:jc w:val="left"/>
              <w:outlineLvl w:val="1"/>
              <w:rPr>
                <w:rFonts w:hAnsi="宋体" w:cs="宋体"/>
                <w:color w:val="auto"/>
              </w:rPr>
            </w:pPr>
          </w:p>
        </w:tc>
        <w:tc>
          <w:tcPr>
            <w:tcW w:w="1320" w:type="dxa"/>
            <w:vAlign w:val="center"/>
          </w:tcPr>
          <w:p>
            <w:pPr>
              <w:spacing w:line="360" w:lineRule="auto"/>
              <w:ind w:firstLine="470" w:firstLineChars="196"/>
              <w:jc w:val="left"/>
              <w:outlineLvl w:val="1"/>
              <w:rPr>
                <w:rFonts w:hAnsi="宋体" w:cs="宋体"/>
                <w:color w:val="auto"/>
              </w:rPr>
            </w:pPr>
          </w:p>
        </w:tc>
        <w:tc>
          <w:tcPr>
            <w:tcW w:w="1161" w:type="dxa"/>
            <w:vAlign w:val="center"/>
          </w:tcPr>
          <w:p>
            <w:pPr>
              <w:spacing w:line="360" w:lineRule="auto"/>
              <w:ind w:firstLine="470" w:firstLineChars="196"/>
              <w:jc w:val="left"/>
              <w:outlineLvl w:val="1"/>
              <w:rPr>
                <w:rFonts w:hAnsi="宋体" w:cs="宋体"/>
                <w:color w:val="auto"/>
              </w:rPr>
            </w:pPr>
          </w:p>
        </w:tc>
        <w:tc>
          <w:tcPr>
            <w:tcW w:w="1260" w:type="dxa"/>
            <w:vAlign w:val="center"/>
          </w:tcPr>
          <w:p>
            <w:pPr>
              <w:spacing w:line="360" w:lineRule="auto"/>
              <w:ind w:firstLine="470" w:firstLineChars="196"/>
              <w:jc w:val="left"/>
              <w:outlineLvl w:val="1"/>
              <w:rPr>
                <w:rFonts w:hAnsi="宋体" w:cs="宋体"/>
                <w:color w:val="auto"/>
              </w:rPr>
            </w:pPr>
          </w:p>
        </w:tc>
        <w:tc>
          <w:tcPr>
            <w:tcW w:w="1630" w:type="dxa"/>
            <w:gridSpan w:val="2"/>
            <w:tcBorders>
              <w:right w:val="single" w:color="auto" w:sz="4" w:space="0"/>
            </w:tcBorders>
            <w:vAlign w:val="center"/>
          </w:tcPr>
          <w:p>
            <w:pPr>
              <w:spacing w:line="360" w:lineRule="auto"/>
              <w:ind w:firstLine="470" w:firstLineChars="196"/>
              <w:jc w:val="left"/>
              <w:outlineLvl w:val="1"/>
              <w:rPr>
                <w:rFonts w:hAnsi="宋体" w:cs="宋体"/>
                <w:color w:val="auto"/>
              </w:rPr>
            </w:pPr>
          </w:p>
        </w:tc>
        <w:tc>
          <w:tcPr>
            <w:tcW w:w="992" w:type="dxa"/>
            <w:tcBorders>
              <w:left w:val="single" w:color="auto" w:sz="4" w:space="0"/>
            </w:tcBorders>
            <w:vAlign w:val="center"/>
          </w:tcPr>
          <w:p>
            <w:pPr>
              <w:spacing w:line="360" w:lineRule="auto"/>
              <w:ind w:firstLine="470" w:firstLineChars="196"/>
              <w:jc w:val="left"/>
              <w:outlineLvl w:val="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uto"/>
              <w:ind w:firstLine="470" w:firstLineChars="196"/>
              <w:jc w:val="left"/>
              <w:outlineLvl w:val="1"/>
              <w:rPr>
                <w:rFonts w:hAnsi="宋体" w:cs="宋体"/>
                <w:color w:val="auto"/>
              </w:rPr>
            </w:pPr>
          </w:p>
        </w:tc>
        <w:tc>
          <w:tcPr>
            <w:tcW w:w="1440" w:type="dxa"/>
            <w:vAlign w:val="center"/>
          </w:tcPr>
          <w:p>
            <w:pPr>
              <w:spacing w:line="360" w:lineRule="auto"/>
              <w:ind w:firstLine="470" w:firstLineChars="196"/>
              <w:jc w:val="left"/>
              <w:outlineLvl w:val="1"/>
              <w:rPr>
                <w:rFonts w:hAnsi="宋体" w:cs="宋体"/>
                <w:color w:val="auto"/>
              </w:rPr>
            </w:pPr>
          </w:p>
        </w:tc>
        <w:tc>
          <w:tcPr>
            <w:tcW w:w="1320" w:type="dxa"/>
            <w:vAlign w:val="center"/>
          </w:tcPr>
          <w:p>
            <w:pPr>
              <w:spacing w:line="360" w:lineRule="auto"/>
              <w:ind w:firstLine="470" w:firstLineChars="196"/>
              <w:jc w:val="left"/>
              <w:outlineLvl w:val="1"/>
              <w:rPr>
                <w:rFonts w:hAnsi="宋体" w:cs="宋体"/>
                <w:color w:val="auto"/>
              </w:rPr>
            </w:pPr>
          </w:p>
        </w:tc>
        <w:tc>
          <w:tcPr>
            <w:tcW w:w="1161" w:type="dxa"/>
            <w:vAlign w:val="center"/>
          </w:tcPr>
          <w:p>
            <w:pPr>
              <w:spacing w:line="360" w:lineRule="auto"/>
              <w:ind w:firstLine="470" w:firstLineChars="196"/>
              <w:jc w:val="left"/>
              <w:outlineLvl w:val="1"/>
              <w:rPr>
                <w:rFonts w:hAnsi="宋体" w:cs="宋体"/>
                <w:color w:val="auto"/>
              </w:rPr>
            </w:pPr>
          </w:p>
        </w:tc>
        <w:tc>
          <w:tcPr>
            <w:tcW w:w="1260" w:type="dxa"/>
            <w:vAlign w:val="center"/>
          </w:tcPr>
          <w:p>
            <w:pPr>
              <w:spacing w:line="360" w:lineRule="auto"/>
              <w:ind w:firstLine="470" w:firstLineChars="196"/>
              <w:jc w:val="left"/>
              <w:outlineLvl w:val="1"/>
              <w:rPr>
                <w:rFonts w:hAnsi="宋体" w:cs="宋体"/>
                <w:color w:val="auto"/>
              </w:rPr>
            </w:pPr>
          </w:p>
        </w:tc>
        <w:tc>
          <w:tcPr>
            <w:tcW w:w="1630" w:type="dxa"/>
            <w:gridSpan w:val="2"/>
            <w:tcBorders>
              <w:right w:val="single" w:color="auto" w:sz="4" w:space="0"/>
            </w:tcBorders>
            <w:vAlign w:val="center"/>
          </w:tcPr>
          <w:p>
            <w:pPr>
              <w:spacing w:line="360" w:lineRule="auto"/>
              <w:ind w:firstLine="470" w:firstLineChars="196"/>
              <w:jc w:val="left"/>
              <w:outlineLvl w:val="1"/>
              <w:rPr>
                <w:rFonts w:hAnsi="宋体" w:cs="宋体"/>
                <w:color w:val="auto"/>
              </w:rPr>
            </w:pPr>
          </w:p>
        </w:tc>
        <w:tc>
          <w:tcPr>
            <w:tcW w:w="992" w:type="dxa"/>
            <w:tcBorders>
              <w:left w:val="single" w:color="auto" w:sz="4" w:space="0"/>
            </w:tcBorders>
            <w:vAlign w:val="center"/>
          </w:tcPr>
          <w:p>
            <w:pPr>
              <w:spacing w:line="360" w:lineRule="auto"/>
              <w:ind w:firstLine="470" w:firstLineChars="196"/>
              <w:jc w:val="left"/>
              <w:outlineLvl w:val="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uto"/>
              <w:ind w:firstLine="470" w:firstLineChars="196"/>
              <w:jc w:val="left"/>
              <w:outlineLvl w:val="1"/>
              <w:rPr>
                <w:rFonts w:hAnsi="宋体" w:cs="宋体"/>
                <w:color w:val="auto"/>
              </w:rPr>
            </w:pPr>
          </w:p>
        </w:tc>
        <w:tc>
          <w:tcPr>
            <w:tcW w:w="1440" w:type="dxa"/>
            <w:vAlign w:val="center"/>
          </w:tcPr>
          <w:p>
            <w:pPr>
              <w:spacing w:line="360" w:lineRule="auto"/>
              <w:ind w:firstLine="470" w:firstLineChars="196"/>
              <w:jc w:val="left"/>
              <w:outlineLvl w:val="1"/>
              <w:rPr>
                <w:rFonts w:hAnsi="宋体" w:cs="宋体"/>
                <w:color w:val="auto"/>
              </w:rPr>
            </w:pPr>
          </w:p>
        </w:tc>
        <w:tc>
          <w:tcPr>
            <w:tcW w:w="1320" w:type="dxa"/>
            <w:vAlign w:val="center"/>
          </w:tcPr>
          <w:p>
            <w:pPr>
              <w:spacing w:line="360" w:lineRule="auto"/>
              <w:ind w:firstLine="470" w:firstLineChars="196"/>
              <w:jc w:val="left"/>
              <w:outlineLvl w:val="1"/>
              <w:rPr>
                <w:rFonts w:hAnsi="宋体" w:cs="宋体"/>
                <w:color w:val="auto"/>
              </w:rPr>
            </w:pPr>
          </w:p>
        </w:tc>
        <w:tc>
          <w:tcPr>
            <w:tcW w:w="1161" w:type="dxa"/>
            <w:vAlign w:val="center"/>
          </w:tcPr>
          <w:p>
            <w:pPr>
              <w:spacing w:line="360" w:lineRule="auto"/>
              <w:ind w:firstLine="470" w:firstLineChars="196"/>
              <w:jc w:val="left"/>
              <w:outlineLvl w:val="1"/>
              <w:rPr>
                <w:rFonts w:hAnsi="宋体" w:cs="宋体"/>
                <w:color w:val="auto"/>
              </w:rPr>
            </w:pPr>
          </w:p>
        </w:tc>
        <w:tc>
          <w:tcPr>
            <w:tcW w:w="1260" w:type="dxa"/>
            <w:vAlign w:val="center"/>
          </w:tcPr>
          <w:p>
            <w:pPr>
              <w:spacing w:line="360" w:lineRule="auto"/>
              <w:ind w:firstLine="470" w:firstLineChars="196"/>
              <w:jc w:val="left"/>
              <w:outlineLvl w:val="1"/>
              <w:rPr>
                <w:rFonts w:hAnsi="宋体" w:cs="宋体"/>
                <w:color w:val="auto"/>
              </w:rPr>
            </w:pPr>
          </w:p>
        </w:tc>
        <w:tc>
          <w:tcPr>
            <w:tcW w:w="1630" w:type="dxa"/>
            <w:gridSpan w:val="2"/>
            <w:tcBorders>
              <w:right w:val="single" w:color="auto" w:sz="4" w:space="0"/>
            </w:tcBorders>
            <w:vAlign w:val="center"/>
          </w:tcPr>
          <w:p>
            <w:pPr>
              <w:spacing w:line="360" w:lineRule="auto"/>
              <w:ind w:firstLine="470" w:firstLineChars="196"/>
              <w:jc w:val="left"/>
              <w:outlineLvl w:val="1"/>
              <w:rPr>
                <w:rFonts w:hAnsi="宋体" w:cs="宋体"/>
                <w:color w:val="auto"/>
              </w:rPr>
            </w:pPr>
          </w:p>
        </w:tc>
        <w:tc>
          <w:tcPr>
            <w:tcW w:w="992" w:type="dxa"/>
            <w:tcBorders>
              <w:left w:val="single" w:color="auto" w:sz="4" w:space="0"/>
            </w:tcBorders>
            <w:vAlign w:val="center"/>
          </w:tcPr>
          <w:p>
            <w:pPr>
              <w:spacing w:line="360" w:lineRule="auto"/>
              <w:ind w:firstLine="470" w:firstLineChars="196"/>
              <w:jc w:val="left"/>
              <w:outlineLvl w:val="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uto"/>
              <w:ind w:firstLine="470" w:firstLineChars="196"/>
              <w:jc w:val="left"/>
              <w:outlineLvl w:val="1"/>
              <w:rPr>
                <w:rFonts w:hAnsi="宋体" w:cs="宋体"/>
                <w:color w:val="auto"/>
              </w:rPr>
            </w:pPr>
          </w:p>
        </w:tc>
        <w:tc>
          <w:tcPr>
            <w:tcW w:w="1440" w:type="dxa"/>
            <w:tcBorders>
              <w:right w:val="single" w:color="auto" w:sz="4" w:space="0"/>
            </w:tcBorders>
            <w:vAlign w:val="center"/>
          </w:tcPr>
          <w:p>
            <w:pPr>
              <w:spacing w:line="360" w:lineRule="auto"/>
              <w:ind w:firstLine="470" w:firstLineChars="196"/>
              <w:jc w:val="left"/>
              <w:outlineLvl w:val="1"/>
              <w:rPr>
                <w:rFonts w:hAnsi="宋体" w:cs="宋体"/>
                <w:color w:val="auto"/>
              </w:rPr>
            </w:pPr>
          </w:p>
        </w:tc>
        <w:tc>
          <w:tcPr>
            <w:tcW w:w="1320" w:type="dxa"/>
            <w:tcBorders>
              <w:left w:val="single" w:color="auto" w:sz="4" w:space="0"/>
            </w:tcBorders>
            <w:vAlign w:val="center"/>
          </w:tcPr>
          <w:p>
            <w:pPr>
              <w:spacing w:line="360" w:lineRule="auto"/>
              <w:ind w:firstLine="470" w:firstLineChars="196"/>
              <w:jc w:val="left"/>
              <w:outlineLvl w:val="1"/>
              <w:rPr>
                <w:rFonts w:hAnsi="宋体" w:cs="宋体"/>
                <w:color w:val="auto"/>
              </w:rPr>
            </w:pPr>
          </w:p>
        </w:tc>
        <w:tc>
          <w:tcPr>
            <w:tcW w:w="1161" w:type="dxa"/>
            <w:vAlign w:val="center"/>
          </w:tcPr>
          <w:p>
            <w:pPr>
              <w:spacing w:line="360" w:lineRule="auto"/>
              <w:ind w:firstLine="470" w:firstLineChars="196"/>
              <w:jc w:val="left"/>
              <w:outlineLvl w:val="1"/>
              <w:rPr>
                <w:rFonts w:hAnsi="宋体" w:cs="宋体"/>
                <w:color w:val="auto"/>
              </w:rPr>
            </w:pPr>
          </w:p>
        </w:tc>
        <w:tc>
          <w:tcPr>
            <w:tcW w:w="1260" w:type="dxa"/>
            <w:vAlign w:val="center"/>
          </w:tcPr>
          <w:p>
            <w:pPr>
              <w:spacing w:line="360" w:lineRule="auto"/>
              <w:ind w:firstLine="470" w:firstLineChars="196"/>
              <w:jc w:val="left"/>
              <w:outlineLvl w:val="1"/>
              <w:rPr>
                <w:rFonts w:hAnsi="宋体" w:cs="宋体"/>
                <w:color w:val="auto"/>
              </w:rPr>
            </w:pPr>
          </w:p>
        </w:tc>
        <w:tc>
          <w:tcPr>
            <w:tcW w:w="1630" w:type="dxa"/>
            <w:gridSpan w:val="2"/>
            <w:tcBorders>
              <w:right w:val="single" w:color="auto" w:sz="4" w:space="0"/>
            </w:tcBorders>
            <w:vAlign w:val="center"/>
          </w:tcPr>
          <w:p>
            <w:pPr>
              <w:spacing w:line="360" w:lineRule="auto"/>
              <w:ind w:firstLine="470" w:firstLineChars="196"/>
              <w:jc w:val="left"/>
              <w:outlineLvl w:val="1"/>
              <w:rPr>
                <w:rFonts w:hAnsi="宋体" w:cs="宋体"/>
                <w:color w:val="auto"/>
              </w:rPr>
            </w:pPr>
          </w:p>
        </w:tc>
        <w:tc>
          <w:tcPr>
            <w:tcW w:w="992" w:type="dxa"/>
            <w:tcBorders>
              <w:left w:val="single" w:color="auto" w:sz="4" w:space="0"/>
            </w:tcBorders>
            <w:vAlign w:val="center"/>
          </w:tcPr>
          <w:p>
            <w:pPr>
              <w:spacing w:line="360" w:lineRule="auto"/>
              <w:ind w:firstLine="470" w:firstLineChars="196"/>
              <w:jc w:val="left"/>
              <w:outlineLvl w:val="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spacing w:line="360" w:lineRule="auto"/>
              <w:ind w:firstLine="470" w:firstLineChars="196"/>
              <w:jc w:val="left"/>
              <w:outlineLvl w:val="1"/>
              <w:rPr>
                <w:rFonts w:hAnsi="宋体" w:cs="宋体"/>
                <w:color w:val="auto"/>
              </w:rPr>
            </w:pPr>
          </w:p>
        </w:tc>
        <w:tc>
          <w:tcPr>
            <w:tcW w:w="1440" w:type="dxa"/>
            <w:tcBorders>
              <w:left w:val="single" w:color="auto" w:sz="4" w:space="0"/>
              <w:right w:val="single" w:color="auto" w:sz="4" w:space="0"/>
            </w:tcBorders>
            <w:vAlign w:val="center"/>
          </w:tcPr>
          <w:p>
            <w:pPr>
              <w:spacing w:line="360" w:lineRule="auto"/>
              <w:ind w:firstLine="470" w:firstLineChars="196"/>
              <w:jc w:val="left"/>
              <w:outlineLvl w:val="1"/>
              <w:rPr>
                <w:rFonts w:hAnsi="宋体" w:cs="宋体"/>
                <w:color w:val="auto"/>
              </w:rPr>
            </w:pPr>
          </w:p>
        </w:tc>
        <w:tc>
          <w:tcPr>
            <w:tcW w:w="1320" w:type="dxa"/>
            <w:tcBorders>
              <w:left w:val="single" w:color="auto" w:sz="4" w:space="0"/>
              <w:right w:val="single" w:color="auto" w:sz="4" w:space="0"/>
            </w:tcBorders>
            <w:vAlign w:val="center"/>
          </w:tcPr>
          <w:p>
            <w:pPr>
              <w:spacing w:line="360" w:lineRule="auto"/>
              <w:ind w:firstLine="470" w:firstLineChars="196"/>
              <w:jc w:val="left"/>
              <w:outlineLvl w:val="1"/>
              <w:rPr>
                <w:rFonts w:hAnsi="宋体" w:cs="宋体"/>
                <w:color w:val="auto"/>
              </w:rPr>
            </w:pPr>
          </w:p>
        </w:tc>
        <w:tc>
          <w:tcPr>
            <w:tcW w:w="1161" w:type="dxa"/>
            <w:tcBorders>
              <w:left w:val="single" w:color="auto" w:sz="4" w:space="0"/>
              <w:right w:val="single" w:color="auto" w:sz="4" w:space="0"/>
            </w:tcBorders>
            <w:vAlign w:val="center"/>
          </w:tcPr>
          <w:p>
            <w:pPr>
              <w:spacing w:line="360" w:lineRule="auto"/>
              <w:ind w:firstLine="470" w:firstLineChars="196"/>
              <w:jc w:val="left"/>
              <w:outlineLvl w:val="1"/>
              <w:rPr>
                <w:rFonts w:hAnsi="宋体" w:cs="宋体"/>
                <w:color w:val="auto"/>
              </w:rPr>
            </w:pPr>
          </w:p>
        </w:tc>
        <w:tc>
          <w:tcPr>
            <w:tcW w:w="1269" w:type="dxa"/>
            <w:gridSpan w:val="2"/>
            <w:tcBorders>
              <w:left w:val="single" w:color="auto" w:sz="4" w:space="0"/>
              <w:right w:val="single" w:color="auto" w:sz="4" w:space="0"/>
            </w:tcBorders>
            <w:vAlign w:val="center"/>
          </w:tcPr>
          <w:p>
            <w:pPr>
              <w:spacing w:line="360" w:lineRule="auto"/>
              <w:ind w:firstLine="470" w:firstLineChars="196"/>
              <w:jc w:val="left"/>
              <w:outlineLvl w:val="1"/>
              <w:rPr>
                <w:rFonts w:hAnsi="宋体" w:cs="宋体"/>
                <w:color w:val="auto"/>
              </w:rPr>
            </w:pPr>
          </w:p>
        </w:tc>
        <w:tc>
          <w:tcPr>
            <w:tcW w:w="1621" w:type="dxa"/>
            <w:tcBorders>
              <w:left w:val="single" w:color="auto" w:sz="4" w:space="0"/>
              <w:right w:val="single" w:color="auto" w:sz="4" w:space="0"/>
            </w:tcBorders>
            <w:vAlign w:val="center"/>
          </w:tcPr>
          <w:p>
            <w:pPr>
              <w:spacing w:line="360" w:lineRule="auto"/>
              <w:ind w:firstLine="470" w:firstLineChars="196"/>
              <w:jc w:val="left"/>
              <w:outlineLvl w:val="1"/>
              <w:rPr>
                <w:rFonts w:hAnsi="宋体" w:cs="宋体"/>
                <w:color w:val="auto"/>
              </w:rPr>
            </w:pPr>
          </w:p>
        </w:tc>
        <w:tc>
          <w:tcPr>
            <w:tcW w:w="992" w:type="dxa"/>
            <w:tcBorders>
              <w:left w:val="single" w:color="auto" w:sz="4" w:space="0"/>
            </w:tcBorders>
            <w:vAlign w:val="center"/>
          </w:tcPr>
          <w:p>
            <w:pPr>
              <w:spacing w:line="360" w:lineRule="auto"/>
              <w:ind w:firstLine="470" w:firstLineChars="196"/>
              <w:jc w:val="left"/>
              <w:outlineLvl w:val="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uto"/>
              <w:ind w:firstLine="470" w:firstLineChars="196"/>
              <w:jc w:val="left"/>
              <w:outlineLvl w:val="1"/>
              <w:rPr>
                <w:rFonts w:hAnsi="宋体" w:cs="宋体"/>
                <w:color w:val="auto"/>
              </w:rPr>
            </w:pPr>
          </w:p>
        </w:tc>
        <w:tc>
          <w:tcPr>
            <w:tcW w:w="1440" w:type="dxa"/>
            <w:vAlign w:val="center"/>
          </w:tcPr>
          <w:p>
            <w:pPr>
              <w:spacing w:line="360" w:lineRule="auto"/>
              <w:ind w:firstLine="470" w:firstLineChars="196"/>
              <w:jc w:val="left"/>
              <w:outlineLvl w:val="1"/>
              <w:rPr>
                <w:rFonts w:hAnsi="宋体" w:cs="宋体"/>
                <w:color w:val="auto"/>
              </w:rPr>
            </w:pPr>
          </w:p>
        </w:tc>
        <w:tc>
          <w:tcPr>
            <w:tcW w:w="1320" w:type="dxa"/>
            <w:vAlign w:val="center"/>
          </w:tcPr>
          <w:p>
            <w:pPr>
              <w:spacing w:line="360" w:lineRule="auto"/>
              <w:ind w:firstLine="470" w:firstLineChars="196"/>
              <w:jc w:val="left"/>
              <w:outlineLvl w:val="1"/>
              <w:rPr>
                <w:rFonts w:hAnsi="宋体" w:cs="宋体"/>
                <w:color w:val="auto"/>
              </w:rPr>
            </w:pPr>
          </w:p>
        </w:tc>
        <w:tc>
          <w:tcPr>
            <w:tcW w:w="1161" w:type="dxa"/>
            <w:vAlign w:val="center"/>
          </w:tcPr>
          <w:p>
            <w:pPr>
              <w:spacing w:line="360" w:lineRule="auto"/>
              <w:ind w:firstLine="470" w:firstLineChars="196"/>
              <w:jc w:val="left"/>
              <w:outlineLvl w:val="1"/>
              <w:rPr>
                <w:rFonts w:hAnsi="宋体" w:cs="宋体"/>
                <w:color w:val="auto"/>
              </w:rPr>
            </w:pPr>
          </w:p>
        </w:tc>
        <w:tc>
          <w:tcPr>
            <w:tcW w:w="1269" w:type="dxa"/>
            <w:gridSpan w:val="2"/>
            <w:tcBorders>
              <w:right w:val="single" w:color="auto" w:sz="4" w:space="0"/>
            </w:tcBorders>
            <w:vAlign w:val="center"/>
          </w:tcPr>
          <w:p>
            <w:pPr>
              <w:spacing w:line="360" w:lineRule="auto"/>
              <w:ind w:firstLine="470" w:firstLineChars="196"/>
              <w:jc w:val="left"/>
              <w:outlineLvl w:val="1"/>
              <w:rPr>
                <w:rFonts w:hAnsi="宋体" w:cs="宋体"/>
                <w:color w:val="auto"/>
              </w:rPr>
            </w:pPr>
          </w:p>
        </w:tc>
        <w:tc>
          <w:tcPr>
            <w:tcW w:w="1621" w:type="dxa"/>
            <w:tcBorders>
              <w:left w:val="single" w:color="auto" w:sz="4" w:space="0"/>
              <w:right w:val="single" w:color="auto" w:sz="4" w:space="0"/>
            </w:tcBorders>
            <w:vAlign w:val="center"/>
          </w:tcPr>
          <w:p>
            <w:pPr>
              <w:spacing w:line="360" w:lineRule="auto"/>
              <w:ind w:firstLine="470" w:firstLineChars="196"/>
              <w:jc w:val="left"/>
              <w:outlineLvl w:val="1"/>
              <w:rPr>
                <w:rFonts w:hAnsi="宋体" w:cs="宋体"/>
                <w:color w:val="auto"/>
              </w:rPr>
            </w:pPr>
          </w:p>
        </w:tc>
        <w:tc>
          <w:tcPr>
            <w:tcW w:w="992" w:type="dxa"/>
            <w:tcBorders>
              <w:left w:val="single" w:color="auto" w:sz="4" w:space="0"/>
            </w:tcBorders>
            <w:vAlign w:val="center"/>
          </w:tcPr>
          <w:p>
            <w:pPr>
              <w:spacing w:line="360" w:lineRule="auto"/>
              <w:ind w:firstLine="470" w:firstLineChars="196"/>
              <w:jc w:val="left"/>
              <w:outlineLvl w:val="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uto"/>
              <w:ind w:firstLine="470" w:firstLineChars="196"/>
              <w:jc w:val="left"/>
              <w:outlineLvl w:val="1"/>
              <w:rPr>
                <w:rFonts w:hAnsi="宋体" w:cs="宋体"/>
                <w:color w:val="auto"/>
              </w:rPr>
            </w:pPr>
          </w:p>
        </w:tc>
        <w:tc>
          <w:tcPr>
            <w:tcW w:w="1440" w:type="dxa"/>
            <w:vAlign w:val="center"/>
          </w:tcPr>
          <w:p>
            <w:pPr>
              <w:spacing w:line="360" w:lineRule="auto"/>
              <w:ind w:firstLine="470" w:firstLineChars="196"/>
              <w:jc w:val="left"/>
              <w:outlineLvl w:val="1"/>
              <w:rPr>
                <w:rFonts w:hAnsi="宋体" w:cs="宋体"/>
                <w:color w:val="auto"/>
              </w:rPr>
            </w:pPr>
          </w:p>
        </w:tc>
        <w:tc>
          <w:tcPr>
            <w:tcW w:w="1320" w:type="dxa"/>
            <w:vAlign w:val="center"/>
          </w:tcPr>
          <w:p>
            <w:pPr>
              <w:spacing w:line="360" w:lineRule="auto"/>
              <w:ind w:firstLine="470" w:firstLineChars="196"/>
              <w:jc w:val="left"/>
              <w:outlineLvl w:val="1"/>
              <w:rPr>
                <w:rFonts w:hAnsi="宋体" w:cs="宋体"/>
                <w:color w:val="auto"/>
              </w:rPr>
            </w:pPr>
          </w:p>
        </w:tc>
        <w:tc>
          <w:tcPr>
            <w:tcW w:w="1161" w:type="dxa"/>
            <w:vAlign w:val="center"/>
          </w:tcPr>
          <w:p>
            <w:pPr>
              <w:spacing w:line="360" w:lineRule="auto"/>
              <w:ind w:firstLine="470" w:firstLineChars="196"/>
              <w:jc w:val="left"/>
              <w:outlineLvl w:val="1"/>
              <w:rPr>
                <w:rFonts w:hAnsi="宋体" w:cs="宋体"/>
                <w:color w:val="auto"/>
              </w:rPr>
            </w:pPr>
          </w:p>
        </w:tc>
        <w:tc>
          <w:tcPr>
            <w:tcW w:w="1269" w:type="dxa"/>
            <w:gridSpan w:val="2"/>
            <w:tcBorders>
              <w:right w:val="single" w:color="auto" w:sz="4" w:space="0"/>
            </w:tcBorders>
            <w:vAlign w:val="center"/>
          </w:tcPr>
          <w:p>
            <w:pPr>
              <w:spacing w:line="360" w:lineRule="auto"/>
              <w:ind w:firstLine="470" w:firstLineChars="196"/>
              <w:jc w:val="left"/>
              <w:outlineLvl w:val="1"/>
              <w:rPr>
                <w:rFonts w:hAnsi="宋体" w:cs="宋体"/>
                <w:color w:val="auto"/>
              </w:rPr>
            </w:pPr>
          </w:p>
        </w:tc>
        <w:tc>
          <w:tcPr>
            <w:tcW w:w="1621" w:type="dxa"/>
            <w:tcBorders>
              <w:left w:val="single" w:color="auto" w:sz="4" w:space="0"/>
              <w:right w:val="single" w:color="auto" w:sz="4" w:space="0"/>
            </w:tcBorders>
            <w:vAlign w:val="center"/>
          </w:tcPr>
          <w:p>
            <w:pPr>
              <w:spacing w:line="360" w:lineRule="auto"/>
              <w:ind w:firstLine="470" w:firstLineChars="196"/>
              <w:jc w:val="left"/>
              <w:outlineLvl w:val="1"/>
              <w:rPr>
                <w:rFonts w:hAnsi="宋体" w:cs="宋体"/>
                <w:color w:val="auto"/>
              </w:rPr>
            </w:pPr>
          </w:p>
        </w:tc>
        <w:tc>
          <w:tcPr>
            <w:tcW w:w="992" w:type="dxa"/>
            <w:tcBorders>
              <w:left w:val="single" w:color="auto" w:sz="4" w:space="0"/>
            </w:tcBorders>
            <w:vAlign w:val="center"/>
          </w:tcPr>
          <w:p>
            <w:pPr>
              <w:spacing w:line="360" w:lineRule="auto"/>
              <w:ind w:firstLine="470" w:firstLineChars="196"/>
              <w:jc w:val="left"/>
              <w:outlineLvl w:val="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uto"/>
              <w:ind w:firstLine="470" w:firstLineChars="196"/>
              <w:jc w:val="left"/>
              <w:outlineLvl w:val="1"/>
              <w:rPr>
                <w:rFonts w:hAnsi="宋体" w:cs="宋体"/>
                <w:color w:val="auto"/>
              </w:rPr>
            </w:pPr>
          </w:p>
        </w:tc>
        <w:tc>
          <w:tcPr>
            <w:tcW w:w="1440" w:type="dxa"/>
            <w:vAlign w:val="center"/>
          </w:tcPr>
          <w:p>
            <w:pPr>
              <w:spacing w:line="360" w:lineRule="auto"/>
              <w:ind w:firstLine="470" w:firstLineChars="196"/>
              <w:jc w:val="left"/>
              <w:outlineLvl w:val="1"/>
              <w:rPr>
                <w:rFonts w:hAnsi="宋体" w:cs="宋体"/>
                <w:color w:val="auto"/>
              </w:rPr>
            </w:pPr>
          </w:p>
        </w:tc>
        <w:tc>
          <w:tcPr>
            <w:tcW w:w="1320" w:type="dxa"/>
            <w:vAlign w:val="center"/>
          </w:tcPr>
          <w:p>
            <w:pPr>
              <w:spacing w:line="360" w:lineRule="auto"/>
              <w:ind w:firstLine="470" w:firstLineChars="196"/>
              <w:jc w:val="left"/>
              <w:outlineLvl w:val="1"/>
              <w:rPr>
                <w:rFonts w:hAnsi="宋体" w:cs="宋体"/>
                <w:color w:val="auto"/>
              </w:rPr>
            </w:pPr>
          </w:p>
        </w:tc>
        <w:tc>
          <w:tcPr>
            <w:tcW w:w="1161" w:type="dxa"/>
            <w:vAlign w:val="center"/>
          </w:tcPr>
          <w:p>
            <w:pPr>
              <w:spacing w:line="360" w:lineRule="auto"/>
              <w:ind w:firstLine="470" w:firstLineChars="196"/>
              <w:jc w:val="left"/>
              <w:outlineLvl w:val="1"/>
              <w:rPr>
                <w:rFonts w:hAnsi="宋体" w:cs="宋体"/>
                <w:color w:val="auto"/>
              </w:rPr>
            </w:pPr>
          </w:p>
        </w:tc>
        <w:tc>
          <w:tcPr>
            <w:tcW w:w="1269" w:type="dxa"/>
            <w:gridSpan w:val="2"/>
            <w:tcBorders>
              <w:right w:val="single" w:color="auto" w:sz="4" w:space="0"/>
            </w:tcBorders>
            <w:vAlign w:val="center"/>
          </w:tcPr>
          <w:p>
            <w:pPr>
              <w:spacing w:line="360" w:lineRule="auto"/>
              <w:ind w:firstLine="470" w:firstLineChars="196"/>
              <w:jc w:val="left"/>
              <w:outlineLvl w:val="1"/>
              <w:rPr>
                <w:rFonts w:hAnsi="宋体" w:cs="宋体"/>
                <w:color w:val="auto"/>
              </w:rPr>
            </w:pPr>
          </w:p>
        </w:tc>
        <w:tc>
          <w:tcPr>
            <w:tcW w:w="1621" w:type="dxa"/>
            <w:tcBorders>
              <w:left w:val="single" w:color="auto" w:sz="4" w:space="0"/>
              <w:right w:val="single" w:color="auto" w:sz="4" w:space="0"/>
            </w:tcBorders>
            <w:vAlign w:val="center"/>
          </w:tcPr>
          <w:p>
            <w:pPr>
              <w:spacing w:line="360" w:lineRule="auto"/>
              <w:ind w:firstLine="470" w:firstLineChars="196"/>
              <w:jc w:val="left"/>
              <w:outlineLvl w:val="1"/>
              <w:rPr>
                <w:rFonts w:hAnsi="宋体" w:cs="宋体"/>
                <w:color w:val="auto"/>
              </w:rPr>
            </w:pPr>
          </w:p>
        </w:tc>
        <w:tc>
          <w:tcPr>
            <w:tcW w:w="992" w:type="dxa"/>
            <w:tcBorders>
              <w:left w:val="single" w:color="auto" w:sz="4" w:space="0"/>
            </w:tcBorders>
            <w:vAlign w:val="center"/>
          </w:tcPr>
          <w:p>
            <w:pPr>
              <w:spacing w:line="360" w:lineRule="auto"/>
              <w:ind w:firstLine="470" w:firstLineChars="196"/>
              <w:jc w:val="left"/>
              <w:outlineLvl w:val="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spacing w:line="360" w:lineRule="auto"/>
              <w:ind w:firstLine="470" w:firstLineChars="196"/>
              <w:jc w:val="left"/>
              <w:outlineLvl w:val="1"/>
              <w:rPr>
                <w:rFonts w:hAnsi="宋体" w:cs="宋体"/>
                <w:color w:val="auto"/>
              </w:rPr>
            </w:pPr>
          </w:p>
        </w:tc>
        <w:tc>
          <w:tcPr>
            <w:tcW w:w="1440" w:type="dxa"/>
            <w:tcBorders>
              <w:bottom w:val="single" w:color="auto" w:sz="4" w:space="0"/>
            </w:tcBorders>
            <w:vAlign w:val="center"/>
          </w:tcPr>
          <w:p>
            <w:pPr>
              <w:spacing w:line="360" w:lineRule="auto"/>
              <w:ind w:firstLine="470" w:firstLineChars="196"/>
              <w:jc w:val="left"/>
              <w:outlineLvl w:val="1"/>
              <w:rPr>
                <w:rFonts w:hAnsi="宋体" w:cs="宋体"/>
                <w:color w:val="auto"/>
              </w:rPr>
            </w:pPr>
          </w:p>
        </w:tc>
        <w:tc>
          <w:tcPr>
            <w:tcW w:w="1320" w:type="dxa"/>
            <w:tcBorders>
              <w:bottom w:val="single" w:color="auto" w:sz="4" w:space="0"/>
            </w:tcBorders>
            <w:vAlign w:val="center"/>
          </w:tcPr>
          <w:p>
            <w:pPr>
              <w:spacing w:line="360" w:lineRule="auto"/>
              <w:ind w:firstLine="470" w:firstLineChars="196"/>
              <w:jc w:val="left"/>
              <w:outlineLvl w:val="1"/>
              <w:rPr>
                <w:rFonts w:hAnsi="宋体" w:cs="宋体"/>
                <w:color w:val="auto"/>
              </w:rPr>
            </w:pPr>
          </w:p>
        </w:tc>
        <w:tc>
          <w:tcPr>
            <w:tcW w:w="1161" w:type="dxa"/>
            <w:tcBorders>
              <w:bottom w:val="single" w:color="auto" w:sz="4" w:space="0"/>
            </w:tcBorders>
            <w:vAlign w:val="center"/>
          </w:tcPr>
          <w:p>
            <w:pPr>
              <w:spacing w:line="360" w:lineRule="auto"/>
              <w:ind w:firstLine="470" w:firstLineChars="196"/>
              <w:jc w:val="left"/>
              <w:outlineLvl w:val="1"/>
              <w:rPr>
                <w:rFonts w:hAnsi="宋体" w:cs="宋体"/>
                <w:color w:val="auto"/>
              </w:rPr>
            </w:pPr>
          </w:p>
        </w:tc>
        <w:tc>
          <w:tcPr>
            <w:tcW w:w="1269" w:type="dxa"/>
            <w:gridSpan w:val="2"/>
            <w:tcBorders>
              <w:bottom w:val="single" w:color="auto" w:sz="4" w:space="0"/>
              <w:right w:val="single" w:color="auto" w:sz="4" w:space="0"/>
            </w:tcBorders>
            <w:vAlign w:val="center"/>
          </w:tcPr>
          <w:p>
            <w:pPr>
              <w:spacing w:line="360" w:lineRule="auto"/>
              <w:ind w:firstLine="470" w:firstLineChars="196"/>
              <w:jc w:val="left"/>
              <w:outlineLvl w:val="1"/>
              <w:rPr>
                <w:rFonts w:hAnsi="宋体" w:cs="宋体"/>
                <w:color w:val="auto"/>
              </w:rPr>
            </w:pPr>
          </w:p>
        </w:tc>
        <w:tc>
          <w:tcPr>
            <w:tcW w:w="1621" w:type="dxa"/>
            <w:tcBorders>
              <w:left w:val="single" w:color="auto" w:sz="4" w:space="0"/>
              <w:bottom w:val="single" w:color="auto" w:sz="4" w:space="0"/>
              <w:right w:val="single" w:color="auto" w:sz="4" w:space="0"/>
            </w:tcBorders>
            <w:vAlign w:val="center"/>
          </w:tcPr>
          <w:p>
            <w:pPr>
              <w:spacing w:line="360" w:lineRule="auto"/>
              <w:ind w:firstLine="470" w:firstLineChars="196"/>
              <w:jc w:val="left"/>
              <w:outlineLvl w:val="1"/>
              <w:rPr>
                <w:rFonts w:hAnsi="宋体" w:cs="宋体"/>
                <w:color w:val="auto"/>
              </w:rPr>
            </w:pPr>
          </w:p>
        </w:tc>
        <w:tc>
          <w:tcPr>
            <w:tcW w:w="992" w:type="dxa"/>
            <w:tcBorders>
              <w:left w:val="single" w:color="auto" w:sz="4" w:space="0"/>
              <w:bottom w:val="single" w:color="auto" w:sz="4" w:space="0"/>
            </w:tcBorders>
            <w:vAlign w:val="center"/>
          </w:tcPr>
          <w:p>
            <w:pPr>
              <w:spacing w:line="360" w:lineRule="auto"/>
              <w:ind w:firstLine="470" w:firstLineChars="196"/>
              <w:jc w:val="left"/>
              <w:outlineLvl w:val="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360" w:lineRule="auto"/>
              <w:ind w:firstLine="470" w:firstLineChars="196"/>
              <w:jc w:val="left"/>
              <w:outlineLvl w:val="1"/>
              <w:rPr>
                <w:rFonts w:hAnsi="宋体" w:cs="宋体"/>
                <w:color w:val="auto"/>
              </w:rPr>
            </w:pPr>
          </w:p>
        </w:tc>
        <w:tc>
          <w:tcPr>
            <w:tcW w:w="1440" w:type="dxa"/>
            <w:tcBorders>
              <w:top w:val="single" w:color="auto" w:sz="4" w:space="0"/>
              <w:bottom w:val="single" w:color="auto" w:sz="4" w:space="0"/>
            </w:tcBorders>
            <w:vAlign w:val="center"/>
          </w:tcPr>
          <w:p>
            <w:pPr>
              <w:spacing w:line="360" w:lineRule="auto"/>
              <w:ind w:firstLine="470" w:firstLineChars="196"/>
              <w:jc w:val="left"/>
              <w:outlineLvl w:val="1"/>
              <w:rPr>
                <w:rFonts w:hAnsi="宋体" w:cs="宋体"/>
                <w:color w:val="auto"/>
              </w:rPr>
            </w:pPr>
          </w:p>
        </w:tc>
        <w:tc>
          <w:tcPr>
            <w:tcW w:w="1320" w:type="dxa"/>
            <w:tcBorders>
              <w:top w:val="single" w:color="auto" w:sz="4" w:space="0"/>
              <w:bottom w:val="single" w:color="auto" w:sz="4" w:space="0"/>
            </w:tcBorders>
            <w:vAlign w:val="center"/>
          </w:tcPr>
          <w:p>
            <w:pPr>
              <w:spacing w:line="360" w:lineRule="auto"/>
              <w:ind w:firstLine="470" w:firstLineChars="196"/>
              <w:jc w:val="left"/>
              <w:outlineLvl w:val="1"/>
              <w:rPr>
                <w:rFonts w:hAnsi="宋体" w:cs="宋体"/>
                <w:color w:val="auto"/>
              </w:rPr>
            </w:pPr>
          </w:p>
        </w:tc>
        <w:tc>
          <w:tcPr>
            <w:tcW w:w="1161" w:type="dxa"/>
            <w:tcBorders>
              <w:top w:val="single" w:color="auto" w:sz="4" w:space="0"/>
              <w:bottom w:val="single" w:color="auto" w:sz="4" w:space="0"/>
            </w:tcBorders>
            <w:vAlign w:val="center"/>
          </w:tcPr>
          <w:p>
            <w:pPr>
              <w:spacing w:line="360" w:lineRule="auto"/>
              <w:ind w:firstLine="470" w:firstLineChars="196"/>
              <w:jc w:val="left"/>
              <w:outlineLvl w:val="1"/>
              <w:rPr>
                <w:rFonts w:hAnsi="宋体" w:cs="宋体"/>
                <w:color w:val="auto"/>
              </w:rPr>
            </w:pPr>
          </w:p>
        </w:tc>
        <w:tc>
          <w:tcPr>
            <w:tcW w:w="1269" w:type="dxa"/>
            <w:gridSpan w:val="2"/>
            <w:tcBorders>
              <w:top w:val="single" w:color="auto" w:sz="4" w:space="0"/>
              <w:bottom w:val="single" w:color="auto" w:sz="4" w:space="0"/>
              <w:right w:val="single" w:color="auto" w:sz="4" w:space="0"/>
            </w:tcBorders>
            <w:vAlign w:val="center"/>
          </w:tcPr>
          <w:p>
            <w:pPr>
              <w:spacing w:line="360" w:lineRule="auto"/>
              <w:ind w:firstLine="470" w:firstLineChars="196"/>
              <w:jc w:val="left"/>
              <w:outlineLvl w:val="1"/>
              <w:rPr>
                <w:rFonts w:hAnsi="宋体" w:cs="宋体"/>
                <w:color w:val="auto"/>
              </w:rPr>
            </w:pPr>
          </w:p>
        </w:tc>
        <w:tc>
          <w:tcPr>
            <w:tcW w:w="162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196"/>
              <w:jc w:val="left"/>
              <w:outlineLvl w:val="1"/>
              <w:rPr>
                <w:rFonts w:hAnsi="宋体" w:cs="宋体"/>
                <w:color w:val="auto"/>
              </w:rPr>
            </w:pPr>
          </w:p>
        </w:tc>
        <w:tc>
          <w:tcPr>
            <w:tcW w:w="992" w:type="dxa"/>
            <w:tcBorders>
              <w:top w:val="single" w:color="auto" w:sz="4" w:space="0"/>
              <w:left w:val="single" w:color="auto" w:sz="4" w:space="0"/>
              <w:bottom w:val="single" w:color="auto" w:sz="4" w:space="0"/>
            </w:tcBorders>
            <w:vAlign w:val="center"/>
          </w:tcPr>
          <w:p>
            <w:pPr>
              <w:spacing w:line="360" w:lineRule="auto"/>
              <w:ind w:firstLine="470" w:firstLineChars="196"/>
              <w:jc w:val="left"/>
              <w:outlineLvl w:val="1"/>
              <w:rPr>
                <w:rFonts w:hAnsi="宋体" w:cs="宋体"/>
                <w:color w:val="auto"/>
              </w:rPr>
            </w:pPr>
          </w:p>
        </w:tc>
      </w:tr>
    </w:tbl>
    <w:p>
      <w:pPr>
        <w:spacing w:line="360" w:lineRule="auto"/>
        <w:ind w:firstLine="470" w:firstLineChars="196"/>
        <w:jc w:val="left"/>
        <w:outlineLvl w:val="1"/>
        <w:rPr>
          <w:rFonts w:hAnsi="宋体" w:cs="宋体"/>
          <w:color w:val="auto"/>
        </w:rPr>
      </w:pPr>
    </w:p>
    <w:p>
      <w:pPr>
        <w:tabs>
          <w:tab w:val="left" w:pos="555"/>
          <w:tab w:val="left" w:pos="2214"/>
          <w:tab w:val="left" w:pos="3774"/>
          <w:tab w:val="left" w:pos="4854"/>
          <w:tab w:val="left" w:pos="5934"/>
          <w:tab w:val="left" w:pos="7014"/>
          <w:tab w:val="left" w:pos="8214"/>
          <w:tab w:val="left" w:pos="10134"/>
          <w:tab w:val="left" w:pos="11124"/>
        </w:tabs>
        <w:spacing w:line="360" w:lineRule="auto"/>
        <w:ind w:left="410" w:leftChars="171" w:firstLine="360" w:firstLineChars="150"/>
        <w:rPr>
          <w:rFonts w:hAnsi="宋体" w:cs="宋体"/>
          <w:color w:val="auto"/>
        </w:rPr>
      </w:pPr>
      <w:r>
        <w:rPr>
          <w:rFonts w:hint="eastAsia" w:hAnsi="宋体" w:cs="宋体"/>
          <w:color w:val="auto"/>
        </w:rPr>
        <w:t>注：1.投标人（仅限于投标人自己实施的）以上业绩须提供有关书面证明材料。</w:t>
      </w:r>
    </w:p>
    <w:p>
      <w:pPr>
        <w:spacing w:line="360" w:lineRule="auto"/>
        <w:ind w:firstLine="470" w:firstLineChars="196"/>
        <w:jc w:val="left"/>
        <w:outlineLvl w:val="1"/>
        <w:rPr>
          <w:rFonts w:hAnsi="宋体" w:cs="宋体"/>
          <w:color w:val="auto"/>
        </w:rPr>
      </w:pPr>
    </w:p>
    <w:p>
      <w:pPr>
        <w:spacing w:line="360" w:lineRule="auto"/>
        <w:ind w:firstLine="470" w:firstLineChars="196"/>
        <w:jc w:val="left"/>
        <w:outlineLvl w:val="1"/>
        <w:rPr>
          <w:rFonts w:hAnsi="宋体" w:cs="宋体"/>
          <w:color w:val="auto"/>
        </w:rPr>
      </w:pPr>
    </w:p>
    <w:p>
      <w:pPr>
        <w:pStyle w:val="11"/>
        <w:spacing w:line="360" w:lineRule="auto"/>
        <w:rPr>
          <w:rFonts w:hAnsi="宋体" w:cs="宋体"/>
        </w:rPr>
      </w:pPr>
    </w:p>
    <w:p>
      <w:pPr>
        <w:spacing w:line="360" w:lineRule="auto"/>
        <w:ind w:firstLine="470" w:firstLineChars="196"/>
        <w:jc w:val="left"/>
        <w:outlineLvl w:val="1"/>
        <w:rPr>
          <w:rFonts w:hAnsi="宋体" w:cs="宋体"/>
          <w:color w:val="auto"/>
        </w:rPr>
      </w:pPr>
      <w:r>
        <w:rPr>
          <w:rFonts w:hint="eastAsia" w:hAnsi="宋体" w:cs="宋体"/>
          <w:color w:val="auto"/>
        </w:rPr>
        <w:t>投标人名称：（盖公章）</w:t>
      </w:r>
    </w:p>
    <w:p>
      <w:pPr>
        <w:spacing w:line="360" w:lineRule="auto"/>
        <w:ind w:firstLine="470" w:firstLineChars="196"/>
        <w:jc w:val="left"/>
        <w:outlineLvl w:val="1"/>
        <w:rPr>
          <w:rFonts w:hAnsi="宋体" w:cs="宋体"/>
          <w:color w:val="auto"/>
        </w:rPr>
      </w:pPr>
      <w:r>
        <w:rPr>
          <w:rFonts w:hint="eastAsia" w:hAnsi="宋体" w:cs="宋体"/>
          <w:color w:val="auto"/>
        </w:rPr>
        <w:t>法定代表人或委托代理人（签字或盖章）：</w:t>
      </w:r>
    </w:p>
    <w:p>
      <w:pPr>
        <w:spacing w:line="360" w:lineRule="auto"/>
        <w:ind w:firstLine="470" w:firstLineChars="196"/>
        <w:jc w:val="left"/>
        <w:outlineLvl w:val="1"/>
        <w:rPr>
          <w:rFonts w:hAnsi="宋体" w:cs="宋体"/>
          <w:color w:val="auto"/>
        </w:rPr>
      </w:pPr>
      <w:r>
        <w:rPr>
          <w:rFonts w:hint="eastAsia" w:hAnsi="宋体" w:cs="宋体"/>
          <w:color w:val="auto"/>
        </w:rPr>
        <w:t>日期:</w:t>
      </w:r>
    </w:p>
    <w:p>
      <w:pPr>
        <w:spacing w:line="360" w:lineRule="auto"/>
        <w:jc w:val="left"/>
        <w:outlineLvl w:val="1"/>
        <w:rPr>
          <w:rFonts w:hAnsi="宋体" w:cs="宋体"/>
          <w:b/>
          <w:color w:val="auto"/>
        </w:rPr>
      </w:pPr>
      <w:bookmarkStart w:id="204" w:name="_Toc217446090"/>
    </w:p>
    <w:p>
      <w:pPr>
        <w:spacing w:line="360" w:lineRule="auto"/>
        <w:rPr>
          <w:rFonts w:hAnsi="宋体" w:cs="宋体"/>
          <w:b/>
          <w:color w:val="auto"/>
          <w:sz w:val="32"/>
          <w:szCs w:val="32"/>
        </w:rPr>
      </w:pPr>
      <w:r>
        <w:rPr>
          <w:rFonts w:hint="eastAsia" w:hAnsi="宋体" w:cs="宋体"/>
          <w:b/>
          <w:color w:val="auto"/>
          <w:sz w:val="32"/>
          <w:szCs w:val="32"/>
        </w:rPr>
        <w:br w:type="page"/>
      </w:r>
      <w:r>
        <w:rPr>
          <w:rFonts w:hint="eastAsia" w:hAnsi="宋体" w:cs="宋体"/>
          <w:b/>
          <w:color w:val="auto"/>
          <w:sz w:val="32"/>
          <w:szCs w:val="32"/>
        </w:rPr>
        <w:t>格式2-9</w:t>
      </w:r>
    </w:p>
    <w:p>
      <w:pPr>
        <w:spacing w:line="360" w:lineRule="auto"/>
        <w:jc w:val="center"/>
        <w:outlineLvl w:val="1"/>
        <w:rPr>
          <w:rFonts w:hAnsi="宋体" w:cs="宋体"/>
          <w:b/>
          <w:color w:val="auto"/>
          <w:sz w:val="32"/>
          <w:szCs w:val="32"/>
        </w:rPr>
      </w:pPr>
      <w:r>
        <w:rPr>
          <w:rFonts w:hint="eastAsia" w:hAnsi="宋体" w:cs="宋体"/>
          <w:b/>
          <w:color w:val="auto"/>
          <w:sz w:val="32"/>
          <w:szCs w:val="32"/>
        </w:rPr>
        <w:t>八、投标产品技术参数表</w:t>
      </w:r>
      <w:bookmarkEnd w:id="204"/>
    </w:p>
    <w:p>
      <w:pPr>
        <w:spacing w:line="360" w:lineRule="auto"/>
        <w:ind w:firstLine="472" w:firstLineChars="196"/>
        <w:jc w:val="left"/>
        <w:outlineLvl w:val="1"/>
        <w:rPr>
          <w:rFonts w:hAnsi="宋体" w:cs="宋体"/>
          <w:b/>
          <w:color w:val="auto"/>
        </w:rPr>
      </w:pPr>
    </w:p>
    <w:p>
      <w:pPr>
        <w:spacing w:line="360" w:lineRule="auto"/>
        <w:ind w:firstLine="470" w:firstLineChars="196"/>
        <w:jc w:val="left"/>
        <w:outlineLvl w:val="1"/>
        <w:rPr>
          <w:rFonts w:hAnsi="宋体" w:cs="宋体"/>
          <w:color w:val="auto"/>
        </w:rPr>
      </w:pPr>
      <w:r>
        <w:rPr>
          <w:rFonts w:hint="eastAsia" w:hAnsi="宋体" w:cs="宋体"/>
          <w:color w:val="auto"/>
        </w:rPr>
        <w:t>招标编号/包号：</w:t>
      </w:r>
    </w:p>
    <w:tbl>
      <w:tblPr>
        <w:tblStyle w:val="3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522"/>
        <w:gridCol w:w="1856"/>
        <w:gridCol w:w="2294"/>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spacing w:line="360" w:lineRule="auto"/>
              <w:jc w:val="center"/>
              <w:outlineLvl w:val="1"/>
              <w:rPr>
                <w:rFonts w:hAnsi="宋体" w:cs="宋体"/>
                <w:color w:val="auto"/>
              </w:rPr>
            </w:pPr>
            <w:r>
              <w:rPr>
                <w:rFonts w:hint="eastAsia" w:hAnsi="宋体" w:cs="宋体"/>
                <w:color w:val="auto"/>
              </w:rPr>
              <w:t>序号</w:t>
            </w:r>
          </w:p>
        </w:tc>
        <w:tc>
          <w:tcPr>
            <w:tcW w:w="1522" w:type="dxa"/>
            <w:vAlign w:val="center"/>
          </w:tcPr>
          <w:p>
            <w:pPr>
              <w:spacing w:line="360" w:lineRule="auto"/>
              <w:jc w:val="center"/>
              <w:outlineLvl w:val="1"/>
              <w:rPr>
                <w:rFonts w:hAnsi="宋体" w:cs="宋体"/>
                <w:color w:val="auto"/>
              </w:rPr>
            </w:pPr>
            <w:r>
              <w:rPr>
                <w:rFonts w:hint="eastAsia" w:hAnsi="宋体" w:cs="宋体"/>
                <w:color w:val="auto"/>
              </w:rPr>
              <w:t>货物（设备）名称</w:t>
            </w:r>
          </w:p>
        </w:tc>
        <w:tc>
          <w:tcPr>
            <w:tcW w:w="1856" w:type="dxa"/>
            <w:vAlign w:val="center"/>
          </w:tcPr>
          <w:p>
            <w:pPr>
              <w:spacing w:line="360" w:lineRule="auto"/>
              <w:jc w:val="center"/>
              <w:outlineLvl w:val="1"/>
              <w:rPr>
                <w:rFonts w:hAnsi="宋体" w:cs="宋体"/>
                <w:color w:val="auto"/>
              </w:rPr>
            </w:pPr>
            <w:r>
              <w:rPr>
                <w:rFonts w:hint="eastAsia" w:hAnsi="宋体" w:cs="宋体"/>
                <w:color w:val="auto"/>
              </w:rPr>
              <w:t>招标文件要求</w:t>
            </w:r>
          </w:p>
        </w:tc>
        <w:tc>
          <w:tcPr>
            <w:tcW w:w="2294" w:type="dxa"/>
            <w:vAlign w:val="center"/>
          </w:tcPr>
          <w:p>
            <w:pPr>
              <w:spacing w:line="360" w:lineRule="auto"/>
              <w:jc w:val="center"/>
              <w:outlineLvl w:val="1"/>
              <w:rPr>
                <w:rFonts w:hAnsi="宋体" w:cs="宋体"/>
                <w:color w:val="auto"/>
              </w:rPr>
            </w:pPr>
            <w:r>
              <w:rPr>
                <w:rFonts w:hint="eastAsia" w:hAnsi="宋体" w:cs="宋体"/>
                <w:color w:val="auto"/>
              </w:rPr>
              <w:t>投标产品技术参数</w:t>
            </w:r>
          </w:p>
        </w:tc>
        <w:tc>
          <w:tcPr>
            <w:tcW w:w="1758" w:type="dxa"/>
            <w:vAlign w:val="center"/>
          </w:tcPr>
          <w:p>
            <w:pPr>
              <w:spacing w:line="360" w:lineRule="auto"/>
              <w:jc w:val="center"/>
              <w:outlineLvl w:val="1"/>
              <w:rPr>
                <w:rFonts w:hAnsi="宋体" w:cs="宋体"/>
                <w:color w:val="auto"/>
              </w:rPr>
            </w:pPr>
            <w:r>
              <w:rPr>
                <w:rFonts w:hint="eastAsia" w:hAnsi="宋体" w:cs="宋体"/>
                <w:color w:val="auto"/>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uto"/>
              <w:ind w:firstLine="470" w:firstLineChars="196"/>
              <w:jc w:val="left"/>
              <w:outlineLvl w:val="1"/>
              <w:rPr>
                <w:rFonts w:hAnsi="宋体" w:cs="宋体"/>
                <w:color w:val="auto"/>
              </w:rPr>
            </w:pPr>
          </w:p>
        </w:tc>
        <w:tc>
          <w:tcPr>
            <w:tcW w:w="1522" w:type="dxa"/>
          </w:tcPr>
          <w:p>
            <w:pPr>
              <w:spacing w:line="360" w:lineRule="auto"/>
              <w:ind w:firstLine="470" w:firstLineChars="196"/>
              <w:jc w:val="left"/>
              <w:outlineLvl w:val="1"/>
              <w:rPr>
                <w:rFonts w:hAnsi="宋体" w:cs="宋体"/>
                <w:color w:val="auto"/>
              </w:rPr>
            </w:pPr>
          </w:p>
        </w:tc>
        <w:tc>
          <w:tcPr>
            <w:tcW w:w="1856" w:type="dxa"/>
          </w:tcPr>
          <w:p>
            <w:pPr>
              <w:spacing w:line="360" w:lineRule="auto"/>
              <w:ind w:firstLine="470" w:firstLineChars="196"/>
              <w:jc w:val="left"/>
              <w:outlineLvl w:val="1"/>
              <w:rPr>
                <w:rFonts w:hAnsi="宋体" w:cs="宋体"/>
                <w:color w:val="auto"/>
              </w:rPr>
            </w:pPr>
          </w:p>
        </w:tc>
        <w:tc>
          <w:tcPr>
            <w:tcW w:w="2294" w:type="dxa"/>
          </w:tcPr>
          <w:p>
            <w:pPr>
              <w:spacing w:line="360" w:lineRule="auto"/>
              <w:ind w:firstLine="470" w:firstLineChars="196"/>
              <w:jc w:val="left"/>
              <w:outlineLvl w:val="1"/>
              <w:rPr>
                <w:rFonts w:hAnsi="宋体" w:cs="宋体"/>
                <w:color w:val="auto"/>
              </w:rPr>
            </w:pPr>
          </w:p>
        </w:tc>
        <w:tc>
          <w:tcPr>
            <w:tcW w:w="1758" w:type="dxa"/>
          </w:tcPr>
          <w:p>
            <w:pPr>
              <w:spacing w:line="360" w:lineRule="auto"/>
              <w:ind w:firstLine="470" w:firstLineChars="196"/>
              <w:jc w:val="left"/>
              <w:outlineLvl w:val="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uto"/>
              <w:ind w:firstLine="470" w:firstLineChars="196"/>
              <w:jc w:val="left"/>
              <w:outlineLvl w:val="1"/>
              <w:rPr>
                <w:rFonts w:hAnsi="宋体" w:cs="宋体"/>
                <w:color w:val="auto"/>
              </w:rPr>
            </w:pPr>
          </w:p>
        </w:tc>
        <w:tc>
          <w:tcPr>
            <w:tcW w:w="1522" w:type="dxa"/>
          </w:tcPr>
          <w:p>
            <w:pPr>
              <w:spacing w:line="360" w:lineRule="auto"/>
              <w:ind w:firstLine="470" w:firstLineChars="196"/>
              <w:jc w:val="left"/>
              <w:outlineLvl w:val="1"/>
              <w:rPr>
                <w:rFonts w:hAnsi="宋体" w:cs="宋体"/>
                <w:color w:val="auto"/>
              </w:rPr>
            </w:pPr>
          </w:p>
        </w:tc>
        <w:tc>
          <w:tcPr>
            <w:tcW w:w="1856" w:type="dxa"/>
          </w:tcPr>
          <w:p>
            <w:pPr>
              <w:spacing w:line="360" w:lineRule="auto"/>
              <w:ind w:firstLine="470" w:firstLineChars="196"/>
              <w:jc w:val="left"/>
              <w:outlineLvl w:val="1"/>
              <w:rPr>
                <w:rFonts w:hAnsi="宋体" w:cs="宋体"/>
                <w:color w:val="auto"/>
              </w:rPr>
            </w:pPr>
          </w:p>
        </w:tc>
        <w:tc>
          <w:tcPr>
            <w:tcW w:w="2294" w:type="dxa"/>
          </w:tcPr>
          <w:p>
            <w:pPr>
              <w:spacing w:line="360" w:lineRule="auto"/>
              <w:ind w:firstLine="470" w:firstLineChars="196"/>
              <w:jc w:val="left"/>
              <w:outlineLvl w:val="1"/>
              <w:rPr>
                <w:rFonts w:hAnsi="宋体" w:cs="宋体"/>
                <w:color w:val="auto"/>
              </w:rPr>
            </w:pPr>
          </w:p>
        </w:tc>
        <w:tc>
          <w:tcPr>
            <w:tcW w:w="1758" w:type="dxa"/>
          </w:tcPr>
          <w:p>
            <w:pPr>
              <w:spacing w:line="360" w:lineRule="auto"/>
              <w:ind w:firstLine="470" w:firstLineChars="196"/>
              <w:jc w:val="left"/>
              <w:outlineLvl w:val="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uto"/>
              <w:ind w:firstLine="470" w:firstLineChars="196"/>
              <w:jc w:val="left"/>
              <w:outlineLvl w:val="1"/>
              <w:rPr>
                <w:rFonts w:hAnsi="宋体" w:cs="宋体"/>
                <w:color w:val="auto"/>
              </w:rPr>
            </w:pPr>
          </w:p>
        </w:tc>
        <w:tc>
          <w:tcPr>
            <w:tcW w:w="1522" w:type="dxa"/>
          </w:tcPr>
          <w:p>
            <w:pPr>
              <w:spacing w:line="360" w:lineRule="auto"/>
              <w:ind w:firstLine="470" w:firstLineChars="196"/>
              <w:jc w:val="left"/>
              <w:outlineLvl w:val="1"/>
              <w:rPr>
                <w:rFonts w:hAnsi="宋体" w:cs="宋体"/>
                <w:color w:val="auto"/>
              </w:rPr>
            </w:pPr>
          </w:p>
        </w:tc>
        <w:tc>
          <w:tcPr>
            <w:tcW w:w="1856" w:type="dxa"/>
          </w:tcPr>
          <w:p>
            <w:pPr>
              <w:spacing w:line="360" w:lineRule="auto"/>
              <w:ind w:firstLine="470" w:firstLineChars="196"/>
              <w:jc w:val="left"/>
              <w:outlineLvl w:val="1"/>
              <w:rPr>
                <w:rFonts w:hAnsi="宋体" w:cs="宋体"/>
                <w:color w:val="auto"/>
              </w:rPr>
            </w:pPr>
          </w:p>
        </w:tc>
        <w:tc>
          <w:tcPr>
            <w:tcW w:w="2294" w:type="dxa"/>
          </w:tcPr>
          <w:p>
            <w:pPr>
              <w:spacing w:line="360" w:lineRule="auto"/>
              <w:ind w:firstLine="470" w:firstLineChars="196"/>
              <w:jc w:val="left"/>
              <w:outlineLvl w:val="1"/>
              <w:rPr>
                <w:rFonts w:hAnsi="宋体" w:cs="宋体"/>
                <w:color w:val="auto"/>
              </w:rPr>
            </w:pPr>
          </w:p>
        </w:tc>
        <w:tc>
          <w:tcPr>
            <w:tcW w:w="1758" w:type="dxa"/>
          </w:tcPr>
          <w:p>
            <w:pPr>
              <w:spacing w:line="360" w:lineRule="auto"/>
              <w:ind w:firstLine="470" w:firstLineChars="196"/>
              <w:jc w:val="left"/>
              <w:outlineLvl w:val="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uto"/>
              <w:ind w:firstLine="470" w:firstLineChars="196"/>
              <w:jc w:val="left"/>
              <w:outlineLvl w:val="1"/>
              <w:rPr>
                <w:rFonts w:hAnsi="宋体" w:cs="宋体"/>
                <w:color w:val="auto"/>
              </w:rPr>
            </w:pPr>
          </w:p>
        </w:tc>
        <w:tc>
          <w:tcPr>
            <w:tcW w:w="1522" w:type="dxa"/>
          </w:tcPr>
          <w:p>
            <w:pPr>
              <w:spacing w:line="360" w:lineRule="auto"/>
              <w:ind w:firstLine="470" w:firstLineChars="196"/>
              <w:jc w:val="left"/>
              <w:outlineLvl w:val="1"/>
              <w:rPr>
                <w:rFonts w:hAnsi="宋体" w:cs="宋体"/>
                <w:color w:val="auto"/>
              </w:rPr>
            </w:pPr>
          </w:p>
        </w:tc>
        <w:tc>
          <w:tcPr>
            <w:tcW w:w="1856" w:type="dxa"/>
          </w:tcPr>
          <w:p>
            <w:pPr>
              <w:spacing w:line="360" w:lineRule="auto"/>
              <w:ind w:firstLine="470" w:firstLineChars="196"/>
              <w:jc w:val="left"/>
              <w:outlineLvl w:val="1"/>
              <w:rPr>
                <w:rFonts w:hAnsi="宋体" w:cs="宋体"/>
                <w:color w:val="auto"/>
              </w:rPr>
            </w:pPr>
          </w:p>
        </w:tc>
        <w:tc>
          <w:tcPr>
            <w:tcW w:w="2294" w:type="dxa"/>
          </w:tcPr>
          <w:p>
            <w:pPr>
              <w:spacing w:line="360" w:lineRule="auto"/>
              <w:ind w:firstLine="470" w:firstLineChars="196"/>
              <w:jc w:val="left"/>
              <w:outlineLvl w:val="1"/>
              <w:rPr>
                <w:rFonts w:hAnsi="宋体" w:cs="宋体"/>
                <w:color w:val="auto"/>
              </w:rPr>
            </w:pPr>
          </w:p>
        </w:tc>
        <w:tc>
          <w:tcPr>
            <w:tcW w:w="1758" w:type="dxa"/>
          </w:tcPr>
          <w:p>
            <w:pPr>
              <w:spacing w:line="360" w:lineRule="auto"/>
              <w:ind w:firstLine="470" w:firstLineChars="196"/>
              <w:jc w:val="left"/>
              <w:outlineLvl w:val="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uto"/>
              <w:ind w:firstLine="470" w:firstLineChars="196"/>
              <w:jc w:val="left"/>
              <w:outlineLvl w:val="1"/>
              <w:rPr>
                <w:rFonts w:hAnsi="宋体" w:cs="宋体"/>
                <w:color w:val="auto"/>
              </w:rPr>
            </w:pPr>
          </w:p>
        </w:tc>
        <w:tc>
          <w:tcPr>
            <w:tcW w:w="1522" w:type="dxa"/>
          </w:tcPr>
          <w:p>
            <w:pPr>
              <w:spacing w:line="360" w:lineRule="auto"/>
              <w:ind w:firstLine="470" w:firstLineChars="196"/>
              <w:jc w:val="left"/>
              <w:outlineLvl w:val="1"/>
              <w:rPr>
                <w:rFonts w:hAnsi="宋体" w:cs="宋体"/>
                <w:color w:val="auto"/>
              </w:rPr>
            </w:pPr>
          </w:p>
        </w:tc>
        <w:tc>
          <w:tcPr>
            <w:tcW w:w="1856" w:type="dxa"/>
          </w:tcPr>
          <w:p>
            <w:pPr>
              <w:spacing w:line="360" w:lineRule="auto"/>
              <w:ind w:firstLine="470" w:firstLineChars="196"/>
              <w:jc w:val="left"/>
              <w:outlineLvl w:val="1"/>
              <w:rPr>
                <w:rFonts w:hAnsi="宋体" w:cs="宋体"/>
                <w:color w:val="auto"/>
              </w:rPr>
            </w:pPr>
          </w:p>
        </w:tc>
        <w:tc>
          <w:tcPr>
            <w:tcW w:w="2294" w:type="dxa"/>
          </w:tcPr>
          <w:p>
            <w:pPr>
              <w:spacing w:line="360" w:lineRule="auto"/>
              <w:ind w:firstLine="470" w:firstLineChars="196"/>
              <w:jc w:val="left"/>
              <w:outlineLvl w:val="1"/>
              <w:rPr>
                <w:rFonts w:hAnsi="宋体" w:cs="宋体"/>
                <w:color w:val="auto"/>
              </w:rPr>
            </w:pPr>
          </w:p>
        </w:tc>
        <w:tc>
          <w:tcPr>
            <w:tcW w:w="1758" w:type="dxa"/>
          </w:tcPr>
          <w:p>
            <w:pPr>
              <w:spacing w:line="360" w:lineRule="auto"/>
              <w:ind w:firstLine="470" w:firstLineChars="196"/>
              <w:jc w:val="left"/>
              <w:outlineLvl w:val="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uto"/>
              <w:ind w:firstLine="470" w:firstLineChars="196"/>
              <w:jc w:val="left"/>
              <w:outlineLvl w:val="1"/>
              <w:rPr>
                <w:rFonts w:hAnsi="宋体" w:cs="宋体"/>
                <w:color w:val="auto"/>
              </w:rPr>
            </w:pPr>
          </w:p>
        </w:tc>
        <w:tc>
          <w:tcPr>
            <w:tcW w:w="1522" w:type="dxa"/>
          </w:tcPr>
          <w:p>
            <w:pPr>
              <w:spacing w:line="360" w:lineRule="auto"/>
              <w:ind w:firstLine="470" w:firstLineChars="196"/>
              <w:jc w:val="left"/>
              <w:outlineLvl w:val="1"/>
              <w:rPr>
                <w:rFonts w:hAnsi="宋体" w:cs="宋体"/>
                <w:color w:val="auto"/>
              </w:rPr>
            </w:pPr>
          </w:p>
        </w:tc>
        <w:tc>
          <w:tcPr>
            <w:tcW w:w="1856" w:type="dxa"/>
          </w:tcPr>
          <w:p>
            <w:pPr>
              <w:spacing w:line="360" w:lineRule="auto"/>
              <w:ind w:firstLine="470" w:firstLineChars="196"/>
              <w:jc w:val="left"/>
              <w:outlineLvl w:val="1"/>
              <w:rPr>
                <w:rFonts w:hAnsi="宋体" w:cs="宋体"/>
                <w:color w:val="auto"/>
              </w:rPr>
            </w:pPr>
          </w:p>
        </w:tc>
        <w:tc>
          <w:tcPr>
            <w:tcW w:w="2294" w:type="dxa"/>
          </w:tcPr>
          <w:p>
            <w:pPr>
              <w:spacing w:line="360" w:lineRule="auto"/>
              <w:ind w:firstLine="470" w:firstLineChars="196"/>
              <w:jc w:val="left"/>
              <w:outlineLvl w:val="1"/>
              <w:rPr>
                <w:rFonts w:hAnsi="宋体" w:cs="宋体"/>
                <w:color w:val="auto"/>
              </w:rPr>
            </w:pPr>
          </w:p>
        </w:tc>
        <w:tc>
          <w:tcPr>
            <w:tcW w:w="1758" w:type="dxa"/>
          </w:tcPr>
          <w:p>
            <w:pPr>
              <w:spacing w:line="360" w:lineRule="auto"/>
              <w:ind w:firstLine="470" w:firstLineChars="196"/>
              <w:jc w:val="left"/>
              <w:outlineLvl w:val="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uto"/>
              <w:ind w:firstLine="470" w:firstLineChars="196"/>
              <w:jc w:val="left"/>
              <w:outlineLvl w:val="1"/>
              <w:rPr>
                <w:rFonts w:hAnsi="宋体" w:cs="宋体"/>
                <w:color w:val="auto"/>
              </w:rPr>
            </w:pPr>
          </w:p>
        </w:tc>
        <w:tc>
          <w:tcPr>
            <w:tcW w:w="1522" w:type="dxa"/>
          </w:tcPr>
          <w:p>
            <w:pPr>
              <w:spacing w:line="360" w:lineRule="auto"/>
              <w:ind w:firstLine="470" w:firstLineChars="196"/>
              <w:jc w:val="left"/>
              <w:outlineLvl w:val="1"/>
              <w:rPr>
                <w:rFonts w:hAnsi="宋体" w:cs="宋体"/>
                <w:color w:val="auto"/>
              </w:rPr>
            </w:pPr>
          </w:p>
        </w:tc>
        <w:tc>
          <w:tcPr>
            <w:tcW w:w="1856" w:type="dxa"/>
          </w:tcPr>
          <w:p>
            <w:pPr>
              <w:spacing w:line="360" w:lineRule="auto"/>
              <w:ind w:firstLine="470" w:firstLineChars="196"/>
              <w:jc w:val="left"/>
              <w:outlineLvl w:val="1"/>
              <w:rPr>
                <w:rFonts w:hAnsi="宋体" w:cs="宋体"/>
                <w:color w:val="auto"/>
              </w:rPr>
            </w:pPr>
          </w:p>
        </w:tc>
        <w:tc>
          <w:tcPr>
            <w:tcW w:w="2294" w:type="dxa"/>
          </w:tcPr>
          <w:p>
            <w:pPr>
              <w:spacing w:line="360" w:lineRule="auto"/>
              <w:ind w:firstLine="470" w:firstLineChars="196"/>
              <w:jc w:val="left"/>
              <w:outlineLvl w:val="1"/>
              <w:rPr>
                <w:rFonts w:hAnsi="宋体" w:cs="宋体"/>
                <w:color w:val="auto"/>
              </w:rPr>
            </w:pPr>
          </w:p>
        </w:tc>
        <w:tc>
          <w:tcPr>
            <w:tcW w:w="1758" w:type="dxa"/>
          </w:tcPr>
          <w:p>
            <w:pPr>
              <w:spacing w:line="360" w:lineRule="auto"/>
              <w:ind w:firstLine="470" w:firstLineChars="196"/>
              <w:jc w:val="left"/>
              <w:outlineLvl w:val="1"/>
              <w:rPr>
                <w:rFonts w:hAnsi="宋体" w:cs="宋体"/>
                <w:color w:val="auto"/>
              </w:rPr>
            </w:pPr>
          </w:p>
        </w:tc>
      </w:tr>
    </w:tbl>
    <w:p>
      <w:pPr>
        <w:spacing w:line="360" w:lineRule="auto"/>
        <w:ind w:firstLine="470" w:firstLineChars="196"/>
        <w:jc w:val="left"/>
        <w:outlineLvl w:val="1"/>
        <w:rPr>
          <w:rFonts w:hAnsi="宋体" w:cs="宋体"/>
          <w:color w:val="auto"/>
        </w:rPr>
      </w:pPr>
    </w:p>
    <w:p>
      <w:pPr>
        <w:spacing w:line="360" w:lineRule="auto"/>
        <w:ind w:firstLine="480" w:firstLineChars="200"/>
        <w:rPr>
          <w:rFonts w:hAnsi="宋体" w:cs="宋体"/>
          <w:color w:val="auto"/>
        </w:rPr>
      </w:pPr>
      <w:r>
        <w:rPr>
          <w:rFonts w:hint="eastAsia" w:hAnsi="宋体" w:cs="宋体"/>
          <w:color w:val="auto"/>
        </w:rPr>
        <w:t>注1. 供应商必须把招标项目的所有产品的主要技术参数列入此表。</w:t>
      </w:r>
    </w:p>
    <w:p>
      <w:pPr>
        <w:spacing w:line="360" w:lineRule="auto"/>
        <w:ind w:firstLine="840" w:firstLineChars="350"/>
        <w:rPr>
          <w:rFonts w:hAnsi="宋体" w:cs="宋体"/>
          <w:color w:val="auto"/>
        </w:rPr>
      </w:pPr>
      <w:r>
        <w:rPr>
          <w:rFonts w:hint="eastAsia" w:hAnsi="宋体" w:cs="宋体"/>
          <w:color w:val="auto"/>
        </w:rPr>
        <w:t>2．按照招标项目技术要求的顺序对应填写。</w:t>
      </w:r>
    </w:p>
    <w:p>
      <w:pPr>
        <w:adjustRightInd w:val="0"/>
        <w:spacing w:line="360" w:lineRule="auto"/>
        <w:ind w:firstLine="420" w:firstLineChars="175"/>
        <w:jc w:val="left"/>
        <w:rPr>
          <w:rFonts w:hAnsi="宋体" w:cs="宋体"/>
          <w:color w:val="auto"/>
        </w:rPr>
      </w:pPr>
      <w:r>
        <w:rPr>
          <w:rFonts w:hint="eastAsia" w:hAnsi="宋体" w:cs="宋体"/>
          <w:color w:val="auto"/>
        </w:rPr>
        <w:t>3.按照响应的技术参数尽可能的提供证明材料复印件予以作证。</w:t>
      </w:r>
    </w:p>
    <w:p>
      <w:pPr>
        <w:spacing w:line="360" w:lineRule="auto"/>
        <w:ind w:firstLine="470" w:firstLineChars="196"/>
        <w:jc w:val="left"/>
        <w:outlineLvl w:val="1"/>
        <w:rPr>
          <w:rFonts w:hAnsi="宋体" w:cs="宋体"/>
          <w:color w:val="auto"/>
        </w:rPr>
      </w:pPr>
    </w:p>
    <w:p>
      <w:pPr>
        <w:spacing w:line="360" w:lineRule="auto"/>
        <w:ind w:firstLine="470" w:firstLineChars="196"/>
        <w:jc w:val="left"/>
        <w:outlineLvl w:val="1"/>
        <w:rPr>
          <w:rFonts w:hAnsi="宋体" w:cs="宋体"/>
          <w:color w:val="auto"/>
        </w:rPr>
      </w:pPr>
    </w:p>
    <w:p>
      <w:pPr>
        <w:spacing w:line="360" w:lineRule="auto"/>
        <w:ind w:firstLine="470" w:firstLineChars="196"/>
        <w:jc w:val="left"/>
        <w:outlineLvl w:val="1"/>
        <w:rPr>
          <w:rFonts w:hAnsi="宋体" w:cs="宋体"/>
          <w:color w:val="auto"/>
        </w:rPr>
      </w:pPr>
    </w:p>
    <w:p>
      <w:pPr>
        <w:spacing w:line="360" w:lineRule="auto"/>
        <w:ind w:firstLine="470" w:firstLineChars="196"/>
        <w:jc w:val="left"/>
        <w:outlineLvl w:val="1"/>
        <w:rPr>
          <w:rFonts w:hAnsi="宋体" w:cs="宋体"/>
          <w:color w:val="auto"/>
        </w:rPr>
      </w:pPr>
    </w:p>
    <w:p>
      <w:pPr>
        <w:spacing w:line="360" w:lineRule="auto"/>
        <w:ind w:firstLine="470" w:firstLineChars="196"/>
        <w:jc w:val="left"/>
        <w:outlineLvl w:val="1"/>
        <w:rPr>
          <w:rFonts w:hAnsi="宋体" w:cs="宋体"/>
          <w:color w:val="auto"/>
        </w:rPr>
      </w:pPr>
    </w:p>
    <w:p>
      <w:pPr>
        <w:spacing w:line="360" w:lineRule="auto"/>
        <w:ind w:firstLine="470" w:firstLineChars="196"/>
        <w:jc w:val="left"/>
        <w:outlineLvl w:val="1"/>
        <w:rPr>
          <w:rFonts w:hAnsi="宋体" w:cs="宋体"/>
          <w:color w:val="auto"/>
        </w:rPr>
      </w:pPr>
      <w:r>
        <w:rPr>
          <w:rFonts w:hint="eastAsia" w:hAnsi="宋体" w:cs="宋体"/>
          <w:color w:val="auto"/>
        </w:rPr>
        <w:t>投标人名称：（盖公章）</w:t>
      </w:r>
    </w:p>
    <w:p>
      <w:pPr>
        <w:spacing w:line="360" w:lineRule="auto"/>
        <w:ind w:firstLine="470" w:firstLineChars="196"/>
        <w:jc w:val="left"/>
        <w:outlineLvl w:val="1"/>
        <w:rPr>
          <w:rFonts w:hAnsi="宋体" w:cs="宋体"/>
          <w:color w:val="auto"/>
        </w:rPr>
      </w:pPr>
      <w:r>
        <w:rPr>
          <w:rFonts w:hint="eastAsia" w:hAnsi="宋体" w:cs="宋体"/>
          <w:color w:val="auto"/>
        </w:rPr>
        <w:t>法定代表人或委托代理人（签字或盖章）：</w:t>
      </w:r>
    </w:p>
    <w:p>
      <w:pPr>
        <w:spacing w:line="360" w:lineRule="auto"/>
        <w:ind w:firstLine="470" w:firstLineChars="196"/>
        <w:jc w:val="left"/>
        <w:outlineLvl w:val="1"/>
        <w:rPr>
          <w:rFonts w:hAnsi="宋体" w:cs="宋体"/>
          <w:color w:val="auto"/>
        </w:rPr>
      </w:pPr>
      <w:r>
        <w:rPr>
          <w:rFonts w:hint="eastAsia" w:hAnsi="宋体" w:cs="宋体"/>
          <w:color w:val="auto"/>
        </w:rPr>
        <w:t xml:space="preserve">日期:    </w:t>
      </w:r>
    </w:p>
    <w:p>
      <w:pPr>
        <w:spacing w:line="360" w:lineRule="auto"/>
        <w:ind w:firstLine="470" w:firstLineChars="196"/>
        <w:jc w:val="left"/>
        <w:outlineLvl w:val="1"/>
        <w:rPr>
          <w:rFonts w:hAnsi="宋体" w:cs="宋体"/>
          <w:color w:val="auto"/>
        </w:rPr>
      </w:pPr>
    </w:p>
    <w:p>
      <w:pPr>
        <w:spacing w:line="360" w:lineRule="auto"/>
        <w:rPr>
          <w:rFonts w:hAnsi="宋体" w:cs="宋体"/>
          <w:b/>
          <w:color w:val="auto"/>
          <w:sz w:val="32"/>
          <w:szCs w:val="32"/>
        </w:rPr>
      </w:pPr>
      <w:bookmarkStart w:id="205" w:name="_Toc217446091"/>
      <w:r>
        <w:rPr>
          <w:rFonts w:hint="eastAsia" w:hAnsi="宋体" w:cs="宋体"/>
          <w:b/>
          <w:color w:val="auto"/>
          <w:sz w:val="32"/>
          <w:szCs w:val="32"/>
        </w:rPr>
        <w:br w:type="page"/>
      </w:r>
      <w:r>
        <w:rPr>
          <w:rFonts w:hint="eastAsia" w:hAnsi="宋体" w:cs="宋体"/>
          <w:b/>
          <w:color w:val="auto"/>
          <w:sz w:val="32"/>
          <w:szCs w:val="32"/>
        </w:rPr>
        <w:t>格式2-10</w:t>
      </w:r>
    </w:p>
    <w:p>
      <w:pPr>
        <w:spacing w:line="360" w:lineRule="auto"/>
        <w:jc w:val="center"/>
        <w:outlineLvl w:val="1"/>
        <w:rPr>
          <w:rFonts w:hAnsi="宋体" w:cs="宋体"/>
          <w:b/>
          <w:color w:val="auto"/>
          <w:sz w:val="32"/>
          <w:szCs w:val="32"/>
        </w:rPr>
      </w:pPr>
      <w:r>
        <w:rPr>
          <w:rFonts w:hint="eastAsia" w:hAnsi="宋体" w:cs="宋体"/>
          <w:b/>
          <w:color w:val="auto"/>
          <w:sz w:val="32"/>
          <w:szCs w:val="32"/>
        </w:rPr>
        <w:t>九、投标人本项目管理、技术、服务人员情况表</w:t>
      </w:r>
      <w:bookmarkEnd w:id="205"/>
    </w:p>
    <w:p>
      <w:pPr>
        <w:spacing w:line="360" w:lineRule="auto"/>
        <w:ind w:firstLine="472" w:firstLineChars="196"/>
        <w:jc w:val="left"/>
        <w:outlineLvl w:val="1"/>
        <w:rPr>
          <w:rFonts w:hAnsi="宋体" w:cs="宋体"/>
          <w:b/>
          <w:color w:val="auto"/>
        </w:rPr>
      </w:pPr>
    </w:p>
    <w:p>
      <w:pPr>
        <w:spacing w:line="360" w:lineRule="auto"/>
        <w:rPr>
          <w:rFonts w:hAnsi="宋体" w:cs="宋体"/>
          <w:bCs/>
          <w:color w:val="auto"/>
        </w:rPr>
      </w:pPr>
      <w:r>
        <w:rPr>
          <w:rFonts w:hint="eastAsia" w:hAnsi="宋体" w:cs="宋体"/>
          <w:color w:val="auto"/>
        </w:rPr>
        <w:t>招标编号</w:t>
      </w:r>
      <w:r>
        <w:rPr>
          <w:rFonts w:hint="eastAsia" w:hAnsi="宋体" w:cs="宋体"/>
          <w:bCs/>
          <w:color w:val="auto"/>
        </w:rPr>
        <w:t>：</w:t>
      </w:r>
    </w:p>
    <w:tbl>
      <w:tblPr>
        <w:tblStyle w:val="32"/>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1521"/>
        <w:gridCol w:w="1276"/>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Align w:val="center"/>
          </w:tcPr>
          <w:p>
            <w:pPr>
              <w:spacing w:line="360" w:lineRule="auto"/>
              <w:rPr>
                <w:rFonts w:hAnsi="宋体" w:cs="宋体"/>
                <w:color w:val="auto"/>
                <w:sz w:val="21"/>
                <w:szCs w:val="21"/>
              </w:rPr>
            </w:pPr>
            <w:r>
              <w:rPr>
                <w:rFonts w:hint="eastAsia" w:hAnsi="宋体" w:cs="宋体"/>
                <w:color w:val="auto"/>
                <w:sz w:val="21"/>
                <w:szCs w:val="21"/>
              </w:rPr>
              <w:t>类别</w:t>
            </w:r>
          </w:p>
        </w:tc>
        <w:tc>
          <w:tcPr>
            <w:tcW w:w="821" w:type="dxa"/>
            <w:vAlign w:val="center"/>
          </w:tcPr>
          <w:p>
            <w:pPr>
              <w:spacing w:line="360" w:lineRule="auto"/>
              <w:rPr>
                <w:rFonts w:hAnsi="宋体" w:cs="宋体"/>
                <w:color w:val="auto"/>
                <w:sz w:val="21"/>
                <w:szCs w:val="21"/>
              </w:rPr>
            </w:pPr>
            <w:r>
              <w:rPr>
                <w:rFonts w:hint="eastAsia" w:hAnsi="宋体" w:cs="宋体"/>
                <w:color w:val="auto"/>
                <w:sz w:val="21"/>
                <w:szCs w:val="21"/>
              </w:rPr>
              <w:t>职务</w:t>
            </w:r>
          </w:p>
        </w:tc>
        <w:tc>
          <w:tcPr>
            <w:tcW w:w="821" w:type="dxa"/>
            <w:vAlign w:val="center"/>
          </w:tcPr>
          <w:p>
            <w:pPr>
              <w:spacing w:line="360" w:lineRule="auto"/>
              <w:rPr>
                <w:rFonts w:hAnsi="宋体" w:cs="宋体"/>
                <w:color w:val="auto"/>
                <w:sz w:val="21"/>
                <w:szCs w:val="21"/>
              </w:rPr>
            </w:pPr>
            <w:r>
              <w:rPr>
                <w:rFonts w:hint="eastAsia" w:hAnsi="宋体" w:cs="宋体"/>
                <w:color w:val="auto"/>
                <w:sz w:val="21"/>
                <w:szCs w:val="21"/>
              </w:rPr>
              <w:t>姓名</w:t>
            </w:r>
          </w:p>
        </w:tc>
        <w:tc>
          <w:tcPr>
            <w:tcW w:w="1521" w:type="dxa"/>
            <w:vAlign w:val="center"/>
          </w:tcPr>
          <w:p>
            <w:pPr>
              <w:spacing w:line="360" w:lineRule="auto"/>
              <w:rPr>
                <w:rFonts w:hAnsi="宋体" w:cs="宋体"/>
                <w:color w:val="auto"/>
                <w:sz w:val="21"/>
                <w:szCs w:val="21"/>
              </w:rPr>
            </w:pPr>
            <w:r>
              <w:rPr>
                <w:rFonts w:hint="eastAsia" w:hAnsi="宋体" w:cs="宋体"/>
                <w:color w:val="auto"/>
                <w:sz w:val="21"/>
                <w:szCs w:val="21"/>
              </w:rPr>
              <w:t>身份证号码</w:t>
            </w:r>
          </w:p>
        </w:tc>
        <w:tc>
          <w:tcPr>
            <w:tcW w:w="1276" w:type="dxa"/>
            <w:vAlign w:val="center"/>
          </w:tcPr>
          <w:p>
            <w:pPr>
              <w:spacing w:line="360" w:lineRule="auto"/>
              <w:rPr>
                <w:rFonts w:hAnsi="宋体" w:cs="宋体"/>
                <w:color w:val="auto"/>
                <w:sz w:val="21"/>
                <w:szCs w:val="21"/>
              </w:rPr>
            </w:pPr>
            <w:r>
              <w:rPr>
                <w:rFonts w:hint="eastAsia" w:hAnsi="宋体" w:cs="宋体"/>
                <w:color w:val="auto"/>
                <w:sz w:val="21"/>
                <w:szCs w:val="21"/>
              </w:rPr>
              <w:t>联系方式</w:t>
            </w:r>
          </w:p>
        </w:tc>
        <w:tc>
          <w:tcPr>
            <w:tcW w:w="2928" w:type="dxa"/>
            <w:vAlign w:val="center"/>
          </w:tcPr>
          <w:p>
            <w:pPr>
              <w:spacing w:line="360" w:lineRule="auto"/>
              <w:ind w:firstLine="735" w:firstLineChars="350"/>
              <w:rPr>
                <w:rFonts w:hAnsi="宋体" w:cs="宋体"/>
                <w:color w:val="auto"/>
                <w:sz w:val="21"/>
                <w:szCs w:val="21"/>
              </w:rPr>
            </w:pPr>
            <w:bookmarkStart w:id="206" w:name="OLE_LINK11"/>
            <w:r>
              <w:rPr>
                <w:rFonts w:hint="eastAsia" w:hAnsi="宋体" w:cs="宋体"/>
                <w:color w:val="auto"/>
                <w:sz w:val="21"/>
                <w:szCs w:val="21"/>
              </w:rPr>
              <w:t>技术职称</w:t>
            </w:r>
            <w:bookmarkEnd w:id="2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58" w:type="dxa"/>
            <w:vMerge w:val="restart"/>
            <w:vAlign w:val="center"/>
          </w:tcPr>
          <w:p>
            <w:pPr>
              <w:spacing w:line="360" w:lineRule="auto"/>
              <w:jc w:val="center"/>
              <w:rPr>
                <w:rFonts w:hAnsi="宋体" w:cs="宋体"/>
                <w:color w:val="auto"/>
                <w:sz w:val="21"/>
                <w:szCs w:val="21"/>
              </w:rPr>
            </w:pPr>
            <w:r>
              <w:rPr>
                <w:rFonts w:hint="eastAsia" w:hAnsi="宋体" w:cs="宋体"/>
                <w:color w:val="auto"/>
                <w:sz w:val="21"/>
                <w:szCs w:val="21"/>
              </w:rPr>
              <w:t>管</w:t>
            </w:r>
          </w:p>
          <w:p>
            <w:pPr>
              <w:spacing w:line="360" w:lineRule="auto"/>
              <w:jc w:val="center"/>
              <w:rPr>
                <w:rFonts w:hAnsi="宋体" w:cs="宋体"/>
                <w:color w:val="auto"/>
                <w:sz w:val="21"/>
                <w:szCs w:val="21"/>
              </w:rPr>
            </w:pPr>
            <w:r>
              <w:rPr>
                <w:rFonts w:hint="eastAsia" w:hAnsi="宋体" w:cs="宋体"/>
                <w:color w:val="auto"/>
                <w:sz w:val="21"/>
                <w:szCs w:val="21"/>
              </w:rPr>
              <w:t>理</w:t>
            </w:r>
          </w:p>
          <w:p>
            <w:pPr>
              <w:spacing w:line="360" w:lineRule="auto"/>
              <w:jc w:val="center"/>
              <w:rPr>
                <w:rFonts w:hAnsi="宋体" w:cs="宋体"/>
                <w:color w:val="auto"/>
                <w:sz w:val="21"/>
                <w:szCs w:val="21"/>
              </w:rPr>
            </w:pPr>
            <w:r>
              <w:rPr>
                <w:rFonts w:hint="eastAsia" w:hAnsi="宋体" w:cs="宋体"/>
                <w:color w:val="auto"/>
                <w:sz w:val="21"/>
                <w:szCs w:val="21"/>
              </w:rPr>
              <w:t>人</w:t>
            </w:r>
          </w:p>
          <w:p>
            <w:pPr>
              <w:spacing w:line="360" w:lineRule="auto"/>
              <w:jc w:val="center"/>
              <w:rPr>
                <w:rFonts w:hAnsi="宋体" w:cs="宋体"/>
                <w:color w:val="auto"/>
                <w:sz w:val="21"/>
                <w:szCs w:val="21"/>
              </w:rPr>
            </w:pPr>
            <w:r>
              <w:rPr>
                <w:rFonts w:hint="eastAsia" w:hAnsi="宋体" w:cs="宋体"/>
                <w:color w:val="auto"/>
                <w:sz w:val="21"/>
                <w:szCs w:val="21"/>
              </w:rPr>
              <w:t>员</w:t>
            </w:r>
          </w:p>
        </w:tc>
        <w:tc>
          <w:tcPr>
            <w:tcW w:w="821" w:type="dxa"/>
            <w:vAlign w:val="center"/>
          </w:tcPr>
          <w:p>
            <w:pPr>
              <w:spacing w:line="360" w:lineRule="auto"/>
              <w:rPr>
                <w:rFonts w:hAnsi="宋体" w:cs="宋体"/>
                <w:color w:val="auto"/>
                <w:sz w:val="21"/>
                <w:szCs w:val="21"/>
              </w:rPr>
            </w:pPr>
            <w:r>
              <w:rPr>
                <w:rFonts w:hint="eastAsia" w:hAnsi="宋体" w:cs="宋体"/>
                <w:color w:val="auto"/>
                <w:sz w:val="21"/>
                <w:szCs w:val="21"/>
              </w:rPr>
              <w:t>....</w:t>
            </w:r>
          </w:p>
        </w:tc>
        <w:tc>
          <w:tcPr>
            <w:tcW w:w="821" w:type="dxa"/>
            <w:vAlign w:val="center"/>
          </w:tcPr>
          <w:p>
            <w:pPr>
              <w:spacing w:line="360" w:lineRule="auto"/>
              <w:rPr>
                <w:rFonts w:hAnsi="宋体" w:cs="宋体"/>
                <w:color w:val="auto"/>
                <w:sz w:val="21"/>
                <w:szCs w:val="21"/>
              </w:rPr>
            </w:pPr>
          </w:p>
        </w:tc>
        <w:tc>
          <w:tcPr>
            <w:tcW w:w="1521" w:type="dxa"/>
            <w:vAlign w:val="center"/>
          </w:tcPr>
          <w:p>
            <w:pPr>
              <w:spacing w:line="360" w:lineRule="auto"/>
              <w:rPr>
                <w:rFonts w:hAnsi="宋体" w:cs="宋体"/>
                <w:color w:val="auto"/>
                <w:sz w:val="21"/>
                <w:szCs w:val="21"/>
              </w:rPr>
            </w:pPr>
          </w:p>
        </w:tc>
        <w:tc>
          <w:tcPr>
            <w:tcW w:w="1276" w:type="dxa"/>
            <w:vAlign w:val="center"/>
          </w:tcPr>
          <w:p>
            <w:pPr>
              <w:spacing w:line="360" w:lineRule="auto"/>
              <w:rPr>
                <w:rFonts w:hAnsi="宋体" w:cs="宋体"/>
                <w:color w:val="auto"/>
                <w:sz w:val="21"/>
                <w:szCs w:val="21"/>
              </w:rPr>
            </w:pPr>
          </w:p>
        </w:tc>
        <w:tc>
          <w:tcPr>
            <w:tcW w:w="2928" w:type="dxa"/>
            <w:vAlign w:val="center"/>
          </w:tcPr>
          <w:p>
            <w:pPr>
              <w:spacing w:line="360" w:lineRule="auto"/>
              <w:rPr>
                <w:rFonts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958" w:type="dxa"/>
            <w:vMerge w:val="continue"/>
            <w:vAlign w:val="center"/>
          </w:tcPr>
          <w:p>
            <w:pPr>
              <w:spacing w:line="360" w:lineRule="auto"/>
              <w:jc w:val="center"/>
              <w:rPr>
                <w:rFonts w:hAnsi="宋体" w:cs="宋体"/>
                <w:color w:val="auto"/>
                <w:sz w:val="21"/>
                <w:szCs w:val="21"/>
              </w:rPr>
            </w:pPr>
          </w:p>
        </w:tc>
        <w:tc>
          <w:tcPr>
            <w:tcW w:w="821" w:type="dxa"/>
            <w:vAlign w:val="center"/>
          </w:tcPr>
          <w:p>
            <w:pPr>
              <w:spacing w:line="360" w:lineRule="auto"/>
              <w:rPr>
                <w:rFonts w:hAnsi="宋体" w:cs="宋体"/>
                <w:color w:val="auto"/>
                <w:sz w:val="21"/>
                <w:szCs w:val="21"/>
              </w:rPr>
            </w:pPr>
          </w:p>
        </w:tc>
        <w:tc>
          <w:tcPr>
            <w:tcW w:w="821" w:type="dxa"/>
            <w:vAlign w:val="center"/>
          </w:tcPr>
          <w:p>
            <w:pPr>
              <w:spacing w:line="360" w:lineRule="auto"/>
              <w:rPr>
                <w:rFonts w:hAnsi="宋体" w:cs="宋体"/>
                <w:color w:val="auto"/>
                <w:sz w:val="21"/>
                <w:szCs w:val="21"/>
              </w:rPr>
            </w:pPr>
          </w:p>
        </w:tc>
        <w:tc>
          <w:tcPr>
            <w:tcW w:w="1521" w:type="dxa"/>
            <w:vAlign w:val="center"/>
          </w:tcPr>
          <w:p>
            <w:pPr>
              <w:spacing w:line="360" w:lineRule="auto"/>
              <w:rPr>
                <w:rFonts w:hAnsi="宋体" w:cs="宋体"/>
                <w:color w:val="auto"/>
                <w:sz w:val="21"/>
                <w:szCs w:val="21"/>
              </w:rPr>
            </w:pPr>
          </w:p>
        </w:tc>
        <w:tc>
          <w:tcPr>
            <w:tcW w:w="1276" w:type="dxa"/>
            <w:vAlign w:val="center"/>
          </w:tcPr>
          <w:p>
            <w:pPr>
              <w:spacing w:line="360" w:lineRule="auto"/>
              <w:rPr>
                <w:rFonts w:hAnsi="宋体" w:cs="宋体"/>
                <w:color w:val="auto"/>
                <w:sz w:val="21"/>
                <w:szCs w:val="21"/>
              </w:rPr>
            </w:pPr>
          </w:p>
        </w:tc>
        <w:tc>
          <w:tcPr>
            <w:tcW w:w="2928" w:type="dxa"/>
            <w:vAlign w:val="center"/>
          </w:tcPr>
          <w:p>
            <w:pPr>
              <w:spacing w:line="360" w:lineRule="auto"/>
              <w:rPr>
                <w:rFonts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958" w:type="dxa"/>
            <w:vMerge w:val="continue"/>
            <w:vAlign w:val="center"/>
          </w:tcPr>
          <w:p>
            <w:pPr>
              <w:spacing w:line="360" w:lineRule="auto"/>
              <w:jc w:val="center"/>
              <w:rPr>
                <w:rFonts w:hAnsi="宋体" w:cs="宋体"/>
                <w:color w:val="auto"/>
                <w:sz w:val="21"/>
                <w:szCs w:val="21"/>
              </w:rPr>
            </w:pPr>
          </w:p>
        </w:tc>
        <w:tc>
          <w:tcPr>
            <w:tcW w:w="821" w:type="dxa"/>
            <w:vAlign w:val="center"/>
          </w:tcPr>
          <w:p>
            <w:pPr>
              <w:spacing w:line="360" w:lineRule="auto"/>
              <w:rPr>
                <w:rFonts w:hAnsi="宋体" w:cs="宋体"/>
                <w:color w:val="auto"/>
                <w:sz w:val="21"/>
                <w:szCs w:val="21"/>
              </w:rPr>
            </w:pPr>
          </w:p>
        </w:tc>
        <w:tc>
          <w:tcPr>
            <w:tcW w:w="821" w:type="dxa"/>
            <w:vAlign w:val="center"/>
          </w:tcPr>
          <w:p>
            <w:pPr>
              <w:spacing w:line="360" w:lineRule="auto"/>
              <w:rPr>
                <w:rFonts w:hAnsi="宋体" w:cs="宋体"/>
                <w:color w:val="auto"/>
                <w:sz w:val="21"/>
                <w:szCs w:val="21"/>
              </w:rPr>
            </w:pPr>
          </w:p>
        </w:tc>
        <w:tc>
          <w:tcPr>
            <w:tcW w:w="1521" w:type="dxa"/>
            <w:vAlign w:val="center"/>
          </w:tcPr>
          <w:p>
            <w:pPr>
              <w:spacing w:line="360" w:lineRule="auto"/>
              <w:rPr>
                <w:rFonts w:hAnsi="宋体" w:cs="宋体"/>
                <w:color w:val="auto"/>
                <w:sz w:val="21"/>
                <w:szCs w:val="21"/>
              </w:rPr>
            </w:pPr>
          </w:p>
        </w:tc>
        <w:tc>
          <w:tcPr>
            <w:tcW w:w="1276" w:type="dxa"/>
            <w:vAlign w:val="center"/>
          </w:tcPr>
          <w:p>
            <w:pPr>
              <w:spacing w:line="360" w:lineRule="auto"/>
              <w:rPr>
                <w:rFonts w:hAnsi="宋体" w:cs="宋体"/>
                <w:color w:val="auto"/>
                <w:sz w:val="21"/>
                <w:szCs w:val="21"/>
              </w:rPr>
            </w:pPr>
          </w:p>
        </w:tc>
        <w:tc>
          <w:tcPr>
            <w:tcW w:w="2928" w:type="dxa"/>
            <w:vAlign w:val="center"/>
          </w:tcPr>
          <w:p>
            <w:pPr>
              <w:spacing w:line="360" w:lineRule="auto"/>
              <w:rPr>
                <w:rFonts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958" w:type="dxa"/>
            <w:vMerge w:val="restart"/>
            <w:vAlign w:val="center"/>
          </w:tcPr>
          <w:p>
            <w:pPr>
              <w:spacing w:line="360" w:lineRule="auto"/>
              <w:jc w:val="center"/>
              <w:rPr>
                <w:rFonts w:hAnsi="宋体" w:cs="宋体"/>
                <w:color w:val="auto"/>
                <w:sz w:val="21"/>
                <w:szCs w:val="21"/>
              </w:rPr>
            </w:pPr>
            <w:r>
              <w:rPr>
                <w:rFonts w:hint="eastAsia" w:hAnsi="宋体" w:cs="宋体"/>
                <w:color w:val="auto"/>
                <w:sz w:val="21"/>
                <w:szCs w:val="21"/>
              </w:rPr>
              <w:t>技</w:t>
            </w:r>
          </w:p>
          <w:p>
            <w:pPr>
              <w:spacing w:line="360" w:lineRule="auto"/>
              <w:jc w:val="center"/>
              <w:rPr>
                <w:rFonts w:hAnsi="宋体" w:cs="宋体"/>
                <w:color w:val="auto"/>
                <w:sz w:val="21"/>
                <w:szCs w:val="21"/>
              </w:rPr>
            </w:pPr>
            <w:r>
              <w:rPr>
                <w:rFonts w:hint="eastAsia" w:hAnsi="宋体" w:cs="宋体"/>
                <w:color w:val="auto"/>
                <w:sz w:val="21"/>
                <w:szCs w:val="21"/>
              </w:rPr>
              <w:t>术</w:t>
            </w:r>
          </w:p>
          <w:p>
            <w:pPr>
              <w:spacing w:line="360" w:lineRule="auto"/>
              <w:jc w:val="center"/>
              <w:rPr>
                <w:rFonts w:hAnsi="宋体" w:cs="宋体"/>
                <w:color w:val="auto"/>
                <w:sz w:val="21"/>
                <w:szCs w:val="21"/>
              </w:rPr>
            </w:pPr>
            <w:r>
              <w:rPr>
                <w:rFonts w:hint="eastAsia" w:hAnsi="宋体" w:cs="宋体"/>
                <w:color w:val="auto"/>
                <w:sz w:val="21"/>
                <w:szCs w:val="21"/>
              </w:rPr>
              <w:t>人</w:t>
            </w:r>
          </w:p>
          <w:p>
            <w:pPr>
              <w:spacing w:line="360" w:lineRule="auto"/>
              <w:jc w:val="center"/>
              <w:rPr>
                <w:rFonts w:hAnsi="宋体" w:cs="宋体"/>
                <w:color w:val="auto"/>
                <w:sz w:val="21"/>
                <w:szCs w:val="21"/>
              </w:rPr>
            </w:pPr>
            <w:r>
              <w:rPr>
                <w:rFonts w:hint="eastAsia" w:hAnsi="宋体" w:cs="宋体"/>
                <w:color w:val="auto"/>
                <w:sz w:val="21"/>
                <w:szCs w:val="21"/>
              </w:rPr>
              <w:t>员</w:t>
            </w:r>
          </w:p>
        </w:tc>
        <w:tc>
          <w:tcPr>
            <w:tcW w:w="821" w:type="dxa"/>
            <w:vAlign w:val="center"/>
          </w:tcPr>
          <w:p>
            <w:pPr>
              <w:spacing w:line="360" w:lineRule="auto"/>
              <w:rPr>
                <w:rFonts w:hAnsi="宋体" w:cs="宋体"/>
                <w:color w:val="auto"/>
                <w:sz w:val="21"/>
                <w:szCs w:val="21"/>
              </w:rPr>
            </w:pPr>
            <w:r>
              <w:rPr>
                <w:rFonts w:hint="eastAsia" w:hAnsi="宋体" w:cs="宋体"/>
                <w:color w:val="auto"/>
                <w:sz w:val="21"/>
                <w:szCs w:val="21"/>
              </w:rPr>
              <w:t>.....</w:t>
            </w:r>
          </w:p>
        </w:tc>
        <w:tc>
          <w:tcPr>
            <w:tcW w:w="821" w:type="dxa"/>
            <w:vAlign w:val="center"/>
          </w:tcPr>
          <w:p>
            <w:pPr>
              <w:spacing w:line="360" w:lineRule="auto"/>
              <w:rPr>
                <w:rFonts w:hAnsi="宋体" w:cs="宋体"/>
                <w:color w:val="auto"/>
                <w:sz w:val="21"/>
                <w:szCs w:val="21"/>
              </w:rPr>
            </w:pPr>
          </w:p>
        </w:tc>
        <w:tc>
          <w:tcPr>
            <w:tcW w:w="1521" w:type="dxa"/>
            <w:vAlign w:val="center"/>
          </w:tcPr>
          <w:p>
            <w:pPr>
              <w:spacing w:line="360" w:lineRule="auto"/>
              <w:rPr>
                <w:rFonts w:hAnsi="宋体" w:cs="宋体"/>
                <w:color w:val="auto"/>
                <w:sz w:val="21"/>
                <w:szCs w:val="21"/>
              </w:rPr>
            </w:pPr>
          </w:p>
        </w:tc>
        <w:tc>
          <w:tcPr>
            <w:tcW w:w="1276" w:type="dxa"/>
            <w:vAlign w:val="center"/>
          </w:tcPr>
          <w:p>
            <w:pPr>
              <w:spacing w:line="360" w:lineRule="auto"/>
              <w:rPr>
                <w:rFonts w:hAnsi="宋体" w:cs="宋体"/>
                <w:color w:val="auto"/>
                <w:sz w:val="21"/>
                <w:szCs w:val="21"/>
              </w:rPr>
            </w:pPr>
          </w:p>
        </w:tc>
        <w:tc>
          <w:tcPr>
            <w:tcW w:w="2928" w:type="dxa"/>
            <w:vAlign w:val="center"/>
          </w:tcPr>
          <w:p>
            <w:pPr>
              <w:spacing w:line="360" w:lineRule="auto"/>
              <w:rPr>
                <w:rFonts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958" w:type="dxa"/>
            <w:vMerge w:val="continue"/>
            <w:vAlign w:val="center"/>
          </w:tcPr>
          <w:p>
            <w:pPr>
              <w:spacing w:line="360" w:lineRule="auto"/>
              <w:jc w:val="center"/>
              <w:rPr>
                <w:rFonts w:hAnsi="宋体" w:cs="宋体"/>
                <w:color w:val="auto"/>
                <w:sz w:val="21"/>
                <w:szCs w:val="21"/>
              </w:rPr>
            </w:pPr>
          </w:p>
        </w:tc>
        <w:tc>
          <w:tcPr>
            <w:tcW w:w="821" w:type="dxa"/>
            <w:vAlign w:val="center"/>
          </w:tcPr>
          <w:p>
            <w:pPr>
              <w:spacing w:line="360" w:lineRule="auto"/>
              <w:rPr>
                <w:rFonts w:hAnsi="宋体" w:cs="宋体"/>
                <w:color w:val="auto"/>
                <w:sz w:val="21"/>
                <w:szCs w:val="21"/>
              </w:rPr>
            </w:pPr>
          </w:p>
        </w:tc>
        <w:tc>
          <w:tcPr>
            <w:tcW w:w="821" w:type="dxa"/>
            <w:vAlign w:val="center"/>
          </w:tcPr>
          <w:p>
            <w:pPr>
              <w:spacing w:line="360" w:lineRule="auto"/>
              <w:rPr>
                <w:rFonts w:hAnsi="宋体" w:cs="宋体"/>
                <w:color w:val="auto"/>
                <w:sz w:val="21"/>
                <w:szCs w:val="21"/>
              </w:rPr>
            </w:pPr>
          </w:p>
        </w:tc>
        <w:tc>
          <w:tcPr>
            <w:tcW w:w="1521" w:type="dxa"/>
            <w:vAlign w:val="center"/>
          </w:tcPr>
          <w:p>
            <w:pPr>
              <w:spacing w:line="360" w:lineRule="auto"/>
              <w:rPr>
                <w:rFonts w:hAnsi="宋体" w:cs="宋体"/>
                <w:color w:val="auto"/>
                <w:sz w:val="21"/>
                <w:szCs w:val="21"/>
              </w:rPr>
            </w:pPr>
          </w:p>
        </w:tc>
        <w:tc>
          <w:tcPr>
            <w:tcW w:w="1276" w:type="dxa"/>
            <w:vAlign w:val="center"/>
          </w:tcPr>
          <w:p>
            <w:pPr>
              <w:spacing w:line="360" w:lineRule="auto"/>
              <w:rPr>
                <w:rFonts w:hAnsi="宋体" w:cs="宋体"/>
                <w:color w:val="auto"/>
                <w:sz w:val="21"/>
                <w:szCs w:val="21"/>
              </w:rPr>
            </w:pPr>
          </w:p>
        </w:tc>
        <w:tc>
          <w:tcPr>
            <w:tcW w:w="2928" w:type="dxa"/>
            <w:vAlign w:val="center"/>
          </w:tcPr>
          <w:p>
            <w:pPr>
              <w:spacing w:line="360" w:lineRule="auto"/>
              <w:rPr>
                <w:rFonts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958" w:type="dxa"/>
            <w:vMerge w:val="continue"/>
            <w:vAlign w:val="center"/>
          </w:tcPr>
          <w:p>
            <w:pPr>
              <w:spacing w:line="360" w:lineRule="auto"/>
              <w:jc w:val="center"/>
              <w:rPr>
                <w:rFonts w:hAnsi="宋体" w:cs="宋体"/>
                <w:color w:val="auto"/>
                <w:sz w:val="21"/>
                <w:szCs w:val="21"/>
              </w:rPr>
            </w:pPr>
          </w:p>
        </w:tc>
        <w:tc>
          <w:tcPr>
            <w:tcW w:w="821" w:type="dxa"/>
            <w:vAlign w:val="center"/>
          </w:tcPr>
          <w:p>
            <w:pPr>
              <w:spacing w:line="360" w:lineRule="auto"/>
              <w:rPr>
                <w:rFonts w:hAnsi="宋体" w:cs="宋体"/>
                <w:color w:val="auto"/>
                <w:sz w:val="21"/>
                <w:szCs w:val="21"/>
              </w:rPr>
            </w:pPr>
          </w:p>
        </w:tc>
        <w:tc>
          <w:tcPr>
            <w:tcW w:w="821" w:type="dxa"/>
            <w:vAlign w:val="center"/>
          </w:tcPr>
          <w:p>
            <w:pPr>
              <w:spacing w:line="360" w:lineRule="auto"/>
              <w:rPr>
                <w:rFonts w:hAnsi="宋体" w:cs="宋体"/>
                <w:color w:val="auto"/>
                <w:sz w:val="21"/>
                <w:szCs w:val="21"/>
              </w:rPr>
            </w:pPr>
          </w:p>
        </w:tc>
        <w:tc>
          <w:tcPr>
            <w:tcW w:w="1521" w:type="dxa"/>
            <w:vAlign w:val="center"/>
          </w:tcPr>
          <w:p>
            <w:pPr>
              <w:spacing w:line="360" w:lineRule="auto"/>
              <w:rPr>
                <w:rFonts w:hAnsi="宋体" w:cs="宋体"/>
                <w:color w:val="auto"/>
                <w:sz w:val="21"/>
                <w:szCs w:val="21"/>
              </w:rPr>
            </w:pPr>
          </w:p>
        </w:tc>
        <w:tc>
          <w:tcPr>
            <w:tcW w:w="1276" w:type="dxa"/>
            <w:vAlign w:val="center"/>
          </w:tcPr>
          <w:p>
            <w:pPr>
              <w:spacing w:line="360" w:lineRule="auto"/>
              <w:rPr>
                <w:rFonts w:hAnsi="宋体" w:cs="宋体"/>
                <w:color w:val="auto"/>
                <w:sz w:val="21"/>
                <w:szCs w:val="21"/>
              </w:rPr>
            </w:pPr>
          </w:p>
        </w:tc>
        <w:tc>
          <w:tcPr>
            <w:tcW w:w="2928" w:type="dxa"/>
            <w:vAlign w:val="center"/>
          </w:tcPr>
          <w:p>
            <w:pPr>
              <w:spacing w:line="360" w:lineRule="auto"/>
              <w:rPr>
                <w:rFonts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958" w:type="dxa"/>
            <w:vMerge w:val="restart"/>
            <w:vAlign w:val="center"/>
          </w:tcPr>
          <w:p>
            <w:pPr>
              <w:spacing w:line="360" w:lineRule="auto"/>
              <w:jc w:val="center"/>
              <w:rPr>
                <w:rFonts w:hAnsi="宋体" w:cs="宋体"/>
                <w:color w:val="auto"/>
                <w:sz w:val="21"/>
                <w:szCs w:val="21"/>
              </w:rPr>
            </w:pPr>
            <w:r>
              <w:rPr>
                <w:rFonts w:hint="eastAsia" w:hAnsi="宋体" w:cs="宋体"/>
                <w:color w:val="auto"/>
                <w:sz w:val="21"/>
                <w:szCs w:val="21"/>
              </w:rPr>
              <w:t>售后</w:t>
            </w:r>
          </w:p>
          <w:p>
            <w:pPr>
              <w:spacing w:line="360" w:lineRule="auto"/>
              <w:jc w:val="center"/>
              <w:rPr>
                <w:rFonts w:hAnsi="宋体" w:cs="宋体"/>
                <w:color w:val="auto"/>
                <w:sz w:val="21"/>
                <w:szCs w:val="21"/>
              </w:rPr>
            </w:pPr>
            <w:r>
              <w:rPr>
                <w:rFonts w:hint="eastAsia" w:hAnsi="宋体" w:cs="宋体"/>
                <w:color w:val="auto"/>
                <w:sz w:val="21"/>
                <w:szCs w:val="21"/>
              </w:rPr>
              <w:t>服务</w:t>
            </w:r>
          </w:p>
          <w:p>
            <w:pPr>
              <w:spacing w:line="360" w:lineRule="auto"/>
              <w:jc w:val="center"/>
              <w:rPr>
                <w:rFonts w:hAnsi="宋体" w:cs="宋体"/>
                <w:color w:val="auto"/>
                <w:sz w:val="21"/>
                <w:szCs w:val="21"/>
              </w:rPr>
            </w:pPr>
            <w:r>
              <w:rPr>
                <w:rFonts w:hint="eastAsia" w:hAnsi="宋体" w:cs="宋体"/>
                <w:color w:val="auto"/>
                <w:sz w:val="21"/>
                <w:szCs w:val="21"/>
              </w:rPr>
              <w:t>人员</w:t>
            </w:r>
          </w:p>
        </w:tc>
        <w:tc>
          <w:tcPr>
            <w:tcW w:w="821" w:type="dxa"/>
            <w:vAlign w:val="center"/>
          </w:tcPr>
          <w:p>
            <w:pPr>
              <w:spacing w:line="360" w:lineRule="auto"/>
              <w:rPr>
                <w:rFonts w:hAnsi="宋体" w:cs="宋体"/>
                <w:color w:val="auto"/>
                <w:sz w:val="21"/>
                <w:szCs w:val="21"/>
              </w:rPr>
            </w:pPr>
            <w:r>
              <w:rPr>
                <w:rFonts w:hint="eastAsia" w:hAnsi="宋体" w:cs="宋体"/>
                <w:color w:val="auto"/>
                <w:sz w:val="21"/>
                <w:szCs w:val="21"/>
              </w:rPr>
              <w:t>.....</w:t>
            </w:r>
          </w:p>
        </w:tc>
        <w:tc>
          <w:tcPr>
            <w:tcW w:w="821" w:type="dxa"/>
            <w:vAlign w:val="center"/>
          </w:tcPr>
          <w:p>
            <w:pPr>
              <w:spacing w:line="360" w:lineRule="auto"/>
              <w:rPr>
                <w:rFonts w:hAnsi="宋体" w:cs="宋体"/>
                <w:color w:val="auto"/>
                <w:sz w:val="21"/>
                <w:szCs w:val="21"/>
              </w:rPr>
            </w:pPr>
          </w:p>
        </w:tc>
        <w:tc>
          <w:tcPr>
            <w:tcW w:w="1521" w:type="dxa"/>
            <w:vAlign w:val="center"/>
          </w:tcPr>
          <w:p>
            <w:pPr>
              <w:spacing w:line="360" w:lineRule="auto"/>
              <w:rPr>
                <w:rFonts w:hAnsi="宋体" w:cs="宋体"/>
                <w:color w:val="auto"/>
                <w:sz w:val="21"/>
                <w:szCs w:val="21"/>
              </w:rPr>
            </w:pPr>
          </w:p>
        </w:tc>
        <w:tc>
          <w:tcPr>
            <w:tcW w:w="1276" w:type="dxa"/>
            <w:vAlign w:val="center"/>
          </w:tcPr>
          <w:p>
            <w:pPr>
              <w:spacing w:line="360" w:lineRule="auto"/>
              <w:rPr>
                <w:rFonts w:hAnsi="宋体" w:cs="宋体"/>
                <w:color w:val="auto"/>
                <w:sz w:val="21"/>
                <w:szCs w:val="21"/>
              </w:rPr>
            </w:pPr>
          </w:p>
        </w:tc>
        <w:tc>
          <w:tcPr>
            <w:tcW w:w="2928" w:type="dxa"/>
            <w:vAlign w:val="center"/>
          </w:tcPr>
          <w:p>
            <w:pPr>
              <w:spacing w:line="360" w:lineRule="auto"/>
              <w:rPr>
                <w:rFonts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958" w:type="dxa"/>
            <w:vMerge w:val="continue"/>
            <w:vAlign w:val="center"/>
          </w:tcPr>
          <w:p>
            <w:pPr>
              <w:spacing w:line="360" w:lineRule="auto"/>
              <w:rPr>
                <w:rFonts w:hAnsi="宋体" w:cs="宋体"/>
                <w:color w:val="auto"/>
                <w:sz w:val="21"/>
                <w:szCs w:val="21"/>
              </w:rPr>
            </w:pPr>
          </w:p>
        </w:tc>
        <w:tc>
          <w:tcPr>
            <w:tcW w:w="821" w:type="dxa"/>
            <w:vAlign w:val="center"/>
          </w:tcPr>
          <w:p>
            <w:pPr>
              <w:spacing w:line="360" w:lineRule="auto"/>
              <w:rPr>
                <w:rFonts w:hAnsi="宋体" w:cs="宋体"/>
                <w:color w:val="auto"/>
                <w:sz w:val="21"/>
                <w:szCs w:val="21"/>
              </w:rPr>
            </w:pPr>
          </w:p>
        </w:tc>
        <w:tc>
          <w:tcPr>
            <w:tcW w:w="821" w:type="dxa"/>
            <w:vAlign w:val="center"/>
          </w:tcPr>
          <w:p>
            <w:pPr>
              <w:spacing w:line="360" w:lineRule="auto"/>
              <w:rPr>
                <w:rFonts w:hAnsi="宋体" w:cs="宋体"/>
                <w:b/>
                <w:bCs/>
                <w:color w:val="auto"/>
                <w:sz w:val="21"/>
                <w:szCs w:val="21"/>
              </w:rPr>
            </w:pPr>
          </w:p>
        </w:tc>
        <w:tc>
          <w:tcPr>
            <w:tcW w:w="1521" w:type="dxa"/>
            <w:vAlign w:val="center"/>
          </w:tcPr>
          <w:p>
            <w:pPr>
              <w:spacing w:line="360" w:lineRule="auto"/>
              <w:rPr>
                <w:rFonts w:hAnsi="宋体" w:cs="宋体"/>
                <w:b/>
                <w:bCs/>
                <w:color w:val="auto"/>
                <w:sz w:val="21"/>
                <w:szCs w:val="21"/>
              </w:rPr>
            </w:pPr>
          </w:p>
        </w:tc>
        <w:tc>
          <w:tcPr>
            <w:tcW w:w="1276" w:type="dxa"/>
            <w:vAlign w:val="center"/>
          </w:tcPr>
          <w:p>
            <w:pPr>
              <w:spacing w:line="360" w:lineRule="auto"/>
              <w:rPr>
                <w:rFonts w:hAnsi="宋体" w:cs="宋体"/>
                <w:b/>
                <w:bCs/>
                <w:color w:val="auto"/>
                <w:sz w:val="21"/>
                <w:szCs w:val="21"/>
              </w:rPr>
            </w:pPr>
          </w:p>
        </w:tc>
        <w:tc>
          <w:tcPr>
            <w:tcW w:w="2928" w:type="dxa"/>
            <w:vAlign w:val="center"/>
          </w:tcPr>
          <w:p>
            <w:pPr>
              <w:spacing w:line="360" w:lineRule="auto"/>
              <w:rPr>
                <w:rFonts w:hAnsi="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958" w:type="dxa"/>
            <w:vMerge w:val="continue"/>
            <w:vAlign w:val="center"/>
          </w:tcPr>
          <w:p>
            <w:pPr>
              <w:spacing w:line="360" w:lineRule="auto"/>
              <w:rPr>
                <w:rFonts w:hAnsi="宋体" w:cs="宋体"/>
                <w:color w:val="auto"/>
                <w:sz w:val="21"/>
                <w:szCs w:val="21"/>
              </w:rPr>
            </w:pPr>
          </w:p>
        </w:tc>
        <w:tc>
          <w:tcPr>
            <w:tcW w:w="821" w:type="dxa"/>
            <w:vAlign w:val="center"/>
          </w:tcPr>
          <w:p>
            <w:pPr>
              <w:spacing w:line="360" w:lineRule="auto"/>
              <w:rPr>
                <w:rFonts w:hAnsi="宋体" w:cs="宋体"/>
                <w:color w:val="auto"/>
                <w:sz w:val="21"/>
                <w:szCs w:val="21"/>
              </w:rPr>
            </w:pPr>
          </w:p>
        </w:tc>
        <w:tc>
          <w:tcPr>
            <w:tcW w:w="821" w:type="dxa"/>
            <w:vAlign w:val="center"/>
          </w:tcPr>
          <w:p>
            <w:pPr>
              <w:spacing w:line="360" w:lineRule="auto"/>
              <w:rPr>
                <w:rFonts w:hAnsi="宋体" w:cs="宋体"/>
                <w:b/>
                <w:bCs/>
                <w:color w:val="auto"/>
                <w:sz w:val="21"/>
                <w:szCs w:val="21"/>
              </w:rPr>
            </w:pPr>
          </w:p>
        </w:tc>
        <w:tc>
          <w:tcPr>
            <w:tcW w:w="1521" w:type="dxa"/>
            <w:vAlign w:val="center"/>
          </w:tcPr>
          <w:p>
            <w:pPr>
              <w:spacing w:line="360" w:lineRule="auto"/>
              <w:rPr>
                <w:rFonts w:hAnsi="宋体" w:cs="宋体"/>
                <w:b/>
                <w:bCs/>
                <w:color w:val="auto"/>
                <w:sz w:val="21"/>
                <w:szCs w:val="21"/>
              </w:rPr>
            </w:pPr>
          </w:p>
        </w:tc>
        <w:tc>
          <w:tcPr>
            <w:tcW w:w="1276" w:type="dxa"/>
            <w:vAlign w:val="center"/>
          </w:tcPr>
          <w:p>
            <w:pPr>
              <w:spacing w:line="360" w:lineRule="auto"/>
              <w:rPr>
                <w:rFonts w:hAnsi="宋体" w:cs="宋体"/>
                <w:b/>
                <w:bCs/>
                <w:color w:val="auto"/>
                <w:sz w:val="21"/>
                <w:szCs w:val="21"/>
              </w:rPr>
            </w:pPr>
          </w:p>
        </w:tc>
        <w:tc>
          <w:tcPr>
            <w:tcW w:w="2928" w:type="dxa"/>
            <w:vAlign w:val="center"/>
          </w:tcPr>
          <w:p>
            <w:pPr>
              <w:spacing w:line="360" w:lineRule="auto"/>
              <w:rPr>
                <w:rFonts w:hAnsi="宋体" w:cs="宋体"/>
                <w:b/>
                <w:bCs/>
                <w:color w:val="auto"/>
                <w:sz w:val="21"/>
                <w:szCs w:val="21"/>
              </w:rPr>
            </w:pPr>
          </w:p>
        </w:tc>
      </w:tr>
    </w:tbl>
    <w:p>
      <w:pPr>
        <w:spacing w:line="360" w:lineRule="auto"/>
        <w:ind w:firstLine="470" w:firstLineChars="196"/>
        <w:jc w:val="left"/>
        <w:outlineLvl w:val="1"/>
        <w:rPr>
          <w:rFonts w:hAnsi="宋体" w:cs="宋体"/>
          <w:color w:val="auto"/>
        </w:rPr>
      </w:pPr>
      <w:r>
        <w:rPr>
          <w:rFonts w:hint="eastAsia" w:hAnsi="宋体" w:cs="宋体"/>
          <w:color w:val="auto"/>
        </w:rPr>
        <w:t>注：1.投标人应按招标文件要求提供为本案服务及售后工作人员相关证明材料，便于评标委员会予以综合评定。</w:t>
      </w:r>
    </w:p>
    <w:p>
      <w:pPr>
        <w:spacing w:line="360" w:lineRule="auto"/>
        <w:ind w:firstLine="470" w:firstLineChars="196"/>
        <w:jc w:val="left"/>
        <w:outlineLvl w:val="1"/>
        <w:rPr>
          <w:rFonts w:hAnsi="宋体" w:cs="宋体"/>
          <w:color w:val="auto"/>
        </w:rPr>
      </w:pPr>
      <w:r>
        <w:rPr>
          <w:rFonts w:hint="eastAsia" w:hAnsi="宋体" w:cs="宋体"/>
          <w:color w:val="auto"/>
        </w:rPr>
        <w:t>2．投标供应商自行承担因资料不齐而导致在评分时被扣分的风险。</w:t>
      </w:r>
    </w:p>
    <w:p>
      <w:pPr>
        <w:spacing w:line="360" w:lineRule="auto"/>
        <w:jc w:val="left"/>
        <w:outlineLvl w:val="1"/>
        <w:rPr>
          <w:rFonts w:hAnsi="宋体" w:cs="宋体"/>
          <w:color w:val="auto"/>
        </w:rPr>
      </w:pPr>
    </w:p>
    <w:p>
      <w:pPr>
        <w:spacing w:line="360" w:lineRule="auto"/>
        <w:ind w:firstLine="470" w:firstLineChars="196"/>
        <w:jc w:val="left"/>
        <w:outlineLvl w:val="1"/>
        <w:rPr>
          <w:rFonts w:hAnsi="宋体" w:cs="宋体"/>
          <w:color w:val="auto"/>
        </w:rPr>
      </w:pPr>
      <w:r>
        <w:rPr>
          <w:rFonts w:hint="eastAsia" w:hAnsi="宋体" w:cs="宋体"/>
          <w:color w:val="auto"/>
        </w:rPr>
        <w:t>投标人名称：（盖公章）</w:t>
      </w:r>
    </w:p>
    <w:p>
      <w:pPr>
        <w:spacing w:line="360" w:lineRule="auto"/>
        <w:ind w:firstLine="470" w:firstLineChars="196"/>
        <w:jc w:val="left"/>
        <w:outlineLvl w:val="1"/>
        <w:rPr>
          <w:rFonts w:hAnsi="宋体" w:cs="宋体"/>
          <w:color w:val="auto"/>
        </w:rPr>
      </w:pPr>
      <w:r>
        <w:rPr>
          <w:rFonts w:hint="eastAsia" w:hAnsi="宋体" w:cs="宋体"/>
          <w:color w:val="auto"/>
        </w:rPr>
        <w:t>法定代表人或委托代理人（签字或盖章）：</w:t>
      </w:r>
    </w:p>
    <w:p>
      <w:pPr>
        <w:spacing w:line="360" w:lineRule="auto"/>
        <w:ind w:firstLine="470" w:firstLineChars="196"/>
        <w:jc w:val="left"/>
        <w:outlineLvl w:val="1"/>
        <w:rPr>
          <w:rFonts w:hAnsi="宋体" w:cs="宋体"/>
          <w:color w:val="auto"/>
        </w:rPr>
      </w:pPr>
      <w:r>
        <w:rPr>
          <w:rFonts w:hint="eastAsia" w:hAnsi="宋体" w:cs="宋体"/>
          <w:color w:val="auto"/>
        </w:rPr>
        <w:t xml:space="preserve">日期:  </w:t>
      </w:r>
    </w:p>
    <w:p>
      <w:pPr>
        <w:spacing w:line="360" w:lineRule="auto"/>
        <w:ind w:firstLine="472" w:firstLineChars="196"/>
        <w:jc w:val="left"/>
        <w:outlineLvl w:val="1"/>
        <w:rPr>
          <w:rFonts w:hAnsi="宋体" w:cs="宋体"/>
          <w:b/>
          <w:color w:val="auto"/>
        </w:rPr>
      </w:pPr>
    </w:p>
    <w:p>
      <w:pPr>
        <w:spacing w:line="360" w:lineRule="auto"/>
        <w:rPr>
          <w:rFonts w:hAnsi="宋体" w:cs="宋体"/>
          <w:b/>
          <w:color w:val="auto"/>
          <w:sz w:val="44"/>
        </w:rPr>
      </w:pPr>
      <w:r>
        <w:rPr>
          <w:rFonts w:hint="eastAsia" w:hAnsi="宋体" w:cs="宋体"/>
          <w:b/>
          <w:color w:val="auto"/>
        </w:rPr>
        <w:br w:type="page"/>
      </w:r>
      <w:r>
        <w:rPr>
          <w:rFonts w:hint="eastAsia" w:hAnsi="宋体" w:cs="宋体"/>
          <w:b/>
          <w:color w:val="auto"/>
          <w:sz w:val="44"/>
        </w:rPr>
        <w:t>第四章投标人和投标产品的资格、资</w:t>
      </w:r>
      <w:bookmarkEnd w:id="195"/>
      <w:bookmarkStart w:id="207" w:name="_Toc20574"/>
      <w:r>
        <w:rPr>
          <w:rFonts w:hint="eastAsia" w:hAnsi="宋体" w:cs="宋体"/>
          <w:b/>
          <w:color w:val="auto"/>
          <w:sz w:val="44"/>
        </w:rPr>
        <w:t>质性及其他类似效力要求</w:t>
      </w:r>
      <w:bookmarkEnd w:id="196"/>
      <w:bookmarkEnd w:id="197"/>
      <w:bookmarkEnd w:id="207"/>
      <w:bookmarkStart w:id="208" w:name="_Toc18837"/>
      <w:bookmarkStart w:id="209" w:name="_Toc28648"/>
    </w:p>
    <w:p>
      <w:pPr>
        <w:spacing w:line="360" w:lineRule="auto"/>
        <w:outlineLvl w:val="0"/>
        <w:rPr>
          <w:rFonts w:hAnsi="宋体" w:cs="宋体"/>
          <w:color w:val="auto"/>
        </w:rPr>
      </w:pPr>
      <w:r>
        <w:rPr>
          <w:rFonts w:hint="eastAsia" w:hAnsi="宋体" w:cs="宋体"/>
          <w:color w:val="auto"/>
          <w:sz w:val="28"/>
          <w:szCs w:val="28"/>
        </w:rPr>
        <w:t>资格要求：</w:t>
      </w:r>
      <w:bookmarkEnd w:id="208"/>
      <w:bookmarkEnd w:id="209"/>
    </w:p>
    <w:tbl>
      <w:tblPr>
        <w:tblStyle w:val="32"/>
        <w:tblW w:w="948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13"/>
        <w:gridCol w:w="5299"/>
        <w:gridCol w:w="336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3" w:type="dxa"/>
            <w:vAlign w:val="center"/>
          </w:tcPr>
          <w:p>
            <w:pPr>
              <w:snapToGrid w:val="0"/>
              <w:spacing w:line="360" w:lineRule="auto"/>
              <w:jc w:val="center"/>
              <w:rPr>
                <w:rFonts w:hAnsi="宋体" w:cs="宋体"/>
                <w:b/>
                <w:color w:val="auto"/>
              </w:rPr>
            </w:pPr>
            <w:r>
              <w:rPr>
                <w:rFonts w:hint="eastAsia" w:hAnsi="宋体" w:cs="宋体"/>
                <w:b/>
                <w:color w:val="auto"/>
              </w:rPr>
              <w:t>序号</w:t>
            </w:r>
          </w:p>
        </w:tc>
        <w:tc>
          <w:tcPr>
            <w:tcW w:w="5299" w:type="dxa"/>
            <w:vAlign w:val="center"/>
          </w:tcPr>
          <w:p>
            <w:pPr>
              <w:snapToGrid w:val="0"/>
              <w:spacing w:line="360" w:lineRule="auto"/>
              <w:jc w:val="center"/>
              <w:rPr>
                <w:rFonts w:hAnsi="宋体" w:cs="宋体"/>
                <w:b/>
                <w:color w:val="auto"/>
              </w:rPr>
            </w:pPr>
            <w:r>
              <w:rPr>
                <w:rFonts w:hint="eastAsia" w:hAnsi="宋体" w:cs="宋体"/>
                <w:b/>
                <w:color w:val="auto"/>
              </w:rPr>
              <w:t>项目</w:t>
            </w:r>
          </w:p>
        </w:tc>
        <w:tc>
          <w:tcPr>
            <w:tcW w:w="3368" w:type="dxa"/>
            <w:vAlign w:val="center"/>
          </w:tcPr>
          <w:p>
            <w:pPr>
              <w:snapToGrid w:val="0"/>
              <w:spacing w:line="360" w:lineRule="auto"/>
              <w:jc w:val="center"/>
              <w:rPr>
                <w:rFonts w:hAnsi="宋体" w:cs="宋体"/>
                <w:b/>
                <w:color w:val="auto"/>
              </w:rPr>
            </w:pPr>
            <w:r>
              <w:rPr>
                <w:rFonts w:hint="eastAsia" w:hAnsi="宋体" w:cs="宋体"/>
                <w:b/>
                <w:color w:val="auto"/>
              </w:rPr>
              <w:t>合格条件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13" w:type="dxa"/>
            <w:vAlign w:val="center"/>
          </w:tcPr>
          <w:p>
            <w:pPr>
              <w:snapToGrid w:val="0"/>
              <w:spacing w:line="360" w:lineRule="auto"/>
              <w:jc w:val="center"/>
              <w:rPr>
                <w:rFonts w:hAnsi="宋体" w:cs="宋体"/>
                <w:color w:val="auto"/>
              </w:rPr>
            </w:pPr>
            <w:r>
              <w:rPr>
                <w:rFonts w:hint="eastAsia" w:hAnsi="宋体" w:cs="宋体"/>
                <w:color w:val="auto"/>
              </w:rPr>
              <w:t>1</w:t>
            </w:r>
          </w:p>
        </w:tc>
        <w:tc>
          <w:tcPr>
            <w:tcW w:w="5299" w:type="dxa"/>
            <w:vAlign w:val="center"/>
          </w:tcPr>
          <w:p>
            <w:pPr>
              <w:spacing w:line="360" w:lineRule="auto"/>
              <w:rPr>
                <w:rFonts w:hAnsi="宋体" w:cs="宋体"/>
                <w:color w:val="auto"/>
              </w:rPr>
            </w:pPr>
          </w:p>
          <w:p>
            <w:pPr>
              <w:spacing w:line="360" w:lineRule="auto"/>
              <w:rPr>
                <w:rFonts w:hAnsi="宋体" w:cs="宋体"/>
                <w:color w:val="auto"/>
              </w:rPr>
            </w:pPr>
            <w:r>
              <w:rPr>
                <w:rFonts w:hint="eastAsia" w:hAnsi="宋体" w:cs="宋体"/>
                <w:color w:val="auto"/>
              </w:rPr>
              <w:t>具备《中华人民共和国政府采购法》第二十二条规定的条件；</w:t>
            </w:r>
          </w:p>
          <w:p>
            <w:pPr>
              <w:kinsoku w:val="0"/>
              <w:spacing w:line="360" w:lineRule="auto"/>
              <w:rPr>
                <w:rFonts w:hAnsi="宋体" w:cs="宋体"/>
                <w:color w:val="auto"/>
              </w:rPr>
            </w:pPr>
          </w:p>
        </w:tc>
        <w:tc>
          <w:tcPr>
            <w:tcW w:w="3368" w:type="dxa"/>
            <w:vAlign w:val="center"/>
          </w:tcPr>
          <w:p>
            <w:pPr>
              <w:snapToGrid w:val="0"/>
              <w:spacing w:line="360" w:lineRule="auto"/>
              <w:jc w:val="left"/>
              <w:rPr>
                <w:rFonts w:hAnsi="宋体" w:cs="宋体"/>
                <w:color w:val="auto"/>
              </w:rPr>
            </w:pPr>
          </w:p>
          <w:p>
            <w:pPr>
              <w:snapToGrid w:val="0"/>
              <w:spacing w:line="360" w:lineRule="auto"/>
              <w:jc w:val="left"/>
              <w:rPr>
                <w:rFonts w:hAnsi="宋体" w:cs="宋体"/>
                <w:color w:val="auto"/>
              </w:rPr>
            </w:pPr>
            <w:r>
              <w:rPr>
                <w:rFonts w:hint="eastAsia" w:hAnsi="宋体" w:cs="宋体"/>
                <w:color w:val="auto"/>
              </w:rPr>
              <w:t>1、根据资格性文件承诺函格式（1-3）提供签字盖章原件（放入资格投标文件正本中）；</w:t>
            </w:r>
          </w:p>
          <w:p>
            <w:pPr>
              <w:snapToGrid w:val="0"/>
              <w:spacing w:line="360" w:lineRule="auto"/>
              <w:jc w:val="left"/>
              <w:rPr>
                <w:rFonts w:hAnsi="宋体" w:cs="宋体"/>
                <w:color w:val="auto"/>
              </w:rPr>
            </w:pPr>
            <w:r>
              <w:rPr>
                <w:rFonts w:hint="eastAsia" w:hAnsi="宋体" w:cs="宋体"/>
                <w:color w:val="auto"/>
              </w:rPr>
              <w:t>2、具备健全的财务会计制度的证明材料；｛注：①可提供2019年度或2020年度经审计的财务报告复印件，②也可提供2019年度或2020年度供应商内部的财务报表复印件，③也可提供截至投标文件递交截止日六个月内银行出具的资信证明（复印件），④供应商注册时间截至投标文件递交截止日不足一年的，也可提供加盖工商备案主管部门印章的公司章程复印件。｝</w:t>
            </w:r>
          </w:p>
          <w:p>
            <w:pPr>
              <w:snapToGrid w:val="0"/>
              <w:spacing w:line="360" w:lineRule="auto"/>
              <w:jc w:val="left"/>
              <w:rPr>
                <w:rFonts w:hAnsi="宋体" w:cs="宋体"/>
                <w:color w:val="auto"/>
              </w:rPr>
            </w:pPr>
            <w:r>
              <w:rPr>
                <w:rFonts w:hint="eastAsia" w:hAnsi="宋体" w:cs="宋体"/>
                <w:color w:val="auto"/>
              </w:rPr>
              <w:t>3、社会保障资金缴纳证明：提供2021年01月01日至今已缴存的任一月份的社会保障资金缴存单据或社保机构开具的社会保险参保缴费情况证明，依法不需要缴纳社会保障资金的供应商应提供相关文件证明；</w:t>
            </w:r>
          </w:p>
          <w:p>
            <w:pPr>
              <w:snapToGrid w:val="0"/>
              <w:spacing w:line="360" w:lineRule="auto"/>
              <w:jc w:val="left"/>
              <w:rPr>
                <w:rFonts w:hAnsi="宋体" w:cs="宋体"/>
                <w:color w:val="auto"/>
              </w:rPr>
            </w:pPr>
            <w:r>
              <w:rPr>
                <w:rFonts w:hint="eastAsia" w:hAnsi="宋体" w:cs="宋体"/>
                <w:color w:val="auto"/>
              </w:rPr>
              <w:t xml:space="preserve">4、税收缴纳证明：提供2021年01月01日至今已缴纳的至少一个月的纳税证明或完税证明，依法免税的单位应提供相关证明材料； </w:t>
            </w:r>
          </w:p>
          <w:p>
            <w:pPr>
              <w:snapToGrid w:val="0"/>
              <w:spacing w:line="360" w:lineRule="auto"/>
              <w:jc w:val="left"/>
              <w:rPr>
                <w:rFonts w:hAnsi="宋体" w:cs="宋体"/>
                <w:color w:val="auto"/>
              </w:rPr>
            </w:pPr>
            <w:r>
              <w:rPr>
                <w:rFonts w:hint="eastAsia" w:hAnsi="宋体" w:cs="宋体"/>
                <w:color w:val="auto"/>
              </w:rPr>
              <w:t>注：以上2-4项提供相关材料复印件加盖公章（放入资格投标文件正本中）；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13" w:type="dxa"/>
            <w:vAlign w:val="center"/>
          </w:tcPr>
          <w:p>
            <w:pPr>
              <w:snapToGrid w:val="0"/>
              <w:spacing w:line="360" w:lineRule="auto"/>
              <w:jc w:val="center"/>
              <w:rPr>
                <w:rFonts w:hAnsi="宋体" w:cs="宋体"/>
                <w:color w:val="auto"/>
              </w:rPr>
            </w:pPr>
            <w:r>
              <w:rPr>
                <w:rFonts w:hint="eastAsia" w:hAnsi="宋体" w:cs="宋体"/>
                <w:color w:val="auto"/>
              </w:rPr>
              <w:t>2</w:t>
            </w:r>
          </w:p>
        </w:tc>
        <w:tc>
          <w:tcPr>
            <w:tcW w:w="5299" w:type="dxa"/>
            <w:vAlign w:val="center"/>
          </w:tcPr>
          <w:p>
            <w:pPr>
              <w:snapToGrid w:val="0"/>
              <w:spacing w:line="360" w:lineRule="auto"/>
              <w:jc w:val="left"/>
              <w:rPr>
                <w:rFonts w:hAnsi="宋体" w:cs="宋体"/>
                <w:bCs/>
                <w:color w:val="auto"/>
              </w:rPr>
            </w:pPr>
            <w:r>
              <w:t>具有独立承担民事责任能力的法人、其他组织或自然人，提供统一社会信用代码的营业执照（事业单位具有有效的事业单位法人证书，自然人提供身份证明）；</w:t>
            </w:r>
          </w:p>
        </w:tc>
        <w:tc>
          <w:tcPr>
            <w:tcW w:w="3368" w:type="dxa"/>
            <w:vAlign w:val="center"/>
          </w:tcPr>
          <w:p>
            <w:pPr>
              <w:snapToGrid w:val="0"/>
              <w:spacing w:line="360" w:lineRule="auto"/>
              <w:jc w:val="left"/>
              <w:rPr>
                <w:rFonts w:hAnsi="宋体" w:cs="宋体"/>
                <w:color w:val="auto"/>
              </w:rPr>
            </w:pPr>
            <w:r>
              <w:rPr>
                <w:rFonts w:hint="eastAsia" w:hAnsi="宋体" w:cs="宋体"/>
                <w:color w:val="auto"/>
              </w:rPr>
              <w:t>证件副本复印件加盖公章（放入资格投标文件正本中）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13" w:type="dxa"/>
            <w:vAlign w:val="center"/>
          </w:tcPr>
          <w:p>
            <w:pPr>
              <w:snapToGrid w:val="0"/>
              <w:spacing w:line="360" w:lineRule="auto"/>
              <w:jc w:val="center"/>
              <w:rPr>
                <w:rFonts w:hAnsi="宋体" w:cs="宋体"/>
                <w:color w:val="auto"/>
              </w:rPr>
            </w:pPr>
            <w:r>
              <w:rPr>
                <w:rFonts w:hint="eastAsia" w:hAnsi="宋体" w:cs="宋体"/>
                <w:color w:val="auto"/>
              </w:rPr>
              <w:t>3</w:t>
            </w:r>
          </w:p>
        </w:tc>
        <w:tc>
          <w:tcPr>
            <w:tcW w:w="5299" w:type="dxa"/>
            <w:vAlign w:val="center"/>
          </w:tcPr>
          <w:p>
            <w:pPr>
              <w:snapToGrid w:val="0"/>
              <w:spacing w:line="276" w:lineRule="auto"/>
              <w:jc w:val="left"/>
              <w:rPr>
                <w:rFonts w:hAnsi="宋体"/>
                <w:bCs/>
              </w:rPr>
            </w:pPr>
            <w:r>
              <w:rPr>
                <w:rFonts w:hint="eastAsia" w:hAnsi="宋体"/>
              </w:rPr>
              <w:t>投标人未被列入失信被执行人、重大税收违法案件当事人名单、政府采购严重违法失信行为记录；</w:t>
            </w:r>
          </w:p>
        </w:tc>
        <w:tc>
          <w:tcPr>
            <w:tcW w:w="3368" w:type="dxa"/>
            <w:vAlign w:val="center"/>
          </w:tcPr>
          <w:p>
            <w:pPr>
              <w:snapToGrid w:val="0"/>
              <w:spacing w:line="276" w:lineRule="auto"/>
              <w:jc w:val="left"/>
              <w:rPr>
                <w:rFonts w:hAnsi="宋体"/>
              </w:rPr>
            </w:pPr>
            <w:r>
              <w:rPr>
                <w:rFonts w:hint="eastAsia" w:hAnsi="宋体"/>
              </w:rPr>
              <w:t>供应商须根据资格性文件规定的承诺函格式（1-4）提供“未被列入失信被执行人、重大税收违法案件当事人名单、政府采购严重违法失信行为记录名单的承诺函”原件（放入资格投标文件正本中）</w:t>
            </w:r>
          </w:p>
          <w:p>
            <w:pPr>
              <w:snapToGrid w:val="0"/>
              <w:spacing w:line="276" w:lineRule="auto"/>
              <w:jc w:val="left"/>
              <w:rPr>
                <w:rFonts w:hAnsi="宋体"/>
              </w:rPr>
            </w:pPr>
            <w:r>
              <w:rPr>
                <w:rFonts w:hint="eastAsia" w:hAnsi="宋体"/>
              </w:rPr>
              <w:t>注：采购人或采购代理机构将于本项目投标截止日在‘信用中国’网站、‘中国政府采购网’网站、‘中国执行信息公开网’网站等渠道对供应商进行信用记录查询，凡被列入失信被执行人、重大税收违法案件当事人名单、政府采购严重违法失信行为记录名单的，视为存在不良信用记录，参与本项目的将被拒绝。</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13" w:type="dxa"/>
            <w:vAlign w:val="center"/>
          </w:tcPr>
          <w:p>
            <w:pPr>
              <w:snapToGrid w:val="0"/>
              <w:spacing w:line="360" w:lineRule="auto"/>
              <w:jc w:val="center"/>
              <w:rPr>
                <w:rFonts w:hAnsi="宋体" w:cs="宋体"/>
                <w:color w:val="auto"/>
              </w:rPr>
            </w:pPr>
            <w:r>
              <w:rPr>
                <w:rFonts w:hint="eastAsia" w:hAnsi="宋体" w:cs="宋体"/>
                <w:color w:val="auto"/>
              </w:rPr>
              <w:t>4</w:t>
            </w:r>
          </w:p>
        </w:tc>
        <w:tc>
          <w:tcPr>
            <w:tcW w:w="5299" w:type="dxa"/>
            <w:vAlign w:val="center"/>
          </w:tcPr>
          <w:p>
            <w:pPr>
              <w:snapToGrid w:val="0"/>
              <w:spacing w:line="360" w:lineRule="auto"/>
              <w:rPr>
                <w:rFonts w:hAnsi="宋体" w:cs="宋体"/>
                <w:color w:val="auto"/>
              </w:rPr>
            </w:pPr>
            <w:r>
              <w:rPr>
                <w:rFonts w:hint="eastAsia" w:hAnsi="宋体"/>
              </w:rPr>
              <w:t>本项目专门面向中小企业</w:t>
            </w:r>
          </w:p>
        </w:tc>
        <w:tc>
          <w:tcPr>
            <w:tcW w:w="3368" w:type="dxa"/>
            <w:vAlign w:val="center"/>
          </w:tcPr>
          <w:p>
            <w:pPr>
              <w:snapToGrid w:val="0"/>
              <w:spacing w:line="360" w:lineRule="auto"/>
              <w:jc w:val="left"/>
              <w:rPr>
                <w:rFonts w:hAnsi="宋体" w:cs="宋体"/>
                <w:color w:val="auto"/>
              </w:rPr>
            </w:pPr>
            <w:r>
              <w:rPr>
                <w:rFonts w:hint="eastAsia" w:hAnsi="宋体"/>
              </w:rPr>
              <w:t>按文件格式提供承诺函原件（放入资格性响应文件正本中）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13" w:type="dxa"/>
            <w:vAlign w:val="center"/>
          </w:tcPr>
          <w:p>
            <w:pPr>
              <w:tabs>
                <w:tab w:val="left" w:pos="394"/>
                <w:tab w:val="left" w:pos="846"/>
              </w:tabs>
              <w:snapToGrid w:val="0"/>
              <w:spacing w:line="360" w:lineRule="auto"/>
              <w:ind w:left="110" w:firstLine="120" w:firstLineChars="50"/>
              <w:rPr>
                <w:rFonts w:hAnsi="宋体" w:cs="宋体"/>
                <w:color w:val="auto"/>
              </w:rPr>
            </w:pPr>
            <w:r>
              <w:rPr>
                <w:rFonts w:hint="eastAsia" w:hAnsi="宋体" w:cs="宋体"/>
                <w:color w:val="auto"/>
              </w:rPr>
              <w:t>5</w:t>
            </w:r>
          </w:p>
        </w:tc>
        <w:tc>
          <w:tcPr>
            <w:tcW w:w="5299" w:type="dxa"/>
            <w:vAlign w:val="center"/>
          </w:tcPr>
          <w:p>
            <w:pPr>
              <w:snapToGrid w:val="0"/>
              <w:spacing w:line="360" w:lineRule="auto"/>
              <w:rPr>
                <w:rFonts w:hAnsi="宋体" w:cs="宋体"/>
                <w:color w:val="auto"/>
              </w:rPr>
            </w:pPr>
            <w:r>
              <w:rPr>
                <w:rFonts w:hint="eastAsia" w:hAnsi="宋体" w:cs="宋体"/>
                <w:color w:val="auto"/>
              </w:rPr>
              <w:t>法定代表人授权书</w:t>
            </w:r>
          </w:p>
        </w:tc>
        <w:tc>
          <w:tcPr>
            <w:tcW w:w="3368" w:type="dxa"/>
            <w:vAlign w:val="center"/>
          </w:tcPr>
          <w:p>
            <w:pPr>
              <w:snapToGrid w:val="0"/>
              <w:spacing w:line="360" w:lineRule="auto"/>
              <w:jc w:val="left"/>
              <w:rPr>
                <w:rFonts w:hAnsi="宋体" w:cs="宋体"/>
                <w:color w:val="auto"/>
              </w:rPr>
            </w:pPr>
            <w:r>
              <w:rPr>
                <w:rFonts w:hint="eastAsia" w:hAnsi="宋体" w:cs="宋体"/>
                <w:color w:val="auto"/>
              </w:rPr>
              <w:t>供应商须根据资格性文件规定的格式（1-2）提供原件并放入资格投标文件正本中，法定代表人直接参加的只须提供身份证复印件加盖公章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13" w:type="dxa"/>
            <w:vAlign w:val="center"/>
          </w:tcPr>
          <w:p>
            <w:pPr>
              <w:tabs>
                <w:tab w:val="left" w:pos="394"/>
                <w:tab w:val="left" w:pos="846"/>
              </w:tabs>
              <w:snapToGrid w:val="0"/>
              <w:spacing w:line="360" w:lineRule="auto"/>
              <w:ind w:left="110" w:firstLine="120" w:firstLineChars="50"/>
              <w:rPr>
                <w:rFonts w:hAnsi="宋体" w:cs="宋体"/>
                <w:color w:val="auto"/>
              </w:rPr>
            </w:pPr>
            <w:r>
              <w:rPr>
                <w:rFonts w:hAnsi="宋体" w:cs="宋体"/>
                <w:color w:val="auto"/>
              </w:rPr>
              <w:t>6</w:t>
            </w:r>
          </w:p>
        </w:tc>
        <w:tc>
          <w:tcPr>
            <w:tcW w:w="5299" w:type="dxa"/>
            <w:vAlign w:val="center"/>
          </w:tcPr>
          <w:p>
            <w:pPr>
              <w:snapToGrid w:val="0"/>
              <w:spacing w:line="360" w:lineRule="auto"/>
              <w:rPr>
                <w:rFonts w:hAnsi="宋体" w:cs="宋体"/>
                <w:color w:val="auto"/>
              </w:rPr>
            </w:pPr>
            <w:r>
              <w:rPr>
                <w:rFonts w:hint="eastAsia" w:hAnsi="宋体" w:cs="宋体"/>
                <w:color w:val="auto"/>
              </w:rPr>
              <w:t>法定代表人和被授权人身份证件</w:t>
            </w:r>
          </w:p>
        </w:tc>
        <w:tc>
          <w:tcPr>
            <w:tcW w:w="3368" w:type="dxa"/>
            <w:vAlign w:val="center"/>
          </w:tcPr>
          <w:p>
            <w:pPr>
              <w:snapToGrid w:val="0"/>
              <w:spacing w:line="360" w:lineRule="auto"/>
              <w:jc w:val="left"/>
              <w:rPr>
                <w:rFonts w:hAnsi="宋体" w:cs="宋体"/>
                <w:color w:val="auto"/>
              </w:rPr>
            </w:pPr>
            <w:r>
              <w:rPr>
                <w:rFonts w:hint="eastAsia" w:hAnsi="宋体" w:cs="宋体"/>
                <w:color w:val="auto"/>
              </w:rPr>
              <w:t>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13" w:type="dxa"/>
            <w:vAlign w:val="center"/>
          </w:tcPr>
          <w:p>
            <w:pPr>
              <w:tabs>
                <w:tab w:val="left" w:pos="394"/>
                <w:tab w:val="left" w:pos="846"/>
              </w:tabs>
              <w:snapToGrid w:val="0"/>
              <w:spacing w:line="360" w:lineRule="auto"/>
              <w:ind w:left="110" w:firstLine="120" w:firstLineChars="50"/>
              <w:rPr>
                <w:rFonts w:hAnsi="宋体" w:cs="宋体"/>
                <w:color w:val="auto"/>
              </w:rPr>
            </w:pPr>
            <w:r>
              <w:rPr>
                <w:rFonts w:hAnsi="宋体" w:cs="宋体"/>
                <w:color w:val="auto"/>
              </w:rPr>
              <w:t>7</w:t>
            </w:r>
          </w:p>
        </w:tc>
        <w:tc>
          <w:tcPr>
            <w:tcW w:w="5299" w:type="dxa"/>
            <w:vAlign w:val="center"/>
          </w:tcPr>
          <w:p>
            <w:pPr>
              <w:snapToGrid w:val="0"/>
              <w:spacing w:line="360" w:lineRule="auto"/>
              <w:rPr>
                <w:rFonts w:hAnsi="宋体" w:cs="宋体"/>
                <w:color w:val="auto"/>
              </w:rPr>
            </w:pPr>
            <w:r>
              <w:rPr>
                <w:rFonts w:hint="eastAsia" w:hAnsi="宋体" w:cs="宋体"/>
                <w:color w:val="auto"/>
              </w:rPr>
              <w:t>投标保证金交纳证明材料</w:t>
            </w:r>
          </w:p>
        </w:tc>
        <w:tc>
          <w:tcPr>
            <w:tcW w:w="3368" w:type="dxa"/>
            <w:vAlign w:val="center"/>
          </w:tcPr>
          <w:p>
            <w:pPr>
              <w:snapToGrid w:val="0"/>
              <w:spacing w:line="360" w:lineRule="auto"/>
              <w:jc w:val="left"/>
              <w:rPr>
                <w:rFonts w:hAnsi="宋体" w:cs="宋体"/>
                <w:color w:val="auto"/>
              </w:rPr>
            </w:pPr>
            <w:r>
              <w:rPr>
                <w:rFonts w:hint="eastAsia" w:hAnsi="宋体" w:cs="宋体"/>
                <w:color w:val="auto"/>
              </w:rPr>
              <w:t>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704" w:hRule="atLeast"/>
          <w:jc w:val="center"/>
        </w:trPr>
        <w:tc>
          <w:tcPr>
            <w:tcW w:w="9480" w:type="dxa"/>
            <w:gridSpan w:val="3"/>
            <w:vAlign w:val="center"/>
          </w:tcPr>
          <w:p>
            <w:pPr>
              <w:snapToGrid w:val="0"/>
              <w:spacing w:line="360" w:lineRule="auto"/>
              <w:rPr>
                <w:rFonts w:hAnsi="宋体" w:cs="宋体"/>
                <w:b/>
                <w:color w:val="auto"/>
              </w:rPr>
            </w:pPr>
            <w:r>
              <w:rPr>
                <w:rFonts w:hint="eastAsia" w:hAnsi="宋体" w:cs="宋体"/>
                <w:b/>
                <w:color w:val="auto"/>
              </w:rPr>
              <w:t>注：1.请投标供应商认真核对投标文件中是否按上述要求提供资格证明材料，未按上述要求提供的，自行承担无法通过资格审核的风险。</w:t>
            </w:r>
          </w:p>
          <w:p>
            <w:pPr>
              <w:pStyle w:val="11"/>
              <w:spacing w:line="360" w:lineRule="auto"/>
              <w:ind w:firstLine="241" w:firstLineChars="100"/>
              <w:rPr>
                <w:rFonts w:hAnsi="宋体" w:cs="宋体"/>
                <w:b/>
                <w:sz w:val="24"/>
              </w:rPr>
            </w:pPr>
            <w:r>
              <w:rPr>
                <w:rFonts w:hint="eastAsia" w:hAnsi="宋体" w:cs="宋体"/>
                <w:b/>
                <w:sz w:val="24"/>
              </w:rPr>
              <w:t>2、</w:t>
            </w:r>
            <w:r>
              <w:rPr>
                <w:rFonts w:hAnsi="宋体" w:cs="宋体"/>
                <w:b/>
                <w:sz w:val="24"/>
              </w:rPr>
              <w:t>本项目所称“参加本次政府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r>
              <w:rPr>
                <w:rFonts w:hint="eastAsia" w:hAnsi="宋体" w:cs="宋体"/>
                <w:b/>
                <w:sz w:val="24"/>
              </w:rPr>
              <w:t>”</w:t>
            </w:r>
          </w:p>
          <w:p>
            <w:pPr>
              <w:pStyle w:val="11"/>
              <w:spacing w:line="360" w:lineRule="auto"/>
              <w:ind w:firstLine="241" w:firstLineChars="100"/>
              <w:rPr>
                <w:rFonts w:hAnsi="宋体" w:cs="宋体"/>
                <w:b/>
                <w:sz w:val="24"/>
              </w:rPr>
            </w:pPr>
            <w:r>
              <w:rPr>
                <w:rFonts w:hint="eastAsia" w:hAnsi="宋体" w:cs="宋体"/>
                <w:b/>
                <w:sz w:val="24"/>
              </w:rPr>
              <w:t>3、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11"/>
              <w:spacing w:line="360" w:lineRule="auto"/>
              <w:ind w:firstLine="241" w:firstLineChars="100"/>
              <w:rPr>
                <w:rFonts w:hAnsi="宋体" w:cs="宋体"/>
                <w:b/>
                <w:sz w:val="24"/>
              </w:rPr>
            </w:pPr>
            <w:r>
              <w:rPr>
                <w:rFonts w:hint="eastAsia" w:hAnsi="宋体" w:cs="宋体"/>
                <w:b/>
                <w:sz w:val="24"/>
              </w:rPr>
              <w:t>4、以上要求的资料复印件均须加盖投标单位的公章（鲜章）。</w:t>
            </w:r>
          </w:p>
          <w:p>
            <w:pPr>
              <w:snapToGrid w:val="0"/>
              <w:spacing w:line="360" w:lineRule="auto"/>
              <w:ind w:firstLine="241" w:firstLineChars="100"/>
              <w:rPr>
                <w:rFonts w:hAnsi="宋体" w:cs="宋体"/>
                <w:b/>
                <w:color w:val="auto"/>
              </w:rPr>
            </w:pPr>
            <w:r>
              <w:rPr>
                <w:rFonts w:hint="eastAsia" w:hAnsi="宋体" w:cs="宋体"/>
                <w:b/>
                <w:bCs/>
                <w:color w:val="auto"/>
              </w:rPr>
              <w:t>5、本项目不接受联合体投标。</w:t>
            </w:r>
          </w:p>
        </w:tc>
      </w:tr>
    </w:tbl>
    <w:p>
      <w:pPr>
        <w:spacing w:line="360" w:lineRule="auto"/>
        <w:rPr>
          <w:rFonts w:hAnsi="宋体" w:cs="宋体"/>
          <w:color w:val="auto"/>
        </w:rPr>
      </w:pPr>
    </w:p>
    <w:p>
      <w:pPr>
        <w:pStyle w:val="3"/>
        <w:spacing w:line="360" w:lineRule="auto"/>
        <w:jc w:val="center"/>
        <w:rPr>
          <w:rFonts w:hAnsi="宋体" w:cs="宋体"/>
        </w:rPr>
      </w:pPr>
      <w:r>
        <w:rPr>
          <w:rFonts w:hint="eastAsia" w:hAnsi="宋体" w:cs="宋体"/>
        </w:rPr>
        <w:br w:type="page"/>
      </w:r>
      <w:r>
        <w:rPr>
          <w:rFonts w:hint="eastAsia" w:hAnsi="宋体" w:cs="宋体"/>
        </w:rPr>
        <w:t>第五章</w:t>
      </w:r>
      <w:bookmarkStart w:id="210" w:name="_Toc217446093"/>
      <w:r>
        <w:rPr>
          <w:rFonts w:hint="eastAsia" w:hAnsi="宋体" w:cs="宋体"/>
        </w:rPr>
        <w:t>招标项目要求</w:t>
      </w:r>
      <w:bookmarkEnd w:id="185"/>
      <w:bookmarkEnd w:id="186"/>
      <w:bookmarkEnd w:id="187"/>
      <w:bookmarkEnd w:id="188"/>
      <w:bookmarkEnd w:id="210"/>
      <w:bookmarkStart w:id="211" w:name="_Toc217446094"/>
    </w:p>
    <w:p>
      <w:pPr>
        <w:pStyle w:val="11"/>
        <w:numPr>
          <w:ilvl w:val="0"/>
          <w:numId w:val="6"/>
        </w:numPr>
        <w:spacing w:after="0" w:line="360" w:lineRule="auto"/>
        <w:rPr>
          <w:rFonts w:hAnsi="宋体" w:cs="宋体"/>
          <w:b/>
        </w:rPr>
      </w:pPr>
      <w:r>
        <w:rPr>
          <w:rFonts w:hint="eastAsia" w:hAnsi="宋体" w:cs="宋体"/>
          <w:b/>
        </w:rPr>
        <w:t>、项目概述：</w:t>
      </w:r>
      <w:bookmarkEnd w:id="211"/>
    </w:p>
    <w:p>
      <w:pPr>
        <w:pStyle w:val="92"/>
        <w:ind w:left="199" w:firstLine="0" w:firstLineChars="0"/>
        <w:rPr>
          <w:rFonts w:hAnsi="宋体"/>
        </w:rPr>
      </w:pPr>
      <w:r>
        <w:rPr>
          <w:rFonts w:hAnsi="宋体"/>
        </w:rPr>
        <w:t>本项目共1个包 ，</w:t>
      </w:r>
      <w:r>
        <w:rPr>
          <w:rFonts w:hint="eastAsia" w:hAnsi="宋体" w:cs="宋体"/>
        </w:rPr>
        <w:t>采购</w:t>
      </w:r>
      <w:r>
        <w:rPr>
          <w:rFonts w:hint="eastAsia" w:asciiTheme="minorEastAsia" w:hAnsiTheme="minorEastAsia" w:eastAsiaTheme="minorEastAsia"/>
        </w:rPr>
        <w:t>设备</w:t>
      </w:r>
      <w:r>
        <w:rPr>
          <w:rFonts w:hint="eastAsia" w:hAnsi="宋体" w:cs="宋体"/>
        </w:rPr>
        <w:t>一批</w:t>
      </w:r>
      <w:r>
        <w:rPr>
          <w:rFonts w:hAnsi="宋体"/>
        </w:rPr>
        <w:t>（具体详见</w:t>
      </w:r>
      <w:r>
        <w:rPr>
          <w:rFonts w:hint="eastAsia" w:hAnsi="宋体"/>
        </w:rPr>
        <w:t>招标</w:t>
      </w:r>
      <w:r>
        <w:rPr>
          <w:rFonts w:hAnsi="宋体"/>
        </w:rPr>
        <w:t>文件）；</w:t>
      </w:r>
    </w:p>
    <w:p>
      <w:pPr>
        <w:tabs>
          <w:tab w:val="left" w:pos="1620"/>
        </w:tabs>
        <w:spacing w:line="360" w:lineRule="auto"/>
        <w:ind w:right="-226" w:rightChars="-94" w:firstLine="240" w:firstLineChars="100"/>
        <w:rPr>
          <w:rFonts w:hAnsi="宋体"/>
        </w:rPr>
      </w:pPr>
      <w:r>
        <w:rPr>
          <w:rFonts w:hAnsi="宋体"/>
        </w:rPr>
        <w:t>资金性质：</w:t>
      </w:r>
      <w:r>
        <w:rPr>
          <w:rFonts w:hAnsi="宋体"/>
          <w:bCs/>
          <w:spacing w:val="-4"/>
        </w:rPr>
        <w:t>财政资金</w:t>
      </w:r>
      <w:r>
        <w:rPr>
          <w:rFonts w:hint="eastAsia" w:hAnsi="宋体"/>
          <w:bCs/>
          <w:spacing w:val="-4"/>
        </w:rPr>
        <w:t>；</w:t>
      </w:r>
    </w:p>
    <w:p>
      <w:pPr>
        <w:tabs>
          <w:tab w:val="left" w:pos="1620"/>
        </w:tabs>
        <w:spacing w:line="360" w:lineRule="auto"/>
        <w:ind w:right="-226" w:rightChars="-94" w:firstLine="240" w:firstLineChars="100"/>
        <w:rPr>
          <w:rFonts w:hAnsi="宋体"/>
          <w:bCs/>
          <w:spacing w:val="-4"/>
        </w:rPr>
      </w:pPr>
      <w:r>
        <w:rPr>
          <w:rFonts w:hint="eastAsia" w:hAnsi="宋体"/>
        </w:rPr>
        <w:t>项目用途：自用</w:t>
      </w:r>
      <w:r>
        <w:rPr>
          <w:rFonts w:hint="eastAsia" w:hAnsi="宋体"/>
          <w:bCs/>
          <w:spacing w:val="-4"/>
        </w:rPr>
        <w:t>；</w:t>
      </w:r>
    </w:p>
    <w:p>
      <w:pPr>
        <w:spacing w:line="360" w:lineRule="auto"/>
        <w:ind w:firstLine="232" w:firstLineChars="100"/>
        <w:rPr>
          <w:rFonts w:hAnsi="Calibri"/>
        </w:rPr>
      </w:pPr>
      <w:r>
        <w:rPr>
          <w:rFonts w:hint="eastAsia" w:hAnsi="宋体"/>
          <w:bCs/>
          <w:spacing w:val="-4"/>
        </w:rPr>
        <w:t>采购预算：</w:t>
      </w:r>
      <w:r>
        <w:rPr>
          <w:rFonts w:hAnsi="宋体"/>
        </w:rPr>
        <w:t>96</w:t>
      </w:r>
      <w:r>
        <w:rPr>
          <w:rFonts w:hint="eastAsia" w:hAnsi="宋体"/>
          <w:bCs/>
          <w:spacing w:val="-4"/>
        </w:rPr>
        <w:t>万元</w:t>
      </w:r>
    </w:p>
    <w:p>
      <w:pPr>
        <w:spacing w:line="360" w:lineRule="auto"/>
      </w:pPr>
      <w:r>
        <w:rPr>
          <w:rFonts w:hint="eastAsia"/>
        </w:rPr>
        <w:t>标的名称及所属行业：</w:t>
      </w:r>
    </w:p>
    <w:tbl>
      <w:tblPr>
        <w:tblStyle w:val="32"/>
        <w:tblW w:w="765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770"/>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rPr>
                <w:rFonts w:asciiTheme="minorEastAsia" w:hAnsiTheme="minorEastAsia"/>
                <w:b/>
                <w:bCs/>
                <w:sz w:val="24"/>
              </w:rPr>
            </w:pPr>
            <w:r>
              <w:rPr>
                <w:rFonts w:hint="eastAsia" w:asciiTheme="minorEastAsia" w:hAnsiTheme="minorEastAsia"/>
                <w:b/>
                <w:bCs/>
                <w:sz w:val="24"/>
              </w:rPr>
              <w:t>序号</w:t>
            </w:r>
          </w:p>
        </w:tc>
        <w:tc>
          <w:tcPr>
            <w:tcW w:w="4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ind w:left="480"/>
              <w:jc w:val="center"/>
              <w:rPr>
                <w:rFonts w:asciiTheme="minorEastAsia" w:hAnsiTheme="minorEastAsia"/>
                <w:b/>
                <w:bCs/>
                <w:sz w:val="24"/>
              </w:rPr>
            </w:pPr>
            <w:r>
              <w:rPr>
                <w:rFonts w:hint="eastAsia" w:asciiTheme="minorEastAsia" w:hAnsiTheme="minorEastAsia"/>
                <w:b/>
                <w:bCs/>
                <w:sz w:val="24"/>
              </w:rPr>
              <w:t>标的名称</w:t>
            </w:r>
          </w:p>
        </w:tc>
        <w:tc>
          <w:tcPr>
            <w:tcW w:w="217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ind w:left="480"/>
              <w:rPr>
                <w:rFonts w:asciiTheme="minorEastAsia" w:hAnsiTheme="minorEastAsia"/>
                <w:b/>
                <w:bCs/>
                <w:sz w:val="24"/>
              </w:rPr>
            </w:pPr>
            <w:r>
              <w:rPr>
                <w:rFonts w:hint="eastAsia" w:asciiTheme="minorEastAsia" w:hAnsiTheme="minorEastAsia"/>
                <w:b/>
                <w:bCs/>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asciiTheme="minorEastAsia" w:hAnsiTheme="minorEastAsia" w:eastAsiaTheme="minorEastAsia"/>
              </w:rPr>
              <w:t>1</w:t>
            </w:r>
          </w:p>
        </w:tc>
        <w:tc>
          <w:tcPr>
            <w:tcW w:w="47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rPr>
            </w:pPr>
            <w:r>
              <w:rPr>
                <w:rFonts w:hint="eastAsia" w:hAnsi="宋体" w:cs="宋体"/>
                <w:color w:val="auto"/>
              </w:rPr>
              <w:t>制冷型红外探测器</w:t>
            </w:r>
          </w:p>
        </w:tc>
        <w:tc>
          <w:tcPr>
            <w:tcW w:w="2176"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auto"/>
              <w:ind w:right="-226" w:rightChars="-94" w:firstLine="120" w:firstLineChars="50"/>
              <w:rPr>
                <w:rFonts w:hAnsi="宋体"/>
              </w:rPr>
            </w:pPr>
            <w:r>
              <w:rPr>
                <w:rFonts w:hint="eastAsia" w:hAnsi="宋体"/>
              </w:rPr>
              <w:t>工业(制造业)</w:t>
            </w:r>
          </w:p>
        </w:tc>
      </w:tr>
    </w:tbl>
    <w:p/>
    <w:p>
      <w:pPr>
        <w:pStyle w:val="11"/>
        <w:spacing w:after="0" w:line="360" w:lineRule="auto"/>
        <w:rPr>
          <w:rFonts w:hAnsi="宋体" w:cs="宋体"/>
          <w:b/>
          <w:sz w:val="28"/>
          <w:szCs w:val="21"/>
        </w:rPr>
      </w:pPr>
      <w:r>
        <w:rPr>
          <w:rFonts w:hint="eastAsia" w:hAnsi="宋体" w:cs="宋体"/>
          <w:b/>
          <w:sz w:val="28"/>
          <w:szCs w:val="21"/>
        </w:rPr>
        <w:t>（二）、商务要求</w:t>
      </w:r>
    </w:p>
    <w:p>
      <w:pPr>
        <w:spacing w:line="360" w:lineRule="auto"/>
        <w:outlineLvl w:val="0"/>
        <w:rPr>
          <w:rFonts w:asciiTheme="minorEastAsia" w:hAnsiTheme="minorEastAsia" w:eastAsiaTheme="minorEastAsia"/>
          <w:b/>
        </w:rPr>
      </w:pPr>
      <w:r>
        <w:rPr>
          <w:rFonts w:asciiTheme="minorEastAsia" w:hAnsiTheme="minorEastAsia" w:eastAsiaTheme="minorEastAsia"/>
          <w:b/>
        </w:rPr>
        <w:t>1.交货时间及地点：</w:t>
      </w:r>
    </w:p>
    <w:p>
      <w:pPr>
        <w:spacing w:line="360" w:lineRule="auto"/>
        <w:ind w:firstLine="236" w:firstLineChars="98"/>
        <w:rPr>
          <w:rFonts w:asciiTheme="minorEastAsia" w:hAnsiTheme="minorEastAsia" w:eastAsiaTheme="minorEastAsia"/>
        </w:rPr>
      </w:pPr>
      <w:r>
        <w:rPr>
          <w:rFonts w:asciiTheme="minorEastAsia" w:hAnsiTheme="minorEastAsia" w:eastAsiaTheme="minorEastAsia"/>
          <w:b/>
        </w:rPr>
        <w:t>1.1交货</w:t>
      </w:r>
      <w:r>
        <w:rPr>
          <w:rFonts w:hint="eastAsia" w:asciiTheme="minorEastAsia" w:hAnsiTheme="minorEastAsia" w:eastAsiaTheme="minorEastAsia"/>
          <w:b/>
        </w:rPr>
        <w:t>（完工）时间</w:t>
      </w:r>
      <w:r>
        <w:rPr>
          <w:rFonts w:asciiTheme="minorEastAsia" w:hAnsiTheme="minorEastAsia" w:eastAsiaTheme="minorEastAsia"/>
          <w:b/>
        </w:rPr>
        <w:t>：</w:t>
      </w:r>
      <w:r>
        <w:rPr>
          <w:rFonts w:hint="eastAsia" w:cs="Courier New" w:asciiTheme="minorEastAsia" w:hAnsiTheme="minorEastAsia" w:eastAsiaTheme="minorEastAsia"/>
        </w:rPr>
        <w:t>合同签订后20天内</w:t>
      </w:r>
      <w:r>
        <w:rPr>
          <w:rFonts w:hint="eastAsia" w:asciiTheme="minorEastAsia" w:hAnsiTheme="minorEastAsia" w:eastAsiaTheme="minorEastAsia"/>
        </w:rPr>
        <w:t>。</w:t>
      </w:r>
    </w:p>
    <w:p>
      <w:pPr>
        <w:pStyle w:val="15"/>
        <w:spacing w:line="360" w:lineRule="auto"/>
        <w:ind w:firstLine="241" w:firstLineChars="100"/>
        <w:jc w:val="left"/>
        <w:rPr>
          <w:rFonts w:ascii="仿宋" w:hAnsi="仿宋" w:eastAsia="仿宋" w:cs="Courier New"/>
          <w:sz w:val="24"/>
        </w:rPr>
      </w:pPr>
      <w:r>
        <w:rPr>
          <w:rFonts w:asciiTheme="minorEastAsia" w:hAnsiTheme="minorEastAsia" w:eastAsiaTheme="minorEastAsia"/>
          <w:b/>
          <w:sz w:val="24"/>
        </w:rPr>
        <w:t>1.2 交货地点:</w:t>
      </w:r>
      <w:r>
        <w:rPr>
          <w:rFonts w:hint="eastAsia" w:ascii="仿宋" w:hAnsi="仿宋" w:eastAsia="仿宋" w:cs="Courier New"/>
          <w:sz w:val="24"/>
        </w:rPr>
        <w:t xml:space="preserve"> </w:t>
      </w:r>
      <w:r>
        <w:rPr>
          <w:rFonts w:hint="eastAsia" w:cs="Courier New" w:asciiTheme="minorEastAsia" w:hAnsiTheme="minorEastAsia" w:eastAsiaTheme="minorEastAsia"/>
          <w:color w:val="000000"/>
          <w:kern w:val="0"/>
          <w:sz w:val="24"/>
        </w:rPr>
        <w:t>草堂校区信控大楼。</w:t>
      </w:r>
    </w:p>
    <w:p>
      <w:pPr>
        <w:spacing w:line="360" w:lineRule="auto"/>
        <w:rPr>
          <w:rFonts w:cs="仿宋_GB2312" w:asciiTheme="minorEastAsia" w:hAnsiTheme="minorEastAsia" w:eastAsiaTheme="minorEastAsia"/>
          <w:b/>
          <w:lang w:val="zh-CN"/>
        </w:rPr>
      </w:pPr>
      <w:r>
        <w:rPr>
          <w:rFonts w:hint="eastAsia" w:cs="仿宋_GB2312" w:asciiTheme="minorEastAsia" w:hAnsiTheme="minorEastAsia" w:eastAsiaTheme="minorEastAsia"/>
          <w:b/>
          <w:lang w:val="zh-CN"/>
        </w:rPr>
        <w:t>2、售后服务：</w:t>
      </w:r>
    </w:p>
    <w:p>
      <w:pPr>
        <w:spacing w:line="460" w:lineRule="exact"/>
        <w:ind w:firstLine="241" w:firstLineChars="100"/>
        <w:rPr>
          <w:rFonts w:cs="仿宋" w:asciiTheme="minorEastAsia" w:hAnsiTheme="minorEastAsia" w:eastAsiaTheme="minorEastAsia"/>
          <w:b/>
        </w:rPr>
      </w:pPr>
      <w:r>
        <w:rPr>
          <w:rFonts w:hint="eastAsia" w:asciiTheme="minorEastAsia" w:hAnsiTheme="minorEastAsia" w:eastAsiaTheme="minorEastAsia"/>
          <w:b/>
          <w:lang w:val="zh-CN"/>
        </w:rPr>
        <w:t>2.1 质保期：</w:t>
      </w:r>
      <w:r>
        <w:rPr>
          <w:rFonts w:hint="eastAsia" w:asciiTheme="minorEastAsia" w:hAnsiTheme="minorEastAsia" w:eastAsiaTheme="minorEastAsia"/>
          <w:lang w:val="zh-CN"/>
        </w:rPr>
        <w:t>1年</w:t>
      </w:r>
      <w:r>
        <w:rPr>
          <w:rFonts w:hint="eastAsia" w:asciiTheme="minorEastAsia" w:hAnsiTheme="minorEastAsia" w:eastAsiaTheme="minorEastAsia"/>
        </w:rPr>
        <w:t>。</w:t>
      </w:r>
    </w:p>
    <w:p>
      <w:pPr>
        <w:spacing w:line="360" w:lineRule="auto"/>
        <w:ind w:firstLine="236" w:firstLineChars="98"/>
        <w:rPr>
          <w:rFonts w:asciiTheme="minorEastAsia" w:hAnsiTheme="minorEastAsia" w:eastAsiaTheme="minorEastAsia"/>
          <w:bCs/>
        </w:rPr>
      </w:pPr>
      <w:r>
        <w:rPr>
          <w:rFonts w:hint="eastAsia" w:asciiTheme="minorEastAsia" w:hAnsiTheme="minorEastAsia" w:eastAsiaTheme="minorEastAsia"/>
          <w:b/>
          <w:lang w:val="zh-CN"/>
        </w:rPr>
        <w:t>2.2</w:t>
      </w:r>
      <w:r>
        <w:rPr>
          <w:rFonts w:hint="eastAsia" w:asciiTheme="minorEastAsia" w:hAnsiTheme="minorEastAsia" w:eastAsiaTheme="minorEastAsia"/>
          <w:b/>
          <w:bCs/>
        </w:rPr>
        <w:t>售后服务响应时间（质保期内）：</w:t>
      </w:r>
      <w:r>
        <w:rPr>
          <w:rFonts w:hint="eastAsia" w:asciiTheme="minorEastAsia" w:hAnsiTheme="minorEastAsia" w:eastAsiaTheme="minorEastAsia"/>
          <w:bCs/>
        </w:rPr>
        <w:t>即时响应（包括电话响应）；电话响应无法解决 48 小时内到达现场。修复时间 24 小时内解决；如在 72 小时内无法修复，则提供部件冗余服务或采取应急措施，提供相同产品或不低于故障产品规格档次的备用产品供采购人使用，以确保货物的正常使用。</w:t>
      </w:r>
    </w:p>
    <w:p>
      <w:pPr>
        <w:spacing w:line="360" w:lineRule="auto"/>
        <w:rPr>
          <w:rFonts w:asciiTheme="minorEastAsia" w:hAnsiTheme="minorEastAsia" w:eastAsiaTheme="minorEastAsia"/>
          <w:b/>
        </w:rPr>
      </w:pPr>
      <w:r>
        <w:rPr>
          <w:rFonts w:hint="eastAsia" w:asciiTheme="minorEastAsia" w:hAnsiTheme="minorEastAsia" w:eastAsiaTheme="minorEastAsia"/>
          <w:b/>
        </w:rPr>
        <w:t>3、付款方式及条件：</w:t>
      </w:r>
    </w:p>
    <w:p>
      <w:pPr>
        <w:spacing w:line="360" w:lineRule="auto"/>
        <w:ind w:firstLine="354" w:firstLineChars="147"/>
        <w:rPr>
          <w:rFonts w:asciiTheme="minorEastAsia" w:hAnsiTheme="minorEastAsia" w:eastAsiaTheme="minorEastAsia"/>
        </w:rPr>
      </w:pPr>
      <w:r>
        <w:rPr>
          <w:rFonts w:hint="eastAsia" w:asciiTheme="minorEastAsia" w:hAnsiTheme="minorEastAsia" w:eastAsiaTheme="minorEastAsia"/>
          <w:b/>
        </w:rPr>
        <w:t>3.1</w:t>
      </w:r>
      <w:r>
        <w:rPr>
          <w:rFonts w:hint="eastAsia" w:asciiTheme="minorEastAsia" w:hAnsiTheme="minorEastAsia" w:eastAsiaTheme="minorEastAsia"/>
        </w:rPr>
        <w:t>采购人结算，在付款前必须开具全额增值税专用发票给采购人。</w:t>
      </w:r>
    </w:p>
    <w:p>
      <w:pPr>
        <w:spacing w:line="360" w:lineRule="auto"/>
        <w:ind w:firstLine="354" w:firstLineChars="147"/>
        <w:rPr>
          <w:rFonts w:asciiTheme="minorEastAsia" w:hAnsiTheme="minorEastAsia" w:eastAsiaTheme="minorEastAsia"/>
        </w:rPr>
      </w:pPr>
      <w:r>
        <w:rPr>
          <w:rFonts w:hint="eastAsia" w:asciiTheme="minorEastAsia" w:hAnsiTheme="minorEastAsia" w:eastAsiaTheme="minorEastAsia"/>
          <w:b/>
        </w:rPr>
        <w:t>3.2国产设备付款方式：</w:t>
      </w:r>
      <w:r>
        <w:rPr>
          <w:rFonts w:hint="eastAsia" w:asciiTheme="minorEastAsia" w:hAnsiTheme="minorEastAsia" w:eastAsiaTheme="minorEastAsia"/>
        </w:rPr>
        <w:t>签订合同后，支付合同总价的40%作为预付款；项目验收合格后30日内，支付合同总价的55%；设备正常使用满一年后支付合同总价的5%。支付预付款时，供应商须提交银行、保险公司等金融机构出具的预付款保函或其他担保措施。</w:t>
      </w:r>
    </w:p>
    <w:p>
      <w:pPr>
        <w:spacing w:line="360" w:lineRule="auto"/>
        <w:rPr>
          <w:rFonts w:asciiTheme="minorEastAsia" w:hAnsiTheme="minorEastAsia" w:eastAsiaTheme="minorEastAsia"/>
          <w:b/>
        </w:rPr>
      </w:pPr>
      <w:r>
        <w:rPr>
          <w:rFonts w:hint="eastAsia" w:asciiTheme="minorEastAsia" w:hAnsiTheme="minorEastAsia" w:eastAsiaTheme="minorEastAsia"/>
          <w:b/>
        </w:rPr>
        <w:t>4、</w:t>
      </w:r>
      <w:r>
        <w:rPr>
          <w:rFonts w:asciiTheme="minorEastAsia" w:hAnsiTheme="minorEastAsia" w:eastAsiaTheme="minorEastAsia"/>
          <w:b/>
        </w:rPr>
        <w:t>其它：</w:t>
      </w:r>
    </w:p>
    <w:p>
      <w:pPr>
        <w:spacing w:line="360" w:lineRule="auto"/>
        <w:ind w:firstLine="352" w:firstLineChars="147"/>
        <w:rPr>
          <w:rFonts w:asciiTheme="minorEastAsia" w:hAnsiTheme="minorEastAsia" w:eastAsiaTheme="minorEastAsia"/>
        </w:rPr>
      </w:pPr>
      <w:r>
        <w:rPr>
          <w:rFonts w:hint="eastAsia" w:asciiTheme="minorEastAsia" w:hAnsiTheme="minorEastAsia" w:eastAsiaTheme="minorEastAsia"/>
        </w:rPr>
        <w:t>供应商提供的每一套设备需包含：机芯、制冷机、镜头、电动校准装置（烷烃类），且提供所有硬件模块的结构图纸及3D模型图；同时供应商需提供产品二次开发相关文档及开发SDK。</w:t>
      </w:r>
    </w:p>
    <w:p>
      <w:pPr>
        <w:spacing w:line="440" w:lineRule="exact"/>
        <w:ind w:firstLine="354" w:firstLineChars="147"/>
        <w:rPr>
          <w:rFonts w:asciiTheme="minorEastAsia" w:hAnsiTheme="minorEastAsia" w:eastAsiaTheme="minorEastAsia"/>
          <w:b/>
        </w:rPr>
      </w:pPr>
      <w:r>
        <w:rPr>
          <w:rFonts w:hint="eastAsia" w:asciiTheme="minorEastAsia" w:hAnsiTheme="minorEastAsia" w:eastAsiaTheme="minorEastAsia"/>
          <w:b/>
        </w:rPr>
        <w:t>注：商务条款不允许负偏离，否则将被视为无效投标文件。</w:t>
      </w:r>
    </w:p>
    <w:p/>
    <w:p>
      <w:pPr>
        <w:jc w:val="left"/>
        <w:rPr>
          <w:rFonts w:cs="宋体" w:asciiTheme="minorEastAsia" w:hAnsiTheme="minorEastAsia" w:eastAsiaTheme="minorEastAsia"/>
          <w:b/>
        </w:rPr>
      </w:pPr>
      <w:bookmarkStart w:id="212" w:name="_Toc24140"/>
      <w:bookmarkStart w:id="213" w:name="_Toc24257"/>
      <w:bookmarkStart w:id="214" w:name="_Toc30645"/>
      <w:bookmarkStart w:id="215" w:name="_Toc4916"/>
      <w:bookmarkStart w:id="216" w:name="_Toc12657"/>
      <w:bookmarkStart w:id="217" w:name="_Toc6605"/>
      <w:bookmarkStart w:id="218" w:name="_Toc16231"/>
      <w:bookmarkStart w:id="219" w:name="OLE_LINK15"/>
    </w:p>
    <w:p>
      <w:pPr>
        <w:jc w:val="left"/>
        <w:rPr>
          <w:rFonts w:hAnsi="宋体" w:cs="宋体"/>
          <w:b/>
          <w:sz w:val="28"/>
          <w:szCs w:val="21"/>
        </w:rPr>
      </w:pPr>
      <w:r>
        <w:rPr>
          <w:rFonts w:hAnsi="宋体" w:cs="宋体"/>
          <w:b/>
          <w:sz w:val="28"/>
          <w:szCs w:val="21"/>
        </w:rPr>
        <w:br w:type="page"/>
      </w:r>
    </w:p>
    <w:p>
      <w:pPr>
        <w:jc w:val="left"/>
        <w:rPr>
          <w:rFonts w:hAnsi="宋体" w:cs="宋体"/>
          <w:b/>
          <w:sz w:val="28"/>
          <w:szCs w:val="21"/>
        </w:rPr>
      </w:pPr>
      <w:r>
        <w:rPr>
          <w:rFonts w:hint="eastAsia" w:hAnsi="宋体" w:cs="宋体"/>
          <w:b/>
          <w:sz w:val="28"/>
          <w:szCs w:val="21"/>
        </w:rPr>
        <w:t>（三）、技术参数：</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1055"/>
        <w:gridCol w:w="6252"/>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56" w:type="pct"/>
            <w:tcBorders>
              <w:top w:val="single" w:color="auto" w:sz="4" w:space="0"/>
              <w:left w:val="single" w:color="auto" w:sz="4" w:space="0"/>
              <w:bottom w:val="single" w:color="auto" w:sz="4" w:space="0"/>
              <w:right w:val="single" w:color="auto" w:sz="4" w:space="0"/>
            </w:tcBorders>
            <w:vAlign w:val="center"/>
          </w:tcPr>
          <w:p>
            <w:pPr>
              <w:pStyle w:val="15"/>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序号</w:t>
            </w:r>
          </w:p>
        </w:tc>
        <w:tc>
          <w:tcPr>
            <w:tcW w:w="619" w:type="pct"/>
            <w:tcBorders>
              <w:top w:val="single" w:color="auto" w:sz="4" w:space="0"/>
              <w:left w:val="single" w:color="auto" w:sz="4" w:space="0"/>
              <w:bottom w:val="single" w:color="auto" w:sz="4" w:space="0"/>
              <w:right w:val="single" w:color="auto" w:sz="4" w:space="0"/>
            </w:tcBorders>
            <w:vAlign w:val="center"/>
          </w:tcPr>
          <w:p>
            <w:pPr>
              <w:pStyle w:val="15"/>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名称</w:t>
            </w:r>
          </w:p>
        </w:tc>
        <w:tc>
          <w:tcPr>
            <w:tcW w:w="3668" w:type="pct"/>
            <w:tcBorders>
              <w:top w:val="single" w:color="auto" w:sz="4" w:space="0"/>
              <w:left w:val="single" w:color="auto" w:sz="4" w:space="0"/>
              <w:bottom w:val="single" w:color="auto" w:sz="4" w:space="0"/>
              <w:right w:val="single" w:color="auto" w:sz="4" w:space="0"/>
            </w:tcBorders>
            <w:vAlign w:val="center"/>
          </w:tcPr>
          <w:p>
            <w:pPr>
              <w:pStyle w:val="15"/>
              <w:spacing w:line="400" w:lineRule="exact"/>
              <w:ind w:firstLine="562"/>
              <w:jc w:val="center"/>
              <w:rPr>
                <w:rFonts w:asciiTheme="minorEastAsia" w:hAnsiTheme="minorEastAsia" w:eastAsiaTheme="minorEastAsia"/>
                <w:b/>
                <w:bCs/>
                <w:sz w:val="24"/>
              </w:rPr>
            </w:pPr>
            <w:r>
              <w:rPr>
                <w:rFonts w:hint="eastAsia" w:asciiTheme="minorEastAsia" w:hAnsiTheme="minorEastAsia" w:eastAsiaTheme="minorEastAsia"/>
                <w:b/>
                <w:bCs/>
                <w:sz w:val="24"/>
              </w:rPr>
              <w:t>技术参数</w:t>
            </w:r>
          </w:p>
        </w:tc>
        <w:tc>
          <w:tcPr>
            <w:tcW w:w="357" w:type="pct"/>
            <w:tcBorders>
              <w:top w:val="single" w:color="auto" w:sz="4" w:space="0"/>
              <w:left w:val="single" w:color="auto" w:sz="4" w:space="0"/>
              <w:bottom w:val="single" w:color="auto" w:sz="4" w:space="0"/>
              <w:right w:val="single" w:color="auto" w:sz="4" w:space="0"/>
            </w:tcBorders>
            <w:vAlign w:val="center"/>
          </w:tcPr>
          <w:p>
            <w:pPr>
              <w:pStyle w:val="15"/>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56"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1</w:t>
            </w:r>
          </w:p>
        </w:tc>
        <w:tc>
          <w:tcPr>
            <w:tcW w:w="619"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制冷型红外探测器-长焦热像仪</w:t>
            </w:r>
          </w:p>
        </w:tc>
        <w:tc>
          <w:tcPr>
            <w:tcW w:w="366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一、硬件参数</w:t>
            </w:r>
          </w:p>
          <w:p>
            <w:pPr>
              <w:widowControl w:val="0"/>
              <w:numPr>
                <w:ilvl w:val="0"/>
                <w:numId w:val="7"/>
              </w:numPr>
              <w:rPr>
                <w:rFonts w:asciiTheme="minorEastAsia" w:hAnsiTheme="minorEastAsia" w:eastAsiaTheme="minorEastAsia"/>
              </w:rPr>
            </w:pPr>
            <w:r>
              <w:rPr>
                <w:rFonts w:hint="eastAsia" w:asciiTheme="minorEastAsia" w:hAnsiTheme="minorEastAsia" w:eastAsiaTheme="minorEastAsia"/>
              </w:rPr>
              <w:t>探测器类型：640X512 15</w:t>
            </w:r>
            <w:r>
              <w:rPr>
                <w:rFonts w:cs="Calibri" w:asciiTheme="minorEastAsia" w:hAnsiTheme="minorEastAsia" w:eastAsiaTheme="minorEastAsia"/>
              </w:rPr>
              <w:t>μ</w:t>
            </w:r>
            <w:r>
              <w:rPr>
                <w:rFonts w:hint="eastAsia" w:asciiTheme="minorEastAsia" w:hAnsiTheme="minorEastAsia" w:eastAsiaTheme="minorEastAsia"/>
              </w:rPr>
              <w:t>m（透过波段3.7</w:t>
            </w:r>
            <w:r>
              <w:rPr>
                <w:rFonts w:cs="Calibri" w:asciiTheme="minorEastAsia" w:hAnsiTheme="minorEastAsia" w:eastAsiaTheme="minorEastAsia"/>
              </w:rPr>
              <w:t>μ</w:t>
            </w:r>
            <w:r>
              <w:rPr>
                <w:rFonts w:hint="eastAsia" w:asciiTheme="minorEastAsia" w:hAnsiTheme="minorEastAsia" w:eastAsiaTheme="minorEastAsia"/>
              </w:rPr>
              <w:t>m～4.8</w:t>
            </w:r>
            <w:r>
              <w:rPr>
                <w:rFonts w:cs="Calibri" w:asciiTheme="minorEastAsia" w:hAnsiTheme="minorEastAsia" w:eastAsiaTheme="minorEastAsia"/>
              </w:rPr>
              <w:t>μ</w:t>
            </w:r>
            <w:r>
              <w:rPr>
                <w:rFonts w:hint="eastAsia" w:asciiTheme="minorEastAsia" w:hAnsiTheme="minorEastAsia" w:eastAsiaTheme="minorEastAsia"/>
              </w:rPr>
              <w:t>m）；</w:t>
            </w:r>
          </w:p>
          <w:p>
            <w:pPr>
              <w:widowControl w:val="0"/>
              <w:numPr>
                <w:ilvl w:val="0"/>
                <w:numId w:val="7"/>
              </w:numPr>
              <w:rPr>
                <w:rFonts w:asciiTheme="minorEastAsia" w:hAnsiTheme="minorEastAsia" w:eastAsiaTheme="minorEastAsia"/>
              </w:rPr>
            </w:pPr>
            <w:r>
              <w:rPr>
                <w:rFonts w:hint="eastAsia" w:asciiTheme="minorEastAsia" w:hAnsiTheme="minorEastAsia" w:eastAsiaTheme="minorEastAsia"/>
              </w:rPr>
              <w:t>高透过率红外镜头：焦距500mm F#4.0（透过波段3.7</w:t>
            </w:r>
            <w:r>
              <w:rPr>
                <w:rFonts w:cs="Calibri" w:asciiTheme="minorEastAsia" w:hAnsiTheme="minorEastAsia" w:eastAsiaTheme="minorEastAsia"/>
              </w:rPr>
              <w:t>μ</w:t>
            </w:r>
            <w:r>
              <w:rPr>
                <w:rFonts w:hint="eastAsia" w:asciiTheme="minorEastAsia" w:hAnsiTheme="minorEastAsia" w:eastAsiaTheme="minorEastAsia"/>
              </w:rPr>
              <w:t>m～4.8</w:t>
            </w:r>
            <w:r>
              <w:rPr>
                <w:rFonts w:cs="Calibri" w:asciiTheme="minorEastAsia" w:hAnsiTheme="minorEastAsia" w:eastAsiaTheme="minorEastAsia"/>
              </w:rPr>
              <w:t>μ</w:t>
            </w:r>
            <w:r>
              <w:rPr>
                <w:rFonts w:hint="eastAsia" w:asciiTheme="minorEastAsia" w:hAnsiTheme="minorEastAsia" w:eastAsiaTheme="minorEastAsia"/>
              </w:rPr>
              <w:t>m），透过率＞89%；</w:t>
            </w:r>
          </w:p>
          <w:p>
            <w:pPr>
              <w:widowControl w:val="0"/>
              <w:numPr>
                <w:ilvl w:val="0"/>
                <w:numId w:val="7"/>
              </w:numPr>
              <w:rPr>
                <w:rFonts w:asciiTheme="minorEastAsia" w:hAnsiTheme="minorEastAsia" w:eastAsiaTheme="minorEastAsia"/>
              </w:rPr>
            </w:pPr>
            <w:r>
              <w:rPr>
                <w:rFonts w:hint="eastAsia" w:asciiTheme="minorEastAsia" w:hAnsiTheme="minorEastAsia" w:eastAsiaTheme="minorEastAsia"/>
              </w:rPr>
              <w:t>红外成像电路：以AD采样和FPGA为主控芯片，为主要功能的成像电路组件；</w:t>
            </w:r>
          </w:p>
          <w:p>
            <w:pPr>
              <w:widowControl w:val="0"/>
              <w:numPr>
                <w:ilvl w:val="0"/>
                <w:numId w:val="7"/>
              </w:numPr>
              <w:rPr>
                <w:rFonts w:asciiTheme="minorEastAsia" w:hAnsiTheme="minorEastAsia" w:eastAsiaTheme="minorEastAsia"/>
              </w:rPr>
            </w:pPr>
            <w:r>
              <w:rPr>
                <w:rFonts w:hint="eastAsia" w:asciiTheme="minorEastAsia" w:hAnsiTheme="minorEastAsia" w:eastAsiaTheme="minorEastAsia"/>
              </w:rPr>
              <w:t>高清网络输出模块：14bit原始视频转网络高清网络模块；</w:t>
            </w:r>
          </w:p>
          <w:p>
            <w:pPr>
              <w:widowControl w:val="0"/>
              <w:numPr>
                <w:ilvl w:val="0"/>
                <w:numId w:val="7"/>
              </w:numPr>
              <w:rPr>
                <w:rFonts w:asciiTheme="minorEastAsia" w:hAnsiTheme="minorEastAsia" w:eastAsiaTheme="minorEastAsia"/>
              </w:rPr>
            </w:pPr>
            <w:r>
              <w:rPr>
                <w:rFonts w:hint="eastAsia" w:asciiTheme="minorEastAsia" w:hAnsiTheme="minorEastAsia" w:eastAsiaTheme="minorEastAsia"/>
              </w:rPr>
              <w:t>系统重量＜5Kg；</w:t>
            </w:r>
          </w:p>
          <w:p>
            <w:pPr>
              <w:widowControl w:val="0"/>
              <w:numPr>
                <w:ilvl w:val="0"/>
                <w:numId w:val="7"/>
              </w:numPr>
              <w:rPr>
                <w:rFonts w:asciiTheme="minorEastAsia" w:hAnsiTheme="minorEastAsia" w:eastAsiaTheme="minorEastAsia"/>
              </w:rPr>
            </w:pPr>
            <w:r>
              <w:rPr>
                <w:rFonts w:hint="eastAsia" w:asciiTheme="minorEastAsia" w:hAnsiTheme="minorEastAsia" w:eastAsiaTheme="minorEastAsia"/>
              </w:rPr>
              <w:t>对外接口采用工业级J30J-25ZKW；</w:t>
            </w:r>
          </w:p>
          <w:p>
            <w:pPr>
              <w:widowControl w:val="0"/>
              <w:numPr>
                <w:ilvl w:val="0"/>
                <w:numId w:val="7"/>
              </w:numPr>
              <w:rPr>
                <w:rFonts w:asciiTheme="minorEastAsia" w:hAnsiTheme="minorEastAsia" w:eastAsiaTheme="minorEastAsia"/>
              </w:rPr>
            </w:pPr>
            <w:r>
              <w:rPr>
                <w:rFonts w:hint="eastAsia" w:asciiTheme="minorEastAsia" w:hAnsiTheme="minorEastAsia" w:eastAsiaTheme="minorEastAsia"/>
              </w:rPr>
              <w:t>红外镜头景深≥200m；</w:t>
            </w:r>
          </w:p>
          <w:p>
            <w:pPr>
              <w:widowControl w:val="0"/>
              <w:numPr>
                <w:ilvl w:val="0"/>
                <w:numId w:val="7"/>
              </w:numPr>
              <w:rPr>
                <w:rFonts w:asciiTheme="minorEastAsia" w:hAnsiTheme="minorEastAsia" w:eastAsiaTheme="minorEastAsia"/>
              </w:rPr>
            </w:pPr>
            <w:r>
              <w:rPr>
                <w:rFonts w:hint="eastAsia" w:asciiTheme="minorEastAsia" w:hAnsiTheme="minorEastAsia" w:eastAsiaTheme="minorEastAsia"/>
              </w:rPr>
              <w:t>MTTF≥1.5Wh；</w:t>
            </w:r>
          </w:p>
          <w:p>
            <w:pPr>
              <w:widowControl w:val="0"/>
              <w:numPr>
                <w:ilvl w:val="0"/>
                <w:numId w:val="7"/>
              </w:numPr>
              <w:rPr>
                <w:rFonts w:asciiTheme="minorEastAsia" w:hAnsiTheme="minorEastAsia" w:eastAsiaTheme="minorEastAsia"/>
              </w:rPr>
            </w:pPr>
            <w:r>
              <w:rPr>
                <w:rFonts w:hint="eastAsia" w:asciiTheme="minorEastAsia" w:hAnsiTheme="minorEastAsia" w:eastAsiaTheme="minorEastAsia"/>
              </w:rPr>
              <w:t>系统角分辨率≥0.03mrad；</w:t>
            </w:r>
          </w:p>
          <w:p>
            <w:pPr>
              <w:widowControl w:val="0"/>
              <w:numPr>
                <w:ilvl w:val="0"/>
                <w:numId w:val="7"/>
              </w:numPr>
              <w:rPr>
                <w:rFonts w:asciiTheme="minorEastAsia" w:hAnsiTheme="minorEastAsia" w:eastAsiaTheme="minorEastAsia"/>
              </w:rPr>
            </w:pPr>
            <w:r>
              <w:rPr>
                <w:rFonts w:hint="eastAsia" w:asciiTheme="minorEastAsia" w:hAnsiTheme="minorEastAsia" w:eastAsiaTheme="minorEastAsia"/>
              </w:rPr>
              <w:t>模拟视频格式：PAL/NTSC；</w:t>
            </w:r>
          </w:p>
          <w:p>
            <w:pPr>
              <w:widowControl w:val="0"/>
              <w:numPr>
                <w:ilvl w:val="0"/>
                <w:numId w:val="7"/>
              </w:numPr>
              <w:rPr>
                <w:rFonts w:asciiTheme="minorEastAsia" w:hAnsiTheme="minorEastAsia" w:eastAsiaTheme="minorEastAsia"/>
              </w:rPr>
            </w:pPr>
            <w:r>
              <w:rPr>
                <w:rFonts w:hint="eastAsia" w:asciiTheme="minorEastAsia" w:hAnsiTheme="minorEastAsia" w:eastAsiaTheme="minorEastAsia"/>
              </w:rPr>
              <w:t>数字视频格式：</w:t>
            </w:r>
            <w:r>
              <w:rPr>
                <w:rFonts w:asciiTheme="minorEastAsia" w:hAnsiTheme="minorEastAsia" w:eastAsiaTheme="minorEastAsia"/>
              </w:rPr>
              <w:t>C</w:t>
            </w:r>
            <w:r>
              <w:rPr>
                <w:rFonts w:hint="eastAsia" w:asciiTheme="minorEastAsia" w:hAnsiTheme="minorEastAsia" w:eastAsiaTheme="minorEastAsia"/>
              </w:rPr>
              <w:t>ameralink</w:t>
            </w:r>
            <w:r>
              <w:rPr>
                <w:rFonts w:asciiTheme="minorEastAsia" w:hAnsiTheme="minorEastAsia" w:eastAsiaTheme="minorEastAsia"/>
              </w:rPr>
              <w:t> </w:t>
            </w:r>
            <w:r>
              <w:rPr>
                <w:rFonts w:hint="eastAsia" w:asciiTheme="minorEastAsia" w:hAnsiTheme="minorEastAsia" w:eastAsiaTheme="minorEastAsia"/>
              </w:rPr>
              <w:t>(14位原始数据或8位视频数据)；</w:t>
            </w:r>
          </w:p>
          <w:p>
            <w:pPr>
              <w:widowControl w:val="0"/>
              <w:numPr>
                <w:ilvl w:val="0"/>
                <w:numId w:val="7"/>
              </w:numPr>
              <w:rPr>
                <w:rFonts w:asciiTheme="minorEastAsia" w:hAnsiTheme="minorEastAsia" w:eastAsiaTheme="minorEastAsia"/>
              </w:rPr>
            </w:pPr>
            <w:r>
              <w:rPr>
                <w:rFonts w:hint="eastAsia" w:asciiTheme="minorEastAsia" w:hAnsiTheme="minorEastAsia" w:eastAsiaTheme="minorEastAsia"/>
              </w:rPr>
              <w:t>操控传输协议：RS232，RS422；</w:t>
            </w:r>
          </w:p>
          <w:p>
            <w:pPr>
              <w:widowControl w:val="0"/>
              <w:numPr>
                <w:ilvl w:val="0"/>
                <w:numId w:val="7"/>
              </w:numPr>
              <w:rPr>
                <w:rFonts w:asciiTheme="minorEastAsia" w:hAnsiTheme="minorEastAsia" w:eastAsiaTheme="minorEastAsia"/>
              </w:rPr>
            </w:pPr>
            <w:r>
              <w:rPr>
                <w:rFonts w:hint="eastAsia" w:asciiTheme="minorEastAsia" w:hAnsiTheme="minorEastAsia" w:eastAsiaTheme="minorEastAsia"/>
              </w:rPr>
              <w:t>系统启动时间＜6min（全温区）。</w:t>
            </w:r>
          </w:p>
          <w:p>
            <w:pPr>
              <w:rPr>
                <w:rFonts w:asciiTheme="minorEastAsia" w:hAnsiTheme="minorEastAsia" w:eastAsiaTheme="minorEastAsia"/>
              </w:rPr>
            </w:pPr>
            <w:r>
              <w:rPr>
                <w:rFonts w:hint="eastAsia" w:asciiTheme="minorEastAsia" w:hAnsiTheme="minorEastAsia" w:eastAsiaTheme="minorEastAsia"/>
              </w:rPr>
              <w:t>二、产品功能</w:t>
            </w:r>
          </w:p>
          <w:p>
            <w:pPr>
              <w:widowControl w:val="0"/>
              <w:numPr>
                <w:ilvl w:val="0"/>
                <w:numId w:val="8"/>
              </w:numPr>
              <w:rPr>
                <w:rFonts w:asciiTheme="minorEastAsia" w:hAnsiTheme="minorEastAsia" w:eastAsiaTheme="minorEastAsia"/>
              </w:rPr>
            </w:pPr>
            <w:r>
              <w:rPr>
                <w:rFonts w:hint="eastAsia" w:asciiTheme="minorEastAsia" w:hAnsiTheme="minorEastAsia" w:eastAsiaTheme="minorEastAsia"/>
              </w:rPr>
              <w:t>图像预处理功能：其中包括图像亮度对比度自动增强、图像降噪、FLIR专用数字细节增强算法（DDE算法）；</w:t>
            </w:r>
          </w:p>
          <w:p>
            <w:pPr>
              <w:widowControl w:val="0"/>
              <w:numPr>
                <w:ilvl w:val="0"/>
                <w:numId w:val="8"/>
              </w:numPr>
              <w:rPr>
                <w:rFonts w:asciiTheme="minorEastAsia" w:hAnsiTheme="minorEastAsia" w:eastAsiaTheme="minorEastAsia"/>
              </w:rPr>
            </w:pPr>
            <w:r>
              <w:rPr>
                <w:rFonts w:hint="eastAsia" w:asciiTheme="minorEastAsia" w:hAnsiTheme="minorEastAsia" w:eastAsiaTheme="minorEastAsia"/>
              </w:rPr>
              <w:t>图像多帧频输出功能：25Hz、50Hz、100Hz；</w:t>
            </w:r>
          </w:p>
          <w:p>
            <w:pPr>
              <w:widowControl w:val="0"/>
              <w:numPr>
                <w:ilvl w:val="0"/>
                <w:numId w:val="8"/>
              </w:numPr>
              <w:rPr>
                <w:rFonts w:asciiTheme="minorEastAsia" w:hAnsiTheme="minorEastAsia" w:eastAsiaTheme="minorEastAsia"/>
              </w:rPr>
            </w:pPr>
            <w:r>
              <w:rPr>
                <w:rFonts w:hint="eastAsia" w:asciiTheme="minorEastAsia" w:hAnsiTheme="minorEastAsia" w:eastAsiaTheme="minorEastAsia"/>
              </w:rPr>
              <w:t>多设备数据交联功能：外同步差分信号；</w:t>
            </w:r>
          </w:p>
          <w:p>
            <w:pPr>
              <w:widowControl w:val="0"/>
              <w:numPr>
                <w:ilvl w:val="0"/>
                <w:numId w:val="8"/>
              </w:numPr>
              <w:rPr>
                <w:rFonts w:asciiTheme="minorEastAsia" w:hAnsiTheme="minorEastAsia" w:eastAsiaTheme="minorEastAsia"/>
              </w:rPr>
            </w:pPr>
            <w:r>
              <w:rPr>
                <w:rFonts w:hint="eastAsia" w:asciiTheme="minorEastAsia" w:hAnsiTheme="minorEastAsia" w:eastAsiaTheme="minorEastAsia"/>
              </w:rPr>
              <w:t>高灵敏度探测功能：清晰探测与背景温差≤0.03℃的目标；</w:t>
            </w:r>
          </w:p>
          <w:p>
            <w:pPr>
              <w:widowControl w:val="0"/>
              <w:numPr>
                <w:ilvl w:val="0"/>
                <w:numId w:val="8"/>
              </w:numPr>
              <w:rPr>
                <w:rFonts w:asciiTheme="minorEastAsia" w:hAnsiTheme="minorEastAsia" w:eastAsiaTheme="minorEastAsia"/>
              </w:rPr>
            </w:pPr>
            <w:r>
              <w:rPr>
                <w:rFonts w:hint="eastAsia" w:asciiTheme="minorEastAsia" w:hAnsiTheme="minorEastAsia" w:eastAsiaTheme="minorEastAsia"/>
              </w:rPr>
              <w:t>灵敏度连续可调功能：通过破隙型红外传感器积分时间连续可调（最长积分时间≥25ms）实现系统灵敏度可调，兼容更多使用场景；</w:t>
            </w:r>
          </w:p>
          <w:p>
            <w:pPr>
              <w:widowControl w:val="0"/>
              <w:numPr>
                <w:ilvl w:val="0"/>
                <w:numId w:val="8"/>
              </w:numPr>
              <w:rPr>
                <w:rFonts w:asciiTheme="minorEastAsia" w:hAnsiTheme="minorEastAsia" w:eastAsiaTheme="minorEastAsia"/>
              </w:rPr>
            </w:pPr>
            <w:r>
              <w:rPr>
                <w:rFonts w:hint="eastAsia" w:asciiTheme="minorEastAsia" w:hAnsiTheme="minorEastAsia" w:eastAsiaTheme="minorEastAsia"/>
              </w:rPr>
              <w:t>远距离探测功能：实现 10km-30km范围的高温目标区域探测；</w:t>
            </w:r>
          </w:p>
          <w:p>
            <w:pPr>
              <w:widowControl w:val="0"/>
              <w:numPr>
                <w:ilvl w:val="0"/>
                <w:numId w:val="8"/>
              </w:numPr>
              <w:rPr>
                <w:rFonts w:asciiTheme="minorEastAsia" w:hAnsiTheme="minorEastAsia" w:eastAsiaTheme="minorEastAsia"/>
              </w:rPr>
            </w:pPr>
            <w:r>
              <w:rPr>
                <w:rFonts w:hint="eastAsia" w:asciiTheme="minorEastAsia" w:hAnsiTheme="minorEastAsia" w:eastAsiaTheme="minorEastAsia"/>
              </w:rPr>
              <w:t>长续航无人检测功能：系统产品≥1.4万小时不间断运行，实现区域无人全自动检测功能；</w:t>
            </w:r>
          </w:p>
          <w:p>
            <w:pPr>
              <w:widowControl w:val="0"/>
              <w:numPr>
                <w:ilvl w:val="0"/>
                <w:numId w:val="8"/>
              </w:numPr>
              <w:rPr>
                <w:rFonts w:asciiTheme="minorEastAsia" w:hAnsiTheme="minorEastAsia" w:eastAsiaTheme="minorEastAsia"/>
              </w:rPr>
            </w:pPr>
            <w:r>
              <w:rPr>
                <w:rFonts w:hint="eastAsia" w:asciiTheme="minorEastAsia" w:hAnsiTheme="minorEastAsia" w:eastAsiaTheme="minorEastAsia"/>
              </w:rPr>
              <w:t>复杂气候条件探测功能：具备透雾、透雨，以及穿透雾霾的能力，实现全天候工作；</w:t>
            </w:r>
          </w:p>
          <w:p>
            <w:pPr>
              <w:widowControl w:val="0"/>
              <w:numPr>
                <w:ilvl w:val="0"/>
                <w:numId w:val="8"/>
              </w:numPr>
              <w:rPr>
                <w:rFonts w:asciiTheme="minorEastAsia" w:hAnsiTheme="minorEastAsia" w:eastAsiaTheme="minorEastAsia"/>
              </w:rPr>
            </w:pPr>
            <w:r>
              <w:rPr>
                <w:rFonts w:hint="eastAsia" w:asciiTheme="minorEastAsia" w:hAnsiTheme="minorEastAsia" w:eastAsiaTheme="minorEastAsia"/>
              </w:rPr>
              <w:t>一键图像自动聚焦功能：具备图像中心区域对比度高点自动聚焦功能和全屏对比度高点自动聚焦功能；</w:t>
            </w:r>
          </w:p>
          <w:p>
            <w:pPr>
              <w:widowControl w:val="0"/>
              <w:numPr>
                <w:ilvl w:val="0"/>
                <w:numId w:val="8"/>
              </w:numPr>
              <w:rPr>
                <w:rFonts w:asciiTheme="minorEastAsia" w:hAnsiTheme="minorEastAsia" w:eastAsiaTheme="minorEastAsia"/>
              </w:rPr>
            </w:pPr>
            <w:r>
              <w:rPr>
                <w:rFonts w:hint="eastAsia" w:asciiTheme="minorEastAsia" w:hAnsiTheme="minorEastAsia" w:eastAsiaTheme="minorEastAsia"/>
              </w:rPr>
              <w:t>电动热补偿功能：通过自动聚焦实现镜头热补偿功能。</w:t>
            </w:r>
          </w:p>
        </w:tc>
        <w:tc>
          <w:tcPr>
            <w:tcW w:w="357" w:type="pct"/>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b/>
                <w:lang w:eastAsia="zh-CN"/>
              </w:rPr>
            </w:pPr>
            <w:r>
              <w:rPr>
                <w:rFonts w:hint="eastAsia" w:cs="宋体" w:asciiTheme="minorEastAsia" w:hAnsiTheme="minorEastAsia" w:eastAsiaTheme="minorEastAsia"/>
                <w:b/>
                <w:lang w:val="en-US" w:eastAsia="zh-CN"/>
              </w:rPr>
              <w:t>2</w:t>
            </w:r>
            <w:bookmarkStart w:id="254" w:name="_GoBack"/>
            <w:bookmarkEnd w:id="2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56"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c>
          <w:tcPr>
            <w:tcW w:w="619"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制冷型红外探测器-气体热像仪</w:t>
            </w:r>
          </w:p>
        </w:tc>
        <w:tc>
          <w:tcPr>
            <w:tcW w:w="366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一、硬件参数</w:t>
            </w:r>
          </w:p>
          <w:p>
            <w:pPr>
              <w:widowControl w:val="0"/>
              <w:numPr>
                <w:ilvl w:val="0"/>
                <w:numId w:val="9"/>
              </w:numPr>
              <w:rPr>
                <w:rFonts w:asciiTheme="minorEastAsia" w:hAnsiTheme="minorEastAsia" w:eastAsiaTheme="minorEastAsia"/>
              </w:rPr>
            </w:pPr>
            <w:r>
              <w:rPr>
                <w:rFonts w:asciiTheme="minorEastAsia" w:hAnsiTheme="minorEastAsia" w:eastAsiaTheme="minorEastAsia"/>
              </w:rPr>
              <w:t>探测器类型：640X512 15μm（透过波段3.2μm～3.5μm）；</w:t>
            </w:r>
          </w:p>
          <w:p>
            <w:pPr>
              <w:widowControl w:val="0"/>
              <w:numPr>
                <w:ilvl w:val="0"/>
                <w:numId w:val="9"/>
              </w:numPr>
              <w:rPr>
                <w:rFonts w:asciiTheme="minorEastAsia" w:hAnsiTheme="minorEastAsia" w:eastAsiaTheme="minorEastAsia"/>
              </w:rPr>
            </w:pPr>
            <w:r>
              <w:rPr>
                <w:rFonts w:asciiTheme="minorEastAsia" w:hAnsiTheme="minorEastAsia" w:eastAsiaTheme="minorEastAsia"/>
              </w:rPr>
              <w:t>气体探测专用红外镜头：焦距50mm F#1.5（透过波段3.2μm～4.8μm）；</w:t>
            </w:r>
          </w:p>
          <w:p>
            <w:pPr>
              <w:widowControl w:val="0"/>
              <w:numPr>
                <w:ilvl w:val="0"/>
                <w:numId w:val="9"/>
              </w:numPr>
              <w:rPr>
                <w:rFonts w:asciiTheme="minorEastAsia" w:hAnsiTheme="minorEastAsia" w:eastAsiaTheme="minorEastAsia"/>
              </w:rPr>
            </w:pPr>
            <w:r>
              <w:rPr>
                <w:rFonts w:asciiTheme="minorEastAsia" w:hAnsiTheme="minorEastAsia" w:eastAsiaTheme="minorEastAsia"/>
              </w:rPr>
              <w:t>红外成像电路：以AD采样和FPGA为主控芯片，为主要功能的成像电路组件；</w:t>
            </w:r>
          </w:p>
          <w:p>
            <w:pPr>
              <w:widowControl w:val="0"/>
              <w:numPr>
                <w:ilvl w:val="0"/>
                <w:numId w:val="9"/>
              </w:numPr>
              <w:rPr>
                <w:rFonts w:asciiTheme="minorEastAsia" w:hAnsiTheme="minorEastAsia" w:eastAsiaTheme="minorEastAsia"/>
              </w:rPr>
            </w:pPr>
            <w:r>
              <w:rPr>
                <w:rFonts w:asciiTheme="minorEastAsia" w:hAnsiTheme="minorEastAsia" w:eastAsiaTheme="minorEastAsia"/>
              </w:rPr>
              <w:t>高清</w:t>
            </w:r>
            <w:r>
              <w:rPr>
                <w:rFonts w:hint="eastAsia" w:asciiTheme="minorEastAsia" w:hAnsiTheme="minorEastAsia" w:eastAsiaTheme="minorEastAsia"/>
              </w:rPr>
              <w:t>网络</w:t>
            </w:r>
            <w:r>
              <w:rPr>
                <w:rFonts w:asciiTheme="minorEastAsia" w:hAnsiTheme="minorEastAsia" w:eastAsiaTheme="minorEastAsia"/>
              </w:rPr>
              <w:t>输出模块：14bit原始视频转网络高清网络模块；</w:t>
            </w:r>
          </w:p>
          <w:p>
            <w:pPr>
              <w:widowControl w:val="0"/>
              <w:numPr>
                <w:ilvl w:val="0"/>
                <w:numId w:val="9"/>
              </w:numPr>
              <w:rPr>
                <w:rFonts w:asciiTheme="minorEastAsia" w:hAnsiTheme="minorEastAsia" w:eastAsiaTheme="minorEastAsia"/>
              </w:rPr>
            </w:pPr>
            <w:r>
              <w:rPr>
                <w:rFonts w:asciiTheme="minorEastAsia" w:hAnsiTheme="minorEastAsia" w:eastAsiaTheme="minorEastAsia"/>
              </w:rPr>
              <w:t>系统重量＜2Kg；</w:t>
            </w:r>
          </w:p>
          <w:p>
            <w:pPr>
              <w:widowControl w:val="0"/>
              <w:numPr>
                <w:ilvl w:val="0"/>
                <w:numId w:val="9"/>
              </w:numPr>
              <w:rPr>
                <w:rFonts w:asciiTheme="minorEastAsia" w:hAnsiTheme="minorEastAsia" w:eastAsiaTheme="minorEastAsia"/>
              </w:rPr>
            </w:pPr>
            <w:r>
              <w:rPr>
                <w:rFonts w:asciiTheme="minorEastAsia" w:hAnsiTheme="minorEastAsia" w:eastAsiaTheme="minorEastAsia"/>
              </w:rPr>
              <w:t>对外接口：采用工业级J30J-25ZKW；</w:t>
            </w:r>
          </w:p>
          <w:p>
            <w:pPr>
              <w:widowControl w:val="0"/>
              <w:numPr>
                <w:ilvl w:val="0"/>
                <w:numId w:val="9"/>
              </w:numPr>
              <w:rPr>
                <w:rFonts w:asciiTheme="minorEastAsia" w:hAnsiTheme="minorEastAsia" w:eastAsiaTheme="minorEastAsia"/>
              </w:rPr>
            </w:pPr>
            <w:r>
              <w:rPr>
                <w:rFonts w:asciiTheme="minorEastAsia" w:hAnsiTheme="minorEastAsia" w:eastAsiaTheme="minorEastAsia"/>
              </w:rPr>
              <w:t>红外镜头景深</w:t>
            </w:r>
            <w:r>
              <w:rPr>
                <w:rFonts w:hint="eastAsia" w:asciiTheme="minorEastAsia" w:hAnsiTheme="minorEastAsia" w:eastAsiaTheme="minorEastAsia"/>
              </w:rPr>
              <w:t>≥</w:t>
            </w:r>
            <w:r>
              <w:rPr>
                <w:rFonts w:asciiTheme="minorEastAsia" w:hAnsiTheme="minorEastAsia" w:eastAsiaTheme="minorEastAsia"/>
              </w:rPr>
              <w:t>3m；</w:t>
            </w:r>
          </w:p>
          <w:p>
            <w:pPr>
              <w:widowControl w:val="0"/>
              <w:numPr>
                <w:ilvl w:val="0"/>
                <w:numId w:val="9"/>
              </w:numPr>
              <w:rPr>
                <w:rFonts w:asciiTheme="minorEastAsia" w:hAnsiTheme="minorEastAsia" w:eastAsiaTheme="minorEastAsia"/>
              </w:rPr>
            </w:pPr>
            <w:r>
              <w:rPr>
                <w:rFonts w:asciiTheme="minorEastAsia" w:hAnsiTheme="minorEastAsia" w:eastAsiaTheme="minorEastAsia"/>
              </w:rPr>
              <w:t>MTTF</w:t>
            </w:r>
            <w:r>
              <w:rPr>
                <w:rFonts w:hint="eastAsia" w:asciiTheme="minorEastAsia" w:hAnsiTheme="minorEastAsia" w:eastAsiaTheme="minorEastAsia"/>
              </w:rPr>
              <w:t>≥</w:t>
            </w:r>
            <w:r>
              <w:rPr>
                <w:rFonts w:asciiTheme="minorEastAsia" w:hAnsiTheme="minorEastAsia" w:eastAsiaTheme="minorEastAsia"/>
              </w:rPr>
              <w:t>8000h；</w:t>
            </w:r>
          </w:p>
          <w:p>
            <w:pPr>
              <w:widowControl w:val="0"/>
              <w:numPr>
                <w:ilvl w:val="0"/>
                <w:numId w:val="9"/>
              </w:numPr>
              <w:rPr>
                <w:rFonts w:asciiTheme="minorEastAsia" w:hAnsiTheme="minorEastAsia" w:eastAsiaTheme="minorEastAsia"/>
              </w:rPr>
            </w:pPr>
            <w:r>
              <w:rPr>
                <w:rFonts w:asciiTheme="minorEastAsia" w:hAnsiTheme="minorEastAsia" w:eastAsiaTheme="minorEastAsia"/>
              </w:rPr>
              <w:t>系统角分辨率</w:t>
            </w:r>
            <w:r>
              <w:rPr>
                <w:rFonts w:hint="eastAsia" w:asciiTheme="minorEastAsia" w:hAnsiTheme="minorEastAsia" w:eastAsiaTheme="minorEastAsia"/>
              </w:rPr>
              <w:t>≥</w:t>
            </w:r>
            <w:r>
              <w:rPr>
                <w:rFonts w:asciiTheme="minorEastAsia" w:hAnsiTheme="minorEastAsia" w:eastAsiaTheme="minorEastAsia"/>
              </w:rPr>
              <w:t>0.3mrad；</w:t>
            </w:r>
          </w:p>
          <w:p>
            <w:pPr>
              <w:widowControl w:val="0"/>
              <w:numPr>
                <w:ilvl w:val="0"/>
                <w:numId w:val="9"/>
              </w:numPr>
              <w:rPr>
                <w:rFonts w:asciiTheme="minorEastAsia" w:hAnsiTheme="minorEastAsia" w:eastAsiaTheme="minorEastAsia"/>
              </w:rPr>
            </w:pPr>
            <w:r>
              <w:rPr>
                <w:rFonts w:asciiTheme="minorEastAsia" w:hAnsiTheme="minorEastAsia" w:eastAsiaTheme="minorEastAsia"/>
              </w:rPr>
              <w:t>模拟视频格式：PAL/NTSC；</w:t>
            </w:r>
          </w:p>
          <w:p>
            <w:pPr>
              <w:widowControl w:val="0"/>
              <w:numPr>
                <w:ilvl w:val="0"/>
                <w:numId w:val="9"/>
              </w:numPr>
              <w:rPr>
                <w:rFonts w:asciiTheme="minorEastAsia" w:hAnsiTheme="minorEastAsia" w:eastAsiaTheme="minorEastAsia"/>
              </w:rPr>
            </w:pPr>
            <w:r>
              <w:rPr>
                <w:rFonts w:asciiTheme="minorEastAsia" w:hAnsiTheme="minorEastAsia" w:eastAsiaTheme="minorEastAsia"/>
              </w:rPr>
              <w:t>数字视频格式：Cameralink (14位原始数据或8位视频数据)；</w:t>
            </w:r>
          </w:p>
          <w:p>
            <w:pPr>
              <w:widowControl w:val="0"/>
              <w:numPr>
                <w:ilvl w:val="0"/>
                <w:numId w:val="9"/>
              </w:numPr>
              <w:rPr>
                <w:rFonts w:asciiTheme="minorEastAsia" w:hAnsiTheme="minorEastAsia" w:eastAsiaTheme="minorEastAsia"/>
              </w:rPr>
            </w:pPr>
            <w:r>
              <w:rPr>
                <w:rFonts w:asciiTheme="minorEastAsia" w:hAnsiTheme="minorEastAsia" w:eastAsiaTheme="minorEastAsia"/>
              </w:rPr>
              <w:t>操控传输协议：RS232，RS422；</w:t>
            </w:r>
          </w:p>
          <w:p>
            <w:pPr>
              <w:widowControl w:val="0"/>
              <w:numPr>
                <w:ilvl w:val="0"/>
                <w:numId w:val="9"/>
              </w:numPr>
              <w:rPr>
                <w:rFonts w:asciiTheme="minorEastAsia" w:hAnsiTheme="minorEastAsia" w:eastAsiaTheme="minorEastAsia"/>
              </w:rPr>
            </w:pPr>
            <w:r>
              <w:rPr>
                <w:rFonts w:asciiTheme="minorEastAsia" w:hAnsiTheme="minorEastAsia" w:eastAsiaTheme="minorEastAsia"/>
              </w:rPr>
              <w:t>系统启动时间＜8min（全温区）。</w:t>
            </w:r>
          </w:p>
          <w:p>
            <w:pPr>
              <w:rPr>
                <w:rFonts w:asciiTheme="minorEastAsia" w:hAnsiTheme="minorEastAsia" w:eastAsiaTheme="minorEastAsia"/>
              </w:rPr>
            </w:pPr>
            <w:r>
              <w:rPr>
                <w:rFonts w:asciiTheme="minorEastAsia" w:hAnsiTheme="minorEastAsia" w:eastAsiaTheme="minorEastAsia"/>
              </w:rPr>
              <w:t>二、产品功能</w:t>
            </w:r>
          </w:p>
          <w:p>
            <w:pPr>
              <w:widowControl w:val="0"/>
              <w:numPr>
                <w:ilvl w:val="0"/>
                <w:numId w:val="10"/>
              </w:numPr>
              <w:rPr>
                <w:rFonts w:asciiTheme="minorEastAsia" w:hAnsiTheme="minorEastAsia" w:eastAsiaTheme="minorEastAsia"/>
              </w:rPr>
            </w:pPr>
            <w:r>
              <w:rPr>
                <w:rFonts w:asciiTheme="minorEastAsia" w:hAnsiTheme="minorEastAsia" w:eastAsiaTheme="minorEastAsia"/>
              </w:rPr>
              <w:t>图像预处理功能：其中包括图像亮度对比度自动增强、图像降噪、FLIR专用数字细节增强算法（DDE算法）；</w:t>
            </w:r>
          </w:p>
          <w:p>
            <w:pPr>
              <w:widowControl w:val="0"/>
              <w:numPr>
                <w:ilvl w:val="0"/>
                <w:numId w:val="10"/>
              </w:numPr>
              <w:rPr>
                <w:rFonts w:asciiTheme="minorEastAsia" w:hAnsiTheme="minorEastAsia" w:eastAsiaTheme="minorEastAsia"/>
              </w:rPr>
            </w:pPr>
            <w:r>
              <w:rPr>
                <w:rFonts w:asciiTheme="minorEastAsia" w:hAnsiTheme="minorEastAsia" w:eastAsiaTheme="minorEastAsia"/>
              </w:rPr>
              <w:t>图像多帧频输出功能：25Hz、50Hz、100Hz；</w:t>
            </w:r>
          </w:p>
          <w:p>
            <w:pPr>
              <w:widowControl w:val="0"/>
              <w:numPr>
                <w:ilvl w:val="0"/>
                <w:numId w:val="10"/>
              </w:numPr>
              <w:rPr>
                <w:rFonts w:asciiTheme="minorEastAsia" w:hAnsiTheme="minorEastAsia" w:eastAsiaTheme="minorEastAsia"/>
              </w:rPr>
            </w:pPr>
            <w:r>
              <w:rPr>
                <w:rFonts w:asciiTheme="minorEastAsia" w:hAnsiTheme="minorEastAsia" w:eastAsiaTheme="minorEastAsia"/>
              </w:rPr>
              <w:t>多设备数据交联功能：外同步差分信号；</w:t>
            </w:r>
          </w:p>
          <w:p>
            <w:pPr>
              <w:widowControl w:val="0"/>
              <w:numPr>
                <w:ilvl w:val="0"/>
                <w:numId w:val="10"/>
              </w:numPr>
              <w:rPr>
                <w:rFonts w:asciiTheme="minorEastAsia" w:hAnsiTheme="minorEastAsia" w:eastAsiaTheme="minorEastAsia"/>
              </w:rPr>
            </w:pPr>
            <w:r>
              <w:rPr>
                <w:rFonts w:asciiTheme="minorEastAsia" w:hAnsiTheme="minorEastAsia" w:eastAsiaTheme="minorEastAsia"/>
              </w:rPr>
              <w:t>高灵敏度探测功能：清晰探测与背景温差</w:t>
            </w:r>
            <w:r>
              <w:rPr>
                <w:rFonts w:hint="eastAsia" w:asciiTheme="minorEastAsia" w:hAnsiTheme="minorEastAsia" w:eastAsiaTheme="minorEastAsia"/>
              </w:rPr>
              <w:t>≤</w:t>
            </w:r>
            <w:r>
              <w:rPr>
                <w:rFonts w:asciiTheme="minorEastAsia" w:hAnsiTheme="minorEastAsia" w:eastAsiaTheme="minorEastAsia"/>
              </w:rPr>
              <w:t>0.03℃的目标；</w:t>
            </w:r>
          </w:p>
          <w:p>
            <w:pPr>
              <w:widowControl w:val="0"/>
              <w:numPr>
                <w:ilvl w:val="0"/>
                <w:numId w:val="10"/>
              </w:numPr>
              <w:rPr>
                <w:rFonts w:asciiTheme="minorEastAsia" w:hAnsiTheme="minorEastAsia" w:eastAsiaTheme="minorEastAsia"/>
              </w:rPr>
            </w:pPr>
            <w:r>
              <w:rPr>
                <w:rFonts w:asciiTheme="minorEastAsia" w:hAnsiTheme="minorEastAsia" w:eastAsiaTheme="minorEastAsia"/>
              </w:rPr>
              <w:t>灵敏度连续可调功能：通过破隙型红外传感器积分时间连续可调（最长积分时间</w:t>
            </w:r>
            <w:r>
              <w:rPr>
                <w:rFonts w:hint="eastAsia" w:asciiTheme="minorEastAsia" w:hAnsiTheme="minorEastAsia" w:eastAsiaTheme="minorEastAsia"/>
              </w:rPr>
              <w:t>≥</w:t>
            </w:r>
            <w:r>
              <w:rPr>
                <w:rFonts w:asciiTheme="minorEastAsia" w:hAnsiTheme="minorEastAsia" w:eastAsiaTheme="minorEastAsia"/>
              </w:rPr>
              <w:t>150ms）实现系统灵敏度可调，兼容更多使用场景；</w:t>
            </w:r>
          </w:p>
          <w:p>
            <w:pPr>
              <w:widowControl w:val="0"/>
              <w:numPr>
                <w:ilvl w:val="0"/>
                <w:numId w:val="10"/>
              </w:numPr>
              <w:rPr>
                <w:rFonts w:asciiTheme="minorEastAsia" w:hAnsiTheme="minorEastAsia" w:eastAsiaTheme="minorEastAsia"/>
              </w:rPr>
            </w:pPr>
            <w:r>
              <w:rPr>
                <w:rFonts w:asciiTheme="minorEastAsia" w:hAnsiTheme="minorEastAsia" w:eastAsiaTheme="minorEastAsia"/>
              </w:rPr>
              <w:t>多种气体探测功能：可探测苯、乙醇、乙苯、庚烷、正己烷、异戊二烯、甲醇、 MEK、 MIBK、辛烷、戊烷、 1-戊烯、甲苯、二甲苯、丁烷、乙烷、甲烷、丙烷、乙烯和丙烯</w:t>
            </w:r>
            <w:r>
              <w:rPr>
                <w:rFonts w:hint="eastAsia" w:asciiTheme="minorEastAsia" w:hAnsiTheme="minorEastAsia" w:eastAsiaTheme="minorEastAsia"/>
              </w:rPr>
              <w:t>等有毒有害气体；</w:t>
            </w:r>
          </w:p>
          <w:p>
            <w:pPr>
              <w:widowControl w:val="0"/>
              <w:numPr>
                <w:ilvl w:val="0"/>
                <w:numId w:val="10"/>
              </w:numPr>
              <w:rPr>
                <w:rFonts w:asciiTheme="minorEastAsia" w:hAnsiTheme="minorEastAsia" w:eastAsiaTheme="minorEastAsia"/>
              </w:rPr>
            </w:pPr>
            <w:r>
              <w:rPr>
                <w:rFonts w:asciiTheme="minorEastAsia" w:hAnsiTheme="minorEastAsia" w:eastAsiaTheme="minorEastAsia"/>
              </w:rPr>
              <w:t>远距离探测功能：实现</w:t>
            </w:r>
            <w:r>
              <w:rPr>
                <w:rFonts w:hint="eastAsia" w:asciiTheme="minorEastAsia" w:hAnsiTheme="minorEastAsia" w:eastAsiaTheme="minorEastAsia"/>
              </w:rPr>
              <w:t>≥</w:t>
            </w:r>
            <w:r>
              <w:rPr>
                <w:rFonts w:asciiTheme="minorEastAsia" w:hAnsiTheme="minorEastAsia" w:eastAsiaTheme="minorEastAsia"/>
              </w:rPr>
              <w:t>10km范围的高温目标区域探测；</w:t>
            </w:r>
          </w:p>
          <w:p>
            <w:pPr>
              <w:widowControl w:val="0"/>
              <w:numPr>
                <w:ilvl w:val="0"/>
                <w:numId w:val="10"/>
              </w:numPr>
              <w:rPr>
                <w:rFonts w:asciiTheme="minorEastAsia" w:hAnsiTheme="minorEastAsia" w:eastAsiaTheme="minorEastAsia"/>
              </w:rPr>
            </w:pPr>
            <w:r>
              <w:rPr>
                <w:rFonts w:asciiTheme="minorEastAsia" w:hAnsiTheme="minorEastAsia" w:eastAsiaTheme="minorEastAsia"/>
              </w:rPr>
              <w:t>长续航无人检测功能：系统产品</w:t>
            </w:r>
            <w:r>
              <w:rPr>
                <w:rFonts w:hint="eastAsia" w:asciiTheme="minorEastAsia" w:hAnsiTheme="minorEastAsia" w:eastAsiaTheme="minorEastAsia"/>
              </w:rPr>
              <w:t>≥</w:t>
            </w:r>
            <w:r>
              <w:rPr>
                <w:rFonts w:asciiTheme="minorEastAsia" w:hAnsiTheme="minorEastAsia" w:eastAsiaTheme="minorEastAsia"/>
              </w:rPr>
              <w:t>8000小时不间断运行，实现区域无人全自动检测功能；</w:t>
            </w:r>
          </w:p>
          <w:p>
            <w:pPr>
              <w:widowControl w:val="0"/>
              <w:numPr>
                <w:ilvl w:val="0"/>
                <w:numId w:val="10"/>
              </w:numPr>
              <w:rPr>
                <w:rFonts w:asciiTheme="minorEastAsia" w:hAnsiTheme="minorEastAsia" w:eastAsiaTheme="minorEastAsia"/>
              </w:rPr>
            </w:pPr>
            <w:r>
              <w:rPr>
                <w:rFonts w:hint="eastAsia" w:asciiTheme="minorEastAsia" w:hAnsiTheme="minorEastAsia" w:eastAsiaTheme="minorEastAsia"/>
              </w:rPr>
              <w:t>复</w:t>
            </w:r>
            <w:r>
              <w:rPr>
                <w:rFonts w:asciiTheme="minorEastAsia" w:hAnsiTheme="minorEastAsia" w:eastAsiaTheme="minorEastAsia"/>
              </w:rPr>
              <w:t>杂气候条件探测功能：具备透雾、透雨，以及穿透雾霾的能力，实现全天候工作；</w:t>
            </w:r>
          </w:p>
          <w:p>
            <w:pPr>
              <w:widowControl w:val="0"/>
              <w:numPr>
                <w:ilvl w:val="0"/>
                <w:numId w:val="10"/>
              </w:numPr>
              <w:rPr>
                <w:rFonts w:asciiTheme="minorEastAsia" w:hAnsiTheme="minorEastAsia" w:eastAsiaTheme="minorEastAsia"/>
              </w:rPr>
            </w:pPr>
            <w:r>
              <w:rPr>
                <w:rFonts w:asciiTheme="minorEastAsia" w:hAnsiTheme="minorEastAsia" w:eastAsiaTheme="minorEastAsia"/>
              </w:rPr>
              <w:t>光学热补偿功能：通过光学材料间的匹配实现镜头热补偿功能。</w:t>
            </w:r>
          </w:p>
        </w:tc>
        <w:tc>
          <w:tcPr>
            <w:tcW w:w="357"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rPr>
            </w:pPr>
            <w:r>
              <w:rPr>
                <w:rFonts w:cs="宋体" w:asciiTheme="minorEastAsia" w:hAnsiTheme="minorEastAsia" w:eastAsiaTheme="minorEastAsia"/>
                <w:b/>
              </w:rPr>
              <w:t>2</w:t>
            </w:r>
          </w:p>
        </w:tc>
      </w:tr>
    </w:tbl>
    <w:p>
      <w:pPr>
        <w:pStyle w:val="3"/>
        <w:spacing w:line="360" w:lineRule="auto"/>
        <w:jc w:val="center"/>
        <w:rPr>
          <w:rFonts w:hAnsi="宋体" w:cs="宋体"/>
        </w:rPr>
      </w:pPr>
      <w:r>
        <w:rPr>
          <w:rFonts w:hint="eastAsia" w:hAnsi="宋体" w:cs="宋体"/>
        </w:rPr>
        <w:t>第六章评标办法</w:t>
      </w:r>
      <w:bookmarkEnd w:id="212"/>
      <w:bookmarkEnd w:id="213"/>
      <w:bookmarkEnd w:id="214"/>
      <w:bookmarkEnd w:id="215"/>
      <w:bookmarkEnd w:id="216"/>
      <w:bookmarkEnd w:id="217"/>
      <w:bookmarkEnd w:id="218"/>
      <w:bookmarkStart w:id="220" w:name="_Toc183682415"/>
      <w:bookmarkStart w:id="221" w:name="_Toc217446097"/>
      <w:bookmarkStart w:id="222" w:name="_Toc208849007"/>
      <w:bookmarkStart w:id="223" w:name="_Toc183582280"/>
    </w:p>
    <w:bookmarkEnd w:id="219"/>
    <w:bookmarkEnd w:id="220"/>
    <w:bookmarkEnd w:id="221"/>
    <w:bookmarkEnd w:id="222"/>
    <w:bookmarkEnd w:id="223"/>
    <w:p>
      <w:pPr>
        <w:pStyle w:val="4"/>
        <w:spacing w:line="360" w:lineRule="auto"/>
        <w:rPr>
          <w:rFonts w:ascii="宋体" w:hAnsi="宋体" w:cs="宋体"/>
          <w:sz w:val="24"/>
        </w:rPr>
      </w:pPr>
      <w:bookmarkStart w:id="224" w:name="_Toc10747"/>
      <w:bookmarkStart w:id="225" w:name="_Toc27016"/>
      <w:bookmarkStart w:id="226" w:name="_Toc9695"/>
      <w:r>
        <w:rPr>
          <w:rFonts w:hint="eastAsia" w:ascii="宋体" w:hAnsi="宋体" w:cs="宋体"/>
          <w:sz w:val="24"/>
        </w:rPr>
        <w:t>1. 总则</w:t>
      </w:r>
    </w:p>
    <w:p>
      <w:pPr>
        <w:spacing w:line="360" w:lineRule="auto"/>
        <w:ind w:firstLine="480" w:firstLineChars="200"/>
        <w:rPr>
          <w:rFonts w:hAnsi="宋体" w:cs="宋体"/>
          <w:color w:val="auto"/>
        </w:rPr>
      </w:pPr>
      <w:r>
        <w:rPr>
          <w:rFonts w:hint="eastAsia" w:hAnsi="宋体" w:cs="宋体"/>
          <w:color w:val="auto"/>
        </w:rPr>
        <w:t>1.1 根据《中华人民共和国政府采购法》、《中华人民共和国政府采购法实施条例》、《政府采购货物和服务招标投标管理办法》等法律制度，结合采购项目特点制定本评标办法。</w:t>
      </w:r>
    </w:p>
    <w:p>
      <w:pPr>
        <w:spacing w:line="360" w:lineRule="auto"/>
        <w:ind w:firstLine="480" w:firstLineChars="200"/>
        <w:rPr>
          <w:rFonts w:hAnsi="宋体" w:cs="宋体"/>
          <w:color w:val="auto"/>
        </w:rPr>
      </w:pPr>
      <w:r>
        <w:rPr>
          <w:rFonts w:hint="eastAsia" w:hAnsi="宋体" w:cs="宋体"/>
          <w:color w:val="auto"/>
        </w:rPr>
        <w:t>1.2 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供应商是否具备投标资格。</w:t>
      </w:r>
    </w:p>
    <w:p>
      <w:pPr>
        <w:spacing w:line="360" w:lineRule="auto"/>
        <w:ind w:firstLine="480" w:firstLineChars="200"/>
        <w:rPr>
          <w:rFonts w:hAnsi="宋体" w:cs="宋体"/>
          <w:color w:val="auto"/>
        </w:rPr>
      </w:pPr>
      <w:r>
        <w:rPr>
          <w:rFonts w:hint="eastAsia" w:hAnsi="宋体" w:cs="宋体"/>
          <w:color w:val="auto"/>
        </w:rPr>
        <w:t>合格投标人不足三家的，不得评标。</w:t>
      </w:r>
    </w:p>
    <w:p>
      <w:pPr>
        <w:spacing w:line="360" w:lineRule="auto"/>
        <w:ind w:firstLine="480" w:firstLineChars="200"/>
        <w:rPr>
          <w:rFonts w:hAnsi="宋体" w:cs="宋体"/>
          <w:color w:val="auto"/>
        </w:rPr>
      </w:pPr>
      <w:r>
        <w:rPr>
          <w:rFonts w:hint="eastAsia" w:hAnsi="宋体" w:cs="宋体"/>
          <w:color w:val="auto"/>
        </w:rPr>
        <w:t>评标工作由采购代理机构负责组织，具体评标事务由采购代理机构依法组建的评标委员会负责。评标委员会由采购人代表和有关技术、经济、法律等方面的专家组成。</w:t>
      </w:r>
    </w:p>
    <w:p>
      <w:pPr>
        <w:spacing w:line="360" w:lineRule="auto"/>
        <w:ind w:firstLine="480" w:firstLineChars="200"/>
        <w:rPr>
          <w:rFonts w:hAnsi="宋体" w:cs="宋体"/>
          <w:color w:val="auto"/>
        </w:rPr>
      </w:pPr>
      <w:r>
        <w:rPr>
          <w:rFonts w:hint="eastAsia" w:hAnsi="宋体" w:cs="宋体"/>
          <w:color w:val="auto"/>
        </w:rPr>
        <w:t>1.3 评标工作应遵循公平、公正、科学及择优的原则，并以相同的评标程序和标准对待所有的投标人。</w:t>
      </w:r>
    </w:p>
    <w:p>
      <w:pPr>
        <w:spacing w:line="360" w:lineRule="auto"/>
        <w:ind w:firstLine="480" w:firstLineChars="200"/>
        <w:rPr>
          <w:rFonts w:hAnsi="宋体" w:cs="宋体"/>
          <w:color w:val="auto"/>
        </w:rPr>
      </w:pPr>
      <w:r>
        <w:rPr>
          <w:rFonts w:hint="eastAsia" w:hAnsi="宋体" w:cs="宋体"/>
          <w:color w:val="auto"/>
        </w:rPr>
        <w:t>1.4 评标委员会按照招标文件规定的评标方法和标准进行评标，并独立履行下列职责：</w:t>
      </w:r>
    </w:p>
    <w:p>
      <w:pPr>
        <w:spacing w:line="360" w:lineRule="auto"/>
        <w:ind w:firstLine="480" w:firstLineChars="200"/>
        <w:rPr>
          <w:rFonts w:hAnsi="宋体" w:cs="宋体"/>
          <w:color w:val="auto"/>
        </w:rPr>
      </w:pPr>
      <w:bookmarkStart w:id="227" w:name="_Toc217446098"/>
      <w:r>
        <w:rPr>
          <w:rFonts w:hint="eastAsia" w:hAnsi="宋体" w:cs="宋体"/>
          <w:color w:val="auto"/>
        </w:rPr>
        <w:t>（一）熟悉和理解招标文件；</w:t>
      </w:r>
    </w:p>
    <w:p>
      <w:pPr>
        <w:spacing w:line="360" w:lineRule="auto"/>
        <w:ind w:firstLine="480" w:firstLineChars="200"/>
        <w:rPr>
          <w:rFonts w:hAnsi="宋体" w:cs="宋体"/>
          <w:color w:val="auto"/>
        </w:rPr>
      </w:pPr>
      <w:r>
        <w:rPr>
          <w:rFonts w:hint="eastAsia" w:hAnsi="宋体" w:cs="宋体"/>
          <w:color w:val="auto"/>
        </w:rPr>
        <w:t>（二）审查供应商（已通过资格审查）的投标文件是否满足招标文件要求，并作出评价；</w:t>
      </w:r>
    </w:p>
    <w:p>
      <w:pPr>
        <w:spacing w:line="360" w:lineRule="auto"/>
        <w:ind w:firstLine="480" w:firstLineChars="200"/>
        <w:rPr>
          <w:rFonts w:hAnsi="宋体" w:cs="宋体"/>
          <w:color w:val="auto"/>
        </w:rPr>
      </w:pPr>
      <w:r>
        <w:rPr>
          <w:rFonts w:hint="eastAsia" w:hAnsi="宋体" w:cs="宋体"/>
          <w:color w:val="auto"/>
        </w:rPr>
        <w:t>（三）根据需要要求招标采购单位对招标文件作出解释；根据需要要求供应商对投标文件有关事项作出澄清、说明或者更正；</w:t>
      </w:r>
    </w:p>
    <w:p>
      <w:pPr>
        <w:spacing w:line="360" w:lineRule="auto"/>
        <w:ind w:firstLine="480" w:firstLineChars="200"/>
        <w:rPr>
          <w:rFonts w:hAnsi="宋体" w:cs="宋体"/>
          <w:color w:val="auto"/>
        </w:rPr>
      </w:pPr>
      <w:r>
        <w:rPr>
          <w:rFonts w:hint="eastAsia" w:hAnsi="宋体" w:cs="宋体"/>
          <w:color w:val="auto"/>
        </w:rPr>
        <w:t>（四）推荐中标候选供应商，或者受采购人委托确定中标供应商；</w:t>
      </w:r>
    </w:p>
    <w:p>
      <w:pPr>
        <w:spacing w:line="360" w:lineRule="auto"/>
        <w:ind w:firstLine="480" w:firstLineChars="200"/>
        <w:rPr>
          <w:rFonts w:hAnsi="宋体" w:cs="宋体"/>
          <w:color w:val="auto"/>
        </w:rPr>
      </w:pPr>
      <w:r>
        <w:rPr>
          <w:rFonts w:hint="eastAsia" w:hAnsi="宋体" w:cs="宋体"/>
          <w:color w:val="auto"/>
        </w:rPr>
        <w:t>（五）起草评标报告并进行签署；</w:t>
      </w:r>
    </w:p>
    <w:p>
      <w:pPr>
        <w:spacing w:line="360" w:lineRule="auto"/>
        <w:ind w:firstLine="480" w:firstLineChars="200"/>
        <w:rPr>
          <w:rFonts w:hAnsi="宋体" w:cs="宋体"/>
          <w:color w:val="auto"/>
        </w:rPr>
      </w:pPr>
      <w:r>
        <w:rPr>
          <w:rFonts w:hint="eastAsia" w:hAnsi="宋体" w:cs="宋体"/>
          <w:color w:val="auto"/>
        </w:rPr>
        <w:t>（六）向招标采购单位、财政部门或者其他监督部门报告非法干预评标工作的行为；</w:t>
      </w:r>
    </w:p>
    <w:p>
      <w:pPr>
        <w:spacing w:line="360" w:lineRule="auto"/>
        <w:ind w:firstLine="480" w:firstLineChars="200"/>
        <w:rPr>
          <w:rFonts w:hAnsi="宋体" w:cs="宋体"/>
          <w:color w:val="auto"/>
        </w:rPr>
      </w:pPr>
      <w:r>
        <w:rPr>
          <w:rFonts w:hint="eastAsia" w:hAnsi="宋体" w:cs="宋体"/>
          <w:color w:val="auto"/>
        </w:rPr>
        <w:t>（七）法律、法规和规章规定的其他职责。</w:t>
      </w:r>
    </w:p>
    <w:p>
      <w:pPr>
        <w:spacing w:line="360" w:lineRule="auto"/>
        <w:ind w:firstLine="480" w:firstLineChars="200"/>
        <w:rPr>
          <w:rFonts w:hAnsi="宋体" w:cs="宋体"/>
          <w:color w:val="auto"/>
        </w:rPr>
      </w:pPr>
      <w:r>
        <w:rPr>
          <w:rFonts w:hint="eastAsia" w:hAnsi="宋体" w:cs="宋体"/>
          <w:color w:val="auto"/>
        </w:rPr>
        <w:t>1.5 评标过程独立、保密。投标人非法干预评标过程的行为将导致其投标文件作为无效处理。</w:t>
      </w:r>
    </w:p>
    <w:p>
      <w:pPr>
        <w:spacing w:line="360" w:lineRule="auto"/>
        <w:ind w:firstLine="480" w:firstLineChars="200"/>
        <w:rPr>
          <w:rFonts w:hAnsi="宋体" w:cs="宋体"/>
          <w:color w:val="auto"/>
        </w:rPr>
      </w:pPr>
      <w:r>
        <w:rPr>
          <w:rFonts w:hint="eastAsia" w:hAnsi="宋体" w:cs="宋体"/>
          <w:color w:val="auto"/>
        </w:rPr>
        <w:t>1.6 评标委员会评价投标文件的响应性，对于投标人而言，除评标委员会要求其澄清、说明或者更正而提供的资料外，仅依据投标文件本身的内容，不寻求其他外部证据。</w:t>
      </w:r>
    </w:p>
    <w:p>
      <w:pPr>
        <w:pStyle w:val="4"/>
        <w:spacing w:line="360" w:lineRule="auto"/>
        <w:rPr>
          <w:rFonts w:ascii="宋体" w:hAnsi="宋体" w:cs="宋体"/>
          <w:sz w:val="24"/>
        </w:rPr>
      </w:pPr>
      <w:r>
        <w:rPr>
          <w:rFonts w:hint="eastAsia" w:ascii="宋体" w:hAnsi="宋体" w:cs="宋体"/>
          <w:sz w:val="24"/>
        </w:rPr>
        <w:t>2、评标</w:t>
      </w:r>
      <w:bookmarkEnd w:id="227"/>
      <w:r>
        <w:rPr>
          <w:rFonts w:hint="eastAsia" w:ascii="宋体" w:hAnsi="宋体" w:cs="宋体"/>
          <w:sz w:val="24"/>
        </w:rPr>
        <w:t>方法</w:t>
      </w:r>
    </w:p>
    <w:p>
      <w:pPr>
        <w:spacing w:line="360" w:lineRule="auto"/>
        <w:ind w:firstLine="480" w:firstLineChars="200"/>
        <w:rPr>
          <w:rFonts w:hAnsi="宋体" w:cs="宋体"/>
          <w:color w:val="auto"/>
        </w:rPr>
      </w:pPr>
      <w:bookmarkStart w:id="228" w:name="_Toc217446103"/>
      <w:bookmarkStart w:id="229" w:name="_Toc217446099"/>
      <w:r>
        <w:rPr>
          <w:rFonts w:hint="eastAsia" w:hAnsi="宋体" w:cs="宋体"/>
          <w:color w:val="auto"/>
        </w:rPr>
        <w:t>2.1本项目评标方法为：</w:t>
      </w:r>
      <w:r>
        <w:rPr>
          <w:rFonts w:hint="eastAsia" w:hAnsi="宋体" w:cs="宋体"/>
          <w:b/>
          <w:bCs/>
          <w:color w:val="auto"/>
        </w:rPr>
        <w:t>综合评分法</w:t>
      </w:r>
      <w:r>
        <w:rPr>
          <w:rFonts w:hint="eastAsia" w:hAnsi="宋体" w:cs="宋体"/>
          <w:color w:val="auto"/>
        </w:rPr>
        <w:t>。</w:t>
      </w:r>
    </w:p>
    <w:p>
      <w:pPr>
        <w:pStyle w:val="4"/>
        <w:spacing w:line="360" w:lineRule="auto"/>
        <w:rPr>
          <w:rFonts w:ascii="宋体" w:hAnsi="宋体" w:cs="宋体"/>
          <w:sz w:val="24"/>
        </w:rPr>
      </w:pPr>
      <w:r>
        <w:rPr>
          <w:rFonts w:hint="eastAsia" w:ascii="宋体" w:hAnsi="宋体" w:cs="宋体"/>
          <w:sz w:val="24"/>
        </w:rPr>
        <w:t>3、评标程序</w:t>
      </w:r>
    </w:p>
    <w:p>
      <w:pPr>
        <w:spacing w:line="360" w:lineRule="auto"/>
        <w:ind w:firstLine="480" w:firstLineChars="200"/>
        <w:rPr>
          <w:rFonts w:hAnsi="宋体" w:cs="宋体"/>
          <w:color w:val="auto"/>
        </w:rPr>
      </w:pPr>
      <w:r>
        <w:rPr>
          <w:rFonts w:hint="eastAsia" w:hAnsi="宋体" w:cs="宋体"/>
          <w:color w:val="auto"/>
        </w:rPr>
        <w:t>3.1熟悉和理解招标文件和停止评标。</w:t>
      </w:r>
    </w:p>
    <w:p>
      <w:pPr>
        <w:spacing w:line="360" w:lineRule="auto"/>
        <w:ind w:firstLine="480" w:firstLineChars="200"/>
        <w:rPr>
          <w:rFonts w:hAnsi="宋体" w:cs="宋体"/>
          <w:color w:val="auto"/>
        </w:rPr>
      </w:pPr>
      <w:r>
        <w:rPr>
          <w:rFonts w:hint="eastAsia" w:hAnsi="宋体" w:cs="宋体"/>
          <w:color w:val="auto"/>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360" w:lineRule="auto"/>
        <w:ind w:firstLine="480" w:firstLineChars="200"/>
        <w:rPr>
          <w:rFonts w:hAnsi="宋体" w:cs="宋体"/>
          <w:color w:val="auto"/>
        </w:rPr>
      </w:pPr>
      <w:r>
        <w:rPr>
          <w:rFonts w:hint="eastAsia" w:hAnsi="宋体" w:cs="宋体"/>
          <w:color w:val="auto"/>
        </w:rPr>
        <w:t>3.1.2评标委员会熟悉和理解招标文件以及评标过程中，发现本招标文件有下列情形之一的，评标委员会应当停止评标：</w:t>
      </w:r>
    </w:p>
    <w:p>
      <w:pPr>
        <w:spacing w:line="360" w:lineRule="auto"/>
        <w:ind w:firstLine="480" w:firstLineChars="200"/>
        <w:rPr>
          <w:rFonts w:hAnsi="宋体" w:cs="宋体"/>
          <w:color w:val="auto"/>
        </w:rPr>
      </w:pPr>
      <w:r>
        <w:rPr>
          <w:rFonts w:hint="eastAsia" w:hAnsi="宋体" w:cs="宋体"/>
          <w:color w:val="auto"/>
        </w:rPr>
        <w:t>（1）招标文件的规定存在歧义、重大缺陷的；</w:t>
      </w:r>
    </w:p>
    <w:p>
      <w:pPr>
        <w:spacing w:line="360" w:lineRule="auto"/>
        <w:ind w:firstLine="480" w:firstLineChars="200"/>
        <w:rPr>
          <w:rFonts w:hAnsi="宋体" w:cs="宋体"/>
          <w:color w:val="auto"/>
        </w:rPr>
      </w:pPr>
      <w:r>
        <w:rPr>
          <w:rFonts w:hint="eastAsia" w:hAnsi="宋体" w:cs="宋体"/>
          <w:color w:val="auto"/>
        </w:rPr>
        <w:t>（</w:t>
      </w:r>
      <w:r>
        <w:rPr>
          <w:rFonts w:hAnsi="宋体" w:cs="宋体"/>
          <w:color w:val="auto"/>
        </w:rPr>
        <w:t>2</w:t>
      </w:r>
      <w:r>
        <w:rPr>
          <w:rFonts w:hint="eastAsia" w:hAnsi="宋体" w:cs="宋体"/>
          <w:color w:val="auto"/>
        </w:rPr>
        <w:t>）招标文件有违反国家其他有关强制性规定的情形。</w:t>
      </w:r>
    </w:p>
    <w:p>
      <w:pPr>
        <w:spacing w:line="360" w:lineRule="auto"/>
        <w:ind w:firstLine="480" w:firstLineChars="200"/>
        <w:rPr>
          <w:rFonts w:hAnsi="宋体" w:cs="宋体"/>
          <w:color w:val="auto"/>
        </w:rPr>
      </w:pPr>
      <w:r>
        <w:rPr>
          <w:rFonts w:hint="eastAsia" w:hAnsi="宋体" w:cs="宋体"/>
          <w:color w:val="auto"/>
        </w:rPr>
        <w:t>3.1.3出现本条3.1.2规定应当停止评标情形的，评标委员会成员应当向招标采购单位书面说明情况。除本条规定和评标委员会无法依法组建的情形外，评标委员会成员不得以任何方式和理由停止评标。</w:t>
      </w:r>
    </w:p>
    <w:p>
      <w:pPr>
        <w:spacing w:line="360" w:lineRule="auto"/>
        <w:ind w:firstLine="480" w:firstLineChars="200"/>
        <w:rPr>
          <w:rFonts w:hAnsi="宋体" w:cs="宋体"/>
          <w:color w:val="auto"/>
        </w:rPr>
      </w:pPr>
      <w:r>
        <w:rPr>
          <w:rFonts w:hint="eastAsia" w:hAnsi="宋体" w:cs="宋体"/>
          <w:color w:val="auto"/>
        </w:rPr>
        <w:t>3.2符合性检查。</w:t>
      </w:r>
    </w:p>
    <w:p>
      <w:pPr>
        <w:spacing w:line="360" w:lineRule="auto"/>
        <w:ind w:firstLine="480" w:firstLineChars="200"/>
        <w:rPr>
          <w:rFonts w:hAnsi="宋体" w:cs="宋体"/>
          <w:color w:val="auto"/>
        </w:rPr>
      </w:pPr>
      <w:r>
        <w:rPr>
          <w:rFonts w:hint="eastAsia" w:hAnsi="宋体" w:cs="宋体"/>
          <w:color w:val="auto"/>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360" w:lineRule="auto"/>
        <w:ind w:firstLine="480" w:firstLineChars="200"/>
        <w:rPr>
          <w:rFonts w:hAnsi="宋体" w:cs="宋体"/>
          <w:color w:val="auto"/>
        </w:rPr>
      </w:pPr>
      <w:r>
        <w:rPr>
          <w:rFonts w:hint="eastAsia" w:hAnsi="宋体" w:cs="宋体"/>
          <w:color w:val="auto"/>
        </w:rPr>
        <w:t>3.2.2投标文件（包括单独递交的开标一览表）有下列情形的，本项目不作为实质性要求进行规定，即不作为符合性审查事项，不得作为无效投标处理：</w:t>
      </w:r>
    </w:p>
    <w:p>
      <w:pPr>
        <w:spacing w:line="360" w:lineRule="auto"/>
        <w:ind w:firstLine="480" w:firstLineChars="200"/>
        <w:rPr>
          <w:rFonts w:hAnsi="宋体" w:cs="宋体"/>
          <w:color w:val="auto"/>
        </w:rPr>
      </w:pPr>
      <w:r>
        <w:rPr>
          <w:rFonts w:hint="eastAsia" w:hAnsi="宋体" w:cs="宋体"/>
          <w:color w:val="auto"/>
        </w:rPr>
        <w:t>（一）除招标文件明确要求加盖单位(法人)公章的以外，其他地方以相关专用章加盖的；</w:t>
      </w:r>
    </w:p>
    <w:p>
      <w:pPr>
        <w:spacing w:line="360" w:lineRule="auto"/>
        <w:ind w:firstLine="480" w:firstLineChars="200"/>
        <w:rPr>
          <w:rFonts w:hAnsi="宋体" w:cs="宋体"/>
          <w:color w:val="auto"/>
        </w:rPr>
      </w:pPr>
      <w:r>
        <w:rPr>
          <w:rFonts w:hint="eastAsia" w:hAnsi="宋体" w:cs="宋体"/>
          <w:color w:val="auto"/>
        </w:rPr>
        <w:t>（二）以骑缝章的形式代替投标文件内容逐页盖章的（但是骑缝章模糊不清，印章名称无法辨认的除外）；</w:t>
      </w:r>
    </w:p>
    <w:p>
      <w:pPr>
        <w:spacing w:line="360" w:lineRule="auto"/>
        <w:ind w:firstLine="480" w:firstLineChars="200"/>
        <w:rPr>
          <w:rFonts w:hAnsi="宋体" w:cs="宋体"/>
          <w:color w:val="auto"/>
        </w:rPr>
      </w:pPr>
      <w:r>
        <w:rPr>
          <w:rFonts w:hint="eastAsia" w:hAnsi="宋体" w:cs="宋体"/>
          <w:color w:val="auto"/>
        </w:rPr>
        <w:t>（三）其他不影响采购项目实质性要求的情形。</w:t>
      </w:r>
    </w:p>
    <w:p>
      <w:pPr>
        <w:spacing w:line="360" w:lineRule="auto"/>
        <w:ind w:firstLine="480" w:firstLineChars="200"/>
        <w:rPr>
          <w:rFonts w:hAnsi="宋体" w:cs="宋体"/>
          <w:color w:val="auto"/>
        </w:rPr>
      </w:pPr>
      <w:r>
        <w:rPr>
          <w:rFonts w:hint="eastAsia" w:hAnsi="宋体" w:cs="宋体"/>
          <w:color w:val="auto"/>
        </w:rPr>
        <w:t>3.2.3除政府采购法律制度规定的情形外，本项目投标人或者其投标文件有下列情形之一的，作为无效投标处理：</w:t>
      </w:r>
    </w:p>
    <w:p>
      <w:pPr>
        <w:spacing w:line="360" w:lineRule="auto"/>
        <w:ind w:firstLine="480" w:firstLineChars="200"/>
        <w:rPr>
          <w:rFonts w:hAnsi="宋体" w:cs="宋体"/>
          <w:color w:val="auto"/>
        </w:rPr>
      </w:pPr>
      <w:r>
        <w:rPr>
          <w:rFonts w:hint="eastAsia" w:hAnsi="宋体" w:cs="宋体"/>
          <w:color w:val="auto"/>
        </w:rPr>
        <w:t>（一）投标文件正副本数量不足的；</w:t>
      </w:r>
    </w:p>
    <w:p>
      <w:pPr>
        <w:spacing w:line="360" w:lineRule="auto"/>
        <w:ind w:firstLine="480" w:firstLineChars="200"/>
        <w:rPr>
          <w:rFonts w:hAnsi="宋体" w:cs="宋体"/>
          <w:color w:val="auto"/>
        </w:rPr>
      </w:pPr>
      <w:r>
        <w:rPr>
          <w:rFonts w:hint="eastAsia" w:hAnsi="宋体" w:cs="宋体"/>
          <w:color w:val="auto"/>
        </w:rPr>
        <w:t>（二）投标文件组成明显不符合招标文件的规定要求，影响评标委员会评判的；</w:t>
      </w:r>
    </w:p>
    <w:p>
      <w:pPr>
        <w:spacing w:line="360" w:lineRule="auto"/>
        <w:ind w:firstLine="480" w:firstLineChars="200"/>
        <w:rPr>
          <w:rFonts w:hAnsi="宋体" w:cs="宋体"/>
          <w:color w:val="auto"/>
        </w:rPr>
      </w:pPr>
      <w:r>
        <w:rPr>
          <w:rFonts w:hint="eastAsia" w:hAnsi="宋体" w:cs="宋体"/>
          <w:color w:val="auto"/>
        </w:rPr>
        <w:t>（三）投标文件的格式、语言、计量单位、报价货币、知识产权、投标有效期等不符合招标文件的规定，影响评标委员会评判的；</w:t>
      </w:r>
    </w:p>
    <w:p>
      <w:pPr>
        <w:spacing w:line="360" w:lineRule="auto"/>
        <w:ind w:firstLine="480" w:firstLineChars="200"/>
        <w:rPr>
          <w:rFonts w:hAnsi="宋体" w:cs="宋体"/>
          <w:color w:val="auto"/>
        </w:rPr>
      </w:pPr>
      <w:r>
        <w:rPr>
          <w:rFonts w:hint="eastAsia" w:hAnsi="宋体" w:cs="宋体"/>
          <w:color w:val="auto"/>
        </w:rPr>
        <w:t>（四）投标报价不符合招标文件规定的采购预算或限价或其他报价规定的；</w:t>
      </w:r>
    </w:p>
    <w:p>
      <w:pPr>
        <w:spacing w:line="360" w:lineRule="auto"/>
        <w:ind w:firstLine="480" w:firstLineChars="200"/>
        <w:rPr>
          <w:rFonts w:hAnsi="宋体" w:cs="宋体"/>
          <w:color w:val="auto"/>
        </w:rPr>
      </w:pPr>
      <w:r>
        <w:rPr>
          <w:rFonts w:hint="eastAsia" w:hAnsi="宋体" w:cs="宋体"/>
          <w:color w:val="auto"/>
        </w:rPr>
        <w:t>（五）商务应答内容没有完全响应招标文件的实质性要求的；</w:t>
      </w:r>
    </w:p>
    <w:p>
      <w:pPr>
        <w:spacing w:line="360" w:lineRule="auto"/>
        <w:ind w:firstLine="480" w:firstLineChars="200"/>
        <w:rPr>
          <w:rFonts w:hAnsi="宋体" w:cs="宋体"/>
          <w:color w:val="auto"/>
        </w:rPr>
      </w:pPr>
      <w:r>
        <w:rPr>
          <w:rFonts w:hint="eastAsia" w:hAnsi="宋体" w:cs="宋体"/>
          <w:color w:val="auto"/>
        </w:rPr>
        <w:t>（六）未载明或者载明的招标项目履约时间、方式、数量及其他政府采购合同实质性内容与招标文件要求不一致，且招标采购单位无法接受的。</w:t>
      </w:r>
    </w:p>
    <w:p>
      <w:pPr>
        <w:spacing w:line="360" w:lineRule="auto"/>
        <w:ind w:firstLine="480" w:firstLineChars="200"/>
        <w:rPr>
          <w:rFonts w:hAnsi="宋体" w:cs="宋体"/>
          <w:color w:val="auto"/>
        </w:rPr>
      </w:pPr>
      <w:r>
        <w:rPr>
          <w:rFonts w:hint="eastAsia" w:hAnsi="宋体" w:cs="宋体"/>
          <w:color w:val="auto"/>
        </w:rPr>
        <w:t>（七）没有完全响应招标文件的其他实质性要求或属于招标文件中投标无效情形的。</w:t>
      </w:r>
    </w:p>
    <w:p>
      <w:pPr>
        <w:spacing w:line="360" w:lineRule="auto"/>
        <w:ind w:firstLine="480" w:firstLineChars="200"/>
        <w:rPr>
          <w:rFonts w:hAnsi="宋体" w:cs="宋体"/>
          <w:color w:val="auto"/>
        </w:rPr>
      </w:pPr>
      <w:r>
        <w:rPr>
          <w:rFonts w:hint="eastAsia" w:hAnsi="宋体" w:cs="宋体"/>
          <w:color w:val="auto"/>
        </w:rPr>
        <w:t>3.3比较与评价。按招标文件中规定的评标方法和标准，对未作无效投标处理的投标文件进行技术、服务、商务等方面评估，综合比较与评价。</w:t>
      </w:r>
    </w:p>
    <w:p>
      <w:pPr>
        <w:spacing w:line="360" w:lineRule="auto"/>
        <w:ind w:firstLine="480" w:firstLineChars="200"/>
        <w:rPr>
          <w:rFonts w:hAnsi="宋体" w:cs="宋体"/>
          <w:color w:val="auto"/>
        </w:rPr>
      </w:pPr>
      <w:r>
        <w:rPr>
          <w:rFonts w:hint="eastAsia" w:hAnsi="宋体" w:cs="宋体"/>
          <w:color w:val="auto"/>
        </w:rPr>
        <w:t>3.4复核。评分汇总结束后，评标委员会应当进行复核，特别要对拟推荐为中标候选供应商的、报价最低的、投标文件被认定为无效的进行重点复核。</w:t>
      </w:r>
    </w:p>
    <w:p>
      <w:pPr>
        <w:spacing w:line="360" w:lineRule="auto"/>
        <w:ind w:firstLine="480" w:firstLineChars="200"/>
        <w:rPr>
          <w:rFonts w:hAnsi="宋体" w:cs="宋体"/>
          <w:color w:val="auto"/>
        </w:rPr>
      </w:pPr>
      <w:r>
        <w:rPr>
          <w:rFonts w:hint="eastAsia" w:hAnsi="宋体" w:cs="宋体"/>
          <w:color w:val="auto"/>
        </w:rPr>
        <w:t>3.5推荐中标候选供应商。中标候选供应商应当排序。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供应商。</w:t>
      </w:r>
    </w:p>
    <w:p>
      <w:pPr>
        <w:spacing w:line="360" w:lineRule="auto"/>
        <w:ind w:firstLine="480" w:firstLineChars="200"/>
        <w:rPr>
          <w:rFonts w:hAnsi="宋体" w:cs="宋体"/>
          <w:color w:val="auto"/>
        </w:rPr>
      </w:pPr>
      <w:r>
        <w:rPr>
          <w:rFonts w:hint="eastAsia" w:hAnsi="宋体" w:cs="宋体"/>
          <w:color w:val="auto"/>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spacing w:line="360" w:lineRule="auto"/>
        <w:ind w:firstLine="480" w:firstLineChars="200"/>
        <w:rPr>
          <w:rFonts w:hAnsi="宋体" w:cs="宋体"/>
          <w:color w:val="auto"/>
        </w:rPr>
      </w:pPr>
      <w:r>
        <w:rPr>
          <w:rFonts w:hint="eastAsia" w:hAnsi="宋体" w:cs="宋体"/>
          <w:color w:val="auto"/>
        </w:rPr>
        <w:t>3.6出具评标报告。评标委员会推荐中标候选供应商后，应当向招标采购单位出具评标报告。评标报告应当包括下列内容：</w:t>
      </w:r>
    </w:p>
    <w:p>
      <w:pPr>
        <w:spacing w:line="360" w:lineRule="auto"/>
        <w:ind w:firstLine="480" w:firstLineChars="200"/>
        <w:rPr>
          <w:rFonts w:hAnsi="宋体" w:cs="宋体"/>
          <w:color w:val="auto"/>
        </w:rPr>
      </w:pPr>
      <w:r>
        <w:rPr>
          <w:rFonts w:hint="eastAsia" w:hAnsi="宋体" w:cs="宋体"/>
          <w:color w:val="auto"/>
        </w:rPr>
        <w:t>（一）招标公告刊登的媒体名称、开标日期和地点；</w:t>
      </w:r>
    </w:p>
    <w:p>
      <w:pPr>
        <w:spacing w:line="360" w:lineRule="auto"/>
        <w:ind w:firstLine="480" w:firstLineChars="200"/>
        <w:rPr>
          <w:rFonts w:hAnsi="宋体" w:cs="宋体"/>
          <w:color w:val="auto"/>
        </w:rPr>
      </w:pPr>
      <w:r>
        <w:rPr>
          <w:rFonts w:hint="eastAsia" w:hAnsi="宋体" w:cs="宋体"/>
          <w:color w:val="auto"/>
        </w:rPr>
        <w:t>（二）获取招标文件的投标人名单和评标委员会成员名单；</w:t>
      </w:r>
    </w:p>
    <w:p>
      <w:pPr>
        <w:spacing w:line="360" w:lineRule="auto"/>
        <w:ind w:firstLine="480" w:firstLineChars="200"/>
        <w:rPr>
          <w:rFonts w:hAnsi="宋体" w:cs="宋体"/>
          <w:color w:val="auto"/>
        </w:rPr>
      </w:pPr>
      <w:r>
        <w:rPr>
          <w:rFonts w:hint="eastAsia" w:hAnsi="宋体" w:cs="宋体"/>
          <w:color w:val="auto"/>
        </w:rPr>
        <w:t>（三）评标方法和标准；</w:t>
      </w:r>
    </w:p>
    <w:p>
      <w:pPr>
        <w:spacing w:line="360" w:lineRule="auto"/>
        <w:ind w:firstLine="480" w:firstLineChars="200"/>
        <w:rPr>
          <w:rFonts w:hAnsi="宋体" w:cs="宋体"/>
          <w:color w:val="auto"/>
        </w:rPr>
      </w:pPr>
      <w:r>
        <w:rPr>
          <w:rFonts w:hint="eastAsia" w:hAnsi="宋体" w:cs="宋体"/>
          <w:color w:val="auto"/>
        </w:rPr>
        <w:t>（四）开标记录和评标情况及说明，包括无效投标人名单及原因；</w:t>
      </w:r>
    </w:p>
    <w:p>
      <w:pPr>
        <w:spacing w:line="360" w:lineRule="auto"/>
        <w:ind w:firstLine="480" w:firstLineChars="200"/>
        <w:rPr>
          <w:rFonts w:hAnsi="宋体" w:cs="宋体"/>
          <w:color w:val="auto"/>
        </w:rPr>
      </w:pPr>
      <w:r>
        <w:rPr>
          <w:rFonts w:hint="eastAsia" w:hAnsi="宋体" w:cs="宋体"/>
          <w:color w:val="auto"/>
        </w:rPr>
        <w:t>（五）评标结果和中标候选供应商排序表；</w:t>
      </w:r>
    </w:p>
    <w:p>
      <w:pPr>
        <w:spacing w:line="360" w:lineRule="auto"/>
        <w:ind w:firstLine="480" w:firstLineChars="200"/>
        <w:rPr>
          <w:rFonts w:hAnsi="宋体" w:cs="宋体"/>
          <w:color w:val="auto"/>
        </w:rPr>
      </w:pPr>
      <w:r>
        <w:rPr>
          <w:rFonts w:hint="eastAsia" w:hAnsi="宋体" w:cs="宋体"/>
          <w:color w:val="auto"/>
        </w:rPr>
        <w:t>（六）评标委员会授标建议；</w:t>
      </w:r>
    </w:p>
    <w:p>
      <w:pPr>
        <w:spacing w:line="360" w:lineRule="auto"/>
        <w:ind w:firstLine="480" w:firstLineChars="200"/>
        <w:rPr>
          <w:rFonts w:hAnsi="宋体" w:cs="宋体"/>
          <w:color w:val="auto"/>
        </w:rPr>
      </w:pPr>
      <w:r>
        <w:rPr>
          <w:rFonts w:hint="eastAsia" w:hAnsi="宋体" w:cs="宋体"/>
          <w:color w:val="auto"/>
        </w:rPr>
        <w:t>（七）报价最高的投标人为中标候选人的，评标委员会应当对其报价的合理性予以特别说明。</w:t>
      </w:r>
    </w:p>
    <w:p>
      <w:pPr>
        <w:spacing w:line="360" w:lineRule="auto"/>
        <w:ind w:firstLine="480" w:firstLineChars="200"/>
        <w:rPr>
          <w:rFonts w:hAnsi="宋体" w:cs="宋体"/>
          <w:color w:val="auto"/>
        </w:rPr>
      </w:pPr>
      <w:r>
        <w:rPr>
          <w:rFonts w:hint="eastAsia" w:hAnsi="宋体" w:cs="宋体"/>
          <w:color w:val="auto"/>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0" w:firstLineChars="200"/>
        <w:rPr>
          <w:rFonts w:hAnsi="宋体" w:cs="宋体"/>
          <w:color w:val="auto"/>
        </w:rPr>
      </w:pPr>
      <w:r>
        <w:rPr>
          <w:rFonts w:hint="eastAsia" w:hAnsi="宋体" w:cs="宋体"/>
          <w:color w:val="auto"/>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360" w:lineRule="auto"/>
        <w:ind w:firstLine="480" w:firstLineChars="200"/>
        <w:rPr>
          <w:rFonts w:hAnsi="宋体" w:cs="宋体"/>
          <w:color w:val="auto"/>
        </w:rPr>
      </w:pPr>
      <w:r>
        <w:rPr>
          <w:rFonts w:hint="eastAsia" w:hAnsi="宋体" w:cs="宋体"/>
          <w:color w:val="auto"/>
        </w:rPr>
        <w:t>3.8供应商应当书面澄清、说明或者更正。</w:t>
      </w:r>
    </w:p>
    <w:p>
      <w:pPr>
        <w:spacing w:line="360" w:lineRule="auto"/>
        <w:ind w:firstLine="480" w:firstLineChars="200"/>
        <w:rPr>
          <w:rFonts w:hAnsi="宋体" w:cs="宋体"/>
          <w:color w:val="auto"/>
        </w:rPr>
      </w:pPr>
      <w:r>
        <w:rPr>
          <w:rFonts w:hint="eastAsia" w:hAnsi="宋体" w:cs="宋体"/>
          <w:color w:val="auto"/>
        </w:rPr>
        <w:t>3.8.1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360" w:lineRule="auto"/>
        <w:ind w:firstLine="480" w:firstLineChars="200"/>
        <w:rPr>
          <w:rFonts w:hAnsi="宋体" w:cs="宋体"/>
          <w:color w:val="auto"/>
        </w:rPr>
      </w:pPr>
      <w:r>
        <w:rPr>
          <w:rFonts w:hint="eastAsia" w:hAnsi="宋体" w:cs="宋体"/>
          <w:color w:val="auto"/>
        </w:rPr>
        <w:t>3.8.2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360" w:lineRule="auto"/>
        <w:ind w:firstLine="480" w:firstLineChars="200"/>
        <w:rPr>
          <w:rFonts w:hAnsi="宋体" w:cs="宋体"/>
          <w:color w:val="auto"/>
        </w:rPr>
      </w:pPr>
      <w:r>
        <w:rPr>
          <w:rFonts w:hint="eastAsia" w:hAnsi="宋体" w:cs="宋体"/>
          <w:color w:val="auto"/>
        </w:rPr>
        <w:t>3.8.3评标委员会要求供应商澄清、说明或者更正，不得超出招标文件的范围，不得以此让供应商实质改变投标文件的内容，不得影响供应商公平竞争。本项目下列内容不得澄清：</w:t>
      </w:r>
    </w:p>
    <w:p>
      <w:pPr>
        <w:spacing w:line="360" w:lineRule="auto"/>
        <w:ind w:firstLine="480" w:firstLineChars="200"/>
        <w:rPr>
          <w:rFonts w:hAnsi="宋体" w:cs="宋体"/>
          <w:color w:val="auto"/>
        </w:rPr>
      </w:pPr>
      <w:r>
        <w:rPr>
          <w:rFonts w:hint="eastAsia" w:hAnsi="宋体" w:cs="宋体"/>
          <w:color w:val="auto"/>
        </w:rPr>
        <w:t>（一）按财政部规定应当在评标时不予承认的投标文件内容事项；</w:t>
      </w:r>
    </w:p>
    <w:p>
      <w:pPr>
        <w:spacing w:line="360" w:lineRule="auto"/>
        <w:ind w:firstLine="480" w:firstLineChars="200"/>
        <w:rPr>
          <w:rFonts w:hAnsi="宋体" w:cs="宋体"/>
          <w:color w:val="auto"/>
        </w:rPr>
      </w:pPr>
      <w:r>
        <w:rPr>
          <w:rFonts w:hint="eastAsia" w:hAnsi="宋体" w:cs="宋体"/>
          <w:color w:val="auto"/>
        </w:rPr>
        <w:t>（二）投标文件中已经明确的内容事项；</w:t>
      </w:r>
    </w:p>
    <w:p>
      <w:pPr>
        <w:spacing w:line="360" w:lineRule="auto"/>
        <w:ind w:firstLine="480" w:firstLineChars="200"/>
        <w:rPr>
          <w:rFonts w:hAnsi="宋体" w:cs="宋体"/>
          <w:color w:val="auto"/>
        </w:rPr>
      </w:pPr>
      <w:r>
        <w:rPr>
          <w:rFonts w:hint="eastAsia" w:hAnsi="宋体" w:cs="宋体"/>
          <w:color w:val="auto"/>
        </w:rPr>
        <w:t>3.8.4 本项目采购过程中，投标文件报价出现前后不一致的，按照下列规定修正：</w:t>
      </w:r>
    </w:p>
    <w:p>
      <w:pPr>
        <w:spacing w:line="360" w:lineRule="auto"/>
        <w:ind w:firstLine="480" w:firstLineChars="200"/>
        <w:rPr>
          <w:rFonts w:hAnsi="宋体" w:cs="宋体"/>
          <w:color w:val="auto"/>
        </w:rPr>
      </w:pPr>
      <w:r>
        <w:rPr>
          <w:rFonts w:hint="eastAsia" w:hAnsi="宋体" w:cs="宋体"/>
          <w:color w:val="auto"/>
        </w:rPr>
        <w:t>（一）投标文件中开标一览表（报价表）内容与投标文件中相应内容不一致的，以开标一览表（报价表）为准；</w:t>
      </w:r>
    </w:p>
    <w:p>
      <w:pPr>
        <w:spacing w:line="360" w:lineRule="auto"/>
        <w:ind w:firstLine="480" w:firstLineChars="200"/>
        <w:rPr>
          <w:rFonts w:hAnsi="宋体" w:cs="宋体"/>
          <w:color w:val="auto"/>
        </w:rPr>
      </w:pPr>
      <w:r>
        <w:rPr>
          <w:rFonts w:hint="eastAsia" w:hAnsi="宋体" w:cs="宋体"/>
          <w:color w:val="auto"/>
        </w:rPr>
        <w:t>（二）大写金额和小写金额不一致的，以大写金额为准；</w:t>
      </w:r>
    </w:p>
    <w:p>
      <w:pPr>
        <w:spacing w:line="360" w:lineRule="auto"/>
        <w:ind w:firstLine="480" w:firstLineChars="200"/>
        <w:rPr>
          <w:rFonts w:hAnsi="宋体" w:cs="宋体"/>
          <w:color w:val="auto"/>
        </w:rPr>
      </w:pPr>
      <w:r>
        <w:rPr>
          <w:rFonts w:hint="eastAsia" w:hAnsi="宋体" w:cs="宋体"/>
          <w:color w:val="auto"/>
        </w:rPr>
        <w:t>（三）单价金额小数点或者百分比有明显错位的，以开标一览表的总价为准，并修改单价；</w:t>
      </w:r>
    </w:p>
    <w:p>
      <w:pPr>
        <w:spacing w:line="360" w:lineRule="auto"/>
        <w:ind w:firstLine="480" w:firstLineChars="200"/>
        <w:rPr>
          <w:rFonts w:hAnsi="宋体" w:cs="宋体"/>
          <w:color w:val="auto"/>
        </w:rPr>
      </w:pPr>
      <w:r>
        <w:rPr>
          <w:rFonts w:hint="eastAsia" w:hAnsi="宋体" w:cs="宋体"/>
          <w:color w:val="auto"/>
        </w:rPr>
        <w:t>（四）总价金额与按单价汇总金额不一致的，以单价金额计算结果为准。</w:t>
      </w:r>
    </w:p>
    <w:p>
      <w:pPr>
        <w:spacing w:line="360" w:lineRule="auto"/>
        <w:ind w:firstLine="480" w:firstLineChars="200"/>
        <w:rPr>
          <w:rFonts w:hAnsi="宋体" w:cs="宋体"/>
          <w:color w:val="auto"/>
        </w:rPr>
      </w:pPr>
      <w:r>
        <w:rPr>
          <w:rFonts w:hint="eastAsia" w:hAnsi="宋体" w:cs="宋体"/>
          <w:color w:val="auto"/>
        </w:rPr>
        <w:t>同时出现两种以上不一致的，按照前款规定的顺序修正。修正后的报价按照本章3.8.1-3.8.3的规定经投标人确认后产生约束力，投标人不确认的，其投标无效。</w:t>
      </w:r>
    </w:p>
    <w:p>
      <w:pPr>
        <w:spacing w:line="360" w:lineRule="auto"/>
        <w:ind w:firstLine="482" w:firstLineChars="200"/>
        <w:rPr>
          <w:rFonts w:hAnsi="宋体" w:cs="宋体"/>
          <w:b/>
          <w:color w:val="auto"/>
        </w:rPr>
      </w:pPr>
      <w:r>
        <w:rPr>
          <w:rFonts w:hint="eastAsia" w:hAnsi="宋体" w:cs="宋体"/>
          <w:b/>
          <w:color w:val="auto"/>
        </w:rPr>
        <w:t>注：评标委员会当积极履行澄清、说明或者更正的职责，不得滥用权力。供应商的投标文件应当要求澄清、说明或者更正的，不得未经澄清、说明或者更正而直接作无效投标处理。</w:t>
      </w:r>
    </w:p>
    <w:p>
      <w:pPr>
        <w:spacing w:line="360" w:lineRule="auto"/>
        <w:ind w:left="2" w:firstLine="480" w:firstLineChars="200"/>
        <w:rPr>
          <w:rFonts w:hAnsi="宋体" w:cs="宋体"/>
          <w:color w:val="auto"/>
        </w:rPr>
      </w:pPr>
      <w:r>
        <w:rPr>
          <w:rFonts w:hint="eastAsia" w:hAnsi="宋体" w:cs="宋体"/>
          <w:color w:val="auto"/>
        </w:rPr>
        <w:t>3.9</w:t>
      </w:r>
      <w:bookmarkStart w:id="230" w:name="PO_默认文件内容_111"/>
      <w:r>
        <w:rPr>
          <w:rFonts w:hint="eastAsia" w:hAnsi="宋体" w:cs="宋体"/>
          <w:b/>
          <w:color w:val="auto"/>
        </w:rPr>
        <w:t>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30"/>
      <w:r>
        <w:rPr>
          <w:rFonts w:hint="eastAsia" w:hAnsi="宋体" w:cs="宋体"/>
          <w:b/>
          <w:color w:val="auto"/>
        </w:rPr>
        <w:t>。</w:t>
      </w:r>
    </w:p>
    <w:p>
      <w:pPr>
        <w:pStyle w:val="108"/>
        <w:spacing w:line="360" w:lineRule="auto"/>
        <w:ind w:firstLine="480" w:firstLineChars="200"/>
        <w:jc w:val="both"/>
        <w:rPr>
          <w:color w:val="auto"/>
        </w:rPr>
      </w:pPr>
      <w:r>
        <w:rPr>
          <w:rFonts w:hint="eastAsia"/>
          <w:color w:val="auto"/>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108"/>
        <w:spacing w:line="360" w:lineRule="auto"/>
        <w:ind w:firstLine="480" w:firstLineChars="200"/>
        <w:jc w:val="both"/>
        <w:rPr>
          <w:color w:val="auto"/>
        </w:rPr>
      </w:pPr>
      <w:r>
        <w:rPr>
          <w:rFonts w:hint="eastAsia"/>
          <w:color w:val="auto"/>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pPr>
        <w:pStyle w:val="108"/>
        <w:spacing w:line="360" w:lineRule="auto"/>
        <w:ind w:firstLine="480" w:firstLineChars="200"/>
        <w:jc w:val="both"/>
        <w:rPr>
          <w:color w:val="auto"/>
        </w:rPr>
      </w:pPr>
      <w:r>
        <w:rPr>
          <w:rFonts w:hint="eastAsia"/>
          <w:color w:val="auto"/>
        </w:rPr>
        <w:t>3.10招标采购单位现场复核评标结果。</w:t>
      </w:r>
    </w:p>
    <w:p>
      <w:pPr>
        <w:pStyle w:val="108"/>
        <w:spacing w:line="360" w:lineRule="auto"/>
        <w:ind w:firstLine="480" w:firstLineChars="200"/>
        <w:jc w:val="both"/>
        <w:rPr>
          <w:color w:val="auto"/>
        </w:rPr>
      </w:pPr>
      <w:r>
        <w:rPr>
          <w:rFonts w:hint="eastAsia"/>
          <w:color w:val="auto"/>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pStyle w:val="108"/>
        <w:spacing w:line="360" w:lineRule="auto"/>
        <w:ind w:firstLine="480" w:firstLineChars="200"/>
        <w:jc w:val="both"/>
        <w:rPr>
          <w:color w:val="auto"/>
        </w:rPr>
      </w:pPr>
      <w:r>
        <w:rPr>
          <w:rFonts w:hint="eastAsia"/>
          <w:color w:val="auto"/>
        </w:rPr>
        <w:t>（一）分值汇总计算错误的；</w:t>
      </w:r>
    </w:p>
    <w:p>
      <w:pPr>
        <w:pStyle w:val="108"/>
        <w:spacing w:line="360" w:lineRule="auto"/>
        <w:ind w:firstLine="480" w:firstLineChars="200"/>
        <w:jc w:val="both"/>
        <w:rPr>
          <w:color w:val="auto"/>
        </w:rPr>
      </w:pPr>
      <w:r>
        <w:rPr>
          <w:rFonts w:hint="eastAsia"/>
          <w:color w:val="auto"/>
        </w:rPr>
        <w:t>（二）分项评分超出评分标准范围的；</w:t>
      </w:r>
    </w:p>
    <w:p>
      <w:pPr>
        <w:pStyle w:val="108"/>
        <w:spacing w:line="360" w:lineRule="auto"/>
        <w:ind w:firstLine="480" w:firstLineChars="200"/>
        <w:jc w:val="both"/>
        <w:rPr>
          <w:color w:val="auto"/>
        </w:rPr>
      </w:pPr>
      <w:r>
        <w:rPr>
          <w:rFonts w:hint="eastAsia"/>
          <w:color w:val="auto"/>
        </w:rPr>
        <w:t>（三）客观评分不一致的；</w:t>
      </w:r>
    </w:p>
    <w:p>
      <w:pPr>
        <w:pStyle w:val="108"/>
        <w:spacing w:line="360" w:lineRule="auto"/>
        <w:ind w:firstLine="480" w:firstLineChars="200"/>
        <w:jc w:val="both"/>
        <w:rPr>
          <w:color w:val="auto"/>
        </w:rPr>
      </w:pPr>
      <w:r>
        <w:rPr>
          <w:rFonts w:hint="eastAsia"/>
          <w:color w:val="auto"/>
        </w:rPr>
        <w:t>（四）经评标委员会认定评分畸高畸低的。</w:t>
      </w:r>
    </w:p>
    <w:p>
      <w:pPr>
        <w:pStyle w:val="108"/>
        <w:spacing w:line="360" w:lineRule="auto"/>
        <w:ind w:firstLine="480" w:firstLineChars="200"/>
        <w:jc w:val="both"/>
        <w:rPr>
          <w:color w:val="auto"/>
        </w:rPr>
      </w:pPr>
      <w:r>
        <w:rPr>
          <w:rFonts w:hint="eastAsia"/>
          <w:color w:val="auto"/>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108"/>
        <w:spacing w:line="360" w:lineRule="auto"/>
        <w:ind w:firstLine="480" w:firstLineChars="200"/>
        <w:jc w:val="both"/>
        <w:rPr>
          <w:color w:val="auto"/>
        </w:rPr>
      </w:pPr>
      <w:r>
        <w:rPr>
          <w:rFonts w:hint="eastAsia"/>
          <w:color w:val="auto"/>
        </w:rPr>
        <w:t>3.10.2有下列情形之一的，不得修改评标结果或者重新评审：</w:t>
      </w:r>
    </w:p>
    <w:p>
      <w:pPr>
        <w:pStyle w:val="108"/>
        <w:spacing w:line="360" w:lineRule="auto"/>
        <w:ind w:firstLine="480" w:firstLineChars="200"/>
        <w:jc w:val="both"/>
        <w:rPr>
          <w:color w:val="auto"/>
        </w:rPr>
      </w:pPr>
      <w:r>
        <w:rPr>
          <w:rFonts w:hint="eastAsia"/>
          <w:color w:val="auto"/>
        </w:rPr>
        <w:t>（一）招标采购单位现场复核时，复核工作人员数量不足的；</w:t>
      </w:r>
    </w:p>
    <w:p>
      <w:pPr>
        <w:pStyle w:val="108"/>
        <w:spacing w:line="360" w:lineRule="auto"/>
        <w:ind w:firstLine="480" w:firstLineChars="200"/>
        <w:jc w:val="both"/>
        <w:rPr>
          <w:color w:val="auto"/>
        </w:rPr>
      </w:pPr>
      <w:r>
        <w:rPr>
          <w:rFonts w:hint="eastAsia"/>
          <w:color w:val="auto"/>
        </w:rPr>
        <w:t>（二）招标采购单位现场复核时，没有采购监督人员现场监督的；</w:t>
      </w:r>
    </w:p>
    <w:p>
      <w:pPr>
        <w:pStyle w:val="108"/>
        <w:spacing w:line="360" w:lineRule="auto"/>
        <w:ind w:firstLine="480" w:firstLineChars="200"/>
        <w:jc w:val="both"/>
        <w:rPr>
          <w:color w:val="auto"/>
        </w:rPr>
      </w:pPr>
      <w:r>
        <w:rPr>
          <w:rFonts w:hint="eastAsia"/>
          <w:color w:val="auto"/>
        </w:rPr>
        <w:t>（三）招标采购单位现场复核内容超出规定范围的；</w:t>
      </w:r>
    </w:p>
    <w:p>
      <w:pPr>
        <w:pStyle w:val="108"/>
        <w:spacing w:line="360" w:lineRule="auto"/>
        <w:ind w:firstLine="480" w:firstLineChars="200"/>
        <w:jc w:val="both"/>
        <w:rPr>
          <w:color w:val="auto"/>
        </w:rPr>
      </w:pPr>
      <w:r>
        <w:rPr>
          <w:rFonts w:hint="eastAsia"/>
          <w:color w:val="auto"/>
        </w:rPr>
        <w:t>（四）招标采购单位未提供书面建议的。</w:t>
      </w:r>
    </w:p>
    <w:p>
      <w:pPr>
        <w:pStyle w:val="4"/>
        <w:spacing w:line="360" w:lineRule="auto"/>
        <w:rPr>
          <w:rFonts w:ascii="宋体" w:hAnsi="宋体" w:cs="宋体"/>
          <w:sz w:val="24"/>
        </w:rPr>
      </w:pPr>
      <w:r>
        <w:rPr>
          <w:rFonts w:hint="eastAsia" w:ascii="宋体" w:hAnsi="宋体" w:cs="宋体"/>
          <w:sz w:val="24"/>
        </w:rPr>
        <w:t>4. 评标细则及标准</w:t>
      </w:r>
      <w:bookmarkEnd w:id="228"/>
    </w:p>
    <w:p>
      <w:pPr>
        <w:spacing w:line="360" w:lineRule="auto"/>
        <w:ind w:firstLine="480" w:firstLineChars="200"/>
        <w:jc w:val="left"/>
        <w:rPr>
          <w:rFonts w:hAnsi="宋体" w:cs="宋体"/>
          <w:color w:val="auto"/>
        </w:rPr>
      </w:pPr>
      <w:r>
        <w:rPr>
          <w:rFonts w:hint="eastAsia" w:hAnsi="宋体" w:cs="宋体"/>
          <w:color w:val="auto"/>
        </w:rPr>
        <w:t>4.1 评委会只对通过初审的投标文件，根据招标文件的要求采用相同的评标程序、评分办法及标准进行评价和比较。</w:t>
      </w:r>
    </w:p>
    <w:p>
      <w:pPr>
        <w:spacing w:line="360" w:lineRule="auto"/>
        <w:ind w:firstLine="480" w:firstLineChars="200"/>
        <w:jc w:val="left"/>
        <w:rPr>
          <w:rFonts w:hAnsi="宋体" w:cs="宋体"/>
          <w:color w:val="auto"/>
        </w:rPr>
      </w:pPr>
      <w:r>
        <w:rPr>
          <w:rFonts w:hint="eastAsia" w:hAnsi="宋体" w:cs="宋体"/>
          <w:color w:val="auto"/>
        </w:rPr>
        <w:t>4.2 本次综合评分的因素是：价格、技术、质量保证、项目实施方案、综合实力业绩、售后服务方案、对招标文件的响应程度及投标文件规范性等。。</w:t>
      </w:r>
    </w:p>
    <w:p>
      <w:pPr>
        <w:spacing w:line="360" w:lineRule="auto"/>
        <w:ind w:firstLine="480" w:firstLineChars="200"/>
        <w:jc w:val="left"/>
        <w:rPr>
          <w:rFonts w:hAnsi="宋体" w:cs="宋体"/>
          <w:color w:val="auto"/>
        </w:rPr>
      </w:pPr>
      <w:r>
        <w:rPr>
          <w:rFonts w:hint="eastAsia" w:hAnsi="宋体" w:cs="宋体"/>
          <w:color w:val="auto"/>
        </w:rPr>
        <w:t>4.3 除价格因素外，评委会成员应依据投标文件规定的评分标准和方法独立对其他因素进行比较打分。</w:t>
      </w:r>
    </w:p>
    <w:p>
      <w:pPr>
        <w:spacing w:line="360" w:lineRule="auto"/>
        <w:ind w:firstLine="480" w:firstLineChars="200"/>
        <w:jc w:val="left"/>
        <w:rPr>
          <w:rFonts w:hAnsi="宋体" w:cs="宋体"/>
          <w:color w:val="auto"/>
        </w:rPr>
      </w:pPr>
      <w:r>
        <w:rPr>
          <w:rFonts w:hint="eastAsia" w:hAnsi="宋体" w:cs="宋体"/>
          <w:color w:val="auto"/>
        </w:rPr>
        <w:t>4.4 在评标过程中，投标文件有下列情况之一，评标委员会成员应当按照招标文件规定的非实质性偏离进行扣分：</w:t>
      </w:r>
    </w:p>
    <w:p>
      <w:pPr>
        <w:spacing w:line="360" w:lineRule="auto"/>
        <w:ind w:firstLine="480" w:firstLineChars="200"/>
        <w:jc w:val="left"/>
        <w:rPr>
          <w:rFonts w:hAnsi="宋体" w:cs="宋体"/>
          <w:color w:val="auto"/>
        </w:rPr>
      </w:pPr>
      <w:r>
        <w:rPr>
          <w:rFonts w:hint="eastAsia" w:hAnsi="宋体" w:cs="宋体"/>
          <w:color w:val="auto"/>
        </w:rPr>
        <w:t>（1）文字表述的内容含义不明确，或者同类问题表述不一致，或者有明显文字和计算错误，或者提供的技术信息和数据资料不完整，投标人拒不或在规定的时间内没有进行澄清、说明或补正或澄清、说明、补正的内容也不能说明问题的；</w:t>
      </w:r>
    </w:p>
    <w:p>
      <w:pPr>
        <w:spacing w:line="360" w:lineRule="auto"/>
        <w:ind w:firstLine="480" w:firstLineChars="200"/>
        <w:jc w:val="left"/>
        <w:rPr>
          <w:rFonts w:hAnsi="宋体" w:cs="宋体"/>
          <w:color w:val="auto"/>
        </w:rPr>
      </w:pPr>
      <w:r>
        <w:rPr>
          <w:rFonts w:hint="eastAsia" w:hAnsi="宋体" w:cs="宋体"/>
          <w:color w:val="auto"/>
        </w:rPr>
        <w:t>（2）投标文件未按招标文件要求进行装订或未编制目录、页码；</w:t>
      </w:r>
    </w:p>
    <w:p>
      <w:pPr>
        <w:spacing w:line="360" w:lineRule="auto"/>
        <w:ind w:firstLine="480" w:firstLineChars="200"/>
        <w:jc w:val="left"/>
        <w:rPr>
          <w:rFonts w:hAnsi="宋体" w:cs="宋体"/>
          <w:color w:val="auto"/>
        </w:rPr>
      </w:pPr>
      <w:r>
        <w:rPr>
          <w:rFonts w:hint="eastAsia" w:hAnsi="宋体" w:cs="宋体"/>
          <w:color w:val="auto"/>
        </w:rPr>
        <w:t>（3）认定的与招标文件第五章规定的技术、商务和其他规定要求不符的非实质性偏离。</w:t>
      </w:r>
    </w:p>
    <w:p>
      <w:pPr>
        <w:spacing w:line="360" w:lineRule="auto"/>
        <w:ind w:firstLine="480" w:firstLineChars="200"/>
        <w:jc w:val="left"/>
        <w:rPr>
          <w:rFonts w:hAnsi="宋体" w:cs="宋体"/>
          <w:color w:val="auto"/>
        </w:rPr>
      </w:pPr>
      <w:r>
        <w:rPr>
          <w:rFonts w:hint="eastAsia" w:hAnsi="宋体" w:cs="宋体"/>
          <w:color w:val="auto"/>
        </w:rPr>
        <w:t>（4）认定的其他非实质性偏离。</w:t>
      </w:r>
    </w:p>
    <w:p>
      <w:pPr>
        <w:spacing w:line="360" w:lineRule="auto"/>
        <w:ind w:firstLine="480" w:firstLineChars="200"/>
        <w:jc w:val="left"/>
        <w:rPr>
          <w:rFonts w:hAnsi="宋体" w:cs="宋体"/>
          <w:color w:val="auto"/>
        </w:rPr>
      </w:pPr>
      <w:r>
        <w:rPr>
          <w:rFonts w:hint="eastAsia" w:hAnsi="宋体" w:cs="宋体"/>
          <w:color w:val="auto"/>
        </w:rPr>
        <w:t>4.5综合评分明细表</w:t>
      </w:r>
    </w:p>
    <w:p>
      <w:pPr>
        <w:spacing w:line="360" w:lineRule="auto"/>
        <w:ind w:firstLine="480" w:firstLineChars="200"/>
        <w:jc w:val="left"/>
        <w:rPr>
          <w:rFonts w:hAnsi="宋体" w:cs="宋体"/>
          <w:color w:val="auto"/>
        </w:rPr>
      </w:pPr>
      <w:r>
        <w:rPr>
          <w:rFonts w:hint="eastAsia" w:hAnsi="宋体" w:cs="宋体"/>
          <w:color w:val="auto"/>
        </w:rPr>
        <w:t>4.5.1综合评分明细表的制定以科学合理、降低评委会自由裁量权为原则。</w:t>
      </w:r>
    </w:p>
    <w:p>
      <w:pPr>
        <w:spacing w:line="360" w:lineRule="auto"/>
        <w:ind w:firstLine="480" w:firstLineChars="200"/>
        <w:jc w:val="left"/>
        <w:rPr>
          <w:rFonts w:hAnsi="宋体" w:cs="宋体"/>
          <w:color w:val="auto"/>
        </w:rPr>
      </w:pPr>
      <w:r>
        <w:rPr>
          <w:rFonts w:hint="eastAsia" w:hAnsi="宋体" w:cs="宋体"/>
          <w:color w:val="auto"/>
        </w:rPr>
        <w:t>4.5.2 综合评分明细表按须知表中的相关要求进行价格调整，再参与价格分评审。</w:t>
      </w:r>
    </w:p>
    <w:p>
      <w:pPr>
        <w:pStyle w:val="12"/>
        <w:tabs>
          <w:tab w:val="left" w:pos="600"/>
        </w:tabs>
        <w:spacing w:line="360" w:lineRule="auto"/>
        <w:ind w:left="0" w:leftChars="0" w:firstLine="480" w:firstLineChars="200"/>
        <w:rPr>
          <w:rFonts w:hAnsi="宋体" w:cs="宋体"/>
          <w:sz w:val="24"/>
        </w:rPr>
      </w:pPr>
      <w:r>
        <w:rPr>
          <w:rFonts w:hint="eastAsia" w:hAnsi="宋体" w:cs="宋体"/>
          <w:sz w:val="24"/>
        </w:rPr>
        <w:t>4.5.3综合评分明细表：</w:t>
      </w:r>
    </w:p>
    <w:tbl>
      <w:tblPr>
        <w:tblStyle w:val="32"/>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75"/>
        <w:gridCol w:w="1374"/>
        <w:gridCol w:w="667"/>
        <w:gridCol w:w="3977"/>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59" w:hRule="atLeast"/>
          <w:jc w:val="center"/>
        </w:trPr>
        <w:tc>
          <w:tcPr>
            <w:tcW w:w="675" w:type="dxa"/>
            <w:shd w:val="clear" w:color="auto" w:fill="FFFFFF"/>
            <w:vAlign w:val="center"/>
          </w:tcPr>
          <w:p>
            <w:pPr>
              <w:ind w:firstLine="28"/>
              <w:jc w:val="center"/>
              <w:rPr>
                <w:rFonts w:asciiTheme="minorEastAsia" w:hAnsiTheme="minorEastAsia" w:eastAsiaTheme="minorEastAsia"/>
              </w:rPr>
            </w:pPr>
            <w:r>
              <w:rPr>
                <w:rFonts w:asciiTheme="minorEastAsia" w:hAnsiTheme="minorEastAsia" w:eastAsiaTheme="minorEastAsia"/>
              </w:rPr>
              <w:t>序号</w:t>
            </w:r>
          </w:p>
        </w:tc>
        <w:tc>
          <w:tcPr>
            <w:tcW w:w="1374" w:type="dxa"/>
            <w:shd w:val="clear" w:color="auto" w:fill="FFFFFF"/>
            <w:vAlign w:val="center"/>
          </w:tcPr>
          <w:p>
            <w:pPr>
              <w:ind w:firstLine="28"/>
              <w:jc w:val="center"/>
              <w:rPr>
                <w:rFonts w:asciiTheme="minorEastAsia" w:hAnsiTheme="minorEastAsia" w:eastAsiaTheme="minorEastAsia"/>
              </w:rPr>
            </w:pPr>
            <w:r>
              <w:rPr>
                <w:rFonts w:asciiTheme="minorEastAsia" w:hAnsiTheme="minorEastAsia" w:eastAsiaTheme="minorEastAsia"/>
              </w:rPr>
              <w:t>评分因素</w:t>
            </w:r>
          </w:p>
          <w:p>
            <w:pPr>
              <w:ind w:firstLine="28"/>
              <w:jc w:val="center"/>
              <w:rPr>
                <w:rFonts w:asciiTheme="minorEastAsia" w:hAnsiTheme="minorEastAsia" w:eastAsiaTheme="minorEastAsia"/>
              </w:rPr>
            </w:pPr>
            <w:r>
              <w:rPr>
                <w:rFonts w:asciiTheme="minorEastAsia" w:hAnsiTheme="minorEastAsia" w:eastAsiaTheme="minorEastAsia"/>
              </w:rPr>
              <w:t>及权重</w:t>
            </w:r>
          </w:p>
        </w:tc>
        <w:tc>
          <w:tcPr>
            <w:tcW w:w="667" w:type="dxa"/>
            <w:shd w:val="clear" w:color="auto" w:fill="FFFFFF"/>
            <w:vAlign w:val="center"/>
          </w:tcPr>
          <w:p>
            <w:pPr>
              <w:ind w:firstLine="28"/>
              <w:jc w:val="center"/>
              <w:rPr>
                <w:rFonts w:asciiTheme="minorEastAsia" w:hAnsiTheme="minorEastAsia" w:eastAsiaTheme="minorEastAsia"/>
              </w:rPr>
            </w:pPr>
            <w:r>
              <w:rPr>
                <w:rFonts w:asciiTheme="minorEastAsia" w:hAnsiTheme="minorEastAsia" w:eastAsiaTheme="minorEastAsia"/>
              </w:rPr>
              <w:t>分值</w:t>
            </w:r>
          </w:p>
        </w:tc>
        <w:tc>
          <w:tcPr>
            <w:tcW w:w="3977" w:type="dxa"/>
            <w:shd w:val="clear" w:color="auto" w:fill="FFFFFF"/>
            <w:vAlign w:val="center"/>
          </w:tcPr>
          <w:p>
            <w:pPr>
              <w:ind w:firstLine="28"/>
              <w:jc w:val="center"/>
              <w:rPr>
                <w:rFonts w:asciiTheme="minorEastAsia" w:hAnsiTheme="minorEastAsia" w:eastAsiaTheme="minorEastAsia"/>
              </w:rPr>
            </w:pPr>
            <w:r>
              <w:rPr>
                <w:rFonts w:asciiTheme="minorEastAsia" w:hAnsiTheme="minorEastAsia" w:eastAsiaTheme="minorEastAsia"/>
              </w:rPr>
              <w:t>评分标准</w:t>
            </w:r>
          </w:p>
        </w:tc>
        <w:tc>
          <w:tcPr>
            <w:tcW w:w="2990" w:type="dxa"/>
            <w:shd w:val="clear" w:color="auto" w:fill="FFFFFF"/>
            <w:vAlign w:val="center"/>
          </w:tcPr>
          <w:p>
            <w:pPr>
              <w:jc w:val="center"/>
              <w:rPr>
                <w:rFonts w:asciiTheme="minorEastAsia" w:hAnsiTheme="minorEastAsia" w:eastAsiaTheme="minorEastAsia"/>
              </w:rPr>
            </w:pPr>
            <w:r>
              <w:rPr>
                <w:rFonts w:asciiTheme="minorEastAsia" w:hAnsiTheme="minorEastAsia" w:eastAsiaTheme="minorEastAsia"/>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1067" w:hRule="atLeast"/>
          <w:jc w:val="center"/>
        </w:trPr>
        <w:tc>
          <w:tcPr>
            <w:tcW w:w="675" w:type="dxa"/>
            <w:shd w:val="clear" w:color="auto" w:fill="FFFFFF"/>
            <w:vAlign w:val="center"/>
          </w:tcPr>
          <w:p>
            <w:pPr>
              <w:ind w:firstLine="28"/>
              <w:jc w:val="center"/>
              <w:rPr>
                <w:rFonts w:asciiTheme="minorEastAsia" w:hAnsiTheme="minorEastAsia" w:eastAsiaTheme="minorEastAsia"/>
              </w:rPr>
            </w:pPr>
            <w:r>
              <w:rPr>
                <w:rFonts w:asciiTheme="minorEastAsia" w:hAnsiTheme="minorEastAsia" w:eastAsiaTheme="minorEastAsia"/>
              </w:rPr>
              <w:t>1</w:t>
            </w:r>
          </w:p>
        </w:tc>
        <w:tc>
          <w:tcPr>
            <w:tcW w:w="1374" w:type="dxa"/>
            <w:shd w:val="clear" w:color="auto" w:fill="FFFFFF"/>
            <w:vAlign w:val="center"/>
          </w:tcPr>
          <w:p>
            <w:pPr>
              <w:ind w:firstLine="28"/>
              <w:jc w:val="center"/>
              <w:rPr>
                <w:rFonts w:asciiTheme="minorEastAsia" w:hAnsiTheme="minorEastAsia" w:eastAsiaTheme="minorEastAsia"/>
              </w:rPr>
            </w:pPr>
            <w:r>
              <w:rPr>
                <w:rFonts w:asciiTheme="minorEastAsia" w:hAnsiTheme="minorEastAsia" w:eastAsiaTheme="minorEastAsia"/>
              </w:rPr>
              <w:t>报价</w:t>
            </w:r>
            <w:r>
              <w:rPr>
                <w:rFonts w:hint="eastAsia" w:asciiTheme="minorEastAsia" w:hAnsiTheme="minorEastAsia" w:eastAsiaTheme="minorEastAsia"/>
              </w:rPr>
              <w:t>30</w:t>
            </w:r>
            <w:r>
              <w:rPr>
                <w:rFonts w:asciiTheme="minorEastAsia" w:hAnsiTheme="minorEastAsia" w:eastAsiaTheme="minorEastAsia"/>
              </w:rPr>
              <w:t>%</w:t>
            </w:r>
          </w:p>
        </w:tc>
        <w:tc>
          <w:tcPr>
            <w:tcW w:w="667" w:type="dxa"/>
            <w:shd w:val="clear" w:color="auto" w:fill="FFFFFF"/>
            <w:vAlign w:val="center"/>
          </w:tcPr>
          <w:p>
            <w:pPr>
              <w:ind w:firstLine="28"/>
              <w:jc w:val="center"/>
              <w:rPr>
                <w:rFonts w:asciiTheme="minorEastAsia" w:hAnsiTheme="minorEastAsia" w:eastAsiaTheme="minorEastAsia"/>
              </w:rPr>
            </w:pPr>
            <w:r>
              <w:rPr>
                <w:rFonts w:hint="eastAsia" w:asciiTheme="minorEastAsia" w:hAnsiTheme="minorEastAsia" w:eastAsiaTheme="minorEastAsia"/>
              </w:rPr>
              <w:t>30</w:t>
            </w:r>
          </w:p>
        </w:tc>
        <w:tc>
          <w:tcPr>
            <w:tcW w:w="3977" w:type="dxa"/>
            <w:shd w:val="clear" w:color="auto" w:fill="FFFFFF"/>
            <w:vAlign w:val="center"/>
          </w:tcPr>
          <w:p>
            <w:pPr>
              <w:ind w:firstLine="240" w:firstLineChars="100"/>
              <w:rPr>
                <w:rFonts w:asciiTheme="minorEastAsia" w:hAnsiTheme="minorEastAsia" w:eastAsiaTheme="minorEastAsia"/>
              </w:rPr>
            </w:pPr>
            <w:r>
              <w:rPr>
                <w:rFonts w:hint="eastAsia" w:asciiTheme="minorEastAsia" w:hAnsiTheme="minorEastAsia" w:eastAsiaTheme="minorEastAsia"/>
              </w:rPr>
              <w:t>最低有效报价得30分。以本次最低有效投标报价为基准价，投标报价得分=(基准价÷投标报价)×价格权值×100。</w:t>
            </w:r>
          </w:p>
        </w:tc>
        <w:tc>
          <w:tcPr>
            <w:tcW w:w="2990" w:type="dxa"/>
            <w:shd w:val="clear" w:color="auto" w:fill="FFFFFF"/>
            <w:vAlign w:val="center"/>
          </w:tcPr>
          <w:p>
            <w:pPr>
              <w:ind w:firstLine="240" w:firstLineChars="100"/>
              <w:rPr>
                <w:rFonts w:asciiTheme="minorEastAsia" w:hAnsiTheme="minorEastAsia" w:eastAsiaTheme="minorEastAsia"/>
                <w:b/>
              </w:rPr>
            </w:pPr>
            <w:r>
              <w:rPr>
                <w:rFonts w:asciiTheme="minorEastAsia" w:hAnsiTheme="minorEastAsia" w:eastAsiaTheme="minorEastAsia"/>
              </w:rPr>
              <w:t>（对于非专门面向中小企业、监狱企业、福利企业的项目，对小型和微型企业、监狱企业、福利企业的产品的价格给予</w:t>
            </w:r>
            <w:r>
              <w:rPr>
                <w:rFonts w:hint="eastAsia" w:asciiTheme="minorEastAsia" w:hAnsiTheme="minorEastAsia" w:eastAsiaTheme="minorEastAsia"/>
              </w:rPr>
              <w:t>10</w:t>
            </w:r>
            <w:r>
              <w:rPr>
                <w:rFonts w:asciiTheme="minorEastAsia" w:hAnsiTheme="minorEastAsia" w:eastAsiaTheme="minorEastAsia"/>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1775" w:hRule="atLeast"/>
          <w:jc w:val="center"/>
        </w:trPr>
        <w:tc>
          <w:tcPr>
            <w:tcW w:w="675" w:type="dxa"/>
            <w:shd w:val="clear" w:color="auto" w:fill="FFFFFF"/>
            <w:vAlign w:val="center"/>
          </w:tcPr>
          <w:p>
            <w:pPr>
              <w:ind w:firstLine="28"/>
              <w:jc w:val="center"/>
              <w:rPr>
                <w:rFonts w:asciiTheme="minorEastAsia" w:hAnsiTheme="minorEastAsia" w:eastAsiaTheme="minorEastAsia"/>
              </w:rPr>
            </w:pPr>
            <w:r>
              <w:rPr>
                <w:rFonts w:asciiTheme="minorEastAsia" w:hAnsiTheme="minorEastAsia" w:eastAsiaTheme="minorEastAsia"/>
              </w:rPr>
              <w:t>2</w:t>
            </w:r>
          </w:p>
        </w:tc>
        <w:tc>
          <w:tcPr>
            <w:tcW w:w="1374" w:type="dxa"/>
            <w:shd w:val="clear" w:color="auto" w:fill="FFFFFF"/>
            <w:vAlign w:val="center"/>
          </w:tcPr>
          <w:p>
            <w:pPr>
              <w:rPr>
                <w:rFonts w:asciiTheme="minorEastAsia" w:hAnsiTheme="minorEastAsia" w:eastAsiaTheme="minorEastAsia"/>
              </w:rPr>
            </w:pPr>
            <w:r>
              <w:rPr>
                <w:rFonts w:asciiTheme="minorEastAsia" w:hAnsiTheme="minorEastAsia" w:eastAsiaTheme="minorEastAsia"/>
              </w:rPr>
              <w:t>技术指标</w:t>
            </w:r>
          </w:p>
          <w:p>
            <w:pPr>
              <w:rPr>
                <w:rFonts w:asciiTheme="minorEastAsia" w:hAnsiTheme="minorEastAsia" w:eastAsiaTheme="minorEastAsia"/>
              </w:rPr>
            </w:pPr>
            <w:r>
              <w:rPr>
                <w:rFonts w:asciiTheme="minorEastAsia" w:hAnsiTheme="minorEastAsia" w:eastAsiaTheme="minorEastAsia"/>
              </w:rPr>
              <w:t>和配置30%</w:t>
            </w:r>
          </w:p>
        </w:tc>
        <w:tc>
          <w:tcPr>
            <w:tcW w:w="667" w:type="dxa"/>
            <w:shd w:val="clear" w:color="auto" w:fill="FFFFFF"/>
            <w:vAlign w:val="center"/>
          </w:tcPr>
          <w:p>
            <w:pPr>
              <w:ind w:firstLine="28"/>
              <w:jc w:val="center"/>
              <w:rPr>
                <w:rFonts w:asciiTheme="minorEastAsia" w:hAnsiTheme="minorEastAsia" w:eastAsiaTheme="minorEastAsia"/>
              </w:rPr>
            </w:pPr>
            <w:r>
              <w:rPr>
                <w:rFonts w:asciiTheme="minorEastAsia" w:hAnsiTheme="minorEastAsia" w:eastAsiaTheme="minorEastAsia"/>
              </w:rPr>
              <w:t>30</w:t>
            </w:r>
          </w:p>
        </w:tc>
        <w:tc>
          <w:tcPr>
            <w:tcW w:w="3977" w:type="dxa"/>
            <w:shd w:val="clear" w:color="auto" w:fill="FFFFFF"/>
            <w:vAlign w:val="center"/>
          </w:tcPr>
          <w:p>
            <w:pPr>
              <w:ind w:firstLine="240" w:firstLineChars="100"/>
              <w:rPr>
                <w:rFonts w:asciiTheme="minorEastAsia" w:hAnsiTheme="minorEastAsia" w:eastAsiaTheme="minorEastAsia"/>
              </w:rPr>
            </w:pPr>
            <w:r>
              <w:rPr>
                <w:rFonts w:asciiTheme="minorEastAsia" w:hAnsiTheme="minorEastAsia" w:eastAsiaTheme="minorEastAsia"/>
              </w:rPr>
              <w:t>完全符合、响应</w:t>
            </w:r>
            <w:r>
              <w:rPr>
                <w:rFonts w:hint="eastAsia" w:asciiTheme="minorEastAsia" w:hAnsiTheme="minorEastAsia" w:eastAsiaTheme="minorEastAsia"/>
              </w:rPr>
              <w:t>采购</w:t>
            </w:r>
            <w:r>
              <w:rPr>
                <w:rFonts w:asciiTheme="minorEastAsia" w:hAnsiTheme="minorEastAsia" w:eastAsiaTheme="minorEastAsia"/>
              </w:rPr>
              <w:t>文件要求，没有负偏离的得</w:t>
            </w:r>
            <w:r>
              <w:rPr>
                <w:rFonts w:hint="eastAsia" w:asciiTheme="minorEastAsia" w:hAnsiTheme="minorEastAsia" w:eastAsiaTheme="minorEastAsia"/>
              </w:rPr>
              <w:t>30</w:t>
            </w:r>
            <w:r>
              <w:rPr>
                <w:rFonts w:asciiTheme="minorEastAsia" w:hAnsiTheme="minorEastAsia" w:eastAsiaTheme="minorEastAsia"/>
              </w:rPr>
              <w:t>分，参数中每有一条负偏离扣3分，扣完为止。</w:t>
            </w:r>
          </w:p>
        </w:tc>
        <w:tc>
          <w:tcPr>
            <w:tcW w:w="2990" w:type="dxa"/>
            <w:shd w:val="clear" w:color="auto" w:fill="FFFFFF"/>
            <w:vAlign w:val="center"/>
          </w:tcPr>
          <w:p>
            <w:pPr>
              <w:ind w:firstLine="240" w:firstLineChars="100"/>
              <w:rPr>
                <w:rFonts w:asciiTheme="minorEastAsia" w:hAnsiTheme="minorEastAsia" w:eastAsiaTheme="minorEastAsia"/>
              </w:rPr>
            </w:pPr>
            <w:r>
              <w:rPr>
                <w:rFonts w:asciiTheme="minorEastAsia" w:hAnsiTheme="minorEastAsia" w:eastAsiaTheme="minorEastAsia"/>
              </w:rPr>
              <w:t>供应商应提供充足的佐证材料（佐证材料包括但不限于：经厂家确认的产品彩页、检测报告、官网截图等证明材料，佐证材料须包含产品的技术参数，并按要求放入</w:t>
            </w:r>
            <w:r>
              <w:rPr>
                <w:rFonts w:hint="eastAsia" w:asciiTheme="minorEastAsia" w:hAnsiTheme="minorEastAsia" w:eastAsiaTheme="minorEastAsia"/>
              </w:rPr>
              <w:t>响应</w:t>
            </w:r>
            <w:r>
              <w:rPr>
                <w:rFonts w:asciiTheme="minorEastAsia" w:hAnsiTheme="minorEastAsia" w:eastAsiaTheme="minorEastAsia"/>
              </w:rPr>
              <w:t>文件正本中）。技术参数正偏离应在技术响应表中注明佐证材料的页码。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89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28"/>
              <w:jc w:val="center"/>
              <w:rPr>
                <w:rFonts w:asciiTheme="minorEastAsia" w:hAnsiTheme="minorEastAsia" w:eastAsiaTheme="minorEastAsia"/>
              </w:rPr>
            </w:pPr>
            <w:r>
              <w:rPr>
                <w:rFonts w:asciiTheme="minorEastAsia" w:hAnsiTheme="minorEastAsia" w:eastAsiaTheme="minorEastAsia"/>
              </w:rPr>
              <w:t>3</w:t>
            </w:r>
          </w:p>
        </w:tc>
        <w:tc>
          <w:tcPr>
            <w:tcW w:w="137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实施</w:t>
            </w:r>
          </w:p>
          <w:p>
            <w:pPr>
              <w:jc w:val="center"/>
              <w:rPr>
                <w:rFonts w:asciiTheme="minorEastAsia" w:hAnsiTheme="minorEastAsia" w:eastAsiaTheme="minorEastAsia"/>
              </w:rPr>
            </w:pPr>
            <w:r>
              <w:rPr>
                <w:rFonts w:hint="eastAsia" w:asciiTheme="minorEastAsia" w:hAnsiTheme="minorEastAsia" w:eastAsiaTheme="minorEastAsia"/>
              </w:rPr>
              <w:t>方案10%</w:t>
            </w:r>
          </w:p>
          <w:p>
            <w:pPr>
              <w:jc w:val="center"/>
              <w:rPr>
                <w:rFonts w:asciiTheme="minorEastAsia" w:hAnsiTheme="minorEastAsia" w:eastAsiaTheme="minorEastAsia"/>
              </w:rPr>
            </w:pP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28"/>
              <w:jc w:val="center"/>
              <w:rPr>
                <w:rFonts w:asciiTheme="minorEastAsia" w:hAnsiTheme="minorEastAsia" w:eastAsiaTheme="minorEastAsia"/>
              </w:rPr>
            </w:pPr>
            <w:r>
              <w:rPr>
                <w:rFonts w:hint="eastAsia" w:asciiTheme="minorEastAsia" w:hAnsiTheme="minorEastAsia" w:eastAsiaTheme="minorEastAsia"/>
              </w:rPr>
              <w:t>10</w:t>
            </w:r>
          </w:p>
        </w:tc>
        <w:tc>
          <w:tcPr>
            <w:tcW w:w="397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240" w:firstLineChars="100"/>
              <w:jc w:val="left"/>
              <w:rPr>
                <w:rFonts w:asciiTheme="minorEastAsia" w:hAnsiTheme="minorEastAsia" w:eastAsiaTheme="minorEastAsia"/>
              </w:rPr>
            </w:pPr>
            <w:r>
              <w:rPr>
                <w:rFonts w:hint="eastAsia" w:asciiTheme="minorEastAsia" w:hAnsiTheme="minorEastAsia" w:eastAsiaTheme="minorEastAsia"/>
              </w:rPr>
              <w:t>1、根据供应商针对本项目提供项目实施方案及验收方案，就其方案是否合理科学及措施得当，是否针对本项目实施提出重点、难点并给出相应的解决方案，达到实验室的使用条件，进度安排、质量保证及验收方案的描述。方案科学合理、可行、全面得5-4分；方案基本合理可行得3-2分，方案欠缺、不利于实施得1-0分，</w:t>
            </w:r>
            <w:r>
              <w:rPr>
                <w:rFonts w:asciiTheme="minorEastAsia" w:hAnsiTheme="minorEastAsia" w:eastAsiaTheme="minorEastAsia"/>
              </w:rPr>
              <w:t>未提供的不得分</w:t>
            </w:r>
            <w:r>
              <w:rPr>
                <w:rFonts w:hint="eastAsia" w:asciiTheme="minorEastAsia" w:hAnsiTheme="minorEastAsia" w:eastAsiaTheme="minorEastAsia"/>
              </w:rPr>
              <w:t>。</w:t>
            </w:r>
          </w:p>
          <w:p>
            <w:pPr>
              <w:ind w:left="-46" w:leftChars="-19" w:firstLine="240" w:firstLineChars="100"/>
              <w:rPr>
                <w:rFonts w:asciiTheme="minorEastAsia" w:hAnsiTheme="minorEastAsia" w:eastAsiaTheme="minorEastAsia"/>
              </w:rPr>
            </w:pPr>
            <w:r>
              <w:rPr>
                <w:rFonts w:hint="eastAsia" w:asciiTheme="minorEastAsia" w:hAnsiTheme="minorEastAsia" w:eastAsiaTheme="minorEastAsia"/>
              </w:rPr>
              <w:t>2、根据供应商针对本项目有具体的供货组织安排，详细的人员、财力调配、运输、派送措施及设备到货后验收时的重点等实施方案，方案科学合理、可行、全面得5-4分；方案基本合理可行得3-2分，方案欠缺、不利于实施得1-0分，</w:t>
            </w:r>
            <w:r>
              <w:rPr>
                <w:rFonts w:asciiTheme="minorEastAsia" w:hAnsiTheme="minorEastAsia" w:eastAsiaTheme="minorEastAsia"/>
              </w:rPr>
              <w:t>未提供的不得分</w:t>
            </w:r>
            <w:r>
              <w:rPr>
                <w:rFonts w:hint="eastAsia" w:asciiTheme="minorEastAsia" w:hAnsiTheme="minorEastAsia" w:eastAsiaTheme="minorEastAsia"/>
              </w:rPr>
              <w:t>。</w:t>
            </w:r>
          </w:p>
        </w:tc>
        <w:tc>
          <w:tcPr>
            <w:tcW w:w="2990" w:type="dxa"/>
            <w:tcBorders>
              <w:top w:val="single" w:color="auto" w:sz="4" w:space="0"/>
              <w:left w:val="single" w:color="auto" w:sz="4" w:space="0"/>
              <w:bottom w:val="single" w:color="auto" w:sz="4" w:space="0"/>
              <w:right w:val="single" w:color="auto" w:sz="4" w:space="0"/>
            </w:tcBorders>
            <w:shd w:val="clear" w:color="auto" w:fill="FFFFFF"/>
            <w:vAlign w:val="center"/>
          </w:tcPr>
          <w:p>
            <w:pPr>
              <w:ind w:left="-46" w:leftChars="-19" w:firstLine="360" w:firstLineChars="150"/>
              <w:rPr>
                <w:rFonts w:asciiTheme="minorEastAsia" w:hAnsiTheme="minorEastAsia" w:eastAsiaTheme="minorEastAsia"/>
              </w:rPr>
            </w:pPr>
            <w:r>
              <w:rPr>
                <w:rFonts w:hint="eastAsia" w:asciiTheme="minorEastAsia" w:hAnsiTheme="minorEastAsia" w:eastAsiaTheme="minorEastAsia"/>
              </w:rPr>
              <w:t>提供详细的方案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89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28"/>
              <w:jc w:val="center"/>
              <w:rPr>
                <w:rFonts w:asciiTheme="minorEastAsia" w:hAnsiTheme="minorEastAsia" w:eastAsiaTheme="minorEastAsia"/>
              </w:rPr>
            </w:pPr>
            <w:r>
              <w:rPr>
                <w:rFonts w:asciiTheme="minorEastAsia" w:hAnsiTheme="minorEastAsia" w:eastAsiaTheme="minorEastAsia"/>
              </w:rPr>
              <w:t>4</w:t>
            </w:r>
          </w:p>
        </w:tc>
        <w:tc>
          <w:tcPr>
            <w:tcW w:w="137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r>
              <w:rPr>
                <w:rFonts w:asciiTheme="minorEastAsia" w:hAnsiTheme="minorEastAsia" w:eastAsiaTheme="minorEastAsia"/>
              </w:rPr>
              <w:t>售后服务及培训</w:t>
            </w:r>
            <w:r>
              <w:rPr>
                <w:rFonts w:hint="eastAsia" w:asciiTheme="minorEastAsia" w:hAnsiTheme="minorEastAsia" w:eastAsiaTheme="minorEastAsia"/>
              </w:rPr>
              <w:t>10</w:t>
            </w:r>
            <w:r>
              <w:rPr>
                <w:rFonts w:asciiTheme="minorEastAsia" w:hAnsiTheme="minorEastAsia" w:eastAsiaTheme="minorEastAsia"/>
              </w:rPr>
              <w:t>%</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28"/>
              <w:jc w:val="center"/>
              <w:rPr>
                <w:rFonts w:asciiTheme="minorEastAsia" w:hAnsiTheme="minorEastAsia" w:eastAsiaTheme="minorEastAsia"/>
              </w:rPr>
            </w:pPr>
            <w:r>
              <w:rPr>
                <w:rFonts w:hint="eastAsia" w:asciiTheme="minorEastAsia" w:hAnsiTheme="minorEastAsia" w:eastAsiaTheme="minorEastAsia"/>
              </w:rPr>
              <w:t>10</w:t>
            </w:r>
          </w:p>
        </w:tc>
        <w:tc>
          <w:tcPr>
            <w:tcW w:w="3977" w:type="dxa"/>
            <w:tcBorders>
              <w:top w:val="single" w:color="auto" w:sz="4" w:space="0"/>
              <w:left w:val="single" w:color="auto" w:sz="4" w:space="0"/>
              <w:bottom w:val="single" w:color="auto" w:sz="4" w:space="0"/>
              <w:right w:val="single" w:color="auto" w:sz="4" w:space="0"/>
            </w:tcBorders>
            <w:shd w:val="clear" w:color="auto" w:fill="FFFFFF"/>
            <w:vAlign w:val="center"/>
          </w:tcPr>
          <w:p>
            <w:pPr>
              <w:ind w:left="-46" w:leftChars="-19" w:firstLine="240" w:firstLineChars="1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根据</w:t>
            </w:r>
            <w:r>
              <w:rPr>
                <w:rFonts w:hint="eastAsia" w:asciiTheme="minorEastAsia" w:hAnsiTheme="minorEastAsia" w:eastAsiaTheme="minorEastAsia"/>
              </w:rPr>
              <w:t>供应商</w:t>
            </w:r>
            <w:r>
              <w:rPr>
                <w:rFonts w:asciiTheme="minorEastAsia" w:hAnsiTheme="minorEastAsia" w:eastAsiaTheme="minorEastAsia"/>
              </w:rPr>
              <w:t>承诺的质量保证范围，本地化售后服务方案，售后人员组成及经验，维修响应时间等综合分析比较评分，优的得</w:t>
            </w:r>
            <w:r>
              <w:rPr>
                <w:rFonts w:hint="eastAsia" w:asciiTheme="minorEastAsia" w:hAnsiTheme="minorEastAsia" w:eastAsiaTheme="minorEastAsia"/>
              </w:rPr>
              <w:t>5-4</w:t>
            </w:r>
            <w:r>
              <w:rPr>
                <w:rFonts w:asciiTheme="minorEastAsia" w:hAnsiTheme="minorEastAsia" w:eastAsiaTheme="minorEastAsia"/>
              </w:rPr>
              <w:t>分；一般得</w:t>
            </w:r>
            <w:r>
              <w:rPr>
                <w:rFonts w:hint="eastAsia" w:asciiTheme="minorEastAsia" w:hAnsiTheme="minorEastAsia" w:eastAsiaTheme="minorEastAsia"/>
              </w:rPr>
              <w:t>3-2</w:t>
            </w:r>
            <w:r>
              <w:rPr>
                <w:rFonts w:asciiTheme="minorEastAsia" w:hAnsiTheme="minorEastAsia" w:eastAsiaTheme="minorEastAsia"/>
              </w:rPr>
              <w:t>分；差的得</w:t>
            </w:r>
            <w:r>
              <w:rPr>
                <w:rFonts w:hint="eastAsia" w:asciiTheme="minorEastAsia" w:hAnsiTheme="minorEastAsia" w:eastAsiaTheme="minorEastAsia"/>
              </w:rPr>
              <w:t>1-0</w:t>
            </w:r>
            <w:r>
              <w:rPr>
                <w:rFonts w:asciiTheme="minorEastAsia" w:hAnsiTheme="minorEastAsia" w:eastAsiaTheme="minorEastAsia"/>
              </w:rPr>
              <w:t>分，未提供的不得分。</w:t>
            </w:r>
          </w:p>
          <w:p>
            <w:pPr>
              <w:ind w:left="-46" w:leftChars="-19" w:firstLine="240" w:firstLineChars="1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提供完整、可行的培训方案，明确具体培训方式、时间、地点、人员以及培训内容情况按优劣得分，优的得</w:t>
            </w:r>
            <w:r>
              <w:rPr>
                <w:rFonts w:hint="eastAsia" w:asciiTheme="minorEastAsia" w:hAnsiTheme="minorEastAsia" w:eastAsiaTheme="minorEastAsia"/>
              </w:rPr>
              <w:t>5-4</w:t>
            </w:r>
            <w:r>
              <w:rPr>
                <w:rFonts w:asciiTheme="minorEastAsia" w:hAnsiTheme="minorEastAsia" w:eastAsiaTheme="minorEastAsia"/>
              </w:rPr>
              <w:t>分；一般得</w:t>
            </w:r>
            <w:r>
              <w:rPr>
                <w:rFonts w:hint="eastAsia" w:asciiTheme="minorEastAsia" w:hAnsiTheme="minorEastAsia" w:eastAsiaTheme="minorEastAsia"/>
              </w:rPr>
              <w:t>3-2</w:t>
            </w:r>
            <w:r>
              <w:rPr>
                <w:rFonts w:asciiTheme="minorEastAsia" w:hAnsiTheme="minorEastAsia" w:eastAsiaTheme="minorEastAsia"/>
              </w:rPr>
              <w:t>分；差的得</w:t>
            </w:r>
            <w:r>
              <w:rPr>
                <w:rFonts w:hint="eastAsia" w:asciiTheme="minorEastAsia" w:hAnsiTheme="minorEastAsia" w:eastAsiaTheme="minorEastAsia"/>
              </w:rPr>
              <w:t>1-0</w:t>
            </w:r>
            <w:r>
              <w:rPr>
                <w:rFonts w:asciiTheme="minorEastAsia" w:hAnsiTheme="minorEastAsia" w:eastAsiaTheme="minorEastAsia"/>
              </w:rPr>
              <w:t>分，未提供的不得分。</w:t>
            </w:r>
          </w:p>
        </w:tc>
        <w:tc>
          <w:tcPr>
            <w:tcW w:w="2990" w:type="dxa"/>
            <w:tcBorders>
              <w:top w:val="single" w:color="auto" w:sz="4" w:space="0"/>
              <w:left w:val="single" w:color="auto" w:sz="4" w:space="0"/>
              <w:bottom w:val="single" w:color="auto" w:sz="4" w:space="0"/>
              <w:right w:val="single" w:color="auto" w:sz="4" w:space="0"/>
            </w:tcBorders>
            <w:shd w:val="clear" w:color="auto" w:fill="FFFFFF"/>
            <w:vAlign w:val="center"/>
          </w:tcPr>
          <w:p>
            <w:pPr>
              <w:ind w:left="-46" w:leftChars="-19" w:firstLine="240" w:firstLineChars="100"/>
              <w:rPr>
                <w:rFonts w:asciiTheme="minorEastAsia" w:hAnsiTheme="minorEastAsia" w:eastAsiaTheme="minorEastAsia"/>
              </w:rPr>
            </w:pPr>
            <w:r>
              <w:rPr>
                <w:rFonts w:hint="eastAsia" w:asciiTheme="minorEastAsia" w:hAnsiTheme="minorEastAsia" w:eastAsiaTheme="minorEastAsia"/>
              </w:rPr>
              <w:t>供应商</w:t>
            </w:r>
            <w:r>
              <w:rPr>
                <w:rFonts w:asciiTheme="minorEastAsia" w:hAnsiTheme="minorEastAsia" w:eastAsiaTheme="minorEastAsia"/>
              </w:rPr>
              <w:t>应尽可能多的提供相应的售后服务及培训方案，售后服务机构证明材料，专职售后人员名单，技术职称等证明材料复印件加盖公章。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36"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r>
              <w:rPr>
                <w:rFonts w:asciiTheme="minorEastAsia" w:hAnsiTheme="minorEastAsia" w:eastAsiaTheme="minorEastAsia"/>
              </w:rPr>
              <w:t>5</w:t>
            </w:r>
          </w:p>
        </w:tc>
        <w:tc>
          <w:tcPr>
            <w:tcW w:w="1374"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240" w:firstLineChars="100"/>
              <w:rPr>
                <w:rFonts w:asciiTheme="minorEastAsia" w:hAnsiTheme="minorEastAsia" w:eastAsiaTheme="minorEastAsia"/>
              </w:rPr>
            </w:pPr>
            <w:r>
              <w:rPr>
                <w:rFonts w:asciiTheme="minorEastAsia" w:hAnsiTheme="minorEastAsia" w:eastAsiaTheme="minorEastAsia"/>
              </w:rPr>
              <w:t>业绩10%</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28"/>
              <w:jc w:val="center"/>
              <w:rPr>
                <w:rFonts w:asciiTheme="minorEastAsia" w:hAnsiTheme="minorEastAsia" w:eastAsiaTheme="minorEastAsia"/>
              </w:rPr>
            </w:pPr>
            <w:r>
              <w:rPr>
                <w:rFonts w:asciiTheme="minorEastAsia" w:hAnsiTheme="minorEastAsia" w:eastAsiaTheme="minorEastAsia"/>
              </w:rPr>
              <w:t>10</w:t>
            </w:r>
          </w:p>
        </w:tc>
        <w:tc>
          <w:tcPr>
            <w:tcW w:w="397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264" w:firstLineChars="110"/>
              <w:rPr>
                <w:rFonts w:asciiTheme="minorEastAsia" w:hAnsiTheme="minorEastAsia" w:eastAsiaTheme="minorEastAsia"/>
              </w:rPr>
            </w:pPr>
            <w:r>
              <w:rPr>
                <w:rFonts w:hint="eastAsia" w:asciiTheme="minorEastAsia" w:hAnsiTheme="minorEastAsia" w:eastAsiaTheme="minorEastAsia"/>
              </w:rPr>
              <w:t>评审小组</w:t>
            </w:r>
            <w:r>
              <w:rPr>
                <w:rFonts w:asciiTheme="minorEastAsia" w:hAnsiTheme="minorEastAsia" w:eastAsiaTheme="minorEastAsia"/>
              </w:rPr>
              <w:t>根据</w:t>
            </w:r>
            <w:r>
              <w:rPr>
                <w:rFonts w:hint="eastAsia" w:asciiTheme="minorEastAsia" w:hAnsiTheme="minorEastAsia" w:eastAsiaTheme="minorEastAsia"/>
              </w:rPr>
              <w:t>供应商</w:t>
            </w:r>
            <w:r>
              <w:rPr>
                <w:rFonts w:asciiTheme="minorEastAsia" w:hAnsiTheme="minorEastAsia" w:eastAsiaTheme="minorEastAsia"/>
              </w:rPr>
              <w:t>提供的201</w:t>
            </w:r>
            <w:r>
              <w:rPr>
                <w:rFonts w:hint="eastAsia" w:asciiTheme="minorEastAsia" w:hAnsiTheme="minorEastAsia" w:eastAsiaTheme="minorEastAsia"/>
              </w:rPr>
              <w:t>8</w:t>
            </w:r>
            <w:r>
              <w:rPr>
                <w:rFonts w:asciiTheme="minorEastAsia" w:hAnsiTheme="minorEastAsia" w:eastAsiaTheme="minorEastAsia"/>
              </w:rPr>
              <w:t>年以来同类产品销售合同(仅限</w:t>
            </w:r>
            <w:r>
              <w:rPr>
                <w:rFonts w:hint="eastAsia" w:asciiTheme="minorEastAsia" w:hAnsiTheme="minorEastAsia" w:eastAsiaTheme="minorEastAsia"/>
              </w:rPr>
              <w:t>供应商</w:t>
            </w:r>
            <w:r>
              <w:rPr>
                <w:rFonts w:asciiTheme="minorEastAsia" w:hAnsiTheme="minorEastAsia" w:eastAsiaTheme="minorEastAsia"/>
              </w:rPr>
              <w:t>自己实施的)，每提供1个得2分，最多得10分。</w:t>
            </w:r>
          </w:p>
        </w:tc>
        <w:tc>
          <w:tcPr>
            <w:tcW w:w="2990" w:type="dxa"/>
            <w:tcBorders>
              <w:top w:val="single" w:color="auto" w:sz="4" w:space="0"/>
              <w:left w:val="single" w:color="auto" w:sz="4" w:space="0"/>
              <w:bottom w:val="single" w:color="auto" w:sz="4" w:space="0"/>
              <w:right w:val="single" w:color="auto" w:sz="4" w:space="0"/>
            </w:tcBorders>
            <w:shd w:val="clear" w:color="auto" w:fill="FFFFFF"/>
            <w:vAlign w:val="center"/>
          </w:tcPr>
          <w:p>
            <w:pPr>
              <w:ind w:left="-46" w:leftChars="-19" w:firstLine="240" w:firstLineChars="100"/>
              <w:rPr>
                <w:rFonts w:asciiTheme="minorEastAsia" w:hAnsiTheme="minorEastAsia" w:eastAsiaTheme="minorEastAsia"/>
              </w:rPr>
            </w:pPr>
            <w:r>
              <w:rPr>
                <w:rFonts w:asciiTheme="minorEastAsia" w:hAnsiTheme="minorEastAsia" w:eastAsiaTheme="minorEastAsia"/>
              </w:rPr>
              <w:t>提供合同复印件加盖公章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28"/>
              <w:jc w:val="center"/>
              <w:rPr>
                <w:rFonts w:asciiTheme="minorEastAsia" w:hAnsiTheme="minorEastAsia" w:eastAsiaTheme="minorEastAsia"/>
              </w:rPr>
            </w:pPr>
            <w:r>
              <w:rPr>
                <w:rFonts w:asciiTheme="minorEastAsia" w:hAnsiTheme="minorEastAsia" w:eastAsiaTheme="minorEastAsia"/>
              </w:rPr>
              <w:t>6</w:t>
            </w:r>
          </w:p>
        </w:tc>
        <w:tc>
          <w:tcPr>
            <w:tcW w:w="137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质量保证</w:t>
            </w:r>
            <w:r>
              <w:rPr>
                <w:rFonts w:hint="eastAsia" w:asciiTheme="minorEastAsia" w:hAnsiTheme="minorEastAsia" w:eastAsiaTheme="minorEastAsia"/>
              </w:rPr>
              <w:t>8</w:t>
            </w:r>
            <w:r>
              <w:rPr>
                <w:rFonts w:asciiTheme="minorEastAsia" w:hAnsiTheme="minorEastAsia" w:eastAsiaTheme="minorEastAsia"/>
              </w:rPr>
              <w:t>%</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28"/>
              <w:jc w:val="center"/>
              <w:rPr>
                <w:rFonts w:asciiTheme="minorEastAsia" w:hAnsiTheme="minorEastAsia" w:eastAsiaTheme="minorEastAsia"/>
              </w:rPr>
            </w:pPr>
            <w:r>
              <w:rPr>
                <w:rFonts w:hint="eastAsia" w:asciiTheme="minorEastAsia" w:hAnsiTheme="minorEastAsia" w:eastAsiaTheme="minorEastAsia"/>
              </w:rPr>
              <w:t>8</w:t>
            </w:r>
          </w:p>
        </w:tc>
        <w:tc>
          <w:tcPr>
            <w:tcW w:w="397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240" w:firstLineChars="100"/>
              <w:rPr>
                <w:rFonts w:asciiTheme="minorEastAsia" w:hAnsiTheme="minorEastAsia" w:eastAsiaTheme="minorEastAsia"/>
              </w:rPr>
            </w:pPr>
            <w:r>
              <w:rPr>
                <w:rFonts w:hint="eastAsia" w:asciiTheme="minorEastAsia" w:hAnsiTheme="minorEastAsia" w:eastAsiaTheme="minorEastAsia"/>
              </w:rPr>
              <w:t>1.设备进货渠道正规,并能够提供设备说明书等相关资料。质量保证,确保生产供应的设备无假货、水货、翻新货且无产权纠纷,根据供应商提供的证明文件齐全程度,由评委综合比较,响应程度较其他供应商好计4分,响应程度较好计3-2分，响应程度一般计1分。</w:t>
            </w:r>
          </w:p>
          <w:p>
            <w:pPr>
              <w:ind w:firstLine="240" w:firstLineChars="100"/>
              <w:rPr>
                <w:rFonts w:asciiTheme="minorEastAsia" w:hAnsiTheme="minorEastAsia" w:eastAsiaTheme="minorEastAsia"/>
              </w:rPr>
            </w:pPr>
            <w:r>
              <w:rPr>
                <w:rFonts w:hint="eastAsia" w:asciiTheme="minorEastAsia" w:hAnsiTheme="minorEastAsia" w:eastAsiaTheme="minorEastAsia"/>
              </w:rPr>
              <w:t>2.供应商在采购人要求质保期的基础上，每增加1年，加2分，最高加4分。</w:t>
            </w:r>
          </w:p>
        </w:tc>
        <w:tc>
          <w:tcPr>
            <w:tcW w:w="29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cs="宋体" w:asciiTheme="minorEastAsia" w:hAnsiTheme="minorEastAsia" w:eastAsiaTheme="minorEastAsia"/>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28"/>
              <w:jc w:val="center"/>
              <w:rPr>
                <w:rFonts w:asciiTheme="minorEastAsia" w:hAnsiTheme="minorEastAsia" w:eastAsiaTheme="minorEastAsia"/>
              </w:rPr>
            </w:pPr>
            <w:r>
              <w:rPr>
                <w:rFonts w:asciiTheme="minorEastAsia" w:hAnsiTheme="minorEastAsia" w:eastAsiaTheme="minorEastAsia"/>
              </w:rPr>
              <w:t>7</w:t>
            </w:r>
          </w:p>
        </w:tc>
        <w:tc>
          <w:tcPr>
            <w:tcW w:w="137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lang w:val="zh-CN"/>
              </w:rPr>
              <w:t>节能、环保</w:t>
            </w:r>
            <w:r>
              <w:rPr>
                <w:rFonts w:hint="eastAsia" w:asciiTheme="minorEastAsia" w:hAnsiTheme="minorEastAsia" w:eastAsiaTheme="minorEastAsia"/>
              </w:rPr>
              <w:t>2%</w:t>
            </w:r>
          </w:p>
        </w:tc>
        <w:tc>
          <w:tcPr>
            <w:tcW w:w="66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28"/>
              <w:jc w:val="center"/>
              <w:rPr>
                <w:rFonts w:asciiTheme="minorEastAsia" w:hAnsiTheme="minorEastAsia" w:eastAsiaTheme="minorEastAsia"/>
              </w:rPr>
            </w:pPr>
            <w:r>
              <w:rPr>
                <w:rFonts w:hint="eastAsia" w:asciiTheme="minorEastAsia" w:hAnsiTheme="minorEastAsia" w:eastAsiaTheme="minorEastAsia"/>
              </w:rPr>
              <w:t>2</w:t>
            </w:r>
          </w:p>
        </w:tc>
        <w:tc>
          <w:tcPr>
            <w:tcW w:w="397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240" w:firstLineChars="100"/>
              <w:rPr>
                <w:rFonts w:cs="宋体" w:asciiTheme="minorEastAsia" w:hAnsiTheme="minorEastAsia" w:eastAsiaTheme="minorEastAsia"/>
                <w:color w:val="0D0D0D"/>
              </w:rPr>
            </w:pPr>
            <w:r>
              <w:rPr>
                <w:rFonts w:hint="eastAsia" w:cs="宋体" w:asciiTheme="minorEastAsia" w:hAnsiTheme="minorEastAsia" w:eastAsiaTheme="minorEastAsia"/>
                <w:color w:val="0D0D0D"/>
              </w:rPr>
              <w:t>所投产品中属于政府采购优先采购范围的，则每有一项为节能产品或者环境标志产品的得0.5分，每有一项既是节能产品又是环境标志产品的得1分，非节能、环境标志产品的不得分。本项最多得2分。</w:t>
            </w:r>
          </w:p>
          <w:p>
            <w:pPr>
              <w:ind w:firstLine="264" w:firstLineChars="110"/>
              <w:rPr>
                <w:rFonts w:asciiTheme="minorEastAsia" w:hAnsiTheme="minorEastAsia" w:eastAsiaTheme="minorEastAsia"/>
              </w:rPr>
            </w:pPr>
            <w:r>
              <w:rPr>
                <w:rFonts w:hint="eastAsia" w:cs="宋体" w:asciiTheme="minorEastAsia" w:hAnsiTheme="minorEastAsia" w:eastAsiaTheme="minorEastAsia"/>
                <w:color w:val="0D0D0D"/>
              </w:rPr>
              <w:t>注：1. 节能产品、环境标志产品优先采购范围以品目清单为准</w:t>
            </w:r>
            <w:r>
              <w:rPr>
                <w:rFonts w:cs="宋体" w:asciiTheme="minorEastAsia" w:hAnsiTheme="minorEastAsia" w:eastAsiaTheme="minorEastAsia"/>
                <w:color w:val="0D0D0D"/>
              </w:rPr>
              <w:t>。</w:t>
            </w:r>
            <w:r>
              <w:rPr>
                <w:rFonts w:hint="eastAsia" w:cs="宋体" w:asciiTheme="minorEastAsia" w:hAnsiTheme="minorEastAsia" w:eastAsiaTheme="minorEastAsia"/>
                <w:color w:val="0D0D0D"/>
              </w:rPr>
              <w:t>财政部、发展改革委、生态环境部等部门根据产品节能环保性能、技术水平和市场成熟程度等因素，确定实施政府优先采购和强制采购的产品类别及所依据的相关标准规范，以品目清单的形式发布并适时调整</w:t>
            </w:r>
          </w:p>
        </w:tc>
        <w:tc>
          <w:tcPr>
            <w:tcW w:w="29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240" w:firstLineChars="100"/>
              <w:rPr>
                <w:rFonts w:cs="宋体" w:asciiTheme="minorEastAsia" w:hAnsiTheme="minorEastAsia" w:eastAsiaTheme="minorEastAsia"/>
                <w:color w:val="0D0D0D"/>
              </w:rPr>
            </w:pPr>
            <w:r>
              <w:rPr>
                <w:rFonts w:hint="eastAsia" w:cs="宋体" w:asciiTheme="minorEastAsia" w:hAnsiTheme="minorEastAsia" w:eastAsiaTheme="minorEastAsia"/>
                <w:color w:val="0D0D0D"/>
              </w:rPr>
              <w:t>所投产品属于优先</w:t>
            </w:r>
            <w:r>
              <w:rPr>
                <w:rFonts w:cs="宋体" w:asciiTheme="minorEastAsia" w:hAnsiTheme="minorEastAsia" w:eastAsiaTheme="minorEastAsia"/>
                <w:color w:val="0D0D0D"/>
              </w:rPr>
              <w:t>采购范围内的</w:t>
            </w:r>
            <w:r>
              <w:rPr>
                <w:rFonts w:hint="eastAsia" w:cs="宋体" w:asciiTheme="minorEastAsia" w:hAnsiTheme="minorEastAsia" w:eastAsiaTheme="minorEastAsia"/>
                <w:color w:val="0D0D0D"/>
              </w:rPr>
              <w:t>节能产品或者环境标志产品的</w:t>
            </w:r>
            <w:r>
              <w:rPr>
                <w:rFonts w:cs="宋体" w:asciiTheme="minorEastAsia" w:hAnsiTheme="minorEastAsia" w:eastAsiaTheme="minorEastAsia"/>
                <w:color w:val="0D0D0D"/>
              </w:rPr>
              <w:t>，</w:t>
            </w:r>
            <w:r>
              <w:rPr>
                <w:rFonts w:hint="eastAsia" w:cs="宋体" w:asciiTheme="minorEastAsia" w:hAnsiTheme="minorEastAsia" w:eastAsiaTheme="minorEastAsia"/>
                <w:color w:val="0D0D0D"/>
              </w:rPr>
              <w:t>提供国家确定的认证机构出具的、处于有效期之内的节能产品、环境标志产品认证证书复印件加盖</w:t>
            </w:r>
            <w:r>
              <w:rPr>
                <w:rFonts w:cs="宋体" w:asciiTheme="minorEastAsia" w:hAnsiTheme="minorEastAsia" w:eastAsiaTheme="minorEastAsia"/>
                <w:color w:val="0D0D0D"/>
              </w:rPr>
              <w:t>公章</w:t>
            </w:r>
          </w:p>
          <w:p>
            <w:pPr>
              <w:ind w:left="-38"/>
              <w:rPr>
                <w:rFonts w:asciiTheme="minorEastAsia" w:hAnsiTheme="minorEastAsia" w:eastAsiaTheme="minorEastAsia"/>
              </w:rPr>
            </w:pPr>
          </w:p>
        </w:tc>
      </w:tr>
    </w:tbl>
    <w:p>
      <w:pPr>
        <w:pStyle w:val="12"/>
        <w:tabs>
          <w:tab w:val="left" w:pos="600"/>
        </w:tabs>
        <w:spacing w:line="360" w:lineRule="auto"/>
        <w:ind w:left="0" w:leftChars="0" w:firstLine="480" w:firstLineChars="200"/>
        <w:rPr>
          <w:rFonts w:hAnsi="宋体" w:cs="宋体"/>
          <w:sz w:val="24"/>
        </w:rPr>
      </w:pPr>
    </w:p>
    <w:p>
      <w:pPr>
        <w:pStyle w:val="4"/>
        <w:spacing w:line="360" w:lineRule="auto"/>
        <w:ind w:firstLine="472" w:firstLineChars="196"/>
        <w:rPr>
          <w:rFonts w:ascii="宋体" w:hAnsi="宋体" w:cs="宋体"/>
          <w:sz w:val="24"/>
        </w:rPr>
      </w:pPr>
      <w:bookmarkStart w:id="231" w:name="_Toc217446060"/>
      <w:r>
        <w:rPr>
          <w:rFonts w:hint="eastAsia" w:ascii="宋体" w:hAnsi="宋体" w:cs="宋体"/>
          <w:sz w:val="24"/>
        </w:rPr>
        <w:t>5、废标</w:t>
      </w:r>
    </w:p>
    <w:p>
      <w:pPr>
        <w:spacing w:line="360" w:lineRule="auto"/>
        <w:ind w:firstLine="480" w:firstLineChars="200"/>
        <w:rPr>
          <w:rFonts w:hAnsi="宋体" w:cs="宋体"/>
          <w:color w:val="auto"/>
        </w:rPr>
      </w:pPr>
      <w:r>
        <w:rPr>
          <w:rFonts w:hint="eastAsia" w:hAnsi="宋体" w:cs="宋体"/>
          <w:color w:val="auto"/>
        </w:rPr>
        <w:t>5.1本次政府采购活动中，出现下列情形之一的，予以废标：</w:t>
      </w:r>
    </w:p>
    <w:p>
      <w:pPr>
        <w:spacing w:line="360" w:lineRule="auto"/>
        <w:ind w:firstLine="480" w:firstLineChars="200"/>
        <w:rPr>
          <w:rFonts w:hAnsi="宋体" w:cs="宋体"/>
          <w:color w:val="auto"/>
        </w:rPr>
      </w:pPr>
      <w:r>
        <w:rPr>
          <w:rFonts w:hint="eastAsia" w:hAnsi="宋体" w:cs="宋体"/>
          <w:color w:val="auto"/>
        </w:rPr>
        <w:t>（1）符合专业条件的供应商或者对招标文件作实质响应的供应商不足三家的；</w:t>
      </w:r>
    </w:p>
    <w:p>
      <w:pPr>
        <w:spacing w:line="360" w:lineRule="auto"/>
        <w:ind w:firstLine="480" w:firstLineChars="200"/>
        <w:rPr>
          <w:rFonts w:hAnsi="宋体" w:cs="宋体"/>
          <w:color w:val="auto"/>
        </w:rPr>
      </w:pPr>
      <w:r>
        <w:rPr>
          <w:rFonts w:hint="eastAsia" w:hAnsi="宋体" w:cs="宋体"/>
          <w:color w:val="auto"/>
        </w:rPr>
        <w:t>（2）出现影响采购公正的违法、违规行为的；</w:t>
      </w:r>
    </w:p>
    <w:p>
      <w:pPr>
        <w:spacing w:line="360" w:lineRule="auto"/>
        <w:ind w:firstLine="480" w:firstLineChars="200"/>
        <w:rPr>
          <w:rFonts w:hAnsi="宋体" w:cs="宋体"/>
          <w:color w:val="auto"/>
        </w:rPr>
      </w:pPr>
      <w:r>
        <w:rPr>
          <w:rFonts w:hint="eastAsia" w:hAnsi="宋体" w:cs="宋体"/>
          <w:color w:val="auto"/>
        </w:rPr>
        <w:t>（3）投标人的报价均超过了采购预算，采购人不能支付的；</w:t>
      </w:r>
    </w:p>
    <w:p>
      <w:pPr>
        <w:spacing w:line="360" w:lineRule="auto"/>
        <w:ind w:firstLine="480" w:firstLineChars="200"/>
        <w:rPr>
          <w:rFonts w:hAnsi="宋体" w:cs="宋体"/>
          <w:color w:val="auto"/>
        </w:rPr>
      </w:pPr>
      <w:r>
        <w:rPr>
          <w:rFonts w:hint="eastAsia" w:hAnsi="宋体" w:cs="宋体"/>
          <w:color w:val="auto"/>
        </w:rPr>
        <w:t>（4）因重大变故，采购任务取消的。</w:t>
      </w:r>
    </w:p>
    <w:p>
      <w:pPr>
        <w:spacing w:line="360" w:lineRule="auto"/>
        <w:ind w:firstLine="480" w:firstLineChars="200"/>
        <w:rPr>
          <w:rFonts w:hAnsi="宋体" w:cs="宋体"/>
          <w:color w:val="auto"/>
        </w:rPr>
      </w:pPr>
      <w:r>
        <w:rPr>
          <w:rFonts w:hint="eastAsia" w:hAnsi="宋体" w:cs="宋体"/>
          <w:color w:val="auto"/>
        </w:rPr>
        <w:t>废标后，采购代理机构应在陕西省政府采购网上公告，并公告废标的情形。投标人需要知晓导致废标情形的具体原因和理由的，可以通过书面形式询问招标采购单位。</w:t>
      </w:r>
    </w:p>
    <w:p>
      <w:pPr>
        <w:spacing w:line="360" w:lineRule="auto"/>
        <w:ind w:firstLine="480" w:firstLineChars="200"/>
        <w:rPr>
          <w:rFonts w:hAnsi="宋体" w:cs="宋体"/>
          <w:color w:val="auto"/>
        </w:rPr>
      </w:pPr>
      <w:r>
        <w:rPr>
          <w:rFonts w:hint="eastAsia" w:hAnsi="宋体" w:cs="宋体"/>
          <w:color w:val="auto"/>
        </w:rPr>
        <w:t>5.2对于评标过程中废标的采购项目，评标委员会应当对招标文件是否存在倾向性和歧视性、是否存在不合理条款进行论证，并出具书面论证意见。</w:t>
      </w:r>
    </w:p>
    <w:p>
      <w:pPr>
        <w:pStyle w:val="4"/>
        <w:spacing w:line="360" w:lineRule="auto"/>
        <w:ind w:firstLine="472" w:firstLineChars="196"/>
        <w:rPr>
          <w:rFonts w:ascii="宋体" w:hAnsi="宋体" w:cs="宋体"/>
          <w:sz w:val="24"/>
        </w:rPr>
      </w:pPr>
      <w:r>
        <w:rPr>
          <w:rFonts w:hint="eastAsia" w:ascii="宋体" w:hAnsi="宋体" w:cs="宋体"/>
          <w:sz w:val="24"/>
        </w:rPr>
        <w:t>6、定标</w:t>
      </w:r>
      <w:bookmarkEnd w:id="231"/>
      <w:bookmarkStart w:id="232" w:name="_Toc217446061"/>
    </w:p>
    <w:p>
      <w:pPr>
        <w:spacing w:line="360" w:lineRule="auto"/>
        <w:ind w:firstLine="480" w:firstLineChars="200"/>
        <w:rPr>
          <w:rFonts w:hAnsi="宋体" w:cs="宋体"/>
          <w:color w:val="auto"/>
        </w:rPr>
      </w:pPr>
      <w:r>
        <w:rPr>
          <w:rFonts w:hint="eastAsia" w:hAnsi="宋体" w:cs="宋体"/>
          <w:color w:val="auto"/>
        </w:rPr>
        <w:t>6.1. 定标原则</w:t>
      </w:r>
      <w:bookmarkEnd w:id="232"/>
      <w:r>
        <w:rPr>
          <w:rFonts w:hint="eastAsia" w:hAnsi="宋体" w:cs="宋体"/>
          <w:color w:val="auto"/>
        </w:rPr>
        <w:t>：本项目根据评标委员会推荐的中标候选供应商名单，按顺序确定中标供应商。</w:t>
      </w:r>
    </w:p>
    <w:p>
      <w:pPr>
        <w:spacing w:line="360" w:lineRule="auto"/>
        <w:ind w:firstLine="480" w:firstLineChars="200"/>
        <w:rPr>
          <w:rFonts w:hAnsi="宋体" w:cs="宋体"/>
          <w:color w:val="auto"/>
        </w:rPr>
      </w:pPr>
      <w:bookmarkStart w:id="233" w:name="_Toc217446062"/>
      <w:r>
        <w:rPr>
          <w:rFonts w:hint="eastAsia" w:hAnsi="宋体" w:cs="宋体"/>
          <w:color w:val="auto"/>
        </w:rPr>
        <w:t>6.2. 定标程序</w:t>
      </w:r>
      <w:bookmarkEnd w:id="233"/>
    </w:p>
    <w:p>
      <w:pPr>
        <w:spacing w:line="360" w:lineRule="auto"/>
        <w:ind w:firstLine="480" w:firstLineChars="200"/>
        <w:rPr>
          <w:rFonts w:hAnsi="宋体" w:cs="宋体"/>
          <w:color w:val="auto"/>
        </w:rPr>
      </w:pPr>
      <w:r>
        <w:rPr>
          <w:rFonts w:hint="eastAsia" w:hAnsi="宋体" w:cs="宋体"/>
          <w:color w:val="auto"/>
        </w:rPr>
        <w:t>6.2.1 评标委员会将评标情况写出书面报告，推荐中标候选供应商。</w:t>
      </w:r>
    </w:p>
    <w:p>
      <w:pPr>
        <w:spacing w:line="360" w:lineRule="auto"/>
        <w:ind w:firstLine="480" w:firstLineChars="200"/>
        <w:rPr>
          <w:rFonts w:hAnsi="宋体" w:cs="宋体"/>
          <w:color w:val="auto"/>
        </w:rPr>
      </w:pPr>
      <w:r>
        <w:rPr>
          <w:rFonts w:hint="eastAsia" w:hAnsi="宋体" w:cs="宋体"/>
          <w:color w:val="auto"/>
        </w:rPr>
        <w:t>6.2.2 采购代理机构在评标结束后2个工作日内将评标报告送采购人。</w:t>
      </w:r>
    </w:p>
    <w:p>
      <w:pPr>
        <w:spacing w:line="360" w:lineRule="auto"/>
        <w:ind w:firstLine="480" w:firstLineChars="200"/>
        <w:rPr>
          <w:rFonts w:hAnsi="宋体" w:cs="宋体"/>
          <w:color w:val="auto"/>
        </w:rPr>
      </w:pPr>
      <w:r>
        <w:rPr>
          <w:rFonts w:hint="eastAsia" w:hAnsi="宋体" w:cs="宋体"/>
          <w:color w:val="auto"/>
        </w:rPr>
        <w:t>6.2.3 采购人在收到评标报告后5个工作日内，按照评标报告中推荐的中标候选供应商顺序确定中标供应商。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供应商。</w:t>
      </w:r>
    </w:p>
    <w:p>
      <w:pPr>
        <w:spacing w:line="360" w:lineRule="auto"/>
        <w:ind w:firstLine="482" w:firstLineChars="200"/>
        <w:rPr>
          <w:rFonts w:hAnsi="宋体" w:cs="宋体"/>
          <w:b/>
          <w:color w:val="auto"/>
        </w:rPr>
      </w:pPr>
      <w:r>
        <w:rPr>
          <w:rFonts w:hint="eastAsia" w:hAnsi="宋体" w:cs="宋体"/>
          <w:b/>
          <w:color w:val="auto"/>
        </w:rPr>
        <w:t>注意，采购人按照推荐的中标候选供应商顺序确定中标供应商，不能认为采购人只能确定第一中标候选供应商为中标供应商，采购人有正当理由的，可以确定后一顺序中标候选供应商为中标供应商，依次类推。</w:t>
      </w:r>
    </w:p>
    <w:p>
      <w:pPr>
        <w:spacing w:line="360" w:lineRule="auto"/>
        <w:ind w:firstLine="480" w:firstLineChars="200"/>
        <w:rPr>
          <w:rFonts w:hAnsi="宋体" w:cs="宋体"/>
          <w:color w:val="auto"/>
        </w:rPr>
      </w:pPr>
      <w:r>
        <w:rPr>
          <w:rFonts w:hint="eastAsia" w:hAnsi="宋体" w:cs="宋体"/>
          <w:color w:val="auto"/>
        </w:rPr>
        <w:t>6.2.4 根据采购人确定的中标供应商，采购代理机构在陕西省政府采购网上发布中标公告，并自采购人确定中标之日起2个工作日内向中标供应商发出中标通知书。</w:t>
      </w:r>
    </w:p>
    <w:p>
      <w:pPr>
        <w:spacing w:line="360" w:lineRule="auto"/>
        <w:ind w:firstLine="480" w:firstLineChars="200"/>
        <w:rPr>
          <w:rFonts w:hAnsi="宋体" w:cs="宋体"/>
          <w:color w:val="auto"/>
        </w:rPr>
      </w:pPr>
      <w:r>
        <w:rPr>
          <w:rFonts w:hint="eastAsia" w:hAnsi="宋体" w:cs="宋体"/>
          <w:color w:val="auto"/>
        </w:rPr>
        <w:t>6.2.5 招标采购单位不退回投标人投标文件和其他投标资料。</w:t>
      </w:r>
    </w:p>
    <w:bookmarkEnd w:id="229"/>
    <w:p>
      <w:pPr>
        <w:pStyle w:val="4"/>
        <w:spacing w:line="360" w:lineRule="auto"/>
        <w:ind w:firstLine="482" w:firstLineChars="200"/>
        <w:rPr>
          <w:rFonts w:ascii="宋体" w:hAnsi="宋体" w:cs="宋体"/>
          <w:sz w:val="24"/>
        </w:rPr>
      </w:pPr>
      <w:bookmarkStart w:id="234" w:name="_Toc183682432"/>
      <w:bookmarkStart w:id="235" w:name="_Toc217446105"/>
      <w:bookmarkStart w:id="236" w:name="_Toc183582297"/>
      <w:bookmarkStart w:id="237" w:name="_Toc208849022"/>
      <w:r>
        <w:rPr>
          <w:rFonts w:hint="eastAsia" w:ascii="宋体" w:hAnsi="宋体" w:cs="宋体"/>
          <w:sz w:val="24"/>
        </w:rPr>
        <w:t xml:space="preserve">7. </w:t>
      </w:r>
      <w:bookmarkEnd w:id="234"/>
      <w:bookmarkEnd w:id="235"/>
      <w:bookmarkEnd w:id="236"/>
      <w:bookmarkEnd w:id="237"/>
      <w:r>
        <w:rPr>
          <w:rFonts w:hint="eastAsia" w:ascii="宋体" w:hAnsi="宋体" w:cs="宋体"/>
          <w:sz w:val="24"/>
        </w:rPr>
        <w:t>评标专家在政府采购活动中承担以下义务：</w:t>
      </w:r>
    </w:p>
    <w:p>
      <w:pPr>
        <w:spacing w:line="360" w:lineRule="auto"/>
        <w:ind w:firstLine="480" w:firstLineChars="200"/>
        <w:rPr>
          <w:rFonts w:hAnsi="宋体" w:cs="宋体"/>
          <w:color w:val="auto"/>
        </w:rPr>
      </w:pPr>
      <w:r>
        <w:rPr>
          <w:rFonts w:hint="eastAsia" w:hAnsi="宋体" w:cs="宋体"/>
          <w:color w:val="auto"/>
        </w:rPr>
        <w:t>（一）遵守评审工作纪律；</w:t>
      </w:r>
    </w:p>
    <w:p>
      <w:pPr>
        <w:spacing w:line="360" w:lineRule="auto"/>
        <w:ind w:firstLine="480" w:firstLineChars="200"/>
        <w:rPr>
          <w:rFonts w:hAnsi="宋体" w:cs="宋体"/>
          <w:color w:val="auto"/>
        </w:rPr>
      </w:pPr>
      <w:r>
        <w:rPr>
          <w:rFonts w:hint="eastAsia" w:hAnsi="宋体" w:cs="宋体"/>
          <w:color w:val="auto"/>
        </w:rPr>
        <w:t>（二）按照客观、公正、审慎的原则，根据采购文件规定的评审程序、评审方法和评审标准进行独立评审；</w:t>
      </w:r>
    </w:p>
    <w:p>
      <w:pPr>
        <w:spacing w:line="360" w:lineRule="auto"/>
        <w:ind w:firstLine="480" w:firstLineChars="200"/>
        <w:rPr>
          <w:rFonts w:hAnsi="宋体" w:cs="宋体"/>
          <w:color w:val="auto"/>
        </w:rPr>
      </w:pPr>
      <w:r>
        <w:rPr>
          <w:rFonts w:hint="eastAsia" w:hAnsi="宋体" w:cs="宋体"/>
          <w:color w:val="auto"/>
        </w:rPr>
        <w:t>（三）不得泄露评审文件、评审情况和在评审过程中获悉的商业秘密；</w:t>
      </w:r>
    </w:p>
    <w:p>
      <w:pPr>
        <w:spacing w:line="360" w:lineRule="auto"/>
        <w:ind w:firstLine="480" w:firstLineChars="200"/>
        <w:rPr>
          <w:rFonts w:hAnsi="宋体" w:cs="宋体"/>
          <w:color w:val="auto"/>
        </w:rPr>
      </w:pPr>
      <w:r>
        <w:rPr>
          <w:rFonts w:hint="eastAsia" w:hAnsi="宋体" w:cs="宋体"/>
          <w:color w:val="auto"/>
        </w:rPr>
        <w:t>（四）及时向监督部门报告评审过程中采购组织单位向评审专家做倾向性、误导性的解释或者说明，供应商行贿、提供虚假材料或者串通、受到的非法干预情况等违法违规行为；</w:t>
      </w:r>
    </w:p>
    <w:p>
      <w:pPr>
        <w:spacing w:line="360" w:lineRule="auto"/>
        <w:ind w:firstLine="480" w:firstLineChars="200"/>
        <w:rPr>
          <w:rFonts w:hAnsi="宋体" w:cs="宋体"/>
          <w:color w:val="auto"/>
        </w:rPr>
      </w:pPr>
      <w:r>
        <w:rPr>
          <w:rFonts w:hint="eastAsia" w:hAnsi="宋体" w:cs="宋体"/>
          <w:color w:val="auto"/>
        </w:rPr>
        <w:t>（五）发现采购文件内容违反国家有关强制性规定或者存在歧义、重大缺陷导致评审工作无法进行时，停止评审并向采购组织单位书面说明情况；</w:t>
      </w:r>
    </w:p>
    <w:p>
      <w:pPr>
        <w:spacing w:line="360" w:lineRule="auto"/>
        <w:ind w:firstLine="480" w:firstLineChars="200"/>
        <w:rPr>
          <w:rFonts w:hAnsi="宋体" w:cs="宋体"/>
          <w:color w:val="auto"/>
        </w:rPr>
      </w:pPr>
      <w:r>
        <w:rPr>
          <w:rFonts w:hint="eastAsia" w:hAnsi="宋体" w:cs="宋体"/>
          <w:color w:val="auto"/>
        </w:rPr>
        <w:t>（六）配合答复处理供应商的询问、质疑和投诉等事项；</w:t>
      </w:r>
    </w:p>
    <w:p>
      <w:pPr>
        <w:spacing w:line="360" w:lineRule="auto"/>
        <w:ind w:firstLine="480" w:firstLineChars="200"/>
        <w:rPr>
          <w:rFonts w:hAnsi="宋体" w:cs="宋体"/>
          <w:color w:val="auto"/>
        </w:rPr>
      </w:pPr>
      <w:r>
        <w:rPr>
          <w:rFonts w:hint="eastAsia" w:hAnsi="宋体" w:cs="宋体"/>
          <w:color w:val="auto"/>
        </w:rPr>
        <w:t>（七）法律、法规和规章规定的其他义务。</w:t>
      </w:r>
    </w:p>
    <w:p>
      <w:pPr>
        <w:pStyle w:val="4"/>
        <w:spacing w:line="360" w:lineRule="auto"/>
        <w:ind w:firstLine="482" w:firstLineChars="200"/>
        <w:rPr>
          <w:rFonts w:ascii="宋体" w:hAnsi="宋体" w:cs="宋体"/>
          <w:sz w:val="24"/>
        </w:rPr>
      </w:pPr>
      <w:r>
        <w:rPr>
          <w:rFonts w:hint="eastAsia" w:ascii="宋体" w:hAnsi="宋体" w:cs="宋体"/>
          <w:sz w:val="24"/>
        </w:rPr>
        <w:t>8.评标专家在政府采购活动中应当遵守以下工作纪律：</w:t>
      </w:r>
    </w:p>
    <w:p>
      <w:pPr>
        <w:spacing w:line="360" w:lineRule="auto"/>
        <w:ind w:firstLine="480" w:firstLineChars="200"/>
        <w:rPr>
          <w:rFonts w:hAnsi="宋体" w:cs="宋体"/>
          <w:color w:val="auto"/>
        </w:rPr>
      </w:pPr>
      <w:r>
        <w:rPr>
          <w:rFonts w:hint="eastAsia" w:hAnsi="宋体" w:cs="宋体"/>
          <w:color w:val="auto"/>
        </w:rPr>
        <w:t>（一）遵行《政府采购法》第十二条和《政府采购法实施条例》第九条及财政部关于回避的规定。</w:t>
      </w:r>
    </w:p>
    <w:p>
      <w:pPr>
        <w:spacing w:line="360" w:lineRule="auto"/>
        <w:ind w:firstLine="480" w:firstLineChars="200"/>
        <w:rPr>
          <w:rFonts w:hAnsi="宋体" w:cs="宋体"/>
          <w:color w:val="auto"/>
        </w:rPr>
      </w:pPr>
      <w:r>
        <w:rPr>
          <w:rFonts w:hint="eastAsia" w:hAnsi="宋体" w:cs="宋体"/>
          <w:color w:val="auto"/>
        </w:rPr>
        <w:t>（二）评标前，应当将通讯工具或者相关电子设备交由招标采购单位统一保管。</w:t>
      </w:r>
    </w:p>
    <w:p>
      <w:pPr>
        <w:spacing w:line="360" w:lineRule="auto"/>
        <w:ind w:firstLine="480" w:firstLineChars="200"/>
        <w:rPr>
          <w:rFonts w:hAnsi="宋体" w:cs="宋体"/>
          <w:color w:val="auto"/>
        </w:rPr>
      </w:pPr>
      <w:r>
        <w:rPr>
          <w:rFonts w:hint="eastAsia" w:hAnsi="宋体" w:cs="宋体"/>
          <w:color w:val="auto"/>
        </w:rPr>
        <w:t>（三）评标过程中，不得与外界联系，因发生不可预见情况，确实需要与外界联系的，应当在监督人员监督之下办理。</w:t>
      </w:r>
    </w:p>
    <w:p>
      <w:pPr>
        <w:spacing w:line="360" w:lineRule="auto"/>
        <w:ind w:firstLine="480" w:firstLineChars="200"/>
        <w:rPr>
          <w:rFonts w:hAnsi="宋体" w:cs="宋体"/>
          <w:color w:val="auto"/>
        </w:rPr>
      </w:pPr>
      <w:r>
        <w:rPr>
          <w:rFonts w:hint="eastAsia" w:hAnsi="宋体" w:cs="宋体"/>
          <w:color w:val="auto"/>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360" w:lineRule="auto"/>
        <w:ind w:firstLine="480" w:firstLineChars="200"/>
        <w:rPr>
          <w:rFonts w:hAnsi="宋体" w:cs="宋体"/>
          <w:color w:val="auto"/>
        </w:rPr>
      </w:pPr>
      <w:r>
        <w:rPr>
          <w:rFonts w:hint="eastAsia" w:hAnsi="宋体" w:cs="宋体"/>
          <w:color w:val="auto"/>
        </w:rPr>
        <w:t>（五）在评标过程中和评标结束后，不得记录、复制或带走任何评标资料，除因规定的义务外，不得向外界透露评标内容。</w:t>
      </w:r>
    </w:p>
    <w:p>
      <w:pPr>
        <w:spacing w:line="360" w:lineRule="auto"/>
        <w:ind w:firstLine="480" w:firstLineChars="200"/>
        <w:rPr>
          <w:rFonts w:hAnsi="宋体" w:cs="宋体"/>
          <w:color w:val="auto"/>
        </w:rPr>
      </w:pPr>
      <w:r>
        <w:rPr>
          <w:rFonts w:hint="eastAsia" w:hAnsi="宋体" w:cs="宋体"/>
          <w:color w:val="auto"/>
        </w:rPr>
        <w:t>（六）服从评标现场招标采购单位的现场秩序管理，接受评标现场监督人员的合法监督。</w:t>
      </w:r>
    </w:p>
    <w:p>
      <w:pPr>
        <w:spacing w:line="360" w:lineRule="auto"/>
        <w:ind w:firstLine="480" w:firstLineChars="200"/>
        <w:rPr>
          <w:rFonts w:hAnsi="宋体" w:cs="宋体"/>
          <w:color w:val="auto"/>
        </w:rPr>
      </w:pPr>
      <w:r>
        <w:rPr>
          <w:rFonts w:hint="eastAsia" w:hAnsi="宋体" w:cs="宋体"/>
          <w:color w:val="auto"/>
        </w:rPr>
        <w:t>（七）遵守有关廉洁自律规定，不得私下接触供应商，不得收受供应商及有关业务单位和个人的财物或好处，不得接受采购组织单位的请托。</w:t>
      </w:r>
    </w:p>
    <w:p>
      <w:pPr>
        <w:pStyle w:val="3"/>
        <w:spacing w:line="360" w:lineRule="auto"/>
        <w:jc w:val="center"/>
        <w:rPr>
          <w:rFonts w:hAnsi="宋体" w:cs="宋体"/>
          <w:szCs w:val="21"/>
        </w:rPr>
      </w:pPr>
      <w:r>
        <w:rPr>
          <w:rFonts w:hint="eastAsia" w:hAnsi="宋体" w:cs="宋体"/>
        </w:rPr>
        <w:br w:type="page"/>
      </w:r>
      <w:r>
        <w:rPr>
          <w:rFonts w:hint="eastAsia" w:hAnsi="宋体" w:cs="宋体"/>
        </w:rPr>
        <w:t>第七章合同条款（仅供参考）</w:t>
      </w:r>
      <w:bookmarkEnd w:id="224"/>
      <w:bookmarkEnd w:id="225"/>
      <w:bookmarkEnd w:id="226"/>
    </w:p>
    <w:p>
      <w:pPr>
        <w:adjustRightInd w:val="0"/>
        <w:snapToGrid w:val="0"/>
        <w:jc w:val="center"/>
        <w:rPr>
          <w:rFonts w:ascii="黑体" w:eastAsia="黑体"/>
          <w:sz w:val="36"/>
          <w:szCs w:val="36"/>
        </w:rPr>
      </w:pPr>
      <w:r>
        <w:rPr>
          <w:rFonts w:hint="eastAsia" w:ascii="黑体" w:eastAsia="黑体"/>
          <w:sz w:val="36"/>
          <w:szCs w:val="36"/>
        </w:rPr>
        <w:t>仪器设备购置合同</w:t>
      </w:r>
    </w:p>
    <w:p>
      <w:pPr>
        <w:adjustRightInd w:val="0"/>
        <w:snapToGrid w:val="0"/>
        <w:jc w:val="center"/>
        <w:rPr>
          <w:rFonts w:ascii="黑体" w:eastAsia="黑体"/>
          <w:sz w:val="36"/>
          <w:szCs w:val="36"/>
        </w:rPr>
      </w:pPr>
    </w:p>
    <w:p>
      <w:pPr>
        <w:adjustRightInd w:val="0"/>
        <w:snapToGrid w:val="0"/>
        <w:spacing w:line="440" w:lineRule="exact"/>
        <w:ind w:firstLine="480" w:firstLineChars="200"/>
        <w:rPr>
          <w:rFonts w:hAnsi="宋体"/>
          <w:szCs w:val="21"/>
        </w:rPr>
      </w:pPr>
      <w:r>
        <w:rPr>
          <w:rFonts w:hint="eastAsia" w:hAnsi="宋体"/>
          <w:szCs w:val="21"/>
        </w:rPr>
        <w:t>西安建筑科技大学（甲方）与                    （乙方）就甲方购置的设备经双方协商达成如下合同条款：</w:t>
      </w:r>
    </w:p>
    <w:p>
      <w:pPr>
        <w:spacing w:line="440" w:lineRule="exact"/>
        <w:ind w:left="555"/>
        <w:outlineLvl w:val="0"/>
        <w:rPr>
          <w:rFonts w:hAnsi="宋体"/>
          <w:b/>
          <w:szCs w:val="21"/>
        </w:rPr>
      </w:pPr>
      <w:r>
        <w:rPr>
          <w:rFonts w:hint="eastAsia" w:hAnsi="宋体"/>
          <w:b/>
          <w:szCs w:val="21"/>
        </w:rPr>
        <w:t>1</w:t>
      </w:r>
      <w:r>
        <w:rPr>
          <w:rFonts w:hint="eastAsia" w:hAnsi="宋体"/>
          <w:szCs w:val="21"/>
        </w:rPr>
        <w:t>.</w:t>
      </w:r>
      <w:r>
        <w:rPr>
          <w:rFonts w:hint="eastAsia" w:hAnsi="宋体"/>
          <w:b/>
          <w:szCs w:val="21"/>
        </w:rPr>
        <w:t xml:space="preserve"> 合同内容</w:t>
      </w:r>
    </w:p>
    <w:p>
      <w:pPr>
        <w:spacing w:line="440" w:lineRule="exact"/>
        <w:ind w:firstLine="560"/>
        <w:rPr>
          <w:rFonts w:hAnsi="宋体"/>
          <w:szCs w:val="21"/>
        </w:rPr>
      </w:pPr>
      <w:r>
        <w:rPr>
          <w:rFonts w:hint="eastAsia" w:hAnsi="宋体"/>
          <w:szCs w:val="21"/>
        </w:rPr>
        <w:t xml:space="preserve">在甲方组织的关于             </w:t>
      </w:r>
      <w:r>
        <w:rPr>
          <w:rFonts w:hint="eastAsia" w:ascii="ˎ̥" w:hAnsi="ˎ̥"/>
        </w:rPr>
        <w:t>采购</w:t>
      </w:r>
      <w:r>
        <w:rPr>
          <w:rFonts w:hint="eastAsia" w:hAnsi="宋体"/>
          <w:szCs w:val="21"/>
        </w:rPr>
        <w:t>招投标活动中，经评标确定乙方为供货单位。乙方按本合同中确定的设备名称、型号与规格、产地、数量及配套内容进行供货，详细配置见《仪器设备购置清单》；乙方按时将货物运送到甲方指定的地点，负责到货设备的安装与调试，达到正常使用；乙方负责为甲方培训操作、维护人员，质保期内负责指导仪器设备的操作使用和保养维修，做好售后服务工作。甲方在乙方完成合同明确规定的责任和义务后，按合同要求付给乙方相应的设备货款。</w:t>
      </w:r>
    </w:p>
    <w:p>
      <w:pPr>
        <w:spacing w:line="440" w:lineRule="exact"/>
        <w:ind w:firstLine="480" w:firstLineChars="200"/>
        <w:rPr>
          <w:rFonts w:hAnsi="宋体"/>
          <w:szCs w:val="21"/>
        </w:rPr>
      </w:pPr>
      <w:r>
        <w:rPr>
          <w:rFonts w:hint="eastAsia" w:hAnsi="宋体"/>
          <w:szCs w:val="21"/>
        </w:rPr>
        <w:t>1.1 仪器设备购置清单</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7"/>
        <w:gridCol w:w="1946"/>
        <w:gridCol w:w="1980"/>
        <w:gridCol w:w="886"/>
        <w:gridCol w:w="985"/>
        <w:gridCol w:w="984"/>
        <w:gridCol w:w="978"/>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2" w:hRule="atLeast"/>
          <w:jc w:val="center"/>
        </w:trPr>
        <w:tc>
          <w:tcPr>
            <w:tcW w:w="347" w:type="dxa"/>
            <w:tcMar>
              <w:top w:w="20" w:type="dxa"/>
              <w:left w:w="20" w:type="dxa"/>
              <w:bottom w:w="0" w:type="dxa"/>
              <w:right w:w="20" w:type="dxa"/>
            </w:tcMar>
            <w:vAlign w:val="center"/>
          </w:tcPr>
          <w:p>
            <w:pPr>
              <w:spacing w:line="440" w:lineRule="exact"/>
              <w:jc w:val="center"/>
              <w:rPr>
                <w:rFonts w:hAnsi="宋体"/>
                <w:b/>
                <w:szCs w:val="21"/>
              </w:rPr>
            </w:pPr>
            <w:r>
              <w:rPr>
                <w:rFonts w:hint="eastAsia" w:hAnsi="宋体"/>
                <w:b/>
                <w:szCs w:val="21"/>
              </w:rPr>
              <w:t>序号</w:t>
            </w:r>
          </w:p>
        </w:tc>
        <w:tc>
          <w:tcPr>
            <w:tcW w:w="1946" w:type="dxa"/>
            <w:tcMar>
              <w:top w:w="20" w:type="dxa"/>
              <w:left w:w="20" w:type="dxa"/>
              <w:bottom w:w="0" w:type="dxa"/>
              <w:right w:w="20" w:type="dxa"/>
            </w:tcMar>
            <w:vAlign w:val="center"/>
          </w:tcPr>
          <w:p>
            <w:pPr>
              <w:spacing w:line="440" w:lineRule="exact"/>
              <w:jc w:val="center"/>
              <w:rPr>
                <w:rFonts w:hAnsi="宋体"/>
                <w:b/>
                <w:szCs w:val="21"/>
              </w:rPr>
            </w:pPr>
            <w:r>
              <w:rPr>
                <w:rFonts w:hint="eastAsia" w:hAnsi="宋体"/>
                <w:b/>
                <w:szCs w:val="21"/>
              </w:rPr>
              <w:t>设备名称</w:t>
            </w:r>
          </w:p>
        </w:tc>
        <w:tc>
          <w:tcPr>
            <w:tcW w:w="1980" w:type="dxa"/>
            <w:tcMar>
              <w:top w:w="20" w:type="dxa"/>
              <w:left w:w="20" w:type="dxa"/>
              <w:bottom w:w="0" w:type="dxa"/>
              <w:right w:w="20" w:type="dxa"/>
            </w:tcMar>
            <w:vAlign w:val="center"/>
          </w:tcPr>
          <w:p>
            <w:pPr>
              <w:spacing w:line="440" w:lineRule="exact"/>
              <w:jc w:val="center"/>
              <w:rPr>
                <w:rFonts w:hAnsi="宋体"/>
                <w:b/>
                <w:szCs w:val="21"/>
              </w:rPr>
            </w:pPr>
            <w:r>
              <w:rPr>
                <w:rFonts w:hint="eastAsia" w:hAnsi="宋体"/>
                <w:b/>
                <w:szCs w:val="21"/>
              </w:rPr>
              <w:t>品牌、规格、型号</w:t>
            </w:r>
          </w:p>
        </w:tc>
        <w:tc>
          <w:tcPr>
            <w:tcW w:w="886" w:type="dxa"/>
            <w:tcMar>
              <w:top w:w="20" w:type="dxa"/>
              <w:left w:w="20" w:type="dxa"/>
              <w:bottom w:w="0" w:type="dxa"/>
              <w:right w:w="20" w:type="dxa"/>
            </w:tcMar>
            <w:vAlign w:val="center"/>
          </w:tcPr>
          <w:p>
            <w:pPr>
              <w:spacing w:line="440" w:lineRule="exact"/>
              <w:jc w:val="center"/>
              <w:rPr>
                <w:rFonts w:hAnsi="宋体"/>
                <w:b/>
                <w:szCs w:val="21"/>
              </w:rPr>
            </w:pPr>
            <w:r>
              <w:rPr>
                <w:rFonts w:hint="eastAsia" w:hAnsi="宋体"/>
                <w:b/>
                <w:szCs w:val="21"/>
              </w:rPr>
              <w:t>数量</w:t>
            </w:r>
          </w:p>
          <w:p>
            <w:pPr>
              <w:spacing w:line="440" w:lineRule="exact"/>
              <w:jc w:val="center"/>
              <w:rPr>
                <w:rFonts w:hAnsi="宋体"/>
                <w:b/>
                <w:szCs w:val="21"/>
              </w:rPr>
            </w:pPr>
            <w:r>
              <w:rPr>
                <w:rFonts w:hint="eastAsia" w:hAnsi="宋体"/>
                <w:b/>
                <w:szCs w:val="21"/>
              </w:rPr>
              <w:t>（台、套）</w:t>
            </w:r>
          </w:p>
        </w:tc>
        <w:tc>
          <w:tcPr>
            <w:tcW w:w="985" w:type="dxa"/>
            <w:tcMar>
              <w:top w:w="20" w:type="dxa"/>
              <w:left w:w="20" w:type="dxa"/>
              <w:bottom w:w="0" w:type="dxa"/>
              <w:right w:w="20" w:type="dxa"/>
            </w:tcMar>
            <w:vAlign w:val="center"/>
          </w:tcPr>
          <w:p>
            <w:pPr>
              <w:spacing w:line="440" w:lineRule="exact"/>
              <w:jc w:val="center"/>
              <w:rPr>
                <w:rFonts w:hAnsi="宋体"/>
                <w:b/>
                <w:szCs w:val="21"/>
              </w:rPr>
            </w:pPr>
            <w:r>
              <w:rPr>
                <w:rFonts w:hint="eastAsia" w:hAnsi="宋体"/>
                <w:b/>
                <w:szCs w:val="21"/>
              </w:rPr>
              <w:t>单价</w:t>
            </w:r>
          </w:p>
          <w:p>
            <w:pPr>
              <w:spacing w:line="440" w:lineRule="exact"/>
              <w:jc w:val="center"/>
              <w:rPr>
                <w:rFonts w:hAnsi="宋体"/>
                <w:b/>
                <w:szCs w:val="21"/>
              </w:rPr>
            </w:pPr>
            <w:r>
              <w:rPr>
                <w:rFonts w:hint="eastAsia" w:hAnsi="宋体"/>
                <w:b/>
                <w:szCs w:val="21"/>
              </w:rPr>
              <w:t>(万元)</w:t>
            </w:r>
          </w:p>
        </w:tc>
        <w:tc>
          <w:tcPr>
            <w:tcW w:w="984" w:type="dxa"/>
            <w:tcMar>
              <w:top w:w="20" w:type="dxa"/>
              <w:left w:w="20" w:type="dxa"/>
              <w:bottom w:w="0" w:type="dxa"/>
              <w:right w:w="20" w:type="dxa"/>
            </w:tcMar>
            <w:vAlign w:val="center"/>
          </w:tcPr>
          <w:p>
            <w:pPr>
              <w:spacing w:line="440" w:lineRule="exact"/>
              <w:jc w:val="center"/>
              <w:rPr>
                <w:rFonts w:hAnsi="宋体"/>
                <w:b/>
                <w:szCs w:val="21"/>
              </w:rPr>
            </w:pPr>
            <w:r>
              <w:rPr>
                <w:rFonts w:hint="eastAsia" w:hAnsi="宋体"/>
                <w:b/>
                <w:szCs w:val="21"/>
              </w:rPr>
              <w:t>合计</w:t>
            </w:r>
          </w:p>
          <w:p>
            <w:pPr>
              <w:spacing w:line="440" w:lineRule="exact"/>
              <w:jc w:val="center"/>
              <w:rPr>
                <w:rFonts w:hAnsi="宋体"/>
                <w:b/>
                <w:szCs w:val="21"/>
              </w:rPr>
            </w:pPr>
            <w:r>
              <w:rPr>
                <w:rFonts w:hint="eastAsia" w:hAnsi="宋体"/>
                <w:b/>
                <w:szCs w:val="21"/>
              </w:rPr>
              <w:t>（万元）</w:t>
            </w:r>
          </w:p>
        </w:tc>
        <w:tc>
          <w:tcPr>
            <w:tcW w:w="978" w:type="dxa"/>
            <w:vAlign w:val="center"/>
          </w:tcPr>
          <w:p>
            <w:pPr>
              <w:spacing w:line="440" w:lineRule="exact"/>
              <w:jc w:val="center"/>
              <w:rPr>
                <w:rFonts w:hAnsi="宋体"/>
                <w:b/>
                <w:szCs w:val="21"/>
              </w:rPr>
            </w:pPr>
            <w:r>
              <w:rPr>
                <w:rFonts w:hint="eastAsia" w:hAnsi="宋体"/>
                <w:b/>
                <w:szCs w:val="21"/>
              </w:rPr>
              <w:t>生产商</w:t>
            </w:r>
          </w:p>
        </w:tc>
        <w:tc>
          <w:tcPr>
            <w:tcW w:w="580" w:type="dxa"/>
            <w:tcMar>
              <w:top w:w="20" w:type="dxa"/>
              <w:left w:w="20" w:type="dxa"/>
              <w:bottom w:w="0" w:type="dxa"/>
              <w:right w:w="20" w:type="dxa"/>
            </w:tcMar>
            <w:vAlign w:val="center"/>
          </w:tcPr>
          <w:p>
            <w:pPr>
              <w:spacing w:line="440" w:lineRule="exact"/>
              <w:jc w:val="center"/>
              <w:rPr>
                <w:rFonts w:hAnsi="宋体"/>
                <w:b/>
                <w:szCs w:val="21"/>
              </w:rPr>
            </w:pPr>
            <w:r>
              <w:rPr>
                <w:rFonts w:hint="eastAsia"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9" w:hRule="atLeast"/>
          <w:jc w:val="center"/>
        </w:trPr>
        <w:tc>
          <w:tcPr>
            <w:tcW w:w="347" w:type="dxa"/>
            <w:tcMar>
              <w:top w:w="20" w:type="dxa"/>
              <w:left w:w="20" w:type="dxa"/>
              <w:bottom w:w="0" w:type="dxa"/>
              <w:right w:w="20" w:type="dxa"/>
            </w:tcMar>
            <w:vAlign w:val="center"/>
          </w:tcPr>
          <w:p>
            <w:pPr>
              <w:spacing w:line="440" w:lineRule="exact"/>
              <w:jc w:val="center"/>
              <w:rPr>
                <w:rFonts w:hAnsi="宋体"/>
                <w:szCs w:val="21"/>
              </w:rPr>
            </w:pPr>
            <w:r>
              <w:rPr>
                <w:rFonts w:hint="eastAsia" w:hAnsi="宋体"/>
                <w:szCs w:val="21"/>
              </w:rPr>
              <w:t>1</w:t>
            </w:r>
          </w:p>
        </w:tc>
        <w:tc>
          <w:tcPr>
            <w:tcW w:w="1946" w:type="dxa"/>
            <w:tcMar>
              <w:top w:w="20" w:type="dxa"/>
              <w:left w:w="20" w:type="dxa"/>
              <w:bottom w:w="0" w:type="dxa"/>
              <w:right w:w="20" w:type="dxa"/>
            </w:tcMar>
            <w:vAlign w:val="center"/>
          </w:tcPr>
          <w:p>
            <w:pPr>
              <w:spacing w:line="440" w:lineRule="exact"/>
              <w:jc w:val="center"/>
              <w:rPr>
                <w:rFonts w:hAnsi="宋体"/>
                <w:szCs w:val="21"/>
              </w:rPr>
            </w:pPr>
          </w:p>
        </w:tc>
        <w:tc>
          <w:tcPr>
            <w:tcW w:w="1980" w:type="dxa"/>
            <w:tcMar>
              <w:top w:w="20" w:type="dxa"/>
              <w:left w:w="20" w:type="dxa"/>
              <w:bottom w:w="0" w:type="dxa"/>
              <w:right w:w="20" w:type="dxa"/>
            </w:tcMar>
            <w:vAlign w:val="center"/>
          </w:tcPr>
          <w:p>
            <w:pPr>
              <w:spacing w:line="440" w:lineRule="exact"/>
              <w:jc w:val="center"/>
              <w:rPr>
                <w:rFonts w:hAnsi="宋体"/>
                <w:szCs w:val="21"/>
              </w:rPr>
            </w:pPr>
          </w:p>
        </w:tc>
        <w:tc>
          <w:tcPr>
            <w:tcW w:w="886" w:type="dxa"/>
            <w:tcMar>
              <w:top w:w="20" w:type="dxa"/>
              <w:left w:w="20" w:type="dxa"/>
              <w:bottom w:w="0" w:type="dxa"/>
              <w:right w:w="20" w:type="dxa"/>
            </w:tcMar>
            <w:vAlign w:val="center"/>
          </w:tcPr>
          <w:p>
            <w:pPr>
              <w:spacing w:line="440" w:lineRule="exact"/>
              <w:jc w:val="center"/>
              <w:rPr>
                <w:rFonts w:hAnsi="宋体"/>
                <w:szCs w:val="21"/>
              </w:rPr>
            </w:pPr>
          </w:p>
        </w:tc>
        <w:tc>
          <w:tcPr>
            <w:tcW w:w="985" w:type="dxa"/>
            <w:tcMar>
              <w:top w:w="20" w:type="dxa"/>
              <w:left w:w="20" w:type="dxa"/>
              <w:bottom w:w="0" w:type="dxa"/>
              <w:right w:w="20" w:type="dxa"/>
            </w:tcMar>
            <w:vAlign w:val="center"/>
          </w:tcPr>
          <w:p>
            <w:pPr>
              <w:spacing w:line="440" w:lineRule="exact"/>
              <w:jc w:val="center"/>
              <w:rPr>
                <w:rFonts w:hAnsi="宋体"/>
                <w:szCs w:val="21"/>
              </w:rPr>
            </w:pPr>
          </w:p>
        </w:tc>
        <w:tc>
          <w:tcPr>
            <w:tcW w:w="984" w:type="dxa"/>
            <w:tcMar>
              <w:top w:w="20" w:type="dxa"/>
              <w:left w:w="20" w:type="dxa"/>
              <w:bottom w:w="0" w:type="dxa"/>
              <w:right w:w="20" w:type="dxa"/>
            </w:tcMar>
            <w:vAlign w:val="center"/>
          </w:tcPr>
          <w:p>
            <w:pPr>
              <w:spacing w:line="440" w:lineRule="exact"/>
              <w:jc w:val="center"/>
              <w:rPr>
                <w:rFonts w:hAnsi="宋体"/>
                <w:szCs w:val="21"/>
              </w:rPr>
            </w:pPr>
          </w:p>
        </w:tc>
        <w:tc>
          <w:tcPr>
            <w:tcW w:w="978" w:type="dxa"/>
            <w:vAlign w:val="center"/>
          </w:tcPr>
          <w:p>
            <w:pPr>
              <w:spacing w:line="440" w:lineRule="exact"/>
              <w:jc w:val="center"/>
              <w:rPr>
                <w:rFonts w:hAnsi="宋体"/>
                <w:szCs w:val="21"/>
              </w:rPr>
            </w:pPr>
          </w:p>
        </w:tc>
        <w:tc>
          <w:tcPr>
            <w:tcW w:w="580" w:type="dxa"/>
            <w:tcMar>
              <w:top w:w="20" w:type="dxa"/>
              <w:left w:w="20" w:type="dxa"/>
              <w:bottom w:w="0" w:type="dxa"/>
              <w:right w:w="20" w:type="dxa"/>
            </w:tcMar>
            <w:vAlign w:val="center"/>
          </w:tcPr>
          <w:p>
            <w:pPr>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7" w:hRule="atLeast"/>
          <w:jc w:val="center"/>
        </w:trPr>
        <w:tc>
          <w:tcPr>
            <w:tcW w:w="347" w:type="dxa"/>
            <w:tcMar>
              <w:top w:w="20" w:type="dxa"/>
              <w:left w:w="20" w:type="dxa"/>
              <w:bottom w:w="0" w:type="dxa"/>
              <w:right w:w="20" w:type="dxa"/>
            </w:tcMar>
            <w:vAlign w:val="center"/>
          </w:tcPr>
          <w:p>
            <w:pPr>
              <w:spacing w:line="440" w:lineRule="exact"/>
              <w:jc w:val="center"/>
              <w:rPr>
                <w:rFonts w:hAnsi="宋体"/>
                <w:szCs w:val="21"/>
              </w:rPr>
            </w:pPr>
            <w:r>
              <w:rPr>
                <w:rFonts w:hint="eastAsia" w:hAnsi="宋体"/>
                <w:szCs w:val="21"/>
              </w:rPr>
              <w:t>2</w:t>
            </w:r>
          </w:p>
        </w:tc>
        <w:tc>
          <w:tcPr>
            <w:tcW w:w="1946" w:type="dxa"/>
            <w:tcMar>
              <w:top w:w="20" w:type="dxa"/>
              <w:left w:w="20" w:type="dxa"/>
              <w:bottom w:w="0" w:type="dxa"/>
              <w:right w:w="20" w:type="dxa"/>
            </w:tcMar>
            <w:vAlign w:val="center"/>
          </w:tcPr>
          <w:p>
            <w:pPr>
              <w:spacing w:line="440" w:lineRule="exact"/>
              <w:jc w:val="center"/>
              <w:rPr>
                <w:rFonts w:hAnsi="宋体"/>
                <w:szCs w:val="21"/>
              </w:rPr>
            </w:pPr>
          </w:p>
        </w:tc>
        <w:tc>
          <w:tcPr>
            <w:tcW w:w="1980" w:type="dxa"/>
            <w:tcMar>
              <w:top w:w="20" w:type="dxa"/>
              <w:left w:w="20" w:type="dxa"/>
              <w:bottom w:w="0" w:type="dxa"/>
              <w:right w:w="20" w:type="dxa"/>
            </w:tcMar>
            <w:vAlign w:val="center"/>
          </w:tcPr>
          <w:p>
            <w:pPr>
              <w:spacing w:line="440" w:lineRule="exact"/>
              <w:jc w:val="center"/>
              <w:rPr>
                <w:rFonts w:hAnsi="宋体"/>
                <w:szCs w:val="21"/>
              </w:rPr>
            </w:pPr>
          </w:p>
        </w:tc>
        <w:tc>
          <w:tcPr>
            <w:tcW w:w="886" w:type="dxa"/>
            <w:tcMar>
              <w:top w:w="20" w:type="dxa"/>
              <w:left w:w="20" w:type="dxa"/>
              <w:bottom w:w="0" w:type="dxa"/>
              <w:right w:w="20" w:type="dxa"/>
            </w:tcMar>
            <w:vAlign w:val="center"/>
          </w:tcPr>
          <w:p>
            <w:pPr>
              <w:spacing w:line="440" w:lineRule="exact"/>
              <w:jc w:val="center"/>
              <w:rPr>
                <w:rFonts w:hAnsi="宋体"/>
                <w:szCs w:val="21"/>
              </w:rPr>
            </w:pPr>
          </w:p>
        </w:tc>
        <w:tc>
          <w:tcPr>
            <w:tcW w:w="985" w:type="dxa"/>
            <w:tcMar>
              <w:top w:w="20" w:type="dxa"/>
              <w:left w:w="20" w:type="dxa"/>
              <w:bottom w:w="0" w:type="dxa"/>
              <w:right w:w="20" w:type="dxa"/>
            </w:tcMar>
            <w:vAlign w:val="center"/>
          </w:tcPr>
          <w:p>
            <w:pPr>
              <w:spacing w:line="440" w:lineRule="exact"/>
              <w:jc w:val="center"/>
              <w:rPr>
                <w:rFonts w:hAnsi="宋体"/>
                <w:szCs w:val="21"/>
              </w:rPr>
            </w:pPr>
          </w:p>
        </w:tc>
        <w:tc>
          <w:tcPr>
            <w:tcW w:w="984" w:type="dxa"/>
            <w:tcMar>
              <w:top w:w="20" w:type="dxa"/>
              <w:left w:w="20" w:type="dxa"/>
              <w:bottom w:w="0" w:type="dxa"/>
              <w:right w:w="20" w:type="dxa"/>
            </w:tcMar>
            <w:vAlign w:val="center"/>
          </w:tcPr>
          <w:p>
            <w:pPr>
              <w:spacing w:line="440" w:lineRule="exact"/>
              <w:jc w:val="center"/>
              <w:rPr>
                <w:rFonts w:hAnsi="宋体"/>
                <w:szCs w:val="21"/>
              </w:rPr>
            </w:pPr>
          </w:p>
        </w:tc>
        <w:tc>
          <w:tcPr>
            <w:tcW w:w="978" w:type="dxa"/>
            <w:vAlign w:val="center"/>
          </w:tcPr>
          <w:p>
            <w:pPr>
              <w:spacing w:line="440" w:lineRule="exact"/>
              <w:jc w:val="center"/>
              <w:rPr>
                <w:rFonts w:hAnsi="宋体" w:cs="宋体"/>
                <w:szCs w:val="21"/>
              </w:rPr>
            </w:pPr>
          </w:p>
        </w:tc>
        <w:tc>
          <w:tcPr>
            <w:tcW w:w="580" w:type="dxa"/>
            <w:tcMar>
              <w:top w:w="20" w:type="dxa"/>
              <w:left w:w="20" w:type="dxa"/>
              <w:bottom w:w="0" w:type="dxa"/>
              <w:right w:w="20" w:type="dxa"/>
            </w:tcMar>
            <w:vAlign w:val="center"/>
          </w:tcPr>
          <w:p>
            <w:pPr>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atLeast"/>
          <w:jc w:val="center"/>
        </w:trPr>
        <w:tc>
          <w:tcPr>
            <w:tcW w:w="347" w:type="dxa"/>
            <w:tcMar>
              <w:top w:w="20" w:type="dxa"/>
              <w:left w:w="20" w:type="dxa"/>
              <w:bottom w:w="0" w:type="dxa"/>
              <w:right w:w="20" w:type="dxa"/>
            </w:tcMar>
            <w:vAlign w:val="center"/>
          </w:tcPr>
          <w:p>
            <w:pPr>
              <w:spacing w:line="440" w:lineRule="exact"/>
              <w:jc w:val="center"/>
              <w:rPr>
                <w:rFonts w:hAnsi="宋体"/>
                <w:szCs w:val="21"/>
              </w:rPr>
            </w:pPr>
            <w:r>
              <w:rPr>
                <w:rFonts w:hint="eastAsia" w:hAnsi="宋体"/>
                <w:szCs w:val="21"/>
              </w:rPr>
              <w:t>3</w:t>
            </w:r>
          </w:p>
        </w:tc>
        <w:tc>
          <w:tcPr>
            <w:tcW w:w="1946" w:type="dxa"/>
            <w:tcMar>
              <w:top w:w="20" w:type="dxa"/>
              <w:left w:w="20" w:type="dxa"/>
              <w:bottom w:w="0" w:type="dxa"/>
              <w:right w:w="20" w:type="dxa"/>
            </w:tcMar>
            <w:vAlign w:val="center"/>
          </w:tcPr>
          <w:p>
            <w:pPr>
              <w:spacing w:line="440" w:lineRule="exact"/>
              <w:jc w:val="center"/>
              <w:rPr>
                <w:rFonts w:hAnsi="宋体"/>
                <w:szCs w:val="21"/>
              </w:rPr>
            </w:pPr>
          </w:p>
        </w:tc>
        <w:tc>
          <w:tcPr>
            <w:tcW w:w="1980" w:type="dxa"/>
            <w:tcMar>
              <w:top w:w="20" w:type="dxa"/>
              <w:left w:w="20" w:type="dxa"/>
              <w:bottom w:w="0" w:type="dxa"/>
              <w:right w:w="20" w:type="dxa"/>
            </w:tcMar>
            <w:vAlign w:val="center"/>
          </w:tcPr>
          <w:p>
            <w:pPr>
              <w:spacing w:line="440" w:lineRule="exact"/>
              <w:jc w:val="center"/>
              <w:rPr>
                <w:rFonts w:hAnsi="宋体"/>
                <w:szCs w:val="21"/>
              </w:rPr>
            </w:pPr>
          </w:p>
        </w:tc>
        <w:tc>
          <w:tcPr>
            <w:tcW w:w="886" w:type="dxa"/>
            <w:tcMar>
              <w:top w:w="20" w:type="dxa"/>
              <w:left w:w="20" w:type="dxa"/>
              <w:bottom w:w="0" w:type="dxa"/>
              <w:right w:w="20" w:type="dxa"/>
            </w:tcMar>
            <w:vAlign w:val="center"/>
          </w:tcPr>
          <w:p>
            <w:pPr>
              <w:spacing w:line="440" w:lineRule="exact"/>
              <w:jc w:val="center"/>
              <w:rPr>
                <w:rFonts w:hAnsi="宋体"/>
                <w:szCs w:val="21"/>
              </w:rPr>
            </w:pPr>
          </w:p>
        </w:tc>
        <w:tc>
          <w:tcPr>
            <w:tcW w:w="985" w:type="dxa"/>
            <w:tcMar>
              <w:top w:w="20" w:type="dxa"/>
              <w:left w:w="20" w:type="dxa"/>
              <w:bottom w:w="0" w:type="dxa"/>
              <w:right w:w="20" w:type="dxa"/>
            </w:tcMar>
            <w:vAlign w:val="center"/>
          </w:tcPr>
          <w:p>
            <w:pPr>
              <w:spacing w:line="440" w:lineRule="exact"/>
              <w:jc w:val="center"/>
              <w:rPr>
                <w:rFonts w:hAnsi="宋体"/>
                <w:szCs w:val="21"/>
              </w:rPr>
            </w:pPr>
          </w:p>
        </w:tc>
        <w:tc>
          <w:tcPr>
            <w:tcW w:w="984" w:type="dxa"/>
            <w:tcMar>
              <w:top w:w="20" w:type="dxa"/>
              <w:left w:w="20" w:type="dxa"/>
              <w:bottom w:w="0" w:type="dxa"/>
              <w:right w:w="20" w:type="dxa"/>
            </w:tcMar>
            <w:vAlign w:val="center"/>
          </w:tcPr>
          <w:p>
            <w:pPr>
              <w:spacing w:line="440" w:lineRule="exact"/>
              <w:jc w:val="center"/>
              <w:rPr>
                <w:rFonts w:hAnsi="宋体"/>
                <w:szCs w:val="21"/>
              </w:rPr>
            </w:pPr>
          </w:p>
        </w:tc>
        <w:tc>
          <w:tcPr>
            <w:tcW w:w="978" w:type="dxa"/>
            <w:vAlign w:val="center"/>
          </w:tcPr>
          <w:p>
            <w:pPr>
              <w:spacing w:line="440" w:lineRule="exact"/>
              <w:jc w:val="center"/>
              <w:rPr>
                <w:rFonts w:hAnsi="宋体"/>
                <w:szCs w:val="21"/>
              </w:rPr>
            </w:pPr>
          </w:p>
        </w:tc>
        <w:tc>
          <w:tcPr>
            <w:tcW w:w="580" w:type="dxa"/>
            <w:tcMar>
              <w:top w:w="20" w:type="dxa"/>
              <w:left w:w="20" w:type="dxa"/>
              <w:bottom w:w="0" w:type="dxa"/>
              <w:right w:w="20" w:type="dxa"/>
            </w:tcMar>
            <w:vAlign w:val="center"/>
          </w:tcPr>
          <w:p>
            <w:pPr>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273" w:type="dxa"/>
            <w:gridSpan w:val="3"/>
            <w:vMerge w:val="restart"/>
            <w:tcMar>
              <w:top w:w="20" w:type="dxa"/>
              <w:left w:w="20" w:type="dxa"/>
              <w:bottom w:w="0" w:type="dxa"/>
              <w:right w:w="20" w:type="dxa"/>
            </w:tcMar>
            <w:vAlign w:val="center"/>
          </w:tcPr>
          <w:p>
            <w:pPr>
              <w:spacing w:line="440" w:lineRule="exact"/>
              <w:jc w:val="center"/>
              <w:rPr>
                <w:rFonts w:hAnsi="宋体"/>
                <w:szCs w:val="21"/>
              </w:rPr>
            </w:pPr>
            <w:r>
              <w:rPr>
                <w:rFonts w:hint="eastAsia" w:hAnsi="宋体"/>
                <w:szCs w:val="21"/>
              </w:rPr>
              <w:t>合计(元)</w:t>
            </w:r>
          </w:p>
        </w:tc>
        <w:tc>
          <w:tcPr>
            <w:tcW w:w="4413" w:type="dxa"/>
            <w:gridSpan w:val="5"/>
            <w:tcMar>
              <w:top w:w="20" w:type="dxa"/>
              <w:left w:w="20" w:type="dxa"/>
              <w:bottom w:w="0" w:type="dxa"/>
              <w:right w:w="20" w:type="dxa"/>
            </w:tcMar>
            <w:vAlign w:val="center"/>
          </w:tcPr>
          <w:p>
            <w:pPr>
              <w:spacing w:line="440" w:lineRule="exact"/>
              <w:jc w:val="left"/>
              <w:rPr>
                <w:rFonts w:hAnsi="宋体"/>
                <w:szCs w:val="21"/>
              </w:rPr>
            </w:pPr>
            <w:r>
              <w:rPr>
                <w:rFonts w:hint="eastAsia" w:hAnsi="宋体"/>
                <w:szCs w:val="21"/>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273" w:type="dxa"/>
            <w:gridSpan w:val="3"/>
            <w:vMerge w:val="continue"/>
            <w:tcMar>
              <w:top w:w="20" w:type="dxa"/>
              <w:left w:w="20" w:type="dxa"/>
              <w:bottom w:w="0" w:type="dxa"/>
              <w:right w:w="20" w:type="dxa"/>
            </w:tcMar>
            <w:vAlign w:val="center"/>
          </w:tcPr>
          <w:p>
            <w:pPr>
              <w:spacing w:line="440" w:lineRule="exact"/>
              <w:jc w:val="center"/>
              <w:rPr>
                <w:rFonts w:hAnsi="宋体"/>
                <w:szCs w:val="21"/>
              </w:rPr>
            </w:pPr>
          </w:p>
        </w:tc>
        <w:tc>
          <w:tcPr>
            <w:tcW w:w="4413" w:type="dxa"/>
            <w:gridSpan w:val="5"/>
            <w:tcMar>
              <w:top w:w="20" w:type="dxa"/>
              <w:left w:w="20" w:type="dxa"/>
              <w:bottom w:w="0" w:type="dxa"/>
              <w:right w:w="20" w:type="dxa"/>
            </w:tcMar>
            <w:vAlign w:val="center"/>
          </w:tcPr>
          <w:p>
            <w:pPr>
              <w:spacing w:line="440" w:lineRule="exact"/>
              <w:jc w:val="left"/>
              <w:rPr>
                <w:rFonts w:hAnsi="宋体"/>
                <w:szCs w:val="21"/>
              </w:rPr>
            </w:pPr>
            <w:r>
              <w:rPr>
                <w:rFonts w:hint="eastAsia" w:hAnsi="宋体"/>
                <w:szCs w:val="21"/>
              </w:rPr>
              <w:t>小写：元</w:t>
            </w:r>
          </w:p>
        </w:tc>
      </w:tr>
    </w:tbl>
    <w:p>
      <w:pPr>
        <w:snapToGrid w:val="0"/>
        <w:spacing w:line="440" w:lineRule="exact"/>
        <w:ind w:firstLine="480" w:firstLineChars="200"/>
        <w:rPr>
          <w:rFonts w:hAnsi="宋体"/>
          <w:szCs w:val="21"/>
        </w:rPr>
      </w:pPr>
      <w:r>
        <w:rPr>
          <w:rFonts w:hint="eastAsia" w:hAnsi="宋体"/>
          <w:szCs w:val="21"/>
        </w:rPr>
        <w:t>1.2 合同总额是指设备到达西安建筑科技大学指定地点、完成验收后的价格，其中已包含货物费（含备品备件费）、包装费、运杂费（含搬运、装卸、保险费等）、工程费、材料费、全部税费、安装调试费等相关费用。</w:t>
      </w:r>
    </w:p>
    <w:p>
      <w:pPr>
        <w:snapToGrid w:val="0"/>
        <w:spacing w:line="440" w:lineRule="exact"/>
        <w:ind w:firstLine="480" w:firstLineChars="200"/>
        <w:rPr>
          <w:rFonts w:hAnsi="宋体"/>
          <w:szCs w:val="21"/>
        </w:rPr>
      </w:pPr>
      <w:r>
        <w:rPr>
          <w:rFonts w:hint="eastAsia" w:hAnsi="宋体"/>
          <w:szCs w:val="21"/>
        </w:rPr>
        <w:t>1.3 合同总额为一次性包死价格，不受市场价格的变化和影响，在合同不发生变更时作为付款结算的依据。</w:t>
      </w:r>
    </w:p>
    <w:p>
      <w:pPr>
        <w:snapToGrid w:val="0"/>
        <w:spacing w:line="440" w:lineRule="exact"/>
        <w:ind w:firstLine="480" w:firstLineChars="200"/>
        <w:rPr>
          <w:rFonts w:hAnsi="宋体"/>
          <w:szCs w:val="21"/>
        </w:rPr>
      </w:pPr>
      <w:r>
        <w:rPr>
          <w:rFonts w:hint="eastAsia" w:hAnsi="宋体"/>
          <w:szCs w:val="21"/>
        </w:rPr>
        <w:t>1.4 设备的技术参数要求</w:t>
      </w:r>
    </w:p>
    <w:p>
      <w:pPr>
        <w:snapToGrid w:val="0"/>
        <w:spacing w:line="440" w:lineRule="exact"/>
        <w:ind w:firstLine="480" w:firstLineChars="200"/>
        <w:rPr>
          <w:rFonts w:hAnsi="宋体"/>
          <w:szCs w:val="21"/>
        </w:rPr>
      </w:pPr>
      <w:r>
        <w:rPr>
          <w:rFonts w:hint="eastAsia" w:hAnsi="宋体"/>
          <w:szCs w:val="21"/>
        </w:rPr>
        <w:t>1.4.1本合同条款下提交货物的技术规格要求应等于或优于招投标文件技术规格要求（设备的技术参数和指标详见附件）。若技术规格要求中无相应规定，则应符合相应的国家有关部门最新颁布的相应正式标准。</w:t>
      </w:r>
    </w:p>
    <w:p>
      <w:pPr>
        <w:snapToGrid w:val="0"/>
        <w:spacing w:line="440" w:lineRule="exact"/>
        <w:ind w:firstLine="480" w:firstLineChars="200"/>
        <w:rPr>
          <w:rFonts w:hAnsi="宋体"/>
          <w:szCs w:val="21"/>
        </w:rPr>
      </w:pPr>
      <w:r>
        <w:rPr>
          <w:rFonts w:hint="eastAsia" w:hAnsi="宋体"/>
          <w:szCs w:val="21"/>
        </w:rPr>
        <w:t>1.4.2乙方应向甲方提供有关标准的中文文本。</w:t>
      </w:r>
    </w:p>
    <w:p>
      <w:pPr>
        <w:snapToGrid w:val="0"/>
        <w:spacing w:line="440" w:lineRule="exact"/>
        <w:ind w:firstLine="480" w:firstLineChars="200"/>
        <w:rPr>
          <w:rFonts w:hAnsi="宋体"/>
          <w:szCs w:val="21"/>
        </w:rPr>
      </w:pPr>
      <w:r>
        <w:rPr>
          <w:rFonts w:hint="eastAsia" w:hAnsi="宋体"/>
          <w:szCs w:val="21"/>
        </w:rPr>
        <w:t>1.4.3除非技术规范中另有规定，计量单位均采用中华人民共和国法定计量单位。</w:t>
      </w:r>
    </w:p>
    <w:p>
      <w:pPr>
        <w:snapToGrid w:val="0"/>
        <w:spacing w:line="440" w:lineRule="exact"/>
        <w:ind w:firstLine="482" w:firstLineChars="200"/>
        <w:rPr>
          <w:rFonts w:hAnsi="宋体"/>
          <w:b/>
          <w:szCs w:val="21"/>
        </w:rPr>
      </w:pPr>
      <w:r>
        <w:rPr>
          <w:rFonts w:hint="eastAsia" w:hAnsi="宋体"/>
          <w:b/>
          <w:szCs w:val="21"/>
        </w:rPr>
        <w:t xml:space="preserve">2. 包装运输要求 </w:t>
      </w:r>
    </w:p>
    <w:p>
      <w:pPr>
        <w:spacing w:line="440" w:lineRule="exact"/>
        <w:ind w:left="105" w:firstLine="480" w:firstLineChars="200"/>
        <w:outlineLvl w:val="2"/>
        <w:rPr>
          <w:szCs w:val="21"/>
        </w:rPr>
      </w:pPr>
      <w:r>
        <w:rPr>
          <w:rFonts w:hint="eastAsia" w:hAnsi="宋体"/>
          <w:szCs w:val="21"/>
        </w:rPr>
        <w:t>仪器设备的运输方式由乙方自行选择，</w:t>
      </w:r>
      <w:r>
        <w:rPr>
          <w:rFonts w:hint="eastAsia"/>
          <w:szCs w:val="21"/>
        </w:rPr>
        <w:t>在生产、运输、装卸过程中的任何安全问题与甲方无关，乙方应做好仪器设备的安全防护工作，</w:t>
      </w:r>
      <w:r>
        <w:rPr>
          <w:rFonts w:hint="eastAsia" w:hAnsi="宋体"/>
          <w:szCs w:val="21"/>
        </w:rPr>
        <w:t>保证甲方收到的是无任何损伤的货物。仪器设备包装必须符合国家标准或行业标准，满足航空、铁路或公路运输以及货物装卸要求，</w:t>
      </w:r>
      <w:r>
        <w:rPr>
          <w:rFonts w:hint="eastAsia"/>
          <w:szCs w:val="21"/>
        </w:rPr>
        <w:t>乙方若因自身原因出现任何安全事故，责任均由乙方承担。同时，对于在此过程中由于乙方未尽义务，造成与甲方有关人或物的损伤，乙方应全部承担责任。</w:t>
      </w:r>
    </w:p>
    <w:p>
      <w:pPr>
        <w:spacing w:line="440" w:lineRule="exact"/>
        <w:ind w:firstLine="482" w:firstLineChars="200"/>
        <w:rPr>
          <w:rFonts w:hAnsi="宋体"/>
          <w:b/>
          <w:szCs w:val="21"/>
        </w:rPr>
      </w:pPr>
      <w:r>
        <w:rPr>
          <w:rFonts w:hint="eastAsia" w:hAnsi="宋体"/>
          <w:b/>
          <w:szCs w:val="21"/>
        </w:rPr>
        <w:t>3.交货时间及交货地点</w:t>
      </w:r>
    </w:p>
    <w:p>
      <w:pPr>
        <w:spacing w:line="440" w:lineRule="exact"/>
        <w:ind w:firstLine="480" w:firstLineChars="200"/>
        <w:rPr>
          <w:rFonts w:hAnsi="宋体"/>
          <w:szCs w:val="21"/>
        </w:rPr>
      </w:pPr>
      <w:r>
        <w:rPr>
          <w:rFonts w:hint="eastAsia" w:hAnsi="宋体"/>
          <w:szCs w:val="21"/>
        </w:rPr>
        <w:t>3.1本项目为交钥匙工程，乙方要提供整套合格产品，切实做好安全防护相关工作。产品交货、安装地点均为甲方指定地点。</w:t>
      </w:r>
    </w:p>
    <w:p>
      <w:pPr>
        <w:spacing w:line="440" w:lineRule="exact"/>
        <w:ind w:firstLine="480" w:firstLineChars="200"/>
        <w:rPr>
          <w:rFonts w:hAnsi="宋体"/>
          <w:szCs w:val="21"/>
        </w:rPr>
      </w:pPr>
      <w:r>
        <w:rPr>
          <w:rFonts w:hint="eastAsia" w:hAnsi="宋体"/>
          <w:szCs w:val="21"/>
        </w:rPr>
        <w:t>3.2 合同签订后   个工作日内，乙方负责将产品运输到指定地点，完成安装调试和验收工作，乙方保证运输过程产品包装完好、安装调试及验收时设备外观无划痕，设备质量完好。</w:t>
      </w:r>
    </w:p>
    <w:p>
      <w:pPr>
        <w:spacing w:line="440" w:lineRule="exact"/>
        <w:ind w:firstLine="480" w:firstLineChars="200"/>
        <w:rPr>
          <w:rFonts w:hAnsi="宋体"/>
          <w:szCs w:val="21"/>
        </w:rPr>
      </w:pPr>
      <w:r>
        <w:rPr>
          <w:rFonts w:hint="eastAsia" w:hAnsi="宋体"/>
          <w:szCs w:val="21"/>
        </w:rPr>
        <w:t>3.3 货到后   日内安装调试交付使用。安装调试工作由乙方完成，并按照验收标准和验收程序完成设备的安装调试和验</w:t>
      </w:r>
      <w:r>
        <w:rPr>
          <w:rFonts w:hint="eastAsia"/>
          <w:szCs w:val="21"/>
        </w:rPr>
        <w:t>收工作。</w:t>
      </w:r>
    </w:p>
    <w:p>
      <w:pPr>
        <w:spacing w:line="440" w:lineRule="exact"/>
        <w:ind w:firstLine="482" w:firstLineChars="200"/>
        <w:rPr>
          <w:rFonts w:hAnsi="宋体"/>
          <w:b/>
          <w:szCs w:val="21"/>
        </w:rPr>
      </w:pPr>
      <w:r>
        <w:rPr>
          <w:rFonts w:hint="eastAsia" w:hAnsi="宋体"/>
          <w:b/>
          <w:szCs w:val="21"/>
        </w:rPr>
        <w:t>4.产品质量保证</w:t>
      </w:r>
    </w:p>
    <w:p>
      <w:pPr>
        <w:spacing w:line="440" w:lineRule="exact"/>
        <w:ind w:firstLine="480" w:firstLineChars="200"/>
        <w:rPr>
          <w:rFonts w:hAnsi="宋体"/>
          <w:szCs w:val="21"/>
        </w:rPr>
      </w:pPr>
      <w:r>
        <w:rPr>
          <w:rFonts w:hint="eastAsia" w:hAnsi="宋体"/>
          <w:szCs w:val="21"/>
        </w:rPr>
        <w:t>4.1乙方提供的设备及配套产品，必须是合同规定厂家制造的、合格、全新、未曾使用的产品，产品内部无损坏，外表无磨损，内部包装无破损。整套产品必须通过由国家技术监督部门授权的计量检定单位的检定，并附有检定使用合格证书。</w:t>
      </w:r>
    </w:p>
    <w:p>
      <w:pPr>
        <w:spacing w:line="440" w:lineRule="exact"/>
        <w:ind w:firstLine="480" w:firstLineChars="200"/>
        <w:rPr>
          <w:rFonts w:hAnsi="宋体"/>
          <w:szCs w:val="21"/>
        </w:rPr>
      </w:pPr>
      <w:r>
        <w:rPr>
          <w:rFonts w:hint="eastAsia" w:hAnsi="宋体"/>
          <w:szCs w:val="21"/>
        </w:rPr>
        <w:t>4.2 乙方提供的设备及配套产品必须等同于或优于合同技术指标要求，并能按国家标准供应、检测、调试，确保产品技术指标满足使用要求。</w:t>
      </w:r>
    </w:p>
    <w:p>
      <w:pPr>
        <w:spacing w:line="440" w:lineRule="exact"/>
        <w:ind w:firstLine="480" w:firstLineChars="200"/>
        <w:rPr>
          <w:rFonts w:hAnsi="宋体"/>
          <w:szCs w:val="21"/>
        </w:rPr>
      </w:pPr>
      <w:r>
        <w:rPr>
          <w:rFonts w:hint="eastAsia" w:hAnsi="宋体"/>
          <w:szCs w:val="21"/>
        </w:rPr>
        <w:t>4.3乙</w:t>
      </w:r>
      <w:r>
        <w:rPr>
          <w:rFonts w:hAnsi="宋体"/>
          <w:szCs w:val="21"/>
        </w:rPr>
        <w:t>方须保证所提供的货物经正确安装、正常运转和保养，在其使用寿命期内须具有符合质量要求和产品说明书的性能。在</w:t>
      </w:r>
      <w:r>
        <w:rPr>
          <w:rFonts w:hint="eastAsia" w:hAnsi="宋体"/>
          <w:szCs w:val="21"/>
        </w:rPr>
        <w:t>产品</w:t>
      </w:r>
      <w:r>
        <w:rPr>
          <w:rFonts w:hAnsi="宋体"/>
          <w:szCs w:val="21"/>
        </w:rPr>
        <w:t>质量保证期之内，</w:t>
      </w:r>
      <w:r>
        <w:rPr>
          <w:rFonts w:hint="eastAsia" w:hAnsi="宋体"/>
          <w:szCs w:val="21"/>
        </w:rPr>
        <w:t>乙</w:t>
      </w:r>
      <w:r>
        <w:rPr>
          <w:rFonts w:hAnsi="宋体"/>
          <w:szCs w:val="21"/>
        </w:rPr>
        <w:t>方须对由于设计、工艺或材料的缺陷而发生的任何不足或故障负责</w:t>
      </w:r>
      <w:r>
        <w:rPr>
          <w:rFonts w:hint="eastAsia" w:hAnsi="宋体"/>
          <w:szCs w:val="21"/>
        </w:rPr>
        <w:t>，并免费予以改进或更换</w:t>
      </w:r>
      <w:r>
        <w:rPr>
          <w:rFonts w:hAnsi="宋体"/>
          <w:szCs w:val="21"/>
        </w:rPr>
        <w:t>。</w:t>
      </w:r>
    </w:p>
    <w:p>
      <w:pPr>
        <w:spacing w:line="440" w:lineRule="exact"/>
        <w:ind w:firstLine="480" w:firstLineChars="200"/>
        <w:rPr>
          <w:rFonts w:hAnsi="宋体"/>
          <w:szCs w:val="21"/>
        </w:rPr>
      </w:pPr>
      <w:r>
        <w:rPr>
          <w:rFonts w:hint="eastAsia" w:hAnsi="宋体"/>
          <w:szCs w:val="21"/>
        </w:rPr>
        <w:t>4.4</w:t>
      </w:r>
      <w:r>
        <w:rPr>
          <w:rFonts w:hAnsi="宋体"/>
          <w:szCs w:val="21"/>
        </w:rPr>
        <w:t>根据</w:t>
      </w:r>
      <w:r>
        <w:rPr>
          <w:rFonts w:hint="eastAsia" w:hAnsi="宋体"/>
          <w:szCs w:val="21"/>
        </w:rPr>
        <w:t>甲</w:t>
      </w:r>
      <w:r>
        <w:rPr>
          <w:rFonts w:hAnsi="宋体"/>
          <w:szCs w:val="21"/>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hAnsi="宋体"/>
          <w:szCs w:val="21"/>
        </w:rPr>
        <w:t>甲方应书面通知乙方。接到上述通知后，乙方应及时免费更换或修理破损货物。乙方在甲方发出质量异议通知后，未作答复，甲方在通知书中所提出的要求应视为已被乙方接受。</w:t>
      </w:r>
    </w:p>
    <w:p>
      <w:pPr>
        <w:spacing w:line="440" w:lineRule="exact"/>
        <w:ind w:firstLine="480" w:firstLineChars="200"/>
        <w:rPr>
          <w:rFonts w:hAnsi="宋体"/>
          <w:szCs w:val="21"/>
        </w:rPr>
      </w:pPr>
      <w:r>
        <w:rPr>
          <w:rFonts w:hint="eastAsia" w:hAnsi="宋体"/>
          <w:szCs w:val="21"/>
        </w:rPr>
        <w:t>4.5乙</w:t>
      </w:r>
      <w:r>
        <w:rPr>
          <w:rFonts w:hAnsi="宋体"/>
          <w:szCs w:val="21"/>
        </w:rPr>
        <w:t>方在收到通知后</w:t>
      </w:r>
      <w:r>
        <w:rPr>
          <w:rFonts w:hint="eastAsia" w:hAnsi="宋体"/>
          <w:szCs w:val="21"/>
        </w:rPr>
        <w:t>虽答复，但</w:t>
      </w:r>
      <w:r>
        <w:rPr>
          <w:rFonts w:hAnsi="宋体"/>
          <w:szCs w:val="21"/>
        </w:rPr>
        <w:t>没有弥补缺陷，</w:t>
      </w:r>
      <w:r>
        <w:rPr>
          <w:rFonts w:hint="eastAsia" w:hAnsi="宋体"/>
          <w:szCs w:val="21"/>
        </w:rPr>
        <w:t>甲</w:t>
      </w:r>
      <w:r>
        <w:rPr>
          <w:rFonts w:hAnsi="宋体"/>
          <w:szCs w:val="21"/>
        </w:rPr>
        <w:t>方可采取必要的补救措施，但由此引发的风险和费用将由</w:t>
      </w:r>
      <w:r>
        <w:rPr>
          <w:rFonts w:hint="eastAsia" w:hAnsi="宋体"/>
          <w:szCs w:val="21"/>
        </w:rPr>
        <w:t>乙</w:t>
      </w:r>
      <w:r>
        <w:rPr>
          <w:rFonts w:hAnsi="宋体"/>
          <w:szCs w:val="21"/>
        </w:rPr>
        <w:t>方承担。</w:t>
      </w:r>
      <w:r>
        <w:rPr>
          <w:rFonts w:hint="eastAsia" w:hAnsi="宋体"/>
          <w:szCs w:val="21"/>
        </w:rPr>
        <w:t>甲方可从合同款或乙方提交的履约保证金中扣款，不足部分，甲方有权要求乙方赔偿。甲方根据合同规定对乙方行使的其他权力不受影响。</w:t>
      </w:r>
    </w:p>
    <w:p>
      <w:pPr>
        <w:spacing w:line="440" w:lineRule="exact"/>
        <w:ind w:firstLine="480" w:firstLineChars="200"/>
        <w:rPr>
          <w:rFonts w:hAnsi="宋体"/>
          <w:szCs w:val="21"/>
        </w:rPr>
      </w:pPr>
      <w:r>
        <w:rPr>
          <w:rFonts w:hint="eastAsia" w:hAnsi="宋体"/>
          <w:szCs w:val="21"/>
        </w:rPr>
        <w:t>4.6产品质量保证期为甲方最终设备验收合格后   年。质量保证期内乙方免费维修，包括设备的零配件及国内不能解决的故障需要返回生产厂维修时所发生的一切费用。须更换的零配件乙方保证原厂原装，如遇系统更新升级，乙方免费负责更新原装正版系统。质保期满后，乙方负责设备的终身维修。甲方如需更换设备的零配件，乙方保证更换的零配件为原厂原装，并只收取零配件的成本费，同时由乙方负责更换调试合格。</w:t>
      </w:r>
    </w:p>
    <w:p>
      <w:pPr>
        <w:spacing w:line="440" w:lineRule="exact"/>
        <w:ind w:firstLine="482" w:firstLineChars="200"/>
        <w:rPr>
          <w:rFonts w:hAnsi="宋体"/>
          <w:b/>
          <w:szCs w:val="21"/>
        </w:rPr>
      </w:pPr>
      <w:r>
        <w:rPr>
          <w:rFonts w:hint="eastAsia" w:hAnsi="宋体"/>
          <w:b/>
          <w:szCs w:val="21"/>
        </w:rPr>
        <w:t>5.技术服务承诺</w:t>
      </w:r>
    </w:p>
    <w:p>
      <w:pPr>
        <w:spacing w:line="440" w:lineRule="exact"/>
        <w:ind w:left="105" w:firstLine="360" w:firstLineChars="150"/>
        <w:outlineLvl w:val="2"/>
        <w:rPr>
          <w:rFonts w:hAnsi="宋体"/>
          <w:szCs w:val="21"/>
        </w:rPr>
      </w:pPr>
      <w:r>
        <w:rPr>
          <w:rFonts w:hint="eastAsia" w:hAnsi="宋体"/>
          <w:szCs w:val="21"/>
        </w:rPr>
        <w:t>5.1</w:t>
      </w:r>
      <w:r>
        <w:rPr>
          <w:rFonts w:hint="eastAsia"/>
          <w:szCs w:val="21"/>
        </w:rPr>
        <w:t>乙方应严格按照供货时间，及时给甲方供货。</w:t>
      </w:r>
    </w:p>
    <w:p>
      <w:pPr>
        <w:spacing w:line="440" w:lineRule="exact"/>
        <w:ind w:left="105" w:firstLine="360" w:firstLineChars="150"/>
        <w:outlineLvl w:val="2"/>
        <w:rPr>
          <w:rFonts w:hAnsi="宋体"/>
          <w:szCs w:val="21"/>
        </w:rPr>
      </w:pPr>
      <w:r>
        <w:rPr>
          <w:rFonts w:hint="eastAsia" w:hAnsi="宋体"/>
          <w:szCs w:val="21"/>
        </w:rPr>
        <w:t>5.2乙方负责提供仪器设备相应的技术资料，包括产品合格证、产品保修单、安装使用及维护说明书以及运输装箱清单等,</w:t>
      </w:r>
      <w:r>
        <w:rPr>
          <w:rFonts w:hint="eastAsia"/>
          <w:szCs w:val="21"/>
        </w:rPr>
        <w:t>并对所有技术材料的真实性、准确性、先进性、完整性负责</w:t>
      </w:r>
      <w:r>
        <w:rPr>
          <w:rFonts w:hint="eastAsia" w:hAnsi="宋体"/>
          <w:szCs w:val="21"/>
        </w:rPr>
        <w:t>。</w:t>
      </w:r>
    </w:p>
    <w:p>
      <w:pPr>
        <w:spacing w:line="440" w:lineRule="exact"/>
        <w:ind w:left="105" w:firstLine="360" w:firstLineChars="150"/>
        <w:outlineLvl w:val="2"/>
        <w:rPr>
          <w:rFonts w:hAnsi="宋体"/>
          <w:b/>
          <w:szCs w:val="21"/>
        </w:rPr>
      </w:pPr>
      <w:r>
        <w:rPr>
          <w:rFonts w:hint="eastAsia" w:hAnsi="宋体"/>
          <w:szCs w:val="21"/>
        </w:rPr>
        <w:t>5.3人员培训：乙方终身免费为甲方培训设备使用人员，培训内容包括：设备操作、维护、简单维修等。</w:t>
      </w:r>
    </w:p>
    <w:p>
      <w:pPr>
        <w:spacing w:line="440" w:lineRule="exact"/>
        <w:ind w:firstLine="480" w:firstLineChars="200"/>
        <w:rPr>
          <w:rFonts w:hAnsi="宋体"/>
          <w:b/>
          <w:szCs w:val="21"/>
        </w:rPr>
      </w:pPr>
      <w:r>
        <w:rPr>
          <w:rFonts w:hint="eastAsia" w:hAnsi="宋体"/>
          <w:bCs/>
          <w:szCs w:val="21"/>
        </w:rPr>
        <w:t>5.4</w:t>
      </w:r>
      <w:r>
        <w:rPr>
          <w:rFonts w:hint="eastAsia" w:hAnsi="宋体"/>
          <w:szCs w:val="21"/>
        </w:rPr>
        <w:t>售后服务：质保期内乙方对甲方提出的服务响应不得超出   小时。</w:t>
      </w:r>
    </w:p>
    <w:p>
      <w:pPr>
        <w:spacing w:line="440" w:lineRule="exact"/>
        <w:ind w:firstLine="480" w:firstLineChars="200"/>
        <w:rPr>
          <w:rFonts w:hAnsi="宋体"/>
          <w:szCs w:val="21"/>
        </w:rPr>
      </w:pPr>
      <w:r>
        <w:rPr>
          <w:rFonts w:hint="eastAsia" w:hAnsi="宋体"/>
          <w:szCs w:val="21"/>
        </w:rPr>
        <w:t>5.5具体服务详见乙方投标文件中乙方的承诺书。</w:t>
      </w:r>
    </w:p>
    <w:p>
      <w:pPr>
        <w:snapToGrid w:val="0"/>
        <w:spacing w:line="440" w:lineRule="exact"/>
        <w:ind w:firstLine="482" w:firstLineChars="200"/>
        <w:rPr>
          <w:rFonts w:hAnsi="宋体"/>
          <w:b/>
          <w:szCs w:val="21"/>
        </w:rPr>
      </w:pPr>
      <w:r>
        <w:rPr>
          <w:rFonts w:hint="eastAsia" w:hAnsi="宋体"/>
          <w:b/>
          <w:szCs w:val="21"/>
        </w:rPr>
        <w:t>6.验收方法及标准</w:t>
      </w:r>
    </w:p>
    <w:p>
      <w:pPr>
        <w:snapToGrid w:val="0"/>
        <w:spacing w:line="440" w:lineRule="exact"/>
        <w:ind w:firstLine="480" w:firstLineChars="200"/>
        <w:rPr>
          <w:rFonts w:hAnsi="宋体"/>
          <w:szCs w:val="21"/>
        </w:rPr>
      </w:pPr>
      <w:r>
        <w:rPr>
          <w:rFonts w:hint="eastAsia" w:hAnsi="宋体"/>
          <w:szCs w:val="21"/>
        </w:rPr>
        <w:t>6</w:t>
      </w:r>
      <w:r>
        <w:rPr>
          <w:rFonts w:hAnsi="宋体"/>
          <w:szCs w:val="21"/>
        </w:rPr>
        <w:t>.1</w:t>
      </w:r>
      <w:r>
        <w:rPr>
          <w:rFonts w:hint="eastAsia" w:hAnsi="宋体"/>
          <w:szCs w:val="21"/>
        </w:rPr>
        <w:t>开箱验收</w:t>
      </w:r>
    </w:p>
    <w:p>
      <w:pPr>
        <w:snapToGrid w:val="0"/>
        <w:spacing w:line="440" w:lineRule="exact"/>
        <w:ind w:firstLine="480" w:firstLineChars="200"/>
        <w:rPr>
          <w:rFonts w:hAnsi="宋体"/>
          <w:szCs w:val="21"/>
        </w:rPr>
      </w:pPr>
      <w:r>
        <w:rPr>
          <w:rFonts w:hint="eastAsia" w:hAnsi="宋体"/>
          <w:szCs w:val="21"/>
        </w:rPr>
        <w:t>6.1.1产品运抵现场后，双方应及时开箱验收，并制作验收记录，以确认与本合同约定的数量、型号等是否一致。</w:t>
      </w:r>
    </w:p>
    <w:p>
      <w:pPr>
        <w:snapToGrid w:val="0"/>
        <w:spacing w:line="440" w:lineRule="exact"/>
        <w:ind w:firstLine="480" w:firstLineChars="200"/>
        <w:rPr>
          <w:rFonts w:hAnsi="宋体"/>
          <w:szCs w:val="21"/>
        </w:rPr>
      </w:pPr>
      <w:r>
        <w:rPr>
          <w:rFonts w:hint="eastAsia" w:hAnsi="宋体"/>
          <w:szCs w:val="21"/>
        </w:rPr>
        <w:t>6.1.2 乙方</w:t>
      </w:r>
      <w:r>
        <w:rPr>
          <w:rFonts w:hAnsi="宋体"/>
          <w:szCs w:val="21"/>
        </w:rPr>
        <w:t>应在交货前对</w:t>
      </w:r>
      <w:r>
        <w:rPr>
          <w:rFonts w:hint="eastAsia" w:hAnsi="宋体"/>
          <w:szCs w:val="21"/>
        </w:rPr>
        <w:t>产品</w:t>
      </w:r>
      <w:r>
        <w:rPr>
          <w:rFonts w:hAnsi="宋体"/>
          <w:szCs w:val="21"/>
        </w:rPr>
        <w:t>的质量、规格、数量等进行详细而全面的检验，并出具证明</w:t>
      </w:r>
      <w:r>
        <w:rPr>
          <w:rFonts w:hint="eastAsia" w:hAnsi="宋体"/>
          <w:szCs w:val="21"/>
        </w:rPr>
        <w:t>产品</w:t>
      </w:r>
      <w:r>
        <w:rPr>
          <w:rFonts w:hAnsi="宋体"/>
          <w:szCs w:val="21"/>
        </w:rPr>
        <w:t>符合合同规定的文件。该文件将作为申请付款单据的一部分，但有关质量、规格、数量的检验不应视为最终检验。</w:t>
      </w:r>
    </w:p>
    <w:p>
      <w:pPr>
        <w:snapToGrid w:val="0"/>
        <w:spacing w:line="440" w:lineRule="exact"/>
        <w:ind w:firstLine="480" w:firstLineChars="200"/>
        <w:rPr>
          <w:rFonts w:hAnsi="宋体"/>
          <w:szCs w:val="21"/>
        </w:rPr>
      </w:pPr>
      <w:r>
        <w:rPr>
          <w:rFonts w:hint="eastAsia" w:hAnsi="宋体"/>
          <w:szCs w:val="21"/>
        </w:rPr>
        <w:t>6.1.3</w:t>
      </w:r>
      <w:r>
        <w:rPr>
          <w:rFonts w:hint="eastAsia" w:hAnsi="宋体" w:cs="宋体"/>
          <w:szCs w:val="21"/>
        </w:rPr>
        <w:t>乙方所供设备必须</w:t>
      </w:r>
      <w:r>
        <w:rPr>
          <w:rFonts w:hint="eastAsia"/>
          <w:szCs w:val="21"/>
        </w:rPr>
        <w:t>按我国现使用的标准制造，所购标准件和原材料均是国家名牌企业（或用户指定厂家）的合格产品，不会受到其它方提出的专利权、商标权或工业设计权等起诉。其余技术条件完全按照甲方要求。</w:t>
      </w:r>
    </w:p>
    <w:p>
      <w:pPr>
        <w:snapToGrid w:val="0"/>
        <w:spacing w:line="440" w:lineRule="exact"/>
        <w:ind w:firstLine="480" w:firstLineChars="200"/>
        <w:rPr>
          <w:rFonts w:hAnsi="宋体"/>
          <w:szCs w:val="21"/>
        </w:rPr>
      </w:pPr>
      <w:r>
        <w:rPr>
          <w:rFonts w:hint="eastAsia" w:hAnsi="宋体"/>
          <w:szCs w:val="21"/>
        </w:rPr>
        <w:t>6.1.4 开箱验收中如发现产品的数量、规格与合同约定不符，甲方有权拒收产品，乙方应及时按甲方要求免费对拒收产品采取更换或其他必要的补救措施，直至开箱验收合格，方视为乙方完成交货。</w:t>
      </w:r>
    </w:p>
    <w:p>
      <w:pPr>
        <w:snapToGrid w:val="0"/>
        <w:spacing w:line="440" w:lineRule="exact"/>
        <w:ind w:firstLine="480" w:firstLineChars="200"/>
        <w:rPr>
          <w:rFonts w:hAnsi="宋体"/>
          <w:szCs w:val="21"/>
        </w:rPr>
      </w:pPr>
      <w:r>
        <w:rPr>
          <w:rFonts w:hint="eastAsia" w:hAnsi="宋体"/>
          <w:szCs w:val="21"/>
        </w:rPr>
        <w:t>6.2  检验验收</w:t>
      </w:r>
    </w:p>
    <w:p>
      <w:pPr>
        <w:snapToGrid w:val="0"/>
        <w:spacing w:line="440" w:lineRule="exact"/>
        <w:ind w:firstLine="480" w:firstLineChars="200"/>
        <w:rPr>
          <w:rFonts w:hAnsi="宋体"/>
          <w:szCs w:val="21"/>
        </w:rPr>
      </w:pPr>
      <w:r>
        <w:rPr>
          <w:rFonts w:hint="eastAsia" w:hAnsi="宋体"/>
          <w:szCs w:val="21"/>
        </w:rPr>
        <w:t>6.2.1 交货完成后，乙方应及时组装、调试、试运行，按照合同条款规定的试运行完成后，双方及时组织对产品检验验收。合同双方均须派人参加合同要求双方参加的试验、检验。</w:t>
      </w:r>
    </w:p>
    <w:p>
      <w:pPr>
        <w:snapToGrid w:val="0"/>
        <w:spacing w:line="440" w:lineRule="exact"/>
        <w:ind w:firstLine="480" w:firstLineChars="200"/>
        <w:rPr>
          <w:rFonts w:hAnsi="宋体"/>
          <w:szCs w:val="21"/>
        </w:rPr>
      </w:pPr>
      <w:r>
        <w:rPr>
          <w:rFonts w:hint="eastAsia" w:hAnsi="宋体"/>
          <w:szCs w:val="21"/>
        </w:rPr>
        <w:t>6.2.2 在具体实施合同规定的检验验收之前，乙方需提前提交相应的测试计划（包括测试程序、测试内容和检验标准、试验时间安排等）供甲方确认。</w:t>
      </w:r>
    </w:p>
    <w:p>
      <w:pPr>
        <w:snapToGrid w:val="0"/>
        <w:spacing w:line="440" w:lineRule="exact"/>
        <w:ind w:firstLine="480" w:firstLineChars="200"/>
        <w:rPr>
          <w:rFonts w:hAnsi="宋体"/>
          <w:szCs w:val="21"/>
        </w:rPr>
      </w:pPr>
      <w:r>
        <w:rPr>
          <w:rFonts w:hint="eastAsia" w:hAnsi="宋体"/>
          <w:szCs w:val="21"/>
        </w:rPr>
        <w:t>6.2.3  除需甲方确认的试验验收外，乙方还应对所有检验验收测试的结果、步骤、原始数据等作妥善记录。如甲方要求，乙方应提供这些记录给甲方。</w:t>
      </w:r>
    </w:p>
    <w:p>
      <w:pPr>
        <w:snapToGrid w:val="0"/>
        <w:spacing w:line="440" w:lineRule="exact"/>
        <w:ind w:firstLine="480" w:firstLineChars="200"/>
        <w:rPr>
          <w:rFonts w:hAnsi="宋体"/>
          <w:szCs w:val="21"/>
        </w:rPr>
      </w:pPr>
      <w:r>
        <w:rPr>
          <w:rFonts w:hint="eastAsia" w:hAnsi="宋体"/>
          <w:szCs w:val="21"/>
        </w:rPr>
        <w:t>6.2.4  检验测试出现全部或部分未达到本合同所约定的技术指标，甲方有权选择下列任一处理方式：</w:t>
      </w:r>
    </w:p>
    <w:p>
      <w:pPr>
        <w:snapToGrid w:val="0"/>
        <w:spacing w:line="440" w:lineRule="exact"/>
        <w:ind w:firstLine="480" w:firstLineChars="200"/>
        <w:rPr>
          <w:rFonts w:hAnsi="宋体"/>
          <w:szCs w:val="21"/>
        </w:rPr>
      </w:pPr>
      <w:r>
        <w:rPr>
          <w:rFonts w:hint="eastAsia" w:hAnsi="宋体"/>
          <w:szCs w:val="21"/>
        </w:rPr>
        <w:t>a.重新测试直至合格为止；</w:t>
      </w:r>
    </w:p>
    <w:p>
      <w:pPr>
        <w:snapToGrid w:val="0"/>
        <w:spacing w:line="440" w:lineRule="exact"/>
        <w:ind w:firstLine="480" w:firstLineChars="200"/>
        <w:rPr>
          <w:rFonts w:hAnsi="宋体"/>
          <w:szCs w:val="21"/>
        </w:rPr>
      </w:pPr>
      <w:r>
        <w:rPr>
          <w:rFonts w:hint="eastAsia" w:hAnsi="宋体"/>
          <w:szCs w:val="21"/>
        </w:rPr>
        <w:t>b.要求乙方对货物进行免费更换，然后重新测试直至合格为止；</w:t>
      </w:r>
    </w:p>
    <w:p>
      <w:pPr>
        <w:snapToGrid w:val="0"/>
        <w:spacing w:line="440" w:lineRule="exact"/>
        <w:ind w:firstLine="480" w:firstLineChars="200"/>
        <w:rPr>
          <w:rFonts w:hAnsi="宋体"/>
          <w:szCs w:val="21"/>
        </w:rPr>
      </w:pPr>
      <w:r>
        <w:rPr>
          <w:rFonts w:hint="eastAsia" w:hAnsi="宋体"/>
          <w:szCs w:val="21"/>
        </w:rPr>
        <w:t>无论选择何种方式，甲方因此而发生的因乙方原因引起的所有费用均由乙方负担。</w:t>
      </w:r>
    </w:p>
    <w:p>
      <w:pPr>
        <w:snapToGrid w:val="0"/>
        <w:spacing w:line="440" w:lineRule="exact"/>
        <w:ind w:firstLine="480" w:firstLineChars="200"/>
        <w:rPr>
          <w:rFonts w:hAnsi="宋体"/>
          <w:szCs w:val="21"/>
        </w:rPr>
      </w:pPr>
      <w:r>
        <w:rPr>
          <w:rFonts w:hint="eastAsia" w:hAnsi="宋体"/>
          <w:szCs w:val="21"/>
        </w:rPr>
        <w:t>6.3  使用过程检验</w:t>
      </w:r>
    </w:p>
    <w:p>
      <w:pPr>
        <w:snapToGrid w:val="0"/>
        <w:spacing w:line="440" w:lineRule="exact"/>
        <w:ind w:firstLine="480" w:firstLineChars="200"/>
        <w:rPr>
          <w:rFonts w:hAnsi="宋体"/>
          <w:szCs w:val="21"/>
        </w:rPr>
      </w:pPr>
      <w:r>
        <w:rPr>
          <w:rFonts w:hint="eastAsia" w:hAnsi="宋体"/>
          <w:szCs w:val="21"/>
        </w:rPr>
        <w:t>6.3.1在合同规定的质量保证期内，发现设备的质量或规格与合同规定不符，或证明设备有缺陷，包括潜在的缺陷或使用不合适的原材料等，由甲方组织质检（相关检测费用由乙方承担），据质检报告及质量保证条款向乙方提出索赔，此索赔并不免除乙方应承担的合同义务。</w:t>
      </w:r>
    </w:p>
    <w:p>
      <w:pPr>
        <w:snapToGrid w:val="0"/>
        <w:spacing w:line="440" w:lineRule="exact"/>
        <w:ind w:firstLine="480" w:firstLineChars="200"/>
        <w:rPr>
          <w:rFonts w:hAnsi="宋体"/>
          <w:szCs w:val="21"/>
        </w:rPr>
      </w:pPr>
      <w:r>
        <w:rPr>
          <w:rFonts w:hint="eastAsia" w:hAnsi="宋体"/>
          <w:szCs w:val="21"/>
        </w:rPr>
        <w:t>6.3.2如果合同双方对乙方提供的上述试验结果报告的解释有分歧，双方须于出现分歧后10天内给对方声明，以陈述己方的观点。声明须附有关证据。分歧应通过协商解决。</w:t>
      </w:r>
    </w:p>
    <w:p>
      <w:pPr>
        <w:snapToGrid w:val="0"/>
        <w:spacing w:line="440" w:lineRule="exact"/>
        <w:ind w:firstLine="482" w:firstLineChars="200"/>
        <w:rPr>
          <w:rFonts w:hAnsi="宋体"/>
          <w:b/>
          <w:szCs w:val="21"/>
        </w:rPr>
      </w:pPr>
      <w:r>
        <w:rPr>
          <w:rFonts w:hint="eastAsia" w:hAnsi="宋体"/>
          <w:b/>
          <w:szCs w:val="21"/>
        </w:rPr>
        <w:t>7.合同款项支付方式</w:t>
      </w:r>
    </w:p>
    <w:p>
      <w:pPr>
        <w:snapToGrid w:val="0"/>
        <w:spacing w:line="440" w:lineRule="exact"/>
        <w:ind w:firstLine="480" w:firstLineChars="200"/>
        <w:rPr>
          <w:rFonts w:hAnsi="宋体"/>
          <w:szCs w:val="21"/>
        </w:rPr>
      </w:pPr>
      <w:r>
        <w:rPr>
          <w:rFonts w:hint="eastAsia" w:hAnsi="宋体"/>
          <w:szCs w:val="21"/>
        </w:rPr>
        <w:t>7.1履约保证金</w:t>
      </w:r>
    </w:p>
    <w:p>
      <w:pPr>
        <w:snapToGrid w:val="0"/>
        <w:spacing w:line="440" w:lineRule="exact"/>
        <w:ind w:firstLine="480" w:firstLineChars="200"/>
        <w:rPr>
          <w:rFonts w:hAnsi="宋体"/>
          <w:szCs w:val="21"/>
        </w:rPr>
      </w:pPr>
      <w:r>
        <w:rPr>
          <w:rFonts w:hint="eastAsia" w:hAnsi="宋体"/>
          <w:szCs w:val="21"/>
        </w:rPr>
        <w:t>7.1.1乙</w:t>
      </w:r>
      <w:r>
        <w:rPr>
          <w:rFonts w:hAnsi="宋体"/>
          <w:szCs w:val="21"/>
        </w:rPr>
        <w:t>方应在</w:t>
      </w:r>
      <w:r>
        <w:rPr>
          <w:rFonts w:hint="eastAsia" w:hAnsi="宋体"/>
          <w:szCs w:val="21"/>
        </w:rPr>
        <w:t>收到中标（成交）通知书后3个工作日内</w:t>
      </w:r>
      <w:r>
        <w:rPr>
          <w:rFonts w:hAnsi="宋体"/>
          <w:szCs w:val="21"/>
        </w:rPr>
        <w:t>，向</w:t>
      </w:r>
      <w:r>
        <w:rPr>
          <w:rFonts w:hint="eastAsia" w:hAnsi="宋体"/>
          <w:szCs w:val="21"/>
        </w:rPr>
        <w:t>甲</w:t>
      </w:r>
      <w:r>
        <w:rPr>
          <w:rFonts w:hAnsi="宋体"/>
          <w:szCs w:val="21"/>
        </w:rPr>
        <w:t>方提交</w:t>
      </w:r>
      <w:r>
        <w:rPr>
          <w:rFonts w:hint="eastAsia" w:hAnsi="宋体"/>
          <w:szCs w:val="21"/>
        </w:rPr>
        <w:t>合同总价5%</w:t>
      </w:r>
      <w:r>
        <w:rPr>
          <w:rFonts w:hAnsi="宋体"/>
          <w:szCs w:val="21"/>
        </w:rPr>
        <w:t>的履约保证金</w:t>
      </w:r>
      <w:r>
        <w:rPr>
          <w:rFonts w:hint="eastAsia" w:hAnsi="宋体"/>
          <w:szCs w:val="21"/>
        </w:rPr>
        <w:t>；</w:t>
      </w:r>
    </w:p>
    <w:p>
      <w:pPr>
        <w:snapToGrid w:val="0"/>
        <w:spacing w:line="440" w:lineRule="exact"/>
        <w:ind w:firstLine="480" w:firstLineChars="200"/>
        <w:rPr>
          <w:rFonts w:hAnsi="宋体"/>
          <w:szCs w:val="21"/>
        </w:rPr>
      </w:pPr>
      <w:r>
        <w:rPr>
          <w:rFonts w:hint="eastAsia" w:hAnsi="宋体"/>
          <w:szCs w:val="21"/>
        </w:rPr>
        <w:t>7.1.2</w:t>
      </w:r>
      <w:r>
        <w:rPr>
          <w:rFonts w:hAnsi="宋体"/>
          <w:szCs w:val="21"/>
        </w:rPr>
        <w:t>履约保证金应使用</w:t>
      </w:r>
      <w:r>
        <w:rPr>
          <w:rFonts w:hint="eastAsia" w:hAnsi="宋体"/>
          <w:szCs w:val="21"/>
        </w:rPr>
        <w:t>人民</w:t>
      </w:r>
      <w:r>
        <w:rPr>
          <w:rFonts w:hAnsi="宋体"/>
          <w:szCs w:val="21"/>
        </w:rPr>
        <w:t>币，按</w:t>
      </w:r>
      <w:r>
        <w:rPr>
          <w:rFonts w:hint="eastAsia" w:hAnsi="宋体"/>
          <w:szCs w:val="21"/>
          <w:u w:val="single"/>
        </w:rPr>
        <w:t xml:space="preserve">   汇款或现金   </w:t>
      </w:r>
      <w:r>
        <w:rPr>
          <w:rFonts w:hAnsi="宋体"/>
          <w:szCs w:val="21"/>
        </w:rPr>
        <w:t>方式提交</w:t>
      </w:r>
      <w:r>
        <w:rPr>
          <w:rFonts w:hint="eastAsia" w:hAnsi="宋体"/>
          <w:szCs w:val="21"/>
        </w:rPr>
        <w:t>；</w:t>
      </w:r>
    </w:p>
    <w:p>
      <w:pPr>
        <w:snapToGrid w:val="0"/>
        <w:spacing w:line="440" w:lineRule="exact"/>
        <w:ind w:firstLine="480" w:firstLineChars="200"/>
        <w:rPr>
          <w:rFonts w:hAnsi="宋体"/>
          <w:szCs w:val="21"/>
        </w:rPr>
      </w:pPr>
      <w:r>
        <w:rPr>
          <w:rFonts w:hint="eastAsia" w:hAnsi="宋体"/>
          <w:szCs w:val="21"/>
        </w:rPr>
        <w:t>7.1.3设备到货并由甲方验收合格后 10</w:t>
      </w:r>
      <w:r>
        <w:rPr>
          <w:rFonts w:hAnsi="宋体"/>
          <w:szCs w:val="21"/>
        </w:rPr>
        <w:t>工作日内，</w:t>
      </w:r>
      <w:r>
        <w:rPr>
          <w:rFonts w:hint="eastAsia" w:hAnsi="宋体"/>
          <w:szCs w:val="21"/>
        </w:rPr>
        <w:t>甲</w:t>
      </w:r>
      <w:r>
        <w:rPr>
          <w:rFonts w:hAnsi="宋体"/>
          <w:szCs w:val="21"/>
        </w:rPr>
        <w:t>方</w:t>
      </w:r>
      <w:r>
        <w:rPr>
          <w:rFonts w:hint="eastAsia" w:hAnsi="宋体"/>
          <w:szCs w:val="21"/>
        </w:rPr>
        <w:t>应</w:t>
      </w:r>
      <w:r>
        <w:rPr>
          <w:rFonts w:hAnsi="宋体"/>
          <w:szCs w:val="21"/>
        </w:rPr>
        <w:t>把履约保证金</w:t>
      </w:r>
      <w:r>
        <w:rPr>
          <w:rFonts w:hint="eastAsia" w:hAnsi="宋体"/>
          <w:szCs w:val="21"/>
        </w:rPr>
        <w:t>（无息）</w:t>
      </w:r>
      <w:r>
        <w:rPr>
          <w:rFonts w:hAnsi="宋体"/>
          <w:szCs w:val="21"/>
        </w:rPr>
        <w:t>退还</w:t>
      </w:r>
      <w:r>
        <w:rPr>
          <w:rFonts w:hint="eastAsia" w:hAnsi="宋体"/>
          <w:szCs w:val="21"/>
        </w:rPr>
        <w:t>乙</w:t>
      </w:r>
      <w:r>
        <w:rPr>
          <w:rFonts w:hAnsi="宋体"/>
          <w:szCs w:val="21"/>
        </w:rPr>
        <w:t>方。</w:t>
      </w:r>
    </w:p>
    <w:p>
      <w:pPr>
        <w:snapToGrid w:val="0"/>
        <w:spacing w:line="440" w:lineRule="exact"/>
        <w:ind w:firstLine="480" w:firstLineChars="200"/>
        <w:rPr>
          <w:rFonts w:hAnsi="宋体"/>
          <w:szCs w:val="21"/>
        </w:rPr>
      </w:pPr>
      <w:r>
        <w:rPr>
          <w:rFonts w:hint="eastAsia" w:hAnsi="宋体"/>
          <w:szCs w:val="21"/>
        </w:rPr>
        <w:t>7.2合同款支付</w:t>
      </w:r>
    </w:p>
    <w:p>
      <w:pPr>
        <w:snapToGrid w:val="0"/>
        <w:spacing w:line="440" w:lineRule="exact"/>
        <w:ind w:firstLine="480" w:firstLineChars="200"/>
        <w:rPr>
          <w:rFonts w:hAnsi="宋体"/>
          <w:szCs w:val="21"/>
        </w:rPr>
      </w:pPr>
      <w:r>
        <w:rPr>
          <w:rFonts w:hint="eastAsia" w:hAnsi="宋体"/>
          <w:szCs w:val="21"/>
        </w:rPr>
        <w:t>7.2.1合同生效，设备到达指定地点、安装调试验收合格后，付总价的95%，剩余5%作为质保金,质保期满后，无质量和服务问题，30日内返还质保金（无息）。</w:t>
      </w:r>
    </w:p>
    <w:p>
      <w:pPr>
        <w:snapToGrid w:val="0"/>
        <w:spacing w:line="440" w:lineRule="exact"/>
        <w:ind w:firstLine="480" w:firstLineChars="200"/>
        <w:rPr>
          <w:rFonts w:hAnsi="宋体"/>
          <w:szCs w:val="21"/>
        </w:rPr>
      </w:pPr>
      <w:r>
        <w:rPr>
          <w:rFonts w:hint="eastAsia" w:hAnsi="宋体"/>
          <w:szCs w:val="21"/>
        </w:rPr>
        <w:t>7.2.2甲方向乙方付款时，</w:t>
      </w:r>
      <w:r>
        <w:rPr>
          <w:rFonts w:hAnsi="宋体"/>
          <w:szCs w:val="21"/>
        </w:rPr>
        <w:t>乙方须向甲方出具合同总价款的</w:t>
      </w:r>
      <w:r>
        <w:rPr>
          <w:rFonts w:hint="eastAsia" w:hAnsi="宋体"/>
          <w:szCs w:val="21"/>
        </w:rPr>
        <w:t>增值税专用</w:t>
      </w:r>
      <w:r>
        <w:rPr>
          <w:rFonts w:hAnsi="宋体"/>
          <w:szCs w:val="21"/>
        </w:rPr>
        <w:t xml:space="preserve">发票。 </w:t>
      </w:r>
    </w:p>
    <w:p>
      <w:pPr>
        <w:snapToGrid w:val="0"/>
        <w:spacing w:line="440" w:lineRule="exact"/>
        <w:ind w:firstLine="482" w:firstLineChars="200"/>
        <w:rPr>
          <w:rFonts w:hAnsi="宋体"/>
          <w:b/>
          <w:szCs w:val="21"/>
        </w:rPr>
      </w:pPr>
      <w:r>
        <w:rPr>
          <w:rFonts w:hint="eastAsia" w:hAnsi="宋体"/>
          <w:b/>
          <w:szCs w:val="21"/>
        </w:rPr>
        <w:t>8.安全生产和文明施工</w:t>
      </w:r>
    </w:p>
    <w:p>
      <w:pPr>
        <w:snapToGrid w:val="0"/>
        <w:spacing w:line="440" w:lineRule="exact"/>
        <w:ind w:firstLine="480" w:firstLineChars="200"/>
        <w:rPr>
          <w:rFonts w:hAnsi="宋体"/>
          <w:szCs w:val="21"/>
        </w:rPr>
      </w:pPr>
      <w:r>
        <w:rPr>
          <w:rFonts w:hint="eastAsia" w:hAnsi="宋体"/>
          <w:szCs w:val="21"/>
        </w:rPr>
        <w:t>8.1 现场安全文明施工由乙方编制专项详细方案并严格执行。</w:t>
      </w:r>
    </w:p>
    <w:p>
      <w:pPr>
        <w:snapToGrid w:val="0"/>
        <w:spacing w:line="440" w:lineRule="exact"/>
        <w:ind w:firstLine="480" w:firstLineChars="200"/>
        <w:rPr>
          <w:rFonts w:hAnsi="宋体"/>
          <w:szCs w:val="21"/>
        </w:rPr>
      </w:pPr>
      <w:r>
        <w:rPr>
          <w:rFonts w:hint="eastAsia" w:hAnsi="宋体"/>
          <w:szCs w:val="21"/>
        </w:rPr>
        <w:t>8.2 乙方必须认真执行省市有关施工安全生产条例和规定以及甲方管理要求，并做好安全管理工作，避免并杜绝安全事故的发生。如发生安全事故，一切责任与后果均由乙方承担，同时，</w:t>
      </w:r>
      <w:r>
        <w:rPr>
          <w:rFonts w:hAnsi="宋体"/>
          <w:szCs w:val="21"/>
        </w:rPr>
        <w:t>给甲方造成损失，</w:t>
      </w:r>
      <w:r>
        <w:rPr>
          <w:rFonts w:hint="eastAsia" w:hAnsi="宋体"/>
          <w:szCs w:val="21"/>
        </w:rPr>
        <w:t>甲方将视情况对乙方处以相应的经济赔偿</w:t>
      </w:r>
      <w:r>
        <w:rPr>
          <w:rFonts w:hAnsi="宋体"/>
          <w:szCs w:val="21"/>
        </w:rPr>
        <w:t>。</w:t>
      </w:r>
    </w:p>
    <w:p>
      <w:pPr>
        <w:snapToGrid w:val="0"/>
        <w:spacing w:line="440" w:lineRule="exact"/>
        <w:ind w:firstLine="480" w:firstLineChars="200"/>
        <w:rPr>
          <w:rFonts w:hAnsi="宋体"/>
          <w:szCs w:val="21"/>
        </w:rPr>
      </w:pPr>
      <w:r>
        <w:rPr>
          <w:rFonts w:hint="eastAsia" w:hAnsi="宋体"/>
          <w:szCs w:val="21"/>
        </w:rPr>
        <w:t>8.3 在设备安装施工全过程中，乙方应服从甲方的各项管理，并对乙方施工人员进行安全管理。</w:t>
      </w:r>
    </w:p>
    <w:p>
      <w:pPr>
        <w:snapToGrid w:val="0"/>
        <w:spacing w:line="440" w:lineRule="exact"/>
        <w:ind w:firstLine="480" w:firstLineChars="200"/>
        <w:rPr>
          <w:rFonts w:hAnsi="宋体"/>
          <w:szCs w:val="21"/>
        </w:rPr>
      </w:pPr>
      <w:r>
        <w:rPr>
          <w:rFonts w:hint="eastAsia" w:hAnsi="宋体"/>
          <w:szCs w:val="21"/>
        </w:rPr>
        <w:t>8.4 确保现场建筑物及相关设施设备完好无损，如施工过程中出现损坏，乙方负责修复赔偿。</w:t>
      </w:r>
    </w:p>
    <w:p>
      <w:pPr>
        <w:snapToGrid w:val="0"/>
        <w:spacing w:line="440" w:lineRule="exact"/>
        <w:ind w:firstLine="480" w:firstLineChars="200"/>
        <w:rPr>
          <w:rFonts w:hAnsi="宋体"/>
          <w:szCs w:val="21"/>
        </w:rPr>
      </w:pPr>
      <w:r>
        <w:rPr>
          <w:rFonts w:hint="eastAsia" w:hAnsi="宋体"/>
          <w:szCs w:val="21"/>
        </w:rPr>
        <w:t>8.5 乙方应对安装施工人员相关岗位上岗资格进行审查，并对相关后果负责。</w:t>
      </w:r>
    </w:p>
    <w:p>
      <w:pPr>
        <w:snapToGrid w:val="0"/>
        <w:spacing w:line="440" w:lineRule="exact"/>
        <w:ind w:firstLine="482" w:firstLineChars="200"/>
        <w:rPr>
          <w:rFonts w:hAnsi="宋体"/>
          <w:b/>
          <w:szCs w:val="21"/>
        </w:rPr>
      </w:pPr>
      <w:r>
        <w:rPr>
          <w:rFonts w:hint="eastAsia" w:hAnsi="宋体"/>
          <w:b/>
          <w:szCs w:val="21"/>
        </w:rPr>
        <w:t>9.</w:t>
      </w:r>
      <w:r>
        <w:rPr>
          <w:rFonts w:hAnsi="宋体"/>
          <w:b/>
          <w:szCs w:val="21"/>
        </w:rPr>
        <w:t>索赔</w:t>
      </w:r>
    </w:p>
    <w:p>
      <w:pPr>
        <w:snapToGrid w:val="0"/>
        <w:spacing w:line="440" w:lineRule="exact"/>
        <w:ind w:firstLine="480" w:firstLineChars="200"/>
        <w:rPr>
          <w:rFonts w:hAnsi="宋体"/>
          <w:szCs w:val="21"/>
        </w:rPr>
      </w:pPr>
      <w:r>
        <w:rPr>
          <w:rFonts w:hint="eastAsia" w:hAnsi="宋体"/>
          <w:szCs w:val="21"/>
        </w:rPr>
        <w:t>9.1产品的质量、规格、型号、数量、性能、产地及零配件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napToGrid w:val="0"/>
        <w:spacing w:line="440" w:lineRule="exact"/>
        <w:ind w:firstLine="480" w:firstLineChars="200"/>
        <w:rPr>
          <w:rFonts w:hAnsi="宋体"/>
          <w:szCs w:val="21"/>
        </w:rPr>
      </w:pPr>
      <w:bookmarkStart w:id="238" w:name="_Ref467378076"/>
      <w:r>
        <w:rPr>
          <w:rFonts w:hint="eastAsia" w:hAnsi="宋体"/>
          <w:szCs w:val="21"/>
        </w:rPr>
        <w:t>9.2在验收合格前，乙方对甲方提出的索赔负有责任，乙方应按照甲方同意的下列一种或多种方式解决索赔事宜：</w:t>
      </w:r>
      <w:bookmarkEnd w:id="238"/>
    </w:p>
    <w:p>
      <w:pPr>
        <w:snapToGrid w:val="0"/>
        <w:spacing w:line="440" w:lineRule="exact"/>
        <w:ind w:firstLine="480" w:firstLineChars="200"/>
        <w:rPr>
          <w:rFonts w:hAnsi="宋体"/>
          <w:szCs w:val="21"/>
        </w:rPr>
      </w:pPr>
      <w:r>
        <w:rPr>
          <w:rFonts w:hint="eastAsia" w:hAnsi="宋体"/>
          <w:szCs w:val="21"/>
        </w:rPr>
        <w:t>9.2.1在法定的退货期内，乙方应按合同规定将货款全额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snapToGrid w:val="0"/>
        <w:spacing w:line="440" w:lineRule="exact"/>
        <w:ind w:firstLine="480" w:firstLineChars="200"/>
        <w:rPr>
          <w:rFonts w:hAnsi="宋体"/>
          <w:szCs w:val="21"/>
        </w:rPr>
      </w:pPr>
      <w:r>
        <w:rPr>
          <w:rFonts w:hint="eastAsia" w:hAnsi="宋体"/>
          <w:szCs w:val="21"/>
        </w:rPr>
        <w:t>9.2.2根据货物低劣程度、损坏程度以及甲方所遭受损失的数额，经甲乙双方商定降低货物的价格，或由有资质的中介机构评估，以降低后的价格或评估价格为准。</w:t>
      </w:r>
    </w:p>
    <w:p>
      <w:pPr>
        <w:snapToGrid w:val="0"/>
        <w:spacing w:line="440" w:lineRule="exact"/>
        <w:ind w:firstLine="480" w:firstLineChars="200"/>
        <w:rPr>
          <w:rFonts w:hAnsi="宋体"/>
          <w:szCs w:val="21"/>
        </w:rPr>
      </w:pPr>
      <w:r>
        <w:rPr>
          <w:rFonts w:hint="eastAsia" w:hAnsi="宋体"/>
          <w:szCs w:val="21"/>
        </w:rPr>
        <w:t>9.2.3用符合规格、质量和性能要求的原厂原装新零件、部件或货物来更换有缺陷的部分或修补缺陷部分，乙方应承担一切费用和风险，并负担甲方所发生的一切直接费用。同时，乙方应相应延长、修补或更换件的质保期。</w:t>
      </w:r>
    </w:p>
    <w:p>
      <w:pPr>
        <w:snapToGrid w:val="0"/>
        <w:spacing w:line="440" w:lineRule="exact"/>
        <w:ind w:firstLine="480" w:firstLineChars="200"/>
        <w:rPr>
          <w:rFonts w:hAnsi="宋体"/>
          <w:szCs w:val="21"/>
        </w:rPr>
      </w:pPr>
      <w:bookmarkStart w:id="239" w:name="_Ref127159050"/>
      <w:r>
        <w:rPr>
          <w:rFonts w:hint="eastAsia" w:hAnsi="宋体"/>
          <w:szCs w:val="21"/>
        </w:rPr>
        <w:t>9.3乙方收到甲方发出的索赔通知之日起5个工作日内未作答复的，甲方可从合同款或履约保证金中扣回索赔金额，如金额不足以补偿索赔金额，乙方应补足差额部分。</w:t>
      </w:r>
      <w:bookmarkEnd w:id="239"/>
    </w:p>
    <w:p>
      <w:pPr>
        <w:snapToGrid w:val="0"/>
        <w:spacing w:line="440" w:lineRule="exact"/>
        <w:ind w:firstLine="482" w:firstLineChars="200"/>
        <w:rPr>
          <w:rFonts w:hAnsi="宋体"/>
          <w:b/>
          <w:szCs w:val="21"/>
        </w:rPr>
      </w:pPr>
      <w:r>
        <w:rPr>
          <w:rFonts w:hint="eastAsia" w:hAnsi="宋体"/>
          <w:b/>
          <w:szCs w:val="21"/>
        </w:rPr>
        <w:t>10.违约责任</w:t>
      </w:r>
    </w:p>
    <w:p>
      <w:pPr>
        <w:snapToGrid w:val="0"/>
        <w:spacing w:line="440" w:lineRule="exact"/>
        <w:ind w:firstLine="480" w:firstLineChars="200"/>
        <w:rPr>
          <w:rFonts w:hAnsi="宋体"/>
          <w:szCs w:val="21"/>
        </w:rPr>
      </w:pPr>
      <w:r>
        <w:rPr>
          <w:rFonts w:hint="eastAsia" w:hAnsi="宋体"/>
          <w:szCs w:val="21"/>
        </w:rPr>
        <w:t>10.1 合同生效后，甲乙双方应按合同规定认真履约。合同履约责任只涉及合同甲乙双方，不考虑第三方因素。</w:t>
      </w:r>
    </w:p>
    <w:p>
      <w:pPr>
        <w:snapToGrid w:val="0"/>
        <w:spacing w:line="440" w:lineRule="exact"/>
        <w:ind w:firstLine="480" w:firstLineChars="200"/>
        <w:rPr>
          <w:rFonts w:hAnsi="宋体"/>
          <w:szCs w:val="21"/>
        </w:rPr>
      </w:pPr>
      <w:r>
        <w:rPr>
          <w:rFonts w:hint="eastAsia" w:hAnsi="宋体"/>
          <w:szCs w:val="21"/>
        </w:rPr>
        <w:t>10.2 除不可抗力原因外，如遇下列情况之一者，乙方所缴纳的合同履约金、产品质量保证金甲方有权不予退还，作为对甲方的赔偿，且甲方有权解除本合同：（1）合同签订后不能按合同时限要求供货或安装调试；（2）所供设备不合格、与合同不符；（3）不能按合同履约；（4）因产品质量原因，不能通过验收。</w:t>
      </w:r>
    </w:p>
    <w:p>
      <w:pPr>
        <w:snapToGrid w:val="0"/>
        <w:spacing w:line="500" w:lineRule="exact"/>
        <w:ind w:firstLine="480" w:firstLineChars="200"/>
        <w:rPr>
          <w:rFonts w:hAnsi="宋体"/>
          <w:szCs w:val="21"/>
        </w:rPr>
      </w:pPr>
      <w:r>
        <w:rPr>
          <w:rFonts w:hint="eastAsia" w:hAnsi="宋体"/>
          <w:szCs w:val="21"/>
        </w:rPr>
        <w:t>10.3如乙方产品质量不符合国家标准、行业内控标准或本合同技术附件要求的，甲方有权退货，乙方应退还全部货款，并承担甲方合同总价款10％的违约金及其他损失。</w:t>
      </w:r>
    </w:p>
    <w:p>
      <w:pPr>
        <w:snapToGrid w:val="0"/>
        <w:spacing w:line="440" w:lineRule="exact"/>
        <w:ind w:firstLine="480" w:firstLineChars="200"/>
        <w:rPr>
          <w:rFonts w:hAnsi="宋体"/>
          <w:szCs w:val="21"/>
        </w:rPr>
      </w:pPr>
      <w:r>
        <w:rPr>
          <w:rFonts w:hint="eastAsia" w:hAnsi="宋体"/>
          <w:szCs w:val="21"/>
        </w:rPr>
        <w:t>10.4 在合同规定的供货期内乙方未全部交货，除应如数补齐外，还应承担合同总款的10％违约金。</w:t>
      </w:r>
    </w:p>
    <w:p>
      <w:pPr>
        <w:snapToGrid w:val="0"/>
        <w:spacing w:line="440" w:lineRule="exact"/>
        <w:ind w:firstLine="480" w:firstLineChars="200"/>
        <w:rPr>
          <w:rFonts w:hAnsi="宋体"/>
          <w:szCs w:val="21"/>
        </w:rPr>
      </w:pPr>
      <w:r>
        <w:rPr>
          <w:rFonts w:hint="eastAsia" w:hAnsi="宋体"/>
          <w:szCs w:val="21"/>
        </w:rPr>
        <w:t>10.5 乙方对货物不按招标文件要求，擅自更换，除恢复原招标产品外，应承担更换部分价款10%的违约金；乙方如对产品材质、随机配品以次充好，除全部按要求恢复外，应承担此部分价款10%的违约金。</w:t>
      </w:r>
    </w:p>
    <w:p>
      <w:pPr>
        <w:snapToGrid w:val="0"/>
        <w:spacing w:line="440" w:lineRule="exact"/>
        <w:ind w:firstLine="480" w:firstLineChars="200"/>
        <w:rPr>
          <w:rFonts w:hAnsi="宋体"/>
          <w:szCs w:val="21"/>
        </w:rPr>
      </w:pPr>
      <w:r>
        <w:rPr>
          <w:rFonts w:hint="eastAsia" w:hAnsi="宋体"/>
          <w:szCs w:val="21"/>
        </w:rPr>
        <w:t xml:space="preserve">10.6 </w:t>
      </w:r>
      <w:r>
        <w:rPr>
          <w:rFonts w:hAnsi="宋体"/>
          <w:szCs w:val="21"/>
        </w:rPr>
        <w:t>除</w:t>
      </w:r>
      <w:r>
        <w:rPr>
          <w:rFonts w:hint="eastAsia" w:hAnsi="宋体"/>
          <w:szCs w:val="21"/>
        </w:rPr>
        <w:t>不可抗力因素外，乙方对所供产品出现的问题推诿、拖延，24小时未作出服务响应且乙</w:t>
      </w:r>
      <w:r>
        <w:rPr>
          <w:rFonts w:hAnsi="宋体"/>
          <w:szCs w:val="21"/>
        </w:rPr>
        <w:t>方没有按照合同规定的时间交货和提供服务，</w:t>
      </w:r>
      <w:r>
        <w:rPr>
          <w:rFonts w:hint="eastAsia" w:hAnsi="宋体"/>
          <w:szCs w:val="21"/>
        </w:rPr>
        <w:t>甲</w:t>
      </w:r>
      <w:r>
        <w:rPr>
          <w:rFonts w:hAnsi="宋体"/>
          <w:szCs w:val="21"/>
        </w:rPr>
        <w:t>方可要求</w:t>
      </w:r>
      <w:r>
        <w:rPr>
          <w:rFonts w:hint="eastAsia" w:hAnsi="宋体"/>
          <w:szCs w:val="21"/>
        </w:rPr>
        <w:t>乙</w:t>
      </w:r>
      <w:r>
        <w:rPr>
          <w:rFonts w:hAnsi="宋体"/>
          <w:szCs w:val="21"/>
        </w:rPr>
        <w:t>方支付违约金。违约金每</w:t>
      </w:r>
      <w:r>
        <w:rPr>
          <w:rFonts w:hint="eastAsia" w:hAnsi="宋体"/>
          <w:szCs w:val="21"/>
        </w:rPr>
        <w:t>日</w:t>
      </w:r>
      <w:r>
        <w:rPr>
          <w:rFonts w:hAnsi="宋体"/>
          <w:szCs w:val="21"/>
        </w:rPr>
        <w:t>按</w:t>
      </w:r>
      <w:r>
        <w:rPr>
          <w:rFonts w:hint="eastAsia" w:hAnsi="宋体"/>
          <w:szCs w:val="21"/>
        </w:rPr>
        <w:t>合同总价款</w:t>
      </w:r>
      <w:r>
        <w:rPr>
          <w:rFonts w:hAnsi="宋体"/>
          <w:szCs w:val="21"/>
        </w:rPr>
        <w:t>的</w:t>
      </w:r>
      <w:r>
        <w:rPr>
          <w:rFonts w:hint="eastAsia" w:hAnsi="宋体"/>
          <w:szCs w:val="21"/>
        </w:rPr>
        <w:t>5‰</w:t>
      </w:r>
      <w:r>
        <w:rPr>
          <w:rFonts w:hAnsi="宋体"/>
          <w:szCs w:val="21"/>
        </w:rPr>
        <w:t>计收。</w:t>
      </w:r>
      <w:r>
        <w:rPr>
          <w:rFonts w:hint="eastAsia" w:hAnsi="宋体"/>
          <w:szCs w:val="21"/>
        </w:rPr>
        <w:t>否则，甲方有权拒绝乙方以后参加学校竞标。</w:t>
      </w:r>
    </w:p>
    <w:p>
      <w:pPr>
        <w:snapToGrid w:val="0"/>
        <w:spacing w:line="440" w:lineRule="exact"/>
        <w:ind w:firstLine="480" w:firstLineChars="200"/>
        <w:rPr>
          <w:rFonts w:hAnsi="宋体"/>
          <w:szCs w:val="21"/>
        </w:rPr>
      </w:pPr>
      <w:r>
        <w:rPr>
          <w:rFonts w:hint="eastAsia" w:hAnsi="宋体"/>
          <w:szCs w:val="21"/>
        </w:rPr>
        <w:t>10.7 合同履约过程中，甲方应积极配合乙方进行设备验收以及验收前的外围配套等工作。否则，因此导致设备不能按期验收时，不能追究乙方责任；正常情况下应在设备验收合格后15天内按规定向乙方付款，最长时间不能超过30天。否则，每超过一周应向乙方支付合同应付款5‰的滞纳金。</w:t>
      </w:r>
    </w:p>
    <w:p>
      <w:pPr>
        <w:snapToGrid w:val="0"/>
        <w:spacing w:line="440" w:lineRule="exact"/>
        <w:ind w:firstLine="482" w:firstLineChars="200"/>
        <w:rPr>
          <w:rFonts w:hAnsi="宋体"/>
          <w:b/>
          <w:szCs w:val="21"/>
        </w:rPr>
      </w:pPr>
      <w:r>
        <w:rPr>
          <w:rFonts w:hint="eastAsia" w:hAnsi="宋体"/>
          <w:b/>
          <w:szCs w:val="21"/>
        </w:rPr>
        <w:t>11.</w:t>
      </w:r>
      <w:r>
        <w:rPr>
          <w:rFonts w:hAnsi="宋体"/>
          <w:b/>
          <w:szCs w:val="21"/>
        </w:rPr>
        <w:t>合同争议的解决</w:t>
      </w:r>
    </w:p>
    <w:p>
      <w:pPr>
        <w:snapToGrid w:val="0"/>
        <w:spacing w:line="440" w:lineRule="exact"/>
        <w:ind w:firstLine="480" w:firstLineChars="200"/>
        <w:rPr>
          <w:rFonts w:hAnsi="宋体"/>
          <w:szCs w:val="21"/>
        </w:rPr>
      </w:pPr>
      <w:r>
        <w:rPr>
          <w:rFonts w:hint="eastAsia" w:hAnsi="宋体"/>
          <w:szCs w:val="21"/>
        </w:rPr>
        <w:t>11.1甲乙双方由于本合同的履行而发生任何争议时，双方可先通过协商解决。</w:t>
      </w:r>
    </w:p>
    <w:p>
      <w:pPr>
        <w:snapToGrid w:val="0"/>
        <w:spacing w:line="440" w:lineRule="exact"/>
        <w:ind w:firstLine="480" w:firstLineChars="200"/>
        <w:rPr>
          <w:rFonts w:hAnsi="宋体"/>
          <w:szCs w:val="21"/>
        </w:rPr>
      </w:pPr>
      <w:r>
        <w:rPr>
          <w:rFonts w:hint="eastAsia" w:hAnsi="宋体"/>
          <w:szCs w:val="21"/>
        </w:rPr>
        <w:t>11.2任何一方不愿通过协商或通过协商仍不能解决争议，则双方中任何一方均应向甲方所在地人民法院起诉。</w:t>
      </w:r>
    </w:p>
    <w:p>
      <w:pPr>
        <w:snapToGrid w:val="0"/>
        <w:spacing w:line="440" w:lineRule="exact"/>
        <w:ind w:firstLine="482" w:firstLineChars="200"/>
        <w:rPr>
          <w:rFonts w:hAnsi="宋体"/>
          <w:b/>
          <w:szCs w:val="21"/>
        </w:rPr>
      </w:pPr>
      <w:r>
        <w:rPr>
          <w:rFonts w:hint="eastAsia" w:hAnsi="宋体"/>
          <w:b/>
          <w:szCs w:val="21"/>
        </w:rPr>
        <w:t>12.</w:t>
      </w:r>
      <w:r>
        <w:rPr>
          <w:rFonts w:hAnsi="宋体"/>
          <w:b/>
          <w:szCs w:val="21"/>
        </w:rPr>
        <w:t>违约解除合同</w:t>
      </w:r>
    </w:p>
    <w:p>
      <w:pPr>
        <w:spacing w:line="360" w:lineRule="auto"/>
        <w:ind w:firstLine="480" w:firstLineChars="200"/>
        <w:rPr>
          <w:rFonts w:hAnsi="宋体"/>
          <w:szCs w:val="21"/>
        </w:rPr>
      </w:pPr>
      <w:r>
        <w:rPr>
          <w:rFonts w:hint="eastAsia" w:hAnsi="宋体"/>
          <w:szCs w:val="21"/>
        </w:rPr>
        <w:t>12.1出现下列情形之一的</w:t>
      </w:r>
      <w:r>
        <w:rPr>
          <w:rFonts w:hAnsi="宋体"/>
          <w:szCs w:val="21"/>
        </w:rPr>
        <w:t>，</w:t>
      </w:r>
      <w:r>
        <w:rPr>
          <w:rFonts w:hint="eastAsia" w:hAnsi="宋体"/>
          <w:szCs w:val="21"/>
        </w:rPr>
        <w:t>视为乙方违约。甲</w:t>
      </w:r>
      <w:r>
        <w:rPr>
          <w:rFonts w:hAnsi="宋体"/>
          <w:szCs w:val="21"/>
        </w:rPr>
        <w:t>方可向</w:t>
      </w:r>
      <w:r>
        <w:rPr>
          <w:rFonts w:hint="eastAsia" w:hAnsi="宋体"/>
          <w:szCs w:val="21"/>
        </w:rPr>
        <w:t>乙</w:t>
      </w:r>
      <w:r>
        <w:rPr>
          <w:rFonts w:hAnsi="宋体"/>
          <w:szCs w:val="21"/>
        </w:rPr>
        <w:t>方发出书面通知，部分或全部终止合同</w:t>
      </w:r>
      <w:r>
        <w:rPr>
          <w:rFonts w:hint="eastAsia" w:hAnsi="宋体"/>
          <w:szCs w:val="21"/>
        </w:rPr>
        <w:t>，</w:t>
      </w:r>
      <w:r>
        <w:rPr>
          <w:rFonts w:hAnsi="宋体"/>
          <w:szCs w:val="21"/>
        </w:rPr>
        <w:t>同时保留向</w:t>
      </w:r>
      <w:r>
        <w:rPr>
          <w:rFonts w:hint="eastAsia" w:hAnsi="宋体"/>
          <w:szCs w:val="21"/>
        </w:rPr>
        <w:t>乙</w:t>
      </w:r>
      <w:r>
        <w:rPr>
          <w:rFonts w:hAnsi="宋体"/>
          <w:szCs w:val="21"/>
        </w:rPr>
        <w:t>方</w:t>
      </w:r>
      <w:r>
        <w:rPr>
          <w:rFonts w:hint="eastAsia" w:hAnsi="宋体"/>
          <w:szCs w:val="21"/>
        </w:rPr>
        <w:t>索赔</w:t>
      </w:r>
      <w:r>
        <w:rPr>
          <w:rFonts w:hAnsi="宋体"/>
          <w:szCs w:val="21"/>
        </w:rPr>
        <w:t>的权利。</w:t>
      </w:r>
    </w:p>
    <w:p>
      <w:pPr>
        <w:spacing w:line="360" w:lineRule="auto"/>
        <w:ind w:firstLine="480" w:firstLineChars="200"/>
        <w:rPr>
          <w:rFonts w:hAnsi="宋体"/>
          <w:szCs w:val="21"/>
        </w:rPr>
      </w:pPr>
      <w:r>
        <w:rPr>
          <w:rFonts w:hint="eastAsia" w:hAnsi="宋体"/>
          <w:szCs w:val="21"/>
        </w:rPr>
        <w:t>12.1.1乙</w:t>
      </w:r>
      <w:r>
        <w:rPr>
          <w:rFonts w:hAnsi="宋体"/>
          <w:szCs w:val="21"/>
        </w:rPr>
        <w:t>方未能在合同规定的限期或</w:t>
      </w:r>
      <w:r>
        <w:rPr>
          <w:rFonts w:hint="eastAsia" w:hAnsi="宋体"/>
          <w:szCs w:val="21"/>
        </w:rPr>
        <w:t>甲</w:t>
      </w:r>
      <w:r>
        <w:rPr>
          <w:rFonts w:hAnsi="宋体"/>
          <w:szCs w:val="21"/>
        </w:rPr>
        <w:t xml:space="preserve">方同意延长的限期内，提供全部或部分货物的； </w:t>
      </w:r>
    </w:p>
    <w:p>
      <w:pPr>
        <w:spacing w:line="360" w:lineRule="auto"/>
        <w:ind w:firstLine="480" w:firstLineChars="200"/>
        <w:rPr>
          <w:rFonts w:hAnsi="宋体"/>
          <w:szCs w:val="21"/>
        </w:rPr>
      </w:pPr>
      <w:r>
        <w:rPr>
          <w:rFonts w:hint="eastAsia" w:hAnsi="宋体"/>
          <w:szCs w:val="21"/>
        </w:rPr>
        <w:t>12.1.2乙</w:t>
      </w:r>
      <w:r>
        <w:rPr>
          <w:rFonts w:hAnsi="宋体"/>
          <w:szCs w:val="21"/>
        </w:rPr>
        <w:t>方未能履行合同规定的其它主要义务的；</w:t>
      </w:r>
    </w:p>
    <w:p>
      <w:pPr>
        <w:spacing w:line="360" w:lineRule="auto"/>
        <w:ind w:firstLine="480" w:firstLineChars="200"/>
        <w:rPr>
          <w:rFonts w:hAnsi="宋体"/>
          <w:szCs w:val="21"/>
        </w:rPr>
      </w:pPr>
      <w:r>
        <w:rPr>
          <w:rFonts w:hint="eastAsia" w:hAnsi="宋体"/>
          <w:szCs w:val="21"/>
        </w:rPr>
        <w:t>12.1.3乙</w:t>
      </w:r>
      <w:r>
        <w:rPr>
          <w:rFonts w:hAnsi="宋体"/>
          <w:szCs w:val="21"/>
        </w:rPr>
        <w:t>方在本合同履行过程中有欺诈行为的。</w:t>
      </w:r>
    </w:p>
    <w:p>
      <w:pPr>
        <w:spacing w:line="360" w:lineRule="auto"/>
        <w:ind w:firstLine="480" w:firstLineChars="200"/>
        <w:rPr>
          <w:rFonts w:hAnsi="宋体"/>
          <w:szCs w:val="21"/>
        </w:rPr>
      </w:pPr>
      <w:r>
        <w:rPr>
          <w:rFonts w:hint="eastAsia" w:hAnsi="宋体"/>
          <w:szCs w:val="21"/>
        </w:rPr>
        <w:t>12.2甲</w:t>
      </w:r>
      <w:r>
        <w:rPr>
          <w:rFonts w:hAnsi="宋体"/>
          <w:szCs w:val="21"/>
        </w:rPr>
        <w:t>方全部或部分解除合同之后，应当遵循诚实信用原则购买与未交付的货物类似的货物或服务，</w:t>
      </w:r>
      <w:r>
        <w:rPr>
          <w:rFonts w:hint="eastAsia" w:hAnsi="宋体"/>
          <w:szCs w:val="21"/>
        </w:rPr>
        <w:t>乙</w:t>
      </w:r>
      <w:r>
        <w:rPr>
          <w:rFonts w:hAnsi="宋体"/>
          <w:szCs w:val="21"/>
        </w:rPr>
        <w:t>方应承担甲方购买类似货物或服务而产生的额外支出。部分解除合同的，</w:t>
      </w:r>
      <w:r>
        <w:rPr>
          <w:rFonts w:hint="eastAsia" w:hAnsi="宋体"/>
          <w:szCs w:val="21"/>
        </w:rPr>
        <w:t>乙</w:t>
      </w:r>
      <w:r>
        <w:rPr>
          <w:rFonts w:hAnsi="宋体"/>
          <w:szCs w:val="21"/>
        </w:rPr>
        <w:t>方应继续履行合同中未解除的部分。</w:t>
      </w:r>
    </w:p>
    <w:p>
      <w:pPr>
        <w:snapToGrid w:val="0"/>
        <w:spacing w:line="440" w:lineRule="exact"/>
        <w:ind w:firstLine="482" w:firstLineChars="200"/>
        <w:rPr>
          <w:rFonts w:hAnsi="宋体"/>
          <w:b/>
          <w:szCs w:val="21"/>
        </w:rPr>
      </w:pPr>
      <w:r>
        <w:rPr>
          <w:rFonts w:hint="eastAsia" w:hAnsi="宋体"/>
          <w:b/>
          <w:szCs w:val="21"/>
        </w:rPr>
        <w:t>13.其它事项</w:t>
      </w:r>
    </w:p>
    <w:p>
      <w:pPr>
        <w:snapToGrid w:val="0"/>
        <w:spacing w:line="440" w:lineRule="exact"/>
        <w:ind w:firstLine="480" w:firstLineChars="200"/>
        <w:rPr>
          <w:rFonts w:hAnsi="宋体"/>
          <w:szCs w:val="21"/>
        </w:rPr>
      </w:pPr>
      <w:r>
        <w:rPr>
          <w:rFonts w:hint="eastAsia" w:hAnsi="宋体"/>
          <w:szCs w:val="21"/>
        </w:rPr>
        <w:t>13.1 合同经双方签字盖章后生效。本合同一式五份，甲方执四份，乙方执一份，执行完毕后自行失效。</w:t>
      </w:r>
    </w:p>
    <w:p>
      <w:pPr>
        <w:spacing w:line="440" w:lineRule="exact"/>
        <w:ind w:firstLine="470" w:firstLineChars="196"/>
        <w:rPr>
          <w:rFonts w:hAnsi="宋体"/>
          <w:szCs w:val="21"/>
        </w:rPr>
      </w:pPr>
      <w:r>
        <w:rPr>
          <w:rFonts w:hint="eastAsia" w:hAnsi="宋体"/>
          <w:szCs w:val="21"/>
        </w:rPr>
        <w:t>13.2 合同的附件、投标文件均作为本合同不可分割的内容，且具有同等法律效力。合同的附件由甲方使用单位负责审核并签章。</w:t>
      </w:r>
    </w:p>
    <w:p>
      <w:pPr>
        <w:snapToGrid w:val="0"/>
        <w:spacing w:line="440" w:lineRule="exact"/>
        <w:ind w:firstLine="480" w:firstLineChars="200"/>
        <w:rPr>
          <w:rFonts w:hAnsi="宋体"/>
          <w:szCs w:val="21"/>
        </w:rPr>
      </w:pPr>
      <w:r>
        <w:rPr>
          <w:rFonts w:hint="eastAsia" w:hAnsi="宋体"/>
          <w:szCs w:val="21"/>
        </w:rPr>
        <w:t>13.3 在本合同执行过程中，甲、乙双方协商签订的补充合同与原合同具有同等法律效力。</w:t>
      </w:r>
    </w:p>
    <w:p>
      <w:pPr>
        <w:snapToGrid w:val="0"/>
        <w:spacing w:line="440" w:lineRule="exact"/>
        <w:ind w:firstLine="480" w:firstLineChars="200"/>
        <w:rPr>
          <w:rFonts w:hAnsi="宋体"/>
          <w:szCs w:val="21"/>
        </w:rPr>
      </w:pPr>
      <w:r>
        <w:rPr>
          <w:rFonts w:hint="eastAsia" w:hAnsi="宋体"/>
          <w:szCs w:val="21"/>
        </w:rPr>
        <w:t>13.4 未尽事宜，双方协商解决。</w:t>
      </w:r>
    </w:p>
    <w:p>
      <w:pPr>
        <w:snapToGrid w:val="0"/>
        <w:spacing w:line="440" w:lineRule="exact"/>
        <w:ind w:firstLine="480" w:firstLineChars="200"/>
        <w:rPr>
          <w:rFonts w:hAnsi="宋体"/>
          <w:szCs w:val="21"/>
        </w:rPr>
      </w:pPr>
    </w:p>
    <w:p>
      <w:pPr>
        <w:pStyle w:val="2"/>
      </w:pPr>
    </w:p>
    <w:p>
      <w:pPr>
        <w:snapToGrid w:val="0"/>
        <w:spacing w:line="480" w:lineRule="exact"/>
        <w:rPr>
          <w:rFonts w:hAnsi="宋体"/>
          <w:b/>
          <w:szCs w:val="21"/>
        </w:rPr>
      </w:pPr>
      <w:r>
        <w:rPr>
          <w:rFonts w:hint="eastAsia" w:hAnsi="宋体"/>
          <w:b/>
          <w:szCs w:val="21"/>
        </w:rPr>
        <w:t>合同签订地点：西安建筑科技大学</w:t>
      </w:r>
    </w:p>
    <w:p>
      <w:pPr>
        <w:snapToGrid w:val="0"/>
        <w:spacing w:line="480" w:lineRule="exact"/>
        <w:rPr>
          <w:rFonts w:hAnsi="宋体"/>
          <w:b/>
          <w:szCs w:val="21"/>
        </w:rPr>
      </w:pPr>
      <w:r>
        <w:rPr>
          <w:rFonts w:hint="eastAsia" w:hAnsi="宋体"/>
          <w:b/>
          <w:szCs w:val="21"/>
        </w:rPr>
        <w:t>合同签订时间：      年    月    日</w:t>
      </w:r>
    </w:p>
    <w:p>
      <w:pPr>
        <w:snapToGrid w:val="0"/>
        <w:spacing w:line="480" w:lineRule="exact"/>
        <w:rPr>
          <w:rFonts w:hAnsi="宋体"/>
          <w:b/>
          <w:szCs w:val="21"/>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7"/>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7" w:type="dxa"/>
            <w:vAlign w:val="center"/>
          </w:tcPr>
          <w:p>
            <w:pPr>
              <w:rPr>
                <w:rFonts w:hAnsi="宋体"/>
                <w:b/>
                <w:szCs w:val="21"/>
              </w:rPr>
            </w:pPr>
            <w:r>
              <w:rPr>
                <w:rFonts w:hint="eastAsia" w:hAnsi="宋体"/>
                <w:b/>
                <w:szCs w:val="21"/>
              </w:rPr>
              <w:t>甲  方（盖章）：西安建筑科技大学</w:t>
            </w:r>
          </w:p>
        </w:tc>
        <w:tc>
          <w:tcPr>
            <w:tcW w:w="4503" w:type="dxa"/>
            <w:vAlign w:val="center"/>
          </w:tcPr>
          <w:p>
            <w:pPr>
              <w:rPr>
                <w:rFonts w:hAnsi="宋体"/>
                <w:szCs w:val="21"/>
              </w:rPr>
            </w:pPr>
            <w:r>
              <w:rPr>
                <w:rFonts w:hint="eastAsia" w:hAnsi="宋体"/>
                <w:b/>
                <w:szCs w:val="21"/>
              </w:rPr>
              <w:t>乙  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7" w:type="dxa"/>
            <w:vAlign w:val="center"/>
          </w:tcPr>
          <w:p>
            <w:pPr>
              <w:rPr>
                <w:rFonts w:hAnsi="宋体"/>
                <w:szCs w:val="21"/>
              </w:rPr>
            </w:pPr>
            <w:r>
              <w:rPr>
                <w:rFonts w:hint="eastAsia" w:hAnsi="宋体"/>
                <w:b/>
                <w:szCs w:val="21"/>
              </w:rPr>
              <w:t>地  址：西安市雁塔路13号</w:t>
            </w:r>
          </w:p>
        </w:tc>
        <w:tc>
          <w:tcPr>
            <w:tcW w:w="4503" w:type="dxa"/>
            <w:vAlign w:val="center"/>
          </w:tcPr>
          <w:p>
            <w:pPr>
              <w:rPr>
                <w:rFonts w:hAnsi="宋体"/>
                <w:szCs w:val="21"/>
              </w:rPr>
            </w:pPr>
            <w:r>
              <w:rPr>
                <w:rFonts w:hint="eastAsia" w:hAnsi="宋体"/>
                <w:b/>
                <w:szCs w:val="21"/>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7" w:type="dxa"/>
            <w:vAlign w:val="center"/>
          </w:tcPr>
          <w:p>
            <w:pPr>
              <w:rPr>
                <w:rFonts w:hAnsi="宋体"/>
                <w:szCs w:val="21"/>
              </w:rPr>
            </w:pPr>
            <w:r>
              <w:rPr>
                <w:rFonts w:hint="eastAsia" w:hAnsi="宋体"/>
                <w:b/>
                <w:szCs w:val="21"/>
              </w:rPr>
              <w:t>法定代表人（签字）：</w:t>
            </w:r>
          </w:p>
        </w:tc>
        <w:tc>
          <w:tcPr>
            <w:tcW w:w="4503" w:type="dxa"/>
            <w:vAlign w:val="center"/>
          </w:tcPr>
          <w:p>
            <w:pPr>
              <w:rPr>
                <w:rFonts w:hAnsi="宋体"/>
                <w:szCs w:val="21"/>
              </w:rPr>
            </w:pPr>
            <w:r>
              <w:rPr>
                <w:rFonts w:hint="eastAsia" w:hAnsi="宋体"/>
                <w:b/>
                <w:szCs w:val="21"/>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7" w:type="dxa"/>
            <w:vAlign w:val="center"/>
          </w:tcPr>
          <w:p>
            <w:pPr>
              <w:rPr>
                <w:rFonts w:hAnsi="宋体"/>
                <w:szCs w:val="21"/>
              </w:rPr>
            </w:pPr>
            <w:r>
              <w:rPr>
                <w:rFonts w:hint="eastAsia" w:hAnsi="宋体"/>
                <w:b/>
                <w:szCs w:val="21"/>
              </w:rPr>
              <w:t>委托代理人（签字）：</w:t>
            </w:r>
          </w:p>
        </w:tc>
        <w:tc>
          <w:tcPr>
            <w:tcW w:w="4503" w:type="dxa"/>
            <w:vAlign w:val="center"/>
          </w:tcPr>
          <w:p>
            <w:pPr>
              <w:rPr>
                <w:rFonts w:hAnsi="宋体"/>
                <w:szCs w:val="21"/>
              </w:rPr>
            </w:pPr>
            <w:r>
              <w:rPr>
                <w:rFonts w:hint="eastAsia" w:hAnsi="宋体"/>
                <w:b/>
                <w:szCs w:val="21"/>
              </w:rPr>
              <w:t>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7" w:type="dxa"/>
            <w:vAlign w:val="center"/>
          </w:tcPr>
          <w:p>
            <w:pPr>
              <w:rPr>
                <w:rFonts w:hAnsi="宋体"/>
                <w:szCs w:val="21"/>
              </w:rPr>
            </w:pPr>
            <w:r>
              <w:rPr>
                <w:rFonts w:hint="eastAsia" w:hAnsi="宋体"/>
                <w:b/>
                <w:szCs w:val="21"/>
              </w:rPr>
              <w:t>开户名：西安建筑科技大学</w:t>
            </w:r>
          </w:p>
        </w:tc>
        <w:tc>
          <w:tcPr>
            <w:tcW w:w="4503" w:type="dxa"/>
            <w:vAlign w:val="center"/>
          </w:tcPr>
          <w:p>
            <w:pPr>
              <w:rPr>
                <w:rFonts w:hAnsi="宋体"/>
                <w:szCs w:val="21"/>
              </w:rPr>
            </w:pPr>
            <w:r>
              <w:rPr>
                <w:rFonts w:hint="eastAsia" w:hAnsi="宋体"/>
                <w:b/>
                <w:szCs w:val="21"/>
              </w:rPr>
              <w:t>开户名：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7" w:type="dxa"/>
            <w:vAlign w:val="center"/>
          </w:tcPr>
          <w:p>
            <w:pPr>
              <w:rPr>
                <w:rFonts w:hAnsi="宋体"/>
                <w:b/>
                <w:szCs w:val="21"/>
              </w:rPr>
            </w:pPr>
            <w:r>
              <w:rPr>
                <w:rFonts w:hint="eastAsia" w:hAnsi="宋体"/>
                <w:b/>
                <w:szCs w:val="21"/>
              </w:rPr>
              <w:t>开户行：工行雁塔路支行</w:t>
            </w:r>
          </w:p>
          <w:p>
            <w:pPr>
              <w:rPr>
                <w:rFonts w:hAnsi="宋体"/>
                <w:szCs w:val="21"/>
              </w:rPr>
            </w:pPr>
            <w:r>
              <w:rPr>
                <w:rFonts w:hint="eastAsia" w:hAnsi="宋体"/>
                <w:b/>
                <w:szCs w:val="21"/>
              </w:rPr>
              <w:t>税  号: 1261000043523106XB</w:t>
            </w:r>
          </w:p>
        </w:tc>
        <w:tc>
          <w:tcPr>
            <w:tcW w:w="4503" w:type="dxa"/>
            <w:vAlign w:val="center"/>
          </w:tcPr>
          <w:p>
            <w:pPr>
              <w:rPr>
                <w:rFonts w:hAnsi="宋体"/>
                <w:szCs w:val="21"/>
              </w:rPr>
            </w:pPr>
            <w:r>
              <w:rPr>
                <w:rFonts w:hint="eastAsia" w:hAnsi="宋体"/>
                <w:b/>
                <w:szCs w:val="21"/>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7" w:type="dxa"/>
            <w:vAlign w:val="center"/>
          </w:tcPr>
          <w:p>
            <w:pPr>
              <w:rPr>
                <w:rFonts w:hAnsi="宋体"/>
                <w:szCs w:val="21"/>
              </w:rPr>
            </w:pPr>
            <w:r>
              <w:rPr>
                <w:rFonts w:hint="eastAsia" w:hAnsi="宋体"/>
                <w:b/>
                <w:szCs w:val="21"/>
              </w:rPr>
              <w:t>帐  号：3700023009026400639</w:t>
            </w:r>
          </w:p>
        </w:tc>
        <w:tc>
          <w:tcPr>
            <w:tcW w:w="4503" w:type="dxa"/>
            <w:vAlign w:val="center"/>
          </w:tcPr>
          <w:p>
            <w:pPr>
              <w:rPr>
                <w:rFonts w:hAnsi="宋体"/>
                <w:szCs w:val="21"/>
              </w:rPr>
            </w:pPr>
            <w:r>
              <w:rPr>
                <w:rFonts w:hint="eastAsia" w:hAnsi="宋体"/>
                <w:b/>
                <w:szCs w:val="21"/>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7" w:type="dxa"/>
            <w:vAlign w:val="center"/>
          </w:tcPr>
          <w:p>
            <w:pPr>
              <w:rPr>
                <w:rFonts w:hAnsi="宋体"/>
                <w:szCs w:val="21"/>
              </w:rPr>
            </w:pPr>
            <w:r>
              <w:rPr>
                <w:rFonts w:hint="eastAsia" w:hAnsi="宋体"/>
                <w:b/>
                <w:szCs w:val="21"/>
              </w:rPr>
              <w:t>联系人：</w:t>
            </w:r>
          </w:p>
        </w:tc>
        <w:tc>
          <w:tcPr>
            <w:tcW w:w="4503" w:type="dxa"/>
            <w:vAlign w:val="center"/>
          </w:tcPr>
          <w:p>
            <w:pPr>
              <w:rPr>
                <w:rFonts w:hAnsi="宋体"/>
                <w:szCs w:val="21"/>
              </w:rPr>
            </w:pPr>
            <w:r>
              <w:rPr>
                <w:rFonts w:hint="eastAsia" w:hAnsi="宋体"/>
                <w:b/>
                <w:szCs w:val="21"/>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7" w:type="dxa"/>
            <w:vAlign w:val="center"/>
          </w:tcPr>
          <w:p>
            <w:pPr>
              <w:rPr>
                <w:rFonts w:hAnsi="宋体"/>
                <w:szCs w:val="21"/>
              </w:rPr>
            </w:pPr>
            <w:r>
              <w:rPr>
                <w:rFonts w:hint="eastAsia" w:hAnsi="宋体"/>
                <w:b/>
                <w:szCs w:val="21"/>
              </w:rPr>
              <w:t>联系电话：</w:t>
            </w:r>
          </w:p>
        </w:tc>
        <w:tc>
          <w:tcPr>
            <w:tcW w:w="4503" w:type="dxa"/>
            <w:vAlign w:val="center"/>
          </w:tcPr>
          <w:p>
            <w:pPr>
              <w:rPr>
                <w:rFonts w:hAnsi="宋体"/>
                <w:szCs w:val="21"/>
              </w:rPr>
            </w:pPr>
            <w:r>
              <w:rPr>
                <w:rFonts w:hint="eastAsia" w:hAnsi="宋体"/>
                <w:b/>
                <w:szCs w:val="21"/>
              </w:rPr>
              <w:t>联系电话：</w:t>
            </w:r>
          </w:p>
        </w:tc>
      </w:tr>
    </w:tbl>
    <w:p>
      <w:pPr>
        <w:rPr>
          <w:b/>
          <w:sz w:val="32"/>
          <w:szCs w:val="32"/>
        </w:rPr>
      </w:pPr>
      <w:r>
        <w:rPr>
          <w:b/>
          <w:sz w:val="32"/>
          <w:szCs w:val="32"/>
        </w:rPr>
        <w:br w:type="page"/>
      </w:r>
      <w:r>
        <w:rPr>
          <w:rFonts w:hint="eastAsia"/>
          <w:b/>
          <w:sz w:val="32"/>
          <w:szCs w:val="32"/>
        </w:rPr>
        <w:t>附件：技术协议</w:t>
      </w:r>
    </w:p>
    <w:p>
      <w:pPr>
        <w:spacing w:line="440" w:lineRule="exact"/>
        <w:rPr>
          <w:rFonts w:hAnsi="宋体"/>
          <w:b/>
          <w:sz w:val="30"/>
          <w:szCs w:val="30"/>
        </w:rPr>
      </w:pPr>
      <w:bookmarkStart w:id="240" w:name="_Toc390360542"/>
      <w:bookmarkStart w:id="241" w:name="_Toc390373038"/>
      <w:r>
        <w:rPr>
          <w:rFonts w:hint="eastAsia"/>
          <w:b/>
          <w:sz w:val="32"/>
          <w:szCs w:val="32"/>
        </w:rPr>
        <w:t>1.</w:t>
      </w:r>
      <w:r>
        <w:rPr>
          <w:rFonts w:hint="eastAsia" w:hAnsi="宋体"/>
          <w:b/>
          <w:sz w:val="30"/>
          <w:szCs w:val="30"/>
        </w:rPr>
        <w:t>中标产品技术参数明细</w:t>
      </w:r>
    </w:p>
    <w:p>
      <w:pPr>
        <w:spacing w:line="440" w:lineRule="exact"/>
        <w:rPr>
          <w:b/>
          <w:sz w:val="32"/>
          <w:szCs w:val="32"/>
        </w:rPr>
      </w:pPr>
      <w:r>
        <w:rPr>
          <w:rFonts w:hint="eastAsia" w:hAnsi="宋体" w:cs="宋体"/>
          <w:szCs w:val="21"/>
        </w:rPr>
        <w:t>我公司承诺：合同中数列产品均满足标书及使用要求，无任何负偏离。并与所供产品完全一致。</w:t>
      </w:r>
    </w:p>
    <w:bookmarkEnd w:id="240"/>
    <w:bookmarkEnd w:id="241"/>
    <w:p>
      <w:pPr>
        <w:spacing w:line="440" w:lineRule="exact"/>
        <w:rPr>
          <w:rStyle w:val="35"/>
          <w:rFonts w:hAnsi="宋体"/>
          <w:szCs w:val="21"/>
        </w:rPr>
      </w:pPr>
      <w:r>
        <w:rPr>
          <w:rStyle w:val="35"/>
          <w:rFonts w:hint="eastAsia" w:hAnsi="宋体"/>
          <w:szCs w:val="21"/>
        </w:rPr>
        <w:t>1.1设备特性</w:t>
      </w:r>
    </w:p>
    <w:p>
      <w:pPr>
        <w:spacing w:line="440" w:lineRule="exact"/>
        <w:rPr>
          <w:rStyle w:val="35"/>
          <w:rFonts w:hAnsi="宋体"/>
          <w:szCs w:val="21"/>
        </w:rPr>
      </w:pPr>
      <w:r>
        <w:rPr>
          <w:rStyle w:val="35"/>
          <w:rFonts w:hint="eastAsia" w:hAnsi="宋体"/>
          <w:szCs w:val="21"/>
        </w:rPr>
        <w:t>1.2</w:t>
      </w:r>
      <w:r>
        <w:rPr>
          <w:rFonts w:hint="eastAsia" w:hAnsi="宋体"/>
          <w:b/>
          <w:szCs w:val="21"/>
        </w:rPr>
        <w:t>设备用途</w:t>
      </w:r>
    </w:p>
    <w:p>
      <w:pPr>
        <w:spacing w:line="440" w:lineRule="exact"/>
        <w:rPr>
          <w:rFonts w:hAnsi="宋体"/>
          <w:b/>
          <w:szCs w:val="21"/>
        </w:rPr>
      </w:pPr>
      <w:r>
        <w:rPr>
          <w:rFonts w:hint="eastAsia" w:hAnsi="宋体"/>
          <w:b/>
          <w:szCs w:val="21"/>
        </w:rPr>
        <w:t>1.3设备主要参数指标</w:t>
      </w:r>
    </w:p>
    <w:p>
      <w:pPr>
        <w:spacing w:line="440" w:lineRule="exact"/>
        <w:rPr>
          <w:rFonts w:hAnsi="宋体"/>
          <w:b/>
          <w:szCs w:val="21"/>
        </w:rPr>
      </w:pPr>
      <w:r>
        <w:rPr>
          <w:rFonts w:hint="eastAsia" w:hAnsi="宋体"/>
          <w:b/>
          <w:szCs w:val="21"/>
        </w:rPr>
        <w:t>1.4质量要求与安全要求</w:t>
      </w:r>
    </w:p>
    <w:p>
      <w:pPr>
        <w:spacing w:line="440" w:lineRule="exact"/>
        <w:rPr>
          <w:b/>
          <w:szCs w:val="21"/>
        </w:rPr>
      </w:pPr>
      <w:r>
        <w:rPr>
          <w:rFonts w:hint="eastAsia" w:hAnsi="宋体"/>
          <w:b/>
          <w:szCs w:val="21"/>
        </w:rPr>
        <w:t>1.5设备运行一般流程图</w:t>
      </w:r>
    </w:p>
    <w:p>
      <w:pPr>
        <w:spacing w:line="440" w:lineRule="exact"/>
        <w:rPr>
          <w:rStyle w:val="35"/>
          <w:rFonts w:hAnsi="宋体"/>
          <w:bCs/>
          <w:szCs w:val="21"/>
        </w:rPr>
      </w:pPr>
    </w:p>
    <w:p>
      <w:pPr>
        <w:spacing w:line="440" w:lineRule="exact"/>
        <w:rPr>
          <w:rFonts w:hAnsi="宋体"/>
          <w:b/>
          <w:sz w:val="30"/>
          <w:szCs w:val="30"/>
        </w:rPr>
      </w:pPr>
      <w:r>
        <w:rPr>
          <w:rFonts w:hint="eastAsia" w:hAnsi="宋体"/>
          <w:b/>
          <w:sz w:val="30"/>
          <w:szCs w:val="30"/>
        </w:rPr>
        <w:t>2.售后服务内容</w:t>
      </w:r>
      <w:bookmarkStart w:id="242" w:name="_Toc390373053"/>
      <w:bookmarkStart w:id="243" w:name="_Toc373263358"/>
      <w:bookmarkStart w:id="244" w:name="_Toc390360557"/>
    </w:p>
    <w:bookmarkEnd w:id="242"/>
    <w:bookmarkEnd w:id="243"/>
    <w:bookmarkEnd w:id="244"/>
    <w:p>
      <w:pPr>
        <w:spacing w:line="440" w:lineRule="exact"/>
        <w:rPr>
          <w:rFonts w:hAnsi="宋体"/>
          <w:b/>
          <w:szCs w:val="21"/>
        </w:rPr>
      </w:pPr>
      <w:bookmarkStart w:id="245" w:name="_Toc390373054"/>
      <w:bookmarkStart w:id="246" w:name="_Toc373263359"/>
      <w:bookmarkStart w:id="247" w:name="_Toc390360558"/>
      <w:r>
        <w:rPr>
          <w:rFonts w:hint="eastAsia" w:hAnsi="宋体"/>
          <w:b/>
          <w:szCs w:val="21"/>
        </w:rPr>
        <w:t>2.1技术服务、售后服务体系、故障响应时间、应急维修措施</w:t>
      </w:r>
      <w:bookmarkEnd w:id="245"/>
      <w:bookmarkEnd w:id="246"/>
      <w:bookmarkEnd w:id="247"/>
    </w:p>
    <w:p>
      <w:pPr>
        <w:spacing w:line="440" w:lineRule="exact"/>
        <w:ind w:right="240" w:rightChars="100" w:firstLine="480" w:firstLineChars="200"/>
        <w:outlineLvl w:val="3"/>
        <w:rPr>
          <w:rFonts w:hAnsi="宋体"/>
          <w:szCs w:val="21"/>
        </w:rPr>
      </w:pPr>
      <w:r>
        <w:rPr>
          <w:rFonts w:hint="eastAsia" w:hAnsi="宋体"/>
          <w:szCs w:val="21"/>
        </w:rPr>
        <w:t>2.1.1技术服务措施</w:t>
      </w:r>
    </w:p>
    <w:p>
      <w:pPr>
        <w:spacing w:line="440" w:lineRule="exact"/>
        <w:ind w:right="240" w:rightChars="100" w:firstLine="480" w:firstLineChars="200"/>
        <w:outlineLvl w:val="3"/>
        <w:rPr>
          <w:rFonts w:hAnsi="宋体"/>
          <w:szCs w:val="21"/>
        </w:rPr>
      </w:pPr>
      <w:r>
        <w:rPr>
          <w:rFonts w:hint="eastAsia" w:hAnsi="宋体"/>
          <w:szCs w:val="21"/>
        </w:rPr>
        <w:t>2.1.2售后服务体系</w:t>
      </w:r>
    </w:p>
    <w:p>
      <w:pPr>
        <w:spacing w:line="440" w:lineRule="exact"/>
        <w:ind w:firstLine="480" w:firstLineChars="200"/>
        <w:jc w:val="left"/>
        <w:outlineLvl w:val="0"/>
        <w:rPr>
          <w:rFonts w:hAnsi="宋体"/>
          <w:szCs w:val="21"/>
        </w:rPr>
      </w:pPr>
      <w:r>
        <w:rPr>
          <w:rFonts w:hint="eastAsia" w:hAnsi="宋体"/>
          <w:szCs w:val="21"/>
        </w:rPr>
        <w:t>质保期内服务</w:t>
      </w:r>
    </w:p>
    <w:p>
      <w:pPr>
        <w:spacing w:line="440" w:lineRule="exact"/>
        <w:ind w:firstLine="480" w:firstLineChars="200"/>
        <w:jc w:val="left"/>
        <w:outlineLvl w:val="0"/>
        <w:rPr>
          <w:rFonts w:hAnsi="宋体"/>
          <w:szCs w:val="21"/>
        </w:rPr>
      </w:pPr>
      <w:r>
        <w:rPr>
          <w:rFonts w:hint="eastAsia" w:hAnsi="宋体"/>
          <w:szCs w:val="21"/>
        </w:rPr>
        <w:t>质保期外服务</w:t>
      </w:r>
    </w:p>
    <w:p>
      <w:pPr>
        <w:spacing w:line="440" w:lineRule="exact"/>
        <w:ind w:right="240" w:rightChars="100" w:firstLine="480" w:firstLineChars="200"/>
        <w:outlineLvl w:val="3"/>
        <w:rPr>
          <w:rFonts w:hAnsi="宋体"/>
          <w:szCs w:val="21"/>
        </w:rPr>
      </w:pPr>
      <w:r>
        <w:rPr>
          <w:rFonts w:hint="eastAsia" w:hAnsi="宋体"/>
          <w:szCs w:val="21"/>
        </w:rPr>
        <w:t>2.1.3故障响应时间</w:t>
      </w:r>
    </w:p>
    <w:p>
      <w:pPr>
        <w:spacing w:line="440" w:lineRule="exact"/>
        <w:ind w:right="240" w:rightChars="100" w:firstLine="480" w:firstLineChars="200"/>
        <w:outlineLvl w:val="3"/>
        <w:rPr>
          <w:rFonts w:hAnsi="宋体"/>
          <w:szCs w:val="21"/>
        </w:rPr>
      </w:pPr>
      <w:r>
        <w:rPr>
          <w:rFonts w:hint="eastAsia" w:hAnsi="宋体"/>
          <w:szCs w:val="21"/>
        </w:rPr>
        <w:t>2.1.4应急维修措施</w:t>
      </w:r>
      <w:bookmarkStart w:id="248" w:name="_Toc390373055"/>
      <w:bookmarkStart w:id="249" w:name="_Toc373263360"/>
      <w:bookmarkStart w:id="250" w:name="_Toc390360559"/>
    </w:p>
    <w:p>
      <w:pPr>
        <w:spacing w:line="440" w:lineRule="exact"/>
        <w:ind w:right="240" w:rightChars="100" w:firstLine="480" w:firstLineChars="200"/>
        <w:outlineLvl w:val="3"/>
        <w:rPr>
          <w:rFonts w:hAnsi="宋体"/>
          <w:szCs w:val="21"/>
        </w:rPr>
      </w:pPr>
      <w:r>
        <w:rPr>
          <w:rFonts w:hint="eastAsia" w:hAnsi="宋体"/>
          <w:szCs w:val="21"/>
        </w:rPr>
        <w:t>2.1.5易损件、备件的供应</w:t>
      </w:r>
    </w:p>
    <w:p>
      <w:pPr>
        <w:spacing w:line="440" w:lineRule="exact"/>
        <w:ind w:right="240" w:rightChars="100" w:firstLine="480" w:firstLineChars="200"/>
        <w:outlineLvl w:val="3"/>
        <w:rPr>
          <w:rFonts w:hAnsi="宋体"/>
          <w:szCs w:val="21"/>
        </w:rPr>
      </w:pPr>
      <w:r>
        <w:rPr>
          <w:rFonts w:hint="eastAsia" w:hAnsi="宋体"/>
          <w:szCs w:val="21"/>
        </w:rPr>
        <w:t>2.1.6质保期以外技术支持或技术服务</w:t>
      </w:r>
    </w:p>
    <w:p>
      <w:pPr>
        <w:spacing w:line="440" w:lineRule="exact"/>
        <w:ind w:right="240" w:rightChars="100" w:firstLine="480" w:firstLineChars="200"/>
        <w:outlineLvl w:val="3"/>
        <w:rPr>
          <w:rFonts w:hAnsi="宋体"/>
          <w:szCs w:val="21"/>
        </w:rPr>
      </w:pPr>
      <w:r>
        <w:rPr>
          <w:rFonts w:hint="eastAsia" w:hAnsi="宋体"/>
          <w:szCs w:val="21"/>
        </w:rPr>
        <w:t>2.1.7制定切实可行的操作规程和使用指南</w:t>
      </w:r>
    </w:p>
    <w:p>
      <w:pPr>
        <w:spacing w:line="440" w:lineRule="exact"/>
        <w:ind w:right="240" w:rightChars="100" w:firstLine="480" w:firstLineChars="200"/>
        <w:outlineLvl w:val="3"/>
        <w:rPr>
          <w:rFonts w:hAnsi="宋体"/>
          <w:szCs w:val="21"/>
        </w:rPr>
      </w:pPr>
    </w:p>
    <w:p>
      <w:pPr>
        <w:spacing w:line="440" w:lineRule="exact"/>
        <w:rPr>
          <w:rFonts w:hAnsi="宋体"/>
          <w:b/>
          <w:sz w:val="30"/>
          <w:szCs w:val="30"/>
        </w:rPr>
      </w:pPr>
      <w:r>
        <w:rPr>
          <w:rFonts w:hint="eastAsia" w:hAnsi="宋体"/>
          <w:b/>
          <w:sz w:val="30"/>
          <w:szCs w:val="30"/>
        </w:rPr>
        <w:t>3.培训服务内容</w:t>
      </w:r>
    </w:p>
    <w:p>
      <w:pPr>
        <w:spacing w:line="440" w:lineRule="exact"/>
        <w:ind w:right="240" w:rightChars="100"/>
        <w:outlineLvl w:val="3"/>
        <w:rPr>
          <w:rFonts w:hAnsi="宋体"/>
          <w:b/>
          <w:szCs w:val="21"/>
        </w:rPr>
      </w:pPr>
      <w:r>
        <w:rPr>
          <w:rFonts w:hint="eastAsia" w:hAnsi="宋体"/>
          <w:b/>
          <w:szCs w:val="21"/>
        </w:rPr>
        <w:t>3.1培训方案</w:t>
      </w:r>
    </w:p>
    <w:p>
      <w:pPr>
        <w:spacing w:line="440" w:lineRule="exact"/>
        <w:ind w:firstLine="480" w:firstLineChars="200"/>
        <w:rPr>
          <w:rFonts w:hAnsi="宋体"/>
          <w:szCs w:val="21"/>
        </w:rPr>
      </w:pPr>
      <w:r>
        <w:rPr>
          <w:rFonts w:hint="eastAsia" w:hAnsi="宋体"/>
          <w:szCs w:val="21"/>
        </w:rPr>
        <w:t>培训目标和要求</w:t>
      </w:r>
    </w:p>
    <w:p>
      <w:pPr>
        <w:spacing w:line="440" w:lineRule="exact"/>
        <w:jc w:val="left"/>
        <w:rPr>
          <w:rFonts w:hAnsi="宋体"/>
          <w:b/>
          <w:szCs w:val="21"/>
        </w:rPr>
      </w:pPr>
      <w:r>
        <w:rPr>
          <w:rFonts w:hint="eastAsia" w:hAnsi="宋体"/>
          <w:b/>
          <w:szCs w:val="21"/>
        </w:rPr>
        <w:t>3.2培训对象</w:t>
      </w:r>
    </w:p>
    <w:p>
      <w:pPr>
        <w:spacing w:line="440" w:lineRule="exact"/>
        <w:rPr>
          <w:rFonts w:hAnsi="宋体"/>
          <w:b/>
          <w:szCs w:val="21"/>
        </w:rPr>
      </w:pPr>
      <w:r>
        <w:rPr>
          <w:rFonts w:hint="eastAsia" w:hAnsi="宋体"/>
          <w:b/>
          <w:szCs w:val="21"/>
        </w:rPr>
        <w:t>3.3培训方式</w:t>
      </w:r>
    </w:p>
    <w:p>
      <w:pPr>
        <w:spacing w:line="440" w:lineRule="exact"/>
        <w:ind w:firstLine="480" w:firstLineChars="200"/>
        <w:rPr>
          <w:rFonts w:hAnsi="宋体"/>
          <w:szCs w:val="21"/>
        </w:rPr>
      </w:pPr>
      <w:r>
        <w:rPr>
          <w:rFonts w:hint="eastAsia" w:hAnsi="宋体"/>
          <w:szCs w:val="21"/>
        </w:rPr>
        <w:t>3.3.1系统使用培训：</w:t>
      </w:r>
    </w:p>
    <w:p>
      <w:pPr>
        <w:spacing w:line="440" w:lineRule="exact"/>
        <w:ind w:firstLine="480" w:firstLineChars="200"/>
        <w:rPr>
          <w:rFonts w:hAnsi="宋体"/>
          <w:bCs/>
          <w:szCs w:val="21"/>
        </w:rPr>
      </w:pPr>
      <w:r>
        <w:rPr>
          <w:rFonts w:hint="eastAsia" w:hAnsi="宋体"/>
          <w:bCs/>
          <w:szCs w:val="21"/>
        </w:rPr>
        <w:t>3.3.2培训课程及培训人数：</w:t>
      </w:r>
    </w:p>
    <w:p>
      <w:pPr>
        <w:spacing w:line="440" w:lineRule="exact"/>
        <w:ind w:firstLine="480" w:firstLineChars="200"/>
        <w:rPr>
          <w:rFonts w:hAnsi="宋体"/>
          <w:szCs w:val="21"/>
        </w:rPr>
      </w:pPr>
      <w:r>
        <w:rPr>
          <w:rFonts w:hint="eastAsia" w:hAnsi="宋体"/>
          <w:szCs w:val="21"/>
        </w:rPr>
        <w:t>3.3.3培训教师安排</w:t>
      </w:r>
    </w:p>
    <w:p>
      <w:pPr>
        <w:spacing w:line="440" w:lineRule="exact"/>
        <w:ind w:firstLine="480" w:firstLineChars="200"/>
        <w:rPr>
          <w:rFonts w:hAnsi="宋体"/>
          <w:szCs w:val="21"/>
        </w:rPr>
      </w:pPr>
      <w:r>
        <w:rPr>
          <w:rFonts w:hint="eastAsia" w:hAnsi="宋体"/>
          <w:szCs w:val="21"/>
        </w:rPr>
        <w:t>3.3.4培训时间安排</w:t>
      </w:r>
    </w:p>
    <w:p>
      <w:pPr>
        <w:spacing w:line="440" w:lineRule="exact"/>
        <w:ind w:firstLine="480" w:firstLineChars="200"/>
        <w:outlineLvl w:val="1"/>
        <w:rPr>
          <w:rFonts w:hAnsi="宋体"/>
          <w:szCs w:val="21"/>
        </w:rPr>
      </w:pPr>
      <w:r>
        <w:rPr>
          <w:rFonts w:hint="eastAsia" w:hAnsi="宋体"/>
          <w:szCs w:val="21"/>
        </w:rPr>
        <w:t>3.3.5培训及安全保证</w:t>
      </w:r>
    </w:p>
    <w:p>
      <w:pPr>
        <w:pStyle w:val="31"/>
        <w:spacing w:after="0" w:line="440" w:lineRule="exact"/>
        <w:ind w:left="0" w:leftChars="0" w:firstLine="480"/>
        <w:rPr>
          <w:snapToGrid w:val="0"/>
          <w:szCs w:val="21"/>
        </w:rPr>
      </w:pPr>
      <w:r>
        <w:rPr>
          <w:rFonts w:hint="eastAsia" w:hAnsi="宋体"/>
          <w:snapToGrid w:val="0"/>
          <w:szCs w:val="21"/>
        </w:rPr>
        <w:t>①</w:t>
      </w:r>
      <w:r>
        <w:rPr>
          <w:rFonts w:hint="eastAsia"/>
          <w:snapToGrid w:val="0"/>
          <w:szCs w:val="21"/>
        </w:rPr>
        <w:t>为使操作人员尽快消化设备的技术特点、掌握操作方法，乙方应制订完善的培训计划，安排经验丰富技术人员，在设备安装的后期进行操作人员的培训。培训形式主要为现场培训。通过培训，使受训人员能对设备全面了解，掌握日常控制过程，有能力处理一般故障和进行日常维护，提高设备的使用质量，并消除设备因使用或操作不当而引起的故障，减少突发故障的发生，从而保证设备长期稳定的运行。</w:t>
      </w:r>
    </w:p>
    <w:p>
      <w:pPr>
        <w:spacing w:line="440" w:lineRule="exact"/>
        <w:ind w:firstLine="480" w:firstLineChars="200"/>
        <w:rPr>
          <w:szCs w:val="21"/>
        </w:rPr>
      </w:pPr>
      <w:r>
        <w:rPr>
          <w:rFonts w:hint="eastAsia" w:hAnsi="宋体"/>
          <w:szCs w:val="21"/>
        </w:rPr>
        <w:t>②</w:t>
      </w:r>
      <w:r>
        <w:rPr>
          <w:rFonts w:hint="eastAsia"/>
          <w:szCs w:val="21"/>
        </w:rPr>
        <w:t>设备本体对可能造成伤害的部位均应采用防护板或防护网隔离并有醒目警示。</w:t>
      </w:r>
    </w:p>
    <w:p>
      <w:pPr>
        <w:spacing w:line="440" w:lineRule="exact"/>
        <w:ind w:firstLine="480" w:firstLineChars="200"/>
        <w:rPr>
          <w:szCs w:val="21"/>
        </w:rPr>
      </w:pPr>
      <w:r>
        <w:rPr>
          <w:rFonts w:hint="eastAsia" w:hAnsi="宋体"/>
          <w:szCs w:val="21"/>
        </w:rPr>
        <w:t>③</w:t>
      </w:r>
      <w:r>
        <w:rPr>
          <w:rFonts w:hint="eastAsia"/>
          <w:szCs w:val="21"/>
        </w:rPr>
        <w:t>所用电气元件均按照国标选配，确保稳定安全，符合三防要求。</w:t>
      </w:r>
    </w:p>
    <w:bookmarkEnd w:id="248"/>
    <w:bookmarkEnd w:id="249"/>
    <w:bookmarkEnd w:id="250"/>
    <w:p>
      <w:pPr>
        <w:spacing w:line="440" w:lineRule="exact"/>
        <w:ind w:right="240" w:rightChars="100" w:firstLine="480" w:firstLineChars="200"/>
        <w:outlineLvl w:val="3"/>
        <w:rPr>
          <w:rFonts w:hAnsi="宋体"/>
          <w:szCs w:val="21"/>
        </w:rPr>
      </w:pPr>
    </w:p>
    <w:p>
      <w:pPr>
        <w:spacing w:line="440" w:lineRule="exact"/>
        <w:jc w:val="left"/>
        <w:outlineLvl w:val="0"/>
        <w:rPr>
          <w:rFonts w:hAnsi="宋体"/>
          <w:szCs w:val="21"/>
        </w:rPr>
      </w:pPr>
    </w:p>
    <w:p>
      <w:pPr>
        <w:spacing w:line="440" w:lineRule="exact"/>
        <w:rPr>
          <w:rFonts w:hAnsi="宋体"/>
          <w:b/>
          <w:color w:val="FF0000"/>
          <w:szCs w:val="21"/>
        </w:rPr>
      </w:pPr>
    </w:p>
    <w:p>
      <w:pPr>
        <w:spacing w:line="440" w:lineRule="exact"/>
        <w:rPr>
          <w:rFonts w:hAnsi="宋体"/>
          <w:b/>
          <w:szCs w:val="21"/>
        </w:rPr>
      </w:pPr>
      <w:bookmarkStart w:id="251" w:name="_Toc345966825"/>
      <w:bookmarkStart w:id="252" w:name="_Toc346025578"/>
      <w:bookmarkStart w:id="253" w:name="_Toc345966650"/>
    </w:p>
    <w:p>
      <w:pPr>
        <w:pStyle w:val="46"/>
        <w:numPr>
          <w:ilvl w:val="1"/>
          <w:numId w:val="11"/>
        </w:numPr>
        <w:spacing w:line="440" w:lineRule="exact"/>
        <w:ind w:left="960" w:firstLine="0"/>
        <w:jc w:val="both"/>
        <w:rPr>
          <w:b/>
          <w:vanish/>
          <w:szCs w:val="21"/>
        </w:rPr>
      </w:pPr>
    </w:p>
    <w:p>
      <w:pPr>
        <w:pStyle w:val="46"/>
        <w:numPr>
          <w:ilvl w:val="1"/>
          <w:numId w:val="11"/>
        </w:numPr>
        <w:spacing w:line="440" w:lineRule="exact"/>
        <w:ind w:left="960" w:firstLine="0"/>
        <w:jc w:val="both"/>
        <w:rPr>
          <w:b/>
          <w:vanish/>
          <w:szCs w:val="21"/>
        </w:rPr>
      </w:pPr>
    </w:p>
    <w:p>
      <w:pPr>
        <w:pStyle w:val="46"/>
        <w:numPr>
          <w:ilvl w:val="1"/>
          <w:numId w:val="11"/>
        </w:numPr>
        <w:spacing w:line="440" w:lineRule="exact"/>
        <w:ind w:left="960" w:firstLine="0"/>
        <w:jc w:val="both"/>
        <w:rPr>
          <w:b/>
          <w:vanish/>
          <w:szCs w:val="21"/>
        </w:rPr>
      </w:pPr>
    </w:p>
    <w:p>
      <w:pPr>
        <w:pStyle w:val="46"/>
        <w:numPr>
          <w:ilvl w:val="1"/>
          <w:numId w:val="11"/>
        </w:numPr>
        <w:spacing w:line="440" w:lineRule="exact"/>
        <w:ind w:left="960" w:firstLine="0"/>
        <w:jc w:val="both"/>
        <w:rPr>
          <w:b/>
          <w:vanish/>
          <w:szCs w:val="21"/>
        </w:rPr>
      </w:pPr>
    </w:p>
    <w:bookmarkEnd w:id="251"/>
    <w:bookmarkEnd w:id="252"/>
    <w:bookmarkEnd w:id="253"/>
    <w:p>
      <w:pPr>
        <w:spacing w:line="440" w:lineRule="exact"/>
        <w:rPr>
          <w:szCs w:val="21"/>
        </w:rPr>
      </w:pPr>
    </w:p>
    <w:p>
      <w:pPr>
        <w:spacing w:line="440" w:lineRule="exact"/>
        <w:ind w:firstLine="480" w:firstLineChars="200"/>
        <w:rPr>
          <w:rFonts w:hAnsi="宋体"/>
          <w:szCs w:val="21"/>
        </w:rPr>
      </w:pPr>
    </w:p>
    <w:p>
      <w:pPr>
        <w:spacing w:before="100" w:beforeAutospacing="1" w:after="100" w:afterAutospacing="1" w:line="320" w:lineRule="exact"/>
        <w:rPr>
          <w:b/>
        </w:rPr>
      </w:pPr>
      <w:r>
        <w:rPr>
          <w:b/>
        </w:rPr>
        <w:t>甲方使用单位：</w:t>
      </w:r>
      <w:r>
        <w:rPr>
          <w:rFonts w:hint="eastAsia"/>
          <w:b/>
        </w:rPr>
        <w:t>西安建筑科技大学XX学院</w:t>
      </w:r>
      <w:r>
        <w:rPr>
          <w:rFonts w:hint="eastAsia"/>
          <w:b/>
        </w:rPr>
        <w:tab/>
      </w:r>
      <w:r>
        <w:rPr>
          <w:b/>
        </w:rPr>
        <w:t>乙方：</w:t>
      </w:r>
    </w:p>
    <w:p>
      <w:pPr>
        <w:rPr>
          <w:b/>
        </w:rPr>
      </w:pPr>
    </w:p>
    <w:p>
      <w:pPr>
        <w:rPr>
          <w:b/>
        </w:rPr>
      </w:pPr>
      <w:r>
        <w:rPr>
          <w:rFonts w:hint="eastAsia"/>
          <w:b/>
        </w:rPr>
        <w:t>负责人：                                        负责人：</w:t>
      </w:r>
    </w:p>
    <w:p>
      <w:pPr>
        <w:rPr>
          <w:b/>
        </w:rPr>
      </w:pPr>
    </w:p>
    <w:p>
      <w:pPr>
        <w:rPr>
          <w:b/>
        </w:rPr>
      </w:pPr>
    </w:p>
    <w:p>
      <w:pPr>
        <w:rPr>
          <w:b/>
        </w:rPr>
      </w:pPr>
      <w:r>
        <w:rPr>
          <w:rFonts w:hint="eastAsia"/>
          <w:b/>
        </w:rPr>
        <w:t>年    月     日                                  年    月     日</w:t>
      </w:r>
    </w:p>
    <w:p/>
    <w:p>
      <w:pPr>
        <w:kinsoku w:val="0"/>
        <w:spacing w:line="360" w:lineRule="auto"/>
        <w:jc w:val="center"/>
        <w:rPr>
          <w:rFonts w:hAnsi="宋体" w:cs="宋体"/>
          <w:color w:val="auto"/>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Menlo">
    <w:altName w:val="Arial"/>
    <w:panose1 w:val="00000000000000000000"/>
    <w:charset w:val="00"/>
    <w:family w:val="modern"/>
    <w:pitch w:val="default"/>
    <w:sig w:usb0="00000000" w:usb1="00000000" w:usb2="02000028" w:usb3="00000000" w:csb0="000001DF" w:csb1="00000000"/>
  </w:font>
  <w:font w:name="PMingLiU">
    <w:panose1 w:val="02020500000000000000"/>
    <w:charset w:val="88"/>
    <w:family w:val="roman"/>
    <w:pitch w:val="default"/>
    <w:sig w:usb0="A00002FF" w:usb1="28CFFCFA" w:usb2="00000016" w:usb3="00000000" w:csb0="00100001" w:csb1="00000000"/>
  </w:font>
  <w:font w:name="微软雅黑 Light">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3073" o:spid="_x0000_s3073" o:spt="202" type="#_x0000_t202" style="position:absolute;left:0pt;margin-top:0pt;height:11.65pt;width:4.5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35</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3074" o:spid="_x0000_s3074" o:spt="202" type="#_x0000_t202" style="position:absolute;left:0pt;margin-top:0pt;height:11.6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">
          <v:path/>
          <v:fill on="f" focussize="0,0"/>
          <v:stroke on="f" joinstyle="miter"/>
          <v:imagedata o:title=""/>
          <o:lock v:ext="edit"/>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52838"/>
    <w:multiLevelType w:val="singleLevel"/>
    <w:tmpl w:val="D6D52838"/>
    <w:lvl w:ilvl="0" w:tentative="0">
      <w:start w:val="1"/>
      <w:numFmt w:val="decimal"/>
      <w:suff w:val="nothing"/>
      <w:lvlText w:val="%1）"/>
      <w:lvlJc w:val="left"/>
    </w:lvl>
  </w:abstractNum>
  <w:abstractNum w:abstractNumId="1">
    <w:nsid w:val="FA4A79BD"/>
    <w:multiLevelType w:val="singleLevel"/>
    <w:tmpl w:val="FA4A79BD"/>
    <w:lvl w:ilvl="0" w:tentative="0">
      <w:start w:val="30"/>
      <w:numFmt w:val="decimal"/>
      <w:suff w:val="space"/>
      <w:lvlText w:val="%1."/>
      <w:lvlJc w:val="left"/>
    </w:lvl>
  </w:abstractNum>
  <w:abstractNum w:abstractNumId="2">
    <w:nsid w:val="207B445B"/>
    <w:multiLevelType w:val="multilevel"/>
    <w:tmpl w:val="207B445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292E5C46"/>
    <w:multiLevelType w:val="singleLevel"/>
    <w:tmpl w:val="292E5C46"/>
    <w:lvl w:ilvl="0" w:tentative="0">
      <w:start w:val="1"/>
      <w:numFmt w:val="decimal"/>
      <w:suff w:val="nothing"/>
      <w:lvlText w:val="%1）"/>
      <w:lvlJc w:val="left"/>
    </w:lvl>
  </w:abstractNum>
  <w:abstractNum w:abstractNumId="4">
    <w:nsid w:val="53F0996D"/>
    <w:multiLevelType w:val="singleLevel"/>
    <w:tmpl w:val="53F0996D"/>
    <w:lvl w:ilvl="0" w:tentative="0">
      <w:start w:val="1"/>
      <w:numFmt w:val="chineseCounting"/>
      <w:suff w:val="nothing"/>
      <w:lvlText w:val="（%1）"/>
      <w:lvlJc w:val="left"/>
    </w:lvl>
  </w:abstractNum>
  <w:abstractNum w:abstractNumId="5">
    <w:nsid w:val="59C07086"/>
    <w:multiLevelType w:val="singleLevel"/>
    <w:tmpl w:val="59C07086"/>
    <w:lvl w:ilvl="0" w:tentative="0">
      <w:start w:val="1"/>
      <w:numFmt w:val="decimal"/>
      <w:suff w:val="nothing"/>
      <w:lvlText w:val="%1、"/>
      <w:lvlJc w:val="left"/>
    </w:lvl>
  </w:abstractNum>
  <w:abstractNum w:abstractNumId="6">
    <w:nsid w:val="59DAE5C0"/>
    <w:multiLevelType w:val="singleLevel"/>
    <w:tmpl w:val="59DAE5C0"/>
    <w:lvl w:ilvl="0" w:tentative="0">
      <w:start w:val="3"/>
      <w:numFmt w:val="chineseCounting"/>
      <w:suff w:val="nothing"/>
      <w:lvlText w:val="%1、"/>
      <w:lvlJc w:val="left"/>
    </w:lvl>
  </w:abstractNum>
  <w:abstractNum w:abstractNumId="7">
    <w:nsid w:val="59DB328A"/>
    <w:multiLevelType w:val="singleLevel"/>
    <w:tmpl w:val="59DB328A"/>
    <w:lvl w:ilvl="0" w:tentative="0">
      <w:start w:val="1"/>
      <w:numFmt w:val="decimal"/>
      <w:suff w:val="nothing"/>
      <w:lvlText w:val="（%1）"/>
      <w:lvlJc w:val="left"/>
    </w:lvl>
  </w:abstractNum>
  <w:abstractNum w:abstractNumId="8">
    <w:nsid w:val="5A5C7400"/>
    <w:multiLevelType w:val="singleLevel"/>
    <w:tmpl w:val="5A5C7400"/>
    <w:lvl w:ilvl="0" w:tentative="0">
      <w:start w:val="3"/>
      <w:numFmt w:val="chineseCounting"/>
      <w:suff w:val="nothing"/>
      <w:lvlText w:val="%1、"/>
      <w:lvlJc w:val="left"/>
    </w:lvl>
  </w:abstractNum>
  <w:abstractNum w:abstractNumId="9">
    <w:nsid w:val="5B0C21A4"/>
    <w:multiLevelType w:val="singleLevel"/>
    <w:tmpl w:val="5B0C21A4"/>
    <w:lvl w:ilvl="0" w:tentative="0">
      <w:start w:val="1"/>
      <w:numFmt w:val="decimal"/>
      <w:suff w:val="nothing"/>
      <w:lvlText w:val="%1）"/>
      <w:lvlJc w:val="left"/>
    </w:lvl>
  </w:abstractNum>
  <w:abstractNum w:abstractNumId="10">
    <w:nsid w:val="78C43893"/>
    <w:multiLevelType w:val="singleLevel"/>
    <w:tmpl w:val="78C43893"/>
    <w:lvl w:ilvl="0" w:tentative="0">
      <w:start w:val="1"/>
      <w:numFmt w:val="decimal"/>
      <w:suff w:val="nothing"/>
      <w:lvlText w:val="%1）"/>
      <w:lvlJc w:val="left"/>
    </w:lvl>
  </w:abstractNum>
  <w:num w:numId="1">
    <w:abstractNumId w:val="7"/>
  </w:num>
  <w:num w:numId="2">
    <w:abstractNumId w:val="1"/>
  </w:num>
  <w:num w:numId="3">
    <w:abstractNumId w:val="8"/>
  </w:num>
  <w:num w:numId="4">
    <w:abstractNumId w:val="5"/>
  </w:num>
  <w:num w:numId="5">
    <w:abstractNumId w:val="6"/>
  </w:num>
  <w:num w:numId="6">
    <w:abstractNumId w:val="4"/>
  </w:num>
  <w:num w:numId="7">
    <w:abstractNumId w:val="3"/>
  </w:num>
  <w:num w:numId="8">
    <w:abstractNumId w:val="0"/>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JjMDczMDZjZjI4MGYyOTk0OGI4MTRiMGQ3ZDhkY2MifQ=="/>
  </w:docVars>
  <w:rsids>
    <w:rsidRoot w:val="00172A27"/>
    <w:rsid w:val="000012B1"/>
    <w:rsid w:val="00001640"/>
    <w:rsid w:val="00001C4E"/>
    <w:rsid w:val="000040AE"/>
    <w:rsid w:val="00004F6E"/>
    <w:rsid w:val="00005497"/>
    <w:rsid w:val="00005B62"/>
    <w:rsid w:val="00005CC7"/>
    <w:rsid w:val="00005CF3"/>
    <w:rsid w:val="00006917"/>
    <w:rsid w:val="000071D2"/>
    <w:rsid w:val="000076B1"/>
    <w:rsid w:val="0001028A"/>
    <w:rsid w:val="000117D5"/>
    <w:rsid w:val="000119AC"/>
    <w:rsid w:val="0001258D"/>
    <w:rsid w:val="0001349A"/>
    <w:rsid w:val="00014028"/>
    <w:rsid w:val="000149D9"/>
    <w:rsid w:val="00014CFA"/>
    <w:rsid w:val="00014D99"/>
    <w:rsid w:val="0001590D"/>
    <w:rsid w:val="0001601C"/>
    <w:rsid w:val="00016F2F"/>
    <w:rsid w:val="00020B08"/>
    <w:rsid w:val="000232CF"/>
    <w:rsid w:val="0002420C"/>
    <w:rsid w:val="00024615"/>
    <w:rsid w:val="00024CF0"/>
    <w:rsid w:val="000276F9"/>
    <w:rsid w:val="00027B72"/>
    <w:rsid w:val="00027F17"/>
    <w:rsid w:val="0003009A"/>
    <w:rsid w:val="000305D6"/>
    <w:rsid w:val="00032885"/>
    <w:rsid w:val="000331A0"/>
    <w:rsid w:val="000333A2"/>
    <w:rsid w:val="000339BF"/>
    <w:rsid w:val="00034350"/>
    <w:rsid w:val="00035903"/>
    <w:rsid w:val="0003767C"/>
    <w:rsid w:val="00037E1B"/>
    <w:rsid w:val="00037E91"/>
    <w:rsid w:val="00041C2D"/>
    <w:rsid w:val="00042191"/>
    <w:rsid w:val="0004286F"/>
    <w:rsid w:val="0004295C"/>
    <w:rsid w:val="00042EAF"/>
    <w:rsid w:val="00043C38"/>
    <w:rsid w:val="00043E13"/>
    <w:rsid w:val="0004535C"/>
    <w:rsid w:val="00045DFC"/>
    <w:rsid w:val="00046AC4"/>
    <w:rsid w:val="00050B4B"/>
    <w:rsid w:val="00052462"/>
    <w:rsid w:val="0005280E"/>
    <w:rsid w:val="00052FFC"/>
    <w:rsid w:val="000547ED"/>
    <w:rsid w:val="00054DB5"/>
    <w:rsid w:val="00060DA8"/>
    <w:rsid w:val="00060F2C"/>
    <w:rsid w:val="00061DA6"/>
    <w:rsid w:val="00062AB3"/>
    <w:rsid w:val="00062E37"/>
    <w:rsid w:val="00062F3F"/>
    <w:rsid w:val="00063794"/>
    <w:rsid w:val="00065086"/>
    <w:rsid w:val="00065252"/>
    <w:rsid w:val="00066087"/>
    <w:rsid w:val="00066743"/>
    <w:rsid w:val="00066FCF"/>
    <w:rsid w:val="00067479"/>
    <w:rsid w:val="00070B20"/>
    <w:rsid w:val="0007230E"/>
    <w:rsid w:val="00072F2B"/>
    <w:rsid w:val="00073769"/>
    <w:rsid w:val="00073AF8"/>
    <w:rsid w:val="00073F2E"/>
    <w:rsid w:val="00074D93"/>
    <w:rsid w:val="00074FB7"/>
    <w:rsid w:val="0007704B"/>
    <w:rsid w:val="00077738"/>
    <w:rsid w:val="00077D7A"/>
    <w:rsid w:val="00080969"/>
    <w:rsid w:val="000821B7"/>
    <w:rsid w:val="00082E3D"/>
    <w:rsid w:val="00083B02"/>
    <w:rsid w:val="00084F7A"/>
    <w:rsid w:val="000852DE"/>
    <w:rsid w:val="000861FA"/>
    <w:rsid w:val="00096B14"/>
    <w:rsid w:val="000A0175"/>
    <w:rsid w:val="000A02D9"/>
    <w:rsid w:val="000A0FC6"/>
    <w:rsid w:val="000A17DD"/>
    <w:rsid w:val="000A1AB3"/>
    <w:rsid w:val="000A1CFD"/>
    <w:rsid w:val="000A1E47"/>
    <w:rsid w:val="000A2BF8"/>
    <w:rsid w:val="000A2C35"/>
    <w:rsid w:val="000A3776"/>
    <w:rsid w:val="000A3834"/>
    <w:rsid w:val="000A3AE9"/>
    <w:rsid w:val="000A42F2"/>
    <w:rsid w:val="000A4FC3"/>
    <w:rsid w:val="000A4FDB"/>
    <w:rsid w:val="000A5010"/>
    <w:rsid w:val="000A5295"/>
    <w:rsid w:val="000A54ED"/>
    <w:rsid w:val="000A55A9"/>
    <w:rsid w:val="000A60E8"/>
    <w:rsid w:val="000A7790"/>
    <w:rsid w:val="000B1833"/>
    <w:rsid w:val="000B7715"/>
    <w:rsid w:val="000C012C"/>
    <w:rsid w:val="000C0778"/>
    <w:rsid w:val="000C3E23"/>
    <w:rsid w:val="000C5A6E"/>
    <w:rsid w:val="000C5CFE"/>
    <w:rsid w:val="000C6199"/>
    <w:rsid w:val="000C653E"/>
    <w:rsid w:val="000D041E"/>
    <w:rsid w:val="000D0843"/>
    <w:rsid w:val="000D1F13"/>
    <w:rsid w:val="000D270B"/>
    <w:rsid w:val="000D36D1"/>
    <w:rsid w:val="000D3C77"/>
    <w:rsid w:val="000D3D0C"/>
    <w:rsid w:val="000D3E0B"/>
    <w:rsid w:val="000D44BC"/>
    <w:rsid w:val="000D4545"/>
    <w:rsid w:val="000D4F46"/>
    <w:rsid w:val="000D62F4"/>
    <w:rsid w:val="000D67BF"/>
    <w:rsid w:val="000D6E60"/>
    <w:rsid w:val="000D6E79"/>
    <w:rsid w:val="000D7662"/>
    <w:rsid w:val="000D7866"/>
    <w:rsid w:val="000D7D47"/>
    <w:rsid w:val="000D7DF0"/>
    <w:rsid w:val="000E014A"/>
    <w:rsid w:val="000E101B"/>
    <w:rsid w:val="000E1FCC"/>
    <w:rsid w:val="000E3972"/>
    <w:rsid w:val="000E417B"/>
    <w:rsid w:val="000E5887"/>
    <w:rsid w:val="000E5F3B"/>
    <w:rsid w:val="000E5F73"/>
    <w:rsid w:val="000E6C27"/>
    <w:rsid w:val="000E7059"/>
    <w:rsid w:val="000E737B"/>
    <w:rsid w:val="000F0359"/>
    <w:rsid w:val="000F0426"/>
    <w:rsid w:val="000F3750"/>
    <w:rsid w:val="000F42D8"/>
    <w:rsid w:val="000F6533"/>
    <w:rsid w:val="000F6617"/>
    <w:rsid w:val="000F7751"/>
    <w:rsid w:val="00100391"/>
    <w:rsid w:val="00100E3F"/>
    <w:rsid w:val="00102305"/>
    <w:rsid w:val="001024DF"/>
    <w:rsid w:val="001038AF"/>
    <w:rsid w:val="0010571C"/>
    <w:rsid w:val="00105B6A"/>
    <w:rsid w:val="00106181"/>
    <w:rsid w:val="00106652"/>
    <w:rsid w:val="00107038"/>
    <w:rsid w:val="00110390"/>
    <w:rsid w:val="0011090E"/>
    <w:rsid w:val="00111539"/>
    <w:rsid w:val="0011283C"/>
    <w:rsid w:val="00113134"/>
    <w:rsid w:val="00113A0B"/>
    <w:rsid w:val="00113A40"/>
    <w:rsid w:val="00113A87"/>
    <w:rsid w:val="0011501B"/>
    <w:rsid w:val="00116040"/>
    <w:rsid w:val="0011616C"/>
    <w:rsid w:val="00116541"/>
    <w:rsid w:val="00116BB0"/>
    <w:rsid w:val="00116DF7"/>
    <w:rsid w:val="0011747C"/>
    <w:rsid w:val="00117CA8"/>
    <w:rsid w:val="001207E8"/>
    <w:rsid w:val="00121599"/>
    <w:rsid w:val="0012199F"/>
    <w:rsid w:val="00122595"/>
    <w:rsid w:val="0012284C"/>
    <w:rsid w:val="0012397C"/>
    <w:rsid w:val="00125127"/>
    <w:rsid w:val="001265A5"/>
    <w:rsid w:val="00126791"/>
    <w:rsid w:val="0012686C"/>
    <w:rsid w:val="00126D8B"/>
    <w:rsid w:val="00131286"/>
    <w:rsid w:val="001312A4"/>
    <w:rsid w:val="0013132D"/>
    <w:rsid w:val="0013224B"/>
    <w:rsid w:val="001326E2"/>
    <w:rsid w:val="00132893"/>
    <w:rsid w:val="00134ABB"/>
    <w:rsid w:val="00135576"/>
    <w:rsid w:val="00136051"/>
    <w:rsid w:val="001372FF"/>
    <w:rsid w:val="00137568"/>
    <w:rsid w:val="001407D4"/>
    <w:rsid w:val="001414EC"/>
    <w:rsid w:val="0014220F"/>
    <w:rsid w:val="001428BB"/>
    <w:rsid w:val="00142C85"/>
    <w:rsid w:val="00143B97"/>
    <w:rsid w:val="001459DD"/>
    <w:rsid w:val="00146385"/>
    <w:rsid w:val="00146AF3"/>
    <w:rsid w:val="00146DDE"/>
    <w:rsid w:val="00147D7A"/>
    <w:rsid w:val="0015004A"/>
    <w:rsid w:val="00151B95"/>
    <w:rsid w:val="001530BB"/>
    <w:rsid w:val="00153CF2"/>
    <w:rsid w:val="0015424B"/>
    <w:rsid w:val="00155C1D"/>
    <w:rsid w:val="00156820"/>
    <w:rsid w:val="00156A73"/>
    <w:rsid w:val="00160FEE"/>
    <w:rsid w:val="001610E3"/>
    <w:rsid w:val="00166248"/>
    <w:rsid w:val="001674B4"/>
    <w:rsid w:val="00167F05"/>
    <w:rsid w:val="00170920"/>
    <w:rsid w:val="001725C8"/>
    <w:rsid w:val="00172A27"/>
    <w:rsid w:val="0017333A"/>
    <w:rsid w:val="0017537C"/>
    <w:rsid w:val="00175DCF"/>
    <w:rsid w:val="00177517"/>
    <w:rsid w:val="00177C82"/>
    <w:rsid w:val="001800F3"/>
    <w:rsid w:val="00181473"/>
    <w:rsid w:val="00183411"/>
    <w:rsid w:val="001862BD"/>
    <w:rsid w:val="0018780E"/>
    <w:rsid w:val="00187A7B"/>
    <w:rsid w:val="00192F1E"/>
    <w:rsid w:val="001947B5"/>
    <w:rsid w:val="001960EB"/>
    <w:rsid w:val="00196284"/>
    <w:rsid w:val="00197608"/>
    <w:rsid w:val="001A144F"/>
    <w:rsid w:val="001A14B3"/>
    <w:rsid w:val="001A2306"/>
    <w:rsid w:val="001A316F"/>
    <w:rsid w:val="001A676B"/>
    <w:rsid w:val="001A7676"/>
    <w:rsid w:val="001A77A3"/>
    <w:rsid w:val="001A7BD3"/>
    <w:rsid w:val="001B0025"/>
    <w:rsid w:val="001B2DAA"/>
    <w:rsid w:val="001B2E05"/>
    <w:rsid w:val="001B3295"/>
    <w:rsid w:val="001B6217"/>
    <w:rsid w:val="001B6E7E"/>
    <w:rsid w:val="001B7034"/>
    <w:rsid w:val="001B740B"/>
    <w:rsid w:val="001B7D11"/>
    <w:rsid w:val="001B7D8B"/>
    <w:rsid w:val="001C1198"/>
    <w:rsid w:val="001C1B80"/>
    <w:rsid w:val="001C217C"/>
    <w:rsid w:val="001C41B1"/>
    <w:rsid w:val="001C43A5"/>
    <w:rsid w:val="001C5866"/>
    <w:rsid w:val="001C5875"/>
    <w:rsid w:val="001C6228"/>
    <w:rsid w:val="001C624F"/>
    <w:rsid w:val="001C63AC"/>
    <w:rsid w:val="001C7024"/>
    <w:rsid w:val="001D1E51"/>
    <w:rsid w:val="001D1F83"/>
    <w:rsid w:val="001D220B"/>
    <w:rsid w:val="001D3BD3"/>
    <w:rsid w:val="001D5ACD"/>
    <w:rsid w:val="001D7551"/>
    <w:rsid w:val="001E07BE"/>
    <w:rsid w:val="001E2AF7"/>
    <w:rsid w:val="001E318E"/>
    <w:rsid w:val="001E41CA"/>
    <w:rsid w:val="001E6311"/>
    <w:rsid w:val="001E6711"/>
    <w:rsid w:val="001E6E4C"/>
    <w:rsid w:val="001E76C2"/>
    <w:rsid w:val="001E7A28"/>
    <w:rsid w:val="001F0304"/>
    <w:rsid w:val="001F0B23"/>
    <w:rsid w:val="001F1384"/>
    <w:rsid w:val="001F1401"/>
    <w:rsid w:val="001F4DCB"/>
    <w:rsid w:val="001F5424"/>
    <w:rsid w:val="001F5519"/>
    <w:rsid w:val="001F5A91"/>
    <w:rsid w:val="001F67DC"/>
    <w:rsid w:val="001F6B2D"/>
    <w:rsid w:val="001F7B84"/>
    <w:rsid w:val="001F7F4C"/>
    <w:rsid w:val="00200081"/>
    <w:rsid w:val="0020191B"/>
    <w:rsid w:val="00201FA7"/>
    <w:rsid w:val="00205045"/>
    <w:rsid w:val="00205782"/>
    <w:rsid w:val="00205D6E"/>
    <w:rsid w:val="00205EEC"/>
    <w:rsid w:val="00206021"/>
    <w:rsid w:val="002061C6"/>
    <w:rsid w:val="00207001"/>
    <w:rsid w:val="00207F2A"/>
    <w:rsid w:val="00210AF1"/>
    <w:rsid w:val="00212799"/>
    <w:rsid w:val="00212A1F"/>
    <w:rsid w:val="00221FEB"/>
    <w:rsid w:val="00222018"/>
    <w:rsid w:val="00222586"/>
    <w:rsid w:val="0022275E"/>
    <w:rsid w:val="00222E05"/>
    <w:rsid w:val="0022317D"/>
    <w:rsid w:val="00223436"/>
    <w:rsid w:val="00223448"/>
    <w:rsid w:val="00223B36"/>
    <w:rsid w:val="00223C57"/>
    <w:rsid w:val="00224519"/>
    <w:rsid w:val="002249B4"/>
    <w:rsid w:val="0022560A"/>
    <w:rsid w:val="0022594C"/>
    <w:rsid w:val="00226553"/>
    <w:rsid w:val="00226E39"/>
    <w:rsid w:val="0022742B"/>
    <w:rsid w:val="0022787C"/>
    <w:rsid w:val="00233501"/>
    <w:rsid w:val="00234C25"/>
    <w:rsid w:val="00234D67"/>
    <w:rsid w:val="00235A8D"/>
    <w:rsid w:val="00235DF7"/>
    <w:rsid w:val="00242E95"/>
    <w:rsid w:val="00245595"/>
    <w:rsid w:val="002468F4"/>
    <w:rsid w:val="00250064"/>
    <w:rsid w:val="002502F0"/>
    <w:rsid w:val="00252949"/>
    <w:rsid w:val="00253070"/>
    <w:rsid w:val="0025361D"/>
    <w:rsid w:val="00254F9E"/>
    <w:rsid w:val="00255852"/>
    <w:rsid w:val="00257EE6"/>
    <w:rsid w:val="00260066"/>
    <w:rsid w:val="00260598"/>
    <w:rsid w:val="0026083C"/>
    <w:rsid w:val="002608C4"/>
    <w:rsid w:val="00262009"/>
    <w:rsid w:val="00267626"/>
    <w:rsid w:val="00271D8F"/>
    <w:rsid w:val="00274188"/>
    <w:rsid w:val="00276C5A"/>
    <w:rsid w:val="00276CFE"/>
    <w:rsid w:val="00276DE6"/>
    <w:rsid w:val="002773DC"/>
    <w:rsid w:val="00277B53"/>
    <w:rsid w:val="00277F3C"/>
    <w:rsid w:val="002805D6"/>
    <w:rsid w:val="00281F3F"/>
    <w:rsid w:val="00283945"/>
    <w:rsid w:val="0028485C"/>
    <w:rsid w:val="00287D31"/>
    <w:rsid w:val="002908E2"/>
    <w:rsid w:val="0029239A"/>
    <w:rsid w:val="00292DFE"/>
    <w:rsid w:val="00296B1B"/>
    <w:rsid w:val="0029723F"/>
    <w:rsid w:val="002A026E"/>
    <w:rsid w:val="002A196F"/>
    <w:rsid w:val="002A1E11"/>
    <w:rsid w:val="002A4DC3"/>
    <w:rsid w:val="002A4EA8"/>
    <w:rsid w:val="002A565D"/>
    <w:rsid w:val="002B093B"/>
    <w:rsid w:val="002B0FA8"/>
    <w:rsid w:val="002B1286"/>
    <w:rsid w:val="002B1948"/>
    <w:rsid w:val="002B2BFB"/>
    <w:rsid w:val="002B3D7B"/>
    <w:rsid w:val="002B3DC4"/>
    <w:rsid w:val="002B50DB"/>
    <w:rsid w:val="002B52F5"/>
    <w:rsid w:val="002B6E07"/>
    <w:rsid w:val="002B7A04"/>
    <w:rsid w:val="002C01DD"/>
    <w:rsid w:val="002C0F0B"/>
    <w:rsid w:val="002C1967"/>
    <w:rsid w:val="002C2080"/>
    <w:rsid w:val="002C2EB8"/>
    <w:rsid w:val="002C331E"/>
    <w:rsid w:val="002C4B65"/>
    <w:rsid w:val="002C5D14"/>
    <w:rsid w:val="002C64F6"/>
    <w:rsid w:val="002C6995"/>
    <w:rsid w:val="002D0AE6"/>
    <w:rsid w:val="002D1142"/>
    <w:rsid w:val="002D189C"/>
    <w:rsid w:val="002D197D"/>
    <w:rsid w:val="002D3C11"/>
    <w:rsid w:val="002D4496"/>
    <w:rsid w:val="002E184F"/>
    <w:rsid w:val="002E2334"/>
    <w:rsid w:val="002E2DD0"/>
    <w:rsid w:val="002E326A"/>
    <w:rsid w:val="002E35F2"/>
    <w:rsid w:val="002E5CA7"/>
    <w:rsid w:val="002E6422"/>
    <w:rsid w:val="002E6A2B"/>
    <w:rsid w:val="002F093C"/>
    <w:rsid w:val="002F1CBA"/>
    <w:rsid w:val="002F41AB"/>
    <w:rsid w:val="002F44D2"/>
    <w:rsid w:val="002F74BC"/>
    <w:rsid w:val="002F7FBA"/>
    <w:rsid w:val="00300606"/>
    <w:rsid w:val="003018EA"/>
    <w:rsid w:val="00301C5C"/>
    <w:rsid w:val="00303725"/>
    <w:rsid w:val="003039F6"/>
    <w:rsid w:val="0030434A"/>
    <w:rsid w:val="00305A97"/>
    <w:rsid w:val="00306549"/>
    <w:rsid w:val="00307C66"/>
    <w:rsid w:val="00310BDA"/>
    <w:rsid w:val="00310CCF"/>
    <w:rsid w:val="0031140E"/>
    <w:rsid w:val="00311556"/>
    <w:rsid w:val="00311E58"/>
    <w:rsid w:val="0031386B"/>
    <w:rsid w:val="00314592"/>
    <w:rsid w:val="00314F8D"/>
    <w:rsid w:val="0031575F"/>
    <w:rsid w:val="0031629F"/>
    <w:rsid w:val="00317DB5"/>
    <w:rsid w:val="00317E5E"/>
    <w:rsid w:val="003229EB"/>
    <w:rsid w:val="00323017"/>
    <w:rsid w:val="003247C9"/>
    <w:rsid w:val="00324C6D"/>
    <w:rsid w:val="00325876"/>
    <w:rsid w:val="0032684A"/>
    <w:rsid w:val="00326DAA"/>
    <w:rsid w:val="003276CA"/>
    <w:rsid w:val="00327A32"/>
    <w:rsid w:val="003303AB"/>
    <w:rsid w:val="00331459"/>
    <w:rsid w:val="00332788"/>
    <w:rsid w:val="00332B8C"/>
    <w:rsid w:val="00334203"/>
    <w:rsid w:val="003350B7"/>
    <w:rsid w:val="00335838"/>
    <w:rsid w:val="003369F3"/>
    <w:rsid w:val="003373B0"/>
    <w:rsid w:val="00337D90"/>
    <w:rsid w:val="003405FA"/>
    <w:rsid w:val="0034185E"/>
    <w:rsid w:val="003445A0"/>
    <w:rsid w:val="00344F0D"/>
    <w:rsid w:val="00347966"/>
    <w:rsid w:val="003503D5"/>
    <w:rsid w:val="00351270"/>
    <w:rsid w:val="003525CB"/>
    <w:rsid w:val="003534BC"/>
    <w:rsid w:val="00354ACF"/>
    <w:rsid w:val="003562B4"/>
    <w:rsid w:val="00356AF2"/>
    <w:rsid w:val="0036060A"/>
    <w:rsid w:val="0036320E"/>
    <w:rsid w:val="00363973"/>
    <w:rsid w:val="00363A9E"/>
    <w:rsid w:val="00365A6B"/>
    <w:rsid w:val="00365D83"/>
    <w:rsid w:val="00366AF0"/>
    <w:rsid w:val="00366C3B"/>
    <w:rsid w:val="00367E04"/>
    <w:rsid w:val="003716B0"/>
    <w:rsid w:val="00372CCD"/>
    <w:rsid w:val="00373124"/>
    <w:rsid w:val="003743A9"/>
    <w:rsid w:val="00375C16"/>
    <w:rsid w:val="00376842"/>
    <w:rsid w:val="00377384"/>
    <w:rsid w:val="00380C32"/>
    <w:rsid w:val="00380EB2"/>
    <w:rsid w:val="0038117A"/>
    <w:rsid w:val="003832D2"/>
    <w:rsid w:val="0038345A"/>
    <w:rsid w:val="003856DD"/>
    <w:rsid w:val="00386087"/>
    <w:rsid w:val="0038617C"/>
    <w:rsid w:val="00386A39"/>
    <w:rsid w:val="00386DA5"/>
    <w:rsid w:val="00386E84"/>
    <w:rsid w:val="003872A9"/>
    <w:rsid w:val="00387593"/>
    <w:rsid w:val="0038777E"/>
    <w:rsid w:val="00387B7F"/>
    <w:rsid w:val="00390D3E"/>
    <w:rsid w:val="00393743"/>
    <w:rsid w:val="00393922"/>
    <w:rsid w:val="00393AB8"/>
    <w:rsid w:val="00394A8A"/>
    <w:rsid w:val="00395DE3"/>
    <w:rsid w:val="0039701B"/>
    <w:rsid w:val="003A0242"/>
    <w:rsid w:val="003A18AF"/>
    <w:rsid w:val="003A210F"/>
    <w:rsid w:val="003A3C66"/>
    <w:rsid w:val="003A3E46"/>
    <w:rsid w:val="003A4786"/>
    <w:rsid w:val="003A4B02"/>
    <w:rsid w:val="003A5105"/>
    <w:rsid w:val="003A7262"/>
    <w:rsid w:val="003A7758"/>
    <w:rsid w:val="003B0ADF"/>
    <w:rsid w:val="003B2022"/>
    <w:rsid w:val="003B2934"/>
    <w:rsid w:val="003B3441"/>
    <w:rsid w:val="003B34B0"/>
    <w:rsid w:val="003B3997"/>
    <w:rsid w:val="003B5AEF"/>
    <w:rsid w:val="003B6267"/>
    <w:rsid w:val="003B6ECD"/>
    <w:rsid w:val="003B7F10"/>
    <w:rsid w:val="003C12AD"/>
    <w:rsid w:val="003C14AD"/>
    <w:rsid w:val="003C1ECE"/>
    <w:rsid w:val="003C238B"/>
    <w:rsid w:val="003C25CC"/>
    <w:rsid w:val="003C2813"/>
    <w:rsid w:val="003C435B"/>
    <w:rsid w:val="003C440C"/>
    <w:rsid w:val="003C615C"/>
    <w:rsid w:val="003C7527"/>
    <w:rsid w:val="003C7AD3"/>
    <w:rsid w:val="003D10E5"/>
    <w:rsid w:val="003D1E94"/>
    <w:rsid w:val="003D3952"/>
    <w:rsid w:val="003D4426"/>
    <w:rsid w:val="003D507B"/>
    <w:rsid w:val="003D50F7"/>
    <w:rsid w:val="003D5D7A"/>
    <w:rsid w:val="003E14E6"/>
    <w:rsid w:val="003E1C7A"/>
    <w:rsid w:val="003E28A9"/>
    <w:rsid w:val="003E2F63"/>
    <w:rsid w:val="003E3CCA"/>
    <w:rsid w:val="003E4936"/>
    <w:rsid w:val="003F0362"/>
    <w:rsid w:val="003F04E6"/>
    <w:rsid w:val="003F2A69"/>
    <w:rsid w:val="003F3167"/>
    <w:rsid w:val="003F4B06"/>
    <w:rsid w:val="003F5020"/>
    <w:rsid w:val="003F62B1"/>
    <w:rsid w:val="003F6CB8"/>
    <w:rsid w:val="004005F8"/>
    <w:rsid w:val="00405534"/>
    <w:rsid w:val="00405679"/>
    <w:rsid w:val="00405E94"/>
    <w:rsid w:val="0040670D"/>
    <w:rsid w:val="00406A5B"/>
    <w:rsid w:val="004105DE"/>
    <w:rsid w:val="00410C5E"/>
    <w:rsid w:val="00411C83"/>
    <w:rsid w:val="004133EE"/>
    <w:rsid w:val="0041435E"/>
    <w:rsid w:val="00414A26"/>
    <w:rsid w:val="004159B8"/>
    <w:rsid w:val="00415DDA"/>
    <w:rsid w:val="00416A3F"/>
    <w:rsid w:val="0041793B"/>
    <w:rsid w:val="00417E90"/>
    <w:rsid w:val="004214F5"/>
    <w:rsid w:val="0042290E"/>
    <w:rsid w:val="0042323B"/>
    <w:rsid w:val="00423A9E"/>
    <w:rsid w:val="00424951"/>
    <w:rsid w:val="00424C52"/>
    <w:rsid w:val="00425BE7"/>
    <w:rsid w:val="00426734"/>
    <w:rsid w:val="004273A0"/>
    <w:rsid w:val="0043075D"/>
    <w:rsid w:val="00430E0B"/>
    <w:rsid w:val="00432E53"/>
    <w:rsid w:val="00432FED"/>
    <w:rsid w:val="00433281"/>
    <w:rsid w:val="00433F22"/>
    <w:rsid w:val="00434064"/>
    <w:rsid w:val="00434479"/>
    <w:rsid w:val="00436070"/>
    <w:rsid w:val="00436BA8"/>
    <w:rsid w:val="004370C9"/>
    <w:rsid w:val="00440705"/>
    <w:rsid w:val="004417F1"/>
    <w:rsid w:val="00441A9B"/>
    <w:rsid w:val="00441BF3"/>
    <w:rsid w:val="00441E04"/>
    <w:rsid w:val="00442950"/>
    <w:rsid w:val="004430CE"/>
    <w:rsid w:val="00443796"/>
    <w:rsid w:val="0044417D"/>
    <w:rsid w:val="004453A8"/>
    <w:rsid w:val="004454F7"/>
    <w:rsid w:val="00445E94"/>
    <w:rsid w:val="0044711E"/>
    <w:rsid w:val="00450051"/>
    <w:rsid w:val="0045243B"/>
    <w:rsid w:val="004525CD"/>
    <w:rsid w:val="00453163"/>
    <w:rsid w:val="0045354F"/>
    <w:rsid w:val="00454A07"/>
    <w:rsid w:val="00455E64"/>
    <w:rsid w:val="00456FB9"/>
    <w:rsid w:val="00457B28"/>
    <w:rsid w:val="00457F07"/>
    <w:rsid w:val="004607DD"/>
    <w:rsid w:val="00460E6E"/>
    <w:rsid w:val="004623DA"/>
    <w:rsid w:val="00462B6D"/>
    <w:rsid w:val="00463011"/>
    <w:rsid w:val="004630C8"/>
    <w:rsid w:val="00463234"/>
    <w:rsid w:val="004637BA"/>
    <w:rsid w:val="00464D1D"/>
    <w:rsid w:val="00465B07"/>
    <w:rsid w:val="004671BD"/>
    <w:rsid w:val="004675D5"/>
    <w:rsid w:val="0046789F"/>
    <w:rsid w:val="00467AB4"/>
    <w:rsid w:val="00470A0C"/>
    <w:rsid w:val="00471853"/>
    <w:rsid w:val="00471A44"/>
    <w:rsid w:val="00471EE3"/>
    <w:rsid w:val="00472319"/>
    <w:rsid w:val="00472326"/>
    <w:rsid w:val="00472FA4"/>
    <w:rsid w:val="00473B63"/>
    <w:rsid w:val="00473D0C"/>
    <w:rsid w:val="004741ED"/>
    <w:rsid w:val="00474242"/>
    <w:rsid w:val="004743F4"/>
    <w:rsid w:val="004747B0"/>
    <w:rsid w:val="0047625B"/>
    <w:rsid w:val="004766DD"/>
    <w:rsid w:val="00476848"/>
    <w:rsid w:val="00477360"/>
    <w:rsid w:val="00480D04"/>
    <w:rsid w:val="0048230C"/>
    <w:rsid w:val="0048238B"/>
    <w:rsid w:val="00482A06"/>
    <w:rsid w:val="004851EA"/>
    <w:rsid w:val="00485BFB"/>
    <w:rsid w:val="00487417"/>
    <w:rsid w:val="00487583"/>
    <w:rsid w:val="0049013E"/>
    <w:rsid w:val="00491B63"/>
    <w:rsid w:val="00491FBB"/>
    <w:rsid w:val="00492CE1"/>
    <w:rsid w:val="00493ACF"/>
    <w:rsid w:val="00494B6B"/>
    <w:rsid w:val="00495435"/>
    <w:rsid w:val="00495785"/>
    <w:rsid w:val="004963E1"/>
    <w:rsid w:val="00497E5C"/>
    <w:rsid w:val="004A0577"/>
    <w:rsid w:val="004A123D"/>
    <w:rsid w:val="004A1B63"/>
    <w:rsid w:val="004A2E65"/>
    <w:rsid w:val="004A3080"/>
    <w:rsid w:val="004A46C5"/>
    <w:rsid w:val="004A4872"/>
    <w:rsid w:val="004A4BF2"/>
    <w:rsid w:val="004A5239"/>
    <w:rsid w:val="004A5DCA"/>
    <w:rsid w:val="004A6956"/>
    <w:rsid w:val="004B09C0"/>
    <w:rsid w:val="004B21EF"/>
    <w:rsid w:val="004B2343"/>
    <w:rsid w:val="004B3A76"/>
    <w:rsid w:val="004B44CB"/>
    <w:rsid w:val="004B703E"/>
    <w:rsid w:val="004C04C2"/>
    <w:rsid w:val="004C0BB8"/>
    <w:rsid w:val="004C2B64"/>
    <w:rsid w:val="004C2C1E"/>
    <w:rsid w:val="004C53BC"/>
    <w:rsid w:val="004C54D0"/>
    <w:rsid w:val="004C6338"/>
    <w:rsid w:val="004C6544"/>
    <w:rsid w:val="004C68A4"/>
    <w:rsid w:val="004D0F54"/>
    <w:rsid w:val="004D182F"/>
    <w:rsid w:val="004D1F2D"/>
    <w:rsid w:val="004D1F30"/>
    <w:rsid w:val="004D21D7"/>
    <w:rsid w:val="004D28CC"/>
    <w:rsid w:val="004D2B27"/>
    <w:rsid w:val="004D2CCA"/>
    <w:rsid w:val="004D38E9"/>
    <w:rsid w:val="004D3A0F"/>
    <w:rsid w:val="004D41B7"/>
    <w:rsid w:val="004D53FF"/>
    <w:rsid w:val="004D5DB0"/>
    <w:rsid w:val="004D67F7"/>
    <w:rsid w:val="004D6E63"/>
    <w:rsid w:val="004D6FC8"/>
    <w:rsid w:val="004D7739"/>
    <w:rsid w:val="004D7933"/>
    <w:rsid w:val="004D7E70"/>
    <w:rsid w:val="004E22A6"/>
    <w:rsid w:val="004E4D95"/>
    <w:rsid w:val="004E5651"/>
    <w:rsid w:val="004E6FAD"/>
    <w:rsid w:val="004F22D3"/>
    <w:rsid w:val="004F3952"/>
    <w:rsid w:val="004F4427"/>
    <w:rsid w:val="004F4866"/>
    <w:rsid w:val="004F4F69"/>
    <w:rsid w:val="004F5392"/>
    <w:rsid w:val="004F69AC"/>
    <w:rsid w:val="004F754A"/>
    <w:rsid w:val="004F7809"/>
    <w:rsid w:val="004F7B22"/>
    <w:rsid w:val="00500386"/>
    <w:rsid w:val="005014A9"/>
    <w:rsid w:val="00501569"/>
    <w:rsid w:val="00501DBF"/>
    <w:rsid w:val="005026C5"/>
    <w:rsid w:val="00502BC9"/>
    <w:rsid w:val="005031A6"/>
    <w:rsid w:val="0050386D"/>
    <w:rsid w:val="00504D8C"/>
    <w:rsid w:val="00505EE3"/>
    <w:rsid w:val="00506F7C"/>
    <w:rsid w:val="0050700D"/>
    <w:rsid w:val="005115D5"/>
    <w:rsid w:val="00513815"/>
    <w:rsid w:val="0051389F"/>
    <w:rsid w:val="005150FE"/>
    <w:rsid w:val="00515ABA"/>
    <w:rsid w:val="00515C11"/>
    <w:rsid w:val="00516642"/>
    <w:rsid w:val="00516A2F"/>
    <w:rsid w:val="00516E65"/>
    <w:rsid w:val="00517441"/>
    <w:rsid w:val="005214C0"/>
    <w:rsid w:val="00522E72"/>
    <w:rsid w:val="005236B4"/>
    <w:rsid w:val="005239C6"/>
    <w:rsid w:val="00523AA9"/>
    <w:rsid w:val="00525BD5"/>
    <w:rsid w:val="00526A0A"/>
    <w:rsid w:val="00527E42"/>
    <w:rsid w:val="005301AC"/>
    <w:rsid w:val="0053388A"/>
    <w:rsid w:val="0053436F"/>
    <w:rsid w:val="00535FEB"/>
    <w:rsid w:val="0053746F"/>
    <w:rsid w:val="00537E2F"/>
    <w:rsid w:val="00543DE5"/>
    <w:rsid w:val="0054541F"/>
    <w:rsid w:val="0054591B"/>
    <w:rsid w:val="00545D66"/>
    <w:rsid w:val="00545ED4"/>
    <w:rsid w:val="00545F61"/>
    <w:rsid w:val="00546A3B"/>
    <w:rsid w:val="00546DD7"/>
    <w:rsid w:val="005505F7"/>
    <w:rsid w:val="00553A98"/>
    <w:rsid w:val="00555FA2"/>
    <w:rsid w:val="0056129F"/>
    <w:rsid w:val="00562740"/>
    <w:rsid w:val="00563DEC"/>
    <w:rsid w:val="00571F13"/>
    <w:rsid w:val="00572CE6"/>
    <w:rsid w:val="005732F5"/>
    <w:rsid w:val="005735E3"/>
    <w:rsid w:val="00575B48"/>
    <w:rsid w:val="005769C9"/>
    <w:rsid w:val="00576DA2"/>
    <w:rsid w:val="005777EF"/>
    <w:rsid w:val="0058171E"/>
    <w:rsid w:val="00581911"/>
    <w:rsid w:val="00583365"/>
    <w:rsid w:val="0058524A"/>
    <w:rsid w:val="00585EED"/>
    <w:rsid w:val="0058626E"/>
    <w:rsid w:val="0058645F"/>
    <w:rsid w:val="00590B5B"/>
    <w:rsid w:val="00590E01"/>
    <w:rsid w:val="00591113"/>
    <w:rsid w:val="00591846"/>
    <w:rsid w:val="00592FC4"/>
    <w:rsid w:val="00595BFB"/>
    <w:rsid w:val="005967E7"/>
    <w:rsid w:val="0059681F"/>
    <w:rsid w:val="00596AEC"/>
    <w:rsid w:val="00596AFB"/>
    <w:rsid w:val="00596BAD"/>
    <w:rsid w:val="005A205C"/>
    <w:rsid w:val="005A28A6"/>
    <w:rsid w:val="005A34D0"/>
    <w:rsid w:val="005A6559"/>
    <w:rsid w:val="005A6EFF"/>
    <w:rsid w:val="005A781D"/>
    <w:rsid w:val="005B1632"/>
    <w:rsid w:val="005B268B"/>
    <w:rsid w:val="005B27C6"/>
    <w:rsid w:val="005B370C"/>
    <w:rsid w:val="005B5B52"/>
    <w:rsid w:val="005B7718"/>
    <w:rsid w:val="005C13AE"/>
    <w:rsid w:val="005C34B2"/>
    <w:rsid w:val="005C3849"/>
    <w:rsid w:val="005C501C"/>
    <w:rsid w:val="005C50A5"/>
    <w:rsid w:val="005C6419"/>
    <w:rsid w:val="005C6BAF"/>
    <w:rsid w:val="005C6EAF"/>
    <w:rsid w:val="005D00A5"/>
    <w:rsid w:val="005D05D2"/>
    <w:rsid w:val="005D09CB"/>
    <w:rsid w:val="005D0A83"/>
    <w:rsid w:val="005D128D"/>
    <w:rsid w:val="005D2797"/>
    <w:rsid w:val="005D3342"/>
    <w:rsid w:val="005D342C"/>
    <w:rsid w:val="005D4873"/>
    <w:rsid w:val="005D6539"/>
    <w:rsid w:val="005D6996"/>
    <w:rsid w:val="005D6CF2"/>
    <w:rsid w:val="005D7FE5"/>
    <w:rsid w:val="005E0EF3"/>
    <w:rsid w:val="005E0F8C"/>
    <w:rsid w:val="005E2583"/>
    <w:rsid w:val="005E2B48"/>
    <w:rsid w:val="005E2F70"/>
    <w:rsid w:val="005E547B"/>
    <w:rsid w:val="005E562D"/>
    <w:rsid w:val="005E6B05"/>
    <w:rsid w:val="005F0330"/>
    <w:rsid w:val="005F1273"/>
    <w:rsid w:val="005F13C7"/>
    <w:rsid w:val="005F1769"/>
    <w:rsid w:val="005F24D5"/>
    <w:rsid w:val="005F4798"/>
    <w:rsid w:val="005F4F65"/>
    <w:rsid w:val="005F669D"/>
    <w:rsid w:val="005F7FD6"/>
    <w:rsid w:val="006005DE"/>
    <w:rsid w:val="00601695"/>
    <w:rsid w:val="006025A1"/>
    <w:rsid w:val="00602D2E"/>
    <w:rsid w:val="00603C9E"/>
    <w:rsid w:val="00604A9B"/>
    <w:rsid w:val="00605534"/>
    <w:rsid w:val="00605ADD"/>
    <w:rsid w:val="00606BBA"/>
    <w:rsid w:val="00607027"/>
    <w:rsid w:val="00607A50"/>
    <w:rsid w:val="0061021E"/>
    <w:rsid w:val="00610261"/>
    <w:rsid w:val="00610404"/>
    <w:rsid w:val="006105F3"/>
    <w:rsid w:val="0061070F"/>
    <w:rsid w:val="00611800"/>
    <w:rsid w:val="00611AB8"/>
    <w:rsid w:val="00616CDF"/>
    <w:rsid w:val="006178CA"/>
    <w:rsid w:val="00621244"/>
    <w:rsid w:val="00621DD0"/>
    <w:rsid w:val="00622237"/>
    <w:rsid w:val="00622CA4"/>
    <w:rsid w:val="00623645"/>
    <w:rsid w:val="00624F78"/>
    <w:rsid w:val="0062546E"/>
    <w:rsid w:val="006278E1"/>
    <w:rsid w:val="00632A90"/>
    <w:rsid w:val="00634A54"/>
    <w:rsid w:val="00634C11"/>
    <w:rsid w:val="006376E4"/>
    <w:rsid w:val="00640518"/>
    <w:rsid w:val="00640855"/>
    <w:rsid w:val="00641AC5"/>
    <w:rsid w:val="00641E97"/>
    <w:rsid w:val="00641FDA"/>
    <w:rsid w:val="00644552"/>
    <w:rsid w:val="00645777"/>
    <w:rsid w:val="006461A1"/>
    <w:rsid w:val="0064667B"/>
    <w:rsid w:val="00646A71"/>
    <w:rsid w:val="00646AC0"/>
    <w:rsid w:val="00647A8A"/>
    <w:rsid w:val="00647C3F"/>
    <w:rsid w:val="00651A22"/>
    <w:rsid w:val="00652058"/>
    <w:rsid w:val="00652DC0"/>
    <w:rsid w:val="006537FC"/>
    <w:rsid w:val="00653AFF"/>
    <w:rsid w:val="00654919"/>
    <w:rsid w:val="006556C2"/>
    <w:rsid w:val="00655AC8"/>
    <w:rsid w:val="00655F04"/>
    <w:rsid w:val="00657B9F"/>
    <w:rsid w:val="00660013"/>
    <w:rsid w:val="0066166B"/>
    <w:rsid w:val="00663EAC"/>
    <w:rsid w:val="00663F7A"/>
    <w:rsid w:val="00665332"/>
    <w:rsid w:val="006663B2"/>
    <w:rsid w:val="00666DC3"/>
    <w:rsid w:val="00667B0F"/>
    <w:rsid w:val="00670258"/>
    <w:rsid w:val="00670941"/>
    <w:rsid w:val="00671189"/>
    <w:rsid w:val="0067180F"/>
    <w:rsid w:val="006726DB"/>
    <w:rsid w:val="00672E2E"/>
    <w:rsid w:val="00673614"/>
    <w:rsid w:val="00675492"/>
    <w:rsid w:val="00675DDA"/>
    <w:rsid w:val="00675FDD"/>
    <w:rsid w:val="00676912"/>
    <w:rsid w:val="00677CE6"/>
    <w:rsid w:val="006804CF"/>
    <w:rsid w:val="0068119E"/>
    <w:rsid w:val="00681B10"/>
    <w:rsid w:val="00682019"/>
    <w:rsid w:val="00682111"/>
    <w:rsid w:val="00682F38"/>
    <w:rsid w:val="00683B64"/>
    <w:rsid w:val="00684705"/>
    <w:rsid w:val="0068481A"/>
    <w:rsid w:val="00685888"/>
    <w:rsid w:val="00685C7E"/>
    <w:rsid w:val="00686B9D"/>
    <w:rsid w:val="0069036E"/>
    <w:rsid w:val="00690A92"/>
    <w:rsid w:val="0069269D"/>
    <w:rsid w:val="00693288"/>
    <w:rsid w:val="006932B3"/>
    <w:rsid w:val="00694915"/>
    <w:rsid w:val="0069544B"/>
    <w:rsid w:val="00695A0C"/>
    <w:rsid w:val="00695E2A"/>
    <w:rsid w:val="006965ED"/>
    <w:rsid w:val="00696A50"/>
    <w:rsid w:val="00696C28"/>
    <w:rsid w:val="006976F2"/>
    <w:rsid w:val="006A1B91"/>
    <w:rsid w:val="006A21BC"/>
    <w:rsid w:val="006A234E"/>
    <w:rsid w:val="006A38E0"/>
    <w:rsid w:val="006A4381"/>
    <w:rsid w:val="006A58B9"/>
    <w:rsid w:val="006B115A"/>
    <w:rsid w:val="006B1CDE"/>
    <w:rsid w:val="006B2AD6"/>
    <w:rsid w:val="006B342B"/>
    <w:rsid w:val="006B37F4"/>
    <w:rsid w:val="006B3A7F"/>
    <w:rsid w:val="006B6241"/>
    <w:rsid w:val="006B6548"/>
    <w:rsid w:val="006C026D"/>
    <w:rsid w:val="006C149D"/>
    <w:rsid w:val="006C24F9"/>
    <w:rsid w:val="006C3ED4"/>
    <w:rsid w:val="006C46FA"/>
    <w:rsid w:val="006C481F"/>
    <w:rsid w:val="006C5DE3"/>
    <w:rsid w:val="006C64D2"/>
    <w:rsid w:val="006C68E2"/>
    <w:rsid w:val="006C7821"/>
    <w:rsid w:val="006D04E7"/>
    <w:rsid w:val="006D16F8"/>
    <w:rsid w:val="006D45F3"/>
    <w:rsid w:val="006D5D27"/>
    <w:rsid w:val="006E115F"/>
    <w:rsid w:val="006E3B50"/>
    <w:rsid w:val="006E48E3"/>
    <w:rsid w:val="006E5A85"/>
    <w:rsid w:val="006E64A1"/>
    <w:rsid w:val="006E79AE"/>
    <w:rsid w:val="006F0FAF"/>
    <w:rsid w:val="006F1ABD"/>
    <w:rsid w:val="006F1B8C"/>
    <w:rsid w:val="006F205F"/>
    <w:rsid w:val="006F28AD"/>
    <w:rsid w:val="006F2E54"/>
    <w:rsid w:val="006F35FD"/>
    <w:rsid w:val="006F4021"/>
    <w:rsid w:val="006F5914"/>
    <w:rsid w:val="006F7777"/>
    <w:rsid w:val="006F7A20"/>
    <w:rsid w:val="006F7A24"/>
    <w:rsid w:val="006F7C0C"/>
    <w:rsid w:val="007006DD"/>
    <w:rsid w:val="00700872"/>
    <w:rsid w:val="00701600"/>
    <w:rsid w:val="007019BA"/>
    <w:rsid w:val="00701F89"/>
    <w:rsid w:val="007034A2"/>
    <w:rsid w:val="00703A9B"/>
    <w:rsid w:val="0070477E"/>
    <w:rsid w:val="007052BB"/>
    <w:rsid w:val="00705354"/>
    <w:rsid w:val="00706194"/>
    <w:rsid w:val="00706D34"/>
    <w:rsid w:val="007074A7"/>
    <w:rsid w:val="007078A7"/>
    <w:rsid w:val="00707B48"/>
    <w:rsid w:val="00710CE3"/>
    <w:rsid w:val="00710D57"/>
    <w:rsid w:val="00711432"/>
    <w:rsid w:val="0071148B"/>
    <w:rsid w:val="00711BFF"/>
    <w:rsid w:val="007120CE"/>
    <w:rsid w:val="0071500B"/>
    <w:rsid w:val="00715378"/>
    <w:rsid w:val="00715A73"/>
    <w:rsid w:val="00716214"/>
    <w:rsid w:val="007163EF"/>
    <w:rsid w:val="0072051F"/>
    <w:rsid w:val="007207A2"/>
    <w:rsid w:val="007213C9"/>
    <w:rsid w:val="007224D4"/>
    <w:rsid w:val="00723ED7"/>
    <w:rsid w:val="0072527F"/>
    <w:rsid w:val="007274F8"/>
    <w:rsid w:val="007277DE"/>
    <w:rsid w:val="00727B2D"/>
    <w:rsid w:val="007309EF"/>
    <w:rsid w:val="007324C2"/>
    <w:rsid w:val="0073290A"/>
    <w:rsid w:val="00733139"/>
    <w:rsid w:val="0073324A"/>
    <w:rsid w:val="00734C16"/>
    <w:rsid w:val="0074084A"/>
    <w:rsid w:val="00740A2F"/>
    <w:rsid w:val="00740AFF"/>
    <w:rsid w:val="007414D9"/>
    <w:rsid w:val="0074163B"/>
    <w:rsid w:val="00741BB0"/>
    <w:rsid w:val="007421A4"/>
    <w:rsid w:val="00742838"/>
    <w:rsid w:val="00747C2D"/>
    <w:rsid w:val="00750492"/>
    <w:rsid w:val="00750C84"/>
    <w:rsid w:val="0075131B"/>
    <w:rsid w:val="00752EE0"/>
    <w:rsid w:val="00752F34"/>
    <w:rsid w:val="00755819"/>
    <w:rsid w:val="00755EDE"/>
    <w:rsid w:val="00756851"/>
    <w:rsid w:val="00756E83"/>
    <w:rsid w:val="0076046D"/>
    <w:rsid w:val="00760646"/>
    <w:rsid w:val="00760BFC"/>
    <w:rsid w:val="007613A0"/>
    <w:rsid w:val="0076154C"/>
    <w:rsid w:val="00761727"/>
    <w:rsid w:val="00761F9E"/>
    <w:rsid w:val="00762876"/>
    <w:rsid w:val="0076465A"/>
    <w:rsid w:val="007657FA"/>
    <w:rsid w:val="00767E55"/>
    <w:rsid w:val="00772BCA"/>
    <w:rsid w:val="0077323E"/>
    <w:rsid w:val="00780CFE"/>
    <w:rsid w:val="00783A8E"/>
    <w:rsid w:val="00785304"/>
    <w:rsid w:val="00786A75"/>
    <w:rsid w:val="00786C8B"/>
    <w:rsid w:val="00786E73"/>
    <w:rsid w:val="0078715D"/>
    <w:rsid w:val="00787803"/>
    <w:rsid w:val="00787FE9"/>
    <w:rsid w:val="00791DEE"/>
    <w:rsid w:val="00792234"/>
    <w:rsid w:val="00792675"/>
    <w:rsid w:val="00792E25"/>
    <w:rsid w:val="0079571D"/>
    <w:rsid w:val="0079606A"/>
    <w:rsid w:val="007968BB"/>
    <w:rsid w:val="00796F79"/>
    <w:rsid w:val="007970C9"/>
    <w:rsid w:val="00797824"/>
    <w:rsid w:val="00797D3A"/>
    <w:rsid w:val="007A1360"/>
    <w:rsid w:val="007A41F1"/>
    <w:rsid w:val="007A480D"/>
    <w:rsid w:val="007A568F"/>
    <w:rsid w:val="007A598E"/>
    <w:rsid w:val="007A5A66"/>
    <w:rsid w:val="007A66C3"/>
    <w:rsid w:val="007A6AE0"/>
    <w:rsid w:val="007A74C5"/>
    <w:rsid w:val="007B0A80"/>
    <w:rsid w:val="007B0B2E"/>
    <w:rsid w:val="007B1CCA"/>
    <w:rsid w:val="007B3886"/>
    <w:rsid w:val="007B518F"/>
    <w:rsid w:val="007B6E4F"/>
    <w:rsid w:val="007B7078"/>
    <w:rsid w:val="007C2C98"/>
    <w:rsid w:val="007C42EF"/>
    <w:rsid w:val="007C7134"/>
    <w:rsid w:val="007D144D"/>
    <w:rsid w:val="007D190F"/>
    <w:rsid w:val="007D2CC3"/>
    <w:rsid w:val="007D4DED"/>
    <w:rsid w:val="007D4F35"/>
    <w:rsid w:val="007D5765"/>
    <w:rsid w:val="007D5A58"/>
    <w:rsid w:val="007D64ED"/>
    <w:rsid w:val="007D73B8"/>
    <w:rsid w:val="007D7CB3"/>
    <w:rsid w:val="007D7E55"/>
    <w:rsid w:val="007D7E6B"/>
    <w:rsid w:val="007E0238"/>
    <w:rsid w:val="007E180C"/>
    <w:rsid w:val="007E1B88"/>
    <w:rsid w:val="007E3461"/>
    <w:rsid w:val="007E3A08"/>
    <w:rsid w:val="007E6708"/>
    <w:rsid w:val="007E6DD5"/>
    <w:rsid w:val="007E7ED9"/>
    <w:rsid w:val="007F027A"/>
    <w:rsid w:val="007F1AA1"/>
    <w:rsid w:val="007F469E"/>
    <w:rsid w:val="007F6606"/>
    <w:rsid w:val="007F7ED7"/>
    <w:rsid w:val="00800B63"/>
    <w:rsid w:val="00802735"/>
    <w:rsid w:val="0080548D"/>
    <w:rsid w:val="008101E5"/>
    <w:rsid w:val="0081165C"/>
    <w:rsid w:val="00811726"/>
    <w:rsid w:val="008117B4"/>
    <w:rsid w:val="00812DA9"/>
    <w:rsid w:val="008134D5"/>
    <w:rsid w:val="008136B4"/>
    <w:rsid w:val="008142D3"/>
    <w:rsid w:val="00814EAD"/>
    <w:rsid w:val="00815648"/>
    <w:rsid w:val="008160E8"/>
    <w:rsid w:val="00816BB0"/>
    <w:rsid w:val="00816F79"/>
    <w:rsid w:val="00817368"/>
    <w:rsid w:val="00817827"/>
    <w:rsid w:val="00817B9F"/>
    <w:rsid w:val="00820AE2"/>
    <w:rsid w:val="00820BC4"/>
    <w:rsid w:val="008210A9"/>
    <w:rsid w:val="00822276"/>
    <w:rsid w:val="00823268"/>
    <w:rsid w:val="008248FB"/>
    <w:rsid w:val="00824C26"/>
    <w:rsid w:val="00824E86"/>
    <w:rsid w:val="00825B24"/>
    <w:rsid w:val="00831C57"/>
    <w:rsid w:val="0083328B"/>
    <w:rsid w:val="00833975"/>
    <w:rsid w:val="00833E77"/>
    <w:rsid w:val="008341EC"/>
    <w:rsid w:val="00834256"/>
    <w:rsid w:val="00837794"/>
    <w:rsid w:val="00841699"/>
    <w:rsid w:val="00841C1C"/>
    <w:rsid w:val="00841ED7"/>
    <w:rsid w:val="0084252C"/>
    <w:rsid w:val="0084390E"/>
    <w:rsid w:val="00844067"/>
    <w:rsid w:val="008455C1"/>
    <w:rsid w:val="00845781"/>
    <w:rsid w:val="00846340"/>
    <w:rsid w:val="008469A6"/>
    <w:rsid w:val="00846A40"/>
    <w:rsid w:val="00846BCD"/>
    <w:rsid w:val="00847314"/>
    <w:rsid w:val="00850423"/>
    <w:rsid w:val="00852171"/>
    <w:rsid w:val="00852B8E"/>
    <w:rsid w:val="008546EA"/>
    <w:rsid w:val="00856769"/>
    <w:rsid w:val="00856BA6"/>
    <w:rsid w:val="008575D7"/>
    <w:rsid w:val="00857759"/>
    <w:rsid w:val="00857E7C"/>
    <w:rsid w:val="00860E5C"/>
    <w:rsid w:val="008610B2"/>
    <w:rsid w:val="00862D02"/>
    <w:rsid w:val="00863BC8"/>
    <w:rsid w:val="00863D12"/>
    <w:rsid w:val="00865044"/>
    <w:rsid w:val="00865335"/>
    <w:rsid w:val="00865749"/>
    <w:rsid w:val="008659A8"/>
    <w:rsid w:val="008662F3"/>
    <w:rsid w:val="00866B11"/>
    <w:rsid w:val="00866CF5"/>
    <w:rsid w:val="00867CF7"/>
    <w:rsid w:val="00867D02"/>
    <w:rsid w:val="00870F2F"/>
    <w:rsid w:val="00872000"/>
    <w:rsid w:val="00872EC8"/>
    <w:rsid w:val="00873696"/>
    <w:rsid w:val="008737F7"/>
    <w:rsid w:val="00873813"/>
    <w:rsid w:val="0087503C"/>
    <w:rsid w:val="00875CB9"/>
    <w:rsid w:val="00876974"/>
    <w:rsid w:val="00877453"/>
    <w:rsid w:val="00880032"/>
    <w:rsid w:val="008803C6"/>
    <w:rsid w:val="00880A40"/>
    <w:rsid w:val="00880DEE"/>
    <w:rsid w:val="00880FAA"/>
    <w:rsid w:val="008827CA"/>
    <w:rsid w:val="00884C9C"/>
    <w:rsid w:val="00885903"/>
    <w:rsid w:val="00885DFD"/>
    <w:rsid w:val="00886EC2"/>
    <w:rsid w:val="0088716C"/>
    <w:rsid w:val="00890745"/>
    <w:rsid w:val="0089155A"/>
    <w:rsid w:val="00892BD3"/>
    <w:rsid w:val="00892D93"/>
    <w:rsid w:val="0089312A"/>
    <w:rsid w:val="00893C09"/>
    <w:rsid w:val="0089515E"/>
    <w:rsid w:val="00895758"/>
    <w:rsid w:val="008965CC"/>
    <w:rsid w:val="00896654"/>
    <w:rsid w:val="008971BE"/>
    <w:rsid w:val="00897350"/>
    <w:rsid w:val="008973A5"/>
    <w:rsid w:val="008974E3"/>
    <w:rsid w:val="00897D92"/>
    <w:rsid w:val="008A01CB"/>
    <w:rsid w:val="008A12BE"/>
    <w:rsid w:val="008A1F32"/>
    <w:rsid w:val="008A3B92"/>
    <w:rsid w:val="008A4868"/>
    <w:rsid w:val="008A4D10"/>
    <w:rsid w:val="008A5345"/>
    <w:rsid w:val="008A5507"/>
    <w:rsid w:val="008A5B4F"/>
    <w:rsid w:val="008A7581"/>
    <w:rsid w:val="008B01CE"/>
    <w:rsid w:val="008B096A"/>
    <w:rsid w:val="008B16D0"/>
    <w:rsid w:val="008B17F2"/>
    <w:rsid w:val="008B209D"/>
    <w:rsid w:val="008B2268"/>
    <w:rsid w:val="008B3726"/>
    <w:rsid w:val="008B396C"/>
    <w:rsid w:val="008B5870"/>
    <w:rsid w:val="008C11F5"/>
    <w:rsid w:val="008C1FBE"/>
    <w:rsid w:val="008C20D4"/>
    <w:rsid w:val="008C6F09"/>
    <w:rsid w:val="008C79DE"/>
    <w:rsid w:val="008D003E"/>
    <w:rsid w:val="008D0C0B"/>
    <w:rsid w:val="008D1711"/>
    <w:rsid w:val="008D1820"/>
    <w:rsid w:val="008D1C04"/>
    <w:rsid w:val="008D22E4"/>
    <w:rsid w:val="008D2884"/>
    <w:rsid w:val="008E0578"/>
    <w:rsid w:val="008E2179"/>
    <w:rsid w:val="008E3CB0"/>
    <w:rsid w:val="008E3E3C"/>
    <w:rsid w:val="008E5141"/>
    <w:rsid w:val="008F0896"/>
    <w:rsid w:val="008F2D3E"/>
    <w:rsid w:val="008F3714"/>
    <w:rsid w:val="008F3BCE"/>
    <w:rsid w:val="008F3CE2"/>
    <w:rsid w:val="008F47CC"/>
    <w:rsid w:val="008F4B86"/>
    <w:rsid w:val="008F595E"/>
    <w:rsid w:val="008F7E9E"/>
    <w:rsid w:val="0090088E"/>
    <w:rsid w:val="00900ADF"/>
    <w:rsid w:val="00903FAA"/>
    <w:rsid w:val="009040BE"/>
    <w:rsid w:val="00904261"/>
    <w:rsid w:val="00904A44"/>
    <w:rsid w:val="0090595F"/>
    <w:rsid w:val="00905AFC"/>
    <w:rsid w:val="00905B60"/>
    <w:rsid w:val="00910EA9"/>
    <w:rsid w:val="009115B2"/>
    <w:rsid w:val="00913E31"/>
    <w:rsid w:val="0091418F"/>
    <w:rsid w:val="009146AC"/>
    <w:rsid w:val="00914AF8"/>
    <w:rsid w:val="00917307"/>
    <w:rsid w:val="00917379"/>
    <w:rsid w:val="00917A4A"/>
    <w:rsid w:val="00921BC5"/>
    <w:rsid w:val="00922961"/>
    <w:rsid w:val="009235FC"/>
    <w:rsid w:val="00923630"/>
    <w:rsid w:val="00923C09"/>
    <w:rsid w:val="0092402C"/>
    <w:rsid w:val="00926C4E"/>
    <w:rsid w:val="00930046"/>
    <w:rsid w:val="00930D28"/>
    <w:rsid w:val="009326FF"/>
    <w:rsid w:val="00933CC4"/>
    <w:rsid w:val="00934873"/>
    <w:rsid w:val="00935ACA"/>
    <w:rsid w:val="00940240"/>
    <w:rsid w:val="00940C39"/>
    <w:rsid w:val="00940E6B"/>
    <w:rsid w:val="00941A35"/>
    <w:rsid w:val="0094217E"/>
    <w:rsid w:val="00944511"/>
    <w:rsid w:val="0094464D"/>
    <w:rsid w:val="00944882"/>
    <w:rsid w:val="00944ACF"/>
    <w:rsid w:val="00946999"/>
    <w:rsid w:val="0094703D"/>
    <w:rsid w:val="00947547"/>
    <w:rsid w:val="009478AB"/>
    <w:rsid w:val="00952698"/>
    <w:rsid w:val="00952BAF"/>
    <w:rsid w:val="00952C72"/>
    <w:rsid w:val="00953EFB"/>
    <w:rsid w:val="00954389"/>
    <w:rsid w:val="009546CA"/>
    <w:rsid w:val="009552FB"/>
    <w:rsid w:val="00955558"/>
    <w:rsid w:val="00955C28"/>
    <w:rsid w:val="00956438"/>
    <w:rsid w:val="00956728"/>
    <w:rsid w:val="00956ADE"/>
    <w:rsid w:val="00957C45"/>
    <w:rsid w:val="0096038F"/>
    <w:rsid w:val="009609CF"/>
    <w:rsid w:val="00961C81"/>
    <w:rsid w:val="00961F9F"/>
    <w:rsid w:val="0096307B"/>
    <w:rsid w:val="009630E4"/>
    <w:rsid w:val="0096482B"/>
    <w:rsid w:val="00964D4C"/>
    <w:rsid w:val="00964FC8"/>
    <w:rsid w:val="00966117"/>
    <w:rsid w:val="00966C0E"/>
    <w:rsid w:val="00967DB2"/>
    <w:rsid w:val="009709B5"/>
    <w:rsid w:val="00970A00"/>
    <w:rsid w:val="00971828"/>
    <w:rsid w:val="00971A9A"/>
    <w:rsid w:val="00971AF0"/>
    <w:rsid w:val="00972CA5"/>
    <w:rsid w:val="00973E23"/>
    <w:rsid w:val="00974CB5"/>
    <w:rsid w:val="0097537A"/>
    <w:rsid w:val="00977189"/>
    <w:rsid w:val="009778A7"/>
    <w:rsid w:val="00980CCF"/>
    <w:rsid w:val="0098123A"/>
    <w:rsid w:val="0098171A"/>
    <w:rsid w:val="00982637"/>
    <w:rsid w:val="00983B1B"/>
    <w:rsid w:val="00983B39"/>
    <w:rsid w:val="00983CA7"/>
    <w:rsid w:val="00985AF0"/>
    <w:rsid w:val="00986E7B"/>
    <w:rsid w:val="0098735B"/>
    <w:rsid w:val="00987A88"/>
    <w:rsid w:val="00987C06"/>
    <w:rsid w:val="009903F9"/>
    <w:rsid w:val="00990718"/>
    <w:rsid w:val="009920A5"/>
    <w:rsid w:val="00992801"/>
    <w:rsid w:val="0099312C"/>
    <w:rsid w:val="009935D3"/>
    <w:rsid w:val="0099368A"/>
    <w:rsid w:val="0099400D"/>
    <w:rsid w:val="00994C82"/>
    <w:rsid w:val="00996E5D"/>
    <w:rsid w:val="00997458"/>
    <w:rsid w:val="00997DEF"/>
    <w:rsid w:val="00997E05"/>
    <w:rsid w:val="009A0C3E"/>
    <w:rsid w:val="009A109A"/>
    <w:rsid w:val="009A2020"/>
    <w:rsid w:val="009A5049"/>
    <w:rsid w:val="009A651F"/>
    <w:rsid w:val="009A6A64"/>
    <w:rsid w:val="009B0C75"/>
    <w:rsid w:val="009B23DD"/>
    <w:rsid w:val="009B542B"/>
    <w:rsid w:val="009B66F8"/>
    <w:rsid w:val="009B7A84"/>
    <w:rsid w:val="009B7BE1"/>
    <w:rsid w:val="009C06FF"/>
    <w:rsid w:val="009C2FDC"/>
    <w:rsid w:val="009C401D"/>
    <w:rsid w:val="009C4616"/>
    <w:rsid w:val="009C4AE6"/>
    <w:rsid w:val="009C5A3A"/>
    <w:rsid w:val="009D1497"/>
    <w:rsid w:val="009D2214"/>
    <w:rsid w:val="009D299A"/>
    <w:rsid w:val="009D36C5"/>
    <w:rsid w:val="009D42EA"/>
    <w:rsid w:val="009D5608"/>
    <w:rsid w:val="009D5CC1"/>
    <w:rsid w:val="009D6B2B"/>
    <w:rsid w:val="009D6EF2"/>
    <w:rsid w:val="009D7BBE"/>
    <w:rsid w:val="009D7FE9"/>
    <w:rsid w:val="009E0F5B"/>
    <w:rsid w:val="009E166C"/>
    <w:rsid w:val="009E3698"/>
    <w:rsid w:val="009E4CC3"/>
    <w:rsid w:val="009E5499"/>
    <w:rsid w:val="009E64F4"/>
    <w:rsid w:val="009E7E1C"/>
    <w:rsid w:val="009E7E4A"/>
    <w:rsid w:val="009F0022"/>
    <w:rsid w:val="009F0DEC"/>
    <w:rsid w:val="009F1B28"/>
    <w:rsid w:val="009F2E8A"/>
    <w:rsid w:val="009F3018"/>
    <w:rsid w:val="009F37A8"/>
    <w:rsid w:val="009F3F71"/>
    <w:rsid w:val="009F43B2"/>
    <w:rsid w:val="009F44F6"/>
    <w:rsid w:val="009F5797"/>
    <w:rsid w:val="009F65F7"/>
    <w:rsid w:val="009F6F73"/>
    <w:rsid w:val="009F7B78"/>
    <w:rsid w:val="00A0015A"/>
    <w:rsid w:val="00A01F9B"/>
    <w:rsid w:val="00A026E1"/>
    <w:rsid w:val="00A02788"/>
    <w:rsid w:val="00A0351C"/>
    <w:rsid w:val="00A03B9D"/>
    <w:rsid w:val="00A05907"/>
    <w:rsid w:val="00A07A32"/>
    <w:rsid w:val="00A11DCC"/>
    <w:rsid w:val="00A15376"/>
    <w:rsid w:val="00A168D8"/>
    <w:rsid w:val="00A226DC"/>
    <w:rsid w:val="00A235E7"/>
    <w:rsid w:val="00A25245"/>
    <w:rsid w:val="00A25499"/>
    <w:rsid w:val="00A26FB2"/>
    <w:rsid w:val="00A30A7A"/>
    <w:rsid w:val="00A3145E"/>
    <w:rsid w:val="00A32F9E"/>
    <w:rsid w:val="00A33D69"/>
    <w:rsid w:val="00A353CA"/>
    <w:rsid w:val="00A35E03"/>
    <w:rsid w:val="00A401E3"/>
    <w:rsid w:val="00A403CB"/>
    <w:rsid w:val="00A413E3"/>
    <w:rsid w:val="00A41FFD"/>
    <w:rsid w:val="00A43F04"/>
    <w:rsid w:val="00A43F14"/>
    <w:rsid w:val="00A44879"/>
    <w:rsid w:val="00A4693B"/>
    <w:rsid w:val="00A47562"/>
    <w:rsid w:val="00A52F41"/>
    <w:rsid w:val="00A54042"/>
    <w:rsid w:val="00A54A3E"/>
    <w:rsid w:val="00A550F5"/>
    <w:rsid w:val="00A56049"/>
    <w:rsid w:val="00A572F1"/>
    <w:rsid w:val="00A6045B"/>
    <w:rsid w:val="00A6238E"/>
    <w:rsid w:val="00A64379"/>
    <w:rsid w:val="00A6453E"/>
    <w:rsid w:val="00A6500C"/>
    <w:rsid w:val="00A66F23"/>
    <w:rsid w:val="00A6728A"/>
    <w:rsid w:val="00A700C0"/>
    <w:rsid w:val="00A70C69"/>
    <w:rsid w:val="00A720B5"/>
    <w:rsid w:val="00A73327"/>
    <w:rsid w:val="00A73B87"/>
    <w:rsid w:val="00A74DA3"/>
    <w:rsid w:val="00A76719"/>
    <w:rsid w:val="00A76CA4"/>
    <w:rsid w:val="00A7720F"/>
    <w:rsid w:val="00A77CD1"/>
    <w:rsid w:val="00A80915"/>
    <w:rsid w:val="00A812A0"/>
    <w:rsid w:val="00A83773"/>
    <w:rsid w:val="00A84906"/>
    <w:rsid w:val="00A84ADF"/>
    <w:rsid w:val="00A85572"/>
    <w:rsid w:val="00A85B2E"/>
    <w:rsid w:val="00A864B8"/>
    <w:rsid w:val="00A86765"/>
    <w:rsid w:val="00A87158"/>
    <w:rsid w:val="00A87B55"/>
    <w:rsid w:val="00A87D6E"/>
    <w:rsid w:val="00A91202"/>
    <w:rsid w:val="00A9397B"/>
    <w:rsid w:val="00A93B5A"/>
    <w:rsid w:val="00A94037"/>
    <w:rsid w:val="00A9427B"/>
    <w:rsid w:val="00A954BF"/>
    <w:rsid w:val="00A957B5"/>
    <w:rsid w:val="00A96C51"/>
    <w:rsid w:val="00A96C6D"/>
    <w:rsid w:val="00A97AAE"/>
    <w:rsid w:val="00AA164C"/>
    <w:rsid w:val="00AA23FE"/>
    <w:rsid w:val="00AA2E50"/>
    <w:rsid w:val="00AA5AF7"/>
    <w:rsid w:val="00AA6F8B"/>
    <w:rsid w:val="00AA71BF"/>
    <w:rsid w:val="00AA7A9F"/>
    <w:rsid w:val="00AB0CB7"/>
    <w:rsid w:val="00AB223F"/>
    <w:rsid w:val="00AB28C4"/>
    <w:rsid w:val="00AB2F15"/>
    <w:rsid w:val="00AB3948"/>
    <w:rsid w:val="00AB5DD7"/>
    <w:rsid w:val="00AC0097"/>
    <w:rsid w:val="00AC0277"/>
    <w:rsid w:val="00AC0920"/>
    <w:rsid w:val="00AC157A"/>
    <w:rsid w:val="00AC1D1A"/>
    <w:rsid w:val="00AC2BFF"/>
    <w:rsid w:val="00AC441C"/>
    <w:rsid w:val="00AC6FFE"/>
    <w:rsid w:val="00AC706F"/>
    <w:rsid w:val="00AD0B0A"/>
    <w:rsid w:val="00AD0EA3"/>
    <w:rsid w:val="00AD10C8"/>
    <w:rsid w:val="00AD4417"/>
    <w:rsid w:val="00AD5456"/>
    <w:rsid w:val="00AD5A3B"/>
    <w:rsid w:val="00AD65FB"/>
    <w:rsid w:val="00AD6B45"/>
    <w:rsid w:val="00AD7070"/>
    <w:rsid w:val="00AD7CA4"/>
    <w:rsid w:val="00AE19DF"/>
    <w:rsid w:val="00AE1E30"/>
    <w:rsid w:val="00AE1F30"/>
    <w:rsid w:val="00AE2AF9"/>
    <w:rsid w:val="00AE4221"/>
    <w:rsid w:val="00AE45CE"/>
    <w:rsid w:val="00AE6456"/>
    <w:rsid w:val="00AE6EF3"/>
    <w:rsid w:val="00AF17A8"/>
    <w:rsid w:val="00AF1C37"/>
    <w:rsid w:val="00AF1D8B"/>
    <w:rsid w:val="00AF2A66"/>
    <w:rsid w:val="00AF2BEF"/>
    <w:rsid w:val="00AF3E52"/>
    <w:rsid w:val="00AF5044"/>
    <w:rsid w:val="00AF6FB8"/>
    <w:rsid w:val="00B028CE"/>
    <w:rsid w:val="00B053A2"/>
    <w:rsid w:val="00B05ACB"/>
    <w:rsid w:val="00B07BC4"/>
    <w:rsid w:val="00B1043B"/>
    <w:rsid w:val="00B1087C"/>
    <w:rsid w:val="00B10CDF"/>
    <w:rsid w:val="00B11AEF"/>
    <w:rsid w:val="00B12836"/>
    <w:rsid w:val="00B137AE"/>
    <w:rsid w:val="00B13822"/>
    <w:rsid w:val="00B1649F"/>
    <w:rsid w:val="00B207FC"/>
    <w:rsid w:val="00B209C0"/>
    <w:rsid w:val="00B20C26"/>
    <w:rsid w:val="00B20E91"/>
    <w:rsid w:val="00B23203"/>
    <w:rsid w:val="00B24513"/>
    <w:rsid w:val="00B247A6"/>
    <w:rsid w:val="00B25E3A"/>
    <w:rsid w:val="00B26F5C"/>
    <w:rsid w:val="00B32B55"/>
    <w:rsid w:val="00B3368D"/>
    <w:rsid w:val="00B34F23"/>
    <w:rsid w:val="00B3600C"/>
    <w:rsid w:val="00B3626B"/>
    <w:rsid w:val="00B3649E"/>
    <w:rsid w:val="00B36DA8"/>
    <w:rsid w:val="00B36DEC"/>
    <w:rsid w:val="00B37C99"/>
    <w:rsid w:val="00B4056E"/>
    <w:rsid w:val="00B40B4A"/>
    <w:rsid w:val="00B41C19"/>
    <w:rsid w:val="00B429BD"/>
    <w:rsid w:val="00B44223"/>
    <w:rsid w:val="00B444D2"/>
    <w:rsid w:val="00B45E8F"/>
    <w:rsid w:val="00B465D9"/>
    <w:rsid w:val="00B47CA5"/>
    <w:rsid w:val="00B509B1"/>
    <w:rsid w:val="00B5136F"/>
    <w:rsid w:val="00B51B7F"/>
    <w:rsid w:val="00B51E39"/>
    <w:rsid w:val="00B532F7"/>
    <w:rsid w:val="00B54D68"/>
    <w:rsid w:val="00B55F1B"/>
    <w:rsid w:val="00B56679"/>
    <w:rsid w:val="00B56998"/>
    <w:rsid w:val="00B576E3"/>
    <w:rsid w:val="00B60310"/>
    <w:rsid w:val="00B6051C"/>
    <w:rsid w:val="00B6221B"/>
    <w:rsid w:val="00B6366B"/>
    <w:rsid w:val="00B636D7"/>
    <w:rsid w:val="00B6411A"/>
    <w:rsid w:val="00B64694"/>
    <w:rsid w:val="00B666CC"/>
    <w:rsid w:val="00B66ADC"/>
    <w:rsid w:val="00B677EF"/>
    <w:rsid w:val="00B67E02"/>
    <w:rsid w:val="00B71CB9"/>
    <w:rsid w:val="00B7383A"/>
    <w:rsid w:val="00B76CE4"/>
    <w:rsid w:val="00B77204"/>
    <w:rsid w:val="00B77A64"/>
    <w:rsid w:val="00B77CA9"/>
    <w:rsid w:val="00B77E20"/>
    <w:rsid w:val="00B8020D"/>
    <w:rsid w:val="00B806E1"/>
    <w:rsid w:val="00B8135D"/>
    <w:rsid w:val="00B822B1"/>
    <w:rsid w:val="00B8346E"/>
    <w:rsid w:val="00B846E4"/>
    <w:rsid w:val="00B85145"/>
    <w:rsid w:val="00B854C7"/>
    <w:rsid w:val="00B877E9"/>
    <w:rsid w:val="00B92805"/>
    <w:rsid w:val="00B93A76"/>
    <w:rsid w:val="00B95079"/>
    <w:rsid w:val="00B9655C"/>
    <w:rsid w:val="00B96987"/>
    <w:rsid w:val="00B97D73"/>
    <w:rsid w:val="00BA1171"/>
    <w:rsid w:val="00BA11D0"/>
    <w:rsid w:val="00BA2F5B"/>
    <w:rsid w:val="00BA392C"/>
    <w:rsid w:val="00BA3A12"/>
    <w:rsid w:val="00BA43BC"/>
    <w:rsid w:val="00BA5608"/>
    <w:rsid w:val="00BA576D"/>
    <w:rsid w:val="00BA638A"/>
    <w:rsid w:val="00BA6B9B"/>
    <w:rsid w:val="00BA7885"/>
    <w:rsid w:val="00BB073F"/>
    <w:rsid w:val="00BB0F1A"/>
    <w:rsid w:val="00BB43C3"/>
    <w:rsid w:val="00BB4528"/>
    <w:rsid w:val="00BB4833"/>
    <w:rsid w:val="00BB486A"/>
    <w:rsid w:val="00BB49BD"/>
    <w:rsid w:val="00BB53C1"/>
    <w:rsid w:val="00BB623D"/>
    <w:rsid w:val="00BC0B61"/>
    <w:rsid w:val="00BC16B8"/>
    <w:rsid w:val="00BC2846"/>
    <w:rsid w:val="00BC30AF"/>
    <w:rsid w:val="00BC3514"/>
    <w:rsid w:val="00BC36B6"/>
    <w:rsid w:val="00BC3C00"/>
    <w:rsid w:val="00BC5293"/>
    <w:rsid w:val="00BC7574"/>
    <w:rsid w:val="00BC766C"/>
    <w:rsid w:val="00BD1D03"/>
    <w:rsid w:val="00BD2EFE"/>
    <w:rsid w:val="00BE0134"/>
    <w:rsid w:val="00BE0856"/>
    <w:rsid w:val="00BE0C92"/>
    <w:rsid w:val="00BE15FB"/>
    <w:rsid w:val="00BE262D"/>
    <w:rsid w:val="00BE34D1"/>
    <w:rsid w:val="00BE34F8"/>
    <w:rsid w:val="00BE6A29"/>
    <w:rsid w:val="00BE6C53"/>
    <w:rsid w:val="00BE6D99"/>
    <w:rsid w:val="00BE6F4B"/>
    <w:rsid w:val="00BE7163"/>
    <w:rsid w:val="00BE7264"/>
    <w:rsid w:val="00BE7965"/>
    <w:rsid w:val="00BE7AE2"/>
    <w:rsid w:val="00BE7B57"/>
    <w:rsid w:val="00BF0E8D"/>
    <w:rsid w:val="00BF0F2F"/>
    <w:rsid w:val="00BF3FA5"/>
    <w:rsid w:val="00BF3FE0"/>
    <w:rsid w:val="00BF4076"/>
    <w:rsid w:val="00BF4A90"/>
    <w:rsid w:val="00BF522A"/>
    <w:rsid w:val="00BF5EA8"/>
    <w:rsid w:val="00BF604D"/>
    <w:rsid w:val="00BF7E75"/>
    <w:rsid w:val="00C00150"/>
    <w:rsid w:val="00C013E9"/>
    <w:rsid w:val="00C0174A"/>
    <w:rsid w:val="00C017A4"/>
    <w:rsid w:val="00C0238B"/>
    <w:rsid w:val="00C02A6A"/>
    <w:rsid w:val="00C0300F"/>
    <w:rsid w:val="00C03C7E"/>
    <w:rsid w:val="00C043FF"/>
    <w:rsid w:val="00C05911"/>
    <w:rsid w:val="00C06058"/>
    <w:rsid w:val="00C06321"/>
    <w:rsid w:val="00C10195"/>
    <w:rsid w:val="00C115A6"/>
    <w:rsid w:val="00C11808"/>
    <w:rsid w:val="00C14871"/>
    <w:rsid w:val="00C14C7E"/>
    <w:rsid w:val="00C154F3"/>
    <w:rsid w:val="00C156E3"/>
    <w:rsid w:val="00C164EE"/>
    <w:rsid w:val="00C1790C"/>
    <w:rsid w:val="00C17B39"/>
    <w:rsid w:val="00C20059"/>
    <w:rsid w:val="00C228BB"/>
    <w:rsid w:val="00C230E4"/>
    <w:rsid w:val="00C23975"/>
    <w:rsid w:val="00C2411E"/>
    <w:rsid w:val="00C24C29"/>
    <w:rsid w:val="00C25174"/>
    <w:rsid w:val="00C265A9"/>
    <w:rsid w:val="00C27AFD"/>
    <w:rsid w:val="00C30A86"/>
    <w:rsid w:val="00C31632"/>
    <w:rsid w:val="00C3170A"/>
    <w:rsid w:val="00C3171F"/>
    <w:rsid w:val="00C33E18"/>
    <w:rsid w:val="00C35749"/>
    <w:rsid w:val="00C369E3"/>
    <w:rsid w:val="00C37C69"/>
    <w:rsid w:val="00C41DE4"/>
    <w:rsid w:val="00C4201C"/>
    <w:rsid w:val="00C42306"/>
    <w:rsid w:val="00C46540"/>
    <w:rsid w:val="00C46FCE"/>
    <w:rsid w:val="00C4768C"/>
    <w:rsid w:val="00C47B4A"/>
    <w:rsid w:val="00C502BE"/>
    <w:rsid w:val="00C51190"/>
    <w:rsid w:val="00C51AB3"/>
    <w:rsid w:val="00C54BA1"/>
    <w:rsid w:val="00C555C0"/>
    <w:rsid w:val="00C564FA"/>
    <w:rsid w:val="00C574F7"/>
    <w:rsid w:val="00C629EA"/>
    <w:rsid w:val="00C62EB2"/>
    <w:rsid w:val="00C63EB9"/>
    <w:rsid w:val="00C649BA"/>
    <w:rsid w:val="00C666A0"/>
    <w:rsid w:val="00C67B3D"/>
    <w:rsid w:val="00C67D04"/>
    <w:rsid w:val="00C74516"/>
    <w:rsid w:val="00C74851"/>
    <w:rsid w:val="00C74FE1"/>
    <w:rsid w:val="00C7503F"/>
    <w:rsid w:val="00C766E6"/>
    <w:rsid w:val="00C76B42"/>
    <w:rsid w:val="00C779D0"/>
    <w:rsid w:val="00C77D9E"/>
    <w:rsid w:val="00C804C5"/>
    <w:rsid w:val="00C80992"/>
    <w:rsid w:val="00C8540A"/>
    <w:rsid w:val="00C855A3"/>
    <w:rsid w:val="00C856B1"/>
    <w:rsid w:val="00C86340"/>
    <w:rsid w:val="00C872ED"/>
    <w:rsid w:val="00C876FA"/>
    <w:rsid w:val="00C87783"/>
    <w:rsid w:val="00C87D72"/>
    <w:rsid w:val="00C90405"/>
    <w:rsid w:val="00C921F6"/>
    <w:rsid w:val="00C92B4F"/>
    <w:rsid w:val="00C92BBD"/>
    <w:rsid w:val="00C9376A"/>
    <w:rsid w:val="00C937F4"/>
    <w:rsid w:val="00C93802"/>
    <w:rsid w:val="00C93A5A"/>
    <w:rsid w:val="00C94042"/>
    <w:rsid w:val="00C94540"/>
    <w:rsid w:val="00C966D5"/>
    <w:rsid w:val="00C96751"/>
    <w:rsid w:val="00C97019"/>
    <w:rsid w:val="00CA09DF"/>
    <w:rsid w:val="00CA0E68"/>
    <w:rsid w:val="00CA11FD"/>
    <w:rsid w:val="00CA140B"/>
    <w:rsid w:val="00CA24A8"/>
    <w:rsid w:val="00CA26A8"/>
    <w:rsid w:val="00CA2BB2"/>
    <w:rsid w:val="00CA45AD"/>
    <w:rsid w:val="00CA4C0C"/>
    <w:rsid w:val="00CA6950"/>
    <w:rsid w:val="00CA712F"/>
    <w:rsid w:val="00CA7BA4"/>
    <w:rsid w:val="00CA7F25"/>
    <w:rsid w:val="00CB141A"/>
    <w:rsid w:val="00CB1896"/>
    <w:rsid w:val="00CB1973"/>
    <w:rsid w:val="00CB26A9"/>
    <w:rsid w:val="00CB4040"/>
    <w:rsid w:val="00CB5683"/>
    <w:rsid w:val="00CB6BCB"/>
    <w:rsid w:val="00CB7738"/>
    <w:rsid w:val="00CB79B4"/>
    <w:rsid w:val="00CC0814"/>
    <w:rsid w:val="00CC0CA1"/>
    <w:rsid w:val="00CC13AD"/>
    <w:rsid w:val="00CC20F5"/>
    <w:rsid w:val="00CC3AAF"/>
    <w:rsid w:val="00CC4A7D"/>
    <w:rsid w:val="00CC5D90"/>
    <w:rsid w:val="00CC78BE"/>
    <w:rsid w:val="00CC78F0"/>
    <w:rsid w:val="00CD03D9"/>
    <w:rsid w:val="00CD11E0"/>
    <w:rsid w:val="00CD2BC9"/>
    <w:rsid w:val="00CD33D6"/>
    <w:rsid w:val="00CD6D35"/>
    <w:rsid w:val="00CE11FE"/>
    <w:rsid w:val="00CE137C"/>
    <w:rsid w:val="00CE1A9C"/>
    <w:rsid w:val="00CE20AB"/>
    <w:rsid w:val="00CE4E8D"/>
    <w:rsid w:val="00CE5D2E"/>
    <w:rsid w:val="00CE71A8"/>
    <w:rsid w:val="00CE7685"/>
    <w:rsid w:val="00CE7BA3"/>
    <w:rsid w:val="00CF002E"/>
    <w:rsid w:val="00CF0A48"/>
    <w:rsid w:val="00CF138E"/>
    <w:rsid w:val="00CF2012"/>
    <w:rsid w:val="00CF32D1"/>
    <w:rsid w:val="00CF394A"/>
    <w:rsid w:val="00CF3B74"/>
    <w:rsid w:val="00CF4468"/>
    <w:rsid w:val="00CF460F"/>
    <w:rsid w:val="00CF4A20"/>
    <w:rsid w:val="00CF5087"/>
    <w:rsid w:val="00CF5730"/>
    <w:rsid w:val="00CF6623"/>
    <w:rsid w:val="00CF669B"/>
    <w:rsid w:val="00CF74DB"/>
    <w:rsid w:val="00CF75A9"/>
    <w:rsid w:val="00CF7B8D"/>
    <w:rsid w:val="00D0473C"/>
    <w:rsid w:val="00D048E5"/>
    <w:rsid w:val="00D05084"/>
    <w:rsid w:val="00D059B0"/>
    <w:rsid w:val="00D05CED"/>
    <w:rsid w:val="00D0624D"/>
    <w:rsid w:val="00D07DDC"/>
    <w:rsid w:val="00D07F61"/>
    <w:rsid w:val="00D10260"/>
    <w:rsid w:val="00D10911"/>
    <w:rsid w:val="00D10936"/>
    <w:rsid w:val="00D10B1E"/>
    <w:rsid w:val="00D1154C"/>
    <w:rsid w:val="00D13A3F"/>
    <w:rsid w:val="00D1439A"/>
    <w:rsid w:val="00D159EA"/>
    <w:rsid w:val="00D17489"/>
    <w:rsid w:val="00D17CD0"/>
    <w:rsid w:val="00D207E7"/>
    <w:rsid w:val="00D212AF"/>
    <w:rsid w:val="00D2235C"/>
    <w:rsid w:val="00D25502"/>
    <w:rsid w:val="00D261BB"/>
    <w:rsid w:val="00D304E3"/>
    <w:rsid w:val="00D30775"/>
    <w:rsid w:val="00D32752"/>
    <w:rsid w:val="00D32BC0"/>
    <w:rsid w:val="00D32C7E"/>
    <w:rsid w:val="00D3342F"/>
    <w:rsid w:val="00D346ED"/>
    <w:rsid w:val="00D34EA6"/>
    <w:rsid w:val="00D3563C"/>
    <w:rsid w:val="00D365AB"/>
    <w:rsid w:val="00D371C0"/>
    <w:rsid w:val="00D40D8B"/>
    <w:rsid w:val="00D443FB"/>
    <w:rsid w:val="00D4489F"/>
    <w:rsid w:val="00D4567A"/>
    <w:rsid w:val="00D46E62"/>
    <w:rsid w:val="00D50732"/>
    <w:rsid w:val="00D50E2A"/>
    <w:rsid w:val="00D52450"/>
    <w:rsid w:val="00D53362"/>
    <w:rsid w:val="00D53F32"/>
    <w:rsid w:val="00D54310"/>
    <w:rsid w:val="00D543C8"/>
    <w:rsid w:val="00D5476A"/>
    <w:rsid w:val="00D55235"/>
    <w:rsid w:val="00D5647E"/>
    <w:rsid w:val="00D57C55"/>
    <w:rsid w:val="00D62204"/>
    <w:rsid w:val="00D62A59"/>
    <w:rsid w:val="00D62C67"/>
    <w:rsid w:val="00D63AC2"/>
    <w:rsid w:val="00D6475A"/>
    <w:rsid w:val="00D652B3"/>
    <w:rsid w:val="00D671FE"/>
    <w:rsid w:val="00D67C4B"/>
    <w:rsid w:val="00D710A8"/>
    <w:rsid w:val="00D71445"/>
    <w:rsid w:val="00D72F21"/>
    <w:rsid w:val="00D733A4"/>
    <w:rsid w:val="00D73939"/>
    <w:rsid w:val="00D74AE8"/>
    <w:rsid w:val="00D76998"/>
    <w:rsid w:val="00D76A91"/>
    <w:rsid w:val="00D770CB"/>
    <w:rsid w:val="00D8173C"/>
    <w:rsid w:val="00D81CFC"/>
    <w:rsid w:val="00D82DB7"/>
    <w:rsid w:val="00D8311F"/>
    <w:rsid w:val="00D84ACB"/>
    <w:rsid w:val="00D92498"/>
    <w:rsid w:val="00D92A31"/>
    <w:rsid w:val="00D92C30"/>
    <w:rsid w:val="00D9364D"/>
    <w:rsid w:val="00D937CF"/>
    <w:rsid w:val="00D937FA"/>
    <w:rsid w:val="00D9443F"/>
    <w:rsid w:val="00D94EB5"/>
    <w:rsid w:val="00D9569F"/>
    <w:rsid w:val="00D9783E"/>
    <w:rsid w:val="00DA132F"/>
    <w:rsid w:val="00DA19D3"/>
    <w:rsid w:val="00DA1EF2"/>
    <w:rsid w:val="00DA269D"/>
    <w:rsid w:val="00DA5005"/>
    <w:rsid w:val="00DA6939"/>
    <w:rsid w:val="00DA7A26"/>
    <w:rsid w:val="00DB04F8"/>
    <w:rsid w:val="00DB0649"/>
    <w:rsid w:val="00DB2D42"/>
    <w:rsid w:val="00DB388D"/>
    <w:rsid w:val="00DB593D"/>
    <w:rsid w:val="00DB5AFC"/>
    <w:rsid w:val="00DB7209"/>
    <w:rsid w:val="00DC0950"/>
    <w:rsid w:val="00DC19FB"/>
    <w:rsid w:val="00DC1ADD"/>
    <w:rsid w:val="00DC27B3"/>
    <w:rsid w:val="00DC2E5B"/>
    <w:rsid w:val="00DC3B32"/>
    <w:rsid w:val="00DC4CCD"/>
    <w:rsid w:val="00DC585B"/>
    <w:rsid w:val="00DD08FF"/>
    <w:rsid w:val="00DD0E21"/>
    <w:rsid w:val="00DD1781"/>
    <w:rsid w:val="00DD2139"/>
    <w:rsid w:val="00DD2225"/>
    <w:rsid w:val="00DD229F"/>
    <w:rsid w:val="00DD27EE"/>
    <w:rsid w:val="00DD2F94"/>
    <w:rsid w:val="00DD57B5"/>
    <w:rsid w:val="00DD5E83"/>
    <w:rsid w:val="00DD5F87"/>
    <w:rsid w:val="00DD6875"/>
    <w:rsid w:val="00DD7F5B"/>
    <w:rsid w:val="00DE014F"/>
    <w:rsid w:val="00DE025E"/>
    <w:rsid w:val="00DE166B"/>
    <w:rsid w:val="00DE1F6D"/>
    <w:rsid w:val="00DE1FBD"/>
    <w:rsid w:val="00DE3008"/>
    <w:rsid w:val="00DE3A54"/>
    <w:rsid w:val="00DE4DC8"/>
    <w:rsid w:val="00DE5933"/>
    <w:rsid w:val="00DF103F"/>
    <w:rsid w:val="00DF3609"/>
    <w:rsid w:val="00DF360C"/>
    <w:rsid w:val="00DF4978"/>
    <w:rsid w:val="00DF5979"/>
    <w:rsid w:val="00DF5EDF"/>
    <w:rsid w:val="00DF6662"/>
    <w:rsid w:val="00E00381"/>
    <w:rsid w:val="00E02F0E"/>
    <w:rsid w:val="00E0549E"/>
    <w:rsid w:val="00E05549"/>
    <w:rsid w:val="00E05B70"/>
    <w:rsid w:val="00E1007E"/>
    <w:rsid w:val="00E10D1C"/>
    <w:rsid w:val="00E10F97"/>
    <w:rsid w:val="00E11022"/>
    <w:rsid w:val="00E11CEC"/>
    <w:rsid w:val="00E11CF9"/>
    <w:rsid w:val="00E12B65"/>
    <w:rsid w:val="00E153FD"/>
    <w:rsid w:val="00E1610F"/>
    <w:rsid w:val="00E20964"/>
    <w:rsid w:val="00E20D50"/>
    <w:rsid w:val="00E2117F"/>
    <w:rsid w:val="00E21F2F"/>
    <w:rsid w:val="00E220DE"/>
    <w:rsid w:val="00E22568"/>
    <w:rsid w:val="00E22A4F"/>
    <w:rsid w:val="00E234CE"/>
    <w:rsid w:val="00E23A2A"/>
    <w:rsid w:val="00E23FD6"/>
    <w:rsid w:val="00E24235"/>
    <w:rsid w:val="00E24E7A"/>
    <w:rsid w:val="00E2542C"/>
    <w:rsid w:val="00E25ADA"/>
    <w:rsid w:val="00E30DA9"/>
    <w:rsid w:val="00E3158B"/>
    <w:rsid w:val="00E316B7"/>
    <w:rsid w:val="00E31F92"/>
    <w:rsid w:val="00E328D5"/>
    <w:rsid w:val="00E32FDD"/>
    <w:rsid w:val="00E33B75"/>
    <w:rsid w:val="00E34897"/>
    <w:rsid w:val="00E352C2"/>
    <w:rsid w:val="00E36172"/>
    <w:rsid w:val="00E36881"/>
    <w:rsid w:val="00E368BE"/>
    <w:rsid w:val="00E37489"/>
    <w:rsid w:val="00E40F30"/>
    <w:rsid w:val="00E42B14"/>
    <w:rsid w:val="00E43576"/>
    <w:rsid w:val="00E43AC9"/>
    <w:rsid w:val="00E46E66"/>
    <w:rsid w:val="00E50141"/>
    <w:rsid w:val="00E5079B"/>
    <w:rsid w:val="00E50884"/>
    <w:rsid w:val="00E51139"/>
    <w:rsid w:val="00E51A65"/>
    <w:rsid w:val="00E51B83"/>
    <w:rsid w:val="00E52258"/>
    <w:rsid w:val="00E53968"/>
    <w:rsid w:val="00E5710C"/>
    <w:rsid w:val="00E571B1"/>
    <w:rsid w:val="00E60567"/>
    <w:rsid w:val="00E61403"/>
    <w:rsid w:val="00E643FC"/>
    <w:rsid w:val="00E646CD"/>
    <w:rsid w:val="00E65C89"/>
    <w:rsid w:val="00E66E05"/>
    <w:rsid w:val="00E71940"/>
    <w:rsid w:val="00E71C6C"/>
    <w:rsid w:val="00E73792"/>
    <w:rsid w:val="00E75E13"/>
    <w:rsid w:val="00E76294"/>
    <w:rsid w:val="00E7686A"/>
    <w:rsid w:val="00E774E2"/>
    <w:rsid w:val="00E77599"/>
    <w:rsid w:val="00E800EF"/>
    <w:rsid w:val="00E81CC4"/>
    <w:rsid w:val="00E827E6"/>
    <w:rsid w:val="00E83D5A"/>
    <w:rsid w:val="00E84078"/>
    <w:rsid w:val="00E849FC"/>
    <w:rsid w:val="00E84BC7"/>
    <w:rsid w:val="00E8569B"/>
    <w:rsid w:val="00E87165"/>
    <w:rsid w:val="00E8720E"/>
    <w:rsid w:val="00E87E3E"/>
    <w:rsid w:val="00E87ECD"/>
    <w:rsid w:val="00E9054F"/>
    <w:rsid w:val="00E90550"/>
    <w:rsid w:val="00E90F7B"/>
    <w:rsid w:val="00E90F95"/>
    <w:rsid w:val="00E92A4C"/>
    <w:rsid w:val="00E937E7"/>
    <w:rsid w:val="00E93A9E"/>
    <w:rsid w:val="00E941B8"/>
    <w:rsid w:val="00E966B0"/>
    <w:rsid w:val="00EA2067"/>
    <w:rsid w:val="00EA2309"/>
    <w:rsid w:val="00EA2910"/>
    <w:rsid w:val="00EA3E44"/>
    <w:rsid w:val="00EA4EE1"/>
    <w:rsid w:val="00EA5190"/>
    <w:rsid w:val="00EA5831"/>
    <w:rsid w:val="00EA730D"/>
    <w:rsid w:val="00EB06DD"/>
    <w:rsid w:val="00EB0B88"/>
    <w:rsid w:val="00EB22BE"/>
    <w:rsid w:val="00EB2D55"/>
    <w:rsid w:val="00EB32BF"/>
    <w:rsid w:val="00EB5220"/>
    <w:rsid w:val="00EB568D"/>
    <w:rsid w:val="00EB5D5F"/>
    <w:rsid w:val="00EB64DC"/>
    <w:rsid w:val="00EB6EBE"/>
    <w:rsid w:val="00EB7E73"/>
    <w:rsid w:val="00EC1D01"/>
    <w:rsid w:val="00EC2557"/>
    <w:rsid w:val="00EC3C12"/>
    <w:rsid w:val="00EC5253"/>
    <w:rsid w:val="00EC58A2"/>
    <w:rsid w:val="00EC5C37"/>
    <w:rsid w:val="00EC6076"/>
    <w:rsid w:val="00EC6ED6"/>
    <w:rsid w:val="00ED04EE"/>
    <w:rsid w:val="00ED2281"/>
    <w:rsid w:val="00ED299F"/>
    <w:rsid w:val="00ED4185"/>
    <w:rsid w:val="00ED4846"/>
    <w:rsid w:val="00ED4CA2"/>
    <w:rsid w:val="00ED697C"/>
    <w:rsid w:val="00ED7C8C"/>
    <w:rsid w:val="00EE0A67"/>
    <w:rsid w:val="00EE11B2"/>
    <w:rsid w:val="00EE1854"/>
    <w:rsid w:val="00EE1D82"/>
    <w:rsid w:val="00EE2E31"/>
    <w:rsid w:val="00EE3904"/>
    <w:rsid w:val="00EE3E59"/>
    <w:rsid w:val="00EE4303"/>
    <w:rsid w:val="00EE5861"/>
    <w:rsid w:val="00EE600E"/>
    <w:rsid w:val="00EE60E8"/>
    <w:rsid w:val="00EE6165"/>
    <w:rsid w:val="00EE7061"/>
    <w:rsid w:val="00EE7DAF"/>
    <w:rsid w:val="00EF0B67"/>
    <w:rsid w:val="00EF25BD"/>
    <w:rsid w:val="00EF3B86"/>
    <w:rsid w:val="00EF4A53"/>
    <w:rsid w:val="00EF55F7"/>
    <w:rsid w:val="00EF6C5E"/>
    <w:rsid w:val="00EF71F1"/>
    <w:rsid w:val="00EF7308"/>
    <w:rsid w:val="00F004C1"/>
    <w:rsid w:val="00F01728"/>
    <w:rsid w:val="00F01D2A"/>
    <w:rsid w:val="00F01FE2"/>
    <w:rsid w:val="00F03760"/>
    <w:rsid w:val="00F04BBE"/>
    <w:rsid w:val="00F070F3"/>
    <w:rsid w:val="00F071EA"/>
    <w:rsid w:val="00F072F0"/>
    <w:rsid w:val="00F07B57"/>
    <w:rsid w:val="00F1006B"/>
    <w:rsid w:val="00F107CA"/>
    <w:rsid w:val="00F122A2"/>
    <w:rsid w:val="00F134FC"/>
    <w:rsid w:val="00F14CD2"/>
    <w:rsid w:val="00F167A1"/>
    <w:rsid w:val="00F16A01"/>
    <w:rsid w:val="00F17C6D"/>
    <w:rsid w:val="00F216A0"/>
    <w:rsid w:val="00F24FCB"/>
    <w:rsid w:val="00F25D22"/>
    <w:rsid w:val="00F25DA6"/>
    <w:rsid w:val="00F27D97"/>
    <w:rsid w:val="00F30A6D"/>
    <w:rsid w:val="00F30C48"/>
    <w:rsid w:val="00F31F61"/>
    <w:rsid w:val="00F32B66"/>
    <w:rsid w:val="00F34800"/>
    <w:rsid w:val="00F34BD3"/>
    <w:rsid w:val="00F34F16"/>
    <w:rsid w:val="00F36907"/>
    <w:rsid w:val="00F37F62"/>
    <w:rsid w:val="00F409C3"/>
    <w:rsid w:val="00F41167"/>
    <w:rsid w:val="00F412CA"/>
    <w:rsid w:val="00F418DA"/>
    <w:rsid w:val="00F41DCD"/>
    <w:rsid w:val="00F41FE0"/>
    <w:rsid w:val="00F4207E"/>
    <w:rsid w:val="00F420EA"/>
    <w:rsid w:val="00F42D31"/>
    <w:rsid w:val="00F435BA"/>
    <w:rsid w:val="00F43CC9"/>
    <w:rsid w:val="00F44DC5"/>
    <w:rsid w:val="00F454AC"/>
    <w:rsid w:val="00F47886"/>
    <w:rsid w:val="00F51999"/>
    <w:rsid w:val="00F52C87"/>
    <w:rsid w:val="00F54E25"/>
    <w:rsid w:val="00F55A22"/>
    <w:rsid w:val="00F56449"/>
    <w:rsid w:val="00F564A2"/>
    <w:rsid w:val="00F56E29"/>
    <w:rsid w:val="00F56ED2"/>
    <w:rsid w:val="00F5710C"/>
    <w:rsid w:val="00F57236"/>
    <w:rsid w:val="00F60271"/>
    <w:rsid w:val="00F61280"/>
    <w:rsid w:val="00F6184D"/>
    <w:rsid w:val="00F61E0F"/>
    <w:rsid w:val="00F6347E"/>
    <w:rsid w:val="00F640F9"/>
    <w:rsid w:val="00F652C5"/>
    <w:rsid w:val="00F659DB"/>
    <w:rsid w:val="00F66947"/>
    <w:rsid w:val="00F70CD9"/>
    <w:rsid w:val="00F70EDC"/>
    <w:rsid w:val="00F71521"/>
    <w:rsid w:val="00F71D0E"/>
    <w:rsid w:val="00F71DF1"/>
    <w:rsid w:val="00F73336"/>
    <w:rsid w:val="00F73C05"/>
    <w:rsid w:val="00F7436B"/>
    <w:rsid w:val="00F74B9B"/>
    <w:rsid w:val="00F756E8"/>
    <w:rsid w:val="00F76D89"/>
    <w:rsid w:val="00F76F08"/>
    <w:rsid w:val="00F82497"/>
    <w:rsid w:val="00F8462B"/>
    <w:rsid w:val="00F855F8"/>
    <w:rsid w:val="00F862DA"/>
    <w:rsid w:val="00F86503"/>
    <w:rsid w:val="00F90826"/>
    <w:rsid w:val="00F919BB"/>
    <w:rsid w:val="00F9328B"/>
    <w:rsid w:val="00F93BD9"/>
    <w:rsid w:val="00F94EF9"/>
    <w:rsid w:val="00F963AC"/>
    <w:rsid w:val="00F96C84"/>
    <w:rsid w:val="00F97CDE"/>
    <w:rsid w:val="00FA101E"/>
    <w:rsid w:val="00FA2CD8"/>
    <w:rsid w:val="00FA4184"/>
    <w:rsid w:val="00FA5596"/>
    <w:rsid w:val="00FA648C"/>
    <w:rsid w:val="00FB00DC"/>
    <w:rsid w:val="00FB276D"/>
    <w:rsid w:val="00FB5D26"/>
    <w:rsid w:val="00FB656F"/>
    <w:rsid w:val="00FB6690"/>
    <w:rsid w:val="00FB72FD"/>
    <w:rsid w:val="00FC0F7A"/>
    <w:rsid w:val="00FC2F15"/>
    <w:rsid w:val="00FC4802"/>
    <w:rsid w:val="00FC4C39"/>
    <w:rsid w:val="00FC5271"/>
    <w:rsid w:val="00FC5725"/>
    <w:rsid w:val="00FC605B"/>
    <w:rsid w:val="00FC60E0"/>
    <w:rsid w:val="00FC680A"/>
    <w:rsid w:val="00FC6BB4"/>
    <w:rsid w:val="00FC799F"/>
    <w:rsid w:val="00FD19C6"/>
    <w:rsid w:val="00FD1BBA"/>
    <w:rsid w:val="00FD24CC"/>
    <w:rsid w:val="00FD3272"/>
    <w:rsid w:val="00FD495C"/>
    <w:rsid w:val="00FD58F5"/>
    <w:rsid w:val="00FD637B"/>
    <w:rsid w:val="00FD63D3"/>
    <w:rsid w:val="00FE0208"/>
    <w:rsid w:val="00FE18CE"/>
    <w:rsid w:val="00FE24EC"/>
    <w:rsid w:val="00FE2682"/>
    <w:rsid w:val="00FE57EB"/>
    <w:rsid w:val="00FE6218"/>
    <w:rsid w:val="00FE633E"/>
    <w:rsid w:val="00FE634D"/>
    <w:rsid w:val="00FE6D25"/>
    <w:rsid w:val="00FE6FB1"/>
    <w:rsid w:val="00FF0295"/>
    <w:rsid w:val="00FF0A79"/>
    <w:rsid w:val="00FF0C10"/>
    <w:rsid w:val="00FF0D78"/>
    <w:rsid w:val="00FF0E35"/>
    <w:rsid w:val="00FF0F47"/>
    <w:rsid w:val="00FF0FD2"/>
    <w:rsid w:val="00FF4A66"/>
    <w:rsid w:val="00FF526B"/>
    <w:rsid w:val="00FF5EF4"/>
    <w:rsid w:val="00FF61B0"/>
    <w:rsid w:val="00FF7501"/>
    <w:rsid w:val="011B3BFC"/>
    <w:rsid w:val="012104EA"/>
    <w:rsid w:val="01435E85"/>
    <w:rsid w:val="01455969"/>
    <w:rsid w:val="015F50A8"/>
    <w:rsid w:val="01694F4A"/>
    <w:rsid w:val="016F2141"/>
    <w:rsid w:val="01764D8C"/>
    <w:rsid w:val="0191487A"/>
    <w:rsid w:val="01AA1246"/>
    <w:rsid w:val="01BE118B"/>
    <w:rsid w:val="01C72872"/>
    <w:rsid w:val="01E06421"/>
    <w:rsid w:val="022A4273"/>
    <w:rsid w:val="028051BD"/>
    <w:rsid w:val="02973A10"/>
    <w:rsid w:val="02A91BA1"/>
    <w:rsid w:val="02AC21EF"/>
    <w:rsid w:val="02FD35B1"/>
    <w:rsid w:val="0304594D"/>
    <w:rsid w:val="03362153"/>
    <w:rsid w:val="035B43DC"/>
    <w:rsid w:val="03960C2A"/>
    <w:rsid w:val="039726BC"/>
    <w:rsid w:val="03A85C76"/>
    <w:rsid w:val="03FC7F47"/>
    <w:rsid w:val="04036024"/>
    <w:rsid w:val="04153112"/>
    <w:rsid w:val="0416532D"/>
    <w:rsid w:val="0421246B"/>
    <w:rsid w:val="042A12A1"/>
    <w:rsid w:val="043A06FC"/>
    <w:rsid w:val="04440EE8"/>
    <w:rsid w:val="044A5D45"/>
    <w:rsid w:val="046A7D37"/>
    <w:rsid w:val="048831FC"/>
    <w:rsid w:val="048E5820"/>
    <w:rsid w:val="048F7A5B"/>
    <w:rsid w:val="04983481"/>
    <w:rsid w:val="051B4050"/>
    <w:rsid w:val="05200EEC"/>
    <w:rsid w:val="05303A5A"/>
    <w:rsid w:val="05971BBB"/>
    <w:rsid w:val="05A1512F"/>
    <w:rsid w:val="05A41C80"/>
    <w:rsid w:val="05AD5E9C"/>
    <w:rsid w:val="05DB6BF6"/>
    <w:rsid w:val="05E02986"/>
    <w:rsid w:val="05E749DF"/>
    <w:rsid w:val="05EC3946"/>
    <w:rsid w:val="05EF6923"/>
    <w:rsid w:val="06062039"/>
    <w:rsid w:val="061C4A1A"/>
    <w:rsid w:val="06545C0F"/>
    <w:rsid w:val="065D657B"/>
    <w:rsid w:val="0683530C"/>
    <w:rsid w:val="06982583"/>
    <w:rsid w:val="069B2543"/>
    <w:rsid w:val="06AA587D"/>
    <w:rsid w:val="06C0061B"/>
    <w:rsid w:val="06CC0BAD"/>
    <w:rsid w:val="06DF1386"/>
    <w:rsid w:val="07165266"/>
    <w:rsid w:val="07186440"/>
    <w:rsid w:val="07475B54"/>
    <w:rsid w:val="074E6C54"/>
    <w:rsid w:val="07772040"/>
    <w:rsid w:val="07944BFB"/>
    <w:rsid w:val="07E07279"/>
    <w:rsid w:val="07F4403B"/>
    <w:rsid w:val="08061E29"/>
    <w:rsid w:val="081B786A"/>
    <w:rsid w:val="081C34F7"/>
    <w:rsid w:val="082D04CD"/>
    <w:rsid w:val="084039E4"/>
    <w:rsid w:val="084701D0"/>
    <w:rsid w:val="084D09B7"/>
    <w:rsid w:val="08822685"/>
    <w:rsid w:val="08A25AD9"/>
    <w:rsid w:val="08B53C3A"/>
    <w:rsid w:val="09141BF4"/>
    <w:rsid w:val="09317E9F"/>
    <w:rsid w:val="09391FC3"/>
    <w:rsid w:val="09536D0E"/>
    <w:rsid w:val="098B1191"/>
    <w:rsid w:val="0990618A"/>
    <w:rsid w:val="09960598"/>
    <w:rsid w:val="099B12D9"/>
    <w:rsid w:val="09DD372A"/>
    <w:rsid w:val="09E74D12"/>
    <w:rsid w:val="09F37A54"/>
    <w:rsid w:val="09FD0EDC"/>
    <w:rsid w:val="0A1C6FA4"/>
    <w:rsid w:val="0A2546B2"/>
    <w:rsid w:val="0A4B1EB5"/>
    <w:rsid w:val="0A604E35"/>
    <w:rsid w:val="0A9E220A"/>
    <w:rsid w:val="0ADF5BEF"/>
    <w:rsid w:val="0AE623C5"/>
    <w:rsid w:val="0AEB18A7"/>
    <w:rsid w:val="0B242620"/>
    <w:rsid w:val="0B2F2A9B"/>
    <w:rsid w:val="0B2F7605"/>
    <w:rsid w:val="0B343FC1"/>
    <w:rsid w:val="0B3A60A2"/>
    <w:rsid w:val="0B4023C2"/>
    <w:rsid w:val="0B4C5E30"/>
    <w:rsid w:val="0B4D3131"/>
    <w:rsid w:val="0B4F56AD"/>
    <w:rsid w:val="0B72517D"/>
    <w:rsid w:val="0B8F1076"/>
    <w:rsid w:val="0BB0283D"/>
    <w:rsid w:val="0BC74CBE"/>
    <w:rsid w:val="0BD03E58"/>
    <w:rsid w:val="0BD778FE"/>
    <w:rsid w:val="0BE36526"/>
    <w:rsid w:val="0BE93A11"/>
    <w:rsid w:val="0C28597F"/>
    <w:rsid w:val="0C3507E5"/>
    <w:rsid w:val="0C3C1564"/>
    <w:rsid w:val="0C516DBB"/>
    <w:rsid w:val="0C524D46"/>
    <w:rsid w:val="0CA0003A"/>
    <w:rsid w:val="0CB32B18"/>
    <w:rsid w:val="0CCF5348"/>
    <w:rsid w:val="0CF0339C"/>
    <w:rsid w:val="0D1B08A6"/>
    <w:rsid w:val="0D2B4535"/>
    <w:rsid w:val="0D3A4516"/>
    <w:rsid w:val="0D545781"/>
    <w:rsid w:val="0D5F12B2"/>
    <w:rsid w:val="0D703A42"/>
    <w:rsid w:val="0D7C5167"/>
    <w:rsid w:val="0D8A0D38"/>
    <w:rsid w:val="0DA106CB"/>
    <w:rsid w:val="0DA91A1B"/>
    <w:rsid w:val="0DCA496F"/>
    <w:rsid w:val="0DD47CFA"/>
    <w:rsid w:val="0DE00927"/>
    <w:rsid w:val="0E1E6F2A"/>
    <w:rsid w:val="0E2513F6"/>
    <w:rsid w:val="0E313C30"/>
    <w:rsid w:val="0E3517AA"/>
    <w:rsid w:val="0E5D7413"/>
    <w:rsid w:val="0E722040"/>
    <w:rsid w:val="0EBE46BE"/>
    <w:rsid w:val="0ED86AA2"/>
    <w:rsid w:val="0EFC3568"/>
    <w:rsid w:val="0F10031D"/>
    <w:rsid w:val="0F1B58AF"/>
    <w:rsid w:val="0F1D73F7"/>
    <w:rsid w:val="0F28054F"/>
    <w:rsid w:val="0F4D23A6"/>
    <w:rsid w:val="0FA86D47"/>
    <w:rsid w:val="0FAD4C0B"/>
    <w:rsid w:val="0FB31A8F"/>
    <w:rsid w:val="0FED4881"/>
    <w:rsid w:val="10036C51"/>
    <w:rsid w:val="101653E5"/>
    <w:rsid w:val="103509C9"/>
    <w:rsid w:val="10397884"/>
    <w:rsid w:val="104C3C9D"/>
    <w:rsid w:val="10652957"/>
    <w:rsid w:val="107310C9"/>
    <w:rsid w:val="10950BFC"/>
    <w:rsid w:val="10AF6F63"/>
    <w:rsid w:val="10B54F82"/>
    <w:rsid w:val="10C5661F"/>
    <w:rsid w:val="10D736FC"/>
    <w:rsid w:val="10F50192"/>
    <w:rsid w:val="11120BA9"/>
    <w:rsid w:val="111E4786"/>
    <w:rsid w:val="113B1AFF"/>
    <w:rsid w:val="115E7ECD"/>
    <w:rsid w:val="116B779F"/>
    <w:rsid w:val="118779A9"/>
    <w:rsid w:val="11891449"/>
    <w:rsid w:val="11C50FD8"/>
    <w:rsid w:val="11CD2BBC"/>
    <w:rsid w:val="11F06170"/>
    <w:rsid w:val="1206361F"/>
    <w:rsid w:val="120A2754"/>
    <w:rsid w:val="12102E87"/>
    <w:rsid w:val="12713FB2"/>
    <w:rsid w:val="12715FEF"/>
    <w:rsid w:val="12836BC9"/>
    <w:rsid w:val="128C45EA"/>
    <w:rsid w:val="12960907"/>
    <w:rsid w:val="129A6B24"/>
    <w:rsid w:val="12AA2654"/>
    <w:rsid w:val="12C22778"/>
    <w:rsid w:val="12C31E08"/>
    <w:rsid w:val="12C6727A"/>
    <w:rsid w:val="12CB1E2F"/>
    <w:rsid w:val="12DB4FD7"/>
    <w:rsid w:val="12E013E4"/>
    <w:rsid w:val="12F06F24"/>
    <w:rsid w:val="12F7336F"/>
    <w:rsid w:val="131210FD"/>
    <w:rsid w:val="132E767A"/>
    <w:rsid w:val="13455959"/>
    <w:rsid w:val="13503997"/>
    <w:rsid w:val="136D60B5"/>
    <w:rsid w:val="137914BB"/>
    <w:rsid w:val="13821CDC"/>
    <w:rsid w:val="13920B3D"/>
    <w:rsid w:val="139831BE"/>
    <w:rsid w:val="139A17C6"/>
    <w:rsid w:val="139A6A10"/>
    <w:rsid w:val="13AB3240"/>
    <w:rsid w:val="13B3532D"/>
    <w:rsid w:val="13B557EA"/>
    <w:rsid w:val="13DF28E2"/>
    <w:rsid w:val="13E01475"/>
    <w:rsid w:val="13E31AF0"/>
    <w:rsid w:val="13E42476"/>
    <w:rsid w:val="13FA3575"/>
    <w:rsid w:val="1405562B"/>
    <w:rsid w:val="140E4EEE"/>
    <w:rsid w:val="14500201"/>
    <w:rsid w:val="14554456"/>
    <w:rsid w:val="14617079"/>
    <w:rsid w:val="1462715F"/>
    <w:rsid w:val="14641BB1"/>
    <w:rsid w:val="147668AE"/>
    <w:rsid w:val="147C5124"/>
    <w:rsid w:val="14811254"/>
    <w:rsid w:val="14A109A5"/>
    <w:rsid w:val="14A40768"/>
    <w:rsid w:val="14D60DC4"/>
    <w:rsid w:val="14E43031"/>
    <w:rsid w:val="14EF5692"/>
    <w:rsid w:val="15096F70"/>
    <w:rsid w:val="15283CFE"/>
    <w:rsid w:val="154410F5"/>
    <w:rsid w:val="15665B61"/>
    <w:rsid w:val="157F0A64"/>
    <w:rsid w:val="15821C68"/>
    <w:rsid w:val="15A33236"/>
    <w:rsid w:val="15C23F41"/>
    <w:rsid w:val="15F26EA7"/>
    <w:rsid w:val="15F446DE"/>
    <w:rsid w:val="15F5154D"/>
    <w:rsid w:val="160722CF"/>
    <w:rsid w:val="16074934"/>
    <w:rsid w:val="161404C8"/>
    <w:rsid w:val="16155A6F"/>
    <w:rsid w:val="1664374B"/>
    <w:rsid w:val="168542E5"/>
    <w:rsid w:val="16947B35"/>
    <w:rsid w:val="16991253"/>
    <w:rsid w:val="16AE5FC1"/>
    <w:rsid w:val="16D9487B"/>
    <w:rsid w:val="17095F5C"/>
    <w:rsid w:val="170F2C95"/>
    <w:rsid w:val="17173C5A"/>
    <w:rsid w:val="171D2131"/>
    <w:rsid w:val="17286003"/>
    <w:rsid w:val="17303C90"/>
    <w:rsid w:val="174378AE"/>
    <w:rsid w:val="174C04B6"/>
    <w:rsid w:val="1762096D"/>
    <w:rsid w:val="17655B5C"/>
    <w:rsid w:val="178E6F5E"/>
    <w:rsid w:val="17A1129C"/>
    <w:rsid w:val="17AD0FA9"/>
    <w:rsid w:val="17AE07D2"/>
    <w:rsid w:val="17BC01D7"/>
    <w:rsid w:val="17D43236"/>
    <w:rsid w:val="17D7693E"/>
    <w:rsid w:val="17E75E45"/>
    <w:rsid w:val="17E85FEE"/>
    <w:rsid w:val="17F02CB7"/>
    <w:rsid w:val="17F92BDA"/>
    <w:rsid w:val="18017063"/>
    <w:rsid w:val="18071995"/>
    <w:rsid w:val="18632CB2"/>
    <w:rsid w:val="18B129F7"/>
    <w:rsid w:val="18D536D9"/>
    <w:rsid w:val="18FC5AD9"/>
    <w:rsid w:val="19132FD1"/>
    <w:rsid w:val="19365280"/>
    <w:rsid w:val="193776F8"/>
    <w:rsid w:val="194C58CD"/>
    <w:rsid w:val="196B648B"/>
    <w:rsid w:val="19A22E07"/>
    <w:rsid w:val="19C400F6"/>
    <w:rsid w:val="19DA1AF8"/>
    <w:rsid w:val="19F04EF6"/>
    <w:rsid w:val="1A0B3AE3"/>
    <w:rsid w:val="1A227DF3"/>
    <w:rsid w:val="1A3B5849"/>
    <w:rsid w:val="1A6D64F1"/>
    <w:rsid w:val="1A943C18"/>
    <w:rsid w:val="1A946414"/>
    <w:rsid w:val="1ACC0B96"/>
    <w:rsid w:val="1AF94720"/>
    <w:rsid w:val="1B1A5E79"/>
    <w:rsid w:val="1B287A81"/>
    <w:rsid w:val="1B577A54"/>
    <w:rsid w:val="1B68562A"/>
    <w:rsid w:val="1B6C3813"/>
    <w:rsid w:val="1B711413"/>
    <w:rsid w:val="1B764D9C"/>
    <w:rsid w:val="1B972BB3"/>
    <w:rsid w:val="1B9E4874"/>
    <w:rsid w:val="1BB1026F"/>
    <w:rsid w:val="1BCA3DA6"/>
    <w:rsid w:val="1BD369E2"/>
    <w:rsid w:val="1BE30A17"/>
    <w:rsid w:val="1BE76F69"/>
    <w:rsid w:val="1C4972C8"/>
    <w:rsid w:val="1C552E56"/>
    <w:rsid w:val="1C856D7D"/>
    <w:rsid w:val="1CB351D4"/>
    <w:rsid w:val="1CBD75BE"/>
    <w:rsid w:val="1CED1549"/>
    <w:rsid w:val="1D0F22CB"/>
    <w:rsid w:val="1D4516B9"/>
    <w:rsid w:val="1D6574F5"/>
    <w:rsid w:val="1D9A3E7A"/>
    <w:rsid w:val="1DA523A2"/>
    <w:rsid w:val="1DAC4E73"/>
    <w:rsid w:val="1DB963DE"/>
    <w:rsid w:val="1DD83E2B"/>
    <w:rsid w:val="1DE90377"/>
    <w:rsid w:val="1DFE7106"/>
    <w:rsid w:val="1E167DFE"/>
    <w:rsid w:val="1E294F53"/>
    <w:rsid w:val="1E3C24EE"/>
    <w:rsid w:val="1E4A3743"/>
    <w:rsid w:val="1E8A3F0E"/>
    <w:rsid w:val="1E990543"/>
    <w:rsid w:val="1EA44F54"/>
    <w:rsid w:val="1ECA5E33"/>
    <w:rsid w:val="1ED35AA3"/>
    <w:rsid w:val="1ED41F50"/>
    <w:rsid w:val="1EF24675"/>
    <w:rsid w:val="1F417376"/>
    <w:rsid w:val="1F562A55"/>
    <w:rsid w:val="1F5F55A9"/>
    <w:rsid w:val="1F6933BA"/>
    <w:rsid w:val="1F775C04"/>
    <w:rsid w:val="1FA81CFF"/>
    <w:rsid w:val="1FD2438E"/>
    <w:rsid w:val="1FD4184C"/>
    <w:rsid w:val="1FD86ABB"/>
    <w:rsid w:val="200A5B20"/>
    <w:rsid w:val="20481D1F"/>
    <w:rsid w:val="204C7932"/>
    <w:rsid w:val="2058444D"/>
    <w:rsid w:val="206B65F7"/>
    <w:rsid w:val="206E499C"/>
    <w:rsid w:val="207A1BC0"/>
    <w:rsid w:val="20CF4C0F"/>
    <w:rsid w:val="20F300A5"/>
    <w:rsid w:val="212542BE"/>
    <w:rsid w:val="2154483D"/>
    <w:rsid w:val="215B2BCB"/>
    <w:rsid w:val="215E719C"/>
    <w:rsid w:val="21903E1C"/>
    <w:rsid w:val="219F0019"/>
    <w:rsid w:val="21B24DD5"/>
    <w:rsid w:val="21BC16A3"/>
    <w:rsid w:val="21CE1F3D"/>
    <w:rsid w:val="22004095"/>
    <w:rsid w:val="22073CD6"/>
    <w:rsid w:val="22364E30"/>
    <w:rsid w:val="226A1E07"/>
    <w:rsid w:val="226C4511"/>
    <w:rsid w:val="228E0894"/>
    <w:rsid w:val="22B7113A"/>
    <w:rsid w:val="22D35E43"/>
    <w:rsid w:val="22FF0169"/>
    <w:rsid w:val="230839E1"/>
    <w:rsid w:val="2356678E"/>
    <w:rsid w:val="23773D7D"/>
    <w:rsid w:val="237E4FCF"/>
    <w:rsid w:val="238557C2"/>
    <w:rsid w:val="238778D9"/>
    <w:rsid w:val="2398326B"/>
    <w:rsid w:val="23A41386"/>
    <w:rsid w:val="242A46D8"/>
    <w:rsid w:val="24465F84"/>
    <w:rsid w:val="244D2519"/>
    <w:rsid w:val="24B908BB"/>
    <w:rsid w:val="24C747AB"/>
    <w:rsid w:val="25046852"/>
    <w:rsid w:val="25220995"/>
    <w:rsid w:val="25233248"/>
    <w:rsid w:val="25425CA0"/>
    <w:rsid w:val="25582645"/>
    <w:rsid w:val="25631D29"/>
    <w:rsid w:val="25731827"/>
    <w:rsid w:val="259368FF"/>
    <w:rsid w:val="25B136FE"/>
    <w:rsid w:val="25D8373B"/>
    <w:rsid w:val="260B41A9"/>
    <w:rsid w:val="262207EF"/>
    <w:rsid w:val="263E26CA"/>
    <w:rsid w:val="26691DF7"/>
    <w:rsid w:val="26973229"/>
    <w:rsid w:val="26990600"/>
    <w:rsid w:val="269B19ED"/>
    <w:rsid w:val="26FC512A"/>
    <w:rsid w:val="270A313A"/>
    <w:rsid w:val="273932A4"/>
    <w:rsid w:val="2773189A"/>
    <w:rsid w:val="27A93E97"/>
    <w:rsid w:val="27B26AE2"/>
    <w:rsid w:val="27BD299A"/>
    <w:rsid w:val="27CC12AD"/>
    <w:rsid w:val="27D172E0"/>
    <w:rsid w:val="27DA2331"/>
    <w:rsid w:val="27EE4E6C"/>
    <w:rsid w:val="27F15F81"/>
    <w:rsid w:val="28021134"/>
    <w:rsid w:val="2818036D"/>
    <w:rsid w:val="281D7B5F"/>
    <w:rsid w:val="28370BFF"/>
    <w:rsid w:val="283A5DD8"/>
    <w:rsid w:val="28560EDA"/>
    <w:rsid w:val="28A14CC3"/>
    <w:rsid w:val="28C864B2"/>
    <w:rsid w:val="28CC469F"/>
    <w:rsid w:val="28E848A9"/>
    <w:rsid w:val="28FA6DCE"/>
    <w:rsid w:val="29255620"/>
    <w:rsid w:val="292A182C"/>
    <w:rsid w:val="292A3E11"/>
    <w:rsid w:val="292D16CA"/>
    <w:rsid w:val="29571E07"/>
    <w:rsid w:val="29C0238E"/>
    <w:rsid w:val="29F26512"/>
    <w:rsid w:val="2A053B62"/>
    <w:rsid w:val="2A073A75"/>
    <w:rsid w:val="2A160E2D"/>
    <w:rsid w:val="2A1B5789"/>
    <w:rsid w:val="2A476F5A"/>
    <w:rsid w:val="2A804336"/>
    <w:rsid w:val="2A9D7595"/>
    <w:rsid w:val="2AB56AF2"/>
    <w:rsid w:val="2AB56FE8"/>
    <w:rsid w:val="2AB71C12"/>
    <w:rsid w:val="2AC90642"/>
    <w:rsid w:val="2AF02D2A"/>
    <w:rsid w:val="2AFB6279"/>
    <w:rsid w:val="2AFD34A8"/>
    <w:rsid w:val="2B0E718A"/>
    <w:rsid w:val="2B121AB3"/>
    <w:rsid w:val="2B2119A9"/>
    <w:rsid w:val="2B5816AE"/>
    <w:rsid w:val="2B745FE4"/>
    <w:rsid w:val="2B8509FC"/>
    <w:rsid w:val="2BA05488"/>
    <w:rsid w:val="2BAF0C24"/>
    <w:rsid w:val="2BB55194"/>
    <w:rsid w:val="2BB74C3B"/>
    <w:rsid w:val="2BC0300C"/>
    <w:rsid w:val="2BFB75AC"/>
    <w:rsid w:val="2C023D50"/>
    <w:rsid w:val="2C104FBF"/>
    <w:rsid w:val="2C5D00B9"/>
    <w:rsid w:val="2C6C5ABB"/>
    <w:rsid w:val="2C7E321E"/>
    <w:rsid w:val="2C7F2676"/>
    <w:rsid w:val="2CC24726"/>
    <w:rsid w:val="2CE109D5"/>
    <w:rsid w:val="2CF202EE"/>
    <w:rsid w:val="2D3006B4"/>
    <w:rsid w:val="2D332598"/>
    <w:rsid w:val="2D48397C"/>
    <w:rsid w:val="2D501C04"/>
    <w:rsid w:val="2D5B1F9D"/>
    <w:rsid w:val="2D84731D"/>
    <w:rsid w:val="2DC75055"/>
    <w:rsid w:val="2DE10948"/>
    <w:rsid w:val="2E012A1D"/>
    <w:rsid w:val="2E1B78B5"/>
    <w:rsid w:val="2E327327"/>
    <w:rsid w:val="2E7F3BD6"/>
    <w:rsid w:val="2E9637FB"/>
    <w:rsid w:val="2EA11B8C"/>
    <w:rsid w:val="2EAD0B7A"/>
    <w:rsid w:val="2EE97C49"/>
    <w:rsid w:val="2EF875B2"/>
    <w:rsid w:val="2EFD0592"/>
    <w:rsid w:val="2EFE7FB8"/>
    <w:rsid w:val="2F0A3940"/>
    <w:rsid w:val="2F581C9B"/>
    <w:rsid w:val="2F944537"/>
    <w:rsid w:val="2F9E1E2F"/>
    <w:rsid w:val="2FA9509C"/>
    <w:rsid w:val="2FC51CEF"/>
    <w:rsid w:val="2FD3636C"/>
    <w:rsid w:val="2FD61904"/>
    <w:rsid w:val="2FDC6090"/>
    <w:rsid w:val="2FE105D4"/>
    <w:rsid w:val="2FEC5827"/>
    <w:rsid w:val="2FEF4E8F"/>
    <w:rsid w:val="301A54F5"/>
    <w:rsid w:val="30357A1A"/>
    <w:rsid w:val="3042186F"/>
    <w:rsid w:val="30563009"/>
    <w:rsid w:val="305A13BC"/>
    <w:rsid w:val="305F1114"/>
    <w:rsid w:val="30AF0673"/>
    <w:rsid w:val="30F76F62"/>
    <w:rsid w:val="310A0859"/>
    <w:rsid w:val="31500D54"/>
    <w:rsid w:val="316151D2"/>
    <w:rsid w:val="31650175"/>
    <w:rsid w:val="3167550C"/>
    <w:rsid w:val="31AB42FC"/>
    <w:rsid w:val="31DD5DD0"/>
    <w:rsid w:val="31EC5FB3"/>
    <w:rsid w:val="31F32BFB"/>
    <w:rsid w:val="31FF26EA"/>
    <w:rsid w:val="321F2DC7"/>
    <w:rsid w:val="32395856"/>
    <w:rsid w:val="323C1DC2"/>
    <w:rsid w:val="326F3791"/>
    <w:rsid w:val="32921AF1"/>
    <w:rsid w:val="329842EE"/>
    <w:rsid w:val="32B500A7"/>
    <w:rsid w:val="32C92764"/>
    <w:rsid w:val="32CE4D6A"/>
    <w:rsid w:val="32D77563"/>
    <w:rsid w:val="32E27CEB"/>
    <w:rsid w:val="32F9566D"/>
    <w:rsid w:val="33007FE7"/>
    <w:rsid w:val="33074CB8"/>
    <w:rsid w:val="330B726F"/>
    <w:rsid w:val="331667B3"/>
    <w:rsid w:val="33432D6E"/>
    <w:rsid w:val="33477940"/>
    <w:rsid w:val="334A3FEA"/>
    <w:rsid w:val="338E7339"/>
    <w:rsid w:val="33A331E9"/>
    <w:rsid w:val="33DA08AA"/>
    <w:rsid w:val="33E86433"/>
    <w:rsid w:val="33EA3176"/>
    <w:rsid w:val="33EF460C"/>
    <w:rsid w:val="343D58B5"/>
    <w:rsid w:val="34596B5E"/>
    <w:rsid w:val="3496021D"/>
    <w:rsid w:val="349E6073"/>
    <w:rsid w:val="34BC18B5"/>
    <w:rsid w:val="35065865"/>
    <w:rsid w:val="350A469D"/>
    <w:rsid w:val="35362BE4"/>
    <w:rsid w:val="353E3306"/>
    <w:rsid w:val="35437475"/>
    <w:rsid w:val="35494579"/>
    <w:rsid w:val="356D7E74"/>
    <w:rsid w:val="3594447D"/>
    <w:rsid w:val="35C46223"/>
    <w:rsid w:val="35EF7858"/>
    <w:rsid w:val="35FB24CB"/>
    <w:rsid w:val="360F6701"/>
    <w:rsid w:val="36133688"/>
    <w:rsid w:val="3620287D"/>
    <w:rsid w:val="36580963"/>
    <w:rsid w:val="366E7E8C"/>
    <w:rsid w:val="368521DE"/>
    <w:rsid w:val="36922DCA"/>
    <w:rsid w:val="36A43530"/>
    <w:rsid w:val="36B757BB"/>
    <w:rsid w:val="36C87DCC"/>
    <w:rsid w:val="37452628"/>
    <w:rsid w:val="378255DF"/>
    <w:rsid w:val="3797444D"/>
    <w:rsid w:val="37B90BE8"/>
    <w:rsid w:val="37D635D9"/>
    <w:rsid w:val="37DC01F5"/>
    <w:rsid w:val="37E142CF"/>
    <w:rsid w:val="37E84938"/>
    <w:rsid w:val="380C7DC4"/>
    <w:rsid w:val="384D2D7D"/>
    <w:rsid w:val="38615AD6"/>
    <w:rsid w:val="386376E3"/>
    <w:rsid w:val="38652DB7"/>
    <w:rsid w:val="387E2E3A"/>
    <w:rsid w:val="388041E5"/>
    <w:rsid w:val="38D97AAC"/>
    <w:rsid w:val="392F4880"/>
    <w:rsid w:val="39485D1D"/>
    <w:rsid w:val="39527308"/>
    <w:rsid w:val="39593406"/>
    <w:rsid w:val="39616F88"/>
    <w:rsid w:val="39926C95"/>
    <w:rsid w:val="39A53D92"/>
    <w:rsid w:val="39AF6BFD"/>
    <w:rsid w:val="39B53699"/>
    <w:rsid w:val="39B84773"/>
    <w:rsid w:val="39D8054D"/>
    <w:rsid w:val="39E1772F"/>
    <w:rsid w:val="3A053414"/>
    <w:rsid w:val="3A5709F4"/>
    <w:rsid w:val="3A83364D"/>
    <w:rsid w:val="3AB12A8C"/>
    <w:rsid w:val="3B1967F9"/>
    <w:rsid w:val="3B3A182A"/>
    <w:rsid w:val="3B9E3B8B"/>
    <w:rsid w:val="3BB72A15"/>
    <w:rsid w:val="3BBC6F65"/>
    <w:rsid w:val="3BC639CA"/>
    <w:rsid w:val="3BE4618F"/>
    <w:rsid w:val="3C0945CE"/>
    <w:rsid w:val="3C172943"/>
    <w:rsid w:val="3C2737FE"/>
    <w:rsid w:val="3C2F6FCB"/>
    <w:rsid w:val="3C5A121B"/>
    <w:rsid w:val="3C5B1911"/>
    <w:rsid w:val="3C946E91"/>
    <w:rsid w:val="3CCC402B"/>
    <w:rsid w:val="3CE368C0"/>
    <w:rsid w:val="3CE425D8"/>
    <w:rsid w:val="3CEB03F5"/>
    <w:rsid w:val="3CED4E43"/>
    <w:rsid w:val="3D1806C5"/>
    <w:rsid w:val="3D251CE7"/>
    <w:rsid w:val="3D2967BB"/>
    <w:rsid w:val="3D2E0C69"/>
    <w:rsid w:val="3D363575"/>
    <w:rsid w:val="3D3E7B87"/>
    <w:rsid w:val="3D4851A4"/>
    <w:rsid w:val="3D4C429F"/>
    <w:rsid w:val="3D6438A7"/>
    <w:rsid w:val="3D801979"/>
    <w:rsid w:val="3D8C258A"/>
    <w:rsid w:val="3DB4575B"/>
    <w:rsid w:val="3DBA4204"/>
    <w:rsid w:val="3DBA730F"/>
    <w:rsid w:val="3DC9357C"/>
    <w:rsid w:val="3DD02612"/>
    <w:rsid w:val="3DED132A"/>
    <w:rsid w:val="3DF7346F"/>
    <w:rsid w:val="3E1028FB"/>
    <w:rsid w:val="3E4126D6"/>
    <w:rsid w:val="3E6A08F3"/>
    <w:rsid w:val="3E7F534F"/>
    <w:rsid w:val="3E916D2C"/>
    <w:rsid w:val="3EC048E6"/>
    <w:rsid w:val="3EC67E95"/>
    <w:rsid w:val="3EDC1AC1"/>
    <w:rsid w:val="3EE42427"/>
    <w:rsid w:val="3F551B76"/>
    <w:rsid w:val="3F557942"/>
    <w:rsid w:val="3F561FB5"/>
    <w:rsid w:val="3F6B1F5B"/>
    <w:rsid w:val="3FA1272D"/>
    <w:rsid w:val="3FA832F6"/>
    <w:rsid w:val="3FD73028"/>
    <w:rsid w:val="3FEB3C2C"/>
    <w:rsid w:val="3FF9543E"/>
    <w:rsid w:val="3FF97FE0"/>
    <w:rsid w:val="3FFA6C1A"/>
    <w:rsid w:val="400725BE"/>
    <w:rsid w:val="40153F81"/>
    <w:rsid w:val="403776EF"/>
    <w:rsid w:val="404339FD"/>
    <w:rsid w:val="404E101B"/>
    <w:rsid w:val="4061240A"/>
    <w:rsid w:val="4061277B"/>
    <w:rsid w:val="409C39FC"/>
    <w:rsid w:val="40F45F09"/>
    <w:rsid w:val="41130B36"/>
    <w:rsid w:val="41523BBA"/>
    <w:rsid w:val="415B07AB"/>
    <w:rsid w:val="41635F55"/>
    <w:rsid w:val="41697F5C"/>
    <w:rsid w:val="416E7549"/>
    <w:rsid w:val="41720507"/>
    <w:rsid w:val="417A406F"/>
    <w:rsid w:val="41901244"/>
    <w:rsid w:val="419F13C7"/>
    <w:rsid w:val="41C87F0D"/>
    <w:rsid w:val="41D24967"/>
    <w:rsid w:val="420706C4"/>
    <w:rsid w:val="421A1919"/>
    <w:rsid w:val="4235581C"/>
    <w:rsid w:val="42415447"/>
    <w:rsid w:val="424C00F3"/>
    <w:rsid w:val="425C610D"/>
    <w:rsid w:val="42857771"/>
    <w:rsid w:val="42B023D8"/>
    <w:rsid w:val="42B83E3A"/>
    <w:rsid w:val="42E021EA"/>
    <w:rsid w:val="42F0074A"/>
    <w:rsid w:val="43306714"/>
    <w:rsid w:val="43447EA2"/>
    <w:rsid w:val="434A697C"/>
    <w:rsid w:val="434E4D81"/>
    <w:rsid w:val="435506FA"/>
    <w:rsid w:val="436B5075"/>
    <w:rsid w:val="438E45F7"/>
    <w:rsid w:val="43A90069"/>
    <w:rsid w:val="43AF23AF"/>
    <w:rsid w:val="43B51A7E"/>
    <w:rsid w:val="43B8621C"/>
    <w:rsid w:val="43CA28BD"/>
    <w:rsid w:val="43DE3034"/>
    <w:rsid w:val="43F2090B"/>
    <w:rsid w:val="441F1A28"/>
    <w:rsid w:val="44443E1C"/>
    <w:rsid w:val="44530E0A"/>
    <w:rsid w:val="445A0553"/>
    <w:rsid w:val="445E1AA3"/>
    <w:rsid w:val="44865DE5"/>
    <w:rsid w:val="448715D8"/>
    <w:rsid w:val="44A11350"/>
    <w:rsid w:val="44A92F10"/>
    <w:rsid w:val="44B1639B"/>
    <w:rsid w:val="44BC650F"/>
    <w:rsid w:val="44C431D7"/>
    <w:rsid w:val="454F4AED"/>
    <w:rsid w:val="45647867"/>
    <w:rsid w:val="456C21AD"/>
    <w:rsid w:val="458B4D08"/>
    <w:rsid w:val="4593780C"/>
    <w:rsid w:val="45B462B4"/>
    <w:rsid w:val="45D065AB"/>
    <w:rsid w:val="45F12920"/>
    <w:rsid w:val="45F17F0A"/>
    <w:rsid w:val="46445004"/>
    <w:rsid w:val="464677AA"/>
    <w:rsid w:val="468D4CF1"/>
    <w:rsid w:val="469A6944"/>
    <w:rsid w:val="46B07934"/>
    <w:rsid w:val="46C4652A"/>
    <w:rsid w:val="46E86BE3"/>
    <w:rsid w:val="472F0C52"/>
    <w:rsid w:val="47431751"/>
    <w:rsid w:val="47462D0E"/>
    <w:rsid w:val="474B1BD3"/>
    <w:rsid w:val="47542800"/>
    <w:rsid w:val="479507AF"/>
    <w:rsid w:val="47B8673C"/>
    <w:rsid w:val="47C905C3"/>
    <w:rsid w:val="47EF002C"/>
    <w:rsid w:val="48050383"/>
    <w:rsid w:val="481C0CDA"/>
    <w:rsid w:val="482C75E6"/>
    <w:rsid w:val="483112B0"/>
    <w:rsid w:val="483601F5"/>
    <w:rsid w:val="48496B99"/>
    <w:rsid w:val="48586FAC"/>
    <w:rsid w:val="4871506A"/>
    <w:rsid w:val="48A4316D"/>
    <w:rsid w:val="48B45DA1"/>
    <w:rsid w:val="48C13826"/>
    <w:rsid w:val="48F64019"/>
    <w:rsid w:val="48F823C3"/>
    <w:rsid w:val="49224C02"/>
    <w:rsid w:val="49244F48"/>
    <w:rsid w:val="493C2D24"/>
    <w:rsid w:val="49C411C0"/>
    <w:rsid w:val="49C92659"/>
    <w:rsid w:val="49E3551C"/>
    <w:rsid w:val="49FD7896"/>
    <w:rsid w:val="4A107510"/>
    <w:rsid w:val="4A3B5F84"/>
    <w:rsid w:val="4A4F0FFA"/>
    <w:rsid w:val="4A707767"/>
    <w:rsid w:val="4A9C2C23"/>
    <w:rsid w:val="4AA7505E"/>
    <w:rsid w:val="4AAE1748"/>
    <w:rsid w:val="4AB82017"/>
    <w:rsid w:val="4AC15CAE"/>
    <w:rsid w:val="4B5632AA"/>
    <w:rsid w:val="4B9E68B4"/>
    <w:rsid w:val="4C1705E5"/>
    <w:rsid w:val="4C234017"/>
    <w:rsid w:val="4C30440B"/>
    <w:rsid w:val="4C473185"/>
    <w:rsid w:val="4C525768"/>
    <w:rsid w:val="4C580DA1"/>
    <w:rsid w:val="4C5979A2"/>
    <w:rsid w:val="4C7257EE"/>
    <w:rsid w:val="4C91322C"/>
    <w:rsid w:val="4CBD6C03"/>
    <w:rsid w:val="4CCF73D6"/>
    <w:rsid w:val="4CDB2F0D"/>
    <w:rsid w:val="4CE679B9"/>
    <w:rsid w:val="4D3803A9"/>
    <w:rsid w:val="4D3D4B44"/>
    <w:rsid w:val="4D563AC4"/>
    <w:rsid w:val="4D6F2C7F"/>
    <w:rsid w:val="4D7F2EB3"/>
    <w:rsid w:val="4D811B8F"/>
    <w:rsid w:val="4D9A5015"/>
    <w:rsid w:val="4DC666FF"/>
    <w:rsid w:val="4DF542F3"/>
    <w:rsid w:val="4E07168E"/>
    <w:rsid w:val="4E0B29DD"/>
    <w:rsid w:val="4E153CE1"/>
    <w:rsid w:val="4E3605DF"/>
    <w:rsid w:val="4E7029CA"/>
    <w:rsid w:val="4E811BB7"/>
    <w:rsid w:val="4E8C7F55"/>
    <w:rsid w:val="4E94180E"/>
    <w:rsid w:val="4EDE6822"/>
    <w:rsid w:val="4EF03FE0"/>
    <w:rsid w:val="4F027B5D"/>
    <w:rsid w:val="4F0A6B4D"/>
    <w:rsid w:val="4F1069BE"/>
    <w:rsid w:val="4F145FBB"/>
    <w:rsid w:val="4F350502"/>
    <w:rsid w:val="4F352F32"/>
    <w:rsid w:val="4F766B38"/>
    <w:rsid w:val="4F843F1A"/>
    <w:rsid w:val="4FDE05F9"/>
    <w:rsid w:val="4FF55EAA"/>
    <w:rsid w:val="4FFB64FA"/>
    <w:rsid w:val="50011A91"/>
    <w:rsid w:val="50061B62"/>
    <w:rsid w:val="502106B5"/>
    <w:rsid w:val="503F1797"/>
    <w:rsid w:val="50480198"/>
    <w:rsid w:val="504C32CA"/>
    <w:rsid w:val="506C3D5F"/>
    <w:rsid w:val="509D45FD"/>
    <w:rsid w:val="50D663A1"/>
    <w:rsid w:val="50D82019"/>
    <w:rsid w:val="510052D3"/>
    <w:rsid w:val="51195A99"/>
    <w:rsid w:val="512831FB"/>
    <w:rsid w:val="513978CD"/>
    <w:rsid w:val="513E2175"/>
    <w:rsid w:val="513F76F9"/>
    <w:rsid w:val="5150122E"/>
    <w:rsid w:val="5159697E"/>
    <w:rsid w:val="515C12F7"/>
    <w:rsid w:val="516849B5"/>
    <w:rsid w:val="518F4667"/>
    <w:rsid w:val="518F5425"/>
    <w:rsid w:val="51A10B01"/>
    <w:rsid w:val="51FD290E"/>
    <w:rsid w:val="522D757C"/>
    <w:rsid w:val="52302BD9"/>
    <w:rsid w:val="52415E2D"/>
    <w:rsid w:val="52582329"/>
    <w:rsid w:val="52AA65DA"/>
    <w:rsid w:val="52C74379"/>
    <w:rsid w:val="52DA5A3E"/>
    <w:rsid w:val="52DC784B"/>
    <w:rsid w:val="52F61E27"/>
    <w:rsid w:val="531A0C51"/>
    <w:rsid w:val="534F0531"/>
    <w:rsid w:val="53BA11E5"/>
    <w:rsid w:val="53CB3F39"/>
    <w:rsid w:val="5402534D"/>
    <w:rsid w:val="54043C96"/>
    <w:rsid w:val="541C1C0A"/>
    <w:rsid w:val="54232D0E"/>
    <w:rsid w:val="543270B9"/>
    <w:rsid w:val="543F7F9A"/>
    <w:rsid w:val="546A5135"/>
    <w:rsid w:val="5483641E"/>
    <w:rsid w:val="548B150F"/>
    <w:rsid w:val="54923CF3"/>
    <w:rsid w:val="54EC23B8"/>
    <w:rsid w:val="54F03233"/>
    <w:rsid w:val="551F02B0"/>
    <w:rsid w:val="5538522E"/>
    <w:rsid w:val="56435E98"/>
    <w:rsid w:val="5661622F"/>
    <w:rsid w:val="567B35B2"/>
    <w:rsid w:val="56851138"/>
    <w:rsid w:val="56862A66"/>
    <w:rsid w:val="569D136A"/>
    <w:rsid w:val="56BF03DB"/>
    <w:rsid w:val="56F166BB"/>
    <w:rsid w:val="57364BF2"/>
    <w:rsid w:val="573B0548"/>
    <w:rsid w:val="573E2312"/>
    <w:rsid w:val="575B68FD"/>
    <w:rsid w:val="57C33BE7"/>
    <w:rsid w:val="57F03748"/>
    <w:rsid w:val="58081C11"/>
    <w:rsid w:val="583C6047"/>
    <w:rsid w:val="58642A9F"/>
    <w:rsid w:val="586B481C"/>
    <w:rsid w:val="586D2766"/>
    <w:rsid w:val="58715330"/>
    <w:rsid w:val="588970E7"/>
    <w:rsid w:val="58AA239A"/>
    <w:rsid w:val="58AE2B43"/>
    <w:rsid w:val="58FA1408"/>
    <w:rsid w:val="59102830"/>
    <w:rsid w:val="59187AD9"/>
    <w:rsid w:val="5945077E"/>
    <w:rsid w:val="594D1550"/>
    <w:rsid w:val="59660C68"/>
    <w:rsid w:val="599817DE"/>
    <w:rsid w:val="599E4814"/>
    <w:rsid w:val="59A72E3D"/>
    <w:rsid w:val="59D07BB9"/>
    <w:rsid w:val="5A0D04B1"/>
    <w:rsid w:val="5A1B4E48"/>
    <w:rsid w:val="5A2A04DA"/>
    <w:rsid w:val="5A735090"/>
    <w:rsid w:val="5A934442"/>
    <w:rsid w:val="5A975303"/>
    <w:rsid w:val="5A9E05C0"/>
    <w:rsid w:val="5AAD4CDA"/>
    <w:rsid w:val="5AF34EB8"/>
    <w:rsid w:val="5B47607B"/>
    <w:rsid w:val="5B8E3515"/>
    <w:rsid w:val="5B8F26E2"/>
    <w:rsid w:val="5B9959DA"/>
    <w:rsid w:val="5BA42227"/>
    <w:rsid w:val="5BDE2C1C"/>
    <w:rsid w:val="5BEF24E5"/>
    <w:rsid w:val="5C3E5C47"/>
    <w:rsid w:val="5C467ECC"/>
    <w:rsid w:val="5C5471AD"/>
    <w:rsid w:val="5C7B2DCA"/>
    <w:rsid w:val="5C8E2A1C"/>
    <w:rsid w:val="5CB06720"/>
    <w:rsid w:val="5CB65090"/>
    <w:rsid w:val="5D066B55"/>
    <w:rsid w:val="5D330005"/>
    <w:rsid w:val="5D4847A0"/>
    <w:rsid w:val="5D847E4C"/>
    <w:rsid w:val="5D8511BB"/>
    <w:rsid w:val="5DB64B22"/>
    <w:rsid w:val="5DC04B82"/>
    <w:rsid w:val="5DC9279B"/>
    <w:rsid w:val="5DCA47BF"/>
    <w:rsid w:val="5DD04D60"/>
    <w:rsid w:val="5E0F5ABE"/>
    <w:rsid w:val="5E43527F"/>
    <w:rsid w:val="5E6F2DA5"/>
    <w:rsid w:val="5E7F472D"/>
    <w:rsid w:val="5EAE48AA"/>
    <w:rsid w:val="5EB436F9"/>
    <w:rsid w:val="5EBF7372"/>
    <w:rsid w:val="5EF37BD5"/>
    <w:rsid w:val="5EFE221D"/>
    <w:rsid w:val="5F5C30E5"/>
    <w:rsid w:val="5F694290"/>
    <w:rsid w:val="5F8160EB"/>
    <w:rsid w:val="5F8F4524"/>
    <w:rsid w:val="5FDD7CD8"/>
    <w:rsid w:val="5FDF19B1"/>
    <w:rsid w:val="5FFE19E9"/>
    <w:rsid w:val="60180DB8"/>
    <w:rsid w:val="602E0656"/>
    <w:rsid w:val="60682519"/>
    <w:rsid w:val="6075333A"/>
    <w:rsid w:val="60CD0EC2"/>
    <w:rsid w:val="61607563"/>
    <w:rsid w:val="61664E01"/>
    <w:rsid w:val="617C48C6"/>
    <w:rsid w:val="619A2E26"/>
    <w:rsid w:val="61CE10E0"/>
    <w:rsid w:val="61EB011C"/>
    <w:rsid w:val="61F754B2"/>
    <w:rsid w:val="62002A13"/>
    <w:rsid w:val="624A7157"/>
    <w:rsid w:val="624B597D"/>
    <w:rsid w:val="624E3A2C"/>
    <w:rsid w:val="62572417"/>
    <w:rsid w:val="626B33F6"/>
    <w:rsid w:val="62865532"/>
    <w:rsid w:val="629F32E4"/>
    <w:rsid w:val="62AA384B"/>
    <w:rsid w:val="62E22013"/>
    <w:rsid w:val="62F12662"/>
    <w:rsid w:val="63005331"/>
    <w:rsid w:val="632A780A"/>
    <w:rsid w:val="63596F7A"/>
    <w:rsid w:val="636813A7"/>
    <w:rsid w:val="638A735E"/>
    <w:rsid w:val="639456EF"/>
    <w:rsid w:val="63A57B87"/>
    <w:rsid w:val="63E03F01"/>
    <w:rsid w:val="63FA0916"/>
    <w:rsid w:val="6402249F"/>
    <w:rsid w:val="641111F2"/>
    <w:rsid w:val="641C6F17"/>
    <w:rsid w:val="645A5BA8"/>
    <w:rsid w:val="6476388A"/>
    <w:rsid w:val="6479751D"/>
    <w:rsid w:val="649D57C6"/>
    <w:rsid w:val="64A90005"/>
    <w:rsid w:val="64B15AF5"/>
    <w:rsid w:val="64B6677C"/>
    <w:rsid w:val="64C555C3"/>
    <w:rsid w:val="64CE6242"/>
    <w:rsid w:val="650F6D2F"/>
    <w:rsid w:val="656B0FF8"/>
    <w:rsid w:val="65761980"/>
    <w:rsid w:val="657A64ED"/>
    <w:rsid w:val="658259E9"/>
    <w:rsid w:val="65B50C94"/>
    <w:rsid w:val="65BC3EAF"/>
    <w:rsid w:val="65C429BB"/>
    <w:rsid w:val="65DE1DB1"/>
    <w:rsid w:val="65E0010A"/>
    <w:rsid w:val="65F55C79"/>
    <w:rsid w:val="664A1535"/>
    <w:rsid w:val="66544C75"/>
    <w:rsid w:val="66653E56"/>
    <w:rsid w:val="66671B0F"/>
    <w:rsid w:val="6676119C"/>
    <w:rsid w:val="669D5667"/>
    <w:rsid w:val="66B111A5"/>
    <w:rsid w:val="66BB2177"/>
    <w:rsid w:val="66DE4433"/>
    <w:rsid w:val="67123EB4"/>
    <w:rsid w:val="67316185"/>
    <w:rsid w:val="673E16AF"/>
    <w:rsid w:val="67774900"/>
    <w:rsid w:val="679746D6"/>
    <w:rsid w:val="67A15406"/>
    <w:rsid w:val="67A5165A"/>
    <w:rsid w:val="67BF7F32"/>
    <w:rsid w:val="67C2776F"/>
    <w:rsid w:val="67EA6FE8"/>
    <w:rsid w:val="681F5DB0"/>
    <w:rsid w:val="683A3503"/>
    <w:rsid w:val="68522DF2"/>
    <w:rsid w:val="686444E1"/>
    <w:rsid w:val="687F47F2"/>
    <w:rsid w:val="688E4FF9"/>
    <w:rsid w:val="68AC1872"/>
    <w:rsid w:val="68F265D6"/>
    <w:rsid w:val="68F30B77"/>
    <w:rsid w:val="6923630A"/>
    <w:rsid w:val="692E1363"/>
    <w:rsid w:val="69327F82"/>
    <w:rsid w:val="69746EC9"/>
    <w:rsid w:val="697C3AC6"/>
    <w:rsid w:val="69943146"/>
    <w:rsid w:val="69957F44"/>
    <w:rsid w:val="699D77D8"/>
    <w:rsid w:val="69A563B4"/>
    <w:rsid w:val="69B14C33"/>
    <w:rsid w:val="69BD2120"/>
    <w:rsid w:val="69EB3B55"/>
    <w:rsid w:val="6A0F6AFB"/>
    <w:rsid w:val="6A2746D5"/>
    <w:rsid w:val="6A3948C5"/>
    <w:rsid w:val="6A566C42"/>
    <w:rsid w:val="6AB75105"/>
    <w:rsid w:val="6AD32676"/>
    <w:rsid w:val="6AF66585"/>
    <w:rsid w:val="6B255C10"/>
    <w:rsid w:val="6B3076FD"/>
    <w:rsid w:val="6B3A77A7"/>
    <w:rsid w:val="6B416C04"/>
    <w:rsid w:val="6B6B3172"/>
    <w:rsid w:val="6B713AFF"/>
    <w:rsid w:val="6B872D17"/>
    <w:rsid w:val="6B8C2004"/>
    <w:rsid w:val="6B9C5E31"/>
    <w:rsid w:val="6BB51CF6"/>
    <w:rsid w:val="6BD31732"/>
    <w:rsid w:val="6C1F4581"/>
    <w:rsid w:val="6C3163D1"/>
    <w:rsid w:val="6C8B18E3"/>
    <w:rsid w:val="6C955022"/>
    <w:rsid w:val="6CA6552D"/>
    <w:rsid w:val="6CC43600"/>
    <w:rsid w:val="6CD77A20"/>
    <w:rsid w:val="6CF36FB3"/>
    <w:rsid w:val="6D106ABB"/>
    <w:rsid w:val="6D272FC4"/>
    <w:rsid w:val="6D5C36B7"/>
    <w:rsid w:val="6D725E2F"/>
    <w:rsid w:val="6D7904B4"/>
    <w:rsid w:val="6D7C2BF2"/>
    <w:rsid w:val="6D9A7061"/>
    <w:rsid w:val="6D9D1EFD"/>
    <w:rsid w:val="6DAD25A9"/>
    <w:rsid w:val="6DB809FD"/>
    <w:rsid w:val="6DC43618"/>
    <w:rsid w:val="6DC6512A"/>
    <w:rsid w:val="6DD11708"/>
    <w:rsid w:val="6DF36956"/>
    <w:rsid w:val="6E054825"/>
    <w:rsid w:val="6E071400"/>
    <w:rsid w:val="6E1A2F6E"/>
    <w:rsid w:val="6E1C3C82"/>
    <w:rsid w:val="6E2D0758"/>
    <w:rsid w:val="6E46320B"/>
    <w:rsid w:val="6E493C12"/>
    <w:rsid w:val="6E8A2F0E"/>
    <w:rsid w:val="6EAB1A6E"/>
    <w:rsid w:val="6EB132EC"/>
    <w:rsid w:val="6EBF6F12"/>
    <w:rsid w:val="6EDC35ED"/>
    <w:rsid w:val="6EE91D09"/>
    <w:rsid w:val="6F062ECF"/>
    <w:rsid w:val="6F0D5D57"/>
    <w:rsid w:val="6F2B6C9A"/>
    <w:rsid w:val="6F3B4C30"/>
    <w:rsid w:val="6F6822D7"/>
    <w:rsid w:val="6F933ED6"/>
    <w:rsid w:val="6FDB1563"/>
    <w:rsid w:val="6FE422D6"/>
    <w:rsid w:val="7043118C"/>
    <w:rsid w:val="708F6643"/>
    <w:rsid w:val="70915596"/>
    <w:rsid w:val="70A54381"/>
    <w:rsid w:val="70A60ED4"/>
    <w:rsid w:val="70BD5F2A"/>
    <w:rsid w:val="70D26A76"/>
    <w:rsid w:val="70E067E6"/>
    <w:rsid w:val="70E21608"/>
    <w:rsid w:val="70EC73A0"/>
    <w:rsid w:val="713B3162"/>
    <w:rsid w:val="715B6FE4"/>
    <w:rsid w:val="716A731E"/>
    <w:rsid w:val="7170090F"/>
    <w:rsid w:val="718E0C0C"/>
    <w:rsid w:val="719E0789"/>
    <w:rsid w:val="71CB5A34"/>
    <w:rsid w:val="71D166CD"/>
    <w:rsid w:val="71DF07BE"/>
    <w:rsid w:val="71EE1175"/>
    <w:rsid w:val="7227266E"/>
    <w:rsid w:val="722863B8"/>
    <w:rsid w:val="72326FBC"/>
    <w:rsid w:val="72565E22"/>
    <w:rsid w:val="72617A36"/>
    <w:rsid w:val="7266063B"/>
    <w:rsid w:val="72791397"/>
    <w:rsid w:val="72A036CF"/>
    <w:rsid w:val="72CE307E"/>
    <w:rsid w:val="72D05DA2"/>
    <w:rsid w:val="72D92B78"/>
    <w:rsid w:val="72DB3860"/>
    <w:rsid w:val="72E43C8E"/>
    <w:rsid w:val="72E91685"/>
    <w:rsid w:val="72FF013F"/>
    <w:rsid w:val="733B144B"/>
    <w:rsid w:val="734B7198"/>
    <w:rsid w:val="735815C0"/>
    <w:rsid w:val="73864AEF"/>
    <w:rsid w:val="73B16BB3"/>
    <w:rsid w:val="73E96B39"/>
    <w:rsid w:val="73F61526"/>
    <w:rsid w:val="73FD7457"/>
    <w:rsid w:val="741D6BB7"/>
    <w:rsid w:val="74585B9E"/>
    <w:rsid w:val="745D4F24"/>
    <w:rsid w:val="747445F8"/>
    <w:rsid w:val="748D0031"/>
    <w:rsid w:val="74B62489"/>
    <w:rsid w:val="74BB01EE"/>
    <w:rsid w:val="74CD4CDF"/>
    <w:rsid w:val="74F579C3"/>
    <w:rsid w:val="74F76099"/>
    <w:rsid w:val="74FE3DF5"/>
    <w:rsid w:val="75024B07"/>
    <w:rsid w:val="751C0AF3"/>
    <w:rsid w:val="752264C2"/>
    <w:rsid w:val="752D1340"/>
    <w:rsid w:val="753412AA"/>
    <w:rsid w:val="753D6CEF"/>
    <w:rsid w:val="75802696"/>
    <w:rsid w:val="758B2C7D"/>
    <w:rsid w:val="75A817A8"/>
    <w:rsid w:val="75A86DBD"/>
    <w:rsid w:val="75C11697"/>
    <w:rsid w:val="75C42647"/>
    <w:rsid w:val="75C738D6"/>
    <w:rsid w:val="75DF6DEE"/>
    <w:rsid w:val="75E14175"/>
    <w:rsid w:val="760E500B"/>
    <w:rsid w:val="76191DF6"/>
    <w:rsid w:val="762C4947"/>
    <w:rsid w:val="76350C75"/>
    <w:rsid w:val="763E2A8F"/>
    <w:rsid w:val="764A784F"/>
    <w:rsid w:val="767C34E0"/>
    <w:rsid w:val="76BF130B"/>
    <w:rsid w:val="76CA6D53"/>
    <w:rsid w:val="77073162"/>
    <w:rsid w:val="7744286A"/>
    <w:rsid w:val="77597FD6"/>
    <w:rsid w:val="775D52BC"/>
    <w:rsid w:val="77600CC7"/>
    <w:rsid w:val="77907467"/>
    <w:rsid w:val="77C77A9E"/>
    <w:rsid w:val="77CB0CC4"/>
    <w:rsid w:val="77DE1129"/>
    <w:rsid w:val="784248CF"/>
    <w:rsid w:val="785A6CDF"/>
    <w:rsid w:val="785B5909"/>
    <w:rsid w:val="786901EC"/>
    <w:rsid w:val="787B3FFA"/>
    <w:rsid w:val="78967EE6"/>
    <w:rsid w:val="78A95DA8"/>
    <w:rsid w:val="78AB7A90"/>
    <w:rsid w:val="78D244C8"/>
    <w:rsid w:val="78EE7123"/>
    <w:rsid w:val="78F76C86"/>
    <w:rsid w:val="791457BA"/>
    <w:rsid w:val="79190D6A"/>
    <w:rsid w:val="7946076A"/>
    <w:rsid w:val="794D6650"/>
    <w:rsid w:val="795B0E5A"/>
    <w:rsid w:val="797340BF"/>
    <w:rsid w:val="797A2BF0"/>
    <w:rsid w:val="797B7979"/>
    <w:rsid w:val="79934B8A"/>
    <w:rsid w:val="79A71172"/>
    <w:rsid w:val="79C356F2"/>
    <w:rsid w:val="79C4492E"/>
    <w:rsid w:val="79D8666A"/>
    <w:rsid w:val="7A026DB8"/>
    <w:rsid w:val="7A4477C1"/>
    <w:rsid w:val="7A4511C6"/>
    <w:rsid w:val="7A4A355B"/>
    <w:rsid w:val="7A4B6635"/>
    <w:rsid w:val="7A534D43"/>
    <w:rsid w:val="7A7C30BD"/>
    <w:rsid w:val="7A84278A"/>
    <w:rsid w:val="7A8D3AB1"/>
    <w:rsid w:val="7AB051E6"/>
    <w:rsid w:val="7ABB3B78"/>
    <w:rsid w:val="7AD0114E"/>
    <w:rsid w:val="7AD0466B"/>
    <w:rsid w:val="7AD65A03"/>
    <w:rsid w:val="7AE63A78"/>
    <w:rsid w:val="7B074467"/>
    <w:rsid w:val="7B102E53"/>
    <w:rsid w:val="7B183853"/>
    <w:rsid w:val="7B1C0B89"/>
    <w:rsid w:val="7B2A68B9"/>
    <w:rsid w:val="7B332530"/>
    <w:rsid w:val="7B434887"/>
    <w:rsid w:val="7B4B4BB4"/>
    <w:rsid w:val="7B5876EA"/>
    <w:rsid w:val="7B5C2826"/>
    <w:rsid w:val="7B943CCB"/>
    <w:rsid w:val="7BA05042"/>
    <w:rsid w:val="7BBF4C01"/>
    <w:rsid w:val="7BE43C23"/>
    <w:rsid w:val="7BF23B84"/>
    <w:rsid w:val="7C1F3E97"/>
    <w:rsid w:val="7C28169B"/>
    <w:rsid w:val="7C9376EC"/>
    <w:rsid w:val="7CAD62DE"/>
    <w:rsid w:val="7CB7696C"/>
    <w:rsid w:val="7CD72085"/>
    <w:rsid w:val="7CDA473E"/>
    <w:rsid w:val="7CDF40C4"/>
    <w:rsid w:val="7D184F8E"/>
    <w:rsid w:val="7D1D520E"/>
    <w:rsid w:val="7D2279C0"/>
    <w:rsid w:val="7D414A59"/>
    <w:rsid w:val="7D6C1353"/>
    <w:rsid w:val="7D702878"/>
    <w:rsid w:val="7D8852C6"/>
    <w:rsid w:val="7D886042"/>
    <w:rsid w:val="7D891A57"/>
    <w:rsid w:val="7D8E3697"/>
    <w:rsid w:val="7D9022C9"/>
    <w:rsid w:val="7DA36B91"/>
    <w:rsid w:val="7DA97FE3"/>
    <w:rsid w:val="7DAC213C"/>
    <w:rsid w:val="7DCE64ED"/>
    <w:rsid w:val="7DD40FA3"/>
    <w:rsid w:val="7DEC0802"/>
    <w:rsid w:val="7DEE0D87"/>
    <w:rsid w:val="7DF320CB"/>
    <w:rsid w:val="7DF4738C"/>
    <w:rsid w:val="7DF91223"/>
    <w:rsid w:val="7E071DD5"/>
    <w:rsid w:val="7E0A0EFA"/>
    <w:rsid w:val="7E360324"/>
    <w:rsid w:val="7E5673DB"/>
    <w:rsid w:val="7E586A51"/>
    <w:rsid w:val="7E5C0436"/>
    <w:rsid w:val="7E5C5661"/>
    <w:rsid w:val="7E7F62AA"/>
    <w:rsid w:val="7EBC6531"/>
    <w:rsid w:val="7EC67419"/>
    <w:rsid w:val="7F0150E0"/>
    <w:rsid w:val="7F226525"/>
    <w:rsid w:val="7F3A22BE"/>
    <w:rsid w:val="7F567CDE"/>
    <w:rsid w:val="7F821C8C"/>
    <w:rsid w:val="7F9A3827"/>
    <w:rsid w:val="7FB01AFB"/>
    <w:rsid w:val="7FE355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宋体" w:hAnsi="Times New Roman" w:eastAsia="宋体" w:cs="Times New Roman"/>
      <w:color w:val="000000"/>
      <w:sz w:val="24"/>
      <w:szCs w:val="24"/>
      <w:lang w:val="en-US" w:eastAsia="zh-CN" w:bidi="ar-SA"/>
    </w:rPr>
  </w:style>
  <w:style w:type="paragraph" w:styleId="3">
    <w:name w:val="heading 1"/>
    <w:basedOn w:val="1"/>
    <w:next w:val="1"/>
    <w:link w:val="58"/>
    <w:qFormat/>
    <w:uiPriority w:val="9"/>
    <w:pPr>
      <w:keepNext/>
      <w:keepLines/>
      <w:spacing w:before="340" w:after="330" w:line="576" w:lineRule="auto"/>
      <w:outlineLvl w:val="0"/>
    </w:pPr>
    <w:rPr>
      <w:rFonts w:hAnsi="Calibri"/>
      <w:b/>
      <w:color w:val="auto"/>
      <w:kern w:val="44"/>
      <w:sz w:val="44"/>
      <w:szCs w:val="20"/>
    </w:rPr>
  </w:style>
  <w:style w:type="paragraph" w:styleId="4">
    <w:name w:val="heading 2"/>
    <w:basedOn w:val="1"/>
    <w:next w:val="1"/>
    <w:link w:val="50"/>
    <w:qFormat/>
    <w:uiPriority w:val="0"/>
    <w:pPr>
      <w:keepNext/>
      <w:keepLines/>
      <w:spacing w:before="260" w:after="260" w:line="416" w:lineRule="auto"/>
      <w:outlineLvl w:val="1"/>
    </w:pPr>
    <w:rPr>
      <w:rFonts w:ascii="Cambria" w:hAnsi="Cambria"/>
      <w:b/>
      <w:color w:val="auto"/>
      <w:sz w:val="32"/>
    </w:rPr>
  </w:style>
  <w:style w:type="paragraph" w:styleId="5">
    <w:name w:val="heading 3"/>
    <w:basedOn w:val="1"/>
    <w:next w:val="1"/>
    <w:link w:val="59"/>
    <w:qFormat/>
    <w:uiPriority w:val="9"/>
    <w:pPr>
      <w:keepNext/>
      <w:keepLines/>
      <w:spacing w:before="260" w:after="260" w:line="413" w:lineRule="auto"/>
      <w:outlineLvl w:val="2"/>
    </w:pPr>
    <w:rPr>
      <w:rFonts w:ascii="Calibri" w:hAnsi="Calibri"/>
      <w:b/>
      <w:color w:val="auto"/>
      <w:sz w:val="32"/>
      <w:szCs w:val="20"/>
    </w:rPr>
  </w:style>
  <w:style w:type="paragraph" w:styleId="2">
    <w:name w:val="heading 4"/>
    <w:basedOn w:val="1"/>
    <w:next w:val="1"/>
    <w:link w:val="61"/>
    <w:qFormat/>
    <w:uiPriority w:val="0"/>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link w:val="62"/>
    <w:qFormat/>
    <w:uiPriority w:val="0"/>
    <w:pPr>
      <w:keepNext/>
      <w:keepLines/>
      <w:spacing w:before="280" w:after="290" w:line="376" w:lineRule="auto"/>
      <w:outlineLvl w:val="4"/>
    </w:pPr>
    <w:rPr>
      <w:rFonts w:ascii="Times New Roman" w:hAnsi="Calibri"/>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2520" w:leftChars="1200"/>
    </w:pPr>
  </w:style>
  <w:style w:type="paragraph" w:styleId="8">
    <w:name w:val="Normal Indent"/>
    <w:basedOn w:val="1"/>
    <w:link w:val="57"/>
    <w:qFormat/>
    <w:uiPriority w:val="0"/>
    <w:pPr>
      <w:ind w:firstLine="200" w:firstLineChars="200"/>
    </w:pPr>
    <w:rPr>
      <w:rFonts w:hAnsi="Calibri"/>
      <w:color w:val="auto"/>
      <w:sz w:val="34"/>
      <w:szCs w:val="20"/>
    </w:rPr>
  </w:style>
  <w:style w:type="paragraph" w:styleId="9">
    <w:name w:val="Document Map"/>
    <w:basedOn w:val="1"/>
    <w:link w:val="67"/>
    <w:qFormat/>
    <w:uiPriority w:val="0"/>
    <w:rPr>
      <w:rFonts w:hAnsi="Calibri"/>
      <w:color w:val="auto"/>
      <w:sz w:val="18"/>
      <w:szCs w:val="18"/>
    </w:rPr>
  </w:style>
  <w:style w:type="paragraph" w:styleId="10">
    <w:name w:val="annotation text"/>
    <w:basedOn w:val="1"/>
    <w:link w:val="64"/>
    <w:qFormat/>
    <w:uiPriority w:val="0"/>
    <w:pPr>
      <w:jc w:val="left"/>
    </w:pPr>
    <w:rPr>
      <w:rFonts w:ascii="Calibri" w:hAnsi="Calibri"/>
      <w:color w:val="auto"/>
      <w:kern w:val="2"/>
      <w:sz w:val="21"/>
      <w:szCs w:val="20"/>
    </w:rPr>
  </w:style>
  <w:style w:type="paragraph" w:styleId="11">
    <w:name w:val="Body Text"/>
    <w:basedOn w:val="1"/>
    <w:next w:val="1"/>
    <w:link w:val="69"/>
    <w:qFormat/>
    <w:uiPriority w:val="0"/>
    <w:pPr>
      <w:spacing w:after="120"/>
    </w:pPr>
    <w:rPr>
      <w:rFonts w:hAnsi="Calibri"/>
      <w:color w:val="auto"/>
      <w:sz w:val="34"/>
    </w:rPr>
  </w:style>
  <w:style w:type="paragraph" w:styleId="12">
    <w:name w:val="Body Text Indent"/>
    <w:basedOn w:val="1"/>
    <w:link w:val="72"/>
    <w:qFormat/>
    <w:uiPriority w:val="0"/>
    <w:pPr>
      <w:widowControl w:val="0"/>
      <w:spacing w:after="120"/>
      <w:ind w:left="420" w:leftChars="200"/>
    </w:pPr>
    <w:rPr>
      <w:rFonts w:hAnsi="Calibri"/>
      <w:color w:val="auto"/>
      <w:sz w:val="34"/>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link w:val="74"/>
    <w:qFormat/>
    <w:uiPriority w:val="99"/>
    <w:pPr>
      <w:widowControl w:val="0"/>
    </w:pPr>
    <w:rPr>
      <w:rFonts w:hAnsi="Courier New"/>
      <w:color w:val="auto"/>
      <w:kern w:val="2"/>
      <w:sz w:val="21"/>
    </w:rPr>
  </w:style>
  <w:style w:type="paragraph" w:styleId="16">
    <w:name w:val="toc 8"/>
    <w:basedOn w:val="1"/>
    <w:next w:val="1"/>
    <w:qFormat/>
    <w:uiPriority w:val="0"/>
    <w:pPr>
      <w:ind w:left="2940" w:leftChars="1400"/>
    </w:pPr>
  </w:style>
  <w:style w:type="paragraph" w:styleId="17">
    <w:name w:val="Date"/>
    <w:basedOn w:val="1"/>
    <w:next w:val="1"/>
    <w:link w:val="76"/>
    <w:qFormat/>
    <w:uiPriority w:val="0"/>
    <w:pPr>
      <w:ind w:left="100" w:leftChars="2500"/>
    </w:pPr>
    <w:rPr>
      <w:rFonts w:hAnsi="Calibri"/>
      <w:color w:val="auto"/>
      <w:sz w:val="34"/>
    </w:rPr>
  </w:style>
  <w:style w:type="paragraph" w:styleId="18">
    <w:name w:val="Body Text Indent 2"/>
    <w:basedOn w:val="1"/>
    <w:link w:val="53"/>
    <w:qFormat/>
    <w:uiPriority w:val="0"/>
    <w:pPr>
      <w:spacing w:after="120" w:line="480" w:lineRule="auto"/>
      <w:ind w:left="200" w:leftChars="200"/>
    </w:pPr>
    <w:rPr>
      <w:rFonts w:ascii="Calibri" w:hAnsi="Calibri"/>
    </w:rPr>
  </w:style>
  <w:style w:type="paragraph" w:styleId="19">
    <w:name w:val="Balloon Text"/>
    <w:basedOn w:val="1"/>
    <w:link w:val="55"/>
    <w:qFormat/>
    <w:uiPriority w:val="0"/>
    <w:rPr>
      <w:rFonts w:hAnsi="Calibri"/>
      <w:color w:val="auto"/>
      <w:sz w:val="18"/>
      <w:szCs w:val="18"/>
    </w:rPr>
  </w:style>
  <w:style w:type="paragraph" w:styleId="20">
    <w:name w:val="footer"/>
    <w:basedOn w:val="1"/>
    <w:link w:val="77"/>
    <w:qFormat/>
    <w:uiPriority w:val="99"/>
    <w:pPr>
      <w:tabs>
        <w:tab w:val="center" w:pos="4153"/>
        <w:tab w:val="right" w:pos="8306"/>
      </w:tabs>
      <w:snapToGrid w:val="0"/>
      <w:jc w:val="left"/>
    </w:pPr>
    <w:rPr>
      <w:rFonts w:hAnsi="Calibri"/>
      <w:color w:val="auto"/>
      <w:sz w:val="18"/>
      <w:szCs w:val="20"/>
    </w:rPr>
  </w:style>
  <w:style w:type="paragraph" w:styleId="21">
    <w:name w:val="header"/>
    <w:basedOn w:val="1"/>
    <w:link w:val="7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olor w:val="auto"/>
      <w:sz w:val="18"/>
      <w:szCs w:val="20"/>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footnote text"/>
    <w:basedOn w:val="1"/>
    <w:link w:val="48"/>
    <w:unhideWhenUsed/>
    <w:qFormat/>
    <w:uiPriority w:val="0"/>
    <w:pPr>
      <w:snapToGrid w:val="0"/>
      <w:jc w:val="left"/>
    </w:pPr>
    <w:rPr>
      <w:rFonts w:ascii="Calibri" w:hAnsi="Calibri"/>
      <w:color w:val="auto"/>
      <w:sz w:val="18"/>
      <w:szCs w:val="18"/>
    </w:rPr>
  </w:style>
  <w:style w:type="paragraph" w:styleId="25">
    <w:name w:val="toc 6"/>
    <w:basedOn w:val="1"/>
    <w:next w:val="1"/>
    <w:qFormat/>
    <w:uiPriority w:val="0"/>
    <w:pPr>
      <w:ind w:left="2100" w:leftChars="1000"/>
    </w:p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Normal (Web)"/>
    <w:basedOn w:val="1"/>
    <w:link w:val="79"/>
    <w:qFormat/>
    <w:uiPriority w:val="0"/>
    <w:pPr>
      <w:spacing w:before="100" w:beforeAutospacing="1" w:after="100" w:afterAutospacing="1"/>
      <w:jc w:val="left"/>
    </w:pPr>
    <w:rPr>
      <w:rFonts w:hAnsi="宋体"/>
      <w:color w:val="auto"/>
      <w:sz w:val="18"/>
      <w:szCs w:val="18"/>
    </w:rPr>
  </w:style>
  <w:style w:type="paragraph" w:styleId="29">
    <w:name w:val="Title"/>
    <w:basedOn w:val="1"/>
    <w:next w:val="1"/>
    <w:link w:val="56"/>
    <w:qFormat/>
    <w:uiPriority w:val="0"/>
    <w:pPr>
      <w:spacing w:before="240" w:after="60"/>
      <w:jc w:val="center"/>
      <w:outlineLvl w:val="0"/>
    </w:pPr>
    <w:rPr>
      <w:rFonts w:ascii="Cambria" w:hAnsi="Cambria"/>
      <w:b/>
      <w:bCs/>
      <w:sz w:val="32"/>
      <w:szCs w:val="32"/>
    </w:rPr>
  </w:style>
  <w:style w:type="paragraph" w:styleId="30">
    <w:name w:val="annotation subject"/>
    <w:basedOn w:val="10"/>
    <w:next w:val="10"/>
    <w:link w:val="66"/>
    <w:qFormat/>
    <w:uiPriority w:val="0"/>
    <w:rPr>
      <w:b/>
      <w:bCs/>
    </w:rPr>
  </w:style>
  <w:style w:type="paragraph" w:styleId="31">
    <w:name w:val="Body Text First Indent 2"/>
    <w:basedOn w:val="12"/>
    <w:link w:val="117"/>
    <w:semiHidden/>
    <w:unhideWhenUsed/>
    <w:qFormat/>
    <w:uiPriority w:val="0"/>
    <w:pPr>
      <w:widowControl/>
      <w:ind w:firstLine="420" w:firstLineChars="200"/>
    </w:pPr>
    <w:rPr>
      <w:rFonts w:hAnsi="Times New Roman"/>
      <w:color w:val="000000"/>
      <w:sz w:val="24"/>
    </w:rPr>
  </w:style>
  <w:style w:type="table" w:styleId="33">
    <w:name w:val="Table Grid"/>
    <w:basedOn w:val="32"/>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22"/>
    <w:rPr>
      <w:b/>
      <w:sz w:val="21"/>
      <w:szCs w:val="24"/>
    </w:rPr>
  </w:style>
  <w:style w:type="character" w:styleId="36">
    <w:name w:val="page number"/>
    <w:basedOn w:val="34"/>
    <w:qFormat/>
    <w:uiPriority w:val="0"/>
  </w:style>
  <w:style w:type="character" w:styleId="37">
    <w:name w:val="FollowedHyperlink"/>
    <w:qFormat/>
    <w:uiPriority w:val="0"/>
    <w:rPr>
      <w:rFonts w:hint="eastAsia" w:ascii="宋体" w:hAnsi="宋体" w:eastAsia="宋体" w:cs="宋体"/>
      <w:color w:val="000000"/>
      <w:sz w:val="18"/>
      <w:szCs w:val="18"/>
      <w:u w:val="none"/>
    </w:rPr>
  </w:style>
  <w:style w:type="character" w:styleId="38">
    <w:name w:val="HTML Definition"/>
    <w:qFormat/>
    <w:uiPriority w:val="0"/>
    <w:rPr>
      <w:i/>
      <w:sz w:val="21"/>
      <w:szCs w:val="24"/>
    </w:rPr>
  </w:style>
  <w:style w:type="character" w:styleId="39">
    <w:name w:val="Hyperlink"/>
    <w:qFormat/>
    <w:uiPriority w:val="0"/>
    <w:rPr>
      <w:rFonts w:hint="default"/>
      <w:color w:val="0368A8"/>
    </w:rPr>
  </w:style>
  <w:style w:type="character" w:styleId="40">
    <w:name w:val="HTML Code"/>
    <w:qFormat/>
    <w:uiPriority w:val="0"/>
    <w:rPr>
      <w:rFonts w:hint="default" w:ascii="Menlo" w:hAnsi="Menlo" w:eastAsia="Menlo" w:cs="Menlo"/>
      <w:color w:val="C7254E"/>
      <w:sz w:val="21"/>
      <w:szCs w:val="21"/>
      <w:shd w:val="clear" w:color="auto" w:fill="F9F2F4"/>
    </w:rPr>
  </w:style>
  <w:style w:type="character" w:styleId="41">
    <w:name w:val="annotation reference"/>
    <w:qFormat/>
    <w:uiPriority w:val="99"/>
    <w:rPr>
      <w:sz w:val="21"/>
      <w:szCs w:val="21"/>
    </w:rPr>
  </w:style>
  <w:style w:type="character" w:styleId="42">
    <w:name w:val="footnote reference"/>
    <w:unhideWhenUsed/>
    <w:qFormat/>
    <w:uiPriority w:val="0"/>
    <w:rPr>
      <w:vertAlign w:val="superscript"/>
    </w:rPr>
  </w:style>
  <w:style w:type="character" w:styleId="43">
    <w:name w:val="HTML Keyboard"/>
    <w:qFormat/>
    <w:uiPriority w:val="0"/>
    <w:rPr>
      <w:rFonts w:hint="default" w:ascii="Menlo" w:hAnsi="Menlo" w:eastAsia="Menlo" w:cs="Menlo"/>
      <w:color w:val="FFFFFF"/>
      <w:sz w:val="21"/>
      <w:szCs w:val="21"/>
      <w:shd w:val="clear" w:color="auto" w:fill="333333"/>
    </w:rPr>
  </w:style>
  <w:style w:type="character" w:styleId="44">
    <w:name w:val="HTML Sample"/>
    <w:qFormat/>
    <w:uiPriority w:val="0"/>
    <w:rPr>
      <w:rFonts w:ascii="Menlo" w:hAnsi="Menlo" w:eastAsia="Menlo" w:cs="Menlo"/>
      <w:sz w:val="21"/>
      <w:szCs w:val="21"/>
    </w:rPr>
  </w:style>
  <w:style w:type="character" w:customStyle="1" w:styleId="45">
    <w:name w:val="列出段落 Char1"/>
    <w:link w:val="46"/>
    <w:qFormat/>
    <w:locked/>
    <w:uiPriority w:val="34"/>
    <w:rPr>
      <w:rFonts w:ascii="Calibri" w:hAnsi="Calibri" w:eastAsia="PMingLiU"/>
      <w:sz w:val="24"/>
      <w:szCs w:val="22"/>
      <w:lang w:eastAsia="zh-TW"/>
    </w:rPr>
  </w:style>
  <w:style w:type="paragraph" w:styleId="46">
    <w:name w:val="List Paragraph"/>
    <w:basedOn w:val="1"/>
    <w:link w:val="45"/>
    <w:qFormat/>
    <w:uiPriority w:val="34"/>
    <w:pPr>
      <w:widowControl w:val="0"/>
      <w:ind w:left="720"/>
      <w:jc w:val="left"/>
    </w:pPr>
    <w:rPr>
      <w:rFonts w:ascii="Calibri" w:hAnsi="Calibri" w:eastAsia="PMingLiU"/>
      <w:color w:val="auto"/>
      <w:szCs w:val="22"/>
      <w:lang w:eastAsia="zh-TW"/>
    </w:rPr>
  </w:style>
  <w:style w:type="character" w:customStyle="1" w:styleId="47">
    <w:name w:val="font31"/>
    <w:qFormat/>
    <w:uiPriority w:val="0"/>
    <w:rPr>
      <w:rFonts w:hint="eastAsia" w:ascii="宋体" w:hAnsi="宋体" w:eastAsia="宋体" w:cs="宋体"/>
      <w:color w:val="000000"/>
      <w:sz w:val="24"/>
      <w:szCs w:val="24"/>
      <w:u w:val="none"/>
    </w:rPr>
  </w:style>
  <w:style w:type="character" w:customStyle="1" w:styleId="48">
    <w:name w:val="脚注文本 Char"/>
    <w:link w:val="24"/>
    <w:semiHidden/>
    <w:qFormat/>
    <w:uiPriority w:val="0"/>
    <w:rPr>
      <w:sz w:val="18"/>
      <w:szCs w:val="18"/>
    </w:rPr>
  </w:style>
  <w:style w:type="character" w:customStyle="1" w:styleId="49">
    <w:name w:val="font151"/>
    <w:qFormat/>
    <w:uiPriority w:val="0"/>
    <w:rPr>
      <w:rFonts w:ascii="Courier New" w:hAnsi="Courier New" w:cs="Courier New"/>
      <w:color w:val="333333"/>
      <w:sz w:val="20"/>
      <w:szCs w:val="20"/>
      <w:u w:val="none"/>
    </w:rPr>
  </w:style>
  <w:style w:type="character" w:customStyle="1" w:styleId="50">
    <w:name w:val="标题 2 Char"/>
    <w:link w:val="4"/>
    <w:qFormat/>
    <w:uiPriority w:val="0"/>
    <w:rPr>
      <w:rFonts w:ascii="Cambria" w:hAnsi="Cambria"/>
      <w:b/>
      <w:sz w:val="32"/>
      <w:szCs w:val="24"/>
    </w:rPr>
  </w:style>
  <w:style w:type="character" w:customStyle="1" w:styleId="51">
    <w:name w:val="列出段落 Char"/>
    <w:link w:val="52"/>
    <w:qFormat/>
    <w:locked/>
    <w:uiPriority w:val="0"/>
    <w:rPr>
      <w:sz w:val="34"/>
      <w:szCs w:val="24"/>
    </w:rPr>
  </w:style>
  <w:style w:type="paragraph" w:customStyle="1" w:styleId="52">
    <w:name w:val="列出段落11"/>
    <w:basedOn w:val="1"/>
    <w:link w:val="51"/>
    <w:qFormat/>
    <w:uiPriority w:val="0"/>
    <w:pPr>
      <w:ind w:firstLine="420" w:firstLineChars="200"/>
    </w:pPr>
    <w:rPr>
      <w:rFonts w:ascii="Calibri" w:hAnsi="Calibri"/>
      <w:color w:val="auto"/>
      <w:sz w:val="34"/>
    </w:rPr>
  </w:style>
  <w:style w:type="character" w:customStyle="1" w:styleId="53">
    <w:name w:val="正文文本缩进 2 Char"/>
    <w:link w:val="18"/>
    <w:qFormat/>
    <w:uiPriority w:val="0"/>
    <w:rPr>
      <w:color w:val="000000"/>
      <w:sz w:val="24"/>
      <w:szCs w:val="24"/>
    </w:rPr>
  </w:style>
  <w:style w:type="character" w:customStyle="1" w:styleId="54">
    <w:name w:val="批注文字 Char1"/>
    <w:basedOn w:val="34"/>
    <w:qFormat/>
    <w:uiPriority w:val="99"/>
  </w:style>
  <w:style w:type="character" w:customStyle="1" w:styleId="55">
    <w:name w:val="批注框文本 Char"/>
    <w:link w:val="19"/>
    <w:qFormat/>
    <w:uiPriority w:val="0"/>
    <w:rPr>
      <w:rFonts w:ascii="宋体"/>
      <w:sz w:val="18"/>
      <w:szCs w:val="18"/>
    </w:rPr>
  </w:style>
  <w:style w:type="character" w:customStyle="1" w:styleId="56">
    <w:name w:val="标题 Char"/>
    <w:link w:val="29"/>
    <w:qFormat/>
    <w:uiPriority w:val="0"/>
    <w:rPr>
      <w:rFonts w:ascii="Cambria" w:hAnsi="Cambria"/>
      <w:b/>
      <w:bCs/>
      <w:color w:val="000000"/>
      <w:sz w:val="32"/>
      <w:szCs w:val="32"/>
    </w:rPr>
  </w:style>
  <w:style w:type="character" w:customStyle="1" w:styleId="57">
    <w:name w:val="正文缩进 Char"/>
    <w:link w:val="8"/>
    <w:qFormat/>
    <w:uiPriority w:val="0"/>
    <w:rPr>
      <w:rFonts w:ascii="宋体"/>
      <w:sz w:val="34"/>
    </w:rPr>
  </w:style>
  <w:style w:type="character" w:customStyle="1" w:styleId="58">
    <w:name w:val="标题 1 Char"/>
    <w:link w:val="3"/>
    <w:qFormat/>
    <w:uiPriority w:val="9"/>
    <w:rPr>
      <w:rFonts w:ascii="宋体"/>
      <w:b/>
      <w:kern w:val="44"/>
      <w:sz w:val="44"/>
    </w:rPr>
  </w:style>
  <w:style w:type="character" w:customStyle="1" w:styleId="59">
    <w:name w:val="标题 3 Char"/>
    <w:link w:val="5"/>
    <w:qFormat/>
    <w:uiPriority w:val="9"/>
    <w:rPr>
      <w:b/>
      <w:sz w:val="32"/>
    </w:rPr>
  </w:style>
  <w:style w:type="character" w:customStyle="1" w:styleId="60">
    <w:name w:val="font141"/>
    <w:qFormat/>
    <w:uiPriority w:val="0"/>
    <w:rPr>
      <w:rFonts w:ascii="Symbol" w:hAnsi="Symbol" w:cs="Symbol"/>
      <w:color w:val="003300"/>
      <w:sz w:val="20"/>
      <w:szCs w:val="20"/>
      <w:u w:val="none"/>
    </w:rPr>
  </w:style>
  <w:style w:type="character" w:customStyle="1" w:styleId="61">
    <w:name w:val="标题 4 Char"/>
    <w:link w:val="2"/>
    <w:qFormat/>
    <w:uiPriority w:val="0"/>
    <w:rPr>
      <w:rFonts w:ascii="Calibri Light" w:hAnsi="Calibri Light"/>
      <w:b/>
      <w:bCs/>
      <w:color w:val="000000"/>
      <w:sz w:val="28"/>
      <w:szCs w:val="28"/>
    </w:rPr>
  </w:style>
  <w:style w:type="character" w:customStyle="1" w:styleId="62">
    <w:name w:val="标题 5 Char"/>
    <w:link w:val="6"/>
    <w:qFormat/>
    <w:uiPriority w:val="0"/>
    <w:rPr>
      <w:rFonts w:ascii="Times New Roman"/>
      <w:b/>
      <w:bCs/>
      <w:color w:val="000000"/>
      <w:sz w:val="28"/>
      <w:szCs w:val="28"/>
    </w:rPr>
  </w:style>
  <w:style w:type="character" w:customStyle="1" w:styleId="63">
    <w:name w:val="font112"/>
    <w:qFormat/>
    <w:uiPriority w:val="0"/>
    <w:rPr>
      <w:rFonts w:hint="eastAsia" w:ascii="微软雅黑 Light" w:hAnsi="微软雅黑 Light" w:eastAsia="微软雅黑 Light" w:cs="微软雅黑 Light"/>
      <w:color w:val="333333"/>
      <w:sz w:val="20"/>
      <w:szCs w:val="20"/>
      <w:u w:val="none"/>
    </w:rPr>
  </w:style>
  <w:style w:type="character" w:customStyle="1" w:styleId="64">
    <w:name w:val="批注文字 Char"/>
    <w:link w:val="10"/>
    <w:qFormat/>
    <w:uiPriority w:val="0"/>
    <w:rPr>
      <w:kern w:val="2"/>
      <w:sz w:val="21"/>
    </w:rPr>
  </w:style>
  <w:style w:type="character" w:customStyle="1" w:styleId="65">
    <w:name w:val="font161"/>
    <w:qFormat/>
    <w:uiPriority w:val="0"/>
    <w:rPr>
      <w:rFonts w:ascii="Symbol" w:hAnsi="Symbol" w:cs="Symbol"/>
      <w:color w:val="003300"/>
      <w:sz w:val="20"/>
      <w:szCs w:val="20"/>
      <w:u w:val="none"/>
    </w:rPr>
  </w:style>
  <w:style w:type="character" w:customStyle="1" w:styleId="66">
    <w:name w:val="批注主题 Char"/>
    <w:link w:val="30"/>
    <w:qFormat/>
    <w:uiPriority w:val="0"/>
    <w:rPr>
      <w:b/>
      <w:bCs/>
      <w:kern w:val="2"/>
      <w:sz w:val="21"/>
    </w:rPr>
  </w:style>
  <w:style w:type="character" w:customStyle="1" w:styleId="67">
    <w:name w:val="文档结构图 Char"/>
    <w:link w:val="9"/>
    <w:qFormat/>
    <w:uiPriority w:val="0"/>
    <w:rPr>
      <w:rFonts w:ascii="宋体"/>
      <w:sz w:val="18"/>
      <w:szCs w:val="18"/>
    </w:rPr>
  </w:style>
  <w:style w:type="character" w:customStyle="1" w:styleId="68">
    <w:name w:val="font131"/>
    <w:qFormat/>
    <w:uiPriority w:val="0"/>
    <w:rPr>
      <w:rFonts w:hint="eastAsia" w:ascii="微软雅黑 Light" w:hAnsi="微软雅黑 Light" w:eastAsia="微软雅黑 Light" w:cs="微软雅黑 Light"/>
      <w:color w:val="003300"/>
      <w:sz w:val="20"/>
      <w:szCs w:val="20"/>
      <w:u w:val="none"/>
    </w:rPr>
  </w:style>
  <w:style w:type="character" w:customStyle="1" w:styleId="69">
    <w:name w:val="正文文本 Char"/>
    <w:link w:val="11"/>
    <w:qFormat/>
    <w:uiPriority w:val="0"/>
    <w:rPr>
      <w:rFonts w:ascii="宋体"/>
      <w:sz w:val="34"/>
      <w:szCs w:val="24"/>
    </w:rPr>
  </w:style>
  <w:style w:type="character" w:customStyle="1" w:styleId="70">
    <w:name w:val="z-窗体顶端 Char"/>
    <w:link w:val="71"/>
    <w:qFormat/>
    <w:uiPriority w:val="1"/>
    <w:rPr>
      <w:rFonts w:ascii="宋体" w:hAnsi="Times New Roman"/>
      <w:color w:val="000000"/>
      <w:kern w:val="2"/>
      <w:sz w:val="21"/>
      <w:szCs w:val="22"/>
      <w:lang w:val="en-US" w:eastAsia="zh-CN" w:bidi="ar-SA"/>
    </w:rPr>
  </w:style>
  <w:style w:type="paragraph" w:customStyle="1" w:styleId="71">
    <w:name w:val="z-窗体顶端2"/>
    <w:link w:val="70"/>
    <w:qFormat/>
    <w:uiPriority w:val="1"/>
    <w:pPr>
      <w:widowControl w:val="0"/>
      <w:jc w:val="both"/>
    </w:pPr>
    <w:rPr>
      <w:rFonts w:ascii="宋体" w:hAnsi="Times New Roman" w:eastAsia="宋体" w:cs="Times New Roman"/>
      <w:color w:val="000000"/>
      <w:kern w:val="2"/>
      <w:sz w:val="21"/>
      <w:szCs w:val="22"/>
      <w:lang w:val="en-US" w:eastAsia="zh-CN" w:bidi="ar-SA"/>
    </w:rPr>
  </w:style>
  <w:style w:type="character" w:customStyle="1" w:styleId="72">
    <w:name w:val="正文文本缩进 Char"/>
    <w:link w:val="12"/>
    <w:qFormat/>
    <w:uiPriority w:val="0"/>
    <w:rPr>
      <w:rFonts w:ascii="宋体"/>
      <w:sz w:val="34"/>
      <w:szCs w:val="24"/>
    </w:rPr>
  </w:style>
  <w:style w:type="character" w:customStyle="1" w:styleId="73">
    <w:name w:val="font41"/>
    <w:qFormat/>
    <w:uiPriority w:val="0"/>
    <w:rPr>
      <w:rFonts w:hint="eastAsia" w:ascii="宋体" w:hAnsi="宋体" w:eastAsia="宋体" w:cs="宋体"/>
      <w:color w:val="000000"/>
      <w:sz w:val="24"/>
      <w:szCs w:val="24"/>
      <w:u w:val="none"/>
    </w:rPr>
  </w:style>
  <w:style w:type="character" w:customStyle="1" w:styleId="74">
    <w:name w:val="纯文本 Char"/>
    <w:link w:val="15"/>
    <w:qFormat/>
    <w:uiPriority w:val="99"/>
    <w:rPr>
      <w:rFonts w:ascii="宋体" w:hAnsi="Courier New"/>
      <w:kern w:val="2"/>
      <w:sz w:val="21"/>
      <w:szCs w:val="24"/>
    </w:rPr>
  </w:style>
  <w:style w:type="character" w:customStyle="1" w:styleId="75">
    <w:name w:val="font51"/>
    <w:qFormat/>
    <w:uiPriority w:val="0"/>
    <w:rPr>
      <w:rFonts w:hint="default" w:ascii="Times New Roman" w:hAnsi="Times New Roman" w:cs="Times New Roman"/>
      <w:color w:val="000000"/>
      <w:sz w:val="24"/>
      <w:szCs w:val="24"/>
      <w:u w:val="none"/>
    </w:rPr>
  </w:style>
  <w:style w:type="character" w:customStyle="1" w:styleId="76">
    <w:name w:val="日期 Char"/>
    <w:link w:val="17"/>
    <w:qFormat/>
    <w:uiPriority w:val="0"/>
    <w:rPr>
      <w:rFonts w:ascii="宋体"/>
      <w:sz w:val="34"/>
      <w:szCs w:val="24"/>
    </w:rPr>
  </w:style>
  <w:style w:type="character" w:customStyle="1" w:styleId="77">
    <w:name w:val="页脚 Char"/>
    <w:link w:val="20"/>
    <w:qFormat/>
    <w:uiPriority w:val="99"/>
    <w:rPr>
      <w:rFonts w:ascii="宋体"/>
      <w:sz w:val="18"/>
    </w:rPr>
  </w:style>
  <w:style w:type="character" w:customStyle="1" w:styleId="78">
    <w:name w:val="页眉 Char"/>
    <w:link w:val="21"/>
    <w:qFormat/>
    <w:uiPriority w:val="99"/>
    <w:rPr>
      <w:sz w:val="18"/>
    </w:rPr>
  </w:style>
  <w:style w:type="character" w:customStyle="1" w:styleId="79">
    <w:name w:val="普通(网站) Char"/>
    <w:link w:val="28"/>
    <w:qFormat/>
    <w:uiPriority w:val="0"/>
    <w:rPr>
      <w:rFonts w:ascii="宋体" w:hAnsi="宋体"/>
      <w:sz w:val="18"/>
      <w:szCs w:val="18"/>
    </w:rPr>
  </w:style>
  <w:style w:type="character" w:customStyle="1" w:styleId="80">
    <w:name w:val="font01"/>
    <w:qFormat/>
    <w:uiPriority w:val="0"/>
    <w:rPr>
      <w:rFonts w:hint="eastAsia" w:ascii="宋体" w:hAnsi="宋体" w:eastAsia="宋体" w:cs="宋体"/>
      <w:color w:val="000000"/>
      <w:sz w:val="24"/>
      <w:szCs w:val="24"/>
      <w:u w:val="none"/>
    </w:rPr>
  </w:style>
  <w:style w:type="character" w:customStyle="1" w:styleId="81">
    <w:name w:val="font61"/>
    <w:qFormat/>
    <w:uiPriority w:val="0"/>
    <w:rPr>
      <w:rFonts w:hint="eastAsia" w:ascii="宋体" w:hAnsi="宋体" w:eastAsia="宋体" w:cs="宋体"/>
      <w:color w:val="000000"/>
      <w:sz w:val="24"/>
      <w:szCs w:val="24"/>
      <w:u w:val="none"/>
    </w:rPr>
  </w:style>
  <w:style w:type="character" w:customStyle="1" w:styleId="82">
    <w:name w:val="font11"/>
    <w:qFormat/>
    <w:uiPriority w:val="0"/>
    <w:rPr>
      <w:rFonts w:hint="eastAsia" w:ascii="宋体" w:hAnsi="宋体" w:eastAsia="宋体" w:cs="宋体"/>
      <w:color w:val="0000FF"/>
      <w:sz w:val="24"/>
      <w:szCs w:val="24"/>
      <w:u w:val="single"/>
    </w:rPr>
  </w:style>
  <w:style w:type="character" w:customStyle="1" w:styleId="83">
    <w:name w:val="列出段落 Char3"/>
    <w:qFormat/>
    <w:locked/>
    <w:uiPriority w:val="34"/>
    <w:rPr>
      <w:rFonts w:ascii="Calibri" w:hAnsi="Calibri" w:eastAsia="PMingLiU" w:cs="Times New Roman"/>
      <w:color w:val="000000"/>
      <w:kern w:val="0"/>
      <w:sz w:val="24"/>
      <w:lang w:eastAsia="zh-TW"/>
    </w:rPr>
  </w:style>
  <w:style w:type="character" w:customStyle="1" w:styleId="84">
    <w:name w:val="font81"/>
    <w:qFormat/>
    <w:uiPriority w:val="0"/>
    <w:rPr>
      <w:rFonts w:ascii="Symbol" w:hAnsi="Symbol" w:cs="Symbol"/>
      <w:color w:val="003300"/>
      <w:sz w:val="20"/>
      <w:szCs w:val="20"/>
      <w:u w:val="none"/>
    </w:rPr>
  </w:style>
  <w:style w:type="character" w:customStyle="1" w:styleId="85">
    <w:name w:val="font21"/>
    <w:qFormat/>
    <w:uiPriority w:val="0"/>
    <w:rPr>
      <w:rFonts w:hint="eastAsia" w:ascii="微软雅黑 Light" w:hAnsi="微软雅黑 Light" w:eastAsia="微软雅黑 Light" w:cs="微软雅黑 Light"/>
      <w:color w:val="000000"/>
      <w:sz w:val="20"/>
      <w:szCs w:val="20"/>
      <w:u w:val="none"/>
    </w:rPr>
  </w:style>
  <w:style w:type="character" w:customStyle="1" w:styleId="86">
    <w:name w:val="font71"/>
    <w:qFormat/>
    <w:uiPriority w:val="0"/>
    <w:rPr>
      <w:rFonts w:ascii="Symbol" w:hAnsi="Symbol" w:cs="Symbol"/>
      <w:color w:val="003300"/>
      <w:sz w:val="20"/>
      <w:szCs w:val="20"/>
      <w:u w:val="none"/>
    </w:rPr>
  </w:style>
  <w:style w:type="character" w:customStyle="1" w:styleId="87">
    <w:name w:val="font101"/>
    <w:qFormat/>
    <w:uiPriority w:val="0"/>
    <w:rPr>
      <w:rFonts w:hint="eastAsia" w:ascii="微软雅黑 Light" w:hAnsi="微软雅黑 Light" w:eastAsia="微软雅黑 Light" w:cs="微软雅黑 Light"/>
      <w:color w:val="000000"/>
      <w:sz w:val="20"/>
      <w:szCs w:val="20"/>
      <w:u w:val="none"/>
    </w:rPr>
  </w:style>
  <w:style w:type="character" w:customStyle="1" w:styleId="88">
    <w:name w:val="font171"/>
    <w:qFormat/>
    <w:uiPriority w:val="0"/>
    <w:rPr>
      <w:rFonts w:ascii="Courier New" w:hAnsi="Courier New" w:cs="Courier New"/>
      <w:color w:val="333333"/>
      <w:sz w:val="20"/>
      <w:szCs w:val="20"/>
      <w:u w:val="none"/>
    </w:rPr>
  </w:style>
  <w:style w:type="paragraph" w:customStyle="1" w:styleId="89">
    <w:name w:val="Char"/>
    <w:basedOn w:val="1"/>
    <w:qFormat/>
    <w:uiPriority w:val="0"/>
    <w:pPr>
      <w:tabs>
        <w:tab w:val="left" w:pos="8280"/>
      </w:tabs>
      <w:spacing w:line="420" w:lineRule="auto"/>
      <w:ind w:left="2556" w:leftChars="600" w:right="737" w:rightChars="351" w:hanging="1296" w:hangingChars="461"/>
      <w:jc w:val="left"/>
    </w:pPr>
    <w:rPr>
      <w:rFonts w:ascii="Tahoma" w:hAnsi="Tahoma"/>
      <w:b/>
      <w:kern w:val="16"/>
      <w:sz w:val="28"/>
      <w:szCs w:val="28"/>
    </w:rPr>
  </w:style>
  <w:style w:type="paragraph" w:customStyle="1" w:styleId="90">
    <w:name w:val="默认段落字体 Para Char Char Char Char Char Char Char"/>
    <w:basedOn w:val="1"/>
    <w:qFormat/>
    <w:uiPriority w:val="0"/>
    <w:rPr>
      <w:rFonts w:ascii="Tahoma" w:hAnsi="Tahoma"/>
    </w:rPr>
  </w:style>
  <w:style w:type="paragraph" w:customStyle="1" w:styleId="91">
    <w:name w:val="列出段落1"/>
    <w:basedOn w:val="1"/>
    <w:qFormat/>
    <w:uiPriority w:val="34"/>
    <w:pPr>
      <w:ind w:firstLine="420" w:firstLineChars="200"/>
    </w:pPr>
  </w:style>
  <w:style w:type="paragraph" w:customStyle="1" w:styleId="92">
    <w:name w:val="正文首行缩进两字符"/>
    <w:basedOn w:val="1"/>
    <w:qFormat/>
    <w:uiPriority w:val="0"/>
    <w:pPr>
      <w:widowControl w:val="0"/>
      <w:spacing w:line="360" w:lineRule="auto"/>
      <w:ind w:firstLine="200" w:firstLineChars="200"/>
    </w:pPr>
  </w:style>
  <w:style w:type="paragraph" w:customStyle="1" w:styleId="93">
    <w:name w:val="Char Char1 Char Char Char Char Char Char Char Char Char Char Char Char Char Char"/>
    <w:basedOn w:val="1"/>
    <w:qFormat/>
    <w:uiPriority w:val="0"/>
    <w:pPr>
      <w:spacing w:after="160" w:line="240" w:lineRule="exact"/>
      <w:jc w:val="left"/>
    </w:pPr>
    <w:rPr>
      <w:rFonts w:ascii="Verdana" w:hAnsi="Verdana"/>
      <w:sz w:val="20"/>
      <w:lang w:eastAsia="en-US"/>
    </w:rPr>
  </w:style>
  <w:style w:type="paragraph" w:customStyle="1" w:styleId="94">
    <w:name w:val="样式 首行缩进:  2 字符"/>
    <w:basedOn w:val="1"/>
    <w:qFormat/>
    <w:uiPriority w:val="99"/>
    <w:pPr>
      <w:spacing w:line="400" w:lineRule="exact"/>
      <w:ind w:firstLine="200" w:firstLineChars="200"/>
    </w:pPr>
    <w:rPr>
      <w:rFonts w:cs="宋体"/>
    </w:rPr>
  </w:style>
  <w:style w:type="paragraph" w:customStyle="1" w:styleId="95">
    <w:name w:val="z-窗体顶端1"/>
    <w:qFormat/>
    <w:uiPriority w:val="1"/>
    <w:pPr>
      <w:widowControl w:val="0"/>
      <w:jc w:val="both"/>
    </w:pPr>
    <w:rPr>
      <w:rFonts w:ascii="宋体" w:hAnsi="Times New Roman" w:eastAsia="宋体" w:cs="Times New Roman"/>
      <w:color w:val="000000"/>
      <w:kern w:val="2"/>
      <w:sz w:val="21"/>
      <w:szCs w:val="22"/>
      <w:lang w:val="en-US" w:eastAsia="zh-CN" w:bidi="ar-SA"/>
    </w:rPr>
  </w:style>
  <w:style w:type="paragraph" w:customStyle="1" w:styleId="96">
    <w:name w:val="p15"/>
    <w:basedOn w:val="1"/>
    <w:qFormat/>
    <w:uiPriority w:val="0"/>
    <w:pPr>
      <w:spacing w:line="360" w:lineRule="auto"/>
      <w:ind w:firstLine="420"/>
      <w:jc w:val="left"/>
    </w:pPr>
    <w:rPr>
      <w:rFonts w:ascii="Arial" w:hAnsi="Arial" w:cs="Arial"/>
    </w:rPr>
  </w:style>
  <w:style w:type="paragraph" w:customStyle="1" w:styleId="97">
    <w:name w:val="Char Char1"/>
    <w:basedOn w:val="1"/>
    <w:qFormat/>
    <w:uiPriority w:val="0"/>
    <w:pPr>
      <w:tabs>
        <w:tab w:val="left" w:pos="1215"/>
      </w:tabs>
      <w:ind w:left="420" w:hanging="420"/>
    </w:pPr>
    <w:rPr>
      <w:sz w:val="21"/>
    </w:rPr>
  </w:style>
  <w:style w:type="paragraph" w:customStyle="1" w:styleId="98">
    <w:name w:val="表格"/>
    <w:basedOn w:val="1"/>
    <w:qFormat/>
    <w:uiPriority w:val="0"/>
    <w:pPr>
      <w:spacing w:line="400" w:lineRule="exact"/>
    </w:pPr>
  </w:style>
  <w:style w:type="paragraph" w:customStyle="1" w:styleId="99">
    <w:name w:val="样式1"/>
    <w:basedOn w:val="1"/>
    <w:qFormat/>
    <w:uiPriority w:val="0"/>
    <w:pPr>
      <w:widowControl w:val="0"/>
      <w:jc w:val="center"/>
      <w:outlineLvl w:val="0"/>
    </w:pPr>
    <w:rPr>
      <w:rFonts w:ascii="Times New Roman"/>
      <w:b/>
      <w:kern w:val="2"/>
      <w:sz w:val="32"/>
    </w:rPr>
  </w:style>
  <w:style w:type="paragraph" w:customStyle="1" w:styleId="100">
    <w:name w:val="正文-venustech"/>
    <w:basedOn w:val="1"/>
    <w:qFormat/>
    <w:uiPriority w:val="0"/>
    <w:pPr>
      <w:widowControl w:val="0"/>
      <w:spacing w:line="360" w:lineRule="auto"/>
      <w:ind w:firstLine="200" w:firstLineChars="200"/>
    </w:pPr>
    <w:rPr>
      <w:rFonts w:ascii="Calibri" w:hAnsi="Calibri"/>
      <w:kern w:val="2"/>
      <w:szCs w:val="22"/>
    </w:rPr>
  </w:style>
  <w:style w:type="paragraph" w:styleId="101">
    <w:name w:val="No Spacing"/>
    <w:qFormat/>
    <w:uiPriority w:val="1"/>
    <w:pPr>
      <w:widowControl w:val="0"/>
      <w:jc w:val="both"/>
    </w:pPr>
    <w:rPr>
      <w:rFonts w:ascii="宋体" w:hAnsi="Times New Roman" w:eastAsia="宋体" w:cs="Times New Roman"/>
      <w:color w:val="000000"/>
      <w:kern w:val="2"/>
      <w:sz w:val="21"/>
      <w:szCs w:val="22"/>
      <w:lang w:val="en-US" w:eastAsia="zh-CN" w:bidi="ar-SA"/>
    </w:rPr>
  </w:style>
  <w:style w:type="paragraph" w:customStyle="1" w:styleId="102">
    <w:name w:val="正文文本缩进1"/>
    <w:basedOn w:val="1"/>
    <w:qFormat/>
    <w:uiPriority w:val="0"/>
    <w:pPr>
      <w:spacing w:line="200" w:lineRule="exact"/>
      <w:ind w:firstLine="301"/>
    </w:pPr>
    <w:rPr>
      <w:rFonts w:hAnsi="Courier New"/>
      <w:spacing w:val="-4"/>
      <w:sz w:val="18"/>
    </w:rPr>
  </w:style>
  <w:style w:type="paragraph" w:customStyle="1" w:styleId="103">
    <w:name w:val="Table Paragraph"/>
    <w:basedOn w:val="1"/>
    <w:qFormat/>
    <w:uiPriority w:val="1"/>
    <w:pPr>
      <w:widowControl w:val="0"/>
      <w:autoSpaceDE w:val="0"/>
      <w:autoSpaceDN w:val="0"/>
      <w:adjustRightInd w:val="0"/>
      <w:jc w:val="left"/>
    </w:pPr>
  </w:style>
  <w:style w:type="paragraph" w:customStyle="1" w:styleId="104">
    <w:name w:val="正文1"/>
    <w:qFormat/>
    <w:uiPriority w:val="0"/>
    <w:pPr>
      <w:widowControl w:val="0"/>
      <w:adjustRightInd w:val="0"/>
      <w:spacing w:line="312" w:lineRule="atLeast"/>
      <w:jc w:val="both"/>
      <w:textAlignment w:val="baseline"/>
    </w:pPr>
    <w:rPr>
      <w:rFonts w:ascii="宋体" w:hAnsi="Times New Roman" w:eastAsia="宋体" w:cs="Times New Roman"/>
      <w:color w:val="000000"/>
      <w:sz w:val="34"/>
      <w:szCs w:val="24"/>
      <w:lang w:val="en-US" w:eastAsia="zh-CN" w:bidi="ar-SA"/>
    </w:rPr>
  </w:style>
  <w:style w:type="paragraph" w:customStyle="1" w:styleId="105">
    <w:name w:val="p0"/>
    <w:basedOn w:val="1"/>
    <w:qFormat/>
    <w:uiPriority w:val="0"/>
    <w:rPr>
      <w:rFonts w:cs="Calibri"/>
      <w:szCs w:val="21"/>
    </w:rPr>
  </w:style>
  <w:style w:type="paragraph" w:customStyle="1" w:styleId="106">
    <w:name w:val="彩色列表 - 强调文字颜色 11"/>
    <w:basedOn w:val="1"/>
    <w:qFormat/>
    <w:uiPriority w:val="99"/>
    <w:pPr>
      <w:widowControl w:val="0"/>
      <w:ind w:firstLine="420" w:firstLineChars="200"/>
    </w:pPr>
    <w:rPr>
      <w:rFonts w:ascii="Calibri" w:hAnsi="Calibri"/>
      <w:kern w:val="2"/>
      <w:sz w:val="21"/>
      <w:szCs w:val="22"/>
    </w:rPr>
  </w:style>
  <w:style w:type="paragraph" w:customStyle="1" w:styleId="107">
    <w:name w:val="正文 New New"/>
    <w:qFormat/>
    <w:uiPriority w:val="0"/>
    <w:pPr>
      <w:widowControl w:val="0"/>
      <w:jc w:val="both"/>
    </w:pPr>
    <w:rPr>
      <w:rFonts w:ascii="宋体" w:hAnsi="Times New Roman" w:eastAsia="宋体" w:cs="Times New Roman"/>
      <w:color w:val="000000"/>
      <w:kern w:val="2"/>
      <w:sz w:val="21"/>
      <w:szCs w:val="22"/>
      <w:lang w:val="en-US" w:eastAsia="zh-CN" w:bidi="ar-SA"/>
    </w:rPr>
  </w:style>
  <w:style w:type="paragraph" w:customStyle="1" w:styleId="108">
    <w:name w:val="样式"/>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09">
    <w:name w:val="列出段落4"/>
    <w:basedOn w:val="1"/>
    <w:qFormat/>
    <w:uiPriority w:val="34"/>
    <w:pPr>
      <w:widowControl w:val="0"/>
      <w:ind w:firstLine="420" w:firstLineChars="200"/>
    </w:pPr>
    <w:rPr>
      <w:rFonts w:ascii="Calibri" w:hAnsi="Calibri"/>
      <w:kern w:val="2"/>
      <w:sz w:val="21"/>
      <w:szCs w:val="22"/>
    </w:rPr>
  </w:style>
  <w:style w:type="paragraph" w:customStyle="1" w:styleId="110">
    <w:name w:val="列出段落2"/>
    <w:basedOn w:val="1"/>
    <w:unhideWhenUsed/>
    <w:qFormat/>
    <w:uiPriority w:val="99"/>
    <w:pPr>
      <w:ind w:firstLine="420" w:firstLineChars="200"/>
    </w:pPr>
  </w:style>
  <w:style w:type="paragraph" w:customStyle="1" w:styleId="111">
    <w:name w:val="修订1"/>
    <w:semiHidden/>
    <w:qFormat/>
    <w:uiPriority w:val="99"/>
    <w:rPr>
      <w:rFonts w:ascii="宋体" w:hAnsi="Times New Roman" w:eastAsia="宋体" w:cs="Times New Roman"/>
      <w:color w:val="000000"/>
      <w:sz w:val="24"/>
      <w:szCs w:val="24"/>
      <w:lang w:val="en-US" w:eastAsia="zh-CN" w:bidi="ar-SA"/>
    </w:rPr>
  </w:style>
  <w:style w:type="paragraph" w:customStyle="1" w:styleId="112">
    <w:name w:val="正文缩进1"/>
    <w:basedOn w:val="1"/>
    <w:qFormat/>
    <w:uiPriority w:val="0"/>
    <w:pPr>
      <w:widowControl w:val="0"/>
      <w:ind w:firstLine="420" w:firstLineChars="200"/>
    </w:pPr>
    <w:rPr>
      <w:rFonts w:ascii="Calibri" w:hAnsi="Calibri"/>
      <w:color w:val="auto"/>
      <w:kern w:val="2"/>
      <w:sz w:val="21"/>
    </w:rPr>
  </w:style>
  <w:style w:type="paragraph" w:customStyle="1" w:styleId="113">
    <w:name w:val="正文 New New New New"/>
    <w:qFormat/>
    <w:uiPriority w:val="0"/>
    <w:pPr>
      <w:widowControl w:val="0"/>
      <w:jc w:val="both"/>
    </w:pPr>
    <w:rPr>
      <w:rFonts w:ascii="Times New Roman" w:hAnsi="Times New Roman" w:eastAsia="宋体" w:cs="Times New Roman"/>
      <w:szCs w:val="24"/>
      <w:lang w:val="en-US" w:eastAsia="zh-CN" w:bidi="ar-SA"/>
    </w:rPr>
  </w:style>
  <w:style w:type="table" w:customStyle="1" w:styleId="114">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115">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116">
    <w:name w:val="纯文本 Char1"/>
    <w:qFormat/>
    <w:locked/>
    <w:uiPriority w:val="99"/>
    <w:rPr>
      <w:rFonts w:ascii="宋体" w:hAnsi="Courier New" w:cs="Courier New"/>
      <w:szCs w:val="21"/>
    </w:rPr>
  </w:style>
  <w:style w:type="character" w:customStyle="1" w:styleId="117">
    <w:name w:val="正文首行缩进 2 Char"/>
    <w:basedOn w:val="72"/>
    <w:link w:val="31"/>
    <w:semiHidden/>
    <w:qFormat/>
    <w:uiPriority w:val="0"/>
    <w:rPr>
      <w:rFonts w:ascii="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5D2257-8D70-4500-A81C-52B37B3F93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34350</Words>
  <Characters>36225</Characters>
  <Lines>275</Lines>
  <Paragraphs>77</Paragraphs>
  <TotalTime>319</TotalTime>
  <ScaleCrop>false</ScaleCrop>
  <LinksUpToDate>false</LinksUpToDate>
  <CharactersWithSpaces>36745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2021-04-28T03:41:00Z</dcterms:created>
  <dc:creator>Administrator</dc:creator>
  <cp:lastModifiedBy>Administrator</cp:lastModifiedBy>
  <cp:lastPrinted>2020-04-13T01:31:00Z</cp:lastPrinted>
  <dcterms:modified xsi:type="dcterms:W3CDTF">2022-08-15T02:35:08Z</dcterms:modified>
  <dc:title>@簿出斟蠢爵｜爵曲蕊蕊。，露·惑爵塞涎·，零意爵蕊鳃</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0A2D064DB7FA412AB9B54361B4D1A7EE</vt:lpwstr>
  </property>
</Properties>
</file>