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cs="宋体" w:asciiTheme="minorEastAsia" w:hAnsiTheme="minorEastAsia" w:eastAsiaTheme="minorEastAsia"/>
          <w:b/>
          <w:sz w:val="28"/>
          <w:szCs w:val="28"/>
        </w:rPr>
      </w:pPr>
      <w:bookmarkStart w:id="0" w:name="_Toc183682338"/>
      <w:bookmarkStart w:id="1" w:name="_Toc217446030"/>
    </w:p>
    <w:p>
      <w:pPr>
        <w:spacing w:line="360" w:lineRule="auto"/>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采购项目编号：YFC2022-GP-016F</w:t>
      </w:r>
    </w:p>
    <w:p>
      <w:pPr>
        <w:spacing w:line="360" w:lineRule="auto"/>
        <w:jc w:val="center"/>
        <w:rPr>
          <w:rFonts w:cs="宋体" w:asciiTheme="minorEastAsia" w:hAnsiTheme="minorEastAsia" w:eastAsiaTheme="minorEastAsia"/>
          <w:b/>
          <w:sz w:val="52"/>
          <w:szCs w:val="52"/>
        </w:rPr>
      </w:pPr>
    </w:p>
    <w:p>
      <w:pPr>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陕西省无线电管理委员会</w:t>
      </w:r>
    </w:p>
    <w:p>
      <w:pPr>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派出机构无线电监测设备运行维护(2包)</w:t>
      </w:r>
    </w:p>
    <w:p>
      <w:pPr>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招标文件</w:t>
      </w:r>
    </w:p>
    <w:p>
      <w:pPr>
        <w:spacing w:line="360" w:lineRule="auto"/>
        <w:rPr>
          <w:rFonts w:cs="宋体" w:asciiTheme="minorEastAsia" w:hAnsiTheme="minorEastAsia" w:eastAsiaTheme="minorEastAsia"/>
          <w:b/>
          <w:sz w:val="32"/>
          <w:szCs w:val="32"/>
        </w:rPr>
      </w:pPr>
      <w:r>
        <w:rPr>
          <w:rFonts w:hint="eastAsia" w:cs="宋体" w:asciiTheme="minorEastAsia" w:hAnsiTheme="minorEastAsia" w:eastAsiaTheme="minorEastAsia"/>
          <w:sz w:val="76"/>
          <w:szCs w:val="84"/>
        </w:rPr>
        <w:drawing>
          <wp:anchor distT="0" distB="0" distL="114300" distR="114300" simplePos="0" relativeHeight="251659264" behindDoc="0" locked="0" layoutInCell="1" allowOverlap="1">
            <wp:simplePos x="0" y="0"/>
            <wp:positionH relativeFrom="column">
              <wp:posOffset>1257935</wp:posOffset>
            </wp:positionH>
            <wp:positionV relativeFrom="paragraph">
              <wp:posOffset>285115</wp:posOffset>
            </wp:positionV>
            <wp:extent cx="3086100" cy="2857500"/>
            <wp:effectExtent l="0" t="0" r="0" b="0"/>
            <wp:wrapTopAndBottom/>
            <wp:docPr id="1" name="图片 2" descr="微信图片_2020081710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00817105731"/>
                    <pic:cNvPicPr>
                      <a:picLocks noChangeAspect="1"/>
                    </pic:cNvPicPr>
                  </pic:nvPicPr>
                  <pic:blipFill>
                    <a:blip r:embed="rId14"/>
                    <a:stretch>
                      <a:fillRect/>
                    </a:stretch>
                  </pic:blipFill>
                  <pic:spPr>
                    <a:xfrm>
                      <a:off x="0" y="0"/>
                      <a:ext cx="3086100" cy="2857500"/>
                    </a:xfrm>
                    <a:prstGeom prst="rect">
                      <a:avLst/>
                    </a:prstGeom>
                    <a:noFill/>
                    <a:ln>
                      <a:noFill/>
                    </a:ln>
                  </pic:spPr>
                </pic:pic>
              </a:graphicData>
            </a:graphic>
          </wp:anchor>
        </w:drawing>
      </w:r>
    </w:p>
    <w:p>
      <w:pPr>
        <w:spacing w:line="360" w:lineRule="auto"/>
        <w:rPr>
          <w:rFonts w:cs="宋体" w:asciiTheme="minorEastAsia" w:hAnsiTheme="minorEastAsia" w:eastAsiaTheme="minorEastAsia"/>
          <w:sz w:val="32"/>
          <w:szCs w:val="32"/>
        </w:rPr>
      </w:pPr>
    </w:p>
    <w:p>
      <w:pPr>
        <w:pStyle w:val="16"/>
        <w:adjustRightInd w:val="0"/>
        <w:snapToGrid w:val="0"/>
        <w:spacing w:line="360" w:lineRule="auto"/>
        <w:ind w:firstLine="1687" w:firstLineChars="600"/>
        <w:rPr>
          <w:rFonts w:cs="宋体" w:asciiTheme="minorEastAsia" w:hAnsiTheme="minorEastAsia" w:eastAsiaTheme="minorEastAsia"/>
          <w:b/>
          <w:sz w:val="28"/>
          <w:szCs w:val="28"/>
        </w:rPr>
      </w:pPr>
    </w:p>
    <w:p>
      <w:pPr>
        <w:pStyle w:val="16"/>
        <w:adjustRightInd w:val="0"/>
        <w:snapToGrid w:val="0"/>
        <w:spacing w:line="360" w:lineRule="auto"/>
        <w:ind w:firstLine="1687" w:firstLineChars="6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采   购   人：陕西省无线电管理委员会</w:t>
      </w:r>
    </w:p>
    <w:p>
      <w:pPr>
        <w:pStyle w:val="16"/>
        <w:adjustRightInd w:val="0"/>
        <w:snapToGrid w:val="0"/>
        <w:spacing w:line="360" w:lineRule="auto"/>
        <w:ind w:firstLine="1687" w:firstLineChars="600"/>
        <w:jc w:val="left"/>
        <w:rPr>
          <w:rFonts w:cs="宋体" w:asciiTheme="minorEastAsia" w:hAnsiTheme="minorEastAsia" w:eastAsiaTheme="minorEastAsia"/>
          <w:b/>
          <w:sz w:val="28"/>
          <w:szCs w:val="28"/>
          <w:lang w:val="zh-CN"/>
        </w:rPr>
      </w:pPr>
      <w:r>
        <w:rPr>
          <w:rFonts w:hint="eastAsia" w:cs="宋体" w:asciiTheme="minorEastAsia" w:hAnsiTheme="minorEastAsia" w:eastAsiaTheme="minorEastAsia"/>
          <w:b/>
          <w:sz w:val="28"/>
          <w:szCs w:val="28"/>
        </w:rPr>
        <w:t>采购代理机构：陕西源丰成工程项目管理有限公司</w:t>
      </w:r>
    </w:p>
    <w:p>
      <w:pPr>
        <w:spacing w:line="360" w:lineRule="auto"/>
        <w:jc w:val="center"/>
        <w:rPr>
          <w:rFonts w:cs="宋体" w:asciiTheme="minorEastAsia" w:hAnsiTheme="minorEastAsia" w:eastAsiaTheme="minorEastAsia"/>
          <w:b/>
          <w:bCs/>
          <w:sz w:val="28"/>
          <w:szCs w:val="28"/>
          <w:lang w:val="zh-CN"/>
        </w:rPr>
      </w:pPr>
      <w:r>
        <w:rPr>
          <w:rFonts w:hint="eastAsia" w:cs="宋体" w:asciiTheme="minorEastAsia" w:hAnsiTheme="minorEastAsia" w:eastAsiaTheme="minorEastAsia"/>
          <w:b/>
          <w:bCs/>
          <w:sz w:val="28"/>
          <w:szCs w:val="28"/>
          <w:lang w:val="zh-CN"/>
        </w:rPr>
        <w:t>二〇二</w:t>
      </w:r>
      <w:r>
        <w:rPr>
          <w:rFonts w:hint="eastAsia" w:cs="宋体" w:asciiTheme="minorEastAsia" w:hAnsiTheme="minorEastAsia" w:eastAsiaTheme="minorEastAsia"/>
          <w:b/>
          <w:bCs/>
          <w:sz w:val="28"/>
          <w:szCs w:val="28"/>
        </w:rPr>
        <w:t>二</w:t>
      </w:r>
      <w:r>
        <w:rPr>
          <w:rFonts w:hint="eastAsia" w:cs="宋体" w:asciiTheme="minorEastAsia" w:hAnsiTheme="minorEastAsia" w:eastAsiaTheme="minorEastAsia"/>
          <w:b/>
          <w:bCs/>
          <w:sz w:val="28"/>
          <w:szCs w:val="28"/>
          <w:lang w:val="zh-CN"/>
        </w:rPr>
        <w:t>年八月</w:t>
      </w:r>
    </w:p>
    <w:bookmarkEnd w:id="0"/>
    <w:bookmarkEnd w:id="1"/>
    <w:p>
      <w:pPr>
        <w:spacing w:line="360" w:lineRule="auto"/>
        <w:ind w:firstLine="203" w:firstLineChars="46"/>
        <w:jc w:val="center"/>
        <w:rPr>
          <w:rFonts w:cs="宋体" w:asciiTheme="minorEastAsia" w:hAnsiTheme="minorEastAsia" w:eastAsiaTheme="minorEastAsia"/>
          <w:b/>
          <w:bCs/>
          <w:sz w:val="44"/>
          <w:szCs w:val="44"/>
          <w:lang w:val="zh-CN"/>
        </w:rPr>
        <w:sectPr>
          <w:footerReference r:id="rId7" w:type="first"/>
          <w:headerReference r:id="rId3" w:type="default"/>
          <w:footerReference r:id="rId5" w:type="default"/>
          <w:headerReference r:id="rId4" w:type="even"/>
          <w:footerReference r:id="rId6" w:type="even"/>
          <w:pgSz w:w="11907" w:h="16840"/>
          <w:pgMar w:top="1474" w:right="1587" w:bottom="1474" w:left="1587" w:header="851" w:footer="992" w:gutter="0"/>
          <w:cols w:space="720" w:num="1"/>
          <w:titlePg/>
        </w:sectPr>
      </w:pP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目 录</w:t>
      </w:r>
    </w:p>
    <w:p>
      <w:pPr>
        <w:rPr>
          <w:rFonts w:asciiTheme="minorEastAsia" w:hAnsiTheme="minorEastAsia" w:eastAsiaTheme="minorEastAsia"/>
          <w:sz w:val="24"/>
        </w:rPr>
      </w:pPr>
    </w:p>
    <w:p>
      <w:pPr>
        <w:pStyle w:val="22"/>
        <w:tabs>
          <w:tab w:val="right" w:leader="dot" w:pos="8733"/>
        </w:tabs>
        <w:spacing w:line="360" w:lineRule="auto"/>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"1-3" \h \u </w:instrText>
      </w:r>
      <w:r>
        <w:rPr>
          <w:rFonts w:hint="eastAsia" w:cs="宋体" w:asciiTheme="minorEastAsia" w:hAnsiTheme="minorEastAsia" w:eastAsiaTheme="minorEastAsia"/>
          <w:sz w:val="24"/>
        </w:rPr>
        <w:fldChar w:fldCharType="separate"/>
      </w:r>
      <w:r>
        <w:fldChar w:fldCharType="begin"/>
      </w:r>
      <w:r>
        <w:instrText xml:space="preserve"> HYPERLINK \l "_Toc29621" </w:instrText>
      </w:r>
      <w:r>
        <w:fldChar w:fldCharType="separate"/>
      </w:r>
      <w:r>
        <w:rPr>
          <w:rFonts w:hint="eastAsia" w:cs="宋体" w:asciiTheme="minorEastAsia" w:hAnsiTheme="minorEastAsia" w:eastAsiaTheme="minorEastAsia"/>
          <w:szCs w:val="32"/>
        </w:rPr>
        <w:t>第一章 招标公告</w:t>
      </w:r>
      <w:r>
        <w:tab/>
      </w:r>
      <w:r>
        <w:fldChar w:fldCharType="begin"/>
      </w:r>
      <w:r>
        <w:instrText xml:space="preserve"> PAGEREF _Toc29621 \h </w:instrText>
      </w:r>
      <w:r>
        <w:fldChar w:fldCharType="separate"/>
      </w:r>
      <w:r>
        <w:t>1</w:t>
      </w:r>
      <w:r>
        <w:fldChar w:fldCharType="end"/>
      </w:r>
      <w:r>
        <w:fldChar w:fldCharType="end"/>
      </w:r>
    </w:p>
    <w:p>
      <w:pPr>
        <w:pStyle w:val="22"/>
        <w:tabs>
          <w:tab w:val="right" w:leader="dot" w:pos="8733"/>
        </w:tabs>
        <w:spacing w:line="360" w:lineRule="auto"/>
      </w:pPr>
      <w:r>
        <w:fldChar w:fldCharType="begin"/>
      </w:r>
      <w:r>
        <w:instrText xml:space="preserve"> HYPERLINK \l "_Toc26400" </w:instrText>
      </w:r>
      <w:r>
        <w:fldChar w:fldCharType="separate"/>
      </w:r>
      <w:r>
        <w:rPr>
          <w:rFonts w:hint="eastAsia" w:cs="宋体" w:asciiTheme="minorEastAsia" w:hAnsiTheme="minorEastAsia" w:eastAsiaTheme="minorEastAsia"/>
          <w:szCs w:val="32"/>
        </w:rPr>
        <w:t>第二章 投标供应商须知</w:t>
      </w:r>
      <w:r>
        <w:tab/>
      </w:r>
      <w:r>
        <w:fldChar w:fldCharType="begin"/>
      </w:r>
      <w:r>
        <w:instrText xml:space="preserve"> PAGEREF _Toc26400 \h </w:instrText>
      </w:r>
      <w:r>
        <w:fldChar w:fldCharType="separate"/>
      </w:r>
      <w:r>
        <w:t>4</w:t>
      </w:r>
      <w:r>
        <w:fldChar w:fldCharType="end"/>
      </w:r>
      <w:r>
        <w:fldChar w:fldCharType="end"/>
      </w:r>
    </w:p>
    <w:p>
      <w:pPr>
        <w:pStyle w:val="24"/>
        <w:tabs>
          <w:tab w:val="right" w:leader="dot" w:pos="8733"/>
        </w:tabs>
        <w:spacing w:line="360" w:lineRule="auto"/>
      </w:pPr>
      <w:r>
        <w:fldChar w:fldCharType="begin"/>
      </w:r>
      <w:r>
        <w:instrText xml:space="preserve"> HYPERLINK \l "_Toc12196" </w:instrText>
      </w:r>
      <w:r>
        <w:fldChar w:fldCharType="separate"/>
      </w:r>
      <w:r>
        <w:rPr>
          <w:rFonts w:cs="宋体" w:asciiTheme="minorEastAsia" w:hAnsiTheme="minorEastAsia" w:eastAsiaTheme="minorEastAsia"/>
          <w:bCs/>
          <w:szCs w:val="36"/>
        </w:rPr>
        <w:t xml:space="preserve">1. </w:t>
      </w:r>
      <w:r>
        <w:rPr>
          <w:rFonts w:hint="eastAsia" w:cs="宋体" w:asciiTheme="minorEastAsia" w:hAnsiTheme="minorEastAsia" w:eastAsiaTheme="minorEastAsia"/>
          <w:szCs w:val="36"/>
        </w:rPr>
        <w:t>总则</w:t>
      </w:r>
      <w:r>
        <w:tab/>
      </w:r>
      <w:r>
        <w:fldChar w:fldCharType="begin"/>
      </w:r>
      <w:r>
        <w:instrText xml:space="preserve"> PAGEREF _Toc12196 \h </w:instrText>
      </w:r>
      <w:r>
        <w:fldChar w:fldCharType="separate"/>
      </w:r>
      <w:r>
        <w:t>10</w:t>
      </w:r>
      <w:r>
        <w:fldChar w:fldCharType="end"/>
      </w:r>
      <w:r>
        <w:fldChar w:fldCharType="end"/>
      </w:r>
    </w:p>
    <w:p>
      <w:pPr>
        <w:pStyle w:val="24"/>
        <w:tabs>
          <w:tab w:val="right" w:leader="dot" w:pos="8733"/>
        </w:tabs>
        <w:spacing w:line="360" w:lineRule="auto"/>
      </w:pPr>
      <w:r>
        <w:fldChar w:fldCharType="begin"/>
      </w:r>
      <w:r>
        <w:instrText xml:space="preserve"> HYPERLINK \l "_Toc9470" </w:instrText>
      </w:r>
      <w:r>
        <w:fldChar w:fldCharType="separate"/>
      </w:r>
      <w:r>
        <w:rPr>
          <w:rFonts w:hint="eastAsia" w:cs="宋体" w:asciiTheme="minorEastAsia" w:hAnsiTheme="minorEastAsia" w:eastAsiaTheme="minorEastAsia"/>
          <w:bCs/>
          <w:szCs w:val="36"/>
        </w:rPr>
        <w:t>2. 招标文件</w:t>
      </w:r>
      <w:r>
        <w:tab/>
      </w:r>
      <w:r>
        <w:fldChar w:fldCharType="begin"/>
      </w:r>
      <w:r>
        <w:instrText xml:space="preserve"> PAGEREF _Toc9470 \h </w:instrText>
      </w:r>
      <w:r>
        <w:fldChar w:fldCharType="separate"/>
      </w:r>
      <w:r>
        <w:t>13</w:t>
      </w:r>
      <w:r>
        <w:fldChar w:fldCharType="end"/>
      </w:r>
      <w:r>
        <w:fldChar w:fldCharType="end"/>
      </w:r>
    </w:p>
    <w:p>
      <w:pPr>
        <w:pStyle w:val="24"/>
        <w:tabs>
          <w:tab w:val="right" w:leader="dot" w:pos="8733"/>
        </w:tabs>
        <w:spacing w:line="360" w:lineRule="auto"/>
      </w:pPr>
      <w:r>
        <w:fldChar w:fldCharType="begin"/>
      </w:r>
      <w:r>
        <w:instrText xml:space="preserve"> HYPERLINK \l "_Toc29364" </w:instrText>
      </w:r>
      <w:r>
        <w:fldChar w:fldCharType="separate"/>
      </w:r>
      <w:r>
        <w:rPr>
          <w:rFonts w:hint="eastAsia" w:cs="宋体" w:asciiTheme="minorEastAsia" w:hAnsiTheme="minorEastAsia" w:eastAsiaTheme="minorEastAsia"/>
          <w:szCs w:val="36"/>
        </w:rPr>
        <w:t>3. 投标供应商</w:t>
      </w:r>
      <w:r>
        <w:tab/>
      </w:r>
      <w:r>
        <w:fldChar w:fldCharType="begin"/>
      </w:r>
      <w:r>
        <w:instrText xml:space="preserve"> PAGEREF _Toc29364 \h </w:instrText>
      </w:r>
      <w:r>
        <w:fldChar w:fldCharType="separate"/>
      </w:r>
      <w:r>
        <w:t>14</w:t>
      </w:r>
      <w:r>
        <w:fldChar w:fldCharType="end"/>
      </w:r>
      <w:r>
        <w:fldChar w:fldCharType="end"/>
      </w:r>
    </w:p>
    <w:p>
      <w:pPr>
        <w:pStyle w:val="24"/>
        <w:tabs>
          <w:tab w:val="right" w:leader="dot" w:pos="8733"/>
        </w:tabs>
        <w:spacing w:line="360" w:lineRule="auto"/>
      </w:pPr>
      <w:r>
        <w:fldChar w:fldCharType="begin"/>
      </w:r>
      <w:r>
        <w:instrText xml:space="preserve"> HYPERLINK \l "_Toc28915" </w:instrText>
      </w:r>
      <w:r>
        <w:fldChar w:fldCharType="separate"/>
      </w:r>
      <w:r>
        <w:rPr>
          <w:rFonts w:hint="eastAsia" w:cs="宋体" w:asciiTheme="minorEastAsia" w:hAnsiTheme="minorEastAsia" w:eastAsiaTheme="minorEastAsia"/>
          <w:bCs/>
          <w:szCs w:val="36"/>
        </w:rPr>
        <w:t>4. 投标文件</w:t>
      </w:r>
      <w:r>
        <w:tab/>
      </w:r>
      <w:r>
        <w:fldChar w:fldCharType="begin"/>
      </w:r>
      <w:r>
        <w:instrText xml:space="preserve"> PAGEREF _Toc28915 \h </w:instrText>
      </w:r>
      <w:r>
        <w:fldChar w:fldCharType="separate"/>
      </w:r>
      <w:r>
        <w:t>19</w:t>
      </w:r>
      <w:r>
        <w:fldChar w:fldCharType="end"/>
      </w:r>
      <w:r>
        <w:fldChar w:fldCharType="end"/>
      </w:r>
    </w:p>
    <w:p>
      <w:pPr>
        <w:pStyle w:val="24"/>
        <w:tabs>
          <w:tab w:val="right" w:leader="dot" w:pos="8733"/>
        </w:tabs>
        <w:spacing w:line="360" w:lineRule="auto"/>
      </w:pPr>
      <w:r>
        <w:fldChar w:fldCharType="begin"/>
      </w:r>
      <w:r>
        <w:instrText xml:space="preserve"> HYPERLINK \l "_Toc11774" </w:instrText>
      </w:r>
      <w:r>
        <w:fldChar w:fldCharType="separate"/>
      </w:r>
      <w:r>
        <w:rPr>
          <w:rFonts w:hint="eastAsia" w:cs="宋体" w:asciiTheme="minorEastAsia" w:hAnsiTheme="minorEastAsia" w:eastAsiaTheme="minorEastAsia"/>
          <w:bCs/>
          <w:szCs w:val="36"/>
        </w:rPr>
        <w:t>5. 投标</w:t>
      </w:r>
      <w:r>
        <w:tab/>
      </w:r>
      <w:r>
        <w:fldChar w:fldCharType="begin"/>
      </w:r>
      <w:r>
        <w:instrText xml:space="preserve"> PAGEREF _Toc11774 \h </w:instrText>
      </w:r>
      <w:r>
        <w:fldChar w:fldCharType="separate"/>
      </w:r>
      <w:r>
        <w:t>24</w:t>
      </w:r>
      <w:r>
        <w:fldChar w:fldCharType="end"/>
      </w:r>
      <w:r>
        <w:fldChar w:fldCharType="end"/>
      </w:r>
    </w:p>
    <w:p>
      <w:pPr>
        <w:pStyle w:val="24"/>
        <w:tabs>
          <w:tab w:val="right" w:leader="dot" w:pos="8733"/>
        </w:tabs>
        <w:spacing w:line="360" w:lineRule="auto"/>
      </w:pPr>
      <w:r>
        <w:fldChar w:fldCharType="begin"/>
      </w:r>
      <w:r>
        <w:instrText xml:space="preserve"> HYPERLINK \l "_Toc17845" </w:instrText>
      </w:r>
      <w:r>
        <w:fldChar w:fldCharType="separate"/>
      </w:r>
      <w:r>
        <w:rPr>
          <w:rFonts w:hint="eastAsia" w:cs="宋体" w:asciiTheme="minorEastAsia" w:hAnsiTheme="minorEastAsia" w:eastAsiaTheme="minorEastAsia"/>
          <w:bCs/>
          <w:szCs w:val="36"/>
        </w:rPr>
        <w:t>6. 开标</w:t>
      </w:r>
      <w:r>
        <w:tab/>
      </w:r>
      <w:r>
        <w:fldChar w:fldCharType="begin"/>
      </w:r>
      <w:r>
        <w:instrText xml:space="preserve"> PAGEREF _Toc17845 \h </w:instrText>
      </w:r>
      <w:r>
        <w:fldChar w:fldCharType="separate"/>
      </w:r>
      <w:r>
        <w:t>25</w:t>
      </w:r>
      <w:r>
        <w:fldChar w:fldCharType="end"/>
      </w:r>
      <w:r>
        <w:fldChar w:fldCharType="end"/>
      </w:r>
    </w:p>
    <w:p>
      <w:pPr>
        <w:pStyle w:val="24"/>
        <w:tabs>
          <w:tab w:val="right" w:leader="dot" w:pos="8733"/>
        </w:tabs>
        <w:spacing w:line="360" w:lineRule="auto"/>
      </w:pPr>
      <w:r>
        <w:fldChar w:fldCharType="begin"/>
      </w:r>
      <w:r>
        <w:instrText xml:space="preserve"> HYPERLINK \l "_Toc28535" </w:instrText>
      </w:r>
      <w:r>
        <w:fldChar w:fldCharType="separate"/>
      </w:r>
      <w:r>
        <w:rPr>
          <w:rFonts w:hint="eastAsia" w:cs="宋体" w:asciiTheme="minorEastAsia" w:hAnsiTheme="minorEastAsia" w:eastAsiaTheme="minorEastAsia"/>
          <w:bCs/>
          <w:szCs w:val="36"/>
        </w:rPr>
        <w:t>7. 投标供应商资格审查</w:t>
      </w:r>
      <w:r>
        <w:tab/>
      </w:r>
      <w:r>
        <w:fldChar w:fldCharType="begin"/>
      </w:r>
      <w:r>
        <w:instrText xml:space="preserve"> PAGEREF _Toc28535 \h </w:instrText>
      </w:r>
      <w:r>
        <w:fldChar w:fldCharType="separate"/>
      </w:r>
      <w:r>
        <w:t>26</w:t>
      </w:r>
      <w:r>
        <w:fldChar w:fldCharType="end"/>
      </w:r>
      <w:r>
        <w:fldChar w:fldCharType="end"/>
      </w:r>
    </w:p>
    <w:p>
      <w:pPr>
        <w:pStyle w:val="24"/>
        <w:tabs>
          <w:tab w:val="right" w:leader="dot" w:pos="8733"/>
        </w:tabs>
        <w:spacing w:line="360" w:lineRule="auto"/>
      </w:pPr>
      <w:r>
        <w:fldChar w:fldCharType="begin"/>
      </w:r>
      <w:r>
        <w:instrText xml:space="preserve"> HYPERLINK \l "_Toc18223" </w:instrText>
      </w:r>
      <w:r>
        <w:fldChar w:fldCharType="separate"/>
      </w:r>
      <w:r>
        <w:rPr>
          <w:rFonts w:hint="eastAsia" w:cs="宋体" w:asciiTheme="minorEastAsia" w:hAnsiTheme="minorEastAsia" w:eastAsiaTheme="minorEastAsia"/>
          <w:bCs/>
          <w:szCs w:val="36"/>
        </w:rPr>
        <w:t>8. 评标</w:t>
      </w:r>
      <w:r>
        <w:tab/>
      </w:r>
      <w:r>
        <w:fldChar w:fldCharType="begin"/>
      </w:r>
      <w:r>
        <w:instrText xml:space="preserve"> PAGEREF _Toc18223 \h </w:instrText>
      </w:r>
      <w:r>
        <w:fldChar w:fldCharType="separate"/>
      </w:r>
      <w:r>
        <w:t>28</w:t>
      </w:r>
      <w:r>
        <w:fldChar w:fldCharType="end"/>
      </w:r>
      <w:r>
        <w:fldChar w:fldCharType="end"/>
      </w:r>
    </w:p>
    <w:p>
      <w:pPr>
        <w:pStyle w:val="24"/>
        <w:tabs>
          <w:tab w:val="right" w:leader="dot" w:pos="8733"/>
        </w:tabs>
        <w:spacing w:line="360" w:lineRule="auto"/>
      </w:pPr>
      <w:r>
        <w:fldChar w:fldCharType="begin"/>
      </w:r>
      <w:r>
        <w:instrText xml:space="preserve"> HYPERLINK \l "_Toc2558" </w:instrText>
      </w:r>
      <w:r>
        <w:fldChar w:fldCharType="separate"/>
      </w:r>
      <w:r>
        <w:rPr>
          <w:rFonts w:hint="eastAsia" w:cs="宋体" w:asciiTheme="minorEastAsia" w:hAnsiTheme="minorEastAsia" w:eastAsiaTheme="minorEastAsia"/>
          <w:bCs/>
          <w:szCs w:val="36"/>
        </w:rPr>
        <w:t>9. 定标</w:t>
      </w:r>
      <w:r>
        <w:tab/>
      </w:r>
      <w:r>
        <w:fldChar w:fldCharType="begin"/>
      </w:r>
      <w:r>
        <w:instrText xml:space="preserve"> PAGEREF _Toc2558 \h </w:instrText>
      </w:r>
      <w:r>
        <w:fldChar w:fldCharType="separate"/>
      </w:r>
      <w:r>
        <w:t>31</w:t>
      </w:r>
      <w:r>
        <w:fldChar w:fldCharType="end"/>
      </w:r>
      <w:r>
        <w:fldChar w:fldCharType="end"/>
      </w:r>
    </w:p>
    <w:p>
      <w:pPr>
        <w:pStyle w:val="24"/>
        <w:tabs>
          <w:tab w:val="right" w:leader="dot" w:pos="8733"/>
        </w:tabs>
        <w:spacing w:line="360" w:lineRule="auto"/>
      </w:pPr>
      <w:r>
        <w:fldChar w:fldCharType="begin"/>
      </w:r>
      <w:r>
        <w:instrText xml:space="preserve"> HYPERLINK \l "_Toc18650" </w:instrText>
      </w:r>
      <w:r>
        <w:fldChar w:fldCharType="separate"/>
      </w:r>
      <w:r>
        <w:rPr>
          <w:rFonts w:hint="eastAsia" w:cs="宋体" w:asciiTheme="minorEastAsia" w:hAnsiTheme="minorEastAsia" w:eastAsiaTheme="minorEastAsia"/>
          <w:bCs/>
          <w:szCs w:val="36"/>
        </w:rPr>
        <w:t>10. 合同授予</w:t>
      </w:r>
      <w:r>
        <w:tab/>
      </w:r>
      <w:r>
        <w:fldChar w:fldCharType="begin"/>
      </w:r>
      <w:r>
        <w:instrText xml:space="preserve"> PAGEREF _Toc18650 \h </w:instrText>
      </w:r>
      <w:r>
        <w:fldChar w:fldCharType="separate"/>
      </w:r>
      <w:r>
        <w:t>33</w:t>
      </w:r>
      <w:r>
        <w:fldChar w:fldCharType="end"/>
      </w:r>
      <w:r>
        <w:fldChar w:fldCharType="end"/>
      </w:r>
    </w:p>
    <w:p>
      <w:pPr>
        <w:pStyle w:val="24"/>
        <w:tabs>
          <w:tab w:val="right" w:leader="dot" w:pos="8733"/>
        </w:tabs>
        <w:spacing w:line="360" w:lineRule="auto"/>
      </w:pPr>
      <w:r>
        <w:fldChar w:fldCharType="begin"/>
      </w:r>
      <w:r>
        <w:instrText xml:space="preserve"> HYPERLINK \l "_Toc1754" </w:instrText>
      </w:r>
      <w:r>
        <w:fldChar w:fldCharType="separate"/>
      </w:r>
      <w:r>
        <w:rPr>
          <w:rFonts w:hint="eastAsia" w:cs="宋体" w:asciiTheme="minorEastAsia" w:hAnsiTheme="minorEastAsia" w:eastAsiaTheme="minorEastAsia"/>
          <w:bCs/>
          <w:szCs w:val="36"/>
        </w:rPr>
        <w:t>11. 废标或变更采购方式</w:t>
      </w:r>
      <w:r>
        <w:tab/>
      </w:r>
      <w:r>
        <w:fldChar w:fldCharType="begin"/>
      </w:r>
      <w:r>
        <w:instrText xml:space="preserve"> PAGEREF _Toc1754 \h </w:instrText>
      </w:r>
      <w:r>
        <w:fldChar w:fldCharType="separate"/>
      </w:r>
      <w:r>
        <w:t>33</w:t>
      </w:r>
      <w:r>
        <w:fldChar w:fldCharType="end"/>
      </w:r>
      <w:r>
        <w:fldChar w:fldCharType="end"/>
      </w:r>
    </w:p>
    <w:p>
      <w:pPr>
        <w:pStyle w:val="24"/>
        <w:tabs>
          <w:tab w:val="right" w:leader="dot" w:pos="8733"/>
        </w:tabs>
        <w:spacing w:line="360" w:lineRule="auto"/>
      </w:pPr>
      <w:r>
        <w:fldChar w:fldCharType="begin"/>
      </w:r>
      <w:r>
        <w:instrText xml:space="preserve"> HYPERLINK \l "_Toc27598" </w:instrText>
      </w:r>
      <w:r>
        <w:fldChar w:fldCharType="separate"/>
      </w:r>
      <w:r>
        <w:rPr>
          <w:rFonts w:cs="宋体" w:asciiTheme="minorEastAsia" w:hAnsiTheme="minorEastAsia" w:eastAsiaTheme="minorEastAsia"/>
          <w:bCs/>
          <w:szCs w:val="36"/>
        </w:rPr>
        <w:t xml:space="preserve">12. </w:t>
      </w:r>
      <w:r>
        <w:rPr>
          <w:rFonts w:hint="eastAsia" w:cs="宋体" w:asciiTheme="minorEastAsia" w:hAnsiTheme="minorEastAsia" w:eastAsiaTheme="minorEastAsia"/>
          <w:bCs/>
          <w:szCs w:val="36"/>
        </w:rPr>
        <w:t>招标代理服务费</w:t>
      </w:r>
      <w:r>
        <w:tab/>
      </w:r>
      <w:r>
        <w:fldChar w:fldCharType="begin"/>
      </w:r>
      <w:r>
        <w:instrText xml:space="preserve"> PAGEREF _Toc27598 \h </w:instrText>
      </w:r>
      <w:r>
        <w:fldChar w:fldCharType="separate"/>
      </w:r>
      <w:r>
        <w:t>34</w:t>
      </w:r>
      <w:r>
        <w:fldChar w:fldCharType="end"/>
      </w:r>
      <w:r>
        <w:fldChar w:fldCharType="end"/>
      </w:r>
    </w:p>
    <w:p>
      <w:pPr>
        <w:pStyle w:val="24"/>
        <w:tabs>
          <w:tab w:val="right" w:leader="dot" w:pos="8733"/>
        </w:tabs>
        <w:spacing w:line="360" w:lineRule="auto"/>
      </w:pPr>
      <w:r>
        <w:fldChar w:fldCharType="begin"/>
      </w:r>
      <w:r>
        <w:instrText xml:space="preserve"> HYPERLINK \l "_Toc29703" </w:instrText>
      </w:r>
      <w:r>
        <w:fldChar w:fldCharType="separate"/>
      </w:r>
      <w:r>
        <w:rPr>
          <w:rFonts w:cs="宋体" w:asciiTheme="minorEastAsia" w:hAnsiTheme="minorEastAsia" w:eastAsiaTheme="minorEastAsia"/>
          <w:bCs/>
          <w:szCs w:val="36"/>
        </w:rPr>
        <w:t xml:space="preserve">13. </w:t>
      </w:r>
      <w:r>
        <w:rPr>
          <w:rFonts w:hint="eastAsia" w:cs="宋体" w:asciiTheme="minorEastAsia" w:hAnsiTheme="minorEastAsia" w:eastAsiaTheme="minorEastAsia"/>
          <w:bCs/>
          <w:szCs w:val="36"/>
        </w:rPr>
        <w:t>质疑与投诉</w:t>
      </w:r>
      <w:r>
        <w:tab/>
      </w:r>
      <w:r>
        <w:fldChar w:fldCharType="begin"/>
      </w:r>
      <w:r>
        <w:instrText xml:space="preserve"> PAGEREF _Toc29703 \h </w:instrText>
      </w:r>
      <w:r>
        <w:fldChar w:fldCharType="separate"/>
      </w:r>
      <w:r>
        <w:t>35</w:t>
      </w:r>
      <w:r>
        <w:fldChar w:fldCharType="end"/>
      </w:r>
      <w:r>
        <w:fldChar w:fldCharType="end"/>
      </w:r>
    </w:p>
    <w:p>
      <w:pPr>
        <w:pStyle w:val="24"/>
        <w:tabs>
          <w:tab w:val="right" w:leader="dot" w:pos="8733"/>
        </w:tabs>
        <w:spacing w:line="360" w:lineRule="auto"/>
      </w:pPr>
      <w:r>
        <w:fldChar w:fldCharType="begin"/>
      </w:r>
      <w:r>
        <w:instrText xml:space="preserve"> HYPERLINK \l "_Toc14928" </w:instrText>
      </w:r>
      <w:r>
        <w:fldChar w:fldCharType="separate"/>
      </w:r>
      <w:r>
        <w:rPr>
          <w:rFonts w:hint="eastAsia" w:cs="宋体" w:asciiTheme="minorEastAsia" w:hAnsiTheme="minorEastAsia" w:eastAsiaTheme="minorEastAsia"/>
          <w:bCs/>
          <w:szCs w:val="36"/>
        </w:rPr>
        <w:t>14. 其他</w:t>
      </w:r>
      <w:r>
        <w:tab/>
      </w:r>
      <w:r>
        <w:fldChar w:fldCharType="begin"/>
      </w:r>
      <w:r>
        <w:instrText xml:space="preserve"> PAGEREF _Toc14928 \h </w:instrText>
      </w:r>
      <w:r>
        <w:fldChar w:fldCharType="separate"/>
      </w:r>
      <w:r>
        <w:t>37</w:t>
      </w:r>
      <w:r>
        <w:fldChar w:fldCharType="end"/>
      </w:r>
      <w:r>
        <w:fldChar w:fldCharType="end"/>
      </w:r>
    </w:p>
    <w:p>
      <w:pPr>
        <w:pStyle w:val="22"/>
        <w:tabs>
          <w:tab w:val="right" w:leader="dot" w:pos="8733"/>
        </w:tabs>
        <w:spacing w:line="360" w:lineRule="auto"/>
      </w:pPr>
      <w:r>
        <w:fldChar w:fldCharType="begin"/>
      </w:r>
      <w:r>
        <w:instrText xml:space="preserve"> HYPERLINK \l "_Toc32259" </w:instrText>
      </w:r>
      <w:r>
        <w:fldChar w:fldCharType="separate"/>
      </w:r>
      <w:r>
        <w:rPr>
          <w:rFonts w:hint="eastAsia" w:cs="宋体" w:asciiTheme="minorEastAsia" w:hAnsiTheme="minorEastAsia" w:eastAsiaTheme="minorEastAsia"/>
          <w:szCs w:val="44"/>
        </w:rPr>
        <w:t>第三章 评标办法</w:t>
      </w:r>
      <w:r>
        <w:tab/>
      </w:r>
      <w:r>
        <w:fldChar w:fldCharType="begin"/>
      </w:r>
      <w:r>
        <w:instrText xml:space="preserve"> PAGEREF _Toc32259 \h </w:instrText>
      </w:r>
      <w:r>
        <w:fldChar w:fldCharType="separate"/>
      </w:r>
      <w:r>
        <w:t>39</w:t>
      </w:r>
      <w:r>
        <w:fldChar w:fldCharType="end"/>
      </w:r>
      <w:r>
        <w:fldChar w:fldCharType="end"/>
      </w:r>
    </w:p>
    <w:p>
      <w:pPr>
        <w:pStyle w:val="24"/>
        <w:tabs>
          <w:tab w:val="right" w:leader="dot" w:pos="8733"/>
        </w:tabs>
        <w:spacing w:line="360" w:lineRule="auto"/>
      </w:pPr>
      <w:r>
        <w:fldChar w:fldCharType="begin"/>
      </w:r>
      <w:r>
        <w:instrText xml:space="preserve"> HYPERLINK \l "_Toc5362" </w:instrText>
      </w:r>
      <w:r>
        <w:fldChar w:fldCharType="separate"/>
      </w:r>
      <w:r>
        <w:rPr>
          <w:rFonts w:cs="宋体" w:asciiTheme="minorEastAsia" w:hAnsiTheme="minorEastAsia" w:eastAsiaTheme="minorEastAsia"/>
          <w:bCs/>
          <w:szCs w:val="36"/>
        </w:rPr>
        <w:t xml:space="preserve">1. </w:t>
      </w:r>
      <w:r>
        <w:rPr>
          <w:rFonts w:hint="eastAsia" w:cs="宋体" w:asciiTheme="minorEastAsia" w:hAnsiTheme="minorEastAsia" w:eastAsiaTheme="minorEastAsia"/>
          <w:bCs/>
          <w:szCs w:val="36"/>
        </w:rPr>
        <w:t>评标程序</w:t>
      </w:r>
      <w:r>
        <w:tab/>
      </w:r>
      <w:r>
        <w:fldChar w:fldCharType="begin"/>
      </w:r>
      <w:r>
        <w:instrText xml:space="preserve"> PAGEREF _Toc5362 \h </w:instrText>
      </w:r>
      <w:r>
        <w:fldChar w:fldCharType="separate"/>
      </w:r>
      <w:r>
        <w:t>39</w:t>
      </w:r>
      <w:r>
        <w:fldChar w:fldCharType="end"/>
      </w:r>
      <w:r>
        <w:fldChar w:fldCharType="end"/>
      </w:r>
    </w:p>
    <w:p>
      <w:pPr>
        <w:pStyle w:val="24"/>
        <w:tabs>
          <w:tab w:val="right" w:leader="dot" w:pos="8733"/>
        </w:tabs>
        <w:spacing w:line="360" w:lineRule="auto"/>
      </w:pPr>
      <w:r>
        <w:fldChar w:fldCharType="begin"/>
      </w:r>
      <w:r>
        <w:instrText xml:space="preserve"> HYPERLINK \l "_Toc30975" </w:instrText>
      </w:r>
      <w:r>
        <w:fldChar w:fldCharType="separate"/>
      </w:r>
      <w:r>
        <w:rPr>
          <w:rFonts w:hint="eastAsia" w:cs="宋体" w:asciiTheme="minorEastAsia" w:hAnsiTheme="minorEastAsia" w:eastAsiaTheme="minorEastAsia"/>
          <w:bCs/>
          <w:szCs w:val="36"/>
        </w:rPr>
        <w:t>2. 评标方法</w:t>
      </w:r>
      <w:r>
        <w:tab/>
      </w:r>
      <w:r>
        <w:fldChar w:fldCharType="begin"/>
      </w:r>
      <w:r>
        <w:instrText xml:space="preserve"> PAGEREF _Toc30975 \h </w:instrText>
      </w:r>
      <w:r>
        <w:fldChar w:fldCharType="separate"/>
      </w:r>
      <w:r>
        <w:t>39</w:t>
      </w:r>
      <w:r>
        <w:fldChar w:fldCharType="end"/>
      </w:r>
      <w:r>
        <w:fldChar w:fldCharType="end"/>
      </w:r>
    </w:p>
    <w:p>
      <w:pPr>
        <w:pStyle w:val="22"/>
        <w:tabs>
          <w:tab w:val="right" w:leader="dot" w:pos="8733"/>
        </w:tabs>
        <w:spacing w:line="360" w:lineRule="auto"/>
      </w:pPr>
      <w:r>
        <w:fldChar w:fldCharType="begin"/>
      </w:r>
      <w:r>
        <w:instrText xml:space="preserve"> HYPERLINK \l "_Toc9592" </w:instrText>
      </w:r>
      <w:r>
        <w:fldChar w:fldCharType="separate"/>
      </w:r>
      <w:r>
        <w:rPr>
          <w:rFonts w:hint="eastAsia" w:cs="宋体" w:asciiTheme="minorEastAsia" w:hAnsiTheme="minorEastAsia" w:eastAsiaTheme="minorEastAsia"/>
          <w:szCs w:val="44"/>
        </w:rPr>
        <w:t>第四章 采购内容及要求</w:t>
      </w:r>
      <w:r>
        <w:tab/>
      </w:r>
      <w:r>
        <w:fldChar w:fldCharType="begin"/>
      </w:r>
      <w:r>
        <w:instrText xml:space="preserve"> PAGEREF _Toc9592 \h </w:instrText>
      </w:r>
      <w:r>
        <w:fldChar w:fldCharType="separate"/>
      </w:r>
      <w:r>
        <w:t>47</w:t>
      </w:r>
      <w:r>
        <w:fldChar w:fldCharType="end"/>
      </w:r>
      <w:r>
        <w:fldChar w:fldCharType="end"/>
      </w:r>
    </w:p>
    <w:p>
      <w:pPr>
        <w:pStyle w:val="22"/>
        <w:tabs>
          <w:tab w:val="right" w:leader="dot" w:pos="8733"/>
        </w:tabs>
        <w:spacing w:line="360" w:lineRule="auto"/>
      </w:pPr>
      <w:r>
        <w:fldChar w:fldCharType="begin"/>
      </w:r>
      <w:r>
        <w:instrText xml:space="preserve"> HYPERLINK \l "_Toc12804" </w:instrText>
      </w:r>
      <w:r>
        <w:fldChar w:fldCharType="separate"/>
      </w:r>
      <w:r>
        <w:rPr>
          <w:rFonts w:hint="eastAsia" w:cs="宋体" w:asciiTheme="minorEastAsia" w:hAnsiTheme="minorEastAsia" w:eastAsiaTheme="minorEastAsia"/>
          <w:szCs w:val="44"/>
        </w:rPr>
        <w:t>第五章 政府采购合同格式</w:t>
      </w:r>
      <w:r>
        <w:tab/>
      </w:r>
      <w:r>
        <w:fldChar w:fldCharType="begin"/>
      </w:r>
      <w:r>
        <w:instrText xml:space="preserve"> PAGEREF _Toc12804 \h </w:instrText>
      </w:r>
      <w:r>
        <w:fldChar w:fldCharType="separate"/>
      </w:r>
      <w:r>
        <w:t>57</w:t>
      </w:r>
      <w:r>
        <w:fldChar w:fldCharType="end"/>
      </w:r>
      <w:r>
        <w:fldChar w:fldCharType="end"/>
      </w:r>
    </w:p>
    <w:p>
      <w:pPr>
        <w:pStyle w:val="22"/>
        <w:tabs>
          <w:tab w:val="right" w:leader="dot" w:pos="8733"/>
        </w:tabs>
        <w:spacing w:line="360" w:lineRule="auto"/>
      </w:pPr>
      <w:r>
        <w:fldChar w:fldCharType="begin"/>
      </w:r>
      <w:r>
        <w:instrText xml:space="preserve"> HYPERLINK \l "_Toc9831" </w:instrText>
      </w:r>
      <w:r>
        <w:fldChar w:fldCharType="separate"/>
      </w:r>
      <w:r>
        <w:rPr>
          <w:rFonts w:hint="eastAsia" w:cs="宋体" w:asciiTheme="minorEastAsia" w:hAnsiTheme="minorEastAsia" w:eastAsiaTheme="minorEastAsia"/>
          <w:szCs w:val="44"/>
        </w:rPr>
        <w:t>第六章 投标文件格式</w:t>
      </w:r>
      <w:r>
        <w:tab/>
      </w:r>
      <w:r>
        <w:fldChar w:fldCharType="begin"/>
      </w:r>
      <w:r>
        <w:instrText xml:space="preserve"> PAGEREF _Toc9831 \h </w:instrText>
      </w:r>
      <w:r>
        <w:fldChar w:fldCharType="separate"/>
      </w:r>
      <w:r>
        <w:t>62</w:t>
      </w:r>
      <w:r>
        <w:fldChar w:fldCharType="end"/>
      </w:r>
      <w:r>
        <w:fldChar w:fldCharType="end"/>
      </w:r>
    </w:p>
    <w:p>
      <w:pPr>
        <w:spacing w:line="360" w:lineRule="auto"/>
        <w:rPr>
          <w:rFonts w:cs="宋体" w:asciiTheme="minorEastAsia" w:hAnsiTheme="minorEastAsia" w:eastAsiaTheme="minorEastAsia"/>
          <w:sz w:val="28"/>
          <w:szCs w:val="28"/>
        </w:rPr>
      </w:pPr>
      <w:r>
        <w:rPr>
          <w:rFonts w:hint="eastAsia" w:cs="宋体" w:asciiTheme="minorEastAsia" w:hAnsiTheme="minorEastAsia" w:eastAsiaTheme="minorEastAsia"/>
        </w:rPr>
        <w:fldChar w:fldCharType="end"/>
      </w:r>
    </w:p>
    <w:p>
      <w:pPr>
        <w:spacing w:line="360" w:lineRule="auto"/>
        <w:rPr>
          <w:rFonts w:cs="宋体" w:asciiTheme="minorEastAsia" w:hAnsiTheme="minorEastAsia" w:eastAsiaTheme="minorEastAsia"/>
        </w:rPr>
        <w:sectPr>
          <w:headerReference r:id="rId8" w:type="first"/>
          <w:footerReference r:id="rId10" w:type="first"/>
          <w:footerReference r:id="rId9" w:type="default"/>
          <w:pgSz w:w="11907" w:h="16840"/>
          <w:pgMar w:top="1474" w:right="1587" w:bottom="1474" w:left="1587" w:header="851" w:footer="992" w:gutter="0"/>
          <w:pgNumType w:start="1"/>
          <w:cols w:space="720" w:num="1"/>
          <w:titlePg/>
        </w:sectPr>
      </w:pPr>
    </w:p>
    <w:p>
      <w:pPr>
        <w:pStyle w:val="3"/>
        <w:numPr>
          <w:ilvl w:val="0"/>
          <w:numId w:val="2"/>
        </w:numPr>
        <w:spacing w:line="240" w:lineRule="auto"/>
        <w:jc w:val="center"/>
        <w:rPr>
          <w:rFonts w:cs="宋体" w:asciiTheme="minorEastAsia" w:hAnsiTheme="minorEastAsia" w:eastAsiaTheme="minorEastAsia"/>
          <w:szCs w:val="32"/>
        </w:rPr>
      </w:pPr>
      <w:bookmarkStart w:id="2" w:name="_Toc7228"/>
      <w:bookmarkStart w:id="3" w:name="_Toc13747"/>
      <w:bookmarkStart w:id="4" w:name="_Toc14502"/>
      <w:bookmarkStart w:id="5" w:name="_Toc29621"/>
      <w:bookmarkStart w:id="6" w:name="_Toc28199"/>
      <w:r>
        <w:rPr>
          <w:rFonts w:hint="eastAsia" w:cs="宋体" w:asciiTheme="minorEastAsia" w:hAnsiTheme="minorEastAsia" w:eastAsiaTheme="minorEastAsia"/>
          <w:szCs w:val="32"/>
        </w:rPr>
        <w:t>招标公告</w:t>
      </w:r>
      <w:bookmarkEnd w:id="2"/>
      <w:bookmarkEnd w:id="3"/>
      <w:bookmarkEnd w:id="4"/>
      <w:bookmarkEnd w:id="5"/>
      <w:bookmarkEnd w:id="6"/>
    </w:p>
    <w:p>
      <w:pPr>
        <w:pStyle w:val="26"/>
        <w:spacing w:before="0" w:beforeAutospacing="0" w:after="0" w:afterAutospacing="0" w:line="360" w:lineRule="auto"/>
        <w:ind w:firstLine="482" w:firstLineChars="200"/>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陕西省无线电管理委员会派出机构无线电监测设备运行维护项目(2包)</w:t>
      </w:r>
      <w:r>
        <w:rPr>
          <w:rFonts w:asciiTheme="minorEastAsia" w:hAnsiTheme="minorEastAsia" w:eastAsiaTheme="minorEastAsia"/>
          <w:b/>
          <w:sz w:val="24"/>
          <w:szCs w:val="24"/>
        </w:rPr>
        <w:t>潜在的投标人可在</w:t>
      </w:r>
      <w:r>
        <w:rPr>
          <w:rFonts w:hint="eastAsia" w:asciiTheme="minorEastAsia" w:hAnsiTheme="minorEastAsia" w:eastAsiaTheme="minorEastAsia"/>
          <w:b/>
          <w:sz w:val="24"/>
          <w:szCs w:val="24"/>
        </w:rPr>
        <w:t>西安市未央区明光路71号旭弘西北广场6层源丰成招标部获取采购文件，并于</w:t>
      </w:r>
      <w:r>
        <w:rPr>
          <w:rFonts w:hint="eastAsia" w:asciiTheme="minorEastAsia" w:hAnsiTheme="minorEastAsia" w:eastAsiaTheme="minorEastAsia"/>
          <w:b/>
          <w:sz w:val="24"/>
          <w:szCs w:val="24"/>
          <w:highlight w:val="none"/>
        </w:rPr>
        <w:t>2022年</w:t>
      </w:r>
      <w:r>
        <w:rPr>
          <w:rFonts w:hint="eastAsia" w:asciiTheme="minorEastAsia" w:hAnsiTheme="minorEastAsia" w:eastAsiaTheme="minorEastAsia"/>
          <w:b/>
          <w:sz w:val="24"/>
          <w:szCs w:val="24"/>
          <w:highlight w:val="none"/>
          <w:lang w:val="en-US" w:eastAsia="zh-CN"/>
        </w:rPr>
        <w:t>8</w:t>
      </w:r>
      <w:r>
        <w:rPr>
          <w:rFonts w:hint="eastAsia" w:asciiTheme="minorEastAsia" w:hAnsiTheme="minorEastAsia" w:eastAsiaTheme="minorEastAsia"/>
          <w:b/>
          <w:sz w:val="24"/>
          <w:szCs w:val="24"/>
          <w:highlight w:val="none"/>
        </w:rPr>
        <w:t>月</w:t>
      </w:r>
      <w:r>
        <w:rPr>
          <w:rFonts w:hint="eastAsia" w:asciiTheme="minorEastAsia" w:hAnsiTheme="minorEastAsia" w:eastAsiaTheme="minorEastAsia"/>
          <w:b/>
          <w:sz w:val="24"/>
          <w:szCs w:val="24"/>
          <w:highlight w:val="none"/>
          <w:lang w:val="en-US" w:eastAsia="zh-CN"/>
        </w:rPr>
        <w:t>25</w:t>
      </w:r>
      <w:r>
        <w:rPr>
          <w:rFonts w:hint="eastAsia" w:asciiTheme="minorEastAsia" w:hAnsiTheme="minorEastAsia" w:eastAsiaTheme="minorEastAsia"/>
          <w:b/>
          <w:sz w:val="24"/>
          <w:szCs w:val="24"/>
          <w:highlight w:val="none"/>
        </w:rPr>
        <w:t>日</w:t>
      </w:r>
      <w:r>
        <w:rPr>
          <w:rFonts w:hint="eastAsia" w:asciiTheme="minorEastAsia" w:hAnsiTheme="minorEastAsia" w:eastAsiaTheme="minorEastAsia"/>
          <w:b/>
          <w:sz w:val="24"/>
          <w:szCs w:val="24"/>
          <w:highlight w:val="none"/>
          <w:lang w:val="en-US" w:eastAsia="zh-CN"/>
        </w:rPr>
        <w:t>14</w:t>
      </w:r>
      <w:r>
        <w:rPr>
          <w:rFonts w:hint="eastAsia" w:asciiTheme="minorEastAsia" w:hAnsiTheme="minorEastAsia" w:eastAsiaTheme="minorEastAsia"/>
          <w:b/>
          <w:sz w:val="24"/>
          <w:szCs w:val="24"/>
          <w:highlight w:val="none"/>
        </w:rPr>
        <w:t>时</w:t>
      </w:r>
      <w:r>
        <w:rPr>
          <w:rFonts w:hint="eastAsia" w:asciiTheme="minorEastAsia" w:hAnsiTheme="minorEastAsia" w:eastAsiaTheme="minorEastAsia"/>
          <w:b/>
          <w:sz w:val="24"/>
          <w:szCs w:val="24"/>
          <w:highlight w:val="none"/>
          <w:lang w:val="en-US" w:eastAsia="zh-CN"/>
        </w:rPr>
        <w:t>30</w:t>
      </w:r>
      <w:r>
        <w:rPr>
          <w:rFonts w:hint="eastAsia" w:asciiTheme="minorEastAsia" w:hAnsiTheme="minorEastAsia" w:eastAsiaTheme="minorEastAsia"/>
          <w:b/>
          <w:sz w:val="24"/>
          <w:szCs w:val="24"/>
          <w:highlight w:val="none"/>
        </w:rPr>
        <w:t>分</w:t>
      </w:r>
      <w:r>
        <w:rPr>
          <w:rFonts w:hint="eastAsia" w:asciiTheme="minorEastAsia" w:hAnsiTheme="minorEastAsia" w:eastAsiaTheme="minorEastAsia"/>
          <w:b/>
          <w:sz w:val="24"/>
          <w:szCs w:val="24"/>
        </w:rPr>
        <w:t>前递交投标文件。</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rPr>
        <w:t>一、项目基本情况：</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1、项目编号：</w:t>
      </w:r>
      <w:r>
        <w:rPr>
          <w:rFonts w:hint="eastAsia" w:asciiTheme="minorEastAsia" w:hAnsiTheme="minorEastAsia" w:eastAsiaTheme="minorEastAsia"/>
          <w:sz w:val="24"/>
          <w:szCs w:val="24"/>
        </w:rPr>
        <w:t>YFC2022-GP-016F</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2、项目名称：</w:t>
      </w:r>
      <w:r>
        <w:rPr>
          <w:rFonts w:hint="eastAsia" w:asciiTheme="minorEastAsia" w:hAnsiTheme="minorEastAsia" w:eastAsiaTheme="minorEastAsia"/>
          <w:sz w:val="24"/>
          <w:szCs w:val="24"/>
        </w:rPr>
        <w:t>陕西省无线电管理委员会派出机构无线电监测设备运行维护项目(2包)</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3、预算金额：</w:t>
      </w:r>
      <w:r>
        <w:rPr>
          <w:rFonts w:hint="eastAsia" w:asciiTheme="minorEastAsia" w:hAnsiTheme="minorEastAsia" w:eastAsiaTheme="minorEastAsia"/>
          <w:sz w:val="24"/>
          <w:szCs w:val="24"/>
        </w:rPr>
        <w:t>800000.00元</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4、最高限价：</w:t>
      </w:r>
      <w:r>
        <w:rPr>
          <w:rFonts w:hint="eastAsia" w:asciiTheme="minorEastAsia" w:hAnsiTheme="minorEastAsia" w:eastAsiaTheme="minorEastAsia"/>
          <w:sz w:val="24"/>
          <w:szCs w:val="24"/>
        </w:rPr>
        <w:t>无</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5、采购需求：对全省</w:t>
      </w:r>
      <w:r>
        <w:rPr>
          <w:rFonts w:hint="eastAsia" w:asciiTheme="minorEastAsia" w:hAnsiTheme="minorEastAsia" w:eastAsiaTheme="minorEastAsia"/>
          <w:sz w:val="24"/>
          <w:szCs w:val="24"/>
        </w:rPr>
        <w:t>派出机构部分无线电监测设备进行运行维护。（详见招标文件）</w:t>
      </w:r>
    </w:p>
    <w:p>
      <w:pPr>
        <w:pStyle w:val="26"/>
        <w:numPr>
          <w:ilvl w:val="0"/>
          <w:numId w:val="3"/>
        </w:numPr>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合同履行期限：202</w:t>
      </w:r>
      <w:r>
        <w:rPr>
          <w:rFonts w:hint="eastAsia" w:asciiTheme="minorEastAsia" w:hAnsiTheme="minorEastAsia" w:eastAsiaTheme="minorEastAsia"/>
          <w:sz w:val="24"/>
          <w:szCs w:val="24"/>
        </w:rPr>
        <w:t>3-01</w:t>
      </w:r>
      <w:r>
        <w:rPr>
          <w:rFonts w:asciiTheme="minorEastAsia" w:hAnsiTheme="minorEastAsia" w:eastAsiaTheme="minorEastAsia"/>
          <w:sz w:val="24"/>
          <w:szCs w:val="24"/>
        </w:rPr>
        <w:t>-</w:t>
      </w:r>
      <w:r>
        <w:rPr>
          <w:rFonts w:hint="eastAsia" w:asciiTheme="minorEastAsia" w:hAnsiTheme="minorEastAsia" w:eastAsiaTheme="minorEastAsia"/>
          <w:sz w:val="24"/>
          <w:szCs w:val="24"/>
        </w:rPr>
        <w:t>01</w:t>
      </w:r>
      <w:r>
        <w:rPr>
          <w:rFonts w:asciiTheme="minorEastAsia" w:hAnsiTheme="minorEastAsia" w:eastAsiaTheme="minorEastAsia"/>
          <w:sz w:val="24"/>
          <w:szCs w:val="24"/>
        </w:rPr>
        <w:t xml:space="preserve"> 00:00:00 至 202</w:t>
      </w: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12</w:t>
      </w:r>
      <w:r>
        <w:rPr>
          <w:rFonts w:asciiTheme="minorEastAsia" w:hAnsiTheme="minorEastAsia" w:eastAsiaTheme="minorEastAsia"/>
          <w:sz w:val="24"/>
          <w:szCs w:val="24"/>
        </w:rPr>
        <w:t>-</w:t>
      </w:r>
      <w:r>
        <w:rPr>
          <w:rFonts w:hint="eastAsia" w:asciiTheme="minorEastAsia" w:hAnsiTheme="minorEastAsia" w:eastAsiaTheme="minorEastAsia"/>
          <w:sz w:val="24"/>
          <w:szCs w:val="24"/>
        </w:rPr>
        <w:t>31</w:t>
      </w:r>
      <w:r>
        <w:rPr>
          <w:rFonts w:asciiTheme="minorEastAsia" w:hAnsiTheme="minorEastAsia" w:eastAsiaTheme="minorEastAsia"/>
          <w:sz w:val="24"/>
          <w:szCs w:val="24"/>
        </w:rPr>
        <w:t xml:space="preserve"> 00:00:00（具体服务起止日期可随合同签订时间相应顺延）</w:t>
      </w:r>
    </w:p>
    <w:p>
      <w:pPr>
        <w:pStyle w:val="26"/>
        <w:spacing w:before="0" w:beforeAutospacing="0" w:after="0" w:afterAutospacing="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7、本项目是否接受联合体投标：</w:t>
      </w:r>
      <w:r>
        <w:rPr>
          <w:rFonts w:hint="eastAsia" w:asciiTheme="minorEastAsia" w:hAnsiTheme="minorEastAsia" w:eastAsiaTheme="minorEastAsia"/>
          <w:sz w:val="24"/>
          <w:szCs w:val="24"/>
        </w:rPr>
        <w:t>不接受</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rPr>
        <w:t xml:space="preserve">二、 投标人的资格要求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1、满足《中华人民共和国政府采购法》第二十二条规定</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2、落实政府采购政策需满足的资格要求：</w:t>
      </w:r>
      <w:r>
        <w:rPr>
          <w:rFonts w:hint="eastAsia" w:asciiTheme="minorEastAsia" w:hAnsiTheme="minorEastAsia" w:eastAsiaTheme="minorEastAsia"/>
          <w:sz w:val="24"/>
          <w:szCs w:val="24"/>
        </w:rPr>
        <w:t>本项目专门面向中小企业采购。</w:t>
      </w:r>
      <w:r>
        <w:rPr>
          <w:rFonts w:asciiTheme="minorEastAsia" w:hAnsiTheme="minorEastAsia" w:eastAsiaTheme="minorEastAsia"/>
          <w:sz w:val="24"/>
          <w:szCs w:val="24"/>
        </w:rPr>
        <w:t xml:space="preserve">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16）《陕西省财政厅关于落实政府采购支持中小企业政策有关事项的通知》（陕财办采函〔2022〕10 号）；（17）《财政部关于进一步加大政府采购支持中小企业力度的通知》（财库〔2022〕19号）。</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3、本项目的特定资格要求：</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（1）投标供应商需提供合法有效的统一社会信用代码营业执照。</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财务状况报告：提供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（5）税收缴纳证明：提供供应商2022年1月1日以来连续每月或每季度已缴纳的纳税证明或完税证明（提供增值税、企业所得税至少一种），依法免税的供应商应提供加盖公章的相关证明文件。</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val="zh-CN"/>
        </w:rPr>
        <w:t>）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8</w:t>
      </w:r>
      <w:r>
        <w:rPr>
          <w:rFonts w:hint="eastAsia" w:cs="宋体" w:asciiTheme="minorEastAsia" w:hAnsiTheme="minorEastAsia" w:eastAsiaTheme="minorEastAsia"/>
          <w:sz w:val="24"/>
          <w:lang w:val="zh-CN"/>
        </w:rPr>
        <w:t>）单位负责人为同一人或者存在控股、管理关系的不同单位不得同时参加同一项目投标。</w:t>
      </w:r>
    </w:p>
    <w:p>
      <w:pPr>
        <w:pStyle w:val="26"/>
        <w:spacing w:before="0" w:beforeAutospacing="0" w:after="0" w:afterAutospacing="0"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三、 招标文件的获取方式 </w:t>
      </w:r>
    </w:p>
    <w:p>
      <w:pPr>
        <w:pStyle w:val="26"/>
        <w:spacing w:before="0" w:beforeAutospacing="0" w:after="0" w:afterAutospacing="0" w:line="360" w:lineRule="auto"/>
        <w:ind w:firstLine="420"/>
        <w:rPr>
          <w:rFonts w:asciiTheme="minorEastAsia" w:hAnsiTheme="minorEastAsia" w:eastAsiaTheme="minorEastAsia"/>
          <w:sz w:val="24"/>
          <w:szCs w:val="24"/>
          <w:highlight w:val="none"/>
        </w:rPr>
      </w:pPr>
      <w:r>
        <w:rPr>
          <w:rFonts w:asciiTheme="minorEastAsia" w:hAnsiTheme="minorEastAsia" w:eastAsiaTheme="minorEastAsia"/>
          <w:sz w:val="24"/>
          <w:szCs w:val="24"/>
        </w:rPr>
        <w:t>时间：</w:t>
      </w:r>
      <w:r>
        <w:rPr>
          <w:rFonts w:hint="eastAsia" w:asciiTheme="minorEastAsia" w:hAnsiTheme="minorEastAsia" w:eastAsiaTheme="minorEastAsia"/>
          <w:sz w:val="24"/>
          <w:szCs w:val="24"/>
          <w:highlight w:val="none"/>
        </w:rPr>
        <w:t>2022年</w:t>
      </w:r>
      <w:r>
        <w:rPr>
          <w:rFonts w:hint="eastAsia" w:asciiTheme="minorEastAsia" w:hAnsiTheme="minorEastAsia" w:eastAsiaTheme="minorEastAsia"/>
          <w:sz w:val="24"/>
          <w:szCs w:val="24"/>
          <w:highlight w:val="none"/>
          <w:lang w:val="en-US" w:eastAsia="zh-CN"/>
        </w:rPr>
        <w:t>8</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5</w:t>
      </w:r>
      <w:r>
        <w:rPr>
          <w:rFonts w:hint="eastAsia" w:asciiTheme="minorEastAsia" w:hAnsiTheme="minorEastAsia" w:eastAsiaTheme="minorEastAsia"/>
          <w:sz w:val="24"/>
          <w:szCs w:val="24"/>
          <w:highlight w:val="none"/>
        </w:rPr>
        <w:t>日至2022年</w:t>
      </w:r>
      <w:r>
        <w:rPr>
          <w:rFonts w:hint="eastAsia" w:asciiTheme="minorEastAsia" w:hAnsiTheme="minorEastAsia" w:eastAsiaTheme="minorEastAsia"/>
          <w:sz w:val="24"/>
          <w:szCs w:val="24"/>
          <w:highlight w:val="none"/>
          <w:lang w:val="en-US" w:eastAsia="zh-CN"/>
        </w:rPr>
        <w:t>8</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11</w:t>
      </w:r>
      <w:r>
        <w:rPr>
          <w:rFonts w:hint="eastAsia" w:asciiTheme="minorEastAsia" w:hAnsiTheme="minorEastAsia" w:eastAsiaTheme="minorEastAsia"/>
          <w:sz w:val="24"/>
          <w:szCs w:val="24"/>
          <w:highlight w:val="none"/>
        </w:rPr>
        <w:t>日每天09:00-16:00</w:t>
      </w:r>
    </w:p>
    <w:p>
      <w:pPr>
        <w:pStyle w:val="26"/>
        <w:spacing w:before="0" w:beforeAutospacing="0" w:after="0" w:afterAutospacing="0" w:line="360" w:lineRule="auto"/>
        <w:ind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地点：</w:t>
      </w:r>
      <w:r>
        <w:rPr>
          <w:rFonts w:hint="eastAsia" w:asciiTheme="minorEastAsia" w:hAnsiTheme="minorEastAsia" w:eastAsiaTheme="minorEastAsia"/>
          <w:sz w:val="24"/>
          <w:szCs w:val="24"/>
          <w:highlight w:val="none"/>
        </w:rPr>
        <w:t>西安市未央区明光路71号旭弘西北广场6层源丰成招标部</w:t>
      </w:r>
    </w:p>
    <w:p>
      <w:pPr>
        <w:pStyle w:val="26"/>
        <w:spacing w:before="0" w:beforeAutospacing="0" w:after="0" w:afterAutospacing="0" w:line="360" w:lineRule="auto"/>
        <w:ind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方式：现场购买/邮寄</w:t>
      </w:r>
    </w:p>
    <w:p>
      <w:pPr>
        <w:pStyle w:val="26"/>
        <w:spacing w:before="0" w:beforeAutospacing="0" w:after="0" w:afterAutospacing="0" w:line="360" w:lineRule="auto"/>
        <w:ind w:firstLine="42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售价：</w:t>
      </w:r>
      <w:r>
        <w:rPr>
          <w:rFonts w:hint="eastAsia" w:asciiTheme="minorEastAsia" w:hAnsiTheme="minorEastAsia" w:eastAsiaTheme="minorEastAsia"/>
          <w:sz w:val="24"/>
          <w:szCs w:val="24"/>
          <w:highlight w:val="none"/>
        </w:rPr>
        <w:t>500元/份</w:t>
      </w:r>
    </w:p>
    <w:p>
      <w:pPr>
        <w:pStyle w:val="26"/>
        <w:spacing w:before="0" w:beforeAutospacing="0" w:after="0" w:afterAutospacing="0" w:line="360" w:lineRule="auto"/>
        <w:ind w:firstLine="420"/>
        <w:rPr>
          <w:rFonts w:asciiTheme="minorEastAsia" w:hAnsiTheme="minorEastAsia" w:eastAsiaTheme="minorEastAsia"/>
          <w:sz w:val="24"/>
          <w:szCs w:val="24"/>
          <w:highlight w:val="none"/>
        </w:rPr>
      </w:pPr>
      <w:r>
        <w:rPr>
          <w:rStyle w:val="32"/>
          <w:rFonts w:hint="eastAsia" w:cs="宋体" w:asciiTheme="minorEastAsia" w:hAnsiTheme="minorEastAsia" w:eastAsiaTheme="minorEastAsia"/>
          <w:sz w:val="24"/>
          <w:szCs w:val="24"/>
          <w:highlight w:val="none"/>
        </w:rPr>
        <w:t>注：请携带单位介绍信、经办人身份证复印件（加盖公章）获取招标文件</w:t>
      </w:r>
      <w:r>
        <w:rPr>
          <w:rStyle w:val="32"/>
          <w:rFonts w:hint="eastAsia" w:cs="宋体" w:asciiTheme="minorEastAsia" w:hAnsiTheme="minorEastAsia" w:eastAsiaTheme="minorEastAsia"/>
          <w:color w:val="333333"/>
          <w:sz w:val="24"/>
          <w:szCs w:val="24"/>
          <w:highlight w:val="none"/>
        </w:rPr>
        <w:t>。</w:t>
      </w:r>
    </w:p>
    <w:p>
      <w:pPr>
        <w:pStyle w:val="26"/>
        <w:spacing w:before="0" w:beforeAutospacing="0" w:after="0" w:afterAutospacing="0" w:line="360" w:lineRule="auto"/>
        <w:rPr>
          <w:rFonts w:asciiTheme="minorEastAsia" w:hAnsiTheme="minorEastAsia" w:eastAsiaTheme="minorEastAsia"/>
          <w:sz w:val="24"/>
          <w:szCs w:val="24"/>
          <w:highlight w:val="none"/>
        </w:rPr>
      </w:pPr>
      <w:r>
        <w:rPr>
          <w:rFonts w:asciiTheme="minorEastAsia" w:hAnsiTheme="minorEastAsia" w:eastAsiaTheme="minorEastAsia"/>
          <w:b/>
          <w:sz w:val="24"/>
          <w:szCs w:val="24"/>
          <w:highlight w:val="none"/>
        </w:rPr>
        <w:t xml:space="preserve">四、 投标文件递交 </w:t>
      </w:r>
    </w:p>
    <w:p>
      <w:pPr>
        <w:pStyle w:val="26"/>
        <w:spacing w:before="0" w:beforeAutospacing="0" w:after="0" w:afterAutospacing="0" w:line="360" w:lineRule="auto"/>
        <w:ind w:firstLine="420"/>
        <w:rPr>
          <w:rFonts w:cs="宋体" w:asciiTheme="minorEastAsia" w:hAnsiTheme="minorEastAsia" w:eastAsiaTheme="minorEastAsia"/>
          <w:color w:val="0000FF"/>
          <w:sz w:val="24"/>
          <w:szCs w:val="24"/>
        </w:rPr>
      </w:pPr>
      <w:r>
        <w:rPr>
          <w:rFonts w:asciiTheme="minorEastAsia" w:hAnsiTheme="minorEastAsia" w:eastAsiaTheme="minorEastAsia"/>
          <w:sz w:val="24"/>
          <w:szCs w:val="24"/>
          <w:highlight w:val="none"/>
        </w:rPr>
        <w:t>截止时间：</w:t>
      </w:r>
      <w:r>
        <w:rPr>
          <w:rFonts w:hint="eastAsia" w:cs="宋体" w:asciiTheme="minorEastAsia" w:hAnsiTheme="minorEastAsia" w:eastAsiaTheme="minorEastAsia"/>
          <w:sz w:val="24"/>
          <w:szCs w:val="24"/>
          <w:highlight w:val="none"/>
        </w:rPr>
        <w:t>2022年</w:t>
      </w:r>
      <w:r>
        <w:rPr>
          <w:rFonts w:hint="eastAsia" w:cs="宋体" w:asciiTheme="minorEastAsia" w:hAnsiTheme="minorEastAsia" w:eastAsiaTheme="minorEastAsia"/>
          <w:sz w:val="24"/>
          <w:szCs w:val="24"/>
          <w:highlight w:val="none"/>
          <w:lang w:val="en-US" w:eastAsia="zh-CN"/>
        </w:rPr>
        <w:t>8</w:t>
      </w:r>
      <w:r>
        <w:rPr>
          <w:rFonts w:hint="eastAsia" w:cs="宋体" w:asciiTheme="minorEastAsia" w:hAnsiTheme="minorEastAsia" w:eastAsiaTheme="minorEastAsia"/>
          <w:sz w:val="24"/>
          <w:szCs w:val="24"/>
          <w:highlight w:val="none"/>
        </w:rPr>
        <w:t>月</w:t>
      </w:r>
      <w:r>
        <w:rPr>
          <w:rFonts w:hint="eastAsia" w:cs="宋体" w:asciiTheme="minorEastAsia" w:hAnsiTheme="minorEastAsia" w:eastAsiaTheme="minorEastAsia"/>
          <w:sz w:val="24"/>
          <w:szCs w:val="24"/>
          <w:highlight w:val="none"/>
          <w:lang w:val="en-US" w:eastAsia="zh-CN"/>
        </w:rPr>
        <w:t>25</w:t>
      </w:r>
      <w:r>
        <w:rPr>
          <w:rFonts w:hint="eastAsia" w:cs="宋体" w:asciiTheme="minorEastAsia" w:hAnsiTheme="minorEastAsia" w:eastAsiaTheme="minorEastAsia"/>
          <w:sz w:val="24"/>
          <w:szCs w:val="24"/>
          <w:highlight w:val="none"/>
        </w:rPr>
        <w:t>日</w:t>
      </w:r>
      <w:r>
        <w:rPr>
          <w:rFonts w:hint="eastAsia" w:cs="宋体" w:asciiTheme="minorEastAsia" w:hAnsiTheme="minorEastAsia" w:eastAsiaTheme="minorEastAsia"/>
          <w:sz w:val="24"/>
          <w:szCs w:val="24"/>
          <w:highlight w:val="none"/>
          <w:lang w:val="en-US" w:eastAsia="zh-CN"/>
        </w:rPr>
        <w:t>14</w:t>
      </w:r>
      <w:r>
        <w:rPr>
          <w:rFonts w:hint="eastAsia" w:cs="宋体" w:asciiTheme="minorEastAsia" w:hAnsiTheme="minorEastAsia" w:eastAsiaTheme="minorEastAsia"/>
          <w:sz w:val="24"/>
          <w:szCs w:val="24"/>
          <w:highlight w:val="none"/>
        </w:rPr>
        <w:t>时</w:t>
      </w:r>
      <w:r>
        <w:rPr>
          <w:rFonts w:hint="eastAsia" w:cs="宋体" w:asciiTheme="minorEastAsia" w:hAnsiTheme="minorEastAsia" w:eastAsiaTheme="minorEastAsia"/>
          <w:sz w:val="24"/>
          <w:szCs w:val="24"/>
          <w:highlight w:val="none"/>
          <w:lang w:val="en-US" w:eastAsia="zh-CN"/>
        </w:rPr>
        <w:t>30</w:t>
      </w:r>
      <w:r>
        <w:rPr>
          <w:rFonts w:hint="eastAsia" w:cs="宋体" w:asciiTheme="minorEastAsia" w:hAnsiTheme="minorEastAsia" w:eastAsiaTheme="minorEastAsia"/>
          <w:sz w:val="24"/>
          <w:szCs w:val="24"/>
          <w:highlight w:val="none"/>
        </w:rPr>
        <w:t>分</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地点：</w:t>
      </w:r>
      <w:r>
        <w:rPr>
          <w:rFonts w:hint="eastAsia" w:cs="宋体" w:asciiTheme="minorEastAsia" w:hAnsiTheme="minorEastAsia" w:eastAsiaTheme="minorEastAsia"/>
          <w:color w:val="333333"/>
          <w:sz w:val="24"/>
          <w:szCs w:val="24"/>
        </w:rPr>
        <w:t>西安市未央区明光路71号旭弘西北广场6层源丰成开标室</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rPr>
        <w:t>五、公告期限</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自本公告发布之日起</w:t>
      </w:r>
      <w:r>
        <w:rPr>
          <w:rFonts w:hint="eastAsia" w:asciiTheme="minorEastAsia" w:hAnsiTheme="minorEastAsia" w:eastAsiaTheme="minorEastAsia"/>
          <w:sz w:val="24"/>
          <w:szCs w:val="24"/>
          <w:lang w:val="en-US" w:eastAsia="zh-CN"/>
        </w:rPr>
        <w:t>5</w:t>
      </w:r>
      <w:r>
        <w:rPr>
          <w:rFonts w:asciiTheme="minorEastAsia" w:hAnsiTheme="minorEastAsia" w:eastAsiaTheme="minorEastAsia"/>
          <w:sz w:val="24"/>
          <w:szCs w:val="24"/>
        </w:rPr>
        <w:t>个工作日。</w:t>
      </w:r>
    </w:p>
    <w:p>
      <w:pPr>
        <w:pStyle w:val="26"/>
        <w:numPr>
          <w:ilvl w:val="0"/>
          <w:numId w:val="4"/>
        </w:numPr>
        <w:spacing w:before="0" w:beforeAutospacing="0" w:after="0" w:afterAutospacing="0"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其他补充事宜</w:t>
      </w:r>
    </w:p>
    <w:p>
      <w:pPr>
        <w:pStyle w:val="26"/>
        <w:spacing w:before="0" w:beforeAutospacing="0" w:after="0" w:afterAutospacing="0"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请供应商按照陕西省财政厅关于政府采购供应商注册登记有关事项的通知中的要求，通过陕西省政府采购网注册登记加入陕西省政府采购供应商库。</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rPr>
        <w:t xml:space="preserve">七、对本次招标提出询问，请按以下方式联系。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1、采购人信息：</w:t>
      </w:r>
      <w:r>
        <w:rPr>
          <w:rFonts w:hint="eastAsia" w:asciiTheme="minorEastAsia" w:hAnsiTheme="minorEastAsia" w:eastAsiaTheme="minorEastAsia"/>
          <w:sz w:val="24"/>
          <w:szCs w:val="24"/>
        </w:rPr>
        <w:t>陕西省无线电管理委员会</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联系人：</w:t>
      </w:r>
      <w:r>
        <w:rPr>
          <w:rFonts w:hint="eastAsia" w:asciiTheme="minorEastAsia" w:hAnsiTheme="minorEastAsia" w:eastAsiaTheme="minorEastAsia"/>
          <w:sz w:val="24"/>
          <w:szCs w:val="24"/>
        </w:rPr>
        <w:t>李老师</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联系地址：</w:t>
      </w:r>
      <w:r>
        <w:rPr>
          <w:rFonts w:hint="eastAsia" w:asciiTheme="minorEastAsia" w:hAnsiTheme="minorEastAsia" w:eastAsiaTheme="minorEastAsia"/>
          <w:sz w:val="24"/>
          <w:szCs w:val="24"/>
        </w:rPr>
        <w:t>省政府新城大院四号楼</w:t>
      </w:r>
    </w:p>
    <w:p>
      <w:pPr>
        <w:pStyle w:val="26"/>
        <w:spacing w:before="0" w:beforeAutospacing="0" w:after="0" w:afterAutospacing="0" w:line="360" w:lineRule="auto"/>
        <w:ind w:firstLine="420"/>
        <w:rPr>
          <w:rFonts w:cs="宋体" w:asciiTheme="minorEastAsia" w:hAnsiTheme="minorEastAsia" w:eastAsiaTheme="minorEastAsia"/>
          <w:sz w:val="24"/>
          <w:szCs w:val="24"/>
        </w:rPr>
      </w:pPr>
      <w:r>
        <w:rPr>
          <w:rFonts w:asciiTheme="minorEastAsia" w:hAnsiTheme="minorEastAsia" w:eastAsiaTheme="minorEastAsia"/>
          <w:sz w:val="24"/>
          <w:szCs w:val="24"/>
        </w:rPr>
        <w:t>联系电话：</w:t>
      </w:r>
      <w:r>
        <w:rPr>
          <w:rFonts w:hint="eastAsia" w:asciiTheme="minorEastAsia" w:hAnsiTheme="minorEastAsia" w:eastAsiaTheme="minorEastAsia"/>
          <w:sz w:val="24"/>
          <w:szCs w:val="24"/>
        </w:rPr>
        <w:t>029-88360537</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2、项目联系方式</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项目联系人：</w:t>
      </w:r>
      <w:r>
        <w:rPr>
          <w:rFonts w:hint="eastAsia" w:asciiTheme="minorEastAsia" w:hAnsiTheme="minorEastAsia" w:eastAsiaTheme="minorEastAsia"/>
          <w:sz w:val="24"/>
          <w:szCs w:val="24"/>
        </w:rPr>
        <w:t>刘</w:t>
      </w:r>
      <w:r>
        <w:rPr>
          <w:rFonts w:hint="eastAsia" w:cs="宋体" w:asciiTheme="minorEastAsia" w:hAnsiTheme="minorEastAsia" w:eastAsiaTheme="minorEastAsia"/>
          <w:color w:val="333333"/>
          <w:sz w:val="24"/>
          <w:szCs w:val="24"/>
        </w:rPr>
        <w:t>金杰</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电 话：</w:t>
      </w:r>
      <w:r>
        <w:rPr>
          <w:rFonts w:hint="eastAsia" w:asciiTheme="minorEastAsia" w:hAnsiTheme="minorEastAsia" w:eastAsiaTheme="minorEastAsia"/>
          <w:sz w:val="24"/>
          <w:szCs w:val="24"/>
        </w:rPr>
        <w:t>029-83665338</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3、采购代理机构信息</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名称：陕西源丰成工程项目管理有限公司</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联系地址：</w:t>
      </w:r>
      <w:r>
        <w:rPr>
          <w:rFonts w:hint="eastAsia" w:asciiTheme="minorEastAsia" w:hAnsiTheme="minorEastAsia" w:eastAsiaTheme="minorEastAsia"/>
          <w:sz w:val="24"/>
          <w:szCs w:val="24"/>
        </w:rPr>
        <w:t>西安市未央区明光路71号旭弘西北广场6层</w:t>
      </w:r>
    </w:p>
    <w:p>
      <w:pPr>
        <w:pStyle w:val="3"/>
        <w:numPr>
          <w:ilvl w:val="0"/>
          <w:numId w:val="5"/>
        </w:numPr>
        <w:spacing w:line="240" w:lineRule="auto"/>
        <w:jc w:val="center"/>
        <w:rPr>
          <w:rFonts w:cs="宋体" w:asciiTheme="minorEastAsia" w:hAnsiTheme="minorEastAsia" w:eastAsiaTheme="minorEastAsia"/>
          <w:b w:val="0"/>
          <w:szCs w:val="32"/>
        </w:rPr>
      </w:pPr>
      <w:bookmarkStart w:id="236" w:name="_GoBack"/>
      <w:bookmarkEnd w:id="236"/>
      <w:bookmarkStart w:id="7" w:name="_Toc26400"/>
      <w:bookmarkStart w:id="8" w:name="_Toc22912"/>
      <w:bookmarkStart w:id="9" w:name="_Toc28463"/>
      <w:bookmarkStart w:id="10" w:name="_Toc29060_WPSOffice_Level1"/>
      <w:bookmarkStart w:id="11" w:name="_Toc13168"/>
      <w:bookmarkStart w:id="12" w:name="_Toc8810"/>
      <w:r>
        <w:rPr>
          <w:rFonts w:hint="eastAsia" w:cs="宋体" w:asciiTheme="minorEastAsia" w:hAnsiTheme="minorEastAsia" w:eastAsiaTheme="minorEastAsia"/>
          <w:b w:val="0"/>
          <w:szCs w:val="32"/>
        </w:rPr>
        <w:t>投标供应商须知</w:t>
      </w:r>
      <w:bookmarkEnd w:id="7"/>
      <w:bookmarkEnd w:id="8"/>
      <w:bookmarkEnd w:id="9"/>
      <w:bookmarkEnd w:id="10"/>
      <w:bookmarkEnd w:id="11"/>
      <w:bookmarkEnd w:id="12"/>
      <w:bookmarkStart w:id="13" w:name="_Toc189727030"/>
      <w:bookmarkStart w:id="14" w:name="_Toc213397010"/>
      <w:bookmarkStart w:id="15" w:name="_Toc217446032"/>
      <w:bookmarkStart w:id="16" w:name="_Toc184274915"/>
      <w:bookmarkStart w:id="17" w:name="_Toc213396946"/>
      <w:bookmarkStart w:id="18" w:name="_Toc184283909"/>
      <w:bookmarkStart w:id="19" w:name="_Toc213396760"/>
      <w:bookmarkStart w:id="20" w:name="_Toc213496268"/>
    </w:p>
    <w:p>
      <w:pPr>
        <w:rPr>
          <w:rFonts w:asciiTheme="minorEastAsia" w:hAnsiTheme="minorEastAsia" w:eastAsiaTheme="minorEastAsia"/>
          <w:b/>
          <w:bCs/>
          <w:sz w:val="24"/>
          <w:szCs w:val="32"/>
        </w:rPr>
      </w:pPr>
      <w:r>
        <w:rPr>
          <w:rFonts w:hint="eastAsia" w:asciiTheme="minorEastAsia" w:hAnsiTheme="minorEastAsia" w:eastAsiaTheme="minorEastAsia"/>
          <w:b/>
          <w:bCs/>
          <w:sz w:val="24"/>
          <w:szCs w:val="32"/>
        </w:rPr>
        <w:t>投标供应商须知前附表</w:t>
      </w:r>
    </w:p>
    <w:tbl>
      <w:tblPr>
        <w:tblStyle w:val="29"/>
        <w:tblpPr w:leftFromText="180" w:rightFromText="180" w:vertAnchor="text" w:tblpXSpec="center" w:tblpY="1"/>
        <w:tblOverlap w:val="never"/>
        <w:tblW w:w="9175" w:type="dxa"/>
        <w:tblInd w:w="-5"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57"/>
        <w:gridCol w:w="1867"/>
        <w:gridCol w:w="665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bookmarkStart w:id="21" w:name="_Toc24697"/>
            <w:r>
              <w:rPr>
                <w:rFonts w:hint="eastAsia" w:cs="宋体" w:asciiTheme="minorEastAsia" w:hAnsiTheme="minorEastAsia" w:eastAsiaTheme="minorEastAsia"/>
                <w:sz w:val="24"/>
                <w:lang w:val="zh-CN"/>
              </w:rPr>
              <w:t>序号</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内容</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0"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lang w:val="zh-CN"/>
              </w:rPr>
              <w:t>采购项目名称</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asciiTheme="minorEastAsia" w:hAnsiTheme="minorEastAsia" w:eastAsiaTheme="minorEastAsia"/>
                <w:sz w:val="24"/>
              </w:rPr>
              <w:t>陕西省无线电管理委员会派出机构无线电监测设备运行维护项目(2包)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采购项目编号</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asciiTheme="minorEastAsia" w:hAnsiTheme="minorEastAsia" w:eastAsiaTheme="minorEastAsia"/>
                <w:sz w:val="24"/>
              </w:rPr>
              <w:t>YFC2022-GP-016F</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资金来源</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4" w:hRule="atLeast"/>
        </w:trPr>
        <w:tc>
          <w:tcPr>
            <w:tcW w:w="657" w:type="dxa"/>
            <w:tcBorders>
              <w:top w:val="single" w:color="auto" w:sz="4"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67" w:type="dxa"/>
            <w:tcBorders>
              <w:top w:val="single" w:color="auto" w:sz="4"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采购人</w:t>
            </w:r>
          </w:p>
        </w:tc>
        <w:tc>
          <w:tcPr>
            <w:tcW w:w="6651" w:type="dxa"/>
            <w:tcBorders>
              <w:top w:val="single" w:color="auto" w:sz="4"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名称：</w:t>
            </w:r>
            <w:r>
              <w:rPr>
                <w:rFonts w:hint="eastAsia" w:cs="宋体" w:asciiTheme="minorEastAsia" w:hAnsiTheme="minorEastAsia" w:eastAsiaTheme="minorEastAsia"/>
                <w:sz w:val="24"/>
              </w:rPr>
              <w:t>陕西省无线电管理委员会</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联系人：</w:t>
            </w:r>
            <w:r>
              <w:rPr>
                <w:rFonts w:hint="eastAsia" w:cs="宋体" w:asciiTheme="minorEastAsia" w:hAnsiTheme="minorEastAsia" w:eastAsiaTheme="minorEastAsia"/>
                <w:sz w:val="24"/>
              </w:rPr>
              <w:t>李老师</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联系地址：</w:t>
            </w:r>
            <w:r>
              <w:rPr>
                <w:rFonts w:hint="eastAsia" w:cs="宋体" w:asciiTheme="minorEastAsia" w:hAnsiTheme="minorEastAsia" w:eastAsiaTheme="minorEastAsia"/>
                <w:sz w:val="24"/>
              </w:rPr>
              <w:t>省政府新城大院四号楼</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rPr>
              <w:t>029-88360537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69"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采购代理机构</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名称：陕西源丰成工程项目管理有限公司</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地址：西安市未央区明光路71号旭弘西北广场6层</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联系人：</w:t>
            </w:r>
            <w:r>
              <w:rPr>
                <w:rFonts w:hint="eastAsia" w:cs="宋体" w:asciiTheme="minorEastAsia" w:hAnsiTheme="minorEastAsia" w:eastAsiaTheme="minorEastAsia"/>
                <w:sz w:val="24"/>
              </w:rPr>
              <w:t>刘金杰</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电话：</w:t>
            </w:r>
            <w:r>
              <w:rPr>
                <w:rFonts w:hint="eastAsia" w:cs="宋体" w:asciiTheme="minorEastAsia" w:hAnsiTheme="minorEastAsia" w:eastAsiaTheme="minorEastAsia"/>
                <w:sz w:val="24"/>
              </w:rPr>
              <w:t>029-83665338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采购预算</w:t>
            </w:r>
          </w:p>
        </w:tc>
        <w:tc>
          <w:tcPr>
            <w:tcW w:w="6651" w:type="dxa"/>
            <w:tcBorders>
              <w:top w:val="single" w:color="auto" w:sz="8" w:space="0"/>
              <w:left w:val="single" w:color="auto" w:sz="8" w:space="0"/>
              <w:bottom w:val="single" w:color="auto" w:sz="8" w:space="0"/>
              <w:right w:val="single" w:color="auto" w:sz="4" w:space="0"/>
            </w:tcBorders>
            <w:vAlign w:val="center"/>
          </w:tcPr>
          <w:p>
            <w:pPr>
              <w:pStyle w:val="20"/>
              <w:spacing w:line="276" w:lineRule="auto"/>
              <w:rPr>
                <w:rFonts w:asciiTheme="minorEastAsia" w:hAnsiTheme="minorEastAsia" w:eastAsiaTheme="minorEastAsia"/>
                <w:lang w:val="zh-CN"/>
              </w:rPr>
            </w:pPr>
            <w:r>
              <w:rPr>
                <w:rFonts w:hint="eastAsia" w:cs="宋体" w:asciiTheme="minorEastAsia" w:hAnsiTheme="minorEastAsia" w:eastAsiaTheme="minorEastAsia"/>
                <w:sz w:val="24"/>
                <w:szCs w:val="24"/>
              </w:rPr>
              <w:t>800000.00元，</w:t>
            </w:r>
            <w:r>
              <w:rPr>
                <w:rFonts w:hint="eastAsia" w:asciiTheme="minorEastAsia" w:hAnsiTheme="minorEastAsia" w:eastAsiaTheme="minorEastAsia"/>
                <w:sz w:val="24"/>
                <w:szCs w:val="24"/>
              </w:rPr>
              <w:t>报价超过采购预算，报价无效。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采购方式</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项目概况</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cs="宋体" w:asciiTheme="minorEastAsia" w:hAnsiTheme="minorEastAsia" w:eastAsiaTheme="minorEastAsia"/>
                <w:sz w:val="24"/>
                <w:lang w:val="zh-CN"/>
              </w:rPr>
              <w:t>对全省</w:t>
            </w:r>
            <w:r>
              <w:rPr>
                <w:rFonts w:hint="eastAsia" w:cs="宋体" w:asciiTheme="minorEastAsia" w:hAnsiTheme="minorEastAsia" w:eastAsiaTheme="minorEastAsia"/>
                <w:sz w:val="24"/>
                <w:lang w:val="zh-CN"/>
              </w:rPr>
              <w:t>派出机构部分无线电监测设备进行运行维护。（详见招标文件）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招标范围</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rPr>
              <w:t>见招标文件第四章要求。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40"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招标文件发售</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highlight w:val="none"/>
                <w:lang w:val="zh-CN"/>
              </w:rPr>
            </w:pPr>
            <w:r>
              <w:rPr>
                <w:rFonts w:hint="eastAsia" w:cs="宋体" w:asciiTheme="minorEastAsia" w:hAnsiTheme="minorEastAsia" w:eastAsiaTheme="minorEastAsia"/>
                <w:sz w:val="24"/>
                <w:highlight w:val="none"/>
                <w:lang w:val="zh-CN"/>
              </w:rPr>
              <w:t>发售时间：2022年</w:t>
            </w:r>
            <w:r>
              <w:rPr>
                <w:rFonts w:hint="eastAsia" w:cs="宋体" w:asciiTheme="minorEastAsia" w:hAnsiTheme="minorEastAsia" w:eastAsiaTheme="minorEastAsia"/>
                <w:sz w:val="24"/>
                <w:highlight w:val="none"/>
                <w:lang w:val="en-US" w:eastAsia="zh-CN"/>
              </w:rPr>
              <w:t>8</w:t>
            </w:r>
            <w:r>
              <w:rPr>
                <w:rFonts w:hint="eastAsia" w:cs="宋体" w:asciiTheme="minorEastAsia" w:hAnsiTheme="minorEastAsia" w:eastAsiaTheme="minorEastAsia"/>
                <w:sz w:val="24"/>
                <w:highlight w:val="none"/>
                <w:lang w:val="zh-CN"/>
              </w:rPr>
              <w:t>月</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lang w:val="zh-CN"/>
              </w:rPr>
              <w:t>日至2022年</w:t>
            </w:r>
            <w:r>
              <w:rPr>
                <w:rFonts w:hint="eastAsia" w:cs="宋体" w:asciiTheme="minorEastAsia" w:hAnsiTheme="minorEastAsia" w:eastAsiaTheme="minorEastAsia"/>
                <w:sz w:val="24"/>
                <w:highlight w:val="none"/>
                <w:lang w:val="en-US" w:eastAsia="zh-CN"/>
              </w:rPr>
              <w:t>8</w:t>
            </w:r>
            <w:r>
              <w:rPr>
                <w:rFonts w:hint="eastAsia" w:cs="宋体" w:asciiTheme="minorEastAsia" w:hAnsiTheme="minorEastAsia" w:eastAsiaTheme="minorEastAsia"/>
                <w:sz w:val="24"/>
                <w:highlight w:val="none"/>
                <w:lang w:val="zh-CN"/>
              </w:rPr>
              <w:t>月</w:t>
            </w:r>
            <w:r>
              <w:rPr>
                <w:rFonts w:hint="eastAsia" w:cs="宋体" w:asciiTheme="minorEastAsia" w:hAnsiTheme="minorEastAsia" w:eastAsiaTheme="minorEastAsia"/>
                <w:sz w:val="24"/>
                <w:highlight w:val="none"/>
                <w:lang w:val="en-US" w:eastAsia="zh-CN"/>
              </w:rPr>
              <w:t>11</w:t>
            </w:r>
            <w:r>
              <w:rPr>
                <w:rFonts w:hint="eastAsia" w:cs="宋体" w:asciiTheme="minorEastAsia" w:hAnsiTheme="minorEastAsia" w:eastAsiaTheme="minorEastAsia"/>
                <w:sz w:val="24"/>
                <w:highlight w:val="none"/>
                <w:lang w:val="zh-CN"/>
              </w:rPr>
              <w:t>日每天09:00-16:00</w:t>
            </w:r>
          </w:p>
          <w:p>
            <w:pPr>
              <w:spacing w:line="276" w:lineRule="auto"/>
              <w:jc w:val="left"/>
              <w:rPr>
                <w:rFonts w:cs="宋体" w:asciiTheme="minorEastAsia" w:hAnsiTheme="minorEastAsia" w:eastAsiaTheme="minorEastAsia"/>
                <w:sz w:val="24"/>
                <w:highlight w:val="none"/>
                <w:lang w:val="zh-CN"/>
              </w:rPr>
            </w:pPr>
            <w:r>
              <w:rPr>
                <w:rFonts w:hint="eastAsia" w:cs="宋体" w:asciiTheme="minorEastAsia" w:hAnsiTheme="minorEastAsia" w:eastAsiaTheme="minorEastAsia"/>
                <w:sz w:val="24"/>
                <w:highlight w:val="none"/>
                <w:lang w:val="zh-CN"/>
              </w:rPr>
              <w:t>发售地点：西安市未央区明光路71号旭弘西北广场6层源丰成招标部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招标文件澄清或修改时间、形式</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时间：递交投标文件截至时间15日前</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形式：书面和公告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4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投标文件递交</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zh-CN"/>
              </w:rPr>
              <w:t>地点：</w:t>
            </w:r>
            <w:r>
              <w:rPr>
                <w:rFonts w:hint="eastAsia" w:cs="宋体" w:asciiTheme="minorEastAsia" w:hAnsiTheme="minorEastAsia" w:eastAsiaTheme="minorEastAsia"/>
                <w:color w:val="333333"/>
                <w:sz w:val="24"/>
                <w:highlight w:val="none"/>
              </w:rPr>
              <w:t>西安市未央区明光路71号旭弘西北广场6层源丰成开标室</w:t>
            </w:r>
          </w:p>
          <w:p>
            <w:pPr>
              <w:spacing w:line="276" w:lineRule="auto"/>
              <w:jc w:val="left"/>
              <w:rPr>
                <w:rFonts w:cs="宋体" w:asciiTheme="minorEastAsia" w:hAnsiTheme="minorEastAsia" w:eastAsiaTheme="minorEastAsia"/>
                <w:sz w:val="24"/>
                <w:highlight w:val="none"/>
                <w:lang w:val="zh-CN"/>
              </w:rPr>
            </w:pPr>
            <w:r>
              <w:rPr>
                <w:rFonts w:hint="eastAsia" w:cs="宋体" w:asciiTheme="minorEastAsia" w:hAnsiTheme="minorEastAsia" w:eastAsiaTheme="minorEastAsia"/>
                <w:sz w:val="24"/>
                <w:highlight w:val="none"/>
                <w:lang w:val="zh-CN"/>
              </w:rPr>
              <w:t>时间：</w:t>
            </w:r>
            <w:r>
              <w:rPr>
                <w:rFonts w:hint="eastAsia" w:cs="宋体" w:asciiTheme="minorEastAsia" w:hAnsiTheme="minorEastAsia" w:eastAsiaTheme="minorEastAsia"/>
                <w:sz w:val="24"/>
                <w:highlight w:val="none"/>
              </w:rPr>
              <w:t>2022年</w:t>
            </w:r>
            <w:r>
              <w:rPr>
                <w:rFonts w:hint="eastAsia" w:cs="宋体" w:asciiTheme="minorEastAsia" w:hAnsiTheme="minorEastAsia" w:eastAsiaTheme="minorEastAsia"/>
                <w:sz w:val="24"/>
                <w:highlight w:val="none"/>
                <w:lang w:val="en-US" w:eastAsia="zh-CN"/>
              </w:rPr>
              <w:t>8</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lang w:val="en-US" w:eastAsia="zh-CN"/>
              </w:rPr>
              <w:t>25</w:t>
            </w:r>
            <w:r>
              <w:rPr>
                <w:rFonts w:hint="eastAsia" w:cs="宋体" w:asciiTheme="minorEastAsia" w:hAnsiTheme="minorEastAsia" w:eastAsiaTheme="minorEastAsia"/>
                <w:sz w:val="24"/>
                <w:highlight w:val="none"/>
              </w:rPr>
              <w:t>日</w:t>
            </w:r>
            <w:r>
              <w:rPr>
                <w:rFonts w:hint="eastAsia" w:cs="宋体" w:asciiTheme="minorEastAsia" w:hAnsiTheme="minorEastAsia" w:eastAsiaTheme="minorEastAsia"/>
                <w:sz w:val="24"/>
                <w:highlight w:val="none"/>
                <w:lang w:val="en-US" w:eastAsia="zh-CN"/>
              </w:rPr>
              <w:t>14</w:t>
            </w:r>
            <w:r>
              <w:rPr>
                <w:rFonts w:hint="eastAsia" w:cs="宋体" w:asciiTheme="minorEastAsia" w:hAnsiTheme="minorEastAsia" w:eastAsiaTheme="minorEastAsia"/>
                <w:sz w:val="24"/>
                <w:highlight w:val="none"/>
              </w:rPr>
              <w:t>时</w:t>
            </w:r>
            <w:r>
              <w:rPr>
                <w:rFonts w:hint="eastAsia" w:cs="宋体" w:asciiTheme="minorEastAsia" w:hAnsiTheme="minorEastAsia" w:eastAsiaTheme="minorEastAsia"/>
                <w:sz w:val="24"/>
                <w:highlight w:val="none"/>
                <w:lang w:val="en-US" w:eastAsia="zh-CN"/>
              </w:rPr>
              <w:t>30</w:t>
            </w:r>
            <w:r>
              <w:rPr>
                <w:rFonts w:hint="eastAsia" w:cs="宋体" w:asciiTheme="minorEastAsia" w:hAnsiTheme="minorEastAsia" w:eastAsiaTheme="minorEastAsia"/>
                <w:sz w:val="24"/>
                <w:highlight w:val="none"/>
              </w:rPr>
              <w:t>分</w:t>
            </w:r>
            <w:r>
              <w:rPr>
                <w:rFonts w:hint="eastAsia" w:cs="宋体" w:asciiTheme="minorEastAsia" w:hAnsiTheme="minorEastAsia" w:eastAsiaTheme="minorEastAsia"/>
                <w:bCs/>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2"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投标截止时间</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highlight w:val="none"/>
                <w:lang w:val="zh-CN"/>
              </w:rPr>
            </w:pPr>
            <w:r>
              <w:rPr>
                <w:rFonts w:hint="eastAsia" w:cs="宋体" w:asciiTheme="minorEastAsia" w:hAnsiTheme="minorEastAsia" w:eastAsiaTheme="minorEastAsia"/>
                <w:bCs/>
                <w:sz w:val="24"/>
                <w:szCs w:val="28"/>
                <w:highlight w:val="none"/>
              </w:rPr>
              <w:t>2022年</w:t>
            </w:r>
            <w:r>
              <w:rPr>
                <w:rFonts w:hint="eastAsia" w:cs="宋体" w:asciiTheme="minorEastAsia" w:hAnsiTheme="minorEastAsia" w:eastAsiaTheme="minorEastAsia"/>
                <w:bCs/>
                <w:sz w:val="24"/>
                <w:szCs w:val="28"/>
                <w:highlight w:val="none"/>
                <w:lang w:val="en-US" w:eastAsia="zh-CN"/>
              </w:rPr>
              <w:t>8</w:t>
            </w:r>
            <w:r>
              <w:rPr>
                <w:rFonts w:hint="eastAsia" w:cs="宋体" w:asciiTheme="minorEastAsia" w:hAnsiTheme="minorEastAsia" w:eastAsiaTheme="minorEastAsia"/>
                <w:bCs/>
                <w:sz w:val="24"/>
                <w:szCs w:val="28"/>
                <w:highlight w:val="none"/>
              </w:rPr>
              <w:t>月</w:t>
            </w:r>
            <w:r>
              <w:rPr>
                <w:rFonts w:hint="eastAsia" w:cs="宋体" w:asciiTheme="minorEastAsia" w:hAnsiTheme="minorEastAsia" w:eastAsiaTheme="minorEastAsia"/>
                <w:bCs/>
                <w:sz w:val="24"/>
                <w:szCs w:val="28"/>
                <w:highlight w:val="none"/>
                <w:lang w:val="en-US" w:eastAsia="zh-CN"/>
              </w:rPr>
              <w:t>25</w:t>
            </w:r>
            <w:r>
              <w:rPr>
                <w:rFonts w:hint="eastAsia" w:cs="宋体" w:asciiTheme="minorEastAsia" w:hAnsiTheme="minorEastAsia" w:eastAsiaTheme="minorEastAsia"/>
                <w:bCs/>
                <w:sz w:val="24"/>
                <w:szCs w:val="28"/>
                <w:highlight w:val="none"/>
              </w:rPr>
              <w:t>日</w:t>
            </w:r>
            <w:r>
              <w:rPr>
                <w:rFonts w:hint="eastAsia" w:cs="宋体" w:asciiTheme="minorEastAsia" w:hAnsiTheme="minorEastAsia" w:eastAsiaTheme="minorEastAsia"/>
                <w:bCs/>
                <w:sz w:val="24"/>
                <w:szCs w:val="28"/>
                <w:highlight w:val="none"/>
                <w:lang w:val="en-US" w:eastAsia="zh-CN"/>
              </w:rPr>
              <w:t>14</w:t>
            </w:r>
            <w:r>
              <w:rPr>
                <w:rFonts w:hint="eastAsia" w:cs="宋体" w:asciiTheme="minorEastAsia" w:hAnsiTheme="minorEastAsia" w:eastAsiaTheme="minorEastAsia"/>
                <w:bCs/>
                <w:sz w:val="24"/>
                <w:szCs w:val="28"/>
                <w:highlight w:val="none"/>
                <w:lang w:eastAsia="zh-CN"/>
              </w:rPr>
              <w:t>时</w:t>
            </w:r>
            <w:r>
              <w:rPr>
                <w:rFonts w:hint="eastAsia" w:cs="宋体" w:asciiTheme="minorEastAsia" w:hAnsiTheme="minorEastAsia" w:eastAsiaTheme="minorEastAsia"/>
                <w:bCs/>
                <w:sz w:val="24"/>
                <w:szCs w:val="28"/>
                <w:highlight w:val="none"/>
                <w:lang w:val="en-US" w:eastAsia="zh-CN"/>
              </w:rPr>
              <w:t>30</w:t>
            </w:r>
            <w:r>
              <w:rPr>
                <w:rFonts w:hint="eastAsia" w:cs="宋体" w:asciiTheme="minorEastAsia" w:hAnsiTheme="minorEastAsia" w:eastAsiaTheme="minorEastAsia"/>
                <w:bCs/>
                <w:sz w:val="24"/>
                <w:szCs w:val="28"/>
                <w:highlight w:val="none"/>
              </w:rPr>
              <w:t>分（北京时间）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1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14</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投标保证金</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万元</w:t>
            </w:r>
            <w:r>
              <w:rPr>
                <w:rFonts w:hint="eastAsia"/>
              </w:rPr>
              <w:t>，</w:t>
            </w:r>
            <w:r>
              <w:rPr>
                <w:rFonts w:hint="eastAsia" w:cs="宋体" w:asciiTheme="minorEastAsia" w:hAnsiTheme="minorEastAsia" w:eastAsiaTheme="minorEastAsia"/>
                <w:sz w:val="24"/>
              </w:rPr>
              <w:t>投标保证金应当以支票、汇票、本票或者金融机构、担保机构出具的保函等非现金形式提交。投标人未按照招标文件要求提交投标保证金的，投标无效。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12"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开标时间</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和地点</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highlight w:val="none"/>
                <w:lang w:val="zh-CN"/>
              </w:rPr>
            </w:pPr>
            <w:r>
              <w:rPr>
                <w:rFonts w:hint="eastAsia" w:cs="宋体" w:asciiTheme="minorEastAsia" w:hAnsiTheme="minorEastAsia" w:eastAsiaTheme="minorEastAsia"/>
                <w:sz w:val="24"/>
                <w:lang w:val="zh-CN"/>
              </w:rPr>
              <w:t>开标时间：</w:t>
            </w:r>
            <w:r>
              <w:rPr>
                <w:rFonts w:hint="eastAsia" w:cs="宋体" w:asciiTheme="minorEastAsia" w:hAnsiTheme="minorEastAsia" w:eastAsiaTheme="minorEastAsia"/>
                <w:bCs/>
                <w:sz w:val="24"/>
                <w:szCs w:val="28"/>
                <w:highlight w:val="none"/>
              </w:rPr>
              <w:t>2022年</w:t>
            </w:r>
            <w:r>
              <w:rPr>
                <w:rFonts w:hint="eastAsia" w:cs="宋体" w:asciiTheme="minorEastAsia" w:hAnsiTheme="minorEastAsia" w:eastAsiaTheme="minorEastAsia"/>
                <w:bCs/>
                <w:sz w:val="24"/>
                <w:szCs w:val="28"/>
                <w:highlight w:val="none"/>
                <w:lang w:val="en-US" w:eastAsia="zh-CN"/>
              </w:rPr>
              <w:t>8</w:t>
            </w:r>
            <w:r>
              <w:rPr>
                <w:rFonts w:hint="eastAsia" w:cs="宋体" w:asciiTheme="minorEastAsia" w:hAnsiTheme="minorEastAsia" w:eastAsiaTheme="minorEastAsia"/>
                <w:bCs/>
                <w:sz w:val="24"/>
                <w:szCs w:val="28"/>
                <w:highlight w:val="none"/>
              </w:rPr>
              <w:t>月</w:t>
            </w:r>
            <w:r>
              <w:rPr>
                <w:rFonts w:hint="eastAsia" w:cs="宋体" w:asciiTheme="minorEastAsia" w:hAnsiTheme="minorEastAsia" w:eastAsiaTheme="minorEastAsia"/>
                <w:bCs/>
                <w:sz w:val="24"/>
                <w:szCs w:val="28"/>
                <w:highlight w:val="none"/>
                <w:lang w:val="en-US" w:eastAsia="zh-CN"/>
              </w:rPr>
              <w:t>25</w:t>
            </w:r>
            <w:r>
              <w:rPr>
                <w:rFonts w:hint="eastAsia" w:cs="宋体" w:asciiTheme="minorEastAsia" w:hAnsiTheme="minorEastAsia" w:eastAsiaTheme="minorEastAsia"/>
                <w:bCs/>
                <w:sz w:val="24"/>
                <w:szCs w:val="28"/>
                <w:highlight w:val="none"/>
              </w:rPr>
              <w:t>日</w:t>
            </w:r>
            <w:r>
              <w:rPr>
                <w:rFonts w:hint="eastAsia" w:cs="宋体" w:asciiTheme="minorEastAsia" w:hAnsiTheme="minorEastAsia" w:eastAsiaTheme="minorEastAsia"/>
                <w:bCs/>
                <w:sz w:val="24"/>
                <w:szCs w:val="28"/>
                <w:highlight w:val="none"/>
                <w:lang w:val="en-US" w:eastAsia="zh-CN"/>
              </w:rPr>
              <w:t>14</w:t>
            </w:r>
            <w:r>
              <w:rPr>
                <w:rFonts w:hint="eastAsia" w:cs="宋体" w:asciiTheme="minorEastAsia" w:hAnsiTheme="minorEastAsia" w:eastAsiaTheme="minorEastAsia"/>
                <w:bCs/>
                <w:sz w:val="24"/>
                <w:szCs w:val="28"/>
                <w:highlight w:val="none"/>
                <w:lang w:eastAsia="zh-CN"/>
              </w:rPr>
              <w:t>时</w:t>
            </w:r>
            <w:r>
              <w:rPr>
                <w:rFonts w:hint="eastAsia" w:cs="宋体" w:asciiTheme="minorEastAsia" w:hAnsiTheme="minorEastAsia" w:eastAsiaTheme="minorEastAsia"/>
                <w:bCs/>
                <w:sz w:val="24"/>
                <w:szCs w:val="28"/>
                <w:highlight w:val="none"/>
                <w:lang w:val="en-US" w:eastAsia="zh-CN"/>
              </w:rPr>
              <w:t>30</w:t>
            </w:r>
            <w:r>
              <w:rPr>
                <w:rFonts w:hint="eastAsia" w:cs="宋体" w:asciiTheme="minorEastAsia" w:hAnsiTheme="minorEastAsia" w:eastAsiaTheme="minorEastAsia"/>
                <w:bCs/>
                <w:sz w:val="24"/>
                <w:szCs w:val="28"/>
                <w:highlight w:val="none"/>
              </w:rPr>
              <w:t>分（北京时间）</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开标地点：</w:t>
            </w:r>
            <w:r>
              <w:rPr>
                <w:rFonts w:hint="eastAsia" w:cs="宋体" w:asciiTheme="minorEastAsia" w:hAnsiTheme="minorEastAsia" w:eastAsiaTheme="minorEastAsia"/>
                <w:color w:val="333333"/>
                <w:sz w:val="24"/>
              </w:rPr>
              <w:t>西安市未央区明光路71号旭弘西北广场6层源丰成开标室</w:t>
            </w:r>
          </w:p>
          <w:p>
            <w:pPr>
              <w:spacing w:line="276" w:lineRule="auto"/>
              <w:jc w:val="left"/>
              <w:rPr>
                <w:rFonts w:cs="宋体" w:asciiTheme="minorEastAsia" w:hAnsiTheme="minorEastAsia" w:eastAsiaTheme="minorEastAsia"/>
                <w:sz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Style w:val="81"/>
                <w:rFonts w:asciiTheme="minorEastAsia" w:hAnsiTheme="minorEastAsia" w:eastAsiaTheme="minorEastAsia"/>
                <w:sz w:val="24"/>
              </w:rPr>
            </w:pPr>
            <w:r>
              <w:rPr>
                <w:rStyle w:val="81"/>
                <w:rFonts w:asciiTheme="minorEastAsia" w:hAnsiTheme="minorEastAsia" w:eastAsiaTheme="minorEastAsia"/>
                <w:sz w:val="24"/>
              </w:rPr>
              <w:t>评标委员会的</w:t>
            </w:r>
          </w:p>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组建</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Style w:val="81"/>
                <w:rFonts w:asciiTheme="minorEastAsia" w:hAnsiTheme="minorEastAsia" w:eastAsiaTheme="minorEastAsia"/>
                <w:sz w:val="24"/>
              </w:rPr>
            </w:pPr>
            <w:r>
              <w:rPr>
                <w:rStyle w:val="81"/>
                <w:rFonts w:asciiTheme="minorEastAsia" w:hAnsiTheme="minorEastAsia" w:eastAsiaTheme="minorEastAsia"/>
                <w:sz w:val="24"/>
              </w:rPr>
              <w:t>评标委员会构成：</w:t>
            </w:r>
            <w:r>
              <w:rPr>
                <w:rStyle w:val="81"/>
                <w:rFonts w:hint="eastAsia" w:asciiTheme="minorEastAsia" w:hAnsiTheme="minorEastAsia" w:eastAsiaTheme="minorEastAsia"/>
                <w:sz w:val="24"/>
              </w:rPr>
              <w:t>5</w:t>
            </w:r>
            <w:r>
              <w:rPr>
                <w:rStyle w:val="81"/>
                <w:rFonts w:asciiTheme="minorEastAsia" w:hAnsiTheme="minorEastAsia" w:eastAsiaTheme="minorEastAsia"/>
                <w:sz w:val="24"/>
              </w:rPr>
              <w:t>人。</w:t>
            </w:r>
          </w:p>
          <w:p>
            <w:pPr>
              <w:spacing w:line="276" w:lineRule="auto"/>
              <w:rPr>
                <w:rStyle w:val="81"/>
                <w:rFonts w:asciiTheme="minorEastAsia" w:hAnsiTheme="minorEastAsia" w:eastAsiaTheme="minorEastAsia"/>
                <w:sz w:val="24"/>
              </w:rPr>
            </w:pPr>
            <w:r>
              <w:rPr>
                <w:rStyle w:val="81"/>
                <w:rFonts w:asciiTheme="minorEastAsia" w:hAnsiTheme="minorEastAsia" w:eastAsiaTheme="minorEastAsia"/>
                <w:sz w:val="24"/>
              </w:rPr>
              <w:t>其中采购人代表</w:t>
            </w:r>
            <w:r>
              <w:rPr>
                <w:rStyle w:val="81"/>
                <w:rFonts w:hint="eastAsia" w:asciiTheme="minorEastAsia" w:hAnsiTheme="minorEastAsia" w:eastAsiaTheme="minorEastAsia"/>
                <w:sz w:val="24"/>
              </w:rPr>
              <w:t>1</w:t>
            </w:r>
            <w:r>
              <w:rPr>
                <w:rStyle w:val="81"/>
                <w:rFonts w:asciiTheme="minorEastAsia" w:hAnsiTheme="minorEastAsia" w:eastAsiaTheme="minorEastAsia"/>
                <w:sz w:val="24"/>
              </w:rPr>
              <w:t>人，专家</w:t>
            </w:r>
            <w:r>
              <w:rPr>
                <w:rStyle w:val="81"/>
                <w:rFonts w:hint="eastAsia" w:asciiTheme="minorEastAsia" w:hAnsiTheme="minorEastAsia" w:eastAsiaTheme="minorEastAsia"/>
                <w:sz w:val="24"/>
              </w:rPr>
              <w:t>4</w:t>
            </w:r>
            <w:r>
              <w:rPr>
                <w:rStyle w:val="81"/>
                <w:rFonts w:asciiTheme="minorEastAsia" w:hAnsiTheme="minorEastAsia" w:eastAsiaTheme="minorEastAsia"/>
                <w:sz w:val="24"/>
              </w:rPr>
              <w:t>人</w:t>
            </w:r>
            <w:r>
              <w:rPr>
                <w:rStyle w:val="81"/>
                <w:rFonts w:hint="eastAsia" w:asciiTheme="minorEastAsia" w:hAnsiTheme="minorEastAsia" w:eastAsiaTheme="minorEastAsia"/>
                <w:sz w:val="24"/>
              </w:rPr>
              <w:t>（技术、经济专业）</w:t>
            </w:r>
            <w:r>
              <w:rPr>
                <w:rStyle w:val="81"/>
                <w:rFonts w:asciiTheme="minorEastAsia" w:hAnsiTheme="minorEastAsia" w:eastAsiaTheme="minorEastAsia"/>
                <w:sz w:val="24"/>
              </w:rPr>
              <w:t>。</w:t>
            </w:r>
          </w:p>
          <w:p>
            <w:pPr>
              <w:spacing w:line="276" w:lineRule="auto"/>
              <w:jc w:val="left"/>
              <w:rPr>
                <w:rFonts w:cs="宋体" w:asciiTheme="minorEastAsia" w:hAnsiTheme="minorEastAsia" w:eastAsiaTheme="minorEastAsia"/>
                <w:sz w:val="24"/>
              </w:rPr>
            </w:pPr>
            <w:r>
              <w:rPr>
                <w:rStyle w:val="81"/>
                <w:rFonts w:asciiTheme="minorEastAsia" w:hAnsiTheme="minorEastAsia" w:eastAsiaTheme="minorEastAsia"/>
                <w:sz w:val="24"/>
              </w:rPr>
              <w:t>评标专家确定方式：陕西省政府采购专家</w:t>
            </w:r>
            <w:r>
              <w:rPr>
                <w:rStyle w:val="81"/>
                <w:rFonts w:hint="eastAsia" w:asciiTheme="minorEastAsia" w:hAnsiTheme="minorEastAsia" w:eastAsiaTheme="minorEastAsia"/>
                <w:sz w:val="24"/>
              </w:rPr>
              <w:t>库，由系统</w:t>
            </w:r>
            <w:r>
              <w:rPr>
                <w:rStyle w:val="81"/>
                <w:rFonts w:asciiTheme="minorEastAsia" w:hAnsiTheme="minorEastAsia" w:eastAsiaTheme="minorEastAsia"/>
                <w:sz w:val="24"/>
              </w:rPr>
              <w:t>随机抽取。</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lang w:val="zh-CN"/>
              </w:rPr>
              <w:t>1</w:t>
            </w:r>
            <w:r>
              <w:rPr>
                <w:rFonts w:hint="eastAsia" w:cs="宋体" w:asciiTheme="minorEastAsia" w:hAnsiTheme="minorEastAsia" w:eastAsiaTheme="minorEastAsia"/>
                <w:sz w:val="24"/>
              </w:rPr>
              <w:t>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服务期限</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项目服务周期为1年。</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服务期限：2023年1月1日至2023年12月31日。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联合体投标</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考察现场、标前</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答疑会</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不组织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转包</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不允许转包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6"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21</w:t>
            </w:r>
          </w:p>
        </w:tc>
        <w:tc>
          <w:tcPr>
            <w:tcW w:w="1867" w:type="dxa"/>
            <w:tcBorders>
              <w:top w:val="single" w:color="auto" w:sz="8"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质疑事项</w:t>
            </w:r>
          </w:p>
        </w:tc>
        <w:tc>
          <w:tcPr>
            <w:tcW w:w="6651" w:type="dxa"/>
            <w:tcBorders>
              <w:top w:val="single" w:color="auto" w:sz="8"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供应商提出质疑应符合中华人民共和国财政部令第94号《政府采购质疑和投诉办法》的规定：</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1、提出质疑的供应商应当是参与所质疑项目采购活动的供应商。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供应商应知其权益受到损害之日，是指：</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（1）对可以质疑的采购文件提出质疑的，为收到采购文件之日或者采购文件公告期限届满之日；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（2）对采购过程提出质疑的，为各采购程序环节结束之日；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（3）对中标或者成交结果提出质疑的，为中标或者成交结果公告期限届满之日。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3、供应商提出质疑应当提交质疑函和必要的证明材料。质疑函应当包括：</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3.1供应商的姓名或者名称、地址、邮编、联系人及联系电话；</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3.2质疑项目的名称、编号；</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3.3具体、明确的质疑事项和与质疑事项相关的请求；</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3.4事实依据；</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3.5必要的法律依据；</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3.6提出质疑的日期。</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质疑函应采用财政部颁布的《政府采购供应商质疑函范本》。</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供应商为自然人的，应当由本人签字；供应商为法人或者其他组织的，应当由法定代表人、主要负责人，或者其授权代表签字或者盖章，并加盖公章。</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5、有下列情形之一的，属于无效质疑，采购代理机构和采购人不予受理：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5.1质疑供应商不是参与所质疑项目采购活动的供应商；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5.2未在法定质疑期内发出质疑的；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5.3质疑未以书面形式提出；</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5.4质疑函没有合法有效的签字、盖章或授权的；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5.5以非法手段取得证据、材料的；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5.6质疑答复后，同一质疑人就同一事项再次提出质疑的；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5.7不符合法律、法规、规章和政府采购监管机构规定的其他条件的。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6、质疑答复  采购人、采购代理机构在收到质疑函后七个工作日内做出答复。</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质疑接收方式：供应商以书面形式将质疑函原件和必要的证明材料送至接收部门，法定代表人、主要负责人、自然人提交质疑函须提交其身份证复印件，代理人提交质疑函须提交授权委托书及授权人和被授权人身份证复印件。</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接收部门：陕西源丰成工程项目管理有限公司</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接收人：刘金杰</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联系电话：</w:t>
            </w:r>
            <w:r>
              <w:rPr>
                <w:rFonts w:hint="eastAsia" w:cs="宋体" w:asciiTheme="minorEastAsia" w:hAnsiTheme="minorEastAsia" w:eastAsiaTheme="minorEastAsia"/>
                <w:sz w:val="24"/>
              </w:rPr>
              <w:t xml:space="preserve">029-83665338 </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地  址：西安市未央区明光路71号旭弘西北广场6层源丰成招标部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22</w:t>
            </w:r>
          </w:p>
        </w:tc>
        <w:tc>
          <w:tcPr>
            <w:tcW w:w="1867" w:type="dxa"/>
            <w:tcBorders>
              <w:top w:val="single" w:color="auto" w:sz="4"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投标有效期</w:t>
            </w:r>
          </w:p>
        </w:tc>
        <w:tc>
          <w:tcPr>
            <w:tcW w:w="6651" w:type="dxa"/>
            <w:tcBorders>
              <w:top w:val="single" w:color="auto" w:sz="4"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从投标截止日起90日历天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23</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是否允许递交多个备选投标方案</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9"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24</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投标文件份数</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投标文件正本一份、副本</w:t>
            </w:r>
            <w:r>
              <w:rPr>
                <w:rFonts w:hint="eastAsia" w:cs="宋体" w:asciiTheme="minorEastAsia" w:hAnsiTheme="minorEastAsia" w:eastAsiaTheme="minorEastAsia"/>
                <w:sz w:val="24"/>
              </w:rPr>
              <w:t>四</w:t>
            </w:r>
            <w:r>
              <w:rPr>
                <w:rFonts w:hint="eastAsia" w:cs="宋体" w:asciiTheme="minorEastAsia" w:hAnsiTheme="minorEastAsia" w:eastAsiaTheme="minorEastAsia"/>
                <w:sz w:val="24"/>
                <w:lang w:val="zh-CN"/>
              </w:rPr>
              <w:t>份、电子文件二份（U盘）。</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电子文件格式：</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文件正本加盖公章、签字齐全的纸质版扫描成的PDF格式。</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供应商应在</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文件封面及</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文件密封文件袋正面注明“正本”、“副本”。</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9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签字盖章</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Style w:val="81"/>
                <w:rFonts w:hint="eastAsia" w:asciiTheme="minorEastAsia" w:hAnsiTheme="minorEastAsia" w:eastAsiaTheme="minorEastAsia"/>
                <w:sz w:val="24"/>
              </w:rPr>
              <w:t>投标</w:t>
            </w:r>
            <w:r>
              <w:rPr>
                <w:rStyle w:val="81"/>
                <w:rFonts w:asciiTheme="minorEastAsia" w:hAnsiTheme="minorEastAsia" w:eastAsiaTheme="minorEastAsia"/>
                <w:sz w:val="24"/>
              </w:rPr>
              <w:t>文件格式中明确需要签字和（或）盖章处，应由供应商法定代表人或其授权委托人（在委托的情况下）签字和（或）加盖单位章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投标文件装订</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投标文件装订要求：</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投标文件分开装订，即资格审查文件部分一册（一正</w:t>
            </w:r>
            <w:r>
              <w:rPr>
                <w:rFonts w:hint="eastAsia" w:cs="宋体" w:asciiTheme="minorEastAsia" w:hAnsiTheme="minorEastAsia" w:eastAsiaTheme="minorEastAsia"/>
                <w:sz w:val="24"/>
              </w:rPr>
              <w:t>四</w:t>
            </w:r>
            <w:r>
              <w:rPr>
                <w:rFonts w:hint="eastAsia" w:cs="宋体" w:asciiTheme="minorEastAsia" w:hAnsiTheme="minorEastAsia" w:eastAsiaTheme="minorEastAsia"/>
                <w:sz w:val="24"/>
                <w:lang w:val="zh-CN"/>
              </w:rPr>
              <w:t>副），技术、商务文件部分为一册（一正</w:t>
            </w:r>
            <w:r>
              <w:rPr>
                <w:rFonts w:hint="eastAsia" w:cs="宋体" w:asciiTheme="minorEastAsia" w:hAnsiTheme="minorEastAsia" w:eastAsiaTheme="minorEastAsia"/>
                <w:sz w:val="24"/>
              </w:rPr>
              <w:t>四</w:t>
            </w:r>
            <w:r>
              <w:rPr>
                <w:rFonts w:hint="eastAsia" w:cs="宋体" w:asciiTheme="minorEastAsia" w:hAnsiTheme="minorEastAsia" w:eastAsiaTheme="minorEastAsia"/>
                <w:sz w:val="24"/>
                <w:lang w:val="zh-CN"/>
              </w:rPr>
              <w:t>副）；投标文件的正本和所有的副本均需打印或用不褪色墨水书写，逐页编码，为节约纸张，投标文件建议采用A4纸张双面打印，不可插页抽页，左侧胶装方式装订，装订应牢固、不易拆散和换页</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装袋要求：</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投标文件正本1份（单独密封）</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投标文件副本</w:t>
            </w: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val="zh-CN"/>
              </w:rPr>
              <w:t>份（单独密封）</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电子版2份（电子U盘，封装在正本中且U盘上需标明企业名称）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封套上写明</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Style w:val="81"/>
                <w:rFonts w:asciiTheme="minorEastAsia" w:hAnsiTheme="minorEastAsia" w:eastAsiaTheme="minorEastAsia"/>
                <w:sz w:val="24"/>
              </w:rPr>
            </w:pPr>
            <w:r>
              <w:rPr>
                <w:rStyle w:val="81"/>
                <w:rFonts w:asciiTheme="minorEastAsia" w:hAnsiTheme="minorEastAsia" w:eastAsiaTheme="minorEastAsia"/>
                <w:sz w:val="24"/>
              </w:rPr>
              <w:t>项目编号：</w:t>
            </w:r>
          </w:p>
          <w:p>
            <w:pPr>
              <w:spacing w:line="276" w:lineRule="auto"/>
              <w:jc w:val="left"/>
              <w:rPr>
                <w:rStyle w:val="81"/>
                <w:rFonts w:asciiTheme="minorEastAsia" w:hAnsiTheme="minorEastAsia" w:eastAsiaTheme="minorEastAsia"/>
                <w:sz w:val="24"/>
              </w:rPr>
            </w:pPr>
            <w:r>
              <w:rPr>
                <w:rStyle w:val="81"/>
                <w:rFonts w:asciiTheme="minorEastAsia" w:hAnsiTheme="minorEastAsia" w:eastAsiaTheme="minorEastAsia"/>
                <w:sz w:val="24"/>
              </w:rPr>
              <w:t>项目名称：</w:t>
            </w:r>
          </w:p>
          <w:p>
            <w:pPr>
              <w:spacing w:line="276" w:lineRule="auto"/>
              <w:jc w:val="left"/>
              <w:rPr>
                <w:rStyle w:val="81"/>
                <w:rFonts w:asciiTheme="minorEastAsia" w:hAnsiTheme="minorEastAsia" w:eastAsiaTheme="minorEastAsia"/>
                <w:sz w:val="24"/>
              </w:rPr>
            </w:pPr>
            <w:r>
              <w:rPr>
                <w:rStyle w:val="81"/>
                <w:rFonts w:asciiTheme="minorEastAsia" w:hAnsiTheme="minorEastAsia" w:eastAsiaTheme="minorEastAsia"/>
                <w:sz w:val="24"/>
              </w:rPr>
              <w:t>采购人全称：</w:t>
            </w:r>
          </w:p>
          <w:p>
            <w:pPr>
              <w:spacing w:line="276" w:lineRule="auto"/>
              <w:jc w:val="left"/>
              <w:rPr>
                <w:rStyle w:val="81"/>
                <w:rFonts w:asciiTheme="minorEastAsia" w:hAnsiTheme="minorEastAsia" w:eastAsiaTheme="minorEastAsia"/>
                <w:sz w:val="24"/>
              </w:rPr>
            </w:pPr>
            <w:r>
              <w:rPr>
                <w:rStyle w:val="81"/>
                <w:rFonts w:hint="eastAsia" w:asciiTheme="minorEastAsia" w:hAnsiTheme="minorEastAsia" w:eastAsiaTheme="minorEastAsia"/>
                <w:sz w:val="24"/>
              </w:rPr>
              <w:t>投标供应商</w:t>
            </w:r>
            <w:r>
              <w:rPr>
                <w:rStyle w:val="81"/>
                <w:rFonts w:asciiTheme="minorEastAsia" w:hAnsiTheme="minorEastAsia" w:eastAsiaTheme="minorEastAsia"/>
                <w:sz w:val="24"/>
              </w:rPr>
              <w:t>全称：</w:t>
            </w:r>
          </w:p>
          <w:p>
            <w:pPr>
              <w:spacing w:line="276" w:lineRule="auto"/>
              <w:jc w:val="left"/>
              <w:rPr>
                <w:rStyle w:val="81"/>
                <w:rFonts w:asciiTheme="minorEastAsia" w:hAnsiTheme="minorEastAsia" w:eastAsiaTheme="minorEastAsia"/>
                <w:sz w:val="24"/>
              </w:rPr>
            </w:pPr>
            <w:r>
              <w:rPr>
                <w:rStyle w:val="81"/>
                <w:rFonts w:hint="eastAsia" w:asciiTheme="minorEastAsia" w:hAnsiTheme="minorEastAsia" w:eastAsiaTheme="minorEastAsia"/>
                <w:sz w:val="24"/>
              </w:rPr>
              <w:t>投标供应商</w:t>
            </w:r>
            <w:r>
              <w:rPr>
                <w:rStyle w:val="81"/>
                <w:rFonts w:asciiTheme="minorEastAsia" w:hAnsiTheme="minorEastAsia" w:eastAsiaTheme="minorEastAsia"/>
                <w:sz w:val="24"/>
              </w:rPr>
              <w:t>地址：</w:t>
            </w:r>
          </w:p>
          <w:p>
            <w:pPr>
              <w:spacing w:line="276" w:lineRule="auto"/>
              <w:ind w:firstLine="480" w:firstLineChars="200"/>
              <w:jc w:val="left"/>
              <w:rPr>
                <w:rFonts w:cs="宋体" w:asciiTheme="minorEastAsia" w:hAnsiTheme="minorEastAsia" w:eastAsiaTheme="minorEastAsia"/>
                <w:sz w:val="24"/>
                <w:lang w:val="zh-CN"/>
              </w:rPr>
            </w:pPr>
            <w:r>
              <w:rPr>
                <w:rStyle w:val="81"/>
                <w:rFonts w:asciiTheme="minorEastAsia" w:hAnsiTheme="minorEastAsia" w:eastAsiaTheme="minorEastAsia"/>
                <w:sz w:val="24"/>
              </w:rPr>
              <w:t>文件在</w:t>
            </w:r>
            <w:r>
              <w:rPr>
                <w:rStyle w:val="81"/>
                <w:rFonts w:asciiTheme="minorEastAsia" w:hAnsiTheme="minorEastAsia" w:eastAsiaTheme="minorEastAsia"/>
                <w:sz w:val="24"/>
                <w:highlight w:val="none"/>
              </w:rPr>
              <w:t>202</w:t>
            </w:r>
            <w:r>
              <w:rPr>
                <w:rStyle w:val="81"/>
                <w:rFonts w:hint="eastAsia" w:asciiTheme="minorEastAsia" w:hAnsiTheme="minorEastAsia" w:eastAsiaTheme="minorEastAsia"/>
                <w:sz w:val="24"/>
                <w:highlight w:val="none"/>
              </w:rPr>
              <w:t>2</w:t>
            </w:r>
            <w:r>
              <w:rPr>
                <w:rStyle w:val="81"/>
                <w:rFonts w:asciiTheme="minorEastAsia" w:hAnsiTheme="minorEastAsia" w:eastAsiaTheme="minorEastAsia"/>
                <w:sz w:val="24"/>
                <w:highlight w:val="none"/>
              </w:rPr>
              <w:t>年</w:t>
            </w:r>
            <w:r>
              <w:rPr>
                <w:rStyle w:val="81"/>
                <w:rFonts w:hint="eastAsia" w:asciiTheme="minorEastAsia" w:hAnsiTheme="minorEastAsia" w:eastAsiaTheme="minorEastAsia"/>
                <w:sz w:val="24"/>
                <w:highlight w:val="none"/>
                <w:lang w:val="en-US" w:eastAsia="zh-CN"/>
              </w:rPr>
              <w:t>8</w:t>
            </w:r>
            <w:r>
              <w:rPr>
                <w:rStyle w:val="81"/>
                <w:rFonts w:asciiTheme="minorEastAsia" w:hAnsiTheme="minorEastAsia" w:eastAsiaTheme="minorEastAsia"/>
                <w:sz w:val="24"/>
                <w:highlight w:val="none"/>
              </w:rPr>
              <w:t>月</w:t>
            </w:r>
            <w:r>
              <w:rPr>
                <w:rStyle w:val="81"/>
                <w:rFonts w:hint="eastAsia" w:asciiTheme="minorEastAsia" w:hAnsiTheme="minorEastAsia" w:eastAsiaTheme="minorEastAsia"/>
                <w:sz w:val="24"/>
                <w:highlight w:val="none"/>
                <w:lang w:val="en-US" w:eastAsia="zh-CN"/>
              </w:rPr>
              <w:t>25</w:t>
            </w:r>
            <w:r>
              <w:rPr>
                <w:rStyle w:val="81"/>
                <w:rFonts w:asciiTheme="minorEastAsia" w:hAnsiTheme="minorEastAsia" w:eastAsiaTheme="minorEastAsia"/>
                <w:sz w:val="24"/>
                <w:highlight w:val="none"/>
              </w:rPr>
              <w:t>日</w:t>
            </w:r>
            <w:r>
              <w:rPr>
                <w:rStyle w:val="81"/>
                <w:rFonts w:hint="eastAsia" w:asciiTheme="minorEastAsia" w:hAnsiTheme="minorEastAsia" w:eastAsiaTheme="minorEastAsia"/>
                <w:sz w:val="24"/>
                <w:highlight w:val="none"/>
                <w:lang w:val="en-US" w:eastAsia="zh-CN"/>
              </w:rPr>
              <w:t>14</w:t>
            </w:r>
            <w:r>
              <w:rPr>
                <w:rStyle w:val="81"/>
                <w:rFonts w:hint="eastAsia" w:asciiTheme="minorEastAsia" w:hAnsiTheme="minorEastAsia" w:eastAsiaTheme="minorEastAsia"/>
                <w:sz w:val="24"/>
                <w:highlight w:val="none"/>
              </w:rPr>
              <w:t>时</w:t>
            </w:r>
            <w:r>
              <w:rPr>
                <w:rStyle w:val="81"/>
                <w:rFonts w:hint="eastAsia" w:asciiTheme="minorEastAsia" w:hAnsiTheme="minorEastAsia" w:eastAsiaTheme="minorEastAsia"/>
                <w:sz w:val="24"/>
                <w:highlight w:val="none"/>
                <w:lang w:val="en-US" w:eastAsia="zh-CN"/>
              </w:rPr>
              <w:t>30</w:t>
            </w:r>
            <w:r>
              <w:rPr>
                <w:rStyle w:val="81"/>
                <w:rFonts w:hint="eastAsia" w:asciiTheme="minorEastAsia" w:hAnsiTheme="minorEastAsia" w:eastAsiaTheme="minorEastAsia"/>
                <w:sz w:val="24"/>
                <w:highlight w:val="none"/>
              </w:rPr>
              <w:t>分</w:t>
            </w:r>
            <w:r>
              <w:rPr>
                <w:rStyle w:val="81"/>
                <w:rFonts w:asciiTheme="minorEastAsia" w:hAnsiTheme="minorEastAsia" w:eastAsiaTheme="minorEastAsia"/>
                <w:sz w:val="24"/>
                <w:highlight w:val="none"/>
              </w:rPr>
              <w:t>前</w:t>
            </w:r>
            <w:r>
              <w:rPr>
                <w:rStyle w:val="81"/>
                <w:rFonts w:asciiTheme="minorEastAsia" w:hAnsiTheme="minorEastAsia" w:eastAsiaTheme="minorEastAsia"/>
                <w:sz w:val="24"/>
              </w:rPr>
              <w:t>不得开启。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2"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中标公告的时间、媒介和期限</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公告时间：在确定中标供应商之日起2个工作日内</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公告媒介：陕西省政府采购网</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5"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履约保证金</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合同总价款5%金额的银行保函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color w:val="FF0000"/>
                <w:sz w:val="24"/>
              </w:rPr>
            </w:pPr>
            <w:r>
              <w:rPr>
                <w:rFonts w:hint="eastAsia" w:cs="宋体" w:asciiTheme="minorEastAsia" w:hAnsiTheme="minorEastAsia" w:eastAsiaTheme="minorEastAsia"/>
                <w:sz w:val="24"/>
              </w:rPr>
              <w:t>30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投标供应商</w:t>
            </w:r>
          </w:p>
          <w:p>
            <w:pPr>
              <w:spacing w:line="276" w:lineRule="auto"/>
              <w:jc w:val="center"/>
              <w:rPr>
                <w:rFonts w:cs="宋体" w:asciiTheme="minorEastAsia" w:hAnsiTheme="minorEastAsia" w:eastAsiaTheme="minorEastAsia"/>
                <w:color w:val="FF0000"/>
                <w:sz w:val="24"/>
                <w:lang w:val="zh-CN"/>
              </w:rPr>
            </w:pPr>
            <w:r>
              <w:rPr>
                <w:rFonts w:hint="eastAsia" w:cs="宋体" w:asciiTheme="minorEastAsia" w:hAnsiTheme="minorEastAsia" w:eastAsiaTheme="minorEastAsia"/>
                <w:sz w:val="24"/>
                <w:lang w:val="zh-CN"/>
              </w:rPr>
              <w:t>资格条件</w:t>
            </w:r>
          </w:p>
        </w:tc>
        <w:tc>
          <w:tcPr>
            <w:tcW w:w="6651" w:type="dxa"/>
            <w:tcBorders>
              <w:top w:val="single" w:color="auto" w:sz="8" w:space="0"/>
              <w:left w:val="single" w:color="auto" w:sz="8" w:space="0"/>
              <w:bottom w:val="single" w:color="auto" w:sz="8" w:space="0"/>
              <w:right w:val="single" w:color="auto" w:sz="4" w:space="0"/>
            </w:tcBorders>
            <w:vAlign w:val="center"/>
          </w:tcPr>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（1）投标供应商需提供合法有效的统一社会信用代码营业执照。</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（2）法定代表人参加投标的，须提供本人身份证加盖公章的复印件；法定代表人授权他人参加投标的，须提供法定代表人授权委托书及被授权代表的身份证复印件。</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财务状况报告：提供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（5）税收缴纳证明：提供供应商2022年1月1日以来连续每月或每季度已缴纳的纳税证明或完税证明（提供增值税、企业所得税至少一种），依法免税的供应商应提供加盖公章的相关证明文件。</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（6）具备履行合同所必需的设备和专业技术能力的证明材料(由供应商根据项目需求提供说明材料或者承诺)；</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（8）单位负责人为同一人或者存在控股、管理关系的不同单位不得同时参加同一项目投标。</w:t>
            </w:r>
          </w:p>
          <w:p>
            <w:pPr>
              <w:pStyle w:val="26"/>
              <w:spacing w:before="0" w:beforeAutospacing="0" w:after="0" w:afterAutospacing="0"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lang w:val="zh-CN"/>
              </w:rPr>
              <w:t>）投标保证金缴纳凭证或担保机构出具的保函</w:t>
            </w:r>
          </w:p>
          <w:p>
            <w:pPr>
              <w:pStyle w:val="26"/>
              <w:spacing w:before="0" w:beforeAutospacing="0" w:after="0" w:afterAutospacing="0"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lang w:val="zh-CN"/>
              </w:rPr>
              <w:t>）中小企业声明函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31</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合同签订</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中标通知书发出后30日内，中标供应商和采购人签订合同。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32</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需落实的政府</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采购政策</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16）《陕西省财政厅关于落实政府采购支持中小企业政策有关事项的通知》（陕财办采函〔2022〕10 号）；（17）《财政部关于进一步加大政府采购支持中小企业力度的通知》（财库〔2022〕19号）。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33</w:t>
            </w:r>
          </w:p>
        </w:tc>
        <w:tc>
          <w:tcPr>
            <w:tcW w:w="1867" w:type="dxa"/>
            <w:tcBorders>
              <w:top w:val="single" w:color="auto" w:sz="8"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color w:val="FF0000"/>
                <w:sz w:val="24"/>
                <w:lang w:val="zh-CN"/>
              </w:rPr>
            </w:pPr>
            <w:r>
              <w:rPr>
                <w:rFonts w:hint="eastAsia" w:cs="宋体" w:asciiTheme="minorEastAsia" w:hAnsiTheme="minorEastAsia" w:eastAsiaTheme="minorEastAsia"/>
                <w:sz w:val="24"/>
                <w:lang w:val="zh-CN"/>
              </w:rPr>
              <w:t>付款方式</w:t>
            </w:r>
          </w:p>
        </w:tc>
        <w:tc>
          <w:tcPr>
            <w:tcW w:w="6651" w:type="dxa"/>
            <w:tcBorders>
              <w:top w:val="single" w:color="auto" w:sz="8"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1、合同签订后5个工作日内，乙方向甲方出具合同总价款5%金额的银行保函，保函有效期截止到项目终验合格之日结束；</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2、甲方收到乙方合格银行保函后支付全部合同总价款；</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3、乙方承诺在甲方办理支付手续前，为甲方出具等额的符合国家规定的发票；</w:t>
            </w:r>
          </w:p>
          <w:p>
            <w:pPr>
              <w:spacing w:line="276" w:lineRule="auto"/>
              <w:jc w:val="left"/>
              <w:rPr>
                <w:rFonts w:cs="宋体" w:asciiTheme="minorEastAsia" w:hAnsiTheme="minorEastAsia" w:eastAsiaTheme="minorEastAsia"/>
                <w:color w:val="FF0000"/>
                <w:sz w:val="24"/>
              </w:rPr>
            </w:pPr>
            <w:r>
              <w:rPr>
                <w:rFonts w:hint="eastAsia" w:cs="宋体" w:asciiTheme="minorEastAsia" w:hAnsiTheme="minorEastAsia" w:eastAsiaTheme="minorEastAsia"/>
                <w:sz w:val="24"/>
              </w:rPr>
              <w:t>4、上述时间不包括甲方正常办理支付报批手续的时间（办理银行担保所需的手续费、担保费等全部由中标人承担）。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34</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其他</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各投标供应商需明确承诺对本项目所提供的相关资料保密，不得泄露或挪作他用，一经发现，将追究其法律责任。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招标代理服务费</w:t>
            </w:r>
          </w:p>
        </w:tc>
        <w:tc>
          <w:tcPr>
            <w:tcW w:w="6651" w:type="dxa"/>
            <w:tcBorders>
              <w:top w:val="single" w:color="auto" w:sz="8" w:space="0"/>
              <w:left w:val="single" w:color="auto" w:sz="8" w:space="0"/>
              <w:bottom w:val="single" w:color="auto" w:sz="8" w:space="0"/>
              <w:right w:val="single" w:color="auto" w:sz="4" w:space="0"/>
            </w:tcBorders>
            <w:vAlign w:val="center"/>
          </w:tcPr>
          <w:p>
            <w:pPr>
              <w:spacing w:line="360" w:lineRule="auto"/>
              <w:rPr>
                <w:rStyle w:val="81"/>
                <w:rFonts w:asciiTheme="minorEastAsia" w:hAnsiTheme="minorEastAsia" w:eastAsiaTheme="minorEastAsia"/>
                <w:sz w:val="24"/>
              </w:rPr>
            </w:pPr>
            <w:r>
              <w:rPr>
                <w:rStyle w:val="81"/>
                <w:rFonts w:hint="eastAsia" w:asciiTheme="minorEastAsia" w:hAnsiTheme="minorEastAsia" w:eastAsiaTheme="minorEastAsia"/>
                <w:sz w:val="24"/>
              </w:rPr>
              <w:t>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w:t>
            </w:r>
            <w:r>
              <w:rPr>
                <w:rStyle w:val="81"/>
                <w:rFonts w:hint="eastAsia" w:asciiTheme="minorEastAsia" w:hAnsiTheme="minorEastAsia" w:eastAsiaTheme="minorEastAsia"/>
                <w:sz w:val="24"/>
                <w:u w:val="single"/>
              </w:rPr>
              <w:t>服务类</w:t>
            </w:r>
            <w:r>
              <w:rPr>
                <w:rStyle w:val="81"/>
                <w:rFonts w:hint="eastAsia" w:asciiTheme="minorEastAsia" w:hAnsiTheme="minorEastAsia" w:eastAsiaTheme="minorEastAsia"/>
                <w:sz w:val="24"/>
              </w:rPr>
              <w:t>规定收取。</w:t>
            </w:r>
          </w:p>
          <w:p>
            <w:pPr>
              <w:spacing w:line="360" w:lineRule="auto"/>
              <w:rPr>
                <w:rStyle w:val="81"/>
                <w:rFonts w:asciiTheme="minorEastAsia" w:hAnsiTheme="minorEastAsia" w:eastAsiaTheme="minorEastAsia"/>
                <w:sz w:val="24"/>
              </w:rPr>
            </w:pPr>
            <w:r>
              <w:rPr>
                <w:rStyle w:val="81"/>
                <w:rFonts w:hint="eastAsia" w:asciiTheme="minorEastAsia" w:hAnsiTheme="minorEastAsia" w:eastAsiaTheme="minorEastAsia"/>
                <w:sz w:val="24"/>
              </w:rPr>
              <w:t>代理报酬的币种：人民币 汇率：无</w:t>
            </w:r>
          </w:p>
          <w:p>
            <w:pPr>
              <w:spacing w:line="360" w:lineRule="auto"/>
              <w:rPr>
                <w:rStyle w:val="81"/>
                <w:rFonts w:asciiTheme="minorEastAsia" w:hAnsiTheme="minorEastAsia" w:eastAsiaTheme="minorEastAsia"/>
                <w:sz w:val="24"/>
              </w:rPr>
            </w:pPr>
            <w:r>
              <w:rPr>
                <w:rStyle w:val="81"/>
                <w:rFonts w:hint="eastAsia" w:asciiTheme="minorEastAsia" w:hAnsiTheme="minorEastAsia" w:eastAsiaTheme="minorEastAsia"/>
                <w:sz w:val="24"/>
              </w:rPr>
              <w:t>代理报酬的支付方式：中标人直接支付给受托人。</w:t>
            </w:r>
          </w:p>
          <w:p>
            <w:pPr>
              <w:spacing w:line="276" w:lineRule="auto"/>
              <w:jc w:val="left"/>
              <w:rPr>
                <w:rFonts w:cs="宋体" w:asciiTheme="minorEastAsia" w:hAnsiTheme="minorEastAsia" w:eastAsiaTheme="minorEastAsia"/>
                <w:sz w:val="24"/>
                <w:lang w:val="zh-CN"/>
              </w:rPr>
            </w:pPr>
            <w:r>
              <w:rPr>
                <w:rStyle w:val="81"/>
                <w:rFonts w:hint="eastAsia" w:asciiTheme="minorEastAsia" w:hAnsiTheme="minorEastAsia" w:eastAsiaTheme="minorEastAsia"/>
                <w:sz w:val="24"/>
              </w:rPr>
              <w:t>代理报酬的支付时间：《中标通知书》发出前。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bookmarkStart w:id="22" w:name="_Toc2761_WPSOffice_Level2"/>
            <w:bookmarkStart w:id="23" w:name="_Toc183682344"/>
            <w:bookmarkStart w:id="24" w:name="_Toc217390843"/>
            <w:bookmarkStart w:id="25" w:name="_Toc183582207"/>
            <w:bookmarkStart w:id="26" w:name="_Toc217446036"/>
            <w:r>
              <w:rPr>
                <w:rFonts w:hint="eastAsia" w:cs="宋体" w:asciiTheme="minorEastAsia" w:hAnsiTheme="minorEastAsia" w:eastAsiaTheme="minorEastAsia"/>
                <w:sz w:val="24"/>
              </w:rPr>
              <w:t>36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Style w:val="81"/>
                <w:rFonts w:asciiTheme="minorEastAsia" w:hAnsiTheme="minorEastAsia" w:eastAsiaTheme="minorEastAsia"/>
                <w:sz w:val="24"/>
              </w:rPr>
            </w:pPr>
            <w:r>
              <w:rPr>
                <w:rStyle w:val="81"/>
                <w:rFonts w:hint="eastAsia" w:asciiTheme="minorEastAsia" w:hAnsiTheme="minorEastAsia" w:eastAsiaTheme="minorEastAsia"/>
                <w:sz w:val="24"/>
              </w:rPr>
              <w:t>本项目所属行业</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Style w:val="81"/>
                <w:rFonts w:asciiTheme="minorEastAsia" w:hAnsiTheme="minorEastAsia" w:eastAsiaTheme="minorEastAsia"/>
                <w:sz w:val="24"/>
              </w:rPr>
            </w:pPr>
            <w:r>
              <w:rPr>
                <w:rStyle w:val="81"/>
                <w:rFonts w:hint="eastAsia" w:asciiTheme="minorEastAsia" w:hAnsiTheme="minorEastAsia" w:eastAsiaTheme="minorEastAsia"/>
                <w:sz w:val="24"/>
              </w:rPr>
              <w:t>工业</w:t>
            </w:r>
          </w:p>
        </w:tc>
      </w:tr>
      <w:bookmarkEnd w:id="13"/>
      <w:bookmarkEnd w:id="14"/>
      <w:bookmarkEnd w:id="15"/>
      <w:bookmarkEnd w:id="16"/>
      <w:bookmarkEnd w:id="17"/>
      <w:bookmarkEnd w:id="18"/>
      <w:bookmarkEnd w:id="19"/>
      <w:bookmarkEnd w:id="20"/>
      <w:bookmarkEnd w:id="21"/>
    </w:tbl>
    <w:p>
      <w:pPr>
        <w:pStyle w:val="4"/>
        <w:numPr>
          <w:ilvl w:val="0"/>
          <w:numId w:val="6"/>
        </w:numPr>
        <w:tabs>
          <w:tab w:val="left" w:pos="422"/>
        </w:tabs>
        <w:spacing w:line="360" w:lineRule="auto"/>
        <w:rPr>
          <w:rFonts w:cs="宋体" w:asciiTheme="minorEastAsia" w:hAnsiTheme="minorEastAsia" w:eastAsiaTheme="minorEastAsia"/>
          <w:bCs/>
          <w:sz w:val="36"/>
          <w:szCs w:val="36"/>
        </w:rPr>
      </w:pPr>
      <w:r>
        <w:rPr>
          <w:rFonts w:hint="eastAsia" w:cs="宋体" w:asciiTheme="minorEastAsia" w:hAnsiTheme="minorEastAsia" w:eastAsiaTheme="minorEastAsia"/>
          <w:bCs/>
          <w:sz w:val="36"/>
          <w:szCs w:val="36"/>
        </w:rPr>
        <w:br w:type="page"/>
      </w:r>
      <w:bookmarkStart w:id="27" w:name="_Toc2446"/>
      <w:bookmarkStart w:id="28" w:name="_Toc25601"/>
      <w:bookmarkStart w:id="29" w:name="_Toc12196"/>
      <w:bookmarkStart w:id="30" w:name="_Toc23837"/>
      <w:bookmarkStart w:id="31" w:name="_Toc13795"/>
      <w:r>
        <w:rPr>
          <w:rFonts w:hint="eastAsia" w:cs="宋体" w:asciiTheme="minorEastAsia" w:hAnsiTheme="minorEastAsia" w:eastAsiaTheme="minorEastAsia"/>
          <w:sz w:val="36"/>
          <w:szCs w:val="36"/>
        </w:rPr>
        <w:t>总则</w:t>
      </w:r>
      <w:bookmarkEnd w:id="22"/>
      <w:bookmarkEnd w:id="27"/>
      <w:bookmarkEnd w:id="28"/>
      <w:bookmarkEnd w:id="29"/>
      <w:bookmarkEnd w:id="30"/>
      <w:bookmarkEnd w:id="31"/>
    </w:p>
    <w:p>
      <w:pPr>
        <w:spacing w:line="360" w:lineRule="auto"/>
        <w:rPr>
          <w:rFonts w:cs="宋体" w:asciiTheme="minorEastAsia" w:hAnsiTheme="minorEastAsia" w:eastAsiaTheme="minorEastAsia"/>
          <w:bCs/>
          <w:sz w:val="30"/>
          <w:szCs w:val="30"/>
        </w:rPr>
      </w:pPr>
      <w:r>
        <w:rPr>
          <w:rFonts w:hint="eastAsia" w:cs="宋体" w:asciiTheme="minorEastAsia" w:hAnsiTheme="minorEastAsia" w:eastAsiaTheme="minorEastAsia"/>
          <w:b/>
          <w:sz w:val="30"/>
          <w:szCs w:val="30"/>
        </w:rPr>
        <w:t>1.1适用范围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本招标文件仅适用于本次公开招标所叙述的服务项目采购活动。</w:t>
      </w:r>
      <w:bookmarkStart w:id="32" w:name="_Toc217446035"/>
      <w:bookmarkStart w:id="33" w:name="_Toc183582206"/>
      <w:bookmarkStart w:id="34" w:name="_Toc183682343"/>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1.2</w:t>
      </w:r>
      <w:bookmarkEnd w:id="32"/>
      <w:bookmarkEnd w:id="33"/>
      <w:bookmarkEnd w:id="34"/>
      <w:r>
        <w:rPr>
          <w:rFonts w:hint="eastAsia" w:cs="宋体" w:asciiTheme="minorEastAsia" w:hAnsiTheme="minorEastAsia" w:eastAsiaTheme="minorEastAsia"/>
          <w:b/>
          <w:sz w:val="30"/>
          <w:szCs w:val="30"/>
        </w:rPr>
        <w:t>名词解释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1.2.1“采购人”系指依法进行政府采购的国家机关、事业单位、团体组织。本次采购的采购人名称、地址、电话、联系人见投标供应商须知前附表。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1.2.2“监督机构”系指政府采购行政监督管理部门。本次采购的监督机构：同级人民政府财政部门及有关部门。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1.2.3“采购代理机构”系指接受采购人委托，代理采购项目的依法经财政部门认定资格的采购代理机构。本次采购的采购代理机构名称、地址、电话、联系人见投标供应商须知前附表。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1.2.4 “投标供应商”是指响应招标，参加投标竞争的法人或其他组织或个人。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1.2.5“货物”是指须向采购人提供的产品及其它有关技术资料和材料。</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1.2.6 “服务”是指招标文件规定投标供应商须承担的测试、检验、调试、技术支持以及其他类似的义务。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1.2.7 “节能产品”指财政部、发展改革委、生态环境部等部门发布的《节能产品品目清单》中的产品。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1.2.8“环境标志产品”是指财政部、发展改革委、生态环境部等部门发布的《环境标志产品品目清单》中的产品。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1.2.9 “进口产品”是指通过中国海关报关验放进入中国境内且产自关境外的产品，详见《关于政府采购进口产品管理有关问题的通知》(财库[2007]119号)。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1.2.10“中小企业”是指符合《工业和信息化部、国家统计局、国家发展和改革委员会、财政部关于印发中小企业划型标准规定的通知》（工信部联企业[2011]300号）规定的对中小企业的划分标准的企业。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1.2.11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 w:val="24"/>
        </w:rPr>
        <w:t>1.2.12“残疾人福利性单位”是指符合《财政部、民政部、中国残疾人联合会关于促进残疾人就业政府采购政策的通知》（财库〔2017〕141号）规定条件的单位。</w:t>
      </w:r>
    </w:p>
    <w:bookmarkEnd w:id="23"/>
    <w:bookmarkEnd w:id="24"/>
    <w:bookmarkEnd w:id="25"/>
    <w:bookmarkEnd w:id="26"/>
    <w:p>
      <w:pPr>
        <w:spacing w:line="360" w:lineRule="auto"/>
        <w:rPr>
          <w:rFonts w:cs="宋体" w:asciiTheme="minorEastAsia" w:hAnsiTheme="minorEastAsia" w:eastAsiaTheme="minorEastAsia"/>
          <w:b/>
          <w:sz w:val="30"/>
          <w:szCs w:val="30"/>
        </w:rPr>
      </w:pPr>
      <w:bookmarkStart w:id="35" w:name="_Toc217446037"/>
      <w:bookmarkStart w:id="36" w:name="_Toc183582208"/>
      <w:bookmarkStart w:id="37" w:name="_Toc183682345"/>
      <w:r>
        <w:rPr>
          <w:rFonts w:hint="eastAsia" w:cs="宋体" w:asciiTheme="minorEastAsia" w:hAnsiTheme="minorEastAsia" w:eastAsiaTheme="minorEastAsia"/>
          <w:b/>
          <w:sz w:val="30"/>
          <w:szCs w:val="30"/>
        </w:rPr>
        <w:t>1.3合格的投标供应商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 合格的投标供应商应具备以下条件：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（1）具备且满足“招标公告”要求的；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（2）向采购代理机构领取了招标文件并登记备案；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（3）遵守国家、陕西省有关的法律法规、规章和规范性文件要求；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（4）招标文件和法律、行政法规规定的其他条件。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 投标供应商不得存在下列情形之一：</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（l）与采购人、采购代理机构存在隶属关系或者其他利害关系，且可能影响招标公正性；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（2）与本采购项目其他投标供应商的法定代表人（或者负责人）为同一人；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（3）与本采购项目其他投标供应商存在控股、管理关系；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（4）为本项目采购代理机构；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（5）为本项目代理投标的为其采购代理机构；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（6）为本项目提供采购、安装、技术支持、咨询服务；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（7）受到刑事处罚；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（8）受到财政部门3万元以上数额罚款的行政处罚或其他行政部门较大数额罚款的行政处罚（举行听证会的）；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（9）被责令停产停业、暂扣或者吊销许可证、暂扣或者吊销执照的行政处罚；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（10）被列入失信被执行人名单；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（11）被列入重大税收违法案件当事人名单；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（12）被禁止在一至三年内参加政府采购活动或存在财政部门认定的其他重大违法记录。</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1.4 合格的服务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投标供应商提供的所有服务，必须是合法来源，符合国家有关标准和规范，并满足招标文件规定的服务要求。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若本项目包括提供货物的，所供货物亦必须是合法生产、合法来源，符合国家有关标准要求，并满足招标文件规定的规格、参数、质量、有效期、售后服务及投标供应商须承担的运输、安装、技术支持、培训和招标文件规定的其它伴随服务等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1.4.3 采购人有权拒绝接受任何不合格的服务，由此产生的费用及相关后果均由投标供应商自行承担。</w:t>
      </w:r>
    </w:p>
    <w:p>
      <w:pPr>
        <w:spacing w:line="360" w:lineRule="auto"/>
        <w:rPr>
          <w:rFonts w:cs="宋体" w:asciiTheme="minorEastAsia" w:hAnsiTheme="minorEastAsia" w:eastAsiaTheme="minorEastAsia"/>
          <w:b/>
          <w:sz w:val="30"/>
          <w:szCs w:val="30"/>
        </w:rPr>
      </w:pPr>
      <w:bookmarkStart w:id="38" w:name="_Toc217446047"/>
      <w:r>
        <w:rPr>
          <w:rFonts w:hint="eastAsia" w:cs="宋体" w:asciiTheme="minorEastAsia" w:hAnsiTheme="minorEastAsia" w:eastAsiaTheme="minorEastAsia"/>
          <w:b/>
          <w:sz w:val="30"/>
          <w:szCs w:val="30"/>
        </w:rPr>
        <w:t>1.5 知识产权</w:t>
      </w:r>
      <w:bookmarkEnd w:id="38"/>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1.5.1 投标供应商应保证在本项目提供的任何服务和产品时，不会产生因第三方提出侵犯其专利权、商标权或其它知识产权而引起的法律和经济纠纷，如因专利权、商标权或其它知识产权而引起法律和经济纠纷，由投标供应商承担所有相关责任。</w:t>
      </w:r>
    </w:p>
    <w:bookmarkEnd w:id="35"/>
    <w:bookmarkEnd w:id="36"/>
    <w:bookmarkEnd w:id="37"/>
    <w:p>
      <w:pPr>
        <w:spacing w:line="360" w:lineRule="auto"/>
        <w:rPr>
          <w:rFonts w:cs="宋体" w:asciiTheme="minorEastAsia" w:hAnsiTheme="minorEastAsia" w:eastAsiaTheme="minorEastAsia"/>
          <w:b/>
          <w:sz w:val="30"/>
          <w:szCs w:val="30"/>
        </w:rPr>
      </w:pPr>
      <w:bookmarkStart w:id="39" w:name="_Toc183682346"/>
      <w:bookmarkStart w:id="40" w:name="_Toc183582209"/>
      <w:bookmarkStart w:id="41" w:name="_Toc77400779"/>
      <w:bookmarkStart w:id="42" w:name="_Toc217446038"/>
      <w:bookmarkStart w:id="43" w:name="_Toc89075875"/>
      <w:r>
        <w:rPr>
          <w:rFonts w:hint="eastAsia" w:cs="宋体" w:asciiTheme="minorEastAsia" w:hAnsiTheme="minorEastAsia" w:eastAsiaTheme="minorEastAsia"/>
          <w:b/>
          <w:sz w:val="30"/>
          <w:szCs w:val="30"/>
        </w:rPr>
        <w:t>1.6投标费用</w:t>
      </w:r>
    </w:p>
    <w:p>
      <w:pPr>
        <w:tabs>
          <w:tab w:val="left" w:pos="7665"/>
        </w:tabs>
        <w:spacing w:line="360" w:lineRule="auto"/>
        <w:ind w:firstLine="491" w:firstLineChars="205"/>
        <w:rPr>
          <w:rFonts w:cs="宋体" w:asciiTheme="minorEastAsia" w:hAnsiTheme="minorEastAsia" w:eastAsiaTheme="minorEastAsia"/>
          <w:szCs w:val="21"/>
        </w:rPr>
      </w:pPr>
      <w:r>
        <w:rPr>
          <w:rFonts w:hint="eastAsia" w:cs="宋体" w:asciiTheme="minorEastAsia" w:hAnsiTheme="minorEastAsia" w:eastAsiaTheme="minorEastAsia"/>
          <w:sz w:val="24"/>
        </w:rPr>
        <w:t>不论投标结果如何，投标供应商准备和参加投标活动发生的费用自理。</w:t>
      </w:r>
    </w:p>
    <w:p>
      <w:pPr>
        <w:spacing w:line="360" w:lineRule="auto"/>
        <w:rPr>
          <w:rFonts w:cs="宋体" w:asciiTheme="minorEastAsia" w:hAnsiTheme="minorEastAsia" w:eastAsiaTheme="minorEastAsia"/>
          <w:b/>
          <w:sz w:val="30"/>
          <w:szCs w:val="30"/>
          <w:lang w:val="zh-CN"/>
        </w:rPr>
      </w:pPr>
      <w:r>
        <w:rPr>
          <w:rFonts w:hint="eastAsia" w:cs="宋体" w:asciiTheme="minorEastAsia" w:hAnsiTheme="minorEastAsia" w:eastAsiaTheme="minorEastAsia"/>
          <w:b/>
          <w:sz w:val="30"/>
          <w:szCs w:val="30"/>
          <w:lang w:val="zh-CN"/>
        </w:rPr>
        <w:t>1.7 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 xml:space="preserve">参与采购活动的当事人应对招标文件和投标文件中的商业秘密、技术秘密和个人隐私等保密，违者应对由此造成的后果承担法律责任。 </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1.8语言文字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1.8.1 招标投标文件使用的语言为中文。专用术语使用外文的，应附有中文注释。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1.8.2 投标文件中如附有外文资料，必须逐一对应翻译成中文并加盖投标供应商单位章后附在相关外文资料后面，否则，投标供应商的投标文件将作为无效投标处理。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1.8.3 投标文件中翻译的中文资料与外文资料如果出现差异和矛盾时，以中文为准。但不能故意错误翻译，否则，投标供应商的投标文件将作为无效投标处理。必要时采购人可以要求投标供应商提供附有公证书的中文翻译文件或者与原版文件签章相一致的中文翻译文件。</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1.9计量单位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所有计量单位均采用中华人民共和国法定计量单位。</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1.10 答疑会或现场考察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1.10.1 根据本采购项目的具体情况，采购代理机构认为有必要，可以组织召开标前答疑会或组织投标供应商对项目现场进行考察，澄清投标供应商提出的问题。答疑会或进行现场考察的时间与地点，采购代理机构将以书面形式通知所有获取了招标文件的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1.10.2 答疑会或现场考察后，采购人或采购代理机构对投标供应商所提问题的澄清，以书面形式通知所有获取了招标文件的投标供应商。该澄清内容为招标文件的组成部分。</w:t>
      </w:r>
    </w:p>
    <w:p>
      <w:pPr>
        <w:tabs>
          <w:tab w:val="left" w:pos="7665"/>
        </w:tabs>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 w:val="24"/>
        </w:rPr>
        <w:t>1.10.3 采购人不对投标供应商现场考察而做出的推论、理解和结论负责。一旦成交，中标供应商不得以任何借口，提出额外补偿，或延长合同期限的要求。</w:t>
      </w:r>
    </w:p>
    <w:bookmarkEnd w:id="39"/>
    <w:bookmarkEnd w:id="40"/>
    <w:bookmarkEnd w:id="41"/>
    <w:bookmarkEnd w:id="42"/>
    <w:bookmarkEnd w:id="43"/>
    <w:p>
      <w:pPr>
        <w:pStyle w:val="4"/>
        <w:tabs>
          <w:tab w:val="left" w:pos="422"/>
        </w:tabs>
        <w:spacing w:line="360" w:lineRule="auto"/>
        <w:rPr>
          <w:rFonts w:cs="宋体" w:asciiTheme="minorEastAsia" w:hAnsiTheme="minorEastAsia" w:eastAsiaTheme="minorEastAsia"/>
          <w:bCs/>
          <w:sz w:val="36"/>
          <w:szCs w:val="36"/>
        </w:rPr>
      </w:pPr>
      <w:bookmarkStart w:id="44" w:name="_Toc20123_WPSOffice_Level2"/>
      <w:bookmarkStart w:id="45" w:name="_Toc32361"/>
      <w:bookmarkStart w:id="46" w:name="_Toc707"/>
      <w:bookmarkStart w:id="47" w:name="_Toc17849"/>
      <w:bookmarkStart w:id="48" w:name="_Toc29613"/>
      <w:bookmarkStart w:id="49" w:name="_Toc9470"/>
      <w:bookmarkStart w:id="50" w:name="_Toc183682348"/>
      <w:bookmarkStart w:id="51" w:name="_Toc183582211"/>
      <w:bookmarkStart w:id="52" w:name="_Toc217446040"/>
      <w:r>
        <w:rPr>
          <w:rFonts w:hint="eastAsia" w:cs="宋体" w:asciiTheme="minorEastAsia" w:hAnsiTheme="minorEastAsia" w:eastAsiaTheme="minorEastAsia"/>
          <w:bCs/>
          <w:sz w:val="36"/>
          <w:szCs w:val="36"/>
        </w:rPr>
        <w:t>2. 招标文件</w:t>
      </w:r>
      <w:bookmarkEnd w:id="44"/>
      <w:bookmarkEnd w:id="45"/>
      <w:bookmarkEnd w:id="46"/>
      <w:bookmarkEnd w:id="47"/>
      <w:bookmarkEnd w:id="48"/>
      <w:bookmarkEnd w:id="49"/>
      <w:bookmarkStart w:id="53" w:name="_Toc183582210"/>
      <w:bookmarkStart w:id="54" w:name="_Toc217446039"/>
      <w:bookmarkStart w:id="55" w:name="_Toc183682347"/>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2.1招标文件的</w:t>
      </w:r>
      <w:bookmarkEnd w:id="53"/>
      <w:bookmarkEnd w:id="54"/>
      <w:bookmarkEnd w:id="55"/>
      <w:r>
        <w:rPr>
          <w:rFonts w:hint="eastAsia" w:cs="宋体" w:asciiTheme="minorEastAsia" w:hAnsiTheme="minorEastAsia" w:eastAsiaTheme="minorEastAsia"/>
          <w:b/>
          <w:sz w:val="30"/>
          <w:szCs w:val="30"/>
        </w:rPr>
        <w:t>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本招标文件包括以下内容：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（1）招标公告；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（2）投标供应商须知；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（3）评标办法；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（4）采购内容及要求；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（5）政府采购合同格式；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（6）投标文件格式。</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2.2 招标文件的澄清</w:t>
      </w:r>
      <w:bookmarkEnd w:id="50"/>
      <w:bookmarkEnd w:id="51"/>
      <w:r>
        <w:rPr>
          <w:rFonts w:hint="eastAsia" w:cs="宋体" w:asciiTheme="minorEastAsia" w:hAnsiTheme="minorEastAsia" w:eastAsiaTheme="minorEastAsia"/>
          <w:b/>
          <w:sz w:val="30"/>
          <w:szCs w:val="30"/>
        </w:rPr>
        <w:t>和修改</w:t>
      </w:r>
      <w:bookmarkEnd w:id="52"/>
    </w:p>
    <w:p>
      <w:pPr>
        <w:tabs>
          <w:tab w:val="left" w:pos="7665"/>
        </w:tabs>
        <w:spacing w:line="360" w:lineRule="auto"/>
        <w:ind w:firstLine="480" w:firstLineChars="200"/>
        <w:rPr>
          <w:rFonts w:cs="宋体" w:asciiTheme="minorEastAsia" w:hAnsiTheme="minorEastAsia" w:eastAsiaTheme="minorEastAsia"/>
          <w:sz w:val="24"/>
        </w:rPr>
      </w:pPr>
      <w:bookmarkStart w:id="56" w:name="_Toc217446041"/>
      <w:bookmarkStart w:id="57" w:name="_Toc208848971"/>
      <w:r>
        <w:rPr>
          <w:rFonts w:hint="eastAsia" w:cs="宋体" w:asciiTheme="minorEastAsia" w:hAnsiTheme="minorEastAsia" w:eastAsiaTheme="minorEastAsia"/>
          <w:sz w:val="24"/>
        </w:rPr>
        <w:t>2.2.1 在投标截止时间前，采购代理机构无论出于何种原因，可以对已发出的招标文件进行必要的澄清或者修改，但不得修改采购标的和资格条件。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2.2.2 采购人或采购代理机构对已发出的招标文件进行必要的澄清或者修改，澄清或修改的内容可能影响投标文件编制的，应当在投标文件截止时间15日前，以书面形式将澄清或者修改的内容通知所有获取招标文件的投标供应商，同时在原信息发布媒体上发布澄清公告。投标供应商在收到上述通知后，应立即以书面形式向采购代理机构确认。如果澄清或者修改发出的时间距规定的投标截止时间不足15日，将相应顺延投标截止时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投标供应商应仔细阅读和检查招标文件的全部内容。如发现缺页或附件不全，应及时向采购代理机构提出，以便补齐。如需要询问或澄清的（除质疑外），或认为有必要与采购代理机构进行技术交流的，均应在投标截止时间10日前按招标文件中的联系方式，以书面形式向采购代理机构提出，采购代理机构应当在3个工作日内，以书面形式予以答复，或认为有必要召开答疑会。超过该时间收到的需要询问或澄清的内容，采购代理机构有权不予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2.2.4 在投标截止时间前，采购代理机构可以视采购具体情况，延长投标截止时间和开标时间，并在招标文件要求提交投标文件的截止时间前，将变更时间以书面形式通知所有获取招标文件的投标供应商，同时在原信息发布媒体上发布变更公告。</w:t>
      </w:r>
      <w:bookmarkStart w:id="58" w:name="_Toc183682350"/>
      <w:bookmarkStart w:id="59" w:name="_Toc183582213"/>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当招标文件澄清、答复、修改或补充通知与招标文件就同一内容表述不一致时，以最后发出的书面文件内容为准。</w:t>
      </w:r>
    </w:p>
    <w:bookmarkEnd w:id="56"/>
    <w:bookmarkEnd w:id="57"/>
    <w:bookmarkEnd w:id="58"/>
    <w:bookmarkEnd w:id="59"/>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2.3 招标文件的解释权</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招标文件的解释权归采购代理机构，如发现招标文件内容与现行法律法规不相符的情况，以现行法律法规为准。</w:t>
      </w:r>
      <w:bookmarkStart w:id="60" w:name="_Toc484_WPSOffice_Level2"/>
      <w:bookmarkStart w:id="61" w:name="_Toc31384"/>
      <w:bookmarkStart w:id="62" w:name="_Toc183682352"/>
      <w:bookmarkStart w:id="63" w:name="_Toc183582215"/>
      <w:bookmarkStart w:id="64" w:name="_Toc217446043"/>
    </w:p>
    <w:p>
      <w:pPr>
        <w:pStyle w:val="4"/>
        <w:spacing w:line="360" w:lineRule="auto"/>
        <w:rPr>
          <w:rFonts w:cs="宋体" w:asciiTheme="minorEastAsia" w:hAnsiTheme="minorEastAsia" w:eastAsiaTheme="minorEastAsia"/>
          <w:sz w:val="36"/>
          <w:szCs w:val="36"/>
        </w:rPr>
      </w:pPr>
      <w:bookmarkStart w:id="65" w:name="_Toc14265"/>
      <w:bookmarkStart w:id="66" w:name="_Toc27335"/>
      <w:bookmarkStart w:id="67" w:name="_Toc15560"/>
      <w:bookmarkStart w:id="68" w:name="_Toc29364"/>
      <w:r>
        <w:rPr>
          <w:rFonts w:hint="eastAsia" w:cs="宋体" w:asciiTheme="minorEastAsia" w:hAnsiTheme="minorEastAsia" w:eastAsiaTheme="minorEastAsia"/>
          <w:sz w:val="36"/>
          <w:szCs w:val="36"/>
        </w:rPr>
        <w:t>3.</w:t>
      </w:r>
      <w:bookmarkEnd w:id="60"/>
      <w:bookmarkEnd w:id="61"/>
      <w:bookmarkEnd w:id="65"/>
      <w:bookmarkEnd w:id="66"/>
      <w:bookmarkEnd w:id="67"/>
      <w:r>
        <w:rPr>
          <w:rFonts w:hint="eastAsia" w:cs="宋体" w:asciiTheme="minorEastAsia" w:hAnsiTheme="minorEastAsia" w:eastAsiaTheme="minorEastAsia"/>
          <w:sz w:val="36"/>
          <w:szCs w:val="36"/>
        </w:rPr>
        <w:t>投标供应商</w:t>
      </w:r>
      <w:bookmarkEnd w:id="68"/>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3.1投标供应商资格要求</w:t>
      </w: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3.1.1 投标供应商应符合《中华人民共和国政府采购法》第二十二条规定的条件，</w:t>
      </w:r>
      <w:r>
        <w:rPr>
          <w:rFonts w:hint="eastAsia" w:cs="宋体" w:asciiTheme="minorEastAsia" w:hAnsiTheme="minorEastAsia" w:eastAsiaTheme="minorEastAsia"/>
          <w:sz w:val="24"/>
          <w:lang w:val="zh-CN"/>
        </w:rPr>
        <w:t>并根据《政府采购法实施条例》第十七条规定提供下列材料：</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lang w:val="zh-CN"/>
        </w:rPr>
        <w:t>（1）投标供应商需提供合法有效的统一社会信用代码营业执照。</w:t>
      </w:r>
    </w:p>
    <w:p>
      <w:pPr>
        <w:spacing w:line="360" w:lineRule="auto"/>
        <w:ind w:left="-1" w:firstLine="480" w:firstLineChars="200"/>
        <w:rPr>
          <w:rFonts w:hint="eastAsia"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财务状况报告：提供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（5）税收缴纳证明：提供供应商2022年1月1日以来连续每月或每季度已缴纳的纳税证明或完税证明（提供增值税、企业所得税至少一种），依法免税的供应商应提供加盖公章的相关证明文件。</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ind w:firstLine="480" w:firstLineChars="200"/>
        <w:rPr>
          <w:rFonts w:hint="eastAsia" w:cs="宋体" w:asciiTheme="minorEastAsia" w:hAnsiTheme="minorEastAsia" w:eastAsiaTheme="minorEastAsia"/>
          <w:sz w:val="24"/>
          <w:lang w:val="zh-CN"/>
        </w:rPr>
      </w:pPr>
      <w:r>
        <w:rPr>
          <w:rFonts w:hint="eastAsia" w:cs="宋体" w:asciiTheme="minorEastAsia" w:hAnsiTheme="minorEastAsia" w:eastAsiaTheme="minorEastAsia"/>
          <w:sz w:val="24"/>
          <w:lang w:val="zh-CN"/>
        </w:rPr>
        <w:t>（8）单位负责人为同一人或者存在控股、管理关系的不同单位不得同时参加同一项目投标。</w:t>
      </w:r>
    </w:p>
    <w:p>
      <w:pPr>
        <w:pStyle w:val="26"/>
        <w:spacing w:before="0" w:beforeAutospacing="0" w:after="0" w:afterAutospacing="0"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lang w:val="zh-CN"/>
        </w:rPr>
        <w:t>）投标保证金缴纳凭证或担保机构出具的保函。</w:t>
      </w:r>
    </w:p>
    <w:p>
      <w:pPr>
        <w:pStyle w:val="26"/>
        <w:spacing w:before="0" w:beforeAutospacing="0" w:after="0" w:afterAutospacing="0" w:line="360" w:lineRule="auto"/>
        <w:ind w:firstLine="480" w:firstLineChars="200"/>
        <w:rPr>
          <w:rFonts w:hint="eastAsia" w:cs="宋体" w:asciiTheme="minorEastAsia" w:hAnsiTheme="minorEastAsia" w:eastAsiaTheme="minorEastAsia"/>
          <w:sz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lang w:val="zh-CN"/>
        </w:rPr>
        <w:t>）中小企业声明函。</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3.2授权委托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3.2.1投标供应商代表为法定代表人的，应持有法定代表人身份证明。投标供应商代表不是法定代表人的，应持有法定代表人授权委托书。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3.2.2投标供应商应当委托本单位正式员工作为投标供应商代表，且投标供应商代表只能接受一个投标供应商的委托参加投标。</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3.3联合投标</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cs="宋体" w:asciiTheme="minorEastAsia" w:hAnsiTheme="minorEastAsia" w:eastAsiaTheme="minorEastAsia"/>
          <w:sz w:val="24"/>
        </w:rPr>
        <w:t>本项目不</w:t>
      </w:r>
      <w:r>
        <w:rPr>
          <w:rFonts w:hint="eastAsia" w:asciiTheme="minorEastAsia" w:hAnsiTheme="minorEastAsia" w:eastAsiaTheme="minorEastAsia"/>
          <w:sz w:val="24"/>
          <w:szCs w:val="24"/>
        </w:rPr>
        <w:t>接受联合体投标</w:t>
      </w:r>
      <w:r>
        <w:rPr>
          <w:rFonts w:hint="eastAsia" w:cs="宋体" w:asciiTheme="minorEastAsia" w:hAnsiTheme="minorEastAsia" w:eastAsiaTheme="minorEastAsia"/>
          <w:sz w:val="24"/>
        </w:rPr>
        <w:t>。</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3.4享受的政府采购政策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3.4.1中小企业落实政府采购政策：落实促进支持中小企业、监狱企业、残疾人福利性单位发展、脱贫攻坚工作的政策(如为专门面向中小企业的采购项目（或采购包），不执行3.4.1.1、3.4.1.2、3.4.1.3条款。)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3.4.1.1《政府采购促进中小企业发展管理办法》（财库〔2020〕46号）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在政府采购活动中，供应商提供的货物、工程或者服务符合下列情形的，享受《办法》规定的中小企业扶持政策: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(一)在货物采购项目中，货物由中小企业制造，即货物由中小企业生产且使用该中小企业商号或者注册商标；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(二)在工程采购项目中，工程由中小企业承建，即工程施工单位为中小企业；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(三)在服务采购项目中，服务由中小企业承接，即提供服务的人员为中小企业依照《中华人民共和国民法典》订立劳动合同的从业人员。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在货物采购项目中，供应商提供的货物既有中小企业制造货物，也有大型企业制造货物的，不享受《办法》规定的中小企业扶持政策。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以联合体形式参加政府采购活动，联合体各方均为中小企业的，联合体视同中小企业。其中，联合体各方均为小微企业的，联合体视同小微企业。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依据《办法》规定享受扶持政策获得政府采购合同的，小微企业不得将合同分包给大中型企业，中型企业不得将合同分包给大型企业。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的通知（财库〔2020〕46号）规定，参加政府采购活动的中小企业应当提供《中小企业声明函》。供应商提供的《中小企业声明函》原件必须真实，否则，按照有关规定予以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陕财办采函【2022】10号《陕西省财政厅关于落实政府采购支持中小企业政策有关事项的通知》。发布公告时未预留份额专门面向中小企业的货物服务项目，对于符合规定的小微企业给予15%的价格优惠，用扣除后的价格参与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货物服务采购项目联合体协议或者分包意向协议约定小微企业的合同份额占到合同总金额30%以上的，对联合体或者大中型企业报价给予4%-6%的扣除，用扣除后的价格参加评审。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3.4.1.2 《财政部 司法部关于政府采购支持监狱企业发展有关问题的通知》（财库〔2014〕68号）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监狱企业参加政府采购活动时，应当提供由省级以上监狱管理局、戒毒管理局（含新疆生产建设兵团）出具的属于监狱企业的证明文件。在政府采购活动中，监狱企业视同小型、微型企业。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3.4.1.3《三部门联合发布关于促进残疾人就业政府采购政策的通知》（财库〔2017〕141号）；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符合条件的残疾人福利性单位在参加政府采购活动时，应当提供本通知规定的《残疾人福利性单位声明函》，并对声明的真实性负责。在政府采购活动中，残疾人福利性单位视同小型、微型企业，享受预留份额。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3.4.2落实优先采购节能、环保产品的政策（所投产品满足以下文件要求中任意一条（及以上），其价格给予3%的扣除，用扣除后价格参与评审。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 根据《财政部 国家发展改革委关于印发〈节能产品政府采购实施意见〉的通知》（财库〔2004〕185号）规定“政府采购属于节能产品品目清单的，在技术、服务等指标同等条件下，应当优先采购节能品目清单的节能产品。”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3.4.2.2 根据《财政部环保总局关于环境标志产品政府采购实施的意见》（财库〔2006〕90号）规定“采购人采购的产品属于环境标志产品政府采购清单中品目的，在性能、技术、服务等指标同等条件下，应当优先采购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3.4.2.4根据《财政部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3.4.2.5 所有投标产品进入 “节能产品政府采购品目清单”的，应提供相关证书复印件，相关证书的颁发机构应来自《参与实施政府采购节能产品认证机构名录》。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3.4.2.6 所有投标产品进入“环境标志产品政府采购品目清单”的，应提供相关证书复印件，相关证书的颁发机构应来自《参与实施政府采购环境标志产品认证机构名录》。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3.4.2.7对于已列入品目清单的产品类别，采购人可在采购需求中提出更高的节约资源和保护环境要求，对符合条件的获证产品给予优先待遇。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3.4.2.8投标供应商在投标文件中对所投标产品为节能、环保、环境标志产品清单中的产品，在投标报价时必须对此类产品单独分项报价，计算出小计金额。未提供节能、环保、环境标志产品计分明细表的不给予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3.4.2.9若节能、环保、环境标志清单内的产品仅是构成投标产品的部件、组件或零件的，则该投标产品不享受鼓励优惠政策。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3.4.2.10同一标段的节能、环保、环境标志产品部分计分只对属于清单内的非强制类产品进行计分，强制类产品不给予计分。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3.4.2.11节能、环保、环境标志产品不重复计分；同时列入国家级清单和省级清单的产品不重复计分。</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3.5转包与分包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3.5.1 本项目严禁采取转包方式履行合同。本项目所称转包，是指中标人将政府采购合同业务转让给第三人，并退出现有政府采购合同当事人双方权利业务关系，受让人（即第三人）成为政府采购合同的另一方当事人的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中标人转包的，视同拒绝履行政府采购合同业务，将依法追究法律责任。</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3.6投标供应商的纪律要求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3.6.1有下列情形之一的，属于不合格投标供应商，其投标或中标资格将被取消：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（1）提供虚假材料谋取中标；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（2）采取不正当手段诋毁、排挤其他投标供应商；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（3）与采购人、采购代理机构、其他投标供应商恶意串通；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（4）向采购人、采购代理机构、评标委员会成员行贿或者提供其他不正当利益；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（5）在招标过程中与采购人、采购代理机构进行协商谈判；</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（6）拒绝有关部门的监督检查或者向监督检查部门提供虚假情况。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3.6.2下列情形之一的，视为投标供应商相互恶意串通投标，其投标无效：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（1）不同投标供应商的投标文件由同一单位或者个人编制；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（2）不同投标供应商委托同一单位或者个人办理投标事宜；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（3）不同投标供应商的投标文件载明的项目管理成员为同一人；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（4）不同投标供应商的投标文件异常一致或者投标报价呈规律性差异；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（5）不同投标供应商的投标文件相互混装；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（6）不同投标供应商的投标保证金从同一单位或者个人的账户转出；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（7）不同投标供应商的投标文件由同一投标供应商送达。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（8）投标文件雷同性、围标串标判定。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通过“文件制作机器码”和“文件创建标识码”判定。如MAC地址、硬盘序列号、CPU号、主板号等，判断是否由同一台电脑制作。若一致，则表明不同投标人的投标文件出自同一台电脑，根据《陕西省财政厅关于政府采购有关政策的复函》（陕财办采函【2019】18号）文件精神，视为投标人串通投标，其投标无效。“文件创建标识码”一致表示不同投标人使用投标文件制作软件时，使用同一源工程文件。</w:t>
      </w:r>
    </w:p>
    <w:bookmarkEnd w:id="62"/>
    <w:bookmarkEnd w:id="63"/>
    <w:bookmarkEnd w:id="64"/>
    <w:p>
      <w:pPr>
        <w:pStyle w:val="4"/>
        <w:tabs>
          <w:tab w:val="left" w:pos="422"/>
        </w:tabs>
        <w:spacing w:line="360" w:lineRule="auto"/>
        <w:rPr>
          <w:rFonts w:cs="宋体" w:asciiTheme="minorEastAsia" w:hAnsiTheme="minorEastAsia" w:eastAsiaTheme="minorEastAsia"/>
          <w:bCs/>
          <w:sz w:val="36"/>
          <w:szCs w:val="36"/>
        </w:rPr>
      </w:pPr>
      <w:bookmarkStart w:id="69" w:name="_Toc28762"/>
      <w:bookmarkStart w:id="70" w:name="_Toc28915"/>
      <w:bookmarkStart w:id="71" w:name="_Toc6337"/>
      <w:bookmarkStart w:id="72" w:name="_Toc10174_WPSOffice_Level2"/>
      <w:bookmarkStart w:id="73" w:name="_Toc32581"/>
      <w:bookmarkStart w:id="74" w:name="_Toc27535"/>
      <w:bookmarkStart w:id="75" w:name="_Toc217446048"/>
      <w:bookmarkStart w:id="76" w:name="_Toc183682354"/>
      <w:bookmarkStart w:id="77" w:name="_Toc183582217"/>
      <w:r>
        <w:rPr>
          <w:rFonts w:hint="eastAsia" w:cs="宋体" w:asciiTheme="minorEastAsia" w:hAnsiTheme="minorEastAsia" w:eastAsiaTheme="minorEastAsia"/>
          <w:bCs/>
          <w:sz w:val="36"/>
          <w:szCs w:val="36"/>
        </w:rPr>
        <w:t>4. 投标文件</w:t>
      </w:r>
      <w:bookmarkEnd w:id="69"/>
      <w:bookmarkEnd w:id="70"/>
      <w:bookmarkEnd w:id="71"/>
      <w:bookmarkEnd w:id="72"/>
      <w:bookmarkEnd w:id="73"/>
      <w:bookmarkEnd w:id="7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4.1投标文件的编写原则和要求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4.1.1 投标供应商应仔细阅读招标文件的所有内容，按招标文件规定及要求编写，应当对招标文件提出的实质性要求做出响应，并提交完整的投标文件。投标供应商应对投标服务提供完整详细的技术说明，若投标供应商对指定的技术要求不能完全响应，应在投标文件中清楚地注明。投标供应商拟在中标后将中标项目的非主体、非关键性工作交由他人完成的，应当在投标文件中载明。投标供应商对本招标文件的每一项要求所给予的响应必须是唯一的，否则将视为无效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 真实性原则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4.1.2.1 投标供应商应保证所提供的投标文件和所有资料的真实性、准确性和完整性。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4.1.2.2 投标供应商被认定为在政府采购活动中提供不真实材料的，无论其材料是否重要，采购人均有权拒绝，并取消其投标或中标资格，投标供应商需承担相应的法律后果。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4.1.3 投标货币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本项目的投标均以人民币报价。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4.1.4 投标文件形式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本项目投标文件应采用书面文件形式，电报、传真、电子邮件形式的投标文件不予接受。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4.1.5 投标文件格式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投标供应商应按招标文件中提供的投标文件格式填写“投标函”、“开标一览表”以及其他相关文件。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 备选方案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4.1.6.1 除投标供应商须知前附表规定允许外，投标供应商不得递交备选投标方案，投标文件的报价只允许有一个报价，不接受具有附加条件的报价，否则，视为无效投标。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4.1.6.2 允许投标供应商递交备选投标方案的，只有中标供应商所递交的备选投标方案方可予以考虑。评标委员会认为中标供应商的备选投标方案优于其按照招标文件要求编制的投标方案的，采购人可以接受该备选方案。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4.1.6.3 投标供应商提供两个或两个以上投标报价，或者在投标文件中提供一个报价，但同时提供两个或两个以上供货方案的，视为提供备选方案。</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4.2 投标文件的组成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4.2.1投标文件由下列文件组成：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（1）资格审查文件；</w:t>
      </w:r>
      <w:r>
        <w:rPr>
          <w:rFonts w:hint="eastAsia" w:cs="宋体" w:asciiTheme="minorEastAsia" w:hAnsiTheme="minorEastAsia" w:eastAsiaTheme="minorEastAsia"/>
          <w:sz w:val="24"/>
        </w:rPr>
        <w:tab/>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（2）技术、商务文件；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4.2.2 资格审查文件包括本章第3.1条款内容。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4.2.3 商务技术文件主要包括下列内容：</w:t>
      </w:r>
    </w:p>
    <w:bookmarkEnd w:id="75"/>
    <w:bookmarkEnd w:id="76"/>
    <w:bookmarkEnd w:id="77"/>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（2）开标一览表；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（3）分项报价明细表；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（4）技术偏离表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（5）投标方案（含实施方案、服务承诺、服务团队、综合实力、</w:t>
      </w:r>
      <w:r>
        <w:rPr>
          <w:rFonts w:hint="eastAsia" w:ascii="宋体" w:hAnsi="宋体" w:cs="宋体"/>
          <w:sz w:val="24"/>
        </w:rPr>
        <w:t>快速响应能力等</w:t>
      </w:r>
      <w:r>
        <w:rPr>
          <w:rFonts w:hint="eastAsia" w:cs="宋体" w:asciiTheme="minorEastAsia" w:hAnsiTheme="minorEastAsia" w:eastAsiaTheme="minorEastAsia"/>
          <w:sz w:val="24"/>
        </w:rPr>
        <w:t>）</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（6）相关项目业绩一览表</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（7）供应商认为需要补充的其它资料</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（8）投标供应商满足政府采购相关优惠政策的声明或证明材料</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4.3 投标报价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4.3.1 投标供应商应按照招标文件要求填报投标报价，并充分了解该采购项目的总体情况以及影响投标报价的其他要素。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4.3.2 投标供应商报价超出采购预算金额的，作为未实质性响应招标文件，按无效投标处理。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4.3.3 投标供应商的报价是投标供应商响应招标项目要求的全部工作内容的价格体现，包括投标供应商完成本项目所需的人工费、设备费、管理费、验收费、招标代理服务费、利润和税金等全部费用。在提供服务的过程中的任何遗漏，均由中标供应商免费提供，采购人将不再支付任何费用。中标后不允许擅自改变服务内容、质量标准、期限和追加项目预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4.3.4 投标供应商应按“开标一览表”及“分项报价明细表”的内容和格式要求填写各项服务的分项价格和总价。投标报价为各分项报价金额之和。投标报价与分项报价的合价不一致的，应以各分项合价累计数为准，修正投标报价；如分项报价中存在遗漏项，视为缺项价格已包含在其他分项报价之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4.3.5 投标供应商只允许有一个报价，并且在合同履行过程中是固定不变的，任何有选择或可调整的报价将不予接受，并按无效投标处理。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4.3.6 当评标委员会认为，某投标供应商的报价存在明显低于其他通过符合性审查投标供应商的报价，有可能影响服务质量和不能诚信履约的，要求其在30分钟内提供以往类似项目书面证明材料（结算票据）予以解释说明；如果其不能够在规定时间内提供相关材料证明其报价的合理性，其报价为无效报价。</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4.4投标有效期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4.4.1投标有效期见投标供应商须知前附表。投标有效期短于此规定期限的投标，属于非实质性响应，将按无效投标处理。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4.4.2 出现特殊情况需要延长投标有效期的，采购代理机构或采购人可于投标有效期满之前，以书面形式通知所有投标供应商延长投标有效期。投标供应商应予书面答复，同意延长的，应相应延长其投标保证金有效期，但不得要求或被允许修改其投标文件；投标供应商拒绝延长的，其投标失效，但投标供应商有权收回其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4.4.3 在投标有效期内，投标供应商撤销投标文件的，应承担招标文件和法律规定的责任。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4.4.4 中标供应商的投标有效期自动延长至合同终止为止。</w:t>
      </w:r>
      <w:bookmarkStart w:id="78" w:name="_Toc14500"/>
      <w:bookmarkStart w:id="79" w:name="_Toc27601"/>
      <w:bookmarkStart w:id="80" w:name="_Toc28013"/>
      <w:bookmarkStart w:id="81" w:name="_Toc311415592"/>
      <w:bookmarkStart w:id="82" w:name="_Toc7650"/>
      <w:bookmarkStart w:id="83" w:name="_Toc27019"/>
      <w:bookmarkStart w:id="84" w:name="_Toc32671"/>
    </w:p>
    <w:bookmarkEnd w:id="78"/>
    <w:bookmarkEnd w:id="79"/>
    <w:bookmarkEnd w:id="80"/>
    <w:bookmarkEnd w:id="81"/>
    <w:bookmarkEnd w:id="82"/>
    <w:bookmarkEnd w:id="83"/>
    <w:bookmarkEnd w:id="84"/>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4.5 投标保证金</w:t>
      </w:r>
    </w:p>
    <w:p>
      <w:pPr>
        <w:pStyle w:val="28"/>
        <w:spacing w:line="360" w:lineRule="auto"/>
        <w:ind w:firstLine="480"/>
        <w:rPr>
          <w:rFonts w:hint="eastAsia" w:ascii="宋体" w:hAnsi="宋体" w:cs="宋体"/>
          <w:sz w:val="24"/>
          <w:szCs w:val="24"/>
        </w:rPr>
      </w:pPr>
      <w:r>
        <w:rPr>
          <w:rFonts w:hint="eastAsia" w:ascii="宋体" w:hAnsi="宋体" w:cs="宋体"/>
          <w:sz w:val="24"/>
          <w:szCs w:val="24"/>
        </w:rPr>
        <w:t>人民币</w:t>
      </w:r>
      <w:r>
        <w:rPr>
          <w:rFonts w:hint="eastAsia" w:ascii="宋体" w:hAnsi="宋体" w:cs="宋体"/>
          <w:sz w:val="24"/>
          <w:szCs w:val="24"/>
          <w:lang w:eastAsia="zh-CN"/>
        </w:rPr>
        <w:t>壹</w:t>
      </w:r>
      <w:r>
        <w:rPr>
          <w:rFonts w:hint="eastAsia" w:ascii="宋体" w:hAnsi="宋体" w:cs="宋体"/>
          <w:sz w:val="24"/>
          <w:szCs w:val="24"/>
        </w:rPr>
        <w:t>万元整（￥</w:t>
      </w:r>
      <w:r>
        <w:rPr>
          <w:rFonts w:hint="eastAsia" w:ascii="宋体" w:hAnsi="宋体" w:cs="宋体"/>
          <w:sz w:val="24"/>
          <w:szCs w:val="24"/>
          <w:lang w:val="en-US" w:eastAsia="zh-CN"/>
        </w:rPr>
        <w:t>1</w:t>
      </w:r>
      <w:r>
        <w:rPr>
          <w:rFonts w:hint="eastAsia" w:ascii="宋体" w:hAnsi="宋体" w:cs="宋体"/>
          <w:sz w:val="24"/>
          <w:szCs w:val="24"/>
        </w:rPr>
        <w:t>0000.00元）；</w:t>
      </w:r>
    </w:p>
    <w:p>
      <w:pPr>
        <w:pStyle w:val="28"/>
        <w:spacing w:line="360" w:lineRule="auto"/>
        <w:ind w:firstLine="480"/>
        <w:rPr>
          <w:rFonts w:hint="eastAsia" w:ascii="宋体" w:hAnsi="宋体" w:cs="宋体"/>
          <w:sz w:val="24"/>
          <w:szCs w:val="24"/>
        </w:rPr>
      </w:pPr>
      <w:r>
        <w:rPr>
          <w:rFonts w:hint="eastAsia" w:ascii="宋体" w:hAnsi="宋体" w:cs="宋体"/>
          <w:sz w:val="24"/>
          <w:szCs w:val="24"/>
        </w:rPr>
        <w:t>采用电汇、转账、支票、汇票、本票或者金融机构、担保机构出具的保函等非现金形式提交，且确保在响应文件递交截止时间前到达采购代理机构指定账户。有效期为开标之日起90日历天。</w:t>
      </w:r>
    </w:p>
    <w:p>
      <w:pPr>
        <w:pStyle w:val="28"/>
        <w:spacing w:line="360" w:lineRule="auto"/>
        <w:ind w:firstLine="480"/>
        <w:rPr>
          <w:rFonts w:hint="eastAsia" w:ascii="宋体" w:hAnsi="宋体" w:cs="宋体"/>
          <w:sz w:val="24"/>
          <w:szCs w:val="24"/>
        </w:rPr>
      </w:pPr>
      <w:r>
        <w:rPr>
          <w:rFonts w:hint="eastAsia" w:ascii="宋体" w:hAnsi="宋体" w:cs="宋体"/>
          <w:sz w:val="24"/>
          <w:szCs w:val="24"/>
        </w:rPr>
        <w:t>账户名称：陕西源丰成工程项目管理有限公司</w:t>
      </w:r>
    </w:p>
    <w:p>
      <w:pPr>
        <w:pStyle w:val="28"/>
        <w:spacing w:line="360" w:lineRule="auto"/>
        <w:ind w:firstLine="480"/>
        <w:rPr>
          <w:rFonts w:hint="eastAsia" w:ascii="宋体" w:hAnsi="宋体" w:cs="宋体"/>
          <w:sz w:val="24"/>
          <w:szCs w:val="24"/>
        </w:rPr>
      </w:pPr>
      <w:r>
        <w:rPr>
          <w:rFonts w:hint="eastAsia" w:ascii="宋体" w:hAnsi="宋体" w:cs="宋体"/>
          <w:sz w:val="24"/>
          <w:szCs w:val="24"/>
        </w:rPr>
        <w:t>开户银行：交通银行唐延路支行</w:t>
      </w:r>
    </w:p>
    <w:p>
      <w:pPr>
        <w:pStyle w:val="28"/>
        <w:spacing w:line="360" w:lineRule="auto"/>
        <w:ind w:firstLine="480"/>
        <w:rPr>
          <w:rFonts w:hint="eastAsia" w:ascii="宋体" w:hAnsi="宋体" w:cs="宋体"/>
          <w:sz w:val="24"/>
          <w:szCs w:val="24"/>
        </w:rPr>
      </w:pPr>
      <w:r>
        <w:rPr>
          <w:rFonts w:hint="eastAsia" w:ascii="宋体" w:hAnsi="宋体" w:cs="宋体"/>
          <w:sz w:val="24"/>
          <w:szCs w:val="24"/>
        </w:rPr>
        <w:t>账 号：6113 0107 2013 0000 59267</w:t>
      </w:r>
    </w:p>
    <w:p>
      <w:pPr>
        <w:pStyle w:val="28"/>
        <w:spacing w:line="360" w:lineRule="auto"/>
        <w:ind w:firstLine="480"/>
        <w:rPr>
          <w:rFonts w:hint="eastAsia" w:ascii="宋体" w:hAnsi="宋体" w:cs="宋体"/>
          <w:sz w:val="24"/>
          <w:szCs w:val="24"/>
        </w:rPr>
      </w:pPr>
      <w:r>
        <w:rPr>
          <w:rFonts w:hint="eastAsia" w:ascii="宋体" w:hAnsi="宋体" w:cs="宋体"/>
          <w:sz w:val="24"/>
          <w:szCs w:val="24"/>
        </w:rPr>
        <w:t>转账事由：(项目名称简称或全称）投标保证金</w:t>
      </w:r>
    </w:p>
    <w:p>
      <w:pPr>
        <w:pStyle w:val="28"/>
        <w:spacing w:line="360" w:lineRule="auto"/>
        <w:ind w:firstLine="480"/>
        <w:rPr>
          <w:rFonts w:hint="eastAsia" w:ascii="宋体" w:hAnsi="宋体" w:cs="宋体"/>
          <w:sz w:val="24"/>
          <w:szCs w:val="24"/>
        </w:rPr>
      </w:pPr>
      <w:r>
        <w:rPr>
          <w:rFonts w:hint="eastAsia" w:ascii="宋体" w:hAnsi="宋体" w:cs="宋体"/>
          <w:sz w:val="24"/>
          <w:szCs w:val="24"/>
        </w:rPr>
        <w:t>投标保证金交纳后，投标文件中附投标保证金转账凭证（加盖公章）或担保机构出具的保函，作为投标保证金交纳的依据，否则按无效投标文件处理。</w:t>
      </w:r>
    </w:p>
    <w:p>
      <w:pPr>
        <w:pStyle w:val="28"/>
        <w:spacing w:line="360" w:lineRule="auto"/>
        <w:ind w:firstLine="480"/>
        <w:rPr>
          <w:rFonts w:hint="eastAsia" w:ascii="宋体" w:hAnsi="宋体" w:cs="宋体"/>
          <w:sz w:val="24"/>
          <w:szCs w:val="24"/>
        </w:rPr>
      </w:pPr>
      <w:r>
        <w:rPr>
          <w:rFonts w:hint="eastAsia" w:ascii="宋体" w:hAnsi="宋体" w:cs="宋体"/>
          <w:sz w:val="24"/>
          <w:szCs w:val="24"/>
        </w:rPr>
        <w:t>投标保证金递交截止时间：投标截止时间</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4.6.1 投标保证金的退还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4.6.1.1未中标供应商的投标保证金，将在中标通知书发出之日起5个工作日内全额退还。中标供应商的投标保证金，在采购人与中标供应商签订合同后5个工作日内全额退还。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4.6.1.2有下列情形之一的，投标保证金将不予退还：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（1）投标供应商在投标有效期内撤销投标文件的；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（2）中标供应商在收到中标通知书后，无正当理由不与采购人订立合同，或者在签订合同时向采购人提出附加条件的；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（3）中标供应商无正当理由，未能按招标文件规定时间内领取《中标通知书》的；</w:t>
      </w:r>
    </w:p>
    <w:p>
      <w:pPr>
        <w:tabs>
          <w:tab w:val="left" w:pos="7665"/>
        </w:tabs>
        <w:spacing w:line="360" w:lineRule="auto"/>
        <w:ind w:firstLine="480" w:firstLineChars="200"/>
        <w:rPr>
          <w:rFonts w:cs="宋体" w:asciiTheme="minorEastAsia" w:hAnsiTheme="minorEastAsia" w:eastAsiaTheme="minorEastAsia"/>
          <w:sz w:val="24"/>
          <w:highlight w:val="green"/>
        </w:rPr>
      </w:pPr>
      <w:r>
        <w:rPr>
          <w:rFonts w:hint="eastAsia" w:cs="宋体" w:asciiTheme="minorEastAsia" w:hAnsiTheme="minorEastAsia" w:eastAsiaTheme="minorEastAsia"/>
          <w:sz w:val="24"/>
        </w:rPr>
        <w:t>（4）中标供应商未向采购代理机构支付采购（招标）代理服务费的；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（5）投标有效期内，投标供应商在政府采购活动中有违规、违纪和违法行为的；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（6）法律法规规定的其他情况。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4.6.1.3 投标保证金退还程序：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（1）未中标供应商的投标保证金，在《中标通知书》发出之日起5个工作日内，采购代理机构将主动退还。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（2）中标供应商应当在合同签订生效之日起5个工作日内，持采购合同原件至采购代理机构及时退还投标保证金。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4.6.1.4 投标保证金退还时间：星期一至星期五，9:00-16:00。</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4.6.1.5投标保证金退还方式：银行转账。</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4.7 商务技术文件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4.7.1投标供应商应按照招标文件商务要求做出完全响应。未作出商务响应的，作为不实质性响应招标文件，按无效投标处理。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4.7.2严格按照招标文件对本项目的要求，精心组织、合理安排提供各项服务；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4.7.3未经采购人许可，不得将本采购项目采取转包实施的办法，一经发现，立即取消其中标资格，并承担由此产生的一切经济损失；</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4.7.4接受采购人或采购人委托相关单位对项目实施方案、服务进度与结算审核等方面监督和管理；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4.7.5 投标供应商应按照招标文件要求做出的技术应答，主要是针对招标项目的技术指标、技术要求做出的实质性响应和满足。 </w:t>
      </w:r>
    </w:p>
    <w:p>
      <w:pPr>
        <w:tabs>
          <w:tab w:val="left" w:pos="7665"/>
        </w:tabs>
        <w:spacing w:line="360" w:lineRule="auto"/>
        <w:ind w:firstLine="480" w:firstLineChars="200"/>
        <w:rPr>
          <w:rFonts w:cs="宋体" w:asciiTheme="minorEastAsia" w:hAnsiTheme="minorEastAsia" w:eastAsiaTheme="minorEastAsia"/>
          <w:sz w:val="24"/>
        </w:rPr>
      </w:pPr>
      <w:bookmarkStart w:id="85" w:name="_Toc217446049"/>
      <w:bookmarkStart w:id="86" w:name="_Toc183582218"/>
      <w:bookmarkStart w:id="87" w:name="_Toc183682355"/>
      <w:r>
        <w:rPr>
          <w:rFonts w:hint="eastAsia" w:cs="宋体" w:asciiTheme="minorEastAsia" w:hAnsiTheme="minorEastAsia" w:eastAsiaTheme="minorEastAsia"/>
          <w:sz w:val="24"/>
        </w:rPr>
        <w:t>4.7.6 证明服务和产品（如有）符合招标文件规定相关文件可以是文字资料、图纸、数据、宣传彩页等，所有证明文件，表达意思必须统一。如需投标供应商提供样品，证明文件的表述与投标供应商所提供样品必须完全符合，且是投标文件的组成部分，否则，按未实质响应招标文件予以拒绝。</w:t>
      </w:r>
      <w:bookmarkEnd w:id="85"/>
      <w:bookmarkEnd w:id="86"/>
      <w:bookmarkEnd w:id="87"/>
      <w:bookmarkStart w:id="88" w:name="_Toc217446050"/>
      <w:bookmarkStart w:id="89" w:name="_Toc183682360"/>
      <w:bookmarkStart w:id="90" w:name="_Toc183582223"/>
    </w:p>
    <w:bookmarkEnd w:id="88"/>
    <w:bookmarkEnd w:id="89"/>
    <w:bookmarkEnd w:id="90"/>
    <w:p>
      <w:pPr>
        <w:spacing w:line="360" w:lineRule="auto"/>
        <w:rPr>
          <w:rFonts w:cs="宋体" w:asciiTheme="minorEastAsia" w:hAnsiTheme="minorEastAsia" w:eastAsiaTheme="minorEastAsia"/>
          <w:b/>
          <w:sz w:val="30"/>
          <w:szCs w:val="30"/>
        </w:rPr>
      </w:pPr>
      <w:bookmarkStart w:id="91" w:name="_Toc183682362"/>
      <w:bookmarkStart w:id="92" w:name="_Toc183582225"/>
      <w:bookmarkStart w:id="93" w:name="_Toc217446052"/>
      <w:bookmarkStart w:id="94" w:name="_Toc89075877"/>
      <w:bookmarkStart w:id="95" w:name="_Toc77400781"/>
      <w:bookmarkStart w:id="96" w:name="_Toc183682363"/>
      <w:bookmarkStart w:id="97" w:name="_Toc217446053"/>
      <w:bookmarkStart w:id="98" w:name="_Toc183582226"/>
      <w:r>
        <w:rPr>
          <w:rFonts w:hint="eastAsia" w:cs="宋体" w:asciiTheme="minorEastAsia" w:hAnsiTheme="minorEastAsia" w:eastAsiaTheme="minorEastAsia"/>
          <w:b/>
          <w:sz w:val="30"/>
          <w:szCs w:val="30"/>
        </w:rPr>
        <w:t>4.8 投标文件的制作和签署</w:t>
      </w:r>
      <w:bookmarkEnd w:id="91"/>
      <w:bookmarkEnd w:id="92"/>
      <w:bookmarkEnd w:id="93"/>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4.8.1 投标文件应根据招标文件的要求制作。投标供应商应填写全称，同时加盖单位章，签署、盖章和内容应完整，如有遗漏，由投标供应商承担投标风险。</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4.8.2 投标文件格式，投标供应商应严格按照第六章提供的“投标文件格式”编写相关内容。除明确允许投标供应商可以自行编写的外，投标供应商不得以“投标文件格式”规定之外的方式填写相关内容。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4.8.3 对于没有格式要求的投标文件由投标供应商自行编写。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4.8.4 投标供应商应按“投标供应商须知”规定的份数准备投标文件正本、副本和相应的电子文件，当副本和正本有不一致的内容，以正本书面投标文件为准。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4.8.5 投标文件的正本和副本均需打印或用不褪色、不变质的墨水书写，并由投标供应商的法定代表人或其授权代表在规定签章处签字和盖章。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4.8.6 投标文件的打印或书写应清楚工整，尽量避免行间插字、涂改或增删。如出现上述情况，改动之处应由投标供应商的法定代表人或其授权代表签字或盖单位章。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4.8.7 投标文件的正本和副本应分别装订，投标文件需分册装订的，具体分册装订要求见</w:t>
      </w:r>
      <w:r>
        <w:rPr>
          <w:rFonts w:hint="eastAsia" w:cs="宋体" w:asciiTheme="minorEastAsia" w:hAnsiTheme="minorEastAsia" w:eastAsiaTheme="minorEastAsia"/>
          <w:sz w:val="24"/>
          <w:lang w:val="zh-CN"/>
        </w:rPr>
        <w:t>投标供应商须知前附表的规定。投标文件</w:t>
      </w:r>
      <w:r>
        <w:rPr>
          <w:rFonts w:hint="eastAsia" w:cs="宋体" w:asciiTheme="minorEastAsia" w:hAnsiTheme="minorEastAsia" w:eastAsiaTheme="minorEastAsia"/>
          <w:sz w:val="24"/>
        </w:rPr>
        <w:t>胶装后，页面不可抽取，不得有活动页，无破损、不可拆分。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4.8.8 电子文件制作要求。电子文件与纸质正本投标文件的内容应保持一致，具有同等法律效力。</w:t>
      </w:r>
    </w:p>
    <w:bookmarkEnd w:id="94"/>
    <w:bookmarkEnd w:id="95"/>
    <w:bookmarkEnd w:id="96"/>
    <w:bookmarkEnd w:id="97"/>
    <w:bookmarkEnd w:id="98"/>
    <w:p>
      <w:pPr>
        <w:spacing w:after="120" w:afterLines="50" w:line="360" w:lineRule="auto"/>
        <w:outlineLvl w:val="1"/>
        <w:rPr>
          <w:rFonts w:cs="宋体" w:asciiTheme="minorEastAsia" w:hAnsiTheme="minorEastAsia" w:eastAsiaTheme="minorEastAsia"/>
          <w:b/>
          <w:bCs/>
          <w:sz w:val="36"/>
          <w:szCs w:val="36"/>
        </w:rPr>
      </w:pPr>
      <w:bookmarkStart w:id="99" w:name="_Toc11957"/>
      <w:bookmarkStart w:id="100" w:name="_Toc19082"/>
      <w:bookmarkStart w:id="101" w:name="_Toc831_WPSOffice_Level2"/>
      <w:bookmarkStart w:id="102" w:name="_Toc11774"/>
      <w:bookmarkStart w:id="103" w:name="_Toc31218"/>
      <w:bookmarkStart w:id="104" w:name="_Toc10920"/>
      <w:bookmarkStart w:id="105" w:name="_Toc217446056"/>
      <w:bookmarkStart w:id="106" w:name="_Toc183682368"/>
      <w:bookmarkStart w:id="107" w:name="_Toc89075878"/>
      <w:bookmarkStart w:id="108" w:name="_Toc77400782"/>
      <w:bookmarkStart w:id="109" w:name="_Toc183582231"/>
      <w:r>
        <w:rPr>
          <w:rFonts w:hint="eastAsia" w:cs="宋体" w:asciiTheme="minorEastAsia" w:hAnsiTheme="minorEastAsia" w:eastAsiaTheme="minorEastAsia"/>
          <w:b/>
          <w:bCs/>
          <w:sz w:val="36"/>
          <w:szCs w:val="36"/>
        </w:rPr>
        <w:t>5. 投标</w:t>
      </w:r>
      <w:bookmarkEnd w:id="99"/>
      <w:bookmarkEnd w:id="100"/>
      <w:bookmarkEnd w:id="101"/>
      <w:bookmarkEnd w:id="102"/>
      <w:bookmarkEnd w:id="103"/>
      <w:bookmarkEnd w:id="10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5.1 投标内容要求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投标供应商应仔细阅读招标文件中的所有事项、格式、条款和要求，对招标文件的全部内容及要求作出实质性响应，提交相应资料。</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5.2 投标文件的密封和标记</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5.2.1 开标前，投标供应商应将投标文件所有正本、副本、电子文件全部密封。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5.2.2 投标文件装订、密封、装袋要求见投标供应商须知，并在封套的封口处（缝隙处）加贴封条，应粘贴牢固，加盖密封章（投标供应商单位章）。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 投标文件封套上应写明的内容见投标供应商须知。</w:t>
      </w:r>
    </w:p>
    <w:p>
      <w:pPr>
        <w:spacing w:line="360" w:lineRule="auto"/>
        <w:rPr>
          <w:rFonts w:cs="宋体" w:asciiTheme="minorEastAsia" w:hAnsiTheme="minorEastAsia" w:eastAsiaTheme="minorEastAsia"/>
          <w:b/>
          <w:sz w:val="30"/>
          <w:szCs w:val="30"/>
        </w:rPr>
      </w:pPr>
      <w:bookmarkStart w:id="110" w:name="_Toc183582227"/>
      <w:bookmarkStart w:id="111" w:name="_Toc183682364"/>
      <w:bookmarkStart w:id="112" w:name="_Toc217446054"/>
      <w:r>
        <w:rPr>
          <w:rFonts w:hint="eastAsia" w:cs="宋体" w:asciiTheme="minorEastAsia" w:hAnsiTheme="minorEastAsia" w:eastAsiaTheme="minorEastAsia"/>
          <w:b/>
          <w:sz w:val="30"/>
          <w:szCs w:val="30"/>
        </w:rPr>
        <w:t>5.3 投标文件的</w:t>
      </w:r>
      <w:bookmarkEnd w:id="110"/>
      <w:bookmarkEnd w:id="111"/>
      <w:r>
        <w:rPr>
          <w:rFonts w:hint="eastAsia" w:cs="宋体" w:asciiTheme="minorEastAsia" w:hAnsiTheme="minorEastAsia" w:eastAsiaTheme="minorEastAsia"/>
          <w:b/>
          <w:sz w:val="30"/>
          <w:szCs w:val="30"/>
        </w:rPr>
        <w:t>递交</w:t>
      </w:r>
      <w:bookmarkEnd w:id="11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5.3.1 投标供应商应在投标供应商须知前附表规定的投标截止时间前递交投标文件。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5.3.2 投标供应商递交投标文件地点：见投标供应商须知前附表。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5.3.3 除投标供应商须知前附表另有规定外，投标供应商递交的投标文件不予退还。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5.3.4采购代理机构收到投标文件后，应当如实记载投标文件的送达时间和密封情况，签收保存，并向投标供应商出具签收回执。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5.3.5 逾期送达的投标文件，采购代理机构将予以拒收。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5.3.6 本次招标不接受邮寄的投标文件。</w:t>
      </w:r>
    </w:p>
    <w:p>
      <w:pPr>
        <w:spacing w:line="360" w:lineRule="auto"/>
        <w:rPr>
          <w:rFonts w:cs="宋体" w:asciiTheme="minorEastAsia" w:hAnsiTheme="minorEastAsia" w:eastAsiaTheme="minorEastAsia"/>
          <w:b/>
          <w:sz w:val="30"/>
          <w:szCs w:val="30"/>
        </w:rPr>
      </w:pPr>
      <w:bookmarkStart w:id="113" w:name="_Toc183682365"/>
      <w:bookmarkStart w:id="114" w:name="_Toc183582228"/>
      <w:bookmarkStart w:id="115" w:name="_Toc217446055"/>
      <w:r>
        <w:rPr>
          <w:rFonts w:hint="eastAsia" w:cs="宋体" w:asciiTheme="minorEastAsia" w:hAnsiTheme="minorEastAsia" w:eastAsiaTheme="minorEastAsia"/>
          <w:b/>
          <w:sz w:val="30"/>
          <w:szCs w:val="30"/>
        </w:rPr>
        <w:t>5.4 投标文件的修改和撤</w:t>
      </w:r>
      <w:bookmarkEnd w:id="113"/>
      <w:bookmarkEnd w:id="114"/>
      <w:r>
        <w:rPr>
          <w:rFonts w:hint="eastAsia" w:cs="宋体" w:asciiTheme="minorEastAsia" w:hAnsiTheme="minorEastAsia" w:eastAsiaTheme="minorEastAsia"/>
          <w:b/>
          <w:sz w:val="30"/>
          <w:szCs w:val="30"/>
        </w:rPr>
        <w:t>回</w:t>
      </w:r>
      <w:bookmarkEnd w:id="11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5.4.1 在招标文件规定的投标截止时间前，投标供应商可以修改或撤回已递交的投标文件，但应以书面形式通知采购代理机构。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5.4.2 投标供应商的修改或撤回通知书，应由其法定代表人或委托代理人签署并盖单位章。修改或撤回通知书应按本章第5.2.2项规定进行密封，并在密封袋上标注“投标文件修改”或“投标文件撤回通知”字样，“修改文件”作为投标文件的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5.4.3 投标供应商撤回投标文件的，采购代理机构自收到投标供应商书面撤回通知之日起5个工作日内退还已收取的投标保证金。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5.4.4 在投标截止时间之后，投标供应商不得对其递交的投标文件做任何修改或撤销投标。</w:t>
      </w:r>
    </w:p>
    <w:bookmarkEnd w:id="105"/>
    <w:bookmarkEnd w:id="106"/>
    <w:bookmarkEnd w:id="107"/>
    <w:bookmarkEnd w:id="108"/>
    <w:bookmarkEnd w:id="109"/>
    <w:p>
      <w:pPr>
        <w:spacing w:after="120" w:afterLines="50" w:line="360" w:lineRule="auto"/>
        <w:outlineLvl w:val="1"/>
        <w:rPr>
          <w:rFonts w:cs="宋体" w:asciiTheme="minorEastAsia" w:hAnsiTheme="minorEastAsia" w:eastAsiaTheme="minorEastAsia"/>
          <w:b/>
          <w:bCs/>
          <w:sz w:val="36"/>
          <w:szCs w:val="36"/>
        </w:rPr>
      </w:pPr>
      <w:bookmarkStart w:id="116" w:name="_Toc3795"/>
      <w:bookmarkStart w:id="117" w:name="_Toc32113"/>
      <w:bookmarkStart w:id="118" w:name="_Toc17845"/>
      <w:bookmarkStart w:id="119" w:name="_Toc9468_WPSOffice_Level2"/>
      <w:bookmarkStart w:id="120" w:name="_Toc11423"/>
      <w:r>
        <w:rPr>
          <w:rFonts w:hint="eastAsia" w:cs="宋体" w:asciiTheme="minorEastAsia" w:hAnsiTheme="minorEastAsia" w:eastAsiaTheme="minorEastAsia"/>
          <w:b/>
          <w:bCs/>
          <w:sz w:val="36"/>
          <w:szCs w:val="36"/>
        </w:rPr>
        <w:t>6. 开标</w:t>
      </w:r>
      <w:bookmarkEnd w:id="116"/>
      <w:bookmarkEnd w:id="117"/>
      <w:bookmarkEnd w:id="118"/>
      <w:bookmarkEnd w:id="119"/>
      <w:bookmarkEnd w:id="120"/>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6.1开标时间和地点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6.1.1 采购代理机构在投标供应商须知前附表中规定的投标截止时间（开标时间）和地点公开开标，并邀请采购人、所有投标供应商派代表准时参加并签到以证明其出席。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6.1.2 投标供应商未参加开标的，视同认可开标结果。</w:t>
      </w:r>
    </w:p>
    <w:p>
      <w:pPr>
        <w:tabs>
          <w:tab w:val="left" w:pos="7665"/>
        </w:tabs>
        <w:spacing w:line="360" w:lineRule="auto"/>
        <w:ind w:firstLine="480" w:firstLineChars="200"/>
        <w:rPr>
          <w:rFonts w:cs="宋体" w:asciiTheme="minorEastAsia" w:hAnsiTheme="minorEastAsia" w:eastAsiaTheme="minorEastAsia"/>
          <w:sz w:val="24"/>
        </w:rPr>
      </w:pPr>
      <w:bookmarkStart w:id="121" w:name="_Toc217446059"/>
      <w:r>
        <w:rPr>
          <w:rFonts w:hint="eastAsia" w:cs="宋体" w:asciiTheme="minorEastAsia" w:hAnsiTheme="minorEastAsia" w:eastAsiaTheme="minorEastAsia"/>
          <w:sz w:val="24"/>
        </w:rPr>
        <w:t>6.1.3 开标时，采购代理机构邀请采购人委派的监标人员进行开标流程监督。</w:t>
      </w:r>
      <w:bookmarkStart w:id="122" w:name="_Toc217446058"/>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6.1.4 投标供应商不足3家的，不得开标。</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6.2 开标程序</w:t>
      </w:r>
      <w:bookmarkEnd w:id="12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6.2.1开标由采购代理机构主持。主持人按照招标文件规定的开标时间宣布开标，并按下列程序进行（但不限于）：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（1）宣布开标开始和开启录音录像设备并致辞；</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（2）宣布开标纪律和有关注意事项；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（3）公布在投标截止时间前递交投标文件的投标供应商名称（根据投标供应商签到表）；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（5）检查并宣布投标文件的密封情况；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（6）唱标：当众开标，宣唱供应商名称、投标报价、服务期及其他内容，并记录在案；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宣布开标结束：主持人宣布开标结束后，所有投标供应商应立即退场（招标文件要求演示、述标的除外）；同时所有投标供应商应保持通讯设备的畅通，以方便在评标过程中评标委员会要求投标供应商对投标文件的必要澄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（8）投标供应商资格审查，采购人、代理机构按照《政府采购货物和服务招标投标管理办法》（财政部第87号令）有关规定，对投标供应商资格证明文件进行审查。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（9）评标委员会评审商务技术标。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6.2.2 检查投标文件密封情况是指，由投标供应商或者其推选的代表检查其自己递交的投标文件的密封情况，经检查无误后，签字确认。</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或者其推选的代表确认投标文件情况，仅限于确认其自己递交的投标文件的密封情况，不代表对其他投标供应商的投标文件的密封情况确认。投标供应商或者其推选的代表检对其他投标供应商的投标文件密封情况有异议的，可以当场反映开标主持人或者现场监督人员，要求开标现场记录人员予以记录，但不得干扰、阻挠开标工作的正常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6.2.3 投标供应商对开标过程和开标记录有疑义，以及认为采购人、采购代理机构相关工作人员有需要回避情形的，应当场提出询问或者回避申请。采购人、采购代理机构对投标供应商代表提出的询问或者回避申请应当及时处理，并制作记录。</w:t>
      </w:r>
    </w:p>
    <w:p>
      <w:pPr>
        <w:spacing w:after="120" w:afterLines="50" w:line="360" w:lineRule="auto"/>
        <w:outlineLvl w:val="1"/>
        <w:rPr>
          <w:rFonts w:cs="宋体" w:asciiTheme="minorEastAsia" w:hAnsiTheme="minorEastAsia" w:eastAsiaTheme="minorEastAsia"/>
          <w:b/>
          <w:bCs/>
          <w:sz w:val="36"/>
          <w:szCs w:val="36"/>
        </w:rPr>
      </w:pPr>
      <w:bookmarkStart w:id="123" w:name="_Toc28535"/>
      <w:bookmarkStart w:id="124" w:name="_Toc24302"/>
      <w:bookmarkStart w:id="125" w:name="_Toc4278_WPSOffice_Level2"/>
      <w:bookmarkStart w:id="126" w:name="_Toc31588"/>
      <w:bookmarkStart w:id="127" w:name="_Toc1134"/>
      <w:bookmarkStart w:id="128" w:name="_Toc27704"/>
      <w:r>
        <w:rPr>
          <w:rFonts w:hint="eastAsia" w:cs="宋体" w:asciiTheme="minorEastAsia" w:hAnsiTheme="minorEastAsia" w:eastAsiaTheme="minorEastAsia"/>
          <w:b/>
          <w:bCs/>
          <w:sz w:val="36"/>
          <w:szCs w:val="36"/>
        </w:rPr>
        <w:t>7. 投标供应商资格审查</w:t>
      </w:r>
      <w:bookmarkEnd w:id="123"/>
      <w:bookmarkEnd w:id="124"/>
      <w:bookmarkEnd w:id="125"/>
      <w:bookmarkEnd w:id="126"/>
      <w:bookmarkEnd w:id="127"/>
      <w:bookmarkEnd w:id="128"/>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7.1 资格审查小组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7.1.1 采购代理机构依法对投标供应商的资格进行审查，并组建资格审查小组。</w:t>
      </w:r>
    </w:p>
    <w:p>
      <w:pPr>
        <w:tabs>
          <w:tab w:val="left" w:pos="7665"/>
        </w:tabs>
        <w:spacing w:line="360" w:lineRule="auto"/>
        <w:ind w:firstLine="480" w:firstLineChars="200"/>
        <w:rPr>
          <w:rFonts w:cs="宋体" w:asciiTheme="minorEastAsia" w:hAnsiTheme="minorEastAsia" w:eastAsiaTheme="minorEastAsia"/>
          <w:color w:val="FF0000"/>
          <w:sz w:val="24"/>
        </w:rPr>
      </w:pPr>
      <w:r>
        <w:rPr>
          <w:rFonts w:hint="eastAsia" w:cs="宋体" w:asciiTheme="minorEastAsia" w:hAnsiTheme="minorEastAsia" w:eastAsiaTheme="minorEastAsia"/>
          <w:sz w:val="24"/>
        </w:rPr>
        <w:t>7.1.2 资格审查小组，由采购人代表和2名采购代理机构工作人员组成，采购代理机构项目负责人担任资格审查小组组长。</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7.2 资格审查办法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7.2.1 资格审查在开标结束之后评标开始之前进行。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7.2.2 资格审查小组将依据投标供应商投标文件之资格审查部分文件，按照本章第3.1项所述资格要求对投标供应商进行资格审查，以确定其是否具备相应资格。如果投标供应商不具备资格、不满足招标文件所规定的资格条件,将被视为未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7.2.3 资格审查小组按下列程序进行资格审查：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（1）投标供应商资格条件审查；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（2）编写投标供应商资格审查报告。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7.2.4 审查方法：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的资格性审查：采购人或代理机构依据法律法规和招标文件的规定，对投标文件中的资格证明文件进行审查。投标供应商资格证明文件审查时，缺少其中一项或某项达不到招标文件要求，均视为资格性审查不合格。如果认为投标供应商的资格证明文件复印件存在疑点，可以要求其现场提供原件进行核查。两者出现不同或在规定的时间内未能及时提供原件，均视为资格性审查不合格。</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资格审查小组将按下表所列举的审查标准对投标供应商资格条件进行审查，投标供应商若有一项不合格，即判定其资格条件审查为不合格，将不具备投标资格，按无效投标处理。</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7.2.5 审查标准：</w:t>
      </w:r>
    </w:p>
    <w:tbl>
      <w:tblPr>
        <w:tblStyle w:val="29"/>
        <w:tblW w:w="8862"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5015"/>
        <w:gridCol w:w="1701"/>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50" w:type="dxa"/>
            <w:vAlign w:val="center"/>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5015" w:type="dxa"/>
            <w:vAlign w:val="center"/>
          </w:tcPr>
          <w:p>
            <w:pPr>
              <w:spacing w:line="276" w:lineRule="auto"/>
              <w:ind w:firstLine="420" w:firstLineChars="20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审查因素</w:t>
            </w:r>
          </w:p>
        </w:tc>
        <w:tc>
          <w:tcPr>
            <w:tcW w:w="1701" w:type="dxa"/>
            <w:vAlign w:val="center"/>
          </w:tcPr>
          <w:p>
            <w:pPr>
              <w:spacing w:line="276" w:lineRule="auto"/>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审查标准</w:t>
            </w:r>
          </w:p>
        </w:tc>
        <w:tc>
          <w:tcPr>
            <w:tcW w:w="1696" w:type="dxa"/>
            <w:vAlign w:val="center"/>
          </w:tcPr>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5015" w:type="dxa"/>
            <w:vAlign w:val="center"/>
          </w:tcPr>
          <w:p>
            <w:pPr>
              <w:spacing w:line="360" w:lineRule="auto"/>
              <w:jc w:val="left"/>
              <w:rPr>
                <w:rFonts w:ascii="宋体" w:hAnsi="宋体" w:cs="宋体"/>
                <w:szCs w:val="21"/>
                <w:lang w:val="zh-CN"/>
              </w:rPr>
            </w:pPr>
            <w:r>
              <w:rPr>
                <w:rFonts w:hint="eastAsia" w:ascii="宋体" w:hAnsi="宋体" w:cs="宋体"/>
                <w:szCs w:val="21"/>
                <w:lang w:val="zh-CN"/>
              </w:rPr>
              <w:t>根据投标供应商类别进行审查：</w:t>
            </w:r>
          </w:p>
          <w:p>
            <w:pPr>
              <w:spacing w:line="360" w:lineRule="auto"/>
              <w:jc w:val="left"/>
              <w:rPr>
                <w:rFonts w:ascii="宋体" w:hAnsi="宋体" w:cs="宋体"/>
                <w:szCs w:val="21"/>
                <w:lang w:val="zh-CN"/>
              </w:rPr>
            </w:pPr>
            <w:r>
              <w:rPr>
                <w:rFonts w:hint="eastAsia" w:ascii="宋体" w:hAnsi="宋体" w:cs="宋体"/>
                <w:szCs w:val="21"/>
                <w:lang w:val="zh-CN"/>
              </w:rPr>
              <w:t>(1)企业投标的：</w:t>
            </w:r>
            <w:r>
              <w:rPr>
                <w:rFonts w:hint="eastAsia"/>
                <w:szCs w:val="21"/>
                <w:lang w:val="zh-CN"/>
              </w:rPr>
              <w:t>提供合法有效的统一社会信用代码</w:t>
            </w:r>
          </w:p>
          <w:p>
            <w:pPr>
              <w:spacing w:line="360" w:lineRule="auto"/>
              <w:jc w:val="left"/>
              <w:rPr>
                <w:rFonts w:ascii="宋体" w:hAnsi="宋体" w:cs="宋体"/>
                <w:szCs w:val="21"/>
                <w:lang w:val="zh-CN"/>
              </w:rPr>
            </w:pPr>
            <w:r>
              <w:rPr>
                <w:rFonts w:hint="eastAsia" w:ascii="宋体" w:hAnsi="宋体" w:cs="宋体"/>
                <w:szCs w:val="21"/>
                <w:lang w:val="zh-CN"/>
              </w:rPr>
              <w:t>(2)其他组织投标的：</w:t>
            </w:r>
            <w:r>
              <w:rPr>
                <w:rFonts w:hint="eastAsia" w:ascii="宋体" w:hAnsi="宋体" w:cs="宋体"/>
                <w:szCs w:val="21"/>
              </w:rPr>
              <w:t>提供</w:t>
            </w:r>
            <w:r>
              <w:rPr>
                <w:rFonts w:hint="eastAsia" w:ascii="宋体" w:hAnsi="宋体" w:cs="宋体"/>
                <w:szCs w:val="21"/>
                <w:lang w:val="zh-CN"/>
              </w:rPr>
              <w:t>登记证书复印件</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lang w:val="zh-CN"/>
              </w:rPr>
              <w:t>(3)自然人投标的：</w:t>
            </w:r>
            <w:r>
              <w:rPr>
                <w:rFonts w:hint="eastAsia" w:ascii="宋体" w:hAnsi="宋体" w:cs="宋体"/>
                <w:szCs w:val="21"/>
              </w:rPr>
              <w:t>提供</w:t>
            </w:r>
            <w:r>
              <w:rPr>
                <w:rFonts w:hint="eastAsia" w:ascii="宋体" w:hAnsi="宋体" w:cs="宋体"/>
                <w:szCs w:val="21"/>
                <w:lang w:val="zh-CN"/>
              </w:rPr>
              <w:t>身份证复印件</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015" w:type="dxa"/>
            <w:vAlign w:val="center"/>
          </w:tcPr>
          <w:p>
            <w:pPr>
              <w:spacing w:line="360" w:lineRule="auto"/>
              <w:jc w:val="left"/>
              <w:rPr>
                <w:rFonts w:ascii="宋体" w:hAnsi="宋体" w:cs="宋体"/>
                <w:szCs w:val="21"/>
                <w:lang w:val="zh-CN"/>
              </w:rPr>
            </w:pPr>
            <w:r>
              <w:rPr>
                <w:rFonts w:hint="eastAsia" w:ascii="宋体" w:hAnsi="宋体" w:cs="宋体"/>
                <w:szCs w:val="21"/>
                <w:lang w:val="zh-CN"/>
              </w:rPr>
              <w:t>(1)法定代表人投标的：</w:t>
            </w:r>
            <w:r>
              <w:rPr>
                <w:rFonts w:hint="eastAsia" w:ascii="宋体" w:hAnsi="宋体" w:cs="宋体"/>
                <w:szCs w:val="21"/>
              </w:rPr>
              <w:t>提供</w:t>
            </w:r>
            <w:r>
              <w:rPr>
                <w:rFonts w:hint="eastAsia" w:ascii="宋体" w:hAnsi="宋体" w:cs="宋体"/>
                <w:szCs w:val="21"/>
                <w:lang w:val="zh-CN"/>
              </w:rPr>
              <w:t>法定代表人身份证明及身份证复印件</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lang w:val="zh-CN"/>
              </w:rPr>
              <w:t>(2)法定代表人授权他人参加投标的：提供法定代表人委托授权书并出示被授权代表的身份证复印件</w:t>
            </w:r>
          </w:p>
        </w:tc>
        <w:tc>
          <w:tcPr>
            <w:tcW w:w="1701" w:type="dxa"/>
            <w:vAlign w:val="center"/>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015" w:type="dxa"/>
            <w:vAlign w:val="center"/>
          </w:tcPr>
          <w:p>
            <w:pPr>
              <w:spacing w:line="276" w:lineRule="auto"/>
              <w:rPr>
                <w:rFonts w:cs="宋体" w:asciiTheme="minorEastAsia" w:hAnsiTheme="minorEastAsia" w:eastAsiaTheme="minorEastAsia"/>
                <w:color w:val="FF0000"/>
                <w:szCs w:val="21"/>
              </w:rPr>
            </w:pPr>
            <w:r>
              <w:rPr>
                <w:rFonts w:hint="eastAsia" w:cs="宋体" w:asciiTheme="minorEastAsia" w:hAnsiTheme="minorEastAsia" w:eastAsiaTheme="minorEastAsia"/>
                <w:szCs w:val="21"/>
                <w:lang w:val="zh-CN"/>
              </w:rPr>
              <w:t>财务状况报告：提供2021年度经审计的财务会计报告；成立时间至提交投标文件截止时间不足一年的可提供成立后任意时段的资产负债表或投标截止时间前三个月内银行出具的资信证明文件或信用担保机构出具的投标担保函。</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资不抵债或未按招标文件要求提供资信证明的，为不合格</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015" w:type="dxa"/>
            <w:vAlign w:val="center"/>
          </w:tcPr>
          <w:p>
            <w:pPr>
              <w:spacing w:line="276" w:lineRule="auto"/>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税收缴纳证明：提供供应商2022年1月1日以来连续每月或每季度已缴纳的纳税证明或完税证明（提供增值税、企业所得税至少一种）；投标截止时间前半年内注册的公司根据具体情况提供相关证明。</w:t>
            </w:r>
          </w:p>
          <w:p>
            <w:pPr>
              <w:spacing w:line="276" w:lineRule="auto"/>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（2）依法免税的应提供相关文件证明；</w:t>
            </w:r>
          </w:p>
          <w:p>
            <w:pPr>
              <w:spacing w:line="276" w:lineRule="auto"/>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（3）公益类事业单位无需提供；</w:t>
            </w:r>
          </w:p>
          <w:p>
            <w:pPr>
              <w:spacing w:line="276" w:lineRule="auto"/>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（4）新成立未发生缴纳税收事项的供应商，应提供纳税书面承诺。</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5015" w:type="dxa"/>
            <w:vAlign w:val="center"/>
          </w:tcPr>
          <w:p>
            <w:pPr>
              <w:spacing w:line="276" w:lineRule="auto"/>
              <w:jc w:val="left"/>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社会保障资金缴纳证明：提供供应商2022年1月1日以来连续每月已缴纳的社会保障资金缴存单据或社保机构开具的社会保险参保缴费情况证明投标截止时间前半年内注册的公司根据具体情况提供相关证明。</w:t>
            </w:r>
          </w:p>
          <w:p>
            <w:pPr>
              <w:spacing w:line="276" w:lineRule="auto"/>
              <w:jc w:val="left"/>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（2）依法不需要缴纳社会保障资金的供应商应提供相关文件证明；</w:t>
            </w:r>
          </w:p>
          <w:p>
            <w:pPr>
              <w:spacing w:line="276" w:lineRule="auto"/>
              <w:jc w:val="left"/>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（3）公益类事业单位无需提供；</w:t>
            </w:r>
          </w:p>
          <w:p>
            <w:pPr>
              <w:spacing w:line="276" w:lineRule="auto"/>
              <w:jc w:val="left"/>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（4）新成立未发生缴纳社保资金事项的供应商，应提供缴纳社保资金的书面承诺；</w:t>
            </w:r>
          </w:p>
          <w:p>
            <w:pPr>
              <w:spacing w:line="276" w:lineRule="auto"/>
              <w:jc w:val="left"/>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（5）原件或复印件可直接装订，复印件加盖供应商单位章。</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5015" w:type="dxa"/>
            <w:vAlign w:val="center"/>
          </w:tcPr>
          <w:p>
            <w:pPr>
              <w:spacing w:line="276" w:lineRule="auto"/>
              <w:jc w:val="left"/>
              <w:rPr>
                <w:rFonts w:ascii="宋体" w:hAnsi="宋体" w:cs="宋体"/>
                <w:szCs w:val="21"/>
              </w:rPr>
            </w:pPr>
            <w:r>
              <w:rPr>
                <w:rFonts w:hint="eastAsia"/>
                <w:szCs w:val="21"/>
                <w:lang w:val="zh-CN"/>
              </w:rPr>
              <w:t>具备履行合同所必需的设备和专业技术能力的证明材料(由供应商根据项目需求提供说明材料或者承诺)；</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5015" w:type="dxa"/>
            <w:vAlign w:val="center"/>
          </w:tcPr>
          <w:p>
            <w:pPr>
              <w:spacing w:line="276" w:lineRule="auto"/>
              <w:jc w:val="left"/>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投标供应商声明书</w:t>
            </w:r>
            <w:r>
              <w:rPr>
                <w:rFonts w:hint="eastAsia" w:cs="宋体" w:asciiTheme="minorEastAsia" w:hAnsiTheme="minorEastAsia" w:eastAsiaTheme="minorEastAsia"/>
                <w:b/>
                <w:bCs/>
                <w:szCs w:val="21"/>
                <w:lang w:val="zh-CN"/>
              </w:rPr>
              <w:t>：</w:t>
            </w:r>
            <w:r>
              <w:rPr>
                <w:rFonts w:hint="eastAsia" w:cs="宋体" w:asciiTheme="minorEastAsia" w:hAnsiTheme="minorEastAsia" w:eastAsiaTheme="minorEastAsia"/>
                <w:szCs w:val="21"/>
                <w:lang w:val="zh-CN"/>
              </w:rPr>
              <w:t>投标供应商参加本次招标前3年内，在经营活动中没有重大违法记录的书面声明</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5015" w:type="dxa"/>
            <w:vAlign w:val="center"/>
          </w:tcPr>
          <w:p>
            <w:pPr>
              <w:spacing w:line="360" w:lineRule="auto"/>
              <w:jc w:val="left"/>
              <w:rPr>
                <w:szCs w:val="21"/>
              </w:rPr>
            </w:pPr>
            <w:r>
              <w:rPr>
                <w:rFonts w:hint="eastAsia"/>
                <w:szCs w:val="21"/>
                <w:lang w:val="zh-CN"/>
              </w:rPr>
              <w:t>投标供应商企业信用信息查询记录</w:t>
            </w:r>
            <w:r>
              <w:rPr>
                <w:rFonts w:hint="eastAsia"/>
                <w:szCs w:val="21"/>
              </w:rPr>
              <w:t>：</w:t>
            </w:r>
            <w:r>
              <w:rPr>
                <w:rFonts w:hint="eastAsia"/>
                <w:szCs w:val="21"/>
                <w:lang w:val="zh-CN"/>
              </w:rPr>
              <w:t>投投标供应商不得为</w:t>
            </w:r>
            <w:r>
              <w:rPr>
                <w:rFonts w:hint="eastAsia"/>
                <w:szCs w:val="21"/>
              </w:rPr>
              <w:t>“</w:t>
            </w:r>
            <w:r>
              <w:rPr>
                <w:rFonts w:hint="eastAsia"/>
                <w:szCs w:val="21"/>
                <w:lang w:val="zh-CN"/>
              </w:rPr>
              <w:t>信用中国</w:t>
            </w:r>
            <w:r>
              <w:rPr>
                <w:rFonts w:hint="eastAsia"/>
                <w:szCs w:val="21"/>
              </w:rPr>
              <w:t>”</w:t>
            </w:r>
            <w:r>
              <w:rPr>
                <w:rFonts w:hint="eastAsia"/>
                <w:szCs w:val="21"/>
                <w:lang w:val="zh-CN"/>
              </w:rPr>
              <w:t>网站</w:t>
            </w:r>
            <w:r>
              <w:rPr>
                <w:rFonts w:hint="eastAsia"/>
                <w:szCs w:val="21"/>
              </w:rPr>
              <w:t>（www.creditchina.gov.cn）</w:t>
            </w:r>
            <w:r>
              <w:rPr>
                <w:rFonts w:hint="eastAsia"/>
                <w:szCs w:val="21"/>
                <w:lang w:val="zh-CN"/>
              </w:rPr>
              <w:t>和中国政府采购网</w:t>
            </w:r>
            <w:r>
              <w:rPr>
                <w:rFonts w:hint="eastAsia"/>
                <w:szCs w:val="21"/>
              </w:rPr>
              <w:t>（www.ccgp.gov.cn）</w:t>
            </w:r>
            <w:r>
              <w:rPr>
                <w:rFonts w:hint="eastAsia"/>
                <w:szCs w:val="21"/>
                <w:lang w:val="zh-CN"/>
              </w:rPr>
              <w:t>被列入失信被执行人、重大税收违法案件当事人名单、政府采购严重违法失信行为记录名单。</w:t>
            </w:r>
          </w:p>
          <w:p>
            <w:pPr>
              <w:spacing w:line="276" w:lineRule="auto"/>
              <w:jc w:val="left"/>
              <w:rPr>
                <w:rFonts w:cs="宋体" w:asciiTheme="minorEastAsia" w:hAnsiTheme="minorEastAsia" w:eastAsiaTheme="minorEastAsia"/>
                <w:b/>
                <w:bCs/>
                <w:szCs w:val="21"/>
                <w:lang w:val="zh-CN"/>
              </w:rPr>
            </w:pPr>
            <w:r>
              <w:rPr>
                <w:rFonts w:hint="eastAsia"/>
                <w:szCs w:val="21"/>
              </w:rPr>
              <w:t>查询截止时间：投标截止时间一周内</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1696" w:type="dxa"/>
            <w:vAlign w:val="center"/>
          </w:tcPr>
          <w:p>
            <w:pPr>
              <w:spacing w:line="276" w:lineRule="auto"/>
              <w:jc w:val="center"/>
              <w:rPr>
                <w:rFonts w:cs="宋体" w:asciiTheme="minorEastAsia" w:hAnsiTheme="minorEastAsia" w:eastAsiaTheme="minorEastAsia"/>
                <w:szCs w:val="21"/>
              </w:rPr>
            </w:pPr>
            <w:r>
              <w:rPr>
                <w:rFonts w:hint="eastAsia" w:ascii="宋体" w:hAnsi="宋体" w:cs="宋体"/>
                <w:szCs w:val="21"/>
              </w:rPr>
              <w:t>评审现场网络审查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5015" w:type="dxa"/>
            <w:vAlign w:val="center"/>
          </w:tcPr>
          <w:p>
            <w:pPr>
              <w:spacing w:line="276" w:lineRule="auto"/>
              <w:jc w:val="left"/>
              <w:rPr>
                <w:rFonts w:cs="宋体" w:asciiTheme="minorEastAsia" w:hAnsiTheme="minorEastAsia" w:eastAsiaTheme="minorEastAsia"/>
                <w:szCs w:val="21"/>
                <w:lang w:val="zh-CN"/>
              </w:rPr>
            </w:pPr>
            <w:r>
              <w:rPr>
                <w:rFonts w:hint="eastAsia"/>
                <w:szCs w:val="21"/>
                <w:lang w:val="zh-CN"/>
              </w:rPr>
              <w:t>单位负责人为同一人或者存在控股、管理关系的不同单位不得同时参加同一</w:t>
            </w:r>
            <w:r>
              <w:rPr>
                <w:rFonts w:hint="eastAsia"/>
                <w:szCs w:val="21"/>
              </w:rPr>
              <w:t>项目</w:t>
            </w:r>
            <w:r>
              <w:rPr>
                <w:rFonts w:hint="eastAsia"/>
                <w:szCs w:val="21"/>
                <w:lang w:val="zh-CN"/>
              </w:rPr>
              <w:t>投标；</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5015" w:type="dxa"/>
            <w:vAlign w:val="center"/>
          </w:tcPr>
          <w:p>
            <w:pPr>
              <w:spacing w:line="276" w:lineRule="auto"/>
              <w:jc w:val="left"/>
              <w:rPr>
                <w:szCs w:val="21"/>
                <w:lang w:val="zh-CN"/>
              </w:rPr>
            </w:pPr>
            <w:r>
              <w:rPr>
                <w:szCs w:val="21"/>
                <w:lang w:val="zh-CN"/>
              </w:rPr>
              <w:t>投标保证金缴纳凭证或担保机构出具的保函</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 w:type="dxa"/>
            <w:vAlign w:val="center"/>
          </w:tcPr>
          <w:p>
            <w:pPr>
              <w:spacing w:line="276" w:lineRule="auto"/>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11</w:t>
            </w:r>
          </w:p>
        </w:tc>
        <w:tc>
          <w:tcPr>
            <w:tcW w:w="5015" w:type="dxa"/>
            <w:vAlign w:val="center"/>
          </w:tcPr>
          <w:p>
            <w:pPr>
              <w:spacing w:line="276" w:lineRule="auto"/>
              <w:jc w:val="left"/>
              <w:rPr>
                <w:rFonts w:hint="eastAsia"/>
                <w:szCs w:val="21"/>
                <w:lang w:val="zh-CN"/>
              </w:rPr>
            </w:pPr>
            <w:r>
              <w:rPr>
                <w:rFonts w:hint="eastAsia"/>
                <w:szCs w:val="21"/>
                <w:lang w:val="zh-CN"/>
              </w:rPr>
              <w:t>中小企业声明函</w:t>
            </w:r>
          </w:p>
        </w:tc>
        <w:tc>
          <w:tcPr>
            <w:tcW w:w="1701" w:type="dxa"/>
            <w:vAlign w:val="center"/>
          </w:tcPr>
          <w:p>
            <w:pPr>
              <w:spacing w:line="276" w:lineRule="auto"/>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bl>
    <w:p>
      <w:pPr>
        <w:tabs>
          <w:tab w:val="left" w:pos="7665"/>
        </w:tabs>
        <w:spacing w:line="360" w:lineRule="auto"/>
        <w:rPr>
          <w:rFonts w:cs="宋体" w:asciiTheme="minorEastAsia" w:hAnsiTheme="minorEastAsia" w:eastAsiaTheme="minorEastAsia"/>
          <w:sz w:val="24"/>
        </w:rPr>
      </w:pPr>
    </w:p>
    <w:bookmarkEnd w:id="121"/>
    <w:p>
      <w:pPr>
        <w:spacing w:after="120" w:afterLines="50" w:line="360" w:lineRule="auto"/>
        <w:outlineLvl w:val="1"/>
        <w:rPr>
          <w:rFonts w:cs="宋体" w:asciiTheme="minorEastAsia" w:hAnsiTheme="minorEastAsia" w:eastAsiaTheme="minorEastAsia"/>
          <w:b/>
          <w:bCs/>
          <w:sz w:val="36"/>
          <w:szCs w:val="36"/>
        </w:rPr>
      </w:pPr>
      <w:bookmarkStart w:id="129" w:name="_Toc26362"/>
      <w:bookmarkStart w:id="130" w:name="_Toc11771"/>
      <w:bookmarkStart w:id="131" w:name="_Toc20902_WPSOffice_Level2"/>
      <w:bookmarkStart w:id="132" w:name="_Toc18223"/>
      <w:bookmarkStart w:id="133" w:name="_Toc11131"/>
      <w:bookmarkStart w:id="134" w:name="_Toc14007"/>
      <w:r>
        <w:rPr>
          <w:rFonts w:hint="eastAsia" w:cs="宋体" w:asciiTheme="minorEastAsia" w:hAnsiTheme="minorEastAsia" w:eastAsiaTheme="minorEastAsia"/>
          <w:b/>
          <w:bCs/>
          <w:sz w:val="36"/>
          <w:szCs w:val="36"/>
        </w:rPr>
        <w:t>8. 评标</w:t>
      </w:r>
      <w:bookmarkEnd w:id="129"/>
      <w:bookmarkEnd w:id="130"/>
      <w:bookmarkEnd w:id="131"/>
      <w:bookmarkEnd w:id="132"/>
      <w:bookmarkEnd w:id="133"/>
      <w:bookmarkEnd w:id="13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8.1 评标委员会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8.1.1 评标委员会成员由采购人及有关技术、经济等方面的专家组成，其中技术、经济类专家人数不少于总人数的2/3。评审专家人选在省级财政部门设立的政府采购评审专家库中随机抽取。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8.1.2 评标委员会成员到位后，推荐一名评审专家担任评标组长，并由评标组长牵头组织该项目评标工作，采购人代表，不得担任评标组长。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8.1.3 评委会成员有下列情形之一的，应当回避：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（1）采购人或投标供应商主要负责人的近亲属；</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（2）项目主管部门或者行政监督部门的人员；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（3）与投标供应商有经济利益关系，可能影响对投标公正评审的；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（4）曾因在招标、评标以及其他与招标投标有关活动中从事违法行为而受过行政处罚或刑事处罚的。</w:t>
      </w: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8.1.4 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Pr>
          <w:rFonts w:hint="eastAsia" w:cs="宋体" w:asciiTheme="minorEastAsia" w:hAnsiTheme="minorEastAsia" w:eastAsiaTheme="minorEastAsia"/>
          <w:sz w:val="24"/>
          <w:lang w:val="zh-CN"/>
        </w:rPr>
        <w:t>采购代理机构</w:t>
      </w:r>
      <w:r>
        <w:rPr>
          <w:rFonts w:hint="eastAsia" w:cs="宋体" w:asciiTheme="minorEastAsia" w:hAnsiTheme="minorEastAsia" w:eastAsiaTheme="minorEastAsia"/>
          <w:sz w:val="24"/>
        </w:rPr>
        <w:t>应当将变更、重新组建评标委员会的情况予以记录，并随采购文件一并存档。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8.1.5 评委会成员名单在中标结果公告前，应当保密。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8.1.6  评标委员会及其成员不得有下列行为：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（1）确定参与评标至评标结束前私自接触投标供应商；</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（2）接受投标供应商提出的与投标文件不一致的澄清或者说明；</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（3）违反评标纪律发表倾向性意见或者征询采购人的倾向性意见；</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（4）对需要专业判断的主观评审因素协商评分；</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（5）在评标过程中擅离职守，影响评标程序正常进行的；</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（6）记录、复制或者带走任何评标资料；</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（7）其他不遵守评标纪律的行为。</w:t>
      </w:r>
    </w:p>
    <w:p>
      <w:pPr>
        <w:tabs>
          <w:tab w:val="left" w:pos="7665"/>
        </w:tabs>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评标委员会成员有前款第一至五项行为之一的，其评审意见无效，并不得获取评审劳务报酬和报销异地评审差旅费。</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8.2 评标原则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8.2.1“客观、公正、审慎”为本次评标的基本原则，评标委员会按照这一原则的要求，公正、平等地对待各投标供应商。同时，在评审中恪守以下原则：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（1）统一性原则：评标委员会将按照统一的评标原则和评审方法，用统一标准进行评审。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独立性原则：评标工作在评标委员会内部独立进行，不受外界任何因素的干扰和影响。评标委员会成员对其出具的意见承担个人责任。投标供应商试图影响或干预评审的任何行为，将导致其丧失投标的资格，并承担相应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（3）客观性原则：评标委员会将严格按照招标文件要求，对投标供应商的投标文件进行认真评审；评标委员会对投标文件的评审仅依据投标文件本身，而不依据投标文件以外的任何因素。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（4）保密性原则：采购代理机构应当采取必要的措施，保证评标在严格保密情况下进行。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（6）综合性原则：评标委员会将综合分析、评审投标供应商的各项指标，而不以单项指标的优劣评定出中标供应商。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8.2.2 评标委员会有权对整个招标过程中出现的一切问题，根据《中华人民共和国政府采购法》及实施条例和《政府采购货物和服务招标投标管理办法》等相关规定进行处理。</w:t>
      </w:r>
    </w:p>
    <w:p>
      <w:pPr>
        <w:spacing w:line="360" w:lineRule="auto"/>
        <w:rPr>
          <w:rFonts w:cs="宋体" w:asciiTheme="minorEastAsia" w:hAnsiTheme="minorEastAsia" w:eastAsiaTheme="minorEastAsia"/>
          <w:b/>
          <w:sz w:val="30"/>
          <w:szCs w:val="30"/>
        </w:rPr>
      </w:pPr>
      <w:bookmarkStart w:id="135" w:name="_Toc217446060"/>
      <w:r>
        <w:rPr>
          <w:rFonts w:hint="eastAsia" w:cs="宋体" w:asciiTheme="minorEastAsia" w:hAnsiTheme="minorEastAsia" w:eastAsiaTheme="minorEastAsia"/>
          <w:b/>
          <w:sz w:val="30"/>
          <w:szCs w:val="30"/>
        </w:rPr>
        <w:t>8.3 评标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8.3.1 评标委员会按照招标文件第三章“评标办法”规定的方法、评审因素、标准和程序对投标文件进行评审。第三章“评标办法”没有规定的方法、评审因素和标准，不作为评标依据。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8.3.2 评标委员会负责具体评标事务，并独立履行下列职责：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（1）审查、评价投标文件是否符合招标文件的商务技术、服务等实质性要求；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（2）要求投标供应商对投标文件有关事项作出澄清或者说明；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（3）对投标文件进行比较和评价；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（4）确定中标候选人名单，以及根据采购人委托直接确定中标供应商；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（5）向采购人、采购代理机构或者有关部门报告评标中发现的违法行为。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8.3.3评标委员会成员应当履行下列义务：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（1）遵纪守法，客观、公正、廉洁地履行职责；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（2）根据采购文件的规定独立进行评审，对个人的评审意见承担法律责任；</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（3）参与评标报告的起草；</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（4）配合采购人、采购代理机构答复投标供应商提出的质疑；</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（5）配合财政部门的投诉处理和监督检查工作。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8.3.4 采购代理机构负责组织评标工作并履行下列职责：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（2）宣布评标纪律；</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（3）公布投标供应商名单，告知评标专家应当回避的情形；</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（4）组织评标委员会推选评标组长，采购人代表不得担任组长；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（5）在评标期间采取必要的通讯管理措施，保证评标活动不受外界干扰；</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（6）根据评标委员会的要求介绍政府采购相关政策法规、招标文件；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（7）维护评标秩序，监督评标委员会依照评标文件规定的评审程序、方法和标准进行独立评审，及时制止和纠正采购人代表、评审专家的倾向性言论或违法违规行为；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（8）核对评标结果，有《政府采购货物和服务招标投标管理办法》第六十四条规定情形的，要求评标委员会复核或书面说明理由，评标委员会拒绝的，应予记录并向本级财政部门报告；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（9）评审工作完成后，按照规定向评审专家支付劳务报酬和异地评审差旅费，不得向评审专家以外的其他人员支付评审劳务报酬；</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（10）处理与评标有关的其他事项。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8.3.5 采购人可以在评标前介绍项目背景和采购需求，介绍内容不得含有歧视性、倾向性意见，不得超出招标文件所述范围。介绍应当提交书面介绍材料，并随采购文件一并存档。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 评标过程严格保密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8.3.6.1 采购人、采购代理机构应当采取必要措施，保证评标在严格保密的情况下进行。除采购人代表、评标现场组织人员外，采购人的其他工作人员以及与评标工作无关的人员不得进入评标现场。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8.3.6.2 有关人员对评标情况以及在评标过程中获悉的国家秘密、商业秘密负有保密责任。开标后，直至授予中标供应商合同为止，凡属于对投标文件的审查、澄清、评价和比较的有关资料以及中标候选人的推荐情况，与评标有关的其他任何情况均严格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8.3.7 投标供应商对评标委员会的评标过程或合同授予决定施加影响的任何行为都可能导致其投标被拒绝。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8.3.8 评标完成后，评标委员会应当向采购人提交书面评标报告，并由采购代理机构转送。</w:t>
      </w:r>
    </w:p>
    <w:bookmarkEnd w:id="135"/>
    <w:p>
      <w:pPr>
        <w:spacing w:after="120" w:afterLines="50" w:line="360" w:lineRule="auto"/>
        <w:outlineLvl w:val="1"/>
        <w:rPr>
          <w:rFonts w:cs="宋体" w:asciiTheme="minorEastAsia" w:hAnsiTheme="minorEastAsia" w:eastAsiaTheme="minorEastAsia"/>
          <w:b/>
          <w:bCs/>
          <w:sz w:val="36"/>
          <w:szCs w:val="36"/>
        </w:rPr>
      </w:pPr>
      <w:bookmarkStart w:id="136" w:name="_Toc2558"/>
      <w:bookmarkStart w:id="137" w:name="_Toc4147"/>
      <w:bookmarkStart w:id="138" w:name="_Toc23981_WPSOffice_Level2"/>
      <w:bookmarkStart w:id="139" w:name="_Toc5378"/>
      <w:bookmarkStart w:id="140" w:name="_Toc9424"/>
      <w:r>
        <w:rPr>
          <w:rFonts w:hint="eastAsia" w:cs="宋体" w:asciiTheme="minorEastAsia" w:hAnsiTheme="minorEastAsia" w:eastAsiaTheme="minorEastAsia"/>
          <w:b/>
          <w:bCs/>
          <w:sz w:val="36"/>
          <w:szCs w:val="36"/>
        </w:rPr>
        <w:t>9. 定标</w:t>
      </w:r>
      <w:bookmarkEnd w:id="136"/>
      <w:bookmarkEnd w:id="137"/>
      <w:bookmarkEnd w:id="138"/>
      <w:bookmarkEnd w:id="139"/>
      <w:bookmarkEnd w:id="140"/>
      <w:bookmarkStart w:id="141" w:name="_Toc21744606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9.1 定标原则</w:t>
      </w:r>
      <w:bookmarkEnd w:id="141"/>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采购人根据其授权的评标委员会出具的评标报告，按顺序确定中标供应商。</w:t>
      </w:r>
      <w:bookmarkStart w:id="142" w:name="_Toc217446062"/>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9.2 定标程序</w:t>
      </w:r>
      <w:bookmarkEnd w:id="14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9.2.1评标委员会将评标情况写出书面报告，推荐3个中标候选人，并按照综合得分高低标明排列顺序。得分相同的，按投标报价由低到高顺序排列；得分且投标报价相同的并列。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9.2.2 采购代理机构在评标结束后2个工作日内将评标报告送采购人。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9.2.3 采购人应当在收到评标报告后5个工作日内，按照评标报告中推荐的中标候选人顺序和有关规定确定中标供应商，第一名中标候选人并列的，由采购人根据技术方案得分由高到低顺序确定。同时，复函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采购人在收到评标报告5个工作日内未按评标报告推荐的中标候选人顺序确定中标供应商，又不能说明合法理由的，视同按评标报告推荐的顺序确定排名第一的中标候选人为中标供应商。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9.2.4 采购代理机构应当在接到采购人“定标”复函之日起2个工作日内，根据采购人确定的中标供应商，在省级以上财政部门指定的媒体上发布中标公告，同时向中标供应商发出《中标通知书》。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9.2.5 采购代理机构，应当对未通过资格审查或未通过符合性审查的投标供应商，现场告知其未通过的原因；采用综合评分法评审的，还应当告知未中标供应商本身的评审得分与排序。</w:t>
      </w:r>
    </w:p>
    <w:p>
      <w:pPr>
        <w:spacing w:line="360" w:lineRule="auto"/>
        <w:rPr>
          <w:rFonts w:cs="宋体" w:asciiTheme="minorEastAsia" w:hAnsiTheme="minorEastAsia" w:eastAsiaTheme="minorEastAsia"/>
          <w:b/>
          <w:sz w:val="30"/>
          <w:szCs w:val="30"/>
        </w:rPr>
      </w:pPr>
      <w:bookmarkStart w:id="143" w:name="_Toc183582238"/>
      <w:bookmarkStart w:id="144" w:name="_Toc183682375"/>
      <w:bookmarkStart w:id="145" w:name="_Toc217446063"/>
      <w:r>
        <w:rPr>
          <w:rFonts w:hint="eastAsia" w:cs="宋体" w:asciiTheme="minorEastAsia" w:hAnsiTheme="minorEastAsia" w:eastAsiaTheme="minorEastAsia"/>
          <w:b/>
          <w:sz w:val="30"/>
          <w:szCs w:val="30"/>
        </w:rPr>
        <w:t>9.3 中标通知</w:t>
      </w:r>
      <w:bookmarkEnd w:id="143"/>
      <w:bookmarkEnd w:id="144"/>
      <w:r>
        <w:rPr>
          <w:rFonts w:hint="eastAsia" w:cs="宋体" w:asciiTheme="minorEastAsia" w:hAnsiTheme="minorEastAsia" w:eastAsiaTheme="minorEastAsia"/>
          <w:b/>
          <w:sz w:val="30"/>
          <w:szCs w:val="30"/>
        </w:rPr>
        <w:t>书</w:t>
      </w:r>
      <w:bookmarkEnd w:id="14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9.3.1 中标通知书为签订政府采购合同的依据之一，是合同的有效组成部分。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9.3.2 中标通知书对采购人和中标供应商均具有法律效力。中标通知书发出后，采购人改变中标结果，或者中标供应商无正当理由放弃中标的，应当承担相应的法律责任。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9.3.3 中标供应商应当在接到采购代理机构通知之日起2个工作日内领取《中标通知书》。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9.3.4 在《中标通知书》发出后，发现中标供应商有政府采购法律法规规章制度规定的中标无效情形的，采购代理机构应当宣布发出的中标通知书无效，并收回发出的中标通知书（中标供应商也应当交回），依法重新确定中标供应商或者重新开展采购活动，同时向同级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9.3.5 中标通知书发出后，采购人不得违法改变中标结果，中标供应商无正当理由不得放弃中标。</w:t>
      </w:r>
    </w:p>
    <w:p>
      <w:pPr>
        <w:spacing w:after="120" w:afterLines="50" w:line="360" w:lineRule="auto"/>
        <w:outlineLvl w:val="1"/>
        <w:rPr>
          <w:rFonts w:cs="宋体" w:asciiTheme="minorEastAsia" w:hAnsiTheme="minorEastAsia" w:eastAsiaTheme="minorEastAsia"/>
          <w:b/>
          <w:bCs/>
          <w:sz w:val="36"/>
          <w:szCs w:val="36"/>
        </w:rPr>
      </w:pPr>
      <w:bookmarkStart w:id="146" w:name="_Toc5460"/>
      <w:bookmarkStart w:id="147" w:name="_Toc14210"/>
      <w:bookmarkStart w:id="148" w:name="_Toc31615_WPSOffice_Level2"/>
      <w:bookmarkStart w:id="149" w:name="_Toc14076"/>
      <w:bookmarkStart w:id="150" w:name="_Toc6950"/>
      <w:bookmarkStart w:id="151" w:name="_Toc18650"/>
      <w:r>
        <w:rPr>
          <w:rFonts w:hint="eastAsia" w:cs="宋体" w:asciiTheme="minorEastAsia" w:hAnsiTheme="minorEastAsia" w:eastAsiaTheme="minorEastAsia"/>
          <w:b/>
          <w:bCs/>
          <w:sz w:val="36"/>
          <w:szCs w:val="36"/>
        </w:rPr>
        <w:t>10. 合同授予</w:t>
      </w:r>
      <w:bookmarkEnd w:id="146"/>
      <w:bookmarkEnd w:id="147"/>
      <w:bookmarkEnd w:id="148"/>
      <w:bookmarkEnd w:id="149"/>
      <w:bookmarkEnd w:id="150"/>
      <w:bookmarkEnd w:id="15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10.1 签订合同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10.1.1 中标供应商应在《中标通知书》发出之日起30日内与采购人签订采购合同。中标供应商无正当理由拒签合同，或者在签订合同时向采购人提出附件条件，采购人有权取消其中标资格，其投标保证金不予退还，给采购人造成的损失超过投标保证金数额的，中标供应商应当对超过部分予以赔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10.1.2 发出中标通知书后，采购人不得向中标供应商提出任何不合理要求，作为签订合的条件，不得与中标供应商私下订立背离合同实质性内容的任何协议，所签订的合同不得对招标文件确定的事项和中标供应商投标文件做实质性修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10.1.3中标供应商因不可抗力原因不能履行采购合同或放弃中标的，采购人可以与排在中标供应商之后第一位的中标候选人签订采购合同，以此类推。</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b/>
          <w:sz w:val="30"/>
          <w:szCs w:val="30"/>
        </w:rPr>
        <w:t>10.2 合同履行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10.2.1 政府采购合同订立后，采购人应当自政府采购合同签订之日起2个工作日内，将政府采购合同在省级以上人民政府财政部门指定的媒体上公告，但政府采购合同中涉及国家秘密、商业秘密的内容除外。合同各方不得擅自变更或者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10.2.2 政府采购合同履行中，采购人需追加与合同标的相同的货物的，在不改变合同其他条款的前提下，可以与中标供应商签订补充合同，但所补充合同的采购金额不得超过原合同采购金额的百分之十。签订补充合同的应按规定备案。</w:t>
      </w:r>
    </w:p>
    <w:p>
      <w:pPr>
        <w:spacing w:after="120" w:afterLines="50" w:line="360" w:lineRule="auto"/>
        <w:outlineLvl w:val="1"/>
        <w:rPr>
          <w:rFonts w:cs="宋体" w:asciiTheme="minorEastAsia" w:hAnsiTheme="minorEastAsia" w:eastAsiaTheme="minorEastAsia"/>
          <w:b/>
          <w:bCs/>
          <w:sz w:val="36"/>
          <w:szCs w:val="36"/>
        </w:rPr>
      </w:pPr>
      <w:bookmarkStart w:id="152" w:name="_Toc4810"/>
      <w:bookmarkStart w:id="153" w:name="_Toc4361_WPSOffice_Level2"/>
      <w:bookmarkStart w:id="154" w:name="_Toc1754"/>
      <w:bookmarkStart w:id="155" w:name="_Toc14868"/>
      <w:bookmarkStart w:id="156" w:name="_Toc25573"/>
      <w:bookmarkStart w:id="157" w:name="_Toc12030"/>
      <w:bookmarkStart w:id="158" w:name="_Toc217446081"/>
      <w:r>
        <w:rPr>
          <w:rFonts w:hint="eastAsia" w:cs="宋体" w:asciiTheme="minorEastAsia" w:hAnsiTheme="minorEastAsia" w:eastAsiaTheme="minorEastAsia"/>
          <w:b/>
          <w:bCs/>
          <w:sz w:val="36"/>
          <w:szCs w:val="36"/>
        </w:rPr>
        <w:t>11. 废标或变更采购方式</w:t>
      </w:r>
      <w:bookmarkEnd w:id="152"/>
      <w:bookmarkEnd w:id="153"/>
      <w:bookmarkEnd w:id="154"/>
      <w:bookmarkEnd w:id="155"/>
      <w:bookmarkEnd w:id="156"/>
      <w:bookmarkEnd w:id="157"/>
      <w:bookmarkStart w:id="159" w:name="_Toc217446072"/>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11.1废标的情形</w:t>
      </w:r>
      <w:bookmarkEnd w:id="159"/>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11.1.1 招标采购中，出现下列情形之一的，应予以废标：</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（1）符合专业条件的投标供应商或者对招标文件作实质响应的投标供应商不足3家的；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（2）出现影响采购公正的违法、违规行为的；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（3）投标供应商的报价均超过了采购预算或最高限价，采购人不能支付的；</w:t>
      </w:r>
    </w:p>
    <w:p>
      <w:pPr>
        <w:tabs>
          <w:tab w:val="left" w:pos="7665"/>
        </w:tabs>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（4）因重大变故，采购任务取消的。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11.1.2 废标后，采购代理机构应在财政部门指定采购网上公告，并公告废标的详细理由。</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11.2 变更采购方式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11.2.1 存在下列情形之一的，除采购任务取消情形外，采购人经同级财政部门同意后，可以按《政府采购货物和服务招标投标管理办法》（财政部87号令）第四十三条规定的方式处理：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（1）投标截止后参加投标的人不足3家的；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（2）通过资格审查的投标供应商不足3家的；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（3）通过符合性审查的投标供应商不足3家的。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11.2.2 通过符合性审查的投标供应商只有2家时，采购人经同级财政部门同意后，可以按《政府采购非招标采购方式管理办法》（财政部第74号令）的规定与该2家投标供应商进行竞争性谈判采购。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11.2.2.1如果转为竞争性谈判方式，则原招标文件转为竞争性谈判文件，原投标供应商即为参与谈判的供应商，原投标文件报价作为竞争性谈判的第一次报价，评审方法按照竞争性谈判的评审原则，在质量和服务均能满足采购文件实质性要求的基础上，按照最后报价由低到高的顺序，确定成交候选人。</w:t>
      </w:r>
    </w:p>
    <w:p>
      <w:pPr>
        <w:numPr>
          <w:ilvl w:val="0"/>
          <w:numId w:val="7"/>
        </w:numPr>
        <w:spacing w:after="120" w:afterLines="50" w:line="360" w:lineRule="auto"/>
        <w:outlineLvl w:val="1"/>
        <w:rPr>
          <w:rFonts w:cs="宋体" w:asciiTheme="minorEastAsia" w:hAnsiTheme="minorEastAsia" w:eastAsiaTheme="minorEastAsia"/>
          <w:b/>
          <w:bCs/>
          <w:sz w:val="36"/>
          <w:szCs w:val="36"/>
        </w:rPr>
      </w:pPr>
      <w:bookmarkStart w:id="160" w:name="_Toc7339"/>
      <w:bookmarkStart w:id="161" w:name="_Toc19376"/>
      <w:bookmarkStart w:id="162" w:name="_Toc27598"/>
      <w:bookmarkStart w:id="163" w:name="_Toc1554"/>
      <w:bookmarkStart w:id="164" w:name="_Toc9564_WPSOffice_Level2"/>
      <w:bookmarkStart w:id="165" w:name="_Toc4921"/>
      <w:r>
        <w:rPr>
          <w:rFonts w:hint="eastAsia" w:cs="宋体" w:asciiTheme="minorEastAsia" w:hAnsiTheme="minorEastAsia" w:eastAsiaTheme="minorEastAsia"/>
          <w:b/>
          <w:bCs/>
          <w:sz w:val="36"/>
          <w:szCs w:val="36"/>
        </w:rPr>
        <w:t>招标代理服务费</w:t>
      </w:r>
      <w:bookmarkEnd w:id="160"/>
      <w:bookmarkEnd w:id="161"/>
      <w:bookmarkEnd w:id="162"/>
      <w:bookmarkEnd w:id="163"/>
      <w:bookmarkEnd w:id="164"/>
      <w:bookmarkEnd w:id="16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文件规定按照</w:t>
      </w:r>
      <w:r>
        <w:rPr>
          <w:rFonts w:hint="eastAsia" w:cs="宋体" w:asciiTheme="minorEastAsia" w:hAnsiTheme="minorEastAsia" w:eastAsiaTheme="minorEastAsia"/>
          <w:sz w:val="24"/>
          <w:u w:val="single"/>
        </w:rPr>
        <w:t>服务类</w:t>
      </w:r>
      <w:r>
        <w:rPr>
          <w:rFonts w:hint="eastAsia" w:cs="宋体" w:asciiTheme="minorEastAsia" w:hAnsiTheme="minorEastAsia" w:eastAsiaTheme="minorEastAsia"/>
          <w:sz w:val="24"/>
        </w:rPr>
        <w:t>收取。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支付代理费的币种：人民币  汇率： 无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代理费的支付方式：中标人直接支付给受托人。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代理费的支付时间：《中标通知书》发出前。</w:t>
      </w:r>
    </w:p>
    <w:p>
      <w:pPr>
        <w:pStyle w:val="2"/>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 代理服务费的交纳方式：在领取成交通知书时按12.1的规定，向采购代理机构直接交纳服务费，采用转账等非现金方式一次性交纳。</w:t>
      </w:r>
    </w:p>
    <w:p>
      <w:pPr>
        <w:pStyle w:val="2"/>
        <w:rPr>
          <w:rFonts w:cs="宋体" w:asciiTheme="minorEastAsia" w:hAnsiTheme="minorEastAsia" w:eastAsiaTheme="minorEastAsia"/>
          <w:sz w:val="24"/>
        </w:rPr>
      </w:pPr>
      <w:r>
        <w:rPr>
          <w:rFonts w:hint="eastAsia" w:cs="宋体" w:asciiTheme="minorEastAsia" w:hAnsiTheme="minorEastAsia" w:eastAsiaTheme="minorEastAsia"/>
          <w:sz w:val="24"/>
        </w:rPr>
        <w:t>12.3接收代理服务费账户名称：陕西源丰成工程项目管理有限公司</w:t>
      </w:r>
    </w:p>
    <w:p>
      <w:pPr>
        <w:pStyle w:val="2"/>
        <w:rPr>
          <w:rFonts w:cs="宋体" w:asciiTheme="minorEastAsia" w:hAnsiTheme="minorEastAsia" w:eastAsiaTheme="minorEastAsia"/>
          <w:sz w:val="24"/>
        </w:rPr>
      </w:pPr>
      <w:r>
        <w:rPr>
          <w:rFonts w:hint="eastAsia" w:cs="宋体" w:asciiTheme="minorEastAsia" w:hAnsiTheme="minorEastAsia" w:eastAsiaTheme="minorEastAsia"/>
          <w:sz w:val="24"/>
        </w:rPr>
        <w:t>开户银行：交通银行唐延路支行</w:t>
      </w:r>
    </w:p>
    <w:p>
      <w:pPr>
        <w:pStyle w:val="2"/>
        <w:rPr>
          <w:rFonts w:cs="宋体" w:asciiTheme="minorEastAsia" w:hAnsiTheme="minorEastAsia" w:eastAsiaTheme="minorEastAsia"/>
          <w:sz w:val="24"/>
        </w:rPr>
      </w:pPr>
      <w:r>
        <w:rPr>
          <w:rFonts w:hint="eastAsia" w:cs="宋体" w:asciiTheme="minorEastAsia" w:hAnsiTheme="minorEastAsia" w:eastAsiaTheme="minorEastAsia"/>
          <w:sz w:val="24"/>
        </w:rPr>
        <w:t>账 号：6113 0107 2013 0000 59267</w:t>
      </w:r>
    </w:p>
    <w:p>
      <w:pPr>
        <w:pStyle w:val="2"/>
        <w:rPr>
          <w:rFonts w:cs="宋体" w:asciiTheme="minorEastAsia" w:hAnsiTheme="minorEastAsia" w:eastAsiaTheme="minorEastAsia"/>
          <w:sz w:val="24"/>
        </w:rPr>
      </w:pPr>
      <w:r>
        <w:rPr>
          <w:rFonts w:hint="eastAsia" w:cs="宋体" w:asciiTheme="minorEastAsia" w:hAnsiTheme="minorEastAsia" w:eastAsiaTheme="minorEastAsia"/>
          <w:sz w:val="24"/>
        </w:rPr>
        <w:t>转账事由：（项目全称或简称）代理服务费</w:t>
      </w:r>
    </w:p>
    <w:p>
      <w:pPr>
        <w:pStyle w:val="2"/>
        <w:rPr>
          <w:rFonts w:cs="宋体" w:asciiTheme="minorEastAsia" w:hAnsiTheme="minorEastAsia" w:eastAsiaTheme="minorEastAsia"/>
          <w:sz w:val="24"/>
        </w:rPr>
      </w:pPr>
      <w:r>
        <w:rPr>
          <w:rFonts w:hint="eastAsia" w:cs="宋体" w:asciiTheme="minorEastAsia" w:hAnsiTheme="minorEastAsia" w:eastAsiaTheme="minorEastAsia"/>
          <w:sz w:val="24"/>
        </w:rPr>
        <w:t>咨询电话：029-83665338</w:t>
      </w:r>
    </w:p>
    <w:p>
      <w:pPr>
        <w:numPr>
          <w:ilvl w:val="0"/>
          <w:numId w:val="7"/>
        </w:numPr>
        <w:spacing w:after="120" w:afterLines="50" w:line="360" w:lineRule="auto"/>
        <w:outlineLvl w:val="1"/>
        <w:rPr>
          <w:rFonts w:cs="宋体" w:asciiTheme="minorEastAsia" w:hAnsiTheme="minorEastAsia" w:eastAsiaTheme="minorEastAsia"/>
          <w:b/>
          <w:bCs/>
          <w:sz w:val="36"/>
          <w:szCs w:val="36"/>
        </w:rPr>
      </w:pPr>
      <w:bookmarkStart w:id="166" w:name="_Toc21870"/>
      <w:bookmarkStart w:id="167" w:name="_Toc29703"/>
      <w:bookmarkStart w:id="168" w:name="_Toc31867"/>
      <w:bookmarkStart w:id="169" w:name="_Toc10035"/>
      <w:bookmarkStart w:id="170" w:name="_Toc17345_WPSOffice_Level2"/>
      <w:bookmarkStart w:id="171" w:name="_Toc29808"/>
      <w:r>
        <w:rPr>
          <w:rFonts w:hint="eastAsia" w:cs="宋体" w:asciiTheme="minorEastAsia" w:hAnsiTheme="minorEastAsia" w:eastAsiaTheme="minorEastAsia"/>
          <w:b/>
          <w:bCs/>
          <w:sz w:val="36"/>
          <w:szCs w:val="36"/>
        </w:rPr>
        <w:t>质疑与投诉</w:t>
      </w:r>
      <w:bookmarkEnd w:id="166"/>
      <w:bookmarkEnd w:id="167"/>
      <w:bookmarkEnd w:id="168"/>
      <w:bookmarkEnd w:id="169"/>
      <w:bookmarkEnd w:id="170"/>
      <w:bookmarkEnd w:id="17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13.1质疑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13.1.1 响应供应商提出质疑应符合中华人民共和国财政部令第94号《政府采购质疑和投诉办法》的规定：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13.1.2提出质疑的响应供应商应当是参与所质疑项目采购活动的响应供应商。</w:t>
      </w:r>
    </w:p>
    <w:p>
      <w:pPr>
        <w:tabs>
          <w:tab w:val="left" w:pos="7665"/>
        </w:tabs>
        <w:spacing w:line="36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13.1.3响应供应商认为采购文件、采购过程、中标或者成交结果使自己的权益受到损害的，可以在知道或者应知其权益受到损害之日起7个工作日内，以书面形式向采购人、采购代理机构提出质疑，响应供应商应在法定质疑期内</w:t>
      </w:r>
      <w:r>
        <w:rPr>
          <w:rFonts w:hint="eastAsia" w:cs="宋体" w:asciiTheme="minorEastAsia" w:hAnsiTheme="minorEastAsia" w:eastAsiaTheme="minorEastAsia"/>
          <w:sz w:val="24"/>
          <w:u w:val="single"/>
        </w:rPr>
        <w:t>一次性提出针对同一采购程序环节的质疑。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响应供应商应知其权益受到损害之日，是指：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（1）对可以质疑的采购文件提出质疑的，为收到采购文件之日或者采购文件公告期限届满之日；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（2）对采购过程提出质疑的，为各采购程序环节结束之日；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（3）对中标或者成交结果提出质疑的，为中标或者成交结果公告期限届满之日。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13.1.4响应供应商提出质疑应当提交质疑函和必要的证明材料。质疑函应当包括：</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响应供应商的姓名或者名称、地址、邮编、联系人及联系电话；</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质疑项目的名称、编号；</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具体、明确的质疑事项和与质疑事项相关的请求；</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事实依据；</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必要的法律依据；</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提出质疑的日期。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质疑函应采用财政部颁布的《政府采购响应供应商质疑函范本》。</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响应供应商为自然人的，应当由本人签字；响应供应商为法人或者其他组织的，应当由法定代表人、主要负责人，或者其授权代表签字或者盖章，并加盖公章。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13.1.5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或者盖章，并加盖公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13.1.6有下列情形之一的，属于无效质疑，采购代理机构和采购人不予受理：</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质疑响应供应商不是参与所质疑项目采购活动的响应供应商；</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未在法定质疑期内发出质疑的；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质疑未以书面形式提出；</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质疑函没有合法有效的签字、盖章或授权的；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以非法手段取得证据、材料的；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质疑答复后，同一质疑人就同一事项再次提出质疑的；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不符合法律、法规、规章和政府采购监管机构规定的其他条件的。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13.1.5质疑答复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采购人、采购代理机构在收到质疑函后七个工作日内做出答复。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13.1.7质疑接收方式：响应供应商以书面形式将质疑函原件和必要的证明材料送至接收部门，法定代表人、主要负责人、自然人提交质疑函须提交其身份证复印件，代理人提交质疑函须提交授权委托书及授权人和被授权人身份证复印件。</w:t>
      </w:r>
    </w:p>
    <w:p>
      <w:pPr>
        <w:pStyle w:val="2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13.1.8接收部门：陕西源丰成工程项目管理有限公司</w:t>
      </w:r>
    </w:p>
    <w:p>
      <w:pPr>
        <w:spacing w:line="360" w:lineRule="auto"/>
        <w:rPr>
          <w:rFonts w:cs="宋体" w:asciiTheme="minorEastAsia" w:hAnsiTheme="minorEastAsia" w:eastAsiaTheme="minorEastAsia"/>
          <w:b/>
          <w:bCs/>
          <w:sz w:val="36"/>
          <w:szCs w:val="36"/>
        </w:rPr>
      </w:pPr>
      <w:r>
        <w:rPr>
          <w:rFonts w:hint="eastAsia" w:cs="宋体" w:asciiTheme="minorEastAsia" w:hAnsiTheme="minorEastAsia" w:eastAsiaTheme="minorEastAsia"/>
          <w:b/>
          <w:sz w:val="30"/>
          <w:szCs w:val="30"/>
        </w:rPr>
        <w:t>13.2 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13.2.1 质疑人对采购代理机构或采购人的答复不满意，或者采购人、采购代理机构未在规定时间内作出答复的，可以在答复期满后15个工作日内投诉。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13.2.2 投诉人投诉时,应当提交投诉书和必要的证明材料，并按照被投诉采购人、采购代理机构（以下简称被投诉人）和与投诉事项有关的投标供应商数量提供投诉书的副本。投诉书应当包括下列内容：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（1）投诉人和被投诉人的姓名或者名称、通讯地址、邮编、联系人及联系电话；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（2）质疑和质疑答复情况说明及相关证明材料；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（3）具体、明确的投诉事项和与投诉事项相关的投诉请求；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（4）事实依据；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（5）法律依据；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（6）提起投诉的日期。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投诉人为自然人的，应当由本人签字；投诉人为法人或者其他组织的，应当由法定代表人、主要负责人，或者其授权代表签字或者盖章，并加盖单位章。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13.2.3 投诉书范本格式在中国政府采购网站（http://www.ccgp.gov.cn/）自行下载。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13.2.4 投诉人提起投诉应当符合下列条件：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（1）提起投诉前已依法进行质疑；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（2）投诉书内容符合财政部94号令的规定；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（3）在投诉有效期限内提起投诉；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（4）同一投诉事项未经财政部门投诉处理；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（5）财政部规定的其他条件。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13.2.5  投诉人投诉的事项不得超出已质疑事项的范围，但基于质疑答复内容提出的投诉事项除外。</w:t>
      </w:r>
    </w:p>
    <w:p>
      <w:pPr>
        <w:spacing w:after="120" w:afterLines="50" w:line="360" w:lineRule="auto"/>
        <w:outlineLvl w:val="1"/>
        <w:rPr>
          <w:rFonts w:cs="宋体" w:asciiTheme="minorEastAsia" w:hAnsiTheme="minorEastAsia" w:eastAsiaTheme="minorEastAsia"/>
          <w:b/>
          <w:bCs/>
          <w:sz w:val="36"/>
          <w:szCs w:val="36"/>
        </w:rPr>
      </w:pPr>
      <w:bookmarkStart w:id="172" w:name="_Toc5420"/>
      <w:bookmarkStart w:id="173" w:name="_Toc24421"/>
      <w:bookmarkStart w:id="174" w:name="_Toc32384"/>
      <w:bookmarkStart w:id="175" w:name="_Toc28454"/>
      <w:bookmarkStart w:id="176" w:name="_Toc2023_WPSOffice_Level2"/>
      <w:bookmarkStart w:id="177" w:name="_Toc14928"/>
      <w:r>
        <w:rPr>
          <w:rFonts w:hint="eastAsia" w:cs="宋体" w:asciiTheme="minorEastAsia" w:hAnsiTheme="minorEastAsia" w:eastAsiaTheme="minorEastAsia"/>
          <w:b/>
          <w:bCs/>
          <w:sz w:val="36"/>
          <w:szCs w:val="36"/>
        </w:rPr>
        <w:t>14. 其他</w:t>
      </w:r>
      <w:bookmarkEnd w:id="172"/>
      <w:bookmarkEnd w:id="173"/>
      <w:bookmarkEnd w:id="174"/>
      <w:bookmarkEnd w:id="175"/>
      <w:bookmarkEnd w:id="176"/>
      <w:bookmarkEnd w:id="177"/>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14.1融资担保</w:t>
      </w:r>
    </w:p>
    <w:p>
      <w:pPr>
        <w:tabs>
          <w:tab w:val="left" w:pos="7665"/>
        </w:tabs>
        <w:spacing w:line="360" w:lineRule="auto"/>
        <w:ind w:firstLine="480" w:firstLineChars="200"/>
        <w:rPr>
          <w:rFonts w:cs="宋体" w:asciiTheme="minorEastAsia" w:hAnsiTheme="minorEastAsia" w:eastAsiaTheme="minorEastAsia"/>
          <w:sz w:val="24"/>
        </w:rPr>
      </w:pPr>
      <w:bookmarkStart w:id="178" w:name="_Toc2336_WPSOffice_Level1"/>
      <w:r>
        <w:rPr>
          <w:rFonts w:hint="eastAsia" w:cs="宋体" w:asciiTheme="minorEastAsia" w:hAnsiTheme="minorEastAsia" w:eastAsiaTheme="minorEastAsia"/>
          <w:sz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tabs>
          <w:tab w:val="left" w:pos="7665"/>
        </w:tabs>
        <w:spacing w:line="360" w:lineRule="auto"/>
        <w:ind w:firstLine="482" w:firstLineChars="200"/>
        <w:rPr>
          <w:rFonts w:hint="eastAsia" w:cs="宋体" w:asciiTheme="minorEastAsia" w:hAnsiTheme="minorEastAsia" w:eastAsiaTheme="minorEastAsia"/>
          <w:b/>
          <w:bCs/>
          <w:sz w:val="24"/>
        </w:rPr>
      </w:pP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陕西省政府采购支持中小企业信用融资合作部分银行名单如下（投标供应商可登陆“陕西省政府采购网”查询不同批次中小企业信用融资合作银行名单）：</w:t>
      </w:r>
    </w:p>
    <w:tbl>
      <w:tblPr>
        <w:tblStyle w:val="29"/>
        <w:tblW w:w="926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27"/>
        <w:gridCol w:w="1647"/>
        <w:gridCol w:w="3682"/>
        <w:gridCol w:w="1530"/>
        <w:gridCol w:w="19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序号</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银行名称</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授信额度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贷款期限</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贷款利率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平安银行股份有限公司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上限1000万元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一年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浙江网商银行股份有限公司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上限1000万元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一年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hint="eastAsia" w:ascii="宋体" w:hAnsi="宋体" w:eastAsia="宋体" w:cs="宋体"/>
                <w:sz w:val="22"/>
              </w:rPr>
            </w:pPr>
            <w:r>
              <w:rPr>
                <w:rFonts w:hint="eastAsia" w:ascii="宋体" w:hAnsi="宋体" w:eastAsia="宋体" w:cs="宋体"/>
                <w:sz w:val="22"/>
              </w:rPr>
              <w:t>3</w:t>
            </w:r>
          </w:p>
        </w:tc>
        <w:tc>
          <w:tcPr>
            <w:tcW w:w="1647" w:type="dxa"/>
            <w:tcMar>
              <w:top w:w="0" w:type="dxa"/>
              <w:left w:w="0" w:type="dxa"/>
              <w:bottom w:w="0" w:type="dxa"/>
              <w:right w:w="0" w:type="dxa"/>
            </w:tcMar>
            <w:vAlign w:val="center"/>
          </w:tcPr>
          <w:p>
            <w:pPr>
              <w:jc w:val="center"/>
              <w:rPr>
                <w:rFonts w:hint="eastAsia" w:ascii="宋体" w:hAnsi="宋体" w:eastAsia="宋体" w:cs="宋体"/>
                <w:sz w:val="22"/>
              </w:rPr>
            </w:pPr>
            <w:r>
              <w:rPr>
                <w:rFonts w:hint="eastAsia" w:ascii="宋体" w:hAnsi="宋体" w:eastAsia="宋体" w:cs="宋体"/>
                <w:sz w:val="22"/>
              </w:rPr>
              <w:t>中国建设银行股份有限公</w:t>
            </w:r>
          </w:p>
          <w:p>
            <w:pPr>
              <w:jc w:val="center"/>
              <w:rPr>
                <w:rFonts w:hint="eastAsia" w:ascii="宋体" w:hAnsi="宋体" w:eastAsia="宋体" w:cs="宋体"/>
                <w:sz w:val="22"/>
              </w:rPr>
            </w:pPr>
            <w:r>
              <w:rPr>
                <w:rFonts w:hint="eastAsia" w:ascii="宋体" w:hAnsi="宋体" w:eastAsia="宋体" w:cs="宋体"/>
                <w:sz w:val="22"/>
              </w:rPr>
              <w:t>司陕西省分行</w:t>
            </w:r>
          </w:p>
        </w:tc>
        <w:tc>
          <w:tcPr>
            <w:tcW w:w="3682" w:type="dxa"/>
            <w:tcMar>
              <w:top w:w="0" w:type="dxa"/>
              <w:left w:w="0" w:type="dxa"/>
              <w:bottom w:w="0" w:type="dxa"/>
              <w:right w:w="0" w:type="dxa"/>
            </w:tcMar>
            <w:vAlign w:val="center"/>
          </w:tcPr>
          <w:p>
            <w:pPr>
              <w:jc w:val="center"/>
              <w:rPr>
                <w:rFonts w:hint="eastAsia" w:ascii="宋体" w:hAnsi="宋体" w:eastAsia="宋体" w:cs="宋体"/>
                <w:sz w:val="22"/>
              </w:rPr>
            </w:pPr>
            <w:r>
              <w:rPr>
                <w:rFonts w:hint="eastAsia" w:ascii="宋体" w:hAnsi="宋体" w:eastAsia="宋体" w:cs="宋体"/>
                <w:sz w:val="22"/>
              </w:rPr>
              <w:t>根据单笔政府采购合同全额核</w:t>
            </w:r>
          </w:p>
          <w:p>
            <w:pPr>
              <w:jc w:val="center"/>
              <w:rPr>
                <w:rFonts w:hint="eastAsia" w:ascii="宋体" w:hAnsi="宋体" w:eastAsia="宋体" w:cs="宋体"/>
                <w:sz w:val="22"/>
              </w:rPr>
            </w:pPr>
            <w:r>
              <w:rPr>
                <w:rFonts w:hint="eastAsia" w:ascii="宋体" w:hAnsi="宋体" w:eastAsia="宋体" w:cs="宋体"/>
                <w:sz w:val="22"/>
              </w:rPr>
              <w:t>定，最高融资金额为合同金额的</w:t>
            </w:r>
          </w:p>
          <w:p>
            <w:pPr>
              <w:jc w:val="center"/>
              <w:rPr>
                <w:rFonts w:hint="default" w:ascii="宋体" w:hAnsi="宋体" w:eastAsia="宋体" w:cs="宋体"/>
                <w:sz w:val="22"/>
                <w:lang w:val="en-US" w:eastAsia="zh-CN"/>
              </w:rPr>
            </w:pPr>
            <w:r>
              <w:rPr>
                <w:rFonts w:hint="eastAsia" w:ascii="宋体" w:hAnsi="宋体" w:eastAsia="宋体" w:cs="宋体"/>
                <w:sz w:val="22"/>
                <w:lang w:val="en-US" w:eastAsia="zh-CN"/>
              </w:rPr>
              <w:t>90%</w:t>
            </w:r>
          </w:p>
        </w:tc>
        <w:tc>
          <w:tcPr>
            <w:tcW w:w="1530" w:type="dxa"/>
            <w:tcMar>
              <w:top w:w="0" w:type="dxa"/>
              <w:left w:w="0" w:type="dxa"/>
              <w:bottom w:w="0" w:type="dxa"/>
              <w:right w:w="0" w:type="dxa"/>
            </w:tcMar>
            <w:vAlign w:val="center"/>
          </w:tcPr>
          <w:p>
            <w:pPr>
              <w:jc w:val="center"/>
              <w:rPr>
                <w:rFonts w:hint="eastAsia" w:ascii="宋体" w:hAnsi="宋体" w:eastAsia="宋体" w:cs="宋体"/>
                <w:sz w:val="22"/>
              </w:rPr>
            </w:pPr>
            <w:r>
              <w:rPr>
                <w:rFonts w:hint="eastAsia" w:ascii="宋体" w:hAnsi="宋体" w:eastAsia="宋体" w:cs="宋体"/>
                <w:sz w:val="22"/>
              </w:rPr>
              <w:t>最长不超过（12）个月或超</w:t>
            </w:r>
          </w:p>
          <w:p>
            <w:pPr>
              <w:jc w:val="center"/>
              <w:rPr>
                <w:rFonts w:hint="eastAsia" w:ascii="宋体" w:hAnsi="宋体" w:eastAsia="宋体" w:cs="宋体"/>
                <w:sz w:val="22"/>
              </w:rPr>
            </w:pPr>
            <w:r>
              <w:rPr>
                <w:rFonts w:hint="eastAsia" w:ascii="宋体" w:hAnsi="宋体" w:eastAsia="宋体" w:cs="宋体"/>
                <w:sz w:val="22"/>
              </w:rPr>
              <w:t>过（365）天</w:t>
            </w:r>
          </w:p>
        </w:tc>
        <w:tc>
          <w:tcPr>
            <w:tcW w:w="1978" w:type="dxa"/>
            <w:tcMar>
              <w:top w:w="0" w:type="dxa"/>
              <w:left w:w="0" w:type="dxa"/>
              <w:bottom w:w="0" w:type="dxa"/>
              <w:right w:w="0" w:type="dxa"/>
            </w:tcMar>
            <w:vAlign w:val="center"/>
          </w:tcPr>
          <w:p>
            <w:pPr>
              <w:jc w:val="center"/>
              <w:rPr>
                <w:rFonts w:hint="eastAsia" w:ascii="宋体" w:hAnsi="宋体" w:eastAsia="宋体" w:cs="宋体"/>
                <w:sz w:val="22"/>
              </w:rPr>
            </w:pPr>
            <w:r>
              <w:rPr>
                <w:rFonts w:hint="eastAsia" w:ascii="宋体" w:hAnsi="宋体" w:eastAsia="宋体" w:cs="宋体"/>
                <w:sz w:val="22"/>
              </w:rPr>
              <w:t>不超过中小企业同期市场利率水平，利</w:t>
            </w:r>
          </w:p>
          <w:p>
            <w:pPr>
              <w:jc w:val="center"/>
              <w:rPr>
                <w:rFonts w:hint="eastAsia" w:ascii="宋体" w:hAnsi="宋体" w:eastAsia="宋体" w:cs="宋体"/>
                <w:sz w:val="22"/>
              </w:rPr>
            </w:pPr>
            <w:r>
              <w:rPr>
                <w:rFonts w:hint="eastAsia" w:ascii="宋体" w:hAnsi="宋体" w:eastAsia="宋体" w:cs="宋体"/>
                <w:sz w:val="22"/>
                <w:lang w:eastAsia="zh-CN"/>
              </w:rPr>
              <w:t>率</w:t>
            </w:r>
            <w:r>
              <w:rPr>
                <w:rFonts w:hint="eastAsia" w:ascii="宋体" w:hAnsi="宋体" w:eastAsia="宋体" w:cs="宋体"/>
                <w:sz w:val="22"/>
              </w:rPr>
              <w:t>浮动期间（4％-5％）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4</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北京银行股份有限公司西安分行</w:t>
            </w:r>
          </w:p>
        </w:tc>
        <w:tc>
          <w:tcPr>
            <w:tcW w:w="3682" w:type="dxa"/>
            <w:tcMar>
              <w:top w:w="0" w:type="dxa"/>
              <w:left w:w="0" w:type="dxa"/>
              <w:bottom w:w="0" w:type="dxa"/>
              <w:right w:w="0" w:type="dxa"/>
            </w:tcMar>
            <w:vAlign w:val="center"/>
          </w:tcPr>
          <w:p>
            <w:pPr>
              <w:jc w:val="left"/>
              <w:rPr>
                <w:rFonts w:hint="default" w:ascii="宋体" w:hAnsi="宋体" w:eastAsia="宋体" w:cs="宋体"/>
                <w:sz w:val="22"/>
                <w:lang w:val="en-US" w:eastAsia="zh-CN"/>
              </w:rPr>
            </w:pPr>
            <w:r>
              <w:rPr>
                <w:rFonts w:hint="eastAsia" w:ascii="宋体" w:hAnsi="宋体" w:cs="宋体"/>
                <w:sz w:val="22"/>
                <w:lang w:eastAsia="zh-CN"/>
              </w:rPr>
              <w:t>不超过</w:t>
            </w:r>
            <w:r>
              <w:rPr>
                <w:rFonts w:hint="eastAsia" w:ascii="宋体" w:hAnsi="宋体" w:cs="宋体"/>
                <w:sz w:val="22"/>
                <w:lang w:val="en-US" w:eastAsia="zh-CN"/>
              </w:rPr>
              <w:t>1000万元</w:t>
            </w:r>
          </w:p>
        </w:tc>
        <w:tc>
          <w:tcPr>
            <w:tcW w:w="1530" w:type="dxa"/>
            <w:tcMar>
              <w:top w:w="0" w:type="dxa"/>
              <w:left w:w="0" w:type="dxa"/>
              <w:bottom w:w="0" w:type="dxa"/>
              <w:right w:w="0" w:type="dxa"/>
            </w:tcMar>
            <w:vAlign w:val="center"/>
          </w:tcPr>
          <w:p>
            <w:pPr>
              <w:jc w:val="center"/>
              <w:rPr>
                <w:rFonts w:hint="eastAsia" w:ascii="宋体" w:hAnsi="宋体" w:eastAsia="宋体" w:cs="宋体"/>
                <w:sz w:val="22"/>
                <w:lang w:val="en-US" w:eastAsia="zh-CN"/>
              </w:rPr>
            </w:pPr>
            <w:r>
              <w:rPr>
                <w:rFonts w:hint="eastAsia" w:ascii="宋体" w:hAnsi="宋体" w:cs="宋体"/>
                <w:sz w:val="22"/>
                <w:lang w:val="en-US" w:eastAsia="zh-CN"/>
              </w:rPr>
              <w:t>2年期综合授信（提款期1年，每笔业务期限不超过1年）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中国光大银行股份有限公司西安分行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lang w:eastAsia="zh-CN"/>
              </w:rPr>
              <w:t>不超过</w:t>
            </w:r>
            <w:r>
              <w:rPr>
                <w:rFonts w:hint="eastAsia" w:ascii="宋体" w:hAnsi="宋体" w:cs="宋体"/>
                <w:sz w:val="22"/>
                <w:lang w:val="en-US" w:eastAsia="zh-CN"/>
              </w:rPr>
              <w:t>1000万元</w:t>
            </w:r>
          </w:p>
        </w:tc>
        <w:tc>
          <w:tcPr>
            <w:tcW w:w="1530"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原则上不超过（</w:t>
            </w:r>
            <w:r>
              <w:rPr>
                <w:rFonts w:hint="eastAsia" w:ascii="宋体" w:hAnsi="宋体" w:cs="宋体"/>
                <w:sz w:val="22"/>
                <w:lang w:val="en-US" w:eastAsia="zh-CN"/>
              </w:rPr>
              <w:t>12）个月，最长不超过合同约定付款日期后两个月</w:t>
            </w:r>
          </w:p>
        </w:tc>
        <w:tc>
          <w:tcPr>
            <w:tcW w:w="1978" w:type="dxa"/>
            <w:tcMar>
              <w:top w:w="0" w:type="dxa"/>
              <w:left w:w="0" w:type="dxa"/>
              <w:bottom w:w="0" w:type="dxa"/>
              <w:right w:w="0" w:type="dxa"/>
            </w:tcMar>
            <w:vAlign w:val="center"/>
          </w:tcPr>
          <w:p>
            <w:pPr>
              <w:jc w:val="center"/>
              <w:rPr>
                <w:rFonts w:hint="default" w:ascii="宋体" w:hAnsi="宋体" w:eastAsia="宋体" w:cs="宋体"/>
                <w:sz w:val="22"/>
                <w:lang w:val="en-US" w:eastAsia="zh-CN"/>
              </w:rPr>
            </w:pPr>
            <w:r>
              <w:rPr>
                <w:rFonts w:hint="eastAsia" w:ascii="宋体" w:hAnsi="宋体" w:cs="宋体"/>
                <w:sz w:val="22"/>
                <w:lang w:val="en-US" w:eastAsia="zh-CN"/>
              </w:rPr>
              <w:t>3.85%至5%，实际放款利率视当期市场价格而定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6</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上海浦东发展银行股份有限公司西安分行</w:t>
            </w:r>
          </w:p>
        </w:tc>
        <w:tc>
          <w:tcPr>
            <w:tcW w:w="3682" w:type="dxa"/>
            <w:tcMar>
              <w:top w:w="0" w:type="dxa"/>
              <w:left w:w="0" w:type="dxa"/>
              <w:bottom w:w="0" w:type="dxa"/>
              <w:right w:w="0" w:type="dxa"/>
            </w:tcMar>
            <w:vAlign w:val="center"/>
          </w:tcPr>
          <w:p>
            <w:pPr>
              <w:jc w:val="left"/>
              <w:rPr>
                <w:rFonts w:hint="default" w:ascii="宋体" w:hAnsi="宋体" w:eastAsia="宋体" w:cs="宋体"/>
                <w:sz w:val="22"/>
                <w:lang w:val="en-US" w:eastAsia="zh-CN"/>
              </w:rPr>
            </w:pPr>
            <w:r>
              <w:rPr>
                <w:rFonts w:hint="eastAsia" w:ascii="宋体" w:hAnsi="宋体" w:cs="宋体"/>
                <w:sz w:val="22"/>
                <w:lang w:eastAsia="zh-CN"/>
              </w:rPr>
              <w:t>融资申请人为公司的，额度最高不超过</w:t>
            </w:r>
            <w:r>
              <w:rPr>
                <w:rFonts w:hint="eastAsia" w:ascii="宋体" w:hAnsi="宋体" w:cs="宋体"/>
                <w:sz w:val="22"/>
                <w:lang w:val="en-US" w:eastAsia="zh-CN"/>
              </w:rPr>
              <w:t>1000万元，</w:t>
            </w:r>
            <w:r>
              <w:rPr>
                <w:rFonts w:hint="eastAsia" w:ascii="宋体" w:hAnsi="宋体" w:cs="宋体"/>
                <w:sz w:val="22"/>
                <w:lang w:eastAsia="zh-CN"/>
              </w:rPr>
              <w:t>融资申请人为个人的；额度不高于（含）</w:t>
            </w:r>
            <w:r>
              <w:rPr>
                <w:rFonts w:hint="eastAsia" w:ascii="宋体" w:hAnsi="宋体" w:cs="宋体"/>
                <w:sz w:val="22"/>
                <w:lang w:val="en-US" w:eastAsia="zh-CN"/>
              </w:rPr>
              <w:t>300万元；单笔额度不高于订单金额的70%</w:t>
            </w:r>
          </w:p>
        </w:tc>
        <w:tc>
          <w:tcPr>
            <w:tcW w:w="1530" w:type="dxa"/>
            <w:tcMar>
              <w:top w:w="0" w:type="dxa"/>
              <w:left w:w="0" w:type="dxa"/>
              <w:bottom w:w="0" w:type="dxa"/>
              <w:right w:w="0" w:type="dxa"/>
            </w:tcMar>
            <w:vAlign w:val="center"/>
          </w:tcPr>
          <w:p>
            <w:pPr>
              <w:jc w:val="center"/>
              <w:rPr>
                <w:rFonts w:hint="eastAsia" w:ascii="宋体" w:hAnsi="宋体" w:eastAsia="宋体" w:cs="宋体"/>
                <w:sz w:val="22"/>
              </w:rPr>
            </w:pPr>
            <w:r>
              <w:rPr>
                <w:rFonts w:hint="eastAsia" w:ascii="宋体" w:hAnsi="宋体" w:eastAsia="宋体" w:cs="宋体"/>
                <w:sz w:val="22"/>
              </w:rPr>
              <w:t>最长不超过（12）个月或超</w:t>
            </w:r>
          </w:p>
          <w:p>
            <w:pPr>
              <w:jc w:val="center"/>
              <w:rPr>
                <w:rFonts w:ascii="宋体" w:hAnsi="宋体" w:cs="宋体"/>
                <w:sz w:val="22"/>
              </w:rPr>
            </w:pPr>
            <w:r>
              <w:rPr>
                <w:rFonts w:hint="eastAsia" w:ascii="宋体" w:hAnsi="宋体" w:eastAsia="宋体" w:cs="宋体"/>
                <w:sz w:val="22"/>
              </w:rPr>
              <w:t>过（365）天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7</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浙商银行股份有限公司西安分行</w:t>
            </w:r>
          </w:p>
        </w:tc>
        <w:tc>
          <w:tcPr>
            <w:tcW w:w="3682" w:type="dxa"/>
            <w:tcMar>
              <w:top w:w="0" w:type="dxa"/>
              <w:left w:w="0" w:type="dxa"/>
              <w:bottom w:w="0" w:type="dxa"/>
              <w:right w:w="0" w:type="dxa"/>
            </w:tcMar>
            <w:vAlign w:val="center"/>
          </w:tcPr>
          <w:p>
            <w:pPr>
              <w:jc w:val="left"/>
              <w:rPr>
                <w:rFonts w:hint="default" w:ascii="宋体" w:hAnsi="宋体" w:eastAsia="宋体" w:cs="宋体"/>
                <w:sz w:val="22"/>
                <w:lang w:val="en-US" w:eastAsia="zh-CN"/>
              </w:rPr>
            </w:pPr>
            <w:r>
              <w:rPr>
                <w:rFonts w:hint="eastAsia" w:ascii="宋体" w:hAnsi="宋体" w:cs="宋体"/>
                <w:sz w:val="22"/>
                <w:lang w:eastAsia="zh-CN"/>
              </w:rPr>
              <w:t>最高不超过</w:t>
            </w:r>
            <w:r>
              <w:rPr>
                <w:rFonts w:hint="eastAsia" w:ascii="宋体" w:hAnsi="宋体" w:cs="宋体"/>
                <w:sz w:val="22"/>
                <w:lang w:val="en-US" w:eastAsia="zh-CN"/>
              </w:rPr>
              <w:t>1000万元</w:t>
            </w:r>
          </w:p>
        </w:tc>
        <w:tc>
          <w:tcPr>
            <w:tcW w:w="1530" w:type="dxa"/>
            <w:tcMar>
              <w:top w:w="0" w:type="dxa"/>
              <w:left w:w="0" w:type="dxa"/>
              <w:bottom w:w="0" w:type="dxa"/>
              <w:right w:w="0" w:type="dxa"/>
            </w:tcMar>
            <w:vAlign w:val="center"/>
          </w:tcPr>
          <w:p>
            <w:pPr>
              <w:jc w:val="left"/>
              <w:rPr>
                <w:rFonts w:hint="eastAsia" w:ascii="宋体" w:hAnsi="宋体" w:eastAsia="宋体" w:cs="宋体"/>
                <w:sz w:val="22"/>
                <w:lang w:eastAsia="zh-CN"/>
              </w:rPr>
            </w:pPr>
            <w:r>
              <w:rPr>
                <w:rFonts w:hint="eastAsia" w:ascii="宋体" w:hAnsi="宋体" w:eastAsia="宋体" w:cs="宋体"/>
                <w:sz w:val="22"/>
                <w:lang w:eastAsia="zh-CN"/>
              </w:rPr>
              <w:t>最长不超过（</w:t>
            </w:r>
            <w:r>
              <w:rPr>
                <w:rFonts w:hint="eastAsia" w:ascii="宋体" w:hAnsi="宋体" w:eastAsia="宋体" w:cs="宋体"/>
                <w:sz w:val="22"/>
                <w:lang w:val="en-US" w:eastAsia="zh-CN"/>
              </w:rPr>
              <w:t>36</w:t>
            </w:r>
            <w:r>
              <w:rPr>
                <w:rFonts w:hint="eastAsia" w:ascii="宋体" w:hAnsi="宋体" w:eastAsia="宋体" w:cs="宋体"/>
                <w:sz w:val="22"/>
                <w:lang w:eastAsia="zh-CN"/>
              </w:rPr>
              <w:t>）个月</w:t>
            </w:r>
          </w:p>
        </w:tc>
        <w:tc>
          <w:tcPr>
            <w:tcW w:w="1978" w:type="dxa"/>
            <w:tcMar>
              <w:top w:w="0" w:type="dxa"/>
              <w:left w:w="0" w:type="dxa"/>
              <w:bottom w:w="0" w:type="dxa"/>
              <w:right w:w="0" w:type="dxa"/>
            </w:tcMar>
            <w:vAlign w:val="center"/>
          </w:tcPr>
          <w:p>
            <w:pPr>
              <w:jc w:val="left"/>
              <w:rPr>
                <w:rFonts w:hint="default" w:ascii="宋体" w:hAnsi="宋体" w:eastAsia="宋体" w:cs="宋体"/>
                <w:sz w:val="22"/>
                <w:lang w:val="en-US" w:eastAsia="zh-CN"/>
              </w:rPr>
            </w:pPr>
            <w:r>
              <w:rPr>
                <w:rFonts w:hint="eastAsia" w:ascii="宋体" w:hAnsi="宋体" w:eastAsia="宋体" w:cs="宋体"/>
                <w:sz w:val="22"/>
                <w:lang w:eastAsia="zh-CN"/>
              </w:rPr>
              <w:t>利率浮动期间</w:t>
            </w:r>
            <w:r>
              <w:rPr>
                <w:rFonts w:hint="eastAsia" w:ascii="宋体" w:hAnsi="宋体" w:eastAsia="宋体" w:cs="宋体"/>
                <w:sz w:val="22"/>
                <w:lang w:val="en-US" w:eastAsia="zh-CN"/>
              </w:rPr>
              <w:t>(依据总利率指导价执行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8</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招商银行股份有限公司西安分行</w:t>
            </w:r>
          </w:p>
        </w:tc>
        <w:tc>
          <w:tcPr>
            <w:tcW w:w="3682" w:type="dxa"/>
            <w:tcMar>
              <w:top w:w="0" w:type="dxa"/>
              <w:left w:w="0" w:type="dxa"/>
              <w:bottom w:w="0" w:type="dxa"/>
              <w:right w:w="0" w:type="dxa"/>
            </w:tcMar>
            <w:vAlign w:val="center"/>
          </w:tcPr>
          <w:p>
            <w:pPr>
              <w:jc w:val="left"/>
              <w:rPr>
                <w:rFonts w:hint="default" w:ascii="宋体" w:hAnsi="宋体" w:eastAsia="宋体" w:cs="宋体"/>
                <w:sz w:val="22"/>
                <w:lang w:val="en-US" w:eastAsia="zh-CN"/>
              </w:rPr>
            </w:pPr>
            <w:r>
              <w:rPr>
                <w:rFonts w:hint="eastAsia" w:ascii="宋体" w:hAnsi="宋体" w:cs="宋体"/>
                <w:sz w:val="22"/>
                <w:lang w:eastAsia="zh-CN"/>
              </w:rPr>
              <w:t>单笔业务金额最高可贷中标合同金额</w:t>
            </w:r>
            <w:r>
              <w:rPr>
                <w:rFonts w:hint="eastAsia" w:ascii="宋体" w:hAnsi="宋体" w:cs="宋体"/>
                <w:sz w:val="22"/>
                <w:lang w:val="en-US" w:eastAsia="zh-CN"/>
              </w:rPr>
              <w:t>80%，最高3000万元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eastAsia="宋体" w:cs="宋体"/>
                <w:sz w:val="22"/>
                <w:lang w:eastAsia="zh-CN"/>
              </w:rPr>
              <w:t>最长不超过（</w:t>
            </w:r>
            <w:r>
              <w:rPr>
                <w:rFonts w:hint="eastAsia" w:ascii="宋体" w:hAnsi="宋体" w:eastAsia="宋体" w:cs="宋体"/>
                <w:sz w:val="22"/>
                <w:lang w:val="en-US" w:eastAsia="zh-CN"/>
              </w:rPr>
              <w:t>12</w:t>
            </w:r>
            <w:r>
              <w:rPr>
                <w:rFonts w:hint="eastAsia" w:ascii="宋体" w:hAnsi="宋体" w:eastAsia="宋体" w:cs="宋体"/>
                <w:sz w:val="22"/>
                <w:lang w:eastAsia="zh-CN"/>
              </w:rPr>
              <w:t>）个月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9</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中信银行股份有限公司西安分行</w:t>
            </w:r>
          </w:p>
        </w:tc>
        <w:tc>
          <w:tcPr>
            <w:tcW w:w="3682" w:type="dxa"/>
            <w:tcMar>
              <w:top w:w="0" w:type="dxa"/>
              <w:left w:w="0" w:type="dxa"/>
              <w:bottom w:w="0" w:type="dxa"/>
              <w:right w:w="0" w:type="dxa"/>
            </w:tcMar>
            <w:vAlign w:val="center"/>
          </w:tcPr>
          <w:p>
            <w:pPr>
              <w:jc w:val="left"/>
              <w:rPr>
                <w:rFonts w:hint="default" w:ascii="宋体" w:hAnsi="宋体" w:eastAsia="宋体" w:cs="宋体"/>
                <w:sz w:val="22"/>
                <w:lang w:val="en-US" w:eastAsia="zh-CN"/>
              </w:rPr>
            </w:pPr>
            <w:r>
              <w:rPr>
                <w:rFonts w:hint="eastAsia" w:ascii="宋体" w:hAnsi="宋体" w:cs="宋体"/>
                <w:sz w:val="22"/>
                <w:lang w:eastAsia="zh-CN"/>
              </w:rPr>
              <w:t>最高</w:t>
            </w:r>
            <w:r>
              <w:rPr>
                <w:rFonts w:hint="eastAsia" w:ascii="宋体" w:hAnsi="宋体" w:cs="宋体"/>
                <w:sz w:val="22"/>
                <w:lang w:val="en-US" w:eastAsia="zh-CN"/>
              </w:rPr>
              <w:t>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eastAsia="宋体" w:cs="宋体"/>
                <w:sz w:val="22"/>
                <w:lang w:eastAsia="zh-CN"/>
              </w:rPr>
              <w:t>最长不超过（</w:t>
            </w:r>
            <w:r>
              <w:rPr>
                <w:rFonts w:hint="eastAsia" w:ascii="宋体" w:hAnsi="宋体" w:eastAsia="宋体" w:cs="宋体"/>
                <w:sz w:val="22"/>
                <w:lang w:val="en-US" w:eastAsia="zh-CN"/>
              </w:rPr>
              <w:t>12</w:t>
            </w:r>
            <w:r>
              <w:rPr>
                <w:rFonts w:hint="eastAsia" w:ascii="宋体" w:hAnsi="宋体" w:eastAsia="宋体" w:cs="宋体"/>
                <w:sz w:val="22"/>
                <w:lang w:eastAsia="zh-CN"/>
              </w:rPr>
              <w:t>）个月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10</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兴业银行股份有限公司西安分行</w:t>
            </w:r>
          </w:p>
        </w:tc>
        <w:tc>
          <w:tcPr>
            <w:tcW w:w="3682" w:type="dxa"/>
            <w:tcMar>
              <w:top w:w="0" w:type="dxa"/>
              <w:left w:w="0" w:type="dxa"/>
              <w:bottom w:w="0" w:type="dxa"/>
              <w:right w:w="0" w:type="dxa"/>
            </w:tcMar>
            <w:vAlign w:val="center"/>
          </w:tcPr>
          <w:p>
            <w:pPr>
              <w:jc w:val="left"/>
              <w:rPr>
                <w:rFonts w:hint="default" w:ascii="宋体" w:hAnsi="宋体" w:eastAsia="宋体" w:cs="宋体"/>
                <w:sz w:val="22"/>
                <w:lang w:val="en-US" w:eastAsia="zh-CN"/>
              </w:rPr>
            </w:pPr>
            <w:r>
              <w:rPr>
                <w:rFonts w:hint="eastAsia" w:ascii="宋体" w:hAnsi="宋体" w:eastAsia="宋体" w:cs="宋体"/>
                <w:sz w:val="22"/>
                <w:lang w:eastAsia="zh-CN"/>
              </w:rPr>
              <w:t>不超过</w:t>
            </w:r>
            <w:r>
              <w:rPr>
                <w:rFonts w:hint="eastAsia" w:ascii="宋体" w:hAnsi="宋体" w:eastAsia="宋体" w:cs="宋体"/>
                <w:sz w:val="22"/>
                <w:lang w:val="en-US" w:eastAsia="zh-CN"/>
              </w:rPr>
              <w:t>1000万元（首次申贷客户不超过500万元）</w:t>
            </w:r>
          </w:p>
        </w:tc>
        <w:tc>
          <w:tcPr>
            <w:tcW w:w="1530"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eastAsia="宋体" w:cs="宋体"/>
                <w:sz w:val="22"/>
                <w:lang w:eastAsia="zh-CN"/>
              </w:rPr>
              <w:t>最长不超过（</w:t>
            </w:r>
            <w:r>
              <w:rPr>
                <w:rFonts w:hint="eastAsia" w:ascii="宋体" w:hAnsi="宋体" w:eastAsia="宋体" w:cs="宋体"/>
                <w:sz w:val="22"/>
                <w:lang w:val="en-US" w:eastAsia="zh-CN"/>
              </w:rPr>
              <w:t>12</w:t>
            </w:r>
            <w:r>
              <w:rPr>
                <w:rFonts w:hint="eastAsia" w:ascii="宋体" w:hAnsi="宋体" w:eastAsia="宋体" w:cs="宋体"/>
                <w:sz w:val="22"/>
                <w:lang w:eastAsia="zh-CN"/>
              </w:rPr>
              <w:t>）个月</w:t>
            </w:r>
          </w:p>
        </w:tc>
        <w:tc>
          <w:tcPr>
            <w:tcW w:w="1978"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11</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中国工商银行股份有限公司陕西省分行</w:t>
            </w:r>
          </w:p>
        </w:tc>
        <w:tc>
          <w:tcPr>
            <w:tcW w:w="3682" w:type="dxa"/>
            <w:tcMar>
              <w:top w:w="0" w:type="dxa"/>
              <w:left w:w="0" w:type="dxa"/>
              <w:bottom w:w="0" w:type="dxa"/>
              <w:right w:w="0" w:type="dxa"/>
            </w:tcMar>
            <w:vAlign w:val="center"/>
          </w:tcPr>
          <w:p>
            <w:pPr>
              <w:jc w:val="center"/>
              <w:rPr>
                <w:rFonts w:hint="default" w:ascii="宋体" w:hAnsi="宋体" w:eastAsia="宋体" w:cs="宋体"/>
                <w:sz w:val="22"/>
                <w:lang w:val="en-US" w:eastAsia="zh-CN"/>
              </w:rPr>
            </w:pPr>
            <w:r>
              <w:rPr>
                <w:rFonts w:hint="eastAsia" w:ascii="宋体" w:hAnsi="宋体" w:cs="宋体"/>
                <w:sz w:val="22"/>
                <w:lang w:eastAsia="zh-CN"/>
              </w:rPr>
              <w:t>经营快贷</w:t>
            </w:r>
            <w:r>
              <w:rPr>
                <w:rFonts w:hint="eastAsia" w:ascii="宋体" w:hAnsi="宋体" w:cs="宋体"/>
                <w:sz w:val="22"/>
                <w:lang w:val="en-US" w:eastAsia="zh-CN"/>
              </w:rPr>
              <w:t>-政采贷单户不超过500万元且不超过订单金额的90%，线上供应链根据订单和应收贷款合理确定贷款额度</w:t>
            </w:r>
          </w:p>
        </w:tc>
        <w:tc>
          <w:tcPr>
            <w:tcW w:w="1530" w:type="dxa"/>
            <w:tcMar>
              <w:top w:w="0" w:type="dxa"/>
              <w:left w:w="0" w:type="dxa"/>
              <w:bottom w:w="0" w:type="dxa"/>
              <w:right w:w="0" w:type="dxa"/>
            </w:tcMar>
            <w:vAlign w:val="center"/>
          </w:tcPr>
          <w:p>
            <w:pPr>
              <w:jc w:val="center"/>
              <w:rPr>
                <w:rFonts w:hint="eastAsia" w:ascii="宋体" w:hAnsi="宋体" w:eastAsia="宋体" w:cs="宋体"/>
                <w:sz w:val="22"/>
              </w:rPr>
            </w:pPr>
            <w:r>
              <w:rPr>
                <w:rFonts w:hint="eastAsia" w:ascii="宋体" w:hAnsi="宋体" w:eastAsia="宋体" w:cs="宋体"/>
                <w:sz w:val="22"/>
              </w:rPr>
              <w:t>最长不超过（</w:t>
            </w:r>
            <w:r>
              <w:rPr>
                <w:rFonts w:hint="eastAsia" w:ascii="宋体" w:hAnsi="宋体" w:eastAsia="宋体" w:cs="宋体"/>
                <w:sz w:val="22"/>
                <w:lang w:val="en-US" w:eastAsia="zh-CN"/>
              </w:rPr>
              <w:t>36</w:t>
            </w:r>
            <w:r>
              <w:rPr>
                <w:rFonts w:hint="eastAsia" w:ascii="宋体" w:hAnsi="宋体" w:eastAsia="宋体" w:cs="宋体"/>
                <w:sz w:val="22"/>
              </w:rPr>
              <w:t>）个月或超</w:t>
            </w:r>
          </w:p>
          <w:p>
            <w:pPr>
              <w:jc w:val="center"/>
              <w:rPr>
                <w:rFonts w:hint="eastAsia" w:ascii="宋体" w:hAnsi="宋体" w:eastAsia="宋体" w:cs="宋体"/>
                <w:sz w:val="22"/>
                <w:lang w:val="en-US" w:eastAsia="zh-CN"/>
              </w:rPr>
            </w:pPr>
            <w:r>
              <w:rPr>
                <w:rFonts w:hint="eastAsia" w:ascii="宋体" w:hAnsi="宋体" w:eastAsia="宋体" w:cs="宋体"/>
                <w:sz w:val="22"/>
              </w:rPr>
              <w:t>过</w:t>
            </w:r>
            <w:r>
              <w:rPr>
                <w:rFonts w:hint="eastAsia" w:ascii="宋体" w:hAnsi="宋体" w:eastAsia="宋体" w:cs="宋体"/>
                <w:sz w:val="22"/>
                <w:lang w:val="en-US" w:eastAsia="zh-CN"/>
              </w:rPr>
              <w:t>3年</w:t>
            </w:r>
          </w:p>
        </w:tc>
        <w:tc>
          <w:tcPr>
            <w:tcW w:w="1978" w:type="dxa"/>
            <w:tcMar>
              <w:top w:w="0" w:type="dxa"/>
              <w:left w:w="0" w:type="dxa"/>
              <w:bottom w:w="0" w:type="dxa"/>
              <w:right w:w="0" w:type="dxa"/>
            </w:tcMar>
            <w:vAlign w:val="center"/>
          </w:tcPr>
          <w:p>
            <w:pPr>
              <w:jc w:val="center"/>
              <w:rPr>
                <w:rFonts w:hint="default" w:ascii="宋体" w:hAnsi="宋体" w:eastAsia="宋体" w:cs="宋体"/>
                <w:sz w:val="22"/>
                <w:lang w:val="en-US" w:eastAsia="zh-CN"/>
              </w:rPr>
            </w:pPr>
            <w:r>
              <w:rPr>
                <w:rFonts w:hint="eastAsia" w:ascii="宋体" w:hAnsi="宋体" w:cs="宋体"/>
                <w:sz w:val="22"/>
                <w:lang w:eastAsia="zh-CN"/>
              </w:rPr>
              <w:t>按照全国银行间同业拆借中心发布的贷款市场报价利率（</w:t>
            </w:r>
            <w:r>
              <w:rPr>
                <w:rFonts w:hint="eastAsia" w:ascii="宋体" w:hAnsi="宋体" w:cs="宋体"/>
                <w:sz w:val="22"/>
                <w:lang w:val="en-US" w:eastAsia="zh-CN"/>
              </w:rPr>
              <w:t>LPR</w:t>
            </w:r>
            <w:r>
              <w:rPr>
                <w:rFonts w:hint="eastAsia" w:ascii="宋体" w:hAnsi="宋体" w:cs="宋体"/>
                <w:sz w:val="22"/>
                <w:lang w:eastAsia="zh-CN"/>
              </w:rPr>
              <w:t>）确定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12</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长安银行股份有限公司</w:t>
            </w:r>
          </w:p>
        </w:tc>
        <w:tc>
          <w:tcPr>
            <w:tcW w:w="3682" w:type="dxa"/>
            <w:tcMar>
              <w:top w:w="0" w:type="dxa"/>
              <w:left w:w="0" w:type="dxa"/>
              <w:bottom w:w="0" w:type="dxa"/>
              <w:right w:w="0" w:type="dxa"/>
            </w:tcMar>
            <w:vAlign w:val="center"/>
          </w:tcPr>
          <w:p>
            <w:pPr>
              <w:jc w:val="center"/>
              <w:rPr>
                <w:rFonts w:hint="default" w:ascii="宋体" w:hAnsi="宋体" w:eastAsia="宋体" w:cs="宋体"/>
                <w:sz w:val="22"/>
                <w:lang w:val="en-US" w:eastAsia="zh-CN"/>
              </w:rPr>
            </w:pPr>
            <w:r>
              <w:rPr>
                <w:rFonts w:hint="eastAsia" w:ascii="宋体" w:hAnsi="宋体" w:cs="宋体"/>
                <w:sz w:val="22"/>
                <w:lang w:eastAsia="zh-CN"/>
              </w:rPr>
              <w:t>小企业单笔授信</w:t>
            </w:r>
            <w:r>
              <w:rPr>
                <w:rFonts w:hint="eastAsia" w:ascii="宋体" w:hAnsi="宋体" w:cs="宋体"/>
                <w:sz w:val="22"/>
                <w:lang w:val="en-US" w:eastAsia="zh-CN"/>
              </w:rPr>
              <w:t>500万元，首批规模5000万元；中大企业授信待定</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eastAsia="宋体" w:cs="宋体"/>
                <w:sz w:val="22"/>
                <w:lang w:eastAsia="zh-CN"/>
              </w:rPr>
              <w:t>最长不超过（</w:t>
            </w:r>
            <w:r>
              <w:rPr>
                <w:rFonts w:hint="eastAsia" w:ascii="宋体" w:hAnsi="宋体" w:eastAsia="宋体" w:cs="宋体"/>
                <w:sz w:val="22"/>
                <w:lang w:val="en-US" w:eastAsia="zh-CN"/>
              </w:rPr>
              <w:t>12</w:t>
            </w:r>
            <w:r>
              <w:rPr>
                <w:rFonts w:hint="eastAsia" w:ascii="宋体" w:hAnsi="宋体" w:eastAsia="宋体" w:cs="宋体"/>
                <w:sz w:val="22"/>
                <w:lang w:eastAsia="zh-CN"/>
              </w:rPr>
              <w:t>）个月</w:t>
            </w:r>
          </w:p>
        </w:tc>
        <w:tc>
          <w:tcPr>
            <w:tcW w:w="1978"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利率浮动期间（</w:t>
            </w:r>
            <w:r>
              <w:rPr>
                <w:rFonts w:hint="eastAsia" w:ascii="宋体" w:hAnsi="宋体" w:cs="宋体"/>
                <w:sz w:val="22"/>
                <w:lang w:val="en-US" w:eastAsia="zh-CN"/>
              </w:rPr>
              <w:t>3.85%-5.5%</w:t>
            </w:r>
            <w:r>
              <w:rPr>
                <w:rFonts w:hint="eastAsia" w:ascii="宋体" w:hAnsi="宋体" w:cs="宋体"/>
                <w:sz w:val="22"/>
                <w:lang w:eastAsia="zh-CN"/>
              </w:rPr>
              <w:t>）</w:t>
            </w:r>
          </w:p>
        </w:tc>
      </w:tr>
    </w:tbl>
    <w:p>
      <w:pPr>
        <w:spacing w:line="360" w:lineRule="auto"/>
        <w:ind w:firstLine="964" w:firstLineChars="200"/>
        <w:rPr>
          <w:rStyle w:val="96"/>
          <w:rFonts w:asciiTheme="minorEastAsia" w:hAnsiTheme="minorEastAsia" w:eastAsiaTheme="minorEastAsia"/>
          <w:sz w:val="48"/>
          <w:szCs w:val="48"/>
        </w:rPr>
        <w:sectPr>
          <w:footerReference r:id="rId12" w:type="first"/>
          <w:footerReference r:id="rId11" w:type="default"/>
          <w:pgSz w:w="11907" w:h="16840"/>
          <w:pgMar w:top="1474" w:right="1587" w:bottom="1474" w:left="1587" w:header="851" w:footer="992" w:gutter="0"/>
          <w:pgNumType w:start="1"/>
          <w:cols w:space="720" w:num="1"/>
          <w:titlePg/>
        </w:sectPr>
      </w:pPr>
    </w:p>
    <w:p>
      <w:pPr>
        <w:numPr>
          <w:ilvl w:val="0"/>
          <w:numId w:val="5"/>
        </w:numPr>
        <w:spacing w:after="50" w:line="360" w:lineRule="auto"/>
        <w:jc w:val="center"/>
        <w:outlineLvl w:val="0"/>
        <w:rPr>
          <w:rFonts w:cs="宋体" w:asciiTheme="minorEastAsia" w:hAnsiTheme="minorEastAsia" w:eastAsiaTheme="minorEastAsia"/>
          <w:b/>
          <w:sz w:val="48"/>
          <w:szCs w:val="44"/>
        </w:rPr>
      </w:pPr>
      <w:bookmarkStart w:id="179" w:name="_Toc9050"/>
      <w:bookmarkStart w:id="180" w:name="_Toc32259"/>
      <w:bookmarkStart w:id="181" w:name="_Toc4672"/>
      <w:bookmarkStart w:id="182" w:name="_Toc7691"/>
      <w:bookmarkStart w:id="183" w:name="_Toc217446093"/>
      <w:r>
        <w:rPr>
          <w:rFonts w:hint="eastAsia" w:cs="宋体" w:asciiTheme="minorEastAsia" w:hAnsiTheme="minorEastAsia" w:eastAsiaTheme="minorEastAsia"/>
          <w:b/>
          <w:sz w:val="48"/>
          <w:szCs w:val="44"/>
        </w:rPr>
        <w:t>评标办法</w:t>
      </w:r>
      <w:bookmarkEnd w:id="178"/>
      <w:bookmarkEnd w:id="179"/>
      <w:bookmarkEnd w:id="180"/>
      <w:bookmarkEnd w:id="181"/>
      <w:bookmarkEnd w:id="182"/>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根据《中华人民共和国政府采购法》及实施条例和《政府采购货物和服务招标投标管理办法》（财政部第87号令）等法律法规规定，结合采购项目特点制定本评标办法。</w:t>
      </w:r>
    </w:p>
    <w:p>
      <w:pPr>
        <w:numPr>
          <w:ilvl w:val="0"/>
          <w:numId w:val="10"/>
        </w:numPr>
        <w:spacing w:after="120" w:afterLines="50" w:line="360" w:lineRule="auto"/>
        <w:outlineLvl w:val="1"/>
        <w:rPr>
          <w:rFonts w:cs="宋体" w:asciiTheme="minorEastAsia" w:hAnsiTheme="minorEastAsia" w:eastAsiaTheme="minorEastAsia"/>
          <w:b/>
          <w:bCs/>
          <w:sz w:val="36"/>
          <w:szCs w:val="36"/>
        </w:rPr>
      </w:pPr>
      <w:bookmarkStart w:id="184" w:name="_Toc22933"/>
      <w:bookmarkStart w:id="185" w:name="_Toc302"/>
      <w:bookmarkStart w:id="186" w:name="_Toc5362"/>
      <w:bookmarkStart w:id="187" w:name="_Toc30218"/>
      <w:bookmarkStart w:id="188" w:name="_Toc22839"/>
      <w:bookmarkStart w:id="189" w:name="_Toc30975"/>
      <w:bookmarkStart w:id="190" w:name="_Toc13791"/>
      <w:bookmarkStart w:id="191" w:name="_Toc13760"/>
      <w:bookmarkStart w:id="192" w:name="_Toc30191_WPSOffice_Level2"/>
      <w:r>
        <w:rPr>
          <w:rFonts w:hint="eastAsia" w:cs="宋体" w:asciiTheme="minorEastAsia" w:hAnsiTheme="minorEastAsia" w:eastAsiaTheme="minorEastAsia"/>
          <w:b/>
          <w:bCs/>
          <w:sz w:val="36"/>
          <w:szCs w:val="36"/>
        </w:rPr>
        <w:t>评标程序</w:t>
      </w:r>
      <w:bookmarkEnd w:id="184"/>
      <w:bookmarkEnd w:id="185"/>
      <w:bookmarkEnd w:id="186"/>
      <w:bookmarkEnd w:id="187"/>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1.1评标按照下列程序进行：</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（1）投标文件符合性审查；</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（2）投标文件澄清或说明；</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（3）投标文件比较与评价；</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（4）复核与核对评标结果；</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（5）确定中标候选人名单；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（6）编写评标报告。</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评标委员会依法对符合资格投标供应商的投标文件进行符合性审查。评标委员会从投标文件的有效性、完整性和对招标文件的响应程度进行审查，以确定其是否对招标文件实质性内容作出响应（采购人可根据具体项目的情况对实质性要求作特别的具体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1.2.2评标委员会按下列评审标准进行</w:t>
      </w:r>
      <w:r>
        <w:rPr>
          <w:rFonts w:hint="eastAsia" w:cs="宋体" w:asciiTheme="minorEastAsia" w:hAnsiTheme="minorEastAsia" w:eastAsiaTheme="minorEastAsia"/>
          <w:b/>
          <w:sz w:val="24"/>
        </w:rPr>
        <w:t>符合性审查：</w:t>
      </w:r>
    </w:p>
    <w:tbl>
      <w:tblPr>
        <w:tblStyle w:val="2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111"/>
        <w:gridCol w:w="3009"/>
        <w:gridCol w:w="4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4120" w:type="dxa"/>
            <w:gridSpan w:val="2"/>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评审因素</w:t>
            </w:r>
          </w:p>
        </w:tc>
        <w:tc>
          <w:tcPr>
            <w:tcW w:w="4571"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有效</w:t>
            </w:r>
          </w:p>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性审查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（1）投标文件的签署盖章</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应符合“投标供应商须知前附表”签字盖章要求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（2）投标文件语言、计量单位、报价货币</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（3）电子文件（U盘）</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（4）报价唯一</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只能有一个有效报价，不得提交选择性报价，且报价不超过采购预算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完整</w:t>
            </w:r>
          </w:p>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性审查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（5）投标文件份数</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（6）投标文件内容</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投标文件的响应程度审查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（7）对招标文件技术响应程度</w:t>
            </w:r>
          </w:p>
        </w:tc>
        <w:tc>
          <w:tcPr>
            <w:tcW w:w="4571" w:type="dxa"/>
            <w:vAlign w:val="center"/>
          </w:tcPr>
          <w:p>
            <w:pPr>
              <w:spacing w:line="276" w:lineRule="auto"/>
              <w:rPr>
                <w:rFonts w:cs="宋体" w:asciiTheme="minorEastAsia" w:hAnsiTheme="minorEastAsia"/>
                <w:sz w:val="24"/>
              </w:rPr>
            </w:pPr>
            <w:r>
              <w:rPr>
                <w:rFonts w:hint="eastAsia" w:cs="宋体" w:asciiTheme="minorEastAsia" w:hAnsiTheme="minorEastAsia" w:eastAsiaTheme="minorEastAsia"/>
                <w:sz w:val="24"/>
              </w:rPr>
              <w:t>要求全面响应，不能有任何采购人不能接受的附加条件（技术方案）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（8）服务期限</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应满足招标文件中要求的服务期限（开标一览表中）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（9）投标有效期</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应满足招标文件中的规定（投标函中）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（10）付款方式</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应满足招标文件中的规定（投标函中）</w:t>
            </w:r>
          </w:p>
        </w:tc>
      </w:tr>
    </w:tbl>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说明：以上各项有1项不合格，评审不予通过，作为未实质性响应招标文件。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 未通过符合性检查的投标文件，不得进入后续评标环节。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1.3 投标文件的澄清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为有助于投标文件的审查、比较和评价，评标委员会可以书面形式要求投标供应商对其投标文件中含义不明确、同类问题表述不一致或者有明显文字和计算错误的内容作必要的澄清、说明或者补正。有关澄清、说明或者补正应以书面形式提交，并由其法定代表人或委托代理人签字。评标委员会不接受投标供应商主动提出的澄清、说明或者补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 投标供应商的澄清、说明或者补正不得超出投标文件的范围或者改变投标文件的实质性内容，并构成为投标文件的组成部分。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1.3.3 评标委员会对投标供应商提交的澄清、说明或者补正有疑问的，可以要求投标供应商进一步澄清、说明或者补正，直至满足评标委员会的要求。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 投标文件比较与评价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评标委员会应按照招标文件中规定的评标方法和标准，对符合性检查通过的投标文件进行商务和技术评估，综合比较与评价。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 如果投标文件没有实质性响应招标文件的要求，评标委员会将予以拒绝。投标供应商不得通过修正或撤销不合要求的偏离或保留，从而使其投标成为实质性响应的投标。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 复核与核对评标结果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1.5.1 评分汇总结束后，评标委员会应当进行复核，特别要对拟推荐中标候选人的、报价最低的、投标文件被认定无效的进行重点复核。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1.5.2 评标结果汇总完成后，评标报告签署前，采购代理机构应当核对评标结果，除下列情形外，任何人不得修改评标结果：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（1）分值汇总计算错误的；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（2）分项评分超出评分标准范围的；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（3）评标委员会对客观评审因素评分不一致的；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（4）经评标委员会认定评分畸高、畸低的。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经复核发现存在以上情形之一的，评标委员会应当当场修改评标结果，并在评标报告中记载。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 确定中标候选人名单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定标及定标程序详见第二章第9.1、9.2条款。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 编写评标报告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1.7.1 评标委员会在确定中标候选人名单后，应当编写评标报告并向采购人出具。评标报告应当包括以下内容：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（1）招标公告刊登的媒体名称、开标日期和地点；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（2）投标供应商名单和评标委员会成员名单；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（3）评标方法和标准；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（4）开标记录和评标情况及说明，包括无效投标供应商名单及原因；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（5）评标结果，确定的中标候选人名单；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（6）其他需要说明的情况，包括评标过程中投标供应商根据评标委员会要求进行的澄清、说明或者补正，评标委员会成员的更换等，报价最高的投标供应商为第一中标候选人的，对其报价合理性予以特别书面。</w:t>
      </w:r>
    </w:p>
    <w:p>
      <w:pPr>
        <w:tabs>
          <w:tab w:val="left" w:pos="7665"/>
        </w:tabs>
        <w:spacing w:line="360" w:lineRule="auto"/>
        <w:ind w:firstLine="480" w:firstLineChars="200"/>
        <w:rPr>
          <w:rFonts w:cs="宋体" w:asciiTheme="minorEastAsia" w:hAnsiTheme="minorEastAsia" w:eastAsiaTheme="minorEastAsia"/>
          <w:b/>
          <w:bCs/>
          <w:sz w:val="36"/>
          <w:szCs w:val="36"/>
        </w:rPr>
      </w:pPr>
      <w:r>
        <w:rPr>
          <w:rFonts w:hint="eastAsia" w:cs="宋体" w:asciiTheme="minorEastAsia" w:hAnsiTheme="minorEastAsia" w:eastAsiaTheme="minorEastAsia"/>
          <w:sz w:val="24"/>
        </w:rPr>
        <w:t>1.7.2 评标委员会成员应当对评标报告予以签字确认，对评标过程有不同意见的，应当在评标报告中写明并说明理由。签字但未写明不同意见或者未说明理由的，视同无意见。拒不签字又未另行书面说明其不同意见和理由的，视同同意评标报告。</w:t>
      </w:r>
    </w:p>
    <w:p>
      <w:pPr>
        <w:spacing w:after="120" w:afterLines="50" w:line="360" w:lineRule="auto"/>
        <w:outlineLvl w:val="1"/>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2. 评标方法</w:t>
      </w:r>
      <w:bookmarkEnd w:id="188"/>
      <w:bookmarkEnd w:id="189"/>
      <w:bookmarkEnd w:id="190"/>
      <w:bookmarkEnd w:id="191"/>
      <w:bookmarkEnd w:id="19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2.1综合评分法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本采购项目评标方法采用综合评分法。即投标文件满足招标文件全部实质性要求，且按照评审因素的量化指标评审得分最高的投标供应商为中标候选人的评标方法。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 评标细则及标准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2.2.1 评标委员会将综合分析投标供应商的各项评审因素，而不以单项评审因素的优劣评选出中标供应商。对所有投标供应商的投标评估，都采用相同的程序和标准，严格按照招标文件的要求和条件进行。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2.2.2 评审因素包括：投标报价、技术方案、运维与售后、企业实力等，但不包括“投标供应商须知”规定的投标供应商资格条件。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评标委员会按以下操作程序对投标供应商的投标文件进行综合评分：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2.2.3.1 根据招标文件和评标原则，按《综合评分明细表》所列评分因素和各评分因素的权重进行评标。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2.2.3.2 满足招标文件内容及技术要求且投标价格最低的投标价为评标基准价，其价格分为满分。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投标报价得分=（评标基准价／投标报价）×价格权值×100。</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符合招标文件规定的小微企业、监狱企业、残疾人福利性单位优惠条件的投标供应商，价格给予15%的扣除，用扣除后的价格参与评审（专门面向中小企业的项目，不享受价格折扣优惠。）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非实质性偏离是指投标文件在实质上响应招标文件的要求，但在个别地方存在一些不规则、不一致、不完整的内容，并且澄清、说明或者补正这些内容不会改变投标文件的实质性内容。以下情况属于非实质性偏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（1）文字表述的内容含义不明确；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（2）同类问题表述不一致；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（3）有明显文字和计算错误；</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（4）提供的技术信息和数据资料不完整；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（5）投标文件未按招标文件要求进行装订或未编制目录、页码；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（6）评标委员会认定的其他非实质性偏离。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有上述（1）至（4）情形之一的，评标委员会应当书面要求投标供应商在规定的时间内予以澄清、说明或补正。投标供应商拒不或在规定的时间内没有进行澄清、说明或补正或澄清、说明、补正的内容也不能说明问题的，视为投标文件制作不规范，按每一项非实质性偏离进行扣分处理，直至该项分值扣完为止。</w:t>
      </w:r>
    </w:p>
    <w:p>
      <w:pPr>
        <w:tabs>
          <w:tab w:val="left" w:pos="7665"/>
        </w:tabs>
        <w:spacing w:line="360" w:lineRule="auto"/>
        <w:ind w:firstLine="482" w:firstLineChars="200"/>
        <w:rPr>
          <w:rFonts w:cs="宋体" w:asciiTheme="minorEastAsia" w:hAnsiTheme="minorEastAsia" w:eastAsiaTheme="minorEastAsia"/>
          <w:b/>
          <w:bCs/>
          <w:sz w:val="24"/>
        </w:rPr>
      </w:pPr>
      <w:bookmarkStart w:id="193" w:name="_Toc7342_WPSOffice_Level1"/>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ind w:firstLine="482" w:firstLineChars="200"/>
        <w:jc w:val="center"/>
        <w:rPr>
          <w:rFonts w:cs="宋体" w:asciiTheme="minorEastAsia" w:hAnsiTheme="minorEastAsia" w:eastAsiaTheme="minorEastAsia"/>
          <w:b/>
          <w:bCs/>
          <w:sz w:val="24"/>
        </w:rPr>
        <w:sectPr>
          <w:pgSz w:w="11907" w:h="16840"/>
          <w:pgMar w:top="1474" w:right="1587" w:bottom="1474" w:left="1587" w:header="851" w:footer="992" w:gutter="0"/>
          <w:cols w:space="720" w:num="1"/>
          <w:titlePg/>
        </w:sectPr>
      </w:pPr>
    </w:p>
    <w:bookmarkEnd w:id="193"/>
    <w:p>
      <w:pPr>
        <w:tabs>
          <w:tab w:val="left" w:pos="7665"/>
        </w:tabs>
        <w:spacing w:line="360" w:lineRule="auto"/>
        <w:jc w:val="center"/>
        <w:rPr>
          <w:rFonts w:cs="宋体" w:asciiTheme="minorEastAsia" w:hAnsiTheme="minorEastAsia" w:eastAsiaTheme="minorEastAsia"/>
          <w:b/>
          <w:bCs/>
          <w:sz w:val="24"/>
        </w:rPr>
      </w:pPr>
      <w:bookmarkStart w:id="194" w:name="_Toc1570_WPSOffice_Level1"/>
    </w:p>
    <w:p>
      <w:pPr>
        <w:tabs>
          <w:tab w:val="left" w:pos="7665"/>
        </w:tabs>
        <w:spacing w:line="360" w:lineRule="auto"/>
        <w:jc w:val="center"/>
      </w:pPr>
      <w:r>
        <w:rPr>
          <w:rFonts w:hint="eastAsia" w:cs="宋体" w:asciiTheme="minorEastAsia" w:hAnsiTheme="minorEastAsia" w:eastAsiaTheme="minorEastAsia"/>
          <w:b/>
          <w:bCs/>
          <w:sz w:val="24"/>
        </w:rPr>
        <w:t>综合评分明细表</w:t>
      </w:r>
    </w:p>
    <w:tbl>
      <w:tblPr>
        <w:tblStyle w:val="29"/>
        <w:tblW w:w="96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451"/>
        <w:gridCol w:w="5868"/>
        <w:gridCol w:w="9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1" w:hRule="atLeast"/>
          <w:tblHeader/>
        </w:trPr>
        <w:tc>
          <w:tcPr>
            <w:tcW w:w="1306" w:type="dxa"/>
            <w:vAlign w:val="center"/>
          </w:tcPr>
          <w:p>
            <w:pPr>
              <w:jc w:val="center"/>
              <w:rPr>
                <w:b/>
                <w:bCs/>
                <w:sz w:val="24"/>
              </w:rPr>
            </w:pPr>
            <w:r>
              <w:rPr>
                <w:rFonts w:hint="eastAsia"/>
                <w:b/>
                <w:bCs/>
                <w:sz w:val="24"/>
              </w:rPr>
              <w:t>评标项目</w:t>
            </w:r>
          </w:p>
        </w:tc>
        <w:tc>
          <w:tcPr>
            <w:tcW w:w="1451" w:type="dxa"/>
            <w:vAlign w:val="center"/>
          </w:tcPr>
          <w:p>
            <w:pPr>
              <w:jc w:val="center"/>
              <w:rPr>
                <w:b/>
                <w:bCs/>
                <w:sz w:val="24"/>
              </w:rPr>
            </w:pPr>
            <w:r>
              <w:rPr>
                <w:rFonts w:hint="eastAsia"/>
                <w:b/>
                <w:bCs/>
                <w:sz w:val="24"/>
              </w:rPr>
              <w:t>评标分项</w:t>
            </w:r>
          </w:p>
        </w:tc>
        <w:tc>
          <w:tcPr>
            <w:tcW w:w="5868" w:type="dxa"/>
            <w:vAlign w:val="center"/>
          </w:tcPr>
          <w:p>
            <w:pPr>
              <w:jc w:val="center"/>
              <w:rPr>
                <w:b/>
                <w:bCs/>
                <w:sz w:val="24"/>
              </w:rPr>
            </w:pPr>
            <w:r>
              <w:rPr>
                <w:rFonts w:hint="eastAsia"/>
                <w:b/>
                <w:bCs/>
                <w:sz w:val="24"/>
              </w:rPr>
              <w:t>评标分项及分值</w:t>
            </w:r>
          </w:p>
        </w:tc>
        <w:tc>
          <w:tcPr>
            <w:tcW w:w="992" w:type="dxa"/>
            <w:vAlign w:val="center"/>
          </w:tcPr>
          <w:p>
            <w:pPr>
              <w:jc w:val="center"/>
              <w:rPr>
                <w:b/>
                <w:bCs/>
                <w:sz w:val="24"/>
              </w:rPr>
            </w:pPr>
            <w:r>
              <w:rPr>
                <w:rFonts w:hint="eastAsia"/>
                <w:b/>
                <w:bCs/>
                <w:sz w:val="24"/>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06" w:type="dxa"/>
            <w:vAlign w:val="center"/>
          </w:tcPr>
          <w:p>
            <w:pPr>
              <w:jc w:val="center"/>
              <w:rPr>
                <w:rFonts w:ascii="宋体" w:hAnsi="宋体" w:cs="宋体"/>
                <w:sz w:val="24"/>
              </w:rPr>
            </w:pPr>
            <w:r>
              <w:rPr>
                <w:rFonts w:hint="eastAsia" w:ascii="宋体" w:hAnsi="宋体" w:cs="宋体"/>
                <w:sz w:val="24"/>
              </w:rPr>
              <w:t>价格部分</w:t>
            </w:r>
          </w:p>
          <w:p>
            <w:pPr>
              <w:jc w:val="center"/>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0分）</w:t>
            </w:r>
          </w:p>
        </w:tc>
        <w:tc>
          <w:tcPr>
            <w:tcW w:w="1451" w:type="dxa"/>
            <w:vAlign w:val="center"/>
          </w:tcPr>
          <w:p>
            <w:pPr>
              <w:jc w:val="center"/>
              <w:rPr>
                <w:rFonts w:ascii="宋体" w:hAnsi="宋体" w:cs="宋体"/>
                <w:bCs/>
                <w:sz w:val="24"/>
              </w:rPr>
            </w:pPr>
            <w:r>
              <w:rPr>
                <w:rFonts w:hint="eastAsia" w:ascii="宋体" w:hAnsi="宋体" w:cs="宋体"/>
                <w:bCs/>
                <w:sz w:val="24"/>
              </w:rPr>
              <w:t>计算投标报价得分</w:t>
            </w:r>
          </w:p>
        </w:tc>
        <w:tc>
          <w:tcPr>
            <w:tcW w:w="5868" w:type="dxa"/>
            <w:vAlign w:val="center"/>
          </w:tcPr>
          <w:p>
            <w:pPr>
              <w:jc w:val="left"/>
              <w:rPr>
                <w:rFonts w:ascii="宋体" w:hAnsi="宋体" w:cs="宋体"/>
                <w:sz w:val="24"/>
              </w:rPr>
            </w:pPr>
            <w:r>
              <w:rPr>
                <w:rFonts w:hint="eastAsia" w:ascii="宋体" w:hAnsi="宋体" w:cs="宋体"/>
                <w:sz w:val="24"/>
              </w:rPr>
              <w:t xml:space="preserve">满足招标文件要求且投标价格最低的投标报价（投标总报价）为评标基准价，其价格为 </w:t>
            </w:r>
            <w:r>
              <w:rPr>
                <w:rFonts w:ascii="宋体" w:hAnsi="宋体" w:cs="宋体"/>
                <w:sz w:val="24"/>
              </w:rPr>
              <w:t>1</w:t>
            </w:r>
            <w:r>
              <w:rPr>
                <w:rFonts w:hint="eastAsia" w:ascii="宋体" w:hAnsi="宋体" w:cs="宋体"/>
                <w:sz w:val="24"/>
              </w:rPr>
              <w:t>0分。其他投标人的价格分按照下列公式计算：投标报价得分＝（评标基准价/投标报价）×</w:t>
            </w:r>
            <w:r>
              <w:rPr>
                <w:rFonts w:ascii="宋体" w:hAnsi="宋体" w:cs="宋体"/>
                <w:sz w:val="24"/>
              </w:rPr>
              <w:t>1</w:t>
            </w:r>
            <w:r>
              <w:rPr>
                <w:rFonts w:hint="eastAsia" w:ascii="宋体" w:hAnsi="宋体" w:cs="宋体"/>
                <w:sz w:val="24"/>
              </w:rPr>
              <w:t>0%×100。</w:t>
            </w:r>
          </w:p>
        </w:tc>
        <w:tc>
          <w:tcPr>
            <w:tcW w:w="992" w:type="dxa"/>
            <w:vAlign w:val="center"/>
          </w:tcPr>
          <w:p>
            <w:pPr>
              <w:jc w:val="center"/>
              <w:rPr>
                <w:rFonts w:ascii="宋体" w:hAnsi="宋体" w:cs="宋体"/>
                <w:sz w:val="24"/>
              </w:rPr>
            </w:pPr>
            <w:r>
              <w:rPr>
                <w:rFonts w:ascii="宋体" w:hAnsi="宋体" w:cs="宋体"/>
                <w:sz w:val="24"/>
              </w:rPr>
              <w:t>1</w:t>
            </w:r>
            <w:r>
              <w:rPr>
                <w:rFonts w:hint="eastAsia" w:ascii="宋体" w:hAnsi="宋体" w:cs="宋体"/>
                <w:sz w:val="24"/>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06" w:type="dxa"/>
            <w:vMerge w:val="restart"/>
            <w:vAlign w:val="center"/>
          </w:tcPr>
          <w:p>
            <w:pPr>
              <w:jc w:val="center"/>
              <w:rPr>
                <w:rFonts w:ascii="宋体" w:hAnsi="宋体" w:cs="宋体"/>
                <w:sz w:val="24"/>
              </w:rPr>
            </w:pPr>
            <w:r>
              <w:rPr>
                <w:rFonts w:hint="eastAsia" w:ascii="宋体" w:hAnsi="宋体" w:cs="宋体"/>
                <w:sz w:val="24"/>
              </w:rPr>
              <w:t>商务部分</w:t>
            </w:r>
          </w:p>
          <w:p>
            <w:pPr>
              <w:jc w:val="center"/>
              <w:rPr>
                <w:rFonts w:ascii="宋体" w:hAnsi="宋体" w:cs="宋体"/>
                <w:sz w:val="24"/>
              </w:rPr>
            </w:pPr>
            <w:r>
              <w:rPr>
                <w:rFonts w:hint="eastAsia" w:ascii="宋体" w:hAnsi="宋体" w:cs="宋体"/>
                <w:sz w:val="24"/>
              </w:rPr>
              <w:t>（</w:t>
            </w:r>
            <w:r>
              <w:rPr>
                <w:rFonts w:hint="eastAsia" w:ascii="宋体" w:hAnsi="宋体" w:cs="宋体"/>
                <w:sz w:val="24"/>
                <w:lang w:val="en-US" w:eastAsia="zh-CN"/>
              </w:rPr>
              <w:t>35</w:t>
            </w:r>
            <w:r>
              <w:rPr>
                <w:rFonts w:hint="eastAsia" w:ascii="宋体" w:hAnsi="宋体" w:cs="宋体"/>
                <w:sz w:val="24"/>
              </w:rPr>
              <w:t>分）</w:t>
            </w:r>
          </w:p>
        </w:tc>
        <w:tc>
          <w:tcPr>
            <w:tcW w:w="1451" w:type="dxa"/>
            <w:vAlign w:val="center"/>
          </w:tcPr>
          <w:p>
            <w:pPr>
              <w:jc w:val="center"/>
              <w:rPr>
                <w:rFonts w:ascii="宋体" w:hAnsi="宋体" w:cs="宋体"/>
                <w:bCs/>
                <w:sz w:val="24"/>
              </w:rPr>
            </w:pPr>
            <w:r>
              <w:rPr>
                <w:rFonts w:hint="eastAsia" w:ascii="宋体" w:hAnsi="宋体" w:cs="宋体"/>
                <w:bCs/>
                <w:sz w:val="24"/>
              </w:rPr>
              <w:t>投标文件的规范性及完整性</w:t>
            </w:r>
          </w:p>
        </w:tc>
        <w:tc>
          <w:tcPr>
            <w:tcW w:w="5868" w:type="dxa"/>
            <w:vAlign w:val="center"/>
          </w:tcPr>
          <w:p>
            <w:pPr>
              <w:jc w:val="left"/>
              <w:rPr>
                <w:rFonts w:ascii="宋体" w:hAnsi="宋体" w:cs="宋体"/>
                <w:sz w:val="24"/>
              </w:rPr>
            </w:pPr>
            <w:r>
              <w:rPr>
                <w:rFonts w:hint="eastAsia" w:ascii="宋体" w:hAnsi="宋体" w:cs="宋体"/>
                <w:sz w:val="24"/>
              </w:rPr>
              <w:t>投标文件制作规范，编制完整、详细、清晰；逐页有连续页码，有详细目录和评分索引，查阅方便，【0-</w:t>
            </w:r>
            <w:r>
              <w:rPr>
                <w:rFonts w:hint="eastAsia" w:ascii="宋体" w:hAnsi="宋体" w:cs="宋体"/>
                <w:sz w:val="24"/>
                <w:lang w:val="en-US" w:eastAsia="zh-CN"/>
              </w:rPr>
              <w:t>6</w:t>
            </w:r>
            <w:r>
              <w:rPr>
                <w:rFonts w:hint="eastAsia" w:ascii="宋体" w:hAnsi="宋体" w:cs="宋体"/>
                <w:sz w:val="24"/>
              </w:rPr>
              <w:t>】分。</w:t>
            </w:r>
          </w:p>
        </w:tc>
        <w:tc>
          <w:tcPr>
            <w:tcW w:w="992"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06" w:type="dxa"/>
            <w:vMerge w:val="continue"/>
            <w:vAlign w:val="center"/>
          </w:tcPr>
          <w:p>
            <w:pPr>
              <w:jc w:val="center"/>
              <w:rPr>
                <w:rFonts w:ascii="宋体" w:hAnsi="宋体" w:cs="宋体"/>
                <w:sz w:val="24"/>
              </w:rPr>
            </w:pPr>
          </w:p>
        </w:tc>
        <w:tc>
          <w:tcPr>
            <w:tcW w:w="1451" w:type="dxa"/>
            <w:vAlign w:val="center"/>
          </w:tcPr>
          <w:p>
            <w:pPr>
              <w:jc w:val="center"/>
              <w:rPr>
                <w:rFonts w:ascii="宋体" w:hAnsi="宋体" w:cs="宋体"/>
                <w:bCs/>
                <w:sz w:val="24"/>
              </w:rPr>
            </w:pPr>
            <w:r>
              <w:rPr>
                <w:rFonts w:hint="eastAsia" w:ascii="宋体" w:hAnsi="宋体" w:cs="宋体"/>
                <w:bCs/>
                <w:sz w:val="24"/>
              </w:rPr>
              <w:t>商务响应</w:t>
            </w:r>
          </w:p>
        </w:tc>
        <w:tc>
          <w:tcPr>
            <w:tcW w:w="5868" w:type="dxa"/>
            <w:vAlign w:val="center"/>
          </w:tcPr>
          <w:p>
            <w:pPr>
              <w:jc w:val="left"/>
              <w:rPr>
                <w:rFonts w:ascii="宋体" w:hAnsi="宋体" w:cs="宋体"/>
                <w:sz w:val="24"/>
              </w:rPr>
            </w:pPr>
            <w:r>
              <w:rPr>
                <w:rFonts w:hint="eastAsia" w:ascii="宋体" w:hAnsi="宋体" w:cs="宋体"/>
                <w:sz w:val="24"/>
              </w:rPr>
              <w:t>响应文件对付款、服务响应、服务期、培训等商务要求进行响应说明，按其响应程度计【0-</w:t>
            </w:r>
            <w:r>
              <w:rPr>
                <w:rFonts w:ascii="宋体" w:hAnsi="宋体" w:cs="宋体"/>
                <w:sz w:val="24"/>
              </w:rPr>
              <w:t>5</w:t>
            </w:r>
            <w:r>
              <w:rPr>
                <w:rFonts w:hint="eastAsia" w:ascii="宋体" w:hAnsi="宋体" w:cs="宋体"/>
                <w:sz w:val="24"/>
              </w:rPr>
              <w:t xml:space="preserve">】分。 </w:t>
            </w:r>
          </w:p>
        </w:tc>
        <w:tc>
          <w:tcPr>
            <w:tcW w:w="992" w:type="dxa"/>
            <w:vAlign w:val="center"/>
          </w:tcPr>
          <w:p>
            <w:pPr>
              <w:jc w:val="center"/>
              <w:rPr>
                <w:rFonts w:ascii="宋体" w:hAnsi="宋体" w:cs="宋体"/>
                <w:sz w:val="24"/>
              </w:rPr>
            </w:pPr>
            <w:r>
              <w:rPr>
                <w:rFonts w:ascii="宋体" w:hAnsi="宋体" w:cs="宋体"/>
                <w:sz w:val="24"/>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6" w:type="dxa"/>
            <w:vMerge w:val="continue"/>
            <w:vAlign w:val="center"/>
          </w:tcPr>
          <w:p>
            <w:pPr>
              <w:jc w:val="center"/>
              <w:rPr>
                <w:rFonts w:ascii="宋体" w:hAnsi="宋体" w:cs="宋体"/>
                <w:sz w:val="24"/>
              </w:rPr>
            </w:pPr>
          </w:p>
        </w:tc>
        <w:tc>
          <w:tcPr>
            <w:tcW w:w="1451" w:type="dxa"/>
            <w:vAlign w:val="center"/>
          </w:tcPr>
          <w:p>
            <w:pPr>
              <w:jc w:val="center"/>
              <w:rPr>
                <w:rFonts w:ascii="宋体" w:hAnsi="宋体" w:cs="宋体"/>
                <w:bCs/>
                <w:sz w:val="24"/>
              </w:rPr>
            </w:pPr>
            <w:r>
              <w:rPr>
                <w:rFonts w:hint="eastAsia" w:ascii="宋体" w:hAnsi="宋体" w:cs="宋体"/>
                <w:bCs/>
                <w:sz w:val="24"/>
              </w:rPr>
              <w:t>业绩</w:t>
            </w:r>
          </w:p>
        </w:tc>
        <w:tc>
          <w:tcPr>
            <w:tcW w:w="5868" w:type="dxa"/>
            <w:vAlign w:val="center"/>
          </w:tcPr>
          <w:p>
            <w:pPr>
              <w:jc w:val="left"/>
              <w:rPr>
                <w:rFonts w:ascii="宋体" w:hAnsi="宋体" w:cs="宋体"/>
                <w:sz w:val="24"/>
              </w:rPr>
            </w:pPr>
            <w:r>
              <w:rPr>
                <w:rFonts w:hint="eastAsia" w:ascii="宋体" w:hAnsi="宋体" w:cs="宋体"/>
                <w:sz w:val="24"/>
              </w:rPr>
              <w:t>投标人应具备足够的相关服务项目运营经验，需提供自2</w:t>
            </w:r>
            <w:r>
              <w:rPr>
                <w:rFonts w:ascii="宋体" w:hAnsi="宋体" w:cs="宋体"/>
                <w:sz w:val="24"/>
              </w:rPr>
              <w:t>020</w:t>
            </w:r>
            <w:r>
              <w:rPr>
                <w:rFonts w:hint="eastAsia" w:ascii="宋体" w:hAnsi="宋体" w:cs="宋体"/>
                <w:sz w:val="24"/>
              </w:rPr>
              <w:t>年1月起签订的无线电管理机构技术设备专业服务项目同类业绩的有效证明文件，每份得2分。最高得</w:t>
            </w:r>
            <w:r>
              <w:rPr>
                <w:rFonts w:ascii="宋体" w:hAnsi="宋体" w:cs="宋体"/>
                <w:sz w:val="24"/>
              </w:rPr>
              <w:t>10</w:t>
            </w:r>
            <w:r>
              <w:rPr>
                <w:rFonts w:hint="eastAsia" w:ascii="宋体" w:hAnsi="宋体" w:cs="宋体"/>
                <w:sz w:val="24"/>
              </w:rPr>
              <w:t>分。</w:t>
            </w:r>
          </w:p>
          <w:p>
            <w:pPr>
              <w:jc w:val="left"/>
              <w:rPr>
                <w:rFonts w:ascii="宋体" w:hAnsi="宋体" w:cs="宋体"/>
                <w:sz w:val="24"/>
              </w:rPr>
            </w:pPr>
            <w:r>
              <w:rPr>
                <w:rFonts w:hint="eastAsia" w:ascii="宋体" w:hAnsi="宋体" w:cs="宋体"/>
                <w:sz w:val="24"/>
              </w:rPr>
              <w:t>有效证明文件包括： ①中标(成交)公告(提供相关网站中标(成交)公告的下载网页及其网址)； ②中标(成交)通知书复印件； ③采购合同文本复印件；如未按照招标文件要求提供该项业绩完整资料的，评委会对该项业绩将不予采信。</w:t>
            </w:r>
          </w:p>
        </w:tc>
        <w:tc>
          <w:tcPr>
            <w:tcW w:w="992" w:type="dxa"/>
            <w:vAlign w:val="center"/>
          </w:tcPr>
          <w:p>
            <w:pPr>
              <w:jc w:val="center"/>
              <w:rPr>
                <w:rFonts w:ascii="宋体" w:hAnsi="宋体" w:cs="宋体"/>
                <w:sz w:val="24"/>
              </w:rPr>
            </w:pPr>
            <w:r>
              <w:rPr>
                <w:rFonts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06" w:type="dxa"/>
            <w:vMerge w:val="continue"/>
            <w:vAlign w:val="center"/>
          </w:tcPr>
          <w:p>
            <w:pPr>
              <w:jc w:val="center"/>
              <w:rPr>
                <w:rFonts w:ascii="宋体" w:hAnsi="宋体" w:cs="宋体"/>
                <w:sz w:val="24"/>
              </w:rPr>
            </w:pPr>
          </w:p>
        </w:tc>
        <w:tc>
          <w:tcPr>
            <w:tcW w:w="1451" w:type="dxa"/>
            <w:vAlign w:val="center"/>
          </w:tcPr>
          <w:p>
            <w:pPr>
              <w:jc w:val="center"/>
              <w:rPr>
                <w:rFonts w:ascii="宋体" w:hAnsi="宋体" w:cs="宋体"/>
                <w:bCs/>
                <w:sz w:val="24"/>
              </w:rPr>
            </w:pPr>
            <w:r>
              <w:rPr>
                <w:rFonts w:hint="eastAsia" w:ascii="宋体" w:hAnsi="宋体" w:cs="宋体"/>
                <w:bCs/>
                <w:sz w:val="24"/>
              </w:rPr>
              <w:t>企业实力</w:t>
            </w:r>
          </w:p>
        </w:tc>
        <w:tc>
          <w:tcPr>
            <w:tcW w:w="5868" w:type="dxa"/>
            <w:vAlign w:val="center"/>
          </w:tcPr>
          <w:p>
            <w:pPr>
              <w:jc w:val="left"/>
              <w:rPr>
                <w:rFonts w:ascii="宋体" w:hAnsi="宋体" w:cs="宋体"/>
                <w:sz w:val="24"/>
              </w:rPr>
            </w:pPr>
            <w:r>
              <w:rPr>
                <w:rFonts w:hint="eastAsia" w:ascii="宋体" w:hAnsi="宋体" w:cs="宋体"/>
                <w:sz w:val="24"/>
              </w:rPr>
              <w:t>投标人具有GB/T27922-2011商品售后服务认证证书、业务范围包含检测系统且达到五星级别的得</w:t>
            </w:r>
            <w:r>
              <w:rPr>
                <w:rFonts w:hint="eastAsia" w:ascii="宋体" w:hAnsi="宋体" w:cs="宋体"/>
                <w:sz w:val="24"/>
                <w:lang w:val="en-US" w:eastAsia="zh-CN"/>
              </w:rPr>
              <w:t>4</w:t>
            </w:r>
            <w:r>
              <w:rPr>
                <w:rFonts w:hint="eastAsia" w:ascii="宋体" w:hAnsi="宋体" w:cs="宋体"/>
                <w:sz w:val="24"/>
              </w:rPr>
              <w:t>分，投标文件附有有效期内的证书清晰复印件并加盖投标人公章，未提供、级别不达五星或提供无效的不得分。</w:t>
            </w:r>
          </w:p>
          <w:p>
            <w:pPr>
              <w:jc w:val="left"/>
              <w:rPr>
                <w:rFonts w:ascii="宋体" w:hAnsi="宋体" w:cs="宋体"/>
                <w:sz w:val="24"/>
              </w:rPr>
            </w:pPr>
            <w:r>
              <w:rPr>
                <w:rFonts w:hint="eastAsia" w:ascii="宋体" w:hAnsi="宋体" w:cs="宋体"/>
                <w:sz w:val="24"/>
              </w:rPr>
              <w:t>投标人具有信息安全服务资质（CCRC）的得</w:t>
            </w:r>
            <w:r>
              <w:rPr>
                <w:rFonts w:hint="eastAsia" w:ascii="宋体" w:hAnsi="宋体" w:cs="宋体"/>
                <w:sz w:val="24"/>
                <w:lang w:val="en-US" w:eastAsia="zh-CN"/>
              </w:rPr>
              <w:t>4</w:t>
            </w:r>
            <w:r>
              <w:rPr>
                <w:rFonts w:hint="eastAsia" w:ascii="宋体" w:hAnsi="宋体" w:cs="宋体"/>
                <w:sz w:val="24"/>
              </w:rPr>
              <w:t>分，投标文件附有有效期内的授权函清晰复印件并加盖投标人公章，未提供或提供无效的不得分。</w:t>
            </w:r>
          </w:p>
          <w:p>
            <w:pPr>
              <w:jc w:val="left"/>
              <w:rPr>
                <w:rFonts w:ascii="宋体" w:hAnsi="宋体" w:cs="宋体"/>
                <w:sz w:val="24"/>
              </w:rPr>
            </w:pPr>
            <w:r>
              <w:rPr>
                <w:rFonts w:hint="eastAsia" w:ascii="宋体" w:hAnsi="宋体" w:cs="宋体"/>
                <w:sz w:val="24"/>
              </w:rPr>
              <w:t>投标人具有保密类资质的得</w:t>
            </w:r>
            <w:r>
              <w:rPr>
                <w:rFonts w:hint="eastAsia" w:ascii="宋体" w:hAnsi="宋体" w:cs="宋体"/>
                <w:sz w:val="24"/>
                <w:lang w:val="en-US" w:eastAsia="zh-CN"/>
              </w:rPr>
              <w:t>3</w:t>
            </w:r>
            <w:r>
              <w:rPr>
                <w:rFonts w:hint="eastAsia" w:ascii="宋体" w:hAnsi="宋体" w:cs="宋体"/>
                <w:sz w:val="24"/>
              </w:rPr>
              <w:t>分，投标文件附有有效期内的证书清晰复印件并加盖投标人公章，未提供或提供无效的不得分。</w:t>
            </w:r>
          </w:p>
          <w:p>
            <w:pPr>
              <w:jc w:val="left"/>
              <w:rPr>
                <w:rFonts w:ascii="宋体" w:hAnsi="宋体" w:cs="宋体"/>
                <w:sz w:val="24"/>
              </w:rPr>
            </w:pPr>
            <w:r>
              <w:rPr>
                <w:rFonts w:hint="eastAsia" w:ascii="宋体" w:hAnsi="宋体" w:cs="宋体"/>
                <w:sz w:val="24"/>
              </w:rPr>
              <w:t>投标人获得信息系统建设和服务能力（CS</w:t>
            </w:r>
            <w:r>
              <w:rPr>
                <w:rFonts w:ascii="宋体" w:hAnsi="宋体" w:cs="宋体"/>
                <w:sz w:val="24"/>
              </w:rPr>
              <w:t>2</w:t>
            </w:r>
            <w:r>
              <w:rPr>
                <w:rFonts w:hint="eastAsia" w:ascii="宋体" w:hAnsi="宋体" w:cs="宋体"/>
                <w:sz w:val="24"/>
              </w:rPr>
              <w:t>级及以上）得</w:t>
            </w:r>
            <w:r>
              <w:rPr>
                <w:rFonts w:hint="eastAsia" w:ascii="宋体" w:hAnsi="宋体" w:cs="宋体"/>
                <w:sz w:val="24"/>
                <w:lang w:val="en-US" w:eastAsia="zh-CN"/>
              </w:rPr>
              <w:t>3</w:t>
            </w:r>
            <w:r>
              <w:rPr>
                <w:rFonts w:hint="eastAsia" w:ascii="宋体" w:hAnsi="宋体" w:cs="宋体"/>
                <w:sz w:val="24"/>
              </w:rPr>
              <w:t>分，投标文件附有有效期内的证书清晰复印件并加盖投标人公章，未提供或提供无效的不得分。</w:t>
            </w:r>
          </w:p>
        </w:tc>
        <w:tc>
          <w:tcPr>
            <w:tcW w:w="992" w:type="dxa"/>
            <w:vAlign w:val="center"/>
          </w:tcPr>
          <w:p>
            <w:pPr>
              <w:jc w:val="center"/>
              <w:rPr>
                <w:rFonts w:hint="eastAsia" w:ascii="宋体" w:hAnsi="宋体" w:eastAsia="宋体" w:cs="宋体"/>
                <w:sz w:val="24"/>
                <w:lang w:eastAsia="zh-CN"/>
              </w:rPr>
            </w:pPr>
            <w:r>
              <w:rPr>
                <w:rFonts w:ascii="宋体" w:hAnsi="宋体" w:cs="宋体"/>
                <w:sz w:val="24"/>
              </w:rPr>
              <w:t>1</w:t>
            </w:r>
            <w:r>
              <w:rPr>
                <w:rFonts w:hint="eastAsia" w:ascii="宋体" w:hAnsi="宋体" w:cs="宋体"/>
                <w:sz w:val="24"/>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06" w:type="dxa"/>
            <w:vMerge w:val="restart"/>
            <w:vAlign w:val="center"/>
          </w:tcPr>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r>
              <w:rPr>
                <w:rFonts w:hint="eastAsia"/>
                <w:sz w:val="24"/>
              </w:rPr>
              <w:t>技术服务方案</w:t>
            </w:r>
          </w:p>
          <w:p>
            <w:pPr>
              <w:jc w:val="both"/>
              <w:rPr>
                <w:rFonts w:ascii="宋体" w:hAnsi="宋体" w:cs="宋体"/>
                <w:sz w:val="24"/>
              </w:rPr>
            </w:pPr>
            <w:r>
              <w:rPr>
                <w:rFonts w:hint="eastAsia"/>
                <w:sz w:val="24"/>
              </w:rPr>
              <w:t>（</w:t>
            </w:r>
            <w:r>
              <w:rPr>
                <w:rFonts w:hint="eastAsia"/>
                <w:sz w:val="24"/>
                <w:lang w:val="en-US" w:eastAsia="zh-CN"/>
              </w:rPr>
              <w:t>55</w:t>
            </w:r>
            <w:r>
              <w:rPr>
                <w:rFonts w:hint="eastAsia"/>
                <w:sz w:val="24"/>
              </w:rPr>
              <w:t>分）</w:t>
            </w:r>
          </w:p>
        </w:tc>
        <w:tc>
          <w:tcPr>
            <w:tcW w:w="1451" w:type="dxa"/>
            <w:vAlign w:val="center"/>
          </w:tcPr>
          <w:p>
            <w:pPr>
              <w:jc w:val="center"/>
              <w:rPr>
                <w:sz w:val="24"/>
              </w:rPr>
            </w:pPr>
            <w:r>
              <w:rPr>
                <w:rFonts w:hint="eastAsia"/>
                <w:sz w:val="24"/>
                <w:lang w:eastAsia="zh-CN"/>
              </w:rPr>
              <w:t>技术</w:t>
            </w:r>
            <w:r>
              <w:rPr>
                <w:rFonts w:hint="eastAsia"/>
                <w:sz w:val="24"/>
              </w:rPr>
              <w:t>响应</w:t>
            </w:r>
          </w:p>
        </w:tc>
        <w:tc>
          <w:tcPr>
            <w:tcW w:w="5868" w:type="dxa"/>
            <w:vAlign w:val="center"/>
          </w:tcPr>
          <w:p>
            <w:pPr>
              <w:jc w:val="left"/>
              <w:rPr>
                <w:rFonts w:ascii="宋体" w:hAnsi="宋体" w:cs="宋体"/>
                <w:sz w:val="24"/>
              </w:rPr>
            </w:pPr>
            <w:r>
              <w:rPr>
                <w:rFonts w:hint="eastAsia" w:ascii="宋体" w:hAnsi="宋体" w:cs="宋体"/>
                <w:sz w:val="24"/>
                <w:highlight w:val="none"/>
              </w:rPr>
              <w:t>根据招标文件要求，对投标人所提供服务方案中的服务技术和服务质量等条件进行比较评价：投标人所提供服务方案中</w:t>
            </w:r>
            <w:r>
              <w:rPr>
                <w:rFonts w:hint="eastAsia"/>
                <w:sz w:val="24"/>
                <w:highlight w:val="none"/>
              </w:rPr>
              <w:t>技术内容</w:t>
            </w:r>
            <w:r>
              <w:rPr>
                <w:rFonts w:hint="eastAsia"/>
                <w:sz w:val="24"/>
                <w:highlight w:val="none"/>
                <w:lang w:eastAsia="zh-CN"/>
              </w:rPr>
              <w:t>优于</w:t>
            </w:r>
            <w:r>
              <w:rPr>
                <w:rFonts w:hint="eastAsia"/>
                <w:sz w:val="24"/>
                <w:highlight w:val="none"/>
              </w:rPr>
              <w:t>招标文件要求的，每</w:t>
            </w:r>
            <w:r>
              <w:rPr>
                <w:rFonts w:hint="eastAsia"/>
                <w:sz w:val="24"/>
                <w:highlight w:val="none"/>
                <w:lang w:eastAsia="zh-CN"/>
              </w:rPr>
              <w:t>项得</w:t>
            </w:r>
            <w:r>
              <w:rPr>
                <w:rFonts w:hint="eastAsia"/>
                <w:sz w:val="24"/>
                <w:highlight w:val="none"/>
                <w:lang w:val="en-US" w:eastAsia="zh-CN"/>
              </w:rPr>
              <w:t>2</w:t>
            </w:r>
            <w:r>
              <w:rPr>
                <w:rFonts w:hint="eastAsia"/>
                <w:sz w:val="24"/>
                <w:highlight w:val="none"/>
              </w:rPr>
              <w:t>分，</w:t>
            </w:r>
            <w:r>
              <w:rPr>
                <w:rFonts w:hint="eastAsia"/>
                <w:sz w:val="24"/>
                <w:highlight w:val="none"/>
                <w:lang w:eastAsia="zh-CN"/>
              </w:rPr>
              <w:t>最高得</w:t>
            </w:r>
            <w:r>
              <w:rPr>
                <w:rFonts w:hint="eastAsia"/>
                <w:sz w:val="24"/>
                <w:highlight w:val="none"/>
                <w:lang w:val="en-US" w:eastAsia="zh-CN"/>
              </w:rPr>
              <w:t>10分</w:t>
            </w:r>
            <w:r>
              <w:rPr>
                <w:rFonts w:hint="eastAsia"/>
                <w:sz w:val="24"/>
                <w:highlight w:val="none"/>
              </w:rPr>
              <w:t>。</w:t>
            </w:r>
          </w:p>
        </w:tc>
        <w:tc>
          <w:tcPr>
            <w:tcW w:w="992" w:type="dxa"/>
            <w:vAlign w:val="center"/>
          </w:tcPr>
          <w:p>
            <w:pPr>
              <w:jc w:val="center"/>
              <w:rPr>
                <w:rFonts w:hint="eastAsia" w:ascii="宋体" w:hAnsi="宋体" w:eastAsia="宋体" w:cs="宋体"/>
                <w:sz w:val="24"/>
                <w:lang w:eastAsia="zh-CN"/>
              </w:rPr>
            </w:pPr>
            <w:r>
              <w:rPr>
                <w:rFonts w:ascii="宋体" w:hAnsi="宋体" w:cs="宋体"/>
                <w:sz w:val="24"/>
              </w:rPr>
              <w:t>1</w:t>
            </w:r>
            <w:r>
              <w:rPr>
                <w:rFonts w:hint="eastAsia" w:ascii="宋体" w:hAnsi="宋体" w:cs="宋体"/>
                <w:sz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1306" w:type="dxa"/>
            <w:vMerge w:val="continue"/>
            <w:vAlign w:val="center"/>
          </w:tcPr>
          <w:p>
            <w:pPr>
              <w:jc w:val="center"/>
              <w:rPr>
                <w:sz w:val="24"/>
              </w:rPr>
            </w:pPr>
          </w:p>
        </w:tc>
        <w:tc>
          <w:tcPr>
            <w:tcW w:w="1451" w:type="dxa"/>
            <w:vAlign w:val="center"/>
          </w:tcPr>
          <w:p>
            <w:pPr>
              <w:jc w:val="center"/>
              <w:rPr>
                <w:sz w:val="24"/>
              </w:rPr>
            </w:pPr>
            <w:r>
              <w:rPr>
                <w:rFonts w:hint="eastAsia"/>
                <w:sz w:val="24"/>
              </w:rPr>
              <w:t>实施方案</w:t>
            </w:r>
          </w:p>
        </w:tc>
        <w:tc>
          <w:tcPr>
            <w:tcW w:w="5868" w:type="dxa"/>
            <w:vAlign w:val="center"/>
          </w:tcPr>
          <w:p>
            <w:pPr>
              <w:jc w:val="left"/>
              <w:rPr>
                <w:rFonts w:ascii="宋体" w:hAnsi="宋体" w:cs="宋体"/>
                <w:sz w:val="24"/>
              </w:rPr>
            </w:pPr>
            <w:r>
              <w:rPr>
                <w:rFonts w:hint="eastAsia" w:ascii="宋体" w:hAnsi="宋体" w:cs="宋体"/>
                <w:sz w:val="24"/>
              </w:rPr>
              <w:t>提供运维服务实施方案，包括项目管理、流程管理、备机物料、故障处理等详细方案，按其响应程度得【</w:t>
            </w:r>
            <w:r>
              <w:rPr>
                <w:rFonts w:hint="eastAsia" w:ascii="宋体" w:hAnsi="宋体" w:cs="宋体"/>
                <w:sz w:val="24"/>
                <w:lang w:val="en-US" w:eastAsia="zh-CN"/>
              </w:rPr>
              <w:t>0</w:t>
            </w:r>
            <w:r>
              <w:rPr>
                <w:rFonts w:hint="eastAsia" w:ascii="宋体" w:hAnsi="宋体" w:cs="宋体"/>
                <w:sz w:val="24"/>
              </w:rPr>
              <w:t>-15】分。</w:t>
            </w:r>
          </w:p>
          <w:p>
            <w:pPr>
              <w:jc w:val="left"/>
              <w:rPr>
                <w:rFonts w:ascii="宋体" w:hAnsi="宋体" w:cs="宋体"/>
                <w:sz w:val="24"/>
              </w:rPr>
            </w:pPr>
            <w:r>
              <w:rPr>
                <w:rFonts w:hint="eastAsia" w:ascii="宋体" w:hAnsi="宋体" w:cs="宋体"/>
                <w:sz w:val="24"/>
              </w:rPr>
              <w:t>提供维保技术方案及方法，包括设备具体巡检测试方案，按其响应程度得【</w:t>
            </w:r>
            <w:r>
              <w:rPr>
                <w:rFonts w:hint="eastAsia" w:ascii="宋体" w:hAnsi="宋体" w:cs="宋体"/>
                <w:sz w:val="24"/>
                <w:lang w:val="en-US" w:eastAsia="zh-CN"/>
              </w:rPr>
              <w:t>0</w:t>
            </w:r>
            <w:r>
              <w:rPr>
                <w:rFonts w:hint="eastAsia" w:ascii="宋体" w:hAnsi="宋体" w:cs="宋体"/>
                <w:sz w:val="24"/>
              </w:rPr>
              <w:t>-10】分。</w:t>
            </w:r>
          </w:p>
          <w:p>
            <w:pPr>
              <w:jc w:val="left"/>
              <w:rPr>
                <w:rFonts w:ascii="宋体" w:hAnsi="宋体" w:cs="宋体"/>
                <w:sz w:val="24"/>
              </w:rPr>
            </w:pPr>
            <w:r>
              <w:rPr>
                <w:rFonts w:hint="eastAsia" w:ascii="宋体" w:hAnsi="宋体" w:cs="宋体"/>
                <w:sz w:val="24"/>
              </w:rPr>
              <w:t>提供维保服务要求承诺，按其响应程度得【0-5】分。</w:t>
            </w:r>
          </w:p>
        </w:tc>
        <w:tc>
          <w:tcPr>
            <w:tcW w:w="992" w:type="dxa"/>
            <w:vAlign w:val="center"/>
          </w:tcPr>
          <w:p>
            <w:pPr>
              <w:jc w:val="center"/>
              <w:rPr>
                <w:rFonts w:ascii="宋体" w:hAnsi="宋体" w:cs="宋体"/>
                <w:sz w:val="24"/>
              </w:rPr>
            </w:pPr>
            <w:r>
              <w:rPr>
                <w:rFonts w:hint="eastAsia" w:ascii="宋体" w:hAnsi="宋体" w:cs="宋体"/>
                <w:sz w:val="24"/>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306" w:type="dxa"/>
            <w:vMerge w:val="continue"/>
            <w:vAlign w:val="center"/>
          </w:tcPr>
          <w:p>
            <w:pPr>
              <w:jc w:val="center"/>
              <w:rPr>
                <w:rFonts w:ascii="宋体" w:hAnsi="宋体" w:cs="宋体"/>
                <w:sz w:val="24"/>
              </w:rPr>
            </w:pPr>
          </w:p>
        </w:tc>
        <w:tc>
          <w:tcPr>
            <w:tcW w:w="1451" w:type="dxa"/>
            <w:vAlign w:val="center"/>
          </w:tcPr>
          <w:p>
            <w:pPr>
              <w:jc w:val="center"/>
              <w:rPr>
                <w:rFonts w:ascii="宋体" w:hAnsi="宋体" w:cs="仿宋"/>
                <w:sz w:val="24"/>
              </w:rPr>
            </w:pPr>
            <w:r>
              <w:rPr>
                <w:rFonts w:hint="eastAsia" w:ascii="宋体" w:hAnsi="宋体" w:cs="仿宋"/>
                <w:sz w:val="24"/>
              </w:rPr>
              <w:t>人员配备</w:t>
            </w:r>
          </w:p>
          <w:p>
            <w:pPr>
              <w:jc w:val="center"/>
              <w:rPr>
                <w:rFonts w:ascii="宋体" w:hAnsi="宋体" w:cs="仿宋"/>
                <w:sz w:val="24"/>
              </w:rPr>
            </w:pPr>
            <w:r>
              <w:rPr>
                <w:rFonts w:hint="eastAsia" w:ascii="宋体" w:hAnsi="宋体" w:cs="仿宋"/>
                <w:sz w:val="24"/>
              </w:rPr>
              <w:t>情况</w:t>
            </w:r>
          </w:p>
        </w:tc>
        <w:tc>
          <w:tcPr>
            <w:tcW w:w="5868" w:type="dxa"/>
            <w:vAlign w:val="center"/>
          </w:tcPr>
          <w:p>
            <w:pPr>
              <w:jc w:val="left"/>
              <w:rPr>
                <w:rFonts w:ascii="宋体" w:hAnsi="宋体" w:cs="宋体"/>
                <w:sz w:val="24"/>
              </w:rPr>
            </w:pPr>
            <w:r>
              <w:rPr>
                <w:rFonts w:hint="eastAsia" w:ascii="宋体" w:hAnsi="宋体" w:cs="宋体"/>
                <w:sz w:val="24"/>
              </w:rPr>
              <w:t>供应商针对本项目实施有具体的组织安排，人员配备投入情况，项目团队有明确的组织形式、人员结构、职责任务明确、实施工作计划及人员、时间安排，符合项目实际情况、针对性强，需提供具体的项目组人员清单（至少包括姓名、岗位）。按其响应程度计【0-5】分。</w:t>
            </w:r>
          </w:p>
        </w:tc>
        <w:tc>
          <w:tcPr>
            <w:tcW w:w="992" w:type="dxa"/>
            <w:vAlign w:val="center"/>
          </w:tcPr>
          <w:p>
            <w:pPr>
              <w:jc w:val="center"/>
              <w:rPr>
                <w:rFonts w:ascii="宋体" w:hAnsi="宋体" w:cs="宋体"/>
                <w:sz w:val="24"/>
              </w:rPr>
            </w:pPr>
            <w:r>
              <w:rPr>
                <w:rFonts w:hint="eastAsia" w:ascii="宋体" w:hAnsi="宋体" w:cs="宋体"/>
                <w:sz w:val="24"/>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306" w:type="dxa"/>
            <w:vMerge w:val="continue"/>
            <w:tcBorders>
              <w:bottom w:val="nil"/>
            </w:tcBorders>
            <w:vAlign w:val="center"/>
          </w:tcPr>
          <w:p>
            <w:pPr>
              <w:jc w:val="center"/>
              <w:rPr>
                <w:rFonts w:ascii="宋体" w:hAnsi="宋体" w:cs="宋体"/>
                <w:sz w:val="24"/>
              </w:rPr>
            </w:pPr>
          </w:p>
        </w:tc>
        <w:tc>
          <w:tcPr>
            <w:tcW w:w="1451" w:type="dxa"/>
            <w:vAlign w:val="center"/>
          </w:tcPr>
          <w:p>
            <w:pPr>
              <w:jc w:val="center"/>
              <w:rPr>
                <w:rFonts w:ascii="宋体" w:hAnsi="宋体" w:cs="仿宋"/>
                <w:sz w:val="24"/>
              </w:rPr>
            </w:pPr>
            <w:r>
              <w:rPr>
                <w:rFonts w:hint="eastAsia" w:ascii="宋体" w:hAnsi="宋体" w:cs="仿宋"/>
                <w:sz w:val="24"/>
              </w:rPr>
              <w:t>服务管理</w:t>
            </w:r>
          </w:p>
          <w:p>
            <w:pPr>
              <w:jc w:val="center"/>
              <w:rPr>
                <w:rFonts w:ascii="宋体" w:hAnsi="宋体" w:cs="宋体"/>
                <w:bCs/>
                <w:sz w:val="24"/>
              </w:rPr>
            </w:pPr>
            <w:r>
              <w:rPr>
                <w:rFonts w:hint="eastAsia" w:ascii="宋体" w:hAnsi="宋体" w:cs="仿宋"/>
                <w:sz w:val="24"/>
              </w:rPr>
              <w:t>制度</w:t>
            </w:r>
          </w:p>
        </w:tc>
        <w:tc>
          <w:tcPr>
            <w:tcW w:w="5868" w:type="dxa"/>
            <w:vAlign w:val="center"/>
          </w:tcPr>
          <w:p>
            <w:pPr>
              <w:jc w:val="left"/>
              <w:rPr>
                <w:sz w:val="24"/>
              </w:rPr>
            </w:pPr>
            <w:r>
              <w:rPr>
                <w:rFonts w:hint="eastAsia" w:ascii="宋体" w:hAnsi="宋体" w:cs="宋体"/>
                <w:sz w:val="24"/>
              </w:rPr>
              <w:t>根据投标人的公司维保（服务）项目管理制度完善性、合理性情况进行评审，【0-5】分</w:t>
            </w:r>
          </w:p>
        </w:tc>
        <w:tc>
          <w:tcPr>
            <w:tcW w:w="992" w:type="dxa"/>
            <w:vAlign w:val="center"/>
          </w:tcPr>
          <w:p>
            <w:pPr>
              <w:jc w:val="center"/>
              <w:rPr>
                <w:rFonts w:ascii="宋体" w:hAnsi="宋体" w:cs="宋体"/>
                <w:sz w:val="24"/>
              </w:rPr>
            </w:pPr>
            <w:r>
              <w:rPr>
                <w:rFonts w:ascii="宋体" w:hAnsi="宋体" w:cs="宋体"/>
                <w:sz w:val="24"/>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306" w:type="dxa"/>
            <w:tcBorders>
              <w:top w:val="nil"/>
            </w:tcBorders>
            <w:vAlign w:val="center"/>
          </w:tcPr>
          <w:p>
            <w:pPr>
              <w:jc w:val="left"/>
              <w:rPr>
                <w:rFonts w:ascii="宋体" w:hAnsi="宋体" w:cs="宋体"/>
                <w:sz w:val="24"/>
              </w:rPr>
            </w:pPr>
          </w:p>
        </w:tc>
        <w:tc>
          <w:tcPr>
            <w:tcW w:w="1451" w:type="dxa"/>
            <w:vAlign w:val="center"/>
          </w:tcPr>
          <w:p>
            <w:pPr>
              <w:jc w:val="center"/>
              <w:rPr>
                <w:rFonts w:ascii="宋体" w:hAnsi="宋体" w:cs="宋体"/>
                <w:bCs/>
                <w:sz w:val="24"/>
              </w:rPr>
            </w:pPr>
            <w:r>
              <w:rPr>
                <w:rFonts w:hint="eastAsia" w:ascii="宋体" w:hAnsi="宋体" w:cs="宋体"/>
                <w:bCs/>
                <w:sz w:val="24"/>
              </w:rPr>
              <w:t>培训方案</w:t>
            </w:r>
          </w:p>
        </w:tc>
        <w:tc>
          <w:tcPr>
            <w:tcW w:w="5868" w:type="dxa"/>
            <w:vAlign w:val="center"/>
          </w:tcPr>
          <w:p>
            <w:pPr>
              <w:jc w:val="left"/>
              <w:rPr>
                <w:sz w:val="24"/>
              </w:rPr>
            </w:pPr>
            <w:r>
              <w:rPr>
                <w:rFonts w:hint="eastAsia"/>
                <w:sz w:val="24"/>
              </w:rPr>
              <w:t>提供切实可行的培训计划，并负责为采购人培训操作维护人员，并有完整的培训方案，列出详细的培训内容、培训方式等说明。能够根据采购人要求制定培训方案。按其响应程度打分，计【0-</w:t>
            </w:r>
            <w:r>
              <w:rPr>
                <w:sz w:val="24"/>
              </w:rPr>
              <w:t>5</w:t>
            </w:r>
            <w:r>
              <w:rPr>
                <w:rFonts w:hint="eastAsia"/>
                <w:sz w:val="24"/>
              </w:rPr>
              <w:t>】分。</w:t>
            </w:r>
          </w:p>
        </w:tc>
        <w:tc>
          <w:tcPr>
            <w:tcW w:w="992" w:type="dxa"/>
            <w:vAlign w:val="center"/>
          </w:tcPr>
          <w:p>
            <w:pPr>
              <w:jc w:val="center"/>
              <w:rPr>
                <w:rFonts w:ascii="宋体" w:hAnsi="宋体" w:cs="宋体"/>
                <w:sz w:val="24"/>
              </w:rPr>
            </w:pPr>
            <w:r>
              <w:rPr>
                <w:rFonts w:hint="eastAsia" w:ascii="宋体" w:hAnsi="宋体" w:cs="宋体"/>
                <w:sz w:val="24"/>
              </w:rPr>
              <w:t>5</w:t>
            </w:r>
          </w:p>
        </w:tc>
      </w:tr>
    </w:tbl>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备注：以上评审项，缺项不得分。</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2.3无效投标的认定</w:t>
      </w:r>
      <w:bookmarkEnd w:id="194"/>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在评标过程中，出现下列情形之一的，投标无效：</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（1）投标文件未按照招标文件要求签署、盖章的；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（2）投标文件未按照招标文件规定的格式要求编制的；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（3）不具备招标文件中规定的资格要求的；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（4）投标报价超过了招标文件中规定的预算金额或者最高限价的；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（5）投标内容出现漏项或数量与要求不符的；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（6）投标有效期、服务期限、质保期、售后服务等商务条款不能满足招标文件要求的；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（7）投标文件中附有采购人不能接受的附加条件的；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（8）投标文件的关键内容字迹模糊和无法辨认的；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（9）法律法规和招标文件规定的其他情形的。</w:t>
      </w:r>
    </w:p>
    <w:p>
      <w:pPr>
        <w:tabs>
          <w:tab w:val="left" w:pos="7665"/>
        </w:tabs>
        <w:spacing w:line="360" w:lineRule="auto"/>
        <w:ind w:firstLine="480" w:firstLineChars="200"/>
        <w:rPr>
          <w:rFonts w:cs="宋体" w:asciiTheme="minorEastAsia" w:hAnsiTheme="minorEastAsia" w:eastAsiaTheme="minorEastAsia"/>
          <w:sz w:val="24"/>
        </w:rPr>
      </w:pPr>
      <w:bookmarkStart w:id="195" w:name="_Toc30881_WPSOffice_Level1"/>
      <w:r>
        <w:rPr>
          <w:rFonts w:hint="eastAsia" w:cs="宋体" w:asciiTheme="minorEastAsia" w:hAnsiTheme="minorEastAsia" w:eastAsiaTheme="minorEastAsia"/>
          <w:sz w:val="24"/>
        </w:rPr>
        <w:t>2.4 特殊情况的处理</w:t>
      </w:r>
      <w:bookmarkEnd w:id="19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2.4.1 投标文件中如果出现计算错误，可按以下原则进行修正：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（1）投标文件中的大写金额与小写金额不一致的，以大写金额为准；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（2）投标文件中的总价金额与按单价计算的汇总金额不一致的，以单价计算的汇总金额为准；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（3）投标文件中的单价金额有明显小数点错误的，以总价为准，并修改单价；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（4）投标文件中有关分项表内容与“开标一览表”不一致的，以“开标一览表”为准；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（5）投标文件中图表与文字表述不一致的，以文字表述为准；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（6）投标文件正本与副本不一致的，以正本为准；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（7）对不同文字文本投标文件的解释发生异议的，以中文文本为准。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按上述修正错误的方法调整的投标报价应对投标供应商具有约束力。如果投标供应商不接受修正后的价格，其投标将被拒绝。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2.4.2 投标文件中，若某项有不合理报价（或零报价、漏报价）的，经评标委员会评审后，此项得分为零，不参与投标报价分值的计算。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2.4.3 评标委员会成员打分超过得分界限或未按本办法赋分时，该评标委员会成员的打分，按废票处理。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2.4.4 评标过程中，各种数字的计算结果，均保留两位小数，第三位“四舍五入”，但计算百分数时应精确到千分位，万分位“四舍五入”。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2.4.5 评标过程中，若出现本评标办法以外的特殊情况时，将暂停评标，待评委会商榷后，再进行评定。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2.4.6 评标报告签署后，采购人或者采购代理机构发现存在本章第1.5.2条款情形之一的，应当组织原评标委员会进行重新评审，重新评审改变中标结果的，书面报告本级财政部门。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投标供应商对本章第1.5.2条（1）情形提出质疑的，采购代理机构应当组织原评标委员会进行重新评审，重新评审改变中标结果的，应当书面报告本级财政部门。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2.4.9评标争议处理原则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评标委员会在评审过程中，对投标文件符合性审查、对投标供应商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pPr>
        <w:tabs>
          <w:tab w:val="left" w:pos="7665"/>
        </w:tabs>
        <w:spacing w:line="360" w:lineRule="auto"/>
        <w:ind w:firstLine="480" w:firstLineChars="200"/>
        <w:rPr>
          <w:rFonts w:cs="宋体" w:asciiTheme="minorEastAsia" w:hAnsiTheme="minorEastAsia" w:eastAsiaTheme="minorEastAsia"/>
          <w:sz w:val="24"/>
        </w:rPr>
      </w:pPr>
    </w:p>
    <w:p>
      <w:pPr>
        <w:rPr>
          <w:rFonts w:cs="宋体" w:asciiTheme="minorEastAsia" w:hAnsiTheme="minorEastAsia" w:eastAsiaTheme="minorEastAsia"/>
          <w:b/>
          <w:sz w:val="48"/>
          <w:szCs w:val="44"/>
        </w:rPr>
      </w:pPr>
      <w:bookmarkStart w:id="196" w:name="_Toc25984"/>
      <w:bookmarkStart w:id="197" w:name="_Toc21758"/>
      <w:bookmarkStart w:id="198" w:name="_Toc9592"/>
      <w:bookmarkStart w:id="199" w:name="_Toc31936_WPSOffice_Level1"/>
      <w:bookmarkStart w:id="200" w:name="_Toc13519"/>
      <w:r>
        <w:rPr>
          <w:rFonts w:hint="eastAsia" w:cs="宋体" w:asciiTheme="minorEastAsia" w:hAnsiTheme="minorEastAsia" w:eastAsiaTheme="minorEastAsia"/>
          <w:b/>
          <w:sz w:val="48"/>
          <w:szCs w:val="44"/>
        </w:rPr>
        <w:br w:type="page"/>
      </w:r>
    </w:p>
    <w:p>
      <w:pPr>
        <w:tabs>
          <w:tab w:val="left" w:pos="7665"/>
        </w:tabs>
        <w:spacing w:line="360" w:lineRule="auto"/>
        <w:ind w:firstLine="964" w:firstLineChars="200"/>
        <w:jc w:val="center"/>
        <w:outlineLvl w:val="0"/>
        <w:rPr>
          <w:rFonts w:cs="宋体" w:asciiTheme="minorEastAsia" w:hAnsiTheme="minorEastAsia" w:eastAsiaTheme="minorEastAsia"/>
          <w:b/>
          <w:color w:val="FF0000"/>
          <w:sz w:val="48"/>
          <w:szCs w:val="44"/>
        </w:rPr>
      </w:pPr>
      <w:r>
        <w:rPr>
          <w:rFonts w:hint="eastAsia" w:cs="宋体" w:asciiTheme="minorEastAsia" w:hAnsiTheme="minorEastAsia" w:eastAsiaTheme="minorEastAsia"/>
          <w:b/>
          <w:sz w:val="48"/>
          <w:szCs w:val="44"/>
        </w:rPr>
        <w:t>第四章 采购内容及要求</w:t>
      </w:r>
      <w:bookmarkEnd w:id="183"/>
      <w:bookmarkEnd w:id="196"/>
      <w:bookmarkEnd w:id="197"/>
      <w:bookmarkEnd w:id="198"/>
      <w:bookmarkEnd w:id="199"/>
      <w:bookmarkEnd w:id="200"/>
    </w:p>
    <w:p>
      <w:pPr>
        <w:pStyle w:val="14"/>
        <w:spacing w:line="500" w:lineRule="exact"/>
        <w:ind w:firstLine="0"/>
        <w:outlineLvl w:val="1"/>
        <w:rPr>
          <w:rFonts w:ascii="宋体" w:hAnsi="宋体" w:cs="宋体"/>
          <w:b/>
          <w:bCs/>
          <w:sz w:val="24"/>
          <w:szCs w:val="24"/>
        </w:rPr>
      </w:pPr>
      <w:bookmarkStart w:id="201" w:name="_Toc2549"/>
      <w:bookmarkStart w:id="202" w:name="_Toc30096"/>
      <w:bookmarkStart w:id="203" w:name="_Toc8077"/>
      <w:r>
        <w:rPr>
          <w:rFonts w:hint="eastAsia" w:ascii="宋体" w:hAnsi="宋体"/>
          <w:b/>
          <w:sz w:val="24"/>
          <w:szCs w:val="24"/>
        </w:rPr>
        <w:t>1.项目总体</w:t>
      </w:r>
      <w:r>
        <w:rPr>
          <w:rFonts w:ascii="宋体" w:hAnsi="宋体"/>
          <w:b/>
          <w:sz w:val="24"/>
          <w:szCs w:val="24"/>
        </w:rPr>
        <w:t>要求</w:t>
      </w:r>
    </w:p>
    <w:p>
      <w:pPr>
        <w:spacing w:line="500" w:lineRule="exact"/>
        <w:ind w:firstLine="482" w:firstLineChars="200"/>
        <w:rPr>
          <w:rFonts w:ascii="宋体" w:hAnsi="宋体"/>
          <w:b/>
          <w:sz w:val="24"/>
        </w:rPr>
      </w:pPr>
      <w:r>
        <w:rPr>
          <w:rFonts w:hint="eastAsia" w:ascii="宋体" w:hAnsi="宋体"/>
          <w:b/>
          <w:sz w:val="24"/>
        </w:rPr>
        <w:t>1.1维保范围</w:t>
      </w:r>
    </w:p>
    <w:p>
      <w:pPr>
        <w:spacing w:line="360" w:lineRule="auto"/>
        <w:ind w:firstLine="480" w:firstLineChars="200"/>
        <w:jc w:val="left"/>
        <w:rPr>
          <w:rFonts w:ascii="宋体" w:hAnsi="宋体"/>
          <w:sz w:val="24"/>
        </w:rPr>
      </w:pPr>
      <w:r>
        <w:rPr>
          <w:rFonts w:hint="eastAsia" w:ascii="宋体" w:hAnsi="宋体"/>
          <w:sz w:val="24"/>
        </w:rPr>
        <w:t>负责完成采购人技术设施的巡检、维护工作，确保7×24小时稳定运行，保证日常无线电管理工作顺利开展。维保服务范围要求如下</w:t>
      </w:r>
      <w:r>
        <w:rPr>
          <w:rFonts w:ascii="宋体" w:hAnsi="宋体"/>
          <w:sz w:val="24"/>
        </w:rPr>
        <w:t>：</w:t>
      </w:r>
    </w:p>
    <w:tbl>
      <w:tblPr>
        <w:tblStyle w:val="29"/>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5597"/>
        <w:gridCol w:w="1118"/>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pct"/>
            <w:gridSpan w:val="2"/>
            <w:vMerge w:val="restart"/>
            <w:vAlign w:val="center"/>
          </w:tcPr>
          <w:p>
            <w:pPr>
              <w:ind w:right="-36" w:rightChars="-17"/>
              <w:jc w:val="center"/>
              <w:rPr>
                <w:rFonts w:ascii="宋体" w:hAnsi="宋体"/>
                <w:b/>
                <w:sz w:val="24"/>
              </w:rPr>
            </w:pPr>
            <w:r>
              <w:rPr>
                <w:rFonts w:hint="eastAsia" w:ascii="宋体" w:hAnsi="宋体"/>
                <w:b/>
                <w:sz w:val="24"/>
              </w:rPr>
              <w:t>设备类型</w:t>
            </w:r>
          </w:p>
        </w:tc>
        <w:tc>
          <w:tcPr>
            <w:tcW w:w="648" w:type="pct"/>
            <w:vMerge w:val="restart"/>
            <w:vAlign w:val="center"/>
          </w:tcPr>
          <w:p>
            <w:pPr>
              <w:jc w:val="center"/>
              <w:rPr>
                <w:rFonts w:ascii="宋体" w:hAnsi="宋体"/>
                <w:b/>
                <w:sz w:val="24"/>
              </w:rPr>
            </w:pPr>
            <w:r>
              <w:rPr>
                <w:rFonts w:hint="eastAsia" w:ascii="宋体" w:hAnsi="宋体"/>
                <w:b/>
                <w:sz w:val="24"/>
              </w:rPr>
              <w:t>单位</w:t>
            </w:r>
          </w:p>
        </w:tc>
        <w:tc>
          <w:tcPr>
            <w:tcW w:w="463" w:type="pct"/>
            <w:vMerge w:val="restart"/>
            <w:vAlign w:val="center"/>
          </w:tcPr>
          <w:p>
            <w:pPr>
              <w:jc w:val="center"/>
              <w:rPr>
                <w:rFonts w:ascii="宋体" w:hAnsi="宋体"/>
                <w:b/>
                <w:sz w:val="24"/>
              </w:rPr>
            </w:pPr>
            <w:r>
              <w:rPr>
                <w:rFonts w:hint="eastAsia" w:ascii="宋体" w:hAnsi="宋体"/>
                <w:b/>
                <w:sz w:val="24"/>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pct"/>
            <w:gridSpan w:val="2"/>
            <w:vMerge w:val="continue"/>
            <w:vAlign w:val="center"/>
          </w:tcPr>
          <w:p>
            <w:pPr>
              <w:jc w:val="center"/>
              <w:rPr>
                <w:rFonts w:ascii="宋体" w:hAnsi="宋体"/>
                <w:sz w:val="24"/>
              </w:rPr>
            </w:pPr>
          </w:p>
        </w:tc>
        <w:tc>
          <w:tcPr>
            <w:tcW w:w="648" w:type="pct"/>
            <w:vMerge w:val="continue"/>
            <w:vAlign w:val="center"/>
          </w:tcPr>
          <w:p>
            <w:pPr>
              <w:jc w:val="center"/>
              <w:rPr>
                <w:rFonts w:ascii="宋体" w:hAnsi="宋体"/>
                <w:sz w:val="24"/>
              </w:rPr>
            </w:pPr>
          </w:p>
        </w:tc>
        <w:tc>
          <w:tcPr>
            <w:tcW w:w="463" w:type="pct"/>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46" w:type="pct"/>
            <w:vMerge w:val="restart"/>
            <w:vAlign w:val="center"/>
          </w:tcPr>
          <w:p>
            <w:pPr>
              <w:jc w:val="center"/>
              <w:rPr>
                <w:rFonts w:ascii="宋体" w:hAnsi="宋体"/>
                <w:sz w:val="24"/>
              </w:rPr>
            </w:pPr>
            <w:r>
              <w:rPr>
                <w:rFonts w:hint="eastAsia" w:ascii="宋体" w:hAnsi="宋体"/>
                <w:sz w:val="24"/>
              </w:rPr>
              <w:t>监测</w:t>
            </w:r>
          </w:p>
          <w:p>
            <w:pPr>
              <w:jc w:val="center"/>
              <w:rPr>
                <w:rFonts w:ascii="宋体" w:hAnsi="宋体"/>
                <w:sz w:val="24"/>
              </w:rPr>
            </w:pPr>
            <w:r>
              <w:rPr>
                <w:rFonts w:hint="eastAsia" w:ascii="宋体" w:hAnsi="宋体"/>
                <w:sz w:val="24"/>
              </w:rPr>
              <w:t>设备</w:t>
            </w:r>
          </w:p>
        </w:tc>
        <w:tc>
          <w:tcPr>
            <w:tcW w:w="3243" w:type="pct"/>
            <w:vAlign w:val="center"/>
          </w:tcPr>
          <w:p>
            <w:pPr>
              <w:jc w:val="left"/>
              <w:rPr>
                <w:rFonts w:ascii="宋体" w:hAnsi="宋体"/>
                <w:sz w:val="24"/>
              </w:rPr>
            </w:pPr>
            <w:r>
              <w:rPr>
                <w:rFonts w:hint="eastAsia" w:ascii="宋体" w:hAnsi="宋体"/>
                <w:sz w:val="24"/>
              </w:rPr>
              <w:t>固定无线电监测站</w:t>
            </w:r>
          </w:p>
        </w:tc>
        <w:tc>
          <w:tcPr>
            <w:tcW w:w="648" w:type="pct"/>
            <w:vAlign w:val="center"/>
          </w:tcPr>
          <w:p>
            <w:pPr>
              <w:jc w:val="center"/>
              <w:rPr>
                <w:rFonts w:ascii="宋体" w:hAnsi="宋体"/>
                <w:sz w:val="24"/>
              </w:rPr>
            </w:pPr>
            <w:r>
              <w:rPr>
                <w:rFonts w:hint="eastAsia" w:ascii="宋体" w:hAnsi="宋体"/>
                <w:sz w:val="24"/>
              </w:rPr>
              <w:t>座</w:t>
            </w:r>
          </w:p>
        </w:tc>
        <w:tc>
          <w:tcPr>
            <w:tcW w:w="463" w:type="pct"/>
            <w:vAlign w:val="center"/>
          </w:tcPr>
          <w:p>
            <w:pPr>
              <w:jc w:val="center"/>
              <w:rPr>
                <w:rFonts w:ascii="宋体" w:hAnsi="宋体"/>
                <w:sz w:val="24"/>
              </w:rPr>
            </w:pPr>
            <w:r>
              <w:rPr>
                <w:rFonts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46" w:type="pct"/>
            <w:vMerge w:val="continue"/>
            <w:vAlign w:val="center"/>
          </w:tcPr>
          <w:p>
            <w:pPr>
              <w:jc w:val="center"/>
              <w:rPr>
                <w:rFonts w:ascii="宋体" w:hAnsi="宋体"/>
                <w:sz w:val="24"/>
              </w:rPr>
            </w:pPr>
          </w:p>
        </w:tc>
        <w:tc>
          <w:tcPr>
            <w:tcW w:w="3243" w:type="pct"/>
            <w:vAlign w:val="center"/>
          </w:tcPr>
          <w:p>
            <w:pPr>
              <w:jc w:val="left"/>
              <w:rPr>
                <w:rFonts w:ascii="宋体" w:hAnsi="宋体"/>
                <w:sz w:val="24"/>
              </w:rPr>
            </w:pPr>
            <w:r>
              <w:rPr>
                <w:rFonts w:hint="eastAsia" w:ascii="宋体" w:hAnsi="宋体"/>
                <w:sz w:val="24"/>
              </w:rPr>
              <w:t>移动无线电监测站</w:t>
            </w:r>
          </w:p>
        </w:tc>
        <w:tc>
          <w:tcPr>
            <w:tcW w:w="648" w:type="pct"/>
            <w:vAlign w:val="center"/>
          </w:tcPr>
          <w:p>
            <w:pPr>
              <w:jc w:val="center"/>
              <w:rPr>
                <w:rFonts w:ascii="宋体" w:hAnsi="宋体"/>
                <w:sz w:val="24"/>
              </w:rPr>
            </w:pPr>
            <w:r>
              <w:rPr>
                <w:rFonts w:hint="eastAsia" w:ascii="宋体" w:hAnsi="宋体"/>
                <w:sz w:val="24"/>
              </w:rPr>
              <w:t>辆</w:t>
            </w:r>
          </w:p>
        </w:tc>
        <w:tc>
          <w:tcPr>
            <w:tcW w:w="463" w:type="pct"/>
            <w:vAlign w:val="center"/>
          </w:tcPr>
          <w:p>
            <w:pPr>
              <w:jc w:val="center"/>
              <w:rPr>
                <w:rFonts w:ascii="宋体" w:hAnsi="宋体"/>
                <w:sz w:val="24"/>
              </w:rPr>
            </w:pPr>
            <w:r>
              <w:rPr>
                <w:rFonts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46" w:type="pct"/>
            <w:vMerge w:val="continue"/>
            <w:vAlign w:val="center"/>
          </w:tcPr>
          <w:p>
            <w:pPr>
              <w:jc w:val="center"/>
              <w:rPr>
                <w:rFonts w:ascii="宋体" w:hAnsi="宋体"/>
                <w:sz w:val="24"/>
              </w:rPr>
            </w:pPr>
          </w:p>
        </w:tc>
        <w:tc>
          <w:tcPr>
            <w:tcW w:w="3243" w:type="pct"/>
            <w:vAlign w:val="center"/>
          </w:tcPr>
          <w:p>
            <w:pPr>
              <w:jc w:val="left"/>
              <w:rPr>
                <w:rFonts w:ascii="宋体" w:hAnsi="宋体"/>
                <w:sz w:val="24"/>
              </w:rPr>
            </w:pPr>
            <w:r>
              <w:rPr>
                <w:rFonts w:hint="eastAsia" w:ascii="宋体" w:hAnsi="宋体"/>
                <w:sz w:val="24"/>
              </w:rPr>
              <w:t>宽带信号监测系统（可搬移）</w:t>
            </w:r>
          </w:p>
        </w:tc>
        <w:tc>
          <w:tcPr>
            <w:tcW w:w="648" w:type="pct"/>
            <w:vAlign w:val="center"/>
          </w:tcPr>
          <w:p>
            <w:pPr>
              <w:jc w:val="center"/>
              <w:rPr>
                <w:rFonts w:ascii="宋体" w:hAnsi="宋体"/>
                <w:sz w:val="24"/>
              </w:rPr>
            </w:pPr>
            <w:r>
              <w:rPr>
                <w:rFonts w:hint="eastAsia" w:ascii="宋体" w:hAnsi="宋体"/>
                <w:sz w:val="24"/>
              </w:rPr>
              <w:t>套</w:t>
            </w:r>
          </w:p>
        </w:tc>
        <w:tc>
          <w:tcPr>
            <w:tcW w:w="463" w:type="pct"/>
            <w:vAlign w:val="center"/>
          </w:tcPr>
          <w:p>
            <w:pPr>
              <w:jc w:val="center"/>
              <w:rPr>
                <w:rFonts w:ascii="宋体" w:hAnsi="宋体"/>
                <w:sz w:val="24"/>
              </w:rPr>
            </w:pPr>
            <w:r>
              <w:rPr>
                <w:rFonts w:ascii="宋体" w:hAnsi="宋体"/>
                <w:sz w:val="24"/>
              </w:rPr>
              <w:t>1</w:t>
            </w:r>
          </w:p>
        </w:tc>
      </w:tr>
    </w:tbl>
    <w:p>
      <w:pPr>
        <w:spacing w:before="120" w:beforeLines="50" w:after="120" w:afterLines="50"/>
        <w:jc w:val="left"/>
        <w:rPr>
          <w:rFonts w:ascii="宋体" w:hAnsi="宋体"/>
          <w:b/>
          <w:sz w:val="24"/>
        </w:rPr>
      </w:pPr>
      <w:r>
        <w:rPr>
          <w:rFonts w:hint="eastAsia" w:ascii="宋体" w:hAnsi="宋体"/>
          <w:b/>
          <w:sz w:val="24"/>
        </w:rPr>
        <w:t>无线电固定监测站：</w:t>
      </w:r>
    </w:p>
    <w:tbl>
      <w:tblPr>
        <w:tblStyle w:val="29"/>
        <w:tblW w:w="48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02"/>
        <w:gridCol w:w="2035"/>
        <w:gridCol w:w="3126"/>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03" w:type="pct"/>
            <w:shd w:val="clear" w:color="000000"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525" w:type="pct"/>
            <w:shd w:val="clear" w:color="000000" w:fill="auto"/>
            <w:vAlign w:val="center"/>
          </w:tcPr>
          <w:p>
            <w:pPr>
              <w:widowControl/>
              <w:jc w:val="center"/>
              <w:rPr>
                <w:rFonts w:ascii="宋体" w:hAnsi="宋体" w:cs="宋体"/>
                <w:b/>
                <w:bCs/>
                <w:kern w:val="0"/>
                <w:sz w:val="24"/>
              </w:rPr>
            </w:pPr>
            <w:r>
              <w:rPr>
                <w:rFonts w:hint="eastAsia" w:ascii="宋体" w:hAnsi="宋体" w:cs="宋体"/>
                <w:b/>
                <w:bCs/>
                <w:kern w:val="0"/>
                <w:sz w:val="24"/>
              </w:rPr>
              <w:t>城市</w:t>
            </w:r>
          </w:p>
        </w:tc>
        <w:tc>
          <w:tcPr>
            <w:tcW w:w="1184" w:type="pct"/>
            <w:shd w:val="clear" w:color="000000" w:fill="auto"/>
            <w:vAlign w:val="center"/>
          </w:tcPr>
          <w:p>
            <w:pPr>
              <w:widowControl/>
              <w:jc w:val="center"/>
              <w:rPr>
                <w:rFonts w:ascii="宋体" w:hAnsi="宋体" w:cs="宋体"/>
                <w:b/>
                <w:bCs/>
                <w:kern w:val="0"/>
                <w:sz w:val="24"/>
              </w:rPr>
            </w:pPr>
            <w:r>
              <w:rPr>
                <w:rFonts w:hint="eastAsia" w:ascii="宋体" w:hAnsi="宋体" w:cs="宋体"/>
                <w:b/>
                <w:bCs/>
                <w:kern w:val="0"/>
                <w:sz w:val="24"/>
              </w:rPr>
              <w:t>站名</w:t>
            </w:r>
          </w:p>
        </w:tc>
        <w:tc>
          <w:tcPr>
            <w:tcW w:w="1819" w:type="pct"/>
            <w:shd w:val="clear" w:color="000000" w:fill="auto"/>
            <w:vAlign w:val="center"/>
          </w:tcPr>
          <w:p>
            <w:pPr>
              <w:widowControl/>
              <w:jc w:val="center"/>
              <w:rPr>
                <w:rFonts w:ascii="宋体" w:hAnsi="宋体" w:cs="宋体"/>
                <w:b/>
                <w:bCs/>
                <w:kern w:val="0"/>
                <w:sz w:val="24"/>
              </w:rPr>
            </w:pPr>
            <w:r>
              <w:rPr>
                <w:rFonts w:hint="eastAsia" w:ascii="宋体" w:hAnsi="宋体" w:cs="宋体"/>
                <w:b/>
                <w:bCs/>
                <w:kern w:val="0"/>
                <w:sz w:val="24"/>
              </w:rPr>
              <w:t>主设备</w:t>
            </w:r>
          </w:p>
        </w:tc>
        <w:tc>
          <w:tcPr>
            <w:tcW w:w="1070" w:type="pct"/>
            <w:shd w:val="clear" w:color="000000" w:fill="auto"/>
            <w:vAlign w:val="center"/>
          </w:tcPr>
          <w:p>
            <w:pPr>
              <w:widowControl/>
              <w:jc w:val="center"/>
              <w:rPr>
                <w:rFonts w:ascii="宋体" w:hAnsi="宋体" w:cs="宋体"/>
                <w:b/>
                <w:bCs/>
                <w:kern w:val="0"/>
                <w:sz w:val="24"/>
              </w:rPr>
            </w:pPr>
            <w:r>
              <w:rPr>
                <w:rFonts w:hint="eastAsia" w:ascii="宋体" w:hAnsi="宋体" w:cs="宋体"/>
                <w:b/>
                <w:bCs/>
                <w:kern w:val="0"/>
                <w:sz w:val="24"/>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3" w:type="pct"/>
            <w:vAlign w:val="center"/>
          </w:tcPr>
          <w:p>
            <w:pPr>
              <w:widowControl/>
              <w:numPr>
                <w:ilvl w:val="0"/>
                <w:numId w:val="11"/>
              </w:numPr>
              <w:jc w:val="center"/>
              <w:rPr>
                <w:rFonts w:ascii="宋体" w:hAnsi="宋体" w:cs="宋体"/>
                <w:kern w:val="0"/>
                <w:sz w:val="24"/>
              </w:rPr>
            </w:pPr>
          </w:p>
        </w:tc>
        <w:tc>
          <w:tcPr>
            <w:tcW w:w="525"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汉中</w:t>
            </w:r>
          </w:p>
        </w:tc>
        <w:tc>
          <w:tcPr>
            <w:tcW w:w="1184"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汉中中心固定站</w:t>
            </w:r>
          </w:p>
        </w:tc>
        <w:tc>
          <w:tcPr>
            <w:tcW w:w="1819" w:type="pct"/>
            <w:vMerge w:val="restart"/>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基于</w:t>
            </w:r>
            <w:r>
              <w:rPr>
                <w:rFonts w:ascii="宋体" w:hAnsi="宋体" w:cs="宋体"/>
                <w:kern w:val="0"/>
                <w:sz w:val="24"/>
              </w:rPr>
              <w:t>Esm</w:t>
            </w:r>
            <w:r>
              <w:rPr>
                <w:rFonts w:hint="eastAsia" w:ascii="宋体" w:hAnsi="宋体" w:cs="宋体"/>
                <w:kern w:val="0"/>
                <w:sz w:val="24"/>
              </w:rPr>
              <w:t>er</w:t>
            </w:r>
            <w:r>
              <w:rPr>
                <w:rFonts w:ascii="宋体" w:hAnsi="宋体" w:cs="宋体"/>
                <w:kern w:val="0"/>
                <w:sz w:val="24"/>
              </w:rPr>
              <w:t>alda WM</w:t>
            </w:r>
            <w:r>
              <w:rPr>
                <w:rFonts w:hint="eastAsia" w:ascii="宋体" w:hAnsi="宋体" w:cs="宋体"/>
                <w:kern w:val="0"/>
                <w:sz w:val="24"/>
              </w:rPr>
              <w:t>的双通道监测测向固定站</w:t>
            </w:r>
          </w:p>
        </w:tc>
        <w:tc>
          <w:tcPr>
            <w:tcW w:w="1070" w:type="pct"/>
            <w:vMerge w:val="restart"/>
            <w:vAlign w:val="center"/>
          </w:tcPr>
          <w:p>
            <w:pPr>
              <w:widowControl/>
              <w:jc w:val="center"/>
              <w:rPr>
                <w:rFonts w:ascii="宋体" w:hAnsi="宋体" w:cs="宋体"/>
                <w:kern w:val="0"/>
                <w:sz w:val="24"/>
              </w:rPr>
            </w:pPr>
            <w:r>
              <w:rPr>
                <w:rFonts w:hint="eastAsia" w:ascii="宋体" w:hAnsi="宋体" w:cs="宋体"/>
                <w:kern w:val="0"/>
                <w:sz w:val="24"/>
              </w:rPr>
              <w:t>德辰科技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3" w:type="pct"/>
            <w:vAlign w:val="center"/>
          </w:tcPr>
          <w:p>
            <w:pPr>
              <w:widowControl/>
              <w:numPr>
                <w:ilvl w:val="0"/>
                <w:numId w:val="11"/>
              </w:numPr>
              <w:jc w:val="center"/>
              <w:rPr>
                <w:rFonts w:ascii="宋体" w:hAnsi="宋体" w:cs="宋体"/>
                <w:kern w:val="0"/>
                <w:sz w:val="24"/>
              </w:rPr>
            </w:pPr>
          </w:p>
        </w:tc>
        <w:tc>
          <w:tcPr>
            <w:tcW w:w="525"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延安</w:t>
            </w:r>
          </w:p>
        </w:tc>
        <w:tc>
          <w:tcPr>
            <w:tcW w:w="1184"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延安中心固定站</w:t>
            </w:r>
          </w:p>
        </w:tc>
        <w:tc>
          <w:tcPr>
            <w:tcW w:w="1819" w:type="pct"/>
            <w:vMerge w:val="continue"/>
            <w:shd w:val="clear" w:color="auto" w:fill="auto"/>
            <w:noWrap/>
            <w:vAlign w:val="center"/>
          </w:tcPr>
          <w:p>
            <w:pPr>
              <w:widowControl/>
              <w:jc w:val="center"/>
              <w:rPr>
                <w:rFonts w:ascii="宋体" w:hAnsi="宋体" w:cs="宋体"/>
                <w:kern w:val="0"/>
                <w:sz w:val="24"/>
              </w:rPr>
            </w:pPr>
          </w:p>
        </w:tc>
        <w:tc>
          <w:tcPr>
            <w:tcW w:w="1070" w:type="pct"/>
            <w:vMerge w:val="continue"/>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3" w:type="pct"/>
            <w:vAlign w:val="center"/>
          </w:tcPr>
          <w:p>
            <w:pPr>
              <w:widowControl/>
              <w:numPr>
                <w:ilvl w:val="0"/>
                <w:numId w:val="11"/>
              </w:numPr>
              <w:jc w:val="center"/>
              <w:rPr>
                <w:rFonts w:ascii="宋体" w:hAnsi="宋体" w:cs="宋体"/>
                <w:kern w:val="0"/>
                <w:sz w:val="24"/>
              </w:rPr>
            </w:pPr>
          </w:p>
        </w:tc>
        <w:tc>
          <w:tcPr>
            <w:tcW w:w="525"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渭南</w:t>
            </w:r>
          </w:p>
        </w:tc>
        <w:tc>
          <w:tcPr>
            <w:tcW w:w="1184"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渭南中心固定站</w:t>
            </w:r>
          </w:p>
        </w:tc>
        <w:tc>
          <w:tcPr>
            <w:tcW w:w="1819" w:type="pct"/>
            <w:vMerge w:val="continue"/>
            <w:shd w:val="clear" w:color="auto" w:fill="auto"/>
            <w:noWrap/>
            <w:vAlign w:val="center"/>
          </w:tcPr>
          <w:p>
            <w:pPr>
              <w:widowControl/>
              <w:jc w:val="center"/>
              <w:rPr>
                <w:rFonts w:ascii="宋体" w:hAnsi="宋体" w:cs="宋体"/>
                <w:kern w:val="0"/>
                <w:sz w:val="24"/>
              </w:rPr>
            </w:pPr>
          </w:p>
        </w:tc>
        <w:tc>
          <w:tcPr>
            <w:tcW w:w="1070" w:type="pct"/>
            <w:vMerge w:val="continue"/>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3" w:type="pct"/>
            <w:vAlign w:val="center"/>
          </w:tcPr>
          <w:p>
            <w:pPr>
              <w:widowControl/>
              <w:numPr>
                <w:ilvl w:val="0"/>
                <w:numId w:val="11"/>
              </w:numPr>
              <w:jc w:val="center"/>
              <w:rPr>
                <w:rFonts w:ascii="宋体" w:hAnsi="宋体" w:cs="宋体"/>
                <w:kern w:val="0"/>
                <w:sz w:val="24"/>
              </w:rPr>
            </w:pPr>
          </w:p>
        </w:tc>
        <w:tc>
          <w:tcPr>
            <w:tcW w:w="525"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杨凌</w:t>
            </w:r>
          </w:p>
        </w:tc>
        <w:tc>
          <w:tcPr>
            <w:tcW w:w="1184"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杨陵中心固定站</w:t>
            </w:r>
          </w:p>
        </w:tc>
        <w:tc>
          <w:tcPr>
            <w:tcW w:w="1819" w:type="pct"/>
            <w:vMerge w:val="continue"/>
            <w:shd w:val="clear" w:color="auto" w:fill="auto"/>
            <w:noWrap/>
            <w:vAlign w:val="center"/>
          </w:tcPr>
          <w:p>
            <w:pPr>
              <w:widowControl/>
              <w:jc w:val="center"/>
              <w:rPr>
                <w:rFonts w:ascii="宋体" w:hAnsi="宋体" w:cs="宋体"/>
                <w:kern w:val="0"/>
                <w:sz w:val="24"/>
              </w:rPr>
            </w:pPr>
          </w:p>
        </w:tc>
        <w:tc>
          <w:tcPr>
            <w:tcW w:w="1070" w:type="pct"/>
            <w:vMerge w:val="continue"/>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3" w:type="pct"/>
            <w:vAlign w:val="center"/>
          </w:tcPr>
          <w:p>
            <w:pPr>
              <w:widowControl/>
              <w:numPr>
                <w:ilvl w:val="0"/>
                <w:numId w:val="11"/>
              </w:numPr>
              <w:jc w:val="center"/>
              <w:rPr>
                <w:rFonts w:ascii="宋体" w:hAnsi="宋体" w:cs="宋体"/>
                <w:kern w:val="0"/>
                <w:sz w:val="24"/>
              </w:rPr>
            </w:pPr>
          </w:p>
        </w:tc>
        <w:tc>
          <w:tcPr>
            <w:tcW w:w="525"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商洛</w:t>
            </w:r>
          </w:p>
        </w:tc>
        <w:tc>
          <w:tcPr>
            <w:tcW w:w="1184"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商洛中心固定站</w:t>
            </w:r>
          </w:p>
        </w:tc>
        <w:tc>
          <w:tcPr>
            <w:tcW w:w="1819" w:type="pct"/>
            <w:vMerge w:val="continue"/>
            <w:shd w:val="clear" w:color="auto" w:fill="auto"/>
            <w:noWrap/>
            <w:vAlign w:val="center"/>
          </w:tcPr>
          <w:p>
            <w:pPr>
              <w:widowControl/>
              <w:jc w:val="center"/>
              <w:rPr>
                <w:rFonts w:ascii="宋体" w:hAnsi="宋体" w:cs="宋体"/>
                <w:kern w:val="0"/>
                <w:sz w:val="24"/>
              </w:rPr>
            </w:pPr>
          </w:p>
        </w:tc>
        <w:tc>
          <w:tcPr>
            <w:tcW w:w="1070" w:type="pct"/>
            <w:vMerge w:val="continue"/>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3" w:type="pct"/>
            <w:vAlign w:val="center"/>
          </w:tcPr>
          <w:p>
            <w:pPr>
              <w:widowControl/>
              <w:numPr>
                <w:ilvl w:val="0"/>
                <w:numId w:val="11"/>
              </w:numPr>
              <w:jc w:val="center"/>
              <w:rPr>
                <w:rFonts w:ascii="宋体" w:hAnsi="宋体" w:cs="宋体"/>
                <w:kern w:val="0"/>
                <w:sz w:val="24"/>
              </w:rPr>
            </w:pPr>
          </w:p>
        </w:tc>
        <w:tc>
          <w:tcPr>
            <w:tcW w:w="525"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宝鸡</w:t>
            </w:r>
          </w:p>
        </w:tc>
        <w:tc>
          <w:tcPr>
            <w:tcW w:w="1184"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市民中心固定站</w:t>
            </w:r>
          </w:p>
        </w:tc>
        <w:tc>
          <w:tcPr>
            <w:tcW w:w="1819" w:type="pct"/>
            <w:vMerge w:val="restart"/>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基于ESMD、SR220B、DA220B的双通道监测测向固定站</w:t>
            </w:r>
          </w:p>
        </w:tc>
        <w:tc>
          <w:tcPr>
            <w:tcW w:w="1070" w:type="pct"/>
            <w:vMerge w:val="restart"/>
            <w:vAlign w:val="center"/>
          </w:tcPr>
          <w:p>
            <w:pPr>
              <w:widowControl/>
              <w:jc w:val="center"/>
              <w:rPr>
                <w:rFonts w:ascii="宋体" w:hAnsi="宋体" w:cs="宋体"/>
                <w:kern w:val="0"/>
                <w:sz w:val="24"/>
              </w:rPr>
            </w:pPr>
            <w:r>
              <w:rPr>
                <w:rFonts w:hint="eastAsia" w:ascii="宋体" w:hAnsi="宋体" w:cs="宋体"/>
                <w:kern w:val="0"/>
                <w:sz w:val="24"/>
              </w:rPr>
              <w:t>国家频谱所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3" w:type="pct"/>
            <w:vAlign w:val="center"/>
          </w:tcPr>
          <w:p>
            <w:pPr>
              <w:widowControl/>
              <w:numPr>
                <w:ilvl w:val="0"/>
                <w:numId w:val="11"/>
              </w:numPr>
              <w:jc w:val="center"/>
              <w:rPr>
                <w:rFonts w:ascii="宋体" w:hAnsi="宋体" w:cs="宋体"/>
                <w:kern w:val="0"/>
                <w:sz w:val="24"/>
              </w:rPr>
            </w:pPr>
          </w:p>
        </w:tc>
        <w:tc>
          <w:tcPr>
            <w:tcW w:w="525"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宝鸡</w:t>
            </w:r>
          </w:p>
        </w:tc>
        <w:tc>
          <w:tcPr>
            <w:tcW w:w="1184"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轩苑公寓固定站</w:t>
            </w:r>
          </w:p>
        </w:tc>
        <w:tc>
          <w:tcPr>
            <w:tcW w:w="1819" w:type="pct"/>
            <w:vMerge w:val="continue"/>
            <w:shd w:val="clear" w:color="auto" w:fill="auto"/>
            <w:noWrap/>
            <w:vAlign w:val="center"/>
          </w:tcPr>
          <w:p>
            <w:pPr>
              <w:widowControl/>
              <w:jc w:val="center"/>
              <w:rPr>
                <w:rFonts w:ascii="宋体" w:hAnsi="宋体" w:cs="宋体"/>
                <w:kern w:val="0"/>
                <w:sz w:val="24"/>
              </w:rPr>
            </w:pPr>
          </w:p>
        </w:tc>
        <w:tc>
          <w:tcPr>
            <w:tcW w:w="1070" w:type="pct"/>
            <w:vMerge w:val="continue"/>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3" w:type="pct"/>
            <w:vAlign w:val="center"/>
          </w:tcPr>
          <w:p>
            <w:pPr>
              <w:widowControl/>
              <w:numPr>
                <w:ilvl w:val="0"/>
                <w:numId w:val="11"/>
              </w:numPr>
              <w:jc w:val="center"/>
              <w:rPr>
                <w:rFonts w:ascii="宋体" w:hAnsi="宋体" w:cs="宋体"/>
                <w:kern w:val="0"/>
                <w:sz w:val="24"/>
              </w:rPr>
            </w:pPr>
          </w:p>
        </w:tc>
        <w:tc>
          <w:tcPr>
            <w:tcW w:w="525"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宝鸡</w:t>
            </w:r>
          </w:p>
        </w:tc>
        <w:tc>
          <w:tcPr>
            <w:tcW w:w="1184" w:type="pct"/>
            <w:shd w:val="clear" w:color="auto" w:fill="auto"/>
            <w:vAlign w:val="center"/>
          </w:tcPr>
          <w:p>
            <w:pPr>
              <w:widowControl/>
              <w:jc w:val="center"/>
              <w:rPr>
                <w:rFonts w:ascii="宋体" w:hAnsi="宋体" w:cs="宋体"/>
                <w:kern w:val="0"/>
                <w:sz w:val="24"/>
              </w:rPr>
            </w:pPr>
            <w:r>
              <w:rPr>
                <w:rFonts w:hint="eastAsia" w:ascii="宋体" w:hAnsi="宋体" w:cs="宋体"/>
                <w:kern w:val="0"/>
                <w:sz w:val="24"/>
              </w:rPr>
              <w:t>物流电商大厦固定站</w:t>
            </w:r>
          </w:p>
        </w:tc>
        <w:tc>
          <w:tcPr>
            <w:tcW w:w="1819" w:type="pct"/>
            <w:vMerge w:val="continue"/>
            <w:shd w:val="clear" w:color="auto" w:fill="auto"/>
            <w:noWrap/>
            <w:vAlign w:val="center"/>
          </w:tcPr>
          <w:p>
            <w:pPr>
              <w:widowControl/>
              <w:jc w:val="center"/>
              <w:rPr>
                <w:rFonts w:ascii="宋体" w:hAnsi="宋体" w:cs="宋体"/>
                <w:kern w:val="0"/>
                <w:sz w:val="24"/>
              </w:rPr>
            </w:pPr>
          </w:p>
        </w:tc>
        <w:tc>
          <w:tcPr>
            <w:tcW w:w="1070" w:type="pct"/>
            <w:vMerge w:val="continue"/>
            <w:vAlign w:val="center"/>
          </w:tcPr>
          <w:p>
            <w:pPr>
              <w:widowControl/>
              <w:jc w:val="center"/>
              <w:rPr>
                <w:rFonts w:ascii="宋体" w:hAnsi="宋体" w:cs="宋体"/>
                <w:kern w:val="0"/>
                <w:sz w:val="24"/>
              </w:rPr>
            </w:pPr>
          </w:p>
        </w:tc>
      </w:tr>
    </w:tbl>
    <w:p>
      <w:pPr>
        <w:ind w:firstLine="482" w:firstLineChars="200"/>
        <w:rPr>
          <w:rFonts w:ascii="宋体" w:hAnsi="宋体"/>
          <w:b/>
          <w:sz w:val="24"/>
        </w:rPr>
      </w:pPr>
    </w:p>
    <w:p>
      <w:pPr>
        <w:ind w:firstLine="482" w:firstLineChars="200"/>
        <w:rPr>
          <w:rFonts w:ascii="宋体" w:hAnsi="宋体"/>
          <w:b/>
          <w:sz w:val="24"/>
        </w:rPr>
      </w:pPr>
    </w:p>
    <w:p>
      <w:pPr>
        <w:ind w:firstLine="482" w:firstLineChars="200"/>
        <w:rPr>
          <w:rFonts w:ascii="宋体" w:hAnsi="宋体"/>
          <w:b/>
          <w:sz w:val="24"/>
        </w:rPr>
      </w:pPr>
    </w:p>
    <w:p>
      <w:pPr>
        <w:ind w:firstLine="482" w:firstLineChars="200"/>
        <w:rPr>
          <w:rFonts w:ascii="宋体" w:hAnsi="宋体"/>
          <w:b/>
          <w:sz w:val="24"/>
        </w:rPr>
      </w:pPr>
    </w:p>
    <w:p>
      <w:pPr>
        <w:ind w:firstLine="482" w:firstLineChars="200"/>
        <w:rPr>
          <w:rFonts w:ascii="宋体" w:hAnsi="宋体"/>
          <w:b/>
          <w:sz w:val="24"/>
        </w:rPr>
      </w:pPr>
    </w:p>
    <w:p>
      <w:pPr>
        <w:ind w:firstLine="482" w:firstLineChars="200"/>
        <w:rPr>
          <w:rFonts w:ascii="宋体" w:hAnsi="宋体"/>
          <w:b/>
          <w:sz w:val="24"/>
        </w:rPr>
      </w:pPr>
    </w:p>
    <w:p>
      <w:pPr>
        <w:spacing w:before="120" w:beforeLines="50" w:after="120" w:afterLines="50"/>
        <w:jc w:val="left"/>
        <w:rPr>
          <w:rFonts w:ascii="宋体" w:hAnsi="宋体"/>
          <w:b/>
          <w:sz w:val="24"/>
        </w:rPr>
      </w:pPr>
      <w:r>
        <w:rPr>
          <w:rFonts w:hint="eastAsia" w:ascii="宋体" w:hAnsi="宋体"/>
          <w:b/>
          <w:sz w:val="24"/>
        </w:rPr>
        <w:t>无线电移动监测站：</w:t>
      </w:r>
    </w:p>
    <w:tbl>
      <w:tblPr>
        <w:tblStyle w:val="2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159"/>
        <w:gridCol w:w="2428"/>
        <w:gridCol w:w="2399"/>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1" w:type="dxa"/>
            <w:shd w:val="clear" w:color="000000"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159" w:type="dxa"/>
            <w:shd w:val="clear" w:color="000000" w:fill="auto"/>
            <w:vAlign w:val="center"/>
          </w:tcPr>
          <w:p>
            <w:pPr>
              <w:widowControl/>
              <w:jc w:val="center"/>
              <w:rPr>
                <w:rFonts w:ascii="宋体" w:hAnsi="宋体" w:cs="宋体"/>
                <w:b/>
                <w:bCs/>
                <w:kern w:val="0"/>
                <w:sz w:val="24"/>
              </w:rPr>
            </w:pPr>
            <w:r>
              <w:rPr>
                <w:rFonts w:hint="eastAsia" w:ascii="宋体" w:hAnsi="宋体" w:cs="宋体"/>
                <w:b/>
                <w:bCs/>
                <w:kern w:val="0"/>
                <w:sz w:val="24"/>
              </w:rPr>
              <w:t>城市</w:t>
            </w:r>
          </w:p>
        </w:tc>
        <w:tc>
          <w:tcPr>
            <w:tcW w:w="2428" w:type="dxa"/>
            <w:shd w:val="clear" w:color="000000" w:fill="auto"/>
            <w:vAlign w:val="center"/>
          </w:tcPr>
          <w:p>
            <w:pPr>
              <w:widowControl/>
              <w:jc w:val="center"/>
              <w:rPr>
                <w:rFonts w:ascii="宋体" w:hAnsi="宋体" w:cs="宋体"/>
                <w:b/>
                <w:bCs/>
                <w:kern w:val="0"/>
                <w:sz w:val="24"/>
              </w:rPr>
            </w:pPr>
            <w:r>
              <w:rPr>
                <w:rFonts w:hint="eastAsia" w:ascii="宋体" w:hAnsi="宋体" w:cs="宋体"/>
                <w:b/>
                <w:bCs/>
                <w:kern w:val="0"/>
                <w:sz w:val="24"/>
              </w:rPr>
              <w:t>车辆牌照</w:t>
            </w:r>
          </w:p>
        </w:tc>
        <w:tc>
          <w:tcPr>
            <w:tcW w:w="2399" w:type="dxa"/>
            <w:shd w:val="clear" w:color="000000" w:fill="auto"/>
            <w:vAlign w:val="center"/>
          </w:tcPr>
          <w:p>
            <w:pPr>
              <w:widowControl/>
              <w:jc w:val="center"/>
              <w:rPr>
                <w:rFonts w:ascii="宋体" w:hAnsi="宋体" w:cs="宋体"/>
                <w:b/>
                <w:bCs/>
                <w:kern w:val="0"/>
                <w:sz w:val="24"/>
              </w:rPr>
            </w:pPr>
            <w:r>
              <w:rPr>
                <w:rFonts w:hint="eastAsia" w:ascii="宋体" w:hAnsi="宋体" w:cs="宋体"/>
                <w:b/>
                <w:bCs/>
                <w:kern w:val="0"/>
                <w:sz w:val="24"/>
              </w:rPr>
              <w:t>主设备</w:t>
            </w:r>
          </w:p>
        </w:tc>
        <w:tc>
          <w:tcPr>
            <w:tcW w:w="2253" w:type="dxa"/>
            <w:shd w:val="clear" w:color="000000" w:fill="auto"/>
            <w:vAlign w:val="center"/>
          </w:tcPr>
          <w:p>
            <w:pPr>
              <w:widowControl/>
              <w:jc w:val="center"/>
              <w:rPr>
                <w:rFonts w:ascii="宋体" w:hAnsi="宋体" w:cs="宋体"/>
                <w:b/>
                <w:bCs/>
                <w:kern w:val="0"/>
                <w:sz w:val="24"/>
              </w:rPr>
            </w:pPr>
            <w:r>
              <w:rPr>
                <w:rFonts w:hint="eastAsia" w:ascii="宋体" w:hAnsi="宋体" w:cs="宋体"/>
                <w:b/>
                <w:bCs/>
                <w:kern w:val="0"/>
                <w:sz w:val="24"/>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1" w:type="dxa"/>
            <w:vAlign w:val="center"/>
          </w:tcPr>
          <w:p>
            <w:pPr>
              <w:widowControl/>
              <w:numPr>
                <w:ilvl w:val="0"/>
                <w:numId w:val="12"/>
              </w:numPr>
              <w:jc w:val="center"/>
              <w:rPr>
                <w:rFonts w:ascii="宋体" w:hAnsi="宋体" w:cs="宋体"/>
                <w:kern w:val="0"/>
                <w:sz w:val="24"/>
              </w:rPr>
            </w:pPr>
          </w:p>
        </w:tc>
        <w:tc>
          <w:tcPr>
            <w:tcW w:w="1159" w:type="dxa"/>
            <w:vAlign w:val="center"/>
          </w:tcPr>
          <w:p>
            <w:pPr>
              <w:widowControl/>
              <w:jc w:val="center"/>
              <w:rPr>
                <w:rFonts w:ascii="宋体" w:hAnsi="宋体" w:cs="宋体"/>
                <w:kern w:val="0"/>
                <w:sz w:val="24"/>
              </w:rPr>
            </w:pPr>
            <w:r>
              <w:rPr>
                <w:rFonts w:hint="eastAsia" w:ascii="宋体" w:hAnsi="宋体" w:cs="宋体"/>
                <w:kern w:val="0"/>
                <w:sz w:val="24"/>
              </w:rPr>
              <w:t>商洛</w:t>
            </w:r>
          </w:p>
        </w:tc>
        <w:tc>
          <w:tcPr>
            <w:tcW w:w="2428"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陕H1D116</w:t>
            </w:r>
          </w:p>
        </w:tc>
        <w:tc>
          <w:tcPr>
            <w:tcW w:w="2399" w:type="dxa"/>
            <w:vMerge w:val="restart"/>
            <w:shd w:val="clear" w:color="auto" w:fill="auto"/>
            <w:vAlign w:val="center"/>
          </w:tcPr>
          <w:p>
            <w:pPr>
              <w:widowControl/>
              <w:rPr>
                <w:rFonts w:ascii="宋体" w:hAnsi="宋体" w:cs="宋体"/>
                <w:kern w:val="0"/>
                <w:sz w:val="24"/>
              </w:rPr>
            </w:pPr>
            <w:r>
              <w:rPr>
                <w:rFonts w:hint="eastAsia" w:ascii="宋体" w:hAnsi="宋体" w:cs="宋体"/>
                <w:kern w:val="0"/>
                <w:sz w:val="24"/>
              </w:rPr>
              <w:t>基于</w:t>
            </w:r>
            <w:r>
              <w:rPr>
                <w:rFonts w:ascii="宋体" w:hAnsi="宋体" w:cs="宋体"/>
                <w:kern w:val="0"/>
                <w:sz w:val="24"/>
              </w:rPr>
              <w:t>Esm</w:t>
            </w:r>
            <w:r>
              <w:rPr>
                <w:rFonts w:hint="eastAsia" w:ascii="宋体" w:hAnsi="宋体" w:cs="宋体"/>
                <w:kern w:val="0"/>
                <w:sz w:val="24"/>
              </w:rPr>
              <w:t>er</w:t>
            </w:r>
            <w:r>
              <w:rPr>
                <w:rFonts w:ascii="宋体" w:hAnsi="宋体" w:cs="宋体"/>
                <w:kern w:val="0"/>
                <w:sz w:val="24"/>
              </w:rPr>
              <w:t>alda</w:t>
            </w:r>
            <w:r>
              <w:rPr>
                <w:rFonts w:hint="eastAsia" w:ascii="宋体" w:hAnsi="宋体" w:cs="宋体"/>
                <w:kern w:val="0"/>
                <w:sz w:val="24"/>
              </w:rPr>
              <w:t>、</w:t>
            </w:r>
            <w:r>
              <w:rPr>
                <w:rFonts w:ascii="宋体" w:hAnsi="宋体" w:cs="宋体"/>
                <w:kern w:val="0"/>
                <w:sz w:val="24"/>
              </w:rPr>
              <w:t>DF3200A</w:t>
            </w:r>
            <w:r>
              <w:rPr>
                <w:rFonts w:hint="eastAsia" w:ascii="宋体" w:hAnsi="宋体" w:cs="宋体"/>
                <w:kern w:val="0"/>
                <w:sz w:val="24"/>
              </w:rPr>
              <w:t>的双通道移动监测测向系统</w:t>
            </w:r>
          </w:p>
        </w:tc>
        <w:tc>
          <w:tcPr>
            <w:tcW w:w="2253" w:type="dxa"/>
            <w:vAlign w:val="center"/>
          </w:tcPr>
          <w:p>
            <w:pPr>
              <w:widowControl/>
              <w:jc w:val="center"/>
              <w:rPr>
                <w:rFonts w:ascii="宋体" w:hAnsi="宋体" w:cs="宋体"/>
                <w:kern w:val="0"/>
                <w:sz w:val="24"/>
              </w:rPr>
            </w:pPr>
            <w:r>
              <w:rPr>
                <w:rFonts w:hint="eastAsia" w:ascii="宋体" w:hAnsi="宋体" w:cs="宋体"/>
                <w:kern w:val="0"/>
                <w:sz w:val="24"/>
              </w:rPr>
              <w:t>德辰科技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1" w:type="dxa"/>
            <w:vAlign w:val="center"/>
          </w:tcPr>
          <w:p>
            <w:pPr>
              <w:widowControl/>
              <w:numPr>
                <w:ilvl w:val="0"/>
                <w:numId w:val="12"/>
              </w:numPr>
              <w:jc w:val="center"/>
              <w:rPr>
                <w:rFonts w:ascii="宋体" w:hAnsi="宋体" w:cs="宋体"/>
                <w:kern w:val="0"/>
                <w:sz w:val="24"/>
              </w:rPr>
            </w:pPr>
          </w:p>
        </w:tc>
        <w:tc>
          <w:tcPr>
            <w:tcW w:w="1159" w:type="dxa"/>
            <w:vAlign w:val="center"/>
          </w:tcPr>
          <w:p>
            <w:pPr>
              <w:widowControl/>
              <w:jc w:val="center"/>
              <w:rPr>
                <w:rFonts w:ascii="宋体" w:hAnsi="宋体" w:cs="宋体"/>
                <w:kern w:val="0"/>
                <w:sz w:val="24"/>
              </w:rPr>
            </w:pPr>
            <w:r>
              <w:rPr>
                <w:rFonts w:hint="eastAsia" w:ascii="宋体" w:hAnsi="宋体" w:cs="宋体"/>
                <w:kern w:val="0"/>
                <w:sz w:val="24"/>
              </w:rPr>
              <w:t>铜川</w:t>
            </w:r>
          </w:p>
        </w:tc>
        <w:tc>
          <w:tcPr>
            <w:tcW w:w="2428"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陕</w:t>
            </w:r>
            <w:r>
              <w:rPr>
                <w:rFonts w:ascii="宋体" w:hAnsi="宋体" w:cs="宋体"/>
                <w:kern w:val="0"/>
                <w:sz w:val="24"/>
              </w:rPr>
              <w:t>BK3039</w:t>
            </w:r>
          </w:p>
        </w:tc>
        <w:tc>
          <w:tcPr>
            <w:tcW w:w="2399" w:type="dxa"/>
            <w:vMerge w:val="continue"/>
            <w:shd w:val="clear" w:color="auto" w:fill="auto"/>
            <w:vAlign w:val="center"/>
          </w:tcPr>
          <w:p>
            <w:pPr>
              <w:widowControl/>
              <w:rPr>
                <w:rFonts w:ascii="宋体" w:hAnsi="宋体" w:cs="宋体"/>
                <w:kern w:val="0"/>
                <w:sz w:val="24"/>
              </w:rPr>
            </w:pPr>
          </w:p>
        </w:tc>
        <w:tc>
          <w:tcPr>
            <w:tcW w:w="2253" w:type="dxa"/>
            <w:vAlign w:val="center"/>
          </w:tcPr>
          <w:p>
            <w:pPr>
              <w:widowControl/>
              <w:jc w:val="center"/>
              <w:rPr>
                <w:rFonts w:ascii="宋体" w:hAnsi="宋体" w:cs="宋体"/>
                <w:kern w:val="0"/>
                <w:sz w:val="24"/>
              </w:rPr>
            </w:pPr>
            <w:r>
              <w:rPr>
                <w:rFonts w:hint="eastAsia" w:ascii="宋体" w:hAnsi="宋体" w:cs="宋体"/>
                <w:kern w:val="0"/>
                <w:sz w:val="24"/>
              </w:rPr>
              <w:t>德辰科技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1" w:type="dxa"/>
            <w:vAlign w:val="center"/>
          </w:tcPr>
          <w:p>
            <w:pPr>
              <w:widowControl/>
              <w:numPr>
                <w:ilvl w:val="0"/>
                <w:numId w:val="12"/>
              </w:numPr>
              <w:jc w:val="center"/>
              <w:rPr>
                <w:rFonts w:ascii="宋体" w:hAnsi="宋体" w:cs="宋体"/>
                <w:kern w:val="0"/>
                <w:sz w:val="24"/>
              </w:rPr>
            </w:pPr>
          </w:p>
        </w:tc>
        <w:tc>
          <w:tcPr>
            <w:tcW w:w="1159" w:type="dxa"/>
            <w:vAlign w:val="center"/>
          </w:tcPr>
          <w:p>
            <w:pPr>
              <w:widowControl/>
              <w:jc w:val="center"/>
              <w:rPr>
                <w:rFonts w:ascii="宋体" w:hAnsi="宋体" w:cs="宋体"/>
                <w:kern w:val="0"/>
                <w:sz w:val="24"/>
              </w:rPr>
            </w:pPr>
            <w:r>
              <w:rPr>
                <w:rFonts w:hint="eastAsia" w:ascii="宋体" w:hAnsi="宋体" w:cs="宋体"/>
                <w:kern w:val="0"/>
                <w:sz w:val="24"/>
              </w:rPr>
              <w:t>西安</w:t>
            </w:r>
          </w:p>
        </w:tc>
        <w:tc>
          <w:tcPr>
            <w:tcW w:w="2428"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陕A</w:t>
            </w:r>
            <w:r>
              <w:rPr>
                <w:rFonts w:ascii="宋体" w:hAnsi="宋体" w:cs="宋体"/>
                <w:kern w:val="0"/>
                <w:sz w:val="24"/>
              </w:rPr>
              <w:t>01131</w:t>
            </w:r>
          </w:p>
        </w:tc>
        <w:tc>
          <w:tcPr>
            <w:tcW w:w="2399" w:type="dxa"/>
            <w:shd w:val="clear" w:color="auto" w:fill="auto"/>
            <w:vAlign w:val="center"/>
          </w:tcPr>
          <w:p>
            <w:pPr>
              <w:widowControl/>
              <w:rPr>
                <w:rFonts w:ascii="宋体" w:hAnsi="宋体" w:cs="宋体"/>
                <w:kern w:val="0"/>
                <w:sz w:val="24"/>
              </w:rPr>
            </w:pPr>
            <w:r>
              <w:rPr>
                <w:rFonts w:hint="eastAsia" w:ascii="宋体" w:hAnsi="宋体" w:cs="宋体"/>
                <w:kern w:val="0"/>
                <w:sz w:val="24"/>
              </w:rPr>
              <w:t>双通道移动监测测向系统</w:t>
            </w:r>
          </w:p>
        </w:tc>
        <w:tc>
          <w:tcPr>
            <w:tcW w:w="2253" w:type="dxa"/>
            <w:vAlign w:val="center"/>
          </w:tcPr>
          <w:p>
            <w:pPr>
              <w:widowControl/>
              <w:jc w:val="center"/>
              <w:rPr>
                <w:rFonts w:ascii="宋体" w:hAnsi="宋体" w:cs="宋体"/>
                <w:kern w:val="0"/>
                <w:sz w:val="24"/>
              </w:rPr>
            </w:pPr>
            <w:r>
              <w:rPr>
                <w:rFonts w:hint="eastAsia" w:ascii="宋体" w:hAnsi="宋体" w:cs="宋体"/>
                <w:kern w:val="0"/>
                <w:sz w:val="24"/>
              </w:rPr>
              <w:t>德辰科技</w:t>
            </w:r>
          </w:p>
        </w:tc>
      </w:tr>
    </w:tbl>
    <w:p>
      <w:pPr>
        <w:spacing w:before="120" w:beforeLines="50" w:after="120" w:afterLines="50"/>
        <w:jc w:val="left"/>
        <w:rPr>
          <w:rFonts w:ascii="宋体" w:hAnsi="宋体"/>
          <w:b/>
          <w:sz w:val="24"/>
        </w:rPr>
      </w:pPr>
      <w:r>
        <w:rPr>
          <w:rFonts w:hint="eastAsia" w:ascii="宋体" w:hAnsi="宋体"/>
          <w:b/>
          <w:sz w:val="24"/>
        </w:rPr>
        <w:t>宽带信号监测系统：</w:t>
      </w:r>
    </w:p>
    <w:tbl>
      <w:tblPr>
        <w:tblStyle w:val="29"/>
        <w:tblW w:w="9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4571"/>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73" w:type="dxa"/>
            <w:shd w:val="clear" w:color="000000"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4571" w:type="dxa"/>
            <w:shd w:val="clear" w:color="000000" w:fill="auto"/>
            <w:vAlign w:val="center"/>
          </w:tcPr>
          <w:p>
            <w:pPr>
              <w:widowControl/>
              <w:jc w:val="center"/>
              <w:rPr>
                <w:rFonts w:ascii="宋体" w:hAnsi="宋体" w:cs="宋体"/>
                <w:b/>
                <w:bCs/>
                <w:kern w:val="0"/>
                <w:sz w:val="24"/>
              </w:rPr>
            </w:pPr>
            <w:r>
              <w:rPr>
                <w:rFonts w:hint="eastAsia" w:ascii="宋体" w:hAnsi="宋体" w:cs="宋体"/>
                <w:b/>
                <w:bCs/>
                <w:kern w:val="0"/>
                <w:sz w:val="24"/>
              </w:rPr>
              <w:t>主设备</w:t>
            </w:r>
          </w:p>
        </w:tc>
        <w:tc>
          <w:tcPr>
            <w:tcW w:w="2970" w:type="dxa"/>
            <w:shd w:val="clear" w:color="000000" w:fill="auto"/>
            <w:vAlign w:val="center"/>
          </w:tcPr>
          <w:p>
            <w:pPr>
              <w:widowControl/>
              <w:jc w:val="center"/>
              <w:rPr>
                <w:rFonts w:ascii="宋体" w:hAnsi="宋体" w:cs="宋体"/>
                <w:b/>
                <w:bCs/>
                <w:kern w:val="0"/>
                <w:sz w:val="24"/>
              </w:rPr>
            </w:pPr>
            <w:r>
              <w:rPr>
                <w:rFonts w:hint="eastAsia" w:ascii="宋体" w:hAnsi="宋体" w:cs="宋体"/>
                <w:b/>
                <w:bCs/>
                <w:kern w:val="0"/>
                <w:sz w:val="24"/>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873" w:type="dxa"/>
            <w:vAlign w:val="center"/>
          </w:tcPr>
          <w:p>
            <w:pPr>
              <w:widowControl/>
              <w:numPr>
                <w:ilvl w:val="0"/>
                <w:numId w:val="13"/>
              </w:numPr>
              <w:jc w:val="center"/>
              <w:rPr>
                <w:rFonts w:ascii="宋体" w:hAnsi="宋体" w:cs="宋体"/>
                <w:kern w:val="0"/>
                <w:sz w:val="24"/>
              </w:rPr>
            </w:pPr>
          </w:p>
        </w:tc>
        <w:tc>
          <w:tcPr>
            <w:tcW w:w="457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E</w:t>
            </w:r>
            <w:r>
              <w:rPr>
                <w:rFonts w:ascii="宋体" w:hAnsi="宋体" w:cs="宋体"/>
                <w:kern w:val="0"/>
                <w:sz w:val="24"/>
              </w:rPr>
              <w:t>3238S</w:t>
            </w:r>
            <w:r>
              <w:rPr>
                <w:rFonts w:hint="eastAsia" w:ascii="宋体" w:hAnsi="宋体" w:cs="宋体"/>
                <w:kern w:val="0"/>
                <w:sz w:val="24"/>
              </w:rPr>
              <w:t>宽带信号监测系统</w:t>
            </w:r>
          </w:p>
        </w:tc>
        <w:tc>
          <w:tcPr>
            <w:tcW w:w="2970" w:type="dxa"/>
            <w:vAlign w:val="center"/>
          </w:tcPr>
          <w:p>
            <w:pPr>
              <w:widowControl/>
              <w:jc w:val="center"/>
              <w:rPr>
                <w:rFonts w:ascii="宋体" w:hAnsi="宋体" w:cs="宋体"/>
                <w:kern w:val="0"/>
                <w:sz w:val="24"/>
              </w:rPr>
            </w:pPr>
            <w:r>
              <w:rPr>
                <w:rFonts w:hint="eastAsia" w:ascii="宋体" w:hAnsi="宋体" w:cs="宋体"/>
                <w:kern w:val="0"/>
                <w:sz w:val="24"/>
              </w:rPr>
              <w:t>是德科技</w:t>
            </w:r>
          </w:p>
        </w:tc>
      </w:tr>
    </w:tbl>
    <w:p>
      <w:pPr>
        <w:spacing w:line="500" w:lineRule="exact"/>
        <w:ind w:firstLine="480" w:firstLineChars="200"/>
        <w:rPr>
          <w:rFonts w:ascii="宋体" w:hAnsi="宋体"/>
          <w:sz w:val="24"/>
        </w:rPr>
      </w:pPr>
      <w:r>
        <w:rPr>
          <w:rFonts w:hint="eastAsia" w:ascii="宋体" w:hAnsi="宋体"/>
          <w:sz w:val="24"/>
        </w:rPr>
        <w:t>1.2运维服务总体要求</w:t>
      </w:r>
    </w:p>
    <w:p>
      <w:pPr>
        <w:spacing w:line="500" w:lineRule="exact"/>
        <w:ind w:firstLine="480" w:firstLineChars="200"/>
        <w:rPr>
          <w:rFonts w:ascii="宋体" w:hAnsi="宋体"/>
          <w:sz w:val="24"/>
        </w:rPr>
      </w:pPr>
      <w:r>
        <w:rPr>
          <w:rFonts w:hint="eastAsia" w:ascii="宋体" w:hAnsi="宋体"/>
          <w:sz w:val="24"/>
        </w:rPr>
        <w:t>(1)本项目</w:t>
      </w:r>
      <w:r>
        <w:rPr>
          <w:rFonts w:ascii="宋体" w:hAnsi="宋体"/>
          <w:sz w:val="24"/>
        </w:rPr>
        <w:t>运维服务期限为一年</w:t>
      </w:r>
      <w:r>
        <w:rPr>
          <w:rFonts w:hint="eastAsia" w:ascii="宋体" w:hAnsi="宋体"/>
          <w:sz w:val="24"/>
        </w:rPr>
        <w:t>，服务周期为：2023年1月1日至2023年12月31日；</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)运维单位应按照日常检查、定期巡检、故障处理、应急及重大活动保障运维四个大类开展设备维保工作；</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w:t>
      </w:r>
      <w:r>
        <w:rPr>
          <w:rFonts w:hint="eastAsia"/>
        </w:rPr>
        <w:t xml:space="preserve"> </w:t>
      </w:r>
      <w:r>
        <w:rPr>
          <w:rFonts w:hint="eastAsia" w:ascii="宋体" w:hAnsi="宋体"/>
          <w:sz w:val="24"/>
        </w:rPr>
        <w:t>日常检查工作包括但不限于检查计算机及服务器系统运行情况；检查监测测向系统、应用软件以及其它辅助软件的各种功能；测试网络、控制线、系统间联通及数据传输情况等。运维单位至少每月开展1次维保设施的日常检查工作，并填写《无线电监测设施日常检查工作记录表》，格式详见《省级无线电监测设施运行维护规定》附件1；</w:t>
      </w:r>
    </w:p>
    <w:p>
      <w:pPr>
        <w:spacing w:line="500" w:lineRule="exact"/>
        <w:ind w:firstLine="480" w:firstLineChars="200"/>
        <w:rPr>
          <w:rFonts w:ascii="宋体" w:hAnsi="宋体"/>
          <w:sz w:val="24"/>
        </w:rPr>
      </w:pPr>
      <w:r>
        <w:rPr>
          <w:rFonts w:hint="eastAsia" w:ascii="宋体" w:hAnsi="宋体"/>
          <w:sz w:val="24"/>
        </w:rPr>
        <w:t>(4)</w:t>
      </w:r>
      <w:r>
        <w:rPr>
          <w:rFonts w:hint="eastAsia"/>
        </w:rPr>
        <w:t xml:space="preserve"> </w:t>
      </w:r>
      <w:r>
        <w:rPr>
          <w:rFonts w:hint="eastAsia" w:ascii="宋体" w:hAnsi="宋体"/>
          <w:sz w:val="24"/>
        </w:rPr>
        <w:t>运维单位应定期对无线电监测设施开展巡检工作，做好设施维护、保养、及关键技术指标核查，排除故障隐患，及时做好故障维修。巡检项目、巡检要求详见《省级无线电监测设施运行维护规定》附件2，巡检周期至少每季度开展1次；</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)运维单位应完成</w:t>
      </w:r>
      <w:r>
        <w:rPr>
          <w:rFonts w:ascii="宋体" w:hAnsi="宋体"/>
          <w:sz w:val="24"/>
        </w:rPr>
        <w:t>维保范围内无线电监测设备</w:t>
      </w:r>
      <w:r>
        <w:rPr>
          <w:rFonts w:hint="eastAsia" w:ascii="宋体" w:hAnsi="宋体"/>
          <w:sz w:val="24"/>
        </w:rPr>
        <w:t>、设施</w:t>
      </w:r>
      <w:r>
        <w:rPr>
          <w:rFonts w:ascii="宋体" w:hAnsi="宋体"/>
          <w:sz w:val="24"/>
        </w:rPr>
        <w:t>的故障</w:t>
      </w:r>
      <w:r>
        <w:rPr>
          <w:rFonts w:hint="eastAsia" w:ascii="宋体" w:hAnsi="宋体"/>
          <w:sz w:val="24"/>
        </w:rPr>
        <w:t>处理和指定设备的</w:t>
      </w:r>
      <w:r>
        <w:rPr>
          <w:rFonts w:ascii="宋体" w:hAnsi="宋体"/>
          <w:sz w:val="24"/>
        </w:rPr>
        <w:t>修复；</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)运维单位应完成维保范围内无线电监测站站点的日常维护，包括安防卫生检查；</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)运维单位应完成维保范围内固定无线电站铁塔、桅杆的常规检测与维护，每年1次；</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w:t>
      </w:r>
      <w:r>
        <w:rPr>
          <w:rFonts w:hint="eastAsia"/>
        </w:rPr>
        <w:t xml:space="preserve"> </w:t>
      </w:r>
      <w:r>
        <w:rPr>
          <w:rFonts w:hint="eastAsia" w:ascii="宋体" w:hAnsi="宋体"/>
          <w:sz w:val="24"/>
        </w:rPr>
        <w:t>运维单位在开展维保工作前应制定应急及重大活动无线电监测设施运行维护预案，做好应急及重大活动无线电保障任务期间无线电监测设施运行维护工作，任务结束后填写《应急及重大活动保障运维记录表》，格式详见《省级无线电监测设施运行维护规定》附件4；</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)运维单位应</w:t>
      </w:r>
      <w:r>
        <w:rPr>
          <w:rFonts w:ascii="宋体" w:hAnsi="宋体"/>
          <w:sz w:val="24"/>
        </w:rPr>
        <w:t>为日常监测任务提供</w:t>
      </w:r>
      <w:r>
        <w:rPr>
          <w:rFonts w:hint="eastAsia" w:ascii="宋体" w:hAnsi="宋体"/>
          <w:sz w:val="24"/>
        </w:rPr>
        <w:t>专业设备指导与</w:t>
      </w:r>
      <w:r>
        <w:rPr>
          <w:rFonts w:ascii="宋体" w:hAnsi="宋体"/>
          <w:sz w:val="24"/>
        </w:rPr>
        <w:t>技术支撑</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运维单位应具有相应的保密资质，确保各类无线电监测设施、信息系统和相关数据的安全保密。运维单位应具备稳定的专业技术人员队伍和经过计量的专业仪器设备，以满足各类故障响应、应急和各类重大活动保障的运维时限要求、技术要求；</w:t>
      </w:r>
    </w:p>
    <w:p>
      <w:pPr>
        <w:spacing w:line="500" w:lineRule="exact"/>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）以上所有表格在填写完毕后应保存电子版格式，方便业主单位随时监督查看，并在项目完毕后将所有表格纸质版编入验收文档中。</w:t>
      </w:r>
    </w:p>
    <w:p>
      <w:pPr>
        <w:pStyle w:val="4"/>
        <w:rPr>
          <w:rFonts w:ascii="宋体" w:hAnsi="宋体" w:eastAsia="宋体"/>
          <w:sz w:val="24"/>
          <w:szCs w:val="24"/>
        </w:rPr>
      </w:pPr>
      <w:r>
        <w:rPr>
          <w:rFonts w:hint="eastAsia" w:ascii="宋体" w:hAnsi="宋体" w:eastAsia="宋体"/>
          <w:sz w:val="24"/>
          <w:szCs w:val="24"/>
        </w:rPr>
        <w:t>2.服务内容</w:t>
      </w:r>
    </w:p>
    <w:p>
      <w:pPr>
        <w:spacing w:line="360" w:lineRule="auto"/>
        <w:outlineLvl w:val="2"/>
        <w:rPr>
          <w:rFonts w:ascii="宋体" w:hAnsi="宋体"/>
          <w:sz w:val="24"/>
        </w:rPr>
      </w:pPr>
      <w:r>
        <w:rPr>
          <w:rFonts w:hint="eastAsia" w:ascii="宋体" w:hAnsi="宋体"/>
          <w:b/>
          <w:sz w:val="24"/>
        </w:rPr>
        <w:t>2.1无线电监测设备的日常检查</w:t>
      </w:r>
    </w:p>
    <w:p>
      <w:pPr>
        <w:spacing w:line="500" w:lineRule="exact"/>
        <w:ind w:firstLine="480" w:firstLineChars="200"/>
        <w:rPr>
          <w:rFonts w:ascii="宋体" w:hAnsi="宋体"/>
          <w:sz w:val="24"/>
        </w:rPr>
      </w:pPr>
      <w:r>
        <w:rPr>
          <w:rFonts w:hint="eastAsia" w:ascii="宋体" w:hAnsi="宋体"/>
          <w:sz w:val="24"/>
        </w:rPr>
        <w:t>日常检查工作包括但不限于检查计算机及服务器系统运行情况；检查监测测向系统、应用软件以及其它辅助软件的各种功能；测试网络、控制线、系统间联通及数据传输情况等。</w:t>
      </w:r>
    </w:p>
    <w:p>
      <w:pPr>
        <w:spacing w:line="500" w:lineRule="exact"/>
        <w:ind w:firstLine="480" w:firstLineChars="200"/>
        <w:rPr>
          <w:rFonts w:ascii="宋体" w:hAnsi="宋体"/>
          <w:sz w:val="24"/>
        </w:rPr>
      </w:pPr>
      <w:r>
        <w:rPr>
          <w:rFonts w:hint="eastAsia" w:ascii="宋体" w:hAnsi="宋体"/>
          <w:sz w:val="24"/>
        </w:rPr>
        <w:t>运维单位至少每月开展1次维保设施的日常检查工作，并填写《无线电监测设施日常检查工作记录表》，格式参考如下：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159"/>
        <w:gridCol w:w="706"/>
        <w:gridCol w:w="878"/>
        <w:gridCol w:w="878"/>
        <w:gridCol w:w="878"/>
        <w:gridCol w:w="878"/>
        <w:gridCol w:w="878"/>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vAlign w:val="center"/>
          </w:tcPr>
          <w:p>
            <w:pPr>
              <w:jc w:val="center"/>
              <w:rPr>
                <w:rFonts w:ascii="宋体" w:hAnsi="宋体"/>
                <w:sz w:val="24"/>
              </w:rPr>
            </w:pPr>
            <w:r>
              <w:rPr>
                <w:rFonts w:hint="eastAsia" w:ascii="宋体" w:hAnsi="宋体"/>
                <w:sz w:val="24"/>
              </w:rPr>
              <w:t>单位名称</w:t>
            </w:r>
          </w:p>
        </w:tc>
        <w:tc>
          <w:tcPr>
            <w:tcW w:w="2023" w:type="dxa"/>
            <w:gridSpan w:val="2"/>
          </w:tcPr>
          <w:p>
            <w:pPr>
              <w:rPr>
                <w:rFonts w:ascii="宋体" w:hAnsi="宋体"/>
                <w:sz w:val="24"/>
              </w:rPr>
            </w:pPr>
          </w:p>
        </w:tc>
        <w:tc>
          <w:tcPr>
            <w:tcW w:w="947" w:type="dxa"/>
          </w:tcPr>
          <w:p>
            <w:pPr>
              <w:rPr>
                <w:rFonts w:ascii="宋体" w:hAnsi="宋体"/>
                <w:sz w:val="24"/>
              </w:rPr>
            </w:pPr>
            <w:r>
              <w:rPr>
                <w:rFonts w:hint="eastAsia" w:ascii="宋体" w:hAnsi="宋体"/>
                <w:sz w:val="24"/>
              </w:rPr>
              <w:t>检查设备名称</w:t>
            </w:r>
          </w:p>
        </w:tc>
        <w:tc>
          <w:tcPr>
            <w:tcW w:w="5960" w:type="dxa"/>
            <w:gridSpan w:val="5"/>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sz w:val="24"/>
              </w:rPr>
            </w:pPr>
            <w:r>
              <w:rPr>
                <w:rFonts w:hint="eastAsia" w:ascii="宋体" w:hAnsi="宋体"/>
                <w:sz w:val="24"/>
              </w:rPr>
              <w:t>检查项目</w:t>
            </w:r>
          </w:p>
        </w:tc>
        <w:tc>
          <w:tcPr>
            <w:tcW w:w="8930" w:type="dxa"/>
            <w:gridSpan w:val="8"/>
          </w:tcPr>
          <w:p>
            <w:pPr>
              <w:pStyle w:val="52"/>
              <w:numPr>
                <w:ilvl w:val="0"/>
                <w:numId w:val="14"/>
              </w:numPr>
              <w:ind w:firstLineChars="0"/>
              <w:rPr>
                <w:rFonts w:ascii="宋体" w:hAnsi="宋体"/>
                <w:sz w:val="24"/>
                <w:szCs w:val="24"/>
              </w:rPr>
            </w:pPr>
            <w:r>
              <w:rPr>
                <w:rFonts w:hint="eastAsia" w:ascii="宋体" w:hAnsi="宋体"/>
                <w:sz w:val="24"/>
                <w:szCs w:val="24"/>
              </w:rPr>
              <w:t>检查计算机及服务器运行服务情况</w:t>
            </w:r>
          </w:p>
          <w:p>
            <w:pPr>
              <w:pStyle w:val="52"/>
              <w:numPr>
                <w:ilvl w:val="0"/>
                <w:numId w:val="14"/>
              </w:numPr>
              <w:ind w:firstLineChars="0"/>
              <w:rPr>
                <w:rFonts w:ascii="宋体" w:hAnsi="宋体"/>
                <w:sz w:val="24"/>
                <w:szCs w:val="24"/>
              </w:rPr>
            </w:pPr>
            <w:r>
              <w:rPr>
                <w:rFonts w:hint="eastAsia" w:ascii="宋体" w:hAnsi="宋体"/>
                <w:sz w:val="24"/>
                <w:szCs w:val="24"/>
              </w:rPr>
              <w:t>检查监测、测向应用软件及其他辅助软件的各种功能</w:t>
            </w:r>
          </w:p>
          <w:p>
            <w:pPr>
              <w:pStyle w:val="52"/>
              <w:numPr>
                <w:ilvl w:val="0"/>
                <w:numId w:val="14"/>
              </w:numPr>
              <w:ind w:firstLineChars="0"/>
              <w:rPr>
                <w:rFonts w:ascii="宋体" w:hAnsi="宋体"/>
                <w:sz w:val="24"/>
                <w:szCs w:val="24"/>
              </w:rPr>
            </w:pPr>
            <w:r>
              <w:rPr>
                <w:rFonts w:hint="eastAsia" w:ascii="宋体" w:hAnsi="宋体"/>
                <w:sz w:val="24"/>
                <w:szCs w:val="24"/>
              </w:rPr>
              <w:t>测试网络、控制线、系统间连通及数据传输情况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sz w:val="24"/>
              </w:rPr>
            </w:pPr>
            <w:r>
              <w:rPr>
                <w:rFonts w:hint="eastAsia" w:ascii="宋体" w:hAnsi="宋体"/>
                <w:sz w:val="24"/>
              </w:rPr>
              <w:t>序号</w:t>
            </w:r>
          </w:p>
        </w:tc>
        <w:tc>
          <w:tcPr>
            <w:tcW w:w="1276" w:type="dxa"/>
            <w:vAlign w:val="center"/>
          </w:tcPr>
          <w:p>
            <w:pPr>
              <w:jc w:val="center"/>
              <w:rPr>
                <w:rFonts w:ascii="宋体" w:hAnsi="宋体"/>
                <w:sz w:val="24"/>
              </w:rPr>
            </w:pPr>
            <w:r>
              <w:rPr>
                <w:rFonts w:hint="eastAsia" w:ascii="宋体" w:hAnsi="宋体"/>
                <w:sz w:val="24"/>
              </w:rPr>
              <w:t>检查项目</w:t>
            </w:r>
          </w:p>
        </w:tc>
        <w:tc>
          <w:tcPr>
            <w:tcW w:w="747" w:type="dxa"/>
            <w:vAlign w:val="center"/>
          </w:tcPr>
          <w:p>
            <w:pPr>
              <w:jc w:val="center"/>
              <w:rPr>
                <w:rFonts w:ascii="宋体" w:hAnsi="宋体"/>
                <w:sz w:val="24"/>
              </w:rPr>
            </w:pPr>
            <w:r>
              <w:rPr>
                <w:rFonts w:hint="eastAsia" w:ascii="宋体" w:hAnsi="宋体"/>
                <w:sz w:val="24"/>
              </w:rPr>
              <w:t>是否正常</w:t>
            </w:r>
          </w:p>
        </w:tc>
        <w:tc>
          <w:tcPr>
            <w:tcW w:w="947" w:type="dxa"/>
            <w:vAlign w:val="center"/>
          </w:tcPr>
          <w:p>
            <w:pPr>
              <w:jc w:val="center"/>
              <w:rPr>
                <w:rFonts w:ascii="宋体" w:hAnsi="宋体"/>
                <w:sz w:val="24"/>
              </w:rPr>
            </w:pPr>
            <w:r>
              <w:rPr>
                <w:rFonts w:hint="eastAsia" w:ascii="宋体" w:hAnsi="宋体"/>
                <w:sz w:val="24"/>
              </w:rPr>
              <w:t>处理</w:t>
            </w:r>
          </w:p>
          <w:p>
            <w:pPr>
              <w:jc w:val="center"/>
              <w:rPr>
                <w:rFonts w:ascii="宋体" w:hAnsi="宋体"/>
                <w:sz w:val="24"/>
              </w:rPr>
            </w:pPr>
            <w:r>
              <w:rPr>
                <w:rFonts w:hint="eastAsia" w:ascii="宋体" w:hAnsi="宋体"/>
                <w:sz w:val="24"/>
              </w:rPr>
              <w:t>情况</w:t>
            </w:r>
          </w:p>
        </w:tc>
        <w:tc>
          <w:tcPr>
            <w:tcW w:w="947" w:type="dxa"/>
            <w:vAlign w:val="center"/>
          </w:tcPr>
          <w:p>
            <w:pPr>
              <w:jc w:val="center"/>
              <w:rPr>
                <w:rFonts w:ascii="宋体" w:hAnsi="宋体"/>
                <w:sz w:val="24"/>
              </w:rPr>
            </w:pPr>
            <w:r>
              <w:rPr>
                <w:rFonts w:hint="eastAsia" w:ascii="宋体" w:hAnsi="宋体"/>
                <w:sz w:val="24"/>
              </w:rPr>
              <w:t>检查</w:t>
            </w:r>
          </w:p>
          <w:p>
            <w:pPr>
              <w:jc w:val="center"/>
              <w:rPr>
                <w:rFonts w:ascii="宋体" w:hAnsi="宋体"/>
                <w:sz w:val="24"/>
              </w:rPr>
            </w:pPr>
            <w:r>
              <w:rPr>
                <w:rFonts w:hint="eastAsia" w:ascii="宋体" w:hAnsi="宋体"/>
                <w:sz w:val="24"/>
              </w:rPr>
              <w:t>时间</w:t>
            </w:r>
          </w:p>
        </w:tc>
        <w:tc>
          <w:tcPr>
            <w:tcW w:w="947" w:type="dxa"/>
            <w:vAlign w:val="center"/>
          </w:tcPr>
          <w:p>
            <w:pPr>
              <w:jc w:val="center"/>
              <w:rPr>
                <w:rFonts w:ascii="宋体" w:hAnsi="宋体"/>
                <w:sz w:val="24"/>
              </w:rPr>
            </w:pPr>
            <w:r>
              <w:rPr>
                <w:rFonts w:hint="eastAsia" w:ascii="宋体" w:hAnsi="宋体"/>
                <w:sz w:val="24"/>
              </w:rPr>
              <w:t>检查</w:t>
            </w:r>
          </w:p>
          <w:p>
            <w:pPr>
              <w:jc w:val="center"/>
              <w:rPr>
                <w:rFonts w:ascii="宋体" w:hAnsi="宋体"/>
                <w:sz w:val="24"/>
              </w:rPr>
            </w:pPr>
            <w:r>
              <w:rPr>
                <w:rFonts w:hint="eastAsia" w:ascii="宋体" w:hAnsi="宋体"/>
                <w:sz w:val="24"/>
              </w:rPr>
              <w:t>人员</w:t>
            </w:r>
          </w:p>
        </w:tc>
        <w:tc>
          <w:tcPr>
            <w:tcW w:w="947" w:type="dxa"/>
            <w:vAlign w:val="center"/>
          </w:tcPr>
          <w:p>
            <w:pPr>
              <w:jc w:val="center"/>
              <w:rPr>
                <w:rFonts w:ascii="宋体" w:hAnsi="宋体"/>
                <w:sz w:val="24"/>
              </w:rPr>
            </w:pPr>
            <w:r>
              <w:rPr>
                <w:rFonts w:hint="eastAsia" w:ascii="宋体" w:hAnsi="宋体"/>
                <w:sz w:val="24"/>
              </w:rPr>
              <w:t>审核人</w:t>
            </w:r>
          </w:p>
        </w:tc>
        <w:tc>
          <w:tcPr>
            <w:tcW w:w="947" w:type="dxa"/>
            <w:vAlign w:val="center"/>
          </w:tcPr>
          <w:p>
            <w:pPr>
              <w:jc w:val="center"/>
              <w:rPr>
                <w:rFonts w:ascii="宋体" w:hAnsi="宋体"/>
                <w:sz w:val="24"/>
              </w:rPr>
            </w:pPr>
            <w:r>
              <w:rPr>
                <w:rFonts w:hint="eastAsia" w:ascii="宋体" w:hAnsi="宋体"/>
                <w:sz w:val="24"/>
              </w:rPr>
              <w:t>负责人</w:t>
            </w:r>
          </w:p>
        </w:tc>
        <w:tc>
          <w:tcPr>
            <w:tcW w:w="2172" w:type="dxa"/>
            <w:vAlign w:val="center"/>
          </w:tcPr>
          <w:p>
            <w:pPr>
              <w:jc w:val="center"/>
              <w:rPr>
                <w:rFonts w:ascii="宋体" w:hAnsi="宋体"/>
                <w:sz w:val="24"/>
              </w:rPr>
            </w:pPr>
            <w:r>
              <w:rPr>
                <w:rFonts w:hint="eastAsia" w:ascii="宋体" w:hAnsi="宋体"/>
                <w:sz w:val="24"/>
              </w:rPr>
              <w:t>备注</w:t>
            </w:r>
          </w:p>
        </w:tc>
      </w:tr>
    </w:tbl>
    <w:p>
      <w:pPr>
        <w:spacing w:line="360" w:lineRule="auto"/>
        <w:outlineLvl w:val="2"/>
        <w:rPr>
          <w:rFonts w:ascii="宋体" w:hAnsi="宋体"/>
          <w:b/>
          <w:sz w:val="24"/>
        </w:rPr>
      </w:pPr>
      <w:r>
        <w:rPr>
          <w:rFonts w:hint="eastAsia" w:ascii="宋体" w:hAnsi="宋体"/>
          <w:b/>
          <w:sz w:val="24"/>
        </w:rPr>
        <w:t>2.</w:t>
      </w:r>
      <w:r>
        <w:rPr>
          <w:rFonts w:ascii="宋体" w:hAnsi="宋体"/>
          <w:sz w:val="24"/>
        </w:rPr>
        <w:t>2</w:t>
      </w:r>
      <w:r>
        <w:rPr>
          <w:rFonts w:hint="eastAsia" w:ascii="宋体" w:hAnsi="宋体"/>
          <w:b/>
          <w:sz w:val="24"/>
        </w:rPr>
        <w:t>无线电监测设备的巡检及维护</w:t>
      </w:r>
    </w:p>
    <w:p>
      <w:pPr>
        <w:spacing w:line="500" w:lineRule="exact"/>
        <w:ind w:firstLine="480" w:firstLineChars="200"/>
        <w:rPr>
          <w:rFonts w:ascii="宋体" w:hAnsi="宋体"/>
          <w:sz w:val="24"/>
        </w:rPr>
      </w:pPr>
      <w:r>
        <w:rPr>
          <w:rFonts w:hint="eastAsia" w:ascii="宋体" w:hAnsi="宋体"/>
          <w:sz w:val="24"/>
        </w:rPr>
        <w:t>针对固定监测站、移动监测站、可搬移监测的设备、机房及其附属设施，将由专业技术人员对其进行专项巡检，巡检分为如下内容：</w:t>
      </w:r>
    </w:p>
    <w:tbl>
      <w:tblPr>
        <w:tblStyle w:val="2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1635"/>
        <w:gridCol w:w="5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81" w:type="dxa"/>
            <w:gridSpan w:val="3"/>
            <w:shd w:val="clear" w:color="auto" w:fill="auto"/>
            <w:vAlign w:val="center"/>
          </w:tcPr>
          <w:p>
            <w:pPr>
              <w:jc w:val="center"/>
              <w:rPr>
                <w:rFonts w:ascii="宋体" w:hAnsi="宋体"/>
                <w:b/>
                <w:sz w:val="24"/>
              </w:rPr>
            </w:pPr>
            <w:r>
              <w:rPr>
                <w:rFonts w:hint="eastAsia" w:ascii="宋体" w:hAnsi="宋体"/>
                <w:b/>
                <w:sz w:val="24"/>
              </w:rPr>
              <w:t>系统设备检查维护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9" w:type="dxa"/>
            <w:shd w:val="clear" w:color="auto" w:fill="auto"/>
            <w:vAlign w:val="center"/>
          </w:tcPr>
          <w:p>
            <w:pPr>
              <w:jc w:val="center"/>
              <w:rPr>
                <w:rFonts w:ascii="宋体" w:hAnsi="宋体"/>
                <w:b/>
                <w:sz w:val="24"/>
              </w:rPr>
            </w:pPr>
            <w:r>
              <w:rPr>
                <w:rFonts w:hint="eastAsia" w:ascii="宋体" w:hAnsi="宋体"/>
                <w:b/>
                <w:sz w:val="24"/>
              </w:rPr>
              <w:t>序号</w:t>
            </w:r>
          </w:p>
        </w:tc>
        <w:tc>
          <w:tcPr>
            <w:tcW w:w="1762" w:type="dxa"/>
            <w:shd w:val="clear" w:color="auto" w:fill="auto"/>
            <w:vAlign w:val="center"/>
          </w:tcPr>
          <w:p>
            <w:pPr>
              <w:jc w:val="center"/>
              <w:rPr>
                <w:rFonts w:ascii="宋体" w:hAnsi="宋体"/>
                <w:b/>
                <w:sz w:val="24"/>
              </w:rPr>
            </w:pPr>
            <w:r>
              <w:rPr>
                <w:rFonts w:hint="eastAsia" w:ascii="宋体" w:hAnsi="宋体"/>
                <w:b/>
                <w:sz w:val="24"/>
              </w:rPr>
              <w:t>维护项目</w:t>
            </w:r>
          </w:p>
        </w:tc>
        <w:tc>
          <w:tcPr>
            <w:tcW w:w="6520" w:type="dxa"/>
            <w:shd w:val="clear" w:color="auto" w:fill="auto"/>
            <w:vAlign w:val="center"/>
          </w:tcPr>
          <w:p>
            <w:pPr>
              <w:jc w:val="center"/>
              <w:rPr>
                <w:rFonts w:ascii="宋体" w:hAnsi="宋体"/>
                <w:b/>
                <w:sz w:val="24"/>
              </w:rPr>
            </w:pPr>
            <w:r>
              <w:rPr>
                <w:rFonts w:hint="eastAsia" w:ascii="宋体" w:hAnsi="宋体"/>
                <w:b/>
                <w:sz w:val="24"/>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9" w:type="dxa"/>
            <w:shd w:val="clear" w:color="auto" w:fill="auto"/>
            <w:vAlign w:val="center"/>
          </w:tcPr>
          <w:p>
            <w:pPr>
              <w:jc w:val="center"/>
              <w:rPr>
                <w:rFonts w:ascii="宋体" w:hAnsi="宋体"/>
                <w:sz w:val="24"/>
              </w:rPr>
            </w:pPr>
            <w:r>
              <w:rPr>
                <w:rFonts w:hint="eastAsia" w:ascii="宋体" w:hAnsi="宋体"/>
                <w:sz w:val="24"/>
              </w:rPr>
              <w:t>1</w:t>
            </w:r>
          </w:p>
        </w:tc>
        <w:tc>
          <w:tcPr>
            <w:tcW w:w="1762" w:type="dxa"/>
            <w:shd w:val="clear" w:color="auto" w:fill="auto"/>
            <w:vAlign w:val="center"/>
          </w:tcPr>
          <w:p>
            <w:pPr>
              <w:rPr>
                <w:rFonts w:ascii="宋体" w:hAnsi="宋体" w:cs="宋体"/>
                <w:sz w:val="24"/>
              </w:rPr>
            </w:pPr>
            <w:r>
              <w:rPr>
                <w:rFonts w:hint="eastAsia" w:ascii="宋体" w:hAnsi="宋体"/>
                <w:sz w:val="24"/>
              </w:rPr>
              <w:t>天馈系统</w:t>
            </w:r>
          </w:p>
        </w:tc>
        <w:tc>
          <w:tcPr>
            <w:tcW w:w="6520" w:type="dxa"/>
            <w:shd w:val="clear" w:color="auto" w:fill="auto"/>
            <w:vAlign w:val="center"/>
          </w:tcPr>
          <w:p>
            <w:pPr>
              <w:rPr>
                <w:rFonts w:ascii="宋体" w:hAnsi="宋体"/>
                <w:sz w:val="24"/>
              </w:rPr>
            </w:pPr>
            <w:r>
              <w:rPr>
                <w:rFonts w:hint="eastAsia" w:ascii="宋体" w:hAnsi="宋体"/>
                <w:sz w:val="24"/>
              </w:rPr>
              <w:t>天馈系统阻抗特性、反射特性、频响特性及断点测试</w:t>
            </w:r>
          </w:p>
          <w:p>
            <w:pPr>
              <w:rPr>
                <w:rFonts w:ascii="宋体" w:hAnsi="宋体" w:cs="宋体"/>
                <w:sz w:val="24"/>
              </w:rPr>
            </w:pPr>
            <w:r>
              <w:rPr>
                <w:rFonts w:hint="eastAsia" w:ascii="宋体" w:hAnsi="宋体"/>
                <w:sz w:val="24"/>
              </w:rPr>
              <w:t>监测天线、测向天线外观、固定、防水、接地、避雷检查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9" w:type="dxa"/>
            <w:shd w:val="clear" w:color="auto" w:fill="auto"/>
            <w:vAlign w:val="center"/>
          </w:tcPr>
          <w:p>
            <w:pPr>
              <w:jc w:val="center"/>
              <w:rPr>
                <w:rFonts w:ascii="宋体" w:hAnsi="宋体"/>
                <w:sz w:val="24"/>
              </w:rPr>
            </w:pPr>
            <w:r>
              <w:rPr>
                <w:rFonts w:hint="eastAsia" w:ascii="宋体" w:hAnsi="宋体"/>
                <w:sz w:val="24"/>
              </w:rPr>
              <w:t>2</w:t>
            </w:r>
          </w:p>
        </w:tc>
        <w:tc>
          <w:tcPr>
            <w:tcW w:w="1762" w:type="dxa"/>
            <w:shd w:val="clear" w:color="auto" w:fill="auto"/>
            <w:vAlign w:val="center"/>
          </w:tcPr>
          <w:p>
            <w:pPr>
              <w:rPr>
                <w:rFonts w:ascii="宋体" w:hAnsi="宋体" w:cs="宋体"/>
                <w:sz w:val="24"/>
              </w:rPr>
            </w:pPr>
            <w:r>
              <w:rPr>
                <w:rFonts w:hint="eastAsia" w:ascii="宋体" w:hAnsi="宋体"/>
                <w:sz w:val="24"/>
              </w:rPr>
              <w:t>监测测向主机</w:t>
            </w:r>
          </w:p>
        </w:tc>
        <w:tc>
          <w:tcPr>
            <w:tcW w:w="6520" w:type="dxa"/>
            <w:shd w:val="clear" w:color="auto" w:fill="auto"/>
            <w:vAlign w:val="center"/>
          </w:tcPr>
          <w:p>
            <w:pPr>
              <w:rPr>
                <w:rFonts w:ascii="宋体" w:hAnsi="宋体" w:cs="宋体"/>
                <w:sz w:val="24"/>
              </w:rPr>
            </w:pPr>
            <w:r>
              <w:rPr>
                <w:rFonts w:hint="eastAsia" w:ascii="宋体" w:hAnsi="宋体"/>
                <w:sz w:val="24"/>
              </w:rPr>
              <w:t>启动自检、散热、电源、控制接口、通信传输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9" w:type="dxa"/>
            <w:shd w:val="clear" w:color="auto" w:fill="auto"/>
            <w:vAlign w:val="center"/>
          </w:tcPr>
          <w:p>
            <w:pPr>
              <w:jc w:val="center"/>
              <w:rPr>
                <w:rFonts w:ascii="宋体" w:hAnsi="宋体"/>
                <w:sz w:val="24"/>
              </w:rPr>
            </w:pPr>
            <w:r>
              <w:rPr>
                <w:rFonts w:hint="eastAsia" w:ascii="宋体" w:hAnsi="宋体"/>
                <w:sz w:val="24"/>
              </w:rPr>
              <w:t>3</w:t>
            </w:r>
          </w:p>
        </w:tc>
        <w:tc>
          <w:tcPr>
            <w:tcW w:w="1762" w:type="dxa"/>
            <w:shd w:val="clear" w:color="auto" w:fill="auto"/>
            <w:vAlign w:val="center"/>
          </w:tcPr>
          <w:p>
            <w:pPr>
              <w:rPr>
                <w:rFonts w:ascii="宋体" w:hAnsi="宋体" w:cs="宋体"/>
                <w:sz w:val="24"/>
              </w:rPr>
            </w:pPr>
            <w:r>
              <w:rPr>
                <w:rFonts w:hint="eastAsia" w:ascii="宋体" w:hAnsi="宋体"/>
                <w:sz w:val="24"/>
              </w:rPr>
              <w:t>系统控制终端</w:t>
            </w:r>
          </w:p>
        </w:tc>
        <w:tc>
          <w:tcPr>
            <w:tcW w:w="6520" w:type="dxa"/>
            <w:shd w:val="clear" w:color="auto" w:fill="auto"/>
            <w:vAlign w:val="center"/>
          </w:tcPr>
          <w:p>
            <w:pPr>
              <w:rPr>
                <w:rFonts w:ascii="宋体" w:hAnsi="宋体" w:cs="宋体"/>
                <w:sz w:val="24"/>
              </w:rPr>
            </w:pPr>
            <w:r>
              <w:rPr>
                <w:rFonts w:hint="eastAsia" w:ascii="宋体" w:hAnsi="宋体"/>
                <w:sz w:val="24"/>
              </w:rPr>
              <w:t>散热、控制接口、通信传输、模块自检、操作系统升级、输入输出装置、数据备份、安全防护、服务端程序加载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9" w:type="dxa"/>
            <w:shd w:val="clear" w:color="auto" w:fill="auto"/>
            <w:vAlign w:val="center"/>
          </w:tcPr>
          <w:p>
            <w:pPr>
              <w:jc w:val="center"/>
              <w:rPr>
                <w:rFonts w:ascii="宋体" w:hAnsi="宋体"/>
                <w:sz w:val="24"/>
              </w:rPr>
            </w:pPr>
            <w:r>
              <w:rPr>
                <w:rFonts w:hint="eastAsia" w:ascii="宋体" w:hAnsi="宋体"/>
                <w:sz w:val="24"/>
              </w:rPr>
              <w:t>4</w:t>
            </w:r>
          </w:p>
        </w:tc>
        <w:tc>
          <w:tcPr>
            <w:tcW w:w="1762" w:type="dxa"/>
            <w:shd w:val="clear" w:color="auto" w:fill="auto"/>
            <w:vAlign w:val="center"/>
          </w:tcPr>
          <w:p>
            <w:pPr>
              <w:rPr>
                <w:rFonts w:ascii="宋体" w:hAnsi="宋体" w:cs="宋体"/>
                <w:sz w:val="24"/>
              </w:rPr>
            </w:pPr>
            <w:r>
              <w:rPr>
                <w:rFonts w:hint="eastAsia" w:ascii="宋体" w:hAnsi="宋体"/>
                <w:sz w:val="24"/>
              </w:rPr>
              <w:t>远程控制单元</w:t>
            </w:r>
          </w:p>
        </w:tc>
        <w:tc>
          <w:tcPr>
            <w:tcW w:w="6520" w:type="dxa"/>
            <w:shd w:val="clear" w:color="auto" w:fill="auto"/>
            <w:vAlign w:val="center"/>
          </w:tcPr>
          <w:p>
            <w:pPr>
              <w:rPr>
                <w:rFonts w:ascii="宋体" w:hAnsi="宋体" w:cs="宋体"/>
                <w:sz w:val="24"/>
              </w:rPr>
            </w:pPr>
            <w:r>
              <w:rPr>
                <w:rFonts w:hint="eastAsia" w:ascii="宋体" w:hAnsi="宋体"/>
                <w:sz w:val="24"/>
              </w:rPr>
              <w:t>环境监测传感器、安防单元、远程控制本地检查、设备遥控功能</w:t>
            </w:r>
          </w:p>
        </w:tc>
      </w:tr>
    </w:tbl>
    <w:p>
      <w:pPr>
        <w:rPr>
          <w:rFonts w:ascii="宋体" w:hAnsi="宋体"/>
          <w:sz w:val="24"/>
        </w:rPr>
      </w:pPr>
    </w:p>
    <w:p>
      <w:pPr>
        <w:rPr>
          <w:rFonts w:ascii="宋体" w:hAnsi="宋体"/>
          <w:sz w:val="24"/>
        </w:rPr>
      </w:pPr>
    </w:p>
    <w:p>
      <w:pPr>
        <w:rPr>
          <w:rFonts w:ascii="宋体" w:hAnsi="宋体"/>
          <w:sz w:val="24"/>
        </w:rPr>
      </w:pP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2015"/>
        <w:gridCol w:w="5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9" w:type="dxa"/>
            <w:gridSpan w:val="3"/>
            <w:shd w:val="clear" w:color="auto" w:fill="auto"/>
            <w:vAlign w:val="center"/>
          </w:tcPr>
          <w:p>
            <w:pPr>
              <w:jc w:val="center"/>
              <w:rPr>
                <w:rFonts w:ascii="宋体" w:hAnsi="宋体"/>
                <w:b/>
                <w:sz w:val="24"/>
              </w:rPr>
            </w:pPr>
            <w:r>
              <w:rPr>
                <w:rFonts w:hint="eastAsia" w:ascii="宋体" w:hAnsi="宋体"/>
                <w:b/>
                <w:sz w:val="24"/>
              </w:rPr>
              <w:t>电源系统检查维护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b/>
                <w:sz w:val="24"/>
              </w:rPr>
            </w:pPr>
            <w:r>
              <w:rPr>
                <w:rFonts w:hint="eastAsia" w:ascii="宋体" w:hAnsi="宋体"/>
                <w:b/>
                <w:sz w:val="24"/>
              </w:rPr>
              <w:t>序号</w:t>
            </w:r>
          </w:p>
        </w:tc>
        <w:tc>
          <w:tcPr>
            <w:tcW w:w="2187" w:type="dxa"/>
            <w:shd w:val="clear" w:color="auto" w:fill="auto"/>
            <w:vAlign w:val="center"/>
          </w:tcPr>
          <w:p>
            <w:pPr>
              <w:jc w:val="center"/>
              <w:rPr>
                <w:rFonts w:ascii="宋体" w:hAnsi="宋体"/>
                <w:b/>
                <w:sz w:val="24"/>
              </w:rPr>
            </w:pPr>
            <w:r>
              <w:rPr>
                <w:rFonts w:hint="eastAsia" w:ascii="宋体" w:hAnsi="宋体"/>
                <w:b/>
                <w:sz w:val="24"/>
              </w:rPr>
              <w:t>维护项目</w:t>
            </w:r>
          </w:p>
        </w:tc>
        <w:tc>
          <w:tcPr>
            <w:tcW w:w="6095" w:type="dxa"/>
            <w:shd w:val="clear" w:color="auto" w:fill="auto"/>
            <w:vAlign w:val="center"/>
          </w:tcPr>
          <w:p>
            <w:pPr>
              <w:jc w:val="center"/>
              <w:rPr>
                <w:rFonts w:ascii="宋体" w:hAnsi="宋体"/>
                <w:b/>
                <w:sz w:val="24"/>
              </w:rPr>
            </w:pPr>
            <w:r>
              <w:rPr>
                <w:rFonts w:hint="eastAsia" w:ascii="宋体" w:hAnsi="宋体"/>
                <w:b/>
                <w:sz w:val="24"/>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1</w:t>
            </w:r>
          </w:p>
        </w:tc>
        <w:tc>
          <w:tcPr>
            <w:tcW w:w="2187" w:type="dxa"/>
            <w:shd w:val="clear" w:color="auto" w:fill="auto"/>
            <w:vAlign w:val="center"/>
          </w:tcPr>
          <w:p>
            <w:pPr>
              <w:rPr>
                <w:rFonts w:ascii="宋体" w:hAnsi="宋体" w:cs="宋体"/>
                <w:sz w:val="24"/>
              </w:rPr>
            </w:pPr>
            <w:r>
              <w:rPr>
                <w:rFonts w:hint="eastAsia" w:ascii="宋体" w:hAnsi="宋体"/>
                <w:sz w:val="24"/>
              </w:rPr>
              <w:t>电源系统</w:t>
            </w:r>
          </w:p>
        </w:tc>
        <w:tc>
          <w:tcPr>
            <w:tcW w:w="6095" w:type="dxa"/>
            <w:shd w:val="clear" w:color="auto" w:fill="auto"/>
            <w:vAlign w:val="center"/>
          </w:tcPr>
          <w:p>
            <w:pPr>
              <w:rPr>
                <w:rFonts w:ascii="宋体" w:hAnsi="宋体" w:cs="宋体"/>
                <w:sz w:val="24"/>
              </w:rPr>
            </w:pPr>
            <w:r>
              <w:rPr>
                <w:rFonts w:hint="eastAsia" w:ascii="宋体" w:hAnsi="宋体"/>
                <w:sz w:val="24"/>
              </w:rPr>
              <w:t>系统启动、自检、告警检查，充放电实验、不间断切换实验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2</w:t>
            </w:r>
          </w:p>
        </w:tc>
        <w:tc>
          <w:tcPr>
            <w:tcW w:w="2187" w:type="dxa"/>
            <w:shd w:val="clear" w:color="auto" w:fill="auto"/>
            <w:vAlign w:val="center"/>
          </w:tcPr>
          <w:p>
            <w:pPr>
              <w:rPr>
                <w:rFonts w:ascii="宋体" w:hAnsi="宋体" w:cs="宋体"/>
                <w:sz w:val="24"/>
              </w:rPr>
            </w:pPr>
            <w:r>
              <w:rPr>
                <w:rFonts w:hint="eastAsia" w:ascii="宋体" w:hAnsi="宋体"/>
                <w:sz w:val="24"/>
              </w:rPr>
              <w:t>稳压电源</w:t>
            </w:r>
          </w:p>
        </w:tc>
        <w:tc>
          <w:tcPr>
            <w:tcW w:w="6095" w:type="dxa"/>
            <w:shd w:val="clear" w:color="auto" w:fill="auto"/>
            <w:vAlign w:val="center"/>
          </w:tcPr>
          <w:p>
            <w:pPr>
              <w:rPr>
                <w:rFonts w:ascii="宋体" w:hAnsi="宋体" w:cs="宋体"/>
                <w:sz w:val="24"/>
              </w:rPr>
            </w:pPr>
            <w:r>
              <w:rPr>
                <w:rFonts w:hint="eastAsia" w:ascii="宋体" w:hAnsi="宋体"/>
                <w:sz w:val="24"/>
              </w:rPr>
              <w:t>输出电压、功耗、散热、告警检测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3</w:t>
            </w:r>
          </w:p>
        </w:tc>
        <w:tc>
          <w:tcPr>
            <w:tcW w:w="2187" w:type="dxa"/>
            <w:shd w:val="clear" w:color="auto" w:fill="auto"/>
            <w:vAlign w:val="center"/>
          </w:tcPr>
          <w:p>
            <w:pPr>
              <w:rPr>
                <w:rFonts w:ascii="宋体" w:hAnsi="宋体" w:cs="宋体"/>
                <w:sz w:val="24"/>
              </w:rPr>
            </w:pPr>
            <w:r>
              <w:rPr>
                <w:rFonts w:hint="eastAsia" w:ascii="宋体" w:hAnsi="宋体"/>
                <w:sz w:val="24"/>
              </w:rPr>
              <w:t>电池组</w:t>
            </w:r>
          </w:p>
        </w:tc>
        <w:tc>
          <w:tcPr>
            <w:tcW w:w="6095" w:type="dxa"/>
            <w:shd w:val="clear" w:color="auto" w:fill="auto"/>
            <w:vAlign w:val="center"/>
          </w:tcPr>
          <w:p>
            <w:pPr>
              <w:rPr>
                <w:rFonts w:ascii="宋体" w:hAnsi="宋体" w:cs="宋体"/>
                <w:sz w:val="24"/>
              </w:rPr>
            </w:pPr>
            <w:r>
              <w:rPr>
                <w:rFonts w:hint="eastAsia" w:ascii="宋体" w:hAnsi="宋体"/>
                <w:sz w:val="24"/>
              </w:rPr>
              <w:t>外观、漏液、裸露保护、装置紧固、输出电压、工作电流、充电温度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4</w:t>
            </w:r>
          </w:p>
        </w:tc>
        <w:tc>
          <w:tcPr>
            <w:tcW w:w="2187" w:type="dxa"/>
            <w:shd w:val="clear" w:color="auto" w:fill="auto"/>
            <w:vAlign w:val="center"/>
          </w:tcPr>
          <w:p>
            <w:pPr>
              <w:rPr>
                <w:rFonts w:ascii="宋体" w:hAnsi="宋体" w:cs="宋体"/>
                <w:sz w:val="24"/>
              </w:rPr>
            </w:pPr>
            <w:r>
              <w:rPr>
                <w:rFonts w:hint="eastAsia" w:ascii="宋体" w:hAnsi="宋体"/>
                <w:sz w:val="24"/>
              </w:rPr>
              <w:t>电源避雷器</w:t>
            </w:r>
          </w:p>
        </w:tc>
        <w:tc>
          <w:tcPr>
            <w:tcW w:w="6095" w:type="dxa"/>
            <w:shd w:val="clear" w:color="auto" w:fill="auto"/>
            <w:vAlign w:val="center"/>
          </w:tcPr>
          <w:p>
            <w:pPr>
              <w:rPr>
                <w:rFonts w:ascii="宋体" w:hAnsi="宋体" w:cs="宋体"/>
                <w:sz w:val="24"/>
              </w:rPr>
            </w:pPr>
            <w:r>
              <w:rPr>
                <w:rFonts w:hint="eastAsia" w:ascii="宋体" w:hAnsi="宋体"/>
                <w:sz w:val="24"/>
              </w:rPr>
              <w:t>外观状态、连接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5</w:t>
            </w:r>
          </w:p>
        </w:tc>
        <w:tc>
          <w:tcPr>
            <w:tcW w:w="2187" w:type="dxa"/>
            <w:shd w:val="clear" w:color="auto" w:fill="auto"/>
            <w:vAlign w:val="center"/>
          </w:tcPr>
          <w:p>
            <w:pPr>
              <w:rPr>
                <w:rFonts w:ascii="宋体" w:hAnsi="宋体" w:cs="宋体"/>
                <w:sz w:val="24"/>
              </w:rPr>
            </w:pPr>
            <w:r>
              <w:rPr>
                <w:rFonts w:hint="eastAsia" w:ascii="宋体" w:hAnsi="宋体"/>
                <w:sz w:val="24"/>
              </w:rPr>
              <w:t>系统接地</w:t>
            </w:r>
          </w:p>
        </w:tc>
        <w:tc>
          <w:tcPr>
            <w:tcW w:w="6095" w:type="dxa"/>
            <w:shd w:val="clear" w:color="auto" w:fill="auto"/>
            <w:vAlign w:val="center"/>
          </w:tcPr>
          <w:p>
            <w:pPr>
              <w:rPr>
                <w:rFonts w:ascii="宋体" w:hAnsi="宋体" w:cs="宋体"/>
                <w:sz w:val="24"/>
              </w:rPr>
            </w:pPr>
            <w:r>
              <w:rPr>
                <w:rFonts w:hint="eastAsia" w:ascii="宋体" w:hAnsi="宋体"/>
                <w:sz w:val="24"/>
              </w:rPr>
              <w:t>地阻测试、接地线缆、接触点紧固</w:t>
            </w:r>
          </w:p>
        </w:tc>
      </w:tr>
    </w:tbl>
    <w:p>
      <w:pPr>
        <w:ind w:firstLine="484" w:firstLineChars="202"/>
        <w:rPr>
          <w:rFonts w:ascii="宋体" w:hAnsi="宋体"/>
          <w:sz w:val="24"/>
        </w:rPr>
      </w:pP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2015"/>
        <w:gridCol w:w="5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9" w:type="dxa"/>
            <w:gridSpan w:val="3"/>
            <w:shd w:val="clear" w:color="auto" w:fill="auto"/>
            <w:vAlign w:val="center"/>
          </w:tcPr>
          <w:p>
            <w:pPr>
              <w:jc w:val="center"/>
              <w:rPr>
                <w:rFonts w:ascii="宋体" w:hAnsi="宋体"/>
                <w:b/>
                <w:sz w:val="24"/>
              </w:rPr>
            </w:pPr>
            <w:r>
              <w:rPr>
                <w:rFonts w:hint="eastAsia" w:ascii="宋体" w:hAnsi="宋体"/>
                <w:b/>
                <w:sz w:val="24"/>
              </w:rPr>
              <w:t>网络系统检查维护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b/>
                <w:sz w:val="24"/>
              </w:rPr>
            </w:pPr>
            <w:r>
              <w:rPr>
                <w:rFonts w:hint="eastAsia" w:ascii="宋体" w:hAnsi="宋体"/>
                <w:b/>
                <w:sz w:val="24"/>
              </w:rPr>
              <w:t>序号</w:t>
            </w:r>
          </w:p>
        </w:tc>
        <w:tc>
          <w:tcPr>
            <w:tcW w:w="2187" w:type="dxa"/>
            <w:shd w:val="clear" w:color="auto" w:fill="auto"/>
            <w:vAlign w:val="center"/>
          </w:tcPr>
          <w:p>
            <w:pPr>
              <w:jc w:val="center"/>
              <w:rPr>
                <w:rFonts w:ascii="宋体" w:hAnsi="宋体"/>
                <w:b/>
                <w:sz w:val="24"/>
              </w:rPr>
            </w:pPr>
            <w:r>
              <w:rPr>
                <w:rFonts w:hint="eastAsia" w:ascii="宋体" w:hAnsi="宋体"/>
                <w:b/>
                <w:sz w:val="24"/>
              </w:rPr>
              <w:t>维护项目</w:t>
            </w:r>
          </w:p>
        </w:tc>
        <w:tc>
          <w:tcPr>
            <w:tcW w:w="6095" w:type="dxa"/>
            <w:shd w:val="clear" w:color="auto" w:fill="auto"/>
            <w:vAlign w:val="center"/>
          </w:tcPr>
          <w:p>
            <w:pPr>
              <w:jc w:val="center"/>
              <w:rPr>
                <w:rFonts w:ascii="宋体" w:hAnsi="宋体"/>
                <w:b/>
                <w:sz w:val="24"/>
              </w:rPr>
            </w:pPr>
            <w:r>
              <w:rPr>
                <w:rFonts w:hint="eastAsia" w:ascii="宋体" w:hAnsi="宋体"/>
                <w:b/>
                <w:sz w:val="24"/>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1</w:t>
            </w:r>
          </w:p>
        </w:tc>
        <w:tc>
          <w:tcPr>
            <w:tcW w:w="2187" w:type="dxa"/>
            <w:shd w:val="clear" w:color="auto" w:fill="auto"/>
            <w:vAlign w:val="center"/>
          </w:tcPr>
          <w:p>
            <w:pPr>
              <w:rPr>
                <w:rFonts w:ascii="宋体" w:hAnsi="宋体" w:cs="宋体"/>
                <w:sz w:val="24"/>
              </w:rPr>
            </w:pPr>
            <w:r>
              <w:rPr>
                <w:rFonts w:hint="eastAsia" w:ascii="宋体" w:hAnsi="宋体"/>
                <w:sz w:val="24"/>
              </w:rPr>
              <w:t>网络交换机</w:t>
            </w:r>
          </w:p>
        </w:tc>
        <w:tc>
          <w:tcPr>
            <w:tcW w:w="6095" w:type="dxa"/>
            <w:shd w:val="clear" w:color="auto" w:fill="auto"/>
            <w:vAlign w:val="center"/>
          </w:tcPr>
          <w:p>
            <w:pPr>
              <w:rPr>
                <w:rFonts w:ascii="宋体" w:hAnsi="宋体" w:cs="宋体"/>
                <w:sz w:val="24"/>
              </w:rPr>
            </w:pPr>
            <w:r>
              <w:rPr>
                <w:rFonts w:hint="eastAsia" w:ascii="宋体" w:hAnsi="宋体"/>
                <w:sz w:val="24"/>
              </w:rPr>
              <w:t>工作状态、配置检查、日志检查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2</w:t>
            </w:r>
          </w:p>
        </w:tc>
        <w:tc>
          <w:tcPr>
            <w:tcW w:w="2187" w:type="dxa"/>
            <w:shd w:val="clear" w:color="auto" w:fill="auto"/>
            <w:vAlign w:val="center"/>
          </w:tcPr>
          <w:p>
            <w:pPr>
              <w:rPr>
                <w:rFonts w:ascii="宋体" w:hAnsi="宋体" w:cs="宋体"/>
                <w:sz w:val="24"/>
              </w:rPr>
            </w:pPr>
            <w:r>
              <w:rPr>
                <w:rFonts w:hint="eastAsia" w:ascii="宋体" w:hAnsi="宋体"/>
                <w:sz w:val="24"/>
              </w:rPr>
              <w:t>光电传输转换单元</w:t>
            </w:r>
          </w:p>
        </w:tc>
        <w:tc>
          <w:tcPr>
            <w:tcW w:w="6095" w:type="dxa"/>
            <w:shd w:val="clear" w:color="auto" w:fill="auto"/>
            <w:vAlign w:val="center"/>
          </w:tcPr>
          <w:p>
            <w:pPr>
              <w:rPr>
                <w:rFonts w:ascii="宋体" w:hAnsi="宋体" w:cs="宋体"/>
                <w:sz w:val="24"/>
              </w:rPr>
            </w:pPr>
            <w:r>
              <w:rPr>
                <w:rFonts w:hint="eastAsia" w:ascii="宋体" w:hAnsi="宋体"/>
                <w:sz w:val="24"/>
              </w:rPr>
              <w:t>工作状态、熔接接头检查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3</w:t>
            </w:r>
          </w:p>
        </w:tc>
        <w:tc>
          <w:tcPr>
            <w:tcW w:w="2187" w:type="dxa"/>
            <w:shd w:val="clear" w:color="auto" w:fill="auto"/>
            <w:vAlign w:val="center"/>
          </w:tcPr>
          <w:p>
            <w:pPr>
              <w:rPr>
                <w:rFonts w:ascii="宋体" w:hAnsi="宋体" w:cs="宋体"/>
                <w:sz w:val="24"/>
              </w:rPr>
            </w:pPr>
            <w:r>
              <w:rPr>
                <w:rFonts w:hint="eastAsia" w:ascii="宋体" w:hAnsi="宋体"/>
                <w:sz w:val="24"/>
              </w:rPr>
              <w:t>网络状态检查</w:t>
            </w:r>
          </w:p>
        </w:tc>
        <w:tc>
          <w:tcPr>
            <w:tcW w:w="6095" w:type="dxa"/>
            <w:shd w:val="clear" w:color="auto" w:fill="auto"/>
            <w:vAlign w:val="center"/>
          </w:tcPr>
          <w:p>
            <w:pPr>
              <w:rPr>
                <w:rFonts w:ascii="宋体" w:hAnsi="宋体" w:cs="宋体"/>
                <w:sz w:val="24"/>
              </w:rPr>
            </w:pPr>
            <w:r>
              <w:rPr>
                <w:rFonts w:hint="eastAsia" w:ascii="宋体" w:hAnsi="宋体"/>
                <w:sz w:val="24"/>
              </w:rPr>
              <w:t>设备连接实验、远端连接实验、延时测试、网线接口、线缆外观</w:t>
            </w:r>
          </w:p>
        </w:tc>
      </w:tr>
    </w:tbl>
    <w:p>
      <w:pPr>
        <w:ind w:firstLine="484" w:firstLineChars="202"/>
        <w:rPr>
          <w:rFonts w:ascii="宋体" w:hAnsi="宋体"/>
          <w:sz w:val="24"/>
        </w:rPr>
      </w:pP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632"/>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639" w:type="dxa"/>
            <w:gridSpan w:val="3"/>
            <w:shd w:val="clear" w:color="auto" w:fill="auto"/>
            <w:vAlign w:val="center"/>
          </w:tcPr>
          <w:p>
            <w:pPr>
              <w:jc w:val="center"/>
              <w:rPr>
                <w:rFonts w:ascii="宋体" w:hAnsi="宋体"/>
                <w:b/>
                <w:sz w:val="24"/>
              </w:rPr>
            </w:pPr>
            <w:r>
              <w:rPr>
                <w:rFonts w:hint="eastAsia" w:ascii="宋体" w:hAnsi="宋体"/>
                <w:b/>
                <w:sz w:val="24"/>
              </w:rPr>
              <w:t>系统功能检查维护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b/>
                <w:sz w:val="24"/>
              </w:rPr>
            </w:pPr>
            <w:r>
              <w:rPr>
                <w:rFonts w:hint="eastAsia" w:ascii="宋体" w:hAnsi="宋体"/>
                <w:b/>
                <w:sz w:val="24"/>
              </w:rPr>
              <w:t>序号</w:t>
            </w:r>
          </w:p>
        </w:tc>
        <w:tc>
          <w:tcPr>
            <w:tcW w:w="1762" w:type="dxa"/>
            <w:shd w:val="clear" w:color="auto" w:fill="auto"/>
            <w:vAlign w:val="center"/>
          </w:tcPr>
          <w:p>
            <w:pPr>
              <w:jc w:val="center"/>
              <w:rPr>
                <w:rFonts w:ascii="宋体" w:hAnsi="宋体"/>
                <w:b/>
                <w:sz w:val="24"/>
              </w:rPr>
            </w:pPr>
            <w:r>
              <w:rPr>
                <w:rFonts w:hint="eastAsia" w:ascii="宋体" w:hAnsi="宋体"/>
                <w:b/>
                <w:sz w:val="24"/>
              </w:rPr>
              <w:t>维护项目</w:t>
            </w:r>
          </w:p>
        </w:tc>
        <w:tc>
          <w:tcPr>
            <w:tcW w:w="6520" w:type="dxa"/>
            <w:shd w:val="clear" w:color="auto" w:fill="auto"/>
            <w:vAlign w:val="center"/>
          </w:tcPr>
          <w:p>
            <w:pPr>
              <w:jc w:val="center"/>
              <w:rPr>
                <w:rFonts w:ascii="宋体" w:hAnsi="宋体"/>
                <w:b/>
                <w:sz w:val="24"/>
              </w:rPr>
            </w:pPr>
            <w:r>
              <w:rPr>
                <w:rFonts w:hint="eastAsia" w:ascii="宋体" w:hAnsi="宋体"/>
                <w:b/>
                <w:sz w:val="24"/>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1</w:t>
            </w:r>
          </w:p>
        </w:tc>
        <w:tc>
          <w:tcPr>
            <w:tcW w:w="1762" w:type="dxa"/>
            <w:shd w:val="clear" w:color="auto" w:fill="auto"/>
            <w:vAlign w:val="center"/>
          </w:tcPr>
          <w:p>
            <w:pPr>
              <w:rPr>
                <w:rFonts w:ascii="宋体" w:hAnsi="宋体" w:cs="宋体"/>
                <w:sz w:val="24"/>
              </w:rPr>
            </w:pPr>
            <w:r>
              <w:rPr>
                <w:rFonts w:hint="eastAsia" w:ascii="宋体" w:hAnsi="宋体"/>
                <w:sz w:val="24"/>
              </w:rPr>
              <w:t>操作系统检测</w:t>
            </w:r>
          </w:p>
        </w:tc>
        <w:tc>
          <w:tcPr>
            <w:tcW w:w="6520" w:type="dxa"/>
            <w:shd w:val="clear" w:color="auto" w:fill="auto"/>
            <w:vAlign w:val="center"/>
          </w:tcPr>
          <w:p>
            <w:pPr>
              <w:rPr>
                <w:rFonts w:ascii="宋体" w:hAnsi="宋体" w:cs="宋体"/>
                <w:sz w:val="24"/>
              </w:rPr>
            </w:pPr>
            <w:r>
              <w:rPr>
                <w:rFonts w:hint="eastAsia" w:ascii="宋体" w:hAnsi="宋体"/>
                <w:sz w:val="24"/>
              </w:rPr>
              <w:t>系统启动自检、漏洞补丁升级、安全防护、系统备份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2</w:t>
            </w:r>
          </w:p>
        </w:tc>
        <w:tc>
          <w:tcPr>
            <w:tcW w:w="1762" w:type="dxa"/>
            <w:shd w:val="clear" w:color="auto" w:fill="auto"/>
            <w:vAlign w:val="center"/>
          </w:tcPr>
          <w:p>
            <w:pPr>
              <w:rPr>
                <w:rFonts w:ascii="宋体" w:hAnsi="宋体" w:cs="宋体"/>
                <w:sz w:val="24"/>
              </w:rPr>
            </w:pPr>
            <w:r>
              <w:rPr>
                <w:rFonts w:hint="eastAsia" w:ascii="宋体" w:hAnsi="宋体"/>
                <w:sz w:val="24"/>
              </w:rPr>
              <w:t>程序加载实验</w:t>
            </w:r>
          </w:p>
        </w:tc>
        <w:tc>
          <w:tcPr>
            <w:tcW w:w="6520" w:type="dxa"/>
            <w:shd w:val="clear" w:color="auto" w:fill="auto"/>
            <w:vAlign w:val="center"/>
          </w:tcPr>
          <w:p>
            <w:pPr>
              <w:rPr>
                <w:rFonts w:ascii="宋体" w:hAnsi="宋体" w:cs="宋体"/>
                <w:sz w:val="24"/>
              </w:rPr>
            </w:pPr>
            <w:r>
              <w:rPr>
                <w:rFonts w:hint="eastAsia" w:ascii="宋体" w:hAnsi="宋体"/>
                <w:sz w:val="24"/>
              </w:rPr>
              <w:t>服务端程序加载、数据库加载、客户端程序加载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3</w:t>
            </w:r>
          </w:p>
        </w:tc>
        <w:tc>
          <w:tcPr>
            <w:tcW w:w="1762" w:type="dxa"/>
            <w:shd w:val="clear" w:color="auto" w:fill="auto"/>
            <w:vAlign w:val="center"/>
          </w:tcPr>
          <w:p>
            <w:pPr>
              <w:rPr>
                <w:rFonts w:ascii="宋体" w:hAnsi="宋体" w:cs="宋体"/>
                <w:sz w:val="24"/>
              </w:rPr>
            </w:pPr>
            <w:r>
              <w:rPr>
                <w:rFonts w:hint="eastAsia" w:ascii="宋体" w:hAnsi="宋体"/>
                <w:sz w:val="24"/>
              </w:rPr>
              <w:t>系统功能检查</w:t>
            </w:r>
          </w:p>
        </w:tc>
        <w:tc>
          <w:tcPr>
            <w:tcW w:w="6520" w:type="dxa"/>
            <w:shd w:val="clear" w:color="auto" w:fill="auto"/>
            <w:vAlign w:val="center"/>
          </w:tcPr>
          <w:p>
            <w:pPr>
              <w:rPr>
                <w:rFonts w:ascii="宋体" w:hAnsi="宋体"/>
                <w:sz w:val="24"/>
              </w:rPr>
            </w:pPr>
            <w:r>
              <w:rPr>
                <w:rFonts w:hint="eastAsia" w:ascii="宋体" w:hAnsi="宋体"/>
                <w:sz w:val="24"/>
              </w:rPr>
              <w:t>频段扫描、固定频率测量、中频分析、单频测向、FFT测向</w:t>
            </w:r>
          </w:p>
          <w:p>
            <w:pPr>
              <w:rPr>
                <w:rFonts w:ascii="宋体" w:hAnsi="宋体" w:cs="宋体"/>
                <w:sz w:val="24"/>
              </w:rPr>
            </w:pPr>
            <w:r>
              <w:rPr>
                <w:rFonts w:hint="eastAsia" w:ascii="宋体" w:hAnsi="宋体"/>
                <w:sz w:val="24"/>
              </w:rPr>
              <w:t>数据回放、离散扫描、地图调用功能、ITU测量、月报统计、多段扫描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4</w:t>
            </w:r>
          </w:p>
        </w:tc>
        <w:tc>
          <w:tcPr>
            <w:tcW w:w="1762" w:type="dxa"/>
            <w:shd w:val="clear" w:color="auto" w:fill="auto"/>
            <w:vAlign w:val="center"/>
          </w:tcPr>
          <w:p>
            <w:pPr>
              <w:rPr>
                <w:rFonts w:ascii="宋体" w:hAnsi="宋体"/>
                <w:sz w:val="24"/>
              </w:rPr>
            </w:pPr>
            <w:r>
              <w:rPr>
                <w:rFonts w:hint="eastAsia" w:ascii="宋体" w:hAnsi="宋体"/>
                <w:sz w:val="24"/>
              </w:rPr>
              <w:t>系统联网控制</w:t>
            </w:r>
          </w:p>
        </w:tc>
        <w:tc>
          <w:tcPr>
            <w:tcW w:w="6520" w:type="dxa"/>
            <w:shd w:val="clear" w:color="auto" w:fill="auto"/>
            <w:vAlign w:val="center"/>
          </w:tcPr>
          <w:p>
            <w:pPr>
              <w:rPr>
                <w:rFonts w:ascii="宋体" w:hAnsi="宋体"/>
                <w:sz w:val="24"/>
              </w:rPr>
            </w:pPr>
            <w:r>
              <w:rPr>
                <w:rFonts w:ascii="宋体" w:hAnsi="宋体"/>
                <w:sz w:val="24"/>
              </w:rPr>
              <w:t>用本地控制计算机监测软件,按常用功能\主要功能进行检查测试</w:t>
            </w:r>
          </w:p>
          <w:p>
            <w:pPr>
              <w:rPr>
                <w:rFonts w:ascii="宋体" w:hAnsi="宋体"/>
                <w:sz w:val="24"/>
              </w:rPr>
            </w:pPr>
            <w:r>
              <w:rPr>
                <w:rFonts w:ascii="宋体" w:hAnsi="宋体"/>
                <w:sz w:val="24"/>
              </w:rPr>
              <w:t>控制站联网控制检查(扫描、测向、解调、月报、关机、唤醒等)</w:t>
            </w:r>
          </w:p>
          <w:p>
            <w:pPr>
              <w:rPr>
                <w:rFonts w:ascii="宋体" w:hAnsi="宋体"/>
                <w:sz w:val="24"/>
              </w:rPr>
            </w:pPr>
            <w:r>
              <w:rPr>
                <w:rFonts w:ascii="宋体" w:hAnsi="宋体"/>
                <w:sz w:val="24"/>
              </w:rPr>
              <w:t>固定站经纬度检查修正</w:t>
            </w:r>
          </w:p>
        </w:tc>
      </w:tr>
    </w:tbl>
    <w:p>
      <w:pPr>
        <w:pStyle w:val="52"/>
        <w:spacing w:line="360" w:lineRule="auto"/>
        <w:ind w:firstLine="480"/>
        <w:rPr>
          <w:rFonts w:ascii="宋体" w:hAnsi="宋体"/>
          <w:sz w:val="24"/>
          <w:szCs w:val="24"/>
        </w:rPr>
      </w:pPr>
      <w:r>
        <w:rPr>
          <w:rFonts w:ascii="宋体" w:hAnsi="宋体"/>
          <w:sz w:val="24"/>
          <w:szCs w:val="24"/>
        </w:rPr>
        <w:t>服务标准：</w:t>
      </w:r>
    </w:p>
    <w:p>
      <w:pPr>
        <w:pStyle w:val="52"/>
        <w:spacing w:line="360" w:lineRule="auto"/>
        <w:ind w:left="540" w:firstLine="0" w:firstLineChars="0"/>
        <w:rPr>
          <w:rFonts w:ascii="宋体" w:hAnsi="宋体"/>
          <w:sz w:val="24"/>
          <w:szCs w:val="24"/>
        </w:rPr>
      </w:pPr>
      <w:r>
        <w:rPr>
          <w:rFonts w:hint="eastAsia" w:ascii="宋体" w:hAnsi="宋体"/>
          <w:sz w:val="24"/>
          <w:szCs w:val="24"/>
        </w:rPr>
        <w:t>(1)针对维保范围内的无线电监测站点及其配套设施、设备进行巡检；</w:t>
      </w:r>
    </w:p>
    <w:p>
      <w:pPr>
        <w:pStyle w:val="52"/>
        <w:spacing w:line="360" w:lineRule="auto"/>
        <w:ind w:left="540" w:firstLine="0" w:firstLineChars="0"/>
        <w:rPr>
          <w:rFonts w:ascii="宋体" w:hAnsi="宋体"/>
          <w:sz w:val="24"/>
          <w:szCs w:val="24"/>
        </w:rPr>
      </w:pPr>
      <w:r>
        <w:rPr>
          <w:rFonts w:hint="eastAsia" w:ascii="宋体" w:hAnsi="宋体"/>
          <w:sz w:val="24"/>
          <w:szCs w:val="24"/>
        </w:rPr>
        <w:t>(2)每季度至少开展一次现场巡检；</w:t>
      </w:r>
    </w:p>
    <w:p>
      <w:pPr>
        <w:pStyle w:val="52"/>
        <w:spacing w:line="360" w:lineRule="auto"/>
        <w:ind w:left="540" w:firstLine="0" w:firstLineChars="0"/>
        <w:rPr>
          <w:rFonts w:ascii="宋体" w:hAnsi="宋体"/>
          <w:sz w:val="24"/>
          <w:szCs w:val="24"/>
        </w:rPr>
      </w:pPr>
      <w:r>
        <w:rPr>
          <w:rFonts w:hint="eastAsia" w:ascii="宋体" w:hAnsi="宋体"/>
          <w:sz w:val="24"/>
          <w:szCs w:val="24"/>
        </w:rPr>
        <w:t>(3)制定巡检计划及巡检规范，严格按照计划及规范执行；</w:t>
      </w:r>
    </w:p>
    <w:p>
      <w:pPr>
        <w:pStyle w:val="52"/>
        <w:spacing w:line="360" w:lineRule="auto"/>
        <w:ind w:left="540" w:firstLine="0" w:firstLineChars="0"/>
        <w:rPr>
          <w:rFonts w:ascii="宋体" w:hAnsi="宋体"/>
          <w:sz w:val="24"/>
          <w:szCs w:val="24"/>
        </w:rPr>
      </w:pPr>
      <w:r>
        <w:rPr>
          <w:rFonts w:hint="eastAsia" w:ascii="宋体" w:hAnsi="宋体"/>
          <w:sz w:val="24"/>
          <w:szCs w:val="24"/>
        </w:rPr>
        <w:t>(4)检查过程及数据详细记录，每季度运维工作完成后，汇总统计工作完成情况，并填写《无线电监测设施运行维护情况表》，格式详见《省级无线电监测设施运行维护规定》附件5；</w:t>
      </w:r>
    </w:p>
    <w:p>
      <w:pPr>
        <w:pStyle w:val="52"/>
        <w:spacing w:line="360" w:lineRule="auto"/>
        <w:ind w:left="540" w:firstLine="0" w:firstLineChars="0"/>
        <w:rPr>
          <w:rFonts w:ascii="宋体" w:hAnsi="宋体"/>
          <w:sz w:val="24"/>
          <w:szCs w:val="24"/>
        </w:rPr>
      </w:pPr>
      <w:r>
        <w:rPr>
          <w:rFonts w:hint="eastAsia" w:ascii="宋体" w:hAnsi="宋体"/>
          <w:sz w:val="24"/>
          <w:szCs w:val="24"/>
        </w:rPr>
        <w:t>(5)对于轻微故障及不合格项给予现场处理和改进；</w:t>
      </w:r>
    </w:p>
    <w:p>
      <w:pPr>
        <w:pStyle w:val="52"/>
        <w:spacing w:line="360" w:lineRule="auto"/>
        <w:ind w:left="540" w:firstLine="0" w:firstLineChars="0"/>
        <w:rPr>
          <w:rFonts w:ascii="宋体" w:hAnsi="宋体"/>
          <w:sz w:val="24"/>
          <w:szCs w:val="24"/>
        </w:rPr>
      </w:pPr>
      <w:r>
        <w:rPr>
          <w:rFonts w:hint="eastAsia" w:ascii="宋体" w:hAnsi="宋体"/>
          <w:sz w:val="24"/>
          <w:szCs w:val="24"/>
        </w:rPr>
        <w:t>(6)最终对于设备设施巡检情况给予维护建议；</w:t>
      </w:r>
    </w:p>
    <w:p>
      <w:pPr>
        <w:spacing w:line="360" w:lineRule="auto"/>
        <w:outlineLvl w:val="2"/>
        <w:rPr>
          <w:rFonts w:ascii="宋体" w:hAnsi="宋体"/>
          <w:b/>
          <w:sz w:val="24"/>
        </w:rPr>
      </w:pPr>
      <w:r>
        <w:rPr>
          <w:rFonts w:hint="eastAsia" w:ascii="宋体" w:hAnsi="宋体"/>
          <w:b/>
          <w:sz w:val="24"/>
        </w:rPr>
        <w:t>2.</w:t>
      </w:r>
      <w:r>
        <w:rPr>
          <w:rFonts w:ascii="宋体" w:hAnsi="宋体"/>
          <w:b/>
          <w:sz w:val="24"/>
        </w:rPr>
        <w:t>3</w:t>
      </w:r>
      <w:r>
        <w:rPr>
          <w:rFonts w:hint="eastAsia" w:ascii="宋体" w:hAnsi="宋体"/>
          <w:b/>
          <w:sz w:val="24"/>
        </w:rPr>
        <w:t>无线电监测、检测设备的故障处理及维修</w:t>
      </w:r>
    </w:p>
    <w:p>
      <w:pPr>
        <w:spacing w:line="360" w:lineRule="auto"/>
        <w:ind w:firstLine="484" w:firstLineChars="202"/>
        <w:rPr>
          <w:rFonts w:ascii="宋体" w:hAnsi="宋体"/>
          <w:sz w:val="24"/>
        </w:rPr>
      </w:pPr>
      <w:r>
        <w:rPr>
          <w:rFonts w:hint="eastAsia" w:ascii="宋体" w:hAnsi="宋体"/>
          <w:sz w:val="24"/>
        </w:rPr>
        <w:t>无线电监测设施出现技术故障，运维单位技术人员应赴现场分析故障原因，根据故障等级制定故障解决方案，填写故障处理记录表。</w:t>
      </w:r>
    </w:p>
    <w:p>
      <w:pPr>
        <w:spacing w:line="360" w:lineRule="auto"/>
        <w:ind w:firstLine="484" w:firstLineChars="202"/>
        <w:rPr>
          <w:rFonts w:ascii="宋体" w:hAnsi="宋体"/>
          <w:sz w:val="24"/>
        </w:rPr>
      </w:pPr>
      <w:r>
        <w:rPr>
          <w:rFonts w:hint="eastAsia" w:ascii="宋体" w:hAnsi="宋体"/>
          <w:sz w:val="24"/>
        </w:rPr>
        <w:t>按工业和信息化部无线电管理局的《省级无线电监测设施运行维护规定》（国无办〔2020〕4号）执行无线电监测设施故障根据分为一级故障、二级故障、三级故障。</w:t>
      </w:r>
    </w:p>
    <w:p>
      <w:pPr>
        <w:spacing w:line="360" w:lineRule="auto"/>
        <w:ind w:firstLine="484" w:firstLineChars="202"/>
        <w:rPr>
          <w:rFonts w:ascii="宋体" w:hAnsi="宋体"/>
          <w:sz w:val="24"/>
        </w:rPr>
      </w:pPr>
      <w:r>
        <w:rPr>
          <w:rFonts w:hint="eastAsia" w:ascii="宋体" w:hAnsi="宋体"/>
          <w:sz w:val="24"/>
        </w:rPr>
        <w:t>一级故障响应时限应在30分钟内，业务恢复时限应在24小时内；二级故障响应时限应在2小时内，业务恢复时限应在48小时内；三级故障响应时限应在12小时内，业务恢复时限应在72小时内；以上三类故障解决时限根据实际情况另行确定</w:t>
      </w:r>
    </w:p>
    <w:p>
      <w:pPr>
        <w:spacing w:line="360" w:lineRule="auto"/>
        <w:ind w:firstLine="484" w:firstLineChars="202"/>
        <w:rPr>
          <w:rFonts w:ascii="宋体" w:hAnsi="宋体"/>
          <w:sz w:val="24"/>
        </w:rPr>
      </w:pPr>
      <w:r>
        <w:rPr>
          <w:rFonts w:hint="eastAsia" w:ascii="宋体" w:hAnsi="宋体"/>
          <w:sz w:val="24"/>
        </w:rPr>
        <w:t>维保设备出现影响系统无法正常使用的故障或功能错误，服务方技术人员应及时对反应的问题进行定位、分析和处理，如自身不能处理应及时反馈公司寻求技术支持，采取设备返厂维修或派遣维护工程师前往采购人现场维修等方式进行及时处理。</w:t>
      </w:r>
    </w:p>
    <w:p>
      <w:pPr>
        <w:spacing w:line="360" w:lineRule="auto"/>
        <w:ind w:firstLine="484" w:firstLineChars="202"/>
        <w:rPr>
          <w:rFonts w:ascii="宋体" w:hAnsi="宋体"/>
          <w:sz w:val="24"/>
        </w:rPr>
      </w:pPr>
      <w:r>
        <w:rPr>
          <w:rFonts w:hint="eastAsia" w:ascii="宋体" w:hAnsi="宋体"/>
          <w:sz w:val="24"/>
        </w:rPr>
        <w:t>故障维修包含如下设备：</w:t>
      </w:r>
    </w:p>
    <w:p>
      <w:pPr>
        <w:pStyle w:val="52"/>
        <w:spacing w:line="360" w:lineRule="auto"/>
        <w:ind w:left="540" w:firstLine="0" w:firstLineChars="0"/>
        <w:rPr>
          <w:rFonts w:ascii="宋体" w:hAnsi="宋体"/>
          <w:sz w:val="24"/>
          <w:szCs w:val="24"/>
        </w:rPr>
      </w:pPr>
      <w:r>
        <w:rPr>
          <w:rFonts w:hint="eastAsia" w:ascii="宋体" w:hAnsi="宋体"/>
          <w:sz w:val="24"/>
          <w:szCs w:val="24"/>
        </w:rPr>
        <w:t>(1)监测接收机、信号处理设备、仪器仪表、测试控制箱等系统主设备</w:t>
      </w:r>
    </w:p>
    <w:p>
      <w:pPr>
        <w:pStyle w:val="52"/>
        <w:spacing w:line="360" w:lineRule="auto"/>
        <w:ind w:left="540" w:firstLine="0" w:firstLineChars="0"/>
        <w:rPr>
          <w:rFonts w:ascii="宋体" w:hAnsi="宋体"/>
          <w:sz w:val="24"/>
          <w:szCs w:val="24"/>
        </w:rPr>
      </w:pPr>
      <w:r>
        <w:rPr>
          <w:rFonts w:hint="eastAsia" w:ascii="宋体" w:hAnsi="宋体"/>
          <w:sz w:val="24"/>
          <w:szCs w:val="24"/>
        </w:rPr>
        <w:t>(2)各站点的电源系统，如UPS、电池、稳压器、逆变器、充电器等</w:t>
      </w:r>
    </w:p>
    <w:p>
      <w:pPr>
        <w:pStyle w:val="52"/>
        <w:spacing w:line="360" w:lineRule="auto"/>
        <w:ind w:left="540" w:firstLine="0" w:firstLineChars="0"/>
        <w:rPr>
          <w:rFonts w:ascii="宋体" w:hAnsi="宋体"/>
          <w:sz w:val="24"/>
          <w:szCs w:val="24"/>
        </w:rPr>
      </w:pPr>
      <w:r>
        <w:rPr>
          <w:rFonts w:hint="eastAsia" w:ascii="宋体" w:hAnsi="宋体"/>
          <w:sz w:val="24"/>
          <w:szCs w:val="24"/>
        </w:rPr>
        <w:t>(3)</w:t>
      </w:r>
      <w:r>
        <w:rPr>
          <w:rFonts w:ascii="宋体" w:hAnsi="宋体"/>
          <w:sz w:val="24"/>
          <w:szCs w:val="24"/>
        </w:rPr>
        <w:t>各站点的</w:t>
      </w:r>
      <w:r>
        <w:rPr>
          <w:rFonts w:hint="eastAsia" w:ascii="宋体" w:hAnsi="宋体"/>
          <w:sz w:val="24"/>
          <w:szCs w:val="24"/>
        </w:rPr>
        <w:t>网络通信系统，如路由器、交换机、网关等</w:t>
      </w:r>
    </w:p>
    <w:p>
      <w:pPr>
        <w:pStyle w:val="52"/>
        <w:spacing w:line="360" w:lineRule="auto"/>
        <w:ind w:left="540" w:firstLine="0" w:firstLineChars="0"/>
        <w:rPr>
          <w:rFonts w:ascii="宋体" w:hAnsi="宋体"/>
          <w:sz w:val="24"/>
          <w:szCs w:val="24"/>
        </w:rPr>
      </w:pPr>
      <w:r>
        <w:rPr>
          <w:rFonts w:hint="eastAsia" w:ascii="宋体" w:hAnsi="宋体"/>
          <w:sz w:val="24"/>
          <w:szCs w:val="24"/>
        </w:rPr>
        <w:t>(4)各类监测站点、检测系统配置的计算机、服务器、控制器</w:t>
      </w:r>
    </w:p>
    <w:p>
      <w:pPr>
        <w:pStyle w:val="52"/>
        <w:spacing w:line="360" w:lineRule="auto"/>
        <w:ind w:left="540" w:firstLine="0" w:firstLineChars="0"/>
        <w:rPr>
          <w:rFonts w:ascii="宋体" w:hAnsi="宋体"/>
          <w:sz w:val="24"/>
          <w:szCs w:val="24"/>
        </w:rPr>
      </w:pPr>
      <w:r>
        <w:rPr>
          <w:rFonts w:hint="eastAsia" w:ascii="宋体" w:hAnsi="宋体"/>
          <w:sz w:val="24"/>
          <w:szCs w:val="24"/>
        </w:rPr>
        <w:t>(5)</w:t>
      </w:r>
      <w:r>
        <w:rPr>
          <w:rFonts w:ascii="宋体" w:hAnsi="宋体"/>
          <w:sz w:val="24"/>
          <w:szCs w:val="24"/>
        </w:rPr>
        <w:t>天线、伺服器、信号预处理装置</w:t>
      </w:r>
    </w:p>
    <w:p>
      <w:pPr>
        <w:pStyle w:val="52"/>
        <w:spacing w:line="360" w:lineRule="auto"/>
        <w:ind w:left="540" w:firstLine="0" w:firstLineChars="0"/>
        <w:rPr>
          <w:rFonts w:ascii="宋体" w:hAnsi="宋体"/>
          <w:sz w:val="24"/>
          <w:szCs w:val="24"/>
        </w:rPr>
      </w:pPr>
      <w:r>
        <w:rPr>
          <w:rFonts w:hint="eastAsia" w:ascii="宋体" w:hAnsi="宋体"/>
          <w:sz w:val="24"/>
          <w:szCs w:val="24"/>
        </w:rPr>
        <w:t>(6)</w:t>
      </w:r>
      <w:r>
        <w:rPr>
          <w:rFonts w:ascii="宋体" w:hAnsi="宋体"/>
          <w:sz w:val="24"/>
          <w:szCs w:val="24"/>
        </w:rPr>
        <w:t>维保范围内各监测站点、系统的附属专业设备及其非损耗附件</w:t>
      </w:r>
    </w:p>
    <w:p>
      <w:pPr>
        <w:pStyle w:val="52"/>
        <w:tabs>
          <w:tab w:val="left" w:pos="540"/>
        </w:tabs>
        <w:spacing w:line="360" w:lineRule="auto"/>
        <w:ind w:left="362" w:firstLine="0" w:firstLineChars="0"/>
        <w:rPr>
          <w:rFonts w:ascii="宋体" w:hAnsi="宋体"/>
          <w:sz w:val="24"/>
          <w:szCs w:val="24"/>
        </w:rPr>
      </w:pPr>
      <w:r>
        <w:rPr>
          <w:rFonts w:hint="eastAsia" w:ascii="宋体" w:hAnsi="宋体"/>
          <w:sz w:val="24"/>
          <w:szCs w:val="24"/>
        </w:rPr>
        <w:t>不包含在维修范围内的情况有如下：</w:t>
      </w:r>
    </w:p>
    <w:p>
      <w:pPr>
        <w:pStyle w:val="52"/>
        <w:spacing w:line="360" w:lineRule="auto"/>
        <w:ind w:left="540" w:firstLine="0" w:firstLineChars="0"/>
        <w:rPr>
          <w:rFonts w:ascii="宋体" w:hAnsi="宋体"/>
          <w:sz w:val="24"/>
          <w:szCs w:val="24"/>
        </w:rPr>
      </w:pPr>
      <w:r>
        <w:rPr>
          <w:rFonts w:hint="eastAsia" w:ascii="宋体" w:hAnsi="宋体"/>
          <w:sz w:val="24"/>
          <w:szCs w:val="24"/>
        </w:rPr>
        <w:t>(1)维保期间新购的、或仍在原厂保修期内的技术设备</w:t>
      </w:r>
    </w:p>
    <w:p>
      <w:pPr>
        <w:pStyle w:val="52"/>
        <w:spacing w:line="360" w:lineRule="auto"/>
        <w:ind w:left="540" w:firstLine="0" w:firstLineChars="0"/>
        <w:rPr>
          <w:rFonts w:ascii="宋体" w:hAnsi="宋体"/>
          <w:sz w:val="24"/>
          <w:szCs w:val="24"/>
        </w:rPr>
      </w:pPr>
      <w:r>
        <w:rPr>
          <w:rFonts w:hint="eastAsia" w:ascii="宋体" w:hAnsi="宋体"/>
          <w:sz w:val="24"/>
          <w:szCs w:val="24"/>
        </w:rPr>
        <w:t>(2)故障严重，没有维修价值的技术设备</w:t>
      </w:r>
    </w:p>
    <w:p>
      <w:pPr>
        <w:pStyle w:val="52"/>
        <w:spacing w:line="360" w:lineRule="auto"/>
        <w:ind w:left="540" w:firstLine="0" w:firstLineChars="0"/>
        <w:rPr>
          <w:rFonts w:ascii="宋体" w:hAnsi="宋体"/>
          <w:sz w:val="24"/>
          <w:szCs w:val="24"/>
        </w:rPr>
      </w:pPr>
      <w:r>
        <w:rPr>
          <w:rFonts w:hint="eastAsia" w:ascii="宋体" w:hAnsi="宋体"/>
          <w:sz w:val="24"/>
          <w:szCs w:val="24"/>
        </w:rPr>
        <w:t>(3)意外事故(火灾、浸水、交通事故等)造成的大范围设备故障</w:t>
      </w:r>
    </w:p>
    <w:p>
      <w:pPr>
        <w:pStyle w:val="52"/>
        <w:spacing w:line="360" w:lineRule="auto"/>
        <w:ind w:firstLine="566" w:firstLineChars="236"/>
        <w:rPr>
          <w:rFonts w:ascii="宋体" w:hAnsi="宋体"/>
          <w:sz w:val="24"/>
          <w:szCs w:val="24"/>
        </w:rPr>
      </w:pPr>
      <w:r>
        <w:rPr>
          <w:rFonts w:hint="eastAsia" w:ascii="宋体" w:hAnsi="宋体"/>
          <w:sz w:val="24"/>
          <w:szCs w:val="24"/>
        </w:rPr>
        <w:t>为提高故障处理速度，服务方应建立维保备件库，存储常规设备故障备品(如计算机、显示器、空调、网络设备、存储设备、电池、电缆等以及配件)</w:t>
      </w:r>
    </w:p>
    <w:p>
      <w:pPr>
        <w:spacing w:line="360" w:lineRule="auto"/>
        <w:outlineLvl w:val="2"/>
        <w:rPr>
          <w:rFonts w:ascii="宋体" w:hAnsi="宋体"/>
          <w:b/>
          <w:sz w:val="24"/>
        </w:rPr>
      </w:pPr>
      <w:r>
        <w:rPr>
          <w:rFonts w:hint="eastAsia" w:ascii="宋体" w:hAnsi="宋体"/>
          <w:b/>
          <w:sz w:val="24"/>
        </w:rPr>
        <w:t>2.</w:t>
      </w:r>
      <w:r>
        <w:rPr>
          <w:rFonts w:ascii="宋体" w:hAnsi="宋体"/>
          <w:b/>
          <w:sz w:val="24"/>
        </w:rPr>
        <w:t>4</w:t>
      </w:r>
      <w:r>
        <w:rPr>
          <w:rFonts w:hint="eastAsia" w:ascii="宋体" w:hAnsi="宋体"/>
          <w:b/>
          <w:sz w:val="24"/>
        </w:rPr>
        <w:t>铁塔、桅杆的检测维护</w:t>
      </w:r>
    </w:p>
    <w:p>
      <w:pPr>
        <w:spacing w:line="360" w:lineRule="auto"/>
        <w:ind w:firstLine="424" w:firstLineChars="177"/>
        <w:rPr>
          <w:rFonts w:ascii="宋体" w:hAnsi="宋体"/>
          <w:sz w:val="24"/>
        </w:rPr>
      </w:pPr>
      <w:r>
        <w:rPr>
          <w:rFonts w:ascii="宋体" w:hAnsi="宋体"/>
          <w:sz w:val="24"/>
        </w:rPr>
        <w:t>服务方</w:t>
      </w:r>
      <w:r>
        <w:rPr>
          <w:rFonts w:hint="eastAsia" w:ascii="宋体" w:hAnsi="宋体"/>
          <w:sz w:val="24"/>
        </w:rPr>
        <w:t>需对维保范围内固定监测站点的铁塔进行常规检测与维护，维护项目如下：</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2291"/>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9" w:type="dxa"/>
            <w:gridSpan w:val="3"/>
            <w:shd w:val="clear" w:color="auto" w:fill="auto"/>
            <w:vAlign w:val="center"/>
          </w:tcPr>
          <w:p>
            <w:pPr>
              <w:jc w:val="center"/>
              <w:rPr>
                <w:rFonts w:ascii="宋体" w:hAnsi="宋体"/>
                <w:b/>
                <w:sz w:val="24"/>
              </w:rPr>
            </w:pPr>
            <w:r>
              <w:rPr>
                <w:rFonts w:hint="eastAsia" w:ascii="宋体" w:hAnsi="宋体"/>
                <w:b/>
                <w:sz w:val="24"/>
              </w:rPr>
              <w:t>天线铁塔及支架检查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2" w:type="dxa"/>
            <w:shd w:val="clear" w:color="auto" w:fill="auto"/>
            <w:vAlign w:val="center"/>
          </w:tcPr>
          <w:p>
            <w:pPr>
              <w:jc w:val="center"/>
              <w:rPr>
                <w:rFonts w:ascii="宋体" w:hAnsi="宋体"/>
                <w:b/>
                <w:sz w:val="24"/>
              </w:rPr>
            </w:pPr>
            <w:r>
              <w:rPr>
                <w:rFonts w:hint="eastAsia" w:ascii="宋体" w:hAnsi="宋体"/>
                <w:b/>
                <w:sz w:val="24"/>
              </w:rPr>
              <w:t>序号</w:t>
            </w:r>
          </w:p>
        </w:tc>
        <w:tc>
          <w:tcPr>
            <w:tcW w:w="2473" w:type="dxa"/>
            <w:shd w:val="clear" w:color="auto" w:fill="auto"/>
            <w:vAlign w:val="center"/>
          </w:tcPr>
          <w:p>
            <w:pPr>
              <w:jc w:val="center"/>
              <w:rPr>
                <w:rFonts w:ascii="宋体" w:hAnsi="宋体"/>
                <w:b/>
                <w:sz w:val="24"/>
              </w:rPr>
            </w:pPr>
            <w:r>
              <w:rPr>
                <w:rFonts w:hint="eastAsia" w:ascii="宋体" w:hAnsi="宋体"/>
                <w:b/>
                <w:sz w:val="24"/>
              </w:rPr>
              <w:t>维护项目</w:t>
            </w:r>
          </w:p>
        </w:tc>
        <w:tc>
          <w:tcPr>
            <w:tcW w:w="5864" w:type="dxa"/>
            <w:shd w:val="clear" w:color="auto" w:fill="auto"/>
            <w:vAlign w:val="center"/>
          </w:tcPr>
          <w:p>
            <w:pPr>
              <w:jc w:val="center"/>
              <w:rPr>
                <w:rFonts w:ascii="宋体" w:hAnsi="宋体"/>
                <w:b/>
                <w:sz w:val="24"/>
              </w:rPr>
            </w:pPr>
            <w:r>
              <w:rPr>
                <w:rFonts w:hint="eastAsia" w:ascii="宋体" w:hAnsi="宋体"/>
                <w:b/>
                <w:sz w:val="24"/>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2" w:type="dxa"/>
            <w:shd w:val="clear" w:color="auto" w:fill="auto"/>
            <w:vAlign w:val="center"/>
          </w:tcPr>
          <w:p>
            <w:pPr>
              <w:jc w:val="center"/>
              <w:rPr>
                <w:rFonts w:ascii="宋体" w:hAnsi="宋体"/>
                <w:sz w:val="24"/>
              </w:rPr>
            </w:pPr>
            <w:r>
              <w:rPr>
                <w:rFonts w:ascii="宋体" w:hAnsi="宋体"/>
                <w:sz w:val="24"/>
              </w:rPr>
              <w:t>1</w:t>
            </w:r>
          </w:p>
        </w:tc>
        <w:tc>
          <w:tcPr>
            <w:tcW w:w="2473" w:type="dxa"/>
            <w:shd w:val="clear" w:color="auto" w:fill="auto"/>
            <w:vAlign w:val="center"/>
          </w:tcPr>
          <w:p>
            <w:pPr>
              <w:rPr>
                <w:rFonts w:ascii="宋体" w:hAnsi="宋体" w:cs="宋体"/>
                <w:sz w:val="24"/>
              </w:rPr>
            </w:pPr>
            <w:r>
              <w:rPr>
                <w:rFonts w:ascii="宋体" w:hAnsi="宋体" w:cs="宋体"/>
                <w:sz w:val="24"/>
              </w:rPr>
              <w:t>天线铁塔连接处检查及加固</w:t>
            </w:r>
          </w:p>
        </w:tc>
        <w:tc>
          <w:tcPr>
            <w:tcW w:w="5864" w:type="dxa"/>
            <w:shd w:val="clear" w:color="auto" w:fill="auto"/>
            <w:vAlign w:val="center"/>
          </w:tcPr>
          <w:p>
            <w:pPr>
              <w:rPr>
                <w:rFonts w:ascii="宋体" w:hAnsi="宋体" w:cs="宋体"/>
                <w:sz w:val="24"/>
              </w:rPr>
            </w:pPr>
            <w:r>
              <w:rPr>
                <w:rFonts w:ascii="宋体" w:hAnsi="宋体" w:cs="宋体"/>
                <w:sz w:val="24"/>
              </w:rPr>
              <w:t>连接处螺栓检查、塔体镀锌层检查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2" w:type="dxa"/>
            <w:shd w:val="clear" w:color="auto" w:fill="auto"/>
            <w:vAlign w:val="center"/>
          </w:tcPr>
          <w:p>
            <w:pPr>
              <w:jc w:val="center"/>
              <w:rPr>
                <w:rFonts w:ascii="宋体" w:hAnsi="宋体"/>
                <w:sz w:val="24"/>
              </w:rPr>
            </w:pPr>
            <w:r>
              <w:rPr>
                <w:rFonts w:ascii="宋体" w:hAnsi="宋体"/>
                <w:sz w:val="24"/>
              </w:rPr>
              <w:t>2</w:t>
            </w:r>
          </w:p>
        </w:tc>
        <w:tc>
          <w:tcPr>
            <w:tcW w:w="2473" w:type="dxa"/>
            <w:shd w:val="clear" w:color="auto" w:fill="auto"/>
            <w:vAlign w:val="center"/>
          </w:tcPr>
          <w:p>
            <w:pPr>
              <w:rPr>
                <w:rFonts w:ascii="宋体" w:hAnsi="宋体" w:cs="宋体"/>
                <w:sz w:val="24"/>
              </w:rPr>
            </w:pPr>
            <w:r>
              <w:rPr>
                <w:rFonts w:ascii="宋体" w:hAnsi="宋体" w:cs="宋体"/>
                <w:sz w:val="24"/>
              </w:rPr>
              <w:t>天线支架检查</w:t>
            </w:r>
          </w:p>
        </w:tc>
        <w:tc>
          <w:tcPr>
            <w:tcW w:w="5864" w:type="dxa"/>
            <w:shd w:val="clear" w:color="auto" w:fill="auto"/>
            <w:vAlign w:val="center"/>
          </w:tcPr>
          <w:p>
            <w:pPr>
              <w:rPr>
                <w:rFonts w:ascii="宋体" w:hAnsi="宋体" w:cs="宋体"/>
                <w:sz w:val="24"/>
              </w:rPr>
            </w:pPr>
            <w:r>
              <w:rPr>
                <w:rFonts w:hint="eastAsia" w:ascii="宋体" w:hAnsi="宋体" w:cs="宋体"/>
                <w:sz w:val="24"/>
              </w:rPr>
              <w:t>垂直度测量、连接螺栓、自然附着物检查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2" w:type="dxa"/>
            <w:shd w:val="clear" w:color="auto" w:fill="auto"/>
            <w:vAlign w:val="center"/>
          </w:tcPr>
          <w:p>
            <w:pPr>
              <w:jc w:val="center"/>
              <w:rPr>
                <w:rFonts w:ascii="宋体" w:hAnsi="宋体"/>
                <w:sz w:val="24"/>
              </w:rPr>
            </w:pPr>
            <w:r>
              <w:rPr>
                <w:rFonts w:ascii="宋体" w:hAnsi="宋体"/>
                <w:sz w:val="24"/>
              </w:rPr>
              <w:t>3</w:t>
            </w:r>
          </w:p>
        </w:tc>
        <w:tc>
          <w:tcPr>
            <w:tcW w:w="2473" w:type="dxa"/>
            <w:shd w:val="clear" w:color="auto" w:fill="auto"/>
            <w:vAlign w:val="center"/>
          </w:tcPr>
          <w:p>
            <w:pPr>
              <w:rPr>
                <w:rFonts w:ascii="宋体" w:hAnsi="宋体" w:cs="宋体"/>
                <w:sz w:val="24"/>
              </w:rPr>
            </w:pPr>
            <w:r>
              <w:rPr>
                <w:rFonts w:hint="eastAsia" w:ascii="宋体" w:hAnsi="宋体" w:cs="宋体"/>
                <w:sz w:val="24"/>
              </w:rPr>
              <w:t>螺栓、局部防锈蚀检查</w:t>
            </w:r>
          </w:p>
        </w:tc>
        <w:tc>
          <w:tcPr>
            <w:tcW w:w="5864" w:type="dxa"/>
            <w:shd w:val="clear" w:color="auto" w:fill="auto"/>
            <w:vAlign w:val="center"/>
          </w:tcPr>
          <w:p>
            <w:pPr>
              <w:rPr>
                <w:rFonts w:ascii="宋体" w:hAnsi="宋体" w:cs="宋体"/>
                <w:sz w:val="24"/>
              </w:rPr>
            </w:pPr>
            <w:r>
              <w:rPr>
                <w:rFonts w:hint="eastAsia" w:ascii="宋体" w:hAnsi="宋体"/>
                <w:sz w:val="24"/>
              </w:rPr>
              <w:t>对局部锈蚀位置进行除锈和防锈蚀处理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2" w:type="dxa"/>
            <w:shd w:val="clear" w:color="auto" w:fill="auto"/>
            <w:vAlign w:val="center"/>
          </w:tcPr>
          <w:p>
            <w:pPr>
              <w:jc w:val="center"/>
              <w:rPr>
                <w:rFonts w:ascii="宋体" w:hAnsi="宋体"/>
                <w:sz w:val="24"/>
              </w:rPr>
            </w:pPr>
            <w:r>
              <w:rPr>
                <w:rFonts w:ascii="宋体" w:hAnsi="宋体"/>
                <w:sz w:val="24"/>
              </w:rPr>
              <w:t>4</w:t>
            </w:r>
          </w:p>
        </w:tc>
        <w:tc>
          <w:tcPr>
            <w:tcW w:w="2473" w:type="dxa"/>
            <w:shd w:val="clear" w:color="auto" w:fill="auto"/>
            <w:vAlign w:val="center"/>
          </w:tcPr>
          <w:p>
            <w:pPr>
              <w:rPr>
                <w:rFonts w:ascii="宋体" w:hAnsi="宋体" w:cs="宋体"/>
                <w:sz w:val="24"/>
              </w:rPr>
            </w:pPr>
            <w:r>
              <w:rPr>
                <w:rFonts w:ascii="宋体" w:hAnsi="宋体" w:cs="宋体"/>
                <w:sz w:val="24"/>
              </w:rPr>
              <w:t>接地系统</w:t>
            </w:r>
          </w:p>
        </w:tc>
        <w:tc>
          <w:tcPr>
            <w:tcW w:w="5864" w:type="dxa"/>
            <w:shd w:val="clear" w:color="auto" w:fill="auto"/>
            <w:vAlign w:val="center"/>
          </w:tcPr>
          <w:p>
            <w:pPr>
              <w:rPr>
                <w:rFonts w:ascii="宋体" w:hAnsi="宋体" w:cs="宋体"/>
                <w:sz w:val="24"/>
              </w:rPr>
            </w:pPr>
            <w:r>
              <w:rPr>
                <w:rFonts w:hint="eastAsia" w:ascii="宋体" w:hAnsi="宋体"/>
                <w:sz w:val="24"/>
              </w:rPr>
              <w:t>接地线缆、接触点紧固、铁塔接地规范检测</w:t>
            </w:r>
          </w:p>
        </w:tc>
      </w:tr>
    </w:tbl>
    <w:p>
      <w:pPr>
        <w:spacing w:line="360" w:lineRule="auto"/>
        <w:outlineLvl w:val="2"/>
        <w:rPr>
          <w:rFonts w:ascii="宋体" w:hAnsi="宋体"/>
          <w:b/>
          <w:sz w:val="24"/>
        </w:rPr>
      </w:pPr>
      <w:r>
        <w:rPr>
          <w:rFonts w:hint="eastAsia" w:ascii="宋体" w:hAnsi="宋体"/>
          <w:b/>
          <w:sz w:val="24"/>
        </w:rPr>
        <w:t>2.</w:t>
      </w:r>
      <w:r>
        <w:rPr>
          <w:rFonts w:ascii="宋体" w:hAnsi="宋体"/>
          <w:b/>
          <w:sz w:val="24"/>
        </w:rPr>
        <w:t>5</w:t>
      </w:r>
      <w:bookmarkStart w:id="204" w:name="_Hlk10815987"/>
      <w:r>
        <w:rPr>
          <w:rFonts w:hint="eastAsia" w:ascii="宋体" w:hAnsi="宋体"/>
          <w:b/>
          <w:sz w:val="24"/>
        </w:rPr>
        <w:t>无线电监测站站点的日常</w:t>
      </w:r>
      <w:bookmarkEnd w:id="204"/>
      <w:r>
        <w:rPr>
          <w:rFonts w:hint="eastAsia" w:ascii="宋体" w:hAnsi="宋体"/>
          <w:b/>
          <w:sz w:val="24"/>
        </w:rPr>
        <w:t>维护</w:t>
      </w:r>
    </w:p>
    <w:p>
      <w:pPr>
        <w:spacing w:line="360" w:lineRule="auto"/>
        <w:ind w:firstLine="484" w:firstLineChars="202"/>
        <w:rPr>
          <w:rFonts w:ascii="宋体" w:hAnsi="宋体"/>
          <w:sz w:val="24"/>
        </w:rPr>
      </w:pPr>
      <w:r>
        <w:rPr>
          <w:rFonts w:ascii="宋体" w:hAnsi="宋体"/>
          <w:sz w:val="24"/>
        </w:rPr>
        <w:t>服务方需承担维保范围内无线电监测站点的日常维护管理，除专业设备的巡检维护，还应负责其他内容的日常维护，包括：</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616"/>
        <w:gridCol w:w="4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9" w:type="dxa"/>
            <w:gridSpan w:val="3"/>
            <w:shd w:val="clear" w:color="auto" w:fill="auto"/>
            <w:vAlign w:val="center"/>
          </w:tcPr>
          <w:p>
            <w:pPr>
              <w:jc w:val="center"/>
              <w:rPr>
                <w:rFonts w:ascii="宋体" w:hAnsi="宋体"/>
                <w:b/>
                <w:sz w:val="24"/>
              </w:rPr>
            </w:pPr>
            <w:r>
              <w:rPr>
                <w:rFonts w:hint="eastAsia" w:ascii="宋体" w:hAnsi="宋体"/>
                <w:b/>
                <w:sz w:val="24"/>
              </w:rPr>
              <w:t>附属设备检查维护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b/>
                <w:sz w:val="24"/>
              </w:rPr>
            </w:pPr>
            <w:r>
              <w:rPr>
                <w:rFonts w:hint="eastAsia" w:ascii="宋体" w:hAnsi="宋体"/>
                <w:b/>
                <w:sz w:val="24"/>
              </w:rPr>
              <w:t>序号</w:t>
            </w:r>
          </w:p>
        </w:tc>
        <w:tc>
          <w:tcPr>
            <w:tcW w:w="2835" w:type="dxa"/>
            <w:shd w:val="clear" w:color="auto" w:fill="auto"/>
            <w:vAlign w:val="center"/>
          </w:tcPr>
          <w:p>
            <w:pPr>
              <w:jc w:val="center"/>
              <w:rPr>
                <w:rFonts w:ascii="宋体" w:hAnsi="宋体"/>
                <w:b/>
                <w:sz w:val="24"/>
              </w:rPr>
            </w:pPr>
            <w:r>
              <w:rPr>
                <w:rFonts w:hint="eastAsia" w:ascii="宋体" w:hAnsi="宋体"/>
                <w:b/>
                <w:sz w:val="24"/>
              </w:rPr>
              <w:t>维护项目</w:t>
            </w:r>
          </w:p>
        </w:tc>
        <w:tc>
          <w:tcPr>
            <w:tcW w:w="5447" w:type="dxa"/>
            <w:shd w:val="clear" w:color="auto" w:fill="auto"/>
            <w:vAlign w:val="center"/>
          </w:tcPr>
          <w:p>
            <w:pPr>
              <w:jc w:val="center"/>
              <w:rPr>
                <w:rFonts w:ascii="宋体" w:hAnsi="宋体"/>
                <w:b/>
                <w:sz w:val="24"/>
              </w:rPr>
            </w:pPr>
            <w:r>
              <w:rPr>
                <w:rFonts w:hint="eastAsia" w:ascii="宋体" w:hAnsi="宋体"/>
                <w:b/>
                <w:sz w:val="24"/>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1</w:t>
            </w:r>
          </w:p>
        </w:tc>
        <w:tc>
          <w:tcPr>
            <w:tcW w:w="2835" w:type="dxa"/>
            <w:shd w:val="clear" w:color="auto" w:fill="auto"/>
            <w:vAlign w:val="center"/>
          </w:tcPr>
          <w:p>
            <w:pPr>
              <w:rPr>
                <w:rFonts w:ascii="宋体" w:hAnsi="宋体" w:cs="宋体"/>
                <w:sz w:val="24"/>
              </w:rPr>
            </w:pPr>
            <w:r>
              <w:rPr>
                <w:rFonts w:hint="eastAsia" w:ascii="宋体" w:hAnsi="宋体"/>
                <w:sz w:val="24"/>
              </w:rPr>
              <w:t>照明、通信、监控、通风设备</w:t>
            </w:r>
          </w:p>
        </w:tc>
        <w:tc>
          <w:tcPr>
            <w:tcW w:w="5447" w:type="dxa"/>
            <w:shd w:val="clear" w:color="auto" w:fill="auto"/>
            <w:vAlign w:val="center"/>
          </w:tcPr>
          <w:p>
            <w:pPr>
              <w:rPr>
                <w:rFonts w:ascii="宋体" w:hAnsi="宋体" w:cs="宋体"/>
                <w:sz w:val="24"/>
              </w:rPr>
            </w:pPr>
            <w:r>
              <w:rPr>
                <w:rFonts w:hint="eastAsia" w:ascii="宋体" w:hAnsi="宋体"/>
                <w:sz w:val="24"/>
              </w:rPr>
              <w:t>设备启动、故障排查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2</w:t>
            </w:r>
          </w:p>
        </w:tc>
        <w:tc>
          <w:tcPr>
            <w:tcW w:w="2835" w:type="dxa"/>
            <w:shd w:val="clear" w:color="auto" w:fill="auto"/>
            <w:vAlign w:val="center"/>
          </w:tcPr>
          <w:p>
            <w:pPr>
              <w:rPr>
                <w:rFonts w:ascii="宋体" w:hAnsi="宋体" w:cs="宋体"/>
                <w:sz w:val="24"/>
              </w:rPr>
            </w:pPr>
            <w:r>
              <w:rPr>
                <w:rFonts w:hint="eastAsia" w:ascii="宋体" w:hAnsi="宋体"/>
                <w:sz w:val="24"/>
              </w:rPr>
              <w:t>设备除尘</w:t>
            </w:r>
          </w:p>
        </w:tc>
        <w:tc>
          <w:tcPr>
            <w:tcW w:w="5447" w:type="dxa"/>
            <w:shd w:val="clear" w:color="auto" w:fill="auto"/>
            <w:vAlign w:val="center"/>
          </w:tcPr>
          <w:p>
            <w:pPr>
              <w:rPr>
                <w:rFonts w:ascii="宋体" w:hAnsi="宋体" w:cs="宋体"/>
                <w:sz w:val="24"/>
              </w:rPr>
            </w:pPr>
            <w:r>
              <w:rPr>
                <w:rFonts w:hint="eastAsia" w:ascii="宋体" w:hAnsi="宋体"/>
                <w:sz w:val="24"/>
              </w:rPr>
              <w:t>机柜、单机的滤网检查及清除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3</w:t>
            </w:r>
          </w:p>
        </w:tc>
        <w:tc>
          <w:tcPr>
            <w:tcW w:w="2835" w:type="dxa"/>
            <w:shd w:val="clear" w:color="auto" w:fill="auto"/>
            <w:vAlign w:val="center"/>
          </w:tcPr>
          <w:p>
            <w:pPr>
              <w:rPr>
                <w:rFonts w:ascii="宋体" w:hAnsi="宋体" w:cs="宋体"/>
                <w:sz w:val="24"/>
              </w:rPr>
            </w:pPr>
            <w:r>
              <w:rPr>
                <w:rFonts w:hint="eastAsia" w:ascii="宋体" w:hAnsi="宋体"/>
                <w:sz w:val="24"/>
              </w:rPr>
              <w:t>空调检查</w:t>
            </w:r>
          </w:p>
        </w:tc>
        <w:tc>
          <w:tcPr>
            <w:tcW w:w="5447" w:type="dxa"/>
            <w:shd w:val="clear" w:color="auto" w:fill="auto"/>
            <w:vAlign w:val="center"/>
          </w:tcPr>
          <w:p>
            <w:pPr>
              <w:rPr>
                <w:rFonts w:ascii="宋体" w:hAnsi="宋体" w:cs="宋体"/>
                <w:sz w:val="24"/>
              </w:rPr>
            </w:pPr>
            <w:r>
              <w:rPr>
                <w:rFonts w:hint="eastAsia" w:ascii="宋体" w:hAnsi="宋体"/>
                <w:sz w:val="24"/>
              </w:rPr>
              <w:t>设备启动、设置、温度测试、温控实验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4</w:t>
            </w:r>
          </w:p>
        </w:tc>
        <w:tc>
          <w:tcPr>
            <w:tcW w:w="2835" w:type="dxa"/>
            <w:shd w:val="clear" w:color="auto" w:fill="auto"/>
            <w:vAlign w:val="center"/>
          </w:tcPr>
          <w:p>
            <w:pPr>
              <w:rPr>
                <w:rFonts w:ascii="宋体" w:hAnsi="宋体" w:cs="宋体"/>
                <w:sz w:val="24"/>
              </w:rPr>
            </w:pPr>
            <w:r>
              <w:rPr>
                <w:rFonts w:hint="eastAsia" w:ascii="宋体" w:hAnsi="宋体"/>
                <w:sz w:val="24"/>
              </w:rPr>
              <w:t>安全防护</w:t>
            </w:r>
          </w:p>
        </w:tc>
        <w:tc>
          <w:tcPr>
            <w:tcW w:w="5447" w:type="dxa"/>
            <w:shd w:val="clear" w:color="auto" w:fill="auto"/>
            <w:vAlign w:val="center"/>
          </w:tcPr>
          <w:p>
            <w:pPr>
              <w:rPr>
                <w:rFonts w:ascii="宋体" w:hAnsi="宋体" w:cs="宋体"/>
                <w:sz w:val="24"/>
              </w:rPr>
            </w:pPr>
            <w:r>
              <w:rPr>
                <w:rFonts w:hint="eastAsia" w:ascii="宋体" w:hAnsi="宋体"/>
                <w:sz w:val="24"/>
              </w:rPr>
              <w:t>防盗设施、消防设施</w:t>
            </w:r>
          </w:p>
        </w:tc>
      </w:tr>
    </w:tbl>
    <w:p>
      <w:pPr>
        <w:spacing w:line="360" w:lineRule="auto"/>
        <w:rPr>
          <w:rFonts w:ascii="宋体" w:hAnsi="宋体"/>
          <w:sz w:val="24"/>
        </w:rPr>
      </w:pP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2599"/>
        <w:gridCol w:w="4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9" w:type="dxa"/>
            <w:gridSpan w:val="3"/>
            <w:shd w:val="clear" w:color="auto" w:fill="auto"/>
            <w:vAlign w:val="center"/>
          </w:tcPr>
          <w:p>
            <w:pPr>
              <w:jc w:val="center"/>
              <w:rPr>
                <w:rFonts w:ascii="宋体" w:hAnsi="宋体"/>
                <w:b/>
                <w:sz w:val="24"/>
              </w:rPr>
            </w:pPr>
            <w:r>
              <w:rPr>
                <w:rFonts w:hint="eastAsia" w:ascii="宋体" w:hAnsi="宋体"/>
                <w:b/>
                <w:sz w:val="24"/>
              </w:rPr>
              <w:t>机房环境检查维护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b/>
                <w:sz w:val="24"/>
              </w:rPr>
            </w:pPr>
            <w:r>
              <w:rPr>
                <w:rFonts w:hint="eastAsia" w:ascii="宋体" w:hAnsi="宋体"/>
                <w:b/>
                <w:sz w:val="24"/>
              </w:rPr>
              <w:t>序号</w:t>
            </w:r>
          </w:p>
        </w:tc>
        <w:tc>
          <w:tcPr>
            <w:tcW w:w="2835" w:type="dxa"/>
            <w:shd w:val="clear" w:color="auto" w:fill="auto"/>
            <w:vAlign w:val="center"/>
          </w:tcPr>
          <w:p>
            <w:pPr>
              <w:jc w:val="center"/>
              <w:rPr>
                <w:rFonts w:ascii="宋体" w:hAnsi="宋体"/>
                <w:b/>
                <w:sz w:val="24"/>
              </w:rPr>
            </w:pPr>
            <w:r>
              <w:rPr>
                <w:rFonts w:hint="eastAsia" w:ascii="宋体" w:hAnsi="宋体"/>
                <w:b/>
                <w:sz w:val="24"/>
              </w:rPr>
              <w:t>维护项目</w:t>
            </w:r>
          </w:p>
        </w:tc>
        <w:tc>
          <w:tcPr>
            <w:tcW w:w="5447" w:type="dxa"/>
            <w:shd w:val="clear" w:color="auto" w:fill="auto"/>
            <w:vAlign w:val="center"/>
          </w:tcPr>
          <w:p>
            <w:pPr>
              <w:jc w:val="center"/>
              <w:rPr>
                <w:rFonts w:ascii="宋体" w:hAnsi="宋体"/>
                <w:b/>
                <w:sz w:val="24"/>
              </w:rPr>
            </w:pPr>
            <w:r>
              <w:rPr>
                <w:rFonts w:hint="eastAsia" w:ascii="宋体" w:hAnsi="宋体"/>
                <w:b/>
                <w:sz w:val="24"/>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1</w:t>
            </w:r>
          </w:p>
        </w:tc>
        <w:tc>
          <w:tcPr>
            <w:tcW w:w="2835" w:type="dxa"/>
            <w:shd w:val="clear" w:color="auto" w:fill="auto"/>
            <w:vAlign w:val="center"/>
          </w:tcPr>
          <w:p>
            <w:pPr>
              <w:rPr>
                <w:rFonts w:ascii="宋体" w:hAnsi="宋体" w:cs="宋体"/>
                <w:sz w:val="24"/>
              </w:rPr>
            </w:pPr>
            <w:r>
              <w:rPr>
                <w:rFonts w:ascii="宋体" w:hAnsi="宋体" w:cs="宋体"/>
                <w:sz w:val="24"/>
              </w:rPr>
              <w:t>机房清洁</w:t>
            </w:r>
          </w:p>
        </w:tc>
        <w:tc>
          <w:tcPr>
            <w:tcW w:w="5447" w:type="dxa"/>
            <w:shd w:val="clear" w:color="auto" w:fill="auto"/>
            <w:vAlign w:val="center"/>
          </w:tcPr>
          <w:p>
            <w:pPr>
              <w:rPr>
                <w:rFonts w:ascii="宋体" w:hAnsi="宋体" w:cs="宋体"/>
                <w:sz w:val="24"/>
              </w:rPr>
            </w:pPr>
            <w:r>
              <w:rPr>
                <w:rFonts w:ascii="宋体" w:hAnsi="宋体" w:cs="宋体"/>
                <w:sz w:val="24"/>
              </w:rPr>
              <w:t>清扫机房卫生，保持机房清洁、整洁的环境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2</w:t>
            </w:r>
          </w:p>
        </w:tc>
        <w:tc>
          <w:tcPr>
            <w:tcW w:w="2835" w:type="dxa"/>
            <w:shd w:val="clear" w:color="auto" w:fill="auto"/>
            <w:vAlign w:val="center"/>
          </w:tcPr>
          <w:p>
            <w:pPr>
              <w:rPr>
                <w:rFonts w:ascii="宋体" w:hAnsi="宋体" w:cs="宋体"/>
                <w:sz w:val="24"/>
              </w:rPr>
            </w:pPr>
            <w:r>
              <w:rPr>
                <w:rFonts w:ascii="宋体" w:hAnsi="宋体" w:cs="宋体"/>
                <w:sz w:val="24"/>
              </w:rPr>
              <w:t>机房积水处理</w:t>
            </w:r>
          </w:p>
        </w:tc>
        <w:tc>
          <w:tcPr>
            <w:tcW w:w="5447" w:type="dxa"/>
            <w:shd w:val="clear" w:color="auto" w:fill="auto"/>
            <w:vAlign w:val="center"/>
          </w:tcPr>
          <w:p>
            <w:pPr>
              <w:rPr>
                <w:rFonts w:ascii="宋体" w:hAnsi="宋体" w:cs="宋体"/>
                <w:sz w:val="24"/>
              </w:rPr>
            </w:pPr>
            <w:r>
              <w:rPr>
                <w:rFonts w:ascii="宋体" w:hAnsi="宋体" w:cs="宋体"/>
                <w:sz w:val="24"/>
              </w:rPr>
              <w:t>检查防雨、渗水情况，如有积水应采取防护排除措施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3</w:t>
            </w:r>
          </w:p>
        </w:tc>
        <w:tc>
          <w:tcPr>
            <w:tcW w:w="2835" w:type="dxa"/>
            <w:shd w:val="clear" w:color="auto" w:fill="auto"/>
            <w:vAlign w:val="center"/>
          </w:tcPr>
          <w:p>
            <w:pPr>
              <w:rPr>
                <w:rFonts w:ascii="宋体" w:hAnsi="宋体" w:cs="宋体"/>
                <w:sz w:val="24"/>
              </w:rPr>
            </w:pPr>
            <w:r>
              <w:rPr>
                <w:rFonts w:ascii="宋体" w:hAnsi="宋体" w:cs="宋体"/>
                <w:sz w:val="24"/>
              </w:rPr>
              <w:t>设备除尘处理</w:t>
            </w:r>
          </w:p>
        </w:tc>
        <w:tc>
          <w:tcPr>
            <w:tcW w:w="5447" w:type="dxa"/>
            <w:shd w:val="clear" w:color="auto" w:fill="auto"/>
            <w:vAlign w:val="center"/>
          </w:tcPr>
          <w:p>
            <w:pPr>
              <w:rPr>
                <w:rFonts w:ascii="宋体" w:hAnsi="宋体" w:cs="宋体"/>
                <w:sz w:val="24"/>
              </w:rPr>
            </w:pPr>
            <w:r>
              <w:rPr>
                <w:rFonts w:ascii="宋体" w:hAnsi="宋体" w:cs="宋体"/>
                <w:sz w:val="24"/>
              </w:rPr>
              <w:t>针对机柜、可拆卸单台设备进行内部清扫除尘工作，提高设备散热效率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shd w:val="clear" w:color="auto" w:fill="auto"/>
            <w:vAlign w:val="center"/>
          </w:tcPr>
          <w:p>
            <w:pPr>
              <w:jc w:val="center"/>
              <w:rPr>
                <w:rFonts w:ascii="宋体" w:hAnsi="宋体"/>
                <w:sz w:val="24"/>
              </w:rPr>
            </w:pPr>
            <w:r>
              <w:rPr>
                <w:rFonts w:hint="eastAsia" w:ascii="宋体" w:hAnsi="宋体"/>
                <w:sz w:val="24"/>
              </w:rPr>
              <w:t>4</w:t>
            </w:r>
          </w:p>
        </w:tc>
        <w:tc>
          <w:tcPr>
            <w:tcW w:w="2835" w:type="dxa"/>
            <w:shd w:val="clear" w:color="auto" w:fill="auto"/>
            <w:vAlign w:val="center"/>
          </w:tcPr>
          <w:p>
            <w:pPr>
              <w:rPr>
                <w:rFonts w:ascii="宋体" w:hAnsi="宋体" w:cs="宋体"/>
                <w:sz w:val="24"/>
              </w:rPr>
            </w:pPr>
            <w:r>
              <w:rPr>
                <w:rFonts w:ascii="宋体" w:hAnsi="宋体" w:cs="宋体"/>
                <w:sz w:val="24"/>
              </w:rPr>
              <w:t>其他</w:t>
            </w:r>
          </w:p>
        </w:tc>
        <w:tc>
          <w:tcPr>
            <w:tcW w:w="5447" w:type="dxa"/>
            <w:shd w:val="clear" w:color="auto" w:fill="auto"/>
            <w:vAlign w:val="center"/>
          </w:tcPr>
          <w:p>
            <w:pPr>
              <w:rPr>
                <w:rFonts w:ascii="宋体" w:hAnsi="宋体" w:cs="宋体"/>
                <w:sz w:val="24"/>
              </w:rPr>
            </w:pPr>
            <w:r>
              <w:rPr>
                <w:rFonts w:ascii="宋体" w:hAnsi="宋体" w:cs="宋体"/>
                <w:sz w:val="24"/>
              </w:rPr>
              <w:t>排除外界虫蚁、老鼠隐患，布置防护措施</w:t>
            </w:r>
          </w:p>
        </w:tc>
      </w:tr>
    </w:tbl>
    <w:p>
      <w:pPr>
        <w:spacing w:line="500" w:lineRule="exact"/>
        <w:ind w:firstLine="480" w:firstLineChars="200"/>
        <w:rPr>
          <w:rFonts w:ascii="宋体" w:hAnsi="宋体"/>
          <w:sz w:val="24"/>
        </w:rPr>
      </w:pPr>
    </w:p>
    <w:p>
      <w:pPr>
        <w:spacing w:line="360" w:lineRule="auto"/>
        <w:outlineLvl w:val="2"/>
        <w:rPr>
          <w:rFonts w:ascii="宋体" w:hAnsi="宋体"/>
          <w:b/>
          <w:sz w:val="24"/>
        </w:rPr>
      </w:pPr>
      <w:r>
        <w:rPr>
          <w:rFonts w:hint="eastAsia" w:ascii="宋体" w:hAnsi="宋体"/>
          <w:b/>
          <w:sz w:val="24"/>
        </w:rPr>
        <w:t>2.</w:t>
      </w:r>
      <w:r>
        <w:rPr>
          <w:rFonts w:ascii="宋体" w:hAnsi="宋体"/>
          <w:b/>
          <w:sz w:val="24"/>
        </w:rPr>
        <w:t>6</w:t>
      </w:r>
      <w:r>
        <w:rPr>
          <w:rFonts w:hint="eastAsia" w:ascii="宋体" w:hAnsi="宋体"/>
          <w:b/>
          <w:sz w:val="24"/>
        </w:rPr>
        <w:t>大型专项活动、演练的无线电技术保障和技术支持</w:t>
      </w:r>
    </w:p>
    <w:p>
      <w:pPr>
        <w:spacing w:line="360" w:lineRule="auto"/>
        <w:ind w:firstLine="484" w:firstLineChars="202"/>
        <w:rPr>
          <w:rFonts w:ascii="宋体" w:hAnsi="宋体"/>
          <w:sz w:val="24"/>
        </w:rPr>
      </w:pPr>
      <w:r>
        <w:rPr>
          <w:rFonts w:hint="eastAsia" w:ascii="宋体" w:hAnsi="宋体"/>
          <w:sz w:val="24"/>
        </w:rPr>
        <w:t>为保证大型活动的无线电保障工作以及顺利进行，业主单位可要求运维单位抽调技术专家和后勤保障队伍，组成临时的“活动保障小组”，全方面参与、保障工作。</w:t>
      </w:r>
    </w:p>
    <w:p>
      <w:pPr>
        <w:spacing w:line="360" w:lineRule="auto"/>
        <w:ind w:firstLine="484" w:firstLineChars="202"/>
        <w:rPr>
          <w:rFonts w:ascii="宋体" w:hAnsi="宋体"/>
          <w:sz w:val="24"/>
        </w:rPr>
      </w:pPr>
      <w:r>
        <w:rPr>
          <w:rFonts w:hint="eastAsia" w:ascii="宋体" w:hAnsi="宋体"/>
          <w:sz w:val="24"/>
        </w:rPr>
        <w:t>运维单位在开展维保工作前应制定应急及重大活动无线电监测设施运行维护预案，做好应急及重大活动无线电保障任务期间无线电监测设施运行维护工作，任务结束后填写《应急及重大活动保障运维记录表》</w:t>
      </w:r>
    </w:p>
    <w:p>
      <w:pPr>
        <w:spacing w:line="360" w:lineRule="auto"/>
        <w:ind w:firstLine="484" w:firstLineChars="202"/>
        <w:rPr>
          <w:rFonts w:ascii="宋体" w:hAnsi="宋体"/>
          <w:sz w:val="24"/>
        </w:rPr>
      </w:pPr>
      <w:r>
        <w:rPr>
          <w:rFonts w:hint="eastAsia" w:ascii="宋体" w:hAnsi="宋体"/>
          <w:sz w:val="24"/>
        </w:rPr>
        <w:t>保障工作内容如下：</w:t>
      </w:r>
    </w:p>
    <w:p>
      <w:pPr>
        <w:pStyle w:val="52"/>
        <w:spacing w:line="360" w:lineRule="auto"/>
        <w:ind w:left="540" w:firstLine="0" w:firstLineChars="0"/>
        <w:rPr>
          <w:rFonts w:ascii="宋体" w:hAnsi="宋体"/>
          <w:sz w:val="24"/>
          <w:szCs w:val="24"/>
        </w:rPr>
      </w:pPr>
      <w:r>
        <w:rPr>
          <w:rFonts w:hint="eastAsia" w:ascii="宋体" w:hAnsi="宋体"/>
          <w:sz w:val="24"/>
          <w:szCs w:val="24"/>
        </w:rPr>
        <w:t>(1)保障组参与活动的无线电安全保障业务实施和执勤轮岗</w:t>
      </w:r>
    </w:p>
    <w:p>
      <w:pPr>
        <w:pStyle w:val="52"/>
        <w:spacing w:line="360" w:lineRule="auto"/>
        <w:ind w:left="540" w:firstLine="0" w:firstLineChars="0"/>
        <w:rPr>
          <w:rFonts w:ascii="宋体" w:hAnsi="宋体"/>
          <w:sz w:val="24"/>
          <w:szCs w:val="24"/>
        </w:rPr>
      </w:pPr>
      <w:r>
        <w:rPr>
          <w:rFonts w:hint="eastAsia" w:ascii="宋体" w:hAnsi="宋体"/>
          <w:sz w:val="24"/>
          <w:szCs w:val="24"/>
        </w:rPr>
        <w:t>(2)保障组参与活动的组织和协助</w:t>
      </w:r>
    </w:p>
    <w:p>
      <w:pPr>
        <w:pStyle w:val="52"/>
        <w:spacing w:line="360" w:lineRule="auto"/>
        <w:ind w:left="485" w:firstLine="0" w:firstLineChars="0"/>
        <w:rPr>
          <w:rFonts w:ascii="宋体" w:hAnsi="宋体"/>
          <w:sz w:val="24"/>
          <w:szCs w:val="24"/>
        </w:rPr>
      </w:pPr>
      <w:r>
        <w:rPr>
          <w:rFonts w:ascii="宋体" w:hAnsi="宋体"/>
          <w:sz w:val="24"/>
          <w:szCs w:val="24"/>
        </w:rPr>
        <w:t>服务标准</w:t>
      </w:r>
    </w:p>
    <w:p>
      <w:pPr>
        <w:pStyle w:val="52"/>
        <w:spacing w:line="360" w:lineRule="auto"/>
        <w:ind w:left="540" w:firstLine="0" w:firstLineChars="0"/>
        <w:rPr>
          <w:rFonts w:ascii="宋体" w:hAnsi="宋体"/>
          <w:sz w:val="24"/>
          <w:szCs w:val="24"/>
        </w:rPr>
      </w:pPr>
      <w:r>
        <w:rPr>
          <w:rFonts w:hint="eastAsia" w:ascii="宋体" w:hAnsi="宋体"/>
          <w:sz w:val="24"/>
          <w:szCs w:val="24"/>
        </w:rPr>
        <w:t>(1)在支持工作范围内，保障组服从需方对于活动的管理安排和调度</w:t>
      </w:r>
    </w:p>
    <w:p>
      <w:pPr>
        <w:pStyle w:val="52"/>
        <w:spacing w:line="360" w:lineRule="auto"/>
        <w:ind w:left="540" w:firstLine="0" w:firstLineChars="0"/>
        <w:rPr>
          <w:rFonts w:ascii="宋体" w:hAnsi="宋体"/>
          <w:sz w:val="24"/>
          <w:szCs w:val="24"/>
        </w:rPr>
      </w:pPr>
      <w:r>
        <w:rPr>
          <w:rFonts w:hint="eastAsia" w:ascii="宋体" w:hAnsi="宋体"/>
          <w:sz w:val="24"/>
          <w:szCs w:val="24"/>
        </w:rPr>
        <w:t>(2)保障人员遵守需方各项工作纪律</w:t>
      </w:r>
    </w:p>
    <w:p>
      <w:pPr>
        <w:pStyle w:val="52"/>
        <w:spacing w:line="360" w:lineRule="auto"/>
        <w:ind w:left="540" w:firstLine="0" w:firstLineChars="0"/>
        <w:rPr>
          <w:rFonts w:ascii="宋体" w:hAnsi="宋体"/>
          <w:sz w:val="24"/>
          <w:szCs w:val="24"/>
        </w:rPr>
      </w:pPr>
      <w:r>
        <w:rPr>
          <w:rFonts w:hint="eastAsia" w:ascii="宋体" w:hAnsi="宋体"/>
          <w:sz w:val="24"/>
          <w:szCs w:val="24"/>
        </w:rPr>
        <w:t>(3)保障人员承担对于活动及演练信息的保密责任</w:t>
      </w:r>
    </w:p>
    <w:p>
      <w:pPr>
        <w:spacing w:line="360" w:lineRule="auto"/>
        <w:outlineLvl w:val="2"/>
        <w:rPr>
          <w:rFonts w:ascii="宋体" w:hAnsi="宋体"/>
          <w:bCs/>
          <w:sz w:val="24"/>
        </w:rPr>
      </w:pPr>
      <w:r>
        <w:rPr>
          <w:rFonts w:hint="eastAsia" w:ascii="宋体" w:hAnsi="宋体"/>
          <w:b/>
          <w:sz w:val="24"/>
        </w:rPr>
        <w:t>2.</w:t>
      </w:r>
      <w:r>
        <w:rPr>
          <w:rFonts w:ascii="宋体" w:hAnsi="宋体"/>
          <w:b/>
          <w:sz w:val="24"/>
        </w:rPr>
        <w:t>7</w:t>
      </w:r>
      <w:r>
        <w:rPr>
          <w:rFonts w:hint="eastAsia" w:ascii="宋体" w:hAnsi="宋体"/>
          <w:b/>
          <w:sz w:val="24"/>
        </w:rPr>
        <w:t>为日常监测任务提供专业设备指导与技术支撑</w:t>
      </w:r>
    </w:p>
    <w:p>
      <w:pPr>
        <w:spacing w:line="500" w:lineRule="exact"/>
        <w:ind w:firstLine="480" w:firstLineChars="200"/>
        <w:rPr>
          <w:rFonts w:ascii="宋体" w:hAnsi="宋体"/>
          <w:sz w:val="24"/>
        </w:rPr>
      </w:pPr>
      <w:r>
        <w:rPr>
          <w:rFonts w:hint="eastAsia" w:ascii="宋体" w:hAnsi="宋体"/>
          <w:sz w:val="24"/>
        </w:rPr>
        <w:t>要求运维单位建立专岗技术支撑部门，通过电话、网络等快捷通讯手段实现对业主单位技术人员进行的技术指导和支持。</w:t>
      </w:r>
    </w:p>
    <w:p>
      <w:pPr>
        <w:spacing w:line="500" w:lineRule="exact"/>
        <w:ind w:firstLine="480" w:firstLineChars="200"/>
        <w:rPr>
          <w:rFonts w:ascii="宋体" w:hAnsi="宋体"/>
          <w:sz w:val="24"/>
        </w:rPr>
      </w:pPr>
      <w:r>
        <w:rPr>
          <w:rFonts w:hint="eastAsia" w:ascii="宋体" w:hAnsi="宋体"/>
          <w:sz w:val="24"/>
        </w:rPr>
        <w:t>技术支撑人员专业范围应涵盖无线电管理业务、射频微波专业、硬件设计维护、软件维护、仪器仪表等相关方向，人员应从技术队伍中选拨经验丰富、技术能力突出者。</w:t>
      </w:r>
    </w:p>
    <w:p>
      <w:pPr>
        <w:spacing w:line="500" w:lineRule="exact"/>
        <w:ind w:firstLine="480" w:firstLineChars="200"/>
        <w:rPr>
          <w:rFonts w:ascii="宋体" w:hAnsi="宋体"/>
          <w:sz w:val="24"/>
        </w:rPr>
      </w:pPr>
      <w:r>
        <w:rPr>
          <w:rFonts w:hint="eastAsia" w:ascii="宋体" w:hAnsi="宋体"/>
          <w:sz w:val="24"/>
        </w:rPr>
        <w:t>对正处于维护阶段时间内出现的风险及突发状况，运维单位采用应急处理方案实施解决：</w:t>
      </w:r>
    </w:p>
    <w:p>
      <w:pPr>
        <w:spacing w:line="500" w:lineRule="exact"/>
        <w:ind w:firstLine="480" w:firstLineChars="200"/>
        <w:rPr>
          <w:rFonts w:ascii="宋体" w:hAnsi="宋体"/>
          <w:sz w:val="24"/>
        </w:rPr>
      </w:pPr>
      <w:r>
        <w:rPr>
          <w:rFonts w:hint="eastAsia" w:ascii="宋体" w:hAnsi="宋体"/>
          <w:sz w:val="24"/>
        </w:rPr>
        <w:t>(1)事件发生后，由采购人技术人员通知运维单位技术服务人员，考虑到问题的实时解决性，避免影响正常工作，首先远程判断故障产生的原因并指导用户操作解决；</w:t>
      </w:r>
    </w:p>
    <w:p>
      <w:pPr>
        <w:spacing w:line="500" w:lineRule="exact"/>
        <w:ind w:firstLine="480" w:firstLineChars="200"/>
        <w:rPr>
          <w:rFonts w:ascii="宋体" w:hAnsi="宋体"/>
          <w:sz w:val="24"/>
        </w:rPr>
      </w:pPr>
      <w:r>
        <w:rPr>
          <w:rFonts w:hint="eastAsia" w:ascii="宋体" w:hAnsi="宋体"/>
          <w:sz w:val="24"/>
        </w:rPr>
        <w:t>(2)短期内无法解决的复杂故障问题，派遣维护负责人到达故障现场，积极组织现场人员排查故障产生的原因，与需方沟通解决方案；</w:t>
      </w:r>
    </w:p>
    <w:p>
      <w:pPr>
        <w:spacing w:line="500" w:lineRule="exact"/>
        <w:ind w:firstLine="480" w:firstLineChars="200"/>
        <w:rPr>
          <w:rFonts w:ascii="宋体" w:hAnsi="宋体"/>
          <w:sz w:val="24"/>
        </w:rPr>
      </w:pPr>
      <w:r>
        <w:rPr>
          <w:rFonts w:hint="eastAsia" w:ascii="宋体" w:hAnsi="宋体"/>
          <w:sz w:val="24"/>
        </w:rPr>
        <w:t>(3)对现场维护负责人无法解决、或需要其它资源与决策的突发事件，上报需方与技术支持经理，由技术支持经理召开公司内部会议，由项目指导委员会决策并给出多种解决方案，之后与需方沟通协商，确定采取何种解决方案；</w:t>
      </w:r>
    </w:p>
    <w:p>
      <w:pPr>
        <w:spacing w:line="500" w:lineRule="exact"/>
        <w:ind w:firstLine="480" w:firstLineChars="200"/>
        <w:rPr>
          <w:rFonts w:ascii="宋体" w:hAnsi="宋体"/>
          <w:sz w:val="24"/>
        </w:rPr>
      </w:pPr>
      <w:r>
        <w:rPr>
          <w:rFonts w:hint="eastAsia" w:ascii="宋体" w:hAnsi="宋体"/>
          <w:sz w:val="24"/>
        </w:rPr>
        <w:t>(4)根据方案的具体实施情况，增派技术人员前往用户现场，采取经过双方沟通后的方案进行实施解决，并得到预期的结果；</w:t>
      </w:r>
    </w:p>
    <w:p>
      <w:pPr>
        <w:spacing w:line="500" w:lineRule="exact"/>
        <w:ind w:firstLine="480" w:firstLineChars="200"/>
        <w:rPr>
          <w:rFonts w:ascii="宋体" w:hAnsi="宋体"/>
          <w:sz w:val="24"/>
        </w:rPr>
      </w:pPr>
      <w:r>
        <w:rPr>
          <w:rFonts w:hint="eastAsia" w:ascii="宋体" w:hAnsi="宋体"/>
          <w:sz w:val="24"/>
        </w:rPr>
        <w:t>(5)对于无法短时间内解决的故障问题，由技术支持经理与需方协商并达成一致后，寻找替代方案；同时寻找设备厂家、其它途径的技术手段对问题进行深度分析，寻求最佳的解决方法，并由双方的项目负责人与质量负责人全称监督、督促问题的解决程度与时间；</w:t>
      </w:r>
    </w:p>
    <w:p>
      <w:pPr>
        <w:spacing w:line="500" w:lineRule="exact"/>
        <w:ind w:firstLine="480" w:firstLineChars="200"/>
        <w:rPr>
          <w:rFonts w:ascii="宋体" w:hAnsi="宋体"/>
          <w:sz w:val="24"/>
        </w:rPr>
      </w:pPr>
      <w:r>
        <w:rPr>
          <w:rFonts w:hint="eastAsia" w:ascii="宋体" w:hAnsi="宋体"/>
          <w:sz w:val="24"/>
        </w:rPr>
        <w:t>(6)对于由于设备突然损坏的突发事件，反馈当天即给予回复，对能够马上处理的故障，保证立即解决；对于需要返厂维修的故障，完成维修并返还用户。</w:t>
      </w:r>
    </w:p>
    <w:p>
      <w:pPr>
        <w:pStyle w:val="4"/>
        <w:rPr>
          <w:rFonts w:ascii="宋体" w:hAnsi="宋体"/>
          <w:b w:val="0"/>
          <w:sz w:val="24"/>
          <w:szCs w:val="24"/>
        </w:rPr>
      </w:pPr>
      <w:r>
        <w:rPr>
          <w:rFonts w:hint="eastAsia" w:ascii="宋体" w:hAnsi="宋体"/>
          <w:sz w:val="24"/>
          <w:szCs w:val="24"/>
        </w:rPr>
        <w:t>3.</w:t>
      </w:r>
      <w:r>
        <w:rPr>
          <w:rFonts w:ascii="宋体" w:hAnsi="宋体"/>
          <w:sz w:val="24"/>
          <w:szCs w:val="24"/>
        </w:rPr>
        <w:t>服务</w:t>
      </w:r>
      <w:r>
        <w:rPr>
          <w:rFonts w:hint="eastAsia" w:ascii="宋体" w:hAnsi="宋体"/>
          <w:sz w:val="24"/>
          <w:szCs w:val="24"/>
        </w:rPr>
        <w:t>相关要求</w:t>
      </w:r>
    </w:p>
    <w:p>
      <w:pPr>
        <w:spacing w:line="500" w:lineRule="exact"/>
        <w:ind w:firstLine="482" w:firstLineChars="200"/>
        <w:rPr>
          <w:rFonts w:ascii="宋体" w:hAnsi="宋体"/>
          <w:b/>
          <w:sz w:val="24"/>
        </w:rPr>
      </w:pPr>
      <w:r>
        <w:rPr>
          <w:rFonts w:hint="eastAsia" w:ascii="宋体" w:hAnsi="宋体"/>
          <w:b/>
          <w:sz w:val="24"/>
        </w:rPr>
        <w:t>3.1运维服务方案要求</w:t>
      </w:r>
    </w:p>
    <w:p>
      <w:pPr>
        <w:spacing w:line="500" w:lineRule="exact"/>
        <w:ind w:firstLine="480" w:firstLineChars="200"/>
        <w:rPr>
          <w:rFonts w:ascii="宋体" w:hAnsi="宋体"/>
          <w:sz w:val="24"/>
        </w:rPr>
      </w:pPr>
      <w:r>
        <w:rPr>
          <w:rFonts w:hint="eastAsia" w:ascii="宋体" w:hAnsi="宋体"/>
          <w:sz w:val="24"/>
        </w:rPr>
        <w:t>投标方需要根据招标文件中描述运维服务的内容和要求，制定详细的运维服务方案，并编写到投标文件中，要求科学、合理符合政府单位的维护工作标准和规范流程。</w:t>
      </w:r>
    </w:p>
    <w:p>
      <w:pPr>
        <w:spacing w:line="500" w:lineRule="exact"/>
        <w:ind w:firstLine="482" w:firstLineChars="200"/>
        <w:rPr>
          <w:rFonts w:ascii="宋体" w:hAnsi="宋体"/>
          <w:b/>
          <w:sz w:val="24"/>
        </w:rPr>
      </w:pPr>
      <w:r>
        <w:rPr>
          <w:rFonts w:hint="eastAsia" w:ascii="宋体" w:hAnsi="宋体"/>
          <w:b/>
          <w:sz w:val="24"/>
        </w:rPr>
        <w:t>3.</w:t>
      </w:r>
      <w:r>
        <w:rPr>
          <w:rFonts w:ascii="宋体" w:hAnsi="宋体"/>
          <w:b/>
          <w:sz w:val="24"/>
        </w:rPr>
        <w:t>2</w:t>
      </w:r>
      <w:r>
        <w:rPr>
          <w:rFonts w:hint="eastAsia" w:ascii="宋体" w:hAnsi="宋体"/>
          <w:b/>
          <w:sz w:val="24"/>
        </w:rPr>
        <w:t>服务时间和方式</w:t>
      </w:r>
    </w:p>
    <w:p>
      <w:pPr>
        <w:spacing w:line="500" w:lineRule="exact"/>
        <w:ind w:firstLine="480" w:firstLineChars="200"/>
        <w:rPr>
          <w:rFonts w:ascii="宋体" w:hAnsi="宋体"/>
          <w:sz w:val="24"/>
        </w:rPr>
      </w:pPr>
      <w:r>
        <w:rPr>
          <w:rFonts w:hint="eastAsia" w:ascii="宋体" w:hAnsi="宋体"/>
          <w:sz w:val="24"/>
        </w:rPr>
        <w:t>服务周期：一年</w:t>
      </w:r>
    </w:p>
    <w:p>
      <w:pPr>
        <w:spacing w:line="500" w:lineRule="exact"/>
        <w:ind w:firstLine="480" w:firstLineChars="200"/>
        <w:rPr>
          <w:rFonts w:ascii="宋体" w:hAnsi="宋体"/>
          <w:sz w:val="24"/>
        </w:rPr>
      </w:pPr>
      <w:r>
        <w:rPr>
          <w:rFonts w:hint="eastAsia" w:ascii="宋体" w:hAnsi="宋体"/>
          <w:sz w:val="24"/>
        </w:rPr>
        <w:t>服务方式：成立专属服务团队，定期派遣技术人员现场巡检、故障处理，定期汇报项目完成情况，并将维护数据统计上报给采购人。</w:t>
      </w:r>
    </w:p>
    <w:p>
      <w:pPr>
        <w:spacing w:line="500" w:lineRule="exact"/>
        <w:ind w:firstLine="482" w:firstLineChars="200"/>
        <w:rPr>
          <w:rFonts w:ascii="宋体" w:hAnsi="宋体"/>
          <w:b/>
          <w:sz w:val="24"/>
        </w:rPr>
      </w:pPr>
      <w:r>
        <w:rPr>
          <w:rFonts w:hint="eastAsia" w:ascii="宋体" w:hAnsi="宋体"/>
          <w:b/>
          <w:sz w:val="24"/>
        </w:rPr>
        <w:t>3.</w:t>
      </w:r>
      <w:r>
        <w:rPr>
          <w:rFonts w:ascii="宋体" w:hAnsi="宋体"/>
          <w:b/>
          <w:sz w:val="24"/>
        </w:rPr>
        <w:t>3</w:t>
      </w:r>
      <w:r>
        <w:rPr>
          <w:rFonts w:hint="eastAsia" w:ascii="宋体" w:hAnsi="宋体"/>
          <w:b/>
          <w:sz w:val="24"/>
        </w:rPr>
        <w:t>文档管理要求</w:t>
      </w:r>
    </w:p>
    <w:p>
      <w:pPr>
        <w:spacing w:line="500" w:lineRule="exact"/>
        <w:ind w:firstLine="480" w:firstLineChars="200"/>
        <w:rPr>
          <w:rFonts w:ascii="宋体" w:hAnsi="宋体"/>
          <w:b/>
          <w:sz w:val="24"/>
        </w:rPr>
      </w:pPr>
      <w:r>
        <w:rPr>
          <w:rFonts w:hint="eastAsia" w:ascii="宋体" w:hAnsi="宋体"/>
          <w:sz w:val="24"/>
        </w:rPr>
        <w:t>在运维过程中运维服务人员做好的所有文档的记录和归档工作，包括各种形式的服务总结、工作汇报及技术方案等，汇总统计工作完成情况，每季度汇总一次，提交给采购人相关部门确认。服务期结束后装订成册作为服务验收依据。</w:t>
      </w:r>
    </w:p>
    <w:p>
      <w:pPr>
        <w:spacing w:line="500" w:lineRule="exact"/>
        <w:ind w:firstLine="482" w:firstLineChars="200"/>
        <w:rPr>
          <w:rFonts w:ascii="宋体" w:hAnsi="宋体"/>
          <w:b/>
          <w:sz w:val="24"/>
        </w:rPr>
      </w:pPr>
      <w:r>
        <w:rPr>
          <w:rFonts w:hint="eastAsia" w:ascii="宋体" w:hAnsi="宋体"/>
          <w:b/>
          <w:sz w:val="24"/>
        </w:rPr>
        <w:t>3.</w:t>
      </w:r>
      <w:r>
        <w:rPr>
          <w:rFonts w:ascii="宋体" w:hAnsi="宋体"/>
          <w:b/>
          <w:sz w:val="24"/>
        </w:rPr>
        <w:t>4</w:t>
      </w:r>
      <w:r>
        <w:rPr>
          <w:rFonts w:hint="eastAsia" w:ascii="宋体" w:hAnsi="宋体"/>
          <w:b/>
          <w:sz w:val="24"/>
        </w:rPr>
        <w:t>服务管理要求</w:t>
      </w:r>
    </w:p>
    <w:p>
      <w:pPr>
        <w:snapToGrid w:val="0"/>
        <w:spacing w:line="500" w:lineRule="exact"/>
        <w:ind w:firstLine="480" w:firstLineChars="200"/>
        <w:rPr>
          <w:rFonts w:ascii="宋体" w:hAnsi="宋体"/>
          <w:sz w:val="24"/>
        </w:rPr>
      </w:pPr>
      <w:r>
        <w:rPr>
          <w:rFonts w:hint="eastAsia" w:ascii="宋体" w:hAnsi="宋体"/>
          <w:sz w:val="24"/>
        </w:rPr>
        <w:t>3.4.1运维单位必须配合采购人积极参与对其运维服务人员的监督和管理，遵守采购人工作的相关规章制度。</w:t>
      </w:r>
    </w:p>
    <w:p>
      <w:pPr>
        <w:snapToGrid w:val="0"/>
        <w:spacing w:line="500" w:lineRule="exact"/>
        <w:ind w:firstLine="480" w:firstLineChars="200"/>
        <w:rPr>
          <w:rFonts w:ascii="宋体" w:hAnsi="宋体"/>
          <w:sz w:val="24"/>
        </w:rPr>
      </w:pPr>
      <w:r>
        <w:rPr>
          <w:rFonts w:hint="eastAsia" w:ascii="宋体" w:hAnsi="宋体"/>
          <w:sz w:val="24"/>
        </w:rPr>
        <w:t>3.4.2运维单位</w:t>
      </w:r>
      <w:r>
        <w:rPr>
          <w:rFonts w:ascii="宋体" w:hAnsi="宋体"/>
          <w:sz w:val="24"/>
        </w:rPr>
        <w:t>保证其</w:t>
      </w:r>
      <w:r>
        <w:rPr>
          <w:rFonts w:hint="eastAsia" w:ascii="宋体" w:hAnsi="宋体"/>
          <w:sz w:val="24"/>
        </w:rPr>
        <w:t>运维服务人员</w:t>
      </w:r>
      <w:r>
        <w:rPr>
          <w:rFonts w:ascii="宋体" w:hAnsi="宋体"/>
          <w:sz w:val="24"/>
        </w:rPr>
        <w:t>符合一定的技术水平，</w:t>
      </w:r>
      <w:r>
        <w:rPr>
          <w:rFonts w:hint="eastAsia" w:ascii="宋体" w:hAnsi="宋体"/>
          <w:sz w:val="24"/>
        </w:rPr>
        <w:t>采购人</w:t>
      </w:r>
      <w:r>
        <w:rPr>
          <w:rFonts w:ascii="宋体" w:hAnsi="宋体"/>
          <w:sz w:val="24"/>
        </w:rPr>
        <w:t>有权对不满足工作要求的运维服务人员向</w:t>
      </w:r>
      <w:r>
        <w:rPr>
          <w:rFonts w:hint="eastAsia" w:ascii="宋体" w:hAnsi="宋体"/>
          <w:sz w:val="24"/>
        </w:rPr>
        <w:t>运维单位</w:t>
      </w:r>
      <w:r>
        <w:rPr>
          <w:rFonts w:ascii="宋体" w:hAnsi="宋体"/>
          <w:sz w:val="24"/>
        </w:rPr>
        <w:t>提出更换的要求；如发现工作上有弄虚作假情况，</w:t>
      </w:r>
      <w:r>
        <w:rPr>
          <w:rFonts w:hint="eastAsia" w:ascii="宋体" w:hAnsi="宋体"/>
          <w:sz w:val="24"/>
        </w:rPr>
        <w:t>采购人</w:t>
      </w:r>
      <w:r>
        <w:rPr>
          <w:rFonts w:ascii="宋体" w:hAnsi="宋体"/>
          <w:sz w:val="24"/>
        </w:rPr>
        <w:t>有权做出相应处理，直至终止合同并追究</w:t>
      </w:r>
      <w:r>
        <w:rPr>
          <w:rFonts w:hint="eastAsia" w:ascii="宋体" w:hAnsi="宋体"/>
          <w:sz w:val="24"/>
        </w:rPr>
        <w:t>运维单位</w:t>
      </w:r>
      <w:r>
        <w:rPr>
          <w:rFonts w:ascii="宋体" w:hAnsi="宋体"/>
          <w:sz w:val="24"/>
        </w:rPr>
        <w:t xml:space="preserve">相应责任。 </w:t>
      </w:r>
    </w:p>
    <w:p>
      <w:pPr>
        <w:snapToGrid w:val="0"/>
        <w:spacing w:line="500" w:lineRule="exact"/>
        <w:ind w:firstLine="480" w:firstLineChars="200"/>
        <w:rPr>
          <w:rFonts w:ascii="宋体" w:hAnsi="宋体"/>
          <w:sz w:val="24"/>
        </w:rPr>
      </w:pPr>
      <w:r>
        <w:rPr>
          <w:rFonts w:hint="eastAsia" w:ascii="宋体" w:hAnsi="宋体"/>
          <w:sz w:val="24"/>
        </w:rPr>
        <w:t>3.4.3</w:t>
      </w:r>
      <w:r>
        <w:rPr>
          <w:rFonts w:ascii="宋体" w:hAnsi="宋体"/>
          <w:sz w:val="24"/>
        </w:rPr>
        <w:t>人员管理：</w:t>
      </w:r>
      <w:r>
        <w:rPr>
          <w:rFonts w:hint="eastAsia" w:ascii="宋体" w:hAnsi="宋体"/>
          <w:sz w:val="24"/>
        </w:rPr>
        <w:t>运维单位派遣采购人</w:t>
      </w:r>
      <w:r>
        <w:rPr>
          <w:rFonts w:ascii="宋体" w:hAnsi="宋体"/>
          <w:sz w:val="24"/>
        </w:rPr>
        <w:t>现场</w:t>
      </w:r>
      <w:r>
        <w:rPr>
          <w:rFonts w:hint="eastAsia" w:ascii="宋体" w:hAnsi="宋体"/>
          <w:sz w:val="24"/>
        </w:rPr>
        <w:t>运维技术人员</w:t>
      </w:r>
      <w:r>
        <w:rPr>
          <w:rFonts w:ascii="宋体" w:hAnsi="宋体"/>
          <w:sz w:val="24"/>
        </w:rPr>
        <w:t>，工作上需要遵守</w:t>
      </w:r>
      <w:r>
        <w:rPr>
          <w:rFonts w:hint="eastAsia" w:ascii="宋体" w:hAnsi="宋体"/>
          <w:sz w:val="24"/>
        </w:rPr>
        <w:t>采购人</w:t>
      </w:r>
      <w:r>
        <w:rPr>
          <w:rFonts w:ascii="宋体" w:hAnsi="宋体"/>
          <w:sz w:val="24"/>
        </w:rPr>
        <w:t>有关工作制度及保密制度。</w:t>
      </w:r>
      <w:r>
        <w:rPr>
          <w:rFonts w:hint="eastAsia" w:ascii="宋体" w:hAnsi="宋体"/>
          <w:sz w:val="24"/>
        </w:rPr>
        <w:t>采购人</w:t>
      </w:r>
      <w:r>
        <w:rPr>
          <w:rFonts w:ascii="宋体" w:hAnsi="宋体"/>
          <w:sz w:val="24"/>
        </w:rPr>
        <w:t>有权根据运维服务人员服务质量情况要求变更运维服务人员。</w:t>
      </w:r>
    </w:p>
    <w:p>
      <w:pPr>
        <w:snapToGrid w:val="0"/>
        <w:spacing w:line="500" w:lineRule="exact"/>
        <w:ind w:firstLine="480" w:firstLineChars="200"/>
        <w:rPr>
          <w:rFonts w:ascii="宋体" w:hAnsi="宋体"/>
          <w:sz w:val="24"/>
        </w:rPr>
      </w:pPr>
      <w:r>
        <w:rPr>
          <w:rFonts w:hint="eastAsia" w:ascii="宋体" w:hAnsi="宋体"/>
          <w:sz w:val="24"/>
        </w:rPr>
        <w:t>(1)运维单位应成立专门服务于本项目的项目组，固定项目组人员，对业主提供支持，项目组成员联系方式应全部提供给采购人；</w:t>
      </w:r>
    </w:p>
    <w:p>
      <w:pPr>
        <w:snapToGrid w:val="0"/>
        <w:spacing w:line="500" w:lineRule="exact"/>
        <w:ind w:firstLine="480" w:firstLineChars="200"/>
        <w:rPr>
          <w:rFonts w:ascii="宋体" w:hAnsi="宋体"/>
          <w:sz w:val="24"/>
        </w:rPr>
      </w:pPr>
      <w:r>
        <w:rPr>
          <w:rFonts w:hint="eastAsia" w:ascii="宋体" w:hAnsi="宋体"/>
          <w:sz w:val="24"/>
        </w:rPr>
        <w:t>(2)服务方在服务方案中必须给出确定的项目经理人，运维单位应承诺在中标后，实际项目开展时由此确定人选担任本项目的项目经理，未经业主许可不得随意更换，若因特殊原因需调整，需经业主同意；</w:t>
      </w:r>
    </w:p>
    <w:p>
      <w:pPr>
        <w:snapToGrid w:val="0"/>
        <w:spacing w:line="500" w:lineRule="exact"/>
        <w:ind w:firstLine="480" w:firstLineChars="200"/>
        <w:rPr>
          <w:rFonts w:ascii="宋体" w:hAnsi="宋体"/>
          <w:sz w:val="24"/>
        </w:rPr>
      </w:pPr>
      <w:r>
        <w:rPr>
          <w:rFonts w:hint="eastAsia" w:ascii="宋体" w:hAnsi="宋体"/>
          <w:sz w:val="24"/>
        </w:rPr>
        <w:t>(3)技术服务人员熟练操作无线电监测设备，较强的事故判断和处理能力，动手能力强，工作认真、责任心强。可单独开展仪器设备的故障测试，及时排除故障；</w:t>
      </w:r>
    </w:p>
    <w:p>
      <w:pPr>
        <w:snapToGrid w:val="0"/>
        <w:spacing w:line="500" w:lineRule="exact"/>
        <w:ind w:firstLine="480" w:firstLineChars="200"/>
        <w:rPr>
          <w:rFonts w:ascii="宋体" w:hAnsi="宋体"/>
          <w:sz w:val="24"/>
        </w:rPr>
      </w:pPr>
      <w:r>
        <w:rPr>
          <w:rFonts w:hint="eastAsia" w:ascii="宋体" w:hAnsi="宋体"/>
          <w:sz w:val="24"/>
        </w:rPr>
        <w:t>(4)业主有权要求运维单位更换不称职的技术服务人员，投标方在接到业主通知后10个工作日内完成服务技术人员更换；</w:t>
      </w:r>
    </w:p>
    <w:p>
      <w:pPr>
        <w:snapToGrid w:val="0"/>
        <w:spacing w:line="500" w:lineRule="exact"/>
        <w:ind w:firstLine="480" w:firstLineChars="200"/>
        <w:rPr>
          <w:rFonts w:ascii="宋体" w:hAnsi="宋体"/>
          <w:sz w:val="24"/>
        </w:rPr>
      </w:pPr>
      <w:r>
        <w:rPr>
          <w:rFonts w:hint="eastAsia" w:ascii="宋体" w:hAnsi="宋体"/>
          <w:sz w:val="24"/>
        </w:rPr>
        <w:t>(5)技术服务人员应遵守业主工作制度并签署保密协议。</w:t>
      </w:r>
    </w:p>
    <w:p>
      <w:pPr>
        <w:snapToGrid w:val="0"/>
        <w:spacing w:line="500" w:lineRule="exact"/>
        <w:ind w:firstLine="480" w:firstLineChars="200"/>
        <w:rPr>
          <w:rFonts w:ascii="宋体" w:hAnsi="宋体"/>
          <w:sz w:val="24"/>
        </w:rPr>
      </w:pPr>
      <w:r>
        <w:rPr>
          <w:rFonts w:hint="eastAsia" w:ascii="宋体" w:hAnsi="宋体"/>
          <w:sz w:val="24"/>
        </w:rPr>
        <w:t>3.4.4</w:t>
      </w:r>
      <w:r>
        <w:rPr>
          <w:rFonts w:ascii="宋体" w:hAnsi="宋体"/>
          <w:sz w:val="24"/>
        </w:rPr>
        <w:t>主动服务：</w:t>
      </w:r>
      <w:r>
        <w:rPr>
          <w:rFonts w:hint="eastAsia" w:ascii="宋体" w:hAnsi="宋体"/>
          <w:sz w:val="24"/>
        </w:rPr>
        <w:t>运维单位</w:t>
      </w:r>
      <w:r>
        <w:rPr>
          <w:rFonts w:ascii="宋体" w:hAnsi="宋体"/>
          <w:sz w:val="24"/>
        </w:rPr>
        <w:t>应积极思考、不断改进服</w:t>
      </w:r>
      <w:r>
        <w:rPr>
          <w:rFonts w:hint="eastAsia" w:ascii="宋体" w:hAnsi="宋体"/>
          <w:sz w:val="24"/>
        </w:rPr>
        <w:t>务态度和质量，变被动服务为主动服务。根据采购人</w:t>
      </w:r>
      <w:r>
        <w:rPr>
          <w:rFonts w:ascii="宋体" w:hAnsi="宋体"/>
          <w:sz w:val="24"/>
        </w:rPr>
        <w:t>的设备及需求发展趋势，积极并及时采取措施，提前做好工作方案，及时解决。</w:t>
      </w:r>
    </w:p>
    <w:p>
      <w:pPr>
        <w:spacing w:line="500" w:lineRule="exact"/>
        <w:ind w:firstLine="482" w:firstLineChars="200"/>
        <w:rPr>
          <w:rFonts w:ascii="宋体" w:hAnsi="宋体"/>
          <w:b/>
          <w:sz w:val="24"/>
        </w:rPr>
      </w:pPr>
      <w:r>
        <w:rPr>
          <w:rFonts w:hint="eastAsia" w:ascii="宋体" w:hAnsi="宋体"/>
          <w:b/>
          <w:sz w:val="24"/>
        </w:rPr>
        <w:t>3.</w:t>
      </w:r>
      <w:r>
        <w:rPr>
          <w:rFonts w:ascii="宋体" w:hAnsi="宋体"/>
          <w:b/>
          <w:sz w:val="24"/>
        </w:rPr>
        <w:t>5</w:t>
      </w:r>
      <w:r>
        <w:rPr>
          <w:rFonts w:hint="eastAsia" w:ascii="宋体" w:hAnsi="宋体"/>
          <w:b/>
          <w:sz w:val="24"/>
        </w:rPr>
        <w:t>运行维护服务年度报告</w:t>
      </w:r>
    </w:p>
    <w:p>
      <w:pPr>
        <w:spacing w:line="500" w:lineRule="exact"/>
        <w:ind w:firstLine="480" w:firstLineChars="200"/>
        <w:rPr>
          <w:rFonts w:ascii="宋体" w:hAnsi="宋体"/>
          <w:sz w:val="24"/>
        </w:rPr>
      </w:pPr>
      <w:r>
        <w:rPr>
          <w:rFonts w:hint="eastAsia" w:ascii="宋体" w:hAnsi="宋体"/>
          <w:sz w:val="24"/>
        </w:rPr>
        <w:t>运维服务期内，年终时中标人需对此次运行维护项目的全部服务内容进行汇总整理，将服务期间的巡检报告、故障处理单、设备维修报告及监测报告等内容编制成《运行维护服务年度报告》，便于采购人更加直接的了解运维单位的服务情况，并将报告作为项目验收附件。</w:t>
      </w:r>
    </w:p>
    <w:p>
      <w:pPr>
        <w:spacing w:line="500" w:lineRule="exact"/>
        <w:rPr>
          <w:rFonts w:ascii="宋体" w:hAnsi="宋体"/>
          <w:b/>
          <w:sz w:val="24"/>
        </w:rPr>
      </w:pPr>
      <w:r>
        <w:rPr>
          <w:rFonts w:hint="eastAsia" w:ascii="宋体" w:hAnsi="宋体"/>
          <w:b/>
          <w:sz w:val="24"/>
        </w:rPr>
        <w:t>4.验收要求</w:t>
      </w:r>
    </w:p>
    <w:p>
      <w:pPr>
        <w:spacing w:line="500" w:lineRule="exact"/>
        <w:ind w:firstLine="480" w:firstLineChars="200"/>
        <w:rPr>
          <w:rFonts w:ascii="宋体" w:hAnsi="宋体"/>
          <w:sz w:val="24"/>
        </w:rPr>
      </w:pPr>
      <w:r>
        <w:rPr>
          <w:rFonts w:hint="eastAsia" w:ascii="宋体" w:hAnsi="宋体"/>
          <w:sz w:val="24"/>
        </w:rPr>
        <w:t>4.1中标人在服务期满后，积极配合采购人完成整个维护项目的验收。</w:t>
      </w:r>
    </w:p>
    <w:p>
      <w:pPr>
        <w:spacing w:line="500" w:lineRule="exact"/>
        <w:ind w:firstLine="480" w:firstLineChars="200"/>
        <w:rPr>
          <w:rFonts w:ascii="宋体" w:hAnsi="宋体"/>
          <w:sz w:val="24"/>
        </w:rPr>
      </w:pPr>
      <w:r>
        <w:rPr>
          <w:rFonts w:hint="eastAsia" w:ascii="宋体" w:hAnsi="宋体"/>
          <w:sz w:val="24"/>
        </w:rPr>
        <w:t>4.2验收由采购人组织，中标人配合进行，验收标准按招标文件中项目服务范围、服务内容和服务相关要求约定执行。</w:t>
      </w:r>
    </w:p>
    <w:p>
      <w:pPr>
        <w:spacing w:line="360" w:lineRule="auto"/>
        <w:ind w:firstLine="480" w:firstLineChars="200"/>
        <w:rPr>
          <w:rFonts w:cs="仿宋" w:asciiTheme="minorEastAsia" w:hAnsiTheme="minorEastAsia" w:eastAsiaTheme="minorEastAsia"/>
          <w:sz w:val="24"/>
        </w:rPr>
      </w:pPr>
      <w:r>
        <w:rPr>
          <w:rFonts w:hint="eastAsia" w:ascii="宋体" w:hAnsi="宋体"/>
          <w:sz w:val="24"/>
        </w:rPr>
        <w:t>4.3中标人应负责在项目验收时将维护期内的完成工作相关的巡检报告、故障处理单、设备维修单等文档汇集成册交付给采购人。</w:t>
      </w:r>
    </w:p>
    <w:p>
      <w:pPr>
        <w:adjustRightInd w:val="0"/>
        <w:spacing w:line="360" w:lineRule="auto"/>
        <w:rPr>
          <w:rFonts w:ascii="宋体" w:hAnsi="宋体" w:cs="宋体"/>
          <w:b/>
          <w:bCs/>
          <w:sz w:val="24"/>
        </w:rPr>
      </w:pPr>
      <w:r>
        <w:rPr>
          <w:rFonts w:hint="eastAsia" w:ascii="宋体" w:hAnsi="宋体" w:cs="宋体"/>
          <w:b/>
          <w:bCs/>
          <w:sz w:val="24"/>
        </w:rPr>
        <w:t>5.其他</w:t>
      </w:r>
    </w:p>
    <w:p>
      <w:pPr>
        <w:spacing w:line="360" w:lineRule="auto"/>
        <w:ind w:firstLine="480" w:firstLineChars="200"/>
        <w:rPr>
          <w:rFonts w:ascii="宋体" w:hAnsi="宋体" w:cs="宋体"/>
          <w:sz w:val="24"/>
        </w:rPr>
      </w:pPr>
      <w:r>
        <w:rPr>
          <w:rFonts w:ascii="宋体" w:hAnsi="宋体" w:cs="宋体"/>
          <w:sz w:val="24"/>
        </w:rPr>
        <w:t>根据《国家无线电办公室关于进一步加强无线电管理基础和技术设施建设项目验收有关工作的通知》国无办函〔2020〕31号）、《无线电监测设施测试验证工作规定（试行）》（工信部无〔2017〕283号）等文件要求，本项目在建设过程中如包含初步设计、出厂测试、第三方验收、培训、建设工程监理等内容，其费用均由中标供应商承担，如涉及第三方专业机构，中标供应商须与采购人协商确定。</w:t>
      </w:r>
    </w:p>
    <w:p>
      <w:pPr>
        <w:pStyle w:val="3"/>
        <w:tabs>
          <w:tab w:val="left" w:pos="506"/>
          <w:tab w:val="center" w:pos="4544"/>
        </w:tabs>
        <w:spacing w:line="360" w:lineRule="auto"/>
        <w:jc w:val="center"/>
        <w:rPr>
          <w:rFonts w:cs="宋体" w:asciiTheme="minorEastAsia" w:hAnsiTheme="minorEastAsia" w:eastAsiaTheme="minorEastAsia"/>
          <w:kern w:val="2"/>
          <w:sz w:val="48"/>
          <w:szCs w:val="44"/>
        </w:rPr>
      </w:pPr>
      <w:r>
        <w:rPr>
          <w:rFonts w:hint="eastAsia" w:cs="宋体" w:asciiTheme="minorEastAsia" w:hAnsiTheme="minorEastAsia" w:eastAsiaTheme="minorEastAsia"/>
          <w:kern w:val="2"/>
          <w:sz w:val="48"/>
          <w:szCs w:val="44"/>
        </w:rPr>
        <w:br w:type="page"/>
      </w:r>
      <w:bookmarkStart w:id="205" w:name="_Toc12804"/>
      <w:r>
        <w:rPr>
          <w:rFonts w:hint="eastAsia" w:cs="宋体" w:asciiTheme="minorEastAsia" w:hAnsiTheme="minorEastAsia" w:eastAsiaTheme="minorEastAsia"/>
          <w:kern w:val="2"/>
          <w:sz w:val="48"/>
          <w:szCs w:val="44"/>
        </w:rPr>
        <w:t>第五章 政府采购合同格式</w:t>
      </w:r>
      <w:bookmarkEnd w:id="201"/>
      <w:bookmarkEnd w:id="202"/>
      <w:bookmarkEnd w:id="203"/>
      <w:bookmarkEnd w:id="205"/>
      <w:bookmarkStart w:id="206" w:name="_Toc362882445"/>
    </w:p>
    <w:bookmarkEnd w:id="206"/>
    <w:p>
      <w:pPr>
        <w:jc w:val="center"/>
        <w:rPr>
          <w:rFonts w:ascii="宋体" w:hAnsi="宋体" w:cs="宋体"/>
          <w:b/>
          <w:bCs/>
          <w:sz w:val="44"/>
          <w:szCs w:val="44"/>
        </w:rPr>
      </w:pPr>
      <w:bookmarkStart w:id="207" w:name="_Toc1517_WPSOffice_Level1"/>
      <w:bookmarkStart w:id="208" w:name="_Toc14378"/>
      <w:bookmarkStart w:id="209" w:name="_Toc28984"/>
      <w:bookmarkStart w:id="210" w:name="_Toc25543"/>
    </w:p>
    <w:p>
      <w:pPr>
        <w:jc w:val="center"/>
        <w:rPr>
          <w:rFonts w:ascii="宋体" w:hAnsi="宋体" w:cs="宋体"/>
          <w:b/>
          <w:bCs/>
          <w:sz w:val="36"/>
          <w:szCs w:val="44"/>
        </w:rPr>
      </w:pPr>
      <w:r>
        <w:rPr>
          <w:rFonts w:hint="eastAsia" w:ascii="宋体" w:hAnsi="宋体" w:cs="宋体"/>
          <w:b/>
          <w:bCs/>
          <w:sz w:val="36"/>
          <w:szCs w:val="44"/>
        </w:rPr>
        <w:t>陕西省无线电管理委员会</w:t>
      </w:r>
    </w:p>
    <w:p>
      <w:pPr>
        <w:jc w:val="center"/>
        <w:rPr>
          <w:rFonts w:ascii="宋体" w:hAnsi="宋体" w:cs="宋体"/>
          <w:b/>
          <w:bCs/>
          <w:sz w:val="36"/>
          <w:szCs w:val="44"/>
        </w:rPr>
      </w:pPr>
      <w:r>
        <w:rPr>
          <w:rFonts w:hint="eastAsia" w:ascii="宋体" w:hAnsi="宋体" w:cs="宋体"/>
          <w:b/>
          <w:bCs/>
          <w:sz w:val="36"/>
          <w:szCs w:val="44"/>
        </w:rPr>
        <w:t>派出机构无线电监测设备运行维护项目(2包)</w:t>
      </w:r>
    </w:p>
    <w:p>
      <w:pPr>
        <w:rPr>
          <w:rFonts w:ascii="宋体" w:hAnsi="宋体" w:cs="宋体"/>
          <w:sz w:val="24"/>
        </w:rPr>
      </w:pPr>
    </w:p>
    <w:p>
      <w:pPr>
        <w:rPr>
          <w:rFonts w:ascii="宋体" w:hAnsi="宋体" w:cs="宋体"/>
          <w:sz w:val="24"/>
        </w:rPr>
      </w:pPr>
    </w:p>
    <w:p>
      <w:pPr>
        <w:pStyle w:val="2"/>
        <w:rPr>
          <w:rFonts w:ascii="宋体" w:hAnsi="宋体" w:cs="宋体"/>
          <w:sz w:val="24"/>
        </w:rPr>
      </w:pPr>
    </w:p>
    <w:p>
      <w:pPr>
        <w:pStyle w:val="2"/>
        <w:rPr>
          <w:rFonts w:ascii="宋体" w:hAnsi="宋体" w:cs="宋体"/>
          <w:sz w:val="24"/>
        </w:rPr>
      </w:pPr>
    </w:p>
    <w:p>
      <w:pPr>
        <w:rPr>
          <w:rFonts w:ascii="宋体" w:hAnsi="宋体" w:cs="宋体"/>
          <w:sz w:val="24"/>
        </w:rPr>
      </w:pPr>
    </w:p>
    <w:p>
      <w:pPr>
        <w:rPr>
          <w:rFonts w:ascii="宋体" w:hAnsi="宋体" w:cs="宋体"/>
          <w:sz w:val="24"/>
        </w:rPr>
      </w:pPr>
    </w:p>
    <w:p>
      <w:pPr>
        <w:jc w:val="center"/>
        <w:rPr>
          <w:rFonts w:ascii="宋体" w:hAnsi="宋体" w:cs="宋体"/>
          <w:b/>
          <w:sz w:val="24"/>
        </w:rPr>
      </w:pPr>
      <w:r>
        <w:rPr>
          <w:rFonts w:hint="eastAsia" w:ascii="宋体" w:hAnsi="宋体" w:cs="宋体"/>
          <w:b/>
          <w:sz w:val="24"/>
        </w:rPr>
        <w:t>（示范文本仅供参考）</w:t>
      </w:r>
    </w:p>
    <w:p>
      <w:pPr>
        <w:jc w:val="center"/>
        <w:rPr>
          <w:rFonts w:ascii="宋体" w:hAnsi="宋体" w:cs="宋体"/>
          <w:b/>
          <w:sz w:val="24"/>
        </w:rPr>
      </w:pPr>
    </w:p>
    <w:p>
      <w:pPr>
        <w:pStyle w:val="3"/>
        <w:rPr>
          <w:rFonts w:ascii="宋体" w:hAnsi="宋体" w:cs="宋体"/>
          <w:sz w:val="24"/>
          <w:szCs w:val="24"/>
        </w:rPr>
      </w:pPr>
    </w:p>
    <w:p>
      <w:pPr>
        <w:jc w:val="center"/>
        <w:rPr>
          <w:rFonts w:ascii="宋体" w:hAnsi="宋体" w:cs="宋体"/>
          <w:b/>
          <w:sz w:val="24"/>
        </w:rPr>
      </w:pPr>
    </w:p>
    <w:p>
      <w:pPr>
        <w:jc w:val="center"/>
        <w:rPr>
          <w:rFonts w:ascii="宋体" w:hAnsi="宋体" w:cs="宋体"/>
          <w:b/>
          <w:sz w:val="24"/>
        </w:rPr>
      </w:pPr>
    </w:p>
    <w:p>
      <w:pPr>
        <w:jc w:val="center"/>
        <w:rPr>
          <w:rFonts w:ascii="宋体" w:hAnsi="宋体" w:cs="宋体"/>
          <w:b/>
          <w:sz w:val="24"/>
        </w:rPr>
      </w:pPr>
    </w:p>
    <w:p>
      <w:pPr>
        <w:pStyle w:val="3"/>
        <w:rPr>
          <w:rFonts w:ascii="宋体" w:hAnsi="宋体" w:cs="宋体"/>
          <w:sz w:val="24"/>
          <w:szCs w:val="24"/>
        </w:rPr>
      </w:pPr>
    </w:p>
    <w:p>
      <w:pPr>
        <w:rPr>
          <w:rFonts w:ascii="宋体" w:hAnsi="宋体" w:cs="宋体"/>
          <w:b/>
          <w:sz w:val="24"/>
        </w:rPr>
      </w:pPr>
    </w:p>
    <w:p>
      <w:pPr>
        <w:spacing w:before="120" w:beforeLines="50" w:line="360" w:lineRule="auto"/>
        <w:rPr>
          <w:rFonts w:ascii="宋体" w:hAnsi="宋体" w:cs="宋体"/>
          <w:b/>
          <w:bCs/>
          <w:sz w:val="24"/>
        </w:rPr>
      </w:pPr>
    </w:p>
    <w:p>
      <w:pPr>
        <w:spacing w:before="120" w:beforeLines="50" w:line="360" w:lineRule="auto"/>
        <w:ind w:firstLine="947" w:firstLineChars="393"/>
        <w:jc w:val="left"/>
        <w:rPr>
          <w:rFonts w:ascii="宋体" w:hAnsi="宋体" w:cs="宋体"/>
          <w:b/>
          <w:bCs/>
          <w:sz w:val="24"/>
        </w:rPr>
      </w:pPr>
      <w:r>
        <w:rPr>
          <w:rFonts w:hint="eastAsia" w:ascii="宋体" w:hAnsi="宋体" w:cs="宋体"/>
          <w:b/>
          <w:bCs/>
          <w:sz w:val="24"/>
        </w:rPr>
        <w:t>采购人：</w:t>
      </w:r>
    </w:p>
    <w:p>
      <w:pPr>
        <w:spacing w:before="120" w:beforeLines="50" w:line="360" w:lineRule="auto"/>
        <w:ind w:firstLine="947" w:firstLineChars="393"/>
        <w:jc w:val="left"/>
        <w:rPr>
          <w:rFonts w:ascii="宋体" w:hAnsi="宋体" w:cs="宋体"/>
          <w:b/>
          <w:bCs/>
          <w:sz w:val="24"/>
        </w:rPr>
      </w:pPr>
      <w:r>
        <w:rPr>
          <w:rFonts w:hint="eastAsia" w:ascii="宋体" w:hAnsi="宋体" w:cs="宋体"/>
          <w:b/>
          <w:bCs/>
          <w:sz w:val="24"/>
        </w:rPr>
        <w:t>供应商：</w:t>
      </w:r>
    </w:p>
    <w:p>
      <w:pPr>
        <w:spacing w:line="560" w:lineRule="exact"/>
        <w:jc w:val="center"/>
        <w:rPr>
          <w:rFonts w:ascii="宋体" w:hAnsi="宋体" w:cs="宋体"/>
          <w:b/>
          <w:bCs/>
          <w:sz w:val="24"/>
        </w:rPr>
      </w:pPr>
      <w:r>
        <w:rPr>
          <w:rFonts w:hint="eastAsia" w:ascii="宋体" w:hAnsi="宋体" w:cs="宋体"/>
          <w:b/>
          <w:bCs/>
          <w:sz w:val="24"/>
        </w:rPr>
        <w:t>二〇二二年  月</w:t>
      </w:r>
      <w:r>
        <w:rPr>
          <w:rFonts w:hint="eastAsia" w:ascii="宋体" w:hAnsi="宋体" w:cs="宋体"/>
          <w:b/>
          <w:bCs/>
          <w:sz w:val="24"/>
        </w:rPr>
        <w:br w:type="page"/>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采购人（甲方）：</w:t>
      </w:r>
      <w:r>
        <w:rPr>
          <w:rFonts w:hint="eastAsia" w:ascii="宋体" w:hAnsi="宋体" w:cs="宋体"/>
          <w:b/>
          <w:sz w:val="24"/>
          <w:u w:val="single"/>
        </w:rPr>
        <w:t xml:space="preserve">   陕西省无线电管理委员会        </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供应商（乙方）：</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根据《中华人民共和国民法典》及其他有关法律、法规，遵循平等、自愿、公平和诚信的原则，双方就下述项目范围与相关服务事项协商一致，订立本合同。</w:t>
      </w:r>
    </w:p>
    <w:p>
      <w:pPr>
        <w:spacing w:line="360" w:lineRule="auto"/>
        <w:rPr>
          <w:rFonts w:ascii="宋体" w:hAnsi="宋体" w:cs="宋体"/>
          <w:b/>
          <w:sz w:val="24"/>
        </w:rPr>
      </w:pPr>
      <w:r>
        <w:rPr>
          <w:rFonts w:hint="eastAsia" w:ascii="宋体" w:hAnsi="宋体" w:cs="宋体"/>
          <w:b/>
          <w:sz w:val="24"/>
        </w:rPr>
        <w:t>一、项目概况</w:t>
      </w:r>
    </w:p>
    <w:p>
      <w:pPr>
        <w:adjustRightInd w:val="0"/>
        <w:snapToGrid w:val="0"/>
        <w:spacing w:line="360" w:lineRule="auto"/>
        <w:ind w:left="660" w:leftChars="200" w:hanging="240" w:hangingChars="100"/>
        <w:jc w:val="left"/>
        <w:rPr>
          <w:rFonts w:ascii="宋体" w:hAnsi="宋体" w:cs="宋体"/>
          <w:sz w:val="24"/>
        </w:rPr>
      </w:pPr>
      <w:r>
        <w:rPr>
          <w:rFonts w:hint="eastAsia" w:ascii="宋体" w:hAnsi="宋体" w:cs="宋体"/>
          <w:sz w:val="24"/>
        </w:rPr>
        <w:t>1. 项目名称：陕西省无线电管理委员会派出机构无线电监测设备运行维护项目(2包)</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项目地点：</w:t>
      </w:r>
      <w:r>
        <w:rPr>
          <w:rFonts w:hint="eastAsia" w:ascii="宋体" w:hAnsi="宋体" w:cs="宋体"/>
          <w:sz w:val="24"/>
          <w:u w:val="single"/>
        </w:rPr>
        <w:t xml:space="preserve">  采购人指定地点  </w:t>
      </w:r>
      <w:r>
        <w:rPr>
          <w:rFonts w:hint="eastAsia" w:ascii="宋体" w:hAnsi="宋体" w:cs="宋体"/>
          <w:sz w:val="24"/>
        </w:rPr>
        <w:t>。</w:t>
      </w:r>
    </w:p>
    <w:p>
      <w:pPr>
        <w:spacing w:line="360" w:lineRule="auto"/>
        <w:rPr>
          <w:rFonts w:ascii="宋体" w:hAnsi="宋体" w:cs="宋体"/>
          <w:b/>
          <w:sz w:val="24"/>
        </w:rPr>
      </w:pPr>
      <w:r>
        <w:rPr>
          <w:rFonts w:hint="eastAsia" w:ascii="宋体" w:hAnsi="宋体" w:cs="宋体"/>
          <w:b/>
          <w:sz w:val="24"/>
        </w:rPr>
        <w:t>二、组成本合同的文件</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1. 协议书；</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中标通知书、投标文件、招标文件、澄清、招标补充文件；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 相关服务建议书；</w:t>
      </w:r>
    </w:p>
    <w:p>
      <w:pPr>
        <w:adjustRightInd w:val="0"/>
        <w:snapToGrid w:val="0"/>
        <w:spacing w:line="360" w:lineRule="auto"/>
        <w:rPr>
          <w:rFonts w:ascii="宋体" w:hAnsi="宋体" w:cs="宋体"/>
          <w:sz w:val="24"/>
        </w:rPr>
      </w:pPr>
      <w:r>
        <w:rPr>
          <w:rFonts w:hint="eastAsia" w:ascii="宋体" w:hAnsi="宋体" w:cs="宋体"/>
          <w:sz w:val="24"/>
        </w:rPr>
        <w:t xml:space="preserve">    4. 附录，即：附表内相关服务的范围和内容；</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本合同签订后，双方依法签订的补充协议也是本合同文件的组成部分。</w:t>
      </w:r>
    </w:p>
    <w:p>
      <w:pPr>
        <w:spacing w:line="360" w:lineRule="auto"/>
        <w:rPr>
          <w:rFonts w:ascii="宋体" w:hAnsi="宋体" w:cs="宋体"/>
          <w:b/>
          <w:sz w:val="24"/>
        </w:rPr>
      </w:pPr>
      <w:r>
        <w:rPr>
          <w:rFonts w:hint="eastAsia" w:ascii="宋体" w:hAnsi="宋体" w:cs="宋体"/>
          <w:b/>
          <w:sz w:val="24"/>
        </w:rPr>
        <w:t>三、合同金额</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合同金额（大写）：（¥        ）。</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合同总价即中标价，为一次性报价，不受市场价变化或实际工作量变化的影响。合同价格为含税价，供应商（中标人）提供产品所发生的一切税（包括增值税）费等都已包含于合同价款中。</w:t>
      </w:r>
    </w:p>
    <w:p>
      <w:pPr>
        <w:adjustRightInd w:val="0"/>
        <w:snapToGrid w:val="0"/>
        <w:spacing w:line="360" w:lineRule="auto"/>
        <w:rPr>
          <w:rFonts w:ascii="宋体" w:hAnsi="宋体" w:cs="宋体"/>
          <w:b/>
          <w:sz w:val="24"/>
        </w:rPr>
      </w:pPr>
      <w:r>
        <w:rPr>
          <w:rFonts w:hint="eastAsia" w:ascii="宋体" w:hAnsi="宋体" w:cs="宋体"/>
          <w:b/>
          <w:sz w:val="24"/>
        </w:rPr>
        <w:t>四、结算方式</w:t>
      </w:r>
    </w:p>
    <w:p>
      <w:pPr>
        <w:spacing w:line="360" w:lineRule="auto"/>
        <w:rPr>
          <w:rFonts w:ascii="宋体" w:hAnsi="宋体" w:cs="宋体"/>
          <w:sz w:val="24"/>
        </w:rPr>
      </w:pPr>
      <w:r>
        <w:rPr>
          <w:rFonts w:hint="eastAsia" w:ascii="宋体" w:hAnsi="宋体" w:cs="宋体"/>
          <w:sz w:val="24"/>
        </w:rPr>
        <w:t xml:space="preserve">   1.结算单位：银行转账，由采购人负责结算。在付款前，供应商必须开具与合同金额相应的发票给采购人，附详细清单。</w:t>
      </w:r>
    </w:p>
    <w:p>
      <w:pPr>
        <w:adjustRightInd w:val="0"/>
        <w:snapToGrid w:val="0"/>
        <w:spacing w:line="360" w:lineRule="auto"/>
        <w:rPr>
          <w:rFonts w:ascii="宋体" w:hAnsi="宋体" w:cs="宋体"/>
          <w:sz w:val="24"/>
        </w:rPr>
      </w:pPr>
      <w:r>
        <w:rPr>
          <w:rFonts w:hint="eastAsia" w:ascii="宋体" w:hAnsi="宋体" w:cs="宋体"/>
          <w:sz w:val="24"/>
        </w:rPr>
        <w:t xml:space="preserve">   2.付款方式：</w:t>
      </w:r>
    </w:p>
    <w:p>
      <w:pPr>
        <w:adjustRightInd w:val="0"/>
        <w:snapToGrid w:val="0"/>
        <w:spacing w:line="360" w:lineRule="auto"/>
        <w:ind w:left="420" w:leftChars="200"/>
        <w:rPr>
          <w:rFonts w:ascii="宋体" w:hAnsi="宋体" w:cs="宋体"/>
          <w:sz w:val="24"/>
        </w:rPr>
      </w:pPr>
      <w:r>
        <w:rPr>
          <w:rFonts w:hint="eastAsia" w:ascii="宋体" w:hAnsi="宋体" w:cs="宋体"/>
          <w:sz w:val="24"/>
        </w:rPr>
        <w:t>1、合同签订后5个工作日内，乙方向甲方出具合同总价款5%金额的银行保函，保函有效期截止到项目终验合格之日结束；</w:t>
      </w:r>
    </w:p>
    <w:p>
      <w:pPr>
        <w:adjustRightInd w:val="0"/>
        <w:snapToGrid w:val="0"/>
        <w:spacing w:line="360" w:lineRule="auto"/>
        <w:ind w:left="420" w:leftChars="200"/>
        <w:rPr>
          <w:rFonts w:ascii="宋体" w:hAnsi="宋体" w:cs="宋体"/>
          <w:sz w:val="24"/>
        </w:rPr>
      </w:pPr>
      <w:r>
        <w:rPr>
          <w:rFonts w:hint="eastAsia" w:ascii="宋体" w:hAnsi="宋体" w:cs="宋体"/>
          <w:sz w:val="24"/>
        </w:rPr>
        <w:t>2、甲方收到乙方合格银行保函后支付全部合同总价款；</w:t>
      </w:r>
    </w:p>
    <w:p>
      <w:pPr>
        <w:adjustRightInd w:val="0"/>
        <w:snapToGrid w:val="0"/>
        <w:spacing w:line="360" w:lineRule="auto"/>
        <w:ind w:left="420" w:leftChars="200"/>
        <w:rPr>
          <w:rFonts w:ascii="宋体" w:hAnsi="宋体" w:cs="宋体"/>
          <w:sz w:val="24"/>
        </w:rPr>
      </w:pPr>
      <w:r>
        <w:rPr>
          <w:rFonts w:hint="eastAsia" w:ascii="宋体" w:hAnsi="宋体" w:cs="宋体"/>
          <w:sz w:val="24"/>
        </w:rPr>
        <w:t>3、乙方承诺在甲方办理支付手续前，为甲方出具等额的符合国家规定的发票；</w:t>
      </w:r>
    </w:p>
    <w:p>
      <w:pPr>
        <w:adjustRightInd w:val="0"/>
        <w:snapToGrid w:val="0"/>
        <w:spacing w:line="360" w:lineRule="auto"/>
        <w:ind w:left="420" w:leftChars="200"/>
        <w:rPr>
          <w:rFonts w:ascii="宋体" w:hAnsi="宋体" w:cs="宋体"/>
          <w:sz w:val="24"/>
        </w:rPr>
      </w:pPr>
      <w:r>
        <w:rPr>
          <w:rFonts w:hint="eastAsia" w:ascii="宋体" w:hAnsi="宋体" w:cs="宋体"/>
          <w:sz w:val="24"/>
        </w:rPr>
        <w:t>4、上述时间不包括甲方正常办理支付报批手续的时间（办理银行担保所需的手续费、担保费等全部由中标人承担）。</w:t>
      </w:r>
    </w:p>
    <w:p>
      <w:pPr>
        <w:spacing w:line="360" w:lineRule="auto"/>
        <w:rPr>
          <w:rFonts w:ascii="宋体" w:hAnsi="宋体" w:cs="宋体"/>
          <w:b/>
          <w:sz w:val="24"/>
        </w:rPr>
      </w:pPr>
      <w:r>
        <w:rPr>
          <w:rFonts w:hint="eastAsia" w:ascii="宋体" w:hAnsi="宋体" w:cs="宋体"/>
          <w:b/>
          <w:sz w:val="24"/>
        </w:rPr>
        <w:t xml:space="preserve">五、服务期  </w:t>
      </w:r>
    </w:p>
    <w:p>
      <w:pPr>
        <w:tabs>
          <w:tab w:val="left" w:pos="840"/>
        </w:tabs>
        <w:spacing w:line="360" w:lineRule="auto"/>
        <w:ind w:firstLine="480" w:firstLineChars="200"/>
        <w:rPr>
          <w:rFonts w:ascii="宋体" w:hAnsi="宋体" w:cs="宋体"/>
          <w:sz w:val="24"/>
        </w:rPr>
      </w:pPr>
      <w:r>
        <w:rPr>
          <w:rFonts w:hint="eastAsia" w:ascii="宋体" w:hAnsi="宋体" w:cs="宋体"/>
          <w:sz w:val="24"/>
        </w:rPr>
        <w:t>自合同签订之日起1年。</w:t>
      </w:r>
    </w:p>
    <w:p>
      <w:pPr>
        <w:spacing w:line="360" w:lineRule="auto"/>
        <w:rPr>
          <w:rFonts w:ascii="宋体" w:hAnsi="宋体" w:cs="宋体"/>
          <w:b/>
          <w:sz w:val="24"/>
        </w:rPr>
      </w:pPr>
      <w:r>
        <w:rPr>
          <w:rFonts w:hint="eastAsia" w:ascii="宋体" w:hAnsi="宋体" w:cs="宋体"/>
          <w:b/>
          <w:sz w:val="24"/>
        </w:rPr>
        <w:t>六、双方的权利和义务</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（一）甲方的权利与义务</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1、甲方负责配合本次项目服务工作；</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2、甲方应按本合同的约定向乙方支付合同价款；</w:t>
      </w:r>
    </w:p>
    <w:p>
      <w:pPr>
        <w:snapToGrid w:val="0"/>
        <w:spacing w:line="360" w:lineRule="auto"/>
        <w:ind w:firstLine="480" w:firstLineChars="200"/>
        <w:rPr>
          <w:rFonts w:ascii="宋体" w:hAnsi="宋体" w:cs="宋体"/>
          <w:bCs/>
          <w:sz w:val="24"/>
        </w:rPr>
      </w:pPr>
      <w:r>
        <w:rPr>
          <w:rFonts w:hint="eastAsia" w:ascii="宋体" w:hAnsi="宋体" w:cs="宋体"/>
          <w:bCs/>
          <w:sz w:val="24"/>
        </w:rPr>
        <w:t>3、甲方根据需要对乙方提供的实施方案进行审核，提供建议及意见，确定最终实施的方案，以便乙方遵照执行；</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4、甲方有权对乙方的工作进行监督和考核。</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（二）乙方的权利与义务</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1、乙方的工作人员必须严格遵守甲方的规章制度，以良好的形象和积极的工作态度，按甲方要求开展工作；</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2、乙方应服从甲方统筹管理并按流程开展工作；</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3、乙方保证安排的相关人员需按照指定时间到达指定地点进行服务，乙方在服务时间内不得迟到早退，如有特殊情况，必须事先通知并征得甲方同意；</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4、乙方提交的方案等应得到甲方确认再予以实施；</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5、乙方在服务期间发布的任何涉及有关甲方的相关信息，需经甲方确认无误后方可发布；</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6、乙方负责解决所需要的工作条件及相应的工作配合，如场地的使用、水电提供、乙方工作人员出入等事宜，甲方有义务提供必要的便利条件。</w:t>
      </w:r>
    </w:p>
    <w:p>
      <w:pPr>
        <w:numPr>
          <w:ilvl w:val="0"/>
          <w:numId w:val="4"/>
        </w:numPr>
        <w:tabs>
          <w:tab w:val="left" w:pos="840"/>
        </w:tabs>
        <w:spacing w:line="520" w:lineRule="exact"/>
        <w:rPr>
          <w:rFonts w:ascii="宋体" w:hAnsi="宋体" w:cs="宋体"/>
          <w:b/>
          <w:sz w:val="24"/>
        </w:rPr>
      </w:pPr>
      <w:r>
        <w:rPr>
          <w:rFonts w:hint="eastAsia" w:ascii="宋体" w:hAnsi="宋体" w:cs="宋体"/>
          <w:b/>
          <w:sz w:val="24"/>
        </w:rPr>
        <w:t>服务承诺</w:t>
      </w:r>
    </w:p>
    <w:p>
      <w:pPr>
        <w:spacing w:line="360" w:lineRule="auto"/>
        <w:ind w:firstLine="470" w:firstLineChars="196"/>
        <w:rPr>
          <w:rFonts w:ascii="宋体" w:hAnsi="宋体" w:cs="仿宋"/>
          <w:sz w:val="24"/>
        </w:rPr>
      </w:pPr>
      <w:r>
        <w:rPr>
          <w:rFonts w:hint="eastAsia" w:ascii="宋体" w:hAnsi="宋体" w:cs="仿宋"/>
          <w:sz w:val="24"/>
        </w:rPr>
        <w:t>投标人应遵照国家规范规定的技术服务内容及要求作出明确承诺。</w:t>
      </w:r>
    </w:p>
    <w:p>
      <w:pPr>
        <w:numPr>
          <w:ilvl w:val="0"/>
          <w:numId w:val="4"/>
        </w:numPr>
        <w:tabs>
          <w:tab w:val="left" w:pos="840"/>
        </w:tabs>
        <w:spacing w:line="520" w:lineRule="exact"/>
        <w:rPr>
          <w:rFonts w:ascii="宋体" w:hAnsi="宋体" w:cs="宋体"/>
          <w:b/>
          <w:sz w:val="24"/>
        </w:rPr>
      </w:pPr>
      <w:r>
        <w:rPr>
          <w:rFonts w:hint="eastAsia" w:ascii="宋体" w:hAnsi="宋体" w:cs="宋体"/>
          <w:b/>
          <w:sz w:val="24"/>
        </w:rPr>
        <w:t>合同实施</w:t>
      </w:r>
    </w:p>
    <w:p>
      <w:pPr>
        <w:adjustRightInd w:val="0"/>
        <w:spacing w:line="360" w:lineRule="auto"/>
        <w:ind w:firstLine="480" w:firstLineChars="200"/>
        <w:rPr>
          <w:rFonts w:ascii="宋体" w:hAnsi="宋体" w:cs="仿宋"/>
          <w:sz w:val="24"/>
        </w:rPr>
      </w:pPr>
      <w:r>
        <w:rPr>
          <w:rFonts w:hint="eastAsia" w:ascii="宋体" w:hAnsi="宋体" w:cs="仿宋"/>
          <w:sz w:val="24"/>
        </w:rPr>
        <w:t>若未能在服务期内完成合同规定的义务，由此对采购人造成的延误和一切损失，由中标人承担和赔偿。</w:t>
      </w:r>
    </w:p>
    <w:p>
      <w:pPr>
        <w:spacing w:line="360" w:lineRule="auto"/>
        <w:rPr>
          <w:rFonts w:ascii="宋体" w:hAnsi="宋体" w:cs="宋体"/>
          <w:b/>
          <w:sz w:val="24"/>
        </w:rPr>
      </w:pPr>
      <w:r>
        <w:rPr>
          <w:rFonts w:hint="eastAsia" w:ascii="宋体" w:hAnsi="宋体" w:cs="宋体"/>
          <w:b/>
          <w:sz w:val="24"/>
        </w:rPr>
        <w:t>九、验收</w:t>
      </w:r>
    </w:p>
    <w:p>
      <w:pPr>
        <w:spacing w:line="360" w:lineRule="auto"/>
        <w:ind w:firstLine="480" w:firstLineChars="200"/>
        <w:rPr>
          <w:rFonts w:ascii="宋体" w:hAnsi="宋体" w:cs="宋体"/>
          <w:sz w:val="24"/>
        </w:rPr>
      </w:pPr>
      <w:r>
        <w:rPr>
          <w:rFonts w:hint="eastAsia" w:ascii="宋体" w:hAnsi="宋体" w:cs="宋体"/>
          <w:sz w:val="24"/>
        </w:rPr>
        <w:t>1、项目验收分合同验收和最终验收。</w:t>
      </w:r>
    </w:p>
    <w:p>
      <w:pPr>
        <w:spacing w:line="360" w:lineRule="auto"/>
        <w:ind w:firstLine="480" w:firstLineChars="200"/>
        <w:rPr>
          <w:rFonts w:ascii="宋体" w:hAnsi="宋体" w:cs="宋体"/>
          <w:sz w:val="24"/>
        </w:rPr>
      </w:pPr>
      <w:r>
        <w:rPr>
          <w:rFonts w:hint="eastAsia" w:ascii="宋体" w:hAnsi="宋体" w:cs="宋体"/>
          <w:sz w:val="24"/>
        </w:rPr>
        <w:t>合同验收：完成维护后，由使用单位根据合同进行检查，检查合同建设内容完成情况、合同支付情况、合同规定的各类文档资料收集等工作。</w:t>
      </w:r>
    </w:p>
    <w:p>
      <w:pPr>
        <w:spacing w:line="360" w:lineRule="auto"/>
        <w:ind w:firstLine="480" w:firstLineChars="200"/>
        <w:rPr>
          <w:rFonts w:ascii="宋体" w:hAnsi="宋体" w:cs="宋体"/>
          <w:sz w:val="24"/>
        </w:rPr>
      </w:pPr>
      <w:r>
        <w:rPr>
          <w:rFonts w:hint="eastAsia" w:ascii="宋体" w:hAnsi="宋体" w:cs="宋体"/>
          <w:sz w:val="24"/>
        </w:rPr>
        <w:t>最终验收：由采购人进行终验，包括项目最终验收申请及批复材料、项目承担单位基本情况、项目概况、项目实施总结报告等资料。</w:t>
      </w:r>
    </w:p>
    <w:p>
      <w:pPr>
        <w:spacing w:line="360" w:lineRule="auto"/>
        <w:rPr>
          <w:rFonts w:ascii="宋体" w:hAnsi="宋体" w:cs="宋体"/>
          <w:sz w:val="24"/>
        </w:rPr>
      </w:pPr>
      <w:r>
        <w:rPr>
          <w:rFonts w:hint="eastAsia" w:ascii="宋体" w:hAnsi="宋体" w:cs="宋体"/>
          <w:sz w:val="24"/>
        </w:rPr>
        <w:t>2、验收依据</w:t>
      </w:r>
    </w:p>
    <w:p>
      <w:pPr>
        <w:spacing w:line="360" w:lineRule="auto"/>
        <w:rPr>
          <w:rFonts w:ascii="宋体" w:hAnsi="宋体" w:cs="宋体"/>
          <w:sz w:val="24"/>
        </w:rPr>
      </w:pPr>
      <w:r>
        <w:rPr>
          <w:rFonts w:hint="eastAsia" w:ascii="宋体" w:hAnsi="宋体" w:cs="宋体"/>
          <w:sz w:val="24"/>
        </w:rPr>
        <w:t>（1）合同文本及合同补充文件（条款）。</w:t>
      </w:r>
    </w:p>
    <w:p>
      <w:pPr>
        <w:spacing w:line="360" w:lineRule="auto"/>
        <w:rPr>
          <w:rFonts w:ascii="宋体" w:hAnsi="宋体" w:cs="宋体"/>
          <w:sz w:val="24"/>
        </w:rPr>
      </w:pPr>
      <w:r>
        <w:rPr>
          <w:rFonts w:hint="eastAsia" w:ascii="宋体" w:hAnsi="宋体" w:cs="宋体"/>
          <w:sz w:val="24"/>
        </w:rPr>
        <w:t>（2）招标文件。</w:t>
      </w:r>
    </w:p>
    <w:p>
      <w:pPr>
        <w:spacing w:line="360" w:lineRule="auto"/>
        <w:rPr>
          <w:rFonts w:ascii="宋体" w:hAnsi="宋体" w:cs="宋体"/>
          <w:sz w:val="24"/>
        </w:rPr>
      </w:pPr>
      <w:r>
        <w:rPr>
          <w:rFonts w:hint="eastAsia" w:ascii="宋体" w:hAnsi="宋体" w:cs="宋体"/>
          <w:sz w:val="24"/>
        </w:rPr>
        <w:t>（3）中标人的投标文件。</w:t>
      </w:r>
    </w:p>
    <w:p>
      <w:pPr>
        <w:spacing w:line="360" w:lineRule="auto"/>
        <w:rPr>
          <w:rFonts w:ascii="宋体" w:hAnsi="宋体" w:cs="宋体"/>
          <w:b/>
          <w:sz w:val="24"/>
        </w:rPr>
      </w:pPr>
      <w:r>
        <w:rPr>
          <w:rFonts w:hint="eastAsia" w:ascii="宋体" w:hAnsi="宋体" w:cs="宋体"/>
          <w:b/>
          <w:sz w:val="24"/>
        </w:rPr>
        <w:t>十、保密</w:t>
      </w:r>
    </w:p>
    <w:p>
      <w:pPr>
        <w:tabs>
          <w:tab w:val="left" w:pos="1080"/>
        </w:tabs>
        <w:spacing w:line="360" w:lineRule="auto"/>
        <w:ind w:firstLine="360" w:firstLineChars="150"/>
        <w:rPr>
          <w:rFonts w:ascii="宋体" w:hAnsi="宋体" w:cs="宋体"/>
          <w:sz w:val="24"/>
        </w:rPr>
      </w:pPr>
      <w:r>
        <w:rPr>
          <w:rFonts w:hint="eastAsia" w:ascii="宋体" w:hAnsi="宋体" w:cs="宋体"/>
          <w:sz w:val="24"/>
        </w:rPr>
        <w:t xml:space="preserve"> 对工作中了解到的采购人的技术、机密等进行严格保密，不得向他人泄漏。本合同的解除或终止不免除供应商应承担的保密义务。</w:t>
      </w:r>
    </w:p>
    <w:p>
      <w:pPr>
        <w:spacing w:line="360" w:lineRule="auto"/>
        <w:rPr>
          <w:rFonts w:ascii="宋体" w:hAnsi="宋体" w:cs="宋体"/>
          <w:b/>
          <w:sz w:val="24"/>
        </w:rPr>
      </w:pPr>
      <w:r>
        <w:rPr>
          <w:rFonts w:hint="eastAsia" w:ascii="宋体" w:hAnsi="宋体" w:cs="宋体"/>
          <w:b/>
          <w:sz w:val="24"/>
        </w:rPr>
        <w:t>十一、知识产权</w:t>
      </w:r>
    </w:p>
    <w:p>
      <w:pPr>
        <w:spacing w:line="360" w:lineRule="auto"/>
        <w:ind w:firstLine="480" w:firstLineChars="200"/>
        <w:rPr>
          <w:rFonts w:ascii="宋体" w:hAnsi="宋体" w:cs="宋体"/>
          <w:sz w:val="24"/>
        </w:rPr>
      </w:pPr>
      <w:r>
        <w:rPr>
          <w:rFonts w:hint="eastAsia" w:ascii="宋体" w:hAnsi="宋体" w:cs="宋体"/>
          <w:sz w:val="24"/>
        </w:rPr>
        <w:t>投标人应保证投标货物及服务不会出现因第三方提出侵犯其专利权、商标权或其它知识产权而引发法律或经济纠纷，否则由投标人承担全部责任。任何被投标人用于未经授权的商业目的行为所造成的违约或侵权责任由投标人承但。</w:t>
      </w:r>
    </w:p>
    <w:p>
      <w:pPr>
        <w:spacing w:line="360" w:lineRule="auto"/>
        <w:rPr>
          <w:rFonts w:ascii="宋体" w:hAnsi="宋体" w:cs="宋体"/>
          <w:b/>
          <w:sz w:val="24"/>
        </w:rPr>
      </w:pPr>
      <w:r>
        <w:rPr>
          <w:rFonts w:hint="eastAsia" w:ascii="宋体" w:hAnsi="宋体" w:cs="宋体"/>
          <w:b/>
          <w:sz w:val="24"/>
        </w:rPr>
        <w:t>十二、合同争议的解决</w:t>
      </w:r>
    </w:p>
    <w:p>
      <w:pPr>
        <w:spacing w:line="360" w:lineRule="auto"/>
        <w:rPr>
          <w:rFonts w:ascii="宋体" w:hAnsi="宋体" w:cs="宋体"/>
          <w:sz w:val="24"/>
        </w:rPr>
      </w:pPr>
      <w:r>
        <w:rPr>
          <w:rFonts w:hint="eastAsia" w:ascii="宋体" w:hAnsi="宋体" w:cs="宋体"/>
          <w:sz w:val="24"/>
        </w:rPr>
        <w:t xml:space="preserve">    合同执行中发生争议的，当事人双方应协商解决。协商达不成一致时，可向当地行政仲裁机关申请仲裁或者向人民法院提请诉讼。</w:t>
      </w:r>
    </w:p>
    <w:p>
      <w:pPr>
        <w:spacing w:line="360" w:lineRule="auto"/>
        <w:jc w:val="left"/>
        <w:rPr>
          <w:rFonts w:ascii="宋体" w:hAnsi="宋体" w:cs="宋体"/>
          <w:b/>
          <w:bCs/>
          <w:sz w:val="24"/>
        </w:rPr>
      </w:pPr>
      <w:r>
        <w:rPr>
          <w:rFonts w:hint="eastAsia" w:ascii="宋体" w:hAnsi="宋体" w:cs="宋体"/>
          <w:b/>
          <w:bCs/>
          <w:sz w:val="24"/>
        </w:rPr>
        <w:t>十三、不可抗力情况下的免责约定</w:t>
      </w:r>
    </w:p>
    <w:p>
      <w:pPr>
        <w:spacing w:line="360" w:lineRule="auto"/>
        <w:jc w:val="left"/>
        <w:rPr>
          <w:rFonts w:ascii="宋体" w:hAnsi="宋体" w:cs="宋体"/>
          <w:sz w:val="24"/>
        </w:rPr>
      </w:pPr>
      <w:r>
        <w:rPr>
          <w:rFonts w:hint="eastAsia" w:ascii="宋体" w:hAnsi="宋体" w:cs="宋体"/>
          <w:sz w:val="24"/>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ascii="宋体" w:hAnsi="宋体" w:cs="宋体"/>
          <w:b/>
          <w:sz w:val="24"/>
        </w:rPr>
      </w:pPr>
      <w:r>
        <w:rPr>
          <w:rFonts w:hint="eastAsia" w:ascii="宋体" w:hAnsi="宋体" w:cs="宋体"/>
          <w:b/>
          <w:sz w:val="24"/>
        </w:rPr>
        <w:t>十四、违约责任</w:t>
      </w:r>
    </w:p>
    <w:p>
      <w:pPr>
        <w:spacing w:line="360" w:lineRule="auto"/>
        <w:ind w:firstLine="480" w:firstLineChars="200"/>
        <w:rPr>
          <w:rFonts w:ascii="宋体" w:hAnsi="宋体" w:cs="宋体"/>
          <w:sz w:val="24"/>
        </w:rPr>
      </w:pPr>
      <w:r>
        <w:rPr>
          <w:rFonts w:hint="eastAsia" w:ascii="宋体" w:hAnsi="宋体" w:cs="宋体"/>
          <w:sz w:val="24"/>
        </w:rPr>
        <w:t>1、按《中华人民共和国合同法》中的相关条款执行。</w:t>
      </w:r>
    </w:p>
    <w:p>
      <w:pPr>
        <w:spacing w:line="360" w:lineRule="auto"/>
        <w:ind w:firstLine="480" w:firstLineChars="200"/>
        <w:rPr>
          <w:rFonts w:ascii="宋体" w:hAnsi="宋体" w:cs="宋体"/>
          <w:sz w:val="24"/>
        </w:rPr>
      </w:pPr>
      <w:r>
        <w:rPr>
          <w:rFonts w:hint="eastAsia" w:ascii="宋体" w:hAnsi="宋体" w:cs="宋体"/>
          <w:sz w:val="24"/>
        </w:rPr>
        <w:t>2、未按合同要求提供服务的，采购人有权终止合同，并对供方违约行为进行追究，同时按《政府采购法》的有关规定进行处罚。</w:t>
      </w:r>
    </w:p>
    <w:p>
      <w:pPr>
        <w:spacing w:line="360" w:lineRule="auto"/>
        <w:rPr>
          <w:rFonts w:ascii="宋体" w:hAnsi="宋体" w:cs="宋体"/>
          <w:sz w:val="24"/>
        </w:rPr>
      </w:pPr>
      <w:r>
        <w:rPr>
          <w:rFonts w:hint="eastAsia" w:ascii="宋体" w:hAnsi="宋体" w:cs="宋体"/>
          <w:b/>
          <w:sz w:val="24"/>
        </w:rPr>
        <w:t>十五、其他（</w:t>
      </w:r>
      <w:r>
        <w:rPr>
          <w:rFonts w:hint="eastAsia" w:ascii="宋体" w:hAnsi="宋体" w:cs="宋体"/>
          <w:sz w:val="24"/>
        </w:rPr>
        <w:t>在合同中具体明确）</w:t>
      </w:r>
    </w:p>
    <w:p>
      <w:pPr>
        <w:spacing w:line="360" w:lineRule="auto"/>
        <w:ind w:firstLine="480" w:firstLineChars="200"/>
        <w:rPr>
          <w:rFonts w:ascii="宋体" w:hAnsi="宋体" w:cs="宋体"/>
          <w:sz w:val="24"/>
        </w:rPr>
      </w:pPr>
      <w:r>
        <w:rPr>
          <w:rFonts w:hint="eastAsia" w:ascii="宋体" w:hAnsi="宋体" w:cs="宋体"/>
          <w:sz w:val="24"/>
        </w:rPr>
        <w:t>根据《国家无线电办公室关于进一步加强无线电管理基础和技术设施建设项目验收有关工作的通知》国无办函〔2020〕31号）、《无线电监测设施测试验证工作规定（试行）》（工信部无〔2017〕283号）等文件要求，本项目在建设过程中如包含初步设计、出厂测试、第三方验收、培训、建设工程监理等内容，其费用均由中标供应商承担，如涉及第三方专业机构，中标供应商须与采购人协商确定。</w:t>
      </w:r>
    </w:p>
    <w:p>
      <w:pPr>
        <w:spacing w:line="360" w:lineRule="auto"/>
        <w:rPr>
          <w:rFonts w:ascii="宋体" w:hAnsi="宋体" w:cs="宋体"/>
          <w:b/>
          <w:sz w:val="24"/>
        </w:rPr>
      </w:pPr>
      <w:r>
        <w:rPr>
          <w:rFonts w:hint="eastAsia" w:ascii="宋体" w:hAnsi="宋体" w:cs="宋体"/>
          <w:b/>
          <w:sz w:val="24"/>
        </w:rPr>
        <w:t>十六、合同订立</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1. 订立时间：  年  月  日。</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订立地点：            。</w:t>
      </w:r>
    </w:p>
    <w:p>
      <w:pPr>
        <w:tabs>
          <w:tab w:val="left" w:pos="980"/>
        </w:tabs>
        <w:kinsoku w:val="0"/>
        <w:spacing w:line="360" w:lineRule="auto"/>
        <w:ind w:firstLine="480" w:firstLineChars="200"/>
        <w:rPr>
          <w:rFonts w:ascii="宋体" w:hAnsi="宋体" w:cs="宋体"/>
          <w:sz w:val="24"/>
        </w:rPr>
      </w:pPr>
      <w:r>
        <w:rPr>
          <w:rFonts w:hint="eastAsia" w:ascii="宋体" w:hAnsi="宋体" w:cs="宋体"/>
          <w:sz w:val="24"/>
        </w:rPr>
        <w:t xml:space="preserve">3. 本合同一式份，具有同等法律效力，双方各执份，监管部门备案份、采购代理机构存档 </w:t>
      </w:r>
      <w:r>
        <w:rPr>
          <w:rFonts w:hint="eastAsia" w:ascii="宋体" w:hAnsi="宋体" w:cs="宋体"/>
          <w:sz w:val="24"/>
          <w:u w:val="single"/>
        </w:rPr>
        <w:t xml:space="preserve">壹 </w:t>
      </w:r>
      <w:r>
        <w:rPr>
          <w:rFonts w:hint="eastAsia" w:ascii="宋体" w:hAnsi="宋体" w:cs="宋体"/>
          <w:sz w:val="24"/>
        </w:rPr>
        <w:t>份。各方签字盖章后生效，合同执行完毕自动失效。（合同的服务承诺则长期有效）。</w:t>
      </w:r>
    </w:p>
    <w:p>
      <w:pPr>
        <w:ind w:firstLine="480" w:firstLineChars="200"/>
        <w:rPr>
          <w:rFonts w:ascii="宋体" w:hAnsi="宋体" w:cs="宋体"/>
          <w:sz w:val="24"/>
        </w:rPr>
      </w:pPr>
      <w:r>
        <w:rPr>
          <w:rFonts w:hint="eastAsia" w:ascii="宋体" w:hAnsi="宋体" w:cs="宋体"/>
          <w:sz w:val="24"/>
        </w:rPr>
        <w:t>采购人：</w:t>
      </w:r>
      <w:r>
        <w:rPr>
          <w:rFonts w:hint="eastAsia" w:ascii="宋体" w:hAnsi="宋体" w:cs="宋体"/>
          <w:sz w:val="24"/>
          <w:u w:val="single"/>
        </w:rPr>
        <w:t xml:space="preserve">   （盖章）      </w:t>
      </w:r>
      <w:r>
        <w:rPr>
          <w:rFonts w:hint="eastAsia" w:ascii="宋体" w:hAnsi="宋体" w:cs="宋体"/>
          <w:sz w:val="24"/>
        </w:rPr>
        <w:t xml:space="preserve">            供应商：</w:t>
      </w:r>
      <w:r>
        <w:rPr>
          <w:rFonts w:hint="eastAsia" w:ascii="宋体" w:hAnsi="宋体" w:cs="宋体"/>
          <w:sz w:val="24"/>
          <w:u w:val="single"/>
        </w:rPr>
        <w:t xml:space="preserve">   （盖章）         </w:t>
      </w:r>
    </w:p>
    <w:p>
      <w:pPr>
        <w:adjustRightInd w:val="0"/>
        <w:snapToGrid w:val="0"/>
        <w:spacing w:line="400" w:lineRule="exact"/>
        <w:ind w:firstLine="475" w:firstLineChars="198"/>
        <w:rPr>
          <w:rFonts w:ascii="宋体" w:hAnsi="宋体" w:cs="宋体"/>
          <w:sz w:val="24"/>
          <w:u w:val="single"/>
        </w:rPr>
      </w:pPr>
      <w:r>
        <w:rPr>
          <w:rFonts w:hint="eastAsia" w:ascii="宋体" w:hAnsi="宋体" w:cs="宋体"/>
          <w:sz w:val="24"/>
        </w:rPr>
        <w:t>地 址：                              地  址：</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邮政编码：                           邮政编码：</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 xml:space="preserve">法定代表人或其授权                   法定代表人或其授权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的代理人：</w:t>
      </w:r>
      <w:r>
        <w:rPr>
          <w:rFonts w:hint="eastAsia" w:ascii="宋体" w:hAnsi="宋体" w:cs="宋体"/>
          <w:sz w:val="24"/>
          <w:u w:val="single"/>
        </w:rPr>
        <w:t xml:space="preserve">（签字）      </w:t>
      </w:r>
      <w:r>
        <w:rPr>
          <w:rFonts w:hint="eastAsia" w:ascii="宋体" w:hAnsi="宋体" w:cs="宋体"/>
          <w:sz w:val="24"/>
        </w:rPr>
        <w:t xml:space="preserve">             的代理人：</w:t>
      </w:r>
      <w:r>
        <w:rPr>
          <w:rFonts w:hint="eastAsia" w:ascii="宋体" w:hAnsi="宋体" w:cs="宋体"/>
          <w:sz w:val="24"/>
          <w:u w:val="single"/>
        </w:rPr>
        <w:t xml:space="preserve">（签字）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开户银行：                           开户银行：</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账号：                               账号：</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电话：                               电话：</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传真：                               传真：</w:t>
      </w:r>
    </w:p>
    <w:p>
      <w:pPr>
        <w:spacing w:line="500" w:lineRule="exact"/>
        <w:ind w:firstLine="480" w:firstLineChars="200"/>
        <w:rPr>
          <w:rFonts w:ascii="宋体" w:hAnsi="宋体" w:cs="宋体"/>
          <w:b/>
          <w:bCs/>
          <w:sz w:val="24"/>
        </w:rPr>
      </w:pPr>
      <w:r>
        <w:rPr>
          <w:rFonts w:hint="eastAsia" w:ascii="宋体" w:hAnsi="宋体" w:cs="宋体"/>
          <w:sz w:val="24"/>
        </w:rPr>
        <w:t>电子邮箱：                           电子邮箱：</w:t>
      </w:r>
    </w:p>
    <w:p>
      <w:pPr>
        <w:rPr>
          <w:rFonts w:cs="宋体" w:asciiTheme="minorEastAsia" w:hAnsiTheme="minorEastAsia" w:eastAsiaTheme="minorEastAsia"/>
          <w:b/>
          <w:sz w:val="48"/>
          <w:szCs w:val="44"/>
        </w:rPr>
      </w:pPr>
    </w:p>
    <w:p>
      <w:pPr>
        <w:rPr>
          <w:rFonts w:cs="宋体" w:asciiTheme="minorEastAsia" w:hAnsiTheme="minorEastAsia" w:eastAsiaTheme="minorEastAsia"/>
          <w:b/>
          <w:sz w:val="48"/>
          <w:szCs w:val="44"/>
        </w:rPr>
      </w:pPr>
      <w:r>
        <w:rPr>
          <w:rFonts w:hint="eastAsia" w:cs="宋体" w:asciiTheme="minorEastAsia" w:hAnsiTheme="minorEastAsia" w:eastAsiaTheme="minorEastAsia"/>
          <w:b/>
          <w:sz w:val="48"/>
          <w:szCs w:val="44"/>
        </w:rPr>
        <w:br w:type="page"/>
      </w:r>
    </w:p>
    <w:p>
      <w:pPr>
        <w:spacing w:after="50" w:line="360" w:lineRule="auto"/>
        <w:jc w:val="center"/>
        <w:outlineLvl w:val="0"/>
        <w:rPr>
          <w:rFonts w:cs="宋体" w:asciiTheme="minorEastAsia" w:hAnsiTheme="minorEastAsia" w:eastAsiaTheme="minorEastAsia"/>
          <w:b/>
          <w:sz w:val="48"/>
          <w:szCs w:val="44"/>
        </w:rPr>
      </w:pPr>
      <w:bookmarkStart w:id="211" w:name="_Toc9831"/>
      <w:r>
        <w:rPr>
          <w:rFonts w:hint="eastAsia" w:cs="宋体" w:asciiTheme="minorEastAsia" w:hAnsiTheme="minorEastAsia" w:eastAsiaTheme="minorEastAsia"/>
          <w:b/>
          <w:sz w:val="48"/>
          <w:szCs w:val="44"/>
        </w:rPr>
        <w:t>第六章 投标文件格式</w:t>
      </w:r>
      <w:bookmarkEnd w:id="158"/>
      <w:bookmarkEnd w:id="207"/>
      <w:bookmarkEnd w:id="208"/>
      <w:bookmarkEnd w:id="209"/>
      <w:bookmarkEnd w:id="210"/>
      <w:bookmarkEnd w:id="211"/>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格式是投标供应商的部分投标文件格式，投标供应商应按照这些格式编制投标文件。编制投标文件前，请详细阅读招标文件，理解文件中的每一项要求，做出逐一实质性响应，认为有必要，可做补充说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7440" w:firstLineChars="3100"/>
        <w:rPr>
          <w:rFonts w:cs="宋体" w:asciiTheme="minorEastAsia" w:hAnsiTheme="minorEastAsia" w:eastAsiaTheme="minorEastAsia"/>
          <w:sz w:val="24"/>
        </w:rPr>
      </w:pPr>
      <w:bookmarkStart w:id="212" w:name="_Toc217446082"/>
      <w:r>
        <w:rPr>
          <w:rFonts w:hint="eastAsia" w:cs="宋体" w:asciiTheme="minorEastAsia" w:hAnsiTheme="minorEastAsia" w:eastAsiaTheme="minorEastAsia"/>
          <w:sz w:val="24"/>
        </w:rPr>
        <w:t>正本/副本</w:t>
      </w:r>
    </w:p>
    <w:p>
      <w:pPr>
        <w:spacing w:line="360" w:lineRule="auto"/>
        <w:rPr>
          <w:rFonts w:cs="宋体" w:asciiTheme="minorEastAsia" w:hAnsiTheme="minorEastAsia" w:eastAsiaTheme="minorEastAsia"/>
          <w:b/>
          <w:sz w:val="28"/>
          <w:szCs w:val="28"/>
        </w:rPr>
      </w:pPr>
      <w:r>
        <w:rPr>
          <w:rFonts w:hint="eastAsia" w:cs="宋体" w:asciiTheme="minorEastAsia" w:hAnsiTheme="minorEastAsia" w:eastAsiaTheme="minorEastAsia"/>
          <w:b/>
          <w:bCs/>
          <w:sz w:val="28"/>
          <w:szCs w:val="28"/>
        </w:rPr>
        <w:t>采购项目编号：</w:t>
      </w:r>
      <w:r>
        <w:rPr>
          <w:rFonts w:hint="eastAsia" w:cs="宋体" w:asciiTheme="minorEastAsia" w:hAnsiTheme="minorEastAsia" w:eastAsiaTheme="minorEastAsia"/>
          <w:b/>
          <w:sz w:val="28"/>
          <w:szCs w:val="28"/>
        </w:rPr>
        <w:t>YFC2022-GP-016F</w:t>
      </w:r>
    </w:p>
    <w:p>
      <w:pPr>
        <w:tabs>
          <w:tab w:val="left" w:pos="7665"/>
        </w:tabs>
        <w:spacing w:line="360" w:lineRule="auto"/>
        <w:ind w:firstLine="562" w:firstLineChars="200"/>
        <w:rPr>
          <w:rFonts w:cs="宋体" w:asciiTheme="minorEastAsia" w:hAnsiTheme="minorEastAsia" w:eastAsiaTheme="minorEastAsia"/>
          <w:b/>
          <w:bCs/>
          <w:sz w:val="28"/>
          <w:szCs w:val="28"/>
        </w:rPr>
      </w:pPr>
    </w:p>
    <w:p>
      <w:pPr>
        <w:pStyle w:val="3"/>
        <w:rPr>
          <w:rFonts w:cs="宋体" w:asciiTheme="minorEastAsia" w:hAnsiTheme="minorEastAsia" w:eastAsiaTheme="minorEastAsia"/>
          <w:bCs/>
          <w:sz w:val="28"/>
          <w:szCs w:val="28"/>
        </w:rPr>
      </w:pPr>
    </w:p>
    <w:p/>
    <w:p>
      <w:pPr>
        <w:tabs>
          <w:tab w:val="left" w:pos="7665"/>
        </w:tabs>
        <w:spacing w:line="360" w:lineRule="auto"/>
        <w:ind w:firstLine="442" w:firstLineChars="200"/>
        <w:rPr>
          <w:rFonts w:cs="宋体" w:asciiTheme="minorEastAsia" w:hAnsiTheme="minorEastAsia" w:eastAsiaTheme="minorEastAsia"/>
          <w:b/>
          <w:bCs/>
          <w:sz w:val="22"/>
          <w:szCs w:val="22"/>
        </w:rPr>
      </w:pP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陕西省无线电管理委员会</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派出机构无线电监测设备运行维护项目(2包)</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投标文件</w:t>
      </w:r>
    </w:p>
    <w:p>
      <w:pPr>
        <w:tabs>
          <w:tab w:val="left" w:pos="7665"/>
        </w:tabs>
        <w:spacing w:line="360" w:lineRule="auto"/>
        <w:ind w:firstLine="482" w:firstLineChars="200"/>
        <w:jc w:val="center"/>
        <w:rPr>
          <w:rFonts w:cs="宋体" w:asciiTheme="minorEastAsia" w:hAnsiTheme="minorEastAsia" w:eastAsiaTheme="minorEastAsia"/>
          <w:b/>
          <w:bCs/>
          <w:sz w:val="24"/>
        </w:rPr>
      </w:pPr>
    </w:p>
    <w:p>
      <w:pPr>
        <w:tabs>
          <w:tab w:val="left" w:pos="7665"/>
        </w:tabs>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（资格审查部分）</w:t>
      </w:r>
    </w:p>
    <w:p>
      <w:pPr>
        <w:tabs>
          <w:tab w:val="left" w:pos="7665"/>
        </w:tabs>
        <w:spacing w:line="360" w:lineRule="auto"/>
        <w:ind w:firstLine="560" w:firstLineChars="200"/>
        <w:rPr>
          <w:rFonts w:cs="宋体" w:asciiTheme="minorEastAsia" w:hAnsiTheme="minorEastAsia" w:eastAsiaTheme="minorEastAsia"/>
          <w:sz w:val="28"/>
          <w:szCs w:val="28"/>
        </w:rPr>
      </w:pPr>
    </w:p>
    <w:p>
      <w:pPr>
        <w:tabs>
          <w:tab w:val="left" w:pos="7665"/>
        </w:tabs>
        <w:spacing w:line="360" w:lineRule="auto"/>
        <w:ind w:firstLine="560" w:firstLineChars="200"/>
        <w:rPr>
          <w:rFonts w:cs="宋体" w:asciiTheme="minorEastAsia" w:hAnsiTheme="minorEastAsia" w:eastAsiaTheme="minorEastAsia"/>
          <w:sz w:val="28"/>
          <w:szCs w:val="28"/>
        </w:rPr>
      </w:pPr>
    </w:p>
    <w:p>
      <w:pPr>
        <w:tabs>
          <w:tab w:val="left" w:pos="7665"/>
        </w:tabs>
        <w:spacing w:line="360" w:lineRule="auto"/>
        <w:rPr>
          <w:rFonts w:cs="宋体" w:asciiTheme="minorEastAsia" w:hAnsiTheme="minorEastAsia" w:eastAsiaTheme="minorEastAsia"/>
          <w:sz w:val="28"/>
          <w:szCs w:val="28"/>
        </w:rPr>
      </w:pPr>
    </w:p>
    <w:p>
      <w:pPr>
        <w:tabs>
          <w:tab w:val="left" w:pos="7665"/>
        </w:tabs>
        <w:spacing w:line="360" w:lineRule="auto"/>
        <w:rPr>
          <w:rFonts w:cs="宋体" w:asciiTheme="minorEastAsia" w:hAnsiTheme="minorEastAsia" w:eastAsiaTheme="minorEastAsia"/>
          <w:sz w:val="28"/>
          <w:szCs w:val="28"/>
        </w:rPr>
      </w:pPr>
    </w:p>
    <w:p>
      <w:pPr>
        <w:pStyle w:val="3"/>
        <w:rPr>
          <w:rFonts w:cs="宋体" w:asciiTheme="minorEastAsia" w:hAnsiTheme="minorEastAsia" w:eastAsiaTheme="minorEastAsia"/>
          <w:sz w:val="28"/>
          <w:szCs w:val="28"/>
        </w:rPr>
      </w:pPr>
    </w:p>
    <w:p>
      <w:pPr>
        <w:tabs>
          <w:tab w:val="left" w:pos="7665"/>
        </w:tabs>
        <w:spacing w:line="360" w:lineRule="auto"/>
        <w:ind w:firstLine="1687" w:firstLineChars="6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投标供应商：                  （盖单位章）</w:t>
      </w:r>
    </w:p>
    <w:p>
      <w:pPr>
        <w:tabs>
          <w:tab w:val="left" w:pos="7665"/>
        </w:tabs>
        <w:spacing w:line="360" w:lineRule="auto"/>
        <w:ind w:firstLine="1687" w:firstLineChars="6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法定代表人或其委托代理人：           （签字）</w:t>
      </w:r>
    </w:p>
    <w:p>
      <w:pPr>
        <w:tabs>
          <w:tab w:val="left" w:pos="7665"/>
        </w:tabs>
        <w:spacing w:line="360" w:lineRule="auto"/>
        <w:ind w:firstLine="1687" w:firstLineChars="600"/>
        <w:rPr>
          <w:rFonts w:cs="宋体" w:asciiTheme="minorEastAsia" w:hAnsiTheme="minorEastAsia" w:eastAsiaTheme="minorEastAsia"/>
          <w:sz w:val="24"/>
        </w:rPr>
      </w:pPr>
      <w:r>
        <w:rPr>
          <w:rFonts w:hint="eastAsia" w:cs="宋体" w:asciiTheme="minorEastAsia" w:hAnsiTheme="minorEastAsia" w:eastAsiaTheme="minorEastAsia"/>
          <w:b/>
          <w:bCs/>
          <w:sz w:val="28"/>
          <w:szCs w:val="28"/>
        </w:rPr>
        <w:t>时间： 2022年  月  日</w:t>
      </w:r>
      <w:bookmarkEnd w:id="212"/>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spacing w:line="360" w:lineRule="auto"/>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目      录</w:t>
      </w:r>
    </w:p>
    <w:p>
      <w:pPr>
        <w:spacing w:line="360" w:lineRule="auto"/>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（格式自拟，带页码）</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一、投标供应商基本情况表 </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二、法定代表人（单位负责人）身份证明</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三、法定代表人授权书</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四、投标供应商资格证明文件</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五、参加本次政府采购活动前三年内，在经营活动中没有重大违法记录的书面声明</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六、投标供应商具有履行本合同所必需的专业技术能力的说明及承诺（参考格式）</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七、投标人企业关系关联承诺书</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八、其他需要补充的资料</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九、信用查询记录（评标现场登录网络审查）</w:t>
      </w: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br w:type="page"/>
      </w:r>
      <w:r>
        <w:rPr>
          <w:rFonts w:hint="eastAsia" w:cs="宋体" w:asciiTheme="minorEastAsia" w:hAnsiTheme="minorEastAsia" w:eastAsiaTheme="minorEastAsia"/>
          <w:b/>
          <w:bCs/>
          <w:sz w:val="24"/>
        </w:rPr>
        <w:t>1.投标供应商基本情况表</w:t>
      </w:r>
    </w:p>
    <w:p>
      <w:pPr>
        <w:pStyle w:val="20"/>
        <w:rPr>
          <w:rFonts w:asciiTheme="minorEastAsia" w:hAnsiTheme="minorEastAsia" w:eastAsiaTheme="minorEastAsia"/>
        </w:rPr>
      </w:pPr>
    </w:p>
    <w:p>
      <w:pPr>
        <w:pStyle w:val="20"/>
        <w:rPr>
          <w:rFonts w:asciiTheme="minorEastAsia" w:hAnsiTheme="minorEastAsia" w:eastAsiaTheme="minorEastAsia"/>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1419"/>
        <w:gridCol w:w="1418"/>
        <w:gridCol w:w="1381"/>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w:t>
            </w:r>
          </w:p>
        </w:tc>
        <w:tc>
          <w:tcPr>
            <w:tcW w:w="7016" w:type="dxa"/>
            <w:gridSpan w:val="5"/>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统一社会</w:t>
            </w:r>
          </w:p>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信用代码</w:t>
            </w:r>
          </w:p>
        </w:tc>
        <w:tc>
          <w:tcPr>
            <w:tcW w:w="1416" w:type="dxa"/>
            <w:vAlign w:val="center"/>
          </w:tcPr>
          <w:p>
            <w:pPr>
              <w:spacing w:line="360" w:lineRule="auto"/>
              <w:jc w:val="center"/>
              <w:rPr>
                <w:rFonts w:cs="宋体" w:asciiTheme="minorEastAsia" w:hAnsiTheme="minorEastAsia" w:eastAsiaTheme="minorEastAsia"/>
                <w:sz w:val="24"/>
              </w:rPr>
            </w:pPr>
          </w:p>
        </w:tc>
        <w:tc>
          <w:tcPr>
            <w:tcW w:w="141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注册资金</w:t>
            </w:r>
          </w:p>
        </w:tc>
        <w:tc>
          <w:tcPr>
            <w:tcW w:w="1418" w:type="dxa"/>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注册地址</w:t>
            </w:r>
          </w:p>
        </w:tc>
        <w:tc>
          <w:tcPr>
            <w:tcW w:w="4253" w:type="dxa"/>
            <w:gridSpan w:val="3"/>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资产总额</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上年营业额</w:t>
            </w:r>
          </w:p>
        </w:tc>
        <w:tc>
          <w:tcPr>
            <w:tcW w:w="1416" w:type="dxa"/>
            <w:vAlign w:val="center"/>
          </w:tcPr>
          <w:p>
            <w:pPr>
              <w:spacing w:line="360" w:lineRule="auto"/>
              <w:jc w:val="center"/>
              <w:rPr>
                <w:rFonts w:cs="宋体" w:asciiTheme="minorEastAsia" w:hAnsiTheme="minorEastAsia" w:eastAsiaTheme="minorEastAsia"/>
                <w:sz w:val="24"/>
              </w:rPr>
            </w:pPr>
          </w:p>
        </w:tc>
        <w:tc>
          <w:tcPr>
            <w:tcW w:w="141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员工总人数</w:t>
            </w:r>
          </w:p>
        </w:tc>
        <w:tc>
          <w:tcPr>
            <w:tcW w:w="1418" w:type="dxa"/>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企业类型</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p>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（单位负责人）</w:t>
            </w:r>
          </w:p>
        </w:tc>
        <w:tc>
          <w:tcPr>
            <w:tcW w:w="1416"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1419" w:type="dxa"/>
            <w:vMerge w:val="restart"/>
            <w:vAlign w:val="center"/>
          </w:tcPr>
          <w:p>
            <w:pPr>
              <w:spacing w:line="360" w:lineRule="auto"/>
              <w:jc w:val="center"/>
              <w:rPr>
                <w:rFonts w:cs="宋体" w:asciiTheme="minorEastAsia" w:hAnsiTheme="minorEastAsia" w:eastAsiaTheme="minorEastAsia"/>
                <w:sz w:val="24"/>
              </w:rPr>
            </w:pPr>
          </w:p>
        </w:tc>
        <w:tc>
          <w:tcPr>
            <w:tcW w:w="1418"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手机</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continue"/>
            <w:vAlign w:val="center"/>
          </w:tcPr>
          <w:p>
            <w:pPr>
              <w:spacing w:line="360" w:lineRule="auto"/>
              <w:jc w:val="center"/>
              <w:rPr>
                <w:rFonts w:cs="宋体" w:asciiTheme="minorEastAsia" w:hAnsiTheme="minorEastAsia" w:eastAsiaTheme="minorEastAsia"/>
                <w:sz w:val="24"/>
              </w:rPr>
            </w:pPr>
          </w:p>
        </w:tc>
        <w:tc>
          <w:tcPr>
            <w:tcW w:w="1416" w:type="dxa"/>
            <w:vMerge w:val="continue"/>
            <w:vAlign w:val="center"/>
          </w:tcPr>
          <w:p>
            <w:pPr>
              <w:spacing w:line="360" w:lineRule="auto"/>
              <w:jc w:val="center"/>
              <w:rPr>
                <w:rFonts w:cs="宋体" w:asciiTheme="minorEastAsia" w:hAnsiTheme="minorEastAsia" w:eastAsiaTheme="minorEastAsia"/>
                <w:sz w:val="24"/>
              </w:rPr>
            </w:pPr>
          </w:p>
        </w:tc>
        <w:tc>
          <w:tcPr>
            <w:tcW w:w="1419" w:type="dxa"/>
            <w:vMerge w:val="continue"/>
            <w:vAlign w:val="center"/>
          </w:tcPr>
          <w:p>
            <w:pPr>
              <w:spacing w:line="360" w:lineRule="auto"/>
              <w:jc w:val="center"/>
              <w:rPr>
                <w:rFonts w:cs="宋体" w:asciiTheme="minorEastAsia" w:hAnsiTheme="minorEastAsia" w:eastAsiaTheme="minorEastAsia"/>
                <w:sz w:val="24"/>
              </w:rPr>
            </w:pPr>
          </w:p>
        </w:tc>
        <w:tc>
          <w:tcPr>
            <w:tcW w:w="1418" w:type="dxa"/>
            <w:vMerge w:val="continue"/>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办公</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联系方式</w:t>
            </w:r>
          </w:p>
        </w:tc>
        <w:tc>
          <w:tcPr>
            <w:tcW w:w="1416"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c>
          <w:tcPr>
            <w:tcW w:w="1419" w:type="dxa"/>
            <w:vMerge w:val="restart"/>
            <w:vAlign w:val="center"/>
          </w:tcPr>
          <w:p>
            <w:pPr>
              <w:spacing w:line="360" w:lineRule="auto"/>
              <w:jc w:val="center"/>
              <w:rPr>
                <w:rFonts w:cs="宋体" w:asciiTheme="minorEastAsia" w:hAnsiTheme="minorEastAsia" w:eastAsiaTheme="minorEastAsia"/>
                <w:sz w:val="24"/>
              </w:rPr>
            </w:pPr>
          </w:p>
        </w:tc>
        <w:tc>
          <w:tcPr>
            <w:tcW w:w="1418"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2763" w:type="dxa"/>
            <w:gridSpan w:val="2"/>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continue"/>
            <w:vAlign w:val="center"/>
          </w:tcPr>
          <w:p>
            <w:pPr>
              <w:spacing w:line="360" w:lineRule="auto"/>
              <w:jc w:val="center"/>
              <w:rPr>
                <w:rFonts w:cs="宋体" w:asciiTheme="minorEastAsia" w:hAnsiTheme="minorEastAsia" w:eastAsiaTheme="minorEastAsia"/>
                <w:sz w:val="24"/>
              </w:rPr>
            </w:pPr>
          </w:p>
        </w:tc>
        <w:tc>
          <w:tcPr>
            <w:tcW w:w="1416" w:type="dxa"/>
            <w:vMerge w:val="continue"/>
            <w:vAlign w:val="center"/>
          </w:tcPr>
          <w:p>
            <w:pPr>
              <w:spacing w:line="360" w:lineRule="auto"/>
              <w:jc w:val="center"/>
              <w:rPr>
                <w:rFonts w:cs="宋体" w:asciiTheme="minorEastAsia" w:hAnsiTheme="minorEastAsia" w:eastAsiaTheme="minorEastAsia"/>
                <w:sz w:val="24"/>
              </w:rPr>
            </w:pPr>
          </w:p>
        </w:tc>
        <w:tc>
          <w:tcPr>
            <w:tcW w:w="1419" w:type="dxa"/>
            <w:vMerge w:val="continue"/>
            <w:vAlign w:val="center"/>
          </w:tcPr>
          <w:p>
            <w:pPr>
              <w:spacing w:line="360" w:lineRule="auto"/>
              <w:jc w:val="center"/>
              <w:rPr>
                <w:rFonts w:cs="宋体" w:asciiTheme="minorEastAsia" w:hAnsiTheme="minorEastAsia" w:eastAsiaTheme="minorEastAsia"/>
                <w:sz w:val="24"/>
              </w:rPr>
            </w:pPr>
          </w:p>
        </w:tc>
        <w:tc>
          <w:tcPr>
            <w:tcW w:w="1418"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邮箱</w:t>
            </w:r>
          </w:p>
        </w:tc>
        <w:tc>
          <w:tcPr>
            <w:tcW w:w="2763" w:type="dxa"/>
            <w:gridSpan w:val="2"/>
            <w:vAlign w:val="center"/>
          </w:tcPr>
          <w:p>
            <w:pPr>
              <w:spacing w:line="360" w:lineRule="auto"/>
              <w:jc w:val="center"/>
              <w:rPr>
                <w:rFonts w:cs="宋体" w:asciiTheme="minorEastAsia" w:hAnsiTheme="minorEastAsia" w:eastAsiaTheme="minorEastAsia"/>
                <w:sz w:val="24"/>
              </w:rPr>
            </w:pPr>
          </w:p>
        </w:tc>
      </w:tr>
    </w:tbl>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ascii="宋体" w:hAnsi="宋体" w:cs="宋体"/>
          <w:sz w:val="24"/>
        </w:rPr>
        <w:t>说明：企业类型与中小企业声明函保持一致，参照《中小企业划型标准规定》(工信部联企业【2011】300号)；上年营业收入、资产总额应与财务报表中的数据一致，金额单位为万元，未如实填写而产生的不利后果，自行承担。</w:t>
      </w:r>
    </w:p>
    <w:p>
      <w:pPr>
        <w:tabs>
          <w:tab w:val="left" w:pos="7665"/>
        </w:tabs>
        <w:spacing w:line="360" w:lineRule="auto"/>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   （签字）</w:t>
      </w:r>
    </w:p>
    <w:p>
      <w:pPr>
        <w:tabs>
          <w:tab w:val="left" w:pos="7665"/>
        </w:tabs>
        <w:spacing w:line="360" w:lineRule="auto"/>
        <w:ind w:firstLine="4560" w:firstLineChars="1900"/>
        <w:rPr>
          <w:rFonts w:cs="宋体" w:asciiTheme="minorEastAsia" w:hAnsiTheme="minorEastAsia" w:eastAsiaTheme="minorEastAsia"/>
          <w:sz w:val="24"/>
        </w:rPr>
      </w:pPr>
      <w:r>
        <w:rPr>
          <w:rFonts w:hint="eastAsia" w:cs="宋体" w:asciiTheme="minorEastAsia" w:hAnsiTheme="minorEastAsia" w:eastAsiaTheme="minorEastAsia"/>
          <w:sz w:val="24"/>
        </w:rPr>
        <w:t>日      期：20  年  月  日</w:t>
      </w:r>
    </w:p>
    <w:p>
      <w:pPr>
        <w:tabs>
          <w:tab w:val="left" w:pos="7665"/>
        </w:tabs>
        <w:spacing w:line="360" w:lineRule="auto"/>
        <w:ind w:firstLine="480" w:firstLineChars="200"/>
        <w:jc w:val="right"/>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13" w:name="_Toc1954_WPSOffice_Level2"/>
      <w:r>
        <w:rPr>
          <w:rFonts w:hint="eastAsia" w:cs="宋体" w:asciiTheme="minorEastAsia" w:hAnsiTheme="minorEastAsia" w:eastAsiaTheme="minorEastAsia"/>
          <w:b/>
          <w:bCs/>
          <w:sz w:val="24"/>
        </w:rPr>
        <w:t>2.法定代表人（单位负责人）身份证明</w:t>
      </w:r>
      <w:bookmarkEnd w:id="213"/>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投标供应商名称：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统一社会信用代码：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姓名：       性别：   年龄：   职务：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系（投标供应商名称）的法定代表人（单位负责人）。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附：法定代表人身份证复印件（正反面）</w:t>
      </w:r>
    </w:p>
    <w:p>
      <w:pPr>
        <w:tabs>
          <w:tab w:val="left" w:pos="7665"/>
        </w:tabs>
        <w:spacing w:line="360" w:lineRule="auto"/>
        <w:ind w:firstLine="480" w:firstLineChars="200"/>
        <w:rPr>
          <w:rFonts w:cs="宋体" w:asciiTheme="minorEastAsia" w:hAnsiTheme="minorEastAsia" w:eastAsiaTheme="minorEastAsia"/>
          <w:sz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jc w:val="center"/>
        </w:trPr>
        <w:tc>
          <w:tcPr>
            <w:tcW w:w="5868" w:type="dxa"/>
            <w:vAlign w:val="center"/>
          </w:tcPr>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法定代表人身份证复印件粘贴处</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jc w:val="right"/>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日期：20    年  月  日</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说明：仅限法定代表人（单位负责人）参加投标时提供</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14" w:name="_Toc27507_WPSOffice_Level2"/>
      <w:r>
        <w:rPr>
          <w:rFonts w:hint="eastAsia" w:cs="宋体" w:asciiTheme="minorEastAsia" w:hAnsiTheme="minorEastAsia" w:eastAsiaTheme="minorEastAsia"/>
          <w:b/>
          <w:bCs/>
          <w:sz w:val="24"/>
        </w:rPr>
        <w:t>3.法定代表人授权书</w:t>
      </w:r>
      <w:bookmarkEnd w:id="214"/>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本人（姓名）系 （</w:t>
      </w:r>
      <w:r>
        <w:rPr>
          <w:rFonts w:hint="eastAsia" w:cs="宋体" w:asciiTheme="minorEastAsia" w:hAnsiTheme="minorEastAsia" w:eastAsiaTheme="minorEastAsia"/>
          <w:sz w:val="24"/>
        </w:rPr>
        <w:t>投标供应商</w:t>
      </w:r>
      <w:r>
        <w:rPr>
          <w:rFonts w:hint="eastAsia" w:cs="宋体" w:asciiTheme="minorEastAsia" w:hAnsiTheme="minorEastAsia" w:eastAsiaTheme="minorEastAsia"/>
          <w:sz w:val="24"/>
          <w:lang w:val="zh-CN"/>
        </w:rPr>
        <w:t>名称）的法定代表人（单位负责人），现委托 （被委托人姓名）为我方代理人。代理人根据授权，以我方的名义签署、澄清确认、递交、撤回、修改（采购项目）投标文件、签订合同和全权处理一切与之有关的事宜，</w:t>
      </w:r>
      <w:r>
        <w:rPr>
          <w:rFonts w:hint="eastAsia" w:cs="宋体" w:asciiTheme="minorEastAsia" w:hAnsiTheme="minorEastAsia" w:eastAsiaTheme="minorEastAsia"/>
          <w:sz w:val="24"/>
        </w:rPr>
        <w:t>其法律后果由我方承担。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委托期限</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zh-CN"/>
        </w:rPr>
        <w:t>本授权委托书有效期自开标之日起90日历天。</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代理人无转委托权。</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附：法定代表人（单位负责人）身份证复印件</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zh-CN"/>
        </w:rPr>
        <w:t>委托代理人身份证复印件（正反面）</w:t>
      </w:r>
    </w:p>
    <w:tbl>
      <w:tblPr>
        <w:tblStyle w:val="29"/>
        <w:tblW w:w="0" w:type="auto"/>
        <w:tblInd w:w="539"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259"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lang w:val="zh-CN"/>
              </w:rPr>
              <w:t>委托代理人身份证复印件</w:t>
            </w: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                      （盖单位章）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法定代表人（单位负责人）:             （签字或盖章）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 份 证 号：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委托代理人：                           （签字）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 份 证 号：                         </w:t>
      </w:r>
    </w:p>
    <w:p>
      <w:pPr>
        <w:tabs>
          <w:tab w:val="left" w:pos="7665"/>
        </w:tabs>
        <w:spacing w:line="360" w:lineRule="auto"/>
        <w:ind w:firstLine="480" w:firstLineChars="200"/>
        <w:jc w:val="right"/>
        <w:rPr>
          <w:rFonts w:cs="宋体" w:asciiTheme="minorEastAsia" w:hAnsiTheme="minorEastAsia" w:eastAsiaTheme="minorEastAsia"/>
          <w:sz w:val="24"/>
          <w:lang w:val="zh-CN"/>
        </w:rPr>
      </w:pPr>
      <w:r>
        <w:rPr>
          <w:rFonts w:hint="eastAsia" w:cs="宋体" w:asciiTheme="minorEastAsia" w:hAnsiTheme="minorEastAsia" w:eastAsiaTheme="minorEastAsia"/>
          <w:sz w:val="24"/>
        </w:rPr>
        <w:t>授权委托日期：  20     年   月   日</w:t>
      </w: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说明：仅限委托代理人参加投标时提供。</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pPr>
      <w:r>
        <w:rPr>
          <w:rFonts w:hint="eastAsia" w:cs="宋体" w:asciiTheme="minorEastAsia" w:hAnsiTheme="minorEastAsia" w:eastAsiaTheme="minorEastAsia"/>
          <w:b/>
          <w:bCs/>
          <w:sz w:val="24"/>
        </w:rPr>
        <w:t>4.投标供应商资格证明文件</w:t>
      </w:r>
    </w:p>
    <w:p>
      <w:pPr>
        <w:tabs>
          <w:tab w:val="left" w:pos="7665"/>
        </w:tabs>
        <w:spacing w:line="360"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（1）投标供应商需提供合法有效的统一社会信用代码营业执照。</w:t>
      </w:r>
    </w:p>
    <w:p>
      <w:pPr>
        <w:tabs>
          <w:tab w:val="left" w:pos="7665"/>
        </w:tabs>
        <w:spacing w:line="360"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3）财务状况报告：提供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tabs>
          <w:tab w:val="left" w:pos="7665"/>
        </w:tabs>
        <w:spacing w:line="360"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tabs>
          <w:tab w:val="left" w:pos="7665"/>
        </w:tabs>
        <w:spacing w:line="360"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（5）税收缴纳证明：提供供应商2022年1月1日以来连续每月或每季度已缴纳的纳税证明或完税证明（提供增值税、企业所得税至少一种），依法免税的供应商应提供加盖公章的相关证明文件。</w:t>
      </w:r>
    </w:p>
    <w:p>
      <w:pPr>
        <w:tabs>
          <w:tab w:val="left" w:pos="7665"/>
        </w:tabs>
        <w:spacing w:line="360"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tabs>
          <w:tab w:val="left" w:pos="7665"/>
        </w:tabs>
        <w:spacing w:line="360"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lang w:val="zh-CN"/>
        </w:rPr>
        <w:t>（8）单位负责人为同一人或者存在控股、管理关系的不同单位不得同时参加同一项目投标。</w:t>
      </w:r>
    </w:p>
    <w:p>
      <w:pPr>
        <w:pStyle w:val="26"/>
        <w:spacing w:before="0" w:beforeAutospacing="0" w:after="0" w:afterAutospacing="0"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lang w:val="zh-CN"/>
        </w:rPr>
        <w:t>）投标保证金缴纳凭证或担保机构出具的保函</w:t>
      </w:r>
    </w:p>
    <w:p>
      <w:pPr>
        <w:autoSpaceDE w:val="0"/>
        <w:autoSpaceDN w:val="0"/>
        <w:spacing w:line="460" w:lineRule="exact"/>
        <w:jc w:val="left"/>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lang w:val="zh-CN"/>
        </w:rPr>
        <w:t>）中小企业声明函</w:t>
      </w:r>
    </w:p>
    <w:p>
      <w:pPr>
        <w:autoSpaceDE w:val="0"/>
        <w:autoSpaceDN w:val="0"/>
        <w:spacing w:line="460" w:lineRule="exact"/>
        <w:jc w:val="left"/>
        <w:rPr>
          <w:rFonts w:ascii="宋体" w:hAnsi="宋体" w:cs="宋体"/>
          <w:b/>
          <w:bCs/>
          <w:szCs w:val="22"/>
          <w:lang w:val="zh-CN"/>
        </w:rPr>
      </w:pPr>
      <w:r>
        <w:rPr>
          <w:rFonts w:hint="eastAsia" w:ascii="宋体" w:hAnsi="宋体" w:cs="宋体"/>
          <w:b/>
          <w:bCs/>
          <w:szCs w:val="22"/>
          <w:lang w:val="zh-CN"/>
        </w:rPr>
        <w:t>备注：</w:t>
      </w:r>
    </w:p>
    <w:p>
      <w:pPr>
        <w:autoSpaceDE w:val="0"/>
        <w:autoSpaceDN w:val="0"/>
        <w:spacing w:line="460" w:lineRule="exact"/>
        <w:ind w:firstLine="482"/>
        <w:jc w:val="left"/>
        <w:rPr>
          <w:rFonts w:ascii="宋体" w:hAnsi="宋体" w:cs="宋体"/>
          <w:b/>
          <w:bCs/>
          <w:szCs w:val="22"/>
        </w:rPr>
      </w:pPr>
      <w:r>
        <w:rPr>
          <w:rFonts w:hint="eastAsia" w:ascii="宋体" w:hAnsi="宋体" w:cs="宋体"/>
          <w:b/>
          <w:bCs/>
          <w:szCs w:val="22"/>
          <w:lang w:val="zh-CN"/>
        </w:rPr>
        <w:t>以上资格证明文件为必备资格，缺项或者符合性、有效性、合法性审核不合格的，自动丧失评审资格。</w:t>
      </w:r>
    </w:p>
    <w:p>
      <w:pPr>
        <w:tabs>
          <w:tab w:val="left" w:pos="7665"/>
        </w:tabs>
        <w:spacing w:line="360" w:lineRule="auto"/>
        <w:ind w:firstLine="480" w:firstLineChars="200"/>
        <w:rPr>
          <w:rFonts w:cs="宋体" w:asciiTheme="minorEastAsia" w:hAnsiTheme="minorEastAsia" w:eastAsiaTheme="minorEastAsia"/>
          <w:sz w:val="24"/>
        </w:rPr>
      </w:pPr>
    </w:p>
    <w:p>
      <w:pPr>
        <w:rPr>
          <w:rFonts w:hint="eastAsia" w:cs="宋体" w:asciiTheme="minorEastAsia" w:hAnsiTheme="minorEastAsia" w:eastAsiaTheme="minorEastAsia"/>
          <w:b/>
          <w:bCs/>
          <w:sz w:val="24"/>
        </w:rPr>
      </w:pPr>
      <w:bookmarkStart w:id="215" w:name="_Toc11170_WPSOffice_Level2"/>
      <w:r>
        <w:rPr>
          <w:rFonts w:hint="eastAsia" w:cs="宋体" w:asciiTheme="minorEastAsia" w:hAnsiTheme="minorEastAsia" w:eastAsiaTheme="minorEastAsia"/>
          <w:b/>
          <w:bCs/>
          <w:sz w:val="24"/>
        </w:rPr>
        <w:br w:type="page"/>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b/>
          <w:bCs/>
          <w:sz w:val="24"/>
        </w:rPr>
        <w:t>5.</w:t>
      </w:r>
      <w:bookmarkEnd w:id="215"/>
      <w:bookmarkStart w:id="216" w:name="_Toc2406"/>
      <w:r>
        <w:rPr>
          <w:rFonts w:hint="eastAsia" w:cs="宋体" w:asciiTheme="minorEastAsia" w:hAnsiTheme="minorEastAsia" w:eastAsiaTheme="minorEastAsia"/>
          <w:b/>
          <w:bCs/>
          <w:sz w:val="24"/>
        </w:rPr>
        <w:t>参加本次政府采购活动前三年内，在经营活动中没有重大违法记录的书面声明</w:t>
      </w:r>
      <w:bookmarkEnd w:id="216"/>
    </w:p>
    <w:p>
      <w:pPr>
        <w:tabs>
          <w:tab w:val="left" w:pos="7665"/>
        </w:tabs>
        <w:spacing w:line="360" w:lineRule="auto"/>
        <w:rPr>
          <w:rFonts w:cs="宋体" w:asciiTheme="minorEastAsia" w:hAnsiTheme="minorEastAsia" w:eastAsiaTheme="minorEastAsia"/>
          <w:b/>
          <w:bCs/>
          <w:sz w:val="24"/>
        </w:rPr>
      </w:pPr>
    </w:p>
    <w:p>
      <w:pPr>
        <w:pStyle w:val="16"/>
        <w:rPr>
          <w:rFonts w:asciiTheme="minorEastAsia" w:hAnsiTheme="minorEastAsia" w:eastAsiaTheme="minorEastAsia"/>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我方作为项目名称（项目编号：____）的供应商，在此郑重声明：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参加本次政府采购活动前3年内的经营活动中____（填“没有”或“有”）重大违法记录。供应商在参加政府采购活动前3年内因违法经营被禁止在一定期限内参加政府采购活动，期限届满的，可以参加政府采购活动，但应提供期限届满的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2、我方______（填“未被列入”或“被列入”）失信被执行人名单。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3、我方______（填“未被列入”或“被列入”）重大税收违法案件当事人名单。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4、我方______（填“未被列入”或“被列入”）政府采购严重违法失信行为记录名单。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如有不实，我方将无条件地退出本项目的采购活动，并遵照《政府采购法》有关“提供虚假材料的规定”接受处罚。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特此声明。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供应商：           （盖章）             </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法定代表人或其授权代理人：（签字或盖章）</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日   期：                              </w:t>
      </w:r>
    </w:p>
    <w:p>
      <w:pPr>
        <w:tabs>
          <w:tab w:val="left" w:pos="7665"/>
        </w:tabs>
        <w:spacing w:line="360" w:lineRule="auto"/>
        <w:ind w:firstLine="480" w:firstLineChars="200"/>
        <w:rPr>
          <w:rFonts w:cs="宋体" w:asciiTheme="minorEastAsia" w:hAnsiTheme="minorEastAsia" w:eastAsiaTheme="minorEastAsia"/>
          <w:sz w:val="24"/>
        </w:rPr>
      </w:pPr>
    </w:p>
    <w:p>
      <w:pPr>
        <w:ind w:firstLine="241" w:firstLineChars="100"/>
        <w:rPr>
          <w:b/>
          <w:bCs/>
          <w:sz w:val="32"/>
          <w:szCs w:val="32"/>
        </w:rPr>
      </w:pPr>
      <w:bookmarkStart w:id="217" w:name="_Toc7962_WPSOffice_Level2"/>
      <w:r>
        <w:rPr>
          <w:rFonts w:hint="eastAsia" w:cs="宋体" w:asciiTheme="minorEastAsia" w:hAnsiTheme="minorEastAsia" w:eastAsiaTheme="minorEastAsia"/>
          <w:b/>
          <w:bCs/>
          <w:sz w:val="24"/>
        </w:rPr>
        <w:br w:type="page"/>
      </w:r>
      <w:bookmarkEnd w:id="217"/>
      <w:bookmarkStart w:id="218" w:name="_Toc5185"/>
      <w:r>
        <w:rPr>
          <w:rFonts w:hint="eastAsia" w:ascii="宋体" w:hAnsi="宋体" w:cs="宋体" w:eastAsiaTheme="minorEastAsia"/>
          <w:b/>
          <w:bCs/>
          <w:sz w:val="24"/>
        </w:rPr>
        <w:t>6</w:t>
      </w:r>
      <w:r>
        <w:rPr>
          <w:rFonts w:hint="eastAsia" w:ascii="宋体" w:hAnsi="宋体" w:cs="宋体"/>
          <w:b/>
          <w:bCs/>
          <w:sz w:val="24"/>
        </w:rPr>
        <w:t>.投标供应商具有履行本合同所必需的专业技术能力的说明及承诺（参考格式）</w:t>
      </w:r>
      <w:bookmarkEnd w:id="218"/>
    </w:p>
    <w:p>
      <w:pPr>
        <w:spacing w:line="360" w:lineRule="auto"/>
        <w:rPr>
          <w:rFonts w:ascii="宋体" w:hAnsi="宋体" w:cs="宋体"/>
          <w:spacing w:val="4"/>
          <w:u w:val="single"/>
        </w:rPr>
      </w:pPr>
    </w:p>
    <w:p>
      <w:pPr>
        <w:spacing w:line="360" w:lineRule="auto"/>
        <w:rPr>
          <w:rFonts w:ascii="宋体" w:hAnsi="宋体" w:cs="宋体"/>
          <w:spacing w:val="4"/>
          <w:u w:val="single"/>
        </w:rPr>
      </w:pPr>
      <w:r>
        <w:rPr>
          <w:rFonts w:hint="eastAsia" w:ascii="宋体" w:hAnsi="宋体" w:cs="宋体"/>
          <w:spacing w:val="4"/>
        </w:rPr>
        <w:t>致：</w:t>
      </w:r>
      <w:r>
        <w:rPr>
          <w:rFonts w:hint="eastAsia" w:ascii="宋体" w:hAnsi="宋体" w:cs="宋体"/>
          <w:spacing w:val="4"/>
          <w:u w:val="single"/>
        </w:rPr>
        <w:t xml:space="preserve">     （采购人名称）   </w:t>
      </w:r>
      <w:r>
        <w:rPr>
          <w:rFonts w:hint="eastAsia" w:ascii="宋体" w:hAnsi="宋体" w:cs="宋体"/>
          <w:spacing w:val="4"/>
        </w:rPr>
        <w:t>：</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公司）于年月日在中华人民共和国境内（详细注册地址）合法注册并经营，公司主营业务为（），营业（生产经营）面积为（）。现有员工数量为（），其中与履行本合同相关的专业技术人员有（专业能力、数量），本公司郑重承诺，具有履行本合同所必需的设备和专业技术能力。</w:t>
      </w:r>
    </w:p>
    <w:p>
      <w:pPr>
        <w:spacing w:before="240" w:beforeLines="100" w:after="120" w:afterLines="50" w:line="360" w:lineRule="auto"/>
        <w:ind w:firstLine="170"/>
        <w:rPr>
          <w:rFonts w:ascii="宋体" w:hAnsi="宋体" w:cs="宋体"/>
          <w:spacing w:val="4"/>
        </w:rPr>
      </w:pPr>
    </w:p>
    <w:p>
      <w:pPr>
        <w:pStyle w:val="2"/>
        <w:rPr>
          <w:rFonts w:ascii="宋体" w:hAnsi="宋体" w:cs="宋体"/>
        </w:rPr>
      </w:pPr>
    </w:p>
    <w:p>
      <w:pPr>
        <w:rPr>
          <w:rFonts w:ascii="宋体" w:hAnsi="宋体" w:cs="宋体"/>
        </w:rPr>
      </w:pPr>
    </w:p>
    <w:p>
      <w:pPr>
        <w:ind w:firstLine="2940" w:firstLineChars="1400"/>
        <w:rPr>
          <w:rFonts w:ascii="宋体" w:hAnsi="宋体" w:cs="宋体"/>
          <w:u w:val="single"/>
        </w:rPr>
      </w:pPr>
      <w:r>
        <w:rPr>
          <w:rFonts w:hint="eastAsia" w:ascii="宋体" w:hAnsi="宋体" w:cs="宋体"/>
        </w:rPr>
        <w:t xml:space="preserve">投标供应商： </w:t>
      </w:r>
      <w:r>
        <w:rPr>
          <w:rFonts w:hint="eastAsia" w:ascii="宋体" w:hAnsi="宋体" w:cs="宋体"/>
          <w:u w:val="single"/>
        </w:rPr>
        <w:t xml:space="preserve">          （盖章）             </w:t>
      </w:r>
    </w:p>
    <w:p>
      <w:pPr>
        <w:ind w:right="360"/>
        <w:jc w:val="right"/>
        <w:rPr>
          <w:rFonts w:ascii="宋体" w:hAnsi="宋体" w:cs="宋体"/>
        </w:rPr>
      </w:pPr>
    </w:p>
    <w:p>
      <w:pPr>
        <w:ind w:right="240"/>
        <w:jc w:val="center"/>
        <w:rPr>
          <w:rFonts w:ascii="宋体" w:hAnsi="宋体" w:cs="宋体"/>
          <w:u w:val="single"/>
        </w:rPr>
      </w:pPr>
      <w:r>
        <w:rPr>
          <w:rFonts w:hint="eastAsia" w:ascii="宋体" w:hAnsi="宋体" w:cs="宋体"/>
        </w:rPr>
        <w:t xml:space="preserve">                 法定代表人或其授权代理人： </w:t>
      </w:r>
      <w:r>
        <w:rPr>
          <w:rFonts w:hint="eastAsia" w:ascii="宋体" w:hAnsi="宋体" w:cs="宋体"/>
          <w:u w:val="single"/>
        </w:rPr>
        <w:t>（签字或签章）</w:t>
      </w:r>
    </w:p>
    <w:p>
      <w:pPr>
        <w:wordWrap w:val="0"/>
        <w:ind w:right="360" w:firstLine="2310" w:firstLineChars="1100"/>
        <w:rPr>
          <w:rFonts w:ascii="宋体" w:hAnsi="宋体" w:cs="宋体"/>
        </w:rPr>
      </w:pPr>
    </w:p>
    <w:p>
      <w:pPr>
        <w:tabs>
          <w:tab w:val="left" w:pos="7665"/>
        </w:tabs>
        <w:spacing w:line="360" w:lineRule="auto"/>
        <w:rPr>
          <w:rFonts w:cs="宋体" w:asciiTheme="minorEastAsia" w:hAnsiTheme="minorEastAsia" w:eastAsiaTheme="minorEastAsia"/>
          <w:b/>
          <w:bCs/>
          <w:sz w:val="24"/>
        </w:rPr>
      </w:pPr>
      <w:r>
        <w:rPr>
          <w:rFonts w:hint="eastAsia" w:ascii="宋体" w:hAnsi="宋体" w:cs="宋体"/>
        </w:rPr>
        <w:t xml:space="preserve">                           日   期：</w:t>
      </w:r>
      <w:r>
        <w:rPr>
          <w:rFonts w:hint="eastAsia" w:ascii="宋体" w:hAnsi="宋体" w:cs="宋体"/>
          <w:b/>
          <w:bCs/>
          <w:sz w:val="24"/>
        </w:rPr>
        <w:br w:type="page"/>
      </w:r>
    </w:p>
    <w:p>
      <w:pPr>
        <w:tabs>
          <w:tab w:val="left" w:pos="7665"/>
        </w:tabs>
        <w:spacing w:line="360" w:lineRule="auto"/>
        <w:rPr>
          <w:rFonts w:ascii="宋体" w:hAnsi="宋体" w:cs="宋体"/>
          <w:b/>
          <w:bCs/>
          <w:sz w:val="24"/>
        </w:rPr>
      </w:pPr>
      <w:r>
        <w:rPr>
          <w:rFonts w:hint="eastAsia" w:ascii="宋体" w:hAnsi="宋体" w:cs="宋体"/>
          <w:b/>
          <w:bCs/>
          <w:sz w:val="24"/>
        </w:rPr>
        <w:t xml:space="preserve">7.投标人企业关系关联承诺书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1、投标人股东及股权证明。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2、投标人在本项目投标中，不存在与其它投标人负责人为同一人，有控股、管理等关联关 系承诺。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2-1、管理关系说明：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我单位管理的具有独立法人的下属单位有：。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我单位的上级管理单位有。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2-2、股权关系说明：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我单位控股的单位有。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我单位被单位控股。 </w:t>
      </w:r>
    </w:p>
    <w:p>
      <w:pPr>
        <w:spacing w:before="240" w:beforeLines="100" w:after="120" w:afterLines="50" w:line="360" w:lineRule="auto"/>
        <w:ind w:firstLine="496" w:firstLineChars="200"/>
        <w:rPr>
          <w:rFonts w:ascii="宋体" w:hAnsi="宋体" w:cs="宋体"/>
          <w:spacing w:val="4"/>
          <w:sz w:val="24"/>
          <w:u w:val="single"/>
        </w:rPr>
      </w:pPr>
      <w:r>
        <w:rPr>
          <w:rFonts w:hint="eastAsia" w:ascii="宋体" w:hAnsi="宋体" w:cs="宋体"/>
          <w:spacing w:val="4"/>
          <w:sz w:val="24"/>
        </w:rPr>
        <w:t>2-3、单位负责人：</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3、其他与本项目有关的利害关系说明：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我单位承诺以上说明真实有效，无虚假内容或隐瞒。 </w:t>
      </w:r>
    </w:p>
    <w:p>
      <w:pPr>
        <w:spacing w:before="240" w:beforeLines="100" w:after="120" w:afterLines="50" w:line="360" w:lineRule="auto"/>
        <w:ind w:firstLine="496" w:firstLineChars="200"/>
        <w:jc w:val="center"/>
        <w:rPr>
          <w:rFonts w:ascii="宋体" w:hAnsi="宋体" w:cs="宋体"/>
          <w:spacing w:val="4"/>
          <w:sz w:val="24"/>
        </w:rPr>
      </w:pPr>
      <w:r>
        <w:rPr>
          <w:rFonts w:hint="eastAsia" w:ascii="宋体" w:hAnsi="宋体" w:cs="宋体"/>
          <w:spacing w:val="4"/>
          <w:sz w:val="24"/>
        </w:rPr>
        <w:t xml:space="preserve">               供应商： （盖单位公章） </w:t>
      </w:r>
    </w:p>
    <w:p>
      <w:pPr>
        <w:spacing w:before="240" w:beforeLines="100" w:after="120" w:afterLines="50" w:line="360" w:lineRule="auto"/>
        <w:ind w:firstLine="496" w:firstLineChars="200"/>
        <w:jc w:val="right"/>
        <w:rPr>
          <w:rFonts w:ascii="宋体" w:hAnsi="宋体" w:cs="宋体"/>
          <w:spacing w:val="4"/>
          <w:sz w:val="24"/>
        </w:rPr>
      </w:pPr>
      <w:r>
        <w:rPr>
          <w:rFonts w:hint="eastAsia" w:ascii="宋体" w:hAnsi="宋体" w:cs="宋体"/>
          <w:spacing w:val="4"/>
          <w:sz w:val="24"/>
        </w:rPr>
        <w:t xml:space="preserve">           法定代表人或授权代表： （签字或盖章）</w:t>
      </w:r>
    </w:p>
    <w:p>
      <w:pPr>
        <w:spacing w:before="240" w:beforeLines="100" w:after="120" w:afterLines="50" w:line="360" w:lineRule="auto"/>
        <w:ind w:firstLine="496" w:firstLineChars="200"/>
        <w:jc w:val="center"/>
        <w:rPr>
          <w:rFonts w:ascii="宋体" w:hAnsi="宋体" w:cs="宋体"/>
          <w:spacing w:val="4"/>
        </w:rPr>
      </w:pPr>
      <w:r>
        <w:rPr>
          <w:rFonts w:hint="eastAsia" w:ascii="宋体" w:hAnsi="宋体" w:cs="宋体"/>
          <w:spacing w:val="4"/>
          <w:sz w:val="24"/>
        </w:rPr>
        <w:t xml:space="preserve">         日  期： 年 月 日</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rPr>
          <w:rFonts w:asciiTheme="minorEastAsia" w:hAnsiTheme="minorEastAsia" w:eastAsiaTheme="minorEastAsia"/>
          <w:sz w:val="24"/>
        </w:rPr>
      </w:pPr>
      <w:r>
        <w:rPr>
          <w:rFonts w:hint="eastAsia" w:cs="宋体" w:asciiTheme="minorEastAsia" w:hAnsiTheme="minorEastAsia" w:eastAsiaTheme="minorEastAsia"/>
          <w:b/>
          <w:bCs/>
          <w:sz w:val="24"/>
        </w:rPr>
        <w:t>8.</w:t>
      </w:r>
      <w:r>
        <w:rPr>
          <w:rFonts w:hint="eastAsia" w:ascii="宋体" w:hAnsi="宋体" w:cs="宋体"/>
          <w:b/>
          <w:bCs/>
          <w:sz w:val="24"/>
        </w:rPr>
        <w:t>其他需要补充的资料</w:t>
      </w:r>
      <w:r>
        <w:rPr>
          <w:rFonts w:hint="eastAsia" w:cs="宋体" w:asciiTheme="minorEastAsia" w:hAnsiTheme="minorEastAsia" w:eastAsiaTheme="minorEastAsia"/>
          <w:b/>
          <w:bCs/>
          <w:sz w:val="24"/>
        </w:rPr>
        <w:br w:type="page"/>
      </w:r>
    </w:p>
    <w:p>
      <w:pPr>
        <w:tabs>
          <w:tab w:val="left" w:pos="7665"/>
        </w:tabs>
        <w:spacing w:line="360" w:lineRule="auto"/>
        <w:jc w:val="right"/>
        <w:rPr>
          <w:rFonts w:cs="宋体" w:asciiTheme="minorEastAsia" w:hAnsiTheme="minorEastAsia" w:eastAsiaTheme="minorEastAsia"/>
          <w:sz w:val="24"/>
        </w:rPr>
      </w:pPr>
      <w:bookmarkStart w:id="219" w:name="_Toc13996_WPSOffice_Level1"/>
      <w:r>
        <w:rPr>
          <w:rFonts w:hint="eastAsia" w:cs="宋体" w:asciiTheme="minorEastAsia" w:hAnsiTheme="minorEastAsia" w:eastAsiaTheme="minorEastAsia"/>
          <w:sz w:val="24"/>
        </w:rPr>
        <w:t>正本/副本</w:t>
      </w:r>
      <w:bookmarkEnd w:id="219"/>
    </w:p>
    <w:p>
      <w:pPr>
        <w:tabs>
          <w:tab w:val="left" w:pos="7665"/>
        </w:tabs>
        <w:spacing w:line="360" w:lineRule="auto"/>
        <w:ind w:firstLine="480" w:firstLineChars="200"/>
        <w:rPr>
          <w:rFonts w:cs="宋体" w:asciiTheme="minorEastAsia" w:hAnsiTheme="minorEastAsia" w:eastAsiaTheme="minorEastAsia"/>
          <w:sz w:val="24"/>
        </w:rPr>
      </w:pPr>
      <w:bookmarkStart w:id="220" w:name="_Toc16434_WPSOffice_Level1"/>
    </w:p>
    <w:bookmarkEnd w:id="220"/>
    <w:p>
      <w:pPr>
        <w:spacing w:line="360" w:lineRule="auto"/>
        <w:rPr>
          <w:rFonts w:cs="宋体" w:asciiTheme="minorEastAsia" w:hAnsiTheme="minorEastAsia" w:eastAsiaTheme="minorEastAsia"/>
          <w:b/>
          <w:sz w:val="28"/>
          <w:szCs w:val="28"/>
        </w:rPr>
      </w:pPr>
      <w:r>
        <w:rPr>
          <w:rFonts w:hint="eastAsia" w:cs="宋体" w:asciiTheme="minorEastAsia" w:hAnsiTheme="minorEastAsia" w:eastAsiaTheme="minorEastAsia"/>
          <w:b/>
          <w:bCs/>
          <w:sz w:val="28"/>
          <w:szCs w:val="28"/>
        </w:rPr>
        <w:t>采购项目编号：</w:t>
      </w:r>
      <w:r>
        <w:rPr>
          <w:rFonts w:hint="eastAsia" w:cs="宋体" w:asciiTheme="minorEastAsia" w:hAnsiTheme="minorEastAsia" w:eastAsiaTheme="minorEastAsia"/>
          <w:b/>
          <w:sz w:val="28"/>
          <w:szCs w:val="28"/>
        </w:rPr>
        <w:t>YFC2022-GP-016F</w:t>
      </w:r>
    </w:p>
    <w:p>
      <w:pPr>
        <w:tabs>
          <w:tab w:val="left" w:pos="7665"/>
        </w:tabs>
        <w:spacing w:line="360" w:lineRule="auto"/>
        <w:ind w:firstLine="562" w:firstLineChars="200"/>
        <w:rPr>
          <w:rFonts w:cs="宋体" w:asciiTheme="minorEastAsia" w:hAnsiTheme="minorEastAsia" w:eastAsiaTheme="minorEastAsia"/>
          <w:b/>
          <w:bCs/>
          <w:sz w:val="28"/>
          <w:szCs w:val="28"/>
        </w:rPr>
      </w:pPr>
    </w:p>
    <w:p>
      <w:pPr>
        <w:pStyle w:val="2"/>
      </w:pPr>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陕西省无线电管理委员会</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派出机构无线电监测设备运行维护项目(2包)</w:t>
      </w:r>
    </w:p>
    <w:p>
      <w:pPr>
        <w:tabs>
          <w:tab w:val="left" w:pos="7665"/>
        </w:tabs>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bCs/>
          <w:sz w:val="44"/>
          <w:szCs w:val="44"/>
        </w:rPr>
        <w:t>投标文件</w:t>
      </w:r>
    </w:p>
    <w:p>
      <w:pPr>
        <w:tabs>
          <w:tab w:val="left" w:pos="7665"/>
        </w:tabs>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（商务、技术部分）</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
      <w:pPr>
        <w:tabs>
          <w:tab w:val="left" w:pos="7665"/>
        </w:tabs>
        <w:spacing w:line="360" w:lineRule="auto"/>
        <w:ind w:firstLine="1205" w:firstLineChars="500"/>
        <w:rPr>
          <w:rFonts w:cs="宋体" w:asciiTheme="minorEastAsia" w:hAnsiTheme="minorEastAsia" w:eastAsiaTheme="minorEastAsia"/>
          <w:b/>
          <w:bCs/>
          <w:sz w:val="24"/>
        </w:rPr>
      </w:pPr>
      <w:bookmarkStart w:id="221" w:name="_Toc29073_WPSOffice_Level1"/>
      <w:r>
        <w:rPr>
          <w:rFonts w:hint="eastAsia" w:cs="宋体" w:asciiTheme="minorEastAsia" w:hAnsiTheme="minorEastAsia" w:eastAsiaTheme="minorEastAsia"/>
          <w:b/>
          <w:bCs/>
          <w:sz w:val="24"/>
        </w:rPr>
        <w:t>投标供应商：                        （盖单位章）</w:t>
      </w:r>
      <w:bookmarkEnd w:id="221"/>
    </w:p>
    <w:p>
      <w:pPr>
        <w:tabs>
          <w:tab w:val="left" w:pos="7665"/>
        </w:tabs>
        <w:spacing w:line="360" w:lineRule="auto"/>
        <w:ind w:firstLine="1205" w:firstLineChars="500"/>
        <w:rPr>
          <w:rFonts w:cs="宋体" w:asciiTheme="minorEastAsia" w:hAnsiTheme="minorEastAsia" w:eastAsiaTheme="minorEastAsia"/>
          <w:b/>
          <w:bCs/>
          <w:sz w:val="24"/>
        </w:rPr>
      </w:pPr>
      <w:bookmarkStart w:id="222" w:name="_Toc11565_WPSOffice_Level1"/>
      <w:r>
        <w:rPr>
          <w:rFonts w:hint="eastAsia" w:cs="宋体" w:asciiTheme="minorEastAsia" w:hAnsiTheme="minorEastAsia" w:eastAsiaTheme="minorEastAsia"/>
          <w:b/>
          <w:bCs/>
          <w:sz w:val="24"/>
        </w:rPr>
        <w:t>法定代表人或其委托代理人：          （签字）</w:t>
      </w:r>
      <w:bookmarkEnd w:id="222"/>
    </w:p>
    <w:p>
      <w:pPr>
        <w:tabs>
          <w:tab w:val="left" w:pos="7665"/>
        </w:tabs>
        <w:spacing w:line="360" w:lineRule="auto"/>
        <w:ind w:firstLine="1205" w:firstLineChars="500"/>
        <w:rPr>
          <w:rFonts w:cs="宋体" w:asciiTheme="minorEastAsia" w:hAnsiTheme="minorEastAsia" w:eastAsiaTheme="minorEastAsia"/>
          <w:b/>
          <w:bCs/>
          <w:sz w:val="24"/>
        </w:rPr>
      </w:pPr>
      <w:bookmarkStart w:id="223" w:name="_Toc31205_WPSOffice_Level1"/>
      <w:r>
        <w:rPr>
          <w:rFonts w:hint="eastAsia" w:cs="宋体" w:asciiTheme="minorEastAsia" w:hAnsiTheme="minorEastAsia" w:eastAsiaTheme="minorEastAsia"/>
          <w:b/>
          <w:bCs/>
          <w:sz w:val="24"/>
        </w:rPr>
        <w:t>时  间：   年   月   日</w:t>
      </w:r>
      <w:bookmarkEnd w:id="223"/>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560" w:firstLineChars="200"/>
        <w:jc w:val="center"/>
        <w:rPr>
          <w:rFonts w:cs="宋体" w:asciiTheme="minorEastAsia" w:hAnsiTheme="minorEastAsia" w:eastAsiaTheme="minorEastAsia"/>
          <w:sz w:val="28"/>
          <w:szCs w:val="28"/>
        </w:rPr>
      </w:pPr>
      <w:bookmarkStart w:id="224" w:name="_Toc11770_WPSOffice_Level1"/>
      <w:r>
        <w:rPr>
          <w:rFonts w:hint="eastAsia" w:cs="宋体" w:asciiTheme="minorEastAsia" w:hAnsiTheme="minorEastAsia" w:eastAsiaTheme="minorEastAsia"/>
          <w:sz w:val="28"/>
          <w:szCs w:val="28"/>
        </w:rPr>
        <w:t>目录</w:t>
      </w:r>
    </w:p>
    <w:bookmarkEnd w:id="224"/>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（2）开标一览表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（3）分项报价明细表</w:t>
      </w:r>
    </w:p>
    <w:p>
      <w:pPr>
        <w:tabs>
          <w:tab w:val="left" w:pos="7665"/>
        </w:tabs>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（4）</w:t>
      </w:r>
      <w:r>
        <w:rPr>
          <w:rFonts w:hint="eastAsia" w:asciiTheme="minorEastAsia" w:hAnsiTheme="minorEastAsia" w:eastAsiaTheme="minorEastAsia"/>
          <w:sz w:val="24"/>
        </w:rPr>
        <w:t>技术偏离表</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（5）投标方案</w:t>
      </w:r>
    </w:p>
    <w:p>
      <w:pPr>
        <w:pStyle w:val="8"/>
        <w:spacing w:line="360" w:lineRule="auto"/>
        <w:ind w:firstLine="480"/>
        <w:rPr>
          <w:rFonts w:cs="宋体" w:asciiTheme="minorEastAsia" w:hAnsiTheme="minorEastAsia" w:eastAsiaTheme="minorEastAsia"/>
          <w:bCs/>
          <w:sz w:val="24"/>
        </w:rPr>
      </w:pPr>
      <w:r>
        <w:rPr>
          <w:rFonts w:hint="eastAsia" w:asciiTheme="minorEastAsia" w:hAnsiTheme="minorEastAsia" w:eastAsiaTheme="minorEastAsia"/>
          <w:sz w:val="24"/>
          <w:szCs w:val="24"/>
        </w:rPr>
        <w:t>（6）</w:t>
      </w:r>
      <w:r>
        <w:rPr>
          <w:rFonts w:hint="eastAsia" w:cs="宋体" w:asciiTheme="minorEastAsia" w:hAnsiTheme="minorEastAsia" w:eastAsiaTheme="minorEastAsia"/>
          <w:bCs/>
          <w:sz w:val="24"/>
        </w:rPr>
        <w:t>相关项目业绩一览表</w:t>
      </w:r>
    </w:p>
    <w:p>
      <w:pPr>
        <w:tabs>
          <w:tab w:val="left" w:pos="7665"/>
        </w:tabs>
        <w:spacing w:line="360" w:lineRule="auto"/>
        <w:ind w:firstLine="480" w:firstLineChars="200"/>
        <w:rPr>
          <w:rFonts w:cs="宋体" w:asciiTheme="minorEastAsia" w:hAnsiTheme="minorEastAsia" w:eastAsiaTheme="minorEastAsia"/>
          <w:bCs/>
          <w:sz w:val="24"/>
          <w:szCs w:val="20"/>
        </w:rPr>
      </w:pPr>
      <w:r>
        <w:rPr>
          <w:rFonts w:hint="eastAsia" w:cs="宋体" w:asciiTheme="minorEastAsia" w:hAnsiTheme="minorEastAsia" w:eastAsiaTheme="minorEastAsia"/>
          <w:bCs/>
          <w:sz w:val="24"/>
        </w:rPr>
        <w:t>（7</w:t>
      </w:r>
      <w:r>
        <w:rPr>
          <w:rFonts w:hint="eastAsia" w:cs="宋体" w:asciiTheme="minorEastAsia" w:hAnsiTheme="minorEastAsia" w:eastAsiaTheme="minorEastAsia"/>
          <w:bCs/>
          <w:sz w:val="24"/>
          <w:szCs w:val="20"/>
        </w:rPr>
        <w:t>）供应商认为需要补充的其它资料</w:t>
      </w:r>
    </w:p>
    <w:p>
      <w:pPr>
        <w:pStyle w:val="20"/>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（8）投标供应商满足政府采购相关优惠政策的声明或证明材料</w:t>
      </w:r>
    </w:p>
    <w:p>
      <w:pPr>
        <w:pStyle w:val="8"/>
        <w:spacing w:line="360" w:lineRule="auto"/>
        <w:ind w:firstLine="480"/>
        <w:rPr>
          <w:rFonts w:cs="宋体" w:asciiTheme="minorEastAsia" w:hAnsiTheme="minorEastAsia" w:eastAsiaTheme="minorEastAsia"/>
          <w:bCs/>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25" w:name="_Toc6960_WPSOffice_Level1"/>
      <w:r>
        <w:rPr>
          <w:rFonts w:hint="eastAsia" w:cs="宋体" w:asciiTheme="minorEastAsia" w:hAnsiTheme="minorEastAsia" w:eastAsiaTheme="minorEastAsia"/>
          <w:b/>
          <w:bCs/>
          <w:sz w:val="24"/>
        </w:rPr>
        <w:t>1.投 标 函</w:t>
      </w:r>
      <w:bookmarkEnd w:id="225"/>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陕西源丰成工程项目管理有限公司：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我方已仔细研究了的招标文件（政府采购项目编号：）的全部内容，知悉参加投标的风险，我方承诺接受招标文件的全部条款且无任何异议，决定参加贵单位组织的本项目招标。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一、我方提交投标文件正本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套（资格审查、商务技术文件各本）和副本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套（资格审查、商务技术文件各本），电子文件2份。</w:t>
      </w:r>
    </w:p>
    <w:p>
      <w:pPr>
        <w:tabs>
          <w:tab w:val="left" w:pos="7665"/>
        </w:tabs>
        <w:spacing w:line="36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二、我方投标总价为人民币（大写）元 （</w:t>
      </w:r>
      <w:r>
        <w:rPr>
          <w:rFonts w:cs="Arial" w:asciiTheme="minorEastAsia" w:hAnsiTheme="minorEastAsia" w:eastAsiaTheme="minorEastAsia"/>
          <w:sz w:val="24"/>
        </w:rPr>
        <w:t>¥</w:t>
      </w:r>
      <w:r>
        <w:rPr>
          <w:rFonts w:hint="eastAsia" w:cs="宋体" w:asciiTheme="minorEastAsia" w:hAnsiTheme="minorEastAsia" w:eastAsiaTheme="minorEastAsia"/>
          <w:sz w:val="24"/>
        </w:rPr>
        <w:t xml:space="preserve"> ），服务期限为</w:t>
      </w:r>
      <w:r>
        <w:rPr>
          <w:rFonts w:hint="eastAsia" w:cs="宋体" w:asciiTheme="minorEastAsia" w:hAnsiTheme="minorEastAsia" w:eastAsiaTheme="minorEastAsia"/>
          <w:sz w:val="24"/>
          <w:u w:val="single"/>
        </w:rPr>
        <w:t xml:space="preserve">：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三、我方承诺除技术偏差表列出的偏差外，我方响应招标文件的全部要求。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四、我方愿意向贵方提供任何与本项采购有关的样品、数据、情况和技术资料。若贵方需要，我方愿意提供我方作出的一切承诺的证明材料。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五、我方承诺在招标文件规定的投标有效期内不撤销投标文件。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六、我方承诺遵守《中华人民共和国政府采购法》及其实施条例的有关规定，保证在获得中标资格后：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（1）在收到中标通知书后，在中标通知书规定的期限内与采购人签订合同；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（2）在签订合同时，不向采购人提出附加条件；</w:t>
      </w:r>
      <w:r>
        <w:rPr>
          <w:rFonts w:hint="eastAsia" w:cs="宋体" w:asciiTheme="minorEastAsia" w:hAnsiTheme="minorEastAsia" w:eastAsiaTheme="minorEastAsia"/>
          <w:sz w:val="24"/>
          <w:u w:val="single"/>
        </w:rPr>
        <w:t>并完全响应采购人规定的付款方式；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（3）按照招标文件规定和标准向贵方交纳招标代理服务费；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（4）在合同约定的服务期限内完成合同规定的全部义务。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七、我方完全理解并同意招标文件中有关不退还投标保证金条款所规定的情形。</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八、我方完全理解最低报价不是中标的唯一条件，并尊重评标委员会的评审结论和中标结果。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我方在此声明，所递交的投标文件及有关资料内容完整、真实和准确，且不存在第二章“投标供应商须知”第1.3.2条款规定的任何一种情形。否则，愿承担《中华人民共和国政府采购法》第七十七条规定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十、我方投标有效期为</w:t>
      </w:r>
      <w:r>
        <w:rPr>
          <w:rFonts w:hint="eastAsia" w:cs="宋体" w:asciiTheme="minorEastAsia" w:hAnsiTheme="minorEastAsia" w:eastAsiaTheme="minorEastAsia"/>
          <w:sz w:val="24"/>
          <w:u w:val="single"/>
        </w:rPr>
        <w:t>投标截止起90日历天</w:t>
      </w:r>
      <w:r>
        <w:rPr>
          <w:rFonts w:hint="eastAsia" w:cs="宋体" w:asciiTheme="minorEastAsia" w:hAnsiTheme="minorEastAsia" w:eastAsiaTheme="minorEastAsia"/>
          <w:sz w:val="24"/>
        </w:rPr>
        <w:t>。</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十一、有关本项目的所有函电，请按下列地址联系：</w:t>
      </w:r>
    </w:p>
    <w:p>
      <w:pPr>
        <w:tabs>
          <w:tab w:val="left" w:pos="7665"/>
        </w:tabs>
        <w:spacing w:line="360" w:lineRule="auto"/>
        <w:ind w:firstLine="480" w:firstLineChars="200"/>
        <w:rPr>
          <w:rFonts w:cs="宋体" w:asciiTheme="minorEastAsia" w:hAnsiTheme="minorEastAsia" w:eastAsiaTheme="minorEastAsia"/>
          <w:sz w:val="24"/>
        </w:rPr>
      </w:pP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                        （签字）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通讯地址：</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电子邮件：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开户银行：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账    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sz w:val="24"/>
        </w:rPr>
      </w:pPr>
      <w:bookmarkStart w:id="226" w:name="_Toc8415_WPSOffice_Level1"/>
      <w:r>
        <w:rPr>
          <w:rFonts w:hint="eastAsia" w:cs="宋体" w:asciiTheme="minorEastAsia" w:hAnsiTheme="minorEastAsia" w:eastAsiaTheme="minorEastAsia"/>
          <w:b/>
          <w:bCs/>
          <w:sz w:val="24"/>
        </w:rPr>
        <w:t>2.开标一览表</w:t>
      </w:r>
      <w:bookmarkEnd w:id="226"/>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tbl>
      <w:tblPr>
        <w:tblStyle w:val="29"/>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99"/>
        <w:gridCol w:w="62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trPr>
        <w:tc>
          <w:tcPr>
            <w:tcW w:w="2699"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采购项目名称</w:t>
            </w:r>
          </w:p>
        </w:tc>
        <w:tc>
          <w:tcPr>
            <w:tcW w:w="6232" w:type="dxa"/>
            <w:vAlign w:val="center"/>
          </w:tcPr>
          <w:p>
            <w:pPr>
              <w:tabs>
                <w:tab w:val="left" w:pos="7665"/>
              </w:tabs>
              <w:spacing w:line="360" w:lineRule="auto"/>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trPr>
        <w:tc>
          <w:tcPr>
            <w:tcW w:w="2699"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采购项目编号</w:t>
            </w:r>
          </w:p>
        </w:tc>
        <w:tc>
          <w:tcPr>
            <w:tcW w:w="6232"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w:t>
            </w:r>
          </w:p>
        </w:tc>
        <w:tc>
          <w:tcPr>
            <w:tcW w:w="6232" w:type="dxa"/>
            <w:vAlign w:val="center"/>
          </w:tcPr>
          <w:p>
            <w:pPr>
              <w:tabs>
                <w:tab w:val="left" w:pos="7665"/>
              </w:tabs>
              <w:spacing w:line="360" w:lineRule="auto"/>
              <w:ind w:firstLine="480" w:firstLineChars="200"/>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87"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（人民币/元）</w:t>
            </w:r>
          </w:p>
        </w:tc>
        <w:tc>
          <w:tcPr>
            <w:tcW w:w="6232" w:type="dxa"/>
            <w:vAlign w:val="center"/>
          </w:tcPr>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ab/>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总价</w:t>
            </w:r>
          </w:p>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大写：            元</w:t>
            </w:r>
          </w:p>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小写：            元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76"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6232" w:type="dxa"/>
            <w:vAlign w:val="center"/>
          </w:tcPr>
          <w:p>
            <w:pPr>
              <w:tabs>
                <w:tab w:val="left" w:pos="7665"/>
              </w:tabs>
              <w:spacing w:line="360" w:lineRule="auto"/>
              <w:ind w:firstLine="480" w:firstLineChars="200"/>
              <w:jc w:val="left"/>
              <w:rPr>
                <w:rFonts w:cs="宋体" w:asciiTheme="minorEastAsia" w:hAnsiTheme="minorEastAsia" w:eastAsiaTheme="minorEastAsia"/>
                <w:sz w:val="24"/>
              </w:rPr>
            </w:pP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5040" w:firstLineChars="2100"/>
        <w:rPr>
          <w:rFonts w:cs="宋体" w:asciiTheme="minorEastAsia" w:hAnsiTheme="minorEastAsia" w:eastAsiaTheme="minorEastAsia"/>
          <w:sz w:val="24"/>
        </w:rPr>
      </w:pPr>
    </w:p>
    <w:p>
      <w:pPr>
        <w:tabs>
          <w:tab w:val="left" w:pos="7665"/>
        </w:tabs>
        <w:spacing w:line="360" w:lineRule="auto"/>
        <w:ind w:firstLine="5040" w:firstLineChars="2100"/>
        <w:rPr>
          <w:rFonts w:cs="宋体" w:asciiTheme="minorEastAsia" w:hAnsiTheme="minorEastAsia" w:eastAsiaTheme="minorEastAsia"/>
          <w:sz w:val="24"/>
        </w:rPr>
      </w:pPr>
    </w:p>
    <w:p>
      <w:pPr>
        <w:tabs>
          <w:tab w:val="left" w:pos="7665"/>
        </w:tabs>
        <w:spacing w:line="360" w:lineRule="auto"/>
        <w:ind w:firstLine="4800" w:firstLineChars="2000"/>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0" w:firstLineChars="20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法定代表人或委托代理人：（签字）</w:t>
      </w:r>
    </w:p>
    <w:p>
      <w:pPr>
        <w:tabs>
          <w:tab w:val="left" w:pos="7665"/>
        </w:tabs>
        <w:spacing w:line="360" w:lineRule="auto"/>
        <w:ind w:firstLine="4800" w:firstLineChars="2000"/>
        <w:rPr>
          <w:rFonts w:cs="宋体" w:asciiTheme="minorEastAsia" w:hAnsiTheme="minorEastAsia" w:eastAsiaTheme="minorEastAsia"/>
          <w:sz w:val="24"/>
        </w:rPr>
      </w:pPr>
      <w:r>
        <w:rPr>
          <w:rFonts w:hint="eastAsia" w:cs="宋体" w:asciiTheme="minorEastAsia" w:hAnsiTheme="minorEastAsia" w:eastAsiaTheme="minorEastAsia"/>
          <w:sz w:val="24"/>
        </w:rPr>
        <w:t>日    期：20  年   月   日</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27" w:name="_Toc6017_WPSOffice_Level1"/>
      <w:bookmarkStart w:id="228" w:name="_Toc217446086"/>
      <w:r>
        <w:rPr>
          <w:rFonts w:hint="eastAsia" w:cs="宋体" w:asciiTheme="minorEastAsia" w:hAnsiTheme="minorEastAsia" w:eastAsiaTheme="minorEastAsia"/>
          <w:b/>
          <w:bCs/>
          <w:sz w:val="24"/>
        </w:rPr>
        <w:t>3.分项明细报价表</w:t>
      </w:r>
      <w:bookmarkEnd w:id="227"/>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r>
        <w:rPr>
          <w:rFonts w:hint="eastAsia" w:cs="宋体" w:asciiTheme="minorEastAsia" w:hAnsiTheme="minorEastAsia" w:eastAsiaTheme="minorEastAsia"/>
          <w:sz w:val="24"/>
        </w:rPr>
        <w:t>（格式自拟）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1.投标供应商必须按本表的格式详细报出投标总价的各个组成部分的报价，否则作无效投标处理；报价精确到小数点后两位；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2.本表各分项报价合计应当与“开标一览表”总报价相等；如果按单价计算的结果与报价不一致时，以单价为准修正总价；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3.本表为多页的，每页均需盖投标供应商印章。</w:t>
      </w:r>
    </w:p>
    <w:p>
      <w:pPr>
        <w:spacing w:line="360" w:lineRule="auto"/>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 xml:space="preserve"> 投标供应商：            （盖单位章）</w:t>
      </w:r>
    </w:p>
    <w:p>
      <w:pPr>
        <w:spacing w:line="360" w:lineRule="auto"/>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法定代表人或委托代理人：  （签字）</w:t>
      </w:r>
    </w:p>
    <w:p>
      <w:pPr>
        <w:tabs>
          <w:tab w:val="left" w:pos="7665"/>
        </w:tabs>
        <w:spacing w:line="360" w:lineRule="auto"/>
        <w:ind w:firstLine="480" w:firstLineChars="200"/>
        <w:jc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日   期：20  年   月   日</w:t>
      </w:r>
      <w:bookmarkEnd w:id="228"/>
      <w:bookmarkStart w:id="229" w:name="_Toc217446087"/>
    </w:p>
    <w:p>
      <w:pPr>
        <w:tabs>
          <w:tab w:val="left" w:pos="7665"/>
        </w:tabs>
        <w:spacing w:line="360" w:lineRule="auto"/>
        <w:ind w:firstLine="480" w:firstLineChars="200"/>
        <w:rPr>
          <w:rFonts w:cs="宋体" w:asciiTheme="minorEastAsia" w:hAnsiTheme="minorEastAsia" w:eastAsiaTheme="minorEastAsia"/>
          <w:sz w:val="24"/>
        </w:rPr>
        <w:sectPr>
          <w:pgSz w:w="11907" w:h="16840"/>
          <w:pgMar w:top="1587" w:right="1474" w:bottom="1587" w:left="1474" w:header="851" w:footer="992" w:gutter="0"/>
          <w:cols w:space="720" w:num="1"/>
          <w:docGrid w:linePitch="312" w:charSpace="0"/>
        </w:sectPr>
      </w:pPr>
    </w:p>
    <w:bookmarkEnd w:id="229"/>
    <w:p>
      <w:pPr>
        <w:tabs>
          <w:tab w:val="left" w:pos="7665"/>
        </w:tabs>
        <w:spacing w:line="360" w:lineRule="auto"/>
        <w:rPr>
          <w:rFonts w:cs="宋体" w:asciiTheme="minorEastAsia" w:hAnsiTheme="minorEastAsia" w:eastAsiaTheme="minorEastAsia"/>
          <w:b/>
          <w:bCs/>
          <w:sz w:val="24"/>
        </w:rPr>
      </w:pPr>
      <w:bookmarkStart w:id="230" w:name="_Toc22633"/>
      <w:bookmarkStart w:id="231" w:name="_Toc23798"/>
      <w:bookmarkStart w:id="232" w:name="_Toc19818"/>
      <w:r>
        <w:rPr>
          <w:rFonts w:hint="eastAsia" w:cs="宋体" w:asciiTheme="minorEastAsia" w:hAnsiTheme="minorEastAsia" w:eastAsiaTheme="minorEastAsia"/>
          <w:b/>
          <w:bCs/>
          <w:sz w:val="24"/>
        </w:rPr>
        <w:t>4.技术偏离表</w:t>
      </w:r>
      <w:bookmarkEnd w:id="230"/>
      <w:bookmarkEnd w:id="231"/>
      <w:bookmarkEnd w:id="232"/>
    </w:p>
    <w:p>
      <w:pPr>
        <w:pStyle w:val="20"/>
        <w:rPr>
          <w:sz w:val="24"/>
          <w:szCs w:val="24"/>
        </w:rPr>
      </w:pPr>
      <w:r>
        <w:rPr>
          <w:sz w:val="24"/>
          <w:szCs w:val="24"/>
        </w:rPr>
        <w:t>项目名称：                              项目编号：</w:t>
      </w:r>
    </w:p>
    <w:p>
      <w:pPr>
        <w:pStyle w:val="20"/>
      </w:pPr>
    </w:p>
    <w:tbl>
      <w:tblPr>
        <w:tblStyle w:val="2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20"/>
        <w:gridCol w:w="304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r>
              <w:rPr>
                <w:rFonts w:hint="eastAsia" w:ascii="宋体" w:hAnsi="宋体"/>
                <w:b/>
                <w:szCs w:val="21"/>
              </w:rPr>
              <w:t>序号</w:t>
            </w:r>
          </w:p>
        </w:tc>
        <w:tc>
          <w:tcPr>
            <w:tcW w:w="2720" w:type="dxa"/>
            <w:vAlign w:val="center"/>
          </w:tcPr>
          <w:p>
            <w:pPr>
              <w:jc w:val="center"/>
              <w:rPr>
                <w:rFonts w:ascii="宋体" w:hAnsi="宋体"/>
                <w:b/>
                <w:szCs w:val="21"/>
              </w:rPr>
            </w:pPr>
            <w:r>
              <w:rPr>
                <w:rFonts w:hint="eastAsia" w:ascii="宋体" w:hAnsi="宋体"/>
                <w:b/>
                <w:szCs w:val="21"/>
              </w:rPr>
              <w:t>招标要求</w:t>
            </w:r>
          </w:p>
        </w:tc>
        <w:tc>
          <w:tcPr>
            <w:tcW w:w="3045" w:type="dxa"/>
            <w:vAlign w:val="center"/>
          </w:tcPr>
          <w:p>
            <w:pPr>
              <w:jc w:val="center"/>
              <w:rPr>
                <w:rFonts w:ascii="宋体" w:hAnsi="宋体"/>
                <w:b/>
                <w:szCs w:val="21"/>
              </w:rPr>
            </w:pPr>
            <w:r>
              <w:rPr>
                <w:rFonts w:hint="eastAsia" w:ascii="宋体" w:hAnsi="宋体"/>
                <w:b/>
                <w:szCs w:val="21"/>
              </w:rPr>
              <w:t>投标响应</w:t>
            </w:r>
          </w:p>
        </w:tc>
        <w:tc>
          <w:tcPr>
            <w:tcW w:w="3045" w:type="dxa"/>
            <w:vAlign w:val="center"/>
          </w:tcPr>
          <w:p>
            <w:pPr>
              <w:jc w:val="center"/>
              <w:rPr>
                <w:rFonts w:ascii="宋体" w:hAnsi="宋体"/>
                <w:b/>
                <w:szCs w:val="21"/>
              </w:rPr>
            </w:pPr>
            <w:r>
              <w:rPr>
                <w:rFonts w:hint="eastAsia" w:ascii="宋体" w:hAnsi="宋体"/>
                <w:b/>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bl>
    <w:p>
      <w:pPr>
        <w:tabs>
          <w:tab w:val="left" w:pos="7665"/>
        </w:tabs>
        <w:spacing w:line="360" w:lineRule="auto"/>
        <w:jc w:val="left"/>
        <w:rPr>
          <w:rFonts w:ascii="宋体" w:hAnsi="宋体" w:cs="宋体"/>
          <w:sz w:val="24"/>
        </w:rPr>
      </w:pPr>
      <w:r>
        <w:rPr>
          <w:rFonts w:hint="eastAsia" w:ascii="宋体" w:hAnsi="宋体" w:cs="宋体"/>
          <w:sz w:val="24"/>
        </w:rPr>
        <w:t>注：1.请投标供应商参照采购内容逐条响应，优于采购需求（正偏离），需要提供佐证资料，否则将判定为虚假信息；负偏离即技术不满足。</w:t>
      </w:r>
    </w:p>
    <w:p>
      <w:pPr>
        <w:pStyle w:val="2"/>
        <w:ind w:firstLine="480" w:firstLineChars="200"/>
      </w:pPr>
      <w:r>
        <w:rPr>
          <w:rFonts w:hint="eastAsia" w:ascii="宋体" w:hAnsi="宋体" w:cs="宋体"/>
          <w:sz w:val="24"/>
        </w:rPr>
        <w:t>2.若投标供应商提供盖章的空白表视为完全响应。</w:t>
      </w:r>
    </w:p>
    <w:p>
      <w:pPr>
        <w:tabs>
          <w:tab w:val="left" w:pos="7665"/>
        </w:tabs>
        <w:spacing w:line="360" w:lineRule="auto"/>
        <w:jc w:val="center"/>
        <w:rPr>
          <w:rFonts w:ascii="宋体" w:hAnsi="宋体" w:cs="宋体"/>
          <w:sz w:val="24"/>
        </w:rPr>
      </w:pPr>
    </w:p>
    <w:p>
      <w:pPr>
        <w:tabs>
          <w:tab w:val="left" w:pos="7665"/>
        </w:tabs>
        <w:spacing w:line="360" w:lineRule="auto"/>
        <w:jc w:val="center"/>
        <w:rPr>
          <w:rFonts w:ascii="宋体" w:hAnsi="宋体" w:cs="宋体"/>
          <w:sz w:val="24"/>
        </w:rPr>
      </w:pPr>
      <w:r>
        <w:rPr>
          <w:rFonts w:hint="eastAsia" w:ascii="宋体" w:hAnsi="宋体" w:cs="宋体"/>
          <w:sz w:val="24"/>
        </w:rPr>
        <w:t xml:space="preserve">                 供应商（公章）：</w:t>
      </w:r>
    </w:p>
    <w:p>
      <w:pPr>
        <w:tabs>
          <w:tab w:val="left" w:pos="7665"/>
        </w:tabs>
        <w:spacing w:line="360" w:lineRule="auto"/>
        <w:jc w:val="right"/>
        <w:rPr>
          <w:rFonts w:ascii="宋体" w:hAnsi="宋体" w:cs="宋体"/>
          <w:sz w:val="24"/>
        </w:rPr>
      </w:pPr>
      <w:r>
        <w:rPr>
          <w:rFonts w:hint="eastAsia" w:ascii="宋体" w:hAnsi="宋体" w:cs="宋体"/>
          <w:sz w:val="24"/>
        </w:rPr>
        <w:t>法定代表人或授权代表（签字或盖章）：</w:t>
      </w:r>
    </w:p>
    <w:p>
      <w:pPr>
        <w:tabs>
          <w:tab w:val="left" w:pos="7665"/>
        </w:tabs>
        <w:spacing w:line="360" w:lineRule="auto"/>
        <w:jc w:val="center"/>
        <w:rPr>
          <w:rFonts w:ascii="宋体" w:hAnsi="宋体" w:cs="宋体"/>
          <w:sz w:val="24"/>
        </w:rPr>
      </w:pPr>
      <w:r>
        <w:rPr>
          <w:rFonts w:hint="eastAsia" w:ascii="宋体" w:hAnsi="宋体" w:cs="宋体"/>
          <w:sz w:val="24"/>
        </w:rPr>
        <w:t xml:space="preserve">           日    期：</w:t>
      </w:r>
    </w:p>
    <w:p>
      <w:pPr>
        <w:rPr>
          <w:rFonts w:cs="宋体" w:asciiTheme="minorEastAsia" w:hAnsiTheme="minorEastAsia" w:eastAsiaTheme="minorEastAsia"/>
          <w:b/>
          <w:bCs/>
          <w:sz w:val="24"/>
        </w:rPr>
      </w:pPr>
      <w:r>
        <w:rPr>
          <w:rFonts w:hint="eastAsia" w:cs="宋体" w:asciiTheme="minorEastAsia" w:hAnsiTheme="minorEastAsia" w:eastAsiaTheme="minorEastAsia"/>
          <w:bCs/>
          <w:sz w:val="24"/>
        </w:rPr>
        <w:br w:type="page"/>
      </w:r>
      <w:r>
        <w:rPr>
          <w:rFonts w:hint="eastAsia" w:cs="宋体" w:asciiTheme="minorEastAsia" w:hAnsiTheme="minorEastAsia" w:eastAsiaTheme="minorEastAsia"/>
          <w:b/>
          <w:bCs/>
          <w:sz w:val="24"/>
        </w:rPr>
        <w:t>5.投标方案</w:t>
      </w:r>
    </w:p>
    <w:p>
      <w:pPr>
        <w:rPr>
          <w:rFonts w:cs="宋体" w:asciiTheme="minorEastAsia" w:hAnsiTheme="minorEastAsia" w:eastAsiaTheme="minorEastAsia"/>
          <w:b/>
          <w:bCs/>
          <w:sz w:val="24"/>
        </w:rPr>
      </w:pPr>
    </w:p>
    <w:p>
      <w:pPr>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包括但不限于：实施方案、服务承诺、服务团队、综合实力、快速响应能力、相关项目经验</w:t>
      </w: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（根据本次采购内容及综合评分明细表综合考虑自行编制，格式自拟）</w:t>
      </w: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pStyle w:val="57"/>
        <w:widowControl/>
        <w:tabs>
          <w:tab w:val="left" w:pos="576"/>
        </w:tabs>
        <w:spacing w:before="0" w:after="0" w:line="416" w:lineRule="atLeast"/>
        <w:rPr>
          <w:rFonts w:cs="宋体" w:asciiTheme="minorEastAsia" w:hAnsiTheme="minorEastAsia" w:eastAsiaTheme="minorEastAsia"/>
          <w:bCs/>
          <w:sz w:val="24"/>
        </w:rPr>
      </w:pPr>
      <w:r>
        <w:rPr>
          <w:rFonts w:hint="eastAsia" w:cs="宋体" w:asciiTheme="minorEastAsia" w:hAnsiTheme="minorEastAsia" w:eastAsiaTheme="minorEastAsia"/>
          <w:bCs/>
          <w:sz w:val="24"/>
        </w:rPr>
        <w:t>6.相关项目业绩一览表</w:t>
      </w:r>
    </w:p>
    <w:p>
      <w:pPr>
        <w:spacing w:line="360" w:lineRule="auto"/>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供应商名称：</w:t>
      </w:r>
    </w:p>
    <w:p>
      <w:pPr>
        <w:spacing w:line="360" w:lineRule="auto"/>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采购项目编号：</w:t>
      </w:r>
    </w:p>
    <w:tbl>
      <w:tblPr>
        <w:tblStyle w:val="29"/>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980"/>
        <w:gridCol w:w="1800"/>
        <w:gridCol w:w="1441"/>
        <w:gridCol w:w="27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p>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序号</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项目名称</w:t>
            </w: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合同金额（万元）</w:t>
            </w: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完成日期</w:t>
            </w: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业主名称、联系人及电话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1</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2</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3</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4</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5</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bl>
    <w:p>
      <w:pPr>
        <w:snapToGrid w:val="0"/>
        <w:ind w:left="398" w:hanging="398" w:hangingChars="166"/>
        <w:jc w:val="left"/>
        <w:textAlignment w:val="baseline"/>
        <w:rPr>
          <w:rStyle w:val="81"/>
          <w:rFonts w:asciiTheme="minorEastAsia" w:hAnsiTheme="minorEastAsia" w:eastAsiaTheme="minorEastAsia"/>
          <w:sz w:val="24"/>
        </w:rPr>
      </w:pPr>
    </w:p>
    <w:p>
      <w:pPr>
        <w:snapToGrid w:val="0"/>
        <w:ind w:left="398" w:hanging="398" w:hangingChars="166"/>
        <w:jc w:val="left"/>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注：1、供应商应如实列出以上情况，如有隐瞒，一经查实将导致其投标申请被拒绝。</w:t>
      </w:r>
    </w:p>
    <w:p>
      <w:pPr>
        <w:ind w:left="917" w:leftChars="208" w:hanging="480" w:hangingChars="200"/>
        <w:jc w:val="left"/>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2、供应商应随此表附上相关的业绩证明。</w:t>
      </w:r>
    </w:p>
    <w:p>
      <w:pPr>
        <w:snapToGrid w:val="0"/>
        <w:ind w:firstLine="105" w:firstLineChars="50"/>
        <w:textAlignment w:val="baseline"/>
        <w:rPr>
          <w:rStyle w:val="81"/>
          <w:rFonts w:asciiTheme="minorEastAsia" w:hAnsiTheme="minorEastAsia" w:eastAsiaTheme="minorEastAsia"/>
        </w:rPr>
      </w:pPr>
    </w:p>
    <w:p>
      <w:pPr>
        <w:textAlignment w:val="baseline"/>
        <w:rPr>
          <w:rStyle w:val="81"/>
          <w:rFonts w:asciiTheme="minorEastAsia" w:hAnsiTheme="minorEastAsia" w:eastAsiaTheme="minorEastAsia"/>
          <w:b/>
          <w:sz w:val="28"/>
        </w:rPr>
      </w:pPr>
    </w:p>
    <w:p>
      <w:pPr>
        <w:ind w:firstLine="3840" w:firstLineChars="1600"/>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 xml:space="preserve">供应商： </w:t>
      </w:r>
      <w:r>
        <w:rPr>
          <w:rStyle w:val="81"/>
          <w:rFonts w:asciiTheme="minorEastAsia" w:hAnsiTheme="minorEastAsia" w:eastAsiaTheme="minorEastAsia"/>
          <w:sz w:val="24"/>
          <w:u w:val="single"/>
        </w:rPr>
        <w:t xml:space="preserve">          （盖章）             </w:t>
      </w:r>
    </w:p>
    <w:p>
      <w:pPr>
        <w:ind w:right="360"/>
        <w:jc w:val="right"/>
        <w:textAlignment w:val="baseline"/>
        <w:rPr>
          <w:rStyle w:val="81"/>
          <w:rFonts w:asciiTheme="minorEastAsia" w:hAnsiTheme="minorEastAsia" w:eastAsiaTheme="minorEastAsia"/>
          <w:sz w:val="24"/>
        </w:rPr>
      </w:pPr>
    </w:p>
    <w:p>
      <w:pPr>
        <w:ind w:right="240"/>
        <w:jc w:val="right"/>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法定代表人或其授权代理人：</w:t>
      </w:r>
      <w:r>
        <w:rPr>
          <w:rStyle w:val="81"/>
          <w:rFonts w:asciiTheme="minorEastAsia" w:hAnsiTheme="minorEastAsia" w:eastAsiaTheme="minorEastAsia"/>
          <w:sz w:val="24"/>
          <w:u w:val="single"/>
        </w:rPr>
        <w:t>（签字或盖章）</w:t>
      </w:r>
    </w:p>
    <w:p>
      <w:pPr>
        <w:jc w:val="right"/>
        <w:textAlignment w:val="baseline"/>
        <w:rPr>
          <w:rStyle w:val="81"/>
          <w:rFonts w:asciiTheme="minorEastAsia" w:hAnsiTheme="minorEastAsia" w:eastAsiaTheme="minorEastAsia"/>
          <w:sz w:val="24"/>
          <w:u w:val="single"/>
        </w:rPr>
      </w:pPr>
    </w:p>
    <w:p>
      <w:pPr>
        <w:ind w:right="360"/>
        <w:jc w:val="center"/>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日   期：</w:t>
      </w:r>
    </w:p>
    <w:p>
      <w:pPr>
        <w:pStyle w:val="20"/>
        <w:widowControl/>
        <w:textAlignment w:val="baseline"/>
        <w:rPr>
          <w:rStyle w:val="81"/>
          <w:rFonts w:asciiTheme="minorEastAsia" w:hAnsiTheme="minorEastAsia" w:eastAsiaTheme="minorEastAsia"/>
          <w:sz w:val="24"/>
          <w:u w:val="single"/>
        </w:rPr>
      </w:pPr>
    </w:p>
    <w:p>
      <w:pPr>
        <w:pStyle w:val="20"/>
        <w:widowControl/>
        <w:textAlignment w:val="baseline"/>
        <w:rPr>
          <w:rStyle w:val="81"/>
          <w:rFonts w:asciiTheme="minorEastAsia" w:hAnsiTheme="minorEastAsia" w:eastAsiaTheme="minorEastAsia"/>
          <w:sz w:val="24"/>
          <w:u w:val="single"/>
        </w:rPr>
      </w:pPr>
    </w:p>
    <w:p>
      <w:pPr>
        <w:tabs>
          <w:tab w:val="left" w:pos="7665"/>
        </w:tabs>
        <w:spacing w:line="360" w:lineRule="auto"/>
        <w:rPr>
          <w:rFonts w:cs="宋体" w:asciiTheme="minorEastAsia" w:hAnsiTheme="minorEastAsia" w:eastAsiaTheme="minorEastAsia"/>
          <w:b/>
          <w:sz w:val="24"/>
        </w:rPr>
      </w:pPr>
    </w:p>
    <w:p>
      <w:pPr>
        <w:tabs>
          <w:tab w:val="left" w:pos="7665"/>
        </w:tabs>
        <w:spacing w:line="360" w:lineRule="auto"/>
        <w:rPr>
          <w:rFonts w:cs="宋体" w:asciiTheme="minorEastAsia" w:hAnsiTheme="minorEastAsia" w:eastAsiaTheme="minorEastAsia"/>
          <w:bCs/>
          <w:sz w:val="24"/>
        </w:rPr>
      </w:pPr>
      <w:r>
        <w:rPr>
          <w:rFonts w:hint="eastAsia" w:cs="宋体" w:asciiTheme="minorEastAsia" w:hAnsiTheme="minorEastAsia" w:eastAsiaTheme="minorEastAsia"/>
          <w:b/>
          <w:sz w:val="24"/>
        </w:rPr>
        <w:t>7.供应商认为需要补充的其它资料</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docGrid w:linePitch="312" w:charSpace="0"/>
        </w:sectPr>
      </w:pPr>
    </w:p>
    <w:p>
      <w:pPr>
        <w:jc w:val="left"/>
        <w:rPr>
          <w:rFonts w:cs="宋体" w:asciiTheme="minorEastAsia" w:hAnsiTheme="minorEastAsia" w:eastAsiaTheme="minorEastAsia"/>
          <w:b/>
          <w:bCs/>
          <w:sz w:val="24"/>
        </w:rPr>
      </w:pPr>
      <w:bookmarkStart w:id="233" w:name="_Toc13350"/>
      <w:r>
        <w:rPr>
          <w:rFonts w:hint="eastAsia" w:cs="宋体" w:asciiTheme="minorEastAsia" w:hAnsiTheme="minorEastAsia" w:eastAsiaTheme="minorEastAsia"/>
          <w:b/>
          <w:bCs/>
          <w:sz w:val="24"/>
        </w:rPr>
        <w:t>8.投标供应商满足政府采购相关优惠政策的声明或证明材料</w:t>
      </w:r>
      <w:bookmarkEnd w:id="233"/>
    </w:p>
    <w:p>
      <w:pPr>
        <w:adjustRightInd w:val="0"/>
        <w:snapToGrid w:val="0"/>
        <w:spacing w:line="360" w:lineRule="auto"/>
        <w:ind w:firstLine="720" w:firstLineChars="300"/>
        <w:rPr>
          <w:rFonts w:cs="宋体" w:asciiTheme="minorEastAsia" w:hAnsiTheme="minorEastAsia" w:eastAsiaTheme="minorEastAsia"/>
          <w:sz w:val="24"/>
        </w:rPr>
      </w:pPr>
    </w:p>
    <w:p>
      <w:pPr>
        <w:adjustRightInd w:val="0"/>
        <w:snapToGrid w:val="0"/>
        <w:spacing w:line="360" w:lineRule="auto"/>
        <w:ind w:firstLine="720" w:firstLineChars="300"/>
        <w:rPr>
          <w:rFonts w:cs="宋体" w:asciiTheme="minorEastAsia" w:hAnsiTheme="minorEastAsia" w:eastAsiaTheme="minorEastAsia"/>
          <w:sz w:val="24"/>
        </w:rPr>
      </w:pP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（1）中小企业声明函格式见附件；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（2）残疾人福利性单位声明函格式见附件；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（3）监狱企业证明文件见附件；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（4）“节能产品”、“环境标志产品”证明材料格式见附件。</w:t>
      </w: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sz w:val="24"/>
          <w:szCs w:val="24"/>
        </w:rPr>
        <w:sectPr>
          <w:pgSz w:w="11907" w:h="16840"/>
          <w:pgMar w:top="1440" w:right="1474" w:bottom="1440" w:left="1474" w:header="851" w:footer="992" w:gutter="0"/>
          <w:cols w:space="720" w:num="1"/>
          <w:docGrid w:linePitch="312" w:charSpace="0"/>
        </w:sectPr>
      </w:pPr>
    </w:p>
    <w:p>
      <w:pPr>
        <w:widowControl/>
        <w:rPr>
          <w:rFonts w:ascii="宋体" w:hAnsi="宋体" w:cs="宋体"/>
        </w:rPr>
      </w:pPr>
      <w:r>
        <w:rPr>
          <w:rFonts w:hint="eastAsia" w:cs="宋体" w:asciiTheme="minorEastAsia" w:hAnsiTheme="minorEastAsia" w:eastAsiaTheme="minorEastAsia"/>
          <w:sz w:val="24"/>
        </w:rPr>
        <w:t xml:space="preserve">附件1                      </w:t>
      </w:r>
      <w:r>
        <w:rPr>
          <w:rFonts w:hint="eastAsia" w:ascii="宋体" w:hAnsi="宋体" w:cs="宋体"/>
          <w:b/>
          <w:kern w:val="0"/>
        </w:rPr>
        <w:t>中小企业声明函（工程、服务）</w:t>
      </w:r>
    </w:p>
    <w:p>
      <w:pPr>
        <w:widowControl/>
        <w:spacing w:line="360" w:lineRule="auto"/>
        <w:ind w:firstLine="420" w:firstLineChars="200"/>
        <w:jc w:val="left"/>
        <w:rPr>
          <w:rFonts w:ascii="宋体" w:hAnsi="宋体" w:cs="宋体"/>
          <w:kern w:val="0"/>
        </w:rPr>
      </w:pP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本公司（联合体）郑重声明，根据《政府采购促进中小企业发展管理办法》（财库﹝2020﹞46 号）的规定，本公司 （联合体）参加（单位名称）的（项目名称）采购活动，工程的施工单位全部为符合政策要求的中小企业（或者：服务全部由符合政策要求的中小企业承接）。相关企业（含联合体中的中小企业、签订分包意向协议的中小企业）的具体情 况如下：</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1.（标的名称） ，属于（采购文件中明确的所属行业）； 承建（承接）企业为（企业名称），从业人员   人，营业收入为      万元，资产总额为         万元，属于（中型企业、 小型企业、微型企业）； </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2.（标的名称） ，属于（采购文件中明确的所属行业）； 承建（承接）企业为（企业名称），从业人员   人，营业收入为      万元，资产总额为         万元，属于（中型企业、 小型企业、微型企业）； </w:t>
      </w: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以上企业，不属于大企业的分支机构，不存在控股股东 为大企业的情形，也不存在与大企业的负责人为同一人的情形。</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本企业对上述声明内容的真实性负责。如有虚假，将依 法承担相应责任。 </w:t>
      </w: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                                     企业名称（盖章）： </w:t>
      </w:r>
    </w:p>
    <w:p>
      <w:pPr>
        <w:spacing w:line="360" w:lineRule="auto"/>
        <w:ind w:firstLine="504" w:firstLineChars="200"/>
        <w:rPr>
          <w:rFonts w:cs="宋体" w:asciiTheme="minorEastAsia" w:hAnsiTheme="minorEastAsia" w:eastAsiaTheme="minorEastAsia"/>
          <w:spacing w:val="6"/>
          <w:sz w:val="24"/>
        </w:rPr>
      </w:pPr>
    </w:p>
    <w:p>
      <w:pPr>
        <w:spacing w:line="360" w:lineRule="auto"/>
        <w:ind w:firstLine="6552" w:firstLineChars="26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日 期：</w:t>
      </w: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附件2</w:t>
      </w:r>
      <w:bookmarkStart w:id="234" w:name="OLE_LINK14"/>
      <w:bookmarkStart w:id="235" w:name="OLE_LINK13"/>
      <w:r>
        <w:rPr>
          <w:rFonts w:hint="eastAsia" w:cs="宋体" w:asciiTheme="minorEastAsia" w:hAnsiTheme="minorEastAsia" w:eastAsiaTheme="minorEastAsia"/>
          <w:b/>
          <w:bCs/>
          <w:sz w:val="24"/>
        </w:rPr>
        <w:t xml:space="preserve">            残疾人福利性单位声明函</w:t>
      </w:r>
    </w:p>
    <w:bookmarkEnd w:id="234"/>
    <w:bookmarkEnd w:id="235"/>
    <w:p>
      <w:pPr>
        <w:spacing w:line="588" w:lineRule="exact"/>
        <w:rPr>
          <w:rFonts w:cs="宋体" w:asciiTheme="minorEastAsia" w:hAnsiTheme="minorEastAsia" w:eastAsiaTheme="minorEastAsia"/>
          <w:b/>
          <w:spacing w:val="6"/>
          <w:sz w:val="24"/>
        </w:rPr>
      </w:pP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本单位郑重声明，根据《财政部 民政部 中国残疾人联合会关于促进残疾人就业政府采购政策的通知》（财库</w:t>
      </w:r>
      <w:r>
        <w:rPr>
          <w:rFonts w:hint="eastAsia" w:cs="宋体" w:asciiTheme="minorEastAsia" w:hAnsiTheme="minorEastAsia" w:eastAsiaTheme="minorEastAsia"/>
          <w:sz w:val="24"/>
        </w:rPr>
        <w:t>〔2017〕 141</w:t>
      </w:r>
      <w:r>
        <w:rPr>
          <w:rFonts w:hint="eastAsia" w:cs="宋体" w:asciiTheme="minorEastAsia" w:hAnsiTheme="minorEastAsia" w:eastAsiaTheme="minor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本单位对上述声明的真实性负责。如有虚假，将依法承担相应责任。</w:t>
      </w: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p>
    <w:p>
      <w:pPr>
        <w:tabs>
          <w:tab w:val="left" w:pos="4860"/>
        </w:tabs>
        <w:spacing w:line="360" w:lineRule="auto"/>
        <w:ind w:right="1560" w:firstLine="504" w:firstLineChars="20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                       单位名称：（盖单位章）：</w:t>
      </w:r>
    </w:p>
    <w:p>
      <w:pPr>
        <w:tabs>
          <w:tab w:val="left" w:pos="4860"/>
        </w:tabs>
        <w:spacing w:line="360" w:lineRule="auto"/>
        <w:ind w:right="1560" w:firstLine="504" w:firstLineChars="200"/>
        <w:jc w:val="center"/>
        <w:rPr>
          <w:rFonts w:cs="宋体" w:asciiTheme="minorEastAsia" w:hAnsiTheme="minorEastAsia" w:eastAsiaTheme="minorEastAsia"/>
          <w:spacing w:val="6"/>
          <w:sz w:val="24"/>
        </w:rPr>
      </w:pPr>
    </w:p>
    <w:p>
      <w:pPr>
        <w:tabs>
          <w:tab w:val="left" w:pos="4860"/>
        </w:tabs>
        <w:spacing w:line="360" w:lineRule="auto"/>
        <w:ind w:right="1560" w:firstLine="504" w:firstLineChars="200"/>
        <w:jc w:val="center"/>
        <w:rPr>
          <w:rFonts w:cs="宋体" w:asciiTheme="minorEastAsia" w:hAnsiTheme="minorEastAsia" w:eastAsiaTheme="minorEastAsia"/>
          <w:sz w:val="24"/>
        </w:rPr>
      </w:pPr>
      <w:r>
        <w:rPr>
          <w:rFonts w:hint="eastAsia" w:cs="宋体" w:asciiTheme="minorEastAsia" w:hAnsiTheme="minorEastAsia" w:eastAsiaTheme="minorEastAsia"/>
          <w:spacing w:val="6"/>
          <w:sz w:val="24"/>
        </w:rPr>
        <w:t xml:space="preserve">                   日  期：    年   月  日</w:t>
      </w:r>
    </w:p>
    <w:p>
      <w:pPr>
        <w:adjustRightInd w:val="0"/>
        <w:snapToGrid w:val="0"/>
        <w:spacing w:line="360" w:lineRule="auto"/>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line="360" w:lineRule="auto"/>
        <w:rPr>
          <w:rFonts w:cs="宋体" w:asciiTheme="minorEastAsia" w:hAnsiTheme="minorEastAsia" w:eastAsiaTheme="minorEastAsia"/>
          <w:b/>
          <w:sz w:val="24"/>
        </w:rPr>
        <w:sectPr>
          <w:pgSz w:w="11907" w:h="16840"/>
          <w:pgMar w:top="1440" w:right="1474" w:bottom="1440" w:left="1474" w:header="851" w:footer="992" w:gutter="0"/>
          <w:cols w:space="720" w:num="1"/>
          <w:docGrid w:linePitch="312" w:charSpace="0"/>
        </w:sectPr>
      </w:pPr>
    </w:p>
    <w:p>
      <w:pPr>
        <w:rPr>
          <w:rFonts w:cs="宋体" w:asciiTheme="minorEastAsia" w:hAnsiTheme="minorEastAsia" w:eastAsiaTheme="minorEastAsia"/>
          <w:b/>
          <w:bCs/>
          <w:sz w:val="24"/>
        </w:rPr>
      </w:pPr>
      <w:r>
        <w:rPr>
          <w:rFonts w:hint="eastAsia" w:cs="宋体" w:asciiTheme="minorEastAsia" w:hAnsiTheme="minorEastAsia" w:eastAsiaTheme="minorEastAsia"/>
          <w:sz w:val="24"/>
        </w:rPr>
        <w:t xml:space="preserve">附件3                  </w:t>
      </w:r>
      <w:r>
        <w:rPr>
          <w:rFonts w:hint="eastAsia" w:cs="宋体" w:asciiTheme="minorEastAsia" w:hAnsiTheme="minorEastAsia" w:eastAsiaTheme="minorEastAsia"/>
          <w:b/>
          <w:bCs/>
          <w:sz w:val="24"/>
        </w:rPr>
        <w:t>监狱企业证明文件</w:t>
      </w:r>
    </w:p>
    <w:p>
      <w:pPr>
        <w:adjustRightInd w:val="0"/>
        <w:snapToGrid w:val="0"/>
        <w:spacing w:before="50" w:line="360" w:lineRule="auto"/>
        <w:rPr>
          <w:rFonts w:cs="宋体" w:asciiTheme="minorEastAsia" w:hAnsiTheme="minorEastAsia" w:eastAsiaTheme="minorEastAsia"/>
          <w:b/>
          <w:sz w:val="24"/>
        </w:rPr>
      </w:pP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525"/>
        <w:rPr>
          <w:rFonts w:cs="宋体" w:asciiTheme="minorEastAsia" w:hAnsiTheme="minorEastAsia" w:eastAsiaTheme="minorEastAsia"/>
          <w:bCs/>
          <w:sz w:val="24"/>
        </w:rPr>
      </w:pPr>
      <w:r>
        <w:rPr>
          <w:rFonts w:hint="eastAsia" w:cs="宋体" w:asciiTheme="minorEastAsia" w:hAnsiTheme="minorEastAsia" w:eastAsiaTheme="minorEastAsia"/>
          <w:bCs/>
          <w:sz w:val="24"/>
        </w:rPr>
        <w:t>1.无格式要求，由出具监狱企业证明的单位自行拟定；</w:t>
      </w:r>
    </w:p>
    <w:p>
      <w:pPr>
        <w:adjustRightInd w:val="0"/>
        <w:snapToGrid w:val="0"/>
        <w:spacing w:line="360" w:lineRule="auto"/>
        <w:ind w:firstLine="525"/>
        <w:rPr>
          <w:rFonts w:cs="宋体" w:asciiTheme="minorEastAsia" w:hAnsiTheme="minorEastAsia" w:eastAsiaTheme="minorEastAsia"/>
          <w:sz w:val="24"/>
        </w:rPr>
      </w:pPr>
      <w:r>
        <w:rPr>
          <w:rFonts w:hint="eastAsia" w:cs="宋体" w:asciiTheme="minorEastAsia" w:hAnsiTheme="minorEastAsia" w:eastAsiaTheme="minorEastAsia"/>
          <w:sz w:val="24"/>
        </w:rPr>
        <w:t>2.响应人如实填写本表。符合条件的响应人未按上述要求提供、填写的，评审时不予以考虑。</w:t>
      </w:r>
    </w:p>
    <w:p>
      <w:pPr>
        <w:adjustRightInd w:val="0"/>
        <w:snapToGrid w:val="0"/>
        <w:spacing w:before="50" w:line="360" w:lineRule="auto"/>
        <w:jc w:val="left"/>
        <w:rPr>
          <w:rFonts w:cs="宋体" w:asciiTheme="minorEastAsia" w:hAnsiTheme="minorEastAsia" w:eastAsiaTheme="minorEastAsia"/>
          <w:b/>
          <w:sz w:val="24"/>
        </w:rPr>
        <w:sectPr>
          <w:pgSz w:w="11907" w:h="16840"/>
          <w:pgMar w:top="1440" w:right="1474" w:bottom="1440" w:left="1474" w:header="851" w:footer="992" w:gutter="0"/>
          <w:cols w:space="720" w:num="1"/>
          <w:docGrid w:linePitch="312" w:charSpace="0"/>
        </w:sectPr>
      </w:pPr>
      <w:r>
        <w:rPr>
          <w:rFonts w:hint="eastAsia" w:cs="宋体" w:asciiTheme="minorEastAsia" w:hAnsiTheme="minorEastAsia" w:eastAsiaTheme="minorEastAsia"/>
          <w:b/>
          <w:sz w:val="24"/>
        </w:rPr>
        <w:t>不符合条件的供应商无需填写。如果出现虚假应标，由此产生的后果由供应商自行负责。</w:t>
      </w:r>
    </w:p>
    <w:p>
      <w:pPr>
        <w:rPr>
          <w:rFonts w:cs="宋体" w:asciiTheme="minorEastAsia" w:hAnsiTheme="minorEastAsia" w:eastAsiaTheme="minorEastAsia"/>
          <w:b/>
          <w:bCs/>
          <w:sz w:val="24"/>
        </w:rPr>
      </w:pPr>
      <w:r>
        <w:rPr>
          <w:rFonts w:hint="eastAsia" w:cs="宋体" w:asciiTheme="minorEastAsia" w:hAnsiTheme="minorEastAsia" w:eastAsiaTheme="minorEastAsia"/>
          <w:sz w:val="24"/>
        </w:rPr>
        <w:t xml:space="preserve">附件4       </w:t>
      </w:r>
      <w:r>
        <w:rPr>
          <w:rFonts w:hint="eastAsia" w:cs="宋体" w:asciiTheme="minorEastAsia" w:hAnsiTheme="minorEastAsia" w:eastAsiaTheme="minorEastAsia"/>
          <w:b/>
          <w:bCs/>
          <w:sz w:val="24"/>
        </w:rPr>
        <w:t>“节能产品”、“环境标志产品”证明材料</w:t>
      </w:r>
    </w:p>
    <w:p>
      <w:pPr>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600" w:firstLineChars="250"/>
        <w:rPr>
          <w:rFonts w:cs="宋体" w:asciiTheme="minorEastAsia" w:hAnsiTheme="minorEastAsia" w:eastAsiaTheme="minorEastAsia"/>
          <w:bCs/>
          <w:sz w:val="24"/>
        </w:rPr>
      </w:pPr>
      <w:r>
        <w:rPr>
          <w:rFonts w:hint="eastAsia" w:cs="宋体" w:asciiTheme="minorEastAsia" w:hAnsiTheme="minorEastAsia" w:eastAsiaTheme="minorEastAsia"/>
          <w:bCs/>
          <w:sz w:val="24"/>
        </w:rPr>
        <w:t>1.</w:t>
      </w:r>
      <w:r>
        <w:rPr>
          <w:rFonts w:hint="eastAsia" w:cs="宋体" w:asciiTheme="minorEastAsia" w:hAnsiTheme="minorEastAsia" w:eastAsiaTheme="minorEastAsia"/>
          <w:sz w:val="24"/>
        </w:rPr>
        <w:t>响应人提供的产品</w:t>
      </w:r>
      <w:r>
        <w:rPr>
          <w:rFonts w:hint="eastAsia" w:cs="宋体" w:asciiTheme="minorEastAsia" w:hAnsiTheme="minorEastAsia" w:eastAsiaTheme="minorEastAsia"/>
          <w:bCs/>
          <w:sz w:val="24"/>
        </w:rPr>
        <w:t>属于节能产品或环境标志产品的</w:t>
      </w:r>
      <w:r>
        <w:rPr>
          <w:rFonts w:hint="eastAsia" w:cs="宋体" w:asciiTheme="minorEastAsia" w:hAnsiTheme="minorEastAsia" w:eastAsiaTheme="minorEastAsia"/>
          <w:sz w:val="24"/>
        </w:rPr>
        <w:t>，应按响应人须知第3.4.1项规定提供相关证明材料，并在《货物（产品）分项报价表》中填写相应的证书编号；</w:t>
      </w:r>
    </w:p>
    <w:p>
      <w:pPr>
        <w:adjustRightInd w:val="0"/>
        <w:snapToGrid w:val="0"/>
        <w:spacing w:line="360" w:lineRule="auto"/>
        <w:ind w:firstLine="600" w:firstLineChars="250"/>
        <w:rPr>
          <w:rFonts w:cs="宋体" w:asciiTheme="minorEastAsia" w:hAnsiTheme="minorEastAsia" w:eastAsiaTheme="minorEastAsia"/>
          <w:bCs/>
          <w:sz w:val="24"/>
        </w:rPr>
      </w:pPr>
      <w:r>
        <w:rPr>
          <w:rFonts w:hint="eastAsia" w:cs="宋体" w:asciiTheme="minorEastAsia" w:hAnsiTheme="minorEastAsia" w:eastAsiaTheme="minorEastAsia"/>
          <w:bCs/>
          <w:sz w:val="24"/>
        </w:rPr>
        <w:t>2.响应人未按上述要求提供、</w:t>
      </w:r>
      <w:r>
        <w:rPr>
          <w:rFonts w:hint="eastAsia" w:cs="宋体" w:asciiTheme="minorEastAsia" w:hAnsiTheme="minorEastAsia" w:eastAsiaTheme="minorEastAsia"/>
          <w:sz w:val="24"/>
        </w:rPr>
        <w:t>填写</w:t>
      </w:r>
      <w:r>
        <w:rPr>
          <w:rFonts w:hint="eastAsia" w:cs="宋体" w:asciiTheme="minorEastAsia" w:hAnsiTheme="minorEastAsia" w:eastAsiaTheme="minorEastAsia"/>
          <w:bCs/>
          <w:sz w:val="24"/>
        </w:rPr>
        <w:t>的，评标时不予加分。</w:t>
      </w:r>
    </w:p>
    <w:p>
      <w:pPr>
        <w:adjustRightInd w:val="0"/>
        <w:snapToGrid w:val="0"/>
        <w:spacing w:line="360" w:lineRule="auto"/>
        <w:ind w:firstLine="525" w:firstLineChars="250"/>
        <w:rPr>
          <w:rFonts w:cs="宋体" w:asciiTheme="minorEastAsia" w:hAnsiTheme="minorEastAsia" w:eastAsiaTheme="minorEastAsia"/>
          <w:bCs/>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sectPr>
      <w:pgSz w:w="11907" w:h="16840"/>
      <w:pgMar w:top="1474" w:right="1587" w:bottom="147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4</w:t>
    </w:r>
    <w:r>
      <w:fldChar w:fldCharType="end"/>
    </w:r>
  </w:p>
  <w:p>
    <w:pPr>
      <w:pStyle w:val="20"/>
      <w:pBdr>
        <w:bottom w:val="single" w:color="auto" w:sz="6" w:space="1"/>
      </w:pBdr>
      <w:ind w:right="360"/>
      <w:rPr>
        <w:kern w:val="0"/>
        <w:szCs w:val="21"/>
      </w:rPr>
    </w:pPr>
  </w:p>
  <w:p>
    <w:pPr>
      <w:pStyle w:val="20"/>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93</w:t>
    </w:r>
    <w:r>
      <w:rPr>
        <w:kern w:val="0"/>
        <w:szCs w:val="21"/>
      </w:rPr>
      <w:fldChar w:fldCharType="end"/>
    </w:r>
    <w:r>
      <w:rPr>
        <w:rFonts w:hint="eastAsia"/>
        <w:kern w:val="0"/>
        <w:szCs w:val="21"/>
      </w:rPr>
      <w:t xml:space="preserve"> 页</w:t>
    </w:r>
  </w:p>
  <w:p>
    <w:pPr>
      <w:pStyle w:val="20"/>
      <w:jc w:val="both"/>
    </w:pPr>
    <w:r>
      <w:rPr>
        <w:rFonts w:hint="eastAsia"/>
        <w:kern w:val="0"/>
        <w:szCs w:val="21"/>
      </w:rPr>
      <w:t>联系电话：029-88472386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rPr>
        <w:b/>
        <w:kern w:val="0"/>
        <w:szCs w:val="21"/>
      </w:rPr>
    </w:pP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posOffset>2315210</wp:posOffset>
              </wp:positionH>
              <wp:positionV relativeFrom="paragraph">
                <wp:posOffset>-8890</wp:posOffset>
              </wp:positionV>
              <wp:extent cx="1171575" cy="1568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71575" cy="156845"/>
                      </a:xfrm>
                      <a:prstGeom prst="rect">
                        <a:avLst/>
                      </a:prstGeom>
                      <a:noFill/>
                      <a:ln>
                        <a:noFill/>
                      </a:ln>
                      <a:effectLst/>
                    </wps:spPr>
                    <wps:txbx>
                      <w:txbxContent>
                        <w:p>
                          <w:pPr>
                            <w:pStyle w:val="20"/>
                          </w:pPr>
                          <w:r>
                            <w:rPr>
                              <w:rFonts w:hint="eastAsia"/>
                            </w:rPr>
                            <w:t xml:space="preserve">第 </w:t>
                          </w:r>
                          <w:r>
                            <w:fldChar w:fldCharType="begin"/>
                          </w:r>
                          <w:r>
                            <w:instrText xml:space="preserve"> PAGE  \* MERGEFORMAT </w:instrText>
                          </w:r>
                          <w:r>
                            <w:fldChar w:fldCharType="separate"/>
                          </w:r>
                          <w:r>
                            <w:t>14</w:t>
                          </w:r>
                          <w:r>
                            <w:fldChar w:fldCharType="end"/>
                          </w:r>
                          <w:r>
                            <w:rPr>
                              <w:rFonts w:hint="eastAsia"/>
                            </w:rPr>
                            <w:t xml:space="preserve"> 页 共 87 页</w:t>
                          </w:r>
                        </w:p>
                      </w:txbxContent>
                    </wps:txbx>
                    <wps:bodyPr vert="horz" wrap="square" lIns="0" tIns="0" rIns="0" bIns="0" anchor="t">
                      <a:noAutofit/>
                    </wps:bodyPr>
                  </wps:wsp>
                </a:graphicData>
              </a:graphic>
            </wp:anchor>
          </w:drawing>
        </mc:Choice>
        <mc:Fallback>
          <w:pict>
            <v:shape id="文本框 1" o:spid="_x0000_s1026" o:spt="202" type="#_x0000_t202" style="position:absolute;left:0pt;margin-left:182.3pt;margin-top:-0.7pt;height:12.35pt;width:92.25pt;mso-position-horizontal-relative:margin;z-index:251660288;mso-width-relative:page;mso-height-relative:page;" filled="f" stroked="f" coordsize="21600,21600" o:gfxdata="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dBaFPZAAAACQEAAA8A&#10;AAAAAAAAAQAgAAAAIgAAAGRycy9kb3ducmV2LnhtbFBLAQIUABQAAAAIAIdO4kBqCmSl3QEAALMD&#10;AAAOAAAAAAAAAAEAIAAAACgBAABkcnMvZTJvRG9jLnhtbFBLBQYAAAAABgAGAFkBAAB3BQAAAAA=&#10;">
              <v:fill on="f" focussize="0,0"/>
              <v:stroke on="f"/>
              <v:imagedata o:title=""/>
              <o:lock v:ext="edit" aspectratio="f"/>
              <v:textbox inset="0mm,0mm,0mm,0mm">
                <w:txbxContent>
                  <w:p>
                    <w:pPr>
                      <w:pStyle w:val="20"/>
                    </w:pPr>
                    <w:r>
                      <w:rPr>
                        <w:rFonts w:hint="eastAsia"/>
                      </w:rPr>
                      <w:t xml:space="preserve">第 </w:t>
                    </w:r>
                    <w:r>
                      <w:fldChar w:fldCharType="begin"/>
                    </w:r>
                    <w:r>
                      <w:instrText xml:space="preserve"> PAGE  \* MERGEFORMAT </w:instrText>
                    </w:r>
                    <w:r>
                      <w:fldChar w:fldCharType="separate"/>
                    </w:r>
                    <w:r>
                      <w:t>14</w:t>
                    </w:r>
                    <w:r>
                      <w:fldChar w:fldCharType="end"/>
                    </w:r>
                    <w:r>
                      <w:rPr>
                        <w:rFonts w:hint="eastAsia"/>
                      </w:rPr>
                      <w:t xml:space="preserve"> 页 共 87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0"/>
                          </w:pPr>
                          <w:r>
                            <w:rPr>
                              <w:rFonts w:hint="eastAsia"/>
                            </w:rPr>
                            <w:t xml:space="preserve">第 </w:t>
                          </w:r>
                          <w:r>
                            <w:fldChar w:fldCharType="begin"/>
                          </w:r>
                          <w:r>
                            <w:instrText xml:space="preserve"> PAGE  \* MERGEFORMAT </w:instrText>
                          </w:r>
                          <w:r>
                            <w:fldChar w:fldCharType="separate"/>
                          </w:r>
                          <w:r>
                            <w:t>77</w:t>
                          </w:r>
                          <w:r>
                            <w:fldChar w:fldCharType="end"/>
                          </w:r>
                          <w:r>
                            <w:rPr>
                              <w:rFonts w:hint="eastAsia"/>
                            </w:rPr>
                            <w:t xml:space="preserve"> 页 共 </w:t>
                          </w:r>
                          <w:r>
                            <w:rPr>
                              <w:rFonts w:hint="eastAsia"/>
                              <w:lang w:val="en-US" w:eastAsia="zh-CN"/>
                            </w:rPr>
                            <w:t>87</w:t>
                          </w:r>
                          <w:r>
                            <w:rPr>
                              <w:rFonts w:hint="eastAsia"/>
                            </w:rPr>
                            <w:t xml:space="preserve"> 页</w:t>
                          </w:r>
                        </w:p>
                      </w:txbxContent>
                    </wps:txbx>
                    <wps:bodyPr vert="horz" wrap="none" lIns="0" tIns="0" rIns="0" bIns="0" anchor="t">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yTS2U1QEAALIDAAAOAAAAAAAAAAEAIAAAAB4B&#10;AABkcnMvZTJvRG9jLnhtbFBLBQYAAAAABgAGAFkBAABlBQAAAAA=&#10;">
              <v:fill on="f" focussize="0,0"/>
              <v:stroke on="f"/>
              <v:imagedata o:title=""/>
              <o:lock v:ext="edit" aspectratio="f"/>
              <v:textbox inset="0mm,0mm,0mm,0mm" style="mso-fit-shape-to-text:t;">
                <w:txbxContent>
                  <w:p>
                    <w:pPr>
                      <w:pStyle w:val="20"/>
                    </w:pPr>
                    <w:r>
                      <w:rPr>
                        <w:rFonts w:hint="eastAsia"/>
                      </w:rPr>
                      <w:t xml:space="preserve">第 </w:t>
                    </w:r>
                    <w:r>
                      <w:fldChar w:fldCharType="begin"/>
                    </w:r>
                    <w:r>
                      <w:instrText xml:space="preserve"> PAGE  \* MERGEFORMAT </w:instrText>
                    </w:r>
                    <w:r>
                      <w:fldChar w:fldCharType="separate"/>
                    </w:r>
                    <w:r>
                      <w:t>77</w:t>
                    </w:r>
                    <w:r>
                      <w:fldChar w:fldCharType="end"/>
                    </w:r>
                    <w:r>
                      <w:rPr>
                        <w:rFonts w:hint="eastAsia"/>
                      </w:rPr>
                      <w:t xml:space="preserve"> 页 共 </w:t>
                    </w:r>
                    <w:r>
                      <w:rPr>
                        <w:rFonts w:hint="eastAsia"/>
                        <w:lang w:val="en-US" w:eastAsia="zh-CN"/>
                      </w:rPr>
                      <w:t>87</w:t>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rFonts w:hint="eastAsia" w:cs="宋体" w:asciiTheme="minorEastAsia" w:hAnsiTheme="minorEastAsia" w:eastAsiaTheme="minorEastAsia"/>
        <w:bCs/>
        <w:sz w:val="21"/>
        <w:szCs w:val="21"/>
      </w:rPr>
      <w:t>陕西省无线电管理委员会派出机构无线电监测设备运行维护项目(2包)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bCs/>
        <w:sz w:val="21"/>
        <w:szCs w:val="21"/>
      </w:rPr>
    </w:pPr>
    <w:r>
      <w:rPr>
        <w:rFonts w:hint="eastAsia" w:cs="宋体" w:asciiTheme="minorEastAsia" w:hAnsiTheme="minorEastAsia" w:eastAsiaTheme="minorEastAsia"/>
        <w:bCs/>
        <w:sz w:val="21"/>
        <w:szCs w:val="21"/>
      </w:rPr>
      <w:t>陕西省无线电管理委员会派出机构无线电监测设备运行维护项目(2包)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93BD0"/>
    <w:multiLevelType w:val="singleLevel"/>
    <w:tmpl w:val="88893BD0"/>
    <w:lvl w:ilvl="0" w:tentative="0">
      <w:start w:val="12"/>
      <w:numFmt w:val="decimal"/>
      <w:suff w:val="space"/>
      <w:lvlText w:val="%1."/>
      <w:lvlJc w:val="left"/>
    </w:lvl>
  </w:abstractNum>
  <w:abstractNum w:abstractNumId="1">
    <w:nsid w:val="A5A65F6B"/>
    <w:multiLevelType w:val="singleLevel"/>
    <w:tmpl w:val="A5A65F6B"/>
    <w:lvl w:ilvl="0" w:tentative="0">
      <w:start w:val="6"/>
      <w:numFmt w:val="chineseCounting"/>
      <w:suff w:val="nothing"/>
      <w:lvlText w:val="%1、"/>
      <w:lvlJc w:val="left"/>
      <w:rPr>
        <w:rFonts w:hint="eastAsia"/>
      </w:rPr>
    </w:lvl>
  </w:abstractNum>
  <w:abstractNum w:abstractNumId="2">
    <w:nsid w:val="A9DF0726"/>
    <w:multiLevelType w:val="singleLevel"/>
    <w:tmpl w:val="A9DF0726"/>
    <w:lvl w:ilvl="0" w:tentative="0">
      <w:start w:val="1"/>
      <w:numFmt w:val="decimal"/>
      <w:suff w:val="nothing"/>
      <w:lvlText w:val="（%1）"/>
      <w:lvlJc w:val="left"/>
    </w:lvl>
  </w:abstractNum>
  <w:abstractNum w:abstractNumId="3">
    <w:nsid w:val="B2DB323D"/>
    <w:multiLevelType w:val="singleLevel"/>
    <w:tmpl w:val="B2DB323D"/>
    <w:lvl w:ilvl="0" w:tentative="0">
      <w:start w:val="1"/>
      <w:numFmt w:val="decimal"/>
      <w:suff w:val="space"/>
      <w:lvlText w:val="%1."/>
      <w:lvlJc w:val="left"/>
    </w:lvl>
  </w:abstractNum>
  <w:abstractNum w:abstractNumId="4">
    <w:nsid w:val="B73FB29C"/>
    <w:multiLevelType w:val="singleLevel"/>
    <w:tmpl w:val="B73FB29C"/>
    <w:lvl w:ilvl="0" w:tentative="0">
      <w:start w:val="6"/>
      <w:numFmt w:val="decimal"/>
      <w:suff w:val="nothing"/>
      <w:lvlText w:val="%1、"/>
      <w:lvlJc w:val="left"/>
    </w:lvl>
  </w:abstractNum>
  <w:abstractNum w:abstractNumId="5">
    <w:nsid w:val="BA2E846F"/>
    <w:multiLevelType w:val="singleLevel"/>
    <w:tmpl w:val="BA2E846F"/>
    <w:lvl w:ilvl="0" w:tentative="0">
      <w:start w:val="1"/>
      <w:numFmt w:val="chineseCounting"/>
      <w:suff w:val="space"/>
      <w:lvlText w:val="第%1章"/>
      <w:lvlJc w:val="left"/>
      <w:rPr>
        <w:rFonts w:hint="eastAsia"/>
      </w:rPr>
    </w:lvl>
  </w:abstractNum>
  <w:abstractNum w:abstractNumId="6">
    <w:nsid w:val="F49317F2"/>
    <w:multiLevelType w:val="singleLevel"/>
    <w:tmpl w:val="F49317F2"/>
    <w:lvl w:ilvl="0" w:tentative="0">
      <w:start w:val="1"/>
      <w:numFmt w:val="decimal"/>
      <w:suff w:val="space"/>
      <w:lvlText w:val="%1."/>
      <w:lvlJc w:val="left"/>
    </w:lvl>
  </w:abstractNum>
  <w:abstractNum w:abstractNumId="7">
    <w:nsid w:val="3181554A"/>
    <w:multiLevelType w:val="multilevel"/>
    <w:tmpl w:val="3181554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9">
    <w:nsid w:val="42EB8BD4"/>
    <w:multiLevelType w:val="singleLevel"/>
    <w:tmpl w:val="42EB8BD4"/>
    <w:lvl w:ilvl="0" w:tentative="0">
      <w:start w:val="1"/>
      <w:numFmt w:val="decimal"/>
      <w:suff w:val="nothing"/>
      <w:lvlText w:val="（%1）"/>
      <w:lvlJc w:val="left"/>
    </w:lvl>
  </w:abstractNum>
  <w:abstractNum w:abstractNumId="10">
    <w:nsid w:val="531D060C"/>
    <w:multiLevelType w:val="singleLevel"/>
    <w:tmpl w:val="531D060C"/>
    <w:lvl w:ilvl="0" w:tentative="0">
      <w:start w:val="2"/>
      <w:numFmt w:val="chineseCounting"/>
      <w:suff w:val="space"/>
      <w:lvlText w:val="第%1章"/>
      <w:lvlJc w:val="left"/>
      <w:rPr>
        <w:rFonts w:hint="eastAsia"/>
      </w:rPr>
    </w:lvl>
  </w:abstractNum>
  <w:abstractNum w:abstractNumId="11">
    <w:nsid w:val="5E2218E5"/>
    <w:multiLevelType w:val="multilevel"/>
    <w:tmpl w:val="5E2218E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1F7638F"/>
    <w:multiLevelType w:val="multilevel"/>
    <w:tmpl w:val="71F7638F"/>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BC16021"/>
    <w:multiLevelType w:val="multilevel"/>
    <w:tmpl w:val="7BC1602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10"/>
  </w:num>
  <w:num w:numId="6">
    <w:abstractNumId w:val="6"/>
  </w:num>
  <w:num w:numId="7">
    <w:abstractNumId w:val="0"/>
  </w:num>
  <w:num w:numId="8">
    <w:abstractNumId w:val="9"/>
  </w:num>
  <w:num w:numId="9">
    <w:abstractNumId w:val="2"/>
  </w:num>
  <w:num w:numId="10">
    <w:abstractNumId w:val="3"/>
  </w:num>
  <w:num w:numId="11">
    <w:abstractNumId w:val="12"/>
  </w:num>
  <w:num w:numId="12">
    <w:abstractNumId w:val="1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NWQ4NGVhMTdlYjY4OGMxZmY2YWQ0ODFmYzIwMjkifQ=="/>
  </w:docVars>
  <w:rsids>
    <w:rsidRoot w:val="00E07E8D"/>
    <w:rsid w:val="0000016D"/>
    <w:rsid w:val="000022B9"/>
    <w:rsid w:val="0000261C"/>
    <w:rsid w:val="000026CA"/>
    <w:rsid w:val="00002731"/>
    <w:rsid w:val="00002F7A"/>
    <w:rsid w:val="00002F9F"/>
    <w:rsid w:val="000037C9"/>
    <w:rsid w:val="00003C7F"/>
    <w:rsid w:val="00004ED1"/>
    <w:rsid w:val="00005385"/>
    <w:rsid w:val="00007C41"/>
    <w:rsid w:val="00007D47"/>
    <w:rsid w:val="00010863"/>
    <w:rsid w:val="0001090E"/>
    <w:rsid w:val="00010C6B"/>
    <w:rsid w:val="00010F17"/>
    <w:rsid w:val="000112F4"/>
    <w:rsid w:val="00011C96"/>
    <w:rsid w:val="0001236F"/>
    <w:rsid w:val="00016B35"/>
    <w:rsid w:val="00016CC4"/>
    <w:rsid w:val="00016DF8"/>
    <w:rsid w:val="00016FEF"/>
    <w:rsid w:val="00017B77"/>
    <w:rsid w:val="00017F51"/>
    <w:rsid w:val="000200BB"/>
    <w:rsid w:val="00020477"/>
    <w:rsid w:val="00022627"/>
    <w:rsid w:val="0002333B"/>
    <w:rsid w:val="0002418E"/>
    <w:rsid w:val="000261A3"/>
    <w:rsid w:val="00026B21"/>
    <w:rsid w:val="000273A1"/>
    <w:rsid w:val="0003048D"/>
    <w:rsid w:val="0003181B"/>
    <w:rsid w:val="00031D3B"/>
    <w:rsid w:val="00033240"/>
    <w:rsid w:val="00033D8C"/>
    <w:rsid w:val="000342F8"/>
    <w:rsid w:val="000349A2"/>
    <w:rsid w:val="000359FE"/>
    <w:rsid w:val="00036BD5"/>
    <w:rsid w:val="00037195"/>
    <w:rsid w:val="00040272"/>
    <w:rsid w:val="00040F1A"/>
    <w:rsid w:val="0004115D"/>
    <w:rsid w:val="00041C0E"/>
    <w:rsid w:val="000420AB"/>
    <w:rsid w:val="0004281A"/>
    <w:rsid w:val="000433B9"/>
    <w:rsid w:val="0004390A"/>
    <w:rsid w:val="00043B25"/>
    <w:rsid w:val="000443F3"/>
    <w:rsid w:val="000448F4"/>
    <w:rsid w:val="0004577D"/>
    <w:rsid w:val="00046582"/>
    <w:rsid w:val="00047F96"/>
    <w:rsid w:val="000500AF"/>
    <w:rsid w:val="000501D5"/>
    <w:rsid w:val="000504F2"/>
    <w:rsid w:val="00052F51"/>
    <w:rsid w:val="00053172"/>
    <w:rsid w:val="00053FEA"/>
    <w:rsid w:val="000544AB"/>
    <w:rsid w:val="00054888"/>
    <w:rsid w:val="000561CD"/>
    <w:rsid w:val="000569F5"/>
    <w:rsid w:val="00056EC0"/>
    <w:rsid w:val="000578D3"/>
    <w:rsid w:val="00060B4C"/>
    <w:rsid w:val="0006207C"/>
    <w:rsid w:val="00063CD5"/>
    <w:rsid w:val="0006604A"/>
    <w:rsid w:val="000668A3"/>
    <w:rsid w:val="0006703E"/>
    <w:rsid w:val="0007012B"/>
    <w:rsid w:val="00070648"/>
    <w:rsid w:val="00070F80"/>
    <w:rsid w:val="0007142D"/>
    <w:rsid w:val="0007190E"/>
    <w:rsid w:val="00072537"/>
    <w:rsid w:val="00072590"/>
    <w:rsid w:val="000727D1"/>
    <w:rsid w:val="00072FDD"/>
    <w:rsid w:val="000731E2"/>
    <w:rsid w:val="00073752"/>
    <w:rsid w:val="00075104"/>
    <w:rsid w:val="00075E0B"/>
    <w:rsid w:val="00076076"/>
    <w:rsid w:val="00076569"/>
    <w:rsid w:val="00076ACA"/>
    <w:rsid w:val="00076AF5"/>
    <w:rsid w:val="0007760B"/>
    <w:rsid w:val="00077933"/>
    <w:rsid w:val="000779F1"/>
    <w:rsid w:val="000803B2"/>
    <w:rsid w:val="00080440"/>
    <w:rsid w:val="00080D77"/>
    <w:rsid w:val="00081035"/>
    <w:rsid w:val="000825C8"/>
    <w:rsid w:val="0008287C"/>
    <w:rsid w:val="00082B87"/>
    <w:rsid w:val="00082E20"/>
    <w:rsid w:val="0008344F"/>
    <w:rsid w:val="000837F0"/>
    <w:rsid w:val="00086728"/>
    <w:rsid w:val="000868AC"/>
    <w:rsid w:val="00087097"/>
    <w:rsid w:val="0009005B"/>
    <w:rsid w:val="00090B1B"/>
    <w:rsid w:val="00090CA3"/>
    <w:rsid w:val="000910D1"/>
    <w:rsid w:val="00093E47"/>
    <w:rsid w:val="00093FAD"/>
    <w:rsid w:val="0009400A"/>
    <w:rsid w:val="000941EA"/>
    <w:rsid w:val="000945C6"/>
    <w:rsid w:val="00095192"/>
    <w:rsid w:val="00095796"/>
    <w:rsid w:val="00095EC0"/>
    <w:rsid w:val="00096778"/>
    <w:rsid w:val="00096E8E"/>
    <w:rsid w:val="0009711C"/>
    <w:rsid w:val="00097367"/>
    <w:rsid w:val="00097AD1"/>
    <w:rsid w:val="000A0A10"/>
    <w:rsid w:val="000A1612"/>
    <w:rsid w:val="000A17A5"/>
    <w:rsid w:val="000A20AD"/>
    <w:rsid w:val="000A2C28"/>
    <w:rsid w:val="000A3CF2"/>
    <w:rsid w:val="000A3D69"/>
    <w:rsid w:val="000A403F"/>
    <w:rsid w:val="000A45DB"/>
    <w:rsid w:val="000A4FE4"/>
    <w:rsid w:val="000A6CAA"/>
    <w:rsid w:val="000A79D4"/>
    <w:rsid w:val="000B0B6E"/>
    <w:rsid w:val="000B0E51"/>
    <w:rsid w:val="000B12AF"/>
    <w:rsid w:val="000B2517"/>
    <w:rsid w:val="000B2925"/>
    <w:rsid w:val="000B50ED"/>
    <w:rsid w:val="000B5F7E"/>
    <w:rsid w:val="000B6C05"/>
    <w:rsid w:val="000C0130"/>
    <w:rsid w:val="000C03C2"/>
    <w:rsid w:val="000C18DA"/>
    <w:rsid w:val="000C18FE"/>
    <w:rsid w:val="000C1A60"/>
    <w:rsid w:val="000C1D68"/>
    <w:rsid w:val="000C252A"/>
    <w:rsid w:val="000C31D9"/>
    <w:rsid w:val="000C36DF"/>
    <w:rsid w:val="000C38BF"/>
    <w:rsid w:val="000C3E68"/>
    <w:rsid w:val="000C45B5"/>
    <w:rsid w:val="000C5B36"/>
    <w:rsid w:val="000C6149"/>
    <w:rsid w:val="000C6174"/>
    <w:rsid w:val="000C6BD2"/>
    <w:rsid w:val="000C6D58"/>
    <w:rsid w:val="000D028A"/>
    <w:rsid w:val="000D09C2"/>
    <w:rsid w:val="000D0AC8"/>
    <w:rsid w:val="000D11D7"/>
    <w:rsid w:val="000D14D4"/>
    <w:rsid w:val="000D211D"/>
    <w:rsid w:val="000D216A"/>
    <w:rsid w:val="000D21F1"/>
    <w:rsid w:val="000D407A"/>
    <w:rsid w:val="000D48DB"/>
    <w:rsid w:val="000D4B8F"/>
    <w:rsid w:val="000D4E6D"/>
    <w:rsid w:val="000D6378"/>
    <w:rsid w:val="000D769C"/>
    <w:rsid w:val="000E000E"/>
    <w:rsid w:val="000E00BC"/>
    <w:rsid w:val="000E45DD"/>
    <w:rsid w:val="000E49DF"/>
    <w:rsid w:val="000E4FFE"/>
    <w:rsid w:val="000E62FD"/>
    <w:rsid w:val="000E6451"/>
    <w:rsid w:val="000E65DB"/>
    <w:rsid w:val="000E66A1"/>
    <w:rsid w:val="000E7856"/>
    <w:rsid w:val="000E7DDB"/>
    <w:rsid w:val="000F099F"/>
    <w:rsid w:val="000F1020"/>
    <w:rsid w:val="000F13C1"/>
    <w:rsid w:val="000F1761"/>
    <w:rsid w:val="000F193D"/>
    <w:rsid w:val="000F1B02"/>
    <w:rsid w:val="000F1FD4"/>
    <w:rsid w:val="000F2C30"/>
    <w:rsid w:val="000F2FCF"/>
    <w:rsid w:val="000F3AC0"/>
    <w:rsid w:val="000F3AFE"/>
    <w:rsid w:val="000F4770"/>
    <w:rsid w:val="000F6F99"/>
    <w:rsid w:val="000F70E0"/>
    <w:rsid w:val="000F733B"/>
    <w:rsid w:val="000F780C"/>
    <w:rsid w:val="000F7EF6"/>
    <w:rsid w:val="001009D9"/>
    <w:rsid w:val="00101938"/>
    <w:rsid w:val="00102BC2"/>
    <w:rsid w:val="00103381"/>
    <w:rsid w:val="00104A32"/>
    <w:rsid w:val="00104D09"/>
    <w:rsid w:val="00104DCA"/>
    <w:rsid w:val="00107250"/>
    <w:rsid w:val="00107DB4"/>
    <w:rsid w:val="001101E6"/>
    <w:rsid w:val="001102CC"/>
    <w:rsid w:val="001108AF"/>
    <w:rsid w:val="00110D6A"/>
    <w:rsid w:val="00111706"/>
    <w:rsid w:val="0011178F"/>
    <w:rsid w:val="00113423"/>
    <w:rsid w:val="00113F51"/>
    <w:rsid w:val="00115001"/>
    <w:rsid w:val="00115838"/>
    <w:rsid w:val="00116557"/>
    <w:rsid w:val="00116653"/>
    <w:rsid w:val="00116CE8"/>
    <w:rsid w:val="001174C6"/>
    <w:rsid w:val="0011788F"/>
    <w:rsid w:val="00117A78"/>
    <w:rsid w:val="00120BA6"/>
    <w:rsid w:val="001215FD"/>
    <w:rsid w:val="00121B3E"/>
    <w:rsid w:val="0012286F"/>
    <w:rsid w:val="00122E1A"/>
    <w:rsid w:val="00123B12"/>
    <w:rsid w:val="0012561F"/>
    <w:rsid w:val="00126512"/>
    <w:rsid w:val="00126766"/>
    <w:rsid w:val="001267D4"/>
    <w:rsid w:val="0012717F"/>
    <w:rsid w:val="00131051"/>
    <w:rsid w:val="001317B6"/>
    <w:rsid w:val="00131AF9"/>
    <w:rsid w:val="00133913"/>
    <w:rsid w:val="00135D48"/>
    <w:rsid w:val="001361C5"/>
    <w:rsid w:val="00136B8B"/>
    <w:rsid w:val="00136E30"/>
    <w:rsid w:val="00136F6F"/>
    <w:rsid w:val="001376FA"/>
    <w:rsid w:val="00137E4B"/>
    <w:rsid w:val="00140600"/>
    <w:rsid w:val="00140B9B"/>
    <w:rsid w:val="00140D50"/>
    <w:rsid w:val="001419B6"/>
    <w:rsid w:val="00141B50"/>
    <w:rsid w:val="00142FBD"/>
    <w:rsid w:val="0014361E"/>
    <w:rsid w:val="001437ED"/>
    <w:rsid w:val="0014405E"/>
    <w:rsid w:val="001441BB"/>
    <w:rsid w:val="0014435D"/>
    <w:rsid w:val="001449BE"/>
    <w:rsid w:val="00145FE4"/>
    <w:rsid w:val="001475B0"/>
    <w:rsid w:val="00150FD4"/>
    <w:rsid w:val="00151A8A"/>
    <w:rsid w:val="001520A4"/>
    <w:rsid w:val="001521FF"/>
    <w:rsid w:val="001531CC"/>
    <w:rsid w:val="001542EC"/>
    <w:rsid w:val="0015590F"/>
    <w:rsid w:val="0015668B"/>
    <w:rsid w:val="001566A1"/>
    <w:rsid w:val="0015744E"/>
    <w:rsid w:val="00160013"/>
    <w:rsid w:val="00160C06"/>
    <w:rsid w:val="001615ED"/>
    <w:rsid w:val="00161BC5"/>
    <w:rsid w:val="001623AB"/>
    <w:rsid w:val="00162E7B"/>
    <w:rsid w:val="00163B7B"/>
    <w:rsid w:val="0016427A"/>
    <w:rsid w:val="00164C1D"/>
    <w:rsid w:val="00166C9F"/>
    <w:rsid w:val="0017046B"/>
    <w:rsid w:val="001706FD"/>
    <w:rsid w:val="001707E5"/>
    <w:rsid w:val="0017094C"/>
    <w:rsid w:val="00171298"/>
    <w:rsid w:val="0017230B"/>
    <w:rsid w:val="001726D5"/>
    <w:rsid w:val="001728AA"/>
    <w:rsid w:val="00172CDB"/>
    <w:rsid w:val="001730A8"/>
    <w:rsid w:val="00173830"/>
    <w:rsid w:val="0017384A"/>
    <w:rsid w:val="001749C9"/>
    <w:rsid w:val="00174F76"/>
    <w:rsid w:val="0017522E"/>
    <w:rsid w:val="00175CF9"/>
    <w:rsid w:val="00176668"/>
    <w:rsid w:val="00176BEF"/>
    <w:rsid w:val="00176D84"/>
    <w:rsid w:val="00177691"/>
    <w:rsid w:val="00177A77"/>
    <w:rsid w:val="00181155"/>
    <w:rsid w:val="00181700"/>
    <w:rsid w:val="001831B0"/>
    <w:rsid w:val="00183545"/>
    <w:rsid w:val="00183C97"/>
    <w:rsid w:val="00184641"/>
    <w:rsid w:val="00184DB2"/>
    <w:rsid w:val="0018523A"/>
    <w:rsid w:val="00187096"/>
    <w:rsid w:val="0018716C"/>
    <w:rsid w:val="00187946"/>
    <w:rsid w:val="001905BD"/>
    <w:rsid w:val="00190FA0"/>
    <w:rsid w:val="0019113C"/>
    <w:rsid w:val="001919B3"/>
    <w:rsid w:val="001926DC"/>
    <w:rsid w:val="00192BA5"/>
    <w:rsid w:val="00192D0E"/>
    <w:rsid w:val="00193643"/>
    <w:rsid w:val="001941A7"/>
    <w:rsid w:val="001947A6"/>
    <w:rsid w:val="001969A6"/>
    <w:rsid w:val="00197033"/>
    <w:rsid w:val="00197166"/>
    <w:rsid w:val="0019724F"/>
    <w:rsid w:val="00197CA6"/>
    <w:rsid w:val="001A0594"/>
    <w:rsid w:val="001A0C64"/>
    <w:rsid w:val="001A0C7A"/>
    <w:rsid w:val="001A14AA"/>
    <w:rsid w:val="001A1E76"/>
    <w:rsid w:val="001A25B5"/>
    <w:rsid w:val="001A2859"/>
    <w:rsid w:val="001A31E7"/>
    <w:rsid w:val="001A4167"/>
    <w:rsid w:val="001A4223"/>
    <w:rsid w:val="001A48D6"/>
    <w:rsid w:val="001A5341"/>
    <w:rsid w:val="001A5705"/>
    <w:rsid w:val="001A7453"/>
    <w:rsid w:val="001A7948"/>
    <w:rsid w:val="001B06FF"/>
    <w:rsid w:val="001B0F19"/>
    <w:rsid w:val="001B10A4"/>
    <w:rsid w:val="001B1BCC"/>
    <w:rsid w:val="001B2966"/>
    <w:rsid w:val="001B2A3F"/>
    <w:rsid w:val="001B3139"/>
    <w:rsid w:val="001B4452"/>
    <w:rsid w:val="001B45AB"/>
    <w:rsid w:val="001B4995"/>
    <w:rsid w:val="001B591F"/>
    <w:rsid w:val="001B62A7"/>
    <w:rsid w:val="001B6719"/>
    <w:rsid w:val="001B7859"/>
    <w:rsid w:val="001B7D96"/>
    <w:rsid w:val="001C057A"/>
    <w:rsid w:val="001C1B0E"/>
    <w:rsid w:val="001C20D1"/>
    <w:rsid w:val="001C25F7"/>
    <w:rsid w:val="001C299E"/>
    <w:rsid w:val="001C35C3"/>
    <w:rsid w:val="001C3F13"/>
    <w:rsid w:val="001C4011"/>
    <w:rsid w:val="001C455E"/>
    <w:rsid w:val="001C466D"/>
    <w:rsid w:val="001C4881"/>
    <w:rsid w:val="001C5087"/>
    <w:rsid w:val="001C52AA"/>
    <w:rsid w:val="001C6628"/>
    <w:rsid w:val="001C66A1"/>
    <w:rsid w:val="001C6C77"/>
    <w:rsid w:val="001C7A24"/>
    <w:rsid w:val="001D0A8F"/>
    <w:rsid w:val="001D0EB8"/>
    <w:rsid w:val="001D19F9"/>
    <w:rsid w:val="001D336D"/>
    <w:rsid w:val="001D4463"/>
    <w:rsid w:val="001D44A2"/>
    <w:rsid w:val="001D4A63"/>
    <w:rsid w:val="001D5987"/>
    <w:rsid w:val="001D6CB4"/>
    <w:rsid w:val="001D7177"/>
    <w:rsid w:val="001D73CF"/>
    <w:rsid w:val="001D7DBF"/>
    <w:rsid w:val="001E0E68"/>
    <w:rsid w:val="001E1D56"/>
    <w:rsid w:val="001E304C"/>
    <w:rsid w:val="001E374A"/>
    <w:rsid w:val="001E3905"/>
    <w:rsid w:val="001E3C15"/>
    <w:rsid w:val="001E4E6C"/>
    <w:rsid w:val="001E5476"/>
    <w:rsid w:val="001E6720"/>
    <w:rsid w:val="001E7B6D"/>
    <w:rsid w:val="001F090D"/>
    <w:rsid w:val="001F1C43"/>
    <w:rsid w:val="001F2354"/>
    <w:rsid w:val="001F23D0"/>
    <w:rsid w:val="001F3490"/>
    <w:rsid w:val="001F4EE5"/>
    <w:rsid w:val="001F5579"/>
    <w:rsid w:val="001F58EA"/>
    <w:rsid w:val="001F59C5"/>
    <w:rsid w:val="001F5CC9"/>
    <w:rsid w:val="001F652E"/>
    <w:rsid w:val="001F6596"/>
    <w:rsid w:val="001F65A6"/>
    <w:rsid w:val="001F6C15"/>
    <w:rsid w:val="001F7B87"/>
    <w:rsid w:val="001F7CCB"/>
    <w:rsid w:val="001F7D2E"/>
    <w:rsid w:val="00200934"/>
    <w:rsid w:val="00201BA6"/>
    <w:rsid w:val="00203D56"/>
    <w:rsid w:val="00204FE7"/>
    <w:rsid w:val="002059A6"/>
    <w:rsid w:val="002073EA"/>
    <w:rsid w:val="0021048F"/>
    <w:rsid w:val="00210C98"/>
    <w:rsid w:val="00210DAA"/>
    <w:rsid w:val="00210FD7"/>
    <w:rsid w:val="002124EA"/>
    <w:rsid w:val="0021293B"/>
    <w:rsid w:val="00213954"/>
    <w:rsid w:val="00214AC7"/>
    <w:rsid w:val="002154A7"/>
    <w:rsid w:val="0021575B"/>
    <w:rsid w:val="00215876"/>
    <w:rsid w:val="00216193"/>
    <w:rsid w:val="00217C56"/>
    <w:rsid w:val="00217D62"/>
    <w:rsid w:val="00220101"/>
    <w:rsid w:val="002203C9"/>
    <w:rsid w:val="0022061B"/>
    <w:rsid w:val="002207BF"/>
    <w:rsid w:val="0022111A"/>
    <w:rsid w:val="0022472C"/>
    <w:rsid w:val="00226424"/>
    <w:rsid w:val="00226FD0"/>
    <w:rsid w:val="00227D9A"/>
    <w:rsid w:val="0023127E"/>
    <w:rsid w:val="00232C3F"/>
    <w:rsid w:val="00233069"/>
    <w:rsid w:val="0023523C"/>
    <w:rsid w:val="00235B94"/>
    <w:rsid w:val="00237472"/>
    <w:rsid w:val="0023791B"/>
    <w:rsid w:val="002400C2"/>
    <w:rsid w:val="002404A5"/>
    <w:rsid w:val="00240926"/>
    <w:rsid w:val="0024224A"/>
    <w:rsid w:val="00243721"/>
    <w:rsid w:val="002439C7"/>
    <w:rsid w:val="00244126"/>
    <w:rsid w:val="00244286"/>
    <w:rsid w:val="00245557"/>
    <w:rsid w:val="002455CE"/>
    <w:rsid w:val="0024631A"/>
    <w:rsid w:val="00246A70"/>
    <w:rsid w:val="00250BB4"/>
    <w:rsid w:val="002510CD"/>
    <w:rsid w:val="0025136F"/>
    <w:rsid w:val="00252085"/>
    <w:rsid w:val="00252FF8"/>
    <w:rsid w:val="002534BD"/>
    <w:rsid w:val="0025374C"/>
    <w:rsid w:val="002537EF"/>
    <w:rsid w:val="00253C49"/>
    <w:rsid w:val="0025480E"/>
    <w:rsid w:val="00255656"/>
    <w:rsid w:val="00255CE9"/>
    <w:rsid w:val="00255E9D"/>
    <w:rsid w:val="002561AA"/>
    <w:rsid w:val="00256A01"/>
    <w:rsid w:val="00256FFE"/>
    <w:rsid w:val="002609B6"/>
    <w:rsid w:val="00263176"/>
    <w:rsid w:val="0026319C"/>
    <w:rsid w:val="0026321C"/>
    <w:rsid w:val="00263316"/>
    <w:rsid w:val="00263B9C"/>
    <w:rsid w:val="002645AE"/>
    <w:rsid w:val="00264F57"/>
    <w:rsid w:val="00265263"/>
    <w:rsid w:val="002652BE"/>
    <w:rsid w:val="00265869"/>
    <w:rsid w:val="00267067"/>
    <w:rsid w:val="00267232"/>
    <w:rsid w:val="002679A3"/>
    <w:rsid w:val="00267B37"/>
    <w:rsid w:val="002702A3"/>
    <w:rsid w:val="00270756"/>
    <w:rsid w:val="00270806"/>
    <w:rsid w:val="00271E32"/>
    <w:rsid w:val="002722D6"/>
    <w:rsid w:val="00272B4C"/>
    <w:rsid w:val="00272CB3"/>
    <w:rsid w:val="002731DD"/>
    <w:rsid w:val="002738FA"/>
    <w:rsid w:val="00274E96"/>
    <w:rsid w:val="00275BB1"/>
    <w:rsid w:val="00277256"/>
    <w:rsid w:val="0027758B"/>
    <w:rsid w:val="00277EDC"/>
    <w:rsid w:val="002801F8"/>
    <w:rsid w:val="00280B19"/>
    <w:rsid w:val="00281B5F"/>
    <w:rsid w:val="002828E0"/>
    <w:rsid w:val="00283591"/>
    <w:rsid w:val="00285581"/>
    <w:rsid w:val="00285C02"/>
    <w:rsid w:val="00287A5A"/>
    <w:rsid w:val="00287ADA"/>
    <w:rsid w:val="00292458"/>
    <w:rsid w:val="00293B34"/>
    <w:rsid w:val="002945D4"/>
    <w:rsid w:val="002960C1"/>
    <w:rsid w:val="002967BB"/>
    <w:rsid w:val="00296B0A"/>
    <w:rsid w:val="002A1572"/>
    <w:rsid w:val="002A1D82"/>
    <w:rsid w:val="002A31EA"/>
    <w:rsid w:val="002A3C56"/>
    <w:rsid w:val="002A4996"/>
    <w:rsid w:val="002A4CE9"/>
    <w:rsid w:val="002A4F1B"/>
    <w:rsid w:val="002A58F0"/>
    <w:rsid w:val="002A59F9"/>
    <w:rsid w:val="002A5EB1"/>
    <w:rsid w:val="002A663E"/>
    <w:rsid w:val="002A6C08"/>
    <w:rsid w:val="002A6D8D"/>
    <w:rsid w:val="002A7679"/>
    <w:rsid w:val="002A7D6D"/>
    <w:rsid w:val="002A7F13"/>
    <w:rsid w:val="002B0071"/>
    <w:rsid w:val="002B0285"/>
    <w:rsid w:val="002B09A4"/>
    <w:rsid w:val="002B1570"/>
    <w:rsid w:val="002B174E"/>
    <w:rsid w:val="002B28C2"/>
    <w:rsid w:val="002B32B4"/>
    <w:rsid w:val="002B4586"/>
    <w:rsid w:val="002B550E"/>
    <w:rsid w:val="002B6304"/>
    <w:rsid w:val="002B7783"/>
    <w:rsid w:val="002B78CB"/>
    <w:rsid w:val="002B7BA4"/>
    <w:rsid w:val="002C0FA9"/>
    <w:rsid w:val="002C10AB"/>
    <w:rsid w:val="002C2EAA"/>
    <w:rsid w:val="002C40AF"/>
    <w:rsid w:val="002C6C5B"/>
    <w:rsid w:val="002C6CBA"/>
    <w:rsid w:val="002D15A8"/>
    <w:rsid w:val="002D225C"/>
    <w:rsid w:val="002D2922"/>
    <w:rsid w:val="002D3D09"/>
    <w:rsid w:val="002D4DE3"/>
    <w:rsid w:val="002D5000"/>
    <w:rsid w:val="002D59EF"/>
    <w:rsid w:val="002E0128"/>
    <w:rsid w:val="002E0157"/>
    <w:rsid w:val="002E03AA"/>
    <w:rsid w:val="002E141C"/>
    <w:rsid w:val="002E23C3"/>
    <w:rsid w:val="002E2AC3"/>
    <w:rsid w:val="002E2DA7"/>
    <w:rsid w:val="002E479E"/>
    <w:rsid w:val="002E5DF0"/>
    <w:rsid w:val="002E6576"/>
    <w:rsid w:val="002E74E9"/>
    <w:rsid w:val="002F0BD9"/>
    <w:rsid w:val="002F19E0"/>
    <w:rsid w:val="002F38AF"/>
    <w:rsid w:val="002F4EAA"/>
    <w:rsid w:val="002F5C37"/>
    <w:rsid w:val="002F6540"/>
    <w:rsid w:val="002F68B7"/>
    <w:rsid w:val="002F767A"/>
    <w:rsid w:val="002F773B"/>
    <w:rsid w:val="002F7E65"/>
    <w:rsid w:val="00300B25"/>
    <w:rsid w:val="00300C60"/>
    <w:rsid w:val="00300E08"/>
    <w:rsid w:val="0030216B"/>
    <w:rsid w:val="003028C1"/>
    <w:rsid w:val="00302E62"/>
    <w:rsid w:val="00302EB7"/>
    <w:rsid w:val="00304E15"/>
    <w:rsid w:val="00306C8E"/>
    <w:rsid w:val="00306F67"/>
    <w:rsid w:val="00311258"/>
    <w:rsid w:val="00312335"/>
    <w:rsid w:val="003127A7"/>
    <w:rsid w:val="00312F5E"/>
    <w:rsid w:val="00314B35"/>
    <w:rsid w:val="003153E0"/>
    <w:rsid w:val="0031584E"/>
    <w:rsid w:val="00316001"/>
    <w:rsid w:val="00316476"/>
    <w:rsid w:val="0031669D"/>
    <w:rsid w:val="003168D8"/>
    <w:rsid w:val="00316BFC"/>
    <w:rsid w:val="00317594"/>
    <w:rsid w:val="00317E54"/>
    <w:rsid w:val="003207E9"/>
    <w:rsid w:val="0032082E"/>
    <w:rsid w:val="0032193A"/>
    <w:rsid w:val="00321DC8"/>
    <w:rsid w:val="00321F4F"/>
    <w:rsid w:val="003224B5"/>
    <w:rsid w:val="0032275F"/>
    <w:rsid w:val="00323B8D"/>
    <w:rsid w:val="0032421B"/>
    <w:rsid w:val="00324E24"/>
    <w:rsid w:val="0032564D"/>
    <w:rsid w:val="00326524"/>
    <w:rsid w:val="00326B10"/>
    <w:rsid w:val="00327B51"/>
    <w:rsid w:val="0033018B"/>
    <w:rsid w:val="00330458"/>
    <w:rsid w:val="00331884"/>
    <w:rsid w:val="00331FCB"/>
    <w:rsid w:val="0033375D"/>
    <w:rsid w:val="003340E9"/>
    <w:rsid w:val="003348CA"/>
    <w:rsid w:val="00334E7E"/>
    <w:rsid w:val="00335F4C"/>
    <w:rsid w:val="00336E42"/>
    <w:rsid w:val="003370AA"/>
    <w:rsid w:val="0034048B"/>
    <w:rsid w:val="0034165E"/>
    <w:rsid w:val="003422DB"/>
    <w:rsid w:val="003429CD"/>
    <w:rsid w:val="00345094"/>
    <w:rsid w:val="0034553C"/>
    <w:rsid w:val="00345566"/>
    <w:rsid w:val="00345683"/>
    <w:rsid w:val="00345692"/>
    <w:rsid w:val="003464B9"/>
    <w:rsid w:val="003471A3"/>
    <w:rsid w:val="0035081B"/>
    <w:rsid w:val="003547C3"/>
    <w:rsid w:val="00354CA1"/>
    <w:rsid w:val="00354DAD"/>
    <w:rsid w:val="00355956"/>
    <w:rsid w:val="00356291"/>
    <w:rsid w:val="00356B8F"/>
    <w:rsid w:val="00356F5F"/>
    <w:rsid w:val="0035753F"/>
    <w:rsid w:val="00360127"/>
    <w:rsid w:val="003601E4"/>
    <w:rsid w:val="00360E4C"/>
    <w:rsid w:val="00361DFA"/>
    <w:rsid w:val="00362AF0"/>
    <w:rsid w:val="00363707"/>
    <w:rsid w:val="00363E11"/>
    <w:rsid w:val="00364144"/>
    <w:rsid w:val="00364A60"/>
    <w:rsid w:val="00364F98"/>
    <w:rsid w:val="00366681"/>
    <w:rsid w:val="00366AA8"/>
    <w:rsid w:val="00366B35"/>
    <w:rsid w:val="00367797"/>
    <w:rsid w:val="00370727"/>
    <w:rsid w:val="00370B8D"/>
    <w:rsid w:val="00370BD8"/>
    <w:rsid w:val="003730E3"/>
    <w:rsid w:val="003734F9"/>
    <w:rsid w:val="003737D2"/>
    <w:rsid w:val="003758F9"/>
    <w:rsid w:val="00375A53"/>
    <w:rsid w:val="00375F93"/>
    <w:rsid w:val="00376346"/>
    <w:rsid w:val="003776D6"/>
    <w:rsid w:val="00377D8C"/>
    <w:rsid w:val="00380116"/>
    <w:rsid w:val="003801E0"/>
    <w:rsid w:val="00381776"/>
    <w:rsid w:val="00381C6B"/>
    <w:rsid w:val="00382597"/>
    <w:rsid w:val="003828F3"/>
    <w:rsid w:val="00383BAA"/>
    <w:rsid w:val="00384258"/>
    <w:rsid w:val="00385552"/>
    <w:rsid w:val="00385662"/>
    <w:rsid w:val="00386494"/>
    <w:rsid w:val="00386B30"/>
    <w:rsid w:val="00390284"/>
    <w:rsid w:val="00390FBC"/>
    <w:rsid w:val="003931D3"/>
    <w:rsid w:val="0039357D"/>
    <w:rsid w:val="003935F3"/>
    <w:rsid w:val="003939EC"/>
    <w:rsid w:val="00395374"/>
    <w:rsid w:val="0039540F"/>
    <w:rsid w:val="00395D86"/>
    <w:rsid w:val="00396215"/>
    <w:rsid w:val="003962D6"/>
    <w:rsid w:val="00396E08"/>
    <w:rsid w:val="00397274"/>
    <w:rsid w:val="00397DC1"/>
    <w:rsid w:val="003A0323"/>
    <w:rsid w:val="003A1CEA"/>
    <w:rsid w:val="003A2E15"/>
    <w:rsid w:val="003A2E3C"/>
    <w:rsid w:val="003A42CD"/>
    <w:rsid w:val="003A4618"/>
    <w:rsid w:val="003A4A8E"/>
    <w:rsid w:val="003A4E23"/>
    <w:rsid w:val="003A5A10"/>
    <w:rsid w:val="003A71F2"/>
    <w:rsid w:val="003A77FD"/>
    <w:rsid w:val="003B0C4B"/>
    <w:rsid w:val="003B1145"/>
    <w:rsid w:val="003B18A1"/>
    <w:rsid w:val="003B269B"/>
    <w:rsid w:val="003B2BB8"/>
    <w:rsid w:val="003B3993"/>
    <w:rsid w:val="003B3E57"/>
    <w:rsid w:val="003B5071"/>
    <w:rsid w:val="003B657B"/>
    <w:rsid w:val="003B7CE6"/>
    <w:rsid w:val="003C01C8"/>
    <w:rsid w:val="003C0712"/>
    <w:rsid w:val="003C1179"/>
    <w:rsid w:val="003C35EF"/>
    <w:rsid w:val="003C3870"/>
    <w:rsid w:val="003C5994"/>
    <w:rsid w:val="003C5BCD"/>
    <w:rsid w:val="003C6D25"/>
    <w:rsid w:val="003C6FCC"/>
    <w:rsid w:val="003C7534"/>
    <w:rsid w:val="003C7EB1"/>
    <w:rsid w:val="003D1A2A"/>
    <w:rsid w:val="003D204F"/>
    <w:rsid w:val="003D2439"/>
    <w:rsid w:val="003D2DFD"/>
    <w:rsid w:val="003D3692"/>
    <w:rsid w:val="003D503F"/>
    <w:rsid w:val="003D5B5A"/>
    <w:rsid w:val="003D647A"/>
    <w:rsid w:val="003D6C1A"/>
    <w:rsid w:val="003D71F7"/>
    <w:rsid w:val="003D7ECE"/>
    <w:rsid w:val="003E088B"/>
    <w:rsid w:val="003E102C"/>
    <w:rsid w:val="003E1127"/>
    <w:rsid w:val="003E1937"/>
    <w:rsid w:val="003E2B17"/>
    <w:rsid w:val="003E2C08"/>
    <w:rsid w:val="003E3662"/>
    <w:rsid w:val="003E4D9A"/>
    <w:rsid w:val="003E5191"/>
    <w:rsid w:val="003E6352"/>
    <w:rsid w:val="003E6A8D"/>
    <w:rsid w:val="003E6CA8"/>
    <w:rsid w:val="003E734C"/>
    <w:rsid w:val="003E7F03"/>
    <w:rsid w:val="003F0EF5"/>
    <w:rsid w:val="003F0F03"/>
    <w:rsid w:val="003F1830"/>
    <w:rsid w:val="003F1C35"/>
    <w:rsid w:val="003F1E78"/>
    <w:rsid w:val="003F261D"/>
    <w:rsid w:val="003F2DD7"/>
    <w:rsid w:val="003F2F37"/>
    <w:rsid w:val="003F3EF7"/>
    <w:rsid w:val="003F432C"/>
    <w:rsid w:val="003F4413"/>
    <w:rsid w:val="003F4D4F"/>
    <w:rsid w:val="003F51EA"/>
    <w:rsid w:val="003F5710"/>
    <w:rsid w:val="003F583B"/>
    <w:rsid w:val="003F5B25"/>
    <w:rsid w:val="003F6893"/>
    <w:rsid w:val="003F6944"/>
    <w:rsid w:val="003F69AB"/>
    <w:rsid w:val="004002F8"/>
    <w:rsid w:val="00400C99"/>
    <w:rsid w:val="0040176E"/>
    <w:rsid w:val="00402433"/>
    <w:rsid w:val="00402F62"/>
    <w:rsid w:val="00403FF7"/>
    <w:rsid w:val="00404385"/>
    <w:rsid w:val="00404D1D"/>
    <w:rsid w:val="004053F8"/>
    <w:rsid w:val="004054C9"/>
    <w:rsid w:val="00405703"/>
    <w:rsid w:val="0040583E"/>
    <w:rsid w:val="0040622E"/>
    <w:rsid w:val="0040660C"/>
    <w:rsid w:val="00412BF2"/>
    <w:rsid w:val="00413CCA"/>
    <w:rsid w:val="00414961"/>
    <w:rsid w:val="004152DE"/>
    <w:rsid w:val="00415AF8"/>
    <w:rsid w:val="00416B0F"/>
    <w:rsid w:val="0042069B"/>
    <w:rsid w:val="0042121E"/>
    <w:rsid w:val="00421C89"/>
    <w:rsid w:val="0042350E"/>
    <w:rsid w:val="00424B74"/>
    <w:rsid w:val="00424D63"/>
    <w:rsid w:val="00424D73"/>
    <w:rsid w:val="004255C3"/>
    <w:rsid w:val="00425A66"/>
    <w:rsid w:val="00425BD4"/>
    <w:rsid w:val="004267E6"/>
    <w:rsid w:val="00426A31"/>
    <w:rsid w:val="00426CEC"/>
    <w:rsid w:val="00427282"/>
    <w:rsid w:val="0043058C"/>
    <w:rsid w:val="00430E97"/>
    <w:rsid w:val="0043135E"/>
    <w:rsid w:val="00432A06"/>
    <w:rsid w:val="00432C83"/>
    <w:rsid w:val="004331E2"/>
    <w:rsid w:val="004339C6"/>
    <w:rsid w:val="004360B8"/>
    <w:rsid w:val="00436E8D"/>
    <w:rsid w:val="00436FAC"/>
    <w:rsid w:val="00437CB7"/>
    <w:rsid w:val="00437FF0"/>
    <w:rsid w:val="004401D2"/>
    <w:rsid w:val="004415F7"/>
    <w:rsid w:val="00443714"/>
    <w:rsid w:val="0044391F"/>
    <w:rsid w:val="00444619"/>
    <w:rsid w:val="004447BE"/>
    <w:rsid w:val="00444944"/>
    <w:rsid w:val="00444B30"/>
    <w:rsid w:val="00444D0A"/>
    <w:rsid w:val="00444FC2"/>
    <w:rsid w:val="00445D24"/>
    <w:rsid w:val="004460E6"/>
    <w:rsid w:val="004461C3"/>
    <w:rsid w:val="00446646"/>
    <w:rsid w:val="004466CE"/>
    <w:rsid w:val="00447167"/>
    <w:rsid w:val="004476EC"/>
    <w:rsid w:val="0045042F"/>
    <w:rsid w:val="00450FE3"/>
    <w:rsid w:val="00451FA0"/>
    <w:rsid w:val="00453A33"/>
    <w:rsid w:val="00453B16"/>
    <w:rsid w:val="00454ACA"/>
    <w:rsid w:val="00454CBF"/>
    <w:rsid w:val="00455495"/>
    <w:rsid w:val="00456115"/>
    <w:rsid w:val="0045662D"/>
    <w:rsid w:val="00460AA0"/>
    <w:rsid w:val="00460C45"/>
    <w:rsid w:val="00460CA0"/>
    <w:rsid w:val="0046109C"/>
    <w:rsid w:val="00461945"/>
    <w:rsid w:val="00461FEB"/>
    <w:rsid w:val="00462B50"/>
    <w:rsid w:val="00464643"/>
    <w:rsid w:val="00464C8D"/>
    <w:rsid w:val="00465044"/>
    <w:rsid w:val="00465286"/>
    <w:rsid w:val="00465D98"/>
    <w:rsid w:val="00466CEE"/>
    <w:rsid w:val="0046753F"/>
    <w:rsid w:val="00467947"/>
    <w:rsid w:val="0047215C"/>
    <w:rsid w:val="00473494"/>
    <w:rsid w:val="00474115"/>
    <w:rsid w:val="0047515B"/>
    <w:rsid w:val="0047539E"/>
    <w:rsid w:val="00475901"/>
    <w:rsid w:val="004761BC"/>
    <w:rsid w:val="004762A2"/>
    <w:rsid w:val="004767C6"/>
    <w:rsid w:val="00476C4E"/>
    <w:rsid w:val="00476D82"/>
    <w:rsid w:val="00476E19"/>
    <w:rsid w:val="00480925"/>
    <w:rsid w:val="00482C88"/>
    <w:rsid w:val="00482CDE"/>
    <w:rsid w:val="00484134"/>
    <w:rsid w:val="00485ABC"/>
    <w:rsid w:val="0048608C"/>
    <w:rsid w:val="00486603"/>
    <w:rsid w:val="00486680"/>
    <w:rsid w:val="00486BF3"/>
    <w:rsid w:val="0049044E"/>
    <w:rsid w:val="004908BA"/>
    <w:rsid w:val="0049298C"/>
    <w:rsid w:val="0049313A"/>
    <w:rsid w:val="004940F8"/>
    <w:rsid w:val="004950C6"/>
    <w:rsid w:val="004952CB"/>
    <w:rsid w:val="00495A7B"/>
    <w:rsid w:val="00497878"/>
    <w:rsid w:val="00497D21"/>
    <w:rsid w:val="004A0F19"/>
    <w:rsid w:val="004A18B9"/>
    <w:rsid w:val="004A3EA7"/>
    <w:rsid w:val="004A4D6D"/>
    <w:rsid w:val="004A5792"/>
    <w:rsid w:val="004A57EE"/>
    <w:rsid w:val="004A5EBC"/>
    <w:rsid w:val="004A6033"/>
    <w:rsid w:val="004A6510"/>
    <w:rsid w:val="004A70C2"/>
    <w:rsid w:val="004A7867"/>
    <w:rsid w:val="004A7FAA"/>
    <w:rsid w:val="004B005F"/>
    <w:rsid w:val="004B0201"/>
    <w:rsid w:val="004B0302"/>
    <w:rsid w:val="004B16A2"/>
    <w:rsid w:val="004B1BB8"/>
    <w:rsid w:val="004B3A91"/>
    <w:rsid w:val="004B4595"/>
    <w:rsid w:val="004B4B29"/>
    <w:rsid w:val="004B51E5"/>
    <w:rsid w:val="004B52CF"/>
    <w:rsid w:val="004B54FD"/>
    <w:rsid w:val="004B5ED1"/>
    <w:rsid w:val="004B65CF"/>
    <w:rsid w:val="004B6613"/>
    <w:rsid w:val="004B685F"/>
    <w:rsid w:val="004B6A2A"/>
    <w:rsid w:val="004C0E2B"/>
    <w:rsid w:val="004C11F4"/>
    <w:rsid w:val="004C1CB1"/>
    <w:rsid w:val="004C2C94"/>
    <w:rsid w:val="004C32A8"/>
    <w:rsid w:val="004C32AC"/>
    <w:rsid w:val="004C3404"/>
    <w:rsid w:val="004C3A00"/>
    <w:rsid w:val="004C4992"/>
    <w:rsid w:val="004C4F9F"/>
    <w:rsid w:val="004C512E"/>
    <w:rsid w:val="004C55DE"/>
    <w:rsid w:val="004C5B27"/>
    <w:rsid w:val="004C6ACC"/>
    <w:rsid w:val="004C79AE"/>
    <w:rsid w:val="004C7B72"/>
    <w:rsid w:val="004C7D1F"/>
    <w:rsid w:val="004C7E85"/>
    <w:rsid w:val="004D14D1"/>
    <w:rsid w:val="004D1F27"/>
    <w:rsid w:val="004D20A2"/>
    <w:rsid w:val="004D235F"/>
    <w:rsid w:val="004D24D5"/>
    <w:rsid w:val="004D313D"/>
    <w:rsid w:val="004D38F2"/>
    <w:rsid w:val="004D500E"/>
    <w:rsid w:val="004D7200"/>
    <w:rsid w:val="004D77C4"/>
    <w:rsid w:val="004E07E3"/>
    <w:rsid w:val="004E08ED"/>
    <w:rsid w:val="004E0ECD"/>
    <w:rsid w:val="004E0FC9"/>
    <w:rsid w:val="004E1B5C"/>
    <w:rsid w:val="004E2ADC"/>
    <w:rsid w:val="004E33C6"/>
    <w:rsid w:val="004E33EA"/>
    <w:rsid w:val="004E34F0"/>
    <w:rsid w:val="004E3B76"/>
    <w:rsid w:val="004E46B3"/>
    <w:rsid w:val="004E4920"/>
    <w:rsid w:val="004E4AB3"/>
    <w:rsid w:val="004E4EED"/>
    <w:rsid w:val="004E5AF9"/>
    <w:rsid w:val="004E6AFB"/>
    <w:rsid w:val="004E6F08"/>
    <w:rsid w:val="004F090F"/>
    <w:rsid w:val="004F1362"/>
    <w:rsid w:val="004F16D5"/>
    <w:rsid w:val="004F1E27"/>
    <w:rsid w:val="004F2968"/>
    <w:rsid w:val="004F2F26"/>
    <w:rsid w:val="004F3576"/>
    <w:rsid w:val="004F402B"/>
    <w:rsid w:val="004F4F72"/>
    <w:rsid w:val="004F625E"/>
    <w:rsid w:val="004F7720"/>
    <w:rsid w:val="004F7B43"/>
    <w:rsid w:val="00500607"/>
    <w:rsid w:val="00501225"/>
    <w:rsid w:val="005027CB"/>
    <w:rsid w:val="00503387"/>
    <w:rsid w:val="00503C30"/>
    <w:rsid w:val="00503C4B"/>
    <w:rsid w:val="005045EC"/>
    <w:rsid w:val="00504DFC"/>
    <w:rsid w:val="00505502"/>
    <w:rsid w:val="00505802"/>
    <w:rsid w:val="0050588D"/>
    <w:rsid w:val="00505AC2"/>
    <w:rsid w:val="00505D90"/>
    <w:rsid w:val="00506B5E"/>
    <w:rsid w:val="00506BD8"/>
    <w:rsid w:val="00506FAD"/>
    <w:rsid w:val="00511CCC"/>
    <w:rsid w:val="00513198"/>
    <w:rsid w:val="0051361C"/>
    <w:rsid w:val="00513B63"/>
    <w:rsid w:val="00514198"/>
    <w:rsid w:val="0051494F"/>
    <w:rsid w:val="00514CF6"/>
    <w:rsid w:val="005160AF"/>
    <w:rsid w:val="00516A69"/>
    <w:rsid w:val="00516E40"/>
    <w:rsid w:val="00520163"/>
    <w:rsid w:val="00523070"/>
    <w:rsid w:val="00523DF3"/>
    <w:rsid w:val="0052428A"/>
    <w:rsid w:val="00524C54"/>
    <w:rsid w:val="0052531E"/>
    <w:rsid w:val="005259C2"/>
    <w:rsid w:val="005259D4"/>
    <w:rsid w:val="00527506"/>
    <w:rsid w:val="0053002D"/>
    <w:rsid w:val="00530755"/>
    <w:rsid w:val="0053082B"/>
    <w:rsid w:val="005342DF"/>
    <w:rsid w:val="00534357"/>
    <w:rsid w:val="00537088"/>
    <w:rsid w:val="00537490"/>
    <w:rsid w:val="00537D00"/>
    <w:rsid w:val="0054046A"/>
    <w:rsid w:val="00542489"/>
    <w:rsid w:val="00543045"/>
    <w:rsid w:val="00543443"/>
    <w:rsid w:val="00543500"/>
    <w:rsid w:val="00543AF7"/>
    <w:rsid w:val="00543FAB"/>
    <w:rsid w:val="005440B5"/>
    <w:rsid w:val="00545664"/>
    <w:rsid w:val="00545A3F"/>
    <w:rsid w:val="00547F3F"/>
    <w:rsid w:val="0055161E"/>
    <w:rsid w:val="005524D6"/>
    <w:rsid w:val="00552538"/>
    <w:rsid w:val="00552B5E"/>
    <w:rsid w:val="005531F6"/>
    <w:rsid w:val="00553211"/>
    <w:rsid w:val="00553DD3"/>
    <w:rsid w:val="00554F15"/>
    <w:rsid w:val="005562E1"/>
    <w:rsid w:val="005563FE"/>
    <w:rsid w:val="0055654C"/>
    <w:rsid w:val="00556780"/>
    <w:rsid w:val="00556AB5"/>
    <w:rsid w:val="00557611"/>
    <w:rsid w:val="0056136E"/>
    <w:rsid w:val="0056190B"/>
    <w:rsid w:val="00562397"/>
    <w:rsid w:val="00562CB9"/>
    <w:rsid w:val="00562F7C"/>
    <w:rsid w:val="00564717"/>
    <w:rsid w:val="00566DB9"/>
    <w:rsid w:val="005710C4"/>
    <w:rsid w:val="0057163E"/>
    <w:rsid w:val="00572082"/>
    <w:rsid w:val="005731F8"/>
    <w:rsid w:val="005748D4"/>
    <w:rsid w:val="00574AA1"/>
    <w:rsid w:val="00575080"/>
    <w:rsid w:val="00575180"/>
    <w:rsid w:val="005759A5"/>
    <w:rsid w:val="00575AA4"/>
    <w:rsid w:val="00575D28"/>
    <w:rsid w:val="005765EC"/>
    <w:rsid w:val="00576F56"/>
    <w:rsid w:val="005813B3"/>
    <w:rsid w:val="00581D82"/>
    <w:rsid w:val="00582D3A"/>
    <w:rsid w:val="00583009"/>
    <w:rsid w:val="005839D2"/>
    <w:rsid w:val="00583E0F"/>
    <w:rsid w:val="00584EBA"/>
    <w:rsid w:val="00585C02"/>
    <w:rsid w:val="0058635D"/>
    <w:rsid w:val="005866A7"/>
    <w:rsid w:val="005871FE"/>
    <w:rsid w:val="005875D4"/>
    <w:rsid w:val="00587646"/>
    <w:rsid w:val="00587756"/>
    <w:rsid w:val="005907B1"/>
    <w:rsid w:val="00591217"/>
    <w:rsid w:val="00591677"/>
    <w:rsid w:val="00592DD8"/>
    <w:rsid w:val="005947C5"/>
    <w:rsid w:val="00594CED"/>
    <w:rsid w:val="00595B3F"/>
    <w:rsid w:val="00595E39"/>
    <w:rsid w:val="005962A3"/>
    <w:rsid w:val="00596731"/>
    <w:rsid w:val="005978C9"/>
    <w:rsid w:val="00597D47"/>
    <w:rsid w:val="005A099C"/>
    <w:rsid w:val="005A21D8"/>
    <w:rsid w:val="005A290C"/>
    <w:rsid w:val="005A2A2F"/>
    <w:rsid w:val="005A2FDC"/>
    <w:rsid w:val="005A46F9"/>
    <w:rsid w:val="005A4877"/>
    <w:rsid w:val="005A6F64"/>
    <w:rsid w:val="005A7039"/>
    <w:rsid w:val="005B003D"/>
    <w:rsid w:val="005B045F"/>
    <w:rsid w:val="005B1110"/>
    <w:rsid w:val="005B27A8"/>
    <w:rsid w:val="005B28C0"/>
    <w:rsid w:val="005B316F"/>
    <w:rsid w:val="005B395B"/>
    <w:rsid w:val="005B3C5C"/>
    <w:rsid w:val="005B40E9"/>
    <w:rsid w:val="005B45A1"/>
    <w:rsid w:val="005B4B95"/>
    <w:rsid w:val="005B5479"/>
    <w:rsid w:val="005B5A57"/>
    <w:rsid w:val="005B5DE4"/>
    <w:rsid w:val="005B5F16"/>
    <w:rsid w:val="005B62ED"/>
    <w:rsid w:val="005B761C"/>
    <w:rsid w:val="005C0128"/>
    <w:rsid w:val="005C03A5"/>
    <w:rsid w:val="005C0B2F"/>
    <w:rsid w:val="005C0DDA"/>
    <w:rsid w:val="005C11D0"/>
    <w:rsid w:val="005C1371"/>
    <w:rsid w:val="005C1D74"/>
    <w:rsid w:val="005C3A92"/>
    <w:rsid w:val="005C3D15"/>
    <w:rsid w:val="005C45D9"/>
    <w:rsid w:val="005C5884"/>
    <w:rsid w:val="005C60A3"/>
    <w:rsid w:val="005C659C"/>
    <w:rsid w:val="005C6C55"/>
    <w:rsid w:val="005C7F33"/>
    <w:rsid w:val="005D12D1"/>
    <w:rsid w:val="005D4E46"/>
    <w:rsid w:val="005D53A0"/>
    <w:rsid w:val="005D5875"/>
    <w:rsid w:val="005D5D7C"/>
    <w:rsid w:val="005D5EC0"/>
    <w:rsid w:val="005D723A"/>
    <w:rsid w:val="005D74EA"/>
    <w:rsid w:val="005D761E"/>
    <w:rsid w:val="005E03F1"/>
    <w:rsid w:val="005E086E"/>
    <w:rsid w:val="005E0A69"/>
    <w:rsid w:val="005E23EE"/>
    <w:rsid w:val="005E269D"/>
    <w:rsid w:val="005E2F5F"/>
    <w:rsid w:val="005E489C"/>
    <w:rsid w:val="005E6146"/>
    <w:rsid w:val="005E6A92"/>
    <w:rsid w:val="005E6B24"/>
    <w:rsid w:val="005E6F02"/>
    <w:rsid w:val="005E7147"/>
    <w:rsid w:val="005E7720"/>
    <w:rsid w:val="005E792C"/>
    <w:rsid w:val="005E7DDB"/>
    <w:rsid w:val="005F0357"/>
    <w:rsid w:val="005F0384"/>
    <w:rsid w:val="005F11B0"/>
    <w:rsid w:val="005F1A30"/>
    <w:rsid w:val="005F1ABF"/>
    <w:rsid w:val="005F1E19"/>
    <w:rsid w:val="005F2B29"/>
    <w:rsid w:val="005F37D0"/>
    <w:rsid w:val="005F3A84"/>
    <w:rsid w:val="005F3C34"/>
    <w:rsid w:val="005F450B"/>
    <w:rsid w:val="005F4892"/>
    <w:rsid w:val="005F4903"/>
    <w:rsid w:val="005F6533"/>
    <w:rsid w:val="005F662D"/>
    <w:rsid w:val="005F6CFA"/>
    <w:rsid w:val="005F7239"/>
    <w:rsid w:val="005F7298"/>
    <w:rsid w:val="005F74F5"/>
    <w:rsid w:val="005F7BD5"/>
    <w:rsid w:val="006003B1"/>
    <w:rsid w:val="0060064A"/>
    <w:rsid w:val="00605E0E"/>
    <w:rsid w:val="006061D0"/>
    <w:rsid w:val="00606C65"/>
    <w:rsid w:val="00606ED2"/>
    <w:rsid w:val="0060742D"/>
    <w:rsid w:val="006079F5"/>
    <w:rsid w:val="00610930"/>
    <w:rsid w:val="00610E59"/>
    <w:rsid w:val="00611740"/>
    <w:rsid w:val="006124EC"/>
    <w:rsid w:val="00613005"/>
    <w:rsid w:val="00614CDE"/>
    <w:rsid w:val="00614F32"/>
    <w:rsid w:val="00615077"/>
    <w:rsid w:val="006156C4"/>
    <w:rsid w:val="00615EC6"/>
    <w:rsid w:val="00615FE0"/>
    <w:rsid w:val="00617184"/>
    <w:rsid w:val="00617260"/>
    <w:rsid w:val="00620CF0"/>
    <w:rsid w:val="00621BDA"/>
    <w:rsid w:val="006235E6"/>
    <w:rsid w:val="006244E4"/>
    <w:rsid w:val="006244F1"/>
    <w:rsid w:val="006250BE"/>
    <w:rsid w:val="006259B3"/>
    <w:rsid w:val="006277D4"/>
    <w:rsid w:val="0063012A"/>
    <w:rsid w:val="006306EA"/>
    <w:rsid w:val="00630F29"/>
    <w:rsid w:val="0063153A"/>
    <w:rsid w:val="00631769"/>
    <w:rsid w:val="00632414"/>
    <w:rsid w:val="0063258C"/>
    <w:rsid w:val="00632AE3"/>
    <w:rsid w:val="0063317D"/>
    <w:rsid w:val="006346DF"/>
    <w:rsid w:val="00634D97"/>
    <w:rsid w:val="00635F55"/>
    <w:rsid w:val="00636488"/>
    <w:rsid w:val="00636903"/>
    <w:rsid w:val="00637D4A"/>
    <w:rsid w:val="006400D4"/>
    <w:rsid w:val="0064080D"/>
    <w:rsid w:val="0064089D"/>
    <w:rsid w:val="006409D0"/>
    <w:rsid w:val="00640BE0"/>
    <w:rsid w:val="00640BFF"/>
    <w:rsid w:val="0064174C"/>
    <w:rsid w:val="00642453"/>
    <w:rsid w:val="00642AF6"/>
    <w:rsid w:val="00643CD5"/>
    <w:rsid w:val="00644DD9"/>
    <w:rsid w:val="00645AEE"/>
    <w:rsid w:val="006464B6"/>
    <w:rsid w:val="0064652E"/>
    <w:rsid w:val="00647BB6"/>
    <w:rsid w:val="00652750"/>
    <w:rsid w:val="00652BBD"/>
    <w:rsid w:val="00652C42"/>
    <w:rsid w:val="0065332E"/>
    <w:rsid w:val="00654B37"/>
    <w:rsid w:val="00654DDD"/>
    <w:rsid w:val="00654E8A"/>
    <w:rsid w:val="006551F4"/>
    <w:rsid w:val="00657EE7"/>
    <w:rsid w:val="0066026A"/>
    <w:rsid w:val="0066067B"/>
    <w:rsid w:val="0066109A"/>
    <w:rsid w:val="00661604"/>
    <w:rsid w:val="00662A44"/>
    <w:rsid w:val="00662F00"/>
    <w:rsid w:val="00664BDB"/>
    <w:rsid w:val="006657E1"/>
    <w:rsid w:val="006667A9"/>
    <w:rsid w:val="00667133"/>
    <w:rsid w:val="00667D84"/>
    <w:rsid w:val="00667DB9"/>
    <w:rsid w:val="006701C1"/>
    <w:rsid w:val="0067025A"/>
    <w:rsid w:val="006702AC"/>
    <w:rsid w:val="00670913"/>
    <w:rsid w:val="0067167D"/>
    <w:rsid w:val="00672AAC"/>
    <w:rsid w:val="00672BD0"/>
    <w:rsid w:val="00673537"/>
    <w:rsid w:val="00674A4A"/>
    <w:rsid w:val="006754F4"/>
    <w:rsid w:val="00675AC3"/>
    <w:rsid w:val="00676904"/>
    <w:rsid w:val="00676956"/>
    <w:rsid w:val="00677802"/>
    <w:rsid w:val="00677F0B"/>
    <w:rsid w:val="006802D5"/>
    <w:rsid w:val="00680551"/>
    <w:rsid w:val="00680D7E"/>
    <w:rsid w:val="0068122C"/>
    <w:rsid w:val="0068230E"/>
    <w:rsid w:val="0068258A"/>
    <w:rsid w:val="00685309"/>
    <w:rsid w:val="00685BF6"/>
    <w:rsid w:val="00685C6C"/>
    <w:rsid w:val="00691A43"/>
    <w:rsid w:val="00695754"/>
    <w:rsid w:val="00695991"/>
    <w:rsid w:val="00695A43"/>
    <w:rsid w:val="00695ECA"/>
    <w:rsid w:val="0069636D"/>
    <w:rsid w:val="00696A90"/>
    <w:rsid w:val="00697165"/>
    <w:rsid w:val="006A0ED6"/>
    <w:rsid w:val="006A0F19"/>
    <w:rsid w:val="006A1A83"/>
    <w:rsid w:val="006A31A3"/>
    <w:rsid w:val="006A3508"/>
    <w:rsid w:val="006A3DA6"/>
    <w:rsid w:val="006A3EEA"/>
    <w:rsid w:val="006A4BC8"/>
    <w:rsid w:val="006A5636"/>
    <w:rsid w:val="006A5B36"/>
    <w:rsid w:val="006A6903"/>
    <w:rsid w:val="006A77DF"/>
    <w:rsid w:val="006A7D41"/>
    <w:rsid w:val="006B02E0"/>
    <w:rsid w:val="006B10C6"/>
    <w:rsid w:val="006B141B"/>
    <w:rsid w:val="006B1D66"/>
    <w:rsid w:val="006B2616"/>
    <w:rsid w:val="006B2A5C"/>
    <w:rsid w:val="006B2D09"/>
    <w:rsid w:val="006B3303"/>
    <w:rsid w:val="006B4489"/>
    <w:rsid w:val="006B49BB"/>
    <w:rsid w:val="006B4B26"/>
    <w:rsid w:val="006B5E4E"/>
    <w:rsid w:val="006C2DBC"/>
    <w:rsid w:val="006C3433"/>
    <w:rsid w:val="006C525B"/>
    <w:rsid w:val="006C578D"/>
    <w:rsid w:val="006C698F"/>
    <w:rsid w:val="006D1083"/>
    <w:rsid w:val="006D208A"/>
    <w:rsid w:val="006D346A"/>
    <w:rsid w:val="006D39C1"/>
    <w:rsid w:val="006D420C"/>
    <w:rsid w:val="006D4581"/>
    <w:rsid w:val="006D691A"/>
    <w:rsid w:val="006D6B94"/>
    <w:rsid w:val="006D7314"/>
    <w:rsid w:val="006E2109"/>
    <w:rsid w:val="006E27D9"/>
    <w:rsid w:val="006E3113"/>
    <w:rsid w:val="006E3DE4"/>
    <w:rsid w:val="006E4300"/>
    <w:rsid w:val="006E491C"/>
    <w:rsid w:val="006E571B"/>
    <w:rsid w:val="006E583F"/>
    <w:rsid w:val="006E5F7D"/>
    <w:rsid w:val="006E616B"/>
    <w:rsid w:val="006E64CA"/>
    <w:rsid w:val="006E6B65"/>
    <w:rsid w:val="006E6C70"/>
    <w:rsid w:val="006E6F2E"/>
    <w:rsid w:val="006E7235"/>
    <w:rsid w:val="006E7399"/>
    <w:rsid w:val="006E73E2"/>
    <w:rsid w:val="006E7421"/>
    <w:rsid w:val="006F0344"/>
    <w:rsid w:val="006F04B9"/>
    <w:rsid w:val="006F054C"/>
    <w:rsid w:val="006F2478"/>
    <w:rsid w:val="006F2D28"/>
    <w:rsid w:val="006F406F"/>
    <w:rsid w:val="007009DC"/>
    <w:rsid w:val="00701000"/>
    <w:rsid w:val="00701470"/>
    <w:rsid w:val="007015E1"/>
    <w:rsid w:val="00701AD6"/>
    <w:rsid w:val="00701DAC"/>
    <w:rsid w:val="00701F39"/>
    <w:rsid w:val="00702A85"/>
    <w:rsid w:val="0070370C"/>
    <w:rsid w:val="007039D0"/>
    <w:rsid w:val="00703C05"/>
    <w:rsid w:val="00703EBB"/>
    <w:rsid w:val="0070482A"/>
    <w:rsid w:val="007055A1"/>
    <w:rsid w:val="007066F9"/>
    <w:rsid w:val="007072E5"/>
    <w:rsid w:val="00710044"/>
    <w:rsid w:val="007109BD"/>
    <w:rsid w:val="00710A35"/>
    <w:rsid w:val="0071157D"/>
    <w:rsid w:val="0071222F"/>
    <w:rsid w:val="00712A2C"/>
    <w:rsid w:val="00712A89"/>
    <w:rsid w:val="007134EB"/>
    <w:rsid w:val="00713714"/>
    <w:rsid w:val="00713895"/>
    <w:rsid w:val="00713BF0"/>
    <w:rsid w:val="00714DEC"/>
    <w:rsid w:val="00714F19"/>
    <w:rsid w:val="00714FB3"/>
    <w:rsid w:val="00716185"/>
    <w:rsid w:val="00716334"/>
    <w:rsid w:val="007172A8"/>
    <w:rsid w:val="00717780"/>
    <w:rsid w:val="00717B5D"/>
    <w:rsid w:val="00720F17"/>
    <w:rsid w:val="00721D94"/>
    <w:rsid w:val="007221F4"/>
    <w:rsid w:val="0072254A"/>
    <w:rsid w:val="007225CB"/>
    <w:rsid w:val="00722C87"/>
    <w:rsid w:val="00725E0C"/>
    <w:rsid w:val="007262AF"/>
    <w:rsid w:val="007263D1"/>
    <w:rsid w:val="007265B3"/>
    <w:rsid w:val="00726CCB"/>
    <w:rsid w:val="00726D29"/>
    <w:rsid w:val="00726FA5"/>
    <w:rsid w:val="00727202"/>
    <w:rsid w:val="00727C13"/>
    <w:rsid w:val="007302DC"/>
    <w:rsid w:val="007303D9"/>
    <w:rsid w:val="007308DB"/>
    <w:rsid w:val="00730FAE"/>
    <w:rsid w:val="00731958"/>
    <w:rsid w:val="007319E3"/>
    <w:rsid w:val="0073323C"/>
    <w:rsid w:val="00733853"/>
    <w:rsid w:val="00733EE3"/>
    <w:rsid w:val="007358C4"/>
    <w:rsid w:val="00735D24"/>
    <w:rsid w:val="00735D41"/>
    <w:rsid w:val="00736341"/>
    <w:rsid w:val="007364DF"/>
    <w:rsid w:val="00740965"/>
    <w:rsid w:val="00741160"/>
    <w:rsid w:val="00741F54"/>
    <w:rsid w:val="0074214A"/>
    <w:rsid w:val="00742645"/>
    <w:rsid w:val="00742D37"/>
    <w:rsid w:val="00743296"/>
    <w:rsid w:val="00744033"/>
    <w:rsid w:val="00745220"/>
    <w:rsid w:val="00745D04"/>
    <w:rsid w:val="007461C0"/>
    <w:rsid w:val="00746452"/>
    <w:rsid w:val="00746511"/>
    <w:rsid w:val="00746629"/>
    <w:rsid w:val="00747A69"/>
    <w:rsid w:val="00747E6E"/>
    <w:rsid w:val="00747E72"/>
    <w:rsid w:val="00747F44"/>
    <w:rsid w:val="00752B74"/>
    <w:rsid w:val="00752CFE"/>
    <w:rsid w:val="00752E74"/>
    <w:rsid w:val="00753164"/>
    <w:rsid w:val="00753273"/>
    <w:rsid w:val="00753436"/>
    <w:rsid w:val="00753EED"/>
    <w:rsid w:val="007546C5"/>
    <w:rsid w:val="00755C3E"/>
    <w:rsid w:val="00755FCB"/>
    <w:rsid w:val="00756498"/>
    <w:rsid w:val="007565F0"/>
    <w:rsid w:val="00756C0A"/>
    <w:rsid w:val="00756FCF"/>
    <w:rsid w:val="00760165"/>
    <w:rsid w:val="00760596"/>
    <w:rsid w:val="007625E6"/>
    <w:rsid w:val="00762772"/>
    <w:rsid w:val="00762BB0"/>
    <w:rsid w:val="007633D5"/>
    <w:rsid w:val="0076379B"/>
    <w:rsid w:val="00764071"/>
    <w:rsid w:val="00764571"/>
    <w:rsid w:val="007646F5"/>
    <w:rsid w:val="00765275"/>
    <w:rsid w:val="00765277"/>
    <w:rsid w:val="007653C0"/>
    <w:rsid w:val="00765E94"/>
    <w:rsid w:val="00766168"/>
    <w:rsid w:val="00766281"/>
    <w:rsid w:val="007665EA"/>
    <w:rsid w:val="00767113"/>
    <w:rsid w:val="007672CA"/>
    <w:rsid w:val="007674FB"/>
    <w:rsid w:val="00770716"/>
    <w:rsid w:val="0077095E"/>
    <w:rsid w:val="007712AC"/>
    <w:rsid w:val="007718E8"/>
    <w:rsid w:val="00771A25"/>
    <w:rsid w:val="00771D5D"/>
    <w:rsid w:val="00772156"/>
    <w:rsid w:val="0077242E"/>
    <w:rsid w:val="00772EED"/>
    <w:rsid w:val="00772F33"/>
    <w:rsid w:val="00773F25"/>
    <w:rsid w:val="00775216"/>
    <w:rsid w:val="00775F13"/>
    <w:rsid w:val="007767FF"/>
    <w:rsid w:val="007777C9"/>
    <w:rsid w:val="00777B68"/>
    <w:rsid w:val="00782325"/>
    <w:rsid w:val="00782A72"/>
    <w:rsid w:val="007831FE"/>
    <w:rsid w:val="0078387B"/>
    <w:rsid w:val="00783924"/>
    <w:rsid w:val="007859C9"/>
    <w:rsid w:val="00785BDC"/>
    <w:rsid w:val="007868D3"/>
    <w:rsid w:val="007876DC"/>
    <w:rsid w:val="00787AC4"/>
    <w:rsid w:val="0079062B"/>
    <w:rsid w:val="00790EE1"/>
    <w:rsid w:val="00790F10"/>
    <w:rsid w:val="007925C4"/>
    <w:rsid w:val="007938D9"/>
    <w:rsid w:val="007950E9"/>
    <w:rsid w:val="00795695"/>
    <w:rsid w:val="00795702"/>
    <w:rsid w:val="0079643D"/>
    <w:rsid w:val="007979BE"/>
    <w:rsid w:val="00797BF8"/>
    <w:rsid w:val="007A08DD"/>
    <w:rsid w:val="007A140D"/>
    <w:rsid w:val="007A15D2"/>
    <w:rsid w:val="007A3108"/>
    <w:rsid w:val="007A42E2"/>
    <w:rsid w:val="007A511E"/>
    <w:rsid w:val="007A5B53"/>
    <w:rsid w:val="007A5DE1"/>
    <w:rsid w:val="007A67C1"/>
    <w:rsid w:val="007B01F0"/>
    <w:rsid w:val="007B0FD5"/>
    <w:rsid w:val="007B3489"/>
    <w:rsid w:val="007B3D7B"/>
    <w:rsid w:val="007B4732"/>
    <w:rsid w:val="007B5609"/>
    <w:rsid w:val="007B5CA3"/>
    <w:rsid w:val="007B5F76"/>
    <w:rsid w:val="007B6BAD"/>
    <w:rsid w:val="007C0D99"/>
    <w:rsid w:val="007C0E9C"/>
    <w:rsid w:val="007C3344"/>
    <w:rsid w:val="007C3EA7"/>
    <w:rsid w:val="007C4B71"/>
    <w:rsid w:val="007C52CB"/>
    <w:rsid w:val="007C649E"/>
    <w:rsid w:val="007C69DB"/>
    <w:rsid w:val="007C755D"/>
    <w:rsid w:val="007C7FFE"/>
    <w:rsid w:val="007D022D"/>
    <w:rsid w:val="007D0F57"/>
    <w:rsid w:val="007D177D"/>
    <w:rsid w:val="007D1EFE"/>
    <w:rsid w:val="007D2103"/>
    <w:rsid w:val="007D2A12"/>
    <w:rsid w:val="007D3F9C"/>
    <w:rsid w:val="007D4410"/>
    <w:rsid w:val="007D45BB"/>
    <w:rsid w:val="007D4CF0"/>
    <w:rsid w:val="007D5264"/>
    <w:rsid w:val="007D58EA"/>
    <w:rsid w:val="007D5B46"/>
    <w:rsid w:val="007D7907"/>
    <w:rsid w:val="007D7ADD"/>
    <w:rsid w:val="007E072F"/>
    <w:rsid w:val="007E0D0F"/>
    <w:rsid w:val="007E10F5"/>
    <w:rsid w:val="007E1347"/>
    <w:rsid w:val="007E1478"/>
    <w:rsid w:val="007E2598"/>
    <w:rsid w:val="007E2F46"/>
    <w:rsid w:val="007E447F"/>
    <w:rsid w:val="007E4DF9"/>
    <w:rsid w:val="007E5288"/>
    <w:rsid w:val="007E562F"/>
    <w:rsid w:val="007E589A"/>
    <w:rsid w:val="007E5FFB"/>
    <w:rsid w:val="007E64E8"/>
    <w:rsid w:val="007E672A"/>
    <w:rsid w:val="007E704E"/>
    <w:rsid w:val="007E7067"/>
    <w:rsid w:val="007F0324"/>
    <w:rsid w:val="007F07C5"/>
    <w:rsid w:val="007F0FB7"/>
    <w:rsid w:val="007F108E"/>
    <w:rsid w:val="007F1872"/>
    <w:rsid w:val="007F2999"/>
    <w:rsid w:val="007F32F2"/>
    <w:rsid w:val="007F3F08"/>
    <w:rsid w:val="007F4AD2"/>
    <w:rsid w:val="007F4B95"/>
    <w:rsid w:val="007F5636"/>
    <w:rsid w:val="007F69AB"/>
    <w:rsid w:val="007F6A94"/>
    <w:rsid w:val="007F6F2D"/>
    <w:rsid w:val="00800145"/>
    <w:rsid w:val="008017D1"/>
    <w:rsid w:val="00802B13"/>
    <w:rsid w:val="00802B86"/>
    <w:rsid w:val="0080392A"/>
    <w:rsid w:val="008040D1"/>
    <w:rsid w:val="00804615"/>
    <w:rsid w:val="00804D3F"/>
    <w:rsid w:val="00805C68"/>
    <w:rsid w:val="008061E0"/>
    <w:rsid w:val="00806351"/>
    <w:rsid w:val="00807519"/>
    <w:rsid w:val="00807DD1"/>
    <w:rsid w:val="008100AF"/>
    <w:rsid w:val="00810A37"/>
    <w:rsid w:val="008111B2"/>
    <w:rsid w:val="00811C9D"/>
    <w:rsid w:val="00813F8B"/>
    <w:rsid w:val="00814422"/>
    <w:rsid w:val="00814AE4"/>
    <w:rsid w:val="00814B5B"/>
    <w:rsid w:val="00815032"/>
    <w:rsid w:val="00817808"/>
    <w:rsid w:val="00820351"/>
    <w:rsid w:val="008208CE"/>
    <w:rsid w:val="00820A9A"/>
    <w:rsid w:val="00820C0A"/>
    <w:rsid w:val="00820CD0"/>
    <w:rsid w:val="0082115C"/>
    <w:rsid w:val="008214F6"/>
    <w:rsid w:val="00821CE6"/>
    <w:rsid w:val="00822504"/>
    <w:rsid w:val="00822706"/>
    <w:rsid w:val="0082285F"/>
    <w:rsid w:val="008246AA"/>
    <w:rsid w:val="00825597"/>
    <w:rsid w:val="00826313"/>
    <w:rsid w:val="00826ABE"/>
    <w:rsid w:val="0082783C"/>
    <w:rsid w:val="00827914"/>
    <w:rsid w:val="00827C7B"/>
    <w:rsid w:val="00830293"/>
    <w:rsid w:val="008315F2"/>
    <w:rsid w:val="00832ACA"/>
    <w:rsid w:val="00832EC9"/>
    <w:rsid w:val="008335AE"/>
    <w:rsid w:val="0083384F"/>
    <w:rsid w:val="00833FED"/>
    <w:rsid w:val="00834950"/>
    <w:rsid w:val="00835BEE"/>
    <w:rsid w:val="00835DFD"/>
    <w:rsid w:val="008364D3"/>
    <w:rsid w:val="008369AE"/>
    <w:rsid w:val="00837AF4"/>
    <w:rsid w:val="00837C76"/>
    <w:rsid w:val="0084015C"/>
    <w:rsid w:val="008402F1"/>
    <w:rsid w:val="00840C76"/>
    <w:rsid w:val="008425D4"/>
    <w:rsid w:val="00844158"/>
    <w:rsid w:val="008441F2"/>
    <w:rsid w:val="00844BCE"/>
    <w:rsid w:val="0084579F"/>
    <w:rsid w:val="00845FA1"/>
    <w:rsid w:val="00846655"/>
    <w:rsid w:val="00847C9D"/>
    <w:rsid w:val="00850A88"/>
    <w:rsid w:val="00850E8A"/>
    <w:rsid w:val="0085127D"/>
    <w:rsid w:val="008518D0"/>
    <w:rsid w:val="00851AFC"/>
    <w:rsid w:val="00851D87"/>
    <w:rsid w:val="00852A7F"/>
    <w:rsid w:val="008531DE"/>
    <w:rsid w:val="00853E5C"/>
    <w:rsid w:val="00855072"/>
    <w:rsid w:val="008557B8"/>
    <w:rsid w:val="00856073"/>
    <w:rsid w:val="00857B87"/>
    <w:rsid w:val="00857E4A"/>
    <w:rsid w:val="00857F62"/>
    <w:rsid w:val="008604E9"/>
    <w:rsid w:val="008605E4"/>
    <w:rsid w:val="0086129F"/>
    <w:rsid w:val="0086204D"/>
    <w:rsid w:val="008637D6"/>
    <w:rsid w:val="00863FCF"/>
    <w:rsid w:val="008657B0"/>
    <w:rsid w:val="008672E9"/>
    <w:rsid w:val="00867E38"/>
    <w:rsid w:val="00870112"/>
    <w:rsid w:val="0087044E"/>
    <w:rsid w:val="00870A48"/>
    <w:rsid w:val="00871AE1"/>
    <w:rsid w:val="00871C8D"/>
    <w:rsid w:val="00871CA4"/>
    <w:rsid w:val="00872F3E"/>
    <w:rsid w:val="00876AD9"/>
    <w:rsid w:val="00876F92"/>
    <w:rsid w:val="008771FD"/>
    <w:rsid w:val="0087780E"/>
    <w:rsid w:val="00877AA3"/>
    <w:rsid w:val="00877E9A"/>
    <w:rsid w:val="0088027E"/>
    <w:rsid w:val="008815B3"/>
    <w:rsid w:val="00881EE9"/>
    <w:rsid w:val="00882C4D"/>
    <w:rsid w:val="00884B50"/>
    <w:rsid w:val="008874D7"/>
    <w:rsid w:val="008923A3"/>
    <w:rsid w:val="0089341C"/>
    <w:rsid w:val="00893700"/>
    <w:rsid w:val="00894526"/>
    <w:rsid w:val="00896738"/>
    <w:rsid w:val="0089777D"/>
    <w:rsid w:val="008A055A"/>
    <w:rsid w:val="008A06AB"/>
    <w:rsid w:val="008A2846"/>
    <w:rsid w:val="008A2EE9"/>
    <w:rsid w:val="008A2F71"/>
    <w:rsid w:val="008A3181"/>
    <w:rsid w:val="008A41D6"/>
    <w:rsid w:val="008A5303"/>
    <w:rsid w:val="008A5461"/>
    <w:rsid w:val="008A56BD"/>
    <w:rsid w:val="008A6067"/>
    <w:rsid w:val="008A688B"/>
    <w:rsid w:val="008A6ADF"/>
    <w:rsid w:val="008A7A19"/>
    <w:rsid w:val="008B0541"/>
    <w:rsid w:val="008B0720"/>
    <w:rsid w:val="008B1F92"/>
    <w:rsid w:val="008B25B1"/>
    <w:rsid w:val="008B28C2"/>
    <w:rsid w:val="008B2C04"/>
    <w:rsid w:val="008B2D66"/>
    <w:rsid w:val="008B2E3D"/>
    <w:rsid w:val="008B33BD"/>
    <w:rsid w:val="008B4A90"/>
    <w:rsid w:val="008B565B"/>
    <w:rsid w:val="008B59E2"/>
    <w:rsid w:val="008B5AEE"/>
    <w:rsid w:val="008B68C0"/>
    <w:rsid w:val="008B6AF4"/>
    <w:rsid w:val="008B6EF1"/>
    <w:rsid w:val="008B716C"/>
    <w:rsid w:val="008B7DB1"/>
    <w:rsid w:val="008C01B4"/>
    <w:rsid w:val="008C0B03"/>
    <w:rsid w:val="008C0B59"/>
    <w:rsid w:val="008C0B5E"/>
    <w:rsid w:val="008C0D7E"/>
    <w:rsid w:val="008C0DF0"/>
    <w:rsid w:val="008C19E0"/>
    <w:rsid w:val="008C311B"/>
    <w:rsid w:val="008C32E1"/>
    <w:rsid w:val="008C54E6"/>
    <w:rsid w:val="008C5FD2"/>
    <w:rsid w:val="008C648E"/>
    <w:rsid w:val="008C6563"/>
    <w:rsid w:val="008C75E4"/>
    <w:rsid w:val="008C7883"/>
    <w:rsid w:val="008D0FD6"/>
    <w:rsid w:val="008D136D"/>
    <w:rsid w:val="008D13A1"/>
    <w:rsid w:val="008D197B"/>
    <w:rsid w:val="008D19C0"/>
    <w:rsid w:val="008D1BBF"/>
    <w:rsid w:val="008D25FE"/>
    <w:rsid w:val="008D279D"/>
    <w:rsid w:val="008D2C6D"/>
    <w:rsid w:val="008D2E4E"/>
    <w:rsid w:val="008D302A"/>
    <w:rsid w:val="008D32D0"/>
    <w:rsid w:val="008D3BFE"/>
    <w:rsid w:val="008D3CFF"/>
    <w:rsid w:val="008D3D40"/>
    <w:rsid w:val="008D5371"/>
    <w:rsid w:val="008D53A3"/>
    <w:rsid w:val="008E035F"/>
    <w:rsid w:val="008E15F8"/>
    <w:rsid w:val="008E1AF9"/>
    <w:rsid w:val="008E2306"/>
    <w:rsid w:val="008E2370"/>
    <w:rsid w:val="008E28FA"/>
    <w:rsid w:val="008E2B3F"/>
    <w:rsid w:val="008E2B7A"/>
    <w:rsid w:val="008E3319"/>
    <w:rsid w:val="008E3C0C"/>
    <w:rsid w:val="008E43D3"/>
    <w:rsid w:val="008E44EF"/>
    <w:rsid w:val="008E4A27"/>
    <w:rsid w:val="008E4AFB"/>
    <w:rsid w:val="008E534E"/>
    <w:rsid w:val="008E63B8"/>
    <w:rsid w:val="008F07C4"/>
    <w:rsid w:val="008F16ED"/>
    <w:rsid w:val="008F2528"/>
    <w:rsid w:val="008F367C"/>
    <w:rsid w:val="008F3CE7"/>
    <w:rsid w:val="008F3ED0"/>
    <w:rsid w:val="008F57CE"/>
    <w:rsid w:val="008F7921"/>
    <w:rsid w:val="00900141"/>
    <w:rsid w:val="009002FE"/>
    <w:rsid w:val="009015F3"/>
    <w:rsid w:val="00901D57"/>
    <w:rsid w:val="009023C8"/>
    <w:rsid w:val="00903BF3"/>
    <w:rsid w:val="00904C64"/>
    <w:rsid w:val="00905827"/>
    <w:rsid w:val="00905C24"/>
    <w:rsid w:val="00906775"/>
    <w:rsid w:val="00907BCF"/>
    <w:rsid w:val="0091161A"/>
    <w:rsid w:val="00912224"/>
    <w:rsid w:val="00912A7B"/>
    <w:rsid w:val="00912EC9"/>
    <w:rsid w:val="0091308B"/>
    <w:rsid w:val="0091365F"/>
    <w:rsid w:val="00914319"/>
    <w:rsid w:val="00914934"/>
    <w:rsid w:val="00914EC6"/>
    <w:rsid w:val="00916049"/>
    <w:rsid w:val="009170A1"/>
    <w:rsid w:val="00917329"/>
    <w:rsid w:val="009178E5"/>
    <w:rsid w:val="00920F08"/>
    <w:rsid w:val="00922C83"/>
    <w:rsid w:val="009230F0"/>
    <w:rsid w:val="0092585F"/>
    <w:rsid w:val="00926094"/>
    <w:rsid w:val="00926DAD"/>
    <w:rsid w:val="00927330"/>
    <w:rsid w:val="009273ED"/>
    <w:rsid w:val="009279FF"/>
    <w:rsid w:val="0093038C"/>
    <w:rsid w:val="00930806"/>
    <w:rsid w:val="009322A8"/>
    <w:rsid w:val="00933440"/>
    <w:rsid w:val="009335B2"/>
    <w:rsid w:val="009335E9"/>
    <w:rsid w:val="00934749"/>
    <w:rsid w:val="00934A34"/>
    <w:rsid w:val="00935061"/>
    <w:rsid w:val="0093514D"/>
    <w:rsid w:val="00935E03"/>
    <w:rsid w:val="009366F4"/>
    <w:rsid w:val="009368D5"/>
    <w:rsid w:val="00936B94"/>
    <w:rsid w:val="00937C70"/>
    <w:rsid w:val="00941F07"/>
    <w:rsid w:val="00942570"/>
    <w:rsid w:val="00942E5F"/>
    <w:rsid w:val="009431D4"/>
    <w:rsid w:val="0094387C"/>
    <w:rsid w:val="00943AB4"/>
    <w:rsid w:val="0094454F"/>
    <w:rsid w:val="00944AFD"/>
    <w:rsid w:val="009456AF"/>
    <w:rsid w:val="009465A9"/>
    <w:rsid w:val="00950999"/>
    <w:rsid w:val="00950AE8"/>
    <w:rsid w:val="00950D53"/>
    <w:rsid w:val="00951AAA"/>
    <w:rsid w:val="00952070"/>
    <w:rsid w:val="00952E76"/>
    <w:rsid w:val="00954509"/>
    <w:rsid w:val="00954C38"/>
    <w:rsid w:val="00963E89"/>
    <w:rsid w:val="00964F80"/>
    <w:rsid w:val="00966274"/>
    <w:rsid w:val="00966ED9"/>
    <w:rsid w:val="00967429"/>
    <w:rsid w:val="009716C8"/>
    <w:rsid w:val="00972064"/>
    <w:rsid w:val="009736FE"/>
    <w:rsid w:val="00973E00"/>
    <w:rsid w:val="009750DE"/>
    <w:rsid w:val="00975360"/>
    <w:rsid w:val="009763E1"/>
    <w:rsid w:val="009766CD"/>
    <w:rsid w:val="00976CB2"/>
    <w:rsid w:val="009773E9"/>
    <w:rsid w:val="009804D0"/>
    <w:rsid w:val="00980914"/>
    <w:rsid w:val="00980F62"/>
    <w:rsid w:val="0098132F"/>
    <w:rsid w:val="00981831"/>
    <w:rsid w:val="00981A9D"/>
    <w:rsid w:val="009821B9"/>
    <w:rsid w:val="00984369"/>
    <w:rsid w:val="00984FFE"/>
    <w:rsid w:val="00986262"/>
    <w:rsid w:val="009871CE"/>
    <w:rsid w:val="00987804"/>
    <w:rsid w:val="00990333"/>
    <w:rsid w:val="00991A10"/>
    <w:rsid w:val="00992F8C"/>
    <w:rsid w:val="00993336"/>
    <w:rsid w:val="00993887"/>
    <w:rsid w:val="00993EAA"/>
    <w:rsid w:val="00994A2F"/>
    <w:rsid w:val="009952FE"/>
    <w:rsid w:val="00995485"/>
    <w:rsid w:val="009956D0"/>
    <w:rsid w:val="00996508"/>
    <w:rsid w:val="00996D38"/>
    <w:rsid w:val="009970AD"/>
    <w:rsid w:val="00997755"/>
    <w:rsid w:val="00997895"/>
    <w:rsid w:val="009A06A2"/>
    <w:rsid w:val="009A0EC3"/>
    <w:rsid w:val="009A3B2D"/>
    <w:rsid w:val="009A3D81"/>
    <w:rsid w:val="009A3E31"/>
    <w:rsid w:val="009A46FE"/>
    <w:rsid w:val="009A4DCE"/>
    <w:rsid w:val="009A58C5"/>
    <w:rsid w:val="009A5C0B"/>
    <w:rsid w:val="009A5C66"/>
    <w:rsid w:val="009A6426"/>
    <w:rsid w:val="009A7393"/>
    <w:rsid w:val="009B05C7"/>
    <w:rsid w:val="009B0E3E"/>
    <w:rsid w:val="009B2667"/>
    <w:rsid w:val="009B2FDB"/>
    <w:rsid w:val="009B36BE"/>
    <w:rsid w:val="009B3D13"/>
    <w:rsid w:val="009B4BC4"/>
    <w:rsid w:val="009B6B21"/>
    <w:rsid w:val="009B6F36"/>
    <w:rsid w:val="009B7EF4"/>
    <w:rsid w:val="009C059E"/>
    <w:rsid w:val="009C12B2"/>
    <w:rsid w:val="009C1E6F"/>
    <w:rsid w:val="009C263F"/>
    <w:rsid w:val="009C27DC"/>
    <w:rsid w:val="009C2D3A"/>
    <w:rsid w:val="009C3521"/>
    <w:rsid w:val="009C3C59"/>
    <w:rsid w:val="009C4538"/>
    <w:rsid w:val="009C550B"/>
    <w:rsid w:val="009C5CE3"/>
    <w:rsid w:val="009C5FD4"/>
    <w:rsid w:val="009C70D7"/>
    <w:rsid w:val="009C7CD7"/>
    <w:rsid w:val="009C7FD7"/>
    <w:rsid w:val="009D105F"/>
    <w:rsid w:val="009D3985"/>
    <w:rsid w:val="009D42A7"/>
    <w:rsid w:val="009D446C"/>
    <w:rsid w:val="009D478B"/>
    <w:rsid w:val="009D49A1"/>
    <w:rsid w:val="009D5510"/>
    <w:rsid w:val="009D5C75"/>
    <w:rsid w:val="009E0879"/>
    <w:rsid w:val="009E1794"/>
    <w:rsid w:val="009E1CCF"/>
    <w:rsid w:val="009E1D88"/>
    <w:rsid w:val="009E1DB5"/>
    <w:rsid w:val="009E273E"/>
    <w:rsid w:val="009E280A"/>
    <w:rsid w:val="009E2BBD"/>
    <w:rsid w:val="009E3661"/>
    <w:rsid w:val="009E42A6"/>
    <w:rsid w:val="009E4FC6"/>
    <w:rsid w:val="009E5605"/>
    <w:rsid w:val="009E6AAD"/>
    <w:rsid w:val="009E6AC2"/>
    <w:rsid w:val="009E70A8"/>
    <w:rsid w:val="009E7106"/>
    <w:rsid w:val="009E7236"/>
    <w:rsid w:val="009E7424"/>
    <w:rsid w:val="009E7C61"/>
    <w:rsid w:val="009F18BB"/>
    <w:rsid w:val="009F3266"/>
    <w:rsid w:val="009F4D23"/>
    <w:rsid w:val="009F5626"/>
    <w:rsid w:val="009F5F95"/>
    <w:rsid w:val="009F6189"/>
    <w:rsid w:val="00A003A8"/>
    <w:rsid w:val="00A00528"/>
    <w:rsid w:val="00A00926"/>
    <w:rsid w:val="00A00BB9"/>
    <w:rsid w:val="00A01FCE"/>
    <w:rsid w:val="00A02006"/>
    <w:rsid w:val="00A02D16"/>
    <w:rsid w:val="00A041FF"/>
    <w:rsid w:val="00A048F1"/>
    <w:rsid w:val="00A04A2A"/>
    <w:rsid w:val="00A052A3"/>
    <w:rsid w:val="00A05E9A"/>
    <w:rsid w:val="00A06603"/>
    <w:rsid w:val="00A07011"/>
    <w:rsid w:val="00A0757F"/>
    <w:rsid w:val="00A078E3"/>
    <w:rsid w:val="00A101E5"/>
    <w:rsid w:val="00A10322"/>
    <w:rsid w:val="00A10840"/>
    <w:rsid w:val="00A11F66"/>
    <w:rsid w:val="00A12258"/>
    <w:rsid w:val="00A12876"/>
    <w:rsid w:val="00A1315B"/>
    <w:rsid w:val="00A138AF"/>
    <w:rsid w:val="00A13AE1"/>
    <w:rsid w:val="00A13BE9"/>
    <w:rsid w:val="00A13CE5"/>
    <w:rsid w:val="00A14B97"/>
    <w:rsid w:val="00A14BC4"/>
    <w:rsid w:val="00A14D98"/>
    <w:rsid w:val="00A15522"/>
    <w:rsid w:val="00A15A1C"/>
    <w:rsid w:val="00A15B1C"/>
    <w:rsid w:val="00A161A3"/>
    <w:rsid w:val="00A16778"/>
    <w:rsid w:val="00A17BED"/>
    <w:rsid w:val="00A17DF9"/>
    <w:rsid w:val="00A20575"/>
    <w:rsid w:val="00A20BB1"/>
    <w:rsid w:val="00A2150C"/>
    <w:rsid w:val="00A225FC"/>
    <w:rsid w:val="00A244CC"/>
    <w:rsid w:val="00A24AEE"/>
    <w:rsid w:val="00A24DB6"/>
    <w:rsid w:val="00A2513B"/>
    <w:rsid w:val="00A25B9E"/>
    <w:rsid w:val="00A25EF6"/>
    <w:rsid w:val="00A27C72"/>
    <w:rsid w:val="00A301FC"/>
    <w:rsid w:val="00A30DE4"/>
    <w:rsid w:val="00A328F0"/>
    <w:rsid w:val="00A32BF3"/>
    <w:rsid w:val="00A32C2B"/>
    <w:rsid w:val="00A3325E"/>
    <w:rsid w:val="00A353C8"/>
    <w:rsid w:val="00A35CB2"/>
    <w:rsid w:val="00A37148"/>
    <w:rsid w:val="00A401D5"/>
    <w:rsid w:val="00A41293"/>
    <w:rsid w:val="00A42024"/>
    <w:rsid w:val="00A4325A"/>
    <w:rsid w:val="00A4335C"/>
    <w:rsid w:val="00A4363C"/>
    <w:rsid w:val="00A440C1"/>
    <w:rsid w:val="00A4417E"/>
    <w:rsid w:val="00A446C9"/>
    <w:rsid w:val="00A447C6"/>
    <w:rsid w:val="00A44A9A"/>
    <w:rsid w:val="00A455CE"/>
    <w:rsid w:val="00A45934"/>
    <w:rsid w:val="00A45C7A"/>
    <w:rsid w:val="00A46050"/>
    <w:rsid w:val="00A463CE"/>
    <w:rsid w:val="00A46C36"/>
    <w:rsid w:val="00A46F0E"/>
    <w:rsid w:val="00A47127"/>
    <w:rsid w:val="00A472B7"/>
    <w:rsid w:val="00A47A8C"/>
    <w:rsid w:val="00A47E71"/>
    <w:rsid w:val="00A505BC"/>
    <w:rsid w:val="00A50B3E"/>
    <w:rsid w:val="00A51B8B"/>
    <w:rsid w:val="00A51DF4"/>
    <w:rsid w:val="00A53297"/>
    <w:rsid w:val="00A537E5"/>
    <w:rsid w:val="00A54137"/>
    <w:rsid w:val="00A5417C"/>
    <w:rsid w:val="00A54517"/>
    <w:rsid w:val="00A55BF6"/>
    <w:rsid w:val="00A563D2"/>
    <w:rsid w:val="00A570DB"/>
    <w:rsid w:val="00A57594"/>
    <w:rsid w:val="00A60289"/>
    <w:rsid w:val="00A60A3C"/>
    <w:rsid w:val="00A60A67"/>
    <w:rsid w:val="00A60CAD"/>
    <w:rsid w:val="00A6179C"/>
    <w:rsid w:val="00A6202B"/>
    <w:rsid w:val="00A6213A"/>
    <w:rsid w:val="00A62464"/>
    <w:rsid w:val="00A6333A"/>
    <w:rsid w:val="00A63BDA"/>
    <w:rsid w:val="00A660B2"/>
    <w:rsid w:val="00A66515"/>
    <w:rsid w:val="00A665C7"/>
    <w:rsid w:val="00A666A6"/>
    <w:rsid w:val="00A716A5"/>
    <w:rsid w:val="00A71F60"/>
    <w:rsid w:val="00A726F4"/>
    <w:rsid w:val="00A73B52"/>
    <w:rsid w:val="00A741AC"/>
    <w:rsid w:val="00A749B3"/>
    <w:rsid w:val="00A76BD6"/>
    <w:rsid w:val="00A77326"/>
    <w:rsid w:val="00A80876"/>
    <w:rsid w:val="00A80D8E"/>
    <w:rsid w:val="00A8101A"/>
    <w:rsid w:val="00A820B9"/>
    <w:rsid w:val="00A82B11"/>
    <w:rsid w:val="00A82CE4"/>
    <w:rsid w:val="00A82FCA"/>
    <w:rsid w:val="00A8437B"/>
    <w:rsid w:val="00A84684"/>
    <w:rsid w:val="00A85539"/>
    <w:rsid w:val="00A86306"/>
    <w:rsid w:val="00A86C1C"/>
    <w:rsid w:val="00A86DF9"/>
    <w:rsid w:val="00A87116"/>
    <w:rsid w:val="00A871A2"/>
    <w:rsid w:val="00A872C3"/>
    <w:rsid w:val="00A874CC"/>
    <w:rsid w:val="00A87A2C"/>
    <w:rsid w:val="00A90180"/>
    <w:rsid w:val="00A90D70"/>
    <w:rsid w:val="00A90D8B"/>
    <w:rsid w:val="00A90F88"/>
    <w:rsid w:val="00A91865"/>
    <w:rsid w:val="00A91DA1"/>
    <w:rsid w:val="00A93D88"/>
    <w:rsid w:val="00A93FD9"/>
    <w:rsid w:val="00A94220"/>
    <w:rsid w:val="00A94245"/>
    <w:rsid w:val="00A944A1"/>
    <w:rsid w:val="00A94ECD"/>
    <w:rsid w:val="00A95176"/>
    <w:rsid w:val="00A9595F"/>
    <w:rsid w:val="00A96491"/>
    <w:rsid w:val="00A96F86"/>
    <w:rsid w:val="00A9740F"/>
    <w:rsid w:val="00AA3B24"/>
    <w:rsid w:val="00AA4561"/>
    <w:rsid w:val="00AA4686"/>
    <w:rsid w:val="00AA5BDB"/>
    <w:rsid w:val="00AA7AD9"/>
    <w:rsid w:val="00AB14F4"/>
    <w:rsid w:val="00AB187A"/>
    <w:rsid w:val="00AB281A"/>
    <w:rsid w:val="00AB33A8"/>
    <w:rsid w:val="00AB391A"/>
    <w:rsid w:val="00AB3AE1"/>
    <w:rsid w:val="00AB3E04"/>
    <w:rsid w:val="00AB4221"/>
    <w:rsid w:val="00AB4330"/>
    <w:rsid w:val="00AB49C0"/>
    <w:rsid w:val="00AB4C1B"/>
    <w:rsid w:val="00AB5119"/>
    <w:rsid w:val="00AB5350"/>
    <w:rsid w:val="00AB53E8"/>
    <w:rsid w:val="00AB6205"/>
    <w:rsid w:val="00AB639A"/>
    <w:rsid w:val="00AB6B1E"/>
    <w:rsid w:val="00AB7B5D"/>
    <w:rsid w:val="00AC002B"/>
    <w:rsid w:val="00AC10D1"/>
    <w:rsid w:val="00AC146C"/>
    <w:rsid w:val="00AC17A8"/>
    <w:rsid w:val="00AC3434"/>
    <w:rsid w:val="00AC347E"/>
    <w:rsid w:val="00AC48CB"/>
    <w:rsid w:val="00AC556B"/>
    <w:rsid w:val="00AD0A8D"/>
    <w:rsid w:val="00AD0E04"/>
    <w:rsid w:val="00AD121E"/>
    <w:rsid w:val="00AD2195"/>
    <w:rsid w:val="00AD2A71"/>
    <w:rsid w:val="00AD2AD5"/>
    <w:rsid w:val="00AD2B87"/>
    <w:rsid w:val="00AD4375"/>
    <w:rsid w:val="00AD5577"/>
    <w:rsid w:val="00AD598C"/>
    <w:rsid w:val="00AD5EA1"/>
    <w:rsid w:val="00AD5F45"/>
    <w:rsid w:val="00AD6EC2"/>
    <w:rsid w:val="00AD7028"/>
    <w:rsid w:val="00AD7396"/>
    <w:rsid w:val="00AD7A0E"/>
    <w:rsid w:val="00AE0E01"/>
    <w:rsid w:val="00AE2490"/>
    <w:rsid w:val="00AE28B0"/>
    <w:rsid w:val="00AE3E1D"/>
    <w:rsid w:val="00AE403E"/>
    <w:rsid w:val="00AE45C0"/>
    <w:rsid w:val="00AE58C7"/>
    <w:rsid w:val="00AE5C15"/>
    <w:rsid w:val="00AE6092"/>
    <w:rsid w:val="00AE6A05"/>
    <w:rsid w:val="00AE6D97"/>
    <w:rsid w:val="00AE74AD"/>
    <w:rsid w:val="00AF00E7"/>
    <w:rsid w:val="00AF0B5D"/>
    <w:rsid w:val="00AF2B37"/>
    <w:rsid w:val="00AF3838"/>
    <w:rsid w:val="00AF421B"/>
    <w:rsid w:val="00AF454C"/>
    <w:rsid w:val="00AF60EA"/>
    <w:rsid w:val="00AF6E96"/>
    <w:rsid w:val="00B00B73"/>
    <w:rsid w:val="00B00E5B"/>
    <w:rsid w:val="00B00EBA"/>
    <w:rsid w:val="00B01AE4"/>
    <w:rsid w:val="00B01F6C"/>
    <w:rsid w:val="00B02AEB"/>
    <w:rsid w:val="00B03481"/>
    <w:rsid w:val="00B04048"/>
    <w:rsid w:val="00B04147"/>
    <w:rsid w:val="00B04174"/>
    <w:rsid w:val="00B04A39"/>
    <w:rsid w:val="00B05C07"/>
    <w:rsid w:val="00B06654"/>
    <w:rsid w:val="00B066BF"/>
    <w:rsid w:val="00B06F77"/>
    <w:rsid w:val="00B07890"/>
    <w:rsid w:val="00B07D7C"/>
    <w:rsid w:val="00B10A88"/>
    <w:rsid w:val="00B10C69"/>
    <w:rsid w:val="00B11788"/>
    <w:rsid w:val="00B127B5"/>
    <w:rsid w:val="00B127C7"/>
    <w:rsid w:val="00B13131"/>
    <w:rsid w:val="00B131DE"/>
    <w:rsid w:val="00B15809"/>
    <w:rsid w:val="00B16B74"/>
    <w:rsid w:val="00B1798A"/>
    <w:rsid w:val="00B20D57"/>
    <w:rsid w:val="00B2132C"/>
    <w:rsid w:val="00B21D49"/>
    <w:rsid w:val="00B22C6D"/>
    <w:rsid w:val="00B22DD5"/>
    <w:rsid w:val="00B232A6"/>
    <w:rsid w:val="00B2477C"/>
    <w:rsid w:val="00B250E2"/>
    <w:rsid w:val="00B265E3"/>
    <w:rsid w:val="00B2707F"/>
    <w:rsid w:val="00B27AC2"/>
    <w:rsid w:val="00B27C32"/>
    <w:rsid w:val="00B30468"/>
    <w:rsid w:val="00B3092B"/>
    <w:rsid w:val="00B31434"/>
    <w:rsid w:val="00B31657"/>
    <w:rsid w:val="00B34578"/>
    <w:rsid w:val="00B3492B"/>
    <w:rsid w:val="00B34E62"/>
    <w:rsid w:val="00B34FC7"/>
    <w:rsid w:val="00B359EB"/>
    <w:rsid w:val="00B36161"/>
    <w:rsid w:val="00B361E3"/>
    <w:rsid w:val="00B37A5E"/>
    <w:rsid w:val="00B37E1B"/>
    <w:rsid w:val="00B40783"/>
    <w:rsid w:val="00B407B3"/>
    <w:rsid w:val="00B40CDB"/>
    <w:rsid w:val="00B40DEC"/>
    <w:rsid w:val="00B412E2"/>
    <w:rsid w:val="00B4130C"/>
    <w:rsid w:val="00B4192C"/>
    <w:rsid w:val="00B42D84"/>
    <w:rsid w:val="00B43151"/>
    <w:rsid w:val="00B431B8"/>
    <w:rsid w:val="00B440DD"/>
    <w:rsid w:val="00B451F7"/>
    <w:rsid w:val="00B454F1"/>
    <w:rsid w:val="00B45DDA"/>
    <w:rsid w:val="00B45E3A"/>
    <w:rsid w:val="00B47C83"/>
    <w:rsid w:val="00B5022D"/>
    <w:rsid w:val="00B51ED3"/>
    <w:rsid w:val="00B5455F"/>
    <w:rsid w:val="00B54FBC"/>
    <w:rsid w:val="00B5501F"/>
    <w:rsid w:val="00B56701"/>
    <w:rsid w:val="00B56DCE"/>
    <w:rsid w:val="00B5706D"/>
    <w:rsid w:val="00B57B7B"/>
    <w:rsid w:val="00B62605"/>
    <w:rsid w:val="00B62C62"/>
    <w:rsid w:val="00B6357F"/>
    <w:rsid w:val="00B63614"/>
    <w:rsid w:val="00B63AB7"/>
    <w:rsid w:val="00B63F40"/>
    <w:rsid w:val="00B64248"/>
    <w:rsid w:val="00B642AB"/>
    <w:rsid w:val="00B648D1"/>
    <w:rsid w:val="00B6545F"/>
    <w:rsid w:val="00B6554F"/>
    <w:rsid w:val="00B66555"/>
    <w:rsid w:val="00B6680B"/>
    <w:rsid w:val="00B66B87"/>
    <w:rsid w:val="00B677E4"/>
    <w:rsid w:val="00B702AB"/>
    <w:rsid w:val="00B71AF4"/>
    <w:rsid w:val="00B71C54"/>
    <w:rsid w:val="00B724F1"/>
    <w:rsid w:val="00B7259B"/>
    <w:rsid w:val="00B725A1"/>
    <w:rsid w:val="00B72897"/>
    <w:rsid w:val="00B72E63"/>
    <w:rsid w:val="00B73F60"/>
    <w:rsid w:val="00B744C2"/>
    <w:rsid w:val="00B74998"/>
    <w:rsid w:val="00B76408"/>
    <w:rsid w:val="00B816E0"/>
    <w:rsid w:val="00B81D52"/>
    <w:rsid w:val="00B822BE"/>
    <w:rsid w:val="00B82725"/>
    <w:rsid w:val="00B83349"/>
    <w:rsid w:val="00B83901"/>
    <w:rsid w:val="00B863A6"/>
    <w:rsid w:val="00B86839"/>
    <w:rsid w:val="00B869AA"/>
    <w:rsid w:val="00B86F1F"/>
    <w:rsid w:val="00B87244"/>
    <w:rsid w:val="00B902A1"/>
    <w:rsid w:val="00B90C53"/>
    <w:rsid w:val="00B90EA7"/>
    <w:rsid w:val="00B94305"/>
    <w:rsid w:val="00B959ED"/>
    <w:rsid w:val="00B95B8C"/>
    <w:rsid w:val="00B96B82"/>
    <w:rsid w:val="00B96FA5"/>
    <w:rsid w:val="00B9731D"/>
    <w:rsid w:val="00B97FE9"/>
    <w:rsid w:val="00BA17E0"/>
    <w:rsid w:val="00BA1808"/>
    <w:rsid w:val="00BA1BBB"/>
    <w:rsid w:val="00BA221A"/>
    <w:rsid w:val="00BA38C7"/>
    <w:rsid w:val="00BA5269"/>
    <w:rsid w:val="00BA5485"/>
    <w:rsid w:val="00BA6269"/>
    <w:rsid w:val="00BA6BE8"/>
    <w:rsid w:val="00BA6F4F"/>
    <w:rsid w:val="00BA778F"/>
    <w:rsid w:val="00BB07FD"/>
    <w:rsid w:val="00BB0DD3"/>
    <w:rsid w:val="00BB1E8E"/>
    <w:rsid w:val="00BB2DD9"/>
    <w:rsid w:val="00BB3351"/>
    <w:rsid w:val="00BB3561"/>
    <w:rsid w:val="00BB3A11"/>
    <w:rsid w:val="00BB3D8C"/>
    <w:rsid w:val="00BB63A3"/>
    <w:rsid w:val="00BB74EC"/>
    <w:rsid w:val="00BB75F2"/>
    <w:rsid w:val="00BB7C6C"/>
    <w:rsid w:val="00BC27EC"/>
    <w:rsid w:val="00BC3413"/>
    <w:rsid w:val="00BC38D5"/>
    <w:rsid w:val="00BC3D5F"/>
    <w:rsid w:val="00BC41CA"/>
    <w:rsid w:val="00BC59EA"/>
    <w:rsid w:val="00BC628A"/>
    <w:rsid w:val="00BC66B8"/>
    <w:rsid w:val="00BD0584"/>
    <w:rsid w:val="00BD07F3"/>
    <w:rsid w:val="00BD15B9"/>
    <w:rsid w:val="00BD1BBF"/>
    <w:rsid w:val="00BD1EFE"/>
    <w:rsid w:val="00BD3FAC"/>
    <w:rsid w:val="00BD45A8"/>
    <w:rsid w:val="00BD4858"/>
    <w:rsid w:val="00BD50C5"/>
    <w:rsid w:val="00BD58D5"/>
    <w:rsid w:val="00BD7186"/>
    <w:rsid w:val="00BE044C"/>
    <w:rsid w:val="00BE06EF"/>
    <w:rsid w:val="00BE0A92"/>
    <w:rsid w:val="00BE0C57"/>
    <w:rsid w:val="00BE2C19"/>
    <w:rsid w:val="00BE2D89"/>
    <w:rsid w:val="00BE3077"/>
    <w:rsid w:val="00BE3BFA"/>
    <w:rsid w:val="00BE3C14"/>
    <w:rsid w:val="00BE43A5"/>
    <w:rsid w:val="00BE4AE9"/>
    <w:rsid w:val="00BE5767"/>
    <w:rsid w:val="00BE5795"/>
    <w:rsid w:val="00BE64FB"/>
    <w:rsid w:val="00BE74FA"/>
    <w:rsid w:val="00BE7FAD"/>
    <w:rsid w:val="00BF0B35"/>
    <w:rsid w:val="00BF0C85"/>
    <w:rsid w:val="00BF145A"/>
    <w:rsid w:val="00BF1780"/>
    <w:rsid w:val="00BF188D"/>
    <w:rsid w:val="00BF2AF5"/>
    <w:rsid w:val="00BF3179"/>
    <w:rsid w:val="00BF329E"/>
    <w:rsid w:val="00BF43D0"/>
    <w:rsid w:val="00BF444A"/>
    <w:rsid w:val="00BF49AF"/>
    <w:rsid w:val="00BF5B4D"/>
    <w:rsid w:val="00BF616F"/>
    <w:rsid w:val="00BF65BE"/>
    <w:rsid w:val="00BF6E7E"/>
    <w:rsid w:val="00BF7D31"/>
    <w:rsid w:val="00C010F7"/>
    <w:rsid w:val="00C01482"/>
    <w:rsid w:val="00C015C7"/>
    <w:rsid w:val="00C02412"/>
    <w:rsid w:val="00C024BE"/>
    <w:rsid w:val="00C028C8"/>
    <w:rsid w:val="00C0392C"/>
    <w:rsid w:val="00C03C74"/>
    <w:rsid w:val="00C03CC9"/>
    <w:rsid w:val="00C03CD7"/>
    <w:rsid w:val="00C04460"/>
    <w:rsid w:val="00C0489F"/>
    <w:rsid w:val="00C0521B"/>
    <w:rsid w:val="00C06A45"/>
    <w:rsid w:val="00C06FEB"/>
    <w:rsid w:val="00C1050B"/>
    <w:rsid w:val="00C10D86"/>
    <w:rsid w:val="00C110BC"/>
    <w:rsid w:val="00C116F3"/>
    <w:rsid w:val="00C11ED2"/>
    <w:rsid w:val="00C11F2B"/>
    <w:rsid w:val="00C125E7"/>
    <w:rsid w:val="00C148E3"/>
    <w:rsid w:val="00C15122"/>
    <w:rsid w:val="00C15308"/>
    <w:rsid w:val="00C158A1"/>
    <w:rsid w:val="00C17130"/>
    <w:rsid w:val="00C175C5"/>
    <w:rsid w:val="00C17886"/>
    <w:rsid w:val="00C17AA3"/>
    <w:rsid w:val="00C2040A"/>
    <w:rsid w:val="00C2050D"/>
    <w:rsid w:val="00C2059F"/>
    <w:rsid w:val="00C209EB"/>
    <w:rsid w:val="00C2150B"/>
    <w:rsid w:val="00C2165B"/>
    <w:rsid w:val="00C21C12"/>
    <w:rsid w:val="00C22A28"/>
    <w:rsid w:val="00C22AE1"/>
    <w:rsid w:val="00C22B69"/>
    <w:rsid w:val="00C23DE7"/>
    <w:rsid w:val="00C24D32"/>
    <w:rsid w:val="00C250E5"/>
    <w:rsid w:val="00C252E6"/>
    <w:rsid w:val="00C25346"/>
    <w:rsid w:val="00C25E01"/>
    <w:rsid w:val="00C25E5B"/>
    <w:rsid w:val="00C25F35"/>
    <w:rsid w:val="00C26D69"/>
    <w:rsid w:val="00C271A7"/>
    <w:rsid w:val="00C3098B"/>
    <w:rsid w:val="00C30EDC"/>
    <w:rsid w:val="00C30F9D"/>
    <w:rsid w:val="00C320A9"/>
    <w:rsid w:val="00C326B2"/>
    <w:rsid w:val="00C32AE5"/>
    <w:rsid w:val="00C32C3E"/>
    <w:rsid w:val="00C32DC4"/>
    <w:rsid w:val="00C33E5C"/>
    <w:rsid w:val="00C34075"/>
    <w:rsid w:val="00C34252"/>
    <w:rsid w:val="00C342A2"/>
    <w:rsid w:val="00C34689"/>
    <w:rsid w:val="00C34B80"/>
    <w:rsid w:val="00C3624F"/>
    <w:rsid w:val="00C36E8F"/>
    <w:rsid w:val="00C376E9"/>
    <w:rsid w:val="00C3784A"/>
    <w:rsid w:val="00C37E05"/>
    <w:rsid w:val="00C37E70"/>
    <w:rsid w:val="00C413B6"/>
    <w:rsid w:val="00C41416"/>
    <w:rsid w:val="00C42418"/>
    <w:rsid w:val="00C42F82"/>
    <w:rsid w:val="00C43605"/>
    <w:rsid w:val="00C43854"/>
    <w:rsid w:val="00C43A18"/>
    <w:rsid w:val="00C43AC0"/>
    <w:rsid w:val="00C43E04"/>
    <w:rsid w:val="00C447BB"/>
    <w:rsid w:val="00C44E15"/>
    <w:rsid w:val="00C45C2B"/>
    <w:rsid w:val="00C46C86"/>
    <w:rsid w:val="00C4719F"/>
    <w:rsid w:val="00C47DB3"/>
    <w:rsid w:val="00C519B0"/>
    <w:rsid w:val="00C51BFC"/>
    <w:rsid w:val="00C5268A"/>
    <w:rsid w:val="00C54647"/>
    <w:rsid w:val="00C54EB8"/>
    <w:rsid w:val="00C54F31"/>
    <w:rsid w:val="00C56359"/>
    <w:rsid w:val="00C60974"/>
    <w:rsid w:val="00C61406"/>
    <w:rsid w:val="00C6209A"/>
    <w:rsid w:val="00C620BA"/>
    <w:rsid w:val="00C621E3"/>
    <w:rsid w:val="00C63820"/>
    <w:rsid w:val="00C63BB4"/>
    <w:rsid w:val="00C6465C"/>
    <w:rsid w:val="00C65071"/>
    <w:rsid w:val="00C6617D"/>
    <w:rsid w:val="00C6624F"/>
    <w:rsid w:val="00C662FE"/>
    <w:rsid w:val="00C67FDF"/>
    <w:rsid w:val="00C70D01"/>
    <w:rsid w:val="00C70D06"/>
    <w:rsid w:val="00C71F8D"/>
    <w:rsid w:val="00C732C2"/>
    <w:rsid w:val="00C73CB9"/>
    <w:rsid w:val="00C7407D"/>
    <w:rsid w:val="00C74D73"/>
    <w:rsid w:val="00C75552"/>
    <w:rsid w:val="00C7559D"/>
    <w:rsid w:val="00C757C9"/>
    <w:rsid w:val="00C75901"/>
    <w:rsid w:val="00C75B23"/>
    <w:rsid w:val="00C761DF"/>
    <w:rsid w:val="00C76256"/>
    <w:rsid w:val="00C76C3D"/>
    <w:rsid w:val="00C76FF7"/>
    <w:rsid w:val="00C77195"/>
    <w:rsid w:val="00C7745B"/>
    <w:rsid w:val="00C776FE"/>
    <w:rsid w:val="00C77A17"/>
    <w:rsid w:val="00C77ED9"/>
    <w:rsid w:val="00C803ED"/>
    <w:rsid w:val="00C80CB5"/>
    <w:rsid w:val="00C81B82"/>
    <w:rsid w:val="00C82569"/>
    <w:rsid w:val="00C828B9"/>
    <w:rsid w:val="00C82922"/>
    <w:rsid w:val="00C842F8"/>
    <w:rsid w:val="00C84375"/>
    <w:rsid w:val="00C862D3"/>
    <w:rsid w:val="00C864F3"/>
    <w:rsid w:val="00C86756"/>
    <w:rsid w:val="00C86E69"/>
    <w:rsid w:val="00C87813"/>
    <w:rsid w:val="00C902B7"/>
    <w:rsid w:val="00C90346"/>
    <w:rsid w:val="00C90EA9"/>
    <w:rsid w:val="00C918B1"/>
    <w:rsid w:val="00C94116"/>
    <w:rsid w:val="00C95525"/>
    <w:rsid w:val="00C96349"/>
    <w:rsid w:val="00C9720B"/>
    <w:rsid w:val="00CA01DD"/>
    <w:rsid w:val="00CA0C18"/>
    <w:rsid w:val="00CA1EB7"/>
    <w:rsid w:val="00CA271F"/>
    <w:rsid w:val="00CA30BE"/>
    <w:rsid w:val="00CA37B6"/>
    <w:rsid w:val="00CA3867"/>
    <w:rsid w:val="00CA4EC4"/>
    <w:rsid w:val="00CA4ECC"/>
    <w:rsid w:val="00CA609B"/>
    <w:rsid w:val="00CA7F3F"/>
    <w:rsid w:val="00CB04E6"/>
    <w:rsid w:val="00CB0C70"/>
    <w:rsid w:val="00CB197D"/>
    <w:rsid w:val="00CB23D1"/>
    <w:rsid w:val="00CB2AE8"/>
    <w:rsid w:val="00CB2E7C"/>
    <w:rsid w:val="00CB2F71"/>
    <w:rsid w:val="00CB3D4D"/>
    <w:rsid w:val="00CB407A"/>
    <w:rsid w:val="00CB49B3"/>
    <w:rsid w:val="00CB5612"/>
    <w:rsid w:val="00CB6A48"/>
    <w:rsid w:val="00CB7148"/>
    <w:rsid w:val="00CC0916"/>
    <w:rsid w:val="00CC0BE3"/>
    <w:rsid w:val="00CC146D"/>
    <w:rsid w:val="00CC16BC"/>
    <w:rsid w:val="00CC2256"/>
    <w:rsid w:val="00CC245F"/>
    <w:rsid w:val="00CC32BB"/>
    <w:rsid w:val="00CC3A71"/>
    <w:rsid w:val="00CC3C62"/>
    <w:rsid w:val="00CC3E1E"/>
    <w:rsid w:val="00CC5C5F"/>
    <w:rsid w:val="00CC65B7"/>
    <w:rsid w:val="00CC66A6"/>
    <w:rsid w:val="00CC6CD8"/>
    <w:rsid w:val="00CC6D7B"/>
    <w:rsid w:val="00CC6FED"/>
    <w:rsid w:val="00CC7593"/>
    <w:rsid w:val="00CD04BC"/>
    <w:rsid w:val="00CD0BE8"/>
    <w:rsid w:val="00CD2855"/>
    <w:rsid w:val="00CD3D2B"/>
    <w:rsid w:val="00CD43B2"/>
    <w:rsid w:val="00CD49C2"/>
    <w:rsid w:val="00CD669D"/>
    <w:rsid w:val="00CD71EE"/>
    <w:rsid w:val="00CD7B34"/>
    <w:rsid w:val="00CE08AF"/>
    <w:rsid w:val="00CE17CE"/>
    <w:rsid w:val="00CE1E6E"/>
    <w:rsid w:val="00CE1FAF"/>
    <w:rsid w:val="00CE2153"/>
    <w:rsid w:val="00CE2BA1"/>
    <w:rsid w:val="00CE4FBD"/>
    <w:rsid w:val="00CE5545"/>
    <w:rsid w:val="00CE5BC9"/>
    <w:rsid w:val="00CE7260"/>
    <w:rsid w:val="00CE7C1C"/>
    <w:rsid w:val="00CE7E6E"/>
    <w:rsid w:val="00CF12BA"/>
    <w:rsid w:val="00CF174B"/>
    <w:rsid w:val="00CF1896"/>
    <w:rsid w:val="00CF37F0"/>
    <w:rsid w:val="00CF5528"/>
    <w:rsid w:val="00CF5CC5"/>
    <w:rsid w:val="00CF6567"/>
    <w:rsid w:val="00CF6D31"/>
    <w:rsid w:val="00CF7449"/>
    <w:rsid w:val="00CF798C"/>
    <w:rsid w:val="00D002F8"/>
    <w:rsid w:val="00D00885"/>
    <w:rsid w:val="00D00C76"/>
    <w:rsid w:val="00D0195A"/>
    <w:rsid w:val="00D019E9"/>
    <w:rsid w:val="00D02C7C"/>
    <w:rsid w:val="00D031B3"/>
    <w:rsid w:val="00D03206"/>
    <w:rsid w:val="00D04011"/>
    <w:rsid w:val="00D04ADB"/>
    <w:rsid w:val="00D04FB8"/>
    <w:rsid w:val="00D051D6"/>
    <w:rsid w:val="00D054BA"/>
    <w:rsid w:val="00D058F8"/>
    <w:rsid w:val="00D05C37"/>
    <w:rsid w:val="00D05C72"/>
    <w:rsid w:val="00D0689D"/>
    <w:rsid w:val="00D06F8C"/>
    <w:rsid w:val="00D0796F"/>
    <w:rsid w:val="00D10CC1"/>
    <w:rsid w:val="00D11A9F"/>
    <w:rsid w:val="00D11B21"/>
    <w:rsid w:val="00D12131"/>
    <w:rsid w:val="00D125F0"/>
    <w:rsid w:val="00D126DB"/>
    <w:rsid w:val="00D130B9"/>
    <w:rsid w:val="00D1488A"/>
    <w:rsid w:val="00D151EA"/>
    <w:rsid w:val="00D155E9"/>
    <w:rsid w:val="00D1576E"/>
    <w:rsid w:val="00D166C0"/>
    <w:rsid w:val="00D167D2"/>
    <w:rsid w:val="00D172D1"/>
    <w:rsid w:val="00D2034E"/>
    <w:rsid w:val="00D22C3F"/>
    <w:rsid w:val="00D22DEB"/>
    <w:rsid w:val="00D24582"/>
    <w:rsid w:val="00D24732"/>
    <w:rsid w:val="00D24E12"/>
    <w:rsid w:val="00D24F63"/>
    <w:rsid w:val="00D25129"/>
    <w:rsid w:val="00D2522F"/>
    <w:rsid w:val="00D2581C"/>
    <w:rsid w:val="00D317BC"/>
    <w:rsid w:val="00D31B7A"/>
    <w:rsid w:val="00D32B30"/>
    <w:rsid w:val="00D33B10"/>
    <w:rsid w:val="00D345F9"/>
    <w:rsid w:val="00D349B4"/>
    <w:rsid w:val="00D34D6F"/>
    <w:rsid w:val="00D34F00"/>
    <w:rsid w:val="00D351C6"/>
    <w:rsid w:val="00D35805"/>
    <w:rsid w:val="00D35942"/>
    <w:rsid w:val="00D3743F"/>
    <w:rsid w:val="00D37778"/>
    <w:rsid w:val="00D406EA"/>
    <w:rsid w:val="00D41F7A"/>
    <w:rsid w:val="00D4300D"/>
    <w:rsid w:val="00D4550A"/>
    <w:rsid w:val="00D46CFB"/>
    <w:rsid w:val="00D473DC"/>
    <w:rsid w:val="00D51FBA"/>
    <w:rsid w:val="00D526E3"/>
    <w:rsid w:val="00D52DE4"/>
    <w:rsid w:val="00D534A7"/>
    <w:rsid w:val="00D53E14"/>
    <w:rsid w:val="00D542B7"/>
    <w:rsid w:val="00D54B76"/>
    <w:rsid w:val="00D54F45"/>
    <w:rsid w:val="00D553DC"/>
    <w:rsid w:val="00D554C8"/>
    <w:rsid w:val="00D56861"/>
    <w:rsid w:val="00D5761C"/>
    <w:rsid w:val="00D5786D"/>
    <w:rsid w:val="00D57F7C"/>
    <w:rsid w:val="00D60973"/>
    <w:rsid w:val="00D61B47"/>
    <w:rsid w:val="00D61CB1"/>
    <w:rsid w:val="00D61D71"/>
    <w:rsid w:val="00D62FF7"/>
    <w:rsid w:val="00D636E5"/>
    <w:rsid w:val="00D638D2"/>
    <w:rsid w:val="00D64498"/>
    <w:rsid w:val="00D652D4"/>
    <w:rsid w:val="00D658BB"/>
    <w:rsid w:val="00D65F79"/>
    <w:rsid w:val="00D66CA4"/>
    <w:rsid w:val="00D66F8D"/>
    <w:rsid w:val="00D715A4"/>
    <w:rsid w:val="00D71CC0"/>
    <w:rsid w:val="00D71F0E"/>
    <w:rsid w:val="00D72845"/>
    <w:rsid w:val="00D72D8E"/>
    <w:rsid w:val="00D74BF9"/>
    <w:rsid w:val="00D74C40"/>
    <w:rsid w:val="00D7758E"/>
    <w:rsid w:val="00D808DB"/>
    <w:rsid w:val="00D80C2B"/>
    <w:rsid w:val="00D81B45"/>
    <w:rsid w:val="00D82034"/>
    <w:rsid w:val="00D8250B"/>
    <w:rsid w:val="00D82F4C"/>
    <w:rsid w:val="00D83002"/>
    <w:rsid w:val="00D845C9"/>
    <w:rsid w:val="00D84BF3"/>
    <w:rsid w:val="00D84CB2"/>
    <w:rsid w:val="00D84CEA"/>
    <w:rsid w:val="00D855C3"/>
    <w:rsid w:val="00D8621A"/>
    <w:rsid w:val="00D86BCE"/>
    <w:rsid w:val="00D873AB"/>
    <w:rsid w:val="00D874B3"/>
    <w:rsid w:val="00D876A4"/>
    <w:rsid w:val="00D87A83"/>
    <w:rsid w:val="00D87F7F"/>
    <w:rsid w:val="00D902FC"/>
    <w:rsid w:val="00D9041A"/>
    <w:rsid w:val="00D90458"/>
    <w:rsid w:val="00D90532"/>
    <w:rsid w:val="00D90BE3"/>
    <w:rsid w:val="00D914AE"/>
    <w:rsid w:val="00D91C2A"/>
    <w:rsid w:val="00D93CCF"/>
    <w:rsid w:val="00D93F23"/>
    <w:rsid w:val="00D93F5C"/>
    <w:rsid w:val="00D94AA2"/>
    <w:rsid w:val="00D94B73"/>
    <w:rsid w:val="00D955E3"/>
    <w:rsid w:val="00D959D7"/>
    <w:rsid w:val="00D95A4C"/>
    <w:rsid w:val="00D96260"/>
    <w:rsid w:val="00D967C9"/>
    <w:rsid w:val="00D96946"/>
    <w:rsid w:val="00D97103"/>
    <w:rsid w:val="00D97979"/>
    <w:rsid w:val="00D97F14"/>
    <w:rsid w:val="00DA0CAE"/>
    <w:rsid w:val="00DA15E3"/>
    <w:rsid w:val="00DA3532"/>
    <w:rsid w:val="00DA39EE"/>
    <w:rsid w:val="00DA4B3A"/>
    <w:rsid w:val="00DA50AB"/>
    <w:rsid w:val="00DA5206"/>
    <w:rsid w:val="00DA521A"/>
    <w:rsid w:val="00DA605D"/>
    <w:rsid w:val="00DA6872"/>
    <w:rsid w:val="00DA6B91"/>
    <w:rsid w:val="00DA6F75"/>
    <w:rsid w:val="00DA744D"/>
    <w:rsid w:val="00DA7826"/>
    <w:rsid w:val="00DA7D6B"/>
    <w:rsid w:val="00DB03D2"/>
    <w:rsid w:val="00DB06D1"/>
    <w:rsid w:val="00DB0EB5"/>
    <w:rsid w:val="00DB1480"/>
    <w:rsid w:val="00DB155F"/>
    <w:rsid w:val="00DB1708"/>
    <w:rsid w:val="00DB1B1C"/>
    <w:rsid w:val="00DB2016"/>
    <w:rsid w:val="00DB2B74"/>
    <w:rsid w:val="00DB2E19"/>
    <w:rsid w:val="00DB2F15"/>
    <w:rsid w:val="00DB328C"/>
    <w:rsid w:val="00DB3938"/>
    <w:rsid w:val="00DB3AD2"/>
    <w:rsid w:val="00DB3C70"/>
    <w:rsid w:val="00DB3CBA"/>
    <w:rsid w:val="00DB3E4B"/>
    <w:rsid w:val="00DB56F7"/>
    <w:rsid w:val="00DB7199"/>
    <w:rsid w:val="00DB760D"/>
    <w:rsid w:val="00DC030A"/>
    <w:rsid w:val="00DC03FC"/>
    <w:rsid w:val="00DC0981"/>
    <w:rsid w:val="00DC189F"/>
    <w:rsid w:val="00DC1C8F"/>
    <w:rsid w:val="00DC1F9B"/>
    <w:rsid w:val="00DC28AF"/>
    <w:rsid w:val="00DC300A"/>
    <w:rsid w:val="00DC3999"/>
    <w:rsid w:val="00DC424E"/>
    <w:rsid w:val="00DC5730"/>
    <w:rsid w:val="00DC5C2C"/>
    <w:rsid w:val="00DC5C34"/>
    <w:rsid w:val="00DC79A9"/>
    <w:rsid w:val="00DD054F"/>
    <w:rsid w:val="00DD058B"/>
    <w:rsid w:val="00DD08B5"/>
    <w:rsid w:val="00DD0F66"/>
    <w:rsid w:val="00DD19DE"/>
    <w:rsid w:val="00DD22B5"/>
    <w:rsid w:val="00DD2316"/>
    <w:rsid w:val="00DD28FD"/>
    <w:rsid w:val="00DD2926"/>
    <w:rsid w:val="00DD2B74"/>
    <w:rsid w:val="00DD4F63"/>
    <w:rsid w:val="00DD54EF"/>
    <w:rsid w:val="00DD670F"/>
    <w:rsid w:val="00DD6BC7"/>
    <w:rsid w:val="00DD720E"/>
    <w:rsid w:val="00DD7897"/>
    <w:rsid w:val="00DD7CA0"/>
    <w:rsid w:val="00DD7CF5"/>
    <w:rsid w:val="00DE173B"/>
    <w:rsid w:val="00DE393D"/>
    <w:rsid w:val="00DE3CFA"/>
    <w:rsid w:val="00DE4A2C"/>
    <w:rsid w:val="00DE5FCB"/>
    <w:rsid w:val="00DE63FE"/>
    <w:rsid w:val="00DE6A41"/>
    <w:rsid w:val="00DE6CB3"/>
    <w:rsid w:val="00DE79B2"/>
    <w:rsid w:val="00DF067A"/>
    <w:rsid w:val="00DF0E8D"/>
    <w:rsid w:val="00DF13B1"/>
    <w:rsid w:val="00DF245B"/>
    <w:rsid w:val="00DF4096"/>
    <w:rsid w:val="00DF42FE"/>
    <w:rsid w:val="00DF4D3E"/>
    <w:rsid w:val="00DF6A8B"/>
    <w:rsid w:val="00DF7883"/>
    <w:rsid w:val="00E00989"/>
    <w:rsid w:val="00E00FE9"/>
    <w:rsid w:val="00E048FC"/>
    <w:rsid w:val="00E04AF3"/>
    <w:rsid w:val="00E04C0A"/>
    <w:rsid w:val="00E060EF"/>
    <w:rsid w:val="00E066BA"/>
    <w:rsid w:val="00E0679B"/>
    <w:rsid w:val="00E07E8D"/>
    <w:rsid w:val="00E10EDC"/>
    <w:rsid w:val="00E1106F"/>
    <w:rsid w:val="00E129B4"/>
    <w:rsid w:val="00E14B0C"/>
    <w:rsid w:val="00E15405"/>
    <w:rsid w:val="00E157F9"/>
    <w:rsid w:val="00E162D5"/>
    <w:rsid w:val="00E16BD2"/>
    <w:rsid w:val="00E16F7E"/>
    <w:rsid w:val="00E170CB"/>
    <w:rsid w:val="00E17AB5"/>
    <w:rsid w:val="00E2146C"/>
    <w:rsid w:val="00E214B9"/>
    <w:rsid w:val="00E21501"/>
    <w:rsid w:val="00E22B16"/>
    <w:rsid w:val="00E231DF"/>
    <w:rsid w:val="00E24730"/>
    <w:rsid w:val="00E24A71"/>
    <w:rsid w:val="00E2566E"/>
    <w:rsid w:val="00E25A02"/>
    <w:rsid w:val="00E265DA"/>
    <w:rsid w:val="00E267D9"/>
    <w:rsid w:val="00E268FA"/>
    <w:rsid w:val="00E26E72"/>
    <w:rsid w:val="00E26FA7"/>
    <w:rsid w:val="00E27FA9"/>
    <w:rsid w:val="00E30157"/>
    <w:rsid w:val="00E30D1E"/>
    <w:rsid w:val="00E320B6"/>
    <w:rsid w:val="00E323BB"/>
    <w:rsid w:val="00E3394F"/>
    <w:rsid w:val="00E346AB"/>
    <w:rsid w:val="00E34A51"/>
    <w:rsid w:val="00E350A2"/>
    <w:rsid w:val="00E354E7"/>
    <w:rsid w:val="00E35963"/>
    <w:rsid w:val="00E364C9"/>
    <w:rsid w:val="00E36CE6"/>
    <w:rsid w:val="00E36F82"/>
    <w:rsid w:val="00E3791F"/>
    <w:rsid w:val="00E4052D"/>
    <w:rsid w:val="00E408E0"/>
    <w:rsid w:val="00E4184A"/>
    <w:rsid w:val="00E425C4"/>
    <w:rsid w:val="00E42D13"/>
    <w:rsid w:val="00E43A35"/>
    <w:rsid w:val="00E45338"/>
    <w:rsid w:val="00E460B3"/>
    <w:rsid w:val="00E4749B"/>
    <w:rsid w:val="00E506B6"/>
    <w:rsid w:val="00E50BB9"/>
    <w:rsid w:val="00E51997"/>
    <w:rsid w:val="00E51A5B"/>
    <w:rsid w:val="00E51B76"/>
    <w:rsid w:val="00E52673"/>
    <w:rsid w:val="00E526B9"/>
    <w:rsid w:val="00E5435D"/>
    <w:rsid w:val="00E5447D"/>
    <w:rsid w:val="00E5521A"/>
    <w:rsid w:val="00E56153"/>
    <w:rsid w:val="00E56175"/>
    <w:rsid w:val="00E5655D"/>
    <w:rsid w:val="00E576AC"/>
    <w:rsid w:val="00E6039D"/>
    <w:rsid w:val="00E603C0"/>
    <w:rsid w:val="00E6050A"/>
    <w:rsid w:val="00E60EAB"/>
    <w:rsid w:val="00E60EE0"/>
    <w:rsid w:val="00E60F0D"/>
    <w:rsid w:val="00E61669"/>
    <w:rsid w:val="00E618E0"/>
    <w:rsid w:val="00E620CD"/>
    <w:rsid w:val="00E64B88"/>
    <w:rsid w:val="00E6527F"/>
    <w:rsid w:val="00E65654"/>
    <w:rsid w:val="00E65EE3"/>
    <w:rsid w:val="00E66016"/>
    <w:rsid w:val="00E660B3"/>
    <w:rsid w:val="00E67672"/>
    <w:rsid w:val="00E705B1"/>
    <w:rsid w:val="00E70C4C"/>
    <w:rsid w:val="00E71510"/>
    <w:rsid w:val="00E71569"/>
    <w:rsid w:val="00E726CA"/>
    <w:rsid w:val="00E72C97"/>
    <w:rsid w:val="00E73043"/>
    <w:rsid w:val="00E73532"/>
    <w:rsid w:val="00E75719"/>
    <w:rsid w:val="00E774FB"/>
    <w:rsid w:val="00E7788A"/>
    <w:rsid w:val="00E80424"/>
    <w:rsid w:val="00E80555"/>
    <w:rsid w:val="00E814F4"/>
    <w:rsid w:val="00E81EDC"/>
    <w:rsid w:val="00E82DF1"/>
    <w:rsid w:val="00E83157"/>
    <w:rsid w:val="00E838B7"/>
    <w:rsid w:val="00E85389"/>
    <w:rsid w:val="00E8604F"/>
    <w:rsid w:val="00E87095"/>
    <w:rsid w:val="00E87598"/>
    <w:rsid w:val="00E87826"/>
    <w:rsid w:val="00E916D4"/>
    <w:rsid w:val="00E91983"/>
    <w:rsid w:val="00E9242C"/>
    <w:rsid w:val="00E93C06"/>
    <w:rsid w:val="00E94742"/>
    <w:rsid w:val="00E9481C"/>
    <w:rsid w:val="00E954E4"/>
    <w:rsid w:val="00E957CB"/>
    <w:rsid w:val="00E97F29"/>
    <w:rsid w:val="00EA0072"/>
    <w:rsid w:val="00EA01A9"/>
    <w:rsid w:val="00EA081D"/>
    <w:rsid w:val="00EA0C14"/>
    <w:rsid w:val="00EA1906"/>
    <w:rsid w:val="00EA2777"/>
    <w:rsid w:val="00EA463B"/>
    <w:rsid w:val="00EA4FBE"/>
    <w:rsid w:val="00EA60D8"/>
    <w:rsid w:val="00EA6458"/>
    <w:rsid w:val="00EA76BF"/>
    <w:rsid w:val="00EA7727"/>
    <w:rsid w:val="00EA77E7"/>
    <w:rsid w:val="00EA7CB9"/>
    <w:rsid w:val="00EB1304"/>
    <w:rsid w:val="00EB190A"/>
    <w:rsid w:val="00EB31F7"/>
    <w:rsid w:val="00EB33EA"/>
    <w:rsid w:val="00EB3765"/>
    <w:rsid w:val="00EB397F"/>
    <w:rsid w:val="00EB3D52"/>
    <w:rsid w:val="00EB4AAA"/>
    <w:rsid w:val="00EB4D93"/>
    <w:rsid w:val="00EB4E08"/>
    <w:rsid w:val="00EB5386"/>
    <w:rsid w:val="00EB53C5"/>
    <w:rsid w:val="00EB5862"/>
    <w:rsid w:val="00EB5AD7"/>
    <w:rsid w:val="00EB5C24"/>
    <w:rsid w:val="00EB7C31"/>
    <w:rsid w:val="00EB7DCA"/>
    <w:rsid w:val="00EB7E0B"/>
    <w:rsid w:val="00EC00BA"/>
    <w:rsid w:val="00EC0968"/>
    <w:rsid w:val="00EC1160"/>
    <w:rsid w:val="00EC16B6"/>
    <w:rsid w:val="00EC1EAC"/>
    <w:rsid w:val="00EC1FA6"/>
    <w:rsid w:val="00EC1FE2"/>
    <w:rsid w:val="00EC23A0"/>
    <w:rsid w:val="00EC29B9"/>
    <w:rsid w:val="00EC29E7"/>
    <w:rsid w:val="00EC2A22"/>
    <w:rsid w:val="00EC3450"/>
    <w:rsid w:val="00EC4A57"/>
    <w:rsid w:val="00EC77A9"/>
    <w:rsid w:val="00EC7B23"/>
    <w:rsid w:val="00ED0BC4"/>
    <w:rsid w:val="00ED168D"/>
    <w:rsid w:val="00ED1D37"/>
    <w:rsid w:val="00ED2C75"/>
    <w:rsid w:val="00ED3558"/>
    <w:rsid w:val="00ED4E2C"/>
    <w:rsid w:val="00ED536D"/>
    <w:rsid w:val="00ED6479"/>
    <w:rsid w:val="00ED682E"/>
    <w:rsid w:val="00ED6B9F"/>
    <w:rsid w:val="00ED6E30"/>
    <w:rsid w:val="00ED794E"/>
    <w:rsid w:val="00EE158F"/>
    <w:rsid w:val="00EE19E7"/>
    <w:rsid w:val="00EE1B92"/>
    <w:rsid w:val="00EE20C4"/>
    <w:rsid w:val="00EE39DD"/>
    <w:rsid w:val="00EE5169"/>
    <w:rsid w:val="00EE51A7"/>
    <w:rsid w:val="00EE5EEB"/>
    <w:rsid w:val="00EE5F32"/>
    <w:rsid w:val="00EE6144"/>
    <w:rsid w:val="00EE64E8"/>
    <w:rsid w:val="00EE74C8"/>
    <w:rsid w:val="00EF01F6"/>
    <w:rsid w:val="00EF022A"/>
    <w:rsid w:val="00EF03A0"/>
    <w:rsid w:val="00EF0BE0"/>
    <w:rsid w:val="00EF0D4B"/>
    <w:rsid w:val="00EF1880"/>
    <w:rsid w:val="00EF3376"/>
    <w:rsid w:val="00EF3CAA"/>
    <w:rsid w:val="00EF4493"/>
    <w:rsid w:val="00EF469A"/>
    <w:rsid w:val="00EF4D12"/>
    <w:rsid w:val="00EF5134"/>
    <w:rsid w:val="00EF54E1"/>
    <w:rsid w:val="00EF579B"/>
    <w:rsid w:val="00EF58C2"/>
    <w:rsid w:val="00F0104A"/>
    <w:rsid w:val="00F01065"/>
    <w:rsid w:val="00F01492"/>
    <w:rsid w:val="00F02F4F"/>
    <w:rsid w:val="00F03932"/>
    <w:rsid w:val="00F04074"/>
    <w:rsid w:val="00F0413B"/>
    <w:rsid w:val="00F05236"/>
    <w:rsid w:val="00F06353"/>
    <w:rsid w:val="00F0772A"/>
    <w:rsid w:val="00F109D6"/>
    <w:rsid w:val="00F109E9"/>
    <w:rsid w:val="00F10D00"/>
    <w:rsid w:val="00F11022"/>
    <w:rsid w:val="00F110E9"/>
    <w:rsid w:val="00F11130"/>
    <w:rsid w:val="00F14060"/>
    <w:rsid w:val="00F14338"/>
    <w:rsid w:val="00F14E13"/>
    <w:rsid w:val="00F17871"/>
    <w:rsid w:val="00F17EF8"/>
    <w:rsid w:val="00F22401"/>
    <w:rsid w:val="00F22F80"/>
    <w:rsid w:val="00F22F9B"/>
    <w:rsid w:val="00F236B5"/>
    <w:rsid w:val="00F2372A"/>
    <w:rsid w:val="00F250C1"/>
    <w:rsid w:val="00F26293"/>
    <w:rsid w:val="00F26C46"/>
    <w:rsid w:val="00F273DA"/>
    <w:rsid w:val="00F27796"/>
    <w:rsid w:val="00F31049"/>
    <w:rsid w:val="00F31AFF"/>
    <w:rsid w:val="00F31DB6"/>
    <w:rsid w:val="00F325B4"/>
    <w:rsid w:val="00F32B38"/>
    <w:rsid w:val="00F32D3E"/>
    <w:rsid w:val="00F3393D"/>
    <w:rsid w:val="00F33A7D"/>
    <w:rsid w:val="00F3479B"/>
    <w:rsid w:val="00F35386"/>
    <w:rsid w:val="00F354D8"/>
    <w:rsid w:val="00F354EC"/>
    <w:rsid w:val="00F3645A"/>
    <w:rsid w:val="00F36466"/>
    <w:rsid w:val="00F37542"/>
    <w:rsid w:val="00F4023E"/>
    <w:rsid w:val="00F40C26"/>
    <w:rsid w:val="00F4124A"/>
    <w:rsid w:val="00F4175F"/>
    <w:rsid w:val="00F41A91"/>
    <w:rsid w:val="00F421AC"/>
    <w:rsid w:val="00F43B68"/>
    <w:rsid w:val="00F44195"/>
    <w:rsid w:val="00F444E4"/>
    <w:rsid w:val="00F45193"/>
    <w:rsid w:val="00F45AA2"/>
    <w:rsid w:val="00F46BAF"/>
    <w:rsid w:val="00F47AF8"/>
    <w:rsid w:val="00F50449"/>
    <w:rsid w:val="00F512D6"/>
    <w:rsid w:val="00F51CAA"/>
    <w:rsid w:val="00F51CFE"/>
    <w:rsid w:val="00F520EA"/>
    <w:rsid w:val="00F529B6"/>
    <w:rsid w:val="00F53687"/>
    <w:rsid w:val="00F53DAA"/>
    <w:rsid w:val="00F53DCD"/>
    <w:rsid w:val="00F5457C"/>
    <w:rsid w:val="00F54E62"/>
    <w:rsid w:val="00F55694"/>
    <w:rsid w:val="00F56DE6"/>
    <w:rsid w:val="00F56F50"/>
    <w:rsid w:val="00F57FB2"/>
    <w:rsid w:val="00F60B3F"/>
    <w:rsid w:val="00F60C57"/>
    <w:rsid w:val="00F61357"/>
    <w:rsid w:val="00F61742"/>
    <w:rsid w:val="00F61B0E"/>
    <w:rsid w:val="00F62005"/>
    <w:rsid w:val="00F62095"/>
    <w:rsid w:val="00F62A61"/>
    <w:rsid w:val="00F62C4B"/>
    <w:rsid w:val="00F63324"/>
    <w:rsid w:val="00F63B0C"/>
    <w:rsid w:val="00F64D68"/>
    <w:rsid w:val="00F64F4F"/>
    <w:rsid w:val="00F657AE"/>
    <w:rsid w:val="00F65B68"/>
    <w:rsid w:val="00F66DEF"/>
    <w:rsid w:val="00F66E7B"/>
    <w:rsid w:val="00F67CB0"/>
    <w:rsid w:val="00F7045A"/>
    <w:rsid w:val="00F711B4"/>
    <w:rsid w:val="00F711B5"/>
    <w:rsid w:val="00F714EC"/>
    <w:rsid w:val="00F7171F"/>
    <w:rsid w:val="00F71CE9"/>
    <w:rsid w:val="00F72D08"/>
    <w:rsid w:val="00F7424E"/>
    <w:rsid w:val="00F74545"/>
    <w:rsid w:val="00F74FC2"/>
    <w:rsid w:val="00F75837"/>
    <w:rsid w:val="00F76669"/>
    <w:rsid w:val="00F76BA1"/>
    <w:rsid w:val="00F77A49"/>
    <w:rsid w:val="00F80507"/>
    <w:rsid w:val="00F80EF1"/>
    <w:rsid w:val="00F81031"/>
    <w:rsid w:val="00F815A6"/>
    <w:rsid w:val="00F822E6"/>
    <w:rsid w:val="00F8262C"/>
    <w:rsid w:val="00F8276E"/>
    <w:rsid w:val="00F84F2A"/>
    <w:rsid w:val="00F85055"/>
    <w:rsid w:val="00F856C5"/>
    <w:rsid w:val="00F8736C"/>
    <w:rsid w:val="00F87A9A"/>
    <w:rsid w:val="00F87AB7"/>
    <w:rsid w:val="00F90288"/>
    <w:rsid w:val="00F90983"/>
    <w:rsid w:val="00F919ED"/>
    <w:rsid w:val="00F935A6"/>
    <w:rsid w:val="00F94243"/>
    <w:rsid w:val="00F94903"/>
    <w:rsid w:val="00F9617E"/>
    <w:rsid w:val="00F9752A"/>
    <w:rsid w:val="00F97A2B"/>
    <w:rsid w:val="00FA054E"/>
    <w:rsid w:val="00FA158B"/>
    <w:rsid w:val="00FA2093"/>
    <w:rsid w:val="00FA25B3"/>
    <w:rsid w:val="00FA27B9"/>
    <w:rsid w:val="00FA28B0"/>
    <w:rsid w:val="00FA2B69"/>
    <w:rsid w:val="00FA2D89"/>
    <w:rsid w:val="00FA311D"/>
    <w:rsid w:val="00FA3682"/>
    <w:rsid w:val="00FA3E35"/>
    <w:rsid w:val="00FA43E8"/>
    <w:rsid w:val="00FA689D"/>
    <w:rsid w:val="00FA72BC"/>
    <w:rsid w:val="00FA7DAE"/>
    <w:rsid w:val="00FB02A8"/>
    <w:rsid w:val="00FB13D7"/>
    <w:rsid w:val="00FB145B"/>
    <w:rsid w:val="00FB1B76"/>
    <w:rsid w:val="00FB1C45"/>
    <w:rsid w:val="00FB1EF0"/>
    <w:rsid w:val="00FB39A5"/>
    <w:rsid w:val="00FB3B23"/>
    <w:rsid w:val="00FB473B"/>
    <w:rsid w:val="00FB5736"/>
    <w:rsid w:val="00FB5FF8"/>
    <w:rsid w:val="00FB6D77"/>
    <w:rsid w:val="00FB7308"/>
    <w:rsid w:val="00FB775E"/>
    <w:rsid w:val="00FC0A41"/>
    <w:rsid w:val="00FC1275"/>
    <w:rsid w:val="00FC1332"/>
    <w:rsid w:val="00FC1427"/>
    <w:rsid w:val="00FC1774"/>
    <w:rsid w:val="00FC28EA"/>
    <w:rsid w:val="00FC298B"/>
    <w:rsid w:val="00FC2CB4"/>
    <w:rsid w:val="00FC44F3"/>
    <w:rsid w:val="00FC4EA6"/>
    <w:rsid w:val="00FC5A4F"/>
    <w:rsid w:val="00FC6000"/>
    <w:rsid w:val="00FC6BAD"/>
    <w:rsid w:val="00FD004B"/>
    <w:rsid w:val="00FD037C"/>
    <w:rsid w:val="00FD0C36"/>
    <w:rsid w:val="00FD16B2"/>
    <w:rsid w:val="00FD1779"/>
    <w:rsid w:val="00FD19F5"/>
    <w:rsid w:val="00FD21A3"/>
    <w:rsid w:val="00FD237A"/>
    <w:rsid w:val="00FD2580"/>
    <w:rsid w:val="00FD3ADE"/>
    <w:rsid w:val="00FD43CA"/>
    <w:rsid w:val="00FD4FFB"/>
    <w:rsid w:val="00FD51F2"/>
    <w:rsid w:val="00FD5557"/>
    <w:rsid w:val="00FD5EFD"/>
    <w:rsid w:val="00FD6174"/>
    <w:rsid w:val="00FD6E14"/>
    <w:rsid w:val="00FD7035"/>
    <w:rsid w:val="00FE1201"/>
    <w:rsid w:val="00FE4559"/>
    <w:rsid w:val="00FE4A89"/>
    <w:rsid w:val="00FE6424"/>
    <w:rsid w:val="00FE6887"/>
    <w:rsid w:val="00FF053C"/>
    <w:rsid w:val="00FF0549"/>
    <w:rsid w:val="00FF0574"/>
    <w:rsid w:val="00FF0815"/>
    <w:rsid w:val="00FF08FE"/>
    <w:rsid w:val="00FF0E06"/>
    <w:rsid w:val="00FF12AB"/>
    <w:rsid w:val="00FF191C"/>
    <w:rsid w:val="00FF4202"/>
    <w:rsid w:val="00FF5792"/>
    <w:rsid w:val="00FF5F95"/>
    <w:rsid w:val="00FF6BEA"/>
    <w:rsid w:val="00FF6C22"/>
    <w:rsid w:val="015D3A0A"/>
    <w:rsid w:val="01764EE2"/>
    <w:rsid w:val="01E2476A"/>
    <w:rsid w:val="023B3462"/>
    <w:rsid w:val="036D286B"/>
    <w:rsid w:val="03D5136E"/>
    <w:rsid w:val="03FA4B86"/>
    <w:rsid w:val="040300D0"/>
    <w:rsid w:val="04F1119D"/>
    <w:rsid w:val="04FD3A4F"/>
    <w:rsid w:val="055F4103"/>
    <w:rsid w:val="05BC11C9"/>
    <w:rsid w:val="05F357D0"/>
    <w:rsid w:val="063A7DB1"/>
    <w:rsid w:val="063C64F5"/>
    <w:rsid w:val="068D34A2"/>
    <w:rsid w:val="0691031A"/>
    <w:rsid w:val="071776EA"/>
    <w:rsid w:val="0774167E"/>
    <w:rsid w:val="07E745B3"/>
    <w:rsid w:val="07E80777"/>
    <w:rsid w:val="089E34F5"/>
    <w:rsid w:val="09C63D96"/>
    <w:rsid w:val="0A073E44"/>
    <w:rsid w:val="0AA20EDF"/>
    <w:rsid w:val="0B252D26"/>
    <w:rsid w:val="0B38656F"/>
    <w:rsid w:val="0BB20188"/>
    <w:rsid w:val="0C132289"/>
    <w:rsid w:val="0D407795"/>
    <w:rsid w:val="0E790013"/>
    <w:rsid w:val="0EB765CD"/>
    <w:rsid w:val="0EC358ED"/>
    <w:rsid w:val="0EDA4B0D"/>
    <w:rsid w:val="0EFC7001"/>
    <w:rsid w:val="0F156F83"/>
    <w:rsid w:val="0F6B6953"/>
    <w:rsid w:val="0F707843"/>
    <w:rsid w:val="10004DA3"/>
    <w:rsid w:val="100F0F06"/>
    <w:rsid w:val="10133CEC"/>
    <w:rsid w:val="10471B90"/>
    <w:rsid w:val="10CE0ABD"/>
    <w:rsid w:val="10FF683C"/>
    <w:rsid w:val="116A08C3"/>
    <w:rsid w:val="11A33C0D"/>
    <w:rsid w:val="11B973F8"/>
    <w:rsid w:val="127B43B6"/>
    <w:rsid w:val="13680C0A"/>
    <w:rsid w:val="13BD7F7E"/>
    <w:rsid w:val="148A441D"/>
    <w:rsid w:val="14EA6FA1"/>
    <w:rsid w:val="152D3131"/>
    <w:rsid w:val="158A3788"/>
    <w:rsid w:val="15BF7B05"/>
    <w:rsid w:val="160D6B43"/>
    <w:rsid w:val="163E49E6"/>
    <w:rsid w:val="16D042ED"/>
    <w:rsid w:val="17BA0C20"/>
    <w:rsid w:val="187C4DF7"/>
    <w:rsid w:val="18BD6938"/>
    <w:rsid w:val="19E87FDB"/>
    <w:rsid w:val="1AC11F8B"/>
    <w:rsid w:val="1B05209B"/>
    <w:rsid w:val="1B0B329C"/>
    <w:rsid w:val="1BA230FD"/>
    <w:rsid w:val="1BA634C6"/>
    <w:rsid w:val="1BB61984"/>
    <w:rsid w:val="1BB67EAD"/>
    <w:rsid w:val="1C2025FB"/>
    <w:rsid w:val="1C635AC0"/>
    <w:rsid w:val="1CAE1DD5"/>
    <w:rsid w:val="1CEE3C8E"/>
    <w:rsid w:val="1E1855BF"/>
    <w:rsid w:val="1E412BCE"/>
    <w:rsid w:val="1E930565"/>
    <w:rsid w:val="1E9C1534"/>
    <w:rsid w:val="1EA33558"/>
    <w:rsid w:val="1ED52605"/>
    <w:rsid w:val="1F6D75A9"/>
    <w:rsid w:val="200759D0"/>
    <w:rsid w:val="207742FB"/>
    <w:rsid w:val="20CD2F2D"/>
    <w:rsid w:val="20D05411"/>
    <w:rsid w:val="21301249"/>
    <w:rsid w:val="21590C6F"/>
    <w:rsid w:val="21600162"/>
    <w:rsid w:val="22C75E3D"/>
    <w:rsid w:val="230954A7"/>
    <w:rsid w:val="23444524"/>
    <w:rsid w:val="23575B67"/>
    <w:rsid w:val="23754123"/>
    <w:rsid w:val="242A46F0"/>
    <w:rsid w:val="24571528"/>
    <w:rsid w:val="245A719F"/>
    <w:rsid w:val="24CE3299"/>
    <w:rsid w:val="253B76A6"/>
    <w:rsid w:val="25FA16A4"/>
    <w:rsid w:val="26874BD1"/>
    <w:rsid w:val="26CC4DFF"/>
    <w:rsid w:val="26CE0A8C"/>
    <w:rsid w:val="273A0BF1"/>
    <w:rsid w:val="27605C0F"/>
    <w:rsid w:val="282C0B4D"/>
    <w:rsid w:val="298B15A2"/>
    <w:rsid w:val="29A62909"/>
    <w:rsid w:val="29E95322"/>
    <w:rsid w:val="29EC0AC1"/>
    <w:rsid w:val="2AE2377A"/>
    <w:rsid w:val="2B8F47F6"/>
    <w:rsid w:val="2CD173CF"/>
    <w:rsid w:val="2D2E581F"/>
    <w:rsid w:val="2DDD5C0B"/>
    <w:rsid w:val="2E54239A"/>
    <w:rsid w:val="2ED86341"/>
    <w:rsid w:val="2EEA4D57"/>
    <w:rsid w:val="2F7512DC"/>
    <w:rsid w:val="2F9D053B"/>
    <w:rsid w:val="31126690"/>
    <w:rsid w:val="311745F7"/>
    <w:rsid w:val="31804952"/>
    <w:rsid w:val="319369D6"/>
    <w:rsid w:val="31C579B9"/>
    <w:rsid w:val="333A1DBF"/>
    <w:rsid w:val="33715C0F"/>
    <w:rsid w:val="35D85E66"/>
    <w:rsid w:val="36740DF2"/>
    <w:rsid w:val="36EE4E57"/>
    <w:rsid w:val="39260332"/>
    <w:rsid w:val="39454C35"/>
    <w:rsid w:val="39A55E66"/>
    <w:rsid w:val="39AF64FD"/>
    <w:rsid w:val="39E51EF7"/>
    <w:rsid w:val="3A4E5378"/>
    <w:rsid w:val="3A8A7049"/>
    <w:rsid w:val="3BEB5AC1"/>
    <w:rsid w:val="3C73358E"/>
    <w:rsid w:val="3CB215BE"/>
    <w:rsid w:val="3DE22A9D"/>
    <w:rsid w:val="3E0C2173"/>
    <w:rsid w:val="3FD37425"/>
    <w:rsid w:val="40B23823"/>
    <w:rsid w:val="41806924"/>
    <w:rsid w:val="41977C18"/>
    <w:rsid w:val="420F2347"/>
    <w:rsid w:val="427F02F3"/>
    <w:rsid w:val="432D61BB"/>
    <w:rsid w:val="43A51B15"/>
    <w:rsid w:val="43EE4B89"/>
    <w:rsid w:val="43F33D10"/>
    <w:rsid w:val="44727557"/>
    <w:rsid w:val="455D7376"/>
    <w:rsid w:val="45965BB9"/>
    <w:rsid w:val="45B4341C"/>
    <w:rsid w:val="46430BED"/>
    <w:rsid w:val="46AE76A0"/>
    <w:rsid w:val="475442BC"/>
    <w:rsid w:val="479A273C"/>
    <w:rsid w:val="47C87427"/>
    <w:rsid w:val="484A2925"/>
    <w:rsid w:val="48EA3FA2"/>
    <w:rsid w:val="491175F8"/>
    <w:rsid w:val="49F53A7E"/>
    <w:rsid w:val="4A45381C"/>
    <w:rsid w:val="4A6733E1"/>
    <w:rsid w:val="4A7936AE"/>
    <w:rsid w:val="4B6A2015"/>
    <w:rsid w:val="4BA74278"/>
    <w:rsid w:val="4BBD645C"/>
    <w:rsid w:val="4BF66658"/>
    <w:rsid w:val="4DCB2AF5"/>
    <w:rsid w:val="4F1A3CB3"/>
    <w:rsid w:val="4F1E0BD4"/>
    <w:rsid w:val="4F601247"/>
    <w:rsid w:val="4F712851"/>
    <w:rsid w:val="4FCB3D3E"/>
    <w:rsid w:val="4FFB4B92"/>
    <w:rsid w:val="509311B2"/>
    <w:rsid w:val="51B2181C"/>
    <w:rsid w:val="51E86350"/>
    <w:rsid w:val="53F35333"/>
    <w:rsid w:val="54C17331"/>
    <w:rsid w:val="55BA5565"/>
    <w:rsid w:val="561B5434"/>
    <w:rsid w:val="56443236"/>
    <w:rsid w:val="56B82C96"/>
    <w:rsid w:val="574C149B"/>
    <w:rsid w:val="58076AB9"/>
    <w:rsid w:val="588D7247"/>
    <w:rsid w:val="59D54599"/>
    <w:rsid w:val="5B795850"/>
    <w:rsid w:val="5BE17A7D"/>
    <w:rsid w:val="5BEC3839"/>
    <w:rsid w:val="5D620088"/>
    <w:rsid w:val="5DAE6B9E"/>
    <w:rsid w:val="5E3C37E3"/>
    <w:rsid w:val="5FE14611"/>
    <w:rsid w:val="5FFC5679"/>
    <w:rsid w:val="60864AEA"/>
    <w:rsid w:val="6258504E"/>
    <w:rsid w:val="63946143"/>
    <w:rsid w:val="639623A8"/>
    <w:rsid w:val="63CE7891"/>
    <w:rsid w:val="63EA6BD0"/>
    <w:rsid w:val="644338AF"/>
    <w:rsid w:val="645857BB"/>
    <w:rsid w:val="647F59A0"/>
    <w:rsid w:val="64F34380"/>
    <w:rsid w:val="65064810"/>
    <w:rsid w:val="66A265F9"/>
    <w:rsid w:val="66BB6825"/>
    <w:rsid w:val="67347A3D"/>
    <w:rsid w:val="678E1852"/>
    <w:rsid w:val="68246478"/>
    <w:rsid w:val="68617A2A"/>
    <w:rsid w:val="69085720"/>
    <w:rsid w:val="697C1803"/>
    <w:rsid w:val="69B70072"/>
    <w:rsid w:val="6A4D2293"/>
    <w:rsid w:val="6AD52733"/>
    <w:rsid w:val="6B56231F"/>
    <w:rsid w:val="6BBC2756"/>
    <w:rsid w:val="6BF821B7"/>
    <w:rsid w:val="6C147C19"/>
    <w:rsid w:val="6C81295D"/>
    <w:rsid w:val="6D0D6C71"/>
    <w:rsid w:val="6D5B0C2D"/>
    <w:rsid w:val="6DE33F4B"/>
    <w:rsid w:val="6E0020C4"/>
    <w:rsid w:val="6F611730"/>
    <w:rsid w:val="6F961959"/>
    <w:rsid w:val="70192BA2"/>
    <w:rsid w:val="701C1CFC"/>
    <w:rsid w:val="703E6B44"/>
    <w:rsid w:val="70982274"/>
    <w:rsid w:val="70A53E40"/>
    <w:rsid w:val="70F24E9E"/>
    <w:rsid w:val="72371A7B"/>
    <w:rsid w:val="723727D8"/>
    <w:rsid w:val="72D368B7"/>
    <w:rsid w:val="72DD7DFC"/>
    <w:rsid w:val="73BC5805"/>
    <w:rsid w:val="745970CB"/>
    <w:rsid w:val="74AF3325"/>
    <w:rsid w:val="74B31B32"/>
    <w:rsid w:val="75595D22"/>
    <w:rsid w:val="761F16F3"/>
    <w:rsid w:val="767037DF"/>
    <w:rsid w:val="7674692B"/>
    <w:rsid w:val="767513B0"/>
    <w:rsid w:val="767A1F53"/>
    <w:rsid w:val="76B02787"/>
    <w:rsid w:val="77121824"/>
    <w:rsid w:val="771E73F6"/>
    <w:rsid w:val="77CB48F0"/>
    <w:rsid w:val="784D5C4E"/>
    <w:rsid w:val="78CA53F2"/>
    <w:rsid w:val="79A663CC"/>
    <w:rsid w:val="79EA7588"/>
    <w:rsid w:val="7A5D1E54"/>
    <w:rsid w:val="7A954B61"/>
    <w:rsid w:val="7AC97541"/>
    <w:rsid w:val="7B4D3ED6"/>
    <w:rsid w:val="7B783090"/>
    <w:rsid w:val="7BB7676F"/>
    <w:rsid w:val="7C12344B"/>
    <w:rsid w:val="7C785113"/>
    <w:rsid w:val="7C805C05"/>
    <w:rsid w:val="7C91183B"/>
    <w:rsid w:val="7D1843AA"/>
    <w:rsid w:val="7D6D5948"/>
    <w:rsid w:val="7D810325"/>
    <w:rsid w:val="7D9C50BC"/>
    <w:rsid w:val="7DE4748C"/>
    <w:rsid w:val="7F654E40"/>
    <w:rsid w:val="7FA37366"/>
    <w:rsid w:val="7FE14E84"/>
    <w:rsid w:val="7FF235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99"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6"/>
    <w:qFormat/>
    <w:uiPriority w:val="0"/>
    <w:pPr>
      <w:keepNext/>
      <w:keepLines/>
      <w:spacing w:before="340" w:after="330" w:line="576" w:lineRule="auto"/>
      <w:outlineLvl w:val="0"/>
    </w:pPr>
    <w:rPr>
      <w:b/>
      <w:kern w:val="44"/>
      <w:sz w:val="36"/>
      <w:szCs w:val="20"/>
    </w:rPr>
  </w:style>
  <w:style w:type="paragraph" w:styleId="4">
    <w:name w:val="heading 2"/>
    <w:basedOn w:val="1"/>
    <w:next w:val="1"/>
    <w:link w:val="99"/>
    <w:qFormat/>
    <w:uiPriority w:val="9"/>
    <w:pPr>
      <w:keepNext/>
      <w:keepLines/>
      <w:spacing w:before="260" w:after="260" w:line="500" w:lineRule="exact"/>
      <w:outlineLvl w:val="1"/>
    </w:pPr>
    <w:rPr>
      <w:rFonts w:ascii="Arial" w:hAnsi="Arial" w:eastAsia="黑体"/>
      <w:b/>
      <w:sz w:val="28"/>
      <w:szCs w:val="20"/>
    </w:rPr>
  </w:style>
  <w:style w:type="paragraph" w:styleId="5">
    <w:name w:val="heading 3"/>
    <w:basedOn w:val="1"/>
    <w:next w:val="1"/>
    <w:qFormat/>
    <w:uiPriority w:val="9"/>
    <w:pPr>
      <w:keepNext/>
      <w:keepLines/>
      <w:spacing w:before="260" w:after="260" w:line="412" w:lineRule="auto"/>
      <w:outlineLvl w:val="2"/>
    </w:pPr>
    <w:rPr>
      <w:b/>
      <w:sz w:val="32"/>
      <w:szCs w:val="20"/>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9"/>
    <w:pPr>
      <w:keepNext/>
      <w:keepLines/>
      <w:numPr>
        <w:ilvl w:val="4"/>
        <w:numId w:val="1"/>
      </w:numPr>
      <w:spacing w:before="280" w:after="290" w:line="372" w:lineRule="auto"/>
      <w:outlineLvl w:val="4"/>
    </w:pPr>
    <w:rPr>
      <w:b/>
      <w:sz w:val="28"/>
    </w:rPr>
  </w:style>
  <w:style w:type="paragraph" w:styleId="9">
    <w:name w:val="heading 6"/>
    <w:basedOn w:val="1"/>
    <w:next w:val="8"/>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8"/>
    <w:qFormat/>
    <w:uiPriority w:val="0"/>
    <w:pPr>
      <w:keepNext/>
      <w:keepLines/>
      <w:numPr>
        <w:ilvl w:val="6"/>
        <w:numId w:val="1"/>
      </w:numPr>
      <w:spacing w:before="240" w:after="64" w:line="316" w:lineRule="auto"/>
      <w:outlineLvl w:val="6"/>
    </w:pPr>
    <w:rPr>
      <w:b/>
      <w:sz w:val="24"/>
    </w:rPr>
  </w:style>
  <w:style w:type="paragraph" w:styleId="11">
    <w:name w:val="heading 8"/>
    <w:basedOn w:val="1"/>
    <w:next w:val="8"/>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8"/>
    <w:qFormat/>
    <w:uiPriority w:val="0"/>
    <w:pPr>
      <w:keepNext/>
      <w:keepLines/>
      <w:numPr>
        <w:ilvl w:val="8"/>
        <w:numId w:val="1"/>
      </w:numPr>
      <w:spacing w:before="240" w:after="64" w:line="316"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8">
    <w:name w:val="Normal Indent"/>
    <w:basedOn w:val="1"/>
    <w:link w:val="88"/>
    <w:qFormat/>
    <w:uiPriority w:val="0"/>
    <w:pPr>
      <w:ind w:firstLine="420"/>
    </w:pPr>
    <w:rPr>
      <w:szCs w:val="20"/>
    </w:rPr>
  </w:style>
  <w:style w:type="paragraph" w:styleId="13">
    <w:name w:val="annotation text"/>
    <w:basedOn w:val="1"/>
    <w:link w:val="87"/>
    <w:qFormat/>
    <w:uiPriority w:val="0"/>
    <w:pPr>
      <w:jc w:val="left"/>
    </w:pPr>
  </w:style>
  <w:style w:type="paragraph" w:styleId="14">
    <w:name w:val="Body Text Indent"/>
    <w:basedOn w:val="1"/>
    <w:link w:val="78"/>
    <w:qFormat/>
    <w:uiPriority w:val="0"/>
    <w:pPr>
      <w:ind w:firstLine="630"/>
    </w:pPr>
    <w:rPr>
      <w:sz w:val="32"/>
      <w:szCs w:val="20"/>
    </w:rPr>
  </w:style>
  <w:style w:type="paragraph" w:styleId="15">
    <w:name w:val="toc 3"/>
    <w:basedOn w:val="1"/>
    <w:next w:val="1"/>
    <w:qFormat/>
    <w:uiPriority w:val="39"/>
    <w:pPr>
      <w:ind w:left="840" w:leftChars="400"/>
    </w:pPr>
  </w:style>
  <w:style w:type="paragraph" w:styleId="16">
    <w:name w:val="Plain Text"/>
    <w:basedOn w:val="1"/>
    <w:link w:val="91"/>
    <w:qFormat/>
    <w:uiPriority w:val="0"/>
    <w:rPr>
      <w:rFonts w:ascii="宋体"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link w:val="100"/>
    <w:qFormat/>
    <w:uiPriority w:val="0"/>
    <w:pPr>
      <w:ind w:firstLine="630"/>
    </w:pPr>
    <w:rPr>
      <w:sz w:val="32"/>
      <w:szCs w:val="20"/>
    </w:rPr>
  </w:style>
  <w:style w:type="paragraph" w:styleId="19">
    <w:name w:val="Balloon Text"/>
    <w:basedOn w:val="1"/>
    <w:link w:val="66"/>
    <w:qFormat/>
    <w:uiPriority w:val="0"/>
    <w:rPr>
      <w:sz w:val="18"/>
      <w:szCs w:val="18"/>
    </w:rPr>
  </w:style>
  <w:style w:type="paragraph" w:styleId="20">
    <w:name w:val="footer"/>
    <w:basedOn w:val="1"/>
    <w:link w:val="101"/>
    <w:qFormat/>
    <w:uiPriority w:val="0"/>
    <w:pPr>
      <w:tabs>
        <w:tab w:val="center" w:pos="4153"/>
        <w:tab w:val="right" w:pos="8306"/>
      </w:tabs>
      <w:snapToGrid w:val="0"/>
      <w:jc w:val="left"/>
    </w:pPr>
    <w:rPr>
      <w:sz w:val="18"/>
      <w:szCs w:val="20"/>
    </w:rPr>
  </w:style>
  <w:style w:type="paragraph" w:styleId="21">
    <w:name w:val="header"/>
    <w:basedOn w:val="1"/>
    <w:link w:val="73"/>
    <w:qFormat/>
    <w:uiPriority w:val="0"/>
    <w:pPr>
      <w:pBdr>
        <w:bottom w:val="single" w:color="auto" w:sz="6" w:space="1"/>
      </w:pBdr>
      <w:tabs>
        <w:tab w:val="center" w:pos="4153"/>
        <w:tab w:val="right" w:pos="8306"/>
      </w:tabs>
      <w:snapToGrid w:val="0"/>
      <w:jc w:val="center"/>
    </w:pPr>
    <w:rPr>
      <w:sz w:val="18"/>
      <w:szCs w:val="20"/>
    </w:rPr>
  </w:style>
  <w:style w:type="paragraph" w:styleId="22">
    <w:name w:val="toc 1"/>
    <w:basedOn w:val="1"/>
    <w:next w:val="1"/>
    <w:qFormat/>
    <w:uiPriority w:val="39"/>
  </w:style>
  <w:style w:type="paragraph" w:styleId="23">
    <w:name w:val="Body Text Indent 3"/>
    <w:basedOn w:val="1"/>
    <w:link w:val="86"/>
    <w:qFormat/>
    <w:uiPriority w:val="0"/>
    <w:pPr>
      <w:adjustRightInd w:val="0"/>
      <w:snapToGrid w:val="0"/>
      <w:spacing w:line="360" w:lineRule="auto"/>
      <w:ind w:firstLine="600" w:firstLineChars="200"/>
    </w:pPr>
    <w:rPr>
      <w:rFonts w:ascii="黑体" w:eastAsia="黑体"/>
      <w:sz w:val="30"/>
      <w:szCs w:val="28"/>
    </w:rPr>
  </w:style>
  <w:style w:type="paragraph" w:styleId="24">
    <w:name w:val="toc 2"/>
    <w:basedOn w:val="1"/>
    <w:next w:val="1"/>
    <w:qFormat/>
    <w:uiPriority w:val="39"/>
    <w:pPr>
      <w:ind w:left="420" w:leftChars="200"/>
    </w:pPr>
  </w:style>
  <w:style w:type="paragraph" w:styleId="2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6">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7">
    <w:name w:val="annotation subject"/>
    <w:basedOn w:val="13"/>
    <w:next w:val="13"/>
    <w:link w:val="64"/>
    <w:qFormat/>
    <w:uiPriority w:val="0"/>
    <w:rPr>
      <w:b/>
      <w:bCs/>
    </w:rPr>
  </w:style>
  <w:style w:type="paragraph" w:styleId="28">
    <w:name w:val="Body Text First Indent 2"/>
    <w:basedOn w:val="14"/>
    <w:next w:val="1"/>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FollowedHyperlink"/>
    <w:qFormat/>
    <w:uiPriority w:val="0"/>
    <w:rPr>
      <w:color w:val="800080"/>
      <w:u w:val="none"/>
    </w:rPr>
  </w:style>
  <w:style w:type="character" w:styleId="35">
    <w:name w:val="Emphasis"/>
    <w:qFormat/>
    <w:uiPriority w:val="0"/>
    <w:rPr>
      <w:b/>
    </w:rPr>
  </w:style>
  <w:style w:type="character" w:styleId="36">
    <w:name w:val="HTML Definition"/>
    <w:qFormat/>
    <w:uiPriority w:val="99"/>
  </w:style>
  <w:style w:type="character" w:styleId="37">
    <w:name w:val="HTML Typewriter"/>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qFormat/>
    <w:uiPriority w:val="0"/>
  </w:style>
  <w:style w:type="character" w:styleId="40">
    <w:name w:val="Hyperlink"/>
    <w:qFormat/>
    <w:uiPriority w:val="99"/>
    <w:rPr>
      <w:color w:val="136EC2"/>
      <w:u w:val="single"/>
    </w:rPr>
  </w:style>
  <w:style w:type="character" w:styleId="41">
    <w:name w:val="HTML Code"/>
    <w:qFormat/>
    <w:uiPriority w:val="0"/>
    <w:rPr>
      <w:rFonts w:hint="default" w:ascii="monospace" w:hAnsi="monospace" w:eastAsia="monospace" w:cs="monospace"/>
      <w:sz w:val="20"/>
    </w:rPr>
  </w:style>
  <w:style w:type="character" w:styleId="42">
    <w:name w:val="annotation reference"/>
    <w:qFormat/>
    <w:uiPriority w:val="0"/>
    <w:rPr>
      <w:sz w:val="21"/>
      <w:szCs w:val="21"/>
    </w:rPr>
  </w:style>
  <w:style w:type="character" w:styleId="43">
    <w:name w:val="HTML Cite"/>
    <w:qFormat/>
    <w:uiPriority w:val="0"/>
  </w:style>
  <w:style w:type="character" w:styleId="44">
    <w:name w:val="HTML Keyboard"/>
    <w:qFormat/>
    <w:uiPriority w:val="0"/>
    <w:rPr>
      <w:rFonts w:ascii="monospace" w:hAnsi="monospace" w:eastAsia="monospace" w:cs="monospace"/>
      <w:sz w:val="20"/>
    </w:rPr>
  </w:style>
  <w:style w:type="character" w:styleId="45">
    <w:name w:val="HTML Sample"/>
    <w:qFormat/>
    <w:uiPriority w:val="0"/>
    <w:rPr>
      <w:rFonts w:hint="default" w:ascii="monospace" w:hAnsi="monospace" w:eastAsia="monospace" w:cs="monospace"/>
    </w:rPr>
  </w:style>
  <w:style w:type="paragraph" w:customStyle="1" w:styleId="4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47">
    <w:name w:val="表格文字"/>
    <w:basedOn w:val="1"/>
    <w:qFormat/>
    <w:uiPriority w:val="0"/>
    <w:pPr>
      <w:spacing w:before="25" w:after="25"/>
      <w:jc w:val="left"/>
    </w:pPr>
    <w:rPr>
      <w:rFonts w:ascii="Calibri" w:hAnsi="Calibri"/>
      <w:bCs/>
      <w:spacing w:val="10"/>
      <w:kern w:val="0"/>
      <w:sz w:val="24"/>
    </w:rPr>
  </w:style>
  <w:style w:type="paragraph" w:customStyle="1" w:styleId="48">
    <w:name w:val="Char1"/>
    <w:basedOn w:val="1"/>
    <w:qFormat/>
    <w:uiPriority w:val="0"/>
    <w:rPr>
      <w:szCs w:val="21"/>
    </w:rPr>
  </w:style>
  <w:style w:type="paragraph" w:customStyle="1" w:styleId="49">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0">
    <w:name w:val="Char Char Char Char"/>
    <w:basedOn w:val="1"/>
    <w:qFormat/>
    <w:uiPriority w:val="0"/>
    <w:rPr>
      <w:rFonts w:ascii="Tahoma" w:hAnsi="Tahoma"/>
      <w:sz w:val="24"/>
      <w:szCs w:val="20"/>
    </w:rPr>
  </w:style>
  <w:style w:type="paragraph" w:customStyle="1" w:styleId="51">
    <w:name w:val="p0"/>
    <w:basedOn w:val="1"/>
    <w:link w:val="72"/>
    <w:qFormat/>
    <w:uiPriority w:val="0"/>
    <w:pPr>
      <w:widowControl/>
    </w:pPr>
    <w:rPr>
      <w:kern w:val="0"/>
      <w:szCs w:val="21"/>
    </w:rPr>
  </w:style>
  <w:style w:type="paragraph" w:styleId="52">
    <w:name w:val="List Paragraph"/>
    <w:basedOn w:val="1"/>
    <w:link w:val="103"/>
    <w:qFormat/>
    <w:uiPriority w:val="34"/>
    <w:pPr>
      <w:ind w:firstLine="420" w:firstLineChars="200"/>
    </w:pPr>
    <w:rPr>
      <w:sz w:val="18"/>
      <w:szCs w:val="18"/>
    </w:rPr>
  </w:style>
  <w:style w:type="paragraph" w:customStyle="1" w:styleId="53">
    <w:name w:val="title12"/>
    <w:basedOn w:val="1"/>
    <w:qFormat/>
    <w:uiPriority w:val="0"/>
    <w:pPr>
      <w:spacing w:before="150"/>
      <w:jc w:val="left"/>
    </w:pPr>
    <w:rPr>
      <w:b/>
      <w:kern w:val="0"/>
      <w:sz w:val="22"/>
      <w:szCs w:val="22"/>
    </w:rPr>
  </w:style>
  <w:style w:type="paragraph" w:customStyle="1" w:styleId="54">
    <w:name w:val="表格"/>
    <w:basedOn w:val="1"/>
    <w:qFormat/>
    <w:uiPriority w:val="0"/>
    <w:pPr>
      <w:spacing w:line="400" w:lineRule="exact"/>
    </w:pPr>
    <w:rPr>
      <w:sz w:val="24"/>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7">
    <w:name w:val="Heading2"/>
    <w:basedOn w:val="1"/>
    <w:next w:val="1"/>
    <w:qFormat/>
    <w:uiPriority w:val="0"/>
    <w:pPr>
      <w:keepNext/>
      <w:keepLines/>
      <w:spacing w:before="260" w:after="260" w:line="415" w:lineRule="auto"/>
      <w:textAlignment w:val="baseline"/>
    </w:pPr>
    <w:rPr>
      <w:rFonts w:ascii="Arial" w:hAnsi="Arial" w:eastAsia="黑体"/>
      <w:b/>
      <w:sz w:val="32"/>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customStyle="1" w:styleId="5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title1"/>
    <w:basedOn w:val="1"/>
    <w:qFormat/>
    <w:uiPriority w:val="0"/>
    <w:pPr>
      <w:spacing w:before="150"/>
      <w:jc w:val="left"/>
    </w:pPr>
    <w:rPr>
      <w:b/>
      <w:kern w:val="0"/>
      <w:sz w:val="22"/>
      <w:szCs w:val="22"/>
    </w:rPr>
  </w:style>
  <w:style w:type="paragraph" w:customStyle="1" w:styleId="6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2">
    <w:name w:val="正文首行缩进两字符"/>
    <w:basedOn w:val="1"/>
    <w:qFormat/>
    <w:uiPriority w:val="0"/>
    <w:pPr>
      <w:spacing w:line="360" w:lineRule="auto"/>
      <w:ind w:firstLine="200" w:firstLineChars="200"/>
    </w:pPr>
  </w:style>
  <w:style w:type="paragraph" w:customStyle="1" w:styleId="63">
    <w:name w:val="默认段落字体 Para Char Char Char Char Char Char Char"/>
    <w:basedOn w:val="1"/>
    <w:qFormat/>
    <w:uiPriority w:val="0"/>
    <w:rPr>
      <w:rFonts w:ascii="Tahoma" w:hAnsi="Tahoma"/>
      <w:sz w:val="24"/>
      <w:szCs w:val="20"/>
    </w:rPr>
  </w:style>
  <w:style w:type="character" w:customStyle="1" w:styleId="64">
    <w:name w:val="批注主题 Char"/>
    <w:link w:val="27"/>
    <w:qFormat/>
    <w:uiPriority w:val="0"/>
    <w:rPr>
      <w:b/>
      <w:bCs/>
      <w:kern w:val="2"/>
      <w:sz w:val="21"/>
      <w:szCs w:val="24"/>
    </w:rPr>
  </w:style>
  <w:style w:type="character" w:customStyle="1" w:styleId="65">
    <w:name w:val="stclosebtn"/>
    <w:basedOn w:val="31"/>
    <w:qFormat/>
    <w:uiPriority w:val="0"/>
  </w:style>
  <w:style w:type="character" w:customStyle="1" w:styleId="66">
    <w:name w:val="批注框文本 Char"/>
    <w:link w:val="19"/>
    <w:qFormat/>
    <w:uiPriority w:val="0"/>
    <w:rPr>
      <w:kern w:val="2"/>
      <w:sz w:val="18"/>
      <w:szCs w:val="18"/>
    </w:rPr>
  </w:style>
  <w:style w:type="character" w:customStyle="1" w:styleId="67">
    <w:name w:val="beforeinfotext"/>
    <w:basedOn w:val="31"/>
    <w:qFormat/>
    <w:uiPriority w:val="0"/>
    <w:rPr>
      <w:color w:val="666666"/>
    </w:rPr>
  </w:style>
  <w:style w:type="character" w:customStyle="1" w:styleId="68">
    <w:name w:val="hour_am"/>
    <w:basedOn w:val="31"/>
    <w:qFormat/>
    <w:uiPriority w:val="0"/>
  </w:style>
  <w:style w:type="character" w:customStyle="1" w:styleId="69">
    <w:name w:val="Char Char14"/>
    <w:qFormat/>
    <w:uiPriority w:val="0"/>
    <w:rPr>
      <w:rFonts w:ascii="Arial" w:hAnsi="Arial" w:eastAsia="黑体"/>
      <w:b/>
      <w:bCs/>
      <w:sz w:val="28"/>
      <w:szCs w:val="28"/>
      <w:lang w:val="en-US" w:eastAsia="zh-CN" w:bidi="ar-SA"/>
    </w:rPr>
  </w:style>
  <w:style w:type="character" w:customStyle="1" w:styleId="70">
    <w:name w:val="active"/>
    <w:basedOn w:val="31"/>
    <w:qFormat/>
    <w:uiPriority w:val="0"/>
    <w:rPr>
      <w:color w:val="00FF00"/>
      <w:shd w:val="clear" w:color="auto" w:fill="000000"/>
    </w:rPr>
  </w:style>
  <w:style w:type="character" w:customStyle="1" w:styleId="71">
    <w:name w:val="普通文字1 Char"/>
    <w:qFormat/>
    <w:uiPriority w:val="0"/>
    <w:rPr>
      <w:rFonts w:ascii="宋体" w:hAnsi="Courier New" w:eastAsia="宋体"/>
      <w:kern w:val="2"/>
      <w:sz w:val="21"/>
      <w:lang w:val="en-US" w:eastAsia="zh-CN" w:bidi="ar-SA"/>
    </w:rPr>
  </w:style>
  <w:style w:type="character" w:customStyle="1" w:styleId="72">
    <w:name w:val="p0 Char"/>
    <w:link w:val="51"/>
    <w:qFormat/>
    <w:uiPriority w:val="0"/>
    <w:rPr>
      <w:rFonts w:eastAsia="宋体"/>
      <w:sz w:val="21"/>
      <w:szCs w:val="21"/>
      <w:lang w:val="en-US" w:eastAsia="zh-CN" w:bidi="ar-SA"/>
    </w:rPr>
  </w:style>
  <w:style w:type="character" w:customStyle="1" w:styleId="73">
    <w:name w:val="页眉 Char"/>
    <w:link w:val="21"/>
    <w:qFormat/>
    <w:uiPriority w:val="0"/>
    <w:rPr>
      <w:rFonts w:eastAsia="宋体"/>
      <w:kern w:val="2"/>
      <w:sz w:val="18"/>
      <w:lang w:val="en-US" w:eastAsia="zh-CN" w:bidi="ar-SA"/>
    </w:rPr>
  </w:style>
  <w:style w:type="character" w:customStyle="1" w:styleId="74">
    <w:name w:val="indent"/>
    <w:basedOn w:val="31"/>
    <w:qFormat/>
    <w:uiPriority w:val="0"/>
  </w:style>
  <w:style w:type="character" w:customStyle="1" w:styleId="75">
    <w:name w:val="hour_pm"/>
    <w:basedOn w:val="31"/>
    <w:qFormat/>
    <w:uiPriority w:val="0"/>
  </w:style>
  <w:style w:type="character" w:customStyle="1" w:styleId="76">
    <w:name w:val="button"/>
    <w:basedOn w:val="31"/>
    <w:qFormat/>
    <w:uiPriority w:val="0"/>
  </w:style>
  <w:style w:type="character" w:customStyle="1" w:styleId="77">
    <w:name w:val="正文文本缩进 字符1"/>
    <w:semiHidden/>
    <w:qFormat/>
    <w:locked/>
    <w:uiPriority w:val="0"/>
    <w:rPr>
      <w:kern w:val="2"/>
      <w:sz w:val="32"/>
    </w:rPr>
  </w:style>
  <w:style w:type="character" w:customStyle="1" w:styleId="78">
    <w:name w:val="正文文本缩进 Char"/>
    <w:link w:val="14"/>
    <w:qFormat/>
    <w:uiPriority w:val="0"/>
    <w:rPr>
      <w:kern w:val="2"/>
      <w:sz w:val="32"/>
    </w:rPr>
  </w:style>
  <w:style w:type="character" w:customStyle="1" w:styleId="79">
    <w:name w:val="hover3"/>
    <w:basedOn w:val="31"/>
    <w:qFormat/>
    <w:uiPriority w:val="0"/>
    <w:rPr>
      <w:shd w:val="clear" w:color="auto" w:fill="EEEEEE"/>
    </w:rPr>
  </w:style>
  <w:style w:type="character" w:customStyle="1" w:styleId="80">
    <w:name w:val="mini-outputtext1"/>
    <w:basedOn w:val="31"/>
    <w:qFormat/>
    <w:uiPriority w:val="0"/>
  </w:style>
  <w:style w:type="character" w:customStyle="1" w:styleId="81">
    <w:name w:val="NormalCharacter"/>
    <w:qFormat/>
    <w:uiPriority w:val="0"/>
  </w:style>
  <w:style w:type="character" w:customStyle="1" w:styleId="82">
    <w:name w:val="tmpztreemove_arrow"/>
    <w:basedOn w:val="31"/>
    <w:qFormat/>
    <w:uiPriority w:val="0"/>
    <w:rPr>
      <w:shd w:val="clear" w:color="auto" w:fill="FFFFFF"/>
    </w:rPr>
  </w:style>
  <w:style w:type="character" w:customStyle="1" w:styleId="83">
    <w:name w:val="input-direction"/>
    <w:basedOn w:val="31"/>
    <w:qFormat/>
    <w:uiPriority w:val="0"/>
    <w:rPr>
      <w:color w:val="FF6600"/>
    </w:rPr>
  </w:style>
  <w:style w:type="character" w:customStyle="1" w:styleId="84">
    <w:name w:val="bds_nopic2"/>
    <w:qFormat/>
    <w:uiPriority w:val="0"/>
    <w:rPr>
      <w:rFonts w:ascii="Times New Roman" w:hAnsi="Times New Roman" w:eastAsia="宋体"/>
    </w:rPr>
  </w:style>
  <w:style w:type="character" w:customStyle="1" w:styleId="85">
    <w:name w:val="hilite"/>
    <w:basedOn w:val="31"/>
    <w:qFormat/>
    <w:uiPriority w:val="0"/>
    <w:rPr>
      <w:color w:val="FFFFFF"/>
      <w:shd w:val="clear" w:color="auto" w:fill="666677"/>
    </w:rPr>
  </w:style>
  <w:style w:type="character" w:customStyle="1" w:styleId="86">
    <w:name w:val="正文文本缩进 3 Char"/>
    <w:link w:val="23"/>
    <w:qFormat/>
    <w:uiPriority w:val="0"/>
    <w:rPr>
      <w:rFonts w:ascii="黑体" w:eastAsia="黑体"/>
      <w:kern w:val="2"/>
      <w:sz w:val="30"/>
      <w:szCs w:val="28"/>
    </w:rPr>
  </w:style>
  <w:style w:type="character" w:customStyle="1" w:styleId="87">
    <w:name w:val="批注文字 Char"/>
    <w:link w:val="13"/>
    <w:qFormat/>
    <w:uiPriority w:val="0"/>
    <w:rPr>
      <w:kern w:val="2"/>
      <w:sz w:val="21"/>
      <w:szCs w:val="24"/>
    </w:rPr>
  </w:style>
  <w:style w:type="character" w:customStyle="1" w:styleId="88">
    <w:name w:val="正文缩进 Char"/>
    <w:link w:val="8"/>
    <w:qFormat/>
    <w:uiPriority w:val="0"/>
    <w:rPr>
      <w:rFonts w:eastAsia="宋体"/>
      <w:kern w:val="2"/>
      <w:sz w:val="21"/>
      <w:lang w:val="en-US" w:eastAsia="zh-CN" w:bidi="ar-SA"/>
    </w:rPr>
  </w:style>
  <w:style w:type="character" w:customStyle="1" w:styleId="89">
    <w:name w:val="span-long"/>
    <w:basedOn w:val="31"/>
    <w:qFormat/>
    <w:uiPriority w:val="0"/>
  </w:style>
  <w:style w:type="character" w:customStyle="1" w:styleId="90">
    <w:name w:val="hilite6"/>
    <w:basedOn w:val="31"/>
    <w:qFormat/>
    <w:uiPriority w:val="0"/>
    <w:rPr>
      <w:color w:val="FFFFFF"/>
      <w:shd w:val="clear" w:color="auto" w:fill="666677"/>
    </w:rPr>
  </w:style>
  <w:style w:type="character" w:customStyle="1" w:styleId="91">
    <w:name w:val="纯文本 Char"/>
    <w:link w:val="16"/>
    <w:qFormat/>
    <w:locked/>
    <w:uiPriority w:val="0"/>
    <w:rPr>
      <w:rFonts w:ascii="宋体" w:hAnsi="Courier New" w:eastAsia="宋体" w:cs="Courier New"/>
      <w:kern w:val="2"/>
      <w:sz w:val="21"/>
      <w:szCs w:val="21"/>
      <w:lang w:val="en-US" w:eastAsia="zh-CN" w:bidi="ar-SA"/>
    </w:rPr>
  </w:style>
  <w:style w:type="character" w:customStyle="1" w:styleId="92">
    <w:name w:val="glyphicon4"/>
    <w:basedOn w:val="31"/>
    <w:qFormat/>
    <w:uiPriority w:val="0"/>
  </w:style>
  <w:style w:type="character" w:customStyle="1" w:styleId="93">
    <w:name w:val="active6"/>
    <w:basedOn w:val="31"/>
    <w:qFormat/>
    <w:uiPriority w:val="0"/>
    <w:rPr>
      <w:color w:val="00FF00"/>
      <w:shd w:val="clear" w:color="auto" w:fill="000000"/>
    </w:rPr>
  </w:style>
  <w:style w:type="character" w:customStyle="1" w:styleId="94">
    <w:name w:val="proollist"/>
    <w:basedOn w:val="31"/>
    <w:qFormat/>
    <w:uiPriority w:val="0"/>
  </w:style>
  <w:style w:type="character" w:customStyle="1" w:styleId="95">
    <w:name w:val="number"/>
    <w:basedOn w:val="31"/>
    <w:qFormat/>
    <w:uiPriority w:val="0"/>
    <w:rPr>
      <w:color w:val="FF8833"/>
      <w:sz w:val="18"/>
      <w:szCs w:val="18"/>
    </w:rPr>
  </w:style>
  <w:style w:type="character" w:customStyle="1" w:styleId="96">
    <w:name w:val="标题 1 Char"/>
    <w:link w:val="3"/>
    <w:qFormat/>
    <w:uiPriority w:val="0"/>
    <w:rPr>
      <w:rFonts w:ascii="Times New Roman" w:hAnsi="Times New Roman" w:eastAsia="宋体"/>
      <w:b/>
      <w:kern w:val="44"/>
      <w:sz w:val="36"/>
      <w:szCs w:val="20"/>
    </w:rPr>
  </w:style>
  <w:style w:type="character" w:customStyle="1" w:styleId="97">
    <w:name w:val="phone"/>
    <w:basedOn w:val="31"/>
    <w:qFormat/>
    <w:uiPriority w:val="0"/>
    <w:rPr>
      <w:color w:val="FF8833"/>
      <w:sz w:val="18"/>
      <w:szCs w:val="18"/>
    </w:rPr>
  </w:style>
  <w:style w:type="character" w:customStyle="1" w:styleId="98">
    <w:name w:val="old"/>
    <w:basedOn w:val="31"/>
    <w:qFormat/>
    <w:uiPriority w:val="0"/>
    <w:rPr>
      <w:color w:val="999999"/>
    </w:rPr>
  </w:style>
  <w:style w:type="character" w:customStyle="1" w:styleId="99">
    <w:name w:val="标题 2 Char"/>
    <w:link w:val="4"/>
    <w:qFormat/>
    <w:uiPriority w:val="0"/>
    <w:rPr>
      <w:rFonts w:ascii="Arial" w:hAnsi="Arial" w:eastAsia="黑体"/>
      <w:b/>
      <w:kern w:val="2"/>
      <w:sz w:val="28"/>
    </w:rPr>
  </w:style>
  <w:style w:type="character" w:customStyle="1" w:styleId="100">
    <w:name w:val="正文文本缩进 2 Char"/>
    <w:link w:val="18"/>
    <w:qFormat/>
    <w:uiPriority w:val="0"/>
    <w:rPr>
      <w:kern w:val="2"/>
      <w:sz w:val="32"/>
    </w:rPr>
  </w:style>
  <w:style w:type="character" w:customStyle="1" w:styleId="101">
    <w:name w:val="页脚 Char"/>
    <w:link w:val="20"/>
    <w:qFormat/>
    <w:uiPriority w:val="0"/>
    <w:rPr>
      <w:rFonts w:eastAsia="宋体"/>
      <w:kern w:val="2"/>
      <w:sz w:val="18"/>
      <w:lang w:val="en-US" w:eastAsia="zh-CN" w:bidi="ar-SA"/>
    </w:rPr>
  </w:style>
  <w:style w:type="paragraph" w:customStyle="1" w:styleId="102">
    <w:name w:val="正文缩进1"/>
    <w:basedOn w:val="1"/>
    <w:qFormat/>
    <w:uiPriority w:val="0"/>
    <w:pPr>
      <w:ind w:firstLine="420" w:firstLineChars="200"/>
    </w:pPr>
  </w:style>
  <w:style w:type="character" w:customStyle="1" w:styleId="103">
    <w:name w:val="列出段落 Char"/>
    <w:link w:val="52"/>
    <w:qFormat/>
    <w:locked/>
    <w:uiPriority w:val="34"/>
    <w:rPr>
      <w:kern w:val="2"/>
      <w:sz w:val="18"/>
      <w:szCs w:val="18"/>
    </w:rPr>
  </w:style>
  <w:style w:type="paragraph" w:customStyle="1" w:styleId="104">
    <w:name w:val="*正文"/>
    <w:basedOn w:val="1"/>
    <w:link w:val="105"/>
    <w:qFormat/>
    <w:uiPriority w:val="0"/>
    <w:pPr>
      <w:spacing w:line="360" w:lineRule="auto"/>
      <w:ind w:firstLine="200" w:firstLineChars="200"/>
    </w:pPr>
    <w:rPr>
      <w:rFonts w:ascii="宋体" w:hAnsi="宋体" w:eastAsia="仿宋" w:cstheme="minorBidi"/>
      <w:kern w:val="0"/>
      <w:sz w:val="28"/>
      <w:szCs w:val="22"/>
    </w:rPr>
  </w:style>
  <w:style w:type="character" w:customStyle="1" w:styleId="105">
    <w:name w:val="*正文 Char"/>
    <w:link w:val="104"/>
    <w:qFormat/>
    <w:uiPriority w:val="0"/>
    <w:rPr>
      <w:rFonts w:ascii="宋体" w:hAnsi="宋体" w:eastAsia="仿宋" w:cstheme="minorBidi"/>
      <w:sz w:val="28"/>
      <w:szCs w:val="22"/>
    </w:rPr>
  </w:style>
  <w:style w:type="paragraph" w:customStyle="1" w:styleId="106">
    <w:name w:val="样式 首行缩进:  0 字符"/>
    <w:basedOn w:val="1"/>
    <w:link w:val="107"/>
    <w:qFormat/>
    <w:uiPriority w:val="0"/>
    <w:pPr>
      <w:spacing w:line="360" w:lineRule="auto"/>
      <w:ind w:firstLine="200" w:firstLineChars="200"/>
    </w:pPr>
    <w:rPr>
      <w:rFonts w:cs="宋体"/>
      <w:sz w:val="24"/>
    </w:rPr>
  </w:style>
  <w:style w:type="character" w:customStyle="1" w:styleId="107">
    <w:name w:val="样式 首行缩进:  0 字符 Char"/>
    <w:link w:val="106"/>
    <w:qFormat/>
    <w:uiPriority w:val="0"/>
    <w:rPr>
      <w:rFonts w:cs="宋体"/>
      <w:kern w:val="2"/>
      <w:sz w:val="24"/>
      <w:szCs w:val="24"/>
    </w:rPr>
  </w:style>
  <w:style w:type="paragraph" w:customStyle="1" w:styleId="108">
    <w:name w:val="标号"/>
    <w:basedOn w:val="1"/>
    <w:qFormat/>
    <w:uiPriority w:val="99"/>
    <w:pPr>
      <w:spacing w:line="360" w:lineRule="auto"/>
    </w:pPr>
    <w:rPr>
      <w:rFonts w:ascii="宋体" w:hAnsi="宋体"/>
      <w:sz w:val="24"/>
    </w:rPr>
  </w:style>
  <w:style w:type="paragraph" w:customStyle="1" w:styleId="10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89</Pages>
  <Words>44606</Words>
  <Characters>47184</Characters>
  <Lines>370</Lines>
  <Paragraphs>104</Paragraphs>
  <TotalTime>3</TotalTime>
  <ScaleCrop>false</ScaleCrop>
  <LinksUpToDate>false</LinksUpToDate>
  <CharactersWithSpaces>49034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2020-11-10T10:12:00Z</dcterms:created>
  <dc:creator>GZB</dc:creator>
  <cp:lastModifiedBy>萌哒哒</cp:lastModifiedBy>
  <cp:lastPrinted>2021-07-01T01:53:00Z</cp:lastPrinted>
  <dcterms:modified xsi:type="dcterms:W3CDTF">2022-08-05T08:44:27Z</dcterms:modified>
  <dc:title>招标编号：xxx政采招[20xxx] xxx号</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A8AA8D207112469BA719A81FDEA80FFC</vt:lpwstr>
  </property>
</Properties>
</file>