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hint="eastAsia"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采购项目编号：SCZC2022-CS-1818/001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第八届丝绸之路国际艺术节国际剧目展播项目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pStyle w:val="2"/>
        <w:rPr>
          <w:rFonts w:eastAsia="仿宋_GB2312"/>
          <w:b/>
          <w:bCs/>
          <w:sz w:val="36"/>
          <w:szCs w:val="36"/>
          <w:lang w:val="zh-CN"/>
        </w:rPr>
      </w:pPr>
    </w:p>
    <w:p>
      <w:pPr>
        <w:pStyle w:val="2"/>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二〇二二年</w:t>
      </w:r>
      <w:r>
        <w:rPr>
          <w:rFonts w:hint="eastAsia" w:eastAsia="仿宋_GB2312"/>
          <w:b/>
          <w:bCs/>
          <w:sz w:val="30"/>
          <w:szCs w:val="30"/>
          <w:lang w:val="zh-CN" w:eastAsia="zh-CN"/>
        </w:rPr>
        <w:t>八</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0" w:firstLineChars="0"/>
        <w:jc w:val="center"/>
        <w:textAlignment w:val="auto"/>
        <w:rPr>
          <w:rFonts w:eastAsia="仿宋_GB2312"/>
          <w:b/>
          <w:sz w:val="32"/>
          <w:szCs w:val="32"/>
        </w:rPr>
      </w:pPr>
      <w:r>
        <w:rPr>
          <w:rFonts w:eastAsia="仿宋_GB2312"/>
          <w:b/>
          <w:sz w:val="32"/>
          <w:szCs w:val="32"/>
        </w:rPr>
        <w:t>目  录</w:t>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"_Toc68590967" </w:instrText>
      </w:r>
      <w:r>
        <w:fldChar w:fldCharType="separate"/>
      </w:r>
      <w:r>
        <w:rPr>
          <w:rStyle w:val="59"/>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"_Toc68590968" </w:instrText>
      </w:r>
      <w:r>
        <w:fldChar w:fldCharType="separate"/>
      </w:r>
      <w:r>
        <w:rPr>
          <w:rStyle w:val="59"/>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59"/>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"_Toc68590970" </w:instrText>
      </w:r>
      <w:r>
        <w:fldChar w:fldCharType="separate"/>
      </w:r>
      <w:r>
        <w:rPr>
          <w:rStyle w:val="59"/>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"_Toc68590971" </w:instrText>
      </w:r>
      <w:r>
        <w:fldChar w:fldCharType="separate"/>
      </w:r>
      <w:r>
        <w:rPr>
          <w:rStyle w:val="59"/>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"_Toc68590972" </w:instrText>
      </w:r>
      <w:r>
        <w:fldChar w:fldCharType="separate"/>
      </w:r>
      <w:r>
        <w:rPr>
          <w:rStyle w:val="59"/>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"_Toc68590973" </w:instrText>
      </w:r>
      <w:r>
        <w:fldChar w:fldCharType="separate"/>
      </w:r>
      <w:r>
        <w:rPr>
          <w:rStyle w:val="59"/>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"_Toc68590974" </w:instrText>
      </w:r>
      <w:r>
        <w:fldChar w:fldCharType="separate"/>
      </w:r>
      <w:r>
        <w:rPr>
          <w:rStyle w:val="59"/>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18</w:t>
      </w:r>
      <w:r>
        <w:rPr>
          <w:rFonts w:eastAsia="仿宋_GB2312"/>
          <w:sz w:val="28"/>
          <w:szCs w:val="28"/>
        </w:rPr>
        <w:fldChar w:fldCharType="end"/>
      </w:r>
      <w:r>
        <w:rPr>
          <w:rFonts w:eastAsia="仿宋_GB2312"/>
          <w:sz w:val="28"/>
          <w:szCs w:val="28"/>
        </w:rPr>
        <w:fldChar w:fldCharType="end"/>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"_Toc68590976" </w:instrText>
      </w:r>
      <w:r>
        <w:fldChar w:fldCharType="separate"/>
      </w:r>
      <w:r>
        <w:rPr>
          <w:rStyle w:val="59"/>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"_Toc68590977" </w:instrText>
      </w:r>
      <w:r>
        <w:fldChar w:fldCharType="separate"/>
      </w:r>
      <w:r>
        <w:rPr>
          <w:rStyle w:val="59"/>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firstLine="480" w:firstLineChars="200"/>
        <w:textAlignment w:val="auto"/>
        <w:rPr>
          <w:rFonts w:eastAsia="仿宋_GB2312"/>
          <w:smallCaps w:val="0"/>
          <w:kern w:val="2"/>
          <w:sz w:val="28"/>
          <w:szCs w:val="28"/>
        </w:rPr>
      </w:pPr>
      <w:r>
        <w:fldChar w:fldCharType="begin"/>
      </w:r>
      <w:r>
        <w:instrText xml:space="preserve"> HYPERLINK \l "_Toc68590978" </w:instrText>
      </w:r>
      <w:r>
        <w:fldChar w:fldCharType="separate"/>
      </w:r>
      <w:r>
        <w:rPr>
          <w:rStyle w:val="59"/>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27</w:t>
      </w:r>
      <w:r>
        <w:rPr>
          <w:rFonts w:eastAsia="仿宋_GB2312"/>
          <w:sz w:val="28"/>
          <w:szCs w:val="28"/>
        </w:rPr>
        <w:fldChar w:fldCharType="end"/>
      </w:r>
      <w:r>
        <w:rPr>
          <w:rFonts w:eastAsia="仿宋_GB2312"/>
          <w:sz w:val="28"/>
          <w:szCs w:val="28"/>
        </w:rPr>
        <w:fldChar w:fldCharType="end"/>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37</w:t>
      </w:r>
      <w:r>
        <w:rPr>
          <w:rFonts w:ascii="Times New Roman" w:eastAsia="仿宋_GB2312"/>
          <w:sz w:val="28"/>
          <w:szCs w:val="28"/>
        </w:rPr>
        <w:fldChar w:fldCharType="end"/>
      </w:r>
      <w:r>
        <w:rPr>
          <w:rFonts w:ascii="Times New Roman" w:eastAsia="仿宋_GB2312"/>
          <w:sz w:val="28"/>
          <w:szCs w:val="28"/>
        </w:rPr>
        <w:fldChar w:fldCharType="end"/>
      </w:r>
    </w:p>
    <w:p>
      <w:pPr>
        <w:pStyle w:val="35"/>
        <w:keepNext w:val="0"/>
        <w:keepLines w:val="0"/>
        <w:pageBreakBefore w:val="0"/>
        <w:tabs>
          <w:tab w:val="right" w:leader="dot" w:pos="8300"/>
          <w:tab w:val="clear" w:pos="9344"/>
        </w:tabs>
        <w:kinsoku/>
        <w:wordWrap/>
        <w:overflowPunct/>
        <w:topLinePunct w:val="0"/>
        <w:autoSpaceDE/>
        <w:autoSpaceDN/>
        <w:bidi w:val="0"/>
        <w:adjustRightInd w:val="0"/>
        <w:snapToGrid w:val="0"/>
        <w:spacing w:before="0" w:after="0" w:line="360" w:lineRule="auto"/>
        <w:textAlignment w:val="auto"/>
        <w:rPr>
          <w:rFonts w:ascii="Times New Roman" w:eastAsia="仿宋_GB2312"/>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keepNext w:val="0"/>
        <w:keepLines w:val="0"/>
        <w:pageBreakBefore w:val="0"/>
        <w:kinsoku/>
        <w:wordWrap/>
        <w:overflowPunct/>
        <w:topLinePunct w:val="0"/>
        <w:autoSpaceDE/>
        <w:autoSpaceDN/>
        <w:bidi w:val="0"/>
        <w:adjustRightInd w:val="0"/>
        <w:snapToGrid w:val="0"/>
        <w:spacing w:line="360" w:lineRule="auto"/>
        <w:textAlignment w:val="auto"/>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r>
        <w:rPr>
          <w:rFonts w:ascii="Times New Roman" w:eastAsia="仿宋_GB2312"/>
          <w:sz w:val="28"/>
          <w:szCs w:val="28"/>
        </w:rPr>
        <w:br w:type="page"/>
      </w:r>
      <w:r>
        <w:rPr>
          <w:rFonts w:eastAsia="仿宋_GB2312"/>
          <w:sz w:val="28"/>
          <w:szCs w:val="28"/>
        </w:rPr>
        <w:fldChar w:fldCharType="end"/>
      </w:r>
    </w:p>
    <w:p>
      <w:pPr>
        <w:pStyle w:val="46"/>
        <w:spacing w:line="360" w:lineRule="auto"/>
        <w:jc w:val="center"/>
        <w:rPr>
          <w:rStyle w:val="203"/>
          <w:rFonts w:ascii="Times New Roman" w:hAnsi="Times New Roman" w:eastAsia="宋体"/>
          <w:sz w:val="36"/>
          <w:szCs w:val="36"/>
        </w:rPr>
      </w:pPr>
      <w:bookmarkStart w:id="0" w:name="_Toc68590965"/>
      <w:bookmarkStart w:id="1" w:name="_Toc415499894"/>
      <w:bookmarkStart w:id="2" w:name="_Toc21755"/>
      <w:bookmarkStart w:id="3" w:name="_Toc58504445"/>
      <w:bookmarkStart w:id="4" w:name="_Toc496324577"/>
      <w:bookmarkStart w:id="5" w:name="_Toc177189234"/>
      <w:bookmarkStart w:id="6" w:name="_Toc503063420"/>
      <w:bookmarkStart w:id="7" w:name="_Toc177817333"/>
      <w:bookmarkStart w:id="8" w:name="_Toc70687138"/>
      <w:bookmarkStart w:id="9" w:name="_Toc177995472"/>
      <w:bookmarkStart w:id="10" w:name="_Toc176882541"/>
      <w:bookmarkStart w:id="11" w:name="_Toc499711041"/>
      <w:bookmarkStart w:id="12" w:name="_Toc492955413"/>
      <w:bookmarkStart w:id="13" w:name="_Toc499711882"/>
      <w:bookmarkStart w:id="14" w:name="_Toc53722839"/>
      <w:bookmarkStart w:id="15" w:name="_Toc500747060"/>
      <w:bookmarkStart w:id="16" w:name="_Toc500746964"/>
      <w:bookmarkStart w:id="17" w:name="_Toc500747187"/>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p>
      <w:pPr>
        <w:pStyle w:val="46"/>
        <w:spacing w:line="360" w:lineRule="auto"/>
        <w:jc w:val="center"/>
        <w:rPr>
          <w:rFonts w:eastAsia="仿宋_GB2312"/>
          <w:b/>
          <w:sz w:val="28"/>
          <w:szCs w:val="28"/>
        </w:rPr>
      </w:pPr>
      <w:r>
        <w:rPr>
          <w:rFonts w:hint="eastAsia" w:eastAsia="仿宋_GB2312"/>
          <w:b/>
          <w:sz w:val="28"/>
          <w:szCs w:val="28"/>
          <w:lang w:eastAsia="zh-CN"/>
        </w:rPr>
        <w:t>第八届丝绸之路国际艺术节国际剧目展播项目</w:t>
      </w:r>
      <w:r>
        <w:rPr>
          <w:rFonts w:eastAsia="仿宋_GB2312"/>
          <w:b/>
          <w:sz w:val="28"/>
          <w:szCs w:val="28"/>
        </w:rPr>
        <w:t>竞争性磋商公告</w:t>
      </w:r>
    </w:p>
    <w:p>
      <w:pPr>
        <w:pStyle w:val="2"/>
        <w:shd w:val="clear" w:color="auto" w:fill="auto"/>
        <w:tabs>
          <w:tab w:val="left" w:pos="567"/>
        </w:tabs>
        <w:rPr>
          <w:rFonts w:hint="eastAsia" w:ascii="仿宋_GB2312" w:hAnsi="仿宋_GB2312" w:eastAsia="仿宋_GB2312" w:cs="仿宋_GB2312"/>
        </w:rPr>
      </w:pPr>
      <w:r>
        <w:rPr>
          <w:rFonts w:hint="eastAsia" w:ascii="仿宋_GB2312" w:hAnsi="仿宋_GB2312" w:eastAsia="仿宋_GB2312" w:cs="仿宋_GB2312"/>
          <w:sz w:val="24"/>
        </w:rPr>
        <mc:AlternateContent>
          <mc:Choice Requires="wps">
            <w:drawing>
              <wp:anchor distT="0" distB="0" distL="114300" distR="114300" simplePos="0" relativeHeight="251659264" behindDoc="0" locked="0" layoutInCell="1" allowOverlap="1">
                <wp:simplePos x="0" y="0"/>
                <wp:positionH relativeFrom="column">
                  <wp:posOffset>-363220</wp:posOffset>
                </wp:positionH>
                <wp:positionV relativeFrom="paragraph">
                  <wp:posOffset>83185</wp:posOffset>
                </wp:positionV>
                <wp:extent cx="5942965" cy="1263650"/>
                <wp:effectExtent l="4445" t="4445" r="15240" b="8255"/>
                <wp:wrapNone/>
                <wp:docPr id="7" name="矩形 7"/>
                <wp:cNvGraphicFramePr/>
                <a:graphic xmlns:a="http://schemas.openxmlformats.org/drawingml/2006/main">
                  <a:graphicData uri="http://schemas.microsoft.com/office/word/2010/wordprocessingShape">
                    <wps:wsp>
                      <wps:cNvSpPr/>
                      <wps:spPr>
                        <a:xfrm>
                          <a:off x="0" y="0"/>
                          <a:ext cx="5942965" cy="1263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u w:val="none"/>
                                <w:lang w:eastAsia="zh-CN"/>
                              </w:rPr>
                            </w:pPr>
                            <w:r>
                              <w:rPr>
                                <w:rFonts w:hint="eastAsia" w:ascii="仿宋_GB2312" w:hAnsi="仿宋_GB2312" w:eastAsia="仿宋_GB2312" w:cs="仿宋_GB2312"/>
                                <w:b/>
                                <w:bCs/>
                                <w:color w:val="auto"/>
                                <w:sz w:val="24"/>
                                <w:u w:val="none"/>
                                <w:lang w:eastAsia="zh-CN"/>
                              </w:rPr>
                              <w:t>项目概况</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pPr>
                            <w:r>
                              <w:rPr>
                                <w:rFonts w:hint="eastAsia" w:ascii="仿宋_GB2312" w:hAnsi="仿宋_GB2312" w:eastAsia="仿宋_GB2312" w:cs="仿宋_GB2312"/>
                                <w:b w:val="0"/>
                                <w:bCs w:val="0"/>
                                <w:sz w:val="24"/>
                                <w:highlight w:val="none"/>
                              </w:rPr>
                              <w:fldChar w:fldCharType="begin"/>
                            </w:r>
                            <w:r>
                              <w:rPr>
                                <w:rFonts w:hint="eastAsia" w:ascii="仿宋_GB2312" w:hAnsi="仿宋_GB2312" w:eastAsia="仿宋_GB2312" w:cs="仿宋_GB2312"/>
                                <w:b w:val="0"/>
                                <w:bCs w:val="0"/>
                                <w:sz w:val="24"/>
                                <w:highlight w:val="none"/>
                              </w:rPr>
                              <w:instrText xml:space="preserve"> HYPERLINK "mailto:第八届丝绸之路国际艺术节境外剧目展播项目潜在的供应商应可在电子邮箱361336174@qq.com" </w:instrText>
                            </w:r>
                            <w:r>
                              <w:rPr>
                                <w:rFonts w:hint="eastAsia" w:ascii="仿宋_GB2312" w:hAnsi="仿宋_GB2312" w:eastAsia="仿宋_GB2312" w:cs="仿宋_GB2312"/>
                                <w:b w:val="0"/>
                                <w:bCs w:val="0"/>
                                <w:sz w:val="24"/>
                                <w:highlight w:val="none"/>
                              </w:rPr>
                              <w:fldChar w:fldCharType="separate"/>
                            </w:r>
                            <w:r>
                              <w:rPr>
                                <w:rFonts w:hint="eastAsia" w:ascii="仿宋_GB2312" w:hAnsi="仿宋_GB2312" w:eastAsia="仿宋_GB2312" w:cs="仿宋_GB2312"/>
                                <w:b w:val="0"/>
                                <w:bCs w:val="0"/>
                                <w:sz w:val="24"/>
                                <w:highlight w:val="none"/>
                                <w:lang w:eastAsia="zh-CN"/>
                              </w:rPr>
                              <w:t>第八届丝绸之路国际艺术节国际剧目展播项目</w:t>
                            </w:r>
                            <w:r>
                              <w:rPr>
                                <w:rFonts w:hint="eastAsia" w:ascii="仿宋_GB2312" w:hAnsi="仿宋_GB2312" w:eastAsia="仿宋_GB2312" w:cs="仿宋_GB2312"/>
                                <w:b w:val="0"/>
                                <w:bCs w:val="0"/>
                                <w:sz w:val="24"/>
                                <w:highlight w:val="none"/>
                              </w:rPr>
                              <w:t>潜在的</w:t>
                            </w:r>
                            <w:r>
                              <w:rPr>
                                <w:rFonts w:hint="eastAsia" w:ascii="仿宋_GB2312" w:hAnsi="仿宋_GB2312" w:eastAsia="仿宋_GB2312" w:cs="仿宋_GB2312"/>
                                <w:b w:val="0"/>
                                <w:bCs w:val="0"/>
                                <w:sz w:val="24"/>
                                <w:highlight w:val="none"/>
                                <w:lang w:eastAsia="zh-CN"/>
                              </w:rPr>
                              <w:t>供应商应</w:t>
                            </w:r>
                            <w:r>
                              <w:rPr>
                                <w:rFonts w:hint="eastAsia" w:ascii="仿宋_GB2312" w:hAnsi="仿宋_GB2312" w:eastAsia="仿宋_GB2312" w:cs="仿宋_GB2312"/>
                                <w:b w:val="0"/>
                                <w:bCs w:val="0"/>
                                <w:sz w:val="24"/>
                                <w:highlight w:val="none"/>
                              </w:rPr>
                              <w:t>可在</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u w:val="single"/>
                              </w:rPr>
                              <w:t>电子邮箱</w:t>
                            </w:r>
                            <w:r>
                              <w:rPr>
                                <w:rFonts w:hint="eastAsia" w:ascii="仿宋_GB2312" w:hAnsi="仿宋_GB2312" w:eastAsia="仿宋_GB2312" w:cs="仿宋_GB2312"/>
                                <w:b w:val="0"/>
                                <w:bCs w:val="0"/>
                                <w:sz w:val="24"/>
                                <w:highlight w:val="none"/>
                                <w:u w:val="single"/>
                                <w:lang w:val="en-US" w:eastAsia="zh-CN"/>
                              </w:rPr>
                              <w:t>361336174@qq.com</w:t>
                            </w:r>
                            <w:r>
                              <w:rPr>
                                <w:rFonts w:hint="eastAsia" w:ascii="仿宋_GB2312" w:hAnsi="仿宋_GB2312" w:eastAsia="仿宋_GB2312" w:cs="仿宋_GB2312"/>
                                <w:b w:val="0"/>
                                <w:bCs w:val="0"/>
                                <w:sz w:val="24"/>
                                <w:highlight w:val="none"/>
                              </w:rPr>
                              <w:fldChar w:fldCharType="end"/>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lang w:val="en-US" w:eastAsia="zh-CN"/>
                              </w:rPr>
                              <w:fldChar w:fldCharType="begin"/>
                            </w:r>
                            <w:r>
                              <w:rPr>
                                <w:rFonts w:hint="eastAsia" w:ascii="仿宋_GB2312" w:hAnsi="仿宋_GB2312" w:eastAsia="仿宋_GB2312" w:cs="仿宋_GB2312"/>
                                <w:b w:val="0"/>
                                <w:bCs w:val="0"/>
                                <w:sz w:val="24"/>
                                <w:highlight w:val="none"/>
                                <w:lang w:val="en-US" w:eastAsia="zh-CN"/>
                              </w:rPr>
                              <w:instrText xml:space="preserve"> HYPERLINK "mailto:361336174@qq.com)招标三部获取招标文件，并于2022年" </w:instrText>
                            </w:r>
                            <w:r>
                              <w:rPr>
                                <w:rFonts w:hint="eastAsia" w:ascii="仿宋_GB2312" w:hAnsi="仿宋_GB2312" w:eastAsia="仿宋_GB2312" w:cs="仿宋_GB2312"/>
                                <w:b w:val="0"/>
                                <w:bCs w:val="0"/>
                                <w:sz w:val="24"/>
                                <w:highlight w:val="none"/>
                                <w:lang w:val="en-US" w:eastAsia="zh-CN"/>
                              </w:rPr>
                              <w:fldChar w:fldCharType="separate"/>
                            </w:r>
                            <w:r>
                              <w:rPr>
                                <w:rFonts w:hint="eastAsia" w:ascii="仿宋_GB2312" w:hAnsi="仿宋_GB2312" w:eastAsia="仿宋_GB2312" w:cs="仿宋_GB2312"/>
                                <w:b w:val="0"/>
                                <w:bCs w:val="0"/>
                                <w:sz w:val="24"/>
                                <w:highlight w:val="none"/>
                              </w:rPr>
                              <w:t>获取</w:t>
                            </w:r>
                            <w:r>
                              <w:rPr>
                                <w:rFonts w:hint="eastAsia" w:ascii="仿宋_GB2312" w:hAnsi="仿宋_GB2312" w:eastAsia="仿宋_GB2312" w:cs="仿宋_GB2312"/>
                                <w:b w:val="0"/>
                                <w:bCs w:val="0"/>
                                <w:sz w:val="24"/>
                                <w:highlight w:val="none"/>
                                <w:lang w:eastAsia="zh-CN"/>
                              </w:rPr>
                              <w:t>采购</w:t>
                            </w:r>
                            <w:r>
                              <w:rPr>
                                <w:rFonts w:hint="eastAsia" w:ascii="仿宋_GB2312" w:hAnsi="仿宋_GB2312" w:eastAsia="仿宋_GB2312" w:cs="仿宋_GB2312"/>
                                <w:b w:val="0"/>
                                <w:bCs w:val="0"/>
                                <w:sz w:val="24"/>
                                <w:highlight w:val="none"/>
                              </w:rPr>
                              <w:t>文件，并于2022年</w:t>
                            </w:r>
                            <w:r>
                              <w:rPr>
                                <w:rFonts w:hint="eastAsia" w:ascii="仿宋_GB2312" w:hAnsi="仿宋_GB2312" w:eastAsia="仿宋_GB2312" w:cs="仿宋_GB2312"/>
                                <w:b w:val="0"/>
                                <w:bCs w:val="0"/>
                                <w:sz w:val="24"/>
                                <w:highlight w:val="none"/>
                                <w:lang w:val="en-US" w:eastAsia="zh-CN"/>
                              </w:rPr>
                              <w:fldChar w:fldCharType="end"/>
                            </w:r>
                            <w:r>
                              <w:rPr>
                                <w:rFonts w:hint="eastAsia" w:ascii="仿宋_GB2312" w:hAnsi="仿宋_GB2312" w:eastAsia="仿宋_GB2312" w:cs="仿宋_GB2312"/>
                                <w:b w:val="0"/>
                                <w:bCs w:val="0"/>
                                <w:sz w:val="24"/>
                                <w:highlight w:val="none"/>
                                <w:lang w:val="en-US" w:eastAsia="zh-CN"/>
                              </w:rPr>
                              <w:t>08</w:t>
                            </w:r>
                            <w:r>
                              <w:rPr>
                                <w:rFonts w:hint="eastAsia" w:ascii="仿宋_GB2312" w:hAnsi="仿宋_GB2312" w:eastAsia="仿宋_GB2312" w:cs="仿宋_GB2312"/>
                                <w:b w:val="0"/>
                                <w:bCs w:val="0"/>
                                <w:color w:val="auto"/>
                                <w:kern w:val="0"/>
                                <w:sz w:val="24"/>
                                <w:highlight w:val="none"/>
                              </w:rPr>
                              <w:t>月</w:t>
                            </w:r>
                            <w:r>
                              <w:rPr>
                                <w:rFonts w:hint="eastAsia" w:ascii="仿宋_GB2312" w:hAnsi="仿宋_GB2312" w:eastAsia="仿宋_GB2312" w:cs="仿宋_GB2312"/>
                                <w:b w:val="0"/>
                                <w:bCs w:val="0"/>
                                <w:color w:val="auto"/>
                                <w:kern w:val="0"/>
                                <w:sz w:val="24"/>
                                <w:highlight w:val="none"/>
                                <w:lang w:val="en-US" w:eastAsia="zh-CN"/>
                              </w:rPr>
                              <w:t>29</w:t>
                            </w:r>
                            <w:r>
                              <w:rPr>
                                <w:rFonts w:hint="eastAsia" w:ascii="仿宋_GB2312" w:hAnsi="仿宋_GB2312" w:eastAsia="仿宋_GB2312" w:cs="仿宋_GB2312"/>
                                <w:b w:val="0"/>
                                <w:bCs w:val="0"/>
                                <w:color w:val="auto"/>
                                <w:kern w:val="0"/>
                                <w:sz w:val="24"/>
                                <w:highlight w:val="none"/>
                              </w:rPr>
                              <w:t>日</w:t>
                            </w:r>
                            <w:r>
                              <w:rPr>
                                <w:rFonts w:hint="eastAsia" w:ascii="仿宋_GB2312" w:hAnsi="仿宋_GB2312" w:eastAsia="仿宋_GB2312" w:cs="仿宋_GB2312"/>
                                <w:b w:val="0"/>
                                <w:bCs w:val="0"/>
                                <w:color w:val="auto"/>
                                <w:kern w:val="0"/>
                                <w:sz w:val="24"/>
                                <w:highlight w:val="none"/>
                                <w:lang w:val="en-US" w:eastAsia="zh-CN"/>
                              </w:rPr>
                              <w:t>14</w:t>
                            </w:r>
                            <w:r>
                              <w:rPr>
                                <w:rFonts w:hint="eastAsia" w:ascii="仿宋_GB2312" w:hAnsi="仿宋_GB2312" w:eastAsia="仿宋_GB2312" w:cs="仿宋_GB2312"/>
                                <w:b w:val="0"/>
                                <w:bCs w:val="0"/>
                                <w:color w:val="auto"/>
                                <w:kern w:val="0"/>
                                <w:sz w:val="24"/>
                                <w:highlight w:val="none"/>
                              </w:rPr>
                              <w:t>时</w:t>
                            </w:r>
                            <w:r>
                              <w:rPr>
                                <w:rFonts w:hint="eastAsia" w:ascii="仿宋_GB2312" w:hAnsi="仿宋_GB2312" w:eastAsia="仿宋_GB2312" w:cs="仿宋_GB2312"/>
                                <w:b w:val="0"/>
                                <w:bCs w:val="0"/>
                                <w:color w:val="auto"/>
                                <w:kern w:val="0"/>
                                <w:sz w:val="24"/>
                                <w:highlight w:val="none"/>
                                <w:lang w:val="en-US" w:eastAsia="zh-CN"/>
                              </w:rPr>
                              <w:t>30</w:t>
                            </w:r>
                            <w:r>
                              <w:rPr>
                                <w:rFonts w:hint="eastAsia" w:ascii="仿宋_GB2312" w:hAnsi="仿宋_GB2312" w:eastAsia="仿宋_GB2312" w:cs="仿宋_GB2312"/>
                                <w:b w:val="0"/>
                                <w:bCs w:val="0"/>
                                <w:color w:val="auto"/>
                                <w:kern w:val="0"/>
                                <w:sz w:val="24"/>
                                <w:highlight w:val="none"/>
                              </w:rPr>
                              <w:t>分（北京时间）</w:t>
                            </w:r>
                            <w:r>
                              <w:rPr>
                                <w:rFonts w:hint="eastAsia" w:ascii="仿宋_GB2312" w:hAnsi="仿宋_GB2312" w:eastAsia="仿宋_GB2312" w:cs="仿宋_GB2312"/>
                                <w:b w:val="0"/>
                                <w:bCs w:val="0"/>
                                <w:sz w:val="24"/>
                              </w:rPr>
                              <w:t>前递交</w:t>
                            </w:r>
                            <w:r>
                              <w:rPr>
                                <w:rFonts w:hint="eastAsia" w:ascii="仿宋_GB2312" w:hAnsi="仿宋_GB2312" w:eastAsia="仿宋_GB2312" w:cs="仿宋_GB2312"/>
                                <w:b w:val="0"/>
                                <w:bCs w:val="0"/>
                                <w:sz w:val="24"/>
                                <w:lang w:eastAsia="zh-CN"/>
                              </w:rPr>
                              <w:t>响应</w:t>
                            </w:r>
                            <w:r>
                              <w:rPr>
                                <w:rFonts w:hint="eastAsia" w:ascii="仿宋_GB2312" w:hAnsi="仿宋_GB2312" w:eastAsia="仿宋_GB2312" w:cs="仿宋_GB2312"/>
                                <w:b w:val="0"/>
                                <w:bCs w:val="0"/>
                                <w:sz w:val="24"/>
                              </w:rPr>
                              <w:t>文件。</w:t>
                            </w:r>
                          </w:p>
                        </w:txbxContent>
                      </wps:txbx>
                      <wps:bodyPr upright="1"/>
                    </wps:wsp>
                  </a:graphicData>
                </a:graphic>
              </wp:anchor>
            </w:drawing>
          </mc:Choice>
          <mc:Fallback>
            <w:pict>
              <v:rect id="_x0000_s1026" o:spid="_x0000_s1026" o:spt="1" style="position:absolute;left:0pt;margin-left:-28.6pt;margin-top:6.55pt;height:99.5pt;width:467.95pt;z-index:251659264;mso-width-relative:page;mso-height-relative:page;" fillcolor="#FFFFFF" filled="t" stroked="t" coordsize="21600,21600" o:gfxdata="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DxHjYAAAACgEAAA8AAAAAAAAAAQAgAAAAIgAAAGRy&#10;cy9kb3ducmV2LnhtbFBLAQIUABQAAAAIAIdO4kAeS8r7BQIAACoEAAAOAAAAAAAAAAEAIAAAACcB&#10;AABkcnMvZTJvRG9jLnhtbFBLBQYAAAAABgAGAFkBAACeBQAAAAA=&#10;">
                <v:fill on="t" focussize="0,0"/>
                <v:stroke color="#000000" joinstyle="miter"/>
                <v:imagedata o:title=""/>
                <o:lock v:ext="edit" aspectratio="f"/>
                <v:textbox>
                  <w:txbxContent>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u w:val="none"/>
                          <w:lang w:eastAsia="zh-CN"/>
                        </w:rPr>
                      </w:pPr>
                      <w:r>
                        <w:rPr>
                          <w:rFonts w:hint="eastAsia" w:ascii="仿宋_GB2312" w:hAnsi="仿宋_GB2312" w:eastAsia="仿宋_GB2312" w:cs="仿宋_GB2312"/>
                          <w:b/>
                          <w:bCs/>
                          <w:color w:val="auto"/>
                          <w:sz w:val="24"/>
                          <w:u w:val="none"/>
                          <w:lang w:eastAsia="zh-CN"/>
                        </w:rPr>
                        <w:t>项目概况</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pPr>
                      <w:r>
                        <w:rPr>
                          <w:rFonts w:hint="eastAsia" w:ascii="仿宋_GB2312" w:hAnsi="仿宋_GB2312" w:eastAsia="仿宋_GB2312" w:cs="仿宋_GB2312"/>
                          <w:b w:val="0"/>
                          <w:bCs w:val="0"/>
                          <w:sz w:val="24"/>
                          <w:highlight w:val="none"/>
                        </w:rPr>
                        <w:fldChar w:fldCharType="begin"/>
                      </w:r>
                      <w:r>
                        <w:rPr>
                          <w:rFonts w:hint="eastAsia" w:ascii="仿宋_GB2312" w:hAnsi="仿宋_GB2312" w:eastAsia="仿宋_GB2312" w:cs="仿宋_GB2312"/>
                          <w:b w:val="0"/>
                          <w:bCs w:val="0"/>
                          <w:sz w:val="24"/>
                          <w:highlight w:val="none"/>
                        </w:rPr>
                        <w:instrText xml:space="preserve"> HYPERLINK "mailto:第八届丝绸之路国际艺术节境外剧目展播项目潜在的供应商应可在电子邮箱361336174@qq.com" </w:instrText>
                      </w:r>
                      <w:r>
                        <w:rPr>
                          <w:rFonts w:hint="eastAsia" w:ascii="仿宋_GB2312" w:hAnsi="仿宋_GB2312" w:eastAsia="仿宋_GB2312" w:cs="仿宋_GB2312"/>
                          <w:b w:val="0"/>
                          <w:bCs w:val="0"/>
                          <w:sz w:val="24"/>
                          <w:highlight w:val="none"/>
                        </w:rPr>
                        <w:fldChar w:fldCharType="separate"/>
                      </w:r>
                      <w:r>
                        <w:rPr>
                          <w:rFonts w:hint="eastAsia" w:ascii="仿宋_GB2312" w:hAnsi="仿宋_GB2312" w:eastAsia="仿宋_GB2312" w:cs="仿宋_GB2312"/>
                          <w:b w:val="0"/>
                          <w:bCs w:val="0"/>
                          <w:sz w:val="24"/>
                          <w:highlight w:val="none"/>
                          <w:lang w:eastAsia="zh-CN"/>
                        </w:rPr>
                        <w:t>第八届丝绸之路国际艺术节国际剧目展播项目</w:t>
                      </w:r>
                      <w:r>
                        <w:rPr>
                          <w:rFonts w:hint="eastAsia" w:ascii="仿宋_GB2312" w:hAnsi="仿宋_GB2312" w:eastAsia="仿宋_GB2312" w:cs="仿宋_GB2312"/>
                          <w:b w:val="0"/>
                          <w:bCs w:val="0"/>
                          <w:sz w:val="24"/>
                          <w:highlight w:val="none"/>
                        </w:rPr>
                        <w:t>潜在的</w:t>
                      </w:r>
                      <w:r>
                        <w:rPr>
                          <w:rFonts w:hint="eastAsia" w:ascii="仿宋_GB2312" w:hAnsi="仿宋_GB2312" w:eastAsia="仿宋_GB2312" w:cs="仿宋_GB2312"/>
                          <w:b w:val="0"/>
                          <w:bCs w:val="0"/>
                          <w:sz w:val="24"/>
                          <w:highlight w:val="none"/>
                          <w:lang w:eastAsia="zh-CN"/>
                        </w:rPr>
                        <w:t>供应商应</w:t>
                      </w:r>
                      <w:r>
                        <w:rPr>
                          <w:rFonts w:hint="eastAsia" w:ascii="仿宋_GB2312" w:hAnsi="仿宋_GB2312" w:eastAsia="仿宋_GB2312" w:cs="仿宋_GB2312"/>
                          <w:b w:val="0"/>
                          <w:bCs w:val="0"/>
                          <w:sz w:val="24"/>
                          <w:highlight w:val="none"/>
                        </w:rPr>
                        <w:t>可在</w:t>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u w:val="single"/>
                        </w:rPr>
                        <w:t>电子邮箱</w:t>
                      </w:r>
                      <w:r>
                        <w:rPr>
                          <w:rFonts w:hint="eastAsia" w:ascii="仿宋_GB2312" w:hAnsi="仿宋_GB2312" w:eastAsia="仿宋_GB2312" w:cs="仿宋_GB2312"/>
                          <w:b w:val="0"/>
                          <w:bCs w:val="0"/>
                          <w:sz w:val="24"/>
                          <w:highlight w:val="none"/>
                          <w:u w:val="single"/>
                          <w:lang w:val="en-US" w:eastAsia="zh-CN"/>
                        </w:rPr>
                        <w:t>361336174@qq.com</w:t>
                      </w:r>
                      <w:r>
                        <w:rPr>
                          <w:rFonts w:hint="eastAsia" w:ascii="仿宋_GB2312" w:hAnsi="仿宋_GB2312" w:eastAsia="仿宋_GB2312" w:cs="仿宋_GB2312"/>
                          <w:b w:val="0"/>
                          <w:bCs w:val="0"/>
                          <w:sz w:val="24"/>
                          <w:highlight w:val="none"/>
                        </w:rPr>
                        <w:fldChar w:fldCharType="end"/>
                      </w:r>
                      <w:r>
                        <w:rPr>
                          <w:rFonts w:hint="eastAsia" w:ascii="仿宋_GB2312" w:hAnsi="仿宋_GB2312" w:eastAsia="仿宋_GB2312" w:cs="仿宋_GB2312"/>
                          <w:b w:val="0"/>
                          <w:bCs w:val="0"/>
                          <w:sz w:val="24"/>
                          <w:highlight w:val="none"/>
                          <w:u w:val="single"/>
                          <w:lang w:val="en-US" w:eastAsia="zh-CN"/>
                        </w:rPr>
                        <w:t xml:space="preserve"> </w:t>
                      </w:r>
                      <w:r>
                        <w:rPr>
                          <w:rFonts w:hint="eastAsia" w:ascii="仿宋_GB2312" w:hAnsi="仿宋_GB2312" w:eastAsia="仿宋_GB2312" w:cs="仿宋_GB2312"/>
                          <w:b w:val="0"/>
                          <w:bCs w:val="0"/>
                          <w:sz w:val="24"/>
                          <w:highlight w:val="none"/>
                          <w:lang w:val="en-US" w:eastAsia="zh-CN"/>
                        </w:rPr>
                        <w:fldChar w:fldCharType="begin"/>
                      </w:r>
                      <w:r>
                        <w:rPr>
                          <w:rFonts w:hint="eastAsia" w:ascii="仿宋_GB2312" w:hAnsi="仿宋_GB2312" w:eastAsia="仿宋_GB2312" w:cs="仿宋_GB2312"/>
                          <w:b w:val="0"/>
                          <w:bCs w:val="0"/>
                          <w:sz w:val="24"/>
                          <w:highlight w:val="none"/>
                          <w:lang w:val="en-US" w:eastAsia="zh-CN"/>
                        </w:rPr>
                        <w:instrText xml:space="preserve"> HYPERLINK "mailto:361336174@qq.com)招标三部获取招标文件，并于2022年" </w:instrText>
                      </w:r>
                      <w:r>
                        <w:rPr>
                          <w:rFonts w:hint="eastAsia" w:ascii="仿宋_GB2312" w:hAnsi="仿宋_GB2312" w:eastAsia="仿宋_GB2312" w:cs="仿宋_GB2312"/>
                          <w:b w:val="0"/>
                          <w:bCs w:val="0"/>
                          <w:sz w:val="24"/>
                          <w:highlight w:val="none"/>
                          <w:lang w:val="en-US" w:eastAsia="zh-CN"/>
                        </w:rPr>
                        <w:fldChar w:fldCharType="separate"/>
                      </w:r>
                      <w:r>
                        <w:rPr>
                          <w:rFonts w:hint="eastAsia" w:ascii="仿宋_GB2312" w:hAnsi="仿宋_GB2312" w:eastAsia="仿宋_GB2312" w:cs="仿宋_GB2312"/>
                          <w:b w:val="0"/>
                          <w:bCs w:val="0"/>
                          <w:sz w:val="24"/>
                          <w:highlight w:val="none"/>
                        </w:rPr>
                        <w:t>获取</w:t>
                      </w:r>
                      <w:r>
                        <w:rPr>
                          <w:rFonts w:hint="eastAsia" w:ascii="仿宋_GB2312" w:hAnsi="仿宋_GB2312" w:eastAsia="仿宋_GB2312" w:cs="仿宋_GB2312"/>
                          <w:b w:val="0"/>
                          <w:bCs w:val="0"/>
                          <w:sz w:val="24"/>
                          <w:highlight w:val="none"/>
                          <w:lang w:eastAsia="zh-CN"/>
                        </w:rPr>
                        <w:t>采购</w:t>
                      </w:r>
                      <w:r>
                        <w:rPr>
                          <w:rFonts w:hint="eastAsia" w:ascii="仿宋_GB2312" w:hAnsi="仿宋_GB2312" w:eastAsia="仿宋_GB2312" w:cs="仿宋_GB2312"/>
                          <w:b w:val="0"/>
                          <w:bCs w:val="0"/>
                          <w:sz w:val="24"/>
                          <w:highlight w:val="none"/>
                        </w:rPr>
                        <w:t>文件，并于2022年</w:t>
                      </w:r>
                      <w:r>
                        <w:rPr>
                          <w:rFonts w:hint="eastAsia" w:ascii="仿宋_GB2312" w:hAnsi="仿宋_GB2312" w:eastAsia="仿宋_GB2312" w:cs="仿宋_GB2312"/>
                          <w:b w:val="0"/>
                          <w:bCs w:val="0"/>
                          <w:sz w:val="24"/>
                          <w:highlight w:val="none"/>
                          <w:lang w:val="en-US" w:eastAsia="zh-CN"/>
                        </w:rPr>
                        <w:fldChar w:fldCharType="end"/>
                      </w:r>
                      <w:r>
                        <w:rPr>
                          <w:rFonts w:hint="eastAsia" w:ascii="仿宋_GB2312" w:hAnsi="仿宋_GB2312" w:eastAsia="仿宋_GB2312" w:cs="仿宋_GB2312"/>
                          <w:b w:val="0"/>
                          <w:bCs w:val="0"/>
                          <w:sz w:val="24"/>
                          <w:highlight w:val="none"/>
                          <w:lang w:val="en-US" w:eastAsia="zh-CN"/>
                        </w:rPr>
                        <w:t>08</w:t>
                      </w:r>
                      <w:r>
                        <w:rPr>
                          <w:rFonts w:hint="eastAsia" w:ascii="仿宋_GB2312" w:hAnsi="仿宋_GB2312" w:eastAsia="仿宋_GB2312" w:cs="仿宋_GB2312"/>
                          <w:b w:val="0"/>
                          <w:bCs w:val="0"/>
                          <w:color w:val="auto"/>
                          <w:kern w:val="0"/>
                          <w:sz w:val="24"/>
                          <w:highlight w:val="none"/>
                        </w:rPr>
                        <w:t>月</w:t>
                      </w:r>
                      <w:r>
                        <w:rPr>
                          <w:rFonts w:hint="eastAsia" w:ascii="仿宋_GB2312" w:hAnsi="仿宋_GB2312" w:eastAsia="仿宋_GB2312" w:cs="仿宋_GB2312"/>
                          <w:b w:val="0"/>
                          <w:bCs w:val="0"/>
                          <w:color w:val="auto"/>
                          <w:kern w:val="0"/>
                          <w:sz w:val="24"/>
                          <w:highlight w:val="none"/>
                          <w:lang w:val="en-US" w:eastAsia="zh-CN"/>
                        </w:rPr>
                        <w:t>29</w:t>
                      </w:r>
                      <w:r>
                        <w:rPr>
                          <w:rFonts w:hint="eastAsia" w:ascii="仿宋_GB2312" w:hAnsi="仿宋_GB2312" w:eastAsia="仿宋_GB2312" w:cs="仿宋_GB2312"/>
                          <w:b w:val="0"/>
                          <w:bCs w:val="0"/>
                          <w:color w:val="auto"/>
                          <w:kern w:val="0"/>
                          <w:sz w:val="24"/>
                          <w:highlight w:val="none"/>
                        </w:rPr>
                        <w:t>日</w:t>
                      </w:r>
                      <w:r>
                        <w:rPr>
                          <w:rFonts w:hint="eastAsia" w:ascii="仿宋_GB2312" w:hAnsi="仿宋_GB2312" w:eastAsia="仿宋_GB2312" w:cs="仿宋_GB2312"/>
                          <w:b w:val="0"/>
                          <w:bCs w:val="0"/>
                          <w:color w:val="auto"/>
                          <w:kern w:val="0"/>
                          <w:sz w:val="24"/>
                          <w:highlight w:val="none"/>
                          <w:lang w:val="en-US" w:eastAsia="zh-CN"/>
                        </w:rPr>
                        <w:t>14</w:t>
                      </w:r>
                      <w:r>
                        <w:rPr>
                          <w:rFonts w:hint="eastAsia" w:ascii="仿宋_GB2312" w:hAnsi="仿宋_GB2312" w:eastAsia="仿宋_GB2312" w:cs="仿宋_GB2312"/>
                          <w:b w:val="0"/>
                          <w:bCs w:val="0"/>
                          <w:color w:val="auto"/>
                          <w:kern w:val="0"/>
                          <w:sz w:val="24"/>
                          <w:highlight w:val="none"/>
                        </w:rPr>
                        <w:t>时</w:t>
                      </w:r>
                      <w:r>
                        <w:rPr>
                          <w:rFonts w:hint="eastAsia" w:ascii="仿宋_GB2312" w:hAnsi="仿宋_GB2312" w:eastAsia="仿宋_GB2312" w:cs="仿宋_GB2312"/>
                          <w:b w:val="0"/>
                          <w:bCs w:val="0"/>
                          <w:color w:val="auto"/>
                          <w:kern w:val="0"/>
                          <w:sz w:val="24"/>
                          <w:highlight w:val="none"/>
                          <w:lang w:val="en-US" w:eastAsia="zh-CN"/>
                        </w:rPr>
                        <w:t>30</w:t>
                      </w:r>
                      <w:r>
                        <w:rPr>
                          <w:rFonts w:hint="eastAsia" w:ascii="仿宋_GB2312" w:hAnsi="仿宋_GB2312" w:eastAsia="仿宋_GB2312" w:cs="仿宋_GB2312"/>
                          <w:b w:val="0"/>
                          <w:bCs w:val="0"/>
                          <w:color w:val="auto"/>
                          <w:kern w:val="0"/>
                          <w:sz w:val="24"/>
                          <w:highlight w:val="none"/>
                        </w:rPr>
                        <w:t>分（北京时间）</w:t>
                      </w:r>
                      <w:r>
                        <w:rPr>
                          <w:rFonts w:hint="eastAsia" w:ascii="仿宋_GB2312" w:hAnsi="仿宋_GB2312" w:eastAsia="仿宋_GB2312" w:cs="仿宋_GB2312"/>
                          <w:b w:val="0"/>
                          <w:bCs w:val="0"/>
                          <w:sz w:val="24"/>
                        </w:rPr>
                        <w:t>前递交</w:t>
                      </w:r>
                      <w:r>
                        <w:rPr>
                          <w:rFonts w:hint="eastAsia" w:ascii="仿宋_GB2312" w:hAnsi="仿宋_GB2312" w:eastAsia="仿宋_GB2312" w:cs="仿宋_GB2312"/>
                          <w:b w:val="0"/>
                          <w:bCs w:val="0"/>
                          <w:sz w:val="24"/>
                          <w:lang w:eastAsia="zh-CN"/>
                        </w:rPr>
                        <w:t>响应</w:t>
                      </w:r>
                      <w:r>
                        <w:rPr>
                          <w:rFonts w:hint="eastAsia" w:ascii="仿宋_GB2312" w:hAnsi="仿宋_GB2312" w:eastAsia="仿宋_GB2312" w:cs="仿宋_GB2312"/>
                          <w:b w:val="0"/>
                          <w:bCs w:val="0"/>
                          <w:sz w:val="24"/>
                        </w:rPr>
                        <w:t>文件。</w:t>
                      </w:r>
                    </w:p>
                  </w:txbxContent>
                </v:textbox>
              </v:rect>
            </w:pict>
          </mc:Fallback>
        </mc:AlternateContent>
      </w:r>
    </w:p>
    <w:p>
      <w:pPr>
        <w:shd w:val="clear" w:color="auto" w:fill="auto"/>
        <w:spacing w:line="520" w:lineRule="exact"/>
        <w:rPr>
          <w:rFonts w:hint="eastAsia" w:ascii="仿宋_GB2312" w:hAnsi="仿宋_GB2312" w:eastAsia="仿宋_GB2312" w:cs="仿宋_GB2312"/>
          <w:color w:val="auto"/>
          <w:sz w:val="24"/>
          <w:u w:val="none"/>
          <w:lang w:eastAsia="zh-CN"/>
        </w:rPr>
      </w:pPr>
    </w:p>
    <w:p>
      <w:pPr>
        <w:shd w:val="clear" w:color="auto" w:fill="auto"/>
        <w:spacing w:line="520" w:lineRule="exact"/>
        <w:rPr>
          <w:rFonts w:hint="eastAsia" w:ascii="仿宋_GB2312" w:hAnsi="仿宋_GB2312" w:eastAsia="仿宋_GB2312" w:cs="仿宋_GB2312"/>
          <w:color w:val="auto"/>
          <w:sz w:val="24"/>
          <w:u w:val="none"/>
          <w:lang w:eastAsia="zh-CN"/>
        </w:rPr>
      </w:pPr>
    </w:p>
    <w:p>
      <w:pPr>
        <w:shd w:val="clear" w:color="auto" w:fill="auto"/>
        <w:spacing w:line="520" w:lineRule="exact"/>
        <w:rPr>
          <w:rFonts w:hint="eastAsia" w:ascii="仿宋_GB2312" w:hAnsi="仿宋_GB2312" w:eastAsia="仿宋_GB2312" w:cs="仿宋_GB2312"/>
          <w:color w:val="auto"/>
          <w:sz w:val="24"/>
          <w:u w:val="none"/>
          <w:lang w:eastAsia="zh-CN"/>
        </w:rPr>
      </w:pPr>
    </w:p>
    <w:p>
      <w:pPr>
        <w:spacing w:line="520" w:lineRule="exact"/>
        <w:rPr>
          <w:rFonts w:hint="eastAsia" w:ascii="仿宋_GB2312" w:hAnsi="仿宋_GB2312" w:eastAsia="仿宋_GB2312" w:cs="仿宋_GB2312"/>
          <w:color w:val="auto"/>
          <w:sz w:val="24"/>
          <w:u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rPr>
      </w:pPr>
      <w:bookmarkStart w:id="20" w:name="_Toc3262"/>
      <w:r>
        <w:rPr>
          <w:rFonts w:hint="eastAsia" w:ascii="仿宋_GB2312" w:hAnsi="仿宋_GB2312" w:eastAsia="仿宋_GB2312" w:cs="仿宋_GB2312"/>
          <w:b/>
          <w:bCs/>
          <w:sz w:val="24"/>
        </w:rPr>
        <w:t>一、项目基本情况：</w:t>
      </w:r>
      <w:bookmarkEnd w:id="20"/>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项目编号：SCZC2022-CS-1818/001</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eastAsia="zh-CN"/>
        </w:rPr>
        <w:t>第八届丝绸之路国际艺术节国际剧目展播项目</w:t>
      </w:r>
      <w:r>
        <w:rPr>
          <w:rFonts w:hint="eastAsia" w:ascii="仿宋_GB2312" w:hAnsi="仿宋_GB2312" w:eastAsia="仿宋_GB2312" w:cs="仿宋_GB2312"/>
          <w:kern w:val="0"/>
          <w:sz w:val="24"/>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预算金额：</w:t>
      </w:r>
      <w:r>
        <w:rPr>
          <w:rFonts w:hint="eastAsia" w:ascii="仿宋_GB2312" w:hAnsi="仿宋_GB2312" w:eastAsia="仿宋_GB2312" w:cs="仿宋_GB2312"/>
          <w:kern w:val="0"/>
          <w:sz w:val="24"/>
          <w:lang w:val="en-US" w:eastAsia="zh-CN"/>
        </w:rPr>
        <w:t>820000.00</w:t>
      </w:r>
      <w:r>
        <w:rPr>
          <w:rFonts w:hint="eastAsia" w:ascii="仿宋_GB2312" w:hAnsi="仿宋_GB2312" w:eastAsia="仿宋_GB2312" w:cs="仿宋_GB2312"/>
          <w:kern w:val="0"/>
          <w:sz w:val="24"/>
        </w:rPr>
        <w:t>元</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采购需求：</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合同包1(</w:t>
      </w:r>
      <w:r>
        <w:rPr>
          <w:rFonts w:hint="eastAsia" w:ascii="仿宋_GB2312" w:hAnsi="仿宋_GB2312" w:eastAsia="仿宋_GB2312" w:cs="仿宋_GB2312"/>
          <w:kern w:val="0"/>
          <w:sz w:val="24"/>
          <w:lang w:eastAsia="zh-CN"/>
        </w:rPr>
        <w:t>第八届丝绸之路国际艺术节国际剧目展播项目</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rPr>
        <w:t>合同包</w:t>
      </w:r>
      <w:r>
        <w:rPr>
          <w:rFonts w:hint="eastAsia" w:ascii="仿宋_GB2312" w:hAnsi="仿宋_GB2312" w:eastAsia="仿宋_GB2312" w:cs="仿宋_GB2312"/>
          <w:kern w:val="0"/>
          <w:sz w:val="24"/>
          <w:highlight w:val="none"/>
        </w:rPr>
        <w:t>预算金额：</w:t>
      </w:r>
      <w:r>
        <w:rPr>
          <w:rFonts w:hint="eastAsia" w:ascii="仿宋_GB2312" w:hAnsi="仿宋_GB2312" w:eastAsia="仿宋_GB2312" w:cs="仿宋_GB2312"/>
          <w:kern w:val="0"/>
          <w:sz w:val="24"/>
          <w:highlight w:val="none"/>
          <w:lang w:val="en-US" w:eastAsia="zh-CN"/>
        </w:rPr>
        <w:t>820000</w:t>
      </w:r>
      <w:r>
        <w:rPr>
          <w:rFonts w:hint="eastAsia" w:ascii="仿宋_GB2312" w:hAnsi="仿宋_GB2312" w:eastAsia="仿宋_GB2312" w:cs="仿宋_GB2312"/>
          <w:kern w:val="0"/>
          <w:sz w:val="24"/>
          <w:highlight w:val="none"/>
        </w:rPr>
        <w:t>.00元</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合同包最高限价：</w:t>
      </w:r>
      <w:r>
        <w:rPr>
          <w:rFonts w:hint="eastAsia" w:ascii="仿宋_GB2312" w:hAnsi="仿宋_GB2312" w:eastAsia="仿宋_GB2312" w:cs="仿宋_GB2312"/>
          <w:kern w:val="0"/>
          <w:sz w:val="24"/>
          <w:highlight w:val="none"/>
          <w:lang w:val="en-US" w:eastAsia="zh-CN"/>
        </w:rPr>
        <w:t>820000</w:t>
      </w:r>
      <w:r>
        <w:rPr>
          <w:rFonts w:hint="eastAsia" w:ascii="仿宋_GB2312" w:hAnsi="仿宋_GB2312" w:eastAsia="仿宋_GB2312" w:cs="仿宋_GB2312"/>
          <w:kern w:val="0"/>
          <w:sz w:val="24"/>
          <w:highlight w:val="none"/>
        </w:rPr>
        <w:t>.00元</w:t>
      </w:r>
    </w:p>
    <w:tbl>
      <w:tblPr>
        <w:tblStyle w:val="50"/>
        <w:tblW w:w="9381" w:type="dxa"/>
        <w:jc w:val="center"/>
        <w:tblLayout w:type="fixed"/>
        <w:tblCellMar>
          <w:top w:w="0" w:type="dxa"/>
          <w:left w:w="0" w:type="dxa"/>
          <w:bottom w:w="0" w:type="dxa"/>
          <w:right w:w="0" w:type="dxa"/>
        </w:tblCellMar>
      </w:tblPr>
      <w:tblGrid>
        <w:gridCol w:w="766"/>
        <w:gridCol w:w="830"/>
        <w:gridCol w:w="2170"/>
        <w:gridCol w:w="1125"/>
        <w:gridCol w:w="1709"/>
        <w:gridCol w:w="1443"/>
        <w:gridCol w:w="1338"/>
      </w:tblGrid>
      <w:tr>
        <w:tblPrEx>
          <w:tblCellMar>
            <w:top w:w="0" w:type="dxa"/>
            <w:left w:w="0" w:type="dxa"/>
            <w:bottom w:w="0" w:type="dxa"/>
            <w:right w:w="0" w:type="dxa"/>
          </w:tblCellMar>
        </w:tblPrEx>
        <w:trPr>
          <w:trHeight w:val="876" w:hRule="atLeast"/>
          <w:tblHeader/>
          <w:jc w:val="cent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品目号</w:t>
            </w:r>
          </w:p>
        </w:tc>
        <w:tc>
          <w:tcPr>
            <w:tcW w:w="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品目</w:t>
            </w:r>
          </w:p>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名称</w:t>
            </w:r>
          </w:p>
        </w:tc>
        <w:tc>
          <w:tcPr>
            <w:tcW w:w="2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数量（单位）</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技术规格、参数及要求</w:t>
            </w:r>
          </w:p>
        </w:tc>
        <w:tc>
          <w:tcPr>
            <w:tcW w:w="14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品目预算(元)</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最高限价(元)</w:t>
            </w:r>
          </w:p>
        </w:tc>
      </w:tr>
      <w:tr>
        <w:tblPrEx>
          <w:tblCellMar>
            <w:top w:w="0" w:type="dxa"/>
            <w:left w:w="0" w:type="dxa"/>
            <w:bottom w:w="0" w:type="dxa"/>
            <w:right w:w="0" w:type="dxa"/>
          </w:tblCellMar>
        </w:tblPrEx>
        <w:trPr>
          <w:trHeight w:val="648" w:hRule="atLeast"/>
          <w:jc w:val="cent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1-1</w:t>
            </w:r>
          </w:p>
        </w:tc>
        <w:tc>
          <w:tcPr>
            <w:tcW w:w="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其他文化艺术服务</w:t>
            </w:r>
          </w:p>
        </w:tc>
        <w:tc>
          <w:tcPr>
            <w:tcW w:w="2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第八届丝绸之路国际艺术节国际剧目展播项目</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1(项)</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详见磋商文件</w:t>
            </w:r>
          </w:p>
        </w:tc>
        <w:tc>
          <w:tcPr>
            <w:tcW w:w="14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820000</w:t>
            </w:r>
            <w:r>
              <w:rPr>
                <w:rFonts w:hint="eastAsia" w:ascii="仿宋_GB2312" w:hAnsi="仿宋_GB2312" w:eastAsia="仿宋_GB2312" w:cs="仿宋_GB2312"/>
                <w:color w:val="auto"/>
                <w:kern w:val="0"/>
                <w:sz w:val="24"/>
                <w:szCs w:val="24"/>
                <w:highlight w:val="none"/>
              </w:rPr>
              <w:t>.00</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righ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820000</w:t>
            </w:r>
            <w:r>
              <w:rPr>
                <w:rFonts w:hint="eastAsia" w:ascii="仿宋_GB2312" w:hAnsi="仿宋_GB2312" w:eastAsia="仿宋_GB2312" w:cs="仿宋_GB2312"/>
                <w:color w:val="auto"/>
                <w:kern w:val="0"/>
                <w:sz w:val="24"/>
                <w:szCs w:val="24"/>
                <w:highlight w:val="none"/>
              </w:rPr>
              <w:t>.00</w:t>
            </w:r>
          </w:p>
        </w:tc>
      </w:tr>
    </w:tbl>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本合同包不接受联合体投标</w:t>
      </w:r>
    </w:p>
    <w:p>
      <w:pPr>
        <w:keepNext w:val="0"/>
        <w:keepLines w:val="0"/>
        <w:pageBreakBefore w:val="0"/>
        <w:widowControl/>
        <w:kinsoku/>
        <w:wordWrap/>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合同履行期限：</w:t>
      </w:r>
      <w:r>
        <w:rPr>
          <w:rFonts w:hint="eastAsia" w:ascii="仿宋_GB2312" w:hAnsi="仿宋_GB2312" w:eastAsia="仿宋_GB2312" w:cs="仿宋_GB2312"/>
          <w:color w:val="auto"/>
          <w:sz w:val="24"/>
          <w:szCs w:val="24"/>
          <w:highlight w:val="none"/>
        </w:rPr>
        <w:t>2022年9月17</w:t>
      </w:r>
      <w:r>
        <w:rPr>
          <w:rFonts w:hint="eastAsia" w:ascii="仿宋_GB2312" w:hAnsi="仿宋_GB2312" w:eastAsia="仿宋_GB2312" w:cs="仿宋_GB2312"/>
          <w:color w:val="auto"/>
          <w:sz w:val="24"/>
          <w:szCs w:val="24"/>
          <w:highlight w:val="none"/>
          <w:lang w:eastAsia="zh-Hans"/>
        </w:rPr>
        <w:t>日</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2022年9月25</w:t>
      </w:r>
      <w:r>
        <w:rPr>
          <w:rFonts w:hint="eastAsia" w:ascii="仿宋_GB2312" w:hAnsi="仿宋_GB2312" w:eastAsia="仿宋_GB2312" w:cs="仿宋_GB2312"/>
          <w:color w:val="auto"/>
          <w:sz w:val="24"/>
          <w:szCs w:val="24"/>
          <w:highlight w:val="none"/>
          <w:lang w:eastAsia="zh-Hans"/>
        </w:rPr>
        <w:t>日（具体服务起止日期可随合同签订时间相应顺延）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二、响应供应商的资格要求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kern w:val="0"/>
          <w:sz w:val="24"/>
          <w:highlight w:val="none"/>
          <w:lang w:val="en-US" w:eastAsia="zh-CN"/>
        </w:rPr>
        <w:t>.</w:t>
      </w:r>
      <w:r>
        <w:rPr>
          <w:rFonts w:hint="eastAsia" w:ascii="仿宋_GB2312" w:hAnsi="仿宋_GB2312" w:eastAsia="仿宋_GB2312" w:cs="仿宋_GB2312"/>
          <w:kern w:val="0"/>
          <w:sz w:val="24"/>
          <w:highlight w:val="none"/>
        </w:rPr>
        <w:t>满足《中华人民共和国政府采购法》第二十二条规定；</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eastAsia="仿宋_GB2312"/>
          <w:kern w:val="0"/>
          <w:sz w:val="24"/>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kern w:val="0"/>
          <w:sz w:val="24"/>
          <w:highlight w:val="none"/>
          <w:lang w:val="en-US" w:eastAsia="zh-CN"/>
        </w:rPr>
        <w:t>.</w:t>
      </w:r>
      <w:r>
        <w:rPr>
          <w:rFonts w:hint="eastAsia" w:ascii="仿宋_GB2312" w:hAnsi="仿宋_GB2312" w:eastAsia="仿宋_GB2312" w:cs="仿宋_GB2312"/>
          <w:kern w:val="0"/>
          <w:sz w:val="24"/>
          <w:highlight w:val="none"/>
        </w:rPr>
        <w:t>落实政府采购政策需满足的资格要求：</w:t>
      </w:r>
      <w:r>
        <w:rPr>
          <w:rFonts w:eastAsia="仿宋_GB2312"/>
          <w:kern w:val="0"/>
          <w:sz w:val="24"/>
        </w:rPr>
        <w:t>本项目为专门面向中小企业的项目，供应商应为中小微企业、监狱企业或残疾人福利性单位。</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本项目的特定资格要求：</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供应商在递交响应文件截止时间前被“信用中国”网站（www.creditchina.gov.cn）和“中国政府采购网”（www.ccgp.gov.cn）上被列入失信被执行人、重大税收违法失信主体、政府采购严重违法失信行为记录名单的，不得参加磋商；</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3.2供应商应授权合法的人员参加投标，其中法定代表人直接参加的须出具法人身份证并与营业执照上信息一致，法定代表人授权代表参加的须出具法定代表人授权书及被授权人本单位证明（社保或劳动合同）；</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3.3供应商不得存在下列情形之一：</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（1）单位负责人为同一人或者存在直接控股、管理关系的不同供应商，不得参加本次采购活动；</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（2）为本项目提供整体设计、规范编制或者项目管理、监理、检测等服务的供应商，不得再参加该采购项目的其他采购活动。</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三、采购文件的获取方式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时间：2022年</w:t>
      </w:r>
      <w:r>
        <w:rPr>
          <w:rFonts w:hint="eastAsia" w:ascii="仿宋_GB2312" w:hAnsi="仿宋_GB2312" w:eastAsia="仿宋_GB2312" w:cs="仿宋_GB2312"/>
          <w:kern w:val="0"/>
          <w:sz w:val="24"/>
          <w:lang w:val="en-US" w:eastAsia="zh-CN"/>
        </w:rPr>
        <w:t>08</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18</w:t>
      </w:r>
      <w:r>
        <w:rPr>
          <w:rFonts w:hint="eastAsia" w:ascii="仿宋_GB2312" w:hAnsi="仿宋_GB2312" w:eastAsia="仿宋_GB2312" w:cs="仿宋_GB2312"/>
          <w:kern w:val="0"/>
          <w:sz w:val="24"/>
        </w:rPr>
        <w:t>日至2022年</w:t>
      </w:r>
      <w:r>
        <w:rPr>
          <w:rFonts w:hint="eastAsia" w:ascii="仿宋_GB2312" w:hAnsi="仿宋_GB2312" w:eastAsia="仿宋_GB2312" w:cs="仿宋_GB2312"/>
          <w:kern w:val="0"/>
          <w:sz w:val="24"/>
          <w:lang w:val="en-US" w:eastAsia="zh-CN"/>
        </w:rPr>
        <w:t>08</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日，每天上午08:00:00至12:00:00，下午14:00:00至18:00:00（北京时间,法定节假日除外）</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地点：</w:t>
      </w:r>
      <w:r>
        <w:rPr>
          <w:rFonts w:hint="eastAsia" w:ascii="仿宋_GB2312" w:hAnsi="仿宋_GB2312" w:eastAsia="仿宋_GB2312" w:cs="仿宋_GB2312"/>
          <w:sz w:val="24"/>
        </w:rPr>
        <w:t>线上(电子邮箱：361336174@qq.com)</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方式：</w:t>
      </w:r>
      <w:r>
        <w:rPr>
          <w:rFonts w:hint="eastAsia" w:ascii="仿宋_GB2312" w:hAnsi="仿宋_GB2312" w:eastAsia="仿宋_GB2312" w:cs="仿宋_GB2312"/>
          <w:sz w:val="24"/>
        </w:rPr>
        <w:t>线上获取</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售价：每套</w:t>
      </w:r>
      <w:r>
        <w:rPr>
          <w:rFonts w:hint="eastAsia" w:ascii="仿宋_GB2312" w:hAnsi="仿宋_GB2312" w:eastAsia="仿宋_GB2312" w:cs="仿宋_GB2312"/>
          <w:kern w:val="0"/>
          <w:sz w:val="24"/>
          <w:lang w:val="en-US" w:eastAsia="zh-CN"/>
        </w:rPr>
        <w:t>500</w:t>
      </w:r>
      <w:r>
        <w:rPr>
          <w:rFonts w:hint="eastAsia" w:ascii="仿宋_GB2312" w:hAnsi="仿宋_GB2312" w:eastAsia="仿宋_GB2312" w:cs="仿宋_GB2312"/>
          <w:kern w:val="0"/>
          <w:sz w:val="24"/>
        </w:rPr>
        <w:t>元（人民币），售后不退</w:t>
      </w:r>
      <w:r>
        <w:rPr>
          <w:rFonts w:hint="eastAsia" w:ascii="仿宋_GB2312" w:hAnsi="仿宋_GB2312" w:eastAsia="仿宋_GB2312" w:cs="仿宋_GB2312"/>
          <w:kern w:val="0"/>
          <w:sz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注：在采购文件获取时间内通过电子邮箱发送电子版资料的方式获取竞争性磋商文件，请将单位介绍信、身份证复印件加盖公章发至</w:t>
      </w:r>
      <w:r>
        <w:rPr>
          <w:rFonts w:hint="eastAsia" w:ascii="仿宋_GB2312" w:hAnsi="仿宋_GB2312" w:eastAsia="仿宋_GB2312" w:cs="仿宋_GB2312"/>
          <w:kern w:val="0"/>
          <w:sz w:val="24"/>
          <w:lang w:val="en-US" w:eastAsia="zh-CN"/>
        </w:rPr>
        <w:t>361336174</w:t>
      </w:r>
      <w:r>
        <w:rPr>
          <w:rFonts w:hint="eastAsia" w:ascii="仿宋_GB2312" w:hAnsi="仿宋_GB2312" w:eastAsia="仿宋_GB2312" w:cs="仿宋_GB2312"/>
          <w:kern w:val="0"/>
          <w:sz w:val="24"/>
        </w:rPr>
        <w:t>@qq.com邮箱，邮箱标题请以项目名称-单位名称-联系人-联系电话的方式命名。</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四、响应文件递交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截止时间：2022年</w:t>
      </w:r>
      <w:r>
        <w:rPr>
          <w:rFonts w:hint="eastAsia" w:ascii="仿宋_GB2312" w:hAnsi="仿宋_GB2312" w:eastAsia="仿宋_GB2312" w:cs="仿宋_GB2312"/>
          <w:kern w:val="0"/>
          <w:sz w:val="24"/>
          <w:lang w:val="en-US" w:eastAsia="zh-CN"/>
        </w:rPr>
        <w:t>08</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29</w:t>
      </w:r>
      <w:r>
        <w:rPr>
          <w:rFonts w:hint="eastAsia" w:ascii="仿宋_GB2312" w:hAnsi="仿宋_GB2312" w:eastAsia="仿宋_GB2312" w:cs="仿宋_GB2312"/>
          <w:kern w:val="0"/>
          <w:sz w:val="24"/>
        </w:rPr>
        <w:t>日</w:t>
      </w:r>
      <w:r>
        <w:rPr>
          <w:rFonts w:hint="eastAsia" w:ascii="仿宋_GB2312" w:hAnsi="仿宋_GB2312" w:eastAsia="仿宋_GB2312" w:cs="仿宋_GB2312"/>
          <w:kern w:val="0"/>
          <w:sz w:val="24"/>
          <w:lang w:val="en-US" w:eastAsia="zh-CN"/>
        </w:rPr>
        <w:t>14</w:t>
      </w:r>
      <w:r>
        <w:rPr>
          <w:rFonts w:hint="eastAsia" w:ascii="仿宋_GB2312" w:hAnsi="仿宋_GB2312" w:eastAsia="仿宋_GB2312" w:cs="仿宋_GB2312"/>
          <w:kern w:val="0"/>
          <w:sz w:val="24"/>
        </w:rPr>
        <w:t>时</w:t>
      </w:r>
      <w:r>
        <w:rPr>
          <w:rFonts w:hint="eastAsia" w:ascii="仿宋_GB2312" w:hAnsi="仿宋_GB2312" w:eastAsia="仿宋_GB2312" w:cs="仿宋_GB2312"/>
          <w:kern w:val="0"/>
          <w:sz w:val="24"/>
          <w:lang w:val="en-US" w:eastAsia="zh-CN"/>
        </w:rPr>
        <w:t>30</w:t>
      </w:r>
      <w:r>
        <w:rPr>
          <w:rFonts w:hint="eastAsia" w:ascii="仿宋_GB2312" w:hAnsi="仿宋_GB2312" w:eastAsia="仿宋_GB2312" w:cs="仿宋_GB2312"/>
          <w:kern w:val="0"/>
          <w:sz w:val="24"/>
        </w:rPr>
        <w:t>分00秒（北京时间）</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地点：西安市高新二路2号山西证券大厦</w:t>
      </w:r>
      <w:r>
        <w:rPr>
          <w:rFonts w:hint="eastAsia" w:ascii="仿宋_GB2312" w:hAnsi="仿宋_GB2312" w:eastAsia="仿宋_GB2312" w:cs="仿宋_GB2312"/>
          <w:kern w:val="0"/>
          <w:sz w:val="24"/>
          <w:lang w:val="en-US" w:eastAsia="zh-CN"/>
        </w:rPr>
        <w:t>21</w:t>
      </w:r>
      <w:r>
        <w:rPr>
          <w:rFonts w:hint="eastAsia" w:ascii="仿宋_GB2312" w:hAnsi="仿宋_GB2312" w:eastAsia="仿宋_GB2312" w:cs="仿宋_GB2312"/>
          <w:kern w:val="0"/>
          <w:sz w:val="24"/>
        </w:rPr>
        <w:t>层第</w:t>
      </w:r>
      <w:r>
        <w:rPr>
          <w:rFonts w:hint="eastAsia" w:ascii="仿宋_GB2312" w:hAnsi="仿宋_GB2312" w:eastAsia="仿宋_GB2312" w:cs="仿宋_GB2312"/>
          <w:kern w:val="0"/>
          <w:sz w:val="24"/>
          <w:lang w:eastAsia="zh-CN"/>
        </w:rPr>
        <w:t>九</w:t>
      </w:r>
      <w:r>
        <w:rPr>
          <w:rFonts w:hint="eastAsia" w:ascii="仿宋_GB2312" w:hAnsi="仿宋_GB2312" w:eastAsia="仿宋_GB2312" w:cs="仿宋_GB2312"/>
          <w:kern w:val="0"/>
          <w:sz w:val="24"/>
        </w:rPr>
        <w:t xml:space="preserve">会议室 </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五、公告期限</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自本公告发布之日起 </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 xml:space="preserve"> 个工作日。</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textAlignment w:val="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六、其他补充事宜</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落实政府采购政策：</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1.2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  《陕西省财政厅关于加快推进我省中小企业政府采购信用融资工作的通知》（陕财办采〔2020〕15 号）、陕西省财政厅关于印发《陕西省中小企业政府采购信用融资办法》（陕财办采〔2018〕23 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2"/>
        <w:rPr>
          <w:rFonts w:hint="eastAsia" w:ascii="仿宋_GB2312" w:hAnsi="仿宋_GB2312" w:eastAsia="仿宋_GB2312" w:cs="仿宋_GB2312"/>
          <w:kern w:val="0"/>
          <w:sz w:val="24"/>
        </w:rPr>
      </w:pPr>
      <w:r>
        <w:rPr>
          <w:rFonts w:hint="eastAsia" w:ascii="仿宋_GB2312" w:hAnsi="仿宋_GB2312" w:eastAsia="仿宋_GB2312" w:cs="仿宋_GB2312"/>
          <w:sz w:val="24"/>
        </w:rPr>
        <w:t>本项目为专门面向中小企业的项目，</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应为中小微企业、监狱企业或残疾人福利性单位。</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2.文件费交纳信息：</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单位名称：陕西省采购招标有限责任公司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开户银行：中国银行西安南郊支行营业部</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账    号：102061183422</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供应商如需开具磋商文件费用的电子发票，请将以下信息发20009180@qq.com:项目名称、项目编号、缴费回执单、开票信息。</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七、对本次采购提出询问，请按以下方式联系。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采购人信息：陕西省文化和旅游厅</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地址：西安市碑林区长安北路15号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联系人：梁静敏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电话：029-85567295 </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釆购代理机构信息</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名称：陕西省采购招标有限责任公司</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地址：西安市高新二路山西证券大厦8楼</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联系方式：029-85257505</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2"/>
        <w:rPr>
          <w:rFonts w:hint="eastAsia" w:ascii="仿宋_GB2312" w:hAnsi="仿宋_GB2312" w:eastAsia="仿宋_GB2312" w:cs="仿宋_GB2312"/>
          <w:sz w:val="24"/>
        </w:rPr>
      </w:pPr>
      <w:r>
        <w:rPr>
          <w:rFonts w:hint="eastAsia" w:ascii="仿宋_GB2312" w:hAnsi="仿宋_GB2312" w:eastAsia="仿宋_GB2312" w:cs="仿宋_GB2312"/>
          <w:sz w:val="24"/>
        </w:rPr>
        <w:t>3.项目联系方式</w:t>
      </w:r>
    </w:p>
    <w:p>
      <w:pPr>
        <w:keepNext w:val="0"/>
        <w:keepLines w:val="0"/>
        <w:pageBreakBefore w:val="0"/>
        <w:widowControl w:val="0"/>
        <w:kinsoku/>
        <w:wordWrap w:val="0"/>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项目联系人：李思鋆、桑乐  </w:t>
      </w:r>
    </w:p>
    <w:p>
      <w:pPr>
        <w:keepNext w:val="0"/>
        <w:keepLines w:val="0"/>
        <w:pageBreakBefore w:val="0"/>
        <w:widowControl w:val="0"/>
        <w:kinsoku/>
        <w:wordWrap w:val="0"/>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 话：</w:t>
      </w:r>
      <w:r>
        <w:rPr>
          <w:rFonts w:hint="eastAsia" w:ascii="仿宋_GB2312" w:hAnsi="仿宋_GB2312" w:eastAsia="仿宋_GB2312" w:cs="仿宋_GB2312"/>
          <w:kern w:val="0"/>
          <w:sz w:val="24"/>
        </w:rPr>
        <w:t>029-85257505</w:t>
      </w:r>
    </w:p>
    <w:p>
      <w:pPr>
        <w:keepNext w:val="0"/>
        <w:keepLines w:val="0"/>
        <w:pageBreakBefore w:val="0"/>
        <w:widowControl w:val="0"/>
        <w:kinsoku/>
        <w:wordWrap w:val="0"/>
        <w:overflowPunct/>
        <w:topLinePunct w:val="0"/>
        <w:autoSpaceDE/>
        <w:autoSpaceDN/>
        <w:bidi w:val="0"/>
        <w:adjustRightInd w:val="0"/>
        <w:snapToGrid w:val="0"/>
        <w:spacing w:line="360" w:lineRule="auto"/>
        <w:ind w:right="-197" w:rightChars="-94"/>
        <w:jc w:val="righ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陕西省采购招标有限责任公司</w:t>
      </w:r>
    </w:p>
    <w:p>
      <w:pPr>
        <w:pStyle w:val="2"/>
        <w:keepNext w:val="0"/>
        <w:keepLines w:val="0"/>
        <w:pageBreakBefore w:val="0"/>
        <w:tabs>
          <w:tab w:val="left" w:pos="567"/>
        </w:tabs>
        <w:kinsoku/>
        <w:wordWrap/>
        <w:overflowPunct/>
        <w:topLinePunct w:val="0"/>
        <w:autoSpaceDE/>
        <w:autoSpaceDN/>
        <w:bidi w:val="0"/>
        <w:adjustRightInd w:val="0"/>
        <w:snapToGrid w:val="0"/>
        <w:jc w:val="righ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2022年</w:t>
      </w:r>
      <w:r>
        <w:rPr>
          <w:rFonts w:hint="eastAsia" w:ascii="仿宋_GB2312" w:hAnsi="仿宋_GB2312" w:eastAsia="仿宋_GB2312" w:cs="仿宋_GB2312"/>
          <w:kern w:val="0"/>
          <w:sz w:val="24"/>
          <w:lang w:val="en-US" w:eastAsia="zh-CN"/>
        </w:rPr>
        <w:t>08</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17</w:t>
      </w:r>
      <w:r>
        <w:rPr>
          <w:rFonts w:hint="eastAsia" w:ascii="仿宋_GB2312" w:hAnsi="仿宋_GB2312" w:eastAsia="仿宋_GB2312" w:cs="仿宋_GB2312"/>
          <w:kern w:val="0"/>
          <w:sz w:val="24"/>
        </w:rPr>
        <w:t>日</w:t>
      </w:r>
    </w:p>
    <w:p>
      <w:pPr>
        <w:pStyle w:val="2"/>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1" w:name="_Toc415499895"/>
      <w:bookmarkStart w:id="22" w:name="_Toc249515277"/>
      <w:bookmarkStart w:id="23" w:name="_Toc21126"/>
      <w:bookmarkStart w:id="24" w:name="_Toc249515389"/>
      <w:bookmarkStart w:id="25" w:name="_Toc232176271"/>
      <w:bookmarkStart w:id="26" w:name="_Toc249525158"/>
      <w:bookmarkStart w:id="27" w:name="_Toc232395211"/>
      <w:bookmarkStart w:id="28" w:name="_Toc256342142"/>
      <w:bookmarkStart w:id="29" w:name="_Toc230583540"/>
      <w:bookmarkStart w:id="30" w:name="_Toc184043011"/>
      <w:bookmarkStart w:id="31" w:name="_Toc58504446"/>
      <w:bookmarkStart w:id="32" w:name="_Toc230013631"/>
      <w:bookmarkStart w:id="33" w:name="_Toc68590966"/>
      <w:bookmarkStart w:id="34" w:name="_Toc230099796"/>
      <w:bookmarkStart w:id="35" w:name="_Toc500747188"/>
      <w:bookmarkStart w:id="36" w:name="_Toc230013632"/>
      <w:bookmarkStart w:id="37" w:name="_Toc230099797"/>
      <w:bookmarkStart w:id="38" w:name="_Toc500746965"/>
      <w:bookmarkStart w:id="39" w:name="_Toc249515390"/>
      <w:bookmarkStart w:id="40" w:name="_Toc256342143"/>
      <w:bookmarkStart w:id="41" w:name="_Toc230583541"/>
      <w:bookmarkStart w:id="42" w:name="_Toc499711042"/>
      <w:bookmarkStart w:id="43" w:name="_Toc232395212"/>
      <w:bookmarkStart w:id="44" w:name="_Toc249515278"/>
      <w:bookmarkStart w:id="45" w:name="_Toc249525159"/>
      <w:bookmarkStart w:id="46" w:name="_Toc232176272"/>
      <w:bookmarkStart w:id="47" w:name="_Toc499711883"/>
      <w:bookmarkStart w:id="48" w:name="_Toc177995473"/>
      <w:bookmarkStart w:id="49" w:name="_Toc496324578"/>
      <w:bookmarkStart w:id="50" w:name="_Toc500747061"/>
      <w:bookmarkStart w:id="51" w:name="_Toc177817334"/>
      <w:bookmarkStart w:id="52" w:name="_Toc492955414"/>
      <w:bookmarkStart w:id="53" w:name="_Toc177189235"/>
      <w:bookmarkStart w:id="54" w:name="_Toc184043012"/>
      <w:bookmarkStart w:id="55" w:name="_Toc70687139"/>
      <w:bookmarkStart w:id="56" w:name="_Toc53722840"/>
      <w:bookmarkStart w:id="57" w:name="_Toc503063421"/>
      <w:bookmarkStart w:id="58" w:name="_Toc176882542"/>
      <w:r>
        <w:rPr>
          <w:rStyle w:val="203"/>
          <w:rFonts w:ascii="Times New Roman" w:hAnsi="Times New Roman" w:eastAsia="宋体"/>
          <w:sz w:val="36"/>
          <w:szCs w:val="36"/>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80"/>
        <w:spacing w:before="240" w:beforeLines="100" w:after="24"/>
        <w:jc w:val="center"/>
        <w:rPr>
          <w:rFonts w:eastAsia="仿宋_GB2312"/>
          <w:sz w:val="28"/>
          <w:szCs w:val="28"/>
        </w:rPr>
      </w:pPr>
      <w:bookmarkStart w:id="59" w:name="_Toc68590967"/>
      <w:r>
        <w:rPr>
          <w:rFonts w:eastAsia="仿宋_GB2312"/>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eastAsia="仿宋_GB2312"/>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60" w:name="_Hlt14560610"/>
            <w:bookmarkEnd w:id="60"/>
            <w:bookmarkStart w:id="61" w:name="_Toc389620165"/>
            <w:bookmarkStart w:id="62" w:name="_Toc385992326"/>
            <w:bookmarkStart w:id="63" w:name="_Toc496324580"/>
            <w:bookmarkStart w:id="64" w:name="_Toc492955416"/>
            <w:bookmarkStart w:id="65" w:name="_Toc500747063"/>
            <w:bookmarkStart w:id="66" w:name="_Toc503063423"/>
            <w:bookmarkStart w:id="67" w:name="_Toc500746967"/>
            <w:bookmarkStart w:id="68" w:name="_Toc500747190"/>
            <w:bookmarkStart w:id="69" w:name="_Toc499711885"/>
            <w:bookmarkStart w:id="70" w:name="_Toc499711044"/>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项目名称：</w:t>
            </w:r>
            <w:r>
              <w:rPr>
                <w:rFonts w:hint="eastAsia" w:ascii="Times New Roman" w:hAnsi="Times New Roman" w:eastAsia="仿宋_GB2312" w:cs="Times New Roman"/>
                <w:sz w:val="24"/>
                <w:szCs w:val="24"/>
                <w:lang w:eastAsia="zh-CN"/>
              </w:rPr>
              <w:t>第八届丝绸之路国际艺术节国际剧目展播项目</w:t>
            </w:r>
          </w:p>
          <w:p>
            <w:pPr>
              <w:pStyle w:val="28"/>
              <w:adjustRightInd w:val="0"/>
              <w:snapToGrid w:val="0"/>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项目编号：</w:t>
            </w:r>
            <w:r>
              <w:rPr>
                <w:rFonts w:hint="eastAsia" w:ascii="仿宋_GB2312" w:hAnsi="仿宋_GB2312" w:eastAsia="仿宋_GB2312" w:cs="仿宋_GB2312"/>
                <w:sz w:val="24"/>
                <w:szCs w:val="24"/>
              </w:rPr>
              <w:t>SCZC2022-CS-1818/001</w:t>
            </w:r>
          </w:p>
          <w:p>
            <w:pPr>
              <w:pStyle w:val="28"/>
              <w:adjustRightInd w:val="0"/>
              <w:snapToGrid w:val="0"/>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资金来源：财政资金</w:t>
            </w:r>
          </w:p>
          <w:p>
            <w:pPr>
              <w:pStyle w:val="28"/>
              <w:adjustRightInd w:val="0"/>
              <w:snapToGrid w:val="0"/>
              <w:spacing w:line="240" w:lineRule="auto"/>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预算金额</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820000.00</w:t>
            </w:r>
          </w:p>
          <w:p>
            <w:pPr>
              <w:pStyle w:val="28"/>
              <w:adjustRightInd w:val="0"/>
              <w:snapToGrid w:val="0"/>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采购方式：竞争性磋商</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cs="Times New Roman"/>
                <w:sz w:val="24"/>
                <w:szCs w:val="24"/>
              </w:rPr>
              <w:t>采购内容：详见本磋商文件</w:t>
            </w:r>
            <w:r>
              <w:rPr>
                <w:rFonts w:ascii="Times New Roman" w:hAnsi="Times New Roman" w:eastAsia="仿宋_GB2312"/>
                <w:sz w:val="24"/>
                <w:szCs w:val="24"/>
              </w:rPr>
              <w:t>第五章</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项目所属行业：</w:t>
            </w:r>
            <w:r>
              <w:rPr>
                <w:rFonts w:hint="eastAsia" w:ascii="Times New Roman" w:hAnsi="Times New Roman" w:eastAsia="仿宋_GB2312"/>
                <w:sz w:val="24"/>
                <w:szCs w:val="24"/>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sz w:val="24"/>
                <w:szCs w:val="24"/>
              </w:rPr>
              <w:t>陕西省文化和旅游厅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邀请供应商的方式：</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（1）发布磋商公告</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（2）采购人和评审专家分别书面推荐的方式邀请不少于3 家</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符合相应资格条件的供应商</w:t>
            </w:r>
          </w:p>
          <w:p>
            <w:pPr>
              <w:pStyle w:val="28"/>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cs="Times New Roman"/>
                <w:sz w:val="24"/>
                <w:szCs w:val="24"/>
                <w:lang w:val="en-US" w:eastAsia="zh-CN"/>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hint="eastAsia" w:ascii="Times New Roman" w:eastAsia="仿宋_GB2312" w:cs="Times New Roman"/>
                <w:color w:val="auto"/>
                <w:kern w:val="2"/>
                <w:lang w:val="en-US"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u w:val="singl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服务响应报价为提供磋商文件要求服务的所有费用，包括但不限于</w:t>
            </w:r>
            <w:r>
              <w:rPr>
                <w:rFonts w:hint="eastAsia" w:eastAsia="仿宋_GB2312"/>
                <w:sz w:val="24"/>
                <w:lang w:eastAsia="zh-CN"/>
              </w:rPr>
              <w:t>文艺演出费</w:t>
            </w:r>
            <w:r>
              <w:rPr>
                <w:rFonts w:eastAsia="仿宋_GB2312"/>
                <w:sz w:val="24"/>
              </w:rPr>
              <w:t>、</w:t>
            </w:r>
            <w:r>
              <w:rPr>
                <w:rFonts w:hint="eastAsia" w:eastAsia="仿宋_GB2312"/>
                <w:sz w:val="24"/>
                <w:lang w:eastAsia="zh-CN"/>
              </w:rPr>
              <w:t>视频制作费</w:t>
            </w:r>
            <w:r>
              <w:rPr>
                <w:rFonts w:eastAsia="仿宋_GB2312"/>
                <w:sz w:val="24"/>
              </w:rPr>
              <w:t>、</w:t>
            </w:r>
            <w:r>
              <w:rPr>
                <w:rFonts w:hint="eastAsia" w:eastAsia="仿宋_GB2312"/>
                <w:sz w:val="24"/>
                <w:lang w:eastAsia="zh-CN"/>
              </w:rPr>
              <w:t>语言翻译费</w:t>
            </w:r>
            <w:r>
              <w:rPr>
                <w:rFonts w:eastAsia="仿宋_GB2312"/>
                <w:sz w:val="24"/>
              </w:rPr>
              <w:t>、</w:t>
            </w:r>
            <w:r>
              <w:rPr>
                <w:rFonts w:hint="eastAsia" w:eastAsia="仿宋_GB2312"/>
                <w:sz w:val="24"/>
                <w:lang w:eastAsia="zh-CN"/>
              </w:rPr>
              <w:t>所需素材的收集及相关版权费、宣传推广费、系统接口对接等所有相关的技术支持费</w:t>
            </w:r>
            <w:r>
              <w:rPr>
                <w:rFonts w:eastAsia="仿宋_GB2312"/>
                <w:sz w:val="24"/>
              </w:rPr>
              <w:t>、</w:t>
            </w:r>
            <w:r>
              <w:rPr>
                <w:rFonts w:hint="eastAsia" w:eastAsia="仿宋_GB2312"/>
                <w:sz w:val="24"/>
                <w:lang w:eastAsia="zh-CN"/>
              </w:rPr>
              <w:t>管理费</w:t>
            </w:r>
            <w:r>
              <w:rPr>
                <w:rFonts w:eastAsia="仿宋_GB2312"/>
                <w:sz w:val="24"/>
              </w:rPr>
              <w:t>以及供应商应缴纳的税费、保险费（如果有）等全部</w:t>
            </w:r>
            <w:r>
              <w:rPr>
                <w:rFonts w:hint="eastAsia" w:eastAsia="仿宋_GB2312"/>
                <w:sz w:val="24"/>
                <w:lang w:eastAsia="zh-CN"/>
              </w:rPr>
              <w:t>相关</w:t>
            </w:r>
            <w:r>
              <w:rPr>
                <w:rFonts w:eastAsia="仿宋_GB2312"/>
                <w:sz w:val="24"/>
              </w:rPr>
              <w:t>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spacing w:line="240" w:lineRule="auto"/>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本项目须提供磋商保证金人民币壹万陆仟元整元整（人民币¥ 16000.00元）。</w:t>
            </w:r>
          </w:p>
          <w:p>
            <w:pPr>
              <w:pStyle w:val="28"/>
              <w:adjustRightInd w:val="0"/>
              <w:snapToGrid w:val="0"/>
              <w:spacing w:line="240" w:lineRule="auto"/>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保证金可自主选择采用电汇、银行转账、支票、汇票、本票、金融机构或担保机构出具的保函等非现金形式。</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保证金户名：陕西省采购招标有限责任公司</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Times New Roman" w:hAnsi="Times New Roman" w:eastAsia="仿宋_GB2312" w:cs="Times New Roman"/>
                <w:sz w:val="24"/>
                <w:szCs w:val="24"/>
                <w:lang w:val="en-US" w:eastAsia="zh-CN"/>
              </w:rPr>
              <w:t>开户银行</w:t>
            </w:r>
            <w:r>
              <w:rPr>
                <w:rFonts w:hint="eastAsia" w:ascii="仿宋_GB2312" w:hAnsi="仿宋_GB2312" w:eastAsia="仿宋_GB2312" w:cs="仿宋_GB2312"/>
                <w:sz w:val="24"/>
                <w:szCs w:val="24"/>
                <w:lang w:val="en-US" w:eastAsia="zh-CN"/>
              </w:rPr>
              <w:t xml:space="preserve">：中国银行西安南郊支行营业部 </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    号：102061183422</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 系 人：侯娜  电话：029-85256853</w:t>
            </w:r>
          </w:p>
          <w:p>
            <w:pPr>
              <w:pStyle w:val="28"/>
              <w:adjustRightInd w:val="0"/>
              <w:snapToGrid w:val="0"/>
              <w:spacing w:line="240" w:lineRule="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备注：</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1.在汇款时务必注明所响应项目的项目编号，否则，因款项用途不明导致磋商无效等后果由供应商自行承担；</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2.请各供应商在响应文件递交截止时间前，按文件的要求向招标代理机构递交磋商保证金；</w:t>
            </w:r>
          </w:p>
          <w:p>
            <w:pPr>
              <w:pStyle w:val="28"/>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Times New Roman" w:hAnsi="Times New Roman" w:eastAsia="仿宋_GB2312"/>
                <w:sz w:val="24"/>
              </w:rPr>
            </w:pPr>
            <w:r>
              <w:rPr>
                <w:rFonts w:hint="eastAsia" w:ascii="Times New Roman" w:hAnsi="Times New Roman" w:eastAsia="仿宋_GB2312" w:cs="Times New Roman"/>
                <w:b/>
                <w:bCs/>
                <w:sz w:val="24"/>
                <w:szCs w:val="24"/>
                <w:lang w:val="en-US" w:eastAsia="zh-CN"/>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hint="eastAsia" w:ascii="仿宋_GB2312" w:hAnsi="仿宋_GB2312" w:eastAsia="仿宋_GB2312" w:cs="仿宋_GB2312"/>
                <w:sz w:val="24"/>
                <w:szCs w:val="24"/>
                <w:lang w:val="en-US" w:eastAsia="zh-CN"/>
              </w:rPr>
              <w:t>响应文件的份数：正本1份，副本2份，电子版1份（word版和盖章扫描PDF版）。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密封袋（箱）上须标注：</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（l）采购项目编号：</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（2）项目名称：</w:t>
            </w:r>
          </w:p>
          <w:p>
            <w:pPr>
              <w:pStyle w:val="28"/>
              <w:adjustRightInd w:val="0"/>
              <w:snapToGrid w:val="0"/>
              <w:spacing w:line="240" w:lineRule="auto"/>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（3）供应商的名称、地址、联系人、电话和传真。</w:t>
            </w:r>
          </w:p>
          <w:p>
            <w:pPr>
              <w:pStyle w:val="28"/>
              <w:adjustRightInd w:val="0"/>
              <w:snapToGrid w:val="0"/>
              <w:spacing w:line="240" w:lineRule="auto"/>
              <w:ind w:firstLine="480" w:firstLineChars="200"/>
              <w:rPr>
                <w:rFonts w:ascii="Times New Roman" w:hAnsi="Times New Roman" w:eastAsia="仿宋_GB2312"/>
                <w:sz w:val="24"/>
                <w:szCs w:val="24"/>
              </w:rPr>
            </w:pPr>
            <w:r>
              <w:rPr>
                <w:rFonts w:hint="eastAsia" w:ascii="Times New Roman" w:hAnsi="Times New Roman" w:eastAsia="仿宋_GB2312" w:cs="Times New Roman"/>
                <w:sz w:val="24"/>
                <w:szCs w:val="24"/>
                <w:lang w:val="en-US" w:eastAsia="zh-CN"/>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本项目不要求提交样品。</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□本项目要求提交样品。样品为响应文件的一部分，随响应文件同时递交。</w:t>
            </w:r>
          </w:p>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（1）样品需标明：项目名称、供应商名称、样品名称等内容。</w:t>
            </w:r>
          </w:p>
          <w:p>
            <w:pPr>
              <w:pStyle w:val="28"/>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cs="Times New Roman"/>
                <w:sz w:val="24"/>
                <w:szCs w:val="24"/>
                <w:lang w:val="en-US" w:eastAsia="zh-CN"/>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pStyle w:val="28"/>
              <w:adjustRightInd w:val="0"/>
              <w:snapToGrid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响应文件递交截止时间：2022年08月29日</w:t>
            </w:r>
            <w:r>
              <w:rPr>
                <w:rFonts w:hint="eastAsia" w:ascii="仿宋_GB2312" w:hAnsi="仿宋_GB2312" w:eastAsia="仿宋_GB2312" w:cs="仿宋_GB2312"/>
                <w:kern w:val="24"/>
                <w:sz w:val="24"/>
                <w:szCs w:val="21"/>
                <w:lang w:val="en-US" w:eastAsia="zh-CN"/>
              </w:rPr>
              <w:t>14</w:t>
            </w:r>
            <w:r>
              <w:rPr>
                <w:rFonts w:hint="eastAsia" w:ascii="仿宋_GB2312" w:hAnsi="仿宋_GB2312" w:eastAsia="仿宋_GB2312" w:cs="仿宋_GB2312"/>
                <w:kern w:val="24"/>
                <w:sz w:val="24"/>
                <w:szCs w:val="21"/>
              </w:rPr>
              <w:t>:30（北京时间）。</w:t>
            </w:r>
          </w:p>
          <w:p>
            <w:pPr>
              <w:pStyle w:val="28"/>
              <w:adjustRightInd w:val="0"/>
              <w:snapToGrid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响应文件递交地点：西安市高新二路山西证券大厦21层第九会议室。</w:t>
            </w:r>
          </w:p>
          <w:p>
            <w:pPr>
              <w:pStyle w:val="28"/>
              <w:adjustRightInd w:val="0"/>
              <w:snapToGrid w:val="0"/>
              <w:spacing w:line="240" w:lineRule="auto"/>
              <w:rPr>
                <w:rFonts w:eastAsia="仿宋_GB2312"/>
                <w:sz w:val="24"/>
              </w:rPr>
            </w:pPr>
            <w:r>
              <w:rPr>
                <w:rFonts w:hint="eastAsia" w:ascii="仿宋_GB2312" w:hAnsi="仿宋_GB2312" w:eastAsia="仿宋_GB2312" w:cs="仿宋_GB2312"/>
                <w:sz w:val="24"/>
                <w:szCs w:val="24"/>
                <w:lang w:val="en-US" w:eastAsia="zh-CN"/>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val="0"/>
                <w:bCs w:val="0"/>
                <w:sz w:val="24"/>
                <w:u w:val="single"/>
              </w:rPr>
              <w:t xml:space="preserve"> 3</w:t>
            </w:r>
            <w:r>
              <w:rPr>
                <w:rFonts w:eastAsia="仿宋_GB2312"/>
                <w:sz w:val="24"/>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eastAsia="仿宋_GB2312"/>
                <w:sz w:val="24"/>
              </w:rPr>
              <w:t>□</w:t>
            </w:r>
            <w:r>
              <w:rPr>
                <w:rFonts w:hint="eastAsia" w:ascii="Times New Roman" w:hAnsi="Times New Roman" w:eastAsia="仿宋_GB2312" w:cs="Times New Roman"/>
                <w:sz w:val="24"/>
                <w:szCs w:val="24"/>
                <w:lang w:val="en-US" w:eastAsia="zh-CN"/>
              </w:rPr>
              <w:t xml:space="preserve"> 本项目要求履约保证金，金额为成交合同金额的5% </w:t>
            </w:r>
          </w:p>
          <w:p>
            <w:pPr>
              <w:pStyle w:val="28"/>
              <w:adjustRightInd w:val="0"/>
              <w:snapToGrid w:val="0"/>
              <w:spacing w:line="240" w:lineRule="auto"/>
              <w:rPr>
                <w:rFonts w:eastAsia="仿宋_GB2312"/>
              </w:rPr>
            </w:pPr>
            <w:r>
              <w:rPr>
                <w:rFonts w:hint="eastAsia" w:ascii="Times New Roman" w:hAnsi="Times New Roman" w:eastAsia="仿宋_GB2312" w:cs="Times New Roman"/>
                <w:sz w:val="24"/>
                <w:szCs w:val="24"/>
                <w:lang w:val="en-US" w:eastAsia="zh-CN"/>
              </w:rPr>
              <w:t>■本项目不要求履约保证金。</w:t>
            </w:r>
          </w:p>
        </w:tc>
      </w:tr>
    </w:tbl>
    <w:p>
      <w:pPr>
        <w:rPr>
          <w:rFonts w:eastAsia="仿宋_GB2312"/>
          <w:sz w:val="30"/>
          <w:szCs w:val="30"/>
        </w:rPr>
      </w:pPr>
      <w:bookmarkStart w:id="71" w:name="_Toc230099798"/>
      <w:bookmarkStart w:id="72" w:name="_Toc53722841"/>
      <w:bookmarkStart w:id="73" w:name="_Toc249525160"/>
      <w:bookmarkStart w:id="74" w:name="_Toc230013633"/>
      <w:bookmarkStart w:id="75" w:name="_Toc177189236"/>
      <w:bookmarkStart w:id="76" w:name="_Toc232395213"/>
      <w:bookmarkStart w:id="77" w:name="_Toc230583542"/>
      <w:bookmarkStart w:id="78" w:name="_Toc176882543"/>
      <w:bookmarkStart w:id="79" w:name="_Toc249515391"/>
      <w:bookmarkStart w:id="80" w:name="_Toc184043013"/>
      <w:bookmarkStart w:id="81" w:name="_Toc177995474"/>
      <w:bookmarkStart w:id="82" w:name="_Toc177817335"/>
      <w:bookmarkStart w:id="83" w:name="_Toc70687140"/>
      <w:bookmarkStart w:id="84" w:name="_Toc249515279"/>
      <w:bookmarkStart w:id="85" w:name="_Toc232176273"/>
      <w:bookmarkStart w:id="86" w:name="_Toc256342144"/>
      <w:r>
        <w:rPr>
          <w:rFonts w:eastAsia="仿宋_GB2312"/>
          <w:sz w:val="30"/>
          <w:szCs w:val="30"/>
        </w:rPr>
        <w:br w:type="page"/>
      </w:r>
    </w:p>
    <w:p>
      <w:pPr>
        <w:pStyle w:val="80"/>
        <w:keepNext w:val="0"/>
        <w:keepLines w:val="0"/>
        <w:pageBreakBefore w:val="0"/>
        <w:kinsoku/>
        <w:wordWrap/>
        <w:overflowPunct/>
        <w:topLinePunct w:val="0"/>
        <w:bidi w:val="0"/>
        <w:adjustRightInd w:val="0"/>
        <w:snapToGrid w:val="0"/>
        <w:spacing w:before="0" w:beforeLines="0" w:after="0" w:afterLines="0" w:line="360" w:lineRule="auto"/>
        <w:jc w:val="center"/>
        <w:textAlignment w:val="auto"/>
        <w:rPr>
          <w:rFonts w:eastAsia="仿宋_GB2312"/>
          <w:szCs w:val="32"/>
        </w:rPr>
      </w:pPr>
      <w:bookmarkStart w:id="87" w:name="_Toc68590968"/>
      <w:r>
        <w:rPr>
          <w:rFonts w:eastAsia="仿宋_GB2312"/>
          <w:szCs w:val="32"/>
        </w:rPr>
        <w:t>（二）供应商须知</w:t>
      </w:r>
      <w:bookmarkEnd w:id="87"/>
    </w:p>
    <w:p>
      <w:pPr>
        <w:pStyle w:val="80"/>
        <w:keepNext w:val="0"/>
        <w:keepLines w:val="0"/>
        <w:pageBreakBefore w:val="0"/>
        <w:kinsoku/>
        <w:wordWrap/>
        <w:overflowPunct/>
        <w:topLinePunct w:val="0"/>
        <w:bidi w:val="0"/>
        <w:adjustRightInd w:val="0"/>
        <w:snapToGrid w:val="0"/>
        <w:spacing w:before="0" w:beforeLines="0" w:after="0" w:afterLines="0" w:line="360" w:lineRule="auto"/>
        <w:jc w:val="center"/>
        <w:textAlignment w:val="auto"/>
        <w:rPr>
          <w:rFonts w:eastAsia="仿宋_GB2312"/>
          <w:sz w:val="30"/>
          <w:szCs w:val="30"/>
        </w:rPr>
      </w:pPr>
      <w:bookmarkStart w:id="88" w:name="_Toc68590969"/>
      <w:r>
        <w:rPr>
          <w:rFonts w:eastAsia="仿宋_GB2312"/>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pPr>
        <w:keepNext w:val="0"/>
        <w:keepLines w:val="0"/>
        <w:pageBreakBefore w:val="0"/>
        <w:kinsoku/>
        <w:wordWrap/>
        <w:overflowPunct/>
        <w:topLinePunct w:val="0"/>
        <w:bidi w:val="0"/>
        <w:adjustRightInd w:val="0"/>
        <w:snapToGrid w:val="0"/>
        <w:spacing w:line="360" w:lineRule="auto"/>
        <w:textAlignment w:val="auto"/>
        <w:rPr>
          <w:rFonts w:eastAsia="仿宋_GB2312"/>
        </w:rPr>
      </w:pP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89" w:name="_Hlt14560612"/>
      <w:bookmarkEnd w:id="89"/>
      <w:bookmarkStart w:id="90" w:name="_Toc249515280"/>
      <w:bookmarkStart w:id="91" w:name="_Toc249515392"/>
      <w:bookmarkStart w:id="92" w:name="_Toc184043014"/>
      <w:bookmarkStart w:id="93" w:name="_Toc25504"/>
      <w:bookmarkStart w:id="94" w:name="_Toc249525161"/>
      <w:r>
        <w:rPr>
          <w:rFonts w:ascii="Times New Roman" w:hAnsi="Times New Roman" w:eastAsia="仿宋_GB2312"/>
          <w:b/>
          <w:sz w:val="24"/>
          <w:szCs w:val="21"/>
        </w:rPr>
        <w:t>1.     项目说明</w:t>
      </w:r>
      <w:bookmarkEnd w:id="90"/>
      <w:bookmarkEnd w:id="91"/>
      <w:bookmarkEnd w:id="92"/>
      <w:bookmarkEnd w:id="93"/>
      <w:bookmarkEnd w:id="94"/>
    </w:p>
    <w:p>
      <w:pPr>
        <w:pStyle w:val="66"/>
        <w:keepNext w:val="0"/>
        <w:keepLines w:val="0"/>
        <w:pageBreakBefore w:val="0"/>
        <w:widowControl w:val="0"/>
        <w:tabs>
          <w:tab w:val="left" w:pos="588"/>
        </w:tabs>
        <w:kinsoku/>
        <w:wordWrap/>
        <w:overflowPunct/>
        <w:topLinePunct w:val="0"/>
        <w:bidi w:val="0"/>
        <w:adjustRightInd w:val="0"/>
        <w:snapToGrid w:val="0"/>
        <w:spacing w:before="0" w:beforeAutospacing="0" w:after="0" w:afterAutospacing="0" w:line="360" w:lineRule="auto"/>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95" w:name="_Toc249515393"/>
      <w:bookmarkStart w:id="96" w:name="_Toc31509"/>
      <w:bookmarkStart w:id="97" w:name="_Toc249525162"/>
      <w:bookmarkStart w:id="98" w:name="_Toc249515281"/>
      <w:bookmarkStart w:id="99" w:name="_Toc70687142"/>
      <w:bookmarkStart w:id="100" w:name="_Toc184043015"/>
      <w:r>
        <w:rPr>
          <w:rFonts w:ascii="Times New Roman" w:hAnsi="Times New Roman" w:eastAsia="仿宋_GB2312"/>
          <w:b/>
          <w:sz w:val="24"/>
          <w:szCs w:val="21"/>
        </w:rPr>
        <w:t>2.     定义</w:t>
      </w:r>
      <w:bookmarkEnd w:id="95"/>
      <w:bookmarkEnd w:id="96"/>
      <w:bookmarkEnd w:id="97"/>
      <w:bookmarkEnd w:id="98"/>
      <w:bookmarkEnd w:id="99"/>
      <w:bookmarkEnd w:id="100"/>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keepNext w:val="0"/>
        <w:keepLines w:val="0"/>
        <w:pageBreakBefore w:val="0"/>
        <w:tabs>
          <w:tab w:val="left" w:pos="360"/>
        </w:tabs>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01" w:name="_Toc23705"/>
      <w:bookmarkStart w:id="102" w:name="_Toc249515282"/>
      <w:bookmarkStart w:id="103" w:name="_Toc389620168"/>
      <w:bookmarkStart w:id="104" w:name="_Toc385992329"/>
      <w:bookmarkStart w:id="105" w:name="_Toc249515394"/>
      <w:bookmarkStart w:id="106" w:name="_Toc184043016"/>
      <w:bookmarkStart w:id="107" w:name="_Toc70687143"/>
      <w:bookmarkStart w:id="108" w:name="_Toc249525163"/>
      <w:r>
        <w:rPr>
          <w:rFonts w:ascii="Times New Roman" w:hAnsi="Times New Roman" w:eastAsia="仿宋_GB2312"/>
          <w:b/>
          <w:sz w:val="24"/>
          <w:szCs w:val="21"/>
        </w:rPr>
        <w:t>3.     合格的供应商</w:t>
      </w:r>
      <w:bookmarkEnd w:id="101"/>
      <w:bookmarkEnd w:id="102"/>
      <w:bookmarkEnd w:id="103"/>
      <w:bookmarkEnd w:id="104"/>
      <w:bookmarkEnd w:id="105"/>
      <w:bookmarkEnd w:id="106"/>
      <w:bookmarkEnd w:id="107"/>
      <w:bookmarkEnd w:id="108"/>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 xml:space="preserve"> 如须知前附表中允许联合体投标，对联合体规定如下：</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.1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两个及以上供应商可以组成一个投标联合体，以一个供应商的身份投标。</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.2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 xml:space="preserve"> 联合体各方均应符合本须知规定。</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.3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采购人根据采购项目对供应商的特殊要求，联合体中至少应当有一方符合相关规定。</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.4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联合体各方应签订共同磋商响应协议，明确约定联合体各方承担的工作和相应的责任，并将共同响应协议作为响应文件的内容提交。</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.5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大中型企业、其他自然人、法人或者其他组织与小型、微型企业组成联合体共同参加磋商，共同响应协议中应写明小型、微型企业的协议合同金额占到共同响应协议报价总金额的比例。</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.6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以联合体形式参加政府采购活动的，联合体各方不得再单独参加或者与其他供应商另外组成联合体参加本项目同一合同项下的磋商，否则相关响应文件将被认定为无效。</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.7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对联合体磋商的其他资格要求见须知前附表。</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hint="eastAsia" w:ascii="Times New Roman" w:hAnsi="Times New Roman" w:eastAsia="仿宋_GB2312"/>
          <w:kern w:val="24"/>
          <w:sz w:val="24"/>
          <w:szCs w:val="21"/>
          <w:lang w:val="en-US" w:eastAsia="zh-CN"/>
        </w:rPr>
        <w:t xml:space="preserve"> </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若前附表中写明专门面向中小企业采购的，如供应商为非中小企业，其响应文件将被认定为无效。</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09" w:name="_Toc385992330"/>
      <w:bookmarkStart w:id="110" w:name="_Toc249515395"/>
      <w:bookmarkStart w:id="111" w:name="_Toc26580"/>
      <w:bookmarkStart w:id="112" w:name="_Toc249525164"/>
      <w:bookmarkStart w:id="113" w:name="_Toc184043017"/>
      <w:bookmarkStart w:id="114" w:name="_Toc389620169"/>
      <w:bookmarkStart w:id="115" w:name="_Toc249515283"/>
      <w:bookmarkStart w:id="116" w:name="_Toc70687144"/>
      <w:r>
        <w:rPr>
          <w:rFonts w:ascii="Times New Roman" w:hAnsi="Times New Roman" w:eastAsia="仿宋_GB2312"/>
          <w:b/>
          <w:sz w:val="24"/>
          <w:szCs w:val="21"/>
        </w:rPr>
        <w:t>4.     磋商费用</w:t>
      </w:r>
      <w:bookmarkEnd w:id="109"/>
      <w:bookmarkEnd w:id="110"/>
      <w:bookmarkEnd w:id="111"/>
      <w:bookmarkEnd w:id="112"/>
      <w:bookmarkEnd w:id="113"/>
      <w:bookmarkEnd w:id="114"/>
      <w:bookmarkEnd w:id="115"/>
      <w:bookmarkEnd w:id="116"/>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rPr>
      </w:pPr>
    </w:p>
    <w:p>
      <w:pPr>
        <w:pStyle w:val="80"/>
        <w:keepNext w:val="0"/>
        <w:keepLines w:val="0"/>
        <w:pageBreakBefore w:val="0"/>
        <w:kinsoku/>
        <w:wordWrap/>
        <w:overflowPunct/>
        <w:topLinePunct w:val="0"/>
        <w:bidi w:val="0"/>
        <w:adjustRightInd w:val="0"/>
        <w:snapToGrid w:val="0"/>
        <w:spacing w:before="0" w:beforeLines="0" w:after="0" w:afterLines="0" w:line="360" w:lineRule="auto"/>
        <w:ind w:left="3313"/>
        <w:textAlignment w:val="auto"/>
        <w:rPr>
          <w:rFonts w:eastAsia="仿宋_GB2312"/>
          <w:sz w:val="30"/>
          <w:szCs w:val="30"/>
        </w:rPr>
      </w:pPr>
      <w:bookmarkStart w:id="117" w:name="_Toc68590970"/>
      <w:r>
        <w:rPr>
          <w:rFonts w:eastAsia="仿宋_GB2312"/>
          <w:sz w:val="30"/>
          <w:szCs w:val="30"/>
        </w:rPr>
        <w:t>二、磋商文件说明</w:t>
      </w:r>
      <w:bookmarkEnd w:id="117"/>
    </w:p>
    <w:p>
      <w:pPr>
        <w:keepNext w:val="0"/>
        <w:keepLines w:val="0"/>
        <w:pageBreakBefore w:val="0"/>
        <w:kinsoku/>
        <w:wordWrap/>
        <w:overflowPunct/>
        <w:topLinePunct w:val="0"/>
        <w:bidi w:val="0"/>
        <w:adjustRightInd w:val="0"/>
        <w:snapToGrid w:val="0"/>
        <w:spacing w:line="360" w:lineRule="auto"/>
        <w:textAlignment w:val="auto"/>
        <w:rPr>
          <w:rFonts w:eastAsia="仿宋_GB2312"/>
        </w:rPr>
      </w:pPr>
    </w:p>
    <w:p>
      <w:pPr>
        <w:pStyle w:val="5"/>
        <w:keepNext w:val="0"/>
        <w:keepLines w:val="0"/>
        <w:pageBreakBefore w:val="0"/>
        <w:numPr>
          <w:ilvl w:val="0"/>
          <w:numId w:val="5"/>
        </w:numPr>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18" w:name="_Toc128"/>
      <w:bookmarkStart w:id="119" w:name="_Toc249515285"/>
      <w:bookmarkStart w:id="120" w:name="_Toc249525166"/>
      <w:bookmarkStart w:id="121" w:name="_Toc184043019"/>
      <w:bookmarkStart w:id="122" w:name="_Toc385992332"/>
      <w:bookmarkStart w:id="123" w:name="_Toc389620171"/>
      <w:bookmarkStart w:id="124" w:name="_Toc70687146"/>
      <w:bookmarkStart w:id="125" w:name="_Toc249515397"/>
      <w:r>
        <w:rPr>
          <w:rFonts w:ascii="Times New Roman" w:hAnsi="Times New Roman" w:eastAsia="仿宋_GB2312"/>
          <w:b/>
          <w:sz w:val="24"/>
          <w:szCs w:val="21"/>
        </w:rPr>
        <w:t xml:space="preserve">    通知</w:t>
      </w:r>
      <w:bookmarkEnd w:id="118"/>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电子邮件以供应商登记的为准。供应商应于收到通知后按规定时间以书面方式予以回复确认。因登记有误或传真线路故障导致通知延迟送达或无法送达，采购人或采购代理机构不承担责任。</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26" w:name="_Toc27223"/>
      <w:r>
        <w:rPr>
          <w:rFonts w:ascii="Times New Roman" w:hAnsi="Times New Roman" w:eastAsia="仿宋_GB2312"/>
          <w:b/>
          <w:sz w:val="24"/>
          <w:szCs w:val="21"/>
        </w:rPr>
        <w:t>6.     磋商文件的构成</w:t>
      </w:r>
      <w:bookmarkEnd w:id="119"/>
      <w:bookmarkEnd w:id="120"/>
      <w:bookmarkEnd w:id="121"/>
      <w:bookmarkEnd w:id="122"/>
      <w:bookmarkEnd w:id="123"/>
      <w:bookmarkEnd w:id="124"/>
      <w:bookmarkEnd w:id="125"/>
      <w:bookmarkEnd w:id="126"/>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27" w:name="_Toc70687147"/>
      <w:bookmarkStart w:id="128" w:name="_Toc385992333"/>
      <w:bookmarkStart w:id="129" w:name="_Toc249525167"/>
      <w:bookmarkStart w:id="130" w:name="_Toc389620172"/>
      <w:bookmarkStart w:id="131" w:name="_Toc249515398"/>
      <w:bookmarkStart w:id="132" w:name="_Toc184043020"/>
      <w:bookmarkStart w:id="133" w:name="_Toc249515286"/>
      <w:bookmarkStart w:id="134" w:name="_Toc10350"/>
      <w:r>
        <w:rPr>
          <w:rFonts w:ascii="Times New Roman" w:hAnsi="Times New Roman" w:eastAsia="仿宋_GB2312"/>
          <w:b/>
          <w:sz w:val="24"/>
          <w:szCs w:val="21"/>
        </w:rPr>
        <w:t>7.     磋商文件的澄清</w:t>
      </w:r>
      <w:bookmarkEnd w:id="127"/>
      <w:bookmarkEnd w:id="128"/>
      <w:bookmarkEnd w:id="129"/>
      <w:bookmarkEnd w:id="130"/>
      <w:bookmarkEnd w:id="131"/>
      <w:bookmarkEnd w:id="132"/>
      <w:bookmarkEnd w:id="133"/>
      <w:r>
        <w:rPr>
          <w:rFonts w:ascii="Times New Roman" w:hAnsi="Times New Roman" w:eastAsia="仿宋_GB2312"/>
          <w:b/>
          <w:sz w:val="24"/>
          <w:szCs w:val="21"/>
        </w:rPr>
        <w:t>和修改</w:t>
      </w:r>
      <w:bookmarkEnd w:id="134"/>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bookmarkStart w:id="135" w:name="_Toc389620173"/>
      <w:bookmarkStart w:id="136" w:name="_Toc385992334"/>
      <w:bookmarkStart w:id="137" w:name="_Toc70687148"/>
      <w:r>
        <w:rPr>
          <w:rFonts w:eastAsia="仿宋_GB2312"/>
          <w:sz w:val="24"/>
        </w:rPr>
        <w:t xml:space="preserve">7.1    </w:t>
      </w:r>
      <w:bookmarkEnd w:id="135"/>
      <w:bookmarkEnd w:id="136"/>
      <w:bookmarkEnd w:id="137"/>
      <w:bookmarkStart w:id="138" w:name="_Toc492955418"/>
      <w:bookmarkStart w:id="139" w:name="_Toc70687149"/>
      <w:bookmarkStart w:id="140" w:name="_Toc496324582"/>
      <w:bookmarkStart w:id="141" w:name="_Toc53722843"/>
      <w:bookmarkStart w:id="142" w:name="_Toc389620174"/>
      <w:bookmarkStart w:id="143" w:name="_Toc499711887"/>
      <w:bookmarkStart w:id="144" w:name="_Toc500746969"/>
      <w:bookmarkStart w:id="145" w:name="_Toc500747065"/>
      <w:bookmarkStart w:id="146" w:name="_Toc503063425"/>
      <w:bookmarkStart w:id="147" w:name="_Toc500747192"/>
      <w:bookmarkStart w:id="148" w:name="_Toc385992335"/>
      <w:bookmarkStart w:id="149" w:name="_Toc499711046"/>
      <w:r>
        <w:rPr>
          <w:rFonts w:eastAsia="仿宋_GB2312"/>
          <w:sz w:val="24"/>
        </w:rPr>
        <w:t>在首次响应文件递交截止时间前，采购人或采购代理机构可以对已发出的磋商文件进行必要的澄清或修改，澄清或修改的内容为磋商文件的组成部分。</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keepNext w:val="0"/>
        <w:keepLines w:val="0"/>
        <w:pageBreakBefore w:val="0"/>
        <w:kinsoku/>
        <w:wordWrap/>
        <w:overflowPunct/>
        <w:topLinePunct w:val="0"/>
        <w:bidi w:val="0"/>
        <w:adjustRightInd w:val="0"/>
        <w:snapToGrid w:val="0"/>
        <w:spacing w:line="360" w:lineRule="auto"/>
        <w:textAlignment w:val="auto"/>
      </w:pPr>
    </w:p>
    <w:p>
      <w:pPr>
        <w:pStyle w:val="80"/>
        <w:keepNext w:val="0"/>
        <w:keepLines w:val="0"/>
        <w:pageBreakBefore w:val="0"/>
        <w:kinsoku/>
        <w:wordWrap/>
        <w:overflowPunct/>
        <w:topLinePunct w:val="0"/>
        <w:bidi w:val="0"/>
        <w:adjustRightInd w:val="0"/>
        <w:snapToGrid w:val="0"/>
        <w:spacing w:before="0" w:beforeLines="0" w:after="0" w:afterLines="0" w:line="360" w:lineRule="auto"/>
        <w:ind w:left="3313"/>
        <w:textAlignment w:val="auto"/>
        <w:rPr>
          <w:rFonts w:eastAsia="仿宋_GB2312"/>
          <w:sz w:val="30"/>
          <w:szCs w:val="30"/>
        </w:rPr>
      </w:pPr>
      <w:bookmarkStart w:id="150" w:name="_Toc232395215"/>
      <w:bookmarkStart w:id="151" w:name="_Toc177189238"/>
      <w:bookmarkStart w:id="152" w:name="_Toc230013635"/>
      <w:bookmarkStart w:id="153" w:name="_Toc177995476"/>
      <w:bookmarkStart w:id="154" w:name="_Toc176882545"/>
      <w:bookmarkStart w:id="155" w:name="_Toc230583544"/>
      <w:bookmarkStart w:id="156" w:name="_Toc249525169"/>
      <w:bookmarkStart w:id="157" w:name="_Toc249515400"/>
      <w:bookmarkStart w:id="158" w:name="_Toc184043022"/>
      <w:bookmarkStart w:id="159" w:name="_Toc230099800"/>
      <w:bookmarkStart w:id="160" w:name="_Toc68590971"/>
      <w:bookmarkStart w:id="161" w:name="_Toc256342146"/>
      <w:bookmarkStart w:id="162" w:name="_Toc232176275"/>
      <w:bookmarkStart w:id="163" w:name="_Toc177817337"/>
      <w:bookmarkStart w:id="164" w:name="_Toc249515288"/>
      <w:r>
        <w:rPr>
          <w:rFonts w:eastAsia="仿宋_GB2312"/>
          <w:sz w:val="30"/>
          <w:szCs w:val="30"/>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65" w:name="_Toc30150"/>
      <w:bookmarkStart w:id="166" w:name="_Toc70687150"/>
      <w:bookmarkStart w:id="167" w:name="_Toc184043023"/>
      <w:bookmarkStart w:id="168" w:name="_Toc249515289"/>
      <w:bookmarkStart w:id="169" w:name="_Toc249515401"/>
      <w:bookmarkStart w:id="170" w:name="_Toc249525170"/>
      <w:bookmarkStart w:id="171" w:name="_Toc385992337"/>
      <w:bookmarkStart w:id="172" w:name="_Toc389620176"/>
      <w:r>
        <w:rPr>
          <w:rFonts w:ascii="Times New Roman" w:hAnsi="Times New Roman" w:eastAsia="仿宋_GB2312"/>
          <w:b/>
          <w:sz w:val="24"/>
          <w:szCs w:val="21"/>
        </w:rPr>
        <w:t>8.     响应文件语言</w:t>
      </w:r>
      <w:bookmarkEnd w:id="165"/>
      <w:bookmarkEnd w:id="166"/>
      <w:bookmarkEnd w:id="167"/>
      <w:bookmarkEnd w:id="168"/>
      <w:bookmarkEnd w:id="169"/>
      <w:bookmarkEnd w:id="170"/>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8.1    响应文件及与响应相关的所有文件均应以中文书写。</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73" w:name="_Toc249525171"/>
      <w:bookmarkStart w:id="174" w:name="_Toc184043024"/>
      <w:bookmarkStart w:id="175" w:name="_Toc249515290"/>
      <w:bookmarkStart w:id="176" w:name="_Toc18327"/>
      <w:bookmarkStart w:id="177" w:name="_Toc249515402"/>
      <w:bookmarkStart w:id="178" w:name="_Toc70687151"/>
      <w:r>
        <w:rPr>
          <w:rFonts w:ascii="Times New Roman" w:hAnsi="Times New Roman" w:eastAsia="仿宋_GB2312"/>
          <w:b/>
          <w:sz w:val="24"/>
          <w:szCs w:val="21"/>
        </w:rPr>
        <w:t>9.     计量单位</w:t>
      </w:r>
      <w:bookmarkEnd w:id="171"/>
      <w:bookmarkEnd w:id="172"/>
      <w:bookmarkEnd w:id="173"/>
      <w:bookmarkEnd w:id="174"/>
      <w:bookmarkEnd w:id="175"/>
      <w:bookmarkEnd w:id="176"/>
      <w:bookmarkEnd w:id="177"/>
      <w:bookmarkEnd w:id="178"/>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9.1    除在磋商文件的技术规格中另有规定外，计量单位应使用中华人民共和国法定计量单位。</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79" w:name="_Toc184043025"/>
      <w:bookmarkStart w:id="180" w:name="_Toc249525172"/>
      <w:bookmarkStart w:id="181" w:name="_Toc249515403"/>
      <w:bookmarkStart w:id="182" w:name="_Toc389620177"/>
      <w:bookmarkStart w:id="183" w:name="_Toc249515291"/>
      <w:bookmarkStart w:id="184" w:name="_Toc385992338"/>
      <w:bookmarkStart w:id="185" w:name="_Toc29318"/>
      <w:bookmarkStart w:id="186" w:name="_Toc70687152"/>
      <w:r>
        <w:rPr>
          <w:rFonts w:ascii="Times New Roman" w:hAnsi="Times New Roman" w:eastAsia="仿宋_GB2312"/>
          <w:b/>
          <w:sz w:val="24"/>
          <w:szCs w:val="21"/>
        </w:rPr>
        <w:t>10.    响应文件的组成</w:t>
      </w:r>
      <w:bookmarkEnd w:id="179"/>
      <w:bookmarkEnd w:id="180"/>
      <w:bookmarkEnd w:id="181"/>
      <w:bookmarkEnd w:id="182"/>
      <w:bookmarkEnd w:id="183"/>
      <w:bookmarkEnd w:id="184"/>
      <w:bookmarkEnd w:id="185"/>
      <w:bookmarkEnd w:id="186"/>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10.1   供应商编写的响应文件</w:t>
      </w:r>
      <w:r>
        <w:rPr>
          <w:rFonts w:eastAsia="仿宋_GB2312"/>
          <w:b/>
          <w:sz w:val="24"/>
        </w:rPr>
        <w:t>由《资格证明文件》、《商务及技术文件》</w:t>
      </w:r>
      <w:r>
        <w:rPr>
          <w:rFonts w:eastAsia="仿宋_GB2312"/>
          <w:b/>
          <w:bCs w:val="0"/>
          <w:sz w:val="24"/>
        </w:rPr>
        <w:t>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keepNext w:val="0"/>
        <w:keepLines w:val="0"/>
        <w:pageBreakBefore w:val="0"/>
        <w:tabs>
          <w:tab w:val="left" w:pos="588"/>
        </w:tabs>
        <w:kinsoku/>
        <w:wordWrap/>
        <w:overflowPunct/>
        <w:topLinePunct w:val="0"/>
        <w:bidi w:val="0"/>
        <w:adjustRightInd w:val="0"/>
        <w:snapToGrid w:val="0"/>
        <w:spacing w:line="360" w:lineRule="auto"/>
        <w:ind w:left="720" w:hanging="720" w:hangingChars="300"/>
        <w:textAlignment w:val="auto"/>
        <w:rPr>
          <w:rFonts w:eastAsia="仿宋_GB2312"/>
          <w:sz w:val="24"/>
        </w:rPr>
      </w:pPr>
      <w:r>
        <w:rPr>
          <w:rFonts w:eastAsia="仿宋_GB2312"/>
          <w:sz w:val="24"/>
        </w:rPr>
        <w:t>10.2   供应商提供的以上材料必须真实有效，任何一项的虚假将导致其响应被拒绝。</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87" w:name="_Toc249525173"/>
      <w:bookmarkStart w:id="188" w:name="_Toc70687153"/>
      <w:bookmarkStart w:id="189" w:name="_Toc389620178"/>
      <w:bookmarkStart w:id="190" w:name="_Toc249515292"/>
      <w:bookmarkStart w:id="191" w:name="_Toc385992339"/>
      <w:bookmarkStart w:id="192" w:name="_Toc249515404"/>
      <w:bookmarkStart w:id="193" w:name="_Toc184043026"/>
      <w:bookmarkStart w:id="194" w:name="_Toc26312"/>
      <w:r>
        <w:rPr>
          <w:rFonts w:ascii="Times New Roman" w:hAnsi="Times New Roman" w:eastAsia="仿宋_GB2312"/>
          <w:b/>
          <w:sz w:val="24"/>
        </w:rPr>
        <w:t>11.    响应文件格式</w:t>
      </w:r>
      <w:bookmarkEnd w:id="187"/>
      <w:bookmarkEnd w:id="188"/>
      <w:bookmarkEnd w:id="189"/>
      <w:bookmarkEnd w:id="190"/>
      <w:bookmarkEnd w:id="191"/>
      <w:bookmarkEnd w:id="192"/>
      <w:bookmarkEnd w:id="193"/>
      <w:bookmarkEnd w:id="194"/>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95" w:name="_Toc26688"/>
      <w:r>
        <w:rPr>
          <w:rFonts w:ascii="Times New Roman" w:hAnsi="Times New Roman" w:eastAsia="仿宋_GB2312"/>
          <w:b/>
          <w:sz w:val="24"/>
          <w:szCs w:val="21"/>
        </w:rPr>
        <w:t>12.    响应报价</w:t>
      </w:r>
      <w:bookmarkEnd w:id="195"/>
    </w:p>
    <w:p>
      <w:pPr>
        <w:keepNext w:val="0"/>
        <w:keepLines w:val="0"/>
        <w:pageBreakBefore w:val="0"/>
        <w:tabs>
          <w:tab w:val="left" w:pos="0"/>
          <w:tab w:val="left" w:pos="540"/>
          <w:tab w:val="left" w:pos="720"/>
        </w:tabs>
        <w:kinsoku/>
        <w:wordWrap/>
        <w:overflowPunct/>
        <w:topLinePunct w:val="0"/>
        <w:bidi w:val="0"/>
        <w:adjustRightInd w:val="0"/>
        <w:snapToGrid w:val="0"/>
        <w:spacing w:line="360" w:lineRule="auto"/>
        <w:ind w:left="840" w:hanging="840" w:hangingChars="350"/>
        <w:textAlignment w:val="auto"/>
        <w:rPr>
          <w:rFonts w:eastAsia="仿宋_GB2312"/>
        </w:rPr>
      </w:pPr>
      <w:r>
        <w:rPr>
          <w:rFonts w:eastAsia="仿宋_GB2312"/>
          <w:kern w:val="24"/>
          <w:sz w:val="24"/>
          <w:szCs w:val="21"/>
        </w:rPr>
        <w:t>12.1   响应报价应包括供应商为完成磋商文件中规定的本项目采购内容和范围所需要的全部费用，以及与所报服务相关的所有税费，具体包括但不限于第五章列出的内容。供应商估算错误或漏项的风险一律由供应商承担。见</w:t>
      </w:r>
      <w:r>
        <w:rPr>
          <w:rFonts w:eastAsia="仿宋_GB2312"/>
          <w:b/>
          <w:kern w:val="24"/>
          <w:sz w:val="24"/>
          <w:szCs w:val="21"/>
        </w:rPr>
        <w:t>供应商须知前附表。</w:t>
      </w:r>
    </w:p>
    <w:p>
      <w:pPr>
        <w:keepNext w:val="0"/>
        <w:keepLines w:val="0"/>
        <w:pageBreakBefore w:val="0"/>
        <w:tabs>
          <w:tab w:val="left" w:pos="540"/>
          <w:tab w:val="left" w:pos="840"/>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12.2   供应商应在响应分项报价表中详细列出所报</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keepNext w:val="0"/>
        <w:keepLines w:val="0"/>
        <w:pageBreakBefore w:val="0"/>
        <w:tabs>
          <w:tab w:val="left" w:pos="180"/>
          <w:tab w:val="left" w:pos="540"/>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12.3   响应分项报价表的总价应和响应报价表的响应报价相一致，也包括供应商为完成本项目所发生的一切费用且已包括与所报服务相关的所有税费。若响应分项报价表的总价和响应报价表的响应报价不一致，则供应商的报价以《响应报价表》的响应报价为准。</w:t>
      </w:r>
    </w:p>
    <w:p>
      <w:pPr>
        <w:keepNext w:val="0"/>
        <w:keepLines w:val="0"/>
        <w:pageBreakBefore w:val="0"/>
        <w:tabs>
          <w:tab w:val="left" w:pos="180"/>
          <w:tab w:val="left" w:pos="540"/>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w:t>
      </w:r>
      <w:r>
        <w:rPr>
          <w:rFonts w:hint="eastAsia" w:eastAsia="仿宋_GB2312"/>
          <w:kern w:val="24"/>
          <w:sz w:val="24"/>
          <w:szCs w:val="21"/>
          <w:u w:val="single"/>
          <w:lang w:eastAsia="zh-CN"/>
        </w:rPr>
        <w:t>相关设备</w:t>
      </w:r>
      <w:r>
        <w:rPr>
          <w:rFonts w:eastAsia="仿宋_GB2312"/>
          <w:kern w:val="24"/>
          <w:sz w:val="24"/>
          <w:szCs w:val="21"/>
          <w:u w:val="single"/>
        </w:rPr>
        <w:t>）</w:t>
      </w:r>
      <w:r>
        <w:rPr>
          <w:rFonts w:eastAsia="仿宋_GB2312"/>
          <w:kern w:val="24"/>
          <w:sz w:val="24"/>
          <w:szCs w:val="21"/>
        </w:rPr>
        <w:t>只允许有一个报价，采购人不接受有任何选择的报价。</w:t>
      </w:r>
    </w:p>
    <w:p>
      <w:pPr>
        <w:keepNext w:val="0"/>
        <w:keepLines w:val="0"/>
        <w:pageBreakBefore w:val="0"/>
        <w:tabs>
          <w:tab w:val="left" w:pos="180"/>
          <w:tab w:val="left" w:pos="540"/>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196" w:name="_Toc249515294"/>
      <w:bookmarkStart w:id="197" w:name="_Toc249515406"/>
      <w:bookmarkStart w:id="198" w:name="_Toc249525175"/>
      <w:bookmarkStart w:id="199" w:name="_Toc70687155"/>
      <w:bookmarkStart w:id="200" w:name="_Toc389620180"/>
      <w:bookmarkStart w:id="201" w:name="_Toc184043028"/>
      <w:bookmarkStart w:id="202" w:name="_Toc20687"/>
      <w:bookmarkStart w:id="203" w:name="_Toc385992341"/>
      <w:r>
        <w:rPr>
          <w:rFonts w:ascii="Times New Roman" w:hAnsi="Times New Roman" w:eastAsia="仿宋_GB2312"/>
          <w:b/>
          <w:sz w:val="24"/>
          <w:szCs w:val="21"/>
        </w:rPr>
        <w:t>13.    报价货币</w:t>
      </w:r>
      <w:bookmarkEnd w:id="196"/>
      <w:bookmarkEnd w:id="197"/>
      <w:bookmarkEnd w:id="198"/>
      <w:bookmarkEnd w:id="199"/>
      <w:bookmarkEnd w:id="200"/>
      <w:bookmarkEnd w:id="201"/>
      <w:bookmarkEnd w:id="202"/>
      <w:bookmarkEnd w:id="203"/>
    </w:p>
    <w:p>
      <w:pPr>
        <w:keepNext w:val="0"/>
        <w:keepLines w:val="0"/>
        <w:pageBreakBefore w:val="0"/>
        <w:tabs>
          <w:tab w:val="left" w:pos="180"/>
          <w:tab w:val="left" w:pos="540"/>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12.3   磋商响应函、响应报价表、响应分项报价表、</w:t>
      </w:r>
      <w:r>
        <w:rPr>
          <w:rFonts w:hint="eastAsia" w:eastAsia="仿宋_GB2312"/>
          <w:kern w:val="24"/>
          <w:sz w:val="24"/>
          <w:szCs w:val="21"/>
        </w:rPr>
        <w:t>最后</w:t>
      </w:r>
      <w:r>
        <w:rPr>
          <w:rFonts w:hint="eastAsia" w:eastAsia="仿宋_GB2312"/>
          <w:kern w:val="24"/>
          <w:sz w:val="24"/>
          <w:szCs w:val="21"/>
          <w:lang w:eastAsia="zh-CN"/>
        </w:rPr>
        <w:t>响应</w:t>
      </w:r>
      <w:r>
        <w:rPr>
          <w:rFonts w:eastAsia="仿宋_GB2312"/>
          <w:kern w:val="24"/>
          <w:sz w:val="24"/>
          <w:szCs w:val="21"/>
        </w:rPr>
        <w:t>报价表等所有报价一律用人民币填报。采购人不接受任何非人民币币种的报价。</w:t>
      </w:r>
      <w:bookmarkStart w:id="204" w:name="_Toc385992342"/>
      <w:bookmarkStart w:id="205" w:name="_Toc389620181"/>
    </w:p>
    <w:bookmarkEnd w:id="204"/>
    <w:bookmarkEnd w:id="205"/>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kern w:val="24"/>
          <w:sz w:val="24"/>
          <w:szCs w:val="21"/>
        </w:rPr>
      </w:pPr>
      <w:bookmarkStart w:id="206" w:name="止观"/>
      <w:bookmarkEnd w:id="206"/>
      <w:r>
        <w:rPr>
          <w:rFonts w:ascii="Times New Roman" w:hAnsi="Times New Roman" w:eastAsia="仿宋_GB2312"/>
          <w:b/>
          <w:sz w:val="24"/>
          <w:szCs w:val="21"/>
        </w:rPr>
        <w:t>14.    磋商保证金</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keepNext w:val="0"/>
        <w:keepLines w:val="0"/>
        <w:pageBreakBefore w:val="0"/>
        <w:tabs>
          <w:tab w:val="left" w:pos="588"/>
        </w:tabs>
        <w:kinsoku/>
        <w:wordWrap/>
        <w:overflowPunct/>
        <w:topLinePunct w:val="0"/>
        <w:bidi w:val="0"/>
        <w:adjustRightInd w:val="0"/>
        <w:snapToGrid w:val="0"/>
        <w:spacing w:line="360" w:lineRule="auto"/>
        <w:ind w:left="720" w:hanging="720" w:hangingChars="300"/>
        <w:textAlignment w:val="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keepNext w:val="0"/>
        <w:keepLines w:val="0"/>
        <w:pageBreakBefore w:val="0"/>
        <w:numPr>
          <w:ilvl w:val="0"/>
          <w:numId w:val="6"/>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电汇；</w:t>
      </w:r>
    </w:p>
    <w:p>
      <w:pPr>
        <w:keepNext w:val="0"/>
        <w:keepLines w:val="0"/>
        <w:pageBreakBefore w:val="0"/>
        <w:numPr>
          <w:ilvl w:val="0"/>
          <w:numId w:val="6"/>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银行转账；</w:t>
      </w:r>
    </w:p>
    <w:p>
      <w:pPr>
        <w:keepNext w:val="0"/>
        <w:keepLines w:val="0"/>
        <w:pageBreakBefore w:val="0"/>
        <w:numPr>
          <w:ilvl w:val="0"/>
          <w:numId w:val="6"/>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支票、汇票、本票、金融机构或担保机构出具的保函等非现金形式。</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keepNext w:val="0"/>
        <w:keepLines w:val="0"/>
        <w:pageBreakBefore w:val="0"/>
        <w:numPr>
          <w:ilvl w:val="0"/>
          <w:numId w:val="7"/>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供应商在提交响应文件截止时间后撤销响应文件的；</w:t>
      </w:r>
    </w:p>
    <w:p>
      <w:pPr>
        <w:keepNext w:val="0"/>
        <w:keepLines w:val="0"/>
        <w:pageBreakBefore w:val="0"/>
        <w:numPr>
          <w:ilvl w:val="0"/>
          <w:numId w:val="7"/>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供应商在响应文件中提供虚假材料的；</w:t>
      </w:r>
    </w:p>
    <w:p>
      <w:pPr>
        <w:keepNext w:val="0"/>
        <w:keepLines w:val="0"/>
        <w:pageBreakBefore w:val="0"/>
        <w:numPr>
          <w:ilvl w:val="0"/>
          <w:numId w:val="7"/>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keepNext w:val="0"/>
        <w:keepLines w:val="0"/>
        <w:pageBreakBefore w:val="0"/>
        <w:numPr>
          <w:ilvl w:val="0"/>
          <w:numId w:val="7"/>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供应商与采购人、其他供应商或者采购代理机构恶意串通的；</w:t>
      </w:r>
    </w:p>
    <w:p>
      <w:pPr>
        <w:keepNext w:val="0"/>
        <w:keepLines w:val="0"/>
        <w:pageBreakBefore w:val="0"/>
        <w:numPr>
          <w:ilvl w:val="0"/>
          <w:numId w:val="7"/>
        </w:numPr>
        <w:tabs>
          <w:tab w:val="left" w:pos="588"/>
        </w:tabs>
        <w:kinsoku/>
        <w:wordWrap/>
        <w:overflowPunct/>
        <w:topLinePunct w:val="0"/>
        <w:bidi w:val="0"/>
        <w:adjustRightInd w:val="0"/>
        <w:snapToGrid w:val="0"/>
        <w:spacing w:line="360" w:lineRule="auto"/>
        <w:ind w:hanging="5"/>
        <w:textAlignment w:val="auto"/>
        <w:rPr>
          <w:rFonts w:eastAsia="仿宋_GB2312"/>
          <w:kern w:val="24"/>
          <w:sz w:val="24"/>
          <w:szCs w:val="21"/>
        </w:rPr>
      </w:pPr>
      <w:r>
        <w:rPr>
          <w:rFonts w:eastAsia="仿宋_GB2312"/>
          <w:kern w:val="24"/>
          <w:sz w:val="24"/>
          <w:szCs w:val="21"/>
        </w:rPr>
        <w:t>成交供应商未按本须知第29条规定缴纳服务费。</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07" w:name="_Toc249525177"/>
      <w:bookmarkStart w:id="208" w:name="_Toc7949"/>
      <w:bookmarkStart w:id="209" w:name="_Toc249515408"/>
      <w:bookmarkStart w:id="210" w:name="_Toc249515296"/>
      <w:r>
        <w:rPr>
          <w:rFonts w:ascii="Times New Roman" w:hAnsi="Times New Roman" w:eastAsia="仿宋_GB2312"/>
          <w:b/>
          <w:sz w:val="24"/>
          <w:szCs w:val="21"/>
        </w:rPr>
        <w:t>15.    磋商有效期</w:t>
      </w:r>
      <w:bookmarkEnd w:id="207"/>
      <w:bookmarkEnd w:id="208"/>
      <w:bookmarkEnd w:id="209"/>
      <w:bookmarkEnd w:id="210"/>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11" w:name="_Toc249515409"/>
      <w:bookmarkStart w:id="212" w:name="_Toc184043033"/>
      <w:bookmarkStart w:id="213" w:name="_Toc249525178"/>
      <w:bookmarkStart w:id="214" w:name="_Toc70687160"/>
      <w:bookmarkStart w:id="215" w:name="_Toc385992346"/>
      <w:bookmarkStart w:id="216" w:name="_Toc389620185"/>
      <w:bookmarkStart w:id="217" w:name="_Toc16612"/>
      <w:bookmarkStart w:id="218" w:name="_Toc249515297"/>
      <w:r>
        <w:rPr>
          <w:rFonts w:ascii="Times New Roman" w:hAnsi="Times New Roman" w:eastAsia="仿宋_GB2312"/>
          <w:b/>
          <w:sz w:val="24"/>
          <w:szCs w:val="21"/>
        </w:rPr>
        <w:t>16.    响应文件的制作和签署</w:t>
      </w:r>
      <w:bookmarkEnd w:id="211"/>
      <w:bookmarkEnd w:id="212"/>
      <w:bookmarkEnd w:id="213"/>
      <w:bookmarkEnd w:id="214"/>
      <w:bookmarkEnd w:id="215"/>
      <w:bookmarkEnd w:id="216"/>
      <w:bookmarkEnd w:id="217"/>
      <w:bookmarkEnd w:id="218"/>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16.4   任何行间插字、涂改或增删，必须由响应文件签字人将姓或首字母在旁边签字才有效。</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16.5   采购人不接受以电报、电话、传真、电子邮件形式递交的响应文件。</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bookmarkStart w:id="219" w:name="_Hlt491765640"/>
      <w:bookmarkEnd w:id="219"/>
      <w:bookmarkStart w:id="220" w:name="_Toc500746970"/>
      <w:bookmarkStart w:id="221" w:name="_Toc176882546"/>
      <w:bookmarkStart w:id="222" w:name="_Toc53722844"/>
      <w:bookmarkStart w:id="223" w:name="_Toc177995477"/>
      <w:bookmarkStart w:id="224" w:name="_Toc503063426"/>
      <w:bookmarkStart w:id="225" w:name="_Toc232395216"/>
      <w:bookmarkStart w:id="226" w:name="_Toc256342147"/>
      <w:bookmarkStart w:id="227" w:name="_Toc249515298"/>
      <w:bookmarkStart w:id="228" w:name="_Toc177189239"/>
      <w:bookmarkStart w:id="229" w:name="_Toc177817338"/>
      <w:bookmarkStart w:id="230" w:name="_Toc499711047"/>
      <w:bookmarkStart w:id="231" w:name="_Toc249515410"/>
      <w:bookmarkStart w:id="232" w:name="_Toc230583545"/>
      <w:bookmarkStart w:id="233" w:name="_Toc500747066"/>
      <w:bookmarkStart w:id="234" w:name="_Toc232176276"/>
      <w:bookmarkStart w:id="235" w:name="_Toc230013636"/>
      <w:bookmarkStart w:id="236" w:name="_Toc492955419"/>
      <w:bookmarkStart w:id="237" w:name="_Toc499711888"/>
      <w:bookmarkStart w:id="238" w:name="_Toc184043034"/>
      <w:bookmarkStart w:id="239" w:name="_Toc385992347"/>
      <w:bookmarkStart w:id="240" w:name="_Toc249525179"/>
      <w:bookmarkStart w:id="241" w:name="_Toc389620186"/>
      <w:bookmarkStart w:id="242" w:name="_Toc496324583"/>
      <w:bookmarkStart w:id="243" w:name="_Toc70687161"/>
      <w:bookmarkStart w:id="244" w:name="_Toc500747193"/>
      <w:bookmarkStart w:id="245" w:name="_Toc230099801"/>
      <w:r>
        <w:rPr>
          <w:rFonts w:eastAsia="仿宋_GB2312"/>
          <w:sz w:val="24"/>
        </w:rPr>
        <w:t>16.7   响应文件应按照“资格证明文件”和“商务及技术文件”分成两部分，并用不可拆装的方式分别装订成册。</w:t>
      </w:r>
    </w:p>
    <w:p>
      <w:pPr>
        <w:pStyle w:val="2"/>
        <w:keepNext w:val="0"/>
        <w:keepLines w:val="0"/>
        <w:pageBreakBefore w:val="0"/>
        <w:kinsoku/>
        <w:wordWrap/>
        <w:overflowPunct/>
        <w:topLinePunct w:val="0"/>
        <w:bidi w:val="0"/>
        <w:adjustRightInd w:val="0"/>
        <w:snapToGrid w:val="0"/>
        <w:spacing w:line="360" w:lineRule="auto"/>
        <w:textAlignment w:val="auto"/>
      </w:pPr>
    </w:p>
    <w:p>
      <w:pPr>
        <w:pStyle w:val="80"/>
        <w:keepNext w:val="0"/>
        <w:keepLines w:val="0"/>
        <w:pageBreakBefore w:val="0"/>
        <w:kinsoku/>
        <w:wordWrap/>
        <w:overflowPunct/>
        <w:topLinePunct w:val="0"/>
        <w:bidi w:val="0"/>
        <w:adjustRightInd w:val="0"/>
        <w:snapToGrid w:val="0"/>
        <w:spacing w:before="0" w:beforeLines="0" w:after="0" w:afterLines="0" w:line="360" w:lineRule="auto"/>
        <w:jc w:val="center"/>
        <w:textAlignment w:val="auto"/>
        <w:rPr>
          <w:rFonts w:eastAsia="仿宋_GB2312"/>
          <w:sz w:val="30"/>
          <w:szCs w:val="30"/>
        </w:rPr>
      </w:pPr>
      <w:bookmarkStart w:id="246" w:name="_Toc68590972"/>
      <w:r>
        <w:rPr>
          <w:rFonts w:eastAsia="仿宋_GB2312"/>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keepNext w:val="0"/>
        <w:keepLines w:val="0"/>
        <w:pageBreakBefore w:val="0"/>
        <w:kinsoku/>
        <w:wordWrap/>
        <w:overflowPunct/>
        <w:topLinePunct w:val="0"/>
        <w:bidi w:val="0"/>
        <w:adjustRightInd w:val="0"/>
        <w:snapToGrid w:val="0"/>
        <w:spacing w:line="360" w:lineRule="auto"/>
        <w:textAlignment w:val="auto"/>
        <w:rPr>
          <w:rFonts w:eastAsia="仿宋_GB2312"/>
        </w:rPr>
      </w:pP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47" w:name="_Toc184043035"/>
      <w:bookmarkStart w:id="248" w:name="_Toc249515299"/>
      <w:bookmarkStart w:id="249" w:name="_Toc70687162"/>
      <w:bookmarkStart w:id="250" w:name="_Toc249515411"/>
      <w:bookmarkStart w:id="251" w:name="_Toc389620187"/>
      <w:bookmarkStart w:id="252" w:name="_Toc249525180"/>
      <w:bookmarkStart w:id="253" w:name="_Toc4042"/>
      <w:bookmarkStart w:id="254" w:name="_Toc385992348"/>
      <w:r>
        <w:rPr>
          <w:rFonts w:ascii="Times New Roman" w:hAnsi="Times New Roman" w:eastAsia="仿宋_GB2312"/>
          <w:b/>
          <w:sz w:val="24"/>
          <w:szCs w:val="21"/>
        </w:rPr>
        <w:t>17.    响应文件的密封和标记</w:t>
      </w:r>
      <w:bookmarkEnd w:id="247"/>
      <w:bookmarkEnd w:id="248"/>
      <w:bookmarkEnd w:id="249"/>
      <w:bookmarkEnd w:id="250"/>
      <w:bookmarkEnd w:id="251"/>
      <w:bookmarkEnd w:id="252"/>
      <w:bookmarkEnd w:id="253"/>
      <w:bookmarkEnd w:id="254"/>
    </w:p>
    <w:p>
      <w:pPr>
        <w:keepNext w:val="0"/>
        <w:keepLines w:val="0"/>
        <w:pageBreakBefore w:val="0"/>
        <w:tabs>
          <w:tab w:val="left" w:pos="588"/>
        </w:tabs>
        <w:kinsoku/>
        <w:wordWrap/>
        <w:overflowPunct/>
        <w:topLinePunct w:val="0"/>
        <w:autoSpaceDE w:val="0"/>
        <w:autoSpaceDN w:val="0"/>
        <w:bidi w:val="0"/>
        <w:adjustRightInd w:val="0"/>
        <w:snapToGrid w:val="0"/>
        <w:spacing w:line="360" w:lineRule="auto"/>
        <w:ind w:left="840" w:hanging="840" w:hangingChars="350"/>
        <w:textAlignment w:val="auto"/>
        <w:rPr>
          <w:rFonts w:hint="eastAsia" w:eastAsia="仿宋_GB2312"/>
          <w:kern w:val="0"/>
          <w:sz w:val="24"/>
          <w:szCs w:val="21"/>
        </w:rPr>
      </w:pPr>
      <w:bookmarkStart w:id="255" w:name="_Toc389620188"/>
      <w:bookmarkStart w:id="256" w:name="_Toc385992349"/>
      <w:bookmarkStart w:id="257" w:name="_Toc70687163"/>
      <w:bookmarkStart w:id="258" w:name="_Toc184043036"/>
      <w:r>
        <w:rPr>
          <w:rFonts w:eastAsia="仿宋_GB2312"/>
          <w:kern w:val="0"/>
          <w:sz w:val="24"/>
          <w:szCs w:val="21"/>
        </w:rPr>
        <w:t>17.1   供应商应将响应文件“资格证明文件”</w:t>
      </w:r>
      <w:r>
        <w:rPr>
          <w:rFonts w:hint="eastAsia" w:eastAsia="仿宋_GB2312"/>
          <w:kern w:val="0"/>
          <w:sz w:val="24"/>
          <w:szCs w:val="21"/>
        </w:rPr>
        <w:t>、“商务及技术文件”和“电子版文件”分别密封在三个密封袋（箱）中，并在密封袋（箱）上标明“资格证明文件”、“商务及技术文件”和“电子版文件”字样，封口处应加盖公章或授权代表签字。</w:t>
      </w:r>
    </w:p>
    <w:p>
      <w:pPr>
        <w:keepNext w:val="0"/>
        <w:keepLines w:val="0"/>
        <w:pageBreakBefore w:val="0"/>
        <w:tabs>
          <w:tab w:val="left" w:pos="588"/>
        </w:tabs>
        <w:kinsoku/>
        <w:wordWrap/>
        <w:overflowPunct/>
        <w:topLinePunct w:val="0"/>
        <w:autoSpaceDE w:val="0"/>
        <w:autoSpaceDN w:val="0"/>
        <w:bidi w:val="0"/>
        <w:adjustRightInd w:val="0"/>
        <w:snapToGrid w:val="0"/>
        <w:spacing w:line="360" w:lineRule="auto"/>
        <w:ind w:left="840" w:hanging="840" w:hangingChars="350"/>
        <w:textAlignment w:val="auto"/>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5"/>
    <w:bookmarkEnd w:id="256"/>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59" w:name="_Toc31171"/>
      <w:bookmarkStart w:id="260" w:name="_Toc249515412"/>
      <w:bookmarkStart w:id="261" w:name="_Toc249525181"/>
      <w:bookmarkStart w:id="262" w:name="_Toc249515300"/>
      <w:r>
        <w:rPr>
          <w:rFonts w:ascii="Times New Roman" w:hAnsi="Times New Roman" w:eastAsia="仿宋_GB2312"/>
          <w:b/>
          <w:sz w:val="24"/>
          <w:szCs w:val="21"/>
        </w:rPr>
        <w:t>18.    响应文件递交截止时间</w:t>
      </w:r>
      <w:bookmarkEnd w:id="257"/>
      <w:bookmarkEnd w:id="258"/>
      <w:bookmarkEnd w:id="259"/>
      <w:bookmarkEnd w:id="260"/>
      <w:bookmarkEnd w:id="261"/>
      <w:bookmarkEnd w:id="262"/>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bookmarkStart w:id="263" w:name="_Toc385992350"/>
      <w:bookmarkStart w:id="264" w:name="_Toc389620189"/>
      <w:bookmarkStart w:id="265" w:name="_Toc184043037"/>
      <w:bookmarkStart w:id="266" w:name="_Toc70687164"/>
      <w:r>
        <w:rPr>
          <w:rFonts w:eastAsia="仿宋_GB2312"/>
          <w:sz w:val="24"/>
        </w:rPr>
        <w:t>18.1   响应文件递交截止时间和地点见</w:t>
      </w:r>
      <w:r>
        <w:rPr>
          <w:rFonts w:eastAsia="仿宋_GB2312"/>
          <w:b/>
          <w:sz w:val="24"/>
        </w:rPr>
        <w:t>供应商须知前附表</w:t>
      </w:r>
      <w:r>
        <w:rPr>
          <w:rFonts w:eastAsia="仿宋_GB2312"/>
          <w:sz w:val="24"/>
        </w:rPr>
        <w:t>。</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67" w:name="_Toc249515301"/>
      <w:bookmarkStart w:id="268" w:name="_Toc249525182"/>
      <w:bookmarkStart w:id="269" w:name="_Toc249515413"/>
      <w:bookmarkStart w:id="270" w:name="_Toc7175"/>
      <w:r>
        <w:rPr>
          <w:rFonts w:ascii="Times New Roman" w:hAnsi="Times New Roman" w:eastAsia="仿宋_GB2312"/>
          <w:b/>
          <w:sz w:val="24"/>
          <w:szCs w:val="21"/>
        </w:rPr>
        <w:t>19.    迟交的响应文件</w:t>
      </w:r>
      <w:bookmarkEnd w:id="263"/>
      <w:bookmarkEnd w:id="264"/>
      <w:bookmarkEnd w:id="265"/>
      <w:bookmarkEnd w:id="266"/>
      <w:bookmarkEnd w:id="267"/>
      <w:bookmarkEnd w:id="268"/>
      <w:bookmarkEnd w:id="269"/>
      <w:bookmarkEnd w:id="270"/>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19.1   采购人将拒绝接收第18条规定的响应文件递交截止时间后递交的任何响应文件。</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271" w:name="_Toc385992351"/>
      <w:bookmarkStart w:id="272" w:name="_Toc389620190"/>
      <w:bookmarkStart w:id="273" w:name="_Toc70687165"/>
      <w:bookmarkStart w:id="274" w:name="_Toc249525183"/>
      <w:bookmarkStart w:id="275" w:name="_Toc249515302"/>
      <w:bookmarkStart w:id="276" w:name="_Toc184043038"/>
      <w:bookmarkStart w:id="277" w:name="_Toc249515414"/>
      <w:bookmarkStart w:id="278" w:name="_Toc10272"/>
      <w:r>
        <w:rPr>
          <w:rFonts w:ascii="Times New Roman" w:hAnsi="Times New Roman" w:eastAsia="仿宋_GB2312"/>
          <w:b/>
          <w:sz w:val="24"/>
          <w:szCs w:val="21"/>
        </w:rPr>
        <w:t>20.    响应文件的修改和撤</w:t>
      </w:r>
      <w:bookmarkEnd w:id="271"/>
      <w:bookmarkEnd w:id="272"/>
      <w:bookmarkEnd w:id="273"/>
      <w:bookmarkEnd w:id="274"/>
      <w:bookmarkEnd w:id="275"/>
      <w:bookmarkEnd w:id="276"/>
      <w:bookmarkEnd w:id="277"/>
      <w:bookmarkEnd w:id="278"/>
      <w:r>
        <w:rPr>
          <w:rFonts w:ascii="Times New Roman" w:hAnsi="Times New Roman" w:eastAsia="仿宋_GB2312"/>
          <w:b/>
          <w:sz w:val="24"/>
          <w:szCs w:val="21"/>
        </w:rPr>
        <w:t>回</w:t>
      </w:r>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20.2   在响应文件递交截止时间之后，供应商不得对其响应文件做任何修改。</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20.3   供应商不得在响应文件递交截止时间起至响应文件有效期期满前撤销其响应文件。</w:t>
      </w:r>
    </w:p>
    <w:p>
      <w:pPr>
        <w:pStyle w:val="2"/>
        <w:keepNext w:val="0"/>
        <w:keepLines w:val="0"/>
        <w:pageBreakBefore w:val="0"/>
        <w:kinsoku/>
        <w:wordWrap/>
        <w:overflowPunct/>
        <w:topLinePunct w:val="0"/>
        <w:bidi w:val="0"/>
        <w:adjustRightInd w:val="0"/>
        <w:snapToGrid w:val="0"/>
        <w:spacing w:line="360" w:lineRule="auto"/>
        <w:textAlignment w:val="auto"/>
      </w:pPr>
    </w:p>
    <w:p>
      <w:pPr>
        <w:pStyle w:val="80"/>
        <w:keepNext w:val="0"/>
        <w:keepLines w:val="0"/>
        <w:pageBreakBefore w:val="0"/>
        <w:kinsoku/>
        <w:wordWrap/>
        <w:overflowPunct/>
        <w:topLinePunct w:val="0"/>
        <w:bidi w:val="0"/>
        <w:adjustRightInd w:val="0"/>
        <w:snapToGrid w:val="0"/>
        <w:spacing w:before="0" w:beforeLines="0" w:after="0" w:afterLines="0" w:line="360" w:lineRule="auto"/>
        <w:ind w:left="3313"/>
        <w:textAlignment w:val="auto"/>
        <w:rPr>
          <w:rFonts w:eastAsia="仿宋_GB2312"/>
          <w:sz w:val="30"/>
          <w:szCs w:val="30"/>
        </w:rPr>
      </w:pPr>
      <w:bookmarkStart w:id="279" w:name="_Hlt491765712"/>
      <w:bookmarkEnd w:id="279"/>
      <w:bookmarkStart w:id="280" w:name="_Hlt497729441"/>
      <w:bookmarkEnd w:id="280"/>
      <w:bookmarkStart w:id="281" w:name="_Toc249515415"/>
      <w:bookmarkStart w:id="282" w:name="_Toc256342148"/>
      <w:bookmarkStart w:id="283" w:name="_Toc249525184"/>
      <w:bookmarkStart w:id="284" w:name="_Toc249515303"/>
      <w:bookmarkStart w:id="285" w:name="_Toc68590973"/>
      <w:bookmarkStart w:id="286" w:name="_Toc503063427"/>
      <w:bookmarkStart w:id="287" w:name="_Toc385992352"/>
      <w:bookmarkStart w:id="288" w:name="_Toc500746971"/>
      <w:bookmarkStart w:id="289" w:name="_Toc499711889"/>
      <w:bookmarkStart w:id="290" w:name="_Toc53722845"/>
      <w:bookmarkStart w:id="291" w:name="_Toc177995478"/>
      <w:bookmarkStart w:id="292" w:name="_Toc176882547"/>
      <w:bookmarkStart w:id="293" w:name="_Toc499711048"/>
      <w:bookmarkStart w:id="294" w:name="_Toc70687166"/>
      <w:bookmarkStart w:id="295" w:name="_Toc496324584"/>
      <w:bookmarkStart w:id="296" w:name="_Toc500747067"/>
      <w:bookmarkStart w:id="297" w:name="_Toc184043039"/>
      <w:bookmarkStart w:id="298" w:name="_Toc389620191"/>
      <w:bookmarkStart w:id="299" w:name="_Toc492955420"/>
      <w:bookmarkStart w:id="300" w:name="_Toc177817339"/>
      <w:bookmarkStart w:id="301" w:name="_Toc500747194"/>
      <w:bookmarkStart w:id="302" w:name="_Toc177189240"/>
      <w:r>
        <w:rPr>
          <w:rFonts w:eastAsia="仿宋_GB2312"/>
          <w:sz w:val="30"/>
          <w:szCs w:val="30"/>
        </w:rPr>
        <w:t>五、评审与</w:t>
      </w:r>
      <w:bookmarkEnd w:id="281"/>
      <w:bookmarkEnd w:id="282"/>
      <w:bookmarkEnd w:id="283"/>
      <w:bookmarkEnd w:id="284"/>
      <w:r>
        <w:rPr>
          <w:rFonts w:eastAsia="仿宋_GB2312"/>
          <w:sz w:val="30"/>
          <w:szCs w:val="30"/>
        </w:rPr>
        <w:t>磋商</w:t>
      </w:r>
      <w:bookmarkEnd w:id="285"/>
    </w:p>
    <w:p>
      <w:pPr>
        <w:pStyle w:val="5"/>
        <w:keepNext w:val="0"/>
        <w:keepLines w:val="0"/>
        <w:pageBreakBefore w:val="0"/>
        <w:numPr>
          <w:ilvl w:val="0"/>
          <w:numId w:val="8"/>
        </w:numPr>
        <w:kinsoku/>
        <w:wordWrap/>
        <w:overflowPunct/>
        <w:topLinePunct w:val="0"/>
        <w:bidi w:val="0"/>
        <w:adjustRightInd w:val="0"/>
        <w:snapToGrid w:val="0"/>
        <w:spacing w:line="360" w:lineRule="auto"/>
        <w:textAlignment w:val="auto"/>
        <w:rPr>
          <w:rFonts w:ascii="Times New Roman" w:hAnsi="Times New Roman" w:eastAsia="仿宋_GB2312"/>
          <w:b/>
          <w:sz w:val="24"/>
        </w:rPr>
      </w:pPr>
      <w:bookmarkStart w:id="303" w:name="_Toc249515417"/>
      <w:bookmarkStart w:id="304" w:name="_Toc16042"/>
      <w:bookmarkStart w:id="305" w:name="_Toc249525186"/>
      <w:bookmarkStart w:id="306" w:name="_Toc249515305"/>
      <w:r>
        <w:rPr>
          <w:rFonts w:ascii="Times New Roman" w:hAnsi="Times New Roman" w:eastAsia="仿宋_GB2312"/>
          <w:b/>
          <w:sz w:val="24"/>
        </w:rPr>
        <w:t xml:space="preserve">   磋商小组</w:t>
      </w:r>
      <w:bookmarkEnd w:id="303"/>
      <w:bookmarkEnd w:id="304"/>
      <w:bookmarkEnd w:id="305"/>
      <w:bookmarkEnd w:id="306"/>
    </w:p>
    <w:p>
      <w:pPr>
        <w:pStyle w:val="28"/>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b/>
          <w:sz w:val="24"/>
        </w:rPr>
      </w:pPr>
      <w:r>
        <w:rPr>
          <w:rFonts w:ascii="Times New Roman" w:hAnsi="Times New Roman" w:eastAsia="仿宋_GB2312"/>
          <w:sz w:val="24"/>
          <w:szCs w:val="24"/>
        </w:rPr>
        <w:t>21.1   在磋商开始前组建磋商小组，专家从政府采购评审专家库相关专业中随机抽取。磋商小组组成见</w:t>
      </w:r>
      <w:r>
        <w:rPr>
          <w:rFonts w:ascii="Times New Roman" w:hAnsi="Times New Roman" w:eastAsia="仿宋_GB2312"/>
          <w:b/>
          <w:sz w:val="24"/>
        </w:rPr>
        <w:t>供应商须知前附表。</w:t>
      </w:r>
    </w:p>
    <w:p>
      <w:pPr>
        <w:pStyle w:val="28"/>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8"/>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8"/>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8"/>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8"/>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8"/>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keepNext w:val="0"/>
        <w:keepLines w:val="0"/>
        <w:pageBreakBefore w:val="0"/>
        <w:kinsoku/>
        <w:wordWrap/>
        <w:overflowPunct/>
        <w:topLinePunct w:val="0"/>
        <w:bidi w:val="0"/>
        <w:adjustRightInd w:val="0"/>
        <w:snapToGrid w:val="0"/>
        <w:spacing w:line="360" w:lineRule="auto"/>
        <w:ind w:left="838" w:leftChars="399"/>
        <w:textAlignment w:val="auto"/>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keepNext w:val="0"/>
        <w:keepLines w:val="0"/>
        <w:pageBreakBefore w:val="0"/>
        <w:tabs>
          <w:tab w:val="left" w:pos="360"/>
        </w:tabs>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307" w:name="_Toc249515306"/>
      <w:bookmarkStart w:id="308" w:name="_Toc83547667"/>
      <w:bookmarkStart w:id="309" w:name="_Toc20608"/>
      <w:bookmarkStart w:id="310" w:name="_Toc249525187"/>
      <w:bookmarkStart w:id="311" w:name="_Toc249515418"/>
      <w:r>
        <w:rPr>
          <w:rFonts w:ascii="Times New Roman" w:hAnsi="Times New Roman" w:eastAsia="仿宋_GB2312"/>
          <w:b/>
          <w:sz w:val="24"/>
          <w:szCs w:val="21"/>
        </w:rPr>
        <w:t>23.    磋商程序</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312" w:name="_Toc58504507"/>
      <w:r>
        <w:rPr>
          <w:rFonts w:ascii="Times New Roman" w:hAnsi="Times New Roman" w:eastAsia="仿宋_GB2312"/>
          <w:b/>
          <w:sz w:val="24"/>
          <w:szCs w:val="21"/>
        </w:rPr>
        <w:t>23.1   磋商会议</w:t>
      </w:r>
      <w:bookmarkEnd w:id="312"/>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32"/>
        </w:rPr>
      </w:pPr>
      <w:bookmarkStart w:id="313"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3"/>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32"/>
        </w:rPr>
      </w:pPr>
      <w:bookmarkStart w:id="314" w:name="_Toc58504509"/>
      <w:r>
        <w:rPr>
          <w:rFonts w:ascii="Times New Roman" w:hAnsi="Times New Roman" w:eastAsia="仿宋_GB2312"/>
          <w:sz w:val="24"/>
          <w:szCs w:val="32"/>
        </w:rPr>
        <w:t>（2）各供应商或其推荐的代表与采购监督人共同检查响应文件的密封情况，经检查无误后，签字确认。</w:t>
      </w:r>
      <w:bookmarkEnd w:id="314"/>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szCs w:val="32"/>
        </w:rPr>
      </w:pPr>
      <w:bookmarkStart w:id="315"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5"/>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316" w:name="_Toc58504511"/>
      <w:r>
        <w:rPr>
          <w:rFonts w:ascii="Times New Roman" w:hAnsi="Times New Roman" w:eastAsia="仿宋_GB2312"/>
          <w:b/>
          <w:sz w:val="24"/>
          <w:szCs w:val="21"/>
        </w:rPr>
        <w:t>23.2   响应文件</w:t>
      </w:r>
      <w:bookmarkEnd w:id="307"/>
      <w:bookmarkEnd w:id="308"/>
      <w:bookmarkEnd w:id="309"/>
      <w:bookmarkEnd w:id="310"/>
      <w:bookmarkEnd w:id="311"/>
      <w:r>
        <w:rPr>
          <w:rFonts w:ascii="Times New Roman" w:hAnsi="Times New Roman" w:eastAsia="仿宋_GB2312"/>
          <w:b/>
          <w:sz w:val="24"/>
          <w:szCs w:val="21"/>
        </w:rPr>
        <w:t>评审</w:t>
      </w:r>
      <w:bookmarkEnd w:id="316"/>
    </w:p>
    <w:p>
      <w:pPr>
        <w:keepNext w:val="0"/>
        <w:keepLines w:val="0"/>
        <w:pageBreakBefore w:val="0"/>
        <w:tabs>
          <w:tab w:val="left" w:pos="360"/>
          <w:tab w:val="left" w:pos="588"/>
        </w:tabs>
        <w:kinsoku/>
        <w:wordWrap/>
        <w:overflowPunct/>
        <w:topLinePunct w:val="0"/>
        <w:bidi w:val="0"/>
        <w:adjustRightInd w:val="0"/>
        <w:snapToGrid w:val="0"/>
        <w:spacing w:line="360" w:lineRule="auto"/>
        <w:ind w:left="843" w:hanging="843" w:hangingChars="350"/>
        <w:textAlignment w:val="auto"/>
        <w:rPr>
          <w:rFonts w:eastAsia="仿宋_GB2312"/>
          <w:sz w:val="24"/>
        </w:rPr>
      </w:pPr>
      <w:bookmarkStart w:id="317"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（2）供应商没有经过正常渠道</w:t>
      </w:r>
      <w:r>
        <w:rPr>
          <w:rFonts w:hint="eastAsia" w:ascii="Times New Roman" w:hAnsi="Times New Roman" w:eastAsia="仿宋_GB2312"/>
          <w:sz w:val="24"/>
          <w:lang w:eastAsia="zh-CN"/>
        </w:rPr>
        <w:t>获取</w:t>
      </w:r>
      <w:r>
        <w:rPr>
          <w:rFonts w:ascii="Times New Roman" w:hAnsi="Times New Roman" w:eastAsia="仿宋_GB2312"/>
          <w:sz w:val="24"/>
        </w:rPr>
        <w:t>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keepNext w:val="0"/>
        <w:keepLines w:val="0"/>
        <w:pageBreakBefore w:val="0"/>
        <w:kinsoku/>
        <w:wordWrap/>
        <w:overflowPunct/>
        <w:topLinePunct w:val="0"/>
        <w:bidi w:val="0"/>
        <w:adjustRightInd w:val="0"/>
        <w:snapToGrid w:val="0"/>
        <w:spacing w:line="360" w:lineRule="auto"/>
        <w:ind w:left="843" w:hanging="843" w:hangingChars="350"/>
        <w:textAlignment w:val="auto"/>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（5）首次磋商报价超出采购预算。</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keepNext w:val="0"/>
        <w:keepLines w:val="0"/>
        <w:pageBreakBefore w:val="0"/>
        <w:tabs>
          <w:tab w:val="left" w:pos="360"/>
        </w:tabs>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bookmarkStart w:id="318" w:name="_Toc58504512"/>
      <w:r>
        <w:rPr>
          <w:rFonts w:ascii="Times New Roman" w:hAnsi="Times New Roman" w:eastAsia="仿宋_GB2312"/>
          <w:b/>
          <w:sz w:val="24"/>
          <w:szCs w:val="21"/>
        </w:rPr>
        <w:t xml:space="preserve">23.3   </w:t>
      </w:r>
      <w:r>
        <w:rPr>
          <w:rFonts w:hint="eastAsia" w:ascii="Times New Roman" w:hAnsi="Times New Roman" w:eastAsia="仿宋_GB2312"/>
          <w:b/>
          <w:sz w:val="24"/>
          <w:szCs w:val="21"/>
          <w:lang w:val="en-US" w:eastAsia="zh-CN"/>
        </w:rPr>
        <w:t xml:space="preserve"> </w:t>
      </w:r>
      <w:r>
        <w:rPr>
          <w:rFonts w:ascii="Times New Roman" w:hAnsi="Times New Roman" w:eastAsia="仿宋_GB2312"/>
          <w:b/>
          <w:sz w:val="24"/>
          <w:szCs w:val="21"/>
        </w:rPr>
        <w:t>磋商</w:t>
      </w:r>
      <w:bookmarkEnd w:id="318"/>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bookmarkStart w:id="319" w:name="_Toc58504513"/>
      <w:r>
        <w:rPr>
          <w:rFonts w:ascii="Times New Roman" w:hAnsi="Times New Roman" w:eastAsia="仿宋_GB2312"/>
          <w:sz w:val="24"/>
        </w:rPr>
        <w:t xml:space="preserve">23.3.1 </w:t>
      </w:r>
      <w:r>
        <w:rPr>
          <w:rFonts w:hint="eastAsia" w:ascii="Times New Roman" w:hAnsi="Times New Roman" w:eastAsia="仿宋_GB2312"/>
          <w:sz w:val="24"/>
          <w:lang w:val="en-US" w:eastAsia="zh-CN"/>
        </w:rPr>
        <w:t xml:space="preserve"> </w:t>
      </w:r>
      <w:r>
        <w:rPr>
          <w:rFonts w:ascii="Times New Roman" w:hAnsi="Times New Roman" w:eastAsia="仿宋_GB2312"/>
          <w:sz w:val="24"/>
        </w:rPr>
        <w:t>磋商小组集中与各供应商分别进行磋商，并给所有参加磋商供应商平等的磋商机会。</w:t>
      </w:r>
      <w:bookmarkEnd w:id="319"/>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 xml:space="preserve">23.3.2 </w:t>
      </w:r>
      <w:r>
        <w:rPr>
          <w:rFonts w:hint="eastAsia" w:ascii="Times New Roman" w:hAnsi="Times New Roman" w:eastAsia="仿宋_GB2312"/>
          <w:sz w:val="24"/>
          <w:lang w:val="en-US" w:eastAsia="zh-CN"/>
        </w:rPr>
        <w:t xml:space="preserve"> </w:t>
      </w:r>
      <w:r>
        <w:rPr>
          <w:rFonts w:ascii="Times New Roman" w:hAnsi="Times New Roman" w:eastAsia="仿宋_GB2312"/>
          <w:sz w:val="24"/>
        </w:rPr>
        <w:t>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 xml:space="preserve">23.3.3 </w:t>
      </w:r>
      <w:r>
        <w:rPr>
          <w:rFonts w:hint="eastAsia" w:ascii="Times New Roman" w:hAnsi="Times New Roman" w:eastAsia="仿宋_GB2312"/>
          <w:sz w:val="24"/>
          <w:lang w:val="en-US" w:eastAsia="zh-CN"/>
        </w:rPr>
        <w:t xml:space="preserve"> </w:t>
      </w:r>
      <w:r>
        <w:rPr>
          <w:rFonts w:ascii="Times New Roman" w:hAnsi="Times New Roman" w:eastAsia="仿宋_GB2312"/>
          <w:sz w:val="24"/>
        </w:rPr>
        <w:t>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sz w:val="24"/>
        </w:rPr>
      </w:pPr>
      <w:r>
        <w:rPr>
          <w:rFonts w:ascii="Times New Roman" w:hAnsi="Times New Roman" w:eastAsia="仿宋_GB2312"/>
          <w:sz w:val="24"/>
        </w:rPr>
        <w:t>23.3.4</w:t>
      </w:r>
      <w:r>
        <w:rPr>
          <w:rFonts w:hint="eastAsia" w:ascii="Times New Roman" w:hAnsi="Times New Roman" w:eastAsia="仿宋_GB2312"/>
          <w:sz w:val="24"/>
          <w:lang w:val="en-US" w:eastAsia="zh-CN"/>
        </w:rPr>
        <w:t xml:space="preserve">  </w:t>
      </w:r>
      <w:r>
        <w:rPr>
          <w:rFonts w:ascii="Times New Roman" w:hAnsi="Times New Roman" w:eastAsia="仿宋_GB2312"/>
          <w:sz w:val="24"/>
        </w:rPr>
        <w:t>如出现下述情形之一的，视为供应商主动退出磋商，其响应将被拒绝：</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keepNext w:val="0"/>
        <w:keepLines w:val="0"/>
        <w:pageBreakBefore w:val="0"/>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 xml:space="preserve">23.4.1 </w:t>
      </w:r>
      <w:r>
        <w:rPr>
          <w:rFonts w:hint="eastAsia" w:ascii="Times New Roman" w:hAnsi="Times New Roman" w:eastAsia="仿宋_GB2312"/>
          <w:sz w:val="24"/>
          <w:lang w:val="en-US" w:eastAsia="zh-CN"/>
        </w:rPr>
        <w:t xml:space="preserve"> </w:t>
      </w:r>
      <w:r>
        <w:rPr>
          <w:rFonts w:ascii="Times New Roman" w:hAnsi="Times New Roman" w:eastAsia="仿宋_GB2312"/>
          <w:sz w:val="24"/>
        </w:rPr>
        <w:t>磋商结束后，磋商小组要求所有实质性响应的供应商在规定时间内提交最后报价，提交最后报价的供应商不少于3家。最后报价是供应商响应文件的有效组成部分。</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 xml:space="preserve">23.4.2 </w:t>
      </w:r>
      <w:r>
        <w:rPr>
          <w:rFonts w:hint="eastAsia" w:ascii="Times New Roman" w:hAnsi="Times New Roman" w:eastAsia="仿宋_GB2312"/>
          <w:sz w:val="24"/>
          <w:lang w:val="en-US" w:eastAsia="zh-CN"/>
        </w:rPr>
        <w:t xml:space="preserve"> </w:t>
      </w:r>
      <w:r>
        <w:rPr>
          <w:rFonts w:ascii="Times New Roman" w:hAnsi="Times New Roman" w:eastAsia="仿宋_GB2312"/>
          <w:sz w:val="24"/>
        </w:rPr>
        <w:t>最后报价应按报价的格式内容填写，并且同时提交</w:t>
      </w:r>
      <w:r>
        <w:rPr>
          <w:rFonts w:hint="eastAsia" w:eastAsia="仿宋_GB2312"/>
          <w:kern w:val="24"/>
          <w:sz w:val="24"/>
          <w:szCs w:val="21"/>
        </w:rPr>
        <w:t>最后</w:t>
      </w:r>
      <w:r>
        <w:rPr>
          <w:rFonts w:ascii="Times New Roman" w:hAnsi="Times New Roman" w:eastAsia="仿宋_GB2312"/>
          <w:sz w:val="24"/>
        </w:rPr>
        <w:t>响应报价表、</w:t>
      </w:r>
      <w:r>
        <w:rPr>
          <w:rFonts w:hint="eastAsia" w:eastAsia="仿宋_GB2312"/>
          <w:kern w:val="24"/>
          <w:sz w:val="24"/>
          <w:szCs w:val="21"/>
        </w:rPr>
        <w:t>最后</w:t>
      </w:r>
      <w:r>
        <w:rPr>
          <w:rFonts w:ascii="Times New Roman" w:hAnsi="Times New Roman" w:eastAsia="仿宋_GB2312"/>
          <w:sz w:val="24"/>
        </w:rPr>
        <w:t>报价明细表、</w:t>
      </w:r>
      <w:r>
        <w:rPr>
          <w:rFonts w:hint="eastAsia" w:eastAsia="仿宋_GB2312"/>
          <w:kern w:val="24"/>
          <w:sz w:val="24"/>
          <w:szCs w:val="21"/>
        </w:rPr>
        <w:t>最后</w:t>
      </w:r>
      <w:r>
        <w:rPr>
          <w:rFonts w:ascii="Times New Roman" w:hAnsi="Times New Roman" w:eastAsia="仿宋_GB2312"/>
          <w:sz w:val="24"/>
        </w:rPr>
        <w:t>节能、环境标志产品明细表等内容。各供应商在提交响应文件时，应对</w:t>
      </w:r>
      <w:r>
        <w:rPr>
          <w:rFonts w:hint="eastAsia" w:eastAsia="仿宋_GB2312"/>
          <w:kern w:val="24"/>
          <w:sz w:val="24"/>
          <w:szCs w:val="21"/>
        </w:rPr>
        <w:t>最后</w:t>
      </w:r>
      <w:r>
        <w:rPr>
          <w:rFonts w:ascii="Times New Roman" w:hAnsi="Times New Roman" w:eastAsia="仿宋_GB2312"/>
          <w:sz w:val="24"/>
        </w:rPr>
        <w:t>报价加盖供应商红色公章，且由法定代表人（或授权代表人）签字。</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bookmarkStart w:id="320" w:name="_Toc151190173"/>
      <w:bookmarkStart w:id="321" w:name="_Toc249525191"/>
      <w:bookmarkStart w:id="322" w:name="_Toc164608660"/>
      <w:bookmarkStart w:id="323" w:name="_Toc249515422"/>
      <w:bookmarkStart w:id="324" w:name="_Toc151193644"/>
      <w:bookmarkStart w:id="325" w:name="_Toc127161460"/>
      <w:bookmarkStart w:id="326" w:name="_Toc150774751"/>
      <w:bookmarkStart w:id="327" w:name="_Toc195842911"/>
      <w:bookmarkStart w:id="328" w:name="_Toc151193934"/>
      <w:bookmarkStart w:id="329" w:name="_Toc150480784"/>
      <w:bookmarkStart w:id="330" w:name="_Toc127151546"/>
      <w:bookmarkStart w:id="331" w:name="_Toc149720839"/>
      <w:bookmarkStart w:id="332" w:name="_Ref467307010"/>
      <w:bookmarkStart w:id="333" w:name="_Toc127151747"/>
      <w:bookmarkStart w:id="334" w:name="_Toc164229241"/>
      <w:bookmarkStart w:id="335" w:name="_Toc150774646"/>
      <w:bookmarkStart w:id="336" w:name="_Toc249515310"/>
      <w:bookmarkStart w:id="337" w:name="_Toc164351640"/>
      <w:bookmarkStart w:id="338" w:name="_Toc151193860"/>
      <w:bookmarkStart w:id="339" w:name="_Toc13753"/>
      <w:bookmarkStart w:id="340" w:name="_Toc164229387"/>
      <w:bookmarkStart w:id="341" w:name="_Toc520356170"/>
      <w:bookmarkStart w:id="342" w:name="_Toc142311048"/>
      <w:bookmarkStart w:id="343" w:name="_Toc151193788"/>
      <w:bookmarkStart w:id="344" w:name="_Toc150509297"/>
      <w:bookmarkStart w:id="345" w:name="_Toc164608815"/>
      <w:bookmarkStart w:id="346" w:name="_Toc151193716"/>
      <w:r>
        <w:rPr>
          <w:rFonts w:ascii="Times New Roman" w:hAnsi="Times New Roman" w:eastAsia="仿宋_GB2312"/>
          <w:b/>
          <w:bCs/>
          <w:sz w:val="24"/>
          <w:szCs w:val="21"/>
        </w:rPr>
        <w:t>24.    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Times New Roman" w:hAnsi="Times New Roman" w:eastAsia="仿宋_GB2312"/>
          <w:b/>
          <w:bCs/>
          <w:sz w:val="24"/>
          <w:szCs w:val="21"/>
        </w:rPr>
        <w:t>落实政府采购政策，详见第三章。</w:t>
      </w:r>
    </w:p>
    <w:p>
      <w:pPr>
        <w:keepNext w:val="0"/>
        <w:keepLines w:val="0"/>
        <w:pageBreakBefore w:val="0"/>
        <w:kinsoku/>
        <w:wordWrap/>
        <w:overflowPunct/>
        <w:topLinePunct w:val="0"/>
        <w:bidi w:val="0"/>
        <w:adjustRightInd w:val="0"/>
        <w:snapToGrid w:val="0"/>
        <w:spacing w:line="360" w:lineRule="auto"/>
        <w:textAlignment w:val="auto"/>
        <w:rPr>
          <w:rFonts w:eastAsia="仿宋_GB2312"/>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p>
      <w:pPr>
        <w:pStyle w:val="80"/>
        <w:keepNext w:val="0"/>
        <w:keepLines w:val="0"/>
        <w:pageBreakBefore w:val="0"/>
        <w:kinsoku/>
        <w:wordWrap/>
        <w:overflowPunct/>
        <w:topLinePunct w:val="0"/>
        <w:bidi w:val="0"/>
        <w:adjustRightInd w:val="0"/>
        <w:snapToGrid w:val="0"/>
        <w:spacing w:before="0" w:beforeLines="0" w:after="0" w:afterLines="0" w:line="360" w:lineRule="auto"/>
        <w:jc w:val="center"/>
        <w:textAlignment w:val="auto"/>
        <w:rPr>
          <w:rFonts w:eastAsia="仿宋_GB2312"/>
          <w:sz w:val="30"/>
          <w:szCs w:val="30"/>
        </w:rPr>
      </w:pPr>
      <w:bookmarkStart w:id="347" w:name="_Hlt491765714"/>
      <w:bookmarkEnd w:id="347"/>
      <w:bookmarkStart w:id="348" w:name="_Hlt497729446"/>
      <w:bookmarkEnd w:id="348"/>
      <w:bookmarkStart w:id="349" w:name="_Toc249525192"/>
      <w:bookmarkStart w:id="350" w:name="_Toc249515423"/>
      <w:bookmarkStart w:id="351" w:name="_Toc232395218"/>
      <w:bookmarkStart w:id="352" w:name="_Toc68590974"/>
      <w:bookmarkStart w:id="353" w:name="_Toc249515311"/>
      <w:bookmarkStart w:id="354" w:name="_Toc256342149"/>
      <w:bookmarkStart w:id="355" w:name="_Toc232176278"/>
      <w:bookmarkStart w:id="356" w:name="_Toc177995479"/>
      <w:bookmarkStart w:id="357" w:name="_Toc70687174"/>
      <w:bookmarkStart w:id="358" w:name="_Toc500747068"/>
      <w:bookmarkStart w:id="359" w:name="_Toc500747195"/>
      <w:bookmarkStart w:id="360" w:name="_Toc176882548"/>
      <w:bookmarkStart w:id="361" w:name="_Toc496324585"/>
      <w:bookmarkStart w:id="362" w:name="_Toc500746972"/>
      <w:bookmarkStart w:id="363" w:name="_Toc499711049"/>
      <w:bookmarkStart w:id="364" w:name="_Toc492955421"/>
      <w:bookmarkStart w:id="365" w:name="_Toc389620199"/>
      <w:bookmarkStart w:id="366" w:name="_Toc53722846"/>
      <w:bookmarkStart w:id="367" w:name="_Toc177817340"/>
      <w:bookmarkStart w:id="368" w:name="_Toc503063428"/>
      <w:bookmarkStart w:id="369" w:name="_Toc499711890"/>
      <w:bookmarkStart w:id="370" w:name="_Toc184043047"/>
      <w:bookmarkStart w:id="371" w:name="_Toc385992360"/>
      <w:bookmarkStart w:id="372" w:name="_Toc177189241"/>
      <w:r>
        <w:rPr>
          <w:rFonts w:eastAsia="仿宋_GB2312"/>
          <w:sz w:val="30"/>
          <w:szCs w:val="30"/>
        </w:rPr>
        <w:t>六、确定成交单位、授予合同</w:t>
      </w:r>
      <w:bookmarkEnd w:id="349"/>
      <w:bookmarkEnd w:id="350"/>
      <w:bookmarkEnd w:id="351"/>
      <w:bookmarkEnd w:id="352"/>
      <w:bookmarkEnd w:id="353"/>
      <w:bookmarkEnd w:id="354"/>
      <w:bookmarkEnd w:id="355"/>
    </w:p>
    <w:p>
      <w:pPr>
        <w:keepNext w:val="0"/>
        <w:keepLines w:val="0"/>
        <w:pageBreakBefore w:val="0"/>
        <w:kinsoku/>
        <w:wordWrap/>
        <w:overflowPunct/>
        <w:topLinePunct w:val="0"/>
        <w:bidi w:val="0"/>
        <w:adjustRightInd w:val="0"/>
        <w:snapToGrid w:val="0"/>
        <w:spacing w:line="360" w:lineRule="auto"/>
        <w:textAlignment w:val="auto"/>
        <w:rPr>
          <w:rFonts w:eastAsia="仿宋_GB2312"/>
        </w:rPr>
      </w:pP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Pr>
        <w:pStyle w:val="5"/>
        <w:keepNext w:val="0"/>
        <w:keepLines w:val="0"/>
        <w:pageBreakBefore w:val="0"/>
        <w:numPr>
          <w:ilvl w:val="0"/>
          <w:numId w:val="9"/>
        </w:numPr>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bookmarkStart w:id="373" w:name="_Toc184043048"/>
      <w:bookmarkStart w:id="374" w:name="_Toc249515312"/>
      <w:bookmarkStart w:id="375" w:name="_Toc385992361"/>
      <w:bookmarkStart w:id="376" w:name="_Toc27151"/>
      <w:bookmarkStart w:id="377" w:name="_Toc249525193"/>
      <w:bookmarkStart w:id="378" w:name="_Toc249515424"/>
      <w:bookmarkStart w:id="379" w:name="_Toc389620200"/>
      <w:bookmarkStart w:id="380" w:name="_Toc70687175"/>
      <w:r>
        <w:rPr>
          <w:rFonts w:ascii="Times New Roman" w:hAnsi="Times New Roman" w:eastAsia="仿宋_GB2312"/>
          <w:b/>
          <w:bCs/>
          <w:sz w:val="24"/>
          <w:szCs w:val="21"/>
        </w:rPr>
        <w:t xml:space="preserve">   确定成交</w:t>
      </w:r>
      <w:bookmarkEnd w:id="373"/>
      <w:bookmarkEnd w:id="374"/>
      <w:bookmarkEnd w:id="375"/>
      <w:bookmarkEnd w:id="376"/>
      <w:bookmarkEnd w:id="377"/>
      <w:bookmarkEnd w:id="378"/>
      <w:bookmarkEnd w:id="379"/>
      <w:bookmarkEnd w:id="380"/>
      <w:r>
        <w:rPr>
          <w:rFonts w:ascii="Times New Roman" w:hAnsi="Times New Roman" w:eastAsia="仿宋_GB2312"/>
          <w:b/>
          <w:bCs/>
          <w:sz w:val="24"/>
          <w:szCs w:val="21"/>
        </w:rPr>
        <w:t>单位</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25.1   采购代理机构应在评审结束后两个工作日内，将评审报告送采购人。</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25.4   采购代理机构将评审过程及成交供应商情况书面报监督机构备案。</w:t>
      </w:r>
      <w:bookmarkStart w:id="381" w:name="_Toc385992364"/>
      <w:bookmarkStart w:id="382" w:name="_Toc389620203"/>
    </w:p>
    <w:bookmarkEnd w:id="381"/>
    <w:bookmarkEnd w:id="382"/>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bookmarkStart w:id="383" w:name="_Toc385992365"/>
      <w:bookmarkStart w:id="384" w:name="_Toc389620204"/>
      <w:r>
        <w:rPr>
          <w:rFonts w:ascii="Times New Roman" w:hAnsi="Times New Roman" w:eastAsia="仿宋_GB2312"/>
          <w:b/>
          <w:bCs/>
          <w:sz w:val="24"/>
          <w:szCs w:val="21"/>
        </w:rPr>
        <w:t>26.    合同</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27.1   供应商对政府采购活动事项有疑问的，可以向采购人提出询问。</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27.3   质疑供应商在法定质疑期内须一次性提出针对同一采购程序环节的质疑。</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27.4   供应商提出质疑应当提交质疑函和必要的证明材料。质疑函应当包括下列内容：</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质疑项目的名称、编号；</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事实依据；</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必要的法律依据；</w:t>
      </w:r>
    </w:p>
    <w:p>
      <w:pPr>
        <w:pStyle w:val="70"/>
        <w:keepNext w:val="0"/>
        <w:keepLines w:val="0"/>
        <w:pageBreakBefore w:val="0"/>
        <w:numPr>
          <w:ilvl w:val="0"/>
          <w:numId w:val="10"/>
        </w:numPr>
        <w:tabs>
          <w:tab w:val="left" w:pos="588"/>
        </w:tabs>
        <w:kinsoku/>
        <w:wordWrap/>
        <w:overflowPunct/>
        <w:topLinePunct w:val="0"/>
        <w:bidi w:val="0"/>
        <w:adjustRightInd w:val="0"/>
        <w:snapToGrid w:val="0"/>
        <w:spacing w:line="360" w:lineRule="auto"/>
        <w:ind w:left="846" w:hanging="6" w:firstLineChars="0"/>
        <w:jc w:val="left"/>
        <w:textAlignment w:val="auto"/>
        <w:rPr>
          <w:rFonts w:ascii="Times New Roman" w:hAnsi="Times New Roman" w:eastAsia="仿宋_GB2312"/>
          <w:sz w:val="24"/>
        </w:rPr>
      </w:pPr>
      <w:r>
        <w:rPr>
          <w:rFonts w:ascii="Times New Roman" w:hAnsi="Times New Roman" w:eastAsia="仿宋_GB2312"/>
          <w:sz w:val="24"/>
        </w:rPr>
        <w:t>提出质疑的日期。</w:t>
      </w:r>
    </w:p>
    <w:p>
      <w:pPr>
        <w:pStyle w:val="70"/>
        <w:keepNext w:val="0"/>
        <w:keepLines w:val="0"/>
        <w:pageBreakBefore w:val="0"/>
        <w:tabs>
          <w:tab w:val="left" w:pos="588"/>
        </w:tabs>
        <w:kinsoku/>
        <w:wordWrap/>
        <w:overflowPunct/>
        <w:topLinePunct w:val="0"/>
        <w:bidi w:val="0"/>
        <w:adjustRightInd w:val="0"/>
        <w:snapToGrid w:val="0"/>
        <w:spacing w:line="360" w:lineRule="auto"/>
        <w:ind w:left="838" w:leftChars="399" w:firstLine="0" w:firstLineChars="0"/>
        <w:textAlignment w:val="auto"/>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keepNext w:val="0"/>
        <w:keepLines w:val="0"/>
        <w:pageBreakBefore w:val="0"/>
        <w:tabs>
          <w:tab w:val="left" w:pos="588"/>
        </w:tabs>
        <w:kinsoku/>
        <w:wordWrap/>
        <w:overflowPunct/>
        <w:topLinePunct w:val="0"/>
        <w:bidi w:val="0"/>
        <w:adjustRightInd w:val="0"/>
        <w:snapToGrid w:val="0"/>
        <w:spacing w:line="360" w:lineRule="auto"/>
        <w:ind w:left="960" w:hanging="960" w:hangingChars="400"/>
        <w:textAlignment w:val="auto"/>
        <w:rPr>
          <w:rFonts w:eastAsia="仿宋_GB2312"/>
          <w:sz w:val="24"/>
        </w:rPr>
      </w:pPr>
      <w:r>
        <w:rPr>
          <w:rFonts w:eastAsia="仿宋_GB2312"/>
          <w:sz w:val="24"/>
        </w:rPr>
        <w:t>27.5   符合要求的质疑，采购代理机构将予以受理并答复。</w:t>
      </w:r>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r>
        <w:rPr>
          <w:rFonts w:eastAsia="仿宋_GB2312"/>
          <w:sz w:val="24"/>
        </w:rPr>
        <w:t>联系人：李萍、王亚宁，</w:t>
      </w:r>
      <w:r>
        <w:rPr>
          <w:rFonts w:hint="eastAsia" w:ascii="仿宋_GB2312" w:hAnsi="仿宋_GB2312" w:eastAsia="仿宋_GB2312" w:cs="仿宋_GB2312"/>
          <w:sz w:val="24"/>
        </w:rPr>
        <w:t>联系电话：029-85235014</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27.6   供应商进行虚假和恶意质疑的，采购代理机构将提供相关资料报监督机构，按其情况进行相应处理。</w:t>
      </w:r>
    </w:p>
    <w:bookmarkEnd w:id="383"/>
    <w:bookmarkEnd w:id="384"/>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bookmarkStart w:id="385" w:name="_Toc25547"/>
      <w:r>
        <w:rPr>
          <w:rFonts w:ascii="Times New Roman" w:hAnsi="Times New Roman" w:eastAsia="仿宋_GB2312"/>
          <w:b/>
          <w:bCs/>
          <w:sz w:val="24"/>
          <w:szCs w:val="21"/>
        </w:rPr>
        <w:t>28.    履约保证金</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28.2   履约保证金缴纳时间：合同签订前必须交纳至（采购人）。</w:t>
      </w:r>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28.3   履约保证金缴纳形式：成交供应商应当以支票、汇票、本票、保函（格式见附件2）等非现金形式缴纳。</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28.4   履约保证金收取单位名称：</w:t>
      </w:r>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r>
        <w:rPr>
          <w:rFonts w:eastAsia="仿宋_GB2312"/>
          <w:sz w:val="24"/>
        </w:rPr>
        <w:t>开户银行：</w:t>
      </w:r>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r>
        <w:rPr>
          <w:rFonts w:eastAsia="仿宋_GB2312"/>
          <w:sz w:val="24"/>
        </w:rPr>
        <w:t>账号：</w:t>
      </w:r>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r>
        <w:rPr>
          <w:rFonts w:eastAsia="仿宋_GB2312"/>
          <w:sz w:val="24"/>
        </w:rPr>
        <w:t>联系人：               联系电话：</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28.5   履约保证金退还的方式、时间、条件：*****</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28.6   履约保证金不予退还的情况：****</w:t>
      </w:r>
    </w:p>
    <w:p>
      <w:pPr>
        <w:keepNext w:val="0"/>
        <w:keepLines w:val="0"/>
        <w:pageBreakBefore w:val="0"/>
        <w:tabs>
          <w:tab w:val="left" w:pos="588"/>
        </w:tabs>
        <w:kinsoku/>
        <w:wordWrap/>
        <w:overflowPunct/>
        <w:topLinePunct w:val="0"/>
        <w:bidi w:val="0"/>
        <w:adjustRightInd w:val="0"/>
        <w:snapToGrid w:val="0"/>
        <w:spacing w:line="360" w:lineRule="auto"/>
        <w:textAlignment w:val="auto"/>
        <w:rPr>
          <w:rFonts w:eastAsia="仿宋_GB2312"/>
          <w:sz w:val="24"/>
        </w:rPr>
      </w:pPr>
      <w:r>
        <w:rPr>
          <w:rFonts w:eastAsia="仿宋_GB2312"/>
          <w:sz w:val="24"/>
        </w:rPr>
        <w:t>28.7   逾期退还履约保证金的违约责任：****</w:t>
      </w:r>
    </w:p>
    <w:p>
      <w:pPr>
        <w:pStyle w:val="5"/>
        <w:keepNext w:val="0"/>
        <w:keepLines w:val="0"/>
        <w:pageBreakBefore w:val="0"/>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5"/>
    </w:p>
    <w:p>
      <w:pPr>
        <w:keepNext w:val="0"/>
        <w:keepLines w:val="0"/>
        <w:pageBreakBefore w:val="0"/>
        <w:tabs>
          <w:tab w:val="left" w:pos="588"/>
        </w:tabs>
        <w:kinsoku/>
        <w:wordWrap/>
        <w:overflowPunct/>
        <w:topLinePunct w:val="0"/>
        <w:bidi w:val="0"/>
        <w:adjustRightInd w:val="0"/>
        <w:snapToGrid w:val="0"/>
        <w:spacing w:line="360" w:lineRule="auto"/>
        <w:ind w:left="840" w:hanging="840" w:hangingChars="350"/>
        <w:textAlignment w:val="auto"/>
        <w:rPr>
          <w:rFonts w:eastAsia="仿宋_GB2312"/>
          <w:sz w:val="24"/>
        </w:rPr>
      </w:pPr>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成交供应商在领取成交通知书前，须向采购代理机构支付成交服务费，服务费由采购人与采购代理机构约定：参照原国家计委计价格〔2002〕1980号文和国家发改委发改办价格〔2003〕857号文的计算方法按标准收取。</w:t>
      </w:r>
    </w:p>
    <w:p>
      <w:pPr>
        <w:keepNext w:val="0"/>
        <w:keepLines w:val="0"/>
        <w:pageBreakBefore w:val="0"/>
        <w:kinsoku/>
        <w:wordWrap/>
        <w:overflowPunct/>
        <w:topLinePunct w:val="0"/>
        <w:bidi w:val="0"/>
        <w:adjustRightInd w:val="0"/>
        <w:snapToGrid w:val="0"/>
        <w:spacing w:line="360" w:lineRule="auto"/>
        <w:textAlignment w:val="auto"/>
        <w:rPr>
          <w:rFonts w:eastAsia="仿宋_GB2312"/>
          <w:sz w:val="24"/>
        </w:rPr>
      </w:pPr>
      <w:r>
        <w:rPr>
          <w:rFonts w:eastAsia="仿宋_GB2312"/>
          <w:sz w:val="24"/>
        </w:rPr>
        <w:t>29.2   成交单位的代理服务费交纳信息</w:t>
      </w:r>
    </w:p>
    <w:p>
      <w:pPr>
        <w:keepNext w:val="0"/>
        <w:keepLines w:val="0"/>
        <w:pageBreakBefore w:val="0"/>
        <w:kinsoku/>
        <w:wordWrap/>
        <w:overflowPunct/>
        <w:topLinePunct w:val="0"/>
        <w:bidi w:val="0"/>
        <w:adjustRightInd w:val="0"/>
        <w:snapToGrid w:val="0"/>
        <w:spacing w:line="360" w:lineRule="auto"/>
        <w:ind w:firstLine="840" w:firstLineChars="350"/>
        <w:textAlignment w:val="auto"/>
        <w:rPr>
          <w:rFonts w:eastAsia="仿宋_GB2312"/>
          <w:sz w:val="24"/>
        </w:rPr>
      </w:pPr>
      <w:r>
        <w:rPr>
          <w:rFonts w:eastAsia="仿宋_GB2312"/>
          <w:sz w:val="24"/>
        </w:rPr>
        <w:t>银行户名：陕西省采购招标有限责任公司</w:t>
      </w:r>
    </w:p>
    <w:p>
      <w:pPr>
        <w:keepNext w:val="0"/>
        <w:keepLines w:val="0"/>
        <w:pageBreakBefore w:val="0"/>
        <w:kinsoku/>
        <w:wordWrap/>
        <w:overflowPunct/>
        <w:topLinePunct w:val="0"/>
        <w:bidi w:val="0"/>
        <w:adjustRightInd w:val="0"/>
        <w:snapToGrid w:val="0"/>
        <w:spacing w:line="360" w:lineRule="auto"/>
        <w:ind w:firstLine="840" w:firstLineChars="350"/>
        <w:textAlignment w:val="auto"/>
        <w:rPr>
          <w:rFonts w:eastAsia="仿宋_GB2312"/>
          <w:sz w:val="24"/>
        </w:rPr>
      </w:pPr>
      <w:r>
        <w:rPr>
          <w:rFonts w:eastAsia="仿宋_GB2312"/>
          <w:sz w:val="24"/>
        </w:rPr>
        <w:t>开户银行：中国光大银行西安友谊路支行</w:t>
      </w:r>
    </w:p>
    <w:p>
      <w:pPr>
        <w:keepNext w:val="0"/>
        <w:keepLines w:val="0"/>
        <w:pageBreakBefore w:val="0"/>
        <w:kinsoku/>
        <w:wordWrap/>
        <w:overflowPunct/>
        <w:topLinePunct w:val="0"/>
        <w:bidi w:val="0"/>
        <w:adjustRightInd w:val="0"/>
        <w:snapToGrid w:val="0"/>
        <w:spacing w:line="360" w:lineRule="auto"/>
        <w:ind w:firstLine="840" w:firstLineChars="350"/>
        <w:textAlignment w:val="auto"/>
        <w:rPr>
          <w:rFonts w:eastAsia="仿宋_GB2312"/>
          <w:sz w:val="24"/>
        </w:rPr>
      </w:pPr>
      <w:r>
        <w:rPr>
          <w:rFonts w:eastAsia="仿宋_GB2312"/>
          <w:sz w:val="24"/>
        </w:rPr>
        <w:t>账    号：78560188000095264</w:t>
      </w:r>
    </w:p>
    <w:p>
      <w:pPr>
        <w:keepNext w:val="0"/>
        <w:keepLines w:val="0"/>
        <w:pageBreakBefore w:val="0"/>
        <w:kinsoku/>
        <w:wordWrap/>
        <w:overflowPunct/>
        <w:topLinePunct w:val="0"/>
        <w:bidi w:val="0"/>
        <w:adjustRightInd w:val="0"/>
        <w:snapToGrid w:val="0"/>
        <w:spacing w:line="360" w:lineRule="auto"/>
        <w:ind w:firstLine="840" w:firstLineChars="350"/>
        <w:textAlignment w:val="auto"/>
        <w:rPr>
          <w:rFonts w:eastAsia="仿宋_GB2312"/>
          <w:sz w:val="24"/>
        </w:rPr>
      </w:pPr>
      <w:r>
        <w:rPr>
          <w:rFonts w:eastAsia="仿宋_GB2312"/>
          <w:sz w:val="24"/>
        </w:rPr>
        <w:t>联 系 人：张婕   联系电话：029-85263975</w:t>
      </w:r>
    </w:p>
    <w:p>
      <w:pPr>
        <w:pStyle w:val="5"/>
        <w:keepNext w:val="0"/>
        <w:keepLines w:val="0"/>
        <w:pageBreakBefore w:val="0"/>
        <w:numPr>
          <w:ilvl w:val="0"/>
          <w:numId w:val="11"/>
        </w:numPr>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bookmarkStart w:id="386" w:name="_Toc1585"/>
      <w:r>
        <w:rPr>
          <w:rFonts w:ascii="Times New Roman" w:hAnsi="Times New Roman" w:eastAsia="仿宋_GB2312"/>
          <w:b/>
          <w:bCs/>
          <w:sz w:val="24"/>
          <w:szCs w:val="21"/>
        </w:rPr>
        <w:t xml:space="preserve">  采购人追加采购数量的权力</w:t>
      </w:r>
      <w:bookmarkEnd w:id="386"/>
    </w:p>
    <w:p>
      <w:pPr>
        <w:keepNext w:val="0"/>
        <w:keepLines w:val="0"/>
        <w:pageBreakBefore w:val="0"/>
        <w:tabs>
          <w:tab w:val="left" w:pos="588"/>
        </w:tabs>
        <w:kinsoku/>
        <w:wordWrap/>
        <w:overflowPunct/>
        <w:topLinePunct w:val="0"/>
        <w:bidi w:val="0"/>
        <w:adjustRightInd w:val="0"/>
        <w:snapToGrid w:val="0"/>
        <w:spacing w:line="360" w:lineRule="auto"/>
        <w:ind w:left="840" w:leftChars="400"/>
        <w:textAlignment w:val="auto"/>
        <w:rPr>
          <w:rFonts w:eastAsia="仿宋_GB2312"/>
          <w:sz w:val="24"/>
        </w:rPr>
      </w:pPr>
      <w:bookmarkStart w:id="387" w:name="_Toc389620205"/>
      <w:bookmarkStart w:id="388"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keepNext w:val="0"/>
        <w:keepLines w:val="0"/>
        <w:pageBreakBefore w:val="0"/>
        <w:numPr>
          <w:ilvl w:val="0"/>
          <w:numId w:val="11"/>
        </w:numPr>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keepNext w:val="0"/>
        <w:keepLines w:val="0"/>
        <w:pageBreakBefore w:val="0"/>
        <w:numPr>
          <w:ilvl w:val="0"/>
          <w:numId w:val="11"/>
        </w:numPr>
        <w:kinsoku/>
        <w:wordWrap/>
        <w:overflowPunct/>
        <w:topLinePunct w:val="0"/>
        <w:bidi w:val="0"/>
        <w:adjustRightInd w:val="0"/>
        <w:snapToGrid w:val="0"/>
        <w:spacing w:line="360" w:lineRule="auto"/>
        <w:textAlignment w:val="auto"/>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keepNext w:val="0"/>
        <w:keepLines w:val="0"/>
        <w:pageBreakBefore w:val="0"/>
        <w:kinsoku/>
        <w:wordWrap/>
        <w:overflowPunct/>
        <w:topLinePunct w:val="0"/>
        <w:bidi w:val="0"/>
        <w:adjustRightInd w:val="0"/>
        <w:snapToGrid w:val="0"/>
        <w:spacing w:line="360" w:lineRule="auto"/>
        <w:ind w:left="840" w:hanging="840" w:hangingChars="350"/>
        <w:textAlignment w:val="auto"/>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keepNext w:val="0"/>
        <w:keepLines w:val="0"/>
        <w:pageBreakBefore w:val="0"/>
        <w:kinsoku/>
        <w:wordWrap/>
        <w:overflowPunct/>
        <w:topLinePunct w:val="0"/>
        <w:bidi w:val="0"/>
        <w:adjustRightInd w:val="0"/>
        <w:snapToGrid w:val="0"/>
        <w:spacing w:line="360" w:lineRule="auto"/>
        <w:ind w:left="850" w:hanging="849" w:hangingChars="354"/>
        <w:textAlignment w:val="auto"/>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keepNext w:val="0"/>
        <w:keepLines w:val="0"/>
        <w:pageBreakBefore w:val="0"/>
        <w:tabs>
          <w:tab w:val="left" w:pos="567"/>
        </w:tabs>
        <w:kinsoku/>
        <w:wordWrap/>
        <w:overflowPunct/>
        <w:topLinePunct w:val="0"/>
        <w:bidi w:val="0"/>
        <w:adjustRightInd w:val="0"/>
        <w:snapToGrid w:val="0"/>
        <w:spacing w:line="360" w:lineRule="auto"/>
        <w:ind w:left="840" w:leftChars="400"/>
        <w:textAlignment w:val="auto"/>
        <w:rPr>
          <w:rFonts w:hint="eastAsia" w:ascii="Times New Roman" w:hAnsi="Times New Roman" w:eastAsia="仿宋_GB2312"/>
          <w:sz w:val="24"/>
        </w:rPr>
      </w:pPr>
      <w:r>
        <w:drawing>
          <wp:anchor distT="0" distB="0" distL="114300" distR="114300" simplePos="0" relativeHeight="251660288" behindDoc="0" locked="0" layoutInCell="1" allowOverlap="1">
            <wp:simplePos x="0" y="0"/>
            <wp:positionH relativeFrom="column">
              <wp:posOffset>35560</wp:posOffset>
            </wp:positionH>
            <wp:positionV relativeFrom="paragraph">
              <wp:posOffset>234315</wp:posOffset>
            </wp:positionV>
            <wp:extent cx="5798185" cy="3334385"/>
            <wp:effectExtent l="0" t="0" r="12065" b="1841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798185" cy="3334385"/>
                    </a:xfrm>
                    <a:prstGeom prst="rect">
                      <a:avLst/>
                    </a:prstGeom>
                    <a:noFill/>
                    <a:ln>
                      <a:noFill/>
                    </a:ln>
                  </pic:spPr>
                </pic:pic>
              </a:graphicData>
            </a:graphic>
          </wp:anchor>
        </w:drawing>
      </w:r>
      <w:r>
        <w:rPr>
          <w:rFonts w:hint="eastAsia" w:ascii="Times New Roman" w:hAnsi="Times New Roman" w:eastAsia="仿宋_GB2312"/>
          <w:sz w:val="24"/>
        </w:rPr>
        <w:t>业务流程简图如下：</w:t>
      </w:r>
    </w:p>
    <w:p>
      <w:pPr>
        <w:rPr>
          <w:rFonts w:hint="eastAsia" w:ascii="Times New Roman" w:hAnsi="Times New Roman" w:eastAsia="仿宋_GB2312"/>
          <w:sz w:val="24"/>
        </w:rPr>
      </w:pPr>
    </w:p>
    <w:p>
      <w:pPr>
        <w:pStyle w:val="2"/>
        <w:rPr>
          <w:rFonts w:hint="eastAsia"/>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rPr>
          <w:rFonts w:hint="eastAsia"/>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rPr>
          <w:rFonts w:hint="eastAsia" w:ascii="Times New Roman" w:hAnsi="Times New Roman" w:eastAsia="仿宋_GB2312"/>
          <w:sz w:val="24"/>
        </w:rPr>
      </w:pPr>
    </w:p>
    <w:p>
      <w:pPr>
        <w:pStyle w:val="2"/>
        <w:rPr>
          <w:rFonts w:hint="eastAsia" w:ascii="Times New Roman" w:hAnsi="Times New Roman" w:eastAsia="仿宋_GB2312"/>
          <w:sz w:val="24"/>
        </w:rPr>
      </w:pPr>
    </w:p>
    <w:p>
      <w:pPr>
        <w:pStyle w:val="2"/>
      </w:pPr>
    </w:p>
    <w:p>
      <w:pPr>
        <w:pStyle w:val="2"/>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hint="eastAsia" w:eastAsia="仿宋_GB2312"/>
          <w:szCs w:val="21"/>
          <w:lang w:eastAsia="zh-CN"/>
        </w:rPr>
      </w:pPr>
      <w:r>
        <w:rPr>
          <w:rFonts w:eastAsia="仿宋_GB2312"/>
          <w:szCs w:val="21"/>
        </w:rPr>
        <w:t>民生银行西安分行  联系人：陈经理 联系电话：61815275 /18821669199</w:t>
      </w:r>
    </w:p>
    <w:p>
      <w:pPr>
        <w:ind w:left="2310" w:leftChars="200" w:hanging="1890" w:hangingChars="900"/>
        <w:rPr>
          <w:rFonts w:eastAsia="仿宋_GB2312"/>
          <w:szCs w:val="21"/>
        </w:rPr>
      </w:pP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7"/>
    <w:bookmarkEnd w:id="388"/>
    <w:p>
      <w:pPr>
        <w:rPr>
          <w:rFonts w:hint="eastAsia" w:ascii="仿宋_GB2312" w:hAnsi="仿宋_GB2312" w:eastAsia="仿宋_GB2312" w:cs="仿宋_GB2312"/>
          <w:b/>
          <w:szCs w:val="21"/>
          <w:lang w:eastAsia="zh-CN"/>
        </w:rPr>
      </w:pPr>
      <w:bookmarkStart w:id="389" w:name="_Toc230099802"/>
      <w:bookmarkStart w:id="390" w:name="_Toc184025279"/>
      <w:bookmarkStart w:id="391" w:name="_Toc230013637"/>
      <w:bookmarkStart w:id="392" w:name="_Toc184114070"/>
      <w:r>
        <w:rPr>
          <w:rFonts w:hint="eastAsia" w:ascii="仿宋_GB2312" w:hAnsi="仿宋_GB2312" w:eastAsia="仿宋_GB2312" w:cs="仿宋_GB2312"/>
          <w:b/>
          <w:szCs w:val="21"/>
        </w:rPr>
        <w:t>十二、网商银行（合同贷）</w:t>
      </w:r>
    </w:p>
    <w:p>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219"/>
        <w:gridCol w:w="2027"/>
        <w:gridCol w:w="2633"/>
        <w:gridCol w:w="2634"/>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13892535580</w:t>
            </w:r>
          </w:p>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13892383911</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18191815559</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18191356300</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13028431555</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438"/>
        <w:gridCol w:w="3056"/>
        <w:gridCol w:w="10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2438" w:type="dxa"/>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3056" w:type="dxa"/>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1001" w:type="dxa"/>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2438"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3056"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1001"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2438"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3056"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1001"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2438"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3056"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1001"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2438"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3056"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1001"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0"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2438"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3056" w:type="dxa"/>
            <w:vAlign w:val="center"/>
          </w:tcPr>
          <w:p>
            <w:pPr>
              <w:spacing w:line="240" w:lineRule="auto"/>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1001" w:type="dxa"/>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9"/>
    <w:bookmarkEnd w:id="390"/>
    <w:bookmarkEnd w:id="391"/>
    <w:bookmarkEnd w:id="392"/>
    <w:p>
      <w:pPr>
        <w:pStyle w:val="46"/>
        <w:spacing w:line="360" w:lineRule="auto"/>
        <w:rPr>
          <w:rStyle w:val="203"/>
          <w:rFonts w:ascii="Times New Roman" w:hAnsi="Times New Roman" w:eastAsia="宋体"/>
          <w:sz w:val="36"/>
          <w:szCs w:val="36"/>
        </w:rPr>
      </w:pPr>
      <w:bookmarkStart w:id="393" w:name="_Toc68590975"/>
      <w:bookmarkStart w:id="394" w:name="_Toc17469"/>
      <w:bookmarkStart w:id="395" w:name="_Toc58504447"/>
      <w:r>
        <w:rPr>
          <w:rStyle w:val="203"/>
          <w:rFonts w:ascii="Times New Roman" w:hAnsi="Times New Roman" w:eastAsia="宋体"/>
          <w:sz w:val="36"/>
          <w:szCs w:val="36"/>
        </w:rPr>
        <w:t>第三章  评审办法和标准</w:t>
      </w:r>
      <w:bookmarkEnd w:id="393"/>
    </w:p>
    <w:p>
      <w:pPr>
        <w:pStyle w:val="80"/>
        <w:keepNext w:val="0"/>
        <w:keepLines w:val="0"/>
        <w:pageBreakBefore w:val="0"/>
        <w:kinsoku/>
        <w:wordWrap/>
        <w:overflowPunct/>
        <w:topLinePunct w:val="0"/>
        <w:autoSpaceDE/>
        <w:autoSpaceDN/>
        <w:bidi w:val="0"/>
        <w:adjustRightInd w:val="0"/>
        <w:snapToGrid w:val="0"/>
        <w:spacing w:before="0" w:beforeLines="0" w:after="0" w:afterLines="0" w:line="360" w:lineRule="auto"/>
        <w:textAlignment w:val="auto"/>
        <w:rPr>
          <w:rFonts w:hint="eastAsia" w:ascii="仿宋_GB2312" w:hAnsi="仿宋_GB2312" w:eastAsia="仿宋_GB2312" w:cs="仿宋_GB2312"/>
          <w:sz w:val="24"/>
          <w:szCs w:val="24"/>
        </w:rPr>
      </w:pPr>
      <w:bookmarkStart w:id="396" w:name="_Toc7005040"/>
      <w:bookmarkStart w:id="397" w:name="_Toc68590976"/>
      <w:r>
        <w:rPr>
          <w:rFonts w:hint="eastAsia" w:ascii="仿宋_GB2312" w:hAnsi="仿宋_GB2312" w:eastAsia="仿宋_GB2312" w:cs="仿宋_GB2312"/>
          <w:sz w:val="24"/>
          <w:szCs w:val="24"/>
        </w:rPr>
        <w:t>1.评审方法</w:t>
      </w:r>
      <w:bookmarkEnd w:id="396"/>
      <w:bookmarkEnd w:id="397"/>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0"/>
        <w:keepNext w:val="0"/>
        <w:keepLines w:val="0"/>
        <w:pageBreakBefore w:val="0"/>
        <w:kinsoku/>
        <w:wordWrap/>
        <w:overflowPunct/>
        <w:topLinePunct w:val="0"/>
        <w:autoSpaceDE/>
        <w:autoSpaceDN/>
        <w:bidi w:val="0"/>
        <w:adjustRightInd w:val="0"/>
        <w:snapToGrid w:val="0"/>
        <w:spacing w:before="0" w:beforeLines="0" w:after="0" w:afterLines="0" w:line="360" w:lineRule="auto"/>
        <w:textAlignment w:val="auto"/>
        <w:rPr>
          <w:rFonts w:hint="eastAsia" w:ascii="仿宋_GB2312" w:hAnsi="仿宋_GB2312" w:eastAsia="仿宋_GB2312" w:cs="仿宋_GB2312"/>
          <w:sz w:val="24"/>
          <w:szCs w:val="24"/>
        </w:rPr>
      </w:pPr>
      <w:bookmarkStart w:id="398" w:name="_Toc68590977"/>
      <w:bookmarkStart w:id="399" w:name="_Toc7005041"/>
      <w:r>
        <w:rPr>
          <w:rFonts w:hint="eastAsia" w:ascii="仿宋_GB2312" w:hAnsi="仿宋_GB2312" w:eastAsia="仿宋_GB2312" w:cs="仿宋_GB2312"/>
          <w:sz w:val="24"/>
          <w:szCs w:val="24"/>
        </w:rPr>
        <w:t>2.评审标准</w:t>
      </w:r>
      <w:bookmarkEnd w:id="398"/>
      <w:bookmarkEnd w:id="399"/>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 资格审查和符合性评审标准：见附表一和附表二。</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 分值构成：总分100分，其中</w:t>
      </w:r>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eastAsia="zh-CN"/>
        </w:rPr>
        <w:t>及技术</w:t>
      </w:r>
      <w:r>
        <w:rPr>
          <w:rFonts w:hint="eastAsia" w:ascii="仿宋_GB2312" w:hAnsi="仿宋_GB2312" w:eastAsia="仿宋_GB2312" w:cs="仿宋_GB2312"/>
          <w:sz w:val="24"/>
          <w:szCs w:val="24"/>
        </w:rPr>
        <w:t>部分分值：</w:t>
      </w:r>
      <w:r>
        <w:rPr>
          <w:rFonts w:hint="eastAsia" w:ascii="仿宋_GB2312" w:hAnsi="仿宋_GB2312" w:eastAsia="仿宋_GB2312" w:cs="仿宋_GB2312"/>
          <w:sz w:val="24"/>
          <w:szCs w:val="24"/>
          <w:lang w:val="en-US" w:eastAsia="zh-CN"/>
        </w:rPr>
        <w:t>90</w:t>
      </w:r>
      <w:r>
        <w:rPr>
          <w:rFonts w:hint="eastAsia" w:ascii="仿宋_GB2312" w:hAnsi="仿宋_GB2312" w:eastAsia="仿宋_GB2312" w:cs="仿宋_GB2312"/>
          <w:sz w:val="24"/>
          <w:szCs w:val="24"/>
        </w:rPr>
        <w:t xml:space="preserve">分；  </w:t>
      </w:r>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报价部分分值：</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bookmarkStart w:id="400" w:name="_Ref426362114"/>
      <w:r>
        <w:rPr>
          <w:rFonts w:hint="eastAsia" w:ascii="仿宋_GB2312" w:hAnsi="仿宋_GB2312" w:eastAsia="仿宋_GB2312" w:cs="仿宋_GB2312"/>
          <w:sz w:val="24"/>
          <w:szCs w:val="24"/>
        </w:rPr>
        <w:t>2.3 商务和技术评审标准</w:t>
      </w:r>
      <w:bookmarkEnd w:id="400"/>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bookmarkStart w:id="401" w:name="_Ref426362140"/>
      <w:r>
        <w:rPr>
          <w:rFonts w:hint="eastAsia" w:ascii="仿宋_GB2312" w:hAnsi="仿宋_GB2312" w:eastAsia="仿宋_GB2312" w:cs="仿宋_GB2312"/>
          <w:sz w:val="24"/>
          <w:szCs w:val="24"/>
        </w:rPr>
        <w:t>2.3.1商务</w:t>
      </w:r>
      <w:r>
        <w:rPr>
          <w:rFonts w:hint="eastAsia" w:ascii="仿宋_GB2312" w:hAnsi="仿宋_GB2312" w:eastAsia="仿宋_GB2312" w:cs="仿宋_GB2312"/>
          <w:sz w:val="24"/>
          <w:szCs w:val="24"/>
          <w:lang w:eastAsia="zh-CN"/>
        </w:rPr>
        <w:t>及技术</w:t>
      </w:r>
      <w:r>
        <w:rPr>
          <w:rFonts w:hint="eastAsia" w:ascii="仿宋_GB2312" w:hAnsi="仿宋_GB2312" w:eastAsia="仿宋_GB2312" w:cs="仿宋_GB2312"/>
          <w:sz w:val="24"/>
          <w:szCs w:val="24"/>
        </w:rPr>
        <w:t>部分评分标准：见附表</w:t>
      </w:r>
      <w:bookmarkEnd w:id="401"/>
      <w:r>
        <w:rPr>
          <w:rFonts w:hint="eastAsia" w:ascii="仿宋_GB2312" w:hAnsi="仿宋_GB2312" w:eastAsia="仿宋_GB2312" w:cs="仿宋_GB2312"/>
          <w:sz w:val="24"/>
          <w:szCs w:val="24"/>
        </w:rPr>
        <w:t>三</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bookmarkStart w:id="402" w:name="_Ref426362158"/>
      <w:r>
        <w:rPr>
          <w:rFonts w:hint="eastAsia" w:ascii="仿宋_GB2312" w:hAnsi="仿宋_GB2312" w:eastAsia="仿宋_GB2312" w:cs="仿宋_GB2312"/>
          <w:sz w:val="24"/>
          <w:szCs w:val="24"/>
        </w:rPr>
        <w:t>2.3.2</w:t>
      </w:r>
      <w:bookmarkEnd w:id="402"/>
      <w:bookmarkStart w:id="403" w:name="_Ref426362176"/>
      <w:r>
        <w:rPr>
          <w:rFonts w:hint="eastAsia" w:ascii="仿宋_GB2312" w:hAnsi="仿宋_GB2312" w:eastAsia="仿宋_GB2312" w:cs="仿宋_GB2312"/>
          <w:sz w:val="24"/>
          <w:szCs w:val="24"/>
        </w:rPr>
        <w:t>报价评分标准：</w:t>
      </w:r>
      <w:bookmarkEnd w:id="403"/>
      <w:r>
        <w:rPr>
          <w:rFonts w:hint="eastAsia" w:ascii="仿宋_GB2312" w:hAnsi="仿宋_GB2312" w:eastAsia="仿宋_GB2312" w:cs="仿宋_GB2312"/>
          <w:sz w:val="24"/>
          <w:szCs w:val="24"/>
        </w:rPr>
        <w:t>见附表三</w:t>
      </w:r>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（1）根据《关于进一步加大政府采购支持中小企业力度的通知》（财库〔2022〕19号）、《政府采购促进中小企业发展管理办法》（财库〔2020〕46号）调整供应商参与评审的价格。对小型和微型企业的价格给予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10%</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的扣除。如允许与小微企业组成联合体或向其分包的，且合同额占总金额30%以上的，给予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4%</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的扣除。</w:t>
      </w:r>
    </w:p>
    <w:p>
      <w:pPr>
        <w:pStyle w:val="2"/>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b/>
          <w:bCs/>
          <w:sz w:val="24"/>
        </w:rPr>
        <w:t>本项目为专门面向中小企业的项目，</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应为中小微企业</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监狱企业、残疾人福利性单位视同小微企业</w:t>
      </w:r>
      <w:r>
        <w:rPr>
          <w:rFonts w:hint="eastAsia" w:ascii="仿宋_GB2312" w:hAnsi="仿宋_GB2312" w:eastAsia="仿宋_GB2312" w:cs="仿宋_GB2312"/>
          <w:b/>
          <w:bCs/>
          <w:sz w:val="24"/>
          <w:lang w:eastAsia="zh-CN"/>
        </w:rPr>
        <w:t>，所有供应商均不享受价格折扣</w:t>
      </w:r>
      <w:r>
        <w:rPr>
          <w:rFonts w:hint="eastAsia" w:ascii="仿宋_GB2312" w:hAnsi="仿宋_GB2312" w:eastAsia="仿宋_GB2312" w:cs="仿宋_GB2312"/>
          <w:b/>
          <w:bCs/>
          <w:sz w:val="24"/>
        </w:rPr>
        <w:t>。</w:t>
      </w:r>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（2）评审基准价。有效响应文件中的最后报价</w:t>
      </w:r>
      <w:r>
        <w:rPr>
          <w:rFonts w:hint="eastAsia" w:ascii="仿宋_GB2312" w:hAnsi="仿宋_GB2312" w:eastAsia="仿宋_GB2312" w:cs="仿宋_GB2312"/>
          <w:sz w:val="24"/>
          <w:szCs w:val="24"/>
          <w:lang w:eastAsia="zh-CN"/>
        </w:rPr>
        <w:t>中</w:t>
      </w:r>
      <w:r>
        <w:rPr>
          <w:rFonts w:hint="eastAsia" w:ascii="仿宋_GB2312" w:hAnsi="仿宋_GB2312" w:eastAsia="仿宋_GB2312" w:cs="仿宋_GB2312"/>
          <w:sz w:val="24"/>
          <w:szCs w:val="24"/>
        </w:rPr>
        <w:t>的最低报价为评审基准价。</w:t>
      </w:r>
    </w:p>
    <w:p>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（3）供应商报价得分=(评审基准价／最后报价)×价格分满分分值</w:t>
      </w:r>
    </w:p>
    <w:p>
      <w:pPr>
        <w:keepNext w:val="0"/>
        <w:keepLines w:val="0"/>
        <w:pageBreakBefore w:val="0"/>
        <w:tabs>
          <w:tab w:val="left" w:pos="588"/>
        </w:tabs>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2.3.4 响应文件出现下列情况之一者，磋商小组在评审过程中按以下原则修正：</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（1）大写金额与小写金额不一致的，以大写金额为准；</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（2）总价金额与按单价汇总金额不一致的，以单价金额计算结果为准；</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（3）单价金额小数点有明显错位的，应以总价为准，并修改单价；</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（4）对不同文字文本响应文件的解释发生异议的，以中文文本为准；</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（5）文字与图表不一致的，以文字为准；</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（6）正本与副本不一致的，以正本为准；</w:t>
      </w:r>
    </w:p>
    <w:p>
      <w:pPr>
        <w:keepNext w:val="0"/>
        <w:keepLines w:val="0"/>
        <w:pageBreakBefore w:val="0"/>
        <w:tabs>
          <w:tab w:val="left" w:pos="588"/>
        </w:tabs>
        <w:kinsoku/>
        <w:wordWrap/>
        <w:overflowPunct/>
        <w:topLinePunct w:val="0"/>
        <w:autoSpaceDE/>
        <w:autoSpaceDN/>
        <w:bidi w:val="0"/>
        <w:adjustRightInd w:val="0"/>
        <w:snapToGrid w:val="0"/>
        <w:spacing w:line="360" w:lineRule="auto"/>
        <w:ind w:firstLine="600" w:firstLineChars="2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（7）响应文件的文字叙述与制造厂商的产品样本/检测报告不符时，以产品样本/检测报告为准。</w:t>
      </w:r>
    </w:p>
    <w:p>
      <w:pPr>
        <w:pStyle w:val="80"/>
        <w:keepNext w:val="0"/>
        <w:keepLines w:val="0"/>
        <w:pageBreakBefore w:val="0"/>
        <w:kinsoku/>
        <w:wordWrap/>
        <w:overflowPunct/>
        <w:topLinePunct w:val="0"/>
        <w:autoSpaceDE/>
        <w:autoSpaceDN/>
        <w:bidi w:val="0"/>
        <w:adjustRightInd w:val="0"/>
        <w:snapToGrid w:val="0"/>
        <w:spacing w:before="0" w:beforeLines="0" w:after="0" w:afterLines="0" w:line="360" w:lineRule="auto"/>
        <w:textAlignment w:val="auto"/>
        <w:rPr>
          <w:rFonts w:hint="eastAsia" w:ascii="仿宋_GB2312" w:hAnsi="仿宋_GB2312" w:eastAsia="仿宋_GB2312" w:cs="仿宋_GB2312"/>
          <w:sz w:val="24"/>
          <w:szCs w:val="24"/>
        </w:rPr>
      </w:pPr>
      <w:bookmarkStart w:id="404" w:name="_Toc68590978"/>
      <w:bookmarkStart w:id="405" w:name="_Toc7005042"/>
      <w:r>
        <w:rPr>
          <w:rFonts w:hint="eastAsia" w:ascii="仿宋_GB2312" w:hAnsi="仿宋_GB2312" w:eastAsia="仿宋_GB2312" w:cs="仿宋_GB2312"/>
          <w:sz w:val="24"/>
          <w:szCs w:val="24"/>
        </w:rPr>
        <w:t>3.评审程序</w:t>
      </w:r>
      <w:bookmarkEnd w:id="404"/>
      <w:bookmarkEnd w:id="405"/>
    </w:p>
    <w:p>
      <w:pPr>
        <w:pStyle w:val="2"/>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sz w:val="24"/>
          <w:szCs w:val="24"/>
        </w:rPr>
      </w:pPr>
      <w:bookmarkStart w:id="406" w:name="_Toc7005043"/>
      <w:r>
        <w:rPr>
          <w:rFonts w:hint="eastAsia" w:ascii="仿宋_GB2312" w:hAnsi="仿宋_GB2312" w:eastAsia="仿宋_GB2312" w:cs="仿宋_GB2312"/>
          <w:b/>
          <w:sz w:val="24"/>
          <w:szCs w:val="24"/>
        </w:rPr>
        <w:t>3.1资格审查及符合性审查</w:t>
      </w:r>
      <w:bookmarkEnd w:id="406"/>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3.1.1 采购人或采购代理机构按附表一所列审查标准对供应商资格进行审查，以确定供应商是否具备磋商资格。</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 磋商小组对符合资格要求的响应文件按附表二进行符合性审查，以确定其是否满足磋商文件的实质性要求（见本章内的符合性审查表）。</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磋商小组不接受供应商主动提出的澄清、说明或补正。</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供应商的书面澄清、说明和补正属于响应文件的组成部分。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磋商小组对供应商提交的澄清、说明或补正有疑问的，可以要求供应商进一步澄清、说明或补正，直至满足评审小组的要求。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3.1.4 不具备磋商文件要求的资格或未通过符合性审查的供应商，不参与磋商，由磋商小组告知该供应商。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 通过资格审查和符合性审查的合格供应商不足3家的，不再进行评审和磋商。</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bookmarkStart w:id="407" w:name="_Toc7005044"/>
      <w:r>
        <w:rPr>
          <w:rFonts w:hint="eastAsia" w:ascii="仿宋_GB2312" w:hAnsi="仿宋_GB2312" w:eastAsia="仿宋_GB2312" w:cs="仿宋_GB2312"/>
          <w:b/>
          <w:sz w:val="24"/>
          <w:szCs w:val="24"/>
        </w:rPr>
        <w:t>3.2 磋商</w:t>
      </w:r>
      <w:bookmarkEnd w:id="407"/>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3.2.1按“供应商须知”第五条规定，由磋商小组与供应商进行磋商。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3.2.3 磋商结束后，磋商小组可以要求所有继续参加磋商的供应商在规定时间内提交</w:t>
      </w:r>
      <w:r>
        <w:rPr>
          <w:rFonts w:hint="eastAsia" w:eastAsia="仿宋_GB2312"/>
          <w:kern w:val="24"/>
          <w:sz w:val="24"/>
          <w:szCs w:val="21"/>
        </w:rPr>
        <w:t>最后</w:t>
      </w:r>
      <w:r>
        <w:rPr>
          <w:rFonts w:hint="eastAsia" w:ascii="仿宋_GB2312" w:hAnsi="仿宋_GB2312" w:eastAsia="仿宋_GB2312" w:cs="仿宋_GB2312"/>
          <w:sz w:val="24"/>
          <w:szCs w:val="24"/>
          <w:lang w:eastAsia="zh-CN"/>
        </w:rPr>
        <w:t>报价表</w:t>
      </w:r>
      <w:r>
        <w:rPr>
          <w:rFonts w:hint="eastAsia" w:ascii="仿宋_GB2312" w:hAnsi="仿宋_GB2312" w:eastAsia="仿宋_GB2312" w:cs="仿宋_GB2312"/>
          <w:sz w:val="24"/>
          <w:szCs w:val="24"/>
        </w:rPr>
        <w:t>，提交</w:t>
      </w:r>
      <w:r>
        <w:rPr>
          <w:rFonts w:hint="eastAsia" w:eastAsia="仿宋_GB2312"/>
          <w:kern w:val="24"/>
          <w:sz w:val="24"/>
          <w:szCs w:val="21"/>
        </w:rPr>
        <w:t>最后</w:t>
      </w:r>
      <w:r>
        <w:rPr>
          <w:rFonts w:hint="eastAsia" w:ascii="仿宋_GB2312" w:hAnsi="仿宋_GB2312" w:eastAsia="仿宋_GB2312" w:cs="仿宋_GB2312"/>
          <w:sz w:val="24"/>
          <w:szCs w:val="24"/>
          <w:lang w:eastAsia="zh-CN"/>
        </w:rPr>
        <w:t>报价表</w:t>
      </w:r>
      <w:r>
        <w:rPr>
          <w:rFonts w:hint="eastAsia" w:ascii="仿宋_GB2312" w:hAnsi="仿宋_GB2312" w:eastAsia="仿宋_GB2312" w:cs="仿宋_GB2312"/>
          <w:sz w:val="24"/>
          <w:szCs w:val="24"/>
        </w:rPr>
        <w:t>的供应商不得少于3家。</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bookmarkStart w:id="408" w:name="_Toc7005045"/>
      <w:r>
        <w:rPr>
          <w:rFonts w:hint="eastAsia" w:ascii="仿宋_GB2312" w:hAnsi="仿宋_GB2312" w:eastAsia="仿宋_GB2312" w:cs="仿宋_GB2312"/>
          <w:b/>
          <w:sz w:val="24"/>
          <w:szCs w:val="24"/>
        </w:rPr>
        <w:t>3.3评审</w:t>
      </w:r>
      <w:bookmarkEnd w:id="408"/>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3.3.1 比较与评价</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磋商小组按本章第2.3款[商务和技术评审标准]对供应商提交的响应文件（包括</w:t>
      </w:r>
      <w:r>
        <w:rPr>
          <w:rFonts w:hint="eastAsia" w:eastAsia="仿宋_GB2312"/>
          <w:kern w:val="24"/>
          <w:sz w:val="24"/>
          <w:szCs w:val="21"/>
        </w:rPr>
        <w:t>最后</w:t>
      </w:r>
      <w:r>
        <w:rPr>
          <w:rFonts w:hint="eastAsia" w:ascii="仿宋_GB2312" w:hAnsi="仿宋_GB2312" w:eastAsia="仿宋_GB2312" w:cs="仿宋_GB2312"/>
          <w:sz w:val="24"/>
          <w:szCs w:val="24"/>
          <w:lang w:eastAsia="zh-CN"/>
        </w:rPr>
        <w:t>报价表</w:t>
      </w:r>
      <w:r>
        <w:rPr>
          <w:rFonts w:hint="eastAsia" w:ascii="仿宋_GB2312" w:hAnsi="仿宋_GB2312" w:eastAsia="仿宋_GB2312" w:cs="仿宋_GB2312"/>
          <w:sz w:val="24"/>
          <w:szCs w:val="24"/>
        </w:rPr>
        <w:t>）进行商务和技术评估，综合比较与评价。</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磋商小组认为供应商的报价明显低于其他参与最后报价的供应商的报价或明显低于采购预算时，有可能影响</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质量或者不能诚信履约的，应当要求其在合理的时间内提供书面说明，并提交相关证明材料；供应商不能证明其报价合理性的，磋商小组应当将其作为无效处理。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3.3.2 磋商小组按本章第2.3款规定的量化因素和分值进行打分，并计算出综合评估得分。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（1）按本章第2.3.1项规定的评审因素和分值对商务</w:t>
      </w:r>
      <w:r>
        <w:rPr>
          <w:rFonts w:hint="eastAsia" w:ascii="仿宋_GB2312" w:hAnsi="仿宋_GB2312" w:eastAsia="仿宋_GB2312" w:cs="仿宋_GB2312"/>
          <w:sz w:val="24"/>
          <w:szCs w:val="24"/>
          <w:lang w:eastAsia="zh-CN"/>
        </w:rPr>
        <w:t>及技术</w:t>
      </w:r>
      <w:r>
        <w:rPr>
          <w:rFonts w:hint="eastAsia" w:ascii="仿宋_GB2312" w:hAnsi="仿宋_GB2312" w:eastAsia="仿宋_GB2312" w:cs="仿宋_GB2312"/>
          <w:sz w:val="24"/>
          <w:szCs w:val="24"/>
        </w:rPr>
        <w:t>部分计算出得分A；</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（2）按本章第2.3.2项规定的评审因素和分值对报价部分计算出得分B；</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3.3.3评分分值计算保留小数点后两位，小数点后第三位“四舍五入”。</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3.3.4供应商得分=A＋B</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3.4 评审结果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3.4.1 除第二章“供应商须知”前附表授权直接确定成交供应商外，磋商小组按照得分由高到低的顺序推荐3名成交候选人。</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778"/>
        <w:gridCol w:w="4705"/>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778" w:type="dxa"/>
            <w:vAlign w:val="center"/>
          </w:tcPr>
          <w:p>
            <w:pPr>
              <w:snapToGrid w:val="0"/>
              <w:jc w:val="center"/>
              <w:rPr>
                <w:rFonts w:eastAsia="仿宋_GB2312"/>
                <w:b/>
                <w:szCs w:val="21"/>
              </w:rPr>
            </w:pPr>
            <w:r>
              <w:rPr>
                <w:rFonts w:eastAsia="仿宋_GB2312"/>
                <w:b/>
                <w:szCs w:val="21"/>
              </w:rPr>
              <w:t>评审内容</w:t>
            </w:r>
          </w:p>
        </w:tc>
        <w:tc>
          <w:tcPr>
            <w:tcW w:w="4705" w:type="dxa"/>
            <w:vAlign w:val="center"/>
          </w:tcPr>
          <w:p>
            <w:pPr>
              <w:snapToGrid w:val="0"/>
              <w:jc w:val="center"/>
              <w:rPr>
                <w:rFonts w:eastAsia="仿宋_GB2312"/>
                <w:b/>
                <w:szCs w:val="21"/>
              </w:rPr>
            </w:pPr>
            <w:r>
              <w:rPr>
                <w:rFonts w:eastAsia="仿宋_GB2312"/>
                <w:b/>
                <w:szCs w:val="21"/>
              </w:rPr>
              <w:t>评审合格标准</w:t>
            </w:r>
          </w:p>
        </w:tc>
        <w:tc>
          <w:tcPr>
            <w:tcW w:w="1254"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778" w:type="dxa"/>
            <w:vAlign w:val="center"/>
          </w:tcPr>
          <w:p>
            <w:pPr>
              <w:snapToGrid w:val="0"/>
              <w:jc w:val="left"/>
              <w:rPr>
                <w:rFonts w:eastAsia="仿宋_GB2312"/>
                <w:b/>
                <w:szCs w:val="21"/>
              </w:rPr>
            </w:pPr>
            <w:r>
              <w:rPr>
                <w:rFonts w:eastAsia="仿宋_GB2312"/>
                <w:szCs w:val="21"/>
              </w:rPr>
              <w:t>供应商名称</w:t>
            </w:r>
          </w:p>
        </w:tc>
        <w:tc>
          <w:tcPr>
            <w:tcW w:w="4705" w:type="dxa"/>
            <w:vAlign w:val="center"/>
          </w:tcPr>
          <w:p>
            <w:pPr>
              <w:snapToGrid w:val="0"/>
              <w:jc w:val="both"/>
              <w:rPr>
                <w:rFonts w:eastAsia="仿宋_GB2312"/>
                <w:b/>
                <w:szCs w:val="21"/>
              </w:rPr>
            </w:pPr>
            <w:r>
              <w:rPr>
                <w:rFonts w:eastAsia="仿宋_GB2312"/>
                <w:szCs w:val="21"/>
              </w:rPr>
              <w:t>与营业执照一致（符合法定工商变更程序除外）；</w:t>
            </w:r>
          </w:p>
        </w:tc>
        <w:tc>
          <w:tcPr>
            <w:tcW w:w="1254"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778" w:type="dxa"/>
            <w:vAlign w:val="center"/>
          </w:tcPr>
          <w:p>
            <w:pPr>
              <w:snapToGrid w:val="0"/>
              <w:jc w:val="left"/>
              <w:rPr>
                <w:rFonts w:eastAsia="仿宋_GB2312"/>
                <w:szCs w:val="21"/>
              </w:rPr>
            </w:pPr>
            <w:r>
              <w:rPr>
                <w:rFonts w:eastAsia="仿宋_GB2312"/>
                <w:szCs w:val="21"/>
              </w:rPr>
              <w:t>具有独立承担民事责任的能力</w:t>
            </w:r>
          </w:p>
        </w:tc>
        <w:tc>
          <w:tcPr>
            <w:tcW w:w="4705" w:type="dxa"/>
            <w:vAlign w:val="center"/>
          </w:tcPr>
          <w:p>
            <w:pPr>
              <w:snapToGrid w:val="0"/>
              <w:jc w:val="both"/>
              <w:rPr>
                <w:rFonts w:eastAsia="仿宋_GB2312"/>
                <w:szCs w:val="21"/>
              </w:rPr>
            </w:pPr>
            <w:r>
              <w:rPr>
                <w:rFonts w:eastAsia="仿宋_GB2312"/>
                <w:szCs w:val="21"/>
              </w:rPr>
              <w:t>提供了有效的法人或者其他组织的营业执照等证明文件，自然人的身份证明；</w:t>
            </w:r>
          </w:p>
        </w:tc>
        <w:tc>
          <w:tcPr>
            <w:tcW w:w="1254"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778"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705" w:type="dxa"/>
            <w:shd w:val="clear" w:color="auto" w:fill="auto"/>
            <w:vAlign w:val="center"/>
          </w:tcPr>
          <w:p>
            <w:pPr>
              <w:snapToGrid w:val="0"/>
              <w:jc w:val="both"/>
              <w:rPr>
                <w:rFonts w:eastAsia="仿宋_GB2312"/>
                <w:szCs w:val="21"/>
              </w:rPr>
            </w:pPr>
            <w:r>
              <w:rPr>
                <w:rFonts w:hint="eastAsia" w:eastAsia="仿宋_GB2312"/>
                <w:szCs w:val="21"/>
              </w:rPr>
              <w:t>提供供应商上一年度经审计的财务报告或近一年任意一个月的财务报表或本年度基本开户银行出具的资信证明诺</w:t>
            </w:r>
            <w:r>
              <w:rPr>
                <w:rFonts w:eastAsia="仿宋_GB2312"/>
                <w:szCs w:val="21"/>
              </w:rPr>
              <w:t>；</w:t>
            </w:r>
          </w:p>
        </w:tc>
        <w:tc>
          <w:tcPr>
            <w:tcW w:w="1254"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778"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705" w:type="dxa"/>
            <w:shd w:val="clear" w:color="auto" w:fill="auto"/>
            <w:vAlign w:val="center"/>
          </w:tcPr>
          <w:p>
            <w:pPr>
              <w:snapToGrid w:val="0"/>
              <w:jc w:val="both"/>
              <w:rPr>
                <w:rFonts w:eastAsia="仿宋_GB2312"/>
                <w:szCs w:val="21"/>
              </w:rPr>
            </w:pPr>
            <w:r>
              <w:rPr>
                <w:rFonts w:eastAsia="仿宋_GB2312"/>
                <w:szCs w:val="21"/>
              </w:rPr>
              <w:t>提供了可充分满足履行合同所需设备和专业技术能力的证明材料或承诺；</w:t>
            </w:r>
          </w:p>
        </w:tc>
        <w:tc>
          <w:tcPr>
            <w:tcW w:w="1254"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778"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705" w:type="dxa"/>
            <w:vAlign w:val="center"/>
          </w:tcPr>
          <w:p>
            <w:pPr>
              <w:snapToGrid w:val="0"/>
              <w:jc w:val="both"/>
              <w:rPr>
                <w:rFonts w:eastAsia="仿宋_GB2312"/>
                <w:szCs w:val="21"/>
                <w:highlight w:val="none"/>
              </w:rPr>
            </w:pPr>
            <w:r>
              <w:rPr>
                <w:rFonts w:eastAsia="仿宋_GB2312"/>
                <w:szCs w:val="21"/>
                <w:highlight w:val="none"/>
              </w:rPr>
              <w:t>1.</w:t>
            </w:r>
            <w:r>
              <w:rPr>
                <w:rFonts w:hint="eastAsia" w:eastAsia="仿宋_GB2312"/>
                <w:szCs w:val="21"/>
                <w:highlight w:val="none"/>
              </w:rPr>
              <w:t>提供</w:t>
            </w:r>
            <w:r>
              <w:rPr>
                <w:rFonts w:hint="eastAsia" w:eastAsia="仿宋_GB2312"/>
                <w:szCs w:val="21"/>
                <w:highlight w:val="none"/>
                <w:lang w:eastAsia="zh-CN"/>
              </w:rPr>
              <w:t>了</w:t>
            </w:r>
            <w:r>
              <w:rPr>
                <w:rFonts w:hint="eastAsia" w:eastAsia="仿宋_GB2312"/>
                <w:szCs w:val="21"/>
                <w:highlight w:val="none"/>
              </w:rPr>
              <w:t>近六个月中至少一个月缴纳</w:t>
            </w:r>
            <w:r>
              <w:rPr>
                <w:rFonts w:hint="eastAsia" w:eastAsia="仿宋_GB2312"/>
                <w:szCs w:val="21"/>
                <w:highlight w:val="none"/>
                <w:lang w:eastAsia="zh-CN"/>
              </w:rPr>
              <w:t>税收</w:t>
            </w:r>
            <w:r>
              <w:rPr>
                <w:rFonts w:hint="eastAsia" w:eastAsia="仿宋_GB2312"/>
                <w:szCs w:val="21"/>
                <w:highlight w:val="none"/>
              </w:rPr>
              <w:t>的凭证（银行出具的缴税凭证或税务机关出具的证明的复印件，并加盖本单位公章）</w:t>
            </w:r>
            <w:r>
              <w:rPr>
                <w:rFonts w:eastAsia="仿宋_GB2312"/>
                <w:szCs w:val="21"/>
                <w:highlight w:val="none"/>
              </w:rPr>
              <w:t>或免税证明（复印件加盖公章）；</w:t>
            </w:r>
          </w:p>
          <w:p>
            <w:pPr>
              <w:snapToGrid w:val="0"/>
              <w:jc w:val="both"/>
              <w:rPr>
                <w:rFonts w:eastAsia="仿宋_GB2312"/>
                <w:szCs w:val="21"/>
              </w:rPr>
            </w:pPr>
            <w:r>
              <w:rPr>
                <w:rFonts w:eastAsia="仿宋_GB2312"/>
                <w:szCs w:val="21"/>
                <w:highlight w:val="none"/>
              </w:rPr>
              <w:t>2</w:t>
            </w:r>
            <w:r>
              <w:rPr>
                <w:rFonts w:hint="eastAsia" w:eastAsia="仿宋_GB2312"/>
                <w:szCs w:val="21"/>
                <w:highlight w:val="none"/>
                <w:lang w:val="en-US" w:eastAsia="zh-CN"/>
              </w:rPr>
              <w:t>.供应商应提供近六个月中至少一个月的社会缴纳社会保险的凭据（专用收据或社会保险缴纳清单），并加盖本单位公章</w:t>
            </w:r>
            <w:r>
              <w:rPr>
                <w:rFonts w:eastAsia="仿宋_GB2312"/>
                <w:szCs w:val="21"/>
                <w:highlight w:val="none"/>
              </w:rPr>
              <w:t>或免缴纳证明（复印件加盖公章）；</w:t>
            </w:r>
          </w:p>
        </w:tc>
        <w:tc>
          <w:tcPr>
            <w:tcW w:w="1254"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778" w:type="dxa"/>
            <w:vAlign w:val="center"/>
          </w:tcPr>
          <w:p>
            <w:pPr>
              <w:snapToGrid w:val="0"/>
              <w:jc w:val="left"/>
              <w:rPr>
                <w:rFonts w:eastAsia="仿宋_GB2312"/>
                <w:szCs w:val="21"/>
              </w:rPr>
            </w:pPr>
            <w:r>
              <w:rPr>
                <w:rFonts w:hint="eastAsia" w:eastAsia="仿宋_GB2312"/>
                <w:szCs w:val="21"/>
                <w:lang w:eastAsia="zh-CN"/>
              </w:rPr>
              <w:t>无</w:t>
            </w:r>
            <w:r>
              <w:rPr>
                <w:rFonts w:eastAsia="仿宋_GB2312"/>
                <w:szCs w:val="21"/>
              </w:rPr>
              <w:t>重大违法记录的书面声明</w:t>
            </w:r>
          </w:p>
        </w:tc>
        <w:tc>
          <w:tcPr>
            <w:tcW w:w="4705" w:type="dxa"/>
            <w:vAlign w:val="center"/>
          </w:tcPr>
          <w:p>
            <w:pPr>
              <w:snapToGrid w:val="0"/>
              <w:jc w:val="both"/>
              <w:rPr>
                <w:rFonts w:eastAsia="仿宋_GB2312"/>
                <w:szCs w:val="21"/>
              </w:rPr>
            </w:pPr>
            <w:r>
              <w:rPr>
                <w:rFonts w:eastAsia="仿宋_GB2312"/>
                <w:szCs w:val="21"/>
              </w:rPr>
              <w:t>提供了有效的参加政府采购活动前3年内在经营活动中没有重大违法记录的书面声明；</w:t>
            </w:r>
          </w:p>
        </w:tc>
        <w:tc>
          <w:tcPr>
            <w:tcW w:w="1254"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778" w:type="dxa"/>
            <w:vAlign w:val="center"/>
          </w:tcPr>
          <w:p>
            <w:pPr>
              <w:snapToGrid w:val="0"/>
              <w:jc w:val="left"/>
              <w:rPr>
                <w:rFonts w:eastAsia="仿宋_GB2312"/>
                <w:szCs w:val="21"/>
              </w:rPr>
            </w:pPr>
            <w:r>
              <w:rPr>
                <w:rFonts w:eastAsia="仿宋_GB2312"/>
                <w:szCs w:val="21"/>
              </w:rPr>
              <w:t>法律、行政法规规定的其他条件</w:t>
            </w:r>
          </w:p>
        </w:tc>
        <w:tc>
          <w:tcPr>
            <w:tcW w:w="4705" w:type="dxa"/>
            <w:vAlign w:val="center"/>
          </w:tcPr>
          <w:p>
            <w:pPr>
              <w:snapToGrid w:val="0"/>
              <w:jc w:val="both"/>
              <w:rPr>
                <w:rFonts w:eastAsia="仿宋_GB2312"/>
                <w:szCs w:val="21"/>
              </w:rPr>
            </w:pPr>
            <w:r>
              <w:rPr>
                <w:rFonts w:eastAsia="仿宋_GB2312"/>
                <w:szCs w:val="21"/>
              </w:rPr>
              <w:t>不存在违反法律、法规的情况；</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vAlign w:val="center"/>
          </w:tcPr>
          <w:p>
            <w:pPr>
              <w:snapToGrid w:val="0"/>
              <w:jc w:val="center"/>
              <w:rPr>
                <w:rFonts w:eastAsia="仿宋_GB2312"/>
                <w:szCs w:val="21"/>
              </w:rPr>
            </w:pPr>
            <w:r>
              <w:rPr>
                <w:rFonts w:eastAsia="仿宋_GB2312"/>
                <w:szCs w:val="21"/>
              </w:rPr>
              <w:t>8</w:t>
            </w:r>
          </w:p>
        </w:tc>
        <w:tc>
          <w:tcPr>
            <w:tcW w:w="2778" w:type="dxa"/>
            <w:vMerge w:val="restart"/>
            <w:vAlign w:val="center"/>
          </w:tcPr>
          <w:p>
            <w:pPr>
              <w:snapToGrid w:val="0"/>
              <w:jc w:val="left"/>
              <w:rPr>
                <w:rFonts w:hint="eastAsia" w:eastAsia="仿宋_GB2312"/>
                <w:szCs w:val="21"/>
                <w:lang w:eastAsia="zh-CN"/>
              </w:rPr>
            </w:pPr>
            <w:r>
              <w:rPr>
                <w:rFonts w:eastAsia="仿宋_GB2312"/>
                <w:szCs w:val="21"/>
              </w:rPr>
              <w:t>供应商特定资格</w:t>
            </w:r>
            <w:r>
              <w:rPr>
                <w:rFonts w:hint="eastAsia" w:eastAsia="仿宋_GB2312"/>
                <w:szCs w:val="21"/>
                <w:lang w:eastAsia="zh-CN"/>
              </w:rPr>
              <w:t>条件</w:t>
            </w:r>
          </w:p>
        </w:tc>
        <w:tc>
          <w:tcPr>
            <w:tcW w:w="4705" w:type="dxa"/>
            <w:vAlign w:val="center"/>
          </w:tcPr>
          <w:p>
            <w:pPr>
              <w:snapToGrid w:val="0"/>
              <w:jc w:val="both"/>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rPr>
              <w:t>重大税收违法失信主体</w:t>
            </w:r>
            <w:r>
              <w:rPr>
                <w:rFonts w:hint="eastAsia" w:eastAsia="仿宋_GB2312"/>
                <w:szCs w:val="21"/>
                <w:lang w:eastAsia="zh-CN"/>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pPr>
              <w:snapToGrid w:val="0"/>
              <w:jc w:val="center"/>
              <w:rPr>
                <w:rFonts w:eastAsia="仿宋_GB2312"/>
                <w:szCs w:val="21"/>
              </w:rPr>
            </w:pPr>
          </w:p>
        </w:tc>
        <w:tc>
          <w:tcPr>
            <w:tcW w:w="2778" w:type="dxa"/>
            <w:vMerge w:val="continue"/>
            <w:vAlign w:val="center"/>
          </w:tcPr>
          <w:p>
            <w:pPr>
              <w:snapToGrid w:val="0"/>
              <w:jc w:val="left"/>
              <w:rPr>
                <w:rFonts w:hint="eastAsia" w:eastAsia="仿宋_GB2312"/>
                <w:szCs w:val="21"/>
                <w:lang w:eastAsia="zh-CN"/>
              </w:rPr>
            </w:pPr>
          </w:p>
        </w:tc>
        <w:tc>
          <w:tcPr>
            <w:tcW w:w="4705" w:type="dxa"/>
            <w:vAlign w:val="center"/>
          </w:tcPr>
          <w:p>
            <w:pPr>
              <w:snapToGrid w:val="0"/>
              <w:jc w:val="both"/>
              <w:rPr>
                <w:rFonts w:eastAsia="仿宋_GB2312"/>
                <w:szCs w:val="21"/>
              </w:rPr>
            </w:pPr>
            <w:r>
              <w:rPr>
                <w:rFonts w:hint="eastAsia" w:eastAsia="仿宋_GB2312"/>
                <w:szCs w:val="21"/>
              </w:rPr>
              <w:t>法定代表人直接参加磋商的，须出具法人身份证，并与营业执照上信息一致。法定代表人授权代表参加磋商的，须出具法定代表人授权书及授权代表身份证</w:t>
            </w:r>
            <w:r>
              <w:rPr>
                <w:rFonts w:eastAsia="仿宋_GB2312"/>
                <w:szCs w:val="21"/>
              </w:rPr>
              <w:t>；</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vAlign w:val="center"/>
          </w:tcPr>
          <w:p>
            <w:pPr>
              <w:snapToGrid w:val="0"/>
              <w:jc w:val="center"/>
              <w:rPr>
                <w:rFonts w:eastAsia="仿宋_GB2312"/>
                <w:szCs w:val="21"/>
              </w:rPr>
            </w:pPr>
            <w:r>
              <w:rPr>
                <w:rFonts w:eastAsia="仿宋_GB2312"/>
                <w:szCs w:val="21"/>
              </w:rPr>
              <w:t>9</w:t>
            </w:r>
          </w:p>
        </w:tc>
        <w:tc>
          <w:tcPr>
            <w:tcW w:w="2778" w:type="dxa"/>
            <w:vMerge w:val="restart"/>
            <w:vAlign w:val="center"/>
          </w:tcPr>
          <w:p>
            <w:pPr>
              <w:snapToGrid w:val="0"/>
              <w:jc w:val="left"/>
              <w:rPr>
                <w:rFonts w:eastAsia="仿宋_GB2312"/>
                <w:szCs w:val="21"/>
              </w:rPr>
            </w:pPr>
            <w:r>
              <w:rPr>
                <w:rFonts w:hint="eastAsia" w:eastAsia="仿宋_GB2312"/>
                <w:szCs w:val="21"/>
              </w:rPr>
              <w:t>供应商不得存在</w:t>
            </w:r>
            <w:r>
              <w:rPr>
                <w:rFonts w:hint="eastAsia" w:eastAsia="仿宋_GB2312"/>
                <w:szCs w:val="21"/>
                <w:lang w:eastAsia="zh-CN"/>
              </w:rPr>
              <w:t>的</w:t>
            </w:r>
            <w:r>
              <w:rPr>
                <w:rFonts w:hint="eastAsia" w:eastAsia="仿宋_GB2312"/>
                <w:szCs w:val="21"/>
              </w:rPr>
              <w:t>情形</w:t>
            </w:r>
          </w:p>
        </w:tc>
        <w:tc>
          <w:tcPr>
            <w:tcW w:w="4705" w:type="dxa"/>
            <w:vAlign w:val="center"/>
          </w:tcPr>
          <w:p>
            <w:pPr>
              <w:snapToGrid w:val="0"/>
              <w:jc w:val="both"/>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pPr>
              <w:snapToGrid w:val="0"/>
              <w:jc w:val="center"/>
              <w:rPr>
                <w:rFonts w:eastAsia="仿宋_GB2312"/>
                <w:szCs w:val="21"/>
              </w:rPr>
            </w:pPr>
          </w:p>
        </w:tc>
        <w:tc>
          <w:tcPr>
            <w:tcW w:w="2778" w:type="dxa"/>
            <w:vMerge w:val="continue"/>
            <w:vAlign w:val="center"/>
          </w:tcPr>
          <w:p>
            <w:pPr>
              <w:snapToGrid w:val="0"/>
              <w:jc w:val="left"/>
              <w:rPr>
                <w:rFonts w:eastAsia="仿宋_GB2312"/>
                <w:szCs w:val="21"/>
              </w:rPr>
            </w:pPr>
          </w:p>
        </w:tc>
        <w:tc>
          <w:tcPr>
            <w:tcW w:w="4705" w:type="dxa"/>
            <w:vAlign w:val="center"/>
          </w:tcPr>
          <w:p>
            <w:pPr>
              <w:snapToGrid w:val="0"/>
              <w:jc w:val="both"/>
              <w:rPr>
                <w:rFonts w:eastAsia="仿宋_GB2312"/>
                <w:szCs w:val="21"/>
              </w:rPr>
            </w:pPr>
            <w:r>
              <w:rPr>
                <w:rFonts w:eastAsia="仿宋_GB2312"/>
                <w:szCs w:val="21"/>
              </w:rPr>
              <w:t>提供了供应商未为本项目提供整体设计、规范编制或者项目管理、监理、检测等服务的声明；</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vAlign w:val="center"/>
          </w:tcPr>
          <w:p>
            <w:pPr>
              <w:snapToGrid w:val="0"/>
              <w:jc w:val="center"/>
              <w:rPr>
                <w:rFonts w:hint="default" w:eastAsia="仿宋_GB2312"/>
                <w:szCs w:val="21"/>
                <w:lang w:val="en-US" w:eastAsia="zh-CN"/>
              </w:rPr>
            </w:pPr>
            <w:r>
              <w:rPr>
                <w:rFonts w:hint="eastAsia" w:eastAsia="仿宋_GB2312"/>
                <w:szCs w:val="21"/>
                <w:lang w:val="en-US" w:eastAsia="zh-CN"/>
              </w:rPr>
              <w:t>10</w:t>
            </w:r>
          </w:p>
        </w:tc>
        <w:tc>
          <w:tcPr>
            <w:tcW w:w="2778" w:type="dxa"/>
            <w:vAlign w:val="center"/>
          </w:tcPr>
          <w:p>
            <w:pPr>
              <w:snapToGrid w:val="0"/>
              <w:jc w:val="left"/>
              <w:rPr>
                <w:rFonts w:eastAsia="仿宋_GB2312"/>
                <w:szCs w:val="21"/>
              </w:rPr>
            </w:pPr>
            <w:r>
              <w:rPr>
                <w:rFonts w:eastAsia="仿宋_GB2312"/>
                <w:szCs w:val="21"/>
              </w:rPr>
              <w:t>联合体</w:t>
            </w:r>
          </w:p>
        </w:tc>
        <w:tc>
          <w:tcPr>
            <w:tcW w:w="4705" w:type="dxa"/>
            <w:vAlign w:val="center"/>
          </w:tcPr>
          <w:p>
            <w:pPr>
              <w:snapToGrid w:val="0"/>
              <w:jc w:val="both"/>
              <w:rPr>
                <w:rFonts w:eastAsia="仿宋_GB2312"/>
                <w:szCs w:val="21"/>
              </w:rPr>
            </w:pPr>
            <w:r>
              <w:rPr>
                <w:rFonts w:hint="eastAsia" w:eastAsia="仿宋_GB2312"/>
                <w:szCs w:val="21"/>
              </w:rPr>
              <w:t>本项目不允许联合体</w:t>
            </w:r>
            <w:r>
              <w:rPr>
                <w:rFonts w:eastAsia="仿宋_GB2312"/>
                <w:szCs w:val="21"/>
              </w:rPr>
              <w:t>；</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default" w:eastAsia="仿宋_GB2312"/>
                <w:szCs w:val="21"/>
                <w:lang w:val="en-US" w:eastAsia="zh-CN"/>
              </w:rPr>
            </w:pPr>
            <w:r>
              <w:rPr>
                <w:rFonts w:hint="eastAsia" w:eastAsia="仿宋_GB2312"/>
                <w:szCs w:val="21"/>
                <w:lang w:val="en-US" w:eastAsia="zh-CN"/>
              </w:rPr>
              <w:t>11</w:t>
            </w:r>
          </w:p>
        </w:tc>
        <w:tc>
          <w:tcPr>
            <w:tcW w:w="2778" w:type="dxa"/>
            <w:vAlign w:val="center"/>
          </w:tcPr>
          <w:p>
            <w:pPr>
              <w:snapToGrid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中小企业</w:t>
            </w:r>
          </w:p>
        </w:tc>
        <w:tc>
          <w:tcPr>
            <w:tcW w:w="4705" w:type="dxa"/>
            <w:vAlign w:val="center"/>
          </w:tcPr>
          <w:p>
            <w:pPr>
              <w:snapToGrid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本项目为（专门）面向中小企业的项目，如供应商为非中小企业提供服务，其响应文件将被认定为无效。</w:t>
            </w:r>
          </w:p>
        </w:tc>
        <w:tc>
          <w:tcPr>
            <w:tcW w:w="1254"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eastAsia="仿宋_GB2312"/>
                <w:szCs w:val="21"/>
              </w:rPr>
            </w:pPr>
          </w:p>
        </w:tc>
        <w:tc>
          <w:tcPr>
            <w:tcW w:w="2778" w:type="dxa"/>
            <w:vAlign w:val="center"/>
          </w:tcPr>
          <w:p>
            <w:pPr>
              <w:snapToGrid w:val="0"/>
              <w:ind w:left="425"/>
              <w:jc w:val="center"/>
              <w:rPr>
                <w:rFonts w:eastAsia="仿宋_GB2312"/>
                <w:szCs w:val="21"/>
              </w:rPr>
            </w:pPr>
            <w:r>
              <w:rPr>
                <w:rFonts w:eastAsia="仿宋_GB2312"/>
                <w:szCs w:val="21"/>
              </w:rPr>
              <w:t>结论</w:t>
            </w:r>
          </w:p>
        </w:tc>
        <w:tc>
          <w:tcPr>
            <w:tcW w:w="5959" w:type="dxa"/>
            <w:gridSpan w:val="2"/>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w:t>
      </w:r>
      <w:r>
        <w:rPr>
          <w:rFonts w:hint="eastAsia" w:ascii="宋体" w:hAnsi="宋体" w:eastAsia="宋体" w:cs="宋体"/>
          <w:szCs w:val="21"/>
        </w:rPr>
        <w:t>√</w:t>
      </w:r>
      <w:r>
        <w:rPr>
          <w:rFonts w:eastAsia="仿宋_GB2312"/>
          <w:szCs w:val="21"/>
        </w:rPr>
        <w:t>”表示，不符合用“</w:t>
      </w:r>
      <w:r>
        <w:rPr>
          <w:rFonts w:hint="eastAsia" w:ascii="宋体" w:hAnsi="宋体" w:eastAsia="宋体" w:cs="宋体"/>
          <w:szCs w:val="21"/>
        </w:rPr>
        <w:t>×</w:t>
      </w:r>
      <w:r>
        <w:rPr>
          <w:rFonts w:eastAsia="仿宋_GB2312"/>
          <w:szCs w:val="21"/>
        </w:rPr>
        <w:t>”表示。有一项不符合要求，结论为不合格。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ascii="宋体" w:hAnsi="宋体" w:eastAsia="宋体" w:cs="宋体"/>
                <w:szCs w:val="21"/>
              </w:rPr>
              <w:t>√</w:t>
            </w:r>
            <w:r>
              <w:rPr>
                <w:rFonts w:hint="eastAsia" w:ascii="宋体" w:hAnsi="宋体" w:eastAsia="宋体" w:cs="宋体"/>
                <w:b/>
                <w:caps/>
                <w:szCs w:val="21"/>
              </w:rPr>
              <w:t>/</w:t>
            </w:r>
            <w:r>
              <w:rPr>
                <w:rFonts w:hint="eastAsia" w:ascii="宋体" w:hAnsi="宋体" w:eastAsia="宋体" w:cs="宋体"/>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default" w:eastAsia="仿宋_GB2312"/>
                <w:szCs w:val="21"/>
                <w:lang w:val="en-US"/>
              </w:rPr>
            </w:pPr>
            <w:r>
              <w:rPr>
                <w:rFonts w:hint="eastAsia" w:eastAsia="仿宋_GB2312"/>
                <w:szCs w:val="21"/>
                <w:lang w:val="en-US" w:eastAsia="zh-CN"/>
              </w:rPr>
              <w:t>1</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eastAsia" w:eastAsia="仿宋_GB2312"/>
                <w:szCs w:val="21"/>
                <w:lang w:val="en-US" w:eastAsia="zh-CN"/>
              </w:rPr>
            </w:pPr>
            <w:r>
              <w:rPr>
                <w:rFonts w:hint="eastAsia" w:eastAsia="仿宋_GB2312"/>
                <w:szCs w:val="21"/>
                <w:lang w:val="en-US" w:eastAsia="zh-CN"/>
              </w:rPr>
              <w:t>2</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w:t>
            </w:r>
          </w:p>
          <w:p>
            <w:pPr>
              <w:tabs>
                <w:tab w:val="left" w:pos="1260"/>
                <w:tab w:val="left" w:pos="1620"/>
              </w:tabs>
              <w:adjustRightInd w:val="0"/>
              <w:snapToGrid w:val="0"/>
              <w:textAlignment w:val="baseline"/>
              <w:rPr>
                <w:rFonts w:eastAsia="仿宋_GB2312"/>
                <w:szCs w:val="21"/>
              </w:rPr>
            </w:pPr>
            <w:r>
              <w:rPr>
                <w:rFonts w:eastAsia="仿宋_GB2312"/>
                <w:szCs w:val="21"/>
              </w:rPr>
              <w:t>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eastAsia" w:eastAsia="仿宋_GB2312"/>
                <w:szCs w:val="21"/>
                <w:lang w:val="en-US" w:eastAsia="zh-CN"/>
              </w:rPr>
            </w:pPr>
            <w:r>
              <w:rPr>
                <w:rFonts w:hint="eastAsia" w:eastAsia="仿宋_GB2312"/>
                <w:szCs w:val="21"/>
                <w:lang w:val="en-US" w:eastAsia="zh-CN"/>
              </w:rPr>
              <w:t>3</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eastAsia" w:eastAsia="仿宋_GB2312"/>
                <w:szCs w:val="21"/>
                <w:lang w:val="en-US" w:eastAsia="zh-CN"/>
              </w:rPr>
            </w:pPr>
            <w:r>
              <w:rPr>
                <w:rFonts w:hint="eastAsia" w:eastAsia="仿宋_GB2312"/>
                <w:szCs w:val="21"/>
                <w:lang w:val="en-US" w:eastAsia="zh-CN"/>
              </w:rPr>
              <w:t>4</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eastAsia" w:eastAsia="仿宋_GB2312"/>
                <w:szCs w:val="21"/>
                <w:lang w:val="en-US" w:eastAsia="zh-CN"/>
              </w:rPr>
            </w:pPr>
            <w:r>
              <w:rPr>
                <w:rFonts w:hint="eastAsia" w:eastAsia="仿宋_GB2312"/>
                <w:szCs w:val="21"/>
                <w:lang w:val="en-US" w:eastAsia="zh-CN"/>
              </w:rPr>
              <w:t>5</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keepNext w:val="0"/>
              <w:keepLines w:val="0"/>
              <w:pageBreakBefore w:val="0"/>
              <w:widowControl w:val="0"/>
              <w:numPr>
                <w:ilvl w:val="0"/>
                <w:numId w:val="0"/>
              </w:numPr>
              <w:tabs>
                <w:tab w:val="left" w:pos="1260"/>
                <w:tab w:val="left" w:pos="1620"/>
              </w:tabs>
              <w:kinsoku/>
              <w:wordWrap/>
              <w:overflowPunct/>
              <w:topLinePunct w:val="0"/>
              <w:autoSpaceDE/>
              <w:autoSpaceDN/>
              <w:bidi w:val="0"/>
              <w:adjustRightInd w:val="0"/>
              <w:snapToGrid w:val="0"/>
              <w:ind w:leftChars="0"/>
              <w:jc w:val="center"/>
              <w:textAlignment w:val="baseline"/>
              <w:rPr>
                <w:rFonts w:hint="eastAsia" w:eastAsia="仿宋_GB2312"/>
                <w:szCs w:val="21"/>
                <w:lang w:val="en-US" w:eastAsia="zh-CN"/>
              </w:rPr>
            </w:pPr>
            <w:r>
              <w:rPr>
                <w:rFonts w:hint="eastAsia" w:eastAsia="仿宋_GB2312"/>
                <w:szCs w:val="21"/>
                <w:lang w:val="en-US" w:eastAsia="zh-CN"/>
              </w:rPr>
              <w:t>6</w:t>
            </w: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eastAsia="仿宋_GB2312"/>
                <w:szCs w:val="21"/>
                <w:lang w:eastAsia="zh-CN"/>
              </w:rPr>
            </w:pPr>
            <w:r>
              <w:rPr>
                <w:rFonts w:eastAsia="仿宋_GB2312"/>
                <w:szCs w:val="21"/>
              </w:rPr>
              <w:t>供应商提供的</w:t>
            </w:r>
            <w:r>
              <w:rPr>
                <w:rFonts w:hint="eastAsia" w:eastAsia="仿宋_GB2312"/>
                <w:szCs w:val="21"/>
                <w:lang w:eastAsia="zh-CN"/>
              </w:rPr>
              <w:t>服务</w:t>
            </w:r>
            <w:r>
              <w:rPr>
                <w:rFonts w:eastAsia="仿宋_GB2312"/>
                <w:szCs w:val="21"/>
              </w:rPr>
              <w:t>无实质性遗漏</w:t>
            </w:r>
            <w:r>
              <w:rPr>
                <w:rFonts w:hint="eastAsia" w:eastAsia="仿宋_GB2312"/>
                <w:szCs w:val="21"/>
                <w:lang w:eastAsia="zh-CN"/>
              </w:rPr>
              <w:t>；</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eastAsia="仿宋_GB2312"/>
                <w:szCs w:val="21"/>
                <w:lang w:eastAsia="zh-CN"/>
              </w:rPr>
            </w:pPr>
            <w:r>
              <w:rPr>
                <w:rFonts w:eastAsia="仿宋_GB2312"/>
                <w:szCs w:val="21"/>
              </w:rPr>
              <w:t>符合“采购需求”要求，无重大偏差</w:t>
            </w:r>
            <w:r>
              <w:rPr>
                <w:rFonts w:hint="eastAsia" w:eastAsia="仿宋_GB2312"/>
                <w:szCs w:val="21"/>
                <w:lang w:eastAsia="zh-CN"/>
              </w:rPr>
              <w:t>；</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hint="eastAsia" w:eastAsia="仿宋_GB2312"/>
                <w:szCs w:val="21"/>
              </w:rPr>
            </w:pPr>
            <w:r>
              <w:rPr>
                <w:rFonts w:hint="eastAsia" w:eastAsia="仿宋_GB2312"/>
                <w:szCs w:val="21"/>
              </w:rPr>
              <w:t>服务期限和</w:t>
            </w:r>
          </w:p>
          <w:p>
            <w:pPr>
              <w:tabs>
                <w:tab w:val="left" w:pos="1260"/>
                <w:tab w:val="left" w:pos="1620"/>
              </w:tabs>
              <w:adjustRightInd w:val="0"/>
              <w:snapToGrid w:val="0"/>
              <w:textAlignment w:val="baseline"/>
              <w:rPr>
                <w:rFonts w:eastAsia="仿宋_GB2312"/>
                <w:szCs w:val="21"/>
              </w:rPr>
            </w:pPr>
            <w:r>
              <w:rPr>
                <w:rFonts w:hint="eastAsia" w:eastAsia="仿宋_GB2312"/>
                <w:szCs w:val="21"/>
              </w:rPr>
              <w:t>服务地点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hint="eastAsia" w:eastAsia="仿宋_GB2312"/>
                <w:szCs w:val="21"/>
                <w:lang w:eastAsia="zh-CN"/>
              </w:rPr>
            </w:pPr>
            <w:r>
              <w:rPr>
                <w:rFonts w:eastAsia="仿宋_GB2312"/>
                <w:szCs w:val="21"/>
              </w:rPr>
              <w:t>磋商文件不允许偏差时，响应文件无负偏差</w:t>
            </w:r>
            <w:r>
              <w:rPr>
                <w:rFonts w:hint="eastAsia" w:eastAsia="仿宋_GB2312"/>
                <w:szCs w:val="21"/>
                <w:lang w:eastAsia="zh-CN"/>
              </w:rPr>
              <w:t>。</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6714" w:type="dxa"/>
            <w:gridSpan w:val="2"/>
            <w:vAlign w:val="center"/>
          </w:tcPr>
          <w:p>
            <w:pPr>
              <w:tabs>
                <w:tab w:val="left" w:pos="1260"/>
                <w:tab w:val="left" w:pos="1620"/>
              </w:tabs>
              <w:adjustRightInd w:val="0"/>
              <w:snapToGrid w:val="0"/>
              <w:textAlignment w:val="baseline"/>
              <w:rPr>
                <w:rFonts w:eastAsia="仿宋_GB2312"/>
                <w:szCs w:val="21"/>
              </w:rPr>
            </w:pPr>
          </w:p>
        </w:tc>
      </w:tr>
    </w:tbl>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w:t>
      </w:r>
      <w:r>
        <w:rPr>
          <w:rFonts w:hint="eastAsia" w:ascii="仿宋_GB2312" w:hAnsi="仿宋_GB2312" w:eastAsia="仿宋_GB2312" w:cs="仿宋_GB2312"/>
          <w:b/>
          <w:sz w:val="21"/>
          <w:szCs w:val="21"/>
          <w:lang w:val="en-US" w:eastAsia="zh-CN"/>
        </w:rPr>
        <w:t>.</w:t>
      </w:r>
      <w:r>
        <w:rPr>
          <w:rFonts w:hint="eastAsia" w:ascii="仿宋_GB2312" w:hAnsi="仿宋_GB2312" w:eastAsia="仿宋_GB2312" w:cs="仿宋_GB2312"/>
          <w:b/>
          <w:sz w:val="21"/>
          <w:szCs w:val="21"/>
        </w:rPr>
        <w:t>符合磋商文件要求用“√”表示，不符合用“×”表示。有一项不符合要求，结论为不合格。</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w:t>
      </w:r>
      <w:r>
        <w:rPr>
          <w:rFonts w:hint="eastAsia" w:ascii="仿宋_GB2312" w:hAnsi="仿宋_GB2312" w:eastAsia="仿宋_GB2312" w:cs="仿宋_GB2312"/>
          <w:b/>
          <w:sz w:val="21"/>
          <w:szCs w:val="21"/>
          <w:lang w:val="en-US" w:eastAsia="zh-CN"/>
        </w:rPr>
        <w:t>.</w:t>
      </w:r>
      <w:r>
        <w:rPr>
          <w:rFonts w:hint="eastAsia" w:ascii="仿宋_GB2312" w:hAnsi="仿宋_GB2312" w:eastAsia="仿宋_GB2312" w:cs="仿宋_GB2312"/>
          <w:b/>
          <w:sz w:val="21"/>
          <w:szCs w:val="21"/>
        </w:rPr>
        <w:t>有下列情形之一的，视为供应商相互串通：</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（1）不同供应商的响应文件由同一单位或者个人编制；</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（2）不同供应商委托同一单位或者个人办理参与磋商事宜；</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（3）不同供应商的响应文件载明的项目管理成员或者联系人员为同一人；</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（4）不同供应商的响应文件异常一致或者报价呈规律性差异；</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（5）不同供应商的响应文件相互混装；</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（6）不同供应商的磋商保证金从同一单位或者个人的账户转出。</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3、有下列情形之一的，属于提供虚假材料谋取成交的行为：</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（1）使用伪造、变造的许可证件；</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（2）提供虚假的财务状况或者业绩；</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（3）提供虚假的项目负责人或者主要技术人员简历、劳动关系证明；</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（4）提供虚假的信用状况；</w:t>
      </w:r>
    </w:p>
    <w:p>
      <w:pPr>
        <w:keepNext w:val="0"/>
        <w:keepLines w:val="0"/>
        <w:pageBreakBefore w:val="0"/>
        <w:widowControl w:val="0"/>
        <w:tabs>
          <w:tab w:val="left" w:pos="1260"/>
          <w:tab w:val="left" w:pos="1620"/>
        </w:tabs>
        <w:kinsoku/>
        <w:wordWrap/>
        <w:overflowPunct/>
        <w:topLinePunct w:val="0"/>
        <w:autoSpaceDE/>
        <w:autoSpaceDN/>
        <w:bidi w:val="0"/>
        <w:adjustRightInd w:val="0"/>
        <w:snapToGrid w:val="0"/>
        <w:spacing w:line="360" w:lineRule="auto"/>
        <w:ind w:firstLine="422" w:firstLineChars="200"/>
        <w:jc w:val="left"/>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rPr>
          <w:rFonts w:eastAsia="仿宋_GB2312"/>
          <w:b/>
          <w:sz w:val="30"/>
          <w:szCs w:val="30"/>
        </w:rPr>
      </w:pPr>
      <w:bookmarkStart w:id="409" w:name="_Toc410631198"/>
      <w:bookmarkStart w:id="410" w:name="_Toc414446034"/>
      <w:bookmarkStart w:id="411" w:name="_Toc7005048"/>
      <w:r>
        <w:rPr>
          <w:rFonts w:eastAsia="仿宋_GB2312"/>
          <w:b/>
          <w:sz w:val="30"/>
          <w:szCs w:val="30"/>
        </w:rPr>
        <w:t>附表三 评审因素及分值分配表</w:t>
      </w:r>
      <w:bookmarkEnd w:id="409"/>
      <w:bookmarkEnd w:id="410"/>
      <w:bookmarkEnd w:id="411"/>
    </w:p>
    <w:p>
      <w:pPr>
        <w:keepNext w:val="0"/>
        <w:keepLines w:val="0"/>
        <w:pageBreakBefore w:val="0"/>
        <w:widowControl w:val="0"/>
        <w:tabs>
          <w:tab w:val="left" w:pos="-94"/>
          <w:tab w:val="left" w:pos="1620"/>
        </w:tabs>
        <w:kinsoku/>
        <w:wordWrap/>
        <w:overflowPunct/>
        <w:topLinePunct w:val="0"/>
        <w:autoSpaceDE/>
        <w:autoSpaceDN/>
        <w:bidi w:val="0"/>
        <w:adjustRightInd w:val="0"/>
        <w:snapToGri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lang w:val="en-US" w:eastAsia="zh-CN"/>
        </w:rPr>
        <w:t>100</w:t>
      </w:r>
      <w:r>
        <w:rPr>
          <w:rFonts w:eastAsia="仿宋_GB2312"/>
          <w:szCs w:val="21"/>
        </w:rPr>
        <w:t>分）</w:t>
      </w: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pPr>
              <w:rPr>
                <w:rFonts w:hint="eastAsia" w:ascii="仿宋_GB2312" w:hAnsi="仿宋_GB2312" w:eastAsia="仿宋_GB2312" w:cs="仿宋_GB2312"/>
              </w:rPr>
            </w:pPr>
            <w:r>
              <w:rPr>
                <w:rFonts w:hint="eastAsia" w:ascii="仿宋_GB2312" w:hAnsi="仿宋_GB2312" w:eastAsia="仿宋_GB2312" w:cs="仿宋_GB2312"/>
              </w:rPr>
              <w:t>序号</w:t>
            </w:r>
          </w:p>
        </w:tc>
        <w:tc>
          <w:tcPr>
            <w:tcW w:w="1431"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评审项目</w:t>
            </w:r>
          </w:p>
        </w:tc>
        <w:tc>
          <w:tcPr>
            <w:tcW w:w="1431"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评审内容</w:t>
            </w:r>
          </w:p>
        </w:tc>
        <w:tc>
          <w:tcPr>
            <w:tcW w:w="530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评  审  标  准</w:t>
            </w:r>
          </w:p>
        </w:tc>
        <w:tc>
          <w:tcPr>
            <w:tcW w:w="1061" w:type="dxa"/>
            <w:vAlign w:val="center"/>
          </w:tcPr>
          <w:p>
            <w:pPr>
              <w:rPr>
                <w:rFonts w:hint="eastAsia" w:ascii="仿宋_GB2312" w:hAnsi="仿宋_GB2312" w:eastAsia="仿宋_GB2312" w:cs="仿宋_GB2312"/>
              </w:rPr>
            </w:pPr>
            <w:r>
              <w:rPr>
                <w:rFonts w:hint="eastAsia" w:ascii="仿宋_GB2312" w:hAnsi="仿宋_GB2312" w:eastAsia="仿宋_GB2312" w:cs="仿宋_GB2312"/>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7"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431" w:type="dxa"/>
            <w:vAlign w:val="center"/>
          </w:tcPr>
          <w:p>
            <w:pPr>
              <w:jc w:val="center"/>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价格</w:t>
            </w:r>
          </w:p>
        </w:tc>
        <w:tc>
          <w:tcPr>
            <w:tcW w:w="1431" w:type="dxa"/>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报价得分</w:t>
            </w:r>
          </w:p>
        </w:tc>
        <w:tc>
          <w:tcPr>
            <w:tcW w:w="5306" w:type="dxa"/>
            <w:vAlign w:val="top"/>
          </w:tcPr>
          <w:p>
            <w:pPr>
              <w:jc w:val="left"/>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评审基准价有效响应文件中的最低报价为评审基准价。</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供应商报价得分：报价得分=(评审基准价／最后报价)×</w:t>
            </w:r>
            <w:r>
              <w:rPr>
                <w:rFonts w:hint="eastAsia" w:ascii="仿宋_GB2312" w:hAnsi="仿宋_GB2312" w:eastAsia="仿宋_GB2312" w:cs="仿宋_GB2312"/>
                <w:lang w:val="en-US" w:eastAsia="zh-CN"/>
              </w:rPr>
              <w:t>10</w:t>
            </w:r>
          </w:p>
          <w:p>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本项目为专门面向中小企业的项目，所有供应商均不享受价格折扣。</w:t>
            </w:r>
          </w:p>
        </w:tc>
        <w:tc>
          <w:tcPr>
            <w:tcW w:w="1061" w:type="dxa"/>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restart"/>
            <w:vAlign w:val="center"/>
          </w:tcPr>
          <w:p>
            <w:pPr>
              <w:jc w:val="center"/>
              <w:rPr>
                <w:rFonts w:hint="eastAsia" w:ascii="仿宋_GB2312" w:hAnsi="仿宋_GB2312" w:eastAsia="仿宋_GB2312" w:cs="仿宋_GB2312"/>
              </w:rPr>
            </w:pPr>
          </w:p>
        </w:tc>
        <w:tc>
          <w:tcPr>
            <w:tcW w:w="1431" w:type="dxa"/>
            <w:vMerge w:val="restar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商务</w:t>
            </w:r>
            <w:r>
              <w:rPr>
                <w:rFonts w:hint="eastAsia" w:ascii="仿宋_GB2312" w:hAnsi="仿宋_GB2312" w:eastAsia="仿宋_GB2312" w:cs="仿宋_GB2312"/>
                <w:bCs/>
                <w:lang w:eastAsia="zh-CN"/>
              </w:rPr>
              <w:t>及技术部分</w:t>
            </w:r>
          </w:p>
        </w:tc>
        <w:tc>
          <w:tcPr>
            <w:tcW w:w="1431" w:type="dxa"/>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bCs/>
                <w:lang w:eastAsia="zh-CN"/>
              </w:rPr>
              <w:t>业绩</w:t>
            </w:r>
          </w:p>
        </w:tc>
        <w:tc>
          <w:tcPr>
            <w:tcW w:w="530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供应商提供2018年1月1日至今</w:t>
            </w:r>
            <w:r>
              <w:rPr>
                <w:rFonts w:hint="eastAsia" w:ascii="仿宋_GB2312" w:hAnsi="仿宋_GB2312" w:eastAsia="仿宋_GB2312" w:cs="仿宋_GB2312"/>
                <w:szCs w:val="21"/>
                <w:lang w:eastAsia="zh-CN"/>
              </w:rPr>
              <w:t>类似</w:t>
            </w:r>
            <w:r>
              <w:rPr>
                <w:rFonts w:hint="eastAsia" w:ascii="仿宋_GB2312" w:hAnsi="仿宋_GB2312" w:eastAsia="仿宋_GB2312" w:cs="仿宋_GB2312"/>
                <w:szCs w:val="21"/>
              </w:rPr>
              <w:t>活动服务案例，以合同复印件为准（须提供合同首页、标的物页、盖章页复印件）。每1份有效案例得3分，最高得15分。</w:t>
            </w:r>
          </w:p>
        </w:tc>
        <w:tc>
          <w:tcPr>
            <w:tcW w:w="106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restart"/>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bCs/>
                <w:lang w:eastAsia="zh-CN"/>
              </w:rPr>
              <w:t>服务方案</w:t>
            </w:r>
          </w:p>
        </w:tc>
        <w:tc>
          <w:tcPr>
            <w:tcW w:w="5306" w:type="dxa"/>
            <w:vAlign w:val="center"/>
          </w:tcPr>
          <w:p>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针对采购人的技术要求，</w:t>
            </w:r>
            <w:r>
              <w:rPr>
                <w:rFonts w:hint="eastAsia" w:ascii="仿宋_GB2312" w:hAnsi="仿宋_GB2312" w:eastAsia="仿宋_GB2312" w:cs="仿宋_GB2312"/>
                <w:szCs w:val="21"/>
                <w:lang w:eastAsia="zh-CN"/>
              </w:rPr>
              <w:t>制定</w:t>
            </w:r>
            <w:r>
              <w:rPr>
                <w:rFonts w:hint="eastAsia" w:ascii="仿宋_GB2312" w:hAnsi="仿宋_GB2312" w:eastAsia="仿宋_GB2312" w:cs="仿宋_GB2312"/>
                <w:szCs w:val="21"/>
              </w:rPr>
              <w:t>规范的服务体系，包括但不限于组织、协调、执行以及综合保障等</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针对采购人的技术要求，</w:t>
            </w:r>
            <w:r>
              <w:rPr>
                <w:rFonts w:hint="eastAsia" w:ascii="仿宋_GB2312" w:hAnsi="仿宋_GB2312" w:eastAsia="仿宋_GB2312" w:cs="仿宋_GB2312"/>
                <w:szCs w:val="21"/>
                <w:lang w:eastAsia="zh-CN"/>
              </w:rPr>
              <w:t>制定</w:t>
            </w:r>
            <w:r>
              <w:rPr>
                <w:rFonts w:hint="eastAsia" w:ascii="仿宋_GB2312" w:hAnsi="仿宋_GB2312" w:eastAsia="仿宋_GB2312" w:cs="仿宋_GB2312"/>
                <w:szCs w:val="21"/>
              </w:rPr>
              <w:t>规范的</w:t>
            </w:r>
            <w:r>
              <w:rPr>
                <w:rFonts w:hint="eastAsia" w:ascii="仿宋_GB2312" w:hAnsi="仿宋_GB2312" w:eastAsia="仿宋_GB2312" w:cs="仿宋_GB2312"/>
                <w:szCs w:val="21"/>
                <w:lang w:eastAsia="zh-CN"/>
              </w:rPr>
              <w:t>工作流程</w:t>
            </w:r>
            <w:r>
              <w:rPr>
                <w:rFonts w:hint="eastAsia" w:ascii="仿宋_GB2312" w:hAnsi="仿宋_GB2312" w:eastAsia="仿宋_GB2312" w:cs="仿宋_GB2312"/>
                <w:szCs w:val="21"/>
              </w:rPr>
              <w:t>和</w:t>
            </w:r>
            <w:r>
              <w:rPr>
                <w:rFonts w:hint="eastAsia" w:ascii="仿宋_GB2312" w:hAnsi="仿宋_GB2312" w:eastAsia="仿宋_GB2312" w:cs="仿宋_GB2312"/>
                <w:szCs w:val="21"/>
                <w:lang w:eastAsia="zh-CN"/>
              </w:rPr>
              <w:t>进度计划</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内容</w:t>
            </w:r>
            <w:r>
              <w:rPr>
                <w:rFonts w:hint="eastAsia" w:ascii="仿宋_GB2312" w:hAnsi="仿宋_GB2312" w:eastAsia="仿宋_GB2312" w:cs="仿宋_GB2312"/>
                <w:szCs w:val="21"/>
                <w:lang w:val="en-US" w:eastAsia="zh-CN"/>
              </w:rPr>
              <w:t>科学合理、切实可行，完全满足采购人需求，</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针对采购人的技术要求，</w:t>
            </w:r>
            <w:r>
              <w:rPr>
                <w:rFonts w:hint="eastAsia" w:ascii="仿宋_GB2312" w:hAnsi="仿宋_GB2312" w:eastAsia="仿宋_GB2312" w:cs="仿宋_GB2312"/>
                <w:szCs w:val="21"/>
                <w:lang w:eastAsia="zh-CN"/>
              </w:rPr>
              <w:t>制定</w:t>
            </w:r>
            <w:r>
              <w:rPr>
                <w:rFonts w:hint="eastAsia" w:ascii="仿宋_GB2312" w:hAnsi="仿宋_GB2312" w:eastAsia="仿宋_GB2312" w:cs="仿宋_GB2312"/>
                <w:szCs w:val="21"/>
                <w:lang w:val="en-US" w:eastAsia="zh-CN"/>
              </w:rPr>
              <w:t>服务质量标准方案，</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4.针对剧目版权确认等提供具体的服务方案，方案思路清晰、科学合理、切实可行，完全满足采购人需求，</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val="en-US" w:eastAsia="zh-Hans"/>
              </w:rPr>
              <w:t>针对剧目内容审核等提供具体的服务方案</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val="zh-CN" w:eastAsia="zh-CN"/>
              </w:rPr>
              <w:t>方案思路清晰、科学合理、切实可行，完全满足采购人需求</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lang w:eastAsia="zh-CN"/>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val="en-US" w:eastAsia="zh-Hans"/>
              </w:rPr>
              <w:t>针对剧目内容意识形态评估等提供具体的服务方案</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val="zh-CN" w:eastAsia="zh-CN"/>
              </w:rPr>
              <w:t>方案思路清晰、科学合理、切实可行，完全满足采购人需求</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lang w:eastAsia="zh-CN"/>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7.针对线上展播提供具体的服务方案，方案思路清晰、科学合理、切实可行，完全满足采购人需求，</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lang w:eastAsia="zh-CN"/>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8.针对本项目实施过程突发和临时事件的预计、处理，制定应急预案，应急预案应完善具体、经济实用、切实可行，</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07" w:type="dxa"/>
            <w:vMerge w:val="continue"/>
            <w:vAlign w:val="center"/>
          </w:tcPr>
          <w:p>
            <w:pPr>
              <w:jc w:val="center"/>
              <w:rPr>
                <w:rFonts w:hint="eastAsia" w:ascii="仿宋_GB2312" w:hAnsi="仿宋_GB2312" w:eastAsia="仿宋_GB2312" w:cs="仿宋_GB2312"/>
                <w:lang w:eastAsia="zh-CN"/>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9.针对本项目实施过程中存在的难点、重点分析透彻、有预期效果，以及达到预期效果的解决措施，并提供相应处理方案，方案合理全面、可行性强，</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_GB2312" w:hAnsi="仿宋_GB2312" w:eastAsia="仿宋_GB2312" w:cs="仿宋_GB2312"/>
                <w:lang w:eastAsia="zh-CN"/>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10.针对采购人的服务要求、版权要求提供相关承诺及合理化建议，</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restart"/>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bCs/>
                <w:lang w:eastAsia="zh-CN"/>
              </w:rPr>
              <w:t>履约能力</w:t>
            </w: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1.提供</w:t>
            </w:r>
            <w:r>
              <w:rPr>
                <w:rFonts w:hint="eastAsia" w:ascii="仿宋_GB2312" w:hAnsi="仿宋_GB2312" w:eastAsia="仿宋_GB2312" w:cs="仿宋_GB2312"/>
                <w:szCs w:val="21"/>
                <w:lang w:eastAsia="zh-CN"/>
              </w:rPr>
              <w:t>完善的管理组织架构</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架构</w:t>
            </w:r>
            <w:r>
              <w:rPr>
                <w:rFonts w:hint="eastAsia" w:ascii="仿宋_GB2312" w:hAnsi="仿宋_GB2312" w:eastAsia="仿宋_GB2312" w:cs="仿宋_GB2312"/>
                <w:szCs w:val="21"/>
                <w:lang w:val="en-US" w:eastAsia="zh-CN"/>
              </w:rPr>
              <w:t>科学合理、切实可行，完全满足采购人需求，</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2.供应商制定完善的人员管理办法、考核办法等内容，管理规章制度齐全、合理、切实可行，</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针对采购人的技术要求</w:t>
            </w:r>
            <w:r>
              <w:rPr>
                <w:rFonts w:hint="eastAsia" w:ascii="仿宋_GB2312" w:hAnsi="仿宋_GB2312" w:eastAsia="仿宋_GB2312" w:cs="仿宋_GB2312"/>
                <w:szCs w:val="21"/>
                <w:lang w:eastAsia="zh-CN"/>
              </w:rPr>
              <w:t>，提供拟投入设备及项目实施的保障措施</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按其响应程度计0～5分。</w:t>
            </w:r>
          </w:p>
        </w:tc>
        <w:tc>
          <w:tcPr>
            <w:tcW w:w="106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提供健全的人员团队，人员数量配备充足，岗位分工合理、明确且熟悉相关工作内容，能满足服务要求。根据拟派小组成员的配置情况表，及项目负责人和小组成员学历、职称、主要工作业绩等证明材料，按其响应程度计0～5分。</w:t>
            </w:r>
          </w:p>
        </w:tc>
        <w:tc>
          <w:tcPr>
            <w:tcW w:w="106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7" w:type="dxa"/>
            <w:vMerge w:val="continue"/>
            <w:vAlign w:val="center"/>
          </w:tcPr>
          <w:p>
            <w:pPr>
              <w:jc w:val="center"/>
              <w:rPr>
                <w:rFonts w:hint="eastAsia" w:ascii="仿宋_GB2312" w:hAnsi="仿宋_GB2312" w:eastAsia="仿宋_GB2312" w:cs="仿宋_GB2312"/>
              </w:rPr>
            </w:pPr>
          </w:p>
        </w:tc>
        <w:tc>
          <w:tcPr>
            <w:tcW w:w="1431" w:type="dxa"/>
            <w:vMerge w:val="continue"/>
            <w:vAlign w:val="center"/>
          </w:tcPr>
          <w:p>
            <w:pPr>
              <w:rPr>
                <w:rFonts w:hint="eastAsia" w:ascii="仿宋_GB2312" w:hAnsi="仿宋_GB2312" w:eastAsia="仿宋_GB2312" w:cs="仿宋_GB2312"/>
                <w:bCs/>
              </w:rPr>
            </w:pPr>
          </w:p>
        </w:tc>
        <w:tc>
          <w:tcPr>
            <w:tcW w:w="1431" w:type="dxa"/>
            <w:vMerge w:val="continue"/>
            <w:vAlign w:val="center"/>
          </w:tcPr>
          <w:p>
            <w:pPr>
              <w:rPr>
                <w:rFonts w:hint="eastAsia" w:ascii="仿宋_GB2312" w:hAnsi="仿宋_GB2312" w:eastAsia="仿宋_GB2312" w:cs="仿宋_GB2312"/>
                <w:bCs/>
                <w:lang w:eastAsia="zh-CN"/>
              </w:rPr>
            </w:pPr>
          </w:p>
        </w:tc>
        <w:tc>
          <w:tcPr>
            <w:tcW w:w="5306" w:type="dxa"/>
            <w:vAlign w:val="center"/>
          </w:tcPr>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5.提供专职演出经纪人员的资格证书</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每提供一个得</w:t>
            </w:r>
            <w:r>
              <w:rPr>
                <w:rFonts w:hint="eastAsia" w:ascii="仿宋_GB2312" w:hAnsi="仿宋_GB2312" w:eastAsia="仿宋_GB2312" w:cs="仿宋_GB2312"/>
                <w:szCs w:val="21"/>
                <w:lang w:val="en-US" w:eastAsia="zh-CN"/>
              </w:rPr>
              <w:t>2分，最高得5分。</w:t>
            </w:r>
          </w:p>
        </w:tc>
        <w:tc>
          <w:tcPr>
            <w:tcW w:w="106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lang w:val="en-US" w:eastAsia="zh-CN"/>
              </w:rPr>
              <w:t>5分</w:t>
            </w:r>
          </w:p>
        </w:tc>
      </w:tr>
    </w:tbl>
    <w:p>
      <w:pPr>
        <w:jc w:val="center"/>
        <w:rPr>
          <w:rFonts w:eastAsia="仿宋_GB2312"/>
          <w:b/>
          <w:kern w:val="0"/>
          <w:sz w:val="30"/>
          <w:szCs w:val="30"/>
        </w:rPr>
      </w:pPr>
      <w:r>
        <w:rPr>
          <w:rFonts w:eastAsia="仿宋_GB2312"/>
          <w:szCs w:val="21"/>
        </w:rPr>
        <w:br w:type="page"/>
      </w:r>
    </w:p>
    <w:p>
      <w:pPr>
        <w:pStyle w:val="46"/>
        <w:keepNext w:val="0"/>
        <w:keepLines w:val="0"/>
        <w:pageBreakBefore w:val="0"/>
        <w:widowControl w:val="0"/>
        <w:kinsoku/>
        <w:wordWrap/>
        <w:overflowPunct/>
        <w:topLinePunct w:val="0"/>
        <w:autoSpaceDE/>
        <w:autoSpaceDN/>
        <w:bidi w:val="0"/>
        <w:adjustRightInd w:val="0"/>
        <w:snapToGrid w:val="0"/>
        <w:spacing w:before="313" w:beforeLines="100" w:after="313" w:afterLines="100" w:line="360" w:lineRule="auto"/>
        <w:textAlignment w:val="auto"/>
        <w:rPr>
          <w:rStyle w:val="203"/>
          <w:rFonts w:ascii="Times New Roman" w:hAnsi="Times New Roman" w:eastAsia="宋体"/>
          <w:sz w:val="36"/>
          <w:szCs w:val="36"/>
        </w:rPr>
      </w:pPr>
      <w:bookmarkStart w:id="412" w:name="_Toc68590979"/>
      <w:r>
        <w:rPr>
          <w:rStyle w:val="203"/>
          <w:rFonts w:ascii="Times New Roman" w:hAnsi="Times New Roman" w:eastAsia="宋体"/>
          <w:sz w:val="36"/>
          <w:szCs w:val="36"/>
        </w:rPr>
        <w:t xml:space="preserve">第四章  </w:t>
      </w:r>
      <w:bookmarkEnd w:id="19"/>
      <w:bookmarkEnd w:id="394"/>
      <w:bookmarkEnd w:id="395"/>
      <w:bookmarkEnd w:id="412"/>
      <w:bookmarkStart w:id="413" w:name="_Toc177189245"/>
      <w:bookmarkStart w:id="414" w:name="_Toc249515482"/>
      <w:bookmarkStart w:id="415" w:name="_Toc53722865"/>
      <w:bookmarkStart w:id="416" w:name="_Toc184043058"/>
      <w:bookmarkStart w:id="417" w:name="_Toc256342152"/>
      <w:bookmarkStart w:id="418" w:name="_Toc249525250"/>
      <w:bookmarkStart w:id="419" w:name="_Toc230583552"/>
      <w:bookmarkStart w:id="420" w:name="_Toc230099803"/>
      <w:bookmarkStart w:id="421" w:name="_Toc496324623"/>
      <w:bookmarkStart w:id="422" w:name="_Toc499711928"/>
      <w:bookmarkStart w:id="423" w:name="_Toc500747106"/>
      <w:bookmarkStart w:id="424" w:name="_Toc492955459"/>
      <w:bookmarkStart w:id="425" w:name="_Toc232395222"/>
      <w:bookmarkStart w:id="426" w:name="_Toc500747010"/>
      <w:bookmarkStart w:id="427" w:name="_Toc28450"/>
      <w:bookmarkStart w:id="428" w:name="_Toc177995483"/>
      <w:bookmarkStart w:id="429" w:name="_Toc230013638"/>
      <w:bookmarkStart w:id="430" w:name="_Toc176882552"/>
      <w:bookmarkStart w:id="431" w:name="_Toc232176282"/>
      <w:bookmarkStart w:id="432" w:name="_Toc70687202"/>
      <w:bookmarkStart w:id="433" w:name="_Toc249515369"/>
      <w:bookmarkStart w:id="434" w:name="_Toc415499897"/>
      <w:bookmarkStart w:id="435" w:name="_Toc499711087"/>
      <w:bookmarkStart w:id="436" w:name="_Toc177817344"/>
      <w:bookmarkStart w:id="437" w:name="_Toc503063458"/>
      <w:bookmarkStart w:id="438" w:name="_Toc500747233"/>
      <w:r>
        <w:rPr>
          <w:rStyle w:val="203"/>
          <w:rFonts w:ascii="Times New Roman" w:hAnsi="Times New Roman" w:eastAsia="宋体"/>
          <w:sz w:val="36"/>
          <w:szCs w:val="36"/>
        </w:rPr>
        <w:t>拟签订的合同文本</w:t>
      </w:r>
    </w:p>
    <w:p>
      <w:pPr>
        <w:keepNext w:val="0"/>
        <w:keepLines w:val="0"/>
        <w:pageBreakBefore w:val="0"/>
        <w:tabs>
          <w:tab w:val="left" w:pos="735"/>
        </w:tabs>
        <w:kinsoku/>
        <w:wordWrap/>
        <w:overflowPunct/>
        <w:topLinePunct w:val="0"/>
        <w:autoSpaceDE w:val="0"/>
        <w:autoSpaceDN w:val="0"/>
        <w:bidi w:val="0"/>
        <w:adjustRightInd w:val="0"/>
        <w:snapToGrid w:val="0"/>
        <w:spacing w:line="520" w:lineRule="exact"/>
        <w:ind w:right="0"/>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keepNext w:val="0"/>
        <w:keepLines w:val="0"/>
        <w:pageBreakBefore w:val="0"/>
        <w:tabs>
          <w:tab w:val="left" w:pos="735"/>
        </w:tabs>
        <w:kinsoku/>
        <w:wordWrap/>
        <w:overflowPunct/>
        <w:topLinePunct w:val="0"/>
        <w:autoSpaceDE w:val="0"/>
        <w:autoSpaceDN w:val="0"/>
        <w:bidi w:val="0"/>
        <w:adjustRightInd w:val="0"/>
        <w:snapToGrid w:val="0"/>
        <w:spacing w:line="520" w:lineRule="exact"/>
        <w:ind w:right="0"/>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39" w:name="_Toc19515384"/>
      <w:r>
        <w:rPr>
          <w:rFonts w:eastAsia="仿宋_GB2312"/>
          <w:sz w:val="24"/>
        </w:rPr>
        <w:t>一、合同内容:</w:t>
      </w:r>
      <w:bookmarkEnd w:id="439"/>
    </w:p>
    <w:p>
      <w:pPr>
        <w:keepNext w:val="0"/>
        <w:keepLines w:val="0"/>
        <w:pageBreakBefore w:val="0"/>
        <w:kinsoku/>
        <w:wordWrap/>
        <w:overflowPunct/>
        <w:topLinePunct w:val="0"/>
        <w:bidi w:val="0"/>
        <w:adjustRightInd w:val="0"/>
        <w:snapToGrid w:val="0"/>
        <w:spacing w:line="520" w:lineRule="exact"/>
        <w:ind w:right="0" w:firstLine="480" w:firstLineChars="200"/>
        <w:rPr>
          <w:rFonts w:hint="eastAsia" w:ascii="仿宋_GB2312" w:hAnsi="仿宋_GB2312" w:eastAsia="仿宋_GB2312" w:cs="仿宋_GB2312"/>
          <w:kern w:val="0"/>
          <w:sz w:val="24"/>
          <w:lang w:eastAsia="zh-CN"/>
        </w:rPr>
      </w:pPr>
      <w:bookmarkStart w:id="440" w:name="_Toc19515385"/>
      <w:r>
        <w:rPr>
          <w:rFonts w:hint="eastAsia" w:ascii="仿宋_GB2312" w:hAnsi="仿宋_GB2312" w:eastAsia="仿宋_GB2312" w:cs="仿宋_GB2312"/>
          <w:kern w:val="0"/>
          <w:sz w:val="24"/>
          <w:lang w:eastAsia="zh-CN"/>
        </w:rPr>
        <w:t>第八届丝绸之路国际艺术节国际剧目展播项目</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r>
        <w:rPr>
          <w:rFonts w:eastAsia="仿宋_GB2312"/>
          <w:sz w:val="24"/>
        </w:rPr>
        <w:t>二、合同价款</w:t>
      </w:r>
      <w:bookmarkEnd w:id="440"/>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1</w:t>
      </w:r>
      <w:r>
        <w:rPr>
          <w:rFonts w:hint="eastAsia" w:eastAsia="仿宋_GB2312"/>
          <w:sz w:val="24"/>
          <w:lang w:val="en-US" w:eastAsia="zh-CN"/>
        </w:rPr>
        <w:t>.</w:t>
      </w:r>
      <w:r>
        <w:rPr>
          <w:rFonts w:eastAsia="仿宋_GB2312"/>
          <w:sz w:val="24"/>
        </w:rPr>
        <w:t>合同总价：</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2</w:t>
      </w:r>
      <w:r>
        <w:rPr>
          <w:rFonts w:hint="eastAsia" w:eastAsia="仿宋_GB2312"/>
          <w:sz w:val="24"/>
          <w:lang w:val="en-US" w:eastAsia="zh-CN"/>
        </w:rPr>
        <w:t>.</w:t>
      </w:r>
      <w:r>
        <w:rPr>
          <w:rFonts w:eastAsia="仿宋_GB2312"/>
          <w:sz w:val="24"/>
        </w:rPr>
        <w:t>合同总价包括：</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3</w:t>
      </w:r>
      <w:r>
        <w:rPr>
          <w:rFonts w:hint="eastAsia" w:eastAsia="仿宋_GB2312"/>
          <w:sz w:val="24"/>
          <w:lang w:val="en-US" w:eastAsia="zh-CN"/>
        </w:rPr>
        <w:t>.</w:t>
      </w:r>
      <w:r>
        <w:rPr>
          <w:rFonts w:eastAsia="仿宋_GB2312"/>
          <w:sz w:val="24"/>
        </w:rPr>
        <w:t>合同为固定总价合同，不受市场价变化的影响。</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1" w:name="_Toc19515386"/>
      <w:r>
        <w:rPr>
          <w:rFonts w:eastAsia="仿宋_GB2312"/>
          <w:sz w:val="24"/>
        </w:rPr>
        <w:t>三、合同结算</w:t>
      </w:r>
      <w:bookmarkEnd w:id="441"/>
    </w:p>
    <w:p>
      <w:pPr>
        <w:keepNext w:val="0"/>
        <w:keepLines w:val="0"/>
        <w:pageBreakBefore w:val="0"/>
        <w:kinsoku/>
        <w:wordWrap/>
        <w:overflowPunct/>
        <w:topLinePunct w:val="0"/>
        <w:bidi w:val="0"/>
        <w:adjustRightInd w:val="0"/>
        <w:snapToGrid w:val="0"/>
        <w:spacing w:line="520" w:lineRule="exact"/>
        <w:ind w:right="0" w:firstLine="480" w:firstLineChars="200"/>
        <w:rPr>
          <w:rFonts w:hint="eastAsia" w:eastAsia="仿宋_GB2312"/>
          <w:sz w:val="24"/>
          <w:highlight w:val="none"/>
        </w:rPr>
      </w:pPr>
      <w:r>
        <w:rPr>
          <w:rFonts w:eastAsia="仿宋_GB2312"/>
          <w:sz w:val="24"/>
          <w:highlight w:val="none"/>
        </w:rPr>
        <w:t>1</w:t>
      </w:r>
      <w:r>
        <w:rPr>
          <w:rFonts w:hint="eastAsia" w:eastAsia="仿宋_GB2312"/>
          <w:sz w:val="24"/>
          <w:highlight w:val="none"/>
          <w:lang w:val="en-US" w:eastAsia="zh-CN"/>
        </w:rPr>
        <w:t>.</w:t>
      </w:r>
      <w:r>
        <w:rPr>
          <w:rFonts w:eastAsia="仿宋_GB2312"/>
          <w:sz w:val="24"/>
          <w:highlight w:val="none"/>
        </w:rPr>
        <w:t>付款</w:t>
      </w:r>
      <w:r>
        <w:rPr>
          <w:rFonts w:hint="eastAsia" w:eastAsia="仿宋_GB2312"/>
          <w:sz w:val="24"/>
          <w:highlight w:val="none"/>
          <w:lang w:val="en-US" w:eastAsia="zh-CN"/>
        </w:rPr>
        <w:t>方式</w:t>
      </w:r>
      <w:r>
        <w:rPr>
          <w:rFonts w:eastAsia="仿宋_GB2312"/>
          <w:sz w:val="24"/>
          <w:highlight w:val="none"/>
        </w:rPr>
        <w:t>：</w:t>
      </w:r>
      <w:r>
        <w:rPr>
          <w:rFonts w:hint="eastAsia" w:eastAsia="仿宋_GB2312"/>
          <w:sz w:val="24"/>
          <w:highlight w:val="none"/>
        </w:rPr>
        <w:t>合同签订后支付合同总价款的80%，服务活动结束后支付合同剩余价款的20%。</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highlight w:val="none"/>
        </w:rPr>
      </w:pPr>
      <w:r>
        <w:rPr>
          <w:rFonts w:eastAsia="仿宋_GB2312"/>
          <w:sz w:val="24"/>
          <w:highlight w:val="none"/>
        </w:rPr>
        <w:t>2</w:t>
      </w:r>
      <w:r>
        <w:rPr>
          <w:rFonts w:hint="eastAsia" w:eastAsia="仿宋_GB2312"/>
          <w:sz w:val="24"/>
          <w:highlight w:val="none"/>
          <w:lang w:val="en-US" w:eastAsia="zh-CN"/>
        </w:rPr>
        <w:t>.</w:t>
      </w:r>
      <w:r>
        <w:rPr>
          <w:rFonts w:eastAsia="仿宋_GB2312"/>
          <w:sz w:val="24"/>
          <w:highlight w:val="none"/>
        </w:rPr>
        <w:t>结算方式：银行转账。</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highlight w:val="none"/>
        </w:rPr>
      </w:pPr>
      <w:r>
        <w:rPr>
          <w:rFonts w:eastAsia="仿宋_GB2312"/>
          <w:sz w:val="24"/>
          <w:highlight w:val="none"/>
        </w:rPr>
        <w:t>3</w:t>
      </w:r>
      <w:r>
        <w:rPr>
          <w:rFonts w:hint="eastAsia" w:eastAsia="仿宋_GB2312"/>
          <w:sz w:val="24"/>
          <w:highlight w:val="none"/>
          <w:lang w:val="en-US" w:eastAsia="zh-CN"/>
        </w:rPr>
        <w:t>.</w:t>
      </w:r>
      <w:r>
        <w:rPr>
          <w:rFonts w:eastAsia="仿宋_GB2312"/>
          <w:sz w:val="24"/>
          <w:highlight w:val="none"/>
        </w:rPr>
        <w:t>结算单位：由</w:t>
      </w:r>
      <w:r>
        <w:rPr>
          <w:rFonts w:eastAsia="仿宋_GB2312"/>
          <w:sz w:val="24"/>
          <w:highlight w:val="none"/>
          <w:u w:val="single"/>
        </w:rPr>
        <w:t xml:space="preserve"> </w:t>
      </w:r>
      <w:r>
        <w:rPr>
          <w:rFonts w:hint="eastAsia" w:eastAsia="仿宋_GB2312"/>
          <w:sz w:val="24"/>
          <w:highlight w:val="none"/>
          <w:u w:val="single"/>
        </w:rPr>
        <w:t>甲方</w:t>
      </w:r>
      <w:r>
        <w:rPr>
          <w:rFonts w:eastAsia="仿宋_GB2312"/>
          <w:sz w:val="24"/>
          <w:highlight w:val="none"/>
          <w:u w:val="single"/>
        </w:rPr>
        <w:t xml:space="preserve"> </w:t>
      </w:r>
      <w:r>
        <w:rPr>
          <w:rFonts w:eastAsia="仿宋_GB2312"/>
          <w:sz w:val="24"/>
          <w:highlight w:val="none"/>
        </w:rPr>
        <w:t>负责结算，乙方开具合同总价数的全额发票交</w:t>
      </w:r>
      <w:r>
        <w:rPr>
          <w:rFonts w:hint="eastAsia" w:eastAsia="仿宋_GB2312"/>
          <w:sz w:val="24"/>
          <w:highlight w:val="none"/>
        </w:rPr>
        <w:t>甲方</w:t>
      </w:r>
      <w:r>
        <w:rPr>
          <w:rFonts w:eastAsia="仿宋_GB2312"/>
          <w:sz w:val="24"/>
          <w:highlight w:val="none"/>
        </w:rPr>
        <w:t>。</w:t>
      </w:r>
    </w:p>
    <w:p>
      <w:pPr>
        <w:keepNext w:val="0"/>
        <w:keepLines w:val="0"/>
        <w:pageBreakBefore w:val="0"/>
        <w:kinsoku/>
        <w:wordWrap/>
        <w:overflowPunct/>
        <w:topLinePunct w:val="0"/>
        <w:bidi w:val="0"/>
        <w:adjustRightInd w:val="0"/>
        <w:snapToGrid w:val="0"/>
        <w:spacing w:line="520" w:lineRule="exact"/>
        <w:ind w:right="0"/>
        <w:rPr>
          <w:rFonts w:eastAsia="仿宋_GB2312"/>
          <w:sz w:val="24"/>
          <w:highlight w:val="none"/>
        </w:rPr>
      </w:pPr>
      <w:bookmarkStart w:id="442" w:name="_Toc19515387"/>
      <w:r>
        <w:rPr>
          <w:rFonts w:eastAsia="仿宋_GB2312"/>
          <w:sz w:val="24"/>
          <w:highlight w:val="none"/>
        </w:rPr>
        <w:t>四、履行期限、地点及方式:</w:t>
      </w:r>
      <w:bookmarkEnd w:id="442"/>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highlight w:val="none"/>
        </w:rPr>
      </w:pPr>
      <w:r>
        <w:rPr>
          <w:rFonts w:eastAsia="仿宋_GB2312"/>
          <w:sz w:val="24"/>
          <w:highlight w:val="none"/>
        </w:rPr>
        <w:t>1</w:t>
      </w:r>
      <w:r>
        <w:rPr>
          <w:rFonts w:hint="eastAsia" w:eastAsia="仿宋_GB2312"/>
          <w:sz w:val="24"/>
          <w:highlight w:val="none"/>
          <w:lang w:val="en-US" w:eastAsia="zh-CN"/>
        </w:rPr>
        <w:t>.</w:t>
      </w:r>
      <w:r>
        <w:rPr>
          <w:rFonts w:eastAsia="仿宋_GB2312"/>
          <w:sz w:val="24"/>
          <w:highlight w:val="none"/>
        </w:rPr>
        <w:t>履行期限</w:t>
      </w:r>
      <w:r>
        <w:rPr>
          <w:rFonts w:hint="eastAsia" w:ascii="仿宋_GB2312" w:hAnsi="仿宋_GB2312" w:eastAsia="仿宋_GB2312" w:cs="仿宋_GB2312"/>
          <w:sz w:val="24"/>
          <w:highlight w:val="none"/>
        </w:rPr>
        <w:t>：2022年9月17日</w:t>
      </w:r>
      <w:r>
        <w:rPr>
          <w:rFonts w:hint="eastAsia" w:ascii="仿宋_GB2312" w:hAnsi="仿宋_GB2312" w:eastAsia="仿宋_GB2312" w:cs="仿宋_GB2312"/>
          <w:sz w:val="24"/>
          <w:highlight w:val="none"/>
          <w:lang w:eastAsia="zh-CN"/>
        </w:rPr>
        <w:t>至</w:t>
      </w:r>
      <w:r>
        <w:rPr>
          <w:rFonts w:hint="eastAsia" w:ascii="仿宋_GB2312" w:hAnsi="仿宋_GB2312" w:eastAsia="仿宋_GB2312" w:cs="仿宋_GB2312"/>
          <w:sz w:val="24"/>
          <w:highlight w:val="none"/>
        </w:rPr>
        <w:t>2022年9月25日</w:t>
      </w:r>
    </w:p>
    <w:p>
      <w:pPr>
        <w:keepNext w:val="0"/>
        <w:keepLines w:val="0"/>
        <w:pageBreakBefore w:val="0"/>
        <w:kinsoku/>
        <w:wordWrap/>
        <w:overflowPunct/>
        <w:topLinePunct w:val="0"/>
        <w:bidi w:val="0"/>
        <w:adjustRightInd w:val="0"/>
        <w:snapToGrid w:val="0"/>
        <w:spacing w:line="520" w:lineRule="exact"/>
        <w:ind w:right="0" w:firstLine="480" w:firstLineChars="200"/>
        <w:rPr>
          <w:rFonts w:hint="eastAsia" w:eastAsia="仿宋_GB2312"/>
          <w:sz w:val="24"/>
          <w:highlight w:val="none"/>
          <w:lang w:eastAsia="zh-CN"/>
        </w:rPr>
      </w:pPr>
      <w:r>
        <w:rPr>
          <w:rFonts w:eastAsia="仿宋_GB2312"/>
          <w:sz w:val="24"/>
          <w:highlight w:val="none"/>
        </w:rPr>
        <w:t>2</w:t>
      </w:r>
      <w:r>
        <w:rPr>
          <w:rFonts w:hint="eastAsia" w:eastAsia="仿宋_GB2312"/>
          <w:sz w:val="24"/>
          <w:highlight w:val="none"/>
          <w:lang w:val="en-US" w:eastAsia="zh-CN"/>
        </w:rPr>
        <w:t>.</w:t>
      </w:r>
      <w:r>
        <w:rPr>
          <w:rFonts w:eastAsia="仿宋_GB2312"/>
          <w:sz w:val="24"/>
          <w:highlight w:val="none"/>
        </w:rPr>
        <w:t>地点：</w:t>
      </w:r>
      <w:r>
        <w:rPr>
          <w:rFonts w:hint="eastAsia" w:eastAsia="仿宋_GB2312"/>
          <w:sz w:val="24"/>
          <w:highlight w:val="none"/>
          <w:lang w:eastAsia="zh-CN"/>
        </w:rPr>
        <w:t>采购人指定地点</w:t>
      </w:r>
    </w:p>
    <w:p>
      <w:pPr>
        <w:keepNext w:val="0"/>
        <w:keepLines w:val="0"/>
        <w:pageBreakBefore w:val="0"/>
        <w:kinsoku/>
        <w:wordWrap/>
        <w:overflowPunct/>
        <w:topLinePunct w:val="0"/>
        <w:bidi w:val="0"/>
        <w:adjustRightInd w:val="0"/>
        <w:snapToGrid w:val="0"/>
        <w:spacing w:line="520" w:lineRule="exact"/>
        <w:ind w:right="0" w:firstLine="480" w:firstLineChars="200"/>
        <w:rPr>
          <w:rFonts w:hint="eastAsia" w:eastAsia="仿宋_GB2312"/>
          <w:sz w:val="24"/>
          <w:highlight w:val="none"/>
          <w:lang w:eastAsia="zh-CN"/>
        </w:rPr>
      </w:pPr>
      <w:r>
        <w:rPr>
          <w:rFonts w:eastAsia="仿宋_GB2312"/>
          <w:sz w:val="24"/>
          <w:highlight w:val="none"/>
        </w:rPr>
        <w:t>3</w:t>
      </w:r>
      <w:r>
        <w:rPr>
          <w:rFonts w:hint="eastAsia" w:eastAsia="仿宋_GB2312"/>
          <w:sz w:val="24"/>
          <w:highlight w:val="none"/>
          <w:lang w:val="en-US" w:eastAsia="zh-CN"/>
        </w:rPr>
        <w:t>.</w:t>
      </w:r>
      <w:r>
        <w:rPr>
          <w:rFonts w:eastAsia="仿宋_GB2312"/>
          <w:sz w:val="24"/>
          <w:highlight w:val="none"/>
        </w:rPr>
        <w:t>方式：</w:t>
      </w:r>
      <w:r>
        <w:rPr>
          <w:rFonts w:hint="eastAsia" w:eastAsia="仿宋_GB2312"/>
          <w:sz w:val="24"/>
          <w:highlight w:val="none"/>
          <w:lang w:eastAsia="zh-CN"/>
        </w:rPr>
        <w:t>采购人指定方式</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3" w:name="_Toc19515390"/>
      <w:r>
        <w:rPr>
          <w:rFonts w:eastAsia="仿宋_GB2312"/>
          <w:sz w:val="24"/>
        </w:rPr>
        <w:t>五、</w:t>
      </w:r>
      <w:r>
        <w:rPr>
          <w:rFonts w:hint="eastAsia" w:eastAsia="仿宋_GB2312"/>
          <w:sz w:val="24"/>
          <w:lang w:eastAsia="zh-CN"/>
        </w:rPr>
        <w:t>服务</w:t>
      </w:r>
      <w:r>
        <w:rPr>
          <w:rFonts w:eastAsia="仿宋_GB2312"/>
          <w:sz w:val="24"/>
        </w:rPr>
        <w:t>服务</w:t>
      </w:r>
      <w:bookmarkEnd w:id="443"/>
    </w:p>
    <w:p>
      <w:pPr>
        <w:keepNext w:val="0"/>
        <w:keepLines w:val="0"/>
        <w:pageBreakBefore w:val="0"/>
        <w:widowControl w:val="0"/>
        <w:kinsoku/>
        <w:wordWrap/>
        <w:overflowPunct/>
        <w:topLinePunct w:val="0"/>
        <w:autoSpaceDE/>
        <w:autoSpaceDN/>
        <w:bidi w:val="0"/>
        <w:adjustRightInd w:val="0"/>
        <w:snapToGrid w:val="0"/>
        <w:spacing w:line="520" w:lineRule="exact"/>
        <w:ind w:right="0" w:firstLine="480" w:firstLineChars="200"/>
        <w:textAlignment w:val="auto"/>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lang w:val="en-US" w:eastAsia="zh-CN"/>
        </w:rPr>
        <w:t>.</w:t>
      </w:r>
      <w:r>
        <w:rPr>
          <w:rFonts w:ascii="Times New Roman" w:hAnsi="Times New Roman" w:eastAsia="仿宋_GB2312" w:cs="Times New Roman"/>
          <w:sz w:val="24"/>
        </w:rPr>
        <w:t>对服务的要求：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480" w:firstLineChars="200"/>
        <w:textAlignment w:val="auto"/>
        <w:rPr>
          <w:rFonts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lang w:val="en-US" w:eastAsia="zh-CN"/>
        </w:rPr>
        <w:t>.服务相关</w:t>
      </w:r>
      <w:r>
        <w:rPr>
          <w:rFonts w:ascii="Times New Roman" w:hAnsi="Times New Roman" w:eastAsia="仿宋_GB2312" w:cs="Times New Roman"/>
          <w:sz w:val="24"/>
        </w:rPr>
        <w:t>资料：</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480" w:firstLineChars="200"/>
        <w:textAlignment w:val="auto"/>
        <w:rPr>
          <w:rFonts w:hint="eastAsia" w:ascii="Times New Roman" w:hAnsi="Times New Roman" w:eastAsia="仿宋_GB2312" w:cs="Times New Roman"/>
          <w:sz w:val="24"/>
          <w:lang w:val="en-US" w:eastAsia="zh-CN"/>
        </w:rPr>
      </w:pPr>
      <w:r>
        <w:rPr>
          <w:rFonts w:ascii="Times New Roman" w:hAnsi="Times New Roman" w:eastAsia="仿宋_GB2312" w:cs="Times New Roman"/>
          <w:sz w:val="24"/>
        </w:rPr>
        <w:t>3</w:t>
      </w:r>
      <w:r>
        <w:rPr>
          <w:rFonts w:hint="eastAsia" w:ascii="Times New Roman" w:hAnsi="Times New Roman" w:eastAsia="仿宋_GB2312" w:cs="Times New Roman"/>
          <w:sz w:val="24"/>
          <w:lang w:val="en-US" w:eastAsia="zh-CN"/>
        </w:rPr>
        <w:t>.</w:t>
      </w:r>
      <w:r>
        <w:rPr>
          <w:rFonts w:hint="eastAsia" w:ascii="Times New Roman" w:hAnsi="Times New Roman" w:eastAsia="仿宋_GB2312" w:cs="Times New Roman"/>
          <w:sz w:val="24"/>
        </w:rPr>
        <w:t>服务内容按符合有关规定。</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4" w:name="_Toc19515391"/>
      <w:r>
        <w:rPr>
          <w:rFonts w:eastAsia="仿宋_GB2312"/>
          <w:sz w:val="24"/>
        </w:rPr>
        <w:t>六、验收</w:t>
      </w:r>
      <w:bookmarkEnd w:id="444"/>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hint="eastAsia" w:eastAsia="仿宋_GB2312"/>
          <w:sz w:val="24"/>
          <w:lang w:val="en-US" w:eastAsia="zh-CN"/>
        </w:rPr>
        <w:t>1</w:t>
      </w:r>
      <w:r>
        <w:rPr>
          <w:rFonts w:eastAsia="仿宋_GB2312"/>
          <w:sz w:val="24"/>
        </w:rPr>
        <w:t>-1</w:t>
      </w:r>
      <w:r>
        <w:rPr>
          <w:rFonts w:hint="eastAsia" w:eastAsia="仿宋_GB2312"/>
          <w:sz w:val="24"/>
          <w:lang w:val="en-US" w:eastAsia="zh-CN"/>
        </w:rPr>
        <w:t xml:space="preserve"> </w:t>
      </w:r>
      <w:r>
        <w:rPr>
          <w:rFonts w:eastAsia="仿宋_GB2312"/>
          <w:sz w:val="24"/>
        </w:rPr>
        <w:t>合同文本、合同附件、</w:t>
      </w:r>
      <w:r>
        <w:rPr>
          <w:rFonts w:hint="eastAsia" w:eastAsia="仿宋_GB2312"/>
          <w:sz w:val="24"/>
        </w:rPr>
        <w:t>竞争性磋商文件</w:t>
      </w:r>
      <w:r>
        <w:rPr>
          <w:rFonts w:eastAsia="仿宋_GB2312"/>
          <w:sz w:val="24"/>
        </w:rPr>
        <w:t>、</w:t>
      </w:r>
      <w:r>
        <w:rPr>
          <w:rFonts w:hint="eastAsia" w:eastAsia="仿宋_GB2312"/>
          <w:sz w:val="24"/>
        </w:rPr>
        <w:t>成交供应商的响应文件</w:t>
      </w:r>
      <w:r>
        <w:rPr>
          <w:rFonts w:eastAsia="仿宋_GB2312"/>
          <w:sz w:val="24"/>
        </w:rPr>
        <w:t>。</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hint="eastAsia" w:eastAsia="仿宋_GB2312"/>
          <w:sz w:val="24"/>
          <w:lang w:val="en-US" w:eastAsia="zh-CN"/>
        </w:rPr>
        <w:t>1</w:t>
      </w:r>
      <w:r>
        <w:rPr>
          <w:rFonts w:eastAsia="仿宋_GB2312"/>
          <w:sz w:val="24"/>
        </w:rPr>
        <w:t>-2</w:t>
      </w:r>
      <w:r>
        <w:rPr>
          <w:rFonts w:hint="eastAsia" w:eastAsia="仿宋_GB2312"/>
          <w:sz w:val="24"/>
          <w:lang w:val="en-US" w:eastAsia="zh-CN"/>
        </w:rPr>
        <w:t xml:space="preserve"> </w:t>
      </w:r>
      <w:r>
        <w:rPr>
          <w:rFonts w:eastAsia="仿宋_GB2312"/>
          <w:sz w:val="24"/>
        </w:rPr>
        <w:t>国内</w:t>
      </w:r>
      <w:r>
        <w:rPr>
          <w:rFonts w:hint="eastAsia" w:eastAsia="仿宋_GB2312"/>
          <w:sz w:val="24"/>
          <w:lang w:eastAsia="zh-CN"/>
        </w:rPr>
        <w:t>外</w:t>
      </w:r>
      <w:r>
        <w:rPr>
          <w:rFonts w:eastAsia="仿宋_GB2312"/>
          <w:sz w:val="24"/>
        </w:rPr>
        <w:t>相应的标准、规范。</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5" w:name="_Toc19515392"/>
      <w:r>
        <w:rPr>
          <w:rFonts w:eastAsia="仿宋_GB2312"/>
          <w:sz w:val="24"/>
        </w:rPr>
        <w:t>七、违约责任</w:t>
      </w:r>
      <w:bookmarkEnd w:id="445"/>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1</w:t>
      </w:r>
      <w:r>
        <w:rPr>
          <w:rFonts w:hint="eastAsia" w:eastAsia="仿宋_GB2312"/>
          <w:sz w:val="24"/>
          <w:lang w:val="en-US" w:eastAsia="zh-CN"/>
        </w:rPr>
        <w:t>.</w:t>
      </w:r>
      <w:r>
        <w:rPr>
          <w:rFonts w:eastAsia="仿宋_GB2312"/>
          <w:sz w:val="24"/>
        </w:rPr>
        <w:t>按《中华人民共和国民法典》中的相关条款执行。</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2</w:t>
      </w:r>
      <w:r>
        <w:rPr>
          <w:rFonts w:hint="eastAsia" w:eastAsia="仿宋_GB2312"/>
          <w:sz w:val="24"/>
          <w:lang w:val="en-US" w:eastAsia="zh-CN"/>
        </w:rPr>
        <w:t>.</w:t>
      </w:r>
      <w:r>
        <w:rPr>
          <w:rFonts w:eastAsia="仿宋_GB2312"/>
          <w:sz w:val="24"/>
        </w:rPr>
        <w:t>乙方履约延误</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2-1</w:t>
      </w:r>
      <w:r>
        <w:rPr>
          <w:rFonts w:hint="eastAsia" w:eastAsia="仿宋_GB2312"/>
          <w:sz w:val="24"/>
          <w:lang w:val="en-US" w:eastAsia="zh-CN"/>
        </w:rPr>
        <w:t xml:space="preserve"> </w:t>
      </w:r>
      <w:r>
        <w:rPr>
          <w:rFonts w:eastAsia="仿宋_GB2312"/>
          <w:sz w:val="24"/>
        </w:rPr>
        <w:t>如乙方事先未征得甲方同意并得到甲方的谅解而单方面延迟执行合同，将按违约终止合同。</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2-2</w:t>
      </w:r>
      <w:r>
        <w:rPr>
          <w:rFonts w:hint="eastAsia" w:eastAsia="仿宋_GB2312"/>
          <w:sz w:val="24"/>
          <w:lang w:val="en-US" w:eastAsia="zh-CN"/>
        </w:rPr>
        <w:t xml:space="preserve"> </w:t>
      </w:r>
      <w:r>
        <w:rPr>
          <w:rFonts w:eastAsia="仿宋_GB2312"/>
          <w:sz w:val="24"/>
        </w:rPr>
        <w:t>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3</w:t>
      </w:r>
      <w:r>
        <w:rPr>
          <w:rFonts w:hint="eastAsia" w:eastAsia="仿宋_GB2312"/>
          <w:sz w:val="24"/>
          <w:lang w:val="en-US" w:eastAsia="zh-CN"/>
        </w:rPr>
        <w:t xml:space="preserve"> </w:t>
      </w:r>
      <w:r>
        <w:rPr>
          <w:rFonts w:eastAsia="仿宋_GB2312"/>
          <w:sz w:val="24"/>
        </w:rPr>
        <w:t>违约终止合同：未按合同要求提供服务或不能满足技术要求，甲方会同监督机构有权终止合同，对乙方违约行为进行追究，同时按政府采购法的有关规定进行相应的处罚。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6" w:name="_Toc19515393"/>
      <w:r>
        <w:rPr>
          <w:rFonts w:eastAsia="仿宋_GB2312"/>
          <w:sz w:val="24"/>
        </w:rPr>
        <w:t>八、合同组成</w:t>
      </w:r>
      <w:bookmarkEnd w:id="446"/>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1</w:t>
      </w:r>
      <w:r>
        <w:rPr>
          <w:rFonts w:hint="eastAsia" w:eastAsia="仿宋_GB2312"/>
          <w:sz w:val="24"/>
          <w:lang w:val="en-US" w:eastAsia="zh-CN"/>
        </w:rPr>
        <w:t>.</w:t>
      </w:r>
      <w:r>
        <w:rPr>
          <w:rFonts w:hint="eastAsia" w:eastAsia="仿宋_GB2312"/>
          <w:sz w:val="24"/>
        </w:rPr>
        <w:t>成交</w:t>
      </w:r>
      <w:r>
        <w:rPr>
          <w:rFonts w:eastAsia="仿宋_GB2312"/>
          <w:sz w:val="24"/>
        </w:rPr>
        <w:t>通知书</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2</w:t>
      </w:r>
      <w:r>
        <w:rPr>
          <w:rFonts w:hint="eastAsia" w:eastAsia="仿宋_GB2312"/>
          <w:sz w:val="24"/>
          <w:lang w:val="en-US" w:eastAsia="zh-CN"/>
        </w:rPr>
        <w:t>.</w:t>
      </w:r>
      <w:r>
        <w:rPr>
          <w:rFonts w:eastAsia="仿宋_GB2312"/>
          <w:sz w:val="24"/>
        </w:rPr>
        <w:t>合同文件</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3</w:t>
      </w:r>
      <w:r>
        <w:rPr>
          <w:rFonts w:hint="eastAsia" w:eastAsia="仿宋_GB2312"/>
          <w:sz w:val="24"/>
          <w:lang w:val="en-US" w:eastAsia="zh-CN"/>
        </w:rPr>
        <w:t>.</w:t>
      </w:r>
      <w:r>
        <w:rPr>
          <w:rFonts w:eastAsia="仿宋_GB2312"/>
          <w:sz w:val="24"/>
        </w:rPr>
        <w:t>国家相关规范及标准</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4</w:t>
      </w:r>
      <w:r>
        <w:rPr>
          <w:rFonts w:hint="eastAsia" w:eastAsia="仿宋_GB2312"/>
          <w:sz w:val="24"/>
          <w:lang w:val="en-US" w:eastAsia="zh-CN"/>
        </w:rPr>
        <w:t>.</w:t>
      </w:r>
      <w:r>
        <w:rPr>
          <w:rFonts w:hint="eastAsia" w:eastAsia="仿宋_GB2312"/>
          <w:sz w:val="24"/>
        </w:rPr>
        <w:t>竞争性磋商文件</w:t>
      </w:r>
    </w:p>
    <w:p>
      <w:pPr>
        <w:keepNext w:val="0"/>
        <w:keepLines w:val="0"/>
        <w:pageBreakBefore w:val="0"/>
        <w:kinsoku/>
        <w:wordWrap/>
        <w:overflowPunct/>
        <w:topLinePunct w:val="0"/>
        <w:bidi w:val="0"/>
        <w:adjustRightInd w:val="0"/>
        <w:snapToGrid w:val="0"/>
        <w:spacing w:line="520" w:lineRule="exact"/>
        <w:ind w:right="0" w:firstLine="480" w:firstLineChars="200"/>
        <w:rPr>
          <w:rFonts w:eastAsia="仿宋_GB2312"/>
          <w:sz w:val="24"/>
        </w:rPr>
      </w:pPr>
      <w:r>
        <w:rPr>
          <w:rFonts w:eastAsia="仿宋_GB2312"/>
          <w:sz w:val="24"/>
        </w:rPr>
        <w:t>5</w:t>
      </w:r>
      <w:r>
        <w:rPr>
          <w:rFonts w:hint="eastAsia" w:eastAsia="仿宋_GB2312"/>
          <w:sz w:val="24"/>
          <w:lang w:val="en-US" w:eastAsia="zh-CN"/>
        </w:rPr>
        <w:t>.</w:t>
      </w:r>
      <w:r>
        <w:rPr>
          <w:rFonts w:hint="eastAsia" w:eastAsia="仿宋_GB2312"/>
          <w:sz w:val="24"/>
        </w:rPr>
        <w:t>成交供应商的响应</w:t>
      </w:r>
      <w:r>
        <w:rPr>
          <w:rFonts w:eastAsia="仿宋_GB2312"/>
          <w:sz w:val="24"/>
        </w:rPr>
        <w:t>文件</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7" w:name="_Toc19515394"/>
      <w:r>
        <w:rPr>
          <w:rFonts w:eastAsia="仿宋_GB2312"/>
          <w:sz w:val="24"/>
        </w:rPr>
        <w:t>十一、解决争议的方法</w:t>
      </w:r>
      <w:bookmarkEnd w:id="447"/>
    </w:p>
    <w:p>
      <w:pPr>
        <w:keepNext w:val="0"/>
        <w:keepLines w:val="0"/>
        <w:pageBreakBefore w:val="0"/>
        <w:widowControl/>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w:t>
      </w:r>
      <w:r>
        <w:rPr>
          <w:rFonts w:hint="eastAsia" w:eastAsia="仿宋_GB2312"/>
          <w:kern w:val="0"/>
          <w:sz w:val="24"/>
          <w:lang w:val="en-US" w:eastAsia="zh-CN"/>
        </w:rPr>
        <w:t>1</w:t>
      </w:r>
      <w:r>
        <w:rPr>
          <w:rFonts w:eastAsia="仿宋_GB2312"/>
          <w:kern w:val="0"/>
          <w:sz w:val="24"/>
        </w:rPr>
        <w:t>）种争议解决方式：</w:t>
      </w:r>
    </w:p>
    <w:p>
      <w:pPr>
        <w:keepNext w:val="0"/>
        <w:keepLines w:val="0"/>
        <w:pageBreakBefore w:val="0"/>
        <w:widowControl/>
        <w:numPr>
          <w:ilvl w:val="0"/>
          <w:numId w:val="13"/>
        </w:numPr>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甲、乙双方均同意向（甲方所在地人民法院）提起诉讼。</w:t>
      </w:r>
    </w:p>
    <w:p>
      <w:pPr>
        <w:keepNext w:val="0"/>
        <w:keepLines w:val="0"/>
        <w:pageBreakBefore w:val="0"/>
        <w:widowControl/>
        <w:numPr>
          <w:ilvl w:val="0"/>
          <w:numId w:val="13"/>
        </w:numPr>
        <w:kinsoku/>
        <w:wordWrap/>
        <w:overflowPunct/>
        <w:topLinePunct w:val="0"/>
        <w:autoSpaceDE w:val="0"/>
        <w:autoSpaceDN w:val="0"/>
        <w:bidi w:val="0"/>
        <w:adjustRightInd w:val="0"/>
        <w:snapToGrid w:val="0"/>
        <w:spacing w:line="520" w:lineRule="exact"/>
        <w:ind w:left="0" w:leftChars="0" w:right="0" w:firstLine="480" w:firstLineChars="200"/>
        <w:textAlignment w:val="bottom"/>
        <w:rPr>
          <w:rFonts w:eastAsia="仿宋_GB2312"/>
          <w:kern w:val="0"/>
          <w:sz w:val="24"/>
        </w:rPr>
      </w:pP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keepNext w:val="0"/>
        <w:keepLines w:val="0"/>
        <w:pageBreakBefore w:val="0"/>
        <w:kinsoku/>
        <w:wordWrap/>
        <w:overflowPunct/>
        <w:topLinePunct w:val="0"/>
        <w:bidi w:val="0"/>
        <w:adjustRightInd w:val="0"/>
        <w:snapToGrid w:val="0"/>
        <w:spacing w:line="520" w:lineRule="exact"/>
        <w:ind w:right="0"/>
        <w:rPr>
          <w:rFonts w:eastAsia="仿宋_GB2312"/>
          <w:sz w:val="24"/>
        </w:rPr>
      </w:pPr>
      <w:bookmarkStart w:id="448" w:name="_Toc19515395"/>
      <w:r>
        <w:rPr>
          <w:rFonts w:eastAsia="仿宋_GB2312"/>
          <w:sz w:val="24"/>
        </w:rPr>
        <w:t>十二、合同生效及其它</w:t>
      </w:r>
      <w:bookmarkEnd w:id="448"/>
    </w:p>
    <w:p>
      <w:pPr>
        <w:keepNext w:val="0"/>
        <w:keepLines w:val="0"/>
        <w:pageBreakBefore w:val="0"/>
        <w:widowControl/>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1</w:t>
      </w:r>
      <w:r>
        <w:rPr>
          <w:rFonts w:hint="eastAsia" w:eastAsia="仿宋_GB2312"/>
          <w:kern w:val="0"/>
          <w:sz w:val="24"/>
          <w:lang w:val="en-US" w:eastAsia="zh-CN"/>
        </w:rPr>
        <w:t>.</w:t>
      </w:r>
      <w:r>
        <w:rPr>
          <w:rFonts w:eastAsia="仿宋_GB2312"/>
          <w:kern w:val="0"/>
          <w:sz w:val="24"/>
        </w:rPr>
        <w:t>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2</w:t>
      </w:r>
      <w:r>
        <w:rPr>
          <w:rFonts w:hint="eastAsia" w:eastAsia="仿宋_GB2312"/>
          <w:kern w:val="0"/>
          <w:sz w:val="24"/>
          <w:lang w:val="en-US" w:eastAsia="zh-CN"/>
        </w:rPr>
        <w:t>.</w:t>
      </w:r>
      <w:r>
        <w:rPr>
          <w:rFonts w:eastAsia="仿宋_GB2312"/>
          <w:kern w:val="0"/>
          <w:sz w:val="24"/>
        </w:rPr>
        <w:t>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3</w:t>
      </w:r>
      <w:r>
        <w:rPr>
          <w:rFonts w:hint="eastAsia" w:eastAsia="仿宋_GB2312"/>
          <w:kern w:val="0"/>
          <w:sz w:val="24"/>
          <w:lang w:val="en-US" w:eastAsia="zh-CN"/>
        </w:rPr>
        <w:t>.</w:t>
      </w:r>
      <w:r>
        <w:rPr>
          <w:rFonts w:eastAsia="仿宋_GB2312"/>
          <w:kern w:val="0"/>
          <w:sz w:val="24"/>
        </w:rPr>
        <w:t>合同经甲乙双方盖章、签字后生效，合同签订地点为</w:t>
      </w:r>
      <w:r>
        <w:rPr>
          <w:rFonts w:eastAsia="仿宋_GB2312"/>
          <w:kern w:val="0"/>
          <w:sz w:val="24"/>
          <w:u w:val="single"/>
        </w:rPr>
        <w:t xml:space="preserve">   </w:t>
      </w:r>
      <w:r>
        <w:rPr>
          <w:rFonts w:eastAsia="仿宋_GB2312"/>
          <w:kern w:val="0"/>
          <w:sz w:val="24"/>
        </w:rPr>
        <w:t>。</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520" w:lineRule="exact"/>
        <w:ind w:right="0" w:firstLine="480" w:firstLineChars="200"/>
        <w:textAlignment w:val="bottom"/>
        <w:rPr>
          <w:rFonts w:eastAsia="仿宋_GB2312"/>
          <w:kern w:val="0"/>
          <w:sz w:val="24"/>
        </w:rPr>
      </w:pPr>
      <w:r>
        <w:rPr>
          <w:rFonts w:eastAsia="仿宋_GB2312"/>
          <w:kern w:val="0"/>
          <w:sz w:val="24"/>
        </w:rPr>
        <w:t>4</w:t>
      </w:r>
      <w:r>
        <w:rPr>
          <w:rFonts w:hint="eastAsia" w:eastAsia="仿宋_GB2312"/>
          <w:kern w:val="0"/>
          <w:sz w:val="24"/>
          <w:lang w:val="en-US" w:eastAsia="zh-CN"/>
        </w:rPr>
        <w:t>.</w:t>
      </w:r>
      <w:r>
        <w:rPr>
          <w:rFonts w:eastAsia="仿宋_GB2312"/>
          <w:kern w:val="0"/>
          <w:sz w:val="24"/>
        </w:rPr>
        <w:t>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pStyle w:val="2"/>
        <w:rPr>
          <w:rFonts w:ascii="Times New Roman" w:hAnsi="Times New Roman" w:eastAsia="仿宋_GB2312"/>
        </w:rPr>
      </w:pPr>
    </w:p>
    <w:p>
      <w:pPr>
        <w:rPr>
          <w:rFonts w:eastAsia="仿宋_GB2312"/>
        </w:rPr>
      </w:pPr>
      <w:r>
        <w:rPr>
          <w:rFonts w:eastAsia="仿宋_GB2312"/>
          <w:sz w:val="24"/>
        </w:rPr>
        <w:br w:type="page"/>
      </w:r>
    </w:p>
    <w:p>
      <w:pPr>
        <w:pStyle w:val="46"/>
        <w:spacing w:line="360" w:lineRule="auto"/>
        <w:rPr>
          <w:rStyle w:val="203"/>
          <w:rFonts w:hint="eastAsia" w:ascii="仿宋_GB2312" w:hAnsi="仿宋_GB2312" w:eastAsia="仿宋_GB2312" w:cs="仿宋_GB2312"/>
          <w:sz w:val="36"/>
          <w:szCs w:val="36"/>
        </w:rPr>
      </w:pPr>
      <w:bookmarkStart w:id="449" w:name="_Toc68590980"/>
      <w:bookmarkStart w:id="450" w:name="_Toc58504448"/>
      <w:r>
        <w:rPr>
          <w:rStyle w:val="203"/>
          <w:rFonts w:hint="eastAsia" w:ascii="仿宋_GB2312" w:hAnsi="仿宋_GB2312" w:eastAsia="仿宋_GB2312" w:cs="仿宋_GB2312"/>
          <w:sz w:val="36"/>
          <w:szCs w:val="36"/>
        </w:rPr>
        <w:t>第五章  采购内容及要求</w:t>
      </w:r>
      <w:bookmarkEnd w:id="449"/>
      <w:bookmarkEnd w:id="450"/>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一、采购内容及</w:t>
      </w:r>
      <w:r>
        <w:rPr>
          <w:rFonts w:hint="eastAsia" w:ascii="仿宋_GB2312" w:hAnsi="仿宋_GB2312" w:eastAsia="仿宋_GB2312" w:cs="仿宋_GB2312"/>
          <w:b/>
          <w:bCs w:val="0"/>
          <w:color w:val="auto"/>
          <w:sz w:val="24"/>
          <w:szCs w:val="24"/>
          <w:highlight w:val="none"/>
        </w:rPr>
        <w:t>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（一）服务内容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color w:val="auto"/>
          <w:sz w:val="24"/>
          <w:szCs w:val="24"/>
          <w:highlight w:val="none"/>
          <w:lang w:eastAsia="zh-Hans"/>
        </w:rPr>
      </w:pPr>
      <w:r>
        <w:rPr>
          <w:rFonts w:hint="eastAsia" w:ascii="仿宋_GB2312" w:hAnsi="仿宋_GB2312" w:eastAsia="仿宋_GB2312" w:cs="仿宋_GB2312"/>
          <w:b/>
          <w:bCs/>
          <w:color w:val="auto"/>
          <w:sz w:val="24"/>
          <w:szCs w:val="24"/>
          <w:highlight w:val="none"/>
          <w:lang w:eastAsia="zh-Hans"/>
        </w:rPr>
        <w:t>1.文艺演出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舞台剧目线上限时展播</w:t>
      </w:r>
      <w:r>
        <w:rPr>
          <w:rFonts w:hint="eastAsia" w:ascii="仿宋_GB2312" w:hAnsi="仿宋_GB2312" w:eastAsia="仿宋_GB2312" w:cs="仿宋_GB2312"/>
          <w:color w:val="auto"/>
          <w:sz w:val="24"/>
          <w:szCs w:val="24"/>
          <w:highlight w:val="none"/>
          <w:lang w:eastAsia="zh-Hans"/>
        </w:rPr>
        <w:t>：</w:t>
      </w:r>
      <w:r>
        <w:rPr>
          <w:rFonts w:hint="eastAsia" w:ascii="仿宋_GB2312" w:hAnsi="仿宋_GB2312" w:eastAsia="仿宋_GB2312" w:cs="仿宋_GB2312"/>
          <w:color w:val="auto"/>
          <w:sz w:val="24"/>
          <w:szCs w:val="24"/>
          <w:highlight w:val="none"/>
        </w:rPr>
        <w:t>不少于</w:t>
      </w:r>
      <w:r>
        <w:rPr>
          <w:rFonts w:hint="eastAsia" w:ascii="仿宋_GB2312" w:hAnsi="仿宋_GB2312" w:eastAsia="仿宋_GB2312" w:cs="仿宋_GB2312"/>
          <w:color w:val="auto"/>
          <w:sz w:val="24"/>
          <w:szCs w:val="24"/>
          <w:highlight w:val="none"/>
          <w:lang w:val="en-US" w:eastAsia="zh-CN"/>
        </w:rPr>
        <w:t>15个国家或地区的</w:t>
      </w:r>
      <w:r>
        <w:rPr>
          <w:rFonts w:hint="eastAsia" w:ascii="仿宋_GB2312" w:hAnsi="仿宋_GB2312" w:eastAsia="仿宋_GB2312" w:cs="仿宋_GB2312"/>
          <w:color w:val="auto"/>
          <w:sz w:val="24"/>
          <w:szCs w:val="24"/>
          <w:highlight w:val="none"/>
          <w:lang w:eastAsia="zh-CN"/>
        </w:rPr>
        <w:t>24</w:t>
      </w:r>
      <w:r>
        <w:rPr>
          <w:rFonts w:hint="eastAsia" w:ascii="仿宋_GB2312" w:hAnsi="仿宋_GB2312" w:eastAsia="仿宋_GB2312" w:cs="仿宋_GB2312"/>
          <w:color w:val="auto"/>
          <w:sz w:val="24"/>
          <w:szCs w:val="24"/>
          <w:highlight w:val="none"/>
          <w:lang w:eastAsia="zh-Hans"/>
        </w:rPr>
        <w:t>台</w:t>
      </w:r>
      <w:r>
        <w:rPr>
          <w:rFonts w:hint="eastAsia" w:ascii="仿宋_GB2312" w:hAnsi="仿宋_GB2312" w:eastAsia="仿宋_GB2312" w:cs="仿宋_GB2312"/>
          <w:color w:val="auto"/>
          <w:sz w:val="24"/>
          <w:szCs w:val="24"/>
          <w:highlight w:val="none"/>
          <w:lang w:eastAsia="zh-CN"/>
        </w:rPr>
        <w:t>国际</w:t>
      </w:r>
      <w:r>
        <w:rPr>
          <w:rFonts w:hint="eastAsia" w:ascii="仿宋_GB2312" w:hAnsi="仿宋_GB2312" w:eastAsia="仿宋_GB2312" w:cs="仿宋_GB2312"/>
          <w:color w:val="auto"/>
          <w:sz w:val="24"/>
          <w:szCs w:val="24"/>
          <w:highlight w:val="none"/>
          <w:lang w:eastAsia="zh-Hans"/>
        </w:rPr>
        <w:t>精品剧目，播出总时长不少于9</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Hans"/>
        </w:rPr>
        <w:t>小时</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Hans"/>
        </w:rPr>
        <w:t>展播剧目在确保播放版权的基础上，需经过</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zh-Hans"/>
        </w:rPr>
        <w:t>指定的专家组评审认可，并且保证展播剧目按照国家要求完成相关审批程序。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color w:val="auto"/>
          <w:sz w:val="24"/>
          <w:szCs w:val="24"/>
          <w:highlight w:val="none"/>
          <w:lang w:eastAsia="zh-Hans"/>
        </w:rPr>
      </w:pPr>
      <w:r>
        <w:rPr>
          <w:rFonts w:hint="eastAsia" w:ascii="仿宋_GB2312" w:hAnsi="仿宋_GB2312" w:eastAsia="仿宋_GB2312" w:cs="仿宋_GB2312"/>
          <w:b/>
          <w:bCs/>
          <w:color w:val="auto"/>
          <w:sz w:val="24"/>
          <w:szCs w:val="24"/>
          <w:highlight w:val="none"/>
          <w:lang w:eastAsia="zh-Hans"/>
        </w:rPr>
        <w:t>2.视频</w:t>
      </w:r>
      <w:r>
        <w:rPr>
          <w:rFonts w:hint="eastAsia" w:ascii="仿宋_GB2312" w:hAnsi="仿宋_GB2312" w:eastAsia="仿宋_GB2312" w:cs="仿宋_GB2312"/>
          <w:b/>
          <w:bCs/>
          <w:color w:val="auto"/>
          <w:sz w:val="24"/>
          <w:szCs w:val="24"/>
          <w:highlight w:val="none"/>
          <w:lang w:val="en-US" w:eastAsia="zh-Hans"/>
        </w:rPr>
        <w:t>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Hans"/>
        </w:rPr>
        <w:t>根据展播平台的要求，将剧目视频进行收集、整理、整合、剪辑、字幕、制作等</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w:t>
      </w:r>
      <w:r>
        <w:rPr>
          <w:rFonts w:hint="eastAsia" w:ascii="仿宋_GB2312" w:hAnsi="仿宋_GB2312" w:eastAsia="仿宋_GB2312" w:cs="仿宋_GB2312"/>
          <w:b/>
          <w:bCs/>
          <w:color w:val="auto"/>
          <w:sz w:val="24"/>
          <w:szCs w:val="24"/>
          <w:highlight w:val="none"/>
          <w:lang w:val="en-US" w:eastAsia="zh-Hans"/>
        </w:rPr>
        <w:t>语言</w:t>
      </w:r>
      <w:r>
        <w:rPr>
          <w:rFonts w:hint="eastAsia" w:ascii="仿宋_GB2312" w:hAnsi="仿宋_GB2312" w:eastAsia="仿宋_GB2312" w:cs="仿宋_GB2312"/>
          <w:b/>
          <w:bCs/>
          <w:color w:val="auto"/>
          <w:sz w:val="24"/>
          <w:szCs w:val="24"/>
          <w:highlight w:val="none"/>
        </w:rPr>
        <w:t>翻译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Hans"/>
        </w:rPr>
        <w:t>所有展播剧目涉及的</w:t>
      </w:r>
      <w:r>
        <w:rPr>
          <w:rFonts w:hint="eastAsia" w:ascii="仿宋_GB2312" w:hAnsi="仿宋_GB2312" w:eastAsia="仿宋_GB2312" w:cs="仿宋_GB2312"/>
          <w:color w:val="auto"/>
          <w:sz w:val="24"/>
          <w:szCs w:val="24"/>
          <w:highlight w:val="none"/>
          <w:lang w:eastAsia="zh-Hans"/>
        </w:rPr>
        <w:t>翻译</w:t>
      </w:r>
      <w:r>
        <w:rPr>
          <w:rFonts w:hint="eastAsia" w:ascii="仿宋_GB2312" w:hAnsi="仿宋_GB2312" w:eastAsia="仿宋_GB2312" w:cs="仿宋_GB2312"/>
          <w:color w:val="auto"/>
          <w:sz w:val="24"/>
          <w:szCs w:val="24"/>
          <w:highlight w:val="none"/>
        </w:rPr>
        <w:t>语言</w:t>
      </w:r>
      <w:r>
        <w:rPr>
          <w:rFonts w:hint="eastAsia" w:ascii="仿宋_GB2312" w:hAnsi="仿宋_GB2312" w:eastAsia="仿宋_GB2312" w:cs="仿宋_GB2312"/>
          <w:color w:val="auto"/>
          <w:sz w:val="24"/>
          <w:szCs w:val="24"/>
          <w:highlight w:val="none"/>
          <w:lang w:eastAsia="zh-Hans"/>
        </w:rPr>
        <w:t>包含：</w:t>
      </w:r>
      <w:r>
        <w:rPr>
          <w:rFonts w:hint="eastAsia" w:ascii="仿宋_GB2312" w:hAnsi="仿宋_GB2312" w:eastAsia="仿宋_GB2312" w:cs="仿宋_GB2312"/>
          <w:color w:val="auto"/>
          <w:sz w:val="24"/>
          <w:szCs w:val="24"/>
          <w:highlight w:val="none"/>
        </w:rPr>
        <w:t>英</w:t>
      </w:r>
      <w:r>
        <w:rPr>
          <w:rFonts w:hint="eastAsia" w:ascii="仿宋_GB2312" w:hAnsi="仿宋_GB2312" w:eastAsia="仿宋_GB2312" w:cs="仿宋_GB2312"/>
          <w:color w:val="auto"/>
          <w:sz w:val="24"/>
          <w:szCs w:val="24"/>
          <w:highlight w:val="none"/>
          <w:lang w:eastAsia="zh-Hans"/>
        </w:rPr>
        <w:t>文</w:t>
      </w:r>
      <w:r>
        <w:rPr>
          <w:rFonts w:hint="eastAsia" w:ascii="仿宋_GB2312" w:hAnsi="仿宋_GB2312" w:eastAsia="仿宋_GB2312" w:cs="仿宋_GB2312"/>
          <w:color w:val="auto"/>
          <w:sz w:val="24"/>
          <w:szCs w:val="24"/>
          <w:highlight w:val="none"/>
        </w:rPr>
        <w:t>、韩</w:t>
      </w:r>
      <w:r>
        <w:rPr>
          <w:rFonts w:hint="eastAsia" w:ascii="仿宋_GB2312" w:hAnsi="仿宋_GB2312" w:eastAsia="仿宋_GB2312" w:cs="仿宋_GB2312"/>
          <w:color w:val="auto"/>
          <w:sz w:val="24"/>
          <w:szCs w:val="24"/>
          <w:highlight w:val="none"/>
          <w:lang w:eastAsia="zh-Hans"/>
        </w:rPr>
        <w:t>文</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Hans"/>
        </w:rPr>
        <w:t>文、俄文等</w:t>
      </w:r>
      <w:r>
        <w:rPr>
          <w:rFonts w:hint="eastAsia" w:ascii="仿宋_GB2312" w:hAnsi="仿宋_GB2312" w:eastAsia="仿宋_GB2312" w:cs="仿宋_GB2312"/>
          <w:color w:val="auto"/>
          <w:sz w:val="24"/>
          <w:szCs w:val="24"/>
          <w:highlight w:val="none"/>
        </w:rPr>
        <w:t>，共计</w:t>
      </w:r>
      <w:r>
        <w:rPr>
          <w:rFonts w:hint="eastAsia" w:ascii="仿宋_GB2312" w:hAnsi="仿宋_GB2312" w:eastAsia="仿宋_GB2312" w:cs="仿宋_GB2312"/>
          <w:color w:val="auto"/>
          <w:sz w:val="24"/>
          <w:szCs w:val="24"/>
          <w:highlight w:val="none"/>
          <w:lang w:eastAsia="zh-Hans"/>
        </w:rPr>
        <w:t>约</w:t>
      </w:r>
      <w:r>
        <w:rPr>
          <w:rFonts w:hint="eastAsia" w:ascii="仿宋_GB2312" w:hAnsi="仿宋_GB2312" w:eastAsia="仿宋_GB2312" w:cs="仿宋_GB2312"/>
          <w:color w:val="auto"/>
          <w:sz w:val="24"/>
          <w:szCs w:val="24"/>
          <w:highlight w:val="none"/>
        </w:rPr>
        <w:t>10万字左右。</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auto"/>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eastAsia="zh-CN"/>
        </w:rPr>
        <w:t>4.</w:t>
      </w:r>
      <w:r>
        <w:rPr>
          <w:rFonts w:hint="eastAsia" w:ascii="仿宋_GB2312" w:hAnsi="仿宋_GB2312" w:eastAsia="仿宋_GB2312" w:cs="仿宋_GB2312"/>
          <w:b/>
          <w:bCs/>
          <w:color w:val="auto"/>
          <w:sz w:val="24"/>
          <w:szCs w:val="24"/>
          <w:highlight w:val="none"/>
          <w:lang w:val="en-US" w:eastAsia="zh-Hans"/>
        </w:rPr>
        <w:t>宣传推广</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_GB2312" w:hAnsi="仿宋_GB2312" w:eastAsia="仿宋_GB2312" w:cs="仿宋_GB2312"/>
          <w:b w:val="0"/>
          <w:bCs w:val="0"/>
          <w:color w:val="auto"/>
          <w:sz w:val="24"/>
          <w:szCs w:val="24"/>
          <w:highlight w:val="none"/>
          <w:lang w:val="en-US" w:eastAsia="zh-Hans"/>
        </w:rPr>
      </w:pPr>
      <w:r>
        <w:rPr>
          <w:rFonts w:hint="eastAsia" w:ascii="仿宋_GB2312" w:hAnsi="仿宋_GB2312" w:eastAsia="仿宋_GB2312" w:cs="仿宋_GB2312"/>
          <w:b w:val="0"/>
          <w:bCs w:val="0"/>
          <w:color w:val="auto"/>
          <w:sz w:val="24"/>
          <w:szCs w:val="24"/>
          <w:highlight w:val="none"/>
          <w:lang w:val="en-US" w:eastAsia="zh-Hans"/>
        </w:rPr>
        <w:t>所有</w:t>
      </w:r>
      <w:r>
        <w:rPr>
          <w:rFonts w:hint="eastAsia" w:ascii="仿宋_GB2312" w:hAnsi="仿宋_GB2312" w:eastAsia="仿宋_GB2312" w:cs="仿宋_GB2312"/>
          <w:b w:val="0"/>
          <w:bCs w:val="0"/>
          <w:color w:val="auto"/>
          <w:sz w:val="24"/>
          <w:szCs w:val="24"/>
          <w:highlight w:val="none"/>
          <w:lang w:val="en-US" w:eastAsia="zh-CN"/>
        </w:rPr>
        <w:t>国际</w:t>
      </w:r>
      <w:r>
        <w:rPr>
          <w:rFonts w:hint="eastAsia" w:ascii="仿宋_GB2312" w:hAnsi="仿宋_GB2312" w:eastAsia="仿宋_GB2312" w:cs="仿宋_GB2312"/>
          <w:b w:val="0"/>
          <w:bCs w:val="0"/>
          <w:color w:val="auto"/>
          <w:sz w:val="24"/>
          <w:szCs w:val="24"/>
          <w:highlight w:val="none"/>
          <w:lang w:val="en-US" w:eastAsia="zh-Hans"/>
        </w:rPr>
        <w:t>展播剧目的宣传设计及线上推广，观演次数应达到</w:t>
      </w:r>
      <w:r>
        <w:rPr>
          <w:rFonts w:hint="eastAsia"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Hans"/>
        </w:rPr>
        <w:t>要求。</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auto"/>
        <w:rPr>
          <w:rFonts w:hint="eastAsia" w:ascii="仿宋_GB2312" w:hAnsi="仿宋_GB2312" w:eastAsia="仿宋_GB2312" w:cs="仿宋_GB2312"/>
          <w:b/>
          <w:bCs/>
          <w:color w:val="auto"/>
          <w:kern w:val="0"/>
          <w:sz w:val="24"/>
          <w:szCs w:val="24"/>
          <w:highlight w:val="none"/>
          <w:lang w:val="en-US" w:eastAsia="zh-Hans" w:bidi="ar-SA"/>
        </w:rPr>
      </w:pPr>
      <w:r>
        <w:rPr>
          <w:rFonts w:hint="eastAsia" w:ascii="仿宋_GB2312" w:hAnsi="仿宋_GB2312" w:eastAsia="仿宋_GB2312" w:cs="仿宋_GB2312"/>
          <w:b/>
          <w:bCs/>
          <w:color w:val="auto"/>
          <w:kern w:val="0"/>
          <w:sz w:val="24"/>
          <w:szCs w:val="24"/>
          <w:highlight w:val="none"/>
          <w:lang w:eastAsia="zh-Hans" w:bidi="ar-SA"/>
        </w:rPr>
        <w:t>5.</w:t>
      </w:r>
      <w:r>
        <w:rPr>
          <w:rFonts w:hint="eastAsia" w:ascii="仿宋_GB2312" w:hAnsi="仿宋_GB2312" w:eastAsia="仿宋_GB2312" w:cs="仿宋_GB2312"/>
          <w:b/>
          <w:bCs/>
          <w:color w:val="auto"/>
          <w:kern w:val="0"/>
          <w:sz w:val="24"/>
          <w:szCs w:val="24"/>
          <w:highlight w:val="none"/>
          <w:lang w:val="en-US" w:eastAsia="zh-Hans" w:bidi="ar-SA"/>
        </w:rPr>
        <w:t>技术支持</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color w:val="auto"/>
          <w:sz w:val="24"/>
          <w:szCs w:val="24"/>
          <w:highlight w:val="none"/>
          <w:lang w:val="en-US" w:eastAsia="zh-Hans"/>
        </w:rPr>
        <w:t>与丝艺节云平台等展播平台对接，提供技术服务。</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6</w:t>
      </w:r>
      <w:r>
        <w:rPr>
          <w:rFonts w:hint="eastAsia" w:ascii="仿宋_GB2312" w:hAnsi="仿宋_GB2312" w:eastAsia="仿宋_GB2312" w:cs="仿宋_GB2312"/>
          <w:b/>
          <w:bCs/>
          <w:color w:val="auto"/>
          <w:sz w:val="24"/>
          <w:szCs w:val="24"/>
          <w:highlight w:val="none"/>
          <w:lang w:val="en-US" w:eastAsia="zh-CN"/>
        </w:rPr>
        <w:t>.活动总结</w:t>
      </w:r>
    </w:p>
    <w:p>
      <w:pPr>
        <w:pStyle w:val="4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国际</w:t>
      </w:r>
      <w:r>
        <w:rPr>
          <w:rFonts w:hint="eastAsia" w:ascii="仿宋_GB2312" w:hAnsi="仿宋_GB2312" w:eastAsia="仿宋_GB2312" w:cs="仿宋_GB2312"/>
          <w:color w:val="auto"/>
          <w:sz w:val="24"/>
          <w:szCs w:val="24"/>
          <w:highlight w:val="none"/>
          <w:lang w:val="en-US" w:eastAsia="zh-Hans"/>
        </w:rPr>
        <w:t>剧目展播</w:t>
      </w:r>
      <w:r>
        <w:rPr>
          <w:rFonts w:hint="eastAsia" w:ascii="仿宋_GB2312" w:hAnsi="仿宋_GB2312" w:eastAsia="仿宋_GB2312" w:cs="仿宋_GB2312"/>
          <w:color w:val="auto"/>
          <w:sz w:val="24"/>
          <w:szCs w:val="24"/>
          <w:highlight w:val="none"/>
          <w:lang w:val="en-US" w:eastAsia="zh-CN"/>
        </w:rPr>
        <w:t>所有内容的图片、视频、文字等资料的收集、</w:t>
      </w:r>
      <w:r>
        <w:rPr>
          <w:rFonts w:hint="eastAsia" w:ascii="仿宋_GB2312" w:hAnsi="仿宋_GB2312" w:eastAsia="仿宋_GB2312" w:cs="仿宋_GB2312"/>
          <w:color w:val="auto"/>
          <w:sz w:val="24"/>
          <w:szCs w:val="24"/>
          <w:highlight w:val="none"/>
          <w:lang w:val="en-US" w:eastAsia="zh-Hans"/>
        </w:rPr>
        <w:t>点播率统计等，</w:t>
      </w:r>
      <w:r>
        <w:rPr>
          <w:rFonts w:hint="eastAsia" w:ascii="仿宋_GB2312" w:hAnsi="仿宋_GB2312" w:eastAsia="仿宋_GB2312" w:cs="仿宋_GB2312"/>
          <w:color w:val="auto"/>
          <w:sz w:val="24"/>
          <w:szCs w:val="24"/>
          <w:highlight w:val="none"/>
          <w:lang w:val="en-US" w:eastAsia="zh-CN"/>
        </w:rPr>
        <w:t>整理并成册。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负责所有</w:t>
      </w:r>
      <w:r>
        <w:rPr>
          <w:rFonts w:hint="eastAsia" w:ascii="仿宋_GB2312" w:hAnsi="仿宋_GB2312" w:eastAsia="仿宋_GB2312" w:cs="仿宋_GB2312"/>
          <w:color w:val="auto"/>
          <w:sz w:val="24"/>
          <w:szCs w:val="24"/>
          <w:highlight w:val="none"/>
          <w:lang w:eastAsia="zh-CN"/>
        </w:rPr>
        <w:t>舞台剧目线上限时展播剧目的对接、版权确认等工作；保证线上播放剧目质量、播出时长。</w:t>
      </w:r>
      <w:r>
        <w:rPr>
          <w:rFonts w:hint="eastAsia" w:ascii="仿宋_GB2312" w:hAnsi="仿宋_GB2312" w:eastAsia="仿宋_GB2312" w:cs="仿宋_GB2312"/>
          <w:color w:val="auto"/>
          <w:sz w:val="24"/>
          <w:szCs w:val="24"/>
          <w:highlight w:val="none"/>
          <w:lang w:val="en-US" w:eastAsia="zh-Hans"/>
        </w:rPr>
        <w:t>与展播剧目的演出单位、所在国驻华使馆、我国前方使馆文化部门，以及相关文化部门等机构联系对接，确保展播剧目的艺术水准、意识形态等符合有关规定。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2.承担服务内容中活动所需视频的制作，包含剪辑</w:t>
      </w:r>
      <w:r>
        <w:rPr>
          <w:rFonts w:hint="eastAsia" w:ascii="仿宋_GB2312" w:hAnsi="仿宋_GB2312" w:eastAsia="仿宋_GB2312" w:cs="仿宋_GB2312"/>
          <w:color w:val="auto"/>
          <w:sz w:val="24"/>
          <w:szCs w:val="24"/>
          <w:highlight w:val="none"/>
          <w:lang w:eastAsia="zh-Hans"/>
        </w:rPr>
        <w:t>、</w:t>
      </w:r>
      <w:r>
        <w:rPr>
          <w:rFonts w:hint="eastAsia" w:ascii="仿宋_GB2312" w:hAnsi="仿宋_GB2312" w:eastAsia="仿宋_GB2312" w:cs="仿宋_GB2312"/>
          <w:color w:val="auto"/>
          <w:sz w:val="24"/>
          <w:szCs w:val="24"/>
          <w:highlight w:val="none"/>
          <w:lang w:val="en-US" w:eastAsia="zh-Hans"/>
        </w:rPr>
        <w:t>制作、字幕、翻译</w:t>
      </w:r>
      <w:r>
        <w:rPr>
          <w:rFonts w:hint="eastAsia" w:ascii="仿宋_GB2312" w:hAnsi="仿宋_GB2312" w:eastAsia="仿宋_GB2312" w:cs="仿宋_GB2312"/>
          <w:color w:val="auto"/>
          <w:sz w:val="24"/>
          <w:szCs w:val="24"/>
          <w:highlight w:val="none"/>
        </w:rPr>
        <w:t>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负责国际</w:t>
      </w:r>
      <w:r>
        <w:rPr>
          <w:rFonts w:hint="eastAsia" w:ascii="仿宋_GB2312" w:hAnsi="仿宋_GB2312" w:eastAsia="仿宋_GB2312" w:cs="仿宋_GB2312"/>
          <w:color w:val="auto"/>
          <w:sz w:val="24"/>
          <w:szCs w:val="24"/>
          <w:highlight w:val="none"/>
          <w:lang w:val="en-US" w:eastAsia="zh-Hans"/>
        </w:rPr>
        <w:t>剧目展播</w:t>
      </w:r>
      <w:r>
        <w:rPr>
          <w:rFonts w:hint="eastAsia" w:ascii="仿宋_GB2312" w:hAnsi="仿宋_GB2312" w:eastAsia="仿宋_GB2312" w:cs="仿宋_GB2312"/>
          <w:color w:val="auto"/>
          <w:sz w:val="24"/>
          <w:szCs w:val="24"/>
          <w:highlight w:val="none"/>
          <w:lang w:val="en-US" w:eastAsia="zh-CN"/>
        </w:rPr>
        <w:t>所有内容的意识形态安全。</w:t>
      </w:r>
      <w:r>
        <w:rPr>
          <w:rFonts w:hint="eastAsia" w:ascii="仿宋_GB2312" w:hAnsi="仿宋_GB2312" w:eastAsia="仿宋_GB2312" w:cs="仿宋_GB2312"/>
          <w:color w:val="auto"/>
          <w:sz w:val="24"/>
          <w:szCs w:val="24"/>
          <w:highlight w:val="none"/>
          <w:lang w:val="en-US" w:eastAsia="zh-Hans"/>
        </w:rPr>
        <w:t>需对所有视频画面进行严格的核验，对画面中不符合文化传播要求的内容与演出方进行磋商与协调，严格确保展播内容符合各项要求。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Hans"/>
        </w:rPr>
      </w:pPr>
      <w:r>
        <w:rPr>
          <w:rFonts w:hint="eastAsia" w:ascii="仿宋_GB2312" w:hAnsi="仿宋_GB2312" w:eastAsia="仿宋_GB2312" w:cs="仿宋_GB2312"/>
          <w:b w:val="0"/>
          <w:bCs w:val="0"/>
          <w:color w:val="auto"/>
          <w:sz w:val="24"/>
          <w:szCs w:val="24"/>
          <w:highlight w:val="none"/>
          <w:lang w:eastAsia="zh-Hans"/>
        </w:rPr>
        <w:t>4.</w:t>
      </w:r>
      <w:r>
        <w:rPr>
          <w:rFonts w:hint="eastAsia" w:ascii="仿宋_GB2312" w:hAnsi="仿宋_GB2312" w:eastAsia="仿宋_GB2312" w:cs="仿宋_GB2312"/>
          <w:b w:val="0"/>
          <w:bCs w:val="0"/>
          <w:color w:val="auto"/>
          <w:sz w:val="24"/>
          <w:szCs w:val="24"/>
          <w:highlight w:val="none"/>
          <w:lang w:val="en-US" w:eastAsia="zh-Hans"/>
        </w:rPr>
        <w:t>负责与丝绸之路国际艺术节云平台系统接口对接，确保所有展播剧目按时上线，播放流畅，并保证展播剧目视频的版权不受侵权盗取。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w:t>
      </w:r>
      <w:r>
        <w:rPr>
          <w:rFonts w:hint="eastAsia" w:ascii="仿宋_GB2312" w:hAnsi="仿宋_GB2312" w:eastAsia="仿宋_GB2312" w:cs="仿宋_GB2312"/>
          <w:color w:val="auto"/>
          <w:sz w:val="24"/>
          <w:szCs w:val="24"/>
          <w:highlight w:val="none"/>
        </w:rPr>
        <w:t>负责对外信息安全保障、系统技术安全保障以及网络舆情监管和应急。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6.未尽事宜以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合理要求为准。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（四）版权要求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1.服务内容中所需素材需供应商在合法范围内收集，且由此产生的费用已包含在此</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金额范围内。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2.著作权合法：供应商应保证</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在使用合同项下工作成果的任何一部分时免受第三方提出的侵犯专利权、著作权、名誉权、肖像权、姓名权、商标权或工业设计权等相关权利的起诉。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3.使用权授权：服务内容中制作的全部视频</w:t>
      </w:r>
      <w:r>
        <w:rPr>
          <w:rFonts w:hint="eastAsia" w:ascii="仿宋_GB2312" w:hAnsi="仿宋_GB2312" w:eastAsia="仿宋_GB2312" w:cs="仿宋_GB2312"/>
          <w:color w:val="auto"/>
          <w:sz w:val="24"/>
          <w:szCs w:val="24"/>
          <w:highlight w:val="none"/>
          <w:lang w:eastAsia="zh-Hans"/>
        </w:rPr>
        <w:t>（不含剧目展播及放映视频）</w:t>
      </w:r>
      <w:r>
        <w:rPr>
          <w:rFonts w:hint="eastAsia" w:ascii="仿宋_GB2312" w:hAnsi="仿宋_GB2312" w:eastAsia="仿宋_GB2312" w:cs="仿宋_GB2312"/>
          <w:color w:val="auto"/>
          <w:sz w:val="24"/>
          <w:szCs w:val="24"/>
          <w:highlight w:val="none"/>
        </w:rPr>
        <w:t>使用权均为一次性付费转让给陕西省文化和旅游厅，</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在使用时可无限次、无使用方式限制、无使用时间限制。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4.侵权纠纷处置：如任何第三方对此提出起诉或者异议，</w:t>
      </w:r>
      <w:r>
        <w:rPr>
          <w:rFonts w:hint="eastAsia" w:ascii="仿宋_GB2312" w:hAnsi="仿宋_GB2312" w:eastAsia="仿宋_GB2312" w:cs="仿宋_GB2312"/>
          <w:color w:val="auto"/>
          <w:sz w:val="24"/>
          <w:szCs w:val="24"/>
          <w:highlight w:val="none"/>
          <w:lang w:val="en-US" w:eastAsia="zh-CN"/>
        </w:rPr>
        <w:t>成交供应商</w:t>
      </w:r>
      <w:r>
        <w:rPr>
          <w:rFonts w:hint="eastAsia" w:ascii="仿宋_GB2312" w:hAnsi="仿宋_GB2312" w:eastAsia="仿宋_GB2312" w:cs="仿宋_GB2312"/>
          <w:color w:val="auto"/>
          <w:sz w:val="24"/>
          <w:szCs w:val="24"/>
          <w:highlight w:val="none"/>
        </w:rPr>
        <w:t>应负责与之交涉并承担由此引起的一切法律责任及经济损失。</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Hans"/>
        </w:rPr>
      </w:pPr>
      <w:r>
        <w:rPr>
          <w:rFonts w:hint="eastAsia" w:ascii="仿宋_GB2312" w:hAnsi="仿宋_GB2312" w:eastAsia="仿宋_GB2312" w:cs="仿宋_GB2312"/>
          <w:bCs/>
          <w:sz w:val="24"/>
          <w:szCs w:val="24"/>
          <w:lang w:eastAsia="zh-CN"/>
        </w:rPr>
        <w:t>服务期限：</w:t>
      </w:r>
      <w:r>
        <w:rPr>
          <w:rFonts w:hint="eastAsia" w:ascii="仿宋_GB2312" w:hAnsi="仿宋_GB2312" w:eastAsia="仿宋_GB2312" w:cs="仿宋_GB2312"/>
          <w:color w:val="auto"/>
          <w:sz w:val="24"/>
          <w:szCs w:val="24"/>
          <w:highlight w:val="none"/>
        </w:rPr>
        <w:t>2022年9月17</w:t>
      </w:r>
      <w:r>
        <w:rPr>
          <w:rFonts w:hint="eastAsia" w:ascii="仿宋_GB2312" w:hAnsi="仿宋_GB2312" w:eastAsia="仿宋_GB2312" w:cs="仿宋_GB2312"/>
          <w:color w:val="auto"/>
          <w:sz w:val="24"/>
          <w:szCs w:val="24"/>
          <w:highlight w:val="none"/>
          <w:lang w:eastAsia="zh-Hans"/>
        </w:rPr>
        <w:t>日</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2022年9月25</w:t>
      </w:r>
      <w:r>
        <w:rPr>
          <w:rFonts w:hint="eastAsia" w:ascii="仿宋_GB2312" w:hAnsi="仿宋_GB2312" w:eastAsia="仿宋_GB2312" w:cs="仿宋_GB2312"/>
          <w:color w:val="auto"/>
          <w:sz w:val="24"/>
          <w:szCs w:val="24"/>
          <w:highlight w:val="none"/>
          <w:lang w:eastAsia="zh-Hans"/>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服务地点：采购人指定地点。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lang w:eastAsia="zh-CN"/>
        </w:rPr>
        <w:t>付款方式：合同签订后支付合同总价款的80%，服务活动结束后支付合同剩余价款的20%。</w:t>
      </w:r>
    </w:p>
    <w:p>
      <w:pPr>
        <w:rPr>
          <w:rStyle w:val="203"/>
          <w:rFonts w:hint="eastAsia" w:ascii="仿宋_GB2312" w:hAnsi="仿宋_GB2312" w:eastAsia="仿宋_GB2312" w:cs="仿宋_GB2312"/>
          <w:sz w:val="36"/>
          <w:szCs w:val="36"/>
        </w:rPr>
      </w:pPr>
      <w:bookmarkStart w:id="451" w:name="_Toc415499899"/>
      <w:bookmarkStart w:id="452" w:name="_Toc58504449"/>
      <w:bookmarkStart w:id="453" w:name="_Toc385992401"/>
      <w:bookmarkStart w:id="454" w:name="_Toc68590981"/>
      <w:bookmarkStart w:id="455" w:name="_Toc389620241"/>
      <w:bookmarkStart w:id="456" w:name="_Toc31008"/>
      <w:r>
        <w:rPr>
          <w:rStyle w:val="203"/>
          <w:rFonts w:hint="eastAsia" w:ascii="仿宋_GB2312" w:hAnsi="仿宋_GB2312" w:eastAsia="仿宋_GB2312" w:cs="仿宋_GB2312"/>
          <w:sz w:val="36"/>
          <w:szCs w:val="36"/>
        </w:rPr>
        <w:br w:type="page"/>
      </w:r>
    </w:p>
    <w:p>
      <w:pPr>
        <w:pStyle w:val="46"/>
        <w:spacing w:line="360" w:lineRule="auto"/>
        <w:rPr>
          <w:rFonts w:ascii="Times New Roman" w:hAnsi="Times New Roman" w:eastAsiaTheme="minorEastAsia"/>
        </w:rPr>
      </w:pPr>
      <w:r>
        <w:rPr>
          <w:rStyle w:val="203"/>
          <w:rFonts w:ascii="Times New Roman" w:hAnsi="Times New Roman" w:eastAsia="宋体"/>
          <w:sz w:val="36"/>
          <w:szCs w:val="36"/>
        </w:rPr>
        <w:t>第六章  磋商响应文件格式</w:t>
      </w:r>
      <w:bookmarkEnd w:id="451"/>
      <w:bookmarkEnd w:id="452"/>
      <w:bookmarkEnd w:id="453"/>
      <w:bookmarkEnd w:id="454"/>
      <w:bookmarkEnd w:id="455"/>
      <w:bookmarkEnd w:id="456"/>
      <w:r>
        <w:rPr>
          <w:rFonts w:ascii="Times New Roman" w:hAnsi="Times New Roman" w:eastAsiaTheme="minorEastAsia"/>
        </w:rPr>
        <w:br w:type="page"/>
      </w:r>
      <w:r>
        <w:rPr>
          <w:rFonts w:ascii="Times New Roman" w:hAnsi="Times New Roman" w:eastAsiaTheme="minorEastAsia"/>
        </w:rPr>
        <w:t xml:space="preserve">                                </w:t>
      </w:r>
    </w:p>
    <w:p>
      <w:pPr>
        <w:pStyle w:val="158"/>
        <w:ind w:firstLine="6586" w:firstLineChars="2050"/>
        <w:rPr>
          <w:rFonts w:hint="eastAsia" w:ascii="仿宋_GB2312" w:hAnsi="仿宋_GB2312" w:eastAsia="仿宋_GB2312" w:cs="仿宋_GB2312"/>
          <w:bCs/>
          <w:lang w:val="zh-CN"/>
        </w:rPr>
      </w:pPr>
      <w:bookmarkStart w:id="457" w:name="_Toc62196433"/>
      <w:r>
        <w:rPr>
          <w:rFonts w:hint="eastAsia" w:ascii="仿宋_GB2312" w:hAnsi="仿宋_GB2312" w:eastAsia="仿宋_GB2312" w:cs="仿宋_GB2312"/>
          <w:lang w:val="zh-CN"/>
        </w:rPr>
        <w:t>正本/副本</w:t>
      </w:r>
      <w:bookmarkEnd w:id="457"/>
    </w:p>
    <w:p>
      <w:pPr>
        <w:autoSpaceDE w:val="0"/>
        <w:autoSpaceDN w:val="0"/>
        <w:adjustRightInd w:val="0"/>
        <w:snapToGrid w:val="0"/>
        <w:spacing w:line="360" w:lineRule="auto"/>
        <w:jc w:val="left"/>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hint="eastAsia" w:ascii="仿宋_GB2312" w:hAnsi="仿宋_GB2312" w:eastAsia="仿宋_GB2312" w:cs="仿宋_GB2312"/>
          <w:b/>
          <w:bCs/>
          <w:sz w:val="30"/>
          <w:szCs w:val="30"/>
          <w:lang w:val="zh-CN"/>
        </w:rPr>
      </w:pPr>
      <w:r>
        <w:rPr>
          <w:rFonts w:hint="eastAsia" w:ascii="仿宋_GB2312" w:hAnsi="仿宋_GB2312" w:eastAsia="仿宋_GB2312" w:cs="仿宋_GB2312"/>
          <w:b/>
          <w:bCs/>
          <w:sz w:val="32"/>
          <w:szCs w:val="32"/>
          <w:lang w:val="zh-CN"/>
        </w:rPr>
        <w:t>采购项目编号：</w:t>
      </w:r>
      <w:r>
        <w:rPr>
          <w:rFonts w:hint="eastAsia" w:ascii="仿宋_GB2312" w:hAnsi="仿宋_GB2312" w:eastAsia="仿宋_GB2312" w:cs="仿宋_GB2312"/>
          <w:b/>
          <w:bCs/>
          <w:sz w:val="30"/>
          <w:szCs w:val="30"/>
          <w:lang w:val="zh-CN"/>
        </w:rPr>
        <w:t>SCZC2022-CS-1818/001</w:t>
      </w:r>
    </w:p>
    <w:p>
      <w:pPr>
        <w:autoSpaceDE w:val="0"/>
        <w:autoSpaceDN w:val="0"/>
        <w:adjustRightInd w:val="0"/>
        <w:snapToGrid w:val="0"/>
        <w:spacing w:line="360" w:lineRule="auto"/>
        <w:jc w:val="left"/>
        <w:rPr>
          <w:rFonts w:hint="eastAsia" w:ascii="仿宋_GB2312" w:hAnsi="仿宋_GB2312" w:eastAsia="仿宋_GB2312" w:cs="仿宋_GB2312"/>
          <w:b/>
          <w:bCs/>
          <w:sz w:val="32"/>
          <w:szCs w:val="32"/>
          <w:lang w:val="zh-CN"/>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hint="eastAsia" w:eastAsia="仿宋_GB2312"/>
          <w:b/>
          <w:bCs/>
          <w:sz w:val="44"/>
          <w:szCs w:val="44"/>
        </w:rPr>
      </w:pPr>
      <w:r>
        <w:rPr>
          <w:rFonts w:hint="eastAsia" w:eastAsia="仿宋_GB2312"/>
          <w:b/>
          <w:bCs/>
          <w:sz w:val="44"/>
          <w:szCs w:val="44"/>
        </w:rPr>
        <w:t>第八届丝绸之路国际艺术节</w:t>
      </w:r>
      <w:r>
        <w:rPr>
          <w:rFonts w:hint="eastAsia" w:eastAsia="仿宋_GB2312"/>
          <w:b/>
          <w:bCs/>
          <w:sz w:val="44"/>
          <w:szCs w:val="44"/>
          <w:lang w:eastAsia="zh-CN"/>
        </w:rPr>
        <w:t>国际</w:t>
      </w:r>
      <w:r>
        <w:rPr>
          <w:rFonts w:hint="eastAsia" w:eastAsia="仿宋_GB2312"/>
          <w:b/>
          <w:bCs/>
          <w:sz w:val="44"/>
          <w:szCs w:val="44"/>
        </w:rPr>
        <w:t>剧目</w:t>
      </w: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展播</w:t>
      </w: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pStyle w:val="2"/>
        <w:rPr>
          <w:rFonts w:eastAsia="仿宋_GB2312"/>
          <w:b/>
          <w:bCs/>
          <w:sz w:val="36"/>
          <w:szCs w:val="36"/>
          <w:lang w:val="zh-CN"/>
        </w:rPr>
      </w:pPr>
    </w:p>
    <w:p>
      <w:pPr>
        <w:rPr>
          <w:lang w:val="zh-CN"/>
        </w:rPr>
      </w:pPr>
    </w:p>
    <w:p>
      <w:pPr>
        <w:pStyle w:val="2"/>
        <w:rPr>
          <w:lang w:val="zh-CN"/>
        </w:rPr>
      </w:pPr>
    </w:p>
    <w:p>
      <w:pPr>
        <w:rPr>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eastAsia="仿宋_GB2312"/>
          <w:b/>
          <w:bCs/>
          <w:sz w:val="32"/>
          <w:szCs w:val="32"/>
          <w:u w:val="single"/>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w:t>
      </w:r>
      <w:r>
        <w:rPr>
          <w:rFonts w:hint="eastAsia" w:eastAsia="仿宋_GB2312"/>
          <w:b/>
          <w:bCs/>
          <w:sz w:val="28"/>
          <w:szCs w:val="28"/>
          <w:lang w:val="en-US" w:eastAsia="zh-CN"/>
        </w:rPr>
        <w:t>.</w:t>
      </w:r>
      <w:r>
        <w:rPr>
          <w:rFonts w:eastAsia="仿宋_GB2312"/>
          <w:b/>
          <w:bCs/>
          <w:sz w:val="28"/>
          <w:szCs w:val="28"/>
          <w:lang w:val="zh-CN"/>
        </w:rPr>
        <w:t>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w:t>
      </w:r>
      <w:r>
        <w:rPr>
          <w:rFonts w:hint="eastAsia" w:eastAsia="仿宋_GB2312"/>
          <w:b/>
          <w:kern w:val="0"/>
          <w:sz w:val="28"/>
          <w:szCs w:val="28"/>
          <w:lang w:val="en-US" w:eastAsia="zh-CN"/>
        </w:rPr>
        <w:t>.</w:t>
      </w:r>
      <w:r>
        <w:rPr>
          <w:rFonts w:eastAsia="仿宋_GB2312"/>
          <w:b/>
          <w:kern w:val="0"/>
          <w:sz w:val="28"/>
          <w:szCs w:val="28"/>
        </w:rPr>
        <w:t>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eastAsia="zh-CN"/>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lang w:eastAsia="zh-CN"/>
        </w:rPr>
        <w:t>供应商</w:t>
      </w:r>
      <w:r>
        <w:rPr>
          <w:rFonts w:eastAsia="仿宋_GB2312"/>
          <w:kern w:val="0"/>
          <w:sz w:val="24"/>
        </w:rPr>
        <w:t>：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458"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b/>
          <w:sz w:val="28"/>
          <w:szCs w:val="28"/>
        </w:rPr>
        <w:t>授权代表本单位证明</w:t>
      </w:r>
      <w:bookmarkEnd w:id="458"/>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供应商的企业法人营业执照副本复印件（格式要求见附件6-1）；</w:t>
      </w:r>
    </w:p>
    <w:p>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供应商上一年度经审计的财务报告或近一年任意一个月的财务报表，或本年度基本开户银行出具的资信证明（格式要求见附件6-2）；</w:t>
      </w:r>
    </w:p>
    <w:p>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依法缴纳税收和社会保障资金的证明材料复印件（格式见附件6-3、6-4）；</w:t>
      </w:r>
    </w:p>
    <w:p>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具备履行合同所必需的设备和专业技术能力的承诺原件（格式见附件6-5）；</w:t>
      </w:r>
    </w:p>
    <w:p>
      <w:pPr>
        <w:keepNext w:val="0"/>
        <w:keepLines w:val="0"/>
        <w:pageBreakBefore w:val="0"/>
        <w:widowControl w:val="0"/>
        <w:numPr>
          <w:ilvl w:val="0"/>
          <w:numId w:val="0"/>
        </w:numPr>
        <w:tabs>
          <w:tab w:val="left" w:pos="42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供应商参加政府采购活动前3年内在经营活动中没有重大违法记录的书面声明原件（格式见附件6-6）</w:t>
      </w:r>
    </w:p>
    <w:p>
      <w:pPr>
        <w:keepNext w:val="0"/>
        <w:keepLines w:val="0"/>
        <w:pageBreakBefore w:val="0"/>
        <w:widowControl w:val="0"/>
        <w:numPr>
          <w:ilvl w:val="0"/>
          <w:numId w:val="0"/>
        </w:numPr>
        <w:tabs>
          <w:tab w:val="left" w:pos="20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供应商控股股东名称、控股公司的名称和存在管理、被管理关系的单位名称说明（格式见附件6-7)</w:t>
      </w:r>
    </w:p>
    <w:p>
      <w:pPr>
        <w:keepNext w:val="0"/>
        <w:keepLines w:val="0"/>
        <w:pageBreakBefore w:val="0"/>
        <w:widowControl w:val="0"/>
        <w:numPr>
          <w:ilvl w:val="0"/>
          <w:numId w:val="0"/>
        </w:numPr>
        <w:tabs>
          <w:tab w:val="left" w:pos="220"/>
          <w:tab w:val="left" w:pos="42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供应商是否属于为本项目提供整体设计、规范编制或者项目管理、监理、检测等服务的供应商声明原件（格式见附件6-8)</w:t>
      </w:r>
    </w:p>
    <w:p>
      <w:pPr>
        <w:keepNext w:val="0"/>
        <w:keepLines w:val="0"/>
        <w:pageBreakBefore w:val="0"/>
        <w:widowControl w:val="0"/>
        <w:numPr>
          <w:ilvl w:val="0"/>
          <w:numId w:val="0"/>
        </w:numPr>
        <w:tabs>
          <w:tab w:val="left" w:pos="20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8.未被“信用中国”网站（www.creditchina.gov.cn）列入失信被执行人和重大税收违法失信主体，未被中国政府采购网（www.ccgp.gov.cn）列入政府采购严重违法失信行为记录名单中（格式见附件6-9)</w:t>
      </w:r>
    </w:p>
    <w:p>
      <w:pPr>
        <w:keepNext w:val="0"/>
        <w:keepLines w:val="0"/>
        <w:pageBreakBefore w:val="0"/>
        <w:widowControl w:val="0"/>
        <w:numPr>
          <w:ilvl w:val="0"/>
          <w:numId w:val="0"/>
        </w:numPr>
        <w:tabs>
          <w:tab w:val="left" w:pos="200"/>
          <w:tab w:val="left" w:pos="8364"/>
        </w:tabs>
        <w:kinsoku/>
        <w:wordWrap/>
        <w:overflowPunct/>
        <w:topLinePunct w:val="0"/>
        <w:autoSpaceDE/>
        <w:autoSpaceDN/>
        <w:bidi w:val="0"/>
        <w:adjustRightInd w:val="0"/>
        <w:snapToGrid w:val="0"/>
        <w:spacing w:after="120" w:afterLines="50" w:line="360" w:lineRule="auto"/>
        <w:ind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9. </w:t>
      </w:r>
      <w:r>
        <w:rPr>
          <w:rFonts w:hint="eastAsia" w:eastAsia="仿宋_GB2312"/>
          <w:sz w:val="24"/>
          <w:lang w:eastAsia="zh-CN"/>
        </w:rPr>
        <w:t>中</w:t>
      </w:r>
      <w:r>
        <w:rPr>
          <w:rFonts w:eastAsia="仿宋_GB2312"/>
          <w:sz w:val="24"/>
        </w:rPr>
        <w:t>小微企业、监狱企业、残疾人福利单位声明函</w:t>
      </w:r>
      <w:r>
        <w:rPr>
          <w:rFonts w:hint="eastAsia" w:ascii="仿宋_GB2312" w:hAnsi="仿宋_GB2312" w:eastAsia="仿宋_GB2312" w:cs="仿宋_GB2312"/>
          <w:sz w:val="24"/>
          <w:szCs w:val="24"/>
          <w:lang w:val="en-US" w:eastAsia="zh-CN"/>
        </w:rPr>
        <w:t>（格式见附件6-10)</w:t>
      </w:r>
    </w:p>
    <w:p>
      <w:pPr>
        <w:pStyle w:val="2"/>
        <w:rPr>
          <w:rFonts w:hint="default"/>
          <w:lang w:val="en-US"/>
        </w:rPr>
      </w:pPr>
    </w:p>
    <w:p>
      <w:pPr>
        <w:spacing w:after="120"/>
        <w:ind w:left="780"/>
        <w:rPr>
          <w:rFonts w:hint="eastAsia" w:ascii="仿宋_GB2312" w:hAnsi="仿宋_GB2312" w:eastAsia="仿宋_GB2312" w:cs="仿宋_GB2312"/>
          <w:sz w:val="24"/>
          <w:szCs w:val="24"/>
        </w:rPr>
      </w:pPr>
    </w:p>
    <w:p>
      <w:pPr>
        <w:adjustRightInd w:val="0"/>
        <w:spacing w:line="360" w:lineRule="auto"/>
        <w:ind w:firstLine="480" w:firstLineChars="2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以上提供的扫描件、复印件必须加盖供应商公章。</w:t>
      </w:r>
    </w:p>
    <w:p>
      <w:pPr>
        <w:spacing w:after="120"/>
        <w:rPr>
          <w:rFonts w:eastAsia="仿宋_GB2312"/>
        </w:rPr>
      </w:pPr>
      <w:r>
        <w:rPr>
          <w:rFonts w:eastAsia="仿宋_GB2312"/>
        </w:rPr>
        <w:br w:type="page"/>
      </w:r>
    </w:p>
    <w:p>
      <w:pPr>
        <w:jc w:val="left"/>
        <w:outlineLvl w:val="2"/>
        <w:rPr>
          <w:rFonts w:eastAsia="仿宋_GB2312"/>
          <w:b/>
          <w:sz w:val="24"/>
        </w:rPr>
      </w:pPr>
      <w:bookmarkStart w:id="459" w:name="_Toc7005120"/>
      <w:r>
        <w:rPr>
          <w:rFonts w:eastAsia="仿宋_GB2312"/>
          <w:b/>
          <w:sz w:val="24"/>
        </w:rPr>
        <w:t>6-1  供应商的企业法人营业执照副本复印件（加盖公章）</w:t>
      </w:r>
      <w:bookmarkEnd w:id="459"/>
    </w:p>
    <w:p>
      <w:pPr>
        <w:jc w:val="left"/>
        <w:rPr>
          <w:rFonts w:eastAsia="仿宋_GB2312"/>
          <w:sz w:val="24"/>
        </w:rPr>
      </w:pPr>
    </w:p>
    <w:p>
      <w:pPr>
        <w:tabs>
          <w:tab w:val="left" w:pos="993"/>
          <w:tab w:val="left" w:pos="1030"/>
          <w:tab w:val="left" w:pos="8364"/>
        </w:tabs>
        <w:snapToGrid w:val="0"/>
        <w:spacing w:after="120" w:afterLines="50"/>
        <w:ind w:right="-57" w:rightChars="-27" w:firstLine="480" w:firstLineChars="200"/>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60" w:name="_Toc7005121"/>
      <w:bookmarkStart w:id="461" w:name="_Ref527015333"/>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r>
        <w:rPr>
          <w:rFonts w:eastAsia="仿宋_GB2312"/>
          <w:b/>
          <w:sz w:val="24"/>
        </w:rPr>
        <w:t>6-2  上一年度经审计的财务报表</w:t>
      </w:r>
      <w:bookmarkEnd w:id="460"/>
      <w:bookmarkEnd w:id="461"/>
    </w:p>
    <w:p>
      <w:pPr>
        <w:spacing w:line="360" w:lineRule="auto"/>
        <w:rPr>
          <w:rFonts w:eastAsia="仿宋_GB2312"/>
          <w:szCs w:val="21"/>
        </w:rPr>
      </w:pPr>
    </w:p>
    <w:p>
      <w:pPr>
        <w:tabs>
          <w:tab w:val="left" w:pos="993"/>
          <w:tab w:val="left" w:pos="1030"/>
          <w:tab w:val="left" w:pos="8364"/>
        </w:tabs>
        <w:snapToGrid w:val="0"/>
        <w:spacing w:after="120" w:afterLines="50"/>
        <w:ind w:right="-57" w:rightChars="-27" w:firstLine="480" w:firstLineChars="200"/>
        <w:rPr>
          <w:rFonts w:eastAsia="仿宋_GB2312"/>
          <w:sz w:val="24"/>
        </w:rPr>
      </w:pPr>
      <w:r>
        <w:rPr>
          <w:rFonts w:eastAsia="仿宋_GB2312"/>
          <w:sz w:val="24"/>
        </w:rPr>
        <w:t>提供供应商</w:t>
      </w:r>
      <w:r>
        <w:rPr>
          <w:rFonts w:hint="eastAsia" w:eastAsia="仿宋_GB2312"/>
          <w:sz w:val="24"/>
        </w:rPr>
        <w:t>上一年度经审计的财务报告或近一年任意一个月的财务报表</w:t>
      </w:r>
      <w:r>
        <w:rPr>
          <w:rFonts w:eastAsia="仿宋_GB2312"/>
          <w:sz w:val="24"/>
        </w:rPr>
        <w:t>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62" w:name="_Toc7005122"/>
      <w:r>
        <w:rPr>
          <w:rFonts w:eastAsia="仿宋_GB2312"/>
          <w:b/>
          <w:sz w:val="24"/>
        </w:rPr>
        <w:t>或  6-2  本年度基本开户银行出具的资信证明</w:t>
      </w:r>
      <w:bookmarkEnd w:id="462"/>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3" w:name="_Toc7005123"/>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p>
    <w:p>
      <w:pPr>
        <w:jc w:val="left"/>
        <w:outlineLvl w:val="2"/>
        <w:rPr>
          <w:rFonts w:eastAsia="仿宋_GB2312"/>
          <w:b/>
          <w:sz w:val="24"/>
        </w:rPr>
      </w:pPr>
      <w:r>
        <w:rPr>
          <w:rFonts w:eastAsia="仿宋_GB2312"/>
          <w:b/>
          <w:sz w:val="24"/>
        </w:rPr>
        <w:t>6-3 依法缴纳税收的证明</w:t>
      </w:r>
      <w:bookmarkEnd w:id="463"/>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hint="eastAsia" w:eastAsia="仿宋_GB2312"/>
          <w:sz w:val="24"/>
          <w:lang w:val="en-US" w:eastAsia="zh-CN"/>
        </w:rPr>
        <w:t>1.</w:t>
      </w:r>
      <w:r>
        <w:rPr>
          <w:rFonts w:eastAsia="仿宋_GB2312"/>
          <w:sz w:val="24"/>
        </w:rPr>
        <w:t>供应商应提供近六个月中至少一个月</w:t>
      </w:r>
      <w:r>
        <w:rPr>
          <w:rFonts w:hint="eastAsia" w:ascii="仿宋_GB2312" w:hAnsi="仿宋_GB2312" w:eastAsia="仿宋_GB2312" w:cs="仿宋_GB2312"/>
          <w:color w:val="auto"/>
          <w:sz w:val="24"/>
          <w:szCs w:val="24"/>
          <w:highlight w:val="none"/>
        </w:rPr>
        <w:t>缴纳税收</w:t>
      </w:r>
      <w:r>
        <w:rPr>
          <w:rFonts w:eastAsia="仿宋_GB2312"/>
          <w:sz w:val="24"/>
        </w:rPr>
        <w:t>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hint="eastAsia" w:eastAsia="仿宋_GB2312"/>
          <w:sz w:val="24"/>
          <w:lang w:val="en-US" w:eastAsia="zh-CN"/>
        </w:rPr>
        <w:t>2.</w:t>
      </w:r>
      <w:r>
        <w:rPr>
          <w:rFonts w:eastAsia="仿宋_GB2312"/>
          <w:sz w:val="24"/>
        </w:rPr>
        <w:t>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64" w:name="_Toc7005124"/>
    </w:p>
    <w:p>
      <w:pPr>
        <w:jc w:val="left"/>
        <w:outlineLvl w:val="2"/>
        <w:rPr>
          <w:rFonts w:eastAsia="仿宋_GB2312"/>
          <w:b/>
          <w:sz w:val="24"/>
        </w:rPr>
      </w:pPr>
    </w:p>
    <w:p>
      <w:pPr>
        <w:jc w:val="left"/>
        <w:outlineLvl w:val="2"/>
        <w:rPr>
          <w:rFonts w:eastAsia="仿宋_GB2312"/>
          <w:b/>
          <w:sz w:val="24"/>
        </w:rPr>
      </w:pPr>
      <w:r>
        <w:rPr>
          <w:rFonts w:eastAsia="仿宋_GB2312"/>
          <w:b/>
          <w:sz w:val="24"/>
        </w:rPr>
        <w:t>6-4社会保障资金缴纳记录</w:t>
      </w:r>
      <w:bookmarkEnd w:id="464"/>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0"/>
        </w:numPr>
        <w:tabs>
          <w:tab w:val="left" w:pos="993"/>
          <w:tab w:val="left" w:pos="1030"/>
          <w:tab w:val="left" w:pos="8364"/>
        </w:tabs>
        <w:snapToGrid w:val="0"/>
        <w:spacing w:after="120" w:afterLines="50"/>
        <w:ind w:right="-57" w:rightChars="-27" w:firstLine="480" w:firstLineChars="20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1.供应商应提供近六个月中至少一个月的社会缴纳社会保险的凭据（专用收据或社会保险缴纳清单），并加盖本单位公章。</w:t>
      </w:r>
    </w:p>
    <w:p>
      <w:pPr>
        <w:numPr>
          <w:ilvl w:val="0"/>
          <w:numId w:val="0"/>
        </w:num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hint="eastAsia" w:eastAsia="仿宋_GB2312"/>
          <w:sz w:val="24"/>
          <w:lang w:val="en-US" w:eastAsia="zh-CN"/>
        </w:rPr>
        <w:t>2.</w:t>
      </w: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bCs/>
          <w:sz w:val="24"/>
        </w:rPr>
      </w:pPr>
      <w:bookmarkStart w:id="465" w:name="_Toc7005125"/>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bCs/>
          <w:sz w:val="24"/>
        </w:rPr>
      </w:pP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65"/>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pStyle w:val="2"/>
        <w:rPr>
          <w:rFonts w:eastAsia="仿宋_GB2312"/>
          <w:sz w:val="24"/>
        </w:rPr>
      </w:pPr>
    </w:p>
    <w:p>
      <w:pPr>
        <w:rPr>
          <w:rFonts w:eastAsia="仿宋_GB2312"/>
          <w:sz w:val="24"/>
        </w:rPr>
      </w:pPr>
    </w:p>
    <w:p>
      <w:pPr>
        <w:pStyle w:val="2"/>
        <w:rPr>
          <w:rFonts w:eastAsia="仿宋_GB2312"/>
          <w:sz w:val="24"/>
        </w:rPr>
      </w:pPr>
    </w:p>
    <w:p>
      <w:pPr>
        <w:rPr>
          <w:rFonts w:eastAsia="仿宋_GB2312"/>
          <w:sz w:val="24"/>
        </w:rPr>
      </w:pPr>
    </w:p>
    <w:p>
      <w:pPr>
        <w:pStyle w:val="2"/>
      </w:pPr>
    </w:p>
    <w:p>
      <w:pPr>
        <w:widowControl/>
        <w:jc w:val="left"/>
        <w:rPr>
          <w:rFonts w:eastAsia="仿宋_GB2312"/>
          <w:b/>
          <w:sz w:val="24"/>
        </w:rPr>
      </w:pPr>
    </w:p>
    <w:p>
      <w:pPr>
        <w:numPr>
          <w:ilvl w:val="1"/>
          <w:numId w:val="14"/>
        </w:numPr>
        <w:jc w:val="left"/>
        <w:outlineLvl w:val="2"/>
        <w:rPr>
          <w:rFonts w:eastAsia="仿宋_GB2312"/>
          <w:b/>
          <w:sz w:val="24"/>
          <w:szCs w:val="22"/>
        </w:rPr>
      </w:pPr>
      <w:bookmarkStart w:id="466" w:name="_Toc7005126"/>
      <w:r>
        <w:rPr>
          <w:rFonts w:eastAsia="仿宋_GB2312"/>
          <w:b/>
          <w:sz w:val="24"/>
          <w:szCs w:val="22"/>
        </w:rPr>
        <w:t>供应商参加政府采购活动前3年内在经营活动中没有重大违法记录的书面声明（格式）</w:t>
      </w:r>
      <w:bookmarkEnd w:id="466"/>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p>
    <w:p>
      <w:pPr>
        <w:numPr>
          <w:ilvl w:val="1"/>
          <w:numId w:val="15"/>
        </w:numPr>
        <w:jc w:val="left"/>
        <w:outlineLvl w:val="2"/>
        <w:rPr>
          <w:rFonts w:eastAsia="仿宋_GB2312"/>
          <w:b/>
          <w:sz w:val="24"/>
          <w:szCs w:val="22"/>
        </w:rPr>
      </w:pPr>
      <w:bookmarkStart w:id="467" w:name="_Toc7005127"/>
      <w:r>
        <w:rPr>
          <w:rFonts w:eastAsia="仿宋_GB2312"/>
          <w:b/>
          <w:sz w:val="24"/>
          <w:szCs w:val="22"/>
        </w:rPr>
        <w:t xml:space="preserve"> 供应商控股股东名称、控股公司的名称和存在管理、被管理关系的单位名称说明</w:t>
      </w:r>
      <w:bookmarkEnd w:id="467"/>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numPr>
          <w:ilvl w:val="1"/>
          <w:numId w:val="15"/>
        </w:numPr>
        <w:jc w:val="left"/>
        <w:outlineLvl w:val="2"/>
        <w:rPr>
          <w:rFonts w:eastAsia="仿宋_GB2312"/>
          <w:b/>
          <w:sz w:val="24"/>
          <w:szCs w:val="22"/>
        </w:rPr>
      </w:pPr>
      <w:bookmarkStart w:id="468" w:name="_Toc7005128"/>
      <w:r>
        <w:rPr>
          <w:rFonts w:eastAsia="仿宋_GB2312"/>
          <w:b/>
          <w:sz w:val="24"/>
          <w:szCs w:val="22"/>
        </w:rPr>
        <w:t xml:space="preserve"> 供应商是否属于为本项目提供整体设计、规范编制或者项目管理、监理、检测等服务的供应商声明</w:t>
      </w:r>
      <w:bookmarkEnd w:id="468"/>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469" w:name="_Toc7005129"/>
    </w:p>
    <w:p>
      <w:pPr>
        <w:spacing w:after="120"/>
        <w:rPr>
          <w:rFonts w:eastAsia="仿宋_GB2312"/>
          <w:b/>
          <w:sz w:val="24"/>
        </w:rPr>
      </w:pPr>
    </w:p>
    <w:p>
      <w:pPr>
        <w:spacing w:after="120"/>
        <w:rPr>
          <w:rFonts w:eastAsia="仿宋_GB2312"/>
          <w:b/>
          <w:sz w:val="24"/>
        </w:rPr>
      </w:pPr>
      <w:r>
        <w:rPr>
          <w:rFonts w:eastAsia="仿宋_GB2312"/>
          <w:b/>
          <w:sz w:val="24"/>
        </w:rPr>
        <w:t>6-9</w:t>
      </w:r>
      <w:bookmarkEnd w:id="469"/>
      <w:r>
        <w:rPr>
          <w:rFonts w:hint="eastAsia" w:eastAsia="仿宋_GB2312"/>
          <w:b/>
          <w:sz w:val="24"/>
        </w:rPr>
        <w:t>未被“信用中国”网站（www.creditchina.gov.cn）列入失信被执行人和重大税收违法失信主体，未被中国政府采购网（www.ccgp.gov.cn）列入政府采购严重违法失信行为记录名单中</w:t>
      </w:r>
    </w:p>
    <w:p>
      <w:pPr>
        <w:pStyle w:val="2"/>
        <w:rPr>
          <w:rFonts w:hint="eastAsia" w:ascii="Times New Roman" w:hAnsi="Times New Roman" w:eastAsia="仿宋_GB2312" w:cs="Times New Roman"/>
          <w:sz w:val="24"/>
          <w:lang w:eastAsia="zh-CN"/>
        </w:rPr>
      </w:pPr>
    </w:p>
    <w:p>
      <w:pP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br w:type="page"/>
      </w:r>
    </w:p>
    <w:p>
      <w:pPr>
        <w:spacing w:after="120"/>
        <w:rPr>
          <w:rFonts w:ascii="Times New Roman" w:hAnsi="Times New Roman" w:eastAsia="仿宋_GB2312" w:cs="Times New Roman"/>
          <w:b/>
          <w:sz w:val="24"/>
        </w:rPr>
      </w:pPr>
      <w:r>
        <w:rPr>
          <w:rFonts w:hint="eastAsia" w:ascii="Times New Roman" w:hAnsi="Times New Roman" w:eastAsia="仿宋_GB2312" w:cs="Times New Roman"/>
          <w:b/>
          <w:sz w:val="24"/>
          <w:lang w:val="en-US" w:eastAsia="zh-CN"/>
        </w:rPr>
        <w:t xml:space="preserve">6-10 </w:t>
      </w:r>
      <w:r>
        <w:rPr>
          <w:rFonts w:hint="eastAsia" w:ascii="Times New Roman" w:hAnsi="Times New Roman" w:eastAsia="仿宋_GB2312" w:cs="Times New Roman"/>
          <w:b/>
          <w:sz w:val="24"/>
          <w:lang w:eastAsia="zh-CN"/>
        </w:rPr>
        <w:t>中</w:t>
      </w:r>
      <w:r>
        <w:rPr>
          <w:rFonts w:ascii="Times New Roman" w:hAnsi="Times New Roman" w:eastAsia="仿宋_GB2312" w:cs="Times New Roman"/>
          <w:b/>
          <w:sz w:val="24"/>
        </w:rPr>
        <w:t>小微企业、监狱企业、残疾人福利单位声明函</w:t>
      </w: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中小企业声明函(工程、服务)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70"/>
        <w:numPr>
          <w:ilvl w:val="0"/>
          <w:numId w:val="16"/>
        </w:numPr>
        <w:spacing w:line="560" w:lineRule="exact"/>
        <w:ind w:left="780" w:leftChars="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(中型企必、小型企业、微型企业) </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(采购文件中明的所属行业) </w:t>
      </w:r>
      <w:r>
        <w:rPr>
          <w:rFonts w:eastAsia="仿宋_GB2312"/>
          <w:kern w:val="0"/>
          <w:sz w:val="24"/>
        </w:rPr>
        <w:t>；承接企业为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(中型企必、小型企业、微型企业)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195"/>
        <w:ind w:firstLine="6927" w:firstLineChars="2300"/>
        <w:rPr>
          <w:rFonts w:hint="eastAsia" w:ascii="仿宋_GB2312" w:hAnsi="仿宋_GB2312" w:eastAsia="仿宋_GB2312" w:cs="仿宋_GB2312"/>
          <w:b/>
          <w:sz w:val="30"/>
          <w:szCs w:val="30"/>
          <w:lang w:val="zh-CN"/>
        </w:rPr>
      </w:pPr>
    </w:p>
    <w:p>
      <w:pPr>
        <w:pStyle w:val="195"/>
        <w:ind w:firstLine="6927" w:firstLineChars="2300"/>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正本/副本</w:t>
      </w:r>
    </w:p>
    <w:p>
      <w:pPr>
        <w:autoSpaceDE w:val="0"/>
        <w:autoSpaceDN w:val="0"/>
        <w:adjustRightInd w:val="0"/>
        <w:snapToGrid w:val="0"/>
        <w:spacing w:line="360" w:lineRule="auto"/>
        <w:jc w:val="left"/>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hint="eastAsia" w:ascii="仿宋_GB2312" w:hAnsi="仿宋_GB2312" w:eastAsia="仿宋_GB2312" w:cs="仿宋_GB2312"/>
          <w:b/>
          <w:bCs/>
          <w:sz w:val="30"/>
          <w:szCs w:val="30"/>
          <w:lang w:val="zh-CN"/>
        </w:rPr>
      </w:pPr>
      <w:r>
        <w:rPr>
          <w:rFonts w:hint="eastAsia" w:ascii="仿宋_GB2312" w:hAnsi="仿宋_GB2312" w:eastAsia="仿宋_GB2312" w:cs="仿宋_GB2312"/>
          <w:b/>
          <w:bCs/>
          <w:sz w:val="32"/>
          <w:szCs w:val="32"/>
          <w:lang w:val="zh-CN"/>
        </w:rPr>
        <w:t>采购项目编号：</w:t>
      </w:r>
      <w:r>
        <w:rPr>
          <w:rFonts w:hint="eastAsia" w:ascii="仿宋_GB2312" w:hAnsi="仿宋_GB2312" w:eastAsia="仿宋_GB2312" w:cs="仿宋_GB2312"/>
          <w:b/>
          <w:bCs/>
          <w:sz w:val="30"/>
          <w:szCs w:val="30"/>
          <w:lang w:val="zh-CN"/>
        </w:rPr>
        <w:t>SCZC2022-CS-1818/001</w:t>
      </w:r>
    </w:p>
    <w:p>
      <w:pPr>
        <w:autoSpaceDE w:val="0"/>
        <w:autoSpaceDN w:val="0"/>
        <w:adjustRightInd w:val="0"/>
        <w:snapToGrid w:val="0"/>
        <w:spacing w:line="360" w:lineRule="auto"/>
        <w:jc w:val="left"/>
        <w:rPr>
          <w:rFonts w:eastAsia="仿宋_GB2312"/>
          <w:b/>
          <w:bCs/>
          <w:sz w:val="32"/>
          <w:szCs w:val="32"/>
          <w:lang w:val="zh-CN"/>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hint="eastAsia" w:eastAsia="仿宋_GB2312"/>
          <w:b/>
          <w:bCs/>
          <w:sz w:val="44"/>
          <w:szCs w:val="44"/>
        </w:rPr>
      </w:pPr>
      <w:r>
        <w:rPr>
          <w:rFonts w:hint="eastAsia" w:eastAsia="仿宋_GB2312"/>
          <w:b/>
          <w:bCs/>
          <w:sz w:val="44"/>
          <w:szCs w:val="44"/>
        </w:rPr>
        <w:t>第八届丝绸之路国际艺术节</w:t>
      </w:r>
      <w:r>
        <w:rPr>
          <w:rFonts w:hint="eastAsia" w:eastAsia="仿宋_GB2312"/>
          <w:b/>
          <w:bCs/>
          <w:sz w:val="44"/>
          <w:szCs w:val="44"/>
          <w:lang w:eastAsia="zh-CN"/>
        </w:rPr>
        <w:t>国际</w:t>
      </w:r>
      <w:r>
        <w:rPr>
          <w:rFonts w:hint="eastAsia" w:eastAsia="仿宋_GB2312"/>
          <w:b/>
          <w:bCs/>
          <w:sz w:val="44"/>
          <w:szCs w:val="44"/>
        </w:rPr>
        <w:t>剧目</w:t>
      </w: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展播</w:t>
      </w: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pStyle w:val="2"/>
        <w:rPr>
          <w:rFonts w:eastAsia="仿宋_GB2312"/>
          <w:b/>
          <w:bCs/>
          <w:sz w:val="36"/>
          <w:szCs w:val="36"/>
          <w:lang w:val="zh-CN"/>
        </w:rPr>
      </w:pPr>
    </w:p>
    <w:p>
      <w:pPr>
        <w:rPr>
          <w:lang w:val="zh-CN"/>
        </w:rPr>
      </w:pPr>
    </w:p>
    <w:p>
      <w:pPr>
        <w:rPr>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jc w:val="center"/>
        <w:rPr>
          <w:rFonts w:eastAsia="黑体"/>
          <w:b/>
          <w:bCs/>
          <w:sz w:val="32"/>
          <w:szCs w:val="32"/>
          <w:lang w:val="zh-CN"/>
        </w:rPr>
      </w:pPr>
      <w:r>
        <w:rPr>
          <w:rFonts w:eastAsia="黑体"/>
          <w:b/>
          <w:bCs/>
          <w:sz w:val="32"/>
          <w:szCs w:val="32"/>
          <w:lang w:val="zh-CN"/>
        </w:rPr>
        <w:t>（</w:t>
      </w:r>
      <w:r>
        <w:rPr>
          <w:rStyle w:val="97"/>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pStyle w:val="2"/>
        <w:rPr>
          <w:rFonts w:eastAsia="仿宋_GB2312"/>
          <w:b/>
          <w:bCs/>
          <w:sz w:val="32"/>
          <w:szCs w:val="32"/>
          <w:lang w:val="zh-CN"/>
        </w:rPr>
      </w:pPr>
    </w:p>
    <w:p>
      <w:pPr>
        <w:rPr>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ascii="Times New Roman" w:hAnsi="Times New Roman" w:eastAsia="仿宋_GB2312"/>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 xml:space="preserve">第五部分  </w:t>
      </w:r>
      <w:r>
        <w:rPr>
          <w:rFonts w:hint="eastAsia" w:eastAsia="仿宋_GB2312"/>
          <w:sz w:val="24"/>
          <w:lang w:eastAsia="zh-CN"/>
        </w:rPr>
        <w:t>中</w:t>
      </w:r>
      <w:r>
        <w:rPr>
          <w:rFonts w:eastAsia="仿宋_GB2312"/>
          <w:sz w:val="24"/>
        </w:rPr>
        <w:t>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keepNext w:val="0"/>
        <w:keepLines w:val="0"/>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eastAsia="仿宋_GB2312"/>
          <w:b/>
          <w:bCs/>
          <w:sz w:val="24"/>
        </w:rPr>
      </w:pPr>
      <w:r>
        <w:rPr>
          <w:rFonts w:eastAsia="仿宋_GB2312"/>
          <w:b/>
          <w:bCs/>
          <w:sz w:val="24"/>
          <w:lang w:val="zh-CN"/>
        </w:rPr>
        <w:t>陕西省采购招标有限责任公司：</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lang w:val="zh-CN"/>
        </w:rPr>
        <w:t>我单位收到贵公司</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hint="eastAsia" w:eastAsia="仿宋_GB2312"/>
          <w:sz w:val="24"/>
          <w:lang w:val="en-US" w:eastAsia="zh-CN"/>
        </w:rPr>
        <w:t>¥</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none"/>
          <w:lang w:val="zh-CN"/>
        </w:rPr>
        <w:t>两</w:t>
      </w:r>
      <w:r>
        <w:rPr>
          <w:rFonts w:eastAsia="仿宋_GB2312"/>
          <w:sz w:val="24"/>
          <w:lang w:val="zh-CN"/>
        </w:rPr>
        <w:t>份</w:t>
      </w:r>
      <w:r>
        <w:rPr>
          <w:rFonts w:hint="eastAsia" w:eastAsia="仿宋_GB2312"/>
          <w:sz w:val="24"/>
          <w:lang w:val="zh-CN"/>
        </w:rPr>
        <w:t>、电子版</w:t>
      </w:r>
      <w:r>
        <w:rPr>
          <w:rFonts w:eastAsia="仿宋_GB2312"/>
          <w:sz w:val="24"/>
          <w:lang w:val="zh-CN"/>
        </w:rPr>
        <w:t>一份。</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lang w:val="zh-CN"/>
        </w:rPr>
        <w:t>五、如果我方在磋商有效期内撤销响应文件，则响应保证金将被贵方不予退还。</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rPr>
        <w:t>八</w:t>
      </w:r>
      <w:r>
        <w:rPr>
          <w:rFonts w:eastAsia="仿宋_GB2312"/>
          <w:sz w:val="24"/>
          <w:lang w:val="zh-CN"/>
        </w:rPr>
        <w:t>、如我方成交：</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lang w:val="zh-CN"/>
        </w:rPr>
        <w:t>（1）我方承诺在收到成交通知书后，在磋商文件规定的期限内与采购人签订合同。</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lang w:val="zh-CN"/>
        </w:rPr>
        <w:t>（2）我方承诺按照磋商文件规定向你方递交履约保证金。作为履行合同的担保。</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lang w:val="zh-CN"/>
        </w:rPr>
        <w:t>（3）我方承诺按合同约定的期限和地点，提供符合磋商文件要求的全部的货物和服务。</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lang w:val="zh-CN"/>
        </w:rPr>
        <w:t>（4）我方保证在领取成交通知书前按要求支付成交服务费。</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eastAsia="仿宋_GB2312"/>
          <w:sz w:val="24"/>
          <w:lang w:val="zh-CN"/>
        </w:rPr>
      </w:pPr>
      <w:r>
        <w:rPr>
          <w:rFonts w:eastAsia="仿宋_GB2312"/>
          <w:sz w:val="24"/>
          <w:lang w:val="zh-CN"/>
        </w:rPr>
        <w:t>九、有关于本响应文件的函电，请按下列地址联系。</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eastAsia="仿宋_GB2312"/>
          <w:sz w:val="24"/>
        </w:rPr>
      </w:pPr>
      <w:r>
        <w:rPr>
          <w:rFonts w:eastAsia="仿宋_GB2312"/>
          <w:sz w:val="24"/>
          <w:lang w:val="zh-CN"/>
        </w:rPr>
        <w:t>开户银行：</w:t>
      </w:r>
      <w:r>
        <w:rPr>
          <w:rFonts w:eastAsia="仿宋_GB2312"/>
          <w:sz w:val="24"/>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5"/>
        <w:ind w:firstLine="2640" w:firstLineChars="1100"/>
        <w:rPr>
          <w:rFonts w:ascii="Times New Roman" w:eastAsia="仿宋"/>
          <w:b/>
          <w:bCs/>
          <w:sz w:val="32"/>
          <w:szCs w:val="32"/>
        </w:rPr>
      </w:pPr>
      <w:bookmarkStart w:id="470" w:name="_Hlt520356241"/>
      <w:bookmarkEnd w:id="470"/>
      <w:r>
        <w:rPr>
          <w:rFonts w:ascii="Times New Roman"/>
        </w:rPr>
        <w:br w:type="page"/>
      </w:r>
      <w:bookmarkStart w:id="471" w:name="_Toc232176284"/>
      <w:bookmarkStart w:id="472" w:name="_Toc230013640"/>
      <w:bookmarkStart w:id="473" w:name="_Toc249515371"/>
      <w:bookmarkStart w:id="474" w:name="_Toc256342154"/>
      <w:bookmarkStart w:id="475" w:name="_Toc8496"/>
      <w:bookmarkStart w:id="476" w:name="_Toc415499901"/>
      <w:bookmarkStart w:id="477" w:name="_Toc230583554"/>
      <w:bookmarkStart w:id="478" w:name="_Toc249525252"/>
      <w:bookmarkStart w:id="479" w:name="_Toc232395224"/>
      <w:bookmarkStart w:id="480" w:name="_Toc230099805"/>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Times New Roman" w:hAnsi="Times New Roman" w:eastAsia="仿宋_GB2312" w:cs="Times New Roman"/>
                <w:b/>
                <w:sz w:val="24"/>
              </w:rPr>
            </w:pPr>
            <w:r>
              <w:rPr>
                <w:rFonts w:hint="eastAsia" w:ascii="Times New Roman" w:hAnsi="Times New Roman" w:eastAsia="仿宋_GB2312" w:cs="Times New Roman"/>
                <w:b/>
                <w:sz w:val="24"/>
              </w:rPr>
              <w:t>服务期限</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Times New Roman" w:hAnsi="Times New Roman" w:eastAsia="仿宋_GB2312" w:cs="Times New Roman"/>
                <w:b/>
                <w:sz w:val="24"/>
              </w:rPr>
            </w:pPr>
            <w:r>
              <w:rPr>
                <w:rFonts w:hint="eastAsia" w:ascii="Times New Roman" w:hAnsi="Times New Roman" w:eastAsia="仿宋_GB2312" w:cs="Times New Roman"/>
                <w:b/>
                <w:sz w:val="24"/>
              </w:rPr>
              <w:t>服务地点</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headerReference r:id="rId8" w:type="default"/>
          <w:footerReference r:id="rId9" w:type="default"/>
          <w:pgSz w:w="11906" w:h="16838"/>
          <w:pgMar w:top="1587" w:right="1803" w:bottom="1587" w:left="1803" w:header="851" w:footer="992" w:gutter="0"/>
          <w:pgNumType w:fmt="decimal"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5"/>
        <w:jc w:val="center"/>
        <w:rPr>
          <w:rFonts w:hint="eastAsia" w:ascii="仿宋_GB2312" w:hAnsi="仿宋_GB2312" w:eastAsia="仿宋_GB2312" w:cs="仿宋_GB2312"/>
        </w:rPr>
      </w:pPr>
      <w:r>
        <w:rPr>
          <w:rFonts w:hint="eastAsia" w:ascii="仿宋_GB2312" w:hAnsi="仿宋_GB2312" w:eastAsia="仿宋_GB2312" w:cs="仿宋_GB2312"/>
        </w:rPr>
        <w:t>（各供应商自行编写首次报价明细表）</w:t>
      </w:r>
    </w:p>
    <w:p>
      <w:pPr>
        <w:pStyle w:val="2"/>
        <w:rPr>
          <w:rFonts w:ascii="Times New Roman" w:hAnsi="Times New Roman" w:eastAsia="仿宋_GB2312"/>
          <w:sz w:val="24"/>
        </w:rPr>
      </w:pP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p>
      <w:pPr>
        <w:jc w:val="center"/>
        <w:rPr>
          <w:rFonts w:hint="eastAsia" w:ascii="Times New Roman" w:hAnsi="Times New Roman" w:eastAsia="仿宋_GB2312" w:cs="Times New Roman"/>
          <w:sz w:val="24"/>
        </w:rPr>
      </w:pPr>
    </w:p>
    <w:p>
      <w:pPr>
        <w:pStyle w:val="2"/>
        <w:rPr>
          <w:rFonts w:hint="eastAsia" w:ascii="Times New Roman" w:hAnsi="Times New Roman" w:eastAsia="仿宋_GB2312" w:cs="Times New Roman"/>
          <w:sz w:val="24"/>
        </w:rPr>
      </w:pPr>
    </w:p>
    <w:p>
      <w:pPr>
        <w:rPr>
          <w:rFonts w:hint="eastAsia"/>
        </w:rPr>
      </w:pPr>
    </w:p>
    <w:p>
      <w:pPr>
        <w:pStyle w:val="2"/>
        <w:rPr>
          <w:rFonts w:hint="eastAsia" w:ascii="Times New Roman" w:hAnsi="Times New Roman" w:eastAsia="仿宋_GB2312" w:cs="Times New Roman"/>
          <w:sz w:val="24"/>
        </w:rPr>
      </w:pPr>
    </w:p>
    <w:p>
      <w:pPr>
        <w:rPr>
          <w:rFonts w:hint="eastAsia" w:ascii="Times New Roman" w:hAnsi="Times New Roman" w:eastAsia="仿宋_GB2312" w:cs="Times New Roman"/>
          <w:sz w:val="24"/>
        </w:rPr>
      </w:pPr>
    </w:p>
    <w:p>
      <w:pPr>
        <w:pStyle w:val="2"/>
        <w:rPr>
          <w:rFonts w:hint="eastAsia" w:ascii="Times New Roman" w:hAnsi="Times New Roman" w:eastAsia="仿宋_GB2312" w:cs="Times New Roman"/>
          <w:sz w:val="24"/>
        </w:rPr>
      </w:pPr>
    </w:p>
    <w:p>
      <w:pPr>
        <w:rPr>
          <w:rFonts w:hint="eastAsia" w:ascii="Times New Roman" w:hAnsi="Times New Roman" w:eastAsia="仿宋_GB2312" w:cs="Times New Roman"/>
          <w:sz w:val="24"/>
        </w:rPr>
      </w:pPr>
    </w:p>
    <w:p>
      <w:pPr>
        <w:pStyle w:val="2"/>
        <w:rPr>
          <w:rFonts w:hint="eastAsia" w:ascii="Times New Roman" w:hAnsi="Times New Roman" w:eastAsia="仿宋_GB2312" w:cs="Times New Roman"/>
          <w:sz w:val="24"/>
        </w:rPr>
      </w:pPr>
    </w:p>
    <w:p>
      <w:pPr>
        <w:rPr>
          <w:rFonts w:hint="eastAsia" w:ascii="Times New Roman" w:hAnsi="Times New Roman" w:eastAsia="仿宋_GB2312" w:cs="Times New Roman"/>
          <w:sz w:val="24"/>
        </w:rPr>
      </w:pPr>
    </w:p>
    <w:p>
      <w:pPr>
        <w:pStyle w:val="2"/>
      </w:pPr>
    </w:p>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w:t>
      </w:r>
      <w:r>
        <w:rPr>
          <w:rFonts w:hint="eastAsia" w:eastAsia="仿宋_GB2312"/>
          <w:szCs w:val="21"/>
          <w:lang w:val="en-US" w:eastAsia="zh-CN"/>
        </w:rPr>
        <w:t>.</w:t>
      </w:r>
      <w:r>
        <w:rPr>
          <w:rFonts w:eastAsia="仿宋_GB2312"/>
          <w:szCs w:val="21"/>
          <w:lang w:val="zh-CN"/>
        </w:rPr>
        <w:t>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w:t>
      </w:r>
      <w:r>
        <w:rPr>
          <w:rFonts w:hint="eastAsia" w:eastAsia="仿宋_GB2312"/>
          <w:szCs w:val="21"/>
          <w:lang w:val="en-US" w:eastAsia="zh-CN"/>
        </w:rPr>
        <w:t>.</w:t>
      </w:r>
      <w:r>
        <w:rPr>
          <w:rFonts w:eastAsia="仿宋_GB2312"/>
          <w:szCs w:val="21"/>
          <w:lang w:val="zh-CN"/>
        </w:rPr>
        <w:t>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hint="eastAsia" w:ascii="Times New Roman" w:hAnsi="Times New Roman" w:eastAsia="仿宋_GB2312"/>
          <w:szCs w:val="21"/>
          <w:lang w:val="en-US" w:eastAsia="zh-CN"/>
        </w:rPr>
        <w:t>.</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71"/>
    <w:bookmarkEnd w:id="472"/>
    <w:bookmarkEnd w:id="473"/>
    <w:bookmarkEnd w:id="474"/>
    <w:bookmarkEnd w:id="475"/>
    <w:bookmarkEnd w:id="476"/>
    <w:bookmarkEnd w:id="477"/>
    <w:bookmarkEnd w:id="478"/>
    <w:bookmarkEnd w:id="479"/>
    <w:bookmarkEnd w:id="480"/>
    <w:p>
      <w:pPr>
        <w:pStyle w:val="4"/>
        <w:jc w:val="center"/>
        <w:rPr>
          <w:rFonts w:ascii="仿宋_GB2312" w:hAnsi="仿宋_GB2312" w:eastAsia="仿宋_GB2312" w:cs="仿宋_GB2312"/>
          <w:b/>
          <w:bCs/>
        </w:rPr>
      </w:pPr>
      <w:bookmarkStart w:id="481" w:name="_Toc230099806"/>
      <w:bookmarkStart w:id="482" w:name="_Toc492955460"/>
      <w:bookmarkStart w:id="483" w:name="_Toc232395225"/>
      <w:bookmarkStart w:id="484" w:name="_Toc499711088"/>
      <w:bookmarkStart w:id="485" w:name="_Toc389620242"/>
      <w:bookmarkStart w:id="486" w:name="_Toc70687203"/>
      <w:bookmarkStart w:id="487" w:name="_Toc177995484"/>
      <w:bookmarkStart w:id="488" w:name="_Toc385992402"/>
      <w:bookmarkStart w:id="489" w:name="_Toc177189246"/>
      <w:bookmarkStart w:id="490" w:name="_Toc232176285"/>
      <w:bookmarkStart w:id="491" w:name="_Toc249515372"/>
      <w:bookmarkStart w:id="492" w:name="_Toc499711929"/>
      <w:bookmarkStart w:id="493" w:name="_Toc249525253"/>
      <w:bookmarkStart w:id="494" w:name="_Toc176882553"/>
      <w:bookmarkStart w:id="495" w:name="_Toc225933091"/>
      <w:bookmarkStart w:id="496" w:name="_Toc83547687"/>
      <w:bookmarkStart w:id="497" w:name="_Toc256342155"/>
      <w:bookmarkStart w:id="498" w:name="_Toc500747011"/>
      <w:bookmarkStart w:id="499" w:name="_Toc53722866"/>
      <w:bookmarkStart w:id="500" w:name="_Toc496324624"/>
      <w:bookmarkStart w:id="501" w:name="_Toc500747107"/>
      <w:bookmarkStart w:id="502" w:name="_Toc230583555"/>
      <w:bookmarkStart w:id="503" w:name="_Toc500747234"/>
      <w:bookmarkStart w:id="504" w:name="_Toc184043059"/>
      <w:bookmarkStart w:id="505" w:name="_Toc503063459"/>
      <w:bookmarkStart w:id="506" w:name="_Toc177817345"/>
      <w:bookmarkStart w:id="507" w:name="_Toc230013641"/>
      <w:bookmarkStart w:id="508" w:name="_Toc415499902"/>
      <w:r>
        <w:rPr>
          <w:rFonts w:ascii="仿宋_GB2312" w:hAnsi="仿宋_GB2312" w:eastAsia="仿宋_GB2312" w:cs="仿宋_GB2312"/>
          <w:b/>
          <w:bCs/>
        </w:rPr>
        <w:t>第三部分  偏离表</w:t>
      </w:r>
    </w:p>
    <w:p>
      <w:pPr>
        <w:rPr>
          <w:rFonts w:eastAsia="仿宋_GB2312"/>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c>
          <w:tcPr>
            <w:tcW w:w="2835" w:type="dxa"/>
            <w:vAlign w:val="center"/>
          </w:tcPr>
          <w:p>
            <w:pPr>
              <w:tabs>
                <w:tab w:val="left" w:pos="1260"/>
                <w:tab w:val="left" w:pos="1620"/>
              </w:tabs>
              <w:adjustRightInd w:val="0"/>
              <w:snapToGrid w:val="0"/>
              <w:jc w:val="center"/>
              <w:textAlignment w:val="baseline"/>
              <w:rPr>
                <w:rFonts w:ascii="Times New Roman" w:hAnsi="Times New Roman" w:eastAsia="仿宋_GB2312"/>
                <w:sz w:val="24"/>
                <w:szCs w:val="24"/>
              </w:rPr>
            </w:pPr>
            <w:r>
              <w:rPr>
                <w:rFonts w:hint="eastAsia" w:eastAsia="仿宋_GB2312"/>
                <w:szCs w:val="21"/>
              </w:rPr>
              <w:t>服务期限</w:t>
            </w: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w:t>
            </w:r>
          </w:p>
        </w:tc>
        <w:tc>
          <w:tcPr>
            <w:tcW w:w="2835" w:type="dxa"/>
            <w:vAlign w:val="center"/>
          </w:tcPr>
          <w:p>
            <w:pPr>
              <w:tabs>
                <w:tab w:val="left" w:pos="1260"/>
                <w:tab w:val="left" w:pos="1620"/>
              </w:tabs>
              <w:adjustRightInd w:val="0"/>
              <w:snapToGrid w:val="0"/>
              <w:jc w:val="center"/>
              <w:textAlignment w:val="baseline"/>
              <w:rPr>
                <w:rFonts w:eastAsia="仿宋_GB2312"/>
                <w:bCs/>
                <w:sz w:val="24"/>
              </w:rPr>
            </w:pPr>
            <w:r>
              <w:rPr>
                <w:rFonts w:hint="eastAsia" w:eastAsia="仿宋_GB2312"/>
                <w:szCs w:val="21"/>
              </w:rPr>
              <w:t>服务地点</w:t>
            </w: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w:t>
            </w:r>
          </w:p>
        </w:tc>
        <w:tc>
          <w:tcPr>
            <w:tcW w:w="2835" w:type="dxa"/>
            <w:vAlign w:val="center"/>
          </w:tcPr>
          <w:p>
            <w:pPr>
              <w:tabs>
                <w:tab w:val="left" w:pos="1260"/>
                <w:tab w:val="left" w:pos="1620"/>
              </w:tabs>
              <w:adjustRightInd w:val="0"/>
              <w:snapToGrid w:val="0"/>
              <w:jc w:val="center"/>
              <w:textAlignment w:val="baseline"/>
              <w:rPr>
                <w:rFonts w:eastAsia="仿宋_GB2312"/>
                <w:bCs/>
                <w:sz w:val="24"/>
              </w:rPr>
            </w:pPr>
            <w:r>
              <w:rPr>
                <w:rFonts w:eastAsia="仿宋_GB2312"/>
                <w:szCs w:val="21"/>
              </w:rPr>
              <w:t>付款方式</w:t>
            </w: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Cs/>
                <w:sz w:val="24"/>
              </w:rPr>
            </w:pPr>
            <w:r>
              <w:rPr>
                <w:rFonts w:hint="default" w:ascii="Arial" w:hAnsi="Arial" w:eastAsia="仿宋_GB2312" w:cs="Arial"/>
                <w:bCs/>
                <w:sz w:val="24"/>
              </w:rPr>
              <w:t>……</w:t>
            </w: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Cs/>
                <w:sz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Cs/>
                <w:sz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Cs/>
                <w:sz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83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70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141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c>
          <w:tcPr>
            <w:tcW w:w="219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1080" w:leftChars="257" w:hanging="540"/>
              <w:jc w:val="center"/>
              <w:textAlignment w:val="auto"/>
              <w:rPr>
                <w:rFonts w:ascii="Times New Roman" w:hAnsi="Times New Roman" w:eastAsia="仿宋_GB2312"/>
                <w:sz w:val="24"/>
                <w:szCs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w:t>
      </w:r>
      <w:r>
        <w:rPr>
          <w:rFonts w:hint="eastAsia" w:eastAsia="仿宋_GB2312"/>
          <w:lang w:val="en-US" w:eastAsia="zh-CN"/>
        </w:rPr>
        <w:t>.</w:t>
      </w:r>
      <w:r>
        <w:rPr>
          <w:rFonts w:eastAsia="仿宋_GB2312"/>
        </w:rPr>
        <w:t>对完全响应的，在下表相应列中标注“</w:t>
      </w:r>
      <w:r>
        <w:rPr>
          <w:rFonts w:ascii="Arial" w:hAnsi="Arial" w:eastAsia="宋体" w:cs="Arial"/>
        </w:rPr>
        <w:t>√</w:t>
      </w:r>
      <w:r>
        <w:rPr>
          <w:rFonts w:eastAsia="仿宋_GB2312"/>
        </w:rPr>
        <w:t>”。对有偏离的条目在本表相应列中标注“正偏离”或“负偏离”，并在“偏离简述”栏中加以说明。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w:t>
      </w:r>
      <w:r>
        <w:rPr>
          <w:rFonts w:hint="eastAsia" w:eastAsia="仿宋_GB2312"/>
          <w:lang w:val="en-US" w:eastAsia="zh-CN"/>
        </w:rPr>
        <w:t>.</w:t>
      </w:r>
      <w:r>
        <w:rPr>
          <w:rFonts w:eastAsia="仿宋_GB2312"/>
        </w:rPr>
        <w:t>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w:t>
      </w:r>
      <w:r>
        <w:rPr>
          <w:rFonts w:hint="eastAsia" w:eastAsia="仿宋_GB2312"/>
          <w:lang w:val="en-US" w:eastAsia="zh-CN"/>
        </w:rPr>
        <w:t>.</w:t>
      </w:r>
      <w:r>
        <w:rPr>
          <w:rFonts w:eastAsia="仿宋_GB2312"/>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w:t>
      </w:r>
      <w:r>
        <w:rPr>
          <w:rFonts w:hint="eastAsia" w:eastAsia="仿宋_GB2312"/>
          <w:lang w:val="en-US" w:eastAsia="zh-CN"/>
        </w:rPr>
        <w:t>.</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509" w:name="_Toc416103825"/>
      <w:bookmarkStart w:id="510" w:name="_Toc414445775"/>
      <w:bookmarkStart w:id="511" w:name="_Toc7005136"/>
      <w:bookmarkStart w:id="512" w:name="_Toc410631184"/>
      <w:r>
        <w:rPr>
          <w:rFonts w:ascii="仿宋_GB2312" w:hAnsi="仿宋_GB2312" w:eastAsia="仿宋_GB2312" w:cs="仿宋_GB2312"/>
          <w:b/>
          <w:bCs/>
          <w:sz w:val="28"/>
          <w:szCs w:val="36"/>
        </w:rPr>
        <w:t>二、技术偏离表</w:t>
      </w:r>
      <w:bookmarkEnd w:id="509"/>
      <w:bookmarkEnd w:id="510"/>
      <w:bookmarkEnd w:id="511"/>
      <w:bookmarkEnd w:id="512"/>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磋商文件条目号</w:t>
            </w:r>
          </w:p>
        </w:tc>
        <w:tc>
          <w:tcPr>
            <w:tcW w:w="1932" w:type="dxa"/>
          </w:tcPr>
          <w:p>
            <w:pPr>
              <w:spacing w:line="400" w:lineRule="exact"/>
              <w:jc w:val="center"/>
              <w:rPr>
                <w:rFonts w:eastAsia="仿宋_GB2312"/>
                <w:sz w:val="24"/>
              </w:rPr>
            </w:pPr>
            <w:r>
              <w:rPr>
                <w:rFonts w:eastAsia="仿宋_GB2312"/>
                <w:sz w:val="24"/>
              </w:rPr>
              <w:t>技术条款要求</w:t>
            </w:r>
          </w:p>
        </w:tc>
        <w:tc>
          <w:tcPr>
            <w:tcW w:w="1236" w:type="dxa"/>
          </w:tcPr>
          <w:p>
            <w:pPr>
              <w:spacing w:line="400" w:lineRule="exact"/>
              <w:jc w:val="center"/>
              <w:rPr>
                <w:rFonts w:eastAsia="仿宋_GB2312"/>
                <w:sz w:val="24"/>
              </w:rPr>
            </w:pPr>
            <w:r>
              <w:rPr>
                <w:rFonts w:eastAsia="仿宋_GB2312"/>
                <w:sz w:val="24"/>
              </w:rPr>
              <w:t>完全响应</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w:t>
      </w:r>
      <w:r>
        <w:rPr>
          <w:rFonts w:hint="default" w:ascii="Arial" w:hAnsi="Arial" w:eastAsia="仿宋_GB2312" w:cs="Arial"/>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4"/>
          <w:szCs w:val="24"/>
          <w:lang w:val="zh-CN"/>
        </w:rPr>
      </w:pPr>
      <w:r>
        <w:rPr>
          <w:rFonts w:eastAsia="仿宋_GB2312"/>
          <w:sz w:val="24"/>
          <w:szCs w:val="24"/>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pStyle w:val="4"/>
        <w:jc w:val="center"/>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w:t>
      </w:r>
      <w:bookmarkStart w:id="513" w:name="_Toc7005133"/>
      <w:r>
        <w:rPr>
          <w:rFonts w:ascii="仿宋_GB2312" w:hAnsi="仿宋_GB2312" w:eastAsia="仿宋_GB2312" w:cs="仿宋_GB2312"/>
          <w:b/>
          <w:bCs/>
          <w:sz w:val="28"/>
          <w:szCs w:val="36"/>
        </w:rPr>
        <w:t>(工程、服务)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70"/>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u w:val="single"/>
          <w:lang w:val="en-US" w:eastAsia="zh-CN"/>
        </w:rPr>
        <w:t>1.</w:t>
      </w: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w:t>
      </w:r>
      <w:r>
        <w:rPr>
          <w:rFonts w:hint="eastAsia" w:eastAsia="仿宋_GB2312"/>
          <w:kern w:val="0"/>
          <w:sz w:val="24"/>
          <w:u w:val="single"/>
          <w:lang w:eastAsia="zh-CN"/>
        </w:rPr>
        <w:t>企业</w:t>
      </w:r>
      <w:r>
        <w:rPr>
          <w:rFonts w:ascii="Times New Roman" w:hAnsi="Times New Roman" w:eastAsia="仿宋_GB2312"/>
          <w:kern w:val="0"/>
          <w:sz w:val="24"/>
          <w:szCs w:val="24"/>
          <w:u w:val="single"/>
        </w:rPr>
        <w:t xml:space="preserve">、小型企业、微型企业) </w:t>
      </w:r>
      <w:r>
        <w:rPr>
          <w:rFonts w:ascii="Times New Roman" w:hAnsi="Times New Roman" w:eastAsia="仿宋_GB2312"/>
          <w:kern w:val="0"/>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w:t>
      </w:r>
      <w:r>
        <w:rPr>
          <w:rFonts w:hint="eastAsia" w:eastAsia="仿宋_GB2312"/>
          <w:kern w:val="0"/>
          <w:sz w:val="24"/>
          <w:u w:val="single"/>
          <w:lang w:eastAsia="zh-CN"/>
        </w:rPr>
        <w:t>标</w:t>
      </w:r>
      <w:bookmarkStart w:id="524" w:name="_GoBack"/>
      <w:bookmarkEnd w:id="524"/>
      <w:r>
        <w:rPr>
          <w:rFonts w:eastAsia="仿宋_GB2312"/>
          <w:kern w:val="0"/>
          <w:sz w:val="24"/>
          <w:u w:val="single"/>
        </w:rPr>
        <w:t xml:space="preserve">明的所属行业) </w:t>
      </w:r>
      <w:r>
        <w:rPr>
          <w:rFonts w:eastAsia="仿宋_GB2312"/>
          <w:kern w:val="0"/>
          <w:sz w:val="24"/>
        </w:rPr>
        <w:t>；承接企业为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w:t>
      </w:r>
      <w:r>
        <w:rPr>
          <w:rFonts w:hint="eastAsia" w:eastAsia="仿宋_GB2312"/>
          <w:kern w:val="0"/>
          <w:sz w:val="24"/>
          <w:u w:val="single"/>
          <w:lang w:eastAsia="zh-CN"/>
        </w:rPr>
        <w:t>企业</w:t>
      </w:r>
      <w:r>
        <w:rPr>
          <w:rFonts w:eastAsia="仿宋_GB2312"/>
          <w:kern w:val="0"/>
          <w:sz w:val="24"/>
          <w:u w:val="single"/>
        </w:rPr>
        <w:t xml:space="preserve">、小型企业、微型企业)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13"/>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14"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4"/>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pgNumType w:fmt="decimal"/>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17"/>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p>
    <w:p>
      <w:pPr>
        <w:numPr>
          <w:ilvl w:val="0"/>
          <w:numId w:val="17"/>
        </w:numPr>
        <w:snapToGrid w:val="0"/>
        <w:spacing w:line="288" w:lineRule="auto"/>
        <w:ind w:firstLine="480" w:firstLineChars="200"/>
        <w:rPr>
          <w:rFonts w:eastAsia="仿宋_GB2312"/>
          <w:sz w:val="24"/>
        </w:rPr>
      </w:pPr>
      <w:r>
        <w:rPr>
          <w:rFonts w:eastAsia="仿宋_GB2312"/>
          <w:sz w:val="24"/>
        </w:rPr>
        <w:t>本保证担保的保证期间为响应文件的有效期(或延长的有效期),延长有效期无须通知我方。</w:t>
      </w:r>
    </w:p>
    <w:p>
      <w:pPr>
        <w:numPr>
          <w:ilvl w:val="0"/>
          <w:numId w:val="17"/>
        </w:numPr>
        <w:snapToGrid w:val="0"/>
        <w:spacing w:line="288" w:lineRule="auto"/>
        <w:ind w:firstLine="480" w:firstLineChars="200"/>
        <w:rPr>
          <w:rFonts w:eastAsia="仿宋_GB2312"/>
          <w:sz w:val="24"/>
        </w:rPr>
      </w:pPr>
      <w:r>
        <w:rPr>
          <w:rFonts w:eastAsia="仿宋_GB2312"/>
          <w:sz w:val="24"/>
        </w:rPr>
        <w:t>在本保证担保的保证期间内,如果被保证人出现下列情形之一,受益人可以向我方提起索赔：</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eastAsia="仿宋_GB2312"/>
          <w:sz w:val="24"/>
        </w:rPr>
      </w:pPr>
      <w:r>
        <w:rPr>
          <w:rFonts w:eastAsia="仿宋_GB2312"/>
          <w:sz w:val="24"/>
        </w:rPr>
        <w:t>1.被保证人在响应文件有效期内撤回其响应文件；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eastAsia="仿宋_GB2312"/>
          <w:sz w:val="24"/>
        </w:rPr>
      </w:pPr>
      <w:r>
        <w:rPr>
          <w:rFonts w:eastAsia="仿宋_GB2312"/>
          <w:sz w:val="24"/>
        </w:rPr>
        <w:t>2.被保证人在响应文件有效期内收到受益人发出的成交通知书后,不能或拒绝按竞争性磋商文件的要求签署合同；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eastAsia="仿宋_GB2312"/>
          <w:sz w:val="24"/>
        </w:rPr>
      </w:pPr>
      <w:r>
        <w:rPr>
          <w:rFonts w:eastAsia="仿宋_GB2312"/>
          <w:sz w:val="24"/>
        </w:rPr>
        <w:t>3.被保证人在有效期内收到受益人发出的成交通知书后,不能或拒绝按竞争性磋商文件的规定提交履约担保；</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eastAsia="仿宋_GB2312"/>
          <w:sz w:val="24"/>
        </w:rPr>
      </w:pPr>
      <w:r>
        <w:rPr>
          <w:rFonts w:eastAsia="仿宋_GB2312"/>
          <w:sz w:val="24"/>
        </w:rPr>
        <w:t>4.被保证人成交后未按照竞争性磋商文件规定交纳代理服务费。</w:t>
      </w:r>
    </w:p>
    <w:p>
      <w:pPr>
        <w:numPr>
          <w:ilvl w:val="0"/>
          <w:numId w:val="17"/>
        </w:numPr>
        <w:snapToGrid w:val="0"/>
        <w:spacing w:line="288" w:lineRule="auto"/>
        <w:ind w:firstLine="480" w:firstLineChars="200"/>
        <w:rPr>
          <w:rFonts w:eastAsia="仿宋_GB2312"/>
          <w:sz w:val="24"/>
        </w:rPr>
      </w:pPr>
      <w:r>
        <w:rPr>
          <w:rFonts w:eastAsia="仿宋_GB2312"/>
          <w:sz w:val="24"/>
        </w:rPr>
        <w:t>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7"/>
        </w:numPr>
        <w:snapToGrid w:val="0"/>
        <w:spacing w:line="288" w:lineRule="auto"/>
        <w:ind w:firstLine="480" w:firstLineChars="200"/>
        <w:rPr>
          <w:rFonts w:eastAsia="仿宋_GB2312"/>
          <w:sz w:val="24"/>
        </w:rPr>
      </w:pPr>
      <w:r>
        <w:rPr>
          <w:rFonts w:eastAsia="仿宋_GB2312"/>
          <w:sz w:val="24"/>
        </w:rPr>
        <w:t>受益人的索赔通知应当说明索赔理由,并必须在本保证担保的保证期间内送达我方。</w:t>
      </w:r>
    </w:p>
    <w:p>
      <w:pPr>
        <w:numPr>
          <w:ilvl w:val="0"/>
          <w:numId w:val="17"/>
        </w:numPr>
        <w:snapToGrid w:val="0"/>
        <w:spacing w:line="288" w:lineRule="auto"/>
        <w:ind w:firstLine="480" w:firstLineChars="200"/>
        <w:rPr>
          <w:rFonts w:eastAsia="仿宋_GB2312"/>
          <w:sz w:val="24"/>
        </w:rPr>
      </w:pPr>
      <w:r>
        <w:rPr>
          <w:rFonts w:eastAsia="仿宋_GB2312"/>
          <w:sz w:val="24"/>
        </w:rPr>
        <w:t>本保证担保项下的权利不得转让。</w:t>
      </w:r>
    </w:p>
    <w:p>
      <w:pPr>
        <w:numPr>
          <w:ilvl w:val="0"/>
          <w:numId w:val="17"/>
        </w:numPr>
        <w:snapToGrid w:val="0"/>
        <w:spacing w:line="288" w:lineRule="auto"/>
        <w:ind w:firstLine="480" w:firstLineChars="200"/>
        <w:rPr>
          <w:rFonts w:eastAsia="仿宋_GB2312"/>
          <w:sz w:val="24"/>
        </w:rPr>
      </w:pPr>
      <w:r>
        <w:rPr>
          <w:rFonts w:eastAsia="仿宋_GB2312"/>
          <w:sz w:val="24"/>
        </w:rPr>
        <w:t>本保证担保的保证期间届满,或我方已向受益人支付本保证担保的担保金额,我方的保证责任免除。</w:t>
      </w:r>
    </w:p>
    <w:p>
      <w:pPr>
        <w:numPr>
          <w:ilvl w:val="0"/>
          <w:numId w:val="17"/>
        </w:numPr>
        <w:snapToGrid w:val="0"/>
        <w:spacing w:line="288" w:lineRule="auto"/>
        <w:ind w:firstLine="480" w:firstLineChars="200"/>
        <w:rPr>
          <w:rFonts w:eastAsia="仿宋_GB2312"/>
          <w:sz w:val="24"/>
        </w:rPr>
      </w:pPr>
      <w:r>
        <w:rPr>
          <w:rFonts w:eastAsia="仿宋_GB2312"/>
          <w:sz w:val="24"/>
        </w:rPr>
        <w:t>本保证担保适用中华人民共和国法律。</w:t>
      </w:r>
    </w:p>
    <w:p>
      <w:pPr>
        <w:numPr>
          <w:ilvl w:val="0"/>
          <w:numId w:val="17"/>
        </w:numPr>
        <w:snapToGrid w:val="0"/>
        <w:spacing w:line="288" w:lineRule="auto"/>
        <w:ind w:firstLine="480" w:firstLineChars="200"/>
        <w:rPr>
          <w:rFonts w:eastAsia="仿宋_GB2312"/>
          <w:sz w:val="24"/>
        </w:rPr>
      </w:pPr>
      <w:r>
        <w:rPr>
          <w:rFonts w:eastAsia="仿宋_GB2312"/>
          <w:sz w:val="24"/>
        </w:rPr>
        <w:t>本保证担保以中文文本为准,涂改无效。</w:t>
      </w:r>
    </w:p>
    <w:p>
      <w:pPr>
        <w:snapToGrid w:val="0"/>
        <w:spacing w:line="288" w:lineRule="auto"/>
        <w:rPr>
          <w:rFonts w:hint="eastAsia" w:eastAsia="仿宋_GB2312"/>
          <w:sz w:val="24"/>
          <w:lang w:eastAsia="zh-CN"/>
        </w:rPr>
      </w:pPr>
    </w:p>
    <w:p>
      <w:pPr>
        <w:snapToGrid w:val="0"/>
        <w:spacing w:line="288" w:lineRule="auto"/>
        <w:rPr>
          <w:rFonts w:hint="eastAsia" w:eastAsia="仿宋_GB2312"/>
          <w:sz w:val="24"/>
          <w:u w:val="single"/>
          <w:lang w:eastAsia="zh-CN"/>
        </w:rPr>
      </w:pPr>
      <w:r>
        <w:rPr>
          <w:rFonts w:eastAsia="仿宋_GB2312"/>
          <w:sz w:val="24"/>
        </w:rPr>
        <w:t>保证人(盖章):</w:t>
      </w:r>
      <w:r>
        <w:rPr>
          <w:rFonts w:eastAsia="仿宋_GB2312"/>
          <w:sz w:val="24"/>
          <w:u w:val="single"/>
        </w:rPr>
        <w:t xml:space="preserve">     </w:t>
      </w:r>
    </w:p>
    <w:p>
      <w:pPr>
        <w:snapToGrid w:val="0"/>
        <w:spacing w:line="288" w:lineRule="auto"/>
        <w:rPr>
          <w:rFonts w:hint="eastAsia" w:eastAsia="仿宋_GB2312"/>
          <w:sz w:val="24"/>
          <w:u w:val="single"/>
          <w:lang w:eastAsia="zh-CN"/>
        </w:rPr>
      </w:pPr>
      <w:r>
        <w:rPr>
          <w:rFonts w:eastAsia="仿宋_GB2312"/>
          <w:sz w:val="24"/>
        </w:rPr>
        <w:t xml:space="preserve">法定代表人或其授权委托代理人(签字或盖章）： </w:t>
      </w:r>
      <w:r>
        <w:rPr>
          <w:rFonts w:eastAsia="仿宋_GB2312"/>
          <w:sz w:val="24"/>
          <w:u w:val="single"/>
        </w:rPr>
        <w:t xml:space="preserve">               </w:t>
      </w:r>
    </w:p>
    <w:p>
      <w:pPr>
        <w:snapToGrid w:val="0"/>
        <w:spacing w:line="288" w:lineRule="auto"/>
        <w:rPr>
          <w:rFonts w:hint="eastAsia" w:eastAsia="仿宋_GB2312"/>
          <w:sz w:val="24"/>
          <w:u w:val="single"/>
          <w:lang w:eastAsia="zh-CN"/>
        </w:rPr>
      </w:pPr>
      <w:r>
        <w:rPr>
          <w:rFonts w:eastAsia="仿宋_GB2312"/>
          <w:sz w:val="24"/>
        </w:rPr>
        <w:t>单位地址:</w:t>
      </w:r>
      <w:r>
        <w:rPr>
          <w:rFonts w:eastAsia="仿宋_GB2312"/>
          <w:sz w:val="24"/>
          <w:u w:val="single"/>
        </w:rPr>
        <w:t xml:space="preserve">     </w:t>
      </w:r>
    </w:p>
    <w:p>
      <w:pPr>
        <w:snapToGrid w:val="0"/>
        <w:spacing w:line="288" w:lineRule="auto"/>
        <w:rPr>
          <w:rFonts w:eastAsia="仿宋_GB2312"/>
          <w:sz w:val="24"/>
        </w:rPr>
      </w:pP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仿宋_GB2312" w:hAnsi="仿宋_GB2312" w:eastAsia="仿宋_GB2312" w:cs="仿宋_GB2312"/>
          <w:b/>
          <w:bCs/>
          <w:sz w:val="28"/>
          <w:szCs w:val="36"/>
          <w:lang w:val="zh-CN"/>
        </w:rPr>
      </w:pPr>
      <w:bookmarkStart w:id="515" w:name="_Toc532473491"/>
      <w:bookmarkStart w:id="516" w:name="_Toc16186"/>
      <w:bookmarkStart w:id="517" w:name="_Toc515647799"/>
      <w:bookmarkStart w:id="518" w:name="_Toc21748"/>
      <w:r>
        <w:rPr>
          <w:rFonts w:ascii="Times New Roman" w:hAnsi="Times New Roman" w:eastAsia="仿宋_GB2312"/>
          <w:kern w:val="0"/>
          <w:sz w:val="24"/>
        </w:rPr>
        <w:br w:type="page"/>
      </w:r>
      <w:bookmarkEnd w:id="515"/>
      <w:bookmarkEnd w:id="516"/>
      <w:bookmarkEnd w:id="517"/>
      <w:bookmarkEnd w:id="518"/>
      <w:bookmarkStart w:id="519" w:name="_Toc6548"/>
      <w:bookmarkStart w:id="520" w:name="_Toc515647800"/>
      <w:bookmarkStart w:id="521" w:name="_Toc20660404"/>
      <w:bookmarkStart w:id="522" w:name="_Toc10951"/>
      <w:bookmarkStart w:id="523" w:name="_Toc532473492"/>
      <w:r>
        <w:rPr>
          <w:rFonts w:ascii="仿宋_GB2312" w:hAnsi="仿宋_GB2312" w:eastAsia="仿宋_GB2312" w:cs="仿宋_GB2312"/>
          <w:b/>
          <w:bCs/>
          <w:sz w:val="28"/>
          <w:szCs w:val="36"/>
        </w:rPr>
        <w:t>附件2</w:t>
      </w:r>
      <w:bookmarkEnd w:id="519"/>
      <w:bookmarkEnd w:id="520"/>
      <w:bookmarkEnd w:id="521"/>
      <w:bookmarkEnd w:id="522"/>
      <w:bookmarkEnd w:id="523"/>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Times New Roman" w:hAnsi="Times New Roman" w:eastAsia="仿宋_GB2312" w:cs="Times New Roman"/>
                <w:b/>
                <w:sz w:val="24"/>
              </w:rPr>
            </w:pPr>
            <w:r>
              <w:rPr>
                <w:rFonts w:hint="eastAsia" w:ascii="Times New Roman" w:hAnsi="Times New Roman" w:eastAsia="仿宋_GB2312" w:cs="Times New Roman"/>
                <w:b/>
                <w:sz w:val="24"/>
              </w:rPr>
              <w:t>服务期限</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Times New Roman" w:hAnsi="Times New Roman" w:eastAsia="仿宋_GB2312" w:cs="Times New Roman"/>
                <w:b/>
                <w:sz w:val="24"/>
              </w:rPr>
            </w:pPr>
            <w:r>
              <w:rPr>
                <w:rFonts w:hint="eastAsia" w:ascii="Times New Roman" w:hAnsi="Times New Roman" w:eastAsia="仿宋_GB2312" w:cs="Times New Roman"/>
                <w:b/>
                <w:sz w:val="24"/>
              </w:rPr>
              <w:t>服务地点</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2" w:type="first"/>
          <w:headerReference r:id="rId10" w:type="default"/>
          <w:footerReference r:id="rId11" w:type="default"/>
          <w:pgSz w:w="11906" w:h="16838"/>
          <w:pgMar w:top="1418" w:right="1418" w:bottom="1418" w:left="1418" w:header="851" w:footer="992" w:gutter="0"/>
          <w:pgNumType w:fmt="decimal"/>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5"/>
        <w:jc w:val="center"/>
        <w:rPr>
          <w:rFonts w:hint="eastAsia" w:ascii="仿宋_GB2312" w:hAnsi="仿宋_GB2312" w:eastAsia="仿宋_GB2312" w:cs="仿宋_GB2312"/>
        </w:rPr>
      </w:pPr>
      <w:r>
        <w:rPr>
          <w:rFonts w:hint="eastAsia" w:ascii="仿宋_GB2312" w:hAnsi="仿宋_GB2312" w:eastAsia="仿宋_GB2312" w:cs="仿宋_GB2312"/>
        </w:rPr>
        <w:t>（各供应商自行编写最后报价明细表）</w:t>
      </w:r>
    </w:p>
    <w:p>
      <w:pPr>
        <w:pStyle w:val="2"/>
        <w:jc w:val="center"/>
        <w:rPr>
          <w:rFonts w:hint="eastAsia" w:ascii="仿宋_GB2312" w:hAnsi="仿宋_GB2312" w:eastAsia="仿宋_GB2312" w:cs="仿宋_GB2312"/>
        </w:rPr>
      </w:pPr>
      <w:r>
        <w:rPr>
          <w:rFonts w:hint="eastAsia" w:ascii="仿宋_GB2312" w:hAnsi="仿宋_GB2312" w:eastAsia="仿宋_GB2312" w:cs="仿宋_GB2312"/>
        </w:rPr>
        <w:t>（随身携带，单独提供，无需装订在响应文件中）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p>
      <w:pPr>
        <w:autoSpaceDE w:val="0"/>
        <w:autoSpaceDN w:val="0"/>
        <w:adjustRightInd w:val="0"/>
        <w:snapToGrid w:val="0"/>
        <w:spacing w:before="120" w:line="360" w:lineRule="auto"/>
        <w:ind w:left="-206" w:leftChars="-98"/>
        <w:jc w:val="left"/>
        <w:rPr>
          <w:rFonts w:eastAsia="仿宋"/>
          <w:kern w:val="0"/>
          <w:sz w:val="24"/>
          <w:szCs w:val="28"/>
        </w:rPr>
      </w:pPr>
    </w:p>
    <w:p>
      <w:pPr>
        <w:pStyle w:val="2"/>
        <w:rPr>
          <w:rFonts w:eastAsia="仿宋"/>
          <w:kern w:val="0"/>
          <w:sz w:val="24"/>
          <w:szCs w:val="28"/>
        </w:rPr>
      </w:pPr>
    </w:p>
    <w:p>
      <w:pPr>
        <w:rPr>
          <w:rFonts w:eastAsia="仿宋"/>
          <w:kern w:val="0"/>
          <w:sz w:val="24"/>
          <w:szCs w:val="28"/>
        </w:rPr>
      </w:pPr>
    </w:p>
    <w:p>
      <w:pPr>
        <w:pStyle w:val="2"/>
      </w:pP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b/>
          <w:sz w:val="42"/>
        </w:rPr>
      </w:pPr>
      <w:r>
        <w:rPr>
          <w:rFonts w:eastAsia="仿宋_GB2312"/>
          <w:sz w:val="24"/>
        </w:rPr>
        <w:t>（公章）：                          （签字）：</w:t>
      </w:r>
    </w:p>
    <w:p>
      <w:pPr>
        <w:spacing w:line="288" w:lineRule="auto"/>
        <w:ind w:left="424" w:leftChars="202"/>
        <w:rPr>
          <w:rFonts w:eastAsia="仿宋_GB2312"/>
          <w:bCs/>
          <w:sz w:val="24"/>
        </w:rPr>
      </w:pPr>
    </w:p>
    <w:p>
      <w:pPr>
        <w:pStyle w:val="2"/>
        <w:rPr>
          <w:rFonts w:ascii="Times New Roman" w:hAnsi="Times New Roman" w:eastAsia="仿宋_GB2312"/>
        </w:rPr>
      </w:pPr>
    </w:p>
    <w:p>
      <w:pPr>
        <w:spacing w:after="120"/>
        <w:rPr>
          <w:rFonts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jc w:val="center"/>
        <w:rPr>
          <w:rFonts w:eastAsia="仿宋_GB2312"/>
        </w:rPr>
      </w:pPr>
      <w:r>
        <w:rPr>
          <w:rFonts w:eastAsia="仿宋_GB2312"/>
          <w:lang w:val="zh-CN"/>
        </w:rPr>
        <w:t>（随身携带，单独提供，无需装订在响应文件中）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4" w:type="first"/>
      <w:footerReference r:id="rId13"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Arial"/>
    <w:panose1 w:val="00000000000000000000"/>
    <w:charset w:val="00"/>
    <w:family w:val="swiss"/>
    <w:pitch w:val="default"/>
    <w:sig w:usb0="00000000" w:usb1="00000000"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70</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t xml:space="preserve">第 </w:t>
                          </w:r>
                          <w:r>
                            <w:fldChar w:fldCharType="begin"/>
                          </w:r>
                          <w:r>
                            <w:instrText xml:space="preserve"> PAGE  \* MERGEFORMAT </w:instrText>
                          </w:r>
                          <w:r>
                            <w:fldChar w:fldCharType="separate"/>
                          </w:r>
                          <w:r>
                            <w:t>66</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t xml:space="preserve">第 </w:t>
                    </w:r>
                    <w:r>
                      <w:fldChar w:fldCharType="begin"/>
                    </w:r>
                    <w:r>
                      <w:instrText xml:space="preserve"> PAGE  \* MERGEFORMAT </w:instrText>
                    </w:r>
                    <w:r>
                      <w:fldChar w:fldCharType="separate"/>
                    </w:r>
                    <w:r>
                      <w:t>66</w:t>
                    </w:r>
                    <w:r>
                      <w:fldChar w:fldCharType="end"/>
                    </w:r>
                    <w:r>
                      <w:t xml:space="preserve"> 页 共 </w:t>
                    </w:r>
                    <w:r>
                      <w:rPr>
                        <w:rFonts w:hint="eastAsia"/>
                        <w:lang w:val="en-US" w:eastAsia="zh-CN"/>
                      </w:rPr>
                      <w:t>70</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7119"/>
        <w:tab w:val="clear" w:pos="4153"/>
        <w:tab w:val="clear" w:pos="8306"/>
      </w:tabs>
      <w:jc w:val="left"/>
      <w:rPr>
        <w:rFonts w:hint="eastAsia" w:eastAsia="Arial Unicode MS"/>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7119"/>
        <w:tab w:val="clear" w:pos="4153"/>
        <w:tab w:val="clear" w:pos="8306"/>
      </w:tabs>
      <w:jc w:val="left"/>
      <w:rPr>
        <w:rFonts w:hint="eastAsia" w:eastAsia="Arial Unicode MS"/>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4"/>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359CB8E8"/>
    <w:multiLevelType w:val="singleLevel"/>
    <w:tmpl w:val="359CB8E8"/>
    <w:lvl w:ilvl="0" w:tentative="0">
      <w:start w:val="1"/>
      <w:numFmt w:val="chineseCounting"/>
      <w:suff w:val="nothing"/>
      <w:lvlText w:val="%1、"/>
      <w:lvlJc w:val="left"/>
      <w:rPr>
        <w:rFonts w:hint="eastAsia"/>
      </w:rPr>
    </w:lvl>
  </w:abstractNum>
  <w:abstractNum w:abstractNumId="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9">
    <w:nsid w:val="537AA372"/>
    <w:multiLevelType w:val="singleLevel"/>
    <w:tmpl w:val="537AA372"/>
    <w:lvl w:ilvl="0" w:tentative="0">
      <w:start w:val="21"/>
      <w:numFmt w:val="decimal"/>
      <w:suff w:val="space"/>
      <w:lvlText w:val="%1."/>
      <w:lvlJc w:val="left"/>
    </w:lvl>
  </w:abstractNum>
  <w:abstractNum w:abstractNumId="10">
    <w:nsid w:val="5AAB3487"/>
    <w:multiLevelType w:val="singleLevel"/>
    <w:tmpl w:val="5AAB3487"/>
    <w:lvl w:ilvl="0" w:tentative="0">
      <w:start w:val="1"/>
      <w:numFmt w:val="decimal"/>
      <w:lvlText w:val="%1)"/>
      <w:lvlJc w:val="left"/>
      <w:pPr>
        <w:ind w:left="567" w:hanging="425"/>
      </w:pPr>
      <w:rPr>
        <w:rFonts w:hint="default"/>
      </w:rPr>
    </w:lvl>
  </w:abstractNum>
  <w:abstractNum w:abstractNumId="11">
    <w:nsid w:val="624D1350"/>
    <w:multiLevelType w:val="singleLevel"/>
    <w:tmpl w:val="624D1350"/>
    <w:lvl w:ilvl="0" w:tentative="0">
      <w:start w:val="25"/>
      <w:numFmt w:val="decimal"/>
      <w:suff w:val="space"/>
      <w:lvlText w:val="%1."/>
      <w:lvlJc w:val="left"/>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0A9020F"/>
    <w:multiLevelType w:val="singleLevel"/>
    <w:tmpl w:val="70A9020F"/>
    <w:lvl w:ilvl="0" w:tentative="0">
      <w:start w:val="1"/>
      <w:numFmt w:val="decimal"/>
      <w:suff w:val="space"/>
      <w:lvlText w:val="（%1）"/>
      <w:lvlJc w:val="left"/>
    </w:lvl>
  </w:abstractNum>
  <w:abstractNum w:abstractNumId="15">
    <w:nsid w:val="74681D32"/>
    <w:multiLevelType w:val="multilevel"/>
    <w:tmpl w:val="74681D32"/>
    <w:lvl w:ilvl="0" w:tentative="0">
      <w:start w:val="1"/>
      <w:numFmt w:val="decimal"/>
      <w:lvlText w:val="%1."/>
      <w:lvlJc w:val="left"/>
      <w:pPr>
        <w:ind w:left="78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6"/>
  </w:num>
  <w:num w:numId="5">
    <w:abstractNumId w:val="5"/>
  </w:num>
  <w:num w:numId="6">
    <w:abstractNumId w:val="8"/>
  </w:num>
  <w:num w:numId="7">
    <w:abstractNumId w:val="0"/>
  </w:num>
  <w:num w:numId="8">
    <w:abstractNumId w:val="9"/>
  </w:num>
  <w:num w:numId="9">
    <w:abstractNumId w:val="11"/>
  </w:num>
  <w:num w:numId="10">
    <w:abstractNumId w:val="4"/>
  </w:num>
  <w:num w:numId="11">
    <w:abstractNumId w:val="1"/>
  </w:num>
  <w:num w:numId="12">
    <w:abstractNumId w:val="10"/>
  </w:num>
  <w:num w:numId="13">
    <w:abstractNumId w:val="14"/>
  </w:num>
  <w:num w:numId="14">
    <w:abstractNumId w:val="6"/>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YWNiOTlhOGVhOTEyZTAwMWZmNjEyYjM4OGU0NGI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6025FC"/>
    <w:rsid w:val="01A56820"/>
    <w:rsid w:val="01B73196"/>
    <w:rsid w:val="01DB0F21"/>
    <w:rsid w:val="01F85948"/>
    <w:rsid w:val="027D1EDC"/>
    <w:rsid w:val="02AA6F17"/>
    <w:rsid w:val="02E6429D"/>
    <w:rsid w:val="032E5AB3"/>
    <w:rsid w:val="0380752A"/>
    <w:rsid w:val="03BD4BE7"/>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01693"/>
    <w:rsid w:val="06383C8B"/>
    <w:rsid w:val="06AB6FF1"/>
    <w:rsid w:val="06BF1B73"/>
    <w:rsid w:val="06C6067E"/>
    <w:rsid w:val="06DF18E2"/>
    <w:rsid w:val="0707497A"/>
    <w:rsid w:val="07394A3D"/>
    <w:rsid w:val="07416329"/>
    <w:rsid w:val="07501B9E"/>
    <w:rsid w:val="082B0E32"/>
    <w:rsid w:val="0838785B"/>
    <w:rsid w:val="08727C1D"/>
    <w:rsid w:val="087D0B78"/>
    <w:rsid w:val="08894DF6"/>
    <w:rsid w:val="08A240EC"/>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87CEA"/>
    <w:rsid w:val="0FCE37C4"/>
    <w:rsid w:val="0FDE2587"/>
    <w:rsid w:val="0FFE50E6"/>
    <w:rsid w:val="101B0BC4"/>
    <w:rsid w:val="103649EC"/>
    <w:rsid w:val="1040315F"/>
    <w:rsid w:val="104B26C9"/>
    <w:rsid w:val="10507757"/>
    <w:rsid w:val="107A1082"/>
    <w:rsid w:val="109E7189"/>
    <w:rsid w:val="10C72BB3"/>
    <w:rsid w:val="115206FB"/>
    <w:rsid w:val="11531DCE"/>
    <w:rsid w:val="11A402E3"/>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0B7CB3"/>
    <w:rsid w:val="142A3E2D"/>
    <w:rsid w:val="144A7973"/>
    <w:rsid w:val="14E5758A"/>
    <w:rsid w:val="14FB7DA2"/>
    <w:rsid w:val="154170B6"/>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613AB1"/>
    <w:rsid w:val="1C672639"/>
    <w:rsid w:val="1C763D6F"/>
    <w:rsid w:val="1C8C0466"/>
    <w:rsid w:val="1CC854C2"/>
    <w:rsid w:val="1D0121D0"/>
    <w:rsid w:val="1D5B524F"/>
    <w:rsid w:val="1D6D3522"/>
    <w:rsid w:val="1D6E4797"/>
    <w:rsid w:val="1DA407C7"/>
    <w:rsid w:val="1DAB5588"/>
    <w:rsid w:val="1DBB52F1"/>
    <w:rsid w:val="1DD72694"/>
    <w:rsid w:val="1DDE1DE9"/>
    <w:rsid w:val="1DFA7416"/>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551238"/>
    <w:rsid w:val="248E2DBA"/>
    <w:rsid w:val="25224672"/>
    <w:rsid w:val="25250089"/>
    <w:rsid w:val="25252A8D"/>
    <w:rsid w:val="253D339A"/>
    <w:rsid w:val="25A67057"/>
    <w:rsid w:val="25D54115"/>
    <w:rsid w:val="25F72F27"/>
    <w:rsid w:val="260F4C55"/>
    <w:rsid w:val="26291B1A"/>
    <w:rsid w:val="26763E6F"/>
    <w:rsid w:val="267C3983"/>
    <w:rsid w:val="26D82BDE"/>
    <w:rsid w:val="26E863C6"/>
    <w:rsid w:val="26EB0757"/>
    <w:rsid w:val="270101AC"/>
    <w:rsid w:val="2719451E"/>
    <w:rsid w:val="274D71B2"/>
    <w:rsid w:val="2751147F"/>
    <w:rsid w:val="27706CF6"/>
    <w:rsid w:val="279C6957"/>
    <w:rsid w:val="27D32B77"/>
    <w:rsid w:val="27DE5929"/>
    <w:rsid w:val="27E14C4C"/>
    <w:rsid w:val="282160D2"/>
    <w:rsid w:val="286C62A1"/>
    <w:rsid w:val="28703E52"/>
    <w:rsid w:val="28A069B8"/>
    <w:rsid w:val="28C21683"/>
    <w:rsid w:val="28F72971"/>
    <w:rsid w:val="290F3C6E"/>
    <w:rsid w:val="2A3073E0"/>
    <w:rsid w:val="2AE35535"/>
    <w:rsid w:val="2AF918AE"/>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D616E4"/>
    <w:rsid w:val="30F97581"/>
    <w:rsid w:val="314256C4"/>
    <w:rsid w:val="316E48C8"/>
    <w:rsid w:val="31947CF5"/>
    <w:rsid w:val="31C65637"/>
    <w:rsid w:val="32417274"/>
    <w:rsid w:val="324A57AF"/>
    <w:rsid w:val="328B08E6"/>
    <w:rsid w:val="329F04E5"/>
    <w:rsid w:val="32F9755F"/>
    <w:rsid w:val="331B2806"/>
    <w:rsid w:val="333214D1"/>
    <w:rsid w:val="3370495E"/>
    <w:rsid w:val="33784CD4"/>
    <w:rsid w:val="33CC0FC6"/>
    <w:rsid w:val="33DD0EAC"/>
    <w:rsid w:val="340622E0"/>
    <w:rsid w:val="34143D51"/>
    <w:rsid w:val="34302898"/>
    <w:rsid w:val="345B460B"/>
    <w:rsid w:val="346366A4"/>
    <w:rsid w:val="347B1D25"/>
    <w:rsid w:val="348E2B4F"/>
    <w:rsid w:val="34BB4966"/>
    <w:rsid w:val="35C97D56"/>
    <w:rsid w:val="35E14DB3"/>
    <w:rsid w:val="35EE5D6B"/>
    <w:rsid w:val="3637765B"/>
    <w:rsid w:val="363A3F05"/>
    <w:rsid w:val="365311E6"/>
    <w:rsid w:val="367112A8"/>
    <w:rsid w:val="37473FEE"/>
    <w:rsid w:val="375445E4"/>
    <w:rsid w:val="376964D6"/>
    <w:rsid w:val="378D71CC"/>
    <w:rsid w:val="379C0110"/>
    <w:rsid w:val="379C3619"/>
    <w:rsid w:val="380738E2"/>
    <w:rsid w:val="384A2F51"/>
    <w:rsid w:val="385F7A94"/>
    <w:rsid w:val="387C3364"/>
    <w:rsid w:val="38CC73F3"/>
    <w:rsid w:val="395B66C1"/>
    <w:rsid w:val="395E3B0F"/>
    <w:rsid w:val="39AE15AC"/>
    <w:rsid w:val="39E218FD"/>
    <w:rsid w:val="39E83FB4"/>
    <w:rsid w:val="3A153790"/>
    <w:rsid w:val="3A1F11A7"/>
    <w:rsid w:val="3A256FAE"/>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40602185"/>
    <w:rsid w:val="406D3C7A"/>
    <w:rsid w:val="408D0A8F"/>
    <w:rsid w:val="40DD4529"/>
    <w:rsid w:val="414920DE"/>
    <w:rsid w:val="41550B18"/>
    <w:rsid w:val="41E371A6"/>
    <w:rsid w:val="4206324A"/>
    <w:rsid w:val="42B01A80"/>
    <w:rsid w:val="42B540C6"/>
    <w:rsid w:val="43124DBF"/>
    <w:rsid w:val="43267EE9"/>
    <w:rsid w:val="43411BCB"/>
    <w:rsid w:val="435C4BA0"/>
    <w:rsid w:val="435E7A2B"/>
    <w:rsid w:val="4373005F"/>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B629D"/>
    <w:rsid w:val="4A0A5885"/>
    <w:rsid w:val="4B073A5C"/>
    <w:rsid w:val="4B387880"/>
    <w:rsid w:val="4B44760D"/>
    <w:rsid w:val="4B5C5D27"/>
    <w:rsid w:val="4B5E326D"/>
    <w:rsid w:val="4B840ACD"/>
    <w:rsid w:val="4B8C42AD"/>
    <w:rsid w:val="4B930B33"/>
    <w:rsid w:val="4BC51F60"/>
    <w:rsid w:val="4BD2475B"/>
    <w:rsid w:val="4BF72474"/>
    <w:rsid w:val="4C2E5AE5"/>
    <w:rsid w:val="4C4F0B45"/>
    <w:rsid w:val="4D7908B5"/>
    <w:rsid w:val="4DA74A82"/>
    <w:rsid w:val="4DA969FC"/>
    <w:rsid w:val="4DB73FDD"/>
    <w:rsid w:val="4E3B70D2"/>
    <w:rsid w:val="4E5C3A58"/>
    <w:rsid w:val="4E865AFC"/>
    <w:rsid w:val="4E8D38D2"/>
    <w:rsid w:val="4EC54E1A"/>
    <w:rsid w:val="4F066320"/>
    <w:rsid w:val="4F0C4606"/>
    <w:rsid w:val="4F3D5624"/>
    <w:rsid w:val="4F4E6EBF"/>
    <w:rsid w:val="4F7D4C71"/>
    <w:rsid w:val="4FA80A1B"/>
    <w:rsid w:val="4FAB64F4"/>
    <w:rsid w:val="4FCA7073"/>
    <w:rsid w:val="4FE259E9"/>
    <w:rsid w:val="50092961"/>
    <w:rsid w:val="501D7C2E"/>
    <w:rsid w:val="50562829"/>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D93627"/>
    <w:rsid w:val="564D5B0B"/>
    <w:rsid w:val="56602AF8"/>
    <w:rsid w:val="569D1848"/>
    <w:rsid w:val="56B13A64"/>
    <w:rsid w:val="56BA3AA0"/>
    <w:rsid w:val="56CF6D97"/>
    <w:rsid w:val="56D66689"/>
    <w:rsid w:val="570E46A2"/>
    <w:rsid w:val="57663883"/>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C944B2"/>
    <w:rsid w:val="5EDB41E5"/>
    <w:rsid w:val="5EE54D87"/>
    <w:rsid w:val="5FB455AB"/>
    <w:rsid w:val="5FCB7633"/>
    <w:rsid w:val="5FD539BB"/>
    <w:rsid w:val="5FD8479E"/>
    <w:rsid w:val="5FEF4FD0"/>
    <w:rsid w:val="5FF11588"/>
    <w:rsid w:val="5FF7262C"/>
    <w:rsid w:val="60585DBB"/>
    <w:rsid w:val="609F50E9"/>
    <w:rsid w:val="61394E2C"/>
    <w:rsid w:val="617F4494"/>
    <w:rsid w:val="61FE7898"/>
    <w:rsid w:val="621C7A8F"/>
    <w:rsid w:val="62A11A47"/>
    <w:rsid w:val="62B4089B"/>
    <w:rsid w:val="62E94FF3"/>
    <w:rsid w:val="62F475B6"/>
    <w:rsid w:val="630C6A64"/>
    <w:rsid w:val="631F7E44"/>
    <w:rsid w:val="63376FCF"/>
    <w:rsid w:val="637C04DD"/>
    <w:rsid w:val="63964CCA"/>
    <w:rsid w:val="63B3451B"/>
    <w:rsid w:val="648D18F2"/>
    <w:rsid w:val="652A2E44"/>
    <w:rsid w:val="65420B1A"/>
    <w:rsid w:val="654E4849"/>
    <w:rsid w:val="65686657"/>
    <w:rsid w:val="65BD69EB"/>
    <w:rsid w:val="664977CF"/>
    <w:rsid w:val="669F3A29"/>
    <w:rsid w:val="66EC4975"/>
    <w:rsid w:val="66F92550"/>
    <w:rsid w:val="67016B09"/>
    <w:rsid w:val="67203D95"/>
    <w:rsid w:val="67597141"/>
    <w:rsid w:val="67F83FF2"/>
    <w:rsid w:val="681B27B3"/>
    <w:rsid w:val="683116BC"/>
    <w:rsid w:val="684B190E"/>
    <w:rsid w:val="687C4343"/>
    <w:rsid w:val="688F3871"/>
    <w:rsid w:val="68D862F5"/>
    <w:rsid w:val="68DC76F5"/>
    <w:rsid w:val="68E74072"/>
    <w:rsid w:val="68EB6B7C"/>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301BA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7AD4519"/>
    <w:rsid w:val="781F51BA"/>
    <w:rsid w:val="78494544"/>
    <w:rsid w:val="788E2C97"/>
    <w:rsid w:val="78E431C4"/>
    <w:rsid w:val="78EB4A40"/>
    <w:rsid w:val="796C6682"/>
    <w:rsid w:val="79822361"/>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26738"/>
    <w:rsid w:val="7E3808B5"/>
    <w:rsid w:val="7E972C19"/>
    <w:rsid w:val="7EAA4D9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65"/>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6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63"/>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4"/>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6"/>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2"/>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8"/>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next w:val="1"/>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character" w:customStyle="1" w:styleId="63">
    <w:name w:val="标题 3 Char"/>
    <w:link w:val="5"/>
    <w:qFormat/>
    <w:uiPriority w:val="99"/>
    <w:rPr>
      <w:rFonts w:ascii="Tahoma" w:hAnsi="Tahoma"/>
      <w:b/>
      <w:bCs/>
      <w:kern w:val="2"/>
      <w:sz w:val="32"/>
      <w:szCs w:val="32"/>
    </w:rPr>
  </w:style>
  <w:style w:type="character" w:customStyle="1" w:styleId="64">
    <w:name w:val="标题 2 Char"/>
    <w:link w:val="4"/>
    <w:qFormat/>
    <w:uiPriority w:val="99"/>
    <w:rPr>
      <w:rFonts w:ascii="Cambria" w:hAnsi="Cambria"/>
      <w:b/>
      <w:bCs/>
      <w:kern w:val="2"/>
      <w:sz w:val="32"/>
      <w:szCs w:val="32"/>
    </w:rPr>
  </w:style>
  <w:style w:type="character" w:customStyle="1" w:styleId="65">
    <w:name w:val="标题 1 Char"/>
    <w:link w:val="3"/>
    <w:qFormat/>
    <w:uiPriority w:val="99"/>
    <w:rPr>
      <w:rFonts w:ascii="Tahoma" w:hAnsi="Tahoma"/>
      <w:b/>
      <w:bCs/>
      <w:kern w:val="44"/>
      <w:sz w:val="24"/>
      <w:szCs w:val="44"/>
    </w:rPr>
  </w:style>
  <w:style w:type="paragraph" w:customStyle="1" w:styleId="6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7">
    <w:name w:val="列出段落2"/>
    <w:basedOn w:val="1"/>
    <w:unhideWhenUsed/>
    <w:qFormat/>
    <w:uiPriority w:val="0"/>
    <w:pPr>
      <w:ind w:firstLine="420" w:firstLineChars="200"/>
    </w:pPr>
  </w:style>
  <w:style w:type="paragraph" w:customStyle="1" w:styleId="68">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9">
    <w:name w:val="_Style 67"/>
    <w:basedOn w:val="1"/>
    <w:next w:val="70"/>
    <w:qFormat/>
    <w:uiPriority w:val="99"/>
    <w:pPr>
      <w:ind w:firstLine="420" w:firstLineChars="200"/>
    </w:pPr>
    <w:rPr>
      <w:rFonts w:ascii="Calibri" w:hAnsi="Calibri"/>
      <w:szCs w:val="22"/>
    </w:rPr>
  </w:style>
  <w:style w:type="paragraph" w:styleId="70">
    <w:name w:val="List Paragraph"/>
    <w:basedOn w:val="1"/>
    <w:qFormat/>
    <w:uiPriority w:val="34"/>
    <w:pPr>
      <w:ind w:firstLine="420" w:firstLineChars="200"/>
    </w:pPr>
    <w:rPr>
      <w:rFonts w:ascii="Calibri" w:hAnsi="Calibri" w:eastAsia="宋体"/>
      <w:szCs w:val="22"/>
    </w:rPr>
  </w:style>
  <w:style w:type="paragraph" w:customStyle="1" w:styleId="71">
    <w:name w:val="_Style 2"/>
    <w:basedOn w:val="1"/>
    <w:qFormat/>
    <w:uiPriority w:val="34"/>
    <w:pPr>
      <w:ind w:firstLine="420" w:firstLineChars="200"/>
    </w:pPr>
    <w:rPr>
      <w:rFonts w:ascii="Calibri" w:hAnsi="Calibri"/>
      <w:szCs w:val="22"/>
    </w:rPr>
  </w:style>
  <w:style w:type="paragraph" w:customStyle="1" w:styleId="72">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3">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4">
    <w:name w:val="封面落款"/>
    <w:basedOn w:val="1"/>
    <w:qFormat/>
    <w:uiPriority w:val="0"/>
    <w:pPr>
      <w:spacing w:line="360" w:lineRule="auto"/>
      <w:jc w:val="center"/>
    </w:pPr>
    <w:rPr>
      <w:rFonts w:ascii="Arial" w:hAnsi="Arial" w:eastAsia="黑体"/>
      <w:sz w:val="32"/>
      <w:szCs w:val="28"/>
    </w:rPr>
  </w:style>
  <w:style w:type="paragraph" w:customStyle="1" w:styleId="75">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6">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7">
    <w:name w:val="样式 标题 5 + 小四"/>
    <w:basedOn w:val="7"/>
    <w:qFormat/>
    <w:uiPriority w:val="0"/>
    <w:pPr>
      <w:tabs>
        <w:tab w:val="left" w:pos="567"/>
      </w:tabs>
      <w:wordWrap w:val="0"/>
      <w:spacing w:line="377" w:lineRule="auto"/>
      <w:ind w:left="567" w:hanging="567"/>
      <w:jc w:val="left"/>
    </w:pPr>
  </w:style>
  <w:style w:type="paragraph" w:customStyle="1" w:styleId="78">
    <w:name w:val="表格格式"/>
    <w:basedOn w:val="1"/>
    <w:qFormat/>
    <w:uiPriority w:val="0"/>
    <w:pPr>
      <w:adjustRightInd w:val="0"/>
      <w:snapToGrid w:val="0"/>
      <w:jc w:val="left"/>
      <w:textAlignment w:val="baseline"/>
    </w:pPr>
    <w:rPr>
      <w:rFonts w:ascii="宋体"/>
      <w:kern w:val="0"/>
      <w:szCs w:val="20"/>
    </w:rPr>
  </w:style>
  <w:style w:type="paragraph" w:customStyle="1" w:styleId="79">
    <w:name w:val="样式5"/>
    <w:basedOn w:val="15"/>
    <w:qFormat/>
    <w:uiPriority w:val="0"/>
    <w:pPr>
      <w:ind w:firstLine="420"/>
    </w:pPr>
    <w:rPr>
      <w:sz w:val="21"/>
      <w:szCs w:val="21"/>
    </w:rPr>
  </w:style>
  <w:style w:type="paragraph" w:customStyle="1" w:styleId="80">
    <w:name w:val="标题2"/>
    <w:basedOn w:val="4"/>
    <w:next w:val="1"/>
    <w:link w:val="97"/>
    <w:qFormat/>
    <w:uiPriority w:val="0"/>
    <w:pPr>
      <w:widowControl/>
      <w:spacing w:beforeLines="10" w:afterLines="10" w:line="240" w:lineRule="auto"/>
      <w:jc w:val="left"/>
    </w:pPr>
    <w:rPr>
      <w:rFonts w:ascii="Times New Roman" w:hAnsi="Times New Roman" w:eastAsia="黑体"/>
      <w:b/>
      <w:bCs/>
      <w:szCs w:val="24"/>
    </w:rPr>
  </w:style>
  <w:style w:type="paragraph" w:customStyle="1" w:styleId="81">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2">
    <w:name w:val="样式2"/>
    <w:basedOn w:val="1"/>
    <w:link w:val="118"/>
    <w:qFormat/>
    <w:uiPriority w:val="0"/>
    <w:pPr>
      <w:spacing w:line="300" w:lineRule="auto"/>
      <w:jc w:val="center"/>
      <w:outlineLvl w:val="0"/>
    </w:pPr>
    <w:rPr>
      <w:b/>
      <w:sz w:val="24"/>
    </w:rPr>
  </w:style>
  <w:style w:type="paragraph" w:customStyle="1" w:styleId="83">
    <w:name w:val="Char1"/>
    <w:basedOn w:val="1"/>
    <w:qFormat/>
    <w:uiPriority w:val="0"/>
    <w:pPr>
      <w:adjustRightInd w:val="0"/>
      <w:spacing w:line="360" w:lineRule="auto"/>
    </w:pPr>
    <w:rPr>
      <w:kern w:val="0"/>
      <w:sz w:val="24"/>
      <w:szCs w:val="20"/>
    </w:rPr>
  </w:style>
  <w:style w:type="paragraph" w:customStyle="1" w:styleId="84">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5">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6">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7">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8">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9">
    <w:name w:val="图片"/>
    <w:basedOn w:val="1"/>
    <w:link w:val="120"/>
    <w:qFormat/>
    <w:uiPriority w:val="0"/>
    <w:pPr>
      <w:jc w:val="center"/>
    </w:pPr>
    <w:rPr>
      <w:sz w:val="28"/>
      <w:szCs w:val="28"/>
    </w:rPr>
  </w:style>
  <w:style w:type="paragraph" w:customStyle="1" w:styleId="90">
    <w:name w:val="正文首行缩进1"/>
    <w:basedOn w:val="2"/>
    <w:qFormat/>
    <w:uiPriority w:val="0"/>
    <w:pPr>
      <w:suppressAutoHyphens/>
      <w:spacing w:line="300" w:lineRule="auto"/>
      <w:ind w:left="426"/>
    </w:pPr>
    <w:rPr>
      <w:rFonts w:ascii="宋体" w:hAnsi="宋体"/>
      <w:szCs w:val="20"/>
    </w:rPr>
  </w:style>
  <w:style w:type="paragraph" w:customStyle="1" w:styleId="91">
    <w:name w:val="纯文本1"/>
    <w:basedOn w:val="1"/>
    <w:qFormat/>
    <w:uiPriority w:val="0"/>
    <w:rPr>
      <w:rFonts w:ascii="宋体" w:hAnsi="Courier New"/>
    </w:rPr>
  </w:style>
  <w:style w:type="paragraph" w:customStyle="1" w:styleId="92">
    <w:name w:val="样式 首行不缩进"/>
    <w:basedOn w:val="1"/>
    <w:qFormat/>
    <w:uiPriority w:val="0"/>
    <w:pPr>
      <w:spacing w:before="120" w:after="120" w:line="360" w:lineRule="auto"/>
      <w:jc w:val="center"/>
    </w:pPr>
    <w:rPr>
      <w:rFonts w:cs="宋体"/>
      <w:sz w:val="24"/>
      <w:szCs w:val="20"/>
    </w:rPr>
  </w:style>
  <w:style w:type="paragraph" w:customStyle="1" w:styleId="93">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4">
    <w:name w:val="小列表"/>
    <w:basedOn w:val="1"/>
    <w:link w:val="100"/>
    <w:qFormat/>
    <w:uiPriority w:val="0"/>
    <w:pPr>
      <w:numPr>
        <w:ilvl w:val="0"/>
        <w:numId w:val="2"/>
      </w:numPr>
      <w:autoSpaceDE w:val="0"/>
      <w:autoSpaceDN w:val="0"/>
      <w:spacing w:line="440" w:lineRule="exact"/>
      <w:ind w:firstLine="0"/>
    </w:pPr>
    <w:rPr>
      <w:sz w:val="24"/>
      <w:szCs w:val="28"/>
    </w:rPr>
  </w:style>
  <w:style w:type="paragraph" w:customStyle="1" w:styleId="95">
    <w:name w:val="表格正文"/>
    <w:basedOn w:val="1"/>
    <w:qFormat/>
    <w:uiPriority w:val="0"/>
    <w:pPr>
      <w:widowControl/>
      <w:snapToGrid w:val="0"/>
      <w:spacing w:before="60" w:after="60"/>
      <w:ind w:left="11"/>
      <w:jc w:val="center"/>
    </w:pPr>
    <w:rPr>
      <w:kern w:val="0"/>
      <w:szCs w:val="21"/>
    </w:rPr>
  </w:style>
  <w:style w:type="character" w:customStyle="1" w:styleId="96">
    <w:name w:val="题注 Char"/>
    <w:link w:val="16"/>
    <w:qFormat/>
    <w:uiPriority w:val="0"/>
    <w:rPr>
      <w:rFonts w:ascii="华文中宋" w:eastAsia="华文中宋"/>
      <w:kern w:val="2"/>
      <w:sz w:val="36"/>
    </w:rPr>
  </w:style>
  <w:style w:type="character" w:customStyle="1" w:styleId="97">
    <w:name w:val="标题2 Char Char"/>
    <w:link w:val="80"/>
    <w:qFormat/>
    <w:uiPriority w:val="0"/>
    <w:rPr>
      <w:rFonts w:eastAsia="黑体"/>
      <w:kern w:val="2"/>
      <w:sz w:val="32"/>
      <w:szCs w:val="24"/>
    </w:rPr>
  </w:style>
  <w:style w:type="character" w:customStyle="1" w:styleId="98">
    <w:name w:val="批注框文本 Char"/>
    <w:link w:val="32"/>
    <w:qFormat/>
    <w:uiPriority w:val="0"/>
    <w:rPr>
      <w:kern w:val="2"/>
      <w:sz w:val="18"/>
      <w:szCs w:val="18"/>
    </w:rPr>
  </w:style>
  <w:style w:type="character" w:customStyle="1" w:styleId="99">
    <w:name w:val="refresh"/>
    <w:basedOn w:val="52"/>
    <w:qFormat/>
    <w:uiPriority w:val="0"/>
  </w:style>
  <w:style w:type="character" w:customStyle="1" w:styleId="100">
    <w:name w:val="小列表 Char Char"/>
    <w:link w:val="94"/>
    <w:qFormat/>
    <w:uiPriority w:val="0"/>
    <w:rPr>
      <w:rFonts w:eastAsia="Arial Unicode MS"/>
      <w:kern w:val="2"/>
      <w:sz w:val="24"/>
      <w:szCs w:val="28"/>
    </w:rPr>
  </w:style>
  <w:style w:type="character" w:customStyle="1" w:styleId="101">
    <w:name w:val="del"/>
    <w:basedOn w:val="52"/>
    <w:qFormat/>
    <w:uiPriority w:val="0"/>
  </w:style>
  <w:style w:type="character" w:customStyle="1" w:styleId="102">
    <w:name w:val="批注文字 Char1"/>
    <w:link w:val="20"/>
    <w:qFormat/>
    <w:uiPriority w:val="0"/>
    <w:rPr>
      <w:rFonts w:ascii="Tahoma" w:hAnsi="Tahoma"/>
      <w:kern w:val="2"/>
      <w:sz w:val="21"/>
      <w:szCs w:val="24"/>
    </w:rPr>
  </w:style>
  <w:style w:type="character" w:customStyle="1" w:styleId="103">
    <w:name w:val="正文缩进 Char1"/>
    <w:qFormat/>
    <w:uiPriority w:val="0"/>
    <w:rPr>
      <w:rFonts w:eastAsia="宋体"/>
      <w:kern w:val="2"/>
      <w:sz w:val="21"/>
      <w:szCs w:val="24"/>
      <w:lang w:val="en-US" w:eastAsia="zh-CN" w:bidi="ar-SA"/>
    </w:rPr>
  </w:style>
  <w:style w:type="character" w:customStyle="1" w:styleId="104">
    <w:name w:val="标题 5 Char"/>
    <w:link w:val="7"/>
    <w:qFormat/>
    <w:uiPriority w:val="99"/>
    <w:rPr>
      <w:b/>
      <w:bCs/>
      <w:kern w:val="2"/>
      <w:sz w:val="24"/>
      <w:szCs w:val="28"/>
    </w:rPr>
  </w:style>
  <w:style w:type="character" w:customStyle="1" w:styleId="105">
    <w:name w:val="表格字体小四 Char Char"/>
    <w:link w:val="76"/>
    <w:qFormat/>
    <w:uiPriority w:val="0"/>
    <w:rPr>
      <w:kern w:val="2"/>
      <w:sz w:val="24"/>
      <w:szCs w:val="24"/>
      <w:lang w:val="en-US" w:eastAsia="zh-CN" w:bidi="ar-SA"/>
    </w:rPr>
  </w:style>
  <w:style w:type="character" w:customStyle="1" w:styleId="106">
    <w:name w:val="目录 Char Char"/>
    <w:link w:val="75"/>
    <w:qFormat/>
    <w:uiPriority w:val="0"/>
    <w:rPr>
      <w:rFonts w:ascii="仿宋_GB2312" w:hAnsi="宋体" w:eastAsia="仿宋_GB2312"/>
      <w:sz w:val="28"/>
      <w:szCs w:val="28"/>
      <w:lang w:val="en-US" w:eastAsia="zh-CN" w:bidi="ar-SA"/>
    </w:rPr>
  </w:style>
  <w:style w:type="character" w:customStyle="1" w:styleId="107">
    <w:name w:val="三级 Char Char"/>
    <w:link w:val="81"/>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图题 Char Char"/>
    <w:link w:val="93"/>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2"/>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9"/>
    <w:qFormat/>
    <w:uiPriority w:val="0"/>
    <w:rPr>
      <w:kern w:val="2"/>
      <w:sz w:val="28"/>
      <w:szCs w:val="28"/>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7"/>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5"/>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5A865-95BD-42B4-83EC-0CC68B0F75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72</Pages>
  <Words>28349</Words>
  <Characters>31889</Characters>
  <Lines>287</Lines>
  <Paragraphs>80</Paragraphs>
  <TotalTime>2</TotalTime>
  <ScaleCrop>false</ScaleCrop>
  <LinksUpToDate>false</LinksUpToDate>
  <CharactersWithSpaces>36007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Lis☁️</cp:lastModifiedBy>
  <cp:lastPrinted>2021-01-08T03:14:00Z</cp:lastPrinted>
  <dcterms:modified xsi:type="dcterms:W3CDTF">2022-08-25T09:13:04Z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218699DD5EA74A19B8394C5351A72D8D</vt:lpwstr>
  </property>
</Properties>
</file>