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183682338"/>
      <w:bookmarkStart w:id="1" w:name="_Toc217446030"/>
      <w:r>
        <w:rPr>
          <w:rFonts w:hint="eastAsia" w:cs="宋体" w:asciiTheme="minorEastAsia" w:hAnsiTheme="minorEastAsia" w:eastAsiaTheme="minorEastAsia"/>
          <w:b/>
          <w:sz w:val="28"/>
          <w:szCs w:val="28"/>
        </w:rPr>
        <w:t>采购项目编号：YFC2022-GP-014H</w:t>
      </w:r>
    </w:p>
    <w:p>
      <w:pPr>
        <w:pStyle w:val="16"/>
        <w:adjustRightInd w:val="0"/>
        <w:snapToGrid w:val="0"/>
        <w:spacing w:line="360" w:lineRule="auto"/>
        <w:ind w:firstLine="2650" w:firstLineChars="600"/>
        <w:rPr>
          <w:rFonts w:cs="宋体" w:asciiTheme="minorEastAsia" w:hAnsiTheme="minorEastAsia" w:eastAsiaTheme="minorEastAsia"/>
          <w:b/>
          <w:sz w:val="44"/>
          <w:szCs w:val="44"/>
        </w:rPr>
      </w:pPr>
    </w:p>
    <w:p>
      <w:pPr>
        <w:pStyle w:val="16"/>
        <w:adjustRightInd w:val="0"/>
        <w:snapToGrid w:val="0"/>
        <w:spacing w:line="360" w:lineRule="auto"/>
        <w:jc w:val="center"/>
        <w:rPr>
          <w:rFonts w:cs="宋体" w:asciiTheme="minorEastAsia" w:hAnsiTheme="minorEastAsia" w:eastAsiaTheme="minorEastAsia"/>
          <w:b/>
          <w:sz w:val="44"/>
          <w:szCs w:val="44"/>
        </w:rPr>
      </w:pPr>
    </w:p>
    <w:p>
      <w:pPr>
        <w:pStyle w:val="16"/>
        <w:adjustRightInd w:val="0"/>
        <w:snapToGrid w:val="0"/>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陕西省无线电管理委员会</w:t>
      </w:r>
    </w:p>
    <w:p>
      <w:pPr>
        <w:pStyle w:val="16"/>
        <w:adjustRightInd w:val="0"/>
        <w:snapToGrid w:val="0"/>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移动监测站升级改造项目B包</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r>
        <w:rPr>
          <w:rFonts w:hint="eastAsia" w:cs="宋体" w:asciiTheme="minorEastAsia" w:hAnsiTheme="minorEastAsia" w:eastAsiaTheme="minorEastAsia"/>
          <w:sz w:val="76"/>
          <w:szCs w:val="84"/>
        </w:rPr>
        <w:drawing>
          <wp:anchor distT="0" distB="0" distL="114300" distR="114300" simplePos="0" relativeHeight="251660288" behindDoc="0" locked="0" layoutInCell="1" allowOverlap="1">
            <wp:simplePos x="0" y="0"/>
            <wp:positionH relativeFrom="column">
              <wp:posOffset>1462405</wp:posOffset>
            </wp:positionH>
            <wp:positionV relativeFrom="paragraph">
              <wp:posOffset>222885</wp:posOffset>
            </wp:positionV>
            <wp:extent cx="2476500" cy="2292985"/>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4"/>
                    <a:stretch>
                      <a:fillRect/>
                    </a:stretch>
                  </pic:blipFill>
                  <pic:spPr>
                    <a:xfrm>
                      <a:off x="0" y="0"/>
                      <a:ext cx="2476500" cy="2292985"/>
                    </a:xfrm>
                    <a:prstGeom prst="rect">
                      <a:avLst/>
                    </a:prstGeom>
                    <a:noFill/>
                    <a:ln>
                      <a:noFill/>
                    </a:ln>
                  </pic:spPr>
                </pic:pic>
              </a:graphicData>
            </a:graphic>
          </wp:anchor>
        </w:drawing>
      </w:r>
    </w:p>
    <w:p>
      <w:pPr>
        <w:spacing w:line="360" w:lineRule="auto"/>
        <w:rPr>
          <w:rFonts w:cs="宋体" w:asciiTheme="minorEastAsia" w:hAnsiTheme="minorEastAsia" w:eastAsiaTheme="minorEastAsia"/>
          <w:sz w:val="32"/>
          <w:szCs w:val="32"/>
        </w:rPr>
      </w:pPr>
    </w:p>
    <w:p>
      <w:pPr>
        <w:pStyle w:val="16"/>
        <w:adjustRightInd w:val="0"/>
        <w:snapToGrid w:val="0"/>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 xml:space="preserve">    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w:t>
      </w:r>
      <w:r>
        <w:rPr>
          <w:rFonts w:hint="eastAsia" w:cs="宋体" w:asciiTheme="minorEastAsia" w:hAnsiTheme="minorEastAsia" w:eastAsiaTheme="minorEastAsia"/>
          <w:b/>
          <w:bCs/>
          <w:sz w:val="28"/>
          <w:szCs w:val="28"/>
        </w:rPr>
        <w:t>八</w:t>
      </w:r>
      <w:r>
        <w:rPr>
          <w:rFonts w:hint="eastAsia" w:cs="宋体" w:asciiTheme="minorEastAsia" w:hAnsiTheme="minorEastAsia" w:eastAsiaTheme="minorEastAsia"/>
          <w:b/>
          <w:bCs/>
          <w:sz w:val="28"/>
          <w:szCs w:val="28"/>
          <w:lang w:val="zh-CN"/>
        </w:rPr>
        <w:t>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spacing w:line="360" w:lineRule="auto"/>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"_Toc7564" </w:instrText>
      </w:r>
      <w:r>
        <w:fldChar w:fldCharType="separate"/>
      </w:r>
      <w:r>
        <w:rPr>
          <w:rFonts w:hint="eastAsia"/>
        </w:rPr>
        <w:t>第一章 招标公告</w:t>
      </w:r>
      <w:r>
        <w:tab/>
      </w:r>
      <w:r>
        <w:fldChar w:fldCharType="begin"/>
      </w:r>
      <w:r>
        <w:instrText xml:space="preserve"> PAGEREF _Toc7564 \h </w:instrText>
      </w:r>
      <w:r>
        <w:fldChar w:fldCharType="separate"/>
      </w:r>
      <w:r>
        <w:t>1</w:t>
      </w:r>
      <w:r>
        <w:fldChar w:fldCharType="end"/>
      </w:r>
      <w:r>
        <w:fldChar w:fldCharType="end"/>
      </w:r>
    </w:p>
    <w:p>
      <w:pPr>
        <w:pStyle w:val="22"/>
        <w:tabs>
          <w:tab w:val="right" w:leader="dot" w:pos="8733"/>
        </w:tabs>
        <w:spacing w:line="360" w:lineRule="auto"/>
      </w:pPr>
      <w:r>
        <w:fldChar w:fldCharType="begin"/>
      </w:r>
      <w:r>
        <w:instrText xml:space="preserve"> HYPERLINK \l "_Toc16915" </w:instrText>
      </w:r>
      <w:r>
        <w:fldChar w:fldCharType="separate"/>
      </w:r>
      <w:r>
        <w:rPr>
          <w:rFonts w:hint="eastAsia"/>
        </w:rPr>
        <w:t>第二章 投标供应商须知</w:t>
      </w:r>
      <w:r>
        <w:tab/>
      </w:r>
      <w:r>
        <w:fldChar w:fldCharType="begin"/>
      </w:r>
      <w:r>
        <w:instrText xml:space="preserve"> PAGEREF _Toc16915 \h </w:instrText>
      </w:r>
      <w:r>
        <w:fldChar w:fldCharType="separate"/>
      </w:r>
      <w:r>
        <w:t>5</w:t>
      </w:r>
      <w:r>
        <w:fldChar w:fldCharType="end"/>
      </w:r>
      <w:r>
        <w:fldChar w:fldCharType="end"/>
      </w:r>
    </w:p>
    <w:p>
      <w:pPr>
        <w:pStyle w:val="24"/>
        <w:tabs>
          <w:tab w:val="right" w:leader="dot" w:pos="8733"/>
        </w:tabs>
        <w:spacing w:line="360" w:lineRule="auto"/>
      </w:pPr>
      <w:r>
        <w:fldChar w:fldCharType="begin"/>
      </w:r>
      <w:r>
        <w:instrText xml:space="preserve"> HYPERLINK \l "_Toc9934"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_Toc9934 \h </w:instrText>
      </w:r>
      <w:r>
        <w:fldChar w:fldCharType="separate"/>
      </w:r>
      <w:r>
        <w:t>12</w:t>
      </w:r>
      <w:r>
        <w:fldChar w:fldCharType="end"/>
      </w:r>
      <w:r>
        <w:fldChar w:fldCharType="end"/>
      </w:r>
    </w:p>
    <w:p>
      <w:pPr>
        <w:pStyle w:val="24"/>
        <w:tabs>
          <w:tab w:val="right" w:leader="dot" w:pos="8733"/>
        </w:tabs>
        <w:spacing w:line="360" w:lineRule="auto"/>
      </w:pPr>
      <w:r>
        <w:fldChar w:fldCharType="begin"/>
      </w:r>
      <w:r>
        <w:instrText xml:space="preserve"> HYPERLINK \l "_Toc29530"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_Toc29530 \h </w:instrText>
      </w:r>
      <w:r>
        <w:fldChar w:fldCharType="separate"/>
      </w:r>
      <w:r>
        <w:t>15</w:t>
      </w:r>
      <w:r>
        <w:fldChar w:fldCharType="end"/>
      </w:r>
      <w:r>
        <w:fldChar w:fldCharType="end"/>
      </w:r>
    </w:p>
    <w:p>
      <w:pPr>
        <w:pStyle w:val="24"/>
        <w:tabs>
          <w:tab w:val="right" w:leader="dot" w:pos="8733"/>
        </w:tabs>
        <w:spacing w:line="360" w:lineRule="auto"/>
      </w:pPr>
      <w:r>
        <w:fldChar w:fldCharType="begin"/>
      </w:r>
      <w:r>
        <w:instrText xml:space="preserve"> HYPERLINK \l "_Toc2156"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_Toc2156 \h </w:instrText>
      </w:r>
      <w:r>
        <w:fldChar w:fldCharType="separate"/>
      </w:r>
      <w:r>
        <w:t>16</w:t>
      </w:r>
      <w:r>
        <w:fldChar w:fldCharType="end"/>
      </w:r>
      <w:r>
        <w:fldChar w:fldCharType="end"/>
      </w:r>
    </w:p>
    <w:p>
      <w:pPr>
        <w:pStyle w:val="24"/>
        <w:tabs>
          <w:tab w:val="right" w:leader="dot" w:pos="8733"/>
        </w:tabs>
        <w:spacing w:line="360" w:lineRule="auto"/>
      </w:pPr>
      <w:r>
        <w:fldChar w:fldCharType="begin"/>
      </w:r>
      <w:r>
        <w:instrText xml:space="preserve"> HYPERLINK \l "_Toc22597"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_Toc22597 \h </w:instrText>
      </w:r>
      <w:r>
        <w:fldChar w:fldCharType="separate"/>
      </w:r>
      <w:r>
        <w:t>21</w:t>
      </w:r>
      <w:r>
        <w:fldChar w:fldCharType="end"/>
      </w:r>
      <w:r>
        <w:fldChar w:fldCharType="end"/>
      </w:r>
    </w:p>
    <w:p>
      <w:pPr>
        <w:pStyle w:val="24"/>
        <w:tabs>
          <w:tab w:val="right" w:leader="dot" w:pos="8733"/>
        </w:tabs>
        <w:spacing w:line="360" w:lineRule="auto"/>
      </w:pPr>
      <w:r>
        <w:fldChar w:fldCharType="begin"/>
      </w:r>
      <w:r>
        <w:instrText xml:space="preserve"> HYPERLINK \l "_Toc32254"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_Toc32254 \h </w:instrText>
      </w:r>
      <w:r>
        <w:fldChar w:fldCharType="separate"/>
      </w:r>
      <w:r>
        <w:t>25</w:t>
      </w:r>
      <w:r>
        <w:fldChar w:fldCharType="end"/>
      </w:r>
      <w:r>
        <w:fldChar w:fldCharType="end"/>
      </w:r>
    </w:p>
    <w:p>
      <w:pPr>
        <w:pStyle w:val="24"/>
        <w:tabs>
          <w:tab w:val="right" w:leader="dot" w:pos="8733"/>
        </w:tabs>
        <w:spacing w:line="360" w:lineRule="auto"/>
      </w:pPr>
      <w:r>
        <w:fldChar w:fldCharType="begin"/>
      </w:r>
      <w:r>
        <w:instrText xml:space="preserve"> HYPERLINK \l "_Toc17841"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_Toc17841 \h </w:instrText>
      </w:r>
      <w:r>
        <w:fldChar w:fldCharType="separate"/>
      </w:r>
      <w:r>
        <w:t>27</w:t>
      </w:r>
      <w:r>
        <w:fldChar w:fldCharType="end"/>
      </w:r>
      <w:r>
        <w:fldChar w:fldCharType="end"/>
      </w:r>
    </w:p>
    <w:p>
      <w:pPr>
        <w:pStyle w:val="24"/>
        <w:tabs>
          <w:tab w:val="right" w:leader="dot" w:pos="8733"/>
        </w:tabs>
        <w:spacing w:line="360" w:lineRule="auto"/>
      </w:pPr>
      <w:r>
        <w:fldChar w:fldCharType="begin"/>
      </w:r>
      <w:r>
        <w:instrText xml:space="preserve"> HYPERLINK \l "_Toc6643"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_Toc6643 \h </w:instrText>
      </w:r>
      <w:r>
        <w:fldChar w:fldCharType="separate"/>
      </w:r>
      <w:r>
        <w:t>28</w:t>
      </w:r>
      <w:r>
        <w:fldChar w:fldCharType="end"/>
      </w:r>
      <w:r>
        <w:fldChar w:fldCharType="end"/>
      </w:r>
    </w:p>
    <w:p>
      <w:pPr>
        <w:pStyle w:val="24"/>
        <w:tabs>
          <w:tab w:val="right" w:leader="dot" w:pos="8733"/>
        </w:tabs>
        <w:spacing w:line="360" w:lineRule="auto"/>
      </w:pPr>
      <w:r>
        <w:fldChar w:fldCharType="begin"/>
      </w:r>
      <w:r>
        <w:instrText xml:space="preserve"> HYPERLINK \l "_Toc22863"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_Toc22863 \h </w:instrText>
      </w:r>
      <w:r>
        <w:fldChar w:fldCharType="separate"/>
      </w:r>
      <w:r>
        <w:t>30</w:t>
      </w:r>
      <w:r>
        <w:fldChar w:fldCharType="end"/>
      </w:r>
      <w:r>
        <w:fldChar w:fldCharType="end"/>
      </w:r>
    </w:p>
    <w:p>
      <w:pPr>
        <w:pStyle w:val="24"/>
        <w:tabs>
          <w:tab w:val="right" w:leader="dot" w:pos="8733"/>
        </w:tabs>
        <w:spacing w:line="360" w:lineRule="auto"/>
      </w:pPr>
      <w:r>
        <w:fldChar w:fldCharType="begin"/>
      </w:r>
      <w:r>
        <w:instrText xml:space="preserve"> HYPERLINK \l "_Toc27714"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_Toc27714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"_Toc28673"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_Toc28673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"_Toc24558"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_Toc24558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"_Toc19418"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_Toc19418 \h </w:instrText>
      </w:r>
      <w:r>
        <w:fldChar w:fldCharType="separate"/>
      </w:r>
      <w:r>
        <w:t>36</w:t>
      </w:r>
      <w:r>
        <w:fldChar w:fldCharType="end"/>
      </w:r>
      <w:r>
        <w:fldChar w:fldCharType="end"/>
      </w:r>
    </w:p>
    <w:p>
      <w:pPr>
        <w:pStyle w:val="24"/>
        <w:tabs>
          <w:tab w:val="right" w:leader="dot" w:pos="8733"/>
        </w:tabs>
        <w:spacing w:line="360" w:lineRule="auto"/>
      </w:pPr>
      <w:r>
        <w:fldChar w:fldCharType="begin"/>
      </w:r>
      <w:r>
        <w:instrText xml:space="preserve"> HYPERLINK \l "_Toc3437"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_Toc3437 \h </w:instrText>
      </w:r>
      <w:r>
        <w:fldChar w:fldCharType="separate"/>
      </w:r>
      <w:r>
        <w:t>37</w:t>
      </w:r>
      <w:r>
        <w:fldChar w:fldCharType="end"/>
      </w:r>
      <w:r>
        <w:fldChar w:fldCharType="end"/>
      </w:r>
    </w:p>
    <w:p>
      <w:pPr>
        <w:pStyle w:val="24"/>
        <w:tabs>
          <w:tab w:val="right" w:leader="dot" w:pos="8733"/>
        </w:tabs>
        <w:spacing w:line="360" w:lineRule="auto"/>
      </w:pPr>
      <w:r>
        <w:fldChar w:fldCharType="begin"/>
      </w:r>
      <w:r>
        <w:instrText xml:space="preserve"> HYPERLINK \l "_Toc20322"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_Toc20322 \h </w:instrText>
      </w:r>
      <w:r>
        <w:fldChar w:fldCharType="separate"/>
      </w:r>
      <w:r>
        <w:t>39</w:t>
      </w:r>
      <w:r>
        <w:fldChar w:fldCharType="end"/>
      </w:r>
      <w:r>
        <w:fldChar w:fldCharType="end"/>
      </w:r>
    </w:p>
    <w:p>
      <w:pPr>
        <w:pStyle w:val="22"/>
        <w:tabs>
          <w:tab w:val="right" w:leader="dot" w:pos="8733"/>
        </w:tabs>
        <w:spacing w:line="360" w:lineRule="auto"/>
      </w:pPr>
      <w:r>
        <w:fldChar w:fldCharType="begin"/>
      </w:r>
      <w:r>
        <w:instrText xml:space="preserve"> HYPERLINK \l "_Toc29032" </w:instrText>
      </w:r>
      <w:r>
        <w:fldChar w:fldCharType="separate"/>
      </w:r>
      <w:r>
        <w:rPr>
          <w:rFonts w:hint="eastAsia"/>
        </w:rPr>
        <w:t>第三章 评标办法</w:t>
      </w:r>
      <w:r>
        <w:tab/>
      </w:r>
      <w:r>
        <w:fldChar w:fldCharType="begin"/>
      </w:r>
      <w:r>
        <w:instrText xml:space="preserve"> PAGEREF _Toc29032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"_Toc8151"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_Toc8151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"_Toc12920"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_Toc12920 \h </w:instrText>
      </w:r>
      <w:r>
        <w:fldChar w:fldCharType="separate"/>
      </w:r>
      <w:r>
        <w:t>43</w:t>
      </w:r>
      <w:r>
        <w:fldChar w:fldCharType="end"/>
      </w:r>
      <w:r>
        <w:fldChar w:fldCharType="end"/>
      </w:r>
    </w:p>
    <w:p>
      <w:pPr>
        <w:pStyle w:val="22"/>
        <w:tabs>
          <w:tab w:val="right" w:leader="dot" w:pos="8733"/>
        </w:tabs>
        <w:spacing w:line="360" w:lineRule="auto"/>
      </w:pPr>
      <w:r>
        <w:fldChar w:fldCharType="begin"/>
      </w:r>
      <w:r>
        <w:instrText xml:space="preserve"> HYPERLINK \l "_Toc20086" </w:instrText>
      </w:r>
      <w:r>
        <w:fldChar w:fldCharType="separate"/>
      </w:r>
      <w:r>
        <w:rPr>
          <w:rFonts w:hint="eastAsia"/>
        </w:rPr>
        <w:t>第四章 采购内容及要求</w:t>
      </w:r>
      <w:r>
        <w:tab/>
      </w:r>
      <w:r>
        <w:fldChar w:fldCharType="begin"/>
      </w:r>
      <w:r>
        <w:instrText xml:space="preserve"> PAGEREF _Toc20086 \h </w:instrText>
      </w:r>
      <w:r>
        <w:fldChar w:fldCharType="separate"/>
      </w:r>
      <w:r>
        <w:t>49</w:t>
      </w:r>
      <w:r>
        <w:fldChar w:fldCharType="end"/>
      </w:r>
      <w:r>
        <w:fldChar w:fldCharType="end"/>
      </w:r>
    </w:p>
    <w:p>
      <w:pPr>
        <w:pStyle w:val="22"/>
        <w:tabs>
          <w:tab w:val="right" w:leader="dot" w:pos="8733"/>
        </w:tabs>
        <w:spacing w:line="360" w:lineRule="auto"/>
      </w:pPr>
      <w:r>
        <w:fldChar w:fldCharType="begin"/>
      </w:r>
      <w:r>
        <w:instrText xml:space="preserve"> HYPERLINK \l "_Toc18231" </w:instrText>
      </w:r>
      <w:r>
        <w:fldChar w:fldCharType="separate"/>
      </w:r>
      <w:r>
        <w:rPr>
          <w:rFonts w:hint="eastAsia"/>
        </w:rPr>
        <w:t>第五章 政府采购合同格式</w:t>
      </w:r>
      <w:r>
        <w:tab/>
      </w:r>
      <w:r>
        <w:fldChar w:fldCharType="begin"/>
      </w:r>
      <w:r>
        <w:instrText xml:space="preserve"> PAGEREF _Toc18231 \h </w:instrText>
      </w:r>
      <w:r>
        <w:fldChar w:fldCharType="separate"/>
      </w:r>
      <w:r>
        <w:t>59</w:t>
      </w:r>
      <w:r>
        <w:fldChar w:fldCharType="end"/>
      </w:r>
      <w:r>
        <w:fldChar w:fldCharType="end"/>
      </w:r>
    </w:p>
    <w:p>
      <w:pPr>
        <w:pStyle w:val="22"/>
        <w:tabs>
          <w:tab w:val="right" w:leader="dot" w:pos="8733"/>
        </w:tabs>
        <w:spacing w:line="360" w:lineRule="auto"/>
      </w:pPr>
      <w:r>
        <w:fldChar w:fldCharType="begin"/>
      </w:r>
      <w:r>
        <w:instrText xml:space="preserve"> HYPERLINK \l "_Toc28836" </w:instrText>
      </w:r>
      <w:r>
        <w:fldChar w:fldCharType="separate"/>
      </w:r>
      <w:r>
        <w:rPr>
          <w:rFonts w:hint="eastAsia"/>
        </w:rPr>
        <w:t>第六章 投标文件格式</w:t>
      </w:r>
      <w:r>
        <w:tab/>
      </w:r>
      <w:r>
        <w:fldChar w:fldCharType="begin"/>
      </w:r>
      <w:r>
        <w:instrText xml:space="preserve"> PAGEREF _Toc28836 \h </w:instrText>
      </w:r>
      <w:r>
        <w:fldChar w:fldCharType="separate"/>
      </w:r>
      <w:r>
        <w:t>64</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3"/>
        <w:numPr>
          <w:ilvl w:val="0"/>
          <w:numId w:val="2"/>
        </w:numPr>
        <w:jc w:val="center"/>
      </w:pPr>
      <w:bookmarkStart w:id="2" w:name="_Toc13747"/>
      <w:bookmarkStart w:id="3" w:name="_Toc7228"/>
      <w:bookmarkStart w:id="4" w:name="_Toc14502"/>
      <w:bookmarkStart w:id="5" w:name="_Toc7564"/>
      <w:bookmarkStart w:id="6" w:name="_Toc28199"/>
      <w:r>
        <w:rPr>
          <w:rFonts w:hint="eastAsia"/>
        </w:rPr>
        <w:t>招标公告</w:t>
      </w:r>
      <w:bookmarkEnd w:id="2"/>
      <w:bookmarkEnd w:id="3"/>
      <w:bookmarkEnd w:id="4"/>
      <w:bookmarkEnd w:id="5"/>
      <w:bookmarkEnd w:id="6"/>
    </w:p>
    <w:p>
      <w:pPr>
        <w:pStyle w:val="26"/>
        <w:spacing w:before="0" w:beforeAutospacing="0" w:after="0" w:afterAutospacing="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lang w:bidi="ar"/>
        </w:rPr>
        <w:t>陕西省无线电管理委员会移动监测站升级改造项目B包潜在的投标人可在西安市未央区明光路71号旭弘西北广场6层源丰成招标部获取采购文件，并于</w:t>
      </w:r>
      <w:r>
        <w:rPr>
          <w:rFonts w:hint="eastAsia" w:asciiTheme="minorEastAsia" w:hAnsiTheme="minorEastAsia" w:eastAsiaTheme="minorEastAsia"/>
          <w:b/>
          <w:sz w:val="24"/>
          <w:szCs w:val="24"/>
          <w:highlight w:val="none"/>
          <w:lang w:bidi="ar"/>
        </w:rPr>
        <w:t>2022年8月29日14时30分</w:t>
      </w:r>
      <w:r>
        <w:rPr>
          <w:rFonts w:hint="eastAsia" w:asciiTheme="minorEastAsia" w:hAnsiTheme="minorEastAsia" w:eastAsiaTheme="minorEastAsia"/>
          <w:b/>
          <w:sz w:val="24"/>
          <w:szCs w:val="24"/>
          <w:lang w:bidi="ar"/>
        </w:rPr>
        <w:t xml:space="preserve">前递交投标文件。 </w:t>
      </w:r>
      <w:r>
        <w:rPr>
          <w:rFonts w:asciiTheme="minorEastAsia" w:hAnsiTheme="minorEastAsia" w:eastAsiaTheme="minorEastAsia"/>
          <w:b/>
          <w:sz w:val="24"/>
          <w:szCs w:val="24"/>
          <w:lang w:bidi="ar"/>
        </w:rPr>
        <w:t xml:space="preserve"> </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YFC2022-GP-014H</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2、项目名称：</w:t>
      </w:r>
      <w:r>
        <w:rPr>
          <w:rFonts w:hint="eastAsia" w:asciiTheme="minorEastAsia" w:hAnsiTheme="minorEastAsia" w:eastAsiaTheme="minorEastAsia"/>
          <w:bCs/>
          <w:sz w:val="24"/>
          <w:szCs w:val="24"/>
          <w:lang w:bidi="ar"/>
        </w:rPr>
        <w:t>陕西省无线电管理委员会移动监测站升级改造项目B包</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7880000.00元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w:t>
      </w:r>
      <w:r>
        <w:rPr>
          <w:rFonts w:hint="eastAsia" w:asciiTheme="minorEastAsia" w:hAnsiTheme="minorEastAsia" w:eastAsiaTheme="minorEastAsia"/>
          <w:sz w:val="24"/>
          <w:szCs w:val="24"/>
        </w:rPr>
        <w:t>本项目拟对西安、延安、汉中三地市现用的奔驰移动监测站进行升级改造，将监测、测向频率范围扩展至18GHz，优化提升测向灵敏度、监测扫描速度，并能够实现同频信号分离、交汇定位、信号分析等，升级内容包括：无线电监测测向子系统、车载供电子系统、联网控制子系统以及系统集成改装及附属设备等系统的升级。（详见第四章）</w:t>
      </w:r>
    </w:p>
    <w:p>
      <w:pPr>
        <w:pStyle w:val="26"/>
        <w:numPr>
          <w:ilvl w:val="0"/>
          <w:numId w:val="3"/>
        </w:numPr>
        <w:spacing w:before="0" w:beforeAutospacing="0" w:after="0" w:afterAutospacing="0" w:line="360" w:lineRule="auto"/>
        <w:ind w:firstLine="420"/>
        <w:rPr>
          <w:rFonts w:hint="eastAsia" w:asciiTheme="minorEastAsia" w:hAnsiTheme="minorEastAsia" w:eastAsiaTheme="minorEastAsia"/>
          <w:sz w:val="24"/>
          <w:szCs w:val="24"/>
        </w:rPr>
      </w:pPr>
      <w:r>
        <w:rPr>
          <w:rFonts w:asciiTheme="minorEastAsia" w:hAnsiTheme="minorEastAsia" w:eastAsiaTheme="minorEastAsia"/>
          <w:sz w:val="24"/>
          <w:szCs w:val="24"/>
        </w:rPr>
        <w:t>合同履行期限：</w:t>
      </w:r>
      <w:r>
        <w:rPr>
          <w:rFonts w:hint="eastAsia" w:asciiTheme="minorEastAsia" w:hAnsiTheme="minorEastAsia" w:eastAsiaTheme="minorEastAsia"/>
          <w:sz w:val="24"/>
          <w:szCs w:val="24"/>
          <w:highlight w:val="none"/>
        </w:rPr>
        <w:t>七个月</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2、落实政府采购政策需满足的资格要求：</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本项目专门面向中小企业采购，开标提供“中小企业声明函”。</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3、本项目的特定资格要求：</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lang w:bidi="ar"/>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asciiTheme="minorEastAsia" w:hAnsiTheme="minorEastAsia" w:eastAsiaTheme="minorEastAsia"/>
          <w:sz w:val="24"/>
          <w:szCs w:val="24"/>
          <w:highlight w:val="none"/>
        </w:rPr>
        <w:t>2022年8月9日至2022年8月15日每天09:00-16:00</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地点：西安市未央区明光路71号旭弘西北广场6层源丰成招标部</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售价：500元/份（售后不退）</w:t>
      </w:r>
    </w:p>
    <w:p>
      <w:pPr>
        <w:pStyle w:val="26"/>
        <w:spacing w:before="0" w:beforeAutospacing="0" w:after="0" w:afterAutospacing="0" w:line="360" w:lineRule="auto"/>
        <w:ind w:firstLine="420"/>
        <w:rPr>
          <w:rFonts w:asciiTheme="minorEastAsia" w:hAnsiTheme="minorEastAsia" w:eastAsiaTheme="minorEastAsia"/>
          <w:sz w:val="24"/>
          <w:szCs w:val="24"/>
        </w:rPr>
      </w:pPr>
      <w:r>
        <w:rPr>
          <w:rStyle w:val="32"/>
          <w:rFonts w:hint="eastAsia" w:cs="宋体" w:asciiTheme="minorEastAsia" w:hAnsiTheme="minorEastAsia" w:eastAsiaTheme="minorEastAsia"/>
          <w:sz w:val="24"/>
          <w:szCs w:val="24"/>
        </w:rPr>
        <w:t>注：请携带单位介绍信、经办人身份证复印件（加盖公章）获取招标文件。</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四、 投标文件递交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截止时间：</w:t>
      </w:r>
      <w:r>
        <w:rPr>
          <w:rFonts w:hint="eastAsia" w:asciiTheme="minorEastAsia" w:hAnsiTheme="minorEastAsia" w:eastAsiaTheme="minorEastAsia"/>
          <w:sz w:val="24"/>
          <w:szCs w:val="24"/>
          <w:highlight w:val="none"/>
        </w:rPr>
        <w:t>2022年8月29日14时30分</w:t>
      </w:r>
    </w:p>
    <w:p>
      <w:pPr>
        <w:pStyle w:val="26"/>
        <w:spacing w:before="0" w:beforeAutospacing="0" w:after="0" w:afterAutospacing="0" w:line="360" w:lineRule="auto"/>
        <w:ind w:firstLine="420"/>
        <w:rPr>
          <w:rFonts w:asciiTheme="minorEastAsia" w:hAnsiTheme="minorEastAsia" w:eastAsiaTheme="minorEastAsia"/>
          <w:color w:val="0000FF"/>
          <w:sz w:val="24"/>
          <w:szCs w:val="24"/>
        </w:rPr>
      </w:pPr>
      <w:r>
        <w:rPr>
          <w:rFonts w:hint="eastAsia" w:asciiTheme="minorEastAsia" w:hAnsiTheme="minorEastAsia" w:eastAsiaTheme="minorEastAsia"/>
          <w:sz w:val="24"/>
          <w:szCs w:val="24"/>
        </w:rPr>
        <w:t>地点：西安市未央区明光路71号旭弘西北广场6层源丰成开标室</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w:t>
      </w:r>
      <w:r>
        <w:rPr>
          <w:rFonts w:hint="eastAsia" w:asciiTheme="minorEastAsia" w:hAnsiTheme="minorEastAsia" w:eastAsiaTheme="minorEastAsia"/>
          <w:sz w:val="24"/>
          <w:szCs w:val="24"/>
        </w:rPr>
        <w:t>5</w:t>
      </w:r>
      <w:r>
        <w:rPr>
          <w:rFonts w:asciiTheme="minorEastAsia" w:hAnsiTheme="minorEastAsia" w:eastAsiaTheme="minorEastAsia"/>
          <w:sz w:val="24"/>
          <w:szCs w:val="24"/>
        </w:rPr>
        <w:t>个工作日。</w:t>
      </w:r>
    </w:p>
    <w:p>
      <w:pPr>
        <w:pStyle w:val="26"/>
        <w:numPr>
          <w:ilvl w:val="0"/>
          <w:numId w:val="4"/>
        </w:numPr>
        <w:spacing w:before="0" w:beforeAutospacing="0" w:after="0" w:afterAutospacing="0" w:line="360" w:lineRule="auto"/>
        <w:rPr>
          <w:rFonts w:asciiTheme="minorEastAsia" w:hAnsiTheme="minorEastAsia" w:eastAsiaTheme="minorEastAsia"/>
          <w:b/>
          <w:sz w:val="24"/>
          <w:szCs w:val="24"/>
          <w:lang w:bidi="ar"/>
        </w:rPr>
      </w:pPr>
      <w:r>
        <w:rPr>
          <w:rFonts w:asciiTheme="minorEastAsia" w:hAnsiTheme="minorEastAsia" w:eastAsiaTheme="minorEastAsia"/>
          <w:b/>
          <w:sz w:val="24"/>
          <w:szCs w:val="24"/>
          <w:lang w:bidi="ar"/>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lang w:bidi="ar"/>
        </w:rPr>
      </w:pPr>
      <w:r>
        <w:rPr>
          <w:rFonts w:hint="eastAsia" w:asciiTheme="minorEastAsia" w:hAnsiTheme="minorEastAsia" w:eastAsiaTheme="minorEastAsia"/>
          <w:bCs/>
          <w:sz w:val="24"/>
          <w:szCs w:val="24"/>
          <w:lang w:bidi="ar"/>
        </w:rPr>
        <w:t>请供应商按照陕西省财政厅关于政府采购供应商注册登记有关事项的通知中的要求，通过陕西省政府采购网注册登记加入陕西省政府采购供应商库。</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1、采购人信息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名称：陕西省无线电管理委员会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联系人：李老师</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联系地址：省政府新城大院四号楼</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联系电话：029-88360537</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项目联系人：刘金杰</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电 话：029-83665338</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联系地址：西安市未央区明光路71号旭弘西北广场6层</w:t>
      </w:r>
    </w:p>
    <w:p>
      <w:bookmarkStart w:id="7" w:name="_Toc13168"/>
      <w:bookmarkStart w:id="8" w:name="_Toc22912"/>
      <w:bookmarkStart w:id="9" w:name="_Toc28463"/>
      <w:bookmarkStart w:id="10" w:name="_Toc29060_WPSOffice_Level1"/>
      <w:bookmarkStart w:id="11" w:name="_Toc8810"/>
      <w:bookmarkStart w:id="12" w:name="_Toc16915"/>
      <w:r>
        <w:rPr>
          <w:rFonts w:hint="eastAsia"/>
        </w:rPr>
        <w:br w:type="page"/>
      </w:r>
    </w:p>
    <w:p>
      <w:pPr>
        <w:pStyle w:val="3"/>
        <w:numPr>
          <w:ilvl w:val="0"/>
          <w:numId w:val="5"/>
        </w:numPr>
        <w:jc w:val="center"/>
      </w:pPr>
      <w:r>
        <w:rPr>
          <w:rFonts w:hint="eastAsia"/>
        </w:rPr>
        <w:t>投标供应商须知</w:t>
      </w:r>
      <w:bookmarkEnd w:id="7"/>
      <w:bookmarkEnd w:id="8"/>
      <w:bookmarkEnd w:id="9"/>
      <w:bookmarkEnd w:id="10"/>
      <w:bookmarkEnd w:id="11"/>
      <w:bookmarkEnd w:id="12"/>
      <w:bookmarkStart w:id="13" w:name="_Toc213396760"/>
      <w:bookmarkStart w:id="14" w:name="_Toc213397010"/>
      <w:bookmarkStart w:id="15" w:name="_Toc189727030"/>
      <w:bookmarkStart w:id="16" w:name="_Toc213496268"/>
      <w:bookmarkStart w:id="17" w:name="_Toc184283909"/>
      <w:bookmarkStart w:id="18" w:name="_Toc217446032"/>
      <w:bookmarkStart w:id="19" w:name="_Toc184274915"/>
      <w:bookmarkStart w:id="20" w:name="_Toc213396946"/>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陕西省无线电管理委员会移动监测站升级改造项目B包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YFC2022-GP-014H</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李老师</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rPr>
              <w:t>029-88360537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地址：西安市未央区明光路71号旭弘西北广场6层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联系人：刘金杰</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电话：029-83665338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cs="宋体" w:asciiTheme="minorEastAsia" w:hAnsiTheme="minorEastAsia" w:eastAsiaTheme="minorEastAsia"/>
                <w:sz w:val="24"/>
                <w:szCs w:val="24"/>
              </w:rPr>
              <w:t>7880000.00元，投标</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2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本项目拟对西安、延安、汉中三地市现用的奔驰移动监测站进行升级改造，将监测、测向频率范围扩展至18GHz，优化提升测向灵敏度、监测扫描速度，并能够实现同频信号分离、交汇定位、信号分析等。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对无线电监测测向子系统、车载供电子系统、联网控制子系统以及系统集成改装及附属设备等系统的升级。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招标文件获取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发售时间：</w:t>
            </w:r>
            <w:r>
              <w:rPr>
                <w:rFonts w:hint="eastAsia" w:cs="宋体" w:asciiTheme="minorEastAsia" w:hAnsiTheme="minorEastAsia" w:eastAsiaTheme="minorEastAsia"/>
                <w:sz w:val="24"/>
                <w:highlight w:val="none"/>
                <w:lang w:val="zh-CN"/>
              </w:rPr>
              <w:t>2022年</w:t>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rPr>
              <w:t>9</w:t>
            </w:r>
            <w:r>
              <w:rPr>
                <w:rFonts w:hint="eastAsia" w:cs="宋体" w:asciiTheme="minorEastAsia" w:hAnsiTheme="minorEastAsia" w:eastAsiaTheme="minorEastAsia"/>
                <w:sz w:val="24"/>
                <w:highlight w:val="none"/>
                <w:lang w:val="zh-CN"/>
              </w:rPr>
              <w:t>日至2022年</w:t>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rPr>
              <w:t>15</w:t>
            </w:r>
            <w:r>
              <w:rPr>
                <w:rFonts w:hint="eastAsia" w:cs="宋体" w:asciiTheme="minorEastAsia" w:hAnsiTheme="minorEastAsia" w:eastAsiaTheme="minorEastAsia"/>
                <w:sz w:val="24"/>
                <w:highlight w:val="none"/>
                <w:lang w:val="zh-CN"/>
              </w:rPr>
              <w:t>日</w:t>
            </w:r>
            <w:r>
              <w:rPr>
                <w:rFonts w:hint="eastAsia" w:cs="宋体" w:asciiTheme="minorEastAsia" w:hAnsiTheme="minorEastAsia" w:eastAsiaTheme="minorEastAsia"/>
                <w:sz w:val="24"/>
                <w:lang w:val="zh-CN"/>
              </w:rPr>
              <w:t>每天09:00-16:00</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发售地点：西安市未央区明光路71号旭弘西北广场6层源丰成招标部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地点：</w:t>
            </w:r>
            <w:r>
              <w:rPr>
                <w:rFonts w:hint="eastAsia" w:cs="宋体" w:asciiTheme="minorEastAsia" w:hAnsiTheme="minorEastAsia" w:eastAsiaTheme="minorEastAsia"/>
                <w:color w:val="333333"/>
                <w:sz w:val="24"/>
              </w:rPr>
              <w:t>西安市未央区明光路71号旭弘西北广场6层源丰成开标室</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highlight w:val="none"/>
                <w:lang w:val="zh-CN"/>
              </w:rPr>
              <w:t>时间：</w:t>
            </w:r>
            <w:r>
              <w:rPr>
                <w:rFonts w:hint="eastAsia" w:cs="宋体" w:asciiTheme="minorEastAsia" w:hAnsiTheme="minorEastAsia" w:eastAsiaTheme="minorEastAsia"/>
                <w:sz w:val="24"/>
                <w:highlight w:val="none"/>
              </w:rPr>
              <w:t>2022年8月29日14时30分</w:t>
            </w:r>
            <w:r>
              <w:rPr>
                <w:rFonts w:hint="eastAsia" w:cs="宋体" w:asciiTheme="minorEastAsia" w:hAnsiTheme="minorEastAsia" w:eastAsiaTheme="minorEastAsia"/>
                <w:bCs/>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highlight w:val="none"/>
                <w:lang w:val="zh-CN"/>
              </w:rPr>
            </w:pPr>
            <w:r>
              <w:rPr>
                <w:rFonts w:hint="eastAsia" w:cs="宋体" w:asciiTheme="minorEastAsia" w:hAnsiTheme="minorEastAsia" w:eastAsiaTheme="minorEastAsia"/>
                <w:sz w:val="24"/>
                <w:highlight w:val="none"/>
                <w:lang w:val="zh-CN"/>
              </w:rPr>
              <w:t>2022年</w:t>
            </w:r>
            <w:r>
              <w:rPr>
                <w:rFonts w:hint="eastAsia" w:cs="宋体" w:asciiTheme="minorEastAsia" w:hAnsiTheme="minorEastAsia" w:eastAsiaTheme="minorEastAsia"/>
                <w:sz w:val="24"/>
                <w:highlight w:val="none"/>
              </w:rPr>
              <w:t>8</w:t>
            </w:r>
            <w:r>
              <w:rPr>
                <w:rFonts w:hint="eastAsia" w:cs="宋体" w:asciiTheme="minorEastAsia" w:hAnsiTheme="minorEastAsia" w:eastAsiaTheme="minorEastAsia"/>
                <w:sz w:val="24"/>
                <w:highlight w:val="none"/>
                <w:lang w:val="zh-CN"/>
              </w:rPr>
              <w:t>月</w:t>
            </w:r>
            <w:r>
              <w:rPr>
                <w:rFonts w:hint="eastAsia" w:cs="宋体" w:asciiTheme="minorEastAsia" w:hAnsiTheme="minorEastAsia" w:eastAsiaTheme="minorEastAsia"/>
                <w:sz w:val="24"/>
                <w:highlight w:val="none"/>
              </w:rPr>
              <w:t>29</w:t>
            </w:r>
            <w:r>
              <w:rPr>
                <w:rFonts w:hint="eastAsia" w:cs="宋体" w:asciiTheme="minorEastAsia" w:hAnsiTheme="minorEastAsia" w:eastAsiaTheme="minorEastAsia"/>
                <w:sz w:val="24"/>
                <w:highlight w:val="none"/>
                <w:lang w:val="zh-CN"/>
              </w:rPr>
              <w:t>日</w:t>
            </w:r>
            <w:r>
              <w:rPr>
                <w:rFonts w:hint="eastAsia" w:cs="宋体" w:asciiTheme="minorEastAsia" w:hAnsiTheme="minorEastAsia" w:eastAsiaTheme="minorEastAsia"/>
                <w:sz w:val="24"/>
                <w:highlight w:val="none"/>
              </w:rPr>
              <w:t>14时30</w:t>
            </w:r>
            <w:r>
              <w:rPr>
                <w:rFonts w:hint="eastAsia" w:cs="宋体" w:asciiTheme="minorEastAsia" w:hAnsiTheme="minorEastAsia" w:eastAsiaTheme="minorEastAsia"/>
                <w:sz w:val="24"/>
                <w:highlight w:val="none"/>
                <w:lang w:val="zh-CN"/>
              </w:rPr>
              <w:t>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10</w:t>
            </w:r>
            <w:r>
              <w:rPr>
                <w:rFonts w:hint="eastAsia" w:cs="宋体" w:asciiTheme="minorEastAsia" w:hAnsiTheme="minorEastAsia" w:eastAsiaTheme="minorEastAsia"/>
                <w:sz w:val="24"/>
                <w:lang w:val="zh-CN"/>
              </w:rPr>
              <w:t>万元，投标保证金应当以支票、汇票、本票或者金融机构、担保机构出具的保函等非现金形式提交。投标人未按照招标文件要求提交投标保证金的，投标无效。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r>
              <w:rPr>
                <w:rFonts w:hint="eastAsia" w:cs="宋体" w:asciiTheme="minorEastAsia" w:hAnsiTheme="minorEastAsia" w:eastAsiaTheme="minorEastAsia"/>
                <w:sz w:val="24"/>
                <w:highlight w:val="none"/>
              </w:rPr>
              <w:t>2022年8月29日14时30分（北京时间）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开标地点：</w:t>
            </w:r>
            <w:r>
              <w:rPr>
                <w:rFonts w:hint="eastAsia" w:cs="宋体" w:asciiTheme="minorEastAsia" w:hAnsiTheme="minorEastAsia" w:eastAsiaTheme="minorEastAsia"/>
                <w:sz w:val="24"/>
              </w:rPr>
              <w:t>西安市未央区明光路71号旭弘西北广场6层源丰成开标室</w:t>
            </w:r>
          </w:p>
          <w:p>
            <w:pPr>
              <w:spacing w:line="276" w:lineRule="auto"/>
              <w:jc w:val="left"/>
              <w:rPr>
                <w:rFonts w:cs="宋体" w:asciiTheme="minorEastAsia" w:hAnsiTheme="minorEastAsia" w:eastAsiaTheme="minorEastAsia"/>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评标委员会构成：</w:t>
            </w:r>
            <w:r>
              <w:rPr>
                <w:rStyle w:val="81"/>
                <w:rFonts w:hint="eastAsia" w:asciiTheme="minorEastAsia" w:hAnsiTheme="minorEastAsia" w:eastAsiaTheme="minorEastAsia"/>
                <w:sz w:val="24"/>
              </w:rPr>
              <w:t>5</w:t>
            </w:r>
            <w:r>
              <w:rPr>
                <w:rStyle w:val="81"/>
                <w:rFonts w:asciiTheme="minorEastAsia" w:hAnsiTheme="minorEastAsia" w:eastAsiaTheme="minorEastAsia"/>
                <w:sz w:val="24"/>
              </w:rPr>
              <w:t>人。</w:t>
            </w:r>
          </w:p>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其中采购人代表</w:t>
            </w:r>
            <w:r>
              <w:rPr>
                <w:rStyle w:val="81"/>
                <w:rFonts w:hint="eastAsia" w:asciiTheme="minorEastAsia" w:hAnsiTheme="minorEastAsia" w:eastAsiaTheme="minorEastAsia"/>
                <w:sz w:val="24"/>
              </w:rPr>
              <w:t>1</w:t>
            </w:r>
            <w:r>
              <w:rPr>
                <w:rStyle w:val="81"/>
                <w:rFonts w:asciiTheme="minorEastAsia" w:hAnsiTheme="minorEastAsia" w:eastAsiaTheme="minorEastAsia"/>
                <w:sz w:val="24"/>
              </w:rPr>
              <w:t>人，专家</w:t>
            </w:r>
            <w:r>
              <w:rPr>
                <w:rStyle w:val="81"/>
                <w:rFonts w:hint="eastAsia" w:asciiTheme="minorEastAsia" w:hAnsiTheme="minorEastAsia" w:eastAsiaTheme="minorEastAsia"/>
                <w:sz w:val="24"/>
              </w:rPr>
              <w:t>4</w:t>
            </w:r>
            <w:r>
              <w:rPr>
                <w:rStyle w:val="81"/>
                <w:rFonts w:asciiTheme="minorEastAsia" w:hAnsiTheme="minorEastAsia" w:eastAsiaTheme="minorEastAsia"/>
                <w:sz w:val="24"/>
              </w:rPr>
              <w:t>人</w:t>
            </w:r>
            <w:r>
              <w:rPr>
                <w:rStyle w:val="81"/>
                <w:rFonts w:hint="eastAsia" w:asciiTheme="minorEastAsia" w:hAnsiTheme="minorEastAsia" w:eastAsiaTheme="minorEastAsia"/>
                <w:sz w:val="24"/>
              </w:rPr>
              <w:t>（技术、经济专业）</w:t>
            </w:r>
            <w:r>
              <w:rPr>
                <w:rStyle w:val="81"/>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1"/>
                <w:rFonts w:asciiTheme="minorEastAsia" w:hAnsiTheme="minorEastAsia" w:eastAsiaTheme="minorEastAsia"/>
                <w:sz w:val="24"/>
              </w:rPr>
              <w:t>评标专家确定方式：陕西省政府采购专家</w:t>
            </w:r>
            <w:r>
              <w:rPr>
                <w:rStyle w:val="81"/>
                <w:rFonts w:hint="eastAsia" w:asciiTheme="minorEastAsia" w:hAnsiTheme="minorEastAsia" w:eastAsiaTheme="minorEastAsia"/>
                <w:sz w:val="24"/>
              </w:rPr>
              <w:t>库，由系统</w:t>
            </w:r>
            <w:r>
              <w:rPr>
                <w:rStyle w:val="81"/>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交货期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自合同签订之日起</w:t>
            </w:r>
            <w:r>
              <w:rPr>
                <w:rFonts w:hint="eastAsia" w:cs="宋体" w:asciiTheme="minorEastAsia" w:hAnsiTheme="minorEastAsia" w:eastAsiaTheme="minorEastAsia"/>
                <w:sz w:val="24"/>
              </w:rPr>
              <w:t>7</w:t>
            </w:r>
            <w:r>
              <w:rPr>
                <w:rFonts w:cs="宋体" w:asciiTheme="minorEastAsia" w:hAnsiTheme="minorEastAsia" w:eastAsiaTheme="minorEastAsia"/>
                <w:sz w:val="24"/>
              </w:rPr>
              <w:t>个月完成</w:t>
            </w:r>
            <w:r>
              <w:rPr>
                <w:rFonts w:hint="eastAsia" w:cs="宋体" w:asciiTheme="minorEastAsia" w:hAnsiTheme="minorEastAsia" w:eastAsiaTheme="minorEastAsia"/>
                <w:sz w:val="24"/>
              </w:rPr>
              <w:t>（包括生产、第三方测试验证、出厂验收）。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ascii="宋体" w:hAnsi="宋体"/>
                <w:sz w:val="24"/>
                <w:szCs w:val="28"/>
              </w:rPr>
              <w:t>3年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偏离</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标注有“★”号的条款必须实质性响应，负偏离（不满足要求）将导致响应无效。</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标注有“▲”号的条款为重要技术要求，负偏离（不满足要求）将影响技术得分。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1"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收</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人：刘金杰</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029-83665338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址：西安市未央区明光路71号旭弘西北广场6层源丰成招标部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Style w:val="81"/>
                <w:rFonts w:hint="eastAsia" w:asciiTheme="minorEastAsia" w:hAnsiTheme="minorEastAsia" w:eastAsiaTheme="minorEastAsia"/>
                <w:sz w:val="24"/>
              </w:rPr>
              <w:t>投标</w:t>
            </w:r>
            <w:r>
              <w:rPr>
                <w:rStyle w:val="81"/>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项目编号：</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项目名称：</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采购人全称：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1"/>
                <w:rFonts w:asciiTheme="minorEastAsia" w:hAnsiTheme="minorEastAsia" w:eastAsiaTheme="minorEastAsia"/>
                <w:sz w:val="24"/>
              </w:rPr>
              <w:t>文件在</w:t>
            </w:r>
            <w:bookmarkStart w:id="235" w:name="_GoBack"/>
            <w:r>
              <w:rPr>
                <w:rStyle w:val="81"/>
                <w:rFonts w:asciiTheme="minorEastAsia" w:hAnsiTheme="minorEastAsia" w:eastAsiaTheme="minorEastAsia"/>
                <w:sz w:val="24"/>
                <w:highlight w:val="none"/>
              </w:rPr>
              <w:t>202</w:t>
            </w:r>
            <w:r>
              <w:rPr>
                <w:rStyle w:val="81"/>
                <w:rFonts w:hint="eastAsia" w:asciiTheme="minorEastAsia" w:hAnsiTheme="minorEastAsia" w:eastAsiaTheme="minorEastAsia"/>
                <w:sz w:val="24"/>
                <w:highlight w:val="none"/>
              </w:rPr>
              <w:t>2</w:t>
            </w:r>
            <w:r>
              <w:rPr>
                <w:rStyle w:val="81"/>
                <w:rFonts w:asciiTheme="minorEastAsia" w:hAnsiTheme="minorEastAsia" w:eastAsiaTheme="minorEastAsia"/>
                <w:sz w:val="24"/>
                <w:highlight w:val="none"/>
              </w:rPr>
              <w:t>年</w:t>
            </w:r>
            <w:r>
              <w:rPr>
                <w:rStyle w:val="81"/>
                <w:rFonts w:hint="eastAsia" w:asciiTheme="minorEastAsia" w:hAnsiTheme="minorEastAsia" w:eastAsiaTheme="minorEastAsia"/>
                <w:sz w:val="24"/>
                <w:highlight w:val="none"/>
              </w:rPr>
              <w:t>8</w:t>
            </w:r>
            <w:r>
              <w:rPr>
                <w:rStyle w:val="81"/>
                <w:rFonts w:asciiTheme="minorEastAsia" w:hAnsiTheme="minorEastAsia" w:eastAsiaTheme="minorEastAsia"/>
                <w:sz w:val="24"/>
                <w:highlight w:val="none"/>
              </w:rPr>
              <w:t>月</w:t>
            </w:r>
            <w:r>
              <w:rPr>
                <w:rStyle w:val="81"/>
                <w:rFonts w:hint="eastAsia" w:asciiTheme="minorEastAsia" w:hAnsiTheme="minorEastAsia" w:eastAsiaTheme="minorEastAsia"/>
                <w:sz w:val="24"/>
                <w:highlight w:val="none"/>
              </w:rPr>
              <w:t>29</w:t>
            </w:r>
            <w:r>
              <w:rPr>
                <w:rStyle w:val="81"/>
                <w:rFonts w:asciiTheme="minorEastAsia" w:hAnsiTheme="minorEastAsia" w:eastAsiaTheme="minorEastAsia"/>
                <w:sz w:val="24"/>
                <w:highlight w:val="none"/>
              </w:rPr>
              <w:t>日</w:t>
            </w:r>
            <w:r>
              <w:rPr>
                <w:rStyle w:val="81"/>
                <w:rFonts w:hint="eastAsia" w:asciiTheme="minorEastAsia" w:hAnsiTheme="minorEastAsia" w:eastAsiaTheme="minorEastAsia"/>
                <w:sz w:val="24"/>
                <w:highlight w:val="none"/>
              </w:rPr>
              <w:t>14时30分</w:t>
            </w:r>
            <w:bookmarkEnd w:id="235"/>
            <w:r>
              <w:rPr>
                <w:rStyle w:val="81"/>
                <w:rFonts w:asciiTheme="minorEastAsia" w:hAnsiTheme="minorEastAsia" w:eastAsiaTheme="minorEastAsia"/>
                <w:sz w:val="24"/>
              </w:rPr>
              <w:t>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rPr>
            </w:pPr>
            <w:r>
              <w:rPr>
                <w:rFonts w:cs="宋体" w:asciiTheme="minorEastAsia" w:hAnsiTheme="minorEastAsia" w:eastAsiaTheme="minorEastAsia"/>
                <w:sz w:val="24"/>
              </w:rPr>
              <w:t>合同总价款5%金额</w:t>
            </w:r>
            <w:r>
              <w:rPr>
                <w:rFonts w:hint="eastAsia" w:cs="宋体" w:asciiTheme="minorEastAsia" w:hAnsiTheme="minorEastAsia" w:eastAsiaTheme="minorEastAsia"/>
                <w:sz w:val="24"/>
              </w:rPr>
              <w:t>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（5）税收缴纳证明：提供供应商2022年1月1日以来连续每月或每季度已缴纳的纳税证明或完税证明（提供增值税、企业所得税至少一种），依法免税的供应商应提供加盖公章的相关证明文件。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（8）单位负责人为同一人或者存在控股、管理关系的不同单位不得同时参加同一项目投标。</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9</w:t>
            </w:r>
            <w:r>
              <w:rPr>
                <w:rFonts w:hint="eastAsia" w:cs="宋体" w:asciiTheme="minorEastAsia" w:hAnsiTheme="minorEastAsia" w:eastAsiaTheme="minorEastAsia"/>
                <w:sz w:val="24"/>
                <w:szCs w:val="24"/>
                <w:lang w:val="zh-CN"/>
              </w:rPr>
              <w:t>）投标保证金缴纳凭证或担保机构出具的保函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CN"/>
              </w:rPr>
              <w:t>）中小企业声明函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16）《陕西省财政厅关于落实政府采购支持中小企业政策有关事项的通知》（陕财办采函〔2022〕10 号）；（17）《财政部关于进一步加大政府采购支持中小企业力度的通知》（财库〔2022〕19号）。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76" w:lineRule="auto"/>
              <w:rPr>
                <w:rFonts w:cs="宋体" w:asciiTheme="minorEastAsia" w:hAnsiTheme="minorEastAsia" w:eastAsiaTheme="minorEastAsia"/>
                <w:sz w:val="24"/>
              </w:rPr>
            </w:pPr>
            <w:r>
              <w:rPr>
                <w:rFonts w:cs="宋体" w:asciiTheme="minorEastAsia" w:hAnsiTheme="minorEastAsia" w:eastAsiaTheme="minorEastAsia"/>
                <w:sz w:val="24"/>
              </w:rPr>
              <w:t>（1）合同签订后5个工作日内，乙方向甲方出具合同总价款5%金额</w:t>
            </w:r>
            <w:r>
              <w:rPr>
                <w:rFonts w:hint="eastAsia" w:cs="宋体" w:asciiTheme="minorEastAsia" w:hAnsiTheme="minorEastAsia" w:eastAsiaTheme="minorEastAsia"/>
                <w:sz w:val="24"/>
              </w:rPr>
              <w:t>的银行保函，</w:t>
            </w:r>
            <w:r>
              <w:rPr>
                <w:rFonts w:cs="宋体" w:asciiTheme="minorEastAsia" w:hAnsiTheme="minorEastAsia" w:eastAsiaTheme="minorEastAsia"/>
                <w:sz w:val="24"/>
              </w:rPr>
              <w:t>保函有效期截止时间为项目验收合格</w:t>
            </w:r>
            <w:r>
              <w:rPr>
                <w:rFonts w:hint="eastAsia" w:cs="宋体" w:asciiTheme="minorEastAsia" w:hAnsiTheme="minorEastAsia" w:eastAsiaTheme="minorEastAsia"/>
                <w:sz w:val="24"/>
              </w:rPr>
              <w:t>之日</w:t>
            </w:r>
            <w:r>
              <w:rPr>
                <w:rFonts w:cs="宋体" w:asciiTheme="minorEastAsia" w:hAnsiTheme="minorEastAsia" w:eastAsiaTheme="minorEastAsia"/>
                <w:sz w:val="24"/>
              </w:rPr>
              <w:t>；</w:t>
            </w:r>
          </w:p>
          <w:p>
            <w:pPr>
              <w:adjustRightInd w:val="0"/>
              <w:snapToGrid w:val="0"/>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2）甲方收到乙方合格银行保函后支付全部合同总价款；</w:t>
            </w:r>
          </w:p>
          <w:p>
            <w:pPr>
              <w:adjustRightInd w:val="0"/>
              <w:snapToGrid w:val="0"/>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3）乙方承诺在甲方办理支付手续前，为甲方出具等额的符合国家规定的发票；</w:t>
            </w:r>
          </w:p>
          <w:p>
            <w:pPr>
              <w:adjustRightInd w:val="0"/>
              <w:snapToGrid w:val="0"/>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4）上述时间不包括甲方正常办理支付报批手续的时间（办理银行担保所需的手续</w:t>
            </w:r>
            <w:r>
              <w:rPr>
                <w:rFonts w:hint="eastAsia" w:cs="宋体" w:asciiTheme="minorEastAsia" w:hAnsiTheme="minorEastAsia" w:eastAsiaTheme="minorEastAsia"/>
                <w:sz w:val="24"/>
              </w:rPr>
              <w:t>费、</w:t>
            </w:r>
            <w:r>
              <w:rPr>
                <w:rFonts w:cs="宋体" w:asciiTheme="minorEastAsia" w:hAnsiTheme="minorEastAsia" w:eastAsiaTheme="minorEastAsia"/>
                <w:sz w:val="24"/>
              </w:rPr>
              <w:t>担保费等全部由中标人承担）。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sz w:val="24"/>
                <w:lang w:val="zh-CN"/>
              </w:rPr>
            </w:pPr>
            <w:r>
              <w:rPr>
                <w:rFonts w:hint="eastAsia"/>
                <w:sz w:val="24"/>
              </w:rPr>
              <w:t>1.</w:t>
            </w:r>
            <w:r>
              <w:rPr>
                <w:rFonts w:hint="eastAsia"/>
                <w:sz w:val="24"/>
                <w:lang w:val="zh-CN"/>
              </w:rPr>
              <w:t>各投标供应商需明确承诺对本项目所提供的相关资料保密，不得泄露或挪作他用，一经发现，将追究其法律责任。</w:t>
            </w:r>
          </w:p>
          <w:p>
            <w:pPr>
              <w:spacing w:line="276" w:lineRule="auto"/>
              <w:jc w:val="left"/>
              <w:rPr>
                <w:lang w:val="zh-CN"/>
              </w:rPr>
            </w:pPr>
            <w:r>
              <w:rPr>
                <w:rFonts w:hint="eastAsia"/>
                <w:sz w:val="24"/>
              </w:rPr>
              <w:t>2.</w:t>
            </w:r>
            <w:r>
              <w:rPr>
                <w:rFonts w:hint="eastAsia"/>
                <w:sz w:val="24"/>
                <w:lang w:val="zh-CN"/>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1"/>
                <w:rFonts w:hint="eastAsia" w:asciiTheme="minorEastAsia" w:hAnsiTheme="minorEastAsia" w:eastAsiaTheme="minorEastAsia"/>
                <w:sz w:val="24"/>
                <w:u w:val="single"/>
              </w:rPr>
              <w:t>货物类</w:t>
            </w:r>
            <w:r>
              <w:rPr>
                <w:rStyle w:val="81"/>
                <w:rFonts w:hint="eastAsia" w:asciiTheme="minorEastAsia" w:hAnsiTheme="minorEastAsia" w:eastAsiaTheme="minorEastAsia"/>
                <w:sz w:val="24"/>
              </w:rPr>
              <w:t>规定收取。</w:t>
            </w:r>
          </w:p>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代理报酬的币种：人民币 汇率：无</w:t>
            </w:r>
          </w:p>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代理报酬的支付方式：中标人直接支付给招标代理机构。</w:t>
            </w:r>
          </w:p>
          <w:p>
            <w:pPr>
              <w:spacing w:line="276" w:lineRule="auto"/>
              <w:jc w:val="left"/>
              <w:rPr>
                <w:rFonts w:cs="宋体" w:asciiTheme="minorEastAsia" w:hAnsiTheme="minorEastAsia" w:eastAsiaTheme="minorEastAsia"/>
                <w:sz w:val="24"/>
                <w:lang w:val="zh-CN"/>
              </w:rPr>
            </w:pPr>
            <w:r>
              <w:rPr>
                <w:rStyle w:val="81"/>
                <w:rFonts w:hint="eastAsia" w:asciiTheme="minorEastAsia" w:hAnsiTheme="minorEastAsia" w:eastAsiaTheme="minorEastAsia"/>
                <w:sz w:val="24"/>
              </w:rPr>
              <w:t>代理报酬的支付时间：《中标通知书》发出前。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bookmarkStart w:id="22" w:name="_Toc2761_WPSOffice_Level2"/>
            <w:bookmarkStart w:id="23" w:name="_Toc217390843"/>
            <w:bookmarkStart w:id="24" w:name="_Toc183682344"/>
            <w:bookmarkStart w:id="25" w:name="_Toc183582207"/>
            <w:bookmarkStart w:id="26" w:name="_Toc217446036"/>
            <w:r>
              <w:rPr>
                <w:rFonts w:hint="eastAsia" w:cs="宋体" w:asciiTheme="minorEastAsia" w:hAnsiTheme="minorEastAsia" w:eastAsiaTheme="minorEastAsia"/>
                <w:sz w:val="24"/>
              </w:rPr>
              <w:t>38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hint="eastAsia" w:asciiTheme="minorEastAsia" w:hAnsiTheme="minorEastAsia" w:eastAsiaTheme="minorEastAsia"/>
                <w:sz w:val="24"/>
              </w:rPr>
              <w:t>本项目所属行业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工业</w:t>
            </w:r>
          </w:p>
        </w:tc>
      </w:tr>
      <w:bookmarkEnd w:id="13"/>
      <w:bookmarkEnd w:id="14"/>
      <w:bookmarkEnd w:id="15"/>
      <w:bookmarkEnd w:id="16"/>
      <w:bookmarkEnd w:id="17"/>
      <w:bookmarkEnd w:id="18"/>
      <w:bookmarkEnd w:id="19"/>
      <w:bookmarkEnd w:id="20"/>
      <w:bookmarkEnd w:id="21"/>
    </w:tbl>
    <w:p>
      <w:pPr>
        <w:pStyle w:val="4"/>
        <w:numPr>
          <w:ilvl w:val="0"/>
          <w:numId w:val="6"/>
        </w:numPr>
        <w:tabs>
          <w:tab w:val="left" w:pos="422"/>
        </w:tabs>
        <w:spacing w:line="360" w:lineRule="auto"/>
        <w:rPr>
          <w:rFonts w:cs="宋体" w:asciiTheme="minorEastAsia" w:hAnsiTheme="minorEastAsia" w:eastAsiaTheme="minorEastAsia"/>
          <w:bCs/>
          <w:sz w:val="36"/>
          <w:szCs w:val="36"/>
        </w:rPr>
      </w:pPr>
      <w:r>
        <w:rPr>
          <w:rFonts w:hint="eastAsia" w:cs="宋体" w:asciiTheme="minorEastAsia" w:hAnsiTheme="minorEastAsia" w:eastAsiaTheme="minorEastAsia"/>
          <w:bCs/>
          <w:sz w:val="36"/>
          <w:szCs w:val="36"/>
        </w:rPr>
        <w:br w:type="page"/>
      </w:r>
      <w:bookmarkStart w:id="27" w:name="_Toc9934"/>
      <w:bookmarkStart w:id="28" w:name="_Toc25601"/>
      <w:bookmarkStart w:id="29" w:name="_Toc2446"/>
      <w:bookmarkStart w:id="30" w:name="_Toc13795"/>
      <w:bookmarkStart w:id="31" w:name="_Toc23837"/>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本招标文件仅适用于本次公开招标所叙述的货物类项目采购活动。</w:t>
      </w:r>
      <w:bookmarkStart w:id="32" w:name="_Toc217446035"/>
      <w:bookmarkStart w:id="33" w:name="_Toc183682343"/>
      <w:bookmarkStart w:id="34" w:name="_Toc183582206"/>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“服务”是指招标文件规定投标供应商须承担的安装、测试、检验、调试、技术支持以及其他类似的义务。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183582208"/>
      <w:bookmarkStart w:id="36" w:name="_Toc217446037"/>
      <w:bookmarkStart w:id="37" w:name="_Toc183682345"/>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89075875"/>
      <w:bookmarkStart w:id="40" w:name="_Toc183582209"/>
      <w:bookmarkStart w:id="41" w:name="_Toc217446038"/>
      <w:bookmarkStart w:id="42" w:name="_Toc77400779"/>
      <w:bookmarkStart w:id="43" w:name="_Toc183682346"/>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4"/>
        <w:tabs>
          <w:tab w:val="left" w:pos="422"/>
        </w:tabs>
        <w:spacing w:line="360" w:lineRule="auto"/>
        <w:rPr>
          <w:rFonts w:cs="宋体" w:asciiTheme="minorEastAsia" w:hAnsiTheme="minorEastAsia" w:eastAsiaTheme="minorEastAsia"/>
          <w:bCs/>
          <w:sz w:val="36"/>
          <w:szCs w:val="36"/>
        </w:rPr>
      </w:pPr>
      <w:bookmarkStart w:id="44" w:name="_Toc20123_WPSOffice_Level2"/>
      <w:bookmarkStart w:id="45" w:name="_Toc29613"/>
      <w:bookmarkStart w:id="46" w:name="_Toc29530"/>
      <w:bookmarkStart w:id="47" w:name="_Toc707"/>
      <w:bookmarkStart w:id="48" w:name="_Toc32361"/>
      <w:bookmarkStart w:id="49" w:name="_Toc17849"/>
      <w:bookmarkStart w:id="50" w:name="_Toc183582211"/>
      <w:bookmarkStart w:id="51" w:name="_Toc183682348"/>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183682347"/>
      <w:bookmarkStart w:id="54" w:name="_Toc183582210"/>
      <w:bookmarkStart w:id="55" w:name="_Toc217446039"/>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17446041"/>
      <w:bookmarkStart w:id="57" w:name="_Toc20884897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582213"/>
      <w:bookmarkStart w:id="59" w:name="_Toc183682350"/>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31384"/>
      <w:bookmarkStart w:id="61" w:name="_Toc484_WPSOffice_Level2"/>
      <w:bookmarkStart w:id="62" w:name="_Toc217446043"/>
      <w:bookmarkStart w:id="63" w:name="_Toc183582215"/>
      <w:bookmarkStart w:id="64" w:name="_Toc183682352"/>
    </w:p>
    <w:p>
      <w:pPr>
        <w:pStyle w:val="4"/>
        <w:spacing w:line="360" w:lineRule="auto"/>
        <w:rPr>
          <w:rFonts w:cs="宋体" w:asciiTheme="minorEastAsia" w:hAnsiTheme="minorEastAsia" w:eastAsiaTheme="minorEastAsia"/>
          <w:sz w:val="36"/>
          <w:szCs w:val="36"/>
        </w:rPr>
      </w:pPr>
      <w:bookmarkStart w:id="65" w:name="_Toc27335"/>
      <w:bookmarkStart w:id="66" w:name="_Toc14265"/>
      <w:bookmarkStart w:id="67" w:name="_Toc15560"/>
      <w:bookmarkStart w:id="68" w:name="_Toc2156"/>
      <w:r>
        <w:rPr>
          <w:rFonts w:hint="eastAsia" w:cs="宋体" w:asciiTheme="minorEastAsia" w:hAnsiTheme="minorEastAsia" w:eastAsiaTheme="minorEastAsia"/>
          <w:sz w:val="36"/>
          <w:szCs w:val="36"/>
        </w:rPr>
        <w:t>3.</w:t>
      </w:r>
      <w:bookmarkEnd w:id="60"/>
      <w:bookmarkEnd w:id="61"/>
      <w:r>
        <w:rPr>
          <w:rFonts w:hint="eastAsia" w:cs="宋体" w:asciiTheme="minorEastAsia" w:hAnsiTheme="minorEastAsia" w:eastAsiaTheme="minorEastAsia"/>
          <w:sz w:val="36"/>
          <w:szCs w:val="36"/>
        </w:rPr>
        <w:t xml:space="preserve"> </w:t>
      </w:r>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（5）税收缴纳证明：提供供应商2022年1月1日以来连续每月或每季度已缴纳的纳税证明或完税证明（提供增值税、企业所得税至少一种），依法免税的供应商应提供加盖公章的相关证明文件。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6"/>
        <w:spacing w:before="0" w:beforeAutospacing="0" w:after="0" w:afterAutospacing="0" w:line="360" w:lineRule="auto"/>
        <w:ind w:firstLine="480" w:firstLineChars="2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9</w:t>
      </w:r>
      <w:r>
        <w:rPr>
          <w:rFonts w:hint="eastAsia" w:cs="宋体" w:asciiTheme="minorEastAsia" w:hAnsiTheme="minorEastAsia" w:eastAsiaTheme="minorEastAsia"/>
          <w:sz w:val="24"/>
          <w:szCs w:val="24"/>
          <w:lang w:val="zh-CN"/>
        </w:rPr>
        <w:t>）投标保证金缴纳凭证或担保机构出具的保函</w:t>
      </w:r>
    </w:p>
    <w:p>
      <w:pPr>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10</w:t>
      </w:r>
      <w:r>
        <w:rPr>
          <w:rFonts w:hint="eastAsia" w:cs="宋体" w:asciiTheme="minorEastAsia" w:hAnsiTheme="minorEastAsia" w:eastAsiaTheme="minorEastAsia"/>
          <w:sz w:val="24"/>
          <w:lang w:val="zh-CN"/>
        </w:rPr>
        <w:t>）中小企业声明函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陕财办采函【2022】10号《陕西省财政厅关于落实政府采购支持中小企业政策有关事项的通知》。发布公告时未预留份额专门面向中小企业的货物服务项目，对于符合规定的小微企业给予15%的价格优惠，用扣除后的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货物服务采购项目联合体协议或者分包意向协议约定小微企业的合同份额占到合同总金额30%以上的，对联合体或者大中型企业报价给予4%-6%的扣除，用扣除后的价格参加评审。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4"/>
        <w:tabs>
          <w:tab w:val="left" w:pos="422"/>
        </w:tabs>
        <w:spacing w:line="360" w:lineRule="auto"/>
        <w:rPr>
          <w:rFonts w:cs="宋体" w:asciiTheme="minorEastAsia" w:hAnsiTheme="minorEastAsia" w:eastAsiaTheme="minorEastAsia"/>
          <w:bCs/>
          <w:sz w:val="36"/>
          <w:szCs w:val="36"/>
        </w:rPr>
      </w:pPr>
      <w:bookmarkStart w:id="69" w:name="_Toc10174_WPSOffice_Level2"/>
      <w:bookmarkStart w:id="70" w:name="_Toc6337"/>
      <w:bookmarkStart w:id="71" w:name="_Toc32581"/>
      <w:bookmarkStart w:id="72" w:name="_Toc28762"/>
      <w:bookmarkStart w:id="73" w:name="_Toc27535"/>
      <w:bookmarkStart w:id="74" w:name="_Toc22597"/>
      <w:bookmarkStart w:id="75" w:name="_Toc183582217"/>
      <w:bookmarkStart w:id="76" w:name="_Toc183682354"/>
      <w:bookmarkStart w:id="77" w:name="_Toc217446048"/>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（5）投标方案（含技术方案、实施方案、履约能力、售后服务及培训</w:t>
      </w:r>
      <w:r>
        <w:rPr>
          <w:rFonts w:hint="eastAsia" w:ascii="宋体" w:hAnsi="宋体" w:cs="宋体"/>
          <w:sz w:val="24"/>
        </w:rPr>
        <w:t>等</w:t>
      </w:r>
      <w:r>
        <w:rPr>
          <w:rFonts w:hint="eastAsia" w:cs="宋体" w:asciiTheme="minorEastAsia" w:hAnsiTheme="minorEastAsia" w:eastAsiaTheme="minorEastAsia"/>
          <w:sz w:val="24"/>
        </w:rPr>
        <w:t>）</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14500"/>
      <w:bookmarkStart w:id="79" w:name="_Toc27019"/>
      <w:bookmarkStart w:id="80" w:name="_Toc32671"/>
      <w:bookmarkStart w:id="81" w:name="_Toc311415592"/>
      <w:bookmarkStart w:id="82" w:name="_Toc27601"/>
      <w:bookmarkStart w:id="83" w:name="_Toc28013"/>
      <w:bookmarkStart w:id="84" w:name="_Toc7650"/>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pStyle w:val="28"/>
        <w:spacing w:line="360" w:lineRule="auto"/>
        <w:ind w:firstLine="480"/>
        <w:rPr>
          <w:rFonts w:ascii="宋体" w:hAnsi="宋体" w:cs="宋体"/>
          <w:sz w:val="24"/>
          <w:szCs w:val="24"/>
        </w:rPr>
      </w:pPr>
      <w:r>
        <w:rPr>
          <w:rFonts w:hint="eastAsia" w:ascii="宋体" w:hAnsi="宋体" w:cs="宋体"/>
          <w:sz w:val="24"/>
          <w:szCs w:val="24"/>
        </w:rPr>
        <w:t>人民币拾万元整（￥100000.00元）；</w:t>
      </w:r>
    </w:p>
    <w:p>
      <w:pPr>
        <w:pStyle w:val="28"/>
        <w:spacing w:line="360" w:lineRule="auto"/>
        <w:ind w:firstLine="480"/>
        <w:rPr>
          <w:rFonts w:ascii="宋体" w:hAnsi="宋体" w:cs="宋体"/>
          <w:sz w:val="24"/>
          <w:szCs w:val="24"/>
        </w:rPr>
      </w:pPr>
      <w:r>
        <w:rPr>
          <w:rFonts w:hint="eastAsia" w:ascii="宋体" w:hAnsi="宋体" w:cs="宋体"/>
          <w:sz w:val="24"/>
          <w:szCs w:val="24"/>
        </w:rPr>
        <w:t>采用电汇、转账、支票、汇票、本票或者金融机构、担保机构出具的保函等非现金形式提交，且确保在响应文件递交截止时间前到达采购代理机构指定账户。有效期为开标之日起90日历天。</w:t>
      </w:r>
    </w:p>
    <w:p>
      <w:pPr>
        <w:pStyle w:val="28"/>
        <w:spacing w:line="360" w:lineRule="auto"/>
        <w:ind w:firstLine="480"/>
        <w:rPr>
          <w:rFonts w:ascii="宋体" w:hAnsi="宋体" w:cs="宋体"/>
          <w:sz w:val="24"/>
          <w:szCs w:val="24"/>
        </w:rPr>
      </w:pPr>
      <w:r>
        <w:rPr>
          <w:rFonts w:hint="eastAsia" w:ascii="宋体" w:hAnsi="宋体" w:cs="宋体"/>
          <w:sz w:val="24"/>
          <w:szCs w:val="24"/>
        </w:rPr>
        <w:t>账户名称：陕西源丰成工程项目管理有限公司</w:t>
      </w:r>
    </w:p>
    <w:p>
      <w:pPr>
        <w:pStyle w:val="28"/>
        <w:spacing w:line="360" w:lineRule="auto"/>
        <w:ind w:firstLine="480"/>
        <w:rPr>
          <w:rFonts w:ascii="宋体" w:hAnsi="宋体" w:cs="宋体"/>
          <w:sz w:val="24"/>
          <w:szCs w:val="24"/>
        </w:rPr>
      </w:pPr>
      <w:r>
        <w:rPr>
          <w:rFonts w:hint="eastAsia" w:ascii="宋体" w:hAnsi="宋体" w:cs="宋体"/>
          <w:sz w:val="24"/>
          <w:szCs w:val="24"/>
        </w:rPr>
        <w:t>开户银行：交通银行唐延路支行</w:t>
      </w:r>
    </w:p>
    <w:p>
      <w:pPr>
        <w:pStyle w:val="28"/>
        <w:spacing w:line="360" w:lineRule="auto"/>
        <w:ind w:firstLine="480"/>
        <w:rPr>
          <w:rFonts w:ascii="宋体" w:hAnsi="宋体" w:cs="宋体"/>
          <w:sz w:val="24"/>
          <w:szCs w:val="24"/>
        </w:rPr>
      </w:pPr>
      <w:r>
        <w:rPr>
          <w:rFonts w:hint="eastAsia" w:ascii="宋体" w:hAnsi="宋体" w:cs="宋体"/>
          <w:sz w:val="24"/>
          <w:szCs w:val="24"/>
        </w:rPr>
        <w:t>账 号：6113 0107 2013 0000 59267</w:t>
      </w:r>
    </w:p>
    <w:p>
      <w:pPr>
        <w:pStyle w:val="28"/>
        <w:spacing w:line="360" w:lineRule="auto"/>
        <w:ind w:firstLine="480"/>
        <w:rPr>
          <w:rFonts w:ascii="宋体" w:hAnsi="宋体" w:cs="宋体"/>
          <w:sz w:val="24"/>
          <w:szCs w:val="24"/>
        </w:rPr>
      </w:pPr>
      <w:r>
        <w:rPr>
          <w:rFonts w:hint="eastAsia" w:ascii="宋体" w:hAnsi="宋体" w:cs="宋体"/>
          <w:sz w:val="24"/>
          <w:szCs w:val="24"/>
        </w:rPr>
        <w:t>转账事由：(项目名称简称或全称） 投标保证金</w:t>
      </w:r>
    </w:p>
    <w:p>
      <w:pPr>
        <w:pStyle w:val="28"/>
        <w:spacing w:line="360" w:lineRule="auto"/>
        <w:ind w:firstLine="480"/>
        <w:rPr>
          <w:rFonts w:ascii="宋体" w:hAnsi="宋体" w:cs="宋体"/>
          <w:sz w:val="24"/>
          <w:szCs w:val="24"/>
        </w:rPr>
      </w:pPr>
      <w:r>
        <w:rPr>
          <w:rFonts w:hint="eastAsia" w:ascii="宋体" w:hAnsi="宋体" w:cs="宋体"/>
          <w:sz w:val="24"/>
          <w:szCs w:val="24"/>
        </w:rPr>
        <w:t>投标保证金交纳后，投标文件中附投标保证金转账凭证（加盖公章）或担保机构出具的保函，作为投标保证金交纳的依据，否则按无效投标文件处理。</w:t>
      </w:r>
    </w:p>
    <w:p>
      <w:pPr>
        <w:pStyle w:val="28"/>
        <w:spacing w:line="360" w:lineRule="auto"/>
        <w:ind w:firstLine="480"/>
        <w:rPr>
          <w:rFonts w:ascii="宋体" w:hAnsi="宋体" w:cs="宋体"/>
          <w:sz w:val="24"/>
          <w:szCs w:val="24"/>
        </w:rPr>
      </w:pPr>
      <w:r>
        <w:rPr>
          <w:rFonts w:hint="eastAsia" w:ascii="宋体" w:hAnsi="宋体" w:cs="宋体"/>
          <w:sz w:val="24"/>
          <w:szCs w:val="24"/>
        </w:rPr>
        <w:t>投标保证金递交截止时间：投标截止时间</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183682355"/>
      <w:bookmarkStart w:id="86" w:name="_Toc217446049"/>
      <w:bookmarkStart w:id="87" w:name="_Toc183582218"/>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183682360"/>
      <w:bookmarkStart w:id="89" w:name="_Toc217446050"/>
      <w:bookmarkStart w:id="90" w:name="_Toc183582223"/>
    </w:p>
    <w:bookmarkEnd w:id="88"/>
    <w:bookmarkEnd w:id="89"/>
    <w:bookmarkEnd w:id="90"/>
    <w:p>
      <w:pPr>
        <w:spacing w:line="360" w:lineRule="auto"/>
        <w:rPr>
          <w:rFonts w:cs="宋体" w:asciiTheme="minorEastAsia" w:hAnsiTheme="minorEastAsia" w:eastAsiaTheme="minorEastAsia"/>
          <w:b/>
          <w:sz w:val="30"/>
          <w:szCs w:val="30"/>
        </w:rPr>
      </w:pPr>
      <w:bookmarkStart w:id="91" w:name="_Toc217446052"/>
      <w:bookmarkStart w:id="92" w:name="_Toc183682362"/>
      <w:bookmarkStart w:id="93" w:name="_Toc183582225"/>
      <w:bookmarkStart w:id="94" w:name="_Toc89075877"/>
      <w:bookmarkStart w:id="95" w:name="_Toc77400781"/>
      <w:bookmarkStart w:id="96" w:name="_Toc183582226"/>
      <w:bookmarkStart w:id="97" w:name="_Toc217446053"/>
      <w:bookmarkStart w:id="98" w:name="_Toc183682363"/>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831_WPSOffice_Level2"/>
      <w:bookmarkStart w:id="100" w:name="_Toc32254"/>
      <w:bookmarkStart w:id="101" w:name="_Toc11957"/>
      <w:bookmarkStart w:id="102" w:name="_Toc31218"/>
      <w:bookmarkStart w:id="103" w:name="_Toc19082"/>
      <w:bookmarkStart w:id="104" w:name="_Toc10920"/>
      <w:bookmarkStart w:id="105" w:name="_Toc183682368"/>
      <w:bookmarkStart w:id="106" w:name="_Toc89075878"/>
      <w:bookmarkStart w:id="107" w:name="_Toc217446056"/>
      <w:bookmarkStart w:id="108" w:name="_Toc183582231"/>
      <w:bookmarkStart w:id="109" w:name="_Toc77400782"/>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582227"/>
      <w:bookmarkStart w:id="111" w:name="_Toc183682364"/>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582228"/>
      <w:bookmarkStart w:id="114" w:name="_Toc183682365"/>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3795"/>
      <w:bookmarkStart w:id="117" w:name="_Toc32113"/>
      <w:bookmarkStart w:id="118" w:name="_Toc11423"/>
      <w:bookmarkStart w:id="119" w:name="_Toc9468_WPSOffice_Level2"/>
      <w:bookmarkStart w:id="120" w:name="_Toc17841"/>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（6）唱标：当众开标，宣唱供应商名称、投标报价、交货期及其他内容，并记录在案；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31588"/>
      <w:bookmarkStart w:id="124" w:name="_Toc1134"/>
      <w:bookmarkStart w:id="125" w:name="_Toc27704"/>
      <w:bookmarkStart w:id="126" w:name="_Toc24302"/>
      <w:bookmarkStart w:id="127" w:name="_Toc4278_WPSOffice_Level2"/>
      <w:bookmarkStart w:id="128" w:name="_Toc6643"/>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法定代表人参加投标的，须提供本人身份证加盖公章的复印件；法定代表人授权他人参加投标的，须提供法定代表人授权委托书及被授权代表的身份证复印件。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提供2021年度经审计的财务会计报告；成立时间至提交投标文件截止时间不足一年的可提供成立后任意时段的资产负债表或投标截止时间前三个月内银行出具的资信证明文件或信用担保机构出具的投标担保函。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zh-CN"/>
              </w:rPr>
              <w:t>提供供应商2022年1月1日以来连续每月或每季度已缴纳的纳税证明或完税证明（提供增值税、企业所得税至少一种）</w:t>
            </w:r>
            <w:r>
              <w:rPr>
                <w:rFonts w:hint="eastAsia" w:ascii="宋体" w:hAnsi="宋体" w:cs="宋体"/>
                <w:szCs w:val="21"/>
              </w:rPr>
              <w:t>；</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（2）依法免税的应提供相关文件证明；</w:t>
            </w:r>
          </w:p>
          <w:p>
            <w:pPr>
              <w:pStyle w:val="16"/>
              <w:tabs>
                <w:tab w:val="left" w:pos="851"/>
              </w:tabs>
              <w:adjustRightInd w:val="0"/>
              <w:snapToGrid w:val="0"/>
              <w:spacing w:line="360" w:lineRule="auto"/>
              <w:rPr>
                <w:rFonts w:hAnsi="宋体" w:cs="宋体"/>
              </w:rPr>
            </w:pPr>
            <w:r>
              <w:rPr>
                <w:rFonts w:hint="eastAsia" w:hAnsi="宋体" w:cs="宋体"/>
              </w:rPr>
              <w:t>（3）公益类事业单位无需提供；</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val="zh-CN"/>
              </w:rPr>
              <w:t>提供供应商2022年1月1日以来连续每月已缴纳的社会保障资金缴存单据或社保机构开具的社会保险参保缴费情况证明</w:t>
            </w:r>
            <w:r>
              <w:rPr>
                <w:rFonts w:hint="eastAsia" w:ascii="宋体" w:hAnsi="宋体" w:cs="宋体"/>
                <w:szCs w:val="21"/>
              </w:rPr>
              <w:t>；</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（2）依法不需要缴纳社会保障资金的供应商应提供相关文件证明；</w:t>
            </w:r>
          </w:p>
          <w:p>
            <w:pPr>
              <w:spacing w:line="360" w:lineRule="auto"/>
              <w:rPr>
                <w:rFonts w:ascii="宋体" w:hAnsi="宋体" w:cs="宋体"/>
                <w:szCs w:val="21"/>
              </w:rPr>
            </w:pPr>
            <w:r>
              <w:rPr>
                <w:rFonts w:hint="eastAsia" w:ascii="宋体" w:hAnsi="宋体" w:cs="宋体"/>
                <w:szCs w:val="21"/>
              </w:rPr>
              <w:t>（3）公益类事业单位无需提供；</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rPr>
              <w:t>（4）新成立未发生缴纳社保资金事项的供应商，应提供缴纳社保资金的书面承诺。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投标供应商声明书</w:t>
            </w:r>
            <w:r>
              <w:rPr>
                <w:rFonts w:hint="eastAsia" w:cs="宋体" w:asciiTheme="minorEastAsia" w:hAnsiTheme="minorEastAsia" w:eastAsiaTheme="minorEastAsia"/>
                <w:b/>
                <w:bCs/>
                <w:szCs w:val="21"/>
                <w:lang w:val="zh-CN"/>
              </w:rPr>
              <w:t>：</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ascii="宋体" w:hAnsi="宋体" w:cs="宋体"/>
                <w:szCs w:val="21"/>
              </w:rPr>
            </w:pPr>
            <w:r>
              <w:rPr>
                <w:rFonts w:hint="eastAsia" w:ascii="宋体" w:hAnsi="宋体" w:cs="宋体"/>
                <w:szCs w:val="21"/>
              </w:rPr>
              <w:t>评审现场</w:t>
            </w:r>
          </w:p>
          <w:p>
            <w:pPr>
              <w:spacing w:line="276" w:lineRule="auto"/>
              <w:jc w:val="center"/>
              <w:rPr>
                <w:rFonts w:cs="宋体" w:asciiTheme="minorEastAsia" w:hAnsiTheme="minorEastAsia" w:eastAsiaTheme="minorEastAsia"/>
                <w:szCs w:val="21"/>
              </w:rPr>
            </w:pPr>
            <w:r>
              <w:rPr>
                <w:rFonts w:hint="eastAsia" w:ascii="宋体" w:hAnsi="宋体" w:cs="宋体"/>
                <w:szCs w:val="21"/>
              </w:rPr>
              <w:t>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left"/>
              <w:rPr>
                <w:szCs w:val="21"/>
                <w:lang w:val="zh-CN"/>
              </w:rPr>
            </w:pPr>
            <w:r>
              <w:rPr>
                <w:szCs w:val="21"/>
                <w:lang w:val="zh-CN"/>
              </w:rPr>
              <w:t>投标保证金缴纳凭证或担保机构出具的保函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5015" w:type="dxa"/>
            <w:vAlign w:val="center"/>
          </w:tcPr>
          <w:p>
            <w:pPr>
              <w:spacing w:line="276" w:lineRule="auto"/>
              <w:jc w:val="left"/>
              <w:rPr>
                <w:szCs w:val="21"/>
                <w:lang w:val="zh-CN"/>
              </w:rPr>
            </w:pPr>
            <w:r>
              <w:rPr>
                <w:rFonts w:hint="eastAsia"/>
                <w:szCs w:val="21"/>
                <w:lang w:val="zh-CN"/>
              </w:rPr>
              <w:t>中小企业声明函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w:t>
            </w:r>
          </w:p>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11131"/>
      <w:bookmarkStart w:id="130" w:name="_Toc14007"/>
      <w:bookmarkStart w:id="131" w:name="_Toc20902_WPSOffice_Level2"/>
      <w:bookmarkStart w:id="132" w:name="_Toc26362"/>
      <w:bookmarkStart w:id="133" w:name="_Toc22863"/>
      <w:bookmarkStart w:id="134" w:name="_Toc11771"/>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23981_WPSOffice_Level2"/>
      <w:bookmarkStart w:id="137" w:name="_Toc27714"/>
      <w:bookmarkStart w:id="138" w:name="_Toc9424"/>
      <w:bookmarkStart w:id="139" w:name="_Toc4147"/>
      <w:bookmarkStart w:id="140" w:name="_Toc5378"/>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582238"/>
      <w:bookmarkStart w:id="144" w:name="_Toc183682375"/>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14076"/>
      <w:bookmarkStart w:id="147" w:name="_Toc31615_WPSOffice_Level2"/>
      <w:bookmarkStart w:id="148" w:name="_Toc14210"/>
      <w:bookmarkStart w:id="149" w:name="_Toc28673"/>
      <w:bookmarkStart w:id="150" w:name="_Toc6950"/>
      <w:bookmarkStart w:id="151" w:name="_Toc546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10%。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4361_WPSOffice_Level2"/>
      <w:bookmarkStart w:id="153" w:name="_Toc4810"/>
      <w:bookmarkStart w:id="154" w:name="_Toc24558"/>
      <w:bookmarkStart w:id="155" w:name="_Toc14868"/>
      <w:bookmarkStart w:id="156" w:name="_Toc12030"/>
      <w:bookmarkStart w:id="157" w:name="_Toc25573"/>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0" w:name="_Toc19376"/>
      <w:bookmarkStart w:id="161" w:name="_Toc4921"/>
      <w:bookmarkStart w:id="162" w:name="_Toc9564_WPSOffice_Level2"/>
      <w:bookmarkStart w:id="163" w:name="_Toc19418"/>
      <w:bookmarkStart w:id="164" w:name="_Toc1554"/>
      <w:bookmarkStart w:id="165" w:name="_Toc7339"/>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w:t>
      </w:r>
      <w:r>
        <w:rPr>
          <w:rFonts w:hint="eastAsia" w:cs="宋体" w:asciiTheme="minorEastAsia" w:hAnsiTheme="minorEastAsia" w:eastAsiaTheme="minorEastAsia"/>
          <w:b/>
          <w:bCs/>
          <w:sz w:val="24"/>
        </w:rPr>
        <w:t>货物类</w:t>
      </w:r>
      <w:r>
        <w:rPr>
          <w:rFonts w:hint="eastAsia" w:cs="宋体" w:asciiTheme="minorEastAsia" w:hAnsiTheme="minorEastAsia" w:eastAsiaTheme="minorEastAsia"/>
          <w:sz w:val="24"/>
        </w:rPr>
        <w:t>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代理费的支付方式：中标人直接支付给招标代理机构。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咨询电话：029-83665338</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6" w:name="_Toc21870"/>
      <w:bookmarkStart w:id="167" w:name="_Toc17345_WPSOffice_Level2"/>
      <w:bookmarkStart w:id="168" w:name="_Toc29808"/>
      <w:bookmarkStart w:id="169" w:name="_Toc10035"/>
      <w:bookmarkStart w:id="170" w:name="_Toc31867"/>
      <w:bookmarkStart w:id="171" w:name="_Toc3437"/>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20322"/>
      <w:bookmarkStart w:id="173" w:name="_Toc28454"/>
      <w:bookmarkStart w:id="174" w:name="_Toc32384"/>
      <w:bookmarkStart w:id="175" w:name="_Toc2023_WPSOffice_Level2"/>
      <w:bookmarkStart w:id="176" w:name="_Toc24421"/>
      <w:bookmarkStart w:id="177" w:name="_Toc5420"/>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浙江网商银行股份有限公司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上限1000万元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一年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中国建设银行股份有限公</w:t>
            </w:r>
          </w:p>
          <w:p>
            <w:pPr>
              <w:jc w:val="center"/>
              <w:rPr>
                <w:rFonts w:ascii="宋体" w:hAnsi="宋体" w:cs="宋体"/>
                <w:sz w:val="22"/>
              </w:rPr>
            </w:pPr>
            <w:r>
              <w:rPr>
                <w:rFonts w:hint="eastAsia" w:ascii="宋体" w:hAnsi="宋体" w:cs="宋体"/>
                <w:sz w:val="22"/>
              </w:rPr>
              <w:t>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根据单笔政府采购合同全额核</w:t>
            </w:r>
          </w:p>
          <w:p>
            <w:pPr>
              <w:jc w:val="center"/>
              <w:rPr>
                <w:rFonts w:ascii="宋体" w:hAnsi="宋体" w:cs="宋体"/>
                <w:sz w:val="22"/>
              </w:rPr>
            </w:pPr>
            <w:r>
              <w:rPr>
                <w:rFonts w:hint="eastAsia" w:ascii="宋体" w:hAnsi="宋体" w:cs="宋体"/>
                <w:sz w:val="22"/>
              </w:rPr>
              <w:t>定，最高融资金额为合同金额的</w:t>
            </w:r>
          </w:p>
          <w:p>
            <w:pPr>
              <w:jc w:val="center"/>
              <w:rPr>
                <w:rFonts w:ascii="宋体" w:hAnsi="宋体" w:cs="宋体"/>
                <w:sz w:val="22"/>
              </w:rPr>
            </w:pPr>
            <w:r>
              <w:rPr>
                <w:rFonts w:hint="eastAsia" w:ascii="宋体" w:hAnsi="宋体" w:cs="宋体"/>
                <w:sz w:val="22"/>
              </w:rPr>
              <w:t>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最长不超过（12）个月或超</w:t>
            </w:r>
          </w:p>
          <w:p>
            <w:pPr>
              <w:jc w:val="center"/>
              <w:rPr>
                <w:rFonts w:ascii="宋体" w:hAnsi="宋体" w:cs="宋体"/>
                <w:sz w:val="22"/>
              </w:rPr>
            </w:pPr>
            <w:r>
              <w:rPr>
                <w:rFonts w:hint="eastAsia" w:ascii="宋体" w:hAnsi="宋体" w:cs="宋体"/>
                <w:sz w:val="22"/>
              </w:rPr>
              <w:t>过（365）天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w:t>
            </w:r>
          </w:p>
          <w:p>
            <w:pPr>
              <w:jc w:val="center"/>
              <w:rPr>
                <w:rFonts w:ascii="宋体" w:hAnsi="宋体" w:cs="宋体"/>
                <w:sz w:val="22"/>
              </w:rPr>
            </w:pPr>
            <w:r>
              <w:rPr>
                <w:rFonts w:hint="eastAsia" w:ascii="宋体" w:hAnsi="宋体" w:cs="宋体"/>
                <w:sz w:val="22"/>
              </w:rPr>
              <w:t>率浮动期间（4％-5％）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2年期综合授信（提款期1年，每笔业务期限不超过1年）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原则上不超过（12）个月，最长不超过合同约定付款日期后两个月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3.85%至5%，实际放款利率视当期市场价格而定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融资申请人为公司的，额度最高不超过1000万元，融资申请人为个人的；额度不高于（含）300万元；单笔额度不高于订单金额的70%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最长不超过（12）个月或超</w:t>
            </w:r>
          </w:p>
          <w:p>
            <w:pPr>
              <w:jc w:val="center"/>
              <w:rPr>
                <w:rFonts w:ascii="宋体" w:hAnsi="宋体" w:cs="宋体"/>
                <w:sz w:val="22"/>
              </w:rPr>
            </w:pPr>
            <w:r>
              <w:rPr>
                <w:rFonts w:hint="eastAsia" w:ascii="宋体" w:hAnsi="宋体" w:cs="宋体"/>
                <w:sz w:val="22"/>
              </w:rPr>
              <w:t>过（365）天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浙商银行股份有限公司西安分行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最高不超过1000万元</w:t>
            </w:r>
          </w:p>
        </w:tc>
        <w:tc>
          <w:tcPr>
            <w:tcW w:w="1530"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利率浮动期间(依据总利率指导价执行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招商银行股份有限公司西安分行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单笔业务金额最高可贷中标合同金额80%，最高3000万元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最长不超过（36）个月或超</w:t>
            </w:r>
          </w:p>
          <w:p>
            <w:pPr>
              <w:jc w:val="center"/>
              <w:rPr>
                <w:rFonts w:ascii="宋体" w:hAnsi="宋体" w:cs="宋体"/>
                <w:sz w:val="22"/>
              </w:rPr>
            </w:pPr>
            <w:r>
              <w:rPr>
                <w:rFonts w:hint="eastAsia" w:ascii="宋体" w:hAnsi="宋体" w:cs="宋体"/>
                <w:sz w:val="22"/>
              </w:rPr>
              <w:t>过3年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按照全国银行间同业拆借中心发布的贷款市场报价利率（LPR）确定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小企业单笔授信500万元，首批规模5000万元；中大企业授信待定</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利率浮动期间（3.85%-5.5%）</w:t>
            </w:r>
          </w:p>
        </w:tc>
      </w:tr>
    </w:tbl>
    <w:p>
      <w:pPr>
        <w:spacing w:line="360" w:lineRule="auto"/>
        <w:ind w:firstLine="964" w:firstLineChars="200"/>
        <w:rPr>
          <w:rStyle w:val="96"/>
          <w:rFonts w:asciiTheme="minorEastAsia" w:hAnsiTheme="minorEastAsia" w:eastAsiaTheme="minorEastAsia"/>
          <w:sz w:val="48"/>
          <w:szCs w:val="48"/>
        </w:rPr>
        <w:sectPr>
          <w:footerReference r:id="rId12" w:type="first"/>
          <w:footerReference r:id="rId11" w:type="default"/>
          <w:pgSz w:w="11907" w:h="16840"/>
          <w:pgMar w:top="1474" w:right="1587" w:bottom="1474" w:left="1587" w:header="851" w:footer="992" w:gutter="0"/>
          <w:pgNumType w:start="1"/>
          <w:cols w:space="720" w:num="1"/>
          <w:titlePg/>
        </w:sectPr>
      </w:pPr>
    </w:p>
    <w:p>
      <w:pPr>
        <w:pStyle w:val="3"/>
        <w:numPr>
          <w:ilvl w:val="0"/>
          <w:numId w:val="5"/>
        </w:numPr>
        <w:jc w:val="center"/>
      </w:pPr>
      <w:bookmarkStart w:id="179" w:name="_Toc29032"/>
      <w:bookmarkStart w:id="180" w:name="_Toc7691"/>
      <w:bookmarkStart w:id="181" w:name="_Toc4672"/>
      <w:bookmarkStart w:id="182" w:name="_Toc9050"/>
      <w:bookmarkStart w:id="183" w:name="_Toc217446093"/>
      <w:r>
        <w:rPr>
          <w:rFonts w:hint="eastAsia"/>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0"/>
        </w:numPr>
        <w:spacing w:after="120" w:afterLines="50" w:line="360" w:lineRule="auto"/>
        <w:outlineLvl w:val="1"/>
        <w:rPr>
          <w:rFonts w:cs="宋体" w:asciiTheme="minorEastAsia" w:hAnsiTheme="minorEastAsia" w:eastAsiaTheme="minorEastAsia"/>
          <w:b/>
          <w:bCs/>
          <w:sz w:val="36"/>
          <w:szCs w:val="36"/>
        </w:rPr>
      </w:pPr>
      <w:bookmarkStart w:id="184" w:name="_Toc302"/>
      <w:bookmarkStart w:id="185" w:name="_Toc30218"/>
      <w:bookmarkStart w:id="186" w:name="_Toc22933"/>
      <w:bookmarkStart w:id="187" w:name="_Toc8151"/>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1.1评标按照下列程序进行（公开招标资格由采购人及代理机构审查，审查标准见第29页，评审专家进行符合性审查及综合赋分评审）：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（7）对技术方面（采购需求加</w:t>
            </w:r>
            <w:r>
              <w:rPr>
                <w:rFonts w:hint="eastAsia" w:ascii="宋体" w:hAnsi="宋体" w:cs="宋体"/>
                <w:sz w:val="24"/>
                <w:lang w:val="zh-CN"/>
              </w:rPr>
              <w:t>“★</w:t>
            </w:r>
            <w:r>
              <w:rPr>
                <w:rFonts w:hint="eastAsia" w:ascii="宋体" w:hAnsi="宋体" w:cs="宋体"/>
                <w:sz w:val="24"/>
              </w:rPr>
              <w:t>”条款</w:t>
            </w:r>
            <w:r>
              <w:rPr>
                <w:rFonts w:hint="eastAsia" w:cs="宋体" w:asciiTheme="minorEastAsia" w:hAnsiTheme="minorEastAsia" w:eastAsiaTheme="minorEastAsia"/>
                <w:sz w:val="24"/>
              </w:rPr>
              <w:t>）响应程度</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要求全面响应，不能偏离采购需求（技术方案）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（8）交货期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（10）质保期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（11）付款方式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bookmarkStart w:id="188" w:name="_Toc30191_WPSOffice_Level2"/>
      <w:bookmarkStart w:id="189" w:name="_Toc13791"/>
      <w:bookmarkStart w:id="190" w:name="_Toc13760"/>
      <w:bookmarkStart w:id="191" w:name="_Toc22839"/>
    </w:p>
    <w:p>
      <w:pPr>
        <w:spacing w:after="120" w:afterLines="50" w:line="360" w:lineRule="auto"/>
        <w:outlineLvl w:val="1"/>
        <w:rPr>
          <w:rFonts w:cs="宋体" w:asciiTheme="minorEastAsia" w:hAnsiTheme="minorEastAsia" w:eastAsiaTheme="minorEastAsia"/>
          <w:b/>
          <w:bCs/>
          <w:sz w:val="36"/>
          <w:szCs w:val="36"/>
        </w:rPr>
      </w:pPr>
      <w:bookmarkStart w:id="192" w:name="_Toc12920"/>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符合招标文件规定的小微企业、监狱企业、残疾人福利性单位优惠条件的投标供应商，价格给予15%的扣除，用扣除后的价格参与评审。（专门面向中小企业的项目不享受）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r>
        <w:rPr>
          <w:rFonts w:hint="eastAsia" w:cs="宋体" w:asciiTheme="minorEastAsia" w:hAnsiTheme="minorEastAsia" w:eastAsiaTheme="minorEastAsia"/>
          <w:b/>
          <w:bCs/>
          <w:sz w:val="24"/>
        </w:rPr>
        <w:t>综合评分明细表</w:t>
      </w:r>
    </w:p>
    <w:tbl>
      <w:tblPr>
        <w:tblStyle w:val="29"/>
        <w:tblW w:w="9647" w:type="dxa"/>
        <w:tblInd w:w="-44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26"/>
        <w:gridCol w:w="1292"/>
        <w:gridCol w:w="72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blHeader/>
        </w:trPr>
        <w:tc>
          <w:tcPr>
            <w:tcW w:w="1126" w:type="dxa"/>
            <w:tcBorders>
              <w:top w:val="outset" w:color="auto" w:sz="6"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项目</w:t>
            </w:r>
          </w:p>
        </w:tc>
        <w:tc>
          <w:tcPr>
            <w:tcW w:w="8521" w:type="dxa"/>
            <w:gridSpan w:val="2"/>
            <w:tcBorders>
              <w:top w:val="outset" w:color="auto" w:sz="6" w:space="0"/>
              <w:left w:val="outset" w:color="auto" w:sz="6" w:space="0"/>
              <w:bottom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评分标准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tcBorders>
              <w:top w:val="outset" w:color="auto" w:sz="6"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价格分</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30</w:t>
            </w:r>
            <w:r>
              <w:rPr>
                <w:rFonts w:hint="eastAsia" w:cs="Helvetica" w:asciiTheme="minorEastAsia" w:hAnsiTheme="minorEastAsia" w:eastAsiaTheme="minorEastAsia"/>
                <w:kern w:val="0"/>
                <w:sz w:val="24"/>
              </w:rPr>
              <w:t>分）</w:t>
            </w:r>
          </w:p>
        </w:tc>
        <w:tc>
          <w:tcPr>
            <w:tcW w:w="8521" w:type="dxa"/>
            <w:gridSpan w:val="2"/>
            <w:tcBorders>
              <w:top w:val="outset" w:color="auto" w:sz="6" w:space="0"/>
              <w:left w:val="outset" w:color="auto" w:sz="6" w:space="0"/>
              <w:bottom w:val="outset" w:color="auto" w:sz="6" w:space="0"/>
            </w:tcBorders>
            <w:vAlign w:val="center"/>
          </w:tcPr>
          <w:p>
            <w:pPr>
              <w:widowControl/>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采用低价优先法计算即满足招标文件要求且投标价格最低的投标报价为评标基准价，其价格为30分。其他投标人的价格分按照下列公式计算：</w:t>
            </w:r>
          </w:p>
          <w:p>
            <w:pPr>
              <w:widowControl/>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投标报价得分＝（评标基准价/投标报价）×30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restart"/>
            <w:tcBorders>
              <w:top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技术分</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55</w:t>
            </w:r>
            <w:r>
              <w:rPr>
                <w:rFonts w:hint="eastAsia" w:cs="Helvetica" w:asciiTheme="minorEastAsia" w:hAnsiTheme="minorEastAsia" w:eastAsiaTheme="minorEastAsia"/>
                <w:kern w:val="0"/>
                <w:sz w:val="24"/>
              </w:rPr>
              <w:t>分）</w:t>
            </w:r>
          </w:p>
        </w:tc>
        <w:tc>
          <w:tcPr>
            <w:tcW w:w="1292" w:type="dxa"/>
            <w:tcBorders>
              <w:top w:val="outset" w:color="auto" w:sz="6" w:space="0"/>
              <w:left w:val="outset" w:color="auto" w:sz="6" w:space="0"/>
              <w:bottom w:val="single" w:color="auto" w:sz="4" w:space="0"/>
              <w:right w:val="outset" w:color="auto" w:sz="6" w:space="0"/>
            </w:tcBorders>
            <w:vAlign w:val="center"/>
          </w:tcPr>
          <w:p>
            <w:pPr>
              <w:widowControl/>
              <w:jc w:val="center"/>
              <w:rPr>
                <w:rFonts w:asciiTheme="minorEastAsia" w:hAnsiTheme="minorEastAsia" w:eastAsiaTheme="minorEastAsia"/>
                <w:sz w:val="24"/>
              </w:rPr>
            </w:pPr>
            <w:r>
              <w:rPr>
                <w:rFonts w:hint="eastAsia" w:asciiTheme="minorEastAsia" w:hAnsiTheme="minorEastAsia" w:eastAsiaTheme="minorEastAsia"/>
                <w:sz w:val="24"/>
              </w:rPr>
              <w:t>技术参数和功能响应</w:t>
            </w:r>
          </w:p>
          <w:p>
            <w:pPr>
              <w:widowControl/>
              <w:spacing w:line="276" w:lineRule="auto"/>
              <w:jc w:val="center"/>
              <w:rPr>
                <w:rFonts w:cs="Helvetica" w:asciiTheme="minorEastAsia" w:hAnsiTheme="minorEastAsia" w:eastAsiaTheme="minorEastAsia"/>
                <w:kern w:val="0"/>
                <w:sz w:val="24"/>
              </w:rPr>
            </w:pPr>
            <w:r>
              <w:rPr>
                <w:rFonts w:hint="eastAsia" w:asciiTheme="minorEastAsia" w:hAnsiTheme="minorEastAsia" w:eastAsiaTheme="minorEastAsia"/>
                <w:sz w:val="24"/>
              </w:rPr>
              <w:t>（</w:t>
            </w:r>
            <w:r>
              <w:rPr>
                <w:rFonts w:asciiTheme="minorEastAsia" w:hAnsiTheme="minorEastAsia" w:eastAsiaTheme="minorEastAsia"/>
                <w:sz w:val="24"/>
              </w:rPr>
              <w:t>30</w:t>
            </w:r>
            <w:r>
              <w:rPr>
                <w:rFonts w:hint="eastAsia" w:asciiTheme="minorEastAsia" w:hAnsiTheme="minorEastAsia" w:eastAsiaTheme="minorEastAsia"/>
                <w:sz w:val="24"/>
              </w:rPr>
              <w:t>分）</w:t>
            </w:r>
          </w:p>
        </w:tc>
        <w:tc>
          <w:tcPr>
            <w:tcW w:w="7229" w:type="dxa"/>
            <w:tcBorders>
              <w:top w:val="outset" w:color="auto" w:sz="6" w:space="0"/>
              <w:left w:val="outset" w:color="auto" w:sz="6"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hint="eastAsia" w:cs="仿宋" w:asciiTheme="minorEastAsia" w:hAnsiTheme="minorEastAsia" w:eastAsiaTheme="minorEastAsia"/>
                <w:color w:val="000000"/>
                <w:sz w:val="24"/>
              </w:rPr>
              <w:t>完全满足招标内容及要求的得3</w:t>
            </w:r>
            <w:r>
              <w:rPr>
                <w:rFonts w:cs="仿宋" w:asciiTheme="minorEastAsia" w:hAnsiTheme="minorEastAsia" w:eastAsiaTheme="minorEastAsia"/>
                <w:color w:val="000000"/>
                <w:sz w:val="24"/>
              </w:rPr>
              <w:t>0</w:t>
            </w:r>
            <w:r>
              <w:rPr>
                <w:rFonts w:hint="eastAsia" w:cs="仿宋" w:asciiTheme="minorEastAsia" w:hAnsiTheme="minorEastAsia" w:eastAsiaTheme="minorEastAsia"/>
                <w:color w:val="000000"/>
                <w:sz w:val="24"/>
              </w:rPr>
              <w:t>分。标注“★”的内容为不允许负偏离的实质性要求，有一项负偏离的视为技术上不满足招标文件要求，投标无效；标注</w:t>
            </w:r>
            <w:r>
              <w:rPr>
                <w:rFonts w:cs="仿宋" w:asciiTheme="minorEastAsia" w:hAnsiTheme="minorEastAsia" w:eastAsiaTheme="minorEastAsia"/>
                <w:color w:val="000000"/>
                <w:sz w:val="24"/>
              </w:rPr>
              <w:t>“▲”</w:t>
            </w:r>
            <w:r>
              <w:rPr>
                <w:rFonts w:hint="eastAsia" w:cs="仿宋" w:asciiTheme="minorEastAsia" w:hAnsiTheme="minorEastAsia" w:eastAsiaTheme="minorEastAsia"/>
                <w:color w:val="000000"/>
                <w:sz w:val="24"/>
              </w:rPr>
              <w:t>的参数为重要参数，每负偏离一项扣</w:t>
            </w:r>
            <w:r>
              <w:rPr>
                <w:rFonts w:cs="仿宋" w:asciiTheme="minorEastAsia" w:hAnsiTheme="minorEastAsia" w:eastAsiaTheme="minorEastAsia"/>
                <w:color w:val="000000"/>
                <w:sz w:val="24"/>
              </w:rPr>
              <w:t>2</w:t>
            </w:r>
            <w:r>
              <w:rPr>
                <w:rFonts w:hint="eastAsia" w:cs="仿宋" w:asciiTheme="minorEastAsia" w:hAnsiTheme="minorEastAsia" w:eastAsiaTheme="minorEastAsia"/>
                <w:color w:val="000000"/>
                <w:sz w:val="24"/>
              </w:rPr>
              <w:t>分，扣完为止；未标注</w:t>
            </w:r>
            <w:r>
              <w:rPr>
                <w:rFonts w:cs="仿宋" w:asciiTheme="minorEastAsia" w:hAnsiTheme="minorEastAsia" w:eastAsiaTheme="minorEastAsia"/>
                <w:color w:val="000000"/>
                <w:sz w:val="24"/>
              </w:rPr>
              <w:t>“▲”</w:t>
            </w:r>
            <w:r>
              <w:rPr>
                <w:rFonts w:hint="eastAsia" w:cs="仿宋" w:asciiTheme="minorEastAsia" w:hAnsiTheme="minorEastAsia" w:eastAsiaTheme="minorEastAsia"/>
                <w:color w:val="000000"/>
                <w:sz w:val="24"/>
              </w:rPr>
              <w:t>的参数为普通参数，每负偏离一项扣</w:t>
            </w:r>
            <w:r>
              <w:rPr>
                <w:rFonts w:cs="仿宋" w:asciiTheme="minorEastAsia" w:hAnsiTheme="minorEastAsia" w:eastAsiaTheme="minorEastAsia"/>
                <w:color w:val="000000"/>
                <w:sz w:val="24"/>
              </w:rPr>
              <w:t>1</w:t>
            </w:r>
            <w:r>
              <w:rPr>
                <w:rFonts w:hint="eastAsia" w:cs="仿宋" w:asciiTheme="minorEastAsia" w:hAnsiTheme="minorEastAsia" w:eastAsiaTheme="minorEastAsia"/>
                <w:color w:val="000000"/>
                <w:sz w:val="24"/>
              </w:rPr>
              <w:t>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top w:val="single" w:color="auto" w:sz="4" w:space="0"/>
              <w:left w:val="outset" w:color="auto" w:sz="6" w:space="0"/>
              <w:bottom w:val="single" w:color="auto" w:sz="4" w:space="0"/>
              <w:right w:val="single" w:color="auto" w:sz="4"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车辆改装</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技术方案</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tc>
        <w:tc>
          <w:tcPr>
            <w:tcW w:w="7229" w:type="dxa"/>
            <w:tcBorders>
              <w:top w:val="outset" w:color="auto" w:sz="6" w:space="0"/>
              <w:left w:val="single" w:color="auto" w:sz="4"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根据投标方针对本项目所投车辆改装技术方案（包括但不限于车辆改装后的整体布局图、车辆内外观三维立体彩色渲染图、整体系统电原理框图和系统连线图，详细列出设备配置清单及文本描述）。</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、车辆改装技术方案详细、图纸完整、改装合理、安全性强的，得</w:t>
            </w:r>
            <w:r>
              <w:rPr>
                <w:rFonts w:cs="Helvetica" w:asciiTheme="minorEastAsia" w:hAnsiTheme="minorEastAsia" w:eastAsiaTheme="minorEastAsia"/>
                <w:kern w:val="0"/>
                <w:sz w:val="24"/>
              </w:rPr>
              <w:t>【4-5】</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、车辆改装改装技术方案较合理、安全性较强但不够详细且图纸不完整的，得【2-4）分；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、车辆改装技术方案基本合理、安全性一般但不够详细且图纸缺失的，得【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-2）分。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注</w:t>
            </w:r>
            <w:r>
              <w:rPr>
                <w:rFonts w:cs="Helvetica" w:asciiTheme="minorEastAsia" w:hAnsiTheme="minorEastAsia" w:eastAsiaTheme="minorEastAsia"/>
                <w:kern w:val="0"/>
                <w:sz w:val="24"/>
              </w:rPr>
              <w:t>：</w:t>
            </w:r>
            <w:r>
              <w:rPr>
                <w:rFonts w:hint="eastAsia" w:cs="Helvetica" w:asciiTheme="minorEastAsia" w:hAnsiTheme="minorEastAsia" w:eastAsiaTheme="minorEastAsia"/>
                <w:kern w:val="0"/>
                <w:sz w:val="24"/>
              </w:rPr>
              <w:t>车辆改装改装技术方案不合理、不完整、有重大欠缺或安全性差或未提供的，不得分。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top w:val="single" w:color="auto" w:sz="4" w:space="0"/>
              <w:left w:val="outset" w:color="auto" w:sz="6" w:space="0"/>
              <w:bottom w:val="single" w:color="auto" w:sz="4" w:space="0"/>
              <w:right w:val="single" w:color="auto" w:sz="4"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车辆电磁兼容技术方案（</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tc>
        <w:tc>
          <w:tcPr>
            <w:tcW w:w="7229" w:type="dxa"/>
            <w:tcBorders>
              <w:top w:val="outset" w:color="auto" w:sz="6" w:space="0"/>
              <w:left w:val="single" w:color="auto" w:sz="4"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根据投标方针对本项目所投车辆电磁兼容技术方案（包括但不限于车内设备布局电磁屏蔽、电磁兼容技术说明、电磁兼容验证方法），由评委进行横向评分：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、车辆改装电磁兼容性方案详细、合理，并有第三方数据支撑的，得【</w:t>
            </w:r>
            <w:r>
              <w:rPr>
                <w:rFonts w:cs="Helvetica" w:asciiTheme="minorEastAsia" w:hAnsiTheme="minorEastAsia" w:eastAsiaTheme="minorEastAsia"/>
                <w:kern w:val="0"/>
                <w:sz w:val="24"/>
              </w:rPr>
              <w:t>4-5</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、车辆改装电磁兼容性方案较详细、较合理的，得【</w:t>
            </w: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4）分；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、车辆改装电磁兼容性方案基本合理的，得【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-2）分。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注</w:t>
            </w:r>
            <w:r>
              <w:rPr>
                <w:rFonts w:cs="Helvetica" w:asciiTheme="minorEastAsia" w:hAnsiTheme="minorEastAsia" w:eastAsiaTheme="minorEastAsia"/>
                <w:kern w:val="0"/>
                <w:sz w:val="24"/>
              </w:rPr>
              <w:t>：</w:t>
            </w:r>
            <w:r>
              <w:rPr>
                <w:rFonts w:hint="eastAsia" w:cs="Helvetica" w:asciiTheme="minorEastAsia" w:hAnsiTheme="minorEastAsia" w:eastAsiaTheme="minorEastAsia"/>
                <w:kern w:val="0"/>
                <w:sz w:val="24"/>
              </w:rPr>
              <w:t>车辆改装电磁兼容性方案差或者未提供的，不得分。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top w:val="single" w:color="auto" w:sz="4" w:space="0"/>
              <w:left w:val="outset" w:color="auto" w:sz="6" w:space="0"/>
              <w:bottom w:val="single" w:color="auto" w:sz="4" w:space="0"/>
              <w:right w:val="single" w:color="auto" w:sz="4"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车辆载荷、配重和电源技术方案</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tc>
        <w:tc>
          <w:tcPr>
            <w:tcW w:w="7229" w:type="dxa"/>
            <w:tcBorders>
              <w:top w:val="outset" w:color="auto" w:sz="6" w:space="0"/>
              <w:left w:val="single" w:color="auto" w:sz="4"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根据投标方针对本项目所投车辆载荷、配重和电源技术方案（提供车载电池组如何在外部供电断电后可为系统设备提供持续时间不少于</w:t>
            </w:r>
            <w:r>
              <w:rPr>
                <w:rFonts w:cs="Helvetica" w:asciiTheme="minorEastAsia" w:hAnsiTheme="minorEastAsia" w:eastAsiaTheme="minorEastAsia"/>
                <w:kern w:val="0"/>
                <w:sz w:val="24"/>
              </w:rPr>
              <w:t>4</w:t>
            </w:r>
            <w:r>
              <w:rPr>
                <w:rFonts w:hint="eastAsia" w:cs="Helvetica" w:asciiTheme="minorEastAsia" w:hAnsiTheme="minorEastAsia" w:eastAsiaTheme="minorEastAsia"/>
                <w:kern w:val="0"/>
                <w:sz w:val="24"/>
              </w:rPr>
              <w:t>小时的储备电量的技术说明），由评委进行横向评分：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、车辆载荷、配重和电源技术方案说明详细、合理的，得【</w:t>
            </w:r>
            <w:r>
              <w:rPr>
                <w:rFonts w:cs="Helvetica" w:asciiTheme="minorEastAsia" w:hAnsiTheme="minorEastAsia" w:eastAsiaTheme="minorEastAsia"/>
                <w:kern w:val="0"/>
                <w:sz w:val="24"/>
              </w:rPr>
              <w:t>4-5</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、车辆载荷、配重和电源技术方案说明较详细、较合理的，得【</w:t>
            </w: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4）分；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、车辆载荷、配重和电源技术方案说明基本合理的，得【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-2）分。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注</w:t>
            </w:r>
            <w:r>
              <w:rPr>
                <w:rFonts w:cs="Helvetica" w:asciiTheme="minorEastAsia" w:hAnsiTheme="minorEastAsia" w:eastAsiaTheme="minorEastAsia"/>
                <w:kern w:val="0"/>
                <w:sz w:val="24"/>
              </w:rPr>
              <w:t>：</w:t>
            </w:r>
            <w:r>
              <w:rPr>
                <w:rFonts w:hint="eastAsia" w:cs="Helvetica" w:asciiTheme="minorEastAsia" w:hAnsiTheme="minorEastAsia" w:eastAsiaTheme="minorEastAsia"/>
                <w:kern w:val="0"/>
                <w:sz w:val="24"/>
              </w:rPr>
              <w:t>车辆载荷、配重和电源技术方案说明不合理或未提供的，不得分。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top w:val="single" w:color="auto" w:sz="4" w:space="0"/>
              <w:left w:val="outset" w:color="auto" w:sz="6" w:space="0"/>
              <w:bottom w:val="outset" w:color="auto" w:sz="6" w:space="0"/>
              <w:right w:val="outset" w:color="auto" w:sz="6" w:space="0"/>
            </w:tcBorders>
            <w:vAlign w:val="center"/>
          </w:tcPr>
          <w:p>
            <w:pPr>
              <w:widowControl/>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系统联网</w:t>
            </w:r>
          </w:p>
          <w:p>
            <w:pPr>
              <w:widowControl/>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能力</w:t>
            </w:r>
          </w:p>
          <w:p>
            <w:pPr>
              <w:widowControl/>
              <w:spacing w:line="276" w:lineRule="auto"/>
              <w:jc w:val="center"/>
              <w:rPr>
                <w:rFonts w:cs="Helvetica" w:asciiTheme="minorEastAsia" w:hAnsiTheme="minorEastAsia" w:eastAsiaTheme="minorEastAsia"/>
                <w:kern w:val="0"/>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分）</w:t>
            </w:r>
          </w:p>
        </w:tc>
        <w:tc>
          <w:tcPr>
            <w:tcW w:w="7229" w:type="dxa"/>
            <w:tcBorders>
              <w:top w:val="outset" w:color="auto" w:sz="6" w:space="0"/>
              <w:left w:val="outset" w:color="auto" w:sz="6" w:space="0"/>
              <w:bottom w:val="outset" w:color="auto" w:sz="6" w:space="0"/>
            </w:tcBorders>
            <w:vAlign w:val="center"/>
          </w:tcPr>
          <w:p>
            <w:pPr>
              <w:widowControl/>
              <w:spacing w:line="276" w:lineRule="auto"/>
              <w:jc w:val="left"/>
              <w:rPr>
                <w:rFonts w:cs="Helvetica" w:asciiTheme="minorEastAsia" w:hAnsiTheme="minorEastAsia" w:eastAsiaTheme="minorEastAsia"/>
                <w:color w:val="393939"/>
                <w:kern w:val="0"/>
                <w:sz w:val="24"/>
              </w:rPr>
            </w:pPr>
            <w:r>
              <w:rPr>
                <w:rFonts w:hint="eastAsia" w:cs="Helvetica" w:asciiTheme="minorEastAsia" w:hAnsiTheme="minorEastAsia" w:eastAsiaTheme="minorEastAsia"/>
                <w:color w:val="393939"/>
                <w:kern w:val="0"/>
                <w:sz w:val="24"/>
              </w:rPr>
              <w:t>投标人所投的应用软件，需提供国家无线电监测中心检测中心出具的无线电监测管理一体化平台原子服务接入能力（设备操作服务）检测报告，报告测试项包括《超短波监测管理一体化平台技术规范》中的</w:t>
            </w:r>
            <w:r>
              <w:rPr>
                <w:rFonts w:cs="Helvetica" w:asciiTheme="minorEastAsia" w:hAnsiTheme="minorEastAsia" w:eastAsiaTheme="minorEastAsia"/>
                <w:color w:val="393939"/>
                <w:kern w:val="0"/>
                <w:sz w:val="24"/>
              </w:rPr>
              <w:t>33</w:t>
            </w:r>
            <w:r>
              <w:rPr>
                <w:rFonts w:hint="eastAsia" w:cs="Helvetica" w:asciiTheme="minorEastAsia" w:hAnsiTheme="minorEastAsia" w:eastAsiaTheme="minorEastAsia"/>
                <w:color w:val="393939"/>
                <w:kern w:val="0"/>
                <w:sz w:val="24"/>
              </w:rPr>
              <w:t>项内容，共计</w:t>
            </w:r>
            <w:r>
              <w:rPr>
                <w:rFonts w:cs="Helvetica" w:asciiTheme="minorEastAsia" w:hAnsiTheme="minorEastAsia" w:eastAsiaTheme="minorEastAsia"/>
                <w:color w:val="393939"/>
                <w:kern w:val="0"/>
                <w:sz w:val="24"/>
              </w:rPr>
              <w:t>218</w:t>
            </w:r>
            <w:r>
              <w:rPr>
                <w:rFonts w:hint="eastAsia" w:cs="Helvetica" w:asciiTheme="minorEastAsia" w:hAnsiTheme="minorEastAsia" w:eastAsiaTheme="minorEastAsia"/>
                <w:color w:val="393939"/>
                <w:kern w:val="0"/>
                <w:sz w:val="24"/>
              </w:rPr>
              <w:t>个测试用例</w:t>
            </w:r>
            <w:r>
              <w:rPr>
                <w:rFonts w:hint="eastAsia" w:cs="Helvetica" w:asciiTheme="minorEastAsia" w:hAnsiTheme="minorEastAsia" w:eastAsiaTheme="minorEastAsia"/>
                <w:sz w:val="24"/>
              </w:rPr>
              <w:t>（包含</w:t>
            </w:r>
            <w:r>
              <w:rPr>
                <w:rFonts w:cs="Helvetica" w:asciiTheme="minorEastAsia" w:hAnsiTheme="minorEastAsia" w:eastAsiaTheme="minorEastAsia"/>
                <w:sz w:val="24"/>
              </w:rPr>
              <w:t>stream</w:t>
            </w:r>
            <w:r>
              <w:rPr>
                <w:rFonts w:hint="eastAsia" w:cs="Helvetica" w:asciiTheme="minorEastAsia" w:hAnsiTheme="minorEastAsia" w:eastAsiaTheme="minorEastAsia"/>
                <w:sz w:val="24"/>
              </w:rPr>
              <w:t>和</w:t>
            </w:r>
            <w:r>
              <w:rPr>
                <w:rFonts w:cs="Helvetica" w:asciiTheme="minorEastAsia" w:hAnsiTheme="minorEastAsia" w:eastAsiaTheme="minorEastAsia"/>
                <w:sz w:val="24"/>
              </w:rPr>
              <w:t>FTP</w:t>
            </w:r>
            <w:r>
              <w:rPr>
                <w:rFonts w:hint="eastAsia" w:cs="Helvetica" w:asciiTheme="minorEastAsia" w:hAnsiTheme="minorEastAsia" w:eastAsiaTheme="minorEastAsia"/>
                <w:sz w:val="24"/>
              </w:rPr>
              <w:t>两种模式）</w:t>
            </w:r>
            <w:r>
              <w:rPr>
                <w:rFonts w:hint="eastAsia" w:cs="Helvetica" w:asciiTheme="minorEastAsia" w:hAnsiTheme="minorEastAsia" w:eastAsiaTheme="minorEastAsia"/>
                <w:color w:val="393939"/>
                <w:kern w:val="0"/>
                <w:sz w:val="24"/>
              </w:rPr>
              <w:t>；</w:t>
            </w:r>
          </w:p>
          <w:p>
            <w:pPr>
              <w:widowControl/>
              <w:spacing w:line="276" w:lineRule="auto"/>
              <w:jc w:val="left"/>
              <w:rPr>
                <w:rFonts w:cs="Helvetica" w:asciiTheme="minorEastAsia" w:hAnsiTheme="minorEastAsia" w:eastAsiaTheme="minorEastAsia"/>
                <w:color w:val="393939"/>
                <w:kern w:val="0"/>
                <w:sz w:val="24"/>
              </w:rPr>
            </w:pPr>
            <w:r>
              <w:rPr>
                <w:rFonts w:cs="Helvetica" w:asciiTheme="minorEastAsia" w:hAnsiTheme="minorEastAsia" w:eastAsiaTheme="minorEastAsia"/>
                <w:color w:val="393939"/>
                <w:kern w:val="0"/>
                <w:sz w:val="24"/>
              </w:rPr>
              <w:t>1</w:t>
            </w:r>
            <w:r>
              <w:rPr>
                <w:rFonts w:hint="eastAsia" w:cs="Helvetica" w:asciiTheme="minorEastAsia" w:hAnsiTheme="minorEastAsia" w:eastAsiaTheme="minorEastAsia"/>
                <w:color w:val="393939"/>
                <w:kern w:val="0"/>
                <w:sz w:val="24"/>
              </w:rPr>
              <w:t>、投标人提供全部</w:t>
            </w:r>
            <w:r>
              <w:rPr>
                <w:rFonts w:cs="Helvetica" w:asciiTheme="minorEastAsia" w:hAnsiTheme="minorEastAsia" w:eastAsiaTheme="minorEastAsia"/>
                <w:color w:val="393939"/>
                <w:kern w:val="0"/>
                <w:sz w:val="24"/>
              </w:rPr>
              <w:t>33</w:t>
            </w:r>
            <w:r>
              <w:rPr>
                <w:rFonts w:hint="eastAsia" w:cs="Helvetica" w:asciiTheme="minorEastAsia" w:hAnsiTheme="minorEastAsia" w:eastAsiaTheme="minorEastAsia"/>
                <w:color w:val="393939"/>
                <w:kern w:val="0"/>
                <w:sz w:val="24"/>
              </w:rPr>
              <w:t>个测试项，测试用例完整的，得</w:t>
            </w:r>
            <w:r>
              <w:rPr>
                <w:rFonts w:cs="Helvetica" w:asciiTheme="minorEastAsia" w:hAnsiTheme="minorEastAsia" w:eastAsiaTheme="minorEastAsia"/>
                <w:color w:val="393939"/>
                <w:kern w:val="0"/>
                <w:sz w:val="24"/>
              </w:rPr>
              <w:t>4</w:t>
            </w:r>
            <w:r>
              <w:rPr>
                <w:rFonts w:hint="eastAsia" w:cs="Helvetica" w:asciiTheme="minorEastAsia" w:hAnsiTheme="minorEastAsia" w:eastAsiaTheme="minorEastAsia"/>
                <w:color w:val="393939"/>
                <w:kern w:val="0"/>
                <w:sz w:val="24"/>
              </w:rPr>
              <w:t>分；</w:t>
            </w:r>
          </w:p>
          <w:p>
            <w:pPr>
              <w:widowControl/>
              <w:spacing w:line="276" w:lineRule="auto"/>
              <w:jc w:val="left"/>
              <w:rPr>
                <w:rFonts w:cs="Helvetica" w:asciiTheme="minorEastAsia" w:hAnsiTheme="minorEastAsia" w:eastAsiaTheme="minorEastAsia"/>
                <w:color w:val="393939"/>
                <w:kern w:val="0"/>
                <w:sz w:val="24"/>
              </w:rPr>
            </w:pPr>
            <w:r>
              <w:rPr>
                <w:rFonts w:cs="Helvetica" w:asciiTheme="minorEastAsia" w:hAnsiTheme="minorEastAsia" w:eastAsiaTheme="minorEastAsia"/>
                <w:color w:val="393939"/>
                <w:kern w:val="0"/>
                <w:sz w:val="24"/>
              </w:rPr>
              <w:t>2</w:t>
            </w:r>
            <w:r>
              <w:rPr>
                <w:rFonts w:hint="eastAsia" w:cs="Helvetica" w:asciiTheme="minorEastAsia" w:hAnsiTheme="minorEastAsia" w:eastAsiaTheme="minorEastAsia"/>
                <w:color w:val="393939"/>
                <w:kern w:val="0"/>
                <w:sz w:val="24"/>
              </w:rPr>
              <w:t>、投标人仅提供</w:t>
            </w:r>
            <w:r>
              <w:rPr>
                <w:rFonts w:cs="Helvetica" w:asciiTheme="minorEastAsia" w:hAnsiTheme="minorEastAsia" w:eastAsiaTheme="minorEastAsia"/>
                <w:color w:val="393939"/>
                <w:kern w:val="0"/>
                <w:sz w:val="24"/>
              </w:rPr>
              <w:t>32-26</w:t>
            </w:r>
            <w:r>
              <w:rPr>
                <w:rFonts w:hint="eastAsia" w:cs="Helvetica" w:asciiTheme="minorEastAsia" w:hAnsiTheme="minorEastAsia" w:eastAsiaTheme="minorEastAsia"/>
                <w:color w:val="393939"/>
                <w:kern w:val="0"/>
                <w:sz w:val="24"/>
              </w:rPr>
              <w:t>个测试项，测试用例缺失的，得</w:t>
            </w:r>
            <w:r>
              <w:rPr>
                <w:rFonts w:cs="Helvetica" w:asciiTheme="minorEastAsia" w:hAnsiTheme="minorEastAsia" w:eastAsiaTheme="minorEastAsia"/>
                <w:color w:val="393939"/>
                <w:kern w:val="0"/>
                <w:sz w:val="24"/>
              </w:rPr>
              <w:t>3</w:t>
            </w:r>
            <w:r>
              <w:rPr>
                <w:rFonts w:hint="eastAsia" w:cs="Helvetica" w:asciiTheme="minorEastAsia" w:hAnsiTheme="minorEastAsia" w:eastAsiaTheme="minorEastAsia"/>
                <w:color w:val="393939"/>
                <w:kern w:val="0"/>
                <w:sz w:val="24"/>
              </w:rPr>
              <w:t>分；</w:t>
            </w:r>
          </w:p>
          <w:p>
            <w:pPr>
              <w:widowControl/>
              <w:spacing w:line="276" w:lineRule="auto"/>
              <w:jc w:val="left"/>
              <w:rPr>
                <w:rFonts w:cs="Helvetica" w:asciiTheme="minorEastAsia" w:hAnsiTheme="minorEastAsia" w:eastAsiaTheme="minorEastAsia"/>
                <w:color w:val="393939"/>
                <w:kern w:val="0"/>
                <w:sz w:val="24"/>
              </w:rPr>
            </w:pPr>
            <w:r>
              <w:rPr>
                <w:rFonts w:cs="Helvetica" w:asciiTheme="minorEastAsia" w:hAnsiTheme="minorEastAsia" w:eastAsiaTheme="minorEastAsia"/>
                <w:color w:val="393939"/>
                <w:kern w:val="0"/>
                <w:sz w:val="24"/>
              </w:rPr>
              <w:t>3</w:t>
            </w:r>
            <w:r>
              <w:rPr>
                <w:rFonts w:hint="eastAsia" w:cs="Helvetica" w:asciiTheme="minorEastAsia" w:hAnsiTheme="minorEastAsia" w:eastAsiaTheme="minorEastAsia"/>
                <w:color w:val="393939"/>
                <w:kern w:val="0"/>
                <w:sz w:val="24"/>
              </w:rPr>
              <w:t>、投标人仅提供</w:t>
            </w:r>
            <w:r>
              <w:rPr>
                <w:rFonts w:cs="Helvetica" w:asciiTheme="minorEastAsia" w:hAnsiTheme="minorEastAsia" w:eastAsiaTheme="minorEastAsia"/>
                <w:color w:val="393939"/>
                <w:kern w:val="0"/>
                <w:sz w:val="24"/>
              </w:rPr>
              <w:t>25-20</w:t>
            </w:r>
            <w:r>
              <w:rPr>
                <w:rFonts w:hint="eastAsia" w:cs="Helvetica" w:asciiTheme="minorEastAsia" w:hAnsiTheme="minorEastAsia" w:eastAsiaTheme="minorEastAsia"/>
                <w:color w:val="393939"/>
                <w:kern w:val="0"/>
                <w:sz w:val="24"/>
              </w:rPr>
              <w:t>个测试项，测试用例缺失的，得</w:t>
            </w:r>
            <w:r>
              <w:rPr>
                <w:rFonts w:cs="Helvetica" w:asciiTheme="minorEastAsia" w:hAnsiTheme="minorEastAsia" w:eastAsiaTheme="minorEastAsia"/>
                <w:color w:val="393939"/>
                <w:kern w:val="0"/>
                <w:sz w:val="24"/>
              </w:rPr>
              <w:t>1</w:t>
            </w:r>
            <w:r>
              <w:rPr>
                <w:rFonts w:hint="eastAsia" w:cs="Helvetica" w:asciiTheme="minorEastAsia" w:hAnsiTheme="minorEastAsia" w:eastAsiaTheme="minorEastAsia"/>
                <w:color w:val="393939"/>
                <w:kern w:val="0"/>
                <w:sz w:val="24"/>
              </w:rPr>
              <w:t>分；</w:t>
            </w:r>
          </w:p>
          <w:p>
            <w:pPr>
              <w:widowControl/>
              <w:spacing w:line="276" w:lineRule="auto"/>
              <w:jc w:val="left"/>
              <w:rPr>
                <w:rFonts w:cs="Helvetica" w:asciiTheme="minorEastAsia" w:hAnsiTheme="minorEastAsia" w:eastAsiaTheme="minorEastAsia"/>
                <w:color w:val="393939"/>
                <w:kern w:val="0"/>
                <w:sz w:val="24"/>
              </w:rPr>
            </w:pPr>
            <w:r>
              <w:rPr>
                <w:rFonts w:cs="Helvetica" w:asciiTheme="minorEastAsia" w:hAnsiTheme="minorEastAsia" w:eastAsiaTheme="minorEastAsia"/>
                <w:color w:val="393939"/>
                <w:kern w:val="0"/>
                <w:sz w:val="24"/>
              </w:rPr>
              <w:t>4</w:t>
            </w:r>
            <w:r>
              <w:rPr>
                <w:rFonts w:hint="eastAsia" w:cs="Helvetica" w:asciiTheme="minorEastAsia" w:hAnsiTheme="minorEastAsia" w:eastAsiaTheme="minorEastAsia"/>
                <w:color w:val="393939"/>
                <w:kern w:val="0"/>
                <w:sz w:val="24"/>
              </w:rPr>
              <w:t>、投标人仅提供</w:t>
            </w:r>
            <w:r>
              <w:rPr>
                <w:rFonts w:cs="Helvetica" w:asciiTheme="minorEastAsia" w:hAnsiTheme="minorEastAsia" w:eastAsiaTheme="minorEastAsia"/>
                <w:color w:val="393939"/>
                <w:kern w:val="0"/>
                <w:sz w:val="24"/>
              </w:rPr>
              <w:t>19</w:t>
            </w:r>
            <w:r>
              <w:rPr>
                <w:rFonts w:hint="eastAsia" w:cs="Helvetica" w:asciiTheme="minorEastAsia" w:hAnsiTheme="minorEastAsia" w:eastAsiaTheme="minorEastAsia"/>
                <w:color w:val="393939"/>
                <w:kern w:val="0"/>
                <w:sz w:val="24"/>
              </w:rPr>
              <w:t>个及以下测试项或未提供，不得分。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color w:val="393939"/>
                <w:kern w:val="0"/>
                <w:sz w:val="24"/>
              </w:rPr>
              <w:t>（提供报告复印件加盖公章，未提供不得分。）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left w:val="outset" w:color="auto" w:sz="6"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设备环境</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适应性</w:t>
            </w:r>
          </w:p>
          <w:p>
            <w:pPr>
              <w:widowControl/>
              <w:spacing w:line="276" w:lineRule="auto"/>
              <w:jc w:val="center"/>
              <w:rPr>
                <w:rFonts w:cs="Helvetica" w:asciiTheme="minorEastAsia" w:hAnsiTheme="minorEastAsia" w:eastAsiaTheme="minorEastAsia"/>
                <w:color w:val="FF0000"/>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分）</w:t>
            </w:r>
          </w:p>
        </w:tc>
        <w:tc>
          <w:tcPr>
            <w:tcW w:w="7229" w:type="dxa"/>
            <w:tcBorders>
              <w:top w:val="outset" w:color="auto" w:sz="6" w:space="0"/>
              <w:left w:val="outset" w:color="auto" w:sz="6" w:space="0"/>
              <w:bottom w:val="outset" w:color="auto" w:sz="6" w:space="0"/>
            </w:tcBorders>
            <w:vAlign w:val="center"/>
          </w:tcPr>
          <w:p>
            <w:pPr>
              <w:widowControl/>
              <w:spacing w:line="276" w:lineRule="auto"/>
              <w:jc w:val="left"/>
              <w:rPr>
                <w:rFonts w:cs="Helvetica" w:asciiTheme="minorEastAsia" w:hAnsiTheme="minorEastAsia" w:eastAsiaTheme="minorEastAsia"/>
                <w:color w:val="FF0000"/>
                <w:kern w:val="0"/>
                <w:sz w:val="24"/>
              </w:rPr>
            </w:pPr>
            <w:r>
              <w:rPr>
                <w:rFonts w:hint="eastAsia" w:cs="Helvetica" w:asciiTheme="minorEastAsia" w:hAnsiTheme="minorEastAsia" w:eastAsiaTheme="minorEastAsia"/>
                <w:kern w:val="0"/>
                <w:sz w:val="24"/>
              </w:rPr>
              <w:t>对投标人所投的接收机的高温、低温、盐雾、霉菌、振动、冲击等环境适应性进行评分，提供具有</w:t>
            </w:r>
            <w:r>
              <w:rPr>
                <w:rFonts w:cs="Helvetica" w:asciiTheme="minorEastAsia" w:hAnsiTheme="minorEastAsia" w:eastAsiaTheme="minorEastAsia"/>
                <w:kern w:val="0"/>
                <w:sz w:val="24"/>
              </w:rPr>
              <w:t>CMA</w:t>
            </w:r>
            <w:r>
              <w:rPr>
                <w:rFonts w:hint="eastAsia" w:cs="Helvetica" w:asciiTheme="minorEastAsia" w:hAnsiTheme="minorEastAsia" w:eastAsiaTheme="minorEastAsia"/>
                <w:kern w:val="0"/>
                <w:sz w:val="24"/>
              </w:rPr>
              <w:t>或</w:t>
            </w:r>
            <w:r>
              <w:rPr>
                <w:rFonts w:cs="Helvetica" w:asciiTheme="minorEastAsia" w:hAnsiTheme="minorEastAsia" w:eastAsiaTheme="minorEastAsia"/>
                <w:kern w:val="0"/>
                <w:sz w:val="24"/>
              </w:rPr>
              <w:t>CNAS</w:t>
            </w:r>
            <w:r>
              <w:rPr>
                <w:rFonts w:hint="eastAsia" w:cs="Helvetica" w:asciiTheme="minorEastAsia" w:hAnsiTheme="minorEastAsia" w:eastAsiaTheme="minorEastAsia"/>
                <w:kern w:val="0"/>
                <w:sz w:val="24"/>
              </w:rPr>
              <w:t>资质的第三方检测机构出具的检测报告且包含全部</w:t>
            </w:r>
            <w:r>
              <w:rPr>
                <w:rFonts w:cs="Helvetica" w:asciiTheme="minorEastAsia" w:hAnsiTheme="minorEastAsia" w:eastAsiaTheme="minorEastAsia"/>
                <w:kern w:val="0"/>
                <w:sz w:val="24"/>
              </w:rPr>
              <w:t>6</w:t>
            </w:r>
            <w:r>
              <w:rPr>
                <w:rFonts w:hint="eastAsia" w:cs="Helvetica" w:asciiTheme="minorEastAsia" w:hAnsiTheme="minorEastAsia" w:eastAsiaTheme="minorEastAsia"/>
                <w:kern w:val="0"/>
                <w:sz w:val="24"/>
              </w:rPr>
              <w:t>个测试项目的得</w:t>
            </w: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项的得</w:t>
            </w: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4</w:t>
            </w:r>
            <w:r>
              <w:rPr>
                <w:rFonts w:hint="eastAsia" w:cs="Helvetica" w:asciiTheme="minorEastAsia" w:hAnsiTheme="minorEastAsia" w:eastAsiaTheme="minorEastAsia"/>
                <w:kern w:val="0"/>
                <w:sz w:val="24"/>
              </w:rPr>
              <w:t>项的得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项及以下的不得分。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bottom w:val="single" w:color="auto" w:sz="4" w:space="0"/>
              <w:right w:val="outset" w:color="auto" w:sz="6"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left w:val="outset" w:color="auto" w:sz="6"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设备电磁</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兼容性</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分）</w:t>
            </w:r>
          </w:p>
        </w:tc>
        <w:tc>
          <w:tcPr>
            <w:tcW w:w="7229" w:type="dxa"/>
            <w:tcBorders>
              <w:top w:val="outset" w:color="auto" w:sz="6" w:space="0"/>
              <w:left w:val="outset" w:color="auto" w:sz="6"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对投标人所投的接收机的电磁兼容性能进行评分。提供具有</w:t>
            </w:r>
            <w:r>
              <w:rPr>
                <w:rFonts w:cs="Helvetica" w:asciiTheme="minorEastAsia" w:hAnsiTheme="minorEastAsia" w:eastAsiaTheme="minorEastAsia"/>
                <w:kern w:val="0"/>
                <w:sz w:val="24"/>
              </w:rPr>
              <w:t>CMA</w:t>
            </w:r>
            <w:r>
              <w:rPr>
                <w:rFonts w:hint="eastAsia" w:cs="Helvetica" w:asciiTheme="minorEastAsia" w:hAnsiTheme="minorEastAsia" w:eastAsiaTheme="minorEastAsia"/>
                <w:kern w:val="0"/>
                <w:sz w:val="24"/>
              </w:rPr>
              <w:t>或</w:t>
            </w:r>
            <w:r>
              <w:rPr>
                <w:rFonts w:cs="Helvetica" w:asciiTheme="minorEastAsia" w:hAnsiTheme="minorEastAsia" w:eastAsiaTheme="minorEastAsia"/>
                <w:kern w:val="0"/>
                <w:sz w:val="24"/>
              </w:rPr>
              <w:t>CNAS</w:t>
            </w:r>
            <w:r>
              <w:rPr>
                <w:rFonts w:hint="eastAsia" w:cs="Helvetica" w:asciiTheme="minorEastAsia" w:hAnsiTheme="minorEastAsia" w:eastAsiaTheme="minorEastAsia"/>
                <w:kern w:val="0"/>
                <w:sz w:val="24"/>
              </w:rPr>
              <w:t>资质的第三方检测机构按</w:t>
            </w:r>
            <w:r>
              <w:rPr>
                <w:rFonts w:cs="Helvetica" w:asciiTheme="minorEastAsia" w:hAnsiTheme="minorEastAsia" w:eastAsiaTheme="minorEastAsia"/>
                <w:kern w:val="0"/>
                <w:sz w:val="24"/>
              </w:rPr>
              <w:t>GJB151B-2013</w:t>
            </w:r>
            <w:r>
              <w:rPr>
                <w:rFonts w:hint="eastAsia" w:cs="Helvetica" w:asciiTheme="minorEastAsia" w:hAnsiTheme="minorEastAsia" w:eastAsiaTheme="minorEastAsia"/>
                <w:kern w:val="0"/>
                <w:sz w:val="24"/>
              </w:rPr>
              <w:t>标准出具的电磁兼容性检测报告（检测项目含</w:t>
            </w:r>
            <w:r>
              <w:rPr>
                <w:rFonts w:cs="Helvetica" w:asciiTheme="minorEastAsia" w:hAnsiTheme="minorEastAsia" w:eastAsiaTheme="minorEastAsia"/>
                <w:kern w:val="0"/>
                <w:sz w:val="24"/>
              </w:rPr>
              <w:t>CE102/RE102/CS101/CS114/CS115/CS116/RS103</w:t>
            </w:r>
            <w:r>
              <w:rPr>
                <w:rFonts w:hint="eastAsia" w:cs="Helvetica" w:asciiTheme="minorEastAsia" w:hAnsiTheme="minorEastAsia" w:eastAsiaTheme="minorEastAsia"/>
                <w:kern w:val="0"/>
                <w:sz w:val="24"/>
              </w:rPr>
              <w:t>）。提供全部</w:t>
            </w:r>
            <w:r>
              <w:rPr>
                <w:rFonts w:cs="Helvetica" w:asciiTheme="minorEastAsia" w:hAnsiTheme="minorEastAsia" w:eastAsiaTheme="minorEastAsia"/>
                <w:kern w:val="0"/>
                <w:sz w:val="24"/>
              </w:rPr>
              <w:t>7</w:t>
            </w:r>
            <w:r>
              <w:rPr>
                <w:rFonts w:hint="eastAsia" w:cs="Helvetica" w:asciiTheme="minorEastAsia" w:hAnsiTheme="minorEastAsia" w:eastAsiaTheme="minorEastAsia"/>
                <w:kern w:val="0"/>
                <w:sz w:val="24"/>
              </w:rPr>
              <w:t>个测试项目的得</w:t>
            </w: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6</w:t>
            </w:r>
            <w:r>
              <w:rPr>
                <w:rFonts w:hint="eastAsia" w:cs="Helvetica" w:asciiTheme="minorEastAsia" w:hAnsiTheme="minorEastAsia" w:eastAsiaTheme="minorEastAsia"/>
                <w:kern w:val="0"/>
                <w:sz w:val="24"/>
              </w:rPr>
              <w:t>项的得</w:t>
            </w: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项的得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分；提供</w:t>
            </w:r>
            <w:r>
              <w:rPr>
                <w:rFonts w:cs="Helvetica" w:asciiTheme="minorEastAsia" w:hAnsiTheme="minorEastAsia" w:eastAsiaTheme="minorEastAsia"/>
                <w:kern w:val="0"/>
                <w:sz w:val="24"/>
              </w:rPr>
              <w:t>4</w:t>
            </w:r>
            <w:r>
              <w:rPr>
                <w:rFonts w:hint="eastAsia" w:cs="Helvetica" w:asciiTheme="minorEastAsia" w:hAnsiTheme="minorEastAsia" w:eastAsiaTheme="minorEastAsia"/>
                <w:kern w:val="0"/>
                <w:sz w:val="24"/>
              </w:rPr>
              <w:t>项及以下的不得分。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商务分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15</w:t>
            </w:r>
            <w:r>
              <w:rPr>
                <w:rFonts w:hint="eastAsia" w:cs="Helvetica" w:asciiTheme="minorEastAsia" w:hAnsiTheme="minorEastAsia" w:eastAsiaTheme="minorEastAsia"/>
                <w:kern w:val="0"/>
                <w:sz w:val="24"/>
              </w:rPr>
              <w:t>分）</w:t>
            </w:r>
          </w:p>
        </w:tc>
        <w:tc>
          <w:tcPr>
            <w:tcW w:w="1292" w:type="dxa"/>
            <w:tcBorders>
              <w:left w:val="single" w:color="auto" w:sz="4"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投标人</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资信</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tc>
        <w:tc>
          <w:tcPr>
            <w:tcW w:w="7229" w:type="dxa"/>
            <w:tcBorders>
              <w:top w:val="outset" w:color="auto" w:sz="6" w:space="0"/>
              <w:left w:val="outset" w:color="auto" w:sz="6" w:space="0"/>
              <w:bottom w:val="outset" w:color="auto" w:sz="6" w:space="0"/>
            </w:tcBorders>
            <w:vAlign w:val="center"/>
          </w:tcPr>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、具有企业诚信管理体系认证证书的，得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、具有两化融合管理体系证书的，得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3</w:t>
            </w:r>
            <w:r>
              <w:rPr>
                <w:rFonts w:hint="eastAsia" w:cs="Helvetica" w:asciiTheme="minorEastAsia" w:hAnsiTheme="minorEastAsia" w:eastAsiaTheme="minorEastAsia"/>
                <w:kern w:val="0"/>
                <w:sz w:val="24"/>
              </w:rPr>
              <w:t>、具有信息系统建设和服务能力评估</w:t>
            </w:r>
            <w:r>
              <w:rPr>
                <w:rFonts w:cs="Helvetica" w:asciiTheme="minorEastAsia" w:hAnsiTheme="minorEastAsia" w:eastAsiaTheme="minorEastAsia"/>
                <w:kern w:val="0"/>
                <w:sz w:val="24"/>
              </w:rPr>
              <w:t>CS2</w:t>
            </w:r>
            <w:r>
              <w:rPr>
                <w:rFonts w:hint="eastAsia" w:cs="Helvetica" w:asciiTheme="minorEastAsia" w:hAnsiTheme="minorEastAsia" w:eastAsiaTheme="minorEastAsia"/>
                <w:kern w:val="0"/>
                <w:sz w:val="24"/>
              </w:rPr>
              <w:t>级及以上资质的得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cs="Helvetica" w:asciiTheme="minorEastAsia" w:hAnsiTheme="minorEastAsia" w:eastAsiaTheme="minorEastAsia"/>
                <w:kern w:val="0"/>
                <w:sz w:val="24"/>
              </w:rPr>
              <w:t>4</w:t>
            </w:r>
            <w:r>
              <w:rPr>
                <w:rFonts w:hint="eastAsia" w:cs="Helvetica" w:asciiTheme="minorEastAsia" w:hAnsiTheme="minorEastAsia" w:eastAsiaTheme="minorEastAsia"/>
                <w:kern w:val="0"/>
                <w:sz w:val="24"/>
              </w:rPr>
              <w:t>、具有信息安全服务三级及以上资质的，得</w:t>
            </w:r>
            <w:r>
              <w:rPr>
                <w:rFonts w:cs="Helvetica" w:asciiTheme="minorEastAsia" w:hAnsiTheme="minorEastAsia" w:eastAsiaTheme="minorEastAsia"/>
                <w:kern w:val="0"/>
                <w:sz w:val="24"/>
              </w:rPr>
              <w:t>2</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（提供证明材料的复印件并加盖投标人公章，原件备查。）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left w:val="single" w:color="auto" w:sz="4" w:space="0"/>
              <w:bottom w:val="outset" w:color="auto" w:sz="6" w:space="0"/>
              <w:right w:val="outset" w:color="auto" w:sz="6" w:space="0"/>
            </w:tcBorders>
            <w:vAlign w:val="center"/>
          </w:tcPr>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业绩</w:t>
            </w:r>
          </w:p>
          <w:p>
            <w:pPr>
              <w:widowControl/>
              <w:spacing w:line="276" w:lineRule="auto"/>
              <w:jc w:val="center"/>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tc>
        <w:tc>
          <w:tcPr>
            <w:tcW w:w="7229" w:type="dxa"/>
            <w:tcBorders>
              <w:top w:val="outset" w:color="auto" w:sz="6" w:space="0"/>
              <w:left w:val="outset" w:color="auto" w:sz="6" w:space="0"/>
              <w:bottom w:val="outset" w:color="auto" w:sz="6" w:space="0"/>
            </w:tcBorders>
            <w:vAlign w:val="center"/>
          </w:tcPr>
          <w:p>
            <w:pPr>
              <w:spacing w:line="276" w:lineRule="auto"/>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投标人提供</w:t>
            </w:r>
            <w:r>
              <w:rPr>
                <w:rFonts w:cs="Helvetica" w:asciiTheme="minorEastAsia" w:hAnsiTheme="minorEastAsia" w:eastAsiaTheme="minorEastAsia"/>
                <w:color w:val="000000"/>
                <w:kern w:val="0"/>
                <w:sz w:val="24"/>
              </w:rPr>
              <w:t>2019</w:t>
            </w:r>
            <w:r>
              <w:rPr>
                <w:rFonts w:hint="eastAsia" w:cs="Helvetica" w:asciiTheme="minorEastAsia" w:hAnsiTheme="minorEastAsia" w:eastAsiaTheme="minorEastAsia"/>
                <w:color w:val="000000"/>
                <w:kern w:val="0"/>
                <w:sz w:val="24"/>
              </w:rPr>
              <w:t>年</w:t>
            </w:r>
            <w:r>
              <w:rPr>
                <w:rFonts w:cs="Helvetica" w:asciiTheme="minorEastAsia" w:hAnsiTheme="minorEastAsia" w:eastAsiaTheme="minorEastAsia"/>
                <w:color w:val="000000"/>
                <w:kern w:val="0"/>
                <w:sz w:val="24"/>
              </w:rPr>
              <w:t>1</w:t>
            </w:r>
            <w:r>
              <w:rPr>
                <w:rFonts w:hint="eastAsia" w:cs="Helvetica" w:asciiTheme="minorEastAsia" w:hAnsiTheme="minorEastAsia" w:eastAsiaTheme="minorEastAsia"/>
                <w:color w:val="000000"/>
                <w:kern w:val="0"/>
                <w:sz w:val="24"/>
              </w:rPr>
              <w:t>月</w:t>
            </w:r>
            <w:r>
              <w:rPr>
                <w:rFonts w:cs="Helvetica" w:asciiTheme="minorEastAsia" w:hAnsiTheme="minorEastAsia" w:eastAsiaTheme="minorEastAsia"/>
                <w:color w:val="000000"/>
                <w:kern w:val="0"/>
                <w:sz w:val="24"/>
              </w:rPr>
              <w:t>1</w:t>
            </w:r>
            <w:r>
              <w:rPr>
                <w:rFonts w:hint="eastAsia" w:cs="Helvetica" w:asciiTheme="minorEastAsia" w:hAnsiTheme="minorEastAsia" w:eastAsiaTheme="minorEastAsia"/>
                <w:color w:val="000000"/>
                <w:kern w:val="0"/>
                <w:sz w:val="24"/>
              </w:rPr>
              <w:t>日</w:t>
            </w:r>
            <w:r>
              <w:rPr>
                <w:rFonts w:hint="eastAsia" w:cs="Helvetica" w:asciiTheme="minorEastAsia" w:hAnsiTheme="minorEastAsia" w:eastAsiaTheme="minorEastAsia"/>
                <w:kern w:val="0"/>
                <w:sz w:val="24"/>
              </w:rPr>
              <w:t>以来（以合同签订时间为准）同类移动监测车项目业绩，每提供一个有效业绩得</w:t>
            </w:r>
            <w:r>
              <w:rPr>
                <w:rFonts w:cs="Helvetica" w:asciiTheme="minorEastAsia" w:hAnsiTheme="minorEastAsia" w:eastAsiaTheme="minorEastAsia"/>
                <w:kern w:val="0"/>
                <w:sz w:val="24"/>
              </w:rPr>
              <w:t>1</w:t>
            </w:r>
            <w:r>
              <w:rPr>
                <w:rFonts w:hint="eastAsia" w:cs="Helvetica" w:asciiTheme="minorEastAsia" w:hAnsiTheme="minorEastAsia" w:eastAsiaTheme="minorEastAsia"/>
                <w:kern w:val="0"/>
                <w:sz w:val="24"/>
              </w:rPr>
              <w:t>分，最多得</w:t>
            </w:r>
            <w:r>
              <w:rPr>
                <w:rFonts w:cs="Helvetica" w:asciiTheme="minorEastAsia" w:hAnsiTheme="minorEastAsia" w:eastAsiaTheme="minorEastAsia"/>
                <w:kern w:val="0"/>
                <w:sz w:val="24"/>
              </w:rPr>
              <w:t>5</w:t>
            </w:r>
            <w:r>
              <w:rPr>
                <w:rFonts w:hint="eastAsia" w:cs="Helvetica" w:asciiTheme="minorEastAsia" w:hAnsiTheme="minorEastAsia" w:eastAsiaTheme="minorEastAsia"/>
                <w:kern w:val="0"/>
                <w:sz w:val="24"/>
              </w:rPr>
              <w:t>分。</w:t>
            </w:r>
          </w:p>
          <w:p>
            <w:pPr>
              <w:widowControl/>
              <w:spacing w:line="276" w:lineRule="auto"/>
              <w:jc w:val="left"/>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（提供中标通知书、业绩合同复印件并加盖投标单位公章。）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trPr>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Helvetica" w:asciiTheme="minorEastAsia" w:hAnsiTheme="minorEastAsia" w:eastAsiaTheme="minorEastAsia"/>
                <w:kern w:val="0"/>
                <w:sz w:val="24"/>
              </w:rPr>
            </w:pPr>
          </w:p>
        </w:tc>
        <w:tc>
          <w:tcPr>
            <w:tcW w:w="1292" w:type="dxa"/>
            <w:tcBorders>
              <w:top w:val="outset" w:color="auto" w:sz="6" w:space="0"/>
              <w:left w:val="single" w:color="auto" w:sz="4" w:space="0"/>
              <w:bottom w:val="single" w:color="auto" w:sz="4" w:space="0"/>
              <w:right w:val="outset" w:color="auto" w:sz="6" w:space="0"/>
            </w:tcBorders>
            <w:vAlign w:val="center"/>
          </w:tcPr>
          <w:p>
            <w:pPr>
              <w:widowControl/>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售后服务</w:t>
            </w:r>
          </w:p>
          <w:p>
            <w:pPr>
              <w:widowControl/>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能力</w:t>
            </w:r>
          </w:p>
          <w:p>
            <w:pPr>
              <w:widowControl/>
              <w:spacing w:line="276" w:lineRule="auto"/>
              <w:jc w:val="center"/>
              <w:rPr>
                <w:rFonts w:cs="Helvetica" w:asciiTheme="minorEastAsia" w:hAnsiTheme="minorEastAsia" w:eastAsiaTheme="minorEastAsia"/>
                <w:kern w:val="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5</w:t>
            </w:r>
            <w:r>
              <w:rPr>
                <w:rFonts w:hint="eastAsia" w:asciiTheme="minorEastAsia" w:hAnsiTheme="minorEastAsia" w:eastAsiaTheme="minorEastAsia"/>
                <w:color w:val="000000"/>
                <w:sz w:val="24"/>
              </w:rPr>
              <w:t>分）</w:t>
            </w:r>
          </w:p>
        </w:tc>
        <w:tc>
          <w:tcPr>
            <w:tcW w:w="7229" w:type="dxa"/>
            <w:tcBorders>
              <w:top w:val="outset" w:color="auto" w:sz="6" w:space="0"/>
              <w:left w:val="outset" w:color="auto" w:sz="6" w:space="0"/>
              <w:bottom w:val="outset" w:color="auto" w:sz="6" w:space="0"/>
            </w:tcBorders>
            <w:vAlign w:val="center"/>
          </w:tcPr>
          <w:p>
            <w:pPr>
              <w:rPr>
                <w:rFonts w:cs="仿宋" w:asciiTheme="minorEastAsia" w:hAnsiTheme="minorEastAsia" w:eastAsiaTheme="minorEastAsia"/>
                <w:color w:val="000000"/>
                <w:sz w:val="24"/>
              </w:rPr>
            </w:pPr>
            <w:r>
              <w:rPr>
                <w:rFonts w:cs="仿宋" w:asciiTheme="minorEastAsia" w:hAnsiTheme="minorEastAsia" w:eastAsiaTheme="minorEastAsia"/>
                <w:color w:val="000000"/>
                <w:sz w:val="24"/>
              </w:rPr>
              <w:t>1</w:t>
            </w:r>
            <w:r>
              <w:rPr>
                <w:rFonts w:hint="eastAsia" w:cs="仿宋" w:asciiTheme="minorEastAsia" w:hAnsiTheme="minorEastAsia" w:eastAsiaTheme="minorEastAsia"/>
                <w:color w:val="000000"/>
                <w:sz w:val="24"/>
              </w:rPr>
              <w:t>、投标人具有</w:t>
            </w:r>
            <w:r>
              <w:rPr>
                <w:rFonts w:hint="eastAsia" w:cs="宋体" w:asciiTheme="minorEastAsia" w:hAnsiTheme="minorEastAsia" w:eastAsiaTheme="minorEastAsia"/>
                <w:color w:val="000000"/>
                <w:sz w:val="24"/>
              </w:rPr>
              <w:t>无线电监测、检测及测向定位系统硬件和软件售后服务认证证书</w:t>
            </w:r>
            <w:r>
              <w:rPr>
                <w:rFonts w:hint="eastAsia" w:cs="仿宋" w:asciiTheme="minorEastAsia" w:hAnsiTheme="minorEastAsia" w:eastAsiaTheme="minorEastAsia"/>
                <w:color w:val="000000"/>
                <w:sz w:val="24"/>
              </w:rPr>
              <w:t>的得</w:t>
            </w:r>
            <w:r>
              <w:rPr>
                <w:rFonts w:cs="仿宋" w:asciiTheme="minorEastAsia" w:hAnsiTheme="minorEastAsia" w:eastAsiaTheme="minorEastAsia"/>
                <w:color w:val="000000"/>
                <w:sz w:val="24"/>
              </w:rPr>
              <w:t>2</w:t>
            </w:r>
            <w:r>
              <w:rPr>
                <w:rFonts w:hint="eastAsia" w:cs="仿宋" w:asciiTheme="minorEastAsia" w:hAnsiTheme="minorEastAsia" w:eastAsiaTheme="minorEastAsia"/>
                <w:color w:val="000000"/>
                <w:sz w:val="24"/>
              </w:rPr>
              <w:t>分；</w:t>
            </w:r>
          </w:p>
          <w:p>
            <w:pPr>
              <w:rPr>
                <w:rFonts w:cs="仿宋" w:asciiTheme="minorEastAsia" w:hAnsiTheme="minorEastAsia" w:eastAsiaTheme="minorEastAsia"/>
                <w:color w:val="000000"/>
                <w:sz w:val="24"/>
              </w:rPr>
            </w:pPr>
            <w:r>
              <w:rPr>
                <w:rFonts w:cs="仿宋" w:asciiTheme="minorEastAsia" w:hAnsiTheme="minorEastAsia" w:eastAsiaTheme="minorEastAsia"/>
                <w:color w:val="000000"/>
                <w:sz w:val="24"/>
              </w:rPr>
              <w:t>2</w:t>
            </w:r>
            <w:r>
              <w:rPr>
                <w:rFonts w:hint="eastAsia" w:cs="仿宋" w:asciiTheme="minorEastAsia" w:hAnsiTheme="minorEastAsia" w:eastAsiaTheme="minorEastAsia"/>
                <w:color w:val="000000"/>
                <w:sz w:val="24"/>
              </w:rPr>
              <w:t>、根据各投标人提供的售后服务承诺和售后服务方案，对其售后服务的专业性、可行性、快捷性及维修响应时间、维修方式、有无本地化备品备件库等情况，</w:t>
            </w:r>
            <w:r>
              <w:rPr>
                <w:rFonts w:hint="eastAsia" w:asciiTheme="minorEastAsia" w:hAnsiTheme="minorEastAsia" w:eastAsiaTheme="minorEastAsia"/>
                <w:sz w:val="24"/>
              </w:rPr>
              <w:t>由评委进行评分：</w:t>
            </w:r>
          </w:p>
          <w:p>
            <w:pPr>
              <w:rPr>
                <w:rFonts w:cs="仿宋" w:asciiTheme="minorEastAsia" w:hAnsiTheme="minorEastAsia" w:eastAsiaTheme="minorEastAsia"/>
                <w:color w:val="000000"/>
                <w:sz w:val="24"/>
              </w:rPr>
            </w:pPr>
            <w:r>
              <w:rPr>
                <w:rFonts w:cs="仿宋" w:asciiTheme="minorEastAsia" w:hAnsiTheme="minorEastAsia" w:eastAsiaTheme="minorEastAsia"/>
                <w:color w:val="000000"/>
                <w:sz w:val="24"/>
              </w:rPr>
              <w:t>1</w:t>
            </w:r>
            <w:r>
              <w:rPr>
                <w:rFonts w:hint="eastAsia" w:cs="仿宋" w:asciiTheme="minorEastAsia" w:hAnsiTheme="minorEastAsia" w:eastAsiaTheme="minorEastAsia"/>
                <w:color w:val="000000"/>
                <w:sz w:val="24"/>
              </w:rPr>
              <w:t>）方案详细具体、合理可行并可提供本地服务的，得</w:t>
            </w:r>
            <w:r>
              <w:rPr>
                <w:rFonts w:cs="仿宋" w:asciiTheme="minorEastAsia" w:hAnsiTheme="minorEastAsia" w:eastAsiaTheme="minorEastAsia"/>
                <w:color w:val="000000"/>
                <w:sz w:val="24"/>
              </w:rPr>
              <w:t>3</w:t>
            </w:r>
            <w:r>
              <w:rPr>
                <w:rFonts w:hint="eastAsia" w:cs="仿宋" w:asciiTheme="minorEastAsia" w:hAnsiTheme="minorEastAsia" w:eastAsiaTheme="minorEastAsia"/>
                <w:color w:val="000000"/>
                <w:sz w:val="24"/>
              </w:rPr>
              <w:t>分；</w:t>
            </w:r>
          </w:p>
          <w:p>
            <w:pPr>
              <w:rPr>
                <w:rFonts w:cs="仿宋" w:asciiTheme="minorEastAsia" w:hAnsiTheme="minorEastAsia" w:eastAsiaTheme="minorEastAsia"/>
                <w:color w:val="000000"/>
                <w:sz w:val="24"/>
              </w:rPr>
            </w:pPr>
            <w:r>
              <w:rPr>
                <w:rFonts w:cs="仿宋" w:asciiTheme="minorEastAsia" w:hAnsiTheme="minorEastAsia" w:eastAsiaTheme="minorEastAsia"/>
                <w:color w:val="000000"/>
                <w:sz w:val="24"/>
              </w:rPr>
              <w:t>2</w:t>
            </w:r>
            <w:r>
              <w:rPr>
                <w:rFonts w:hint="eastAsia" w:cs="仿宋" w:asciiTheme="minorEastAsia" w:hAnsiTheme="minorEastAsia" w:eastAsiaTheme="minorEastAsia"/>
                <w:color w:val="000000"/>
                <w:sz w:val="24"/>
              </w:rPr>
              <w:t>）方案较具体、合理可行的，得</w:t>
            </w:r>
            <w:r>
              <w:rPr>
                <w:rFonts w:cs="仿宋" w:asciiTheme="minorEastAsia" w:hAnsiTheme="minorEastAsia" w:eastAsiaTheme="minorEastAsia"/>
                <w:color w:val="000000"/>
                <w:sz w:val="24"/>
              </w:rPr>
              <w:t>2</w:t>
            </w:r>
            <w:r>
              <w:rPr>
                <w:rFonts w:hint="eastAsia" w:cs="仿宋" w:asciiTheme="minorEastAsia" w:hAnsiTheme="minorEastAsia" w:eastAsiaTheme="minorEastAsia"/>
                <w:color w:val="000000"/>
                <w:sz w:val="24"/>
              </w:rPr>
              <w:t>分；</w:t>
            </w:r>
          </w:p>
          <w:p>
            <w:pPr>
              <w:rPr>
                <w:rFonts w:cs="仿宋" w:asciiTheme="minorEastAsia" w:hAnsiTheme="minorEastAsia" w:eastAsiaTheme="minorEastAsia"/>
                <w:color w:val="000000"/>
                <w:sz w:val="24"/>
              </w:rPr>
            </w:pPr>
            <w:r>
              <w:rPr>
                <w:rFonts w:cs="仿宋" w:asciiTheme="minorEastAsia" w:hAnsiTheme="minorEastAsia" w:eastAsiaTheme="minorEastAsia"/>
                <w:color w:val="000000"/>
                <w:sz w:val="24"/>
              </w:rPr>
              <w:t>3</w:t>
            </w:r>
            <w:r>
              <w:rPr>
                <w:rFonts w:hint="eastAsia" w:cs="仿宋" w:asciiTheme="minorEastAsia" w:hAnsiTheme="minorEastAsia" w:eastAsiaTheme="minorEastAsia"/>
                <w:color w:val="000000"/>
                <w:sz w:val="24"/>
              </w:rPr>
              <w:t>）方案内容不详实、存在缺漏的，得</w:t>
            </w:r>
            <w:r>
              <w:rPr>
                <w:rFonts w:cs="仿宋" w:asciiTheme="minorEastAsia" w:hAnsiTheme="minorEastAsia" w:eastAsiaTheme="minorEastAsia"/>
                <w:color w:val="000000"/>
                <w:sz w:val="24"/>
              </w:rPr>
              <w:t>1</w:t>
            </w:r>
            <w:r>
              <w:rPr>
                <w:rFonts w:hint="eastAsia" w:cs="仿宋" w:asciiTheme="minorEastAsia" w:hAnsiTheme="minorEastAsia" w:eastAsiaTheme="minorEastAsia"/>
                <w:color w:val="000000"/>
                <w:sz w:val="24"/>
              </w:rPr>
              <w:t>分；</w:t>
            </w:r>
          </w:p>
          <w:p>
            <w:pPr>
              <w:widowControl/>
              <w:spacing w:line="276" w:lineRule="auto"/>
              <w:jc w:val="left"/>
              <w:rPr>
                <w:rFonts w:cs="Helvetica" w:asciiTheme="minorEastAsia" w:hAnsiTheme="minorEastAsia" w:eastAsiaTheme="minorEastAsia"/>
                <w:kern w:val="0"/>
                <w:sz w:val="24"/>
              </w:rPr>
            </w:pPr>
            <w:r>
              <w:rPr>
                <w:rFonts w:cs="仿宋" w:asciiTheme="minorEastAsia" w:hAnsiTheme="minorEastAsia" w:eastAsiaTheme="minorEastAsia"/>
                <w:color w:val="000000"/>
                <w:sz w:val="24"/>
              </w:rPr>
              <w:t>4</w:t>
            </w:r>
            <w:r>
              <w:rPr>
                <w:rFonts w:hint="eastAsia" w:cs="仿宋" w:asciiTheme="minorEastAsia" w:hAnsiTheme="minorEastAsia" w:eastAsiaTheme="minorEastAsia"/>
                <w:color w:val="000000"/>
                <w:sz w:val="24"/>
              </w:rPr>
              <w:t>）方案差或者未提供的本项不得分。</w:t>
            </w:r>
          </w:p>
        </w:tc>
      </w:tr>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非单一产品采购项目，采购人应当根据采购项目技术构成、产品价格比重等合理确定核心产品，</w:t>
      </w:r>
      <w:r>
        <w:rPr>
          <w:rFonts w:hint="eastAsia" w:cs="宋体" w:asciiTheme="minorEastAsia" w:hAnsiTheme="minorEastAsia" w:eastAsiaTheme="minorEastAsia"/>
          <w:b/>
          <w:bCs w:val="0"/>
          <w:sz w:val="24"/>
        </w:rPr>
        <w:t>本项目核心产品为：</w:t>
      </w:r>
      <w:r>
        <w:rPr>
          <w:rFonts w:hint="eastAsia" w:ascii="宋体" w:hAnsi="宋体" w:cs="宋体"/>
          <w:b/>
          <w:bCs w:val="0"/>
          <w:sz w:val="24"/>
        </w:rPr>
        <w:t>监测接收机</w:t>
      </w:r>
      <w:r>
        <w:rPr>
          <w:rFonts w:hint="eastAsia" w:cs="宋体" w:asciiTheme="minorEastAsia" w:hAnsiTheme="minorEastAsia" w:eastAsiaTheme="minorEastAsia"/>
          <w:b/>
          <w:bCs w:val="0"/>
          <w:sz w:val="24"/>
        </w:rPr>
        <w:t xml:space="preserve"> 。</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（6）投标有效期、交货期限、质保期、售后服务等商务条款不能满足招标文件要求的；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5" w:name="_Toc30881_WPSOffice_Level1"/>
      <w:r>
        <w:rPr>
          <w:rFonts w:hint="eastAsia" w:cs="宋体" w:asciiTheme="minorEastAsia" w:hAnsiTheme="minorEastAsia" w:eastAsiaTheme="minorEastAsia"/>
          <w:sz w:val="24"/>
        </w:rPr>
        <w:t>2.4 特殊情况的处理</w:t>
      </w:r>
      <w:bookmarkEnd w:id="19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bookmarkStart w:id="196" w:name="_Toc21758"/>
      <w:bookmarkStart w:id="197" w:name="_Toc20086"/>
      <w:bookmarkStart w:id="198" w:name="_Toc25984"/>
      <w:bookmarkStart w:id="199" w:name="_Toc31936_WPSOffice_Level1"/>
      <w:bookmarkStart w:id="200" w:name="_Toc13519"/>
      <w:r>
        <w:rPr>
          <w:rFonts w:hint="eastAsia"/>
        </w:rPr>
        <w:br w:type="page"/>
      </w:r>
    </w:p>
    <w:p>
      <w:pPr>
        <w:pStyle w:val="3"/>
        <w:jc w:val="center"/>
      </w:pPr>
      <w:r>
        <w:rPr>
          <w:rFonts w:hint="eastAsia"/>
        </w:rPr>
        <w:t>第四章 采购内容及要求</w:t>
      </w:r>
      <w:bookmarkEnd w:id="183"/>
      <w:bookmarkEnd w:id="196"/>
      <w:bookmarkEnd w:id="197"/>
      <w:bookmarkEnd w:id="198"/>
      <w:bookmarkEnd w:id="199"/>
      <w:bookmarkEnd w:id="200"/>
    </w:p>
    <w:p>
      <w:pPr>
        <w:spacing w:line="360" w:lineRule="auto"/>
        <w:ind w:firstLine="482" w:firstLineChars="200"/>
        <w:rPr>
          <w:rFonts w:ascii="宋体" w:hAnsi="宋体" w:cs="宋体"/>
          <w:b/>
          <w:bCs/>
          <w:sz w:val="24"/>
          <w:u w:val="single"/>
        </w:rPr>
      </w:pPr>
      <w:bookmarkStart w:id="201" w:name="_Toc30096"/>
      <w:bookmarkStart w:id="202" w:name="_Toc2549"/>
      <w:bookmarkStart w:id="203" w:name="_Toc8077"/>
      <w:r>
        <w:rPr>
          <w:rFonts w:hint="eastAsia" w:ascii="宋体" w:hAnsi="宋体" w:cs="宋体"/>
          <w:b/>
          <w:bCs/>
          <w:sz w:val="24"/>
          <w:u w:val="single"/>
        </w:rPr>
        <w:t>注：</w:t>
      </w:r>
      <w:r>
        <w:rPr>
          <w:rFonts w:hint="eastAsia" w:ascii="宋体" w:hAnsi="宋体" w:cs="宋体"/>
          <w:b/>
          <w:bCs/>
          <w:sz w:val="24"/>
          <w:u w:val="single"/>
          <w:lang w:val="zh-CN"/>
        </w:rPr>
        <w:t>《</w:t>
      </w:r>
      <w:r>
        <w:rPr>
          <w:rFonts w:hint="eastAsia" w:ascii="宋体" w:hAnsi="宋体" w:cs="宋体"/>
          <w:b/>
          <w:bCs/>
          <w:sz w:val="24"/>
          <w:u w:val="single"/>
        </w:rPr>
        <w:t>采购内容及要求</w:t>
      </w:r>
      <w:r>
        <w:rPr>
          <w:rFonts w:hint="eastAsia" w:ascii="宋体" w:hAnsi="宋体" w:cs="宋体"/>
          <w:b/>
          <w:bCs/>
          <w:sz w:val="24"/>
          <w:u w:val="single"/>
          <w:lang w:val="zh-CN"/>
        </w:rPr>
        <w:t>》中标注有“★</w:t>
      </w:r>
      <w:r>
        <w:rPr>
          <w:rFonts w:hint="eastAsia" w:ascii="宋体" w:hAnsi="宋体" w:cs="宋体"/>
          <w:b/>
          <w:bCs/>
          <w:sz w:val="24"/>
          <w:u w:val="single"/>
        </w:rPr>
        <w:t>”号的条款必须实质性响应，负偏离（不满足要求）将导致响应无效。</w:t>
      </w:r>
      <w:r>
        <w:rPr>
          <w:rFonts w:hint="eastAsia" w:ascii="宋体" w:hAnsi="宋体" w:cs="宋体"/>
          <w:b/>
          <w:bCs/>
          <w:sz w:val="24"/>
          <w:u w:val="single"/>
          <w:lang w:val="zh-CN"/>
        </w:rPr>
        <w:t>标注有“▲</w:t>
      </w:r>
      <w:r>
        <w:rPr>
          <w:rFonts w:hint="eastAsia" w:ascii="宋体" w:hAnsi="宋体" w:cs="宋体"/>
          <w:b/>
          <w:bCs/>
          <w:sz w:val="24"/>
          <w:u w:val="single"/>
        </w:rPr>
        <w:t>”号的条款为</w:t>
      </w:r>
      <w:r>
        <w:rPr>
          <w:rFonts w:hint="eastAsia" w:ascii="宋体" w:hAnsi="宋体" w:cs="宋体"/>
          <w:b/>
          <w:bCs/>
          <w:sz w:val="24"/>
          <w:u w:val="single"/>
          <w:lang w:val="zh-CN"/>
        </w:rPr>
        <w:t>重要技术</w:t>
      </w:r>
      <w:r>
        <w:rPr>
          <w:rFonts w:hint="eastAsia" w:ascii="宋体" w:hAnsi="宋体" w:cs="宋体"/>
          <w:b/>
          <w:bCs/>
          <w:sz w:val="24"/>
          <w:u w:val="single"/>
        </w:rPr>
        <w:t>要求，负偏离（不满足要求）将影响技术得分。</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一、项目概述</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本项目拟对西安、延安、汉中三个地市现有的奔驰威霆移动监测站进行升级改造，拆除原有的监测测向设备，新购高性能监测测向设备，将系统监测、测向频率范围扩展至</w:t>
      </w:r>
      <w:r>
        <w:rPr>
          <w:rFonts w:ascii="宋体" w:hAnsi="宋体" w:cs="微软雅黑"/>
          <w:kern w:val="0"/>
          <w:sz w:val="24"/>
        </w:rPr>
        <w:t>20MHz</w:t>
      </w:r>
      <w:r>
        <w:rPr>
          <w:rFonts w:hint="eastAsia" w:ascii="宋体" w:hAnsi="宋体" w:cs="微软雅黑"/>
          <w:kern w:val="0"/>
          <w:sz w:val="24"/>
        </w:rPr>
        <w:t>～</w:t>
      </w:r>
      <w:r>
        <w:rPr>
          <w:rFonts w:ascii="宋体" w:hAnsi="宋体" w:cs="微软雅黑"/>
          <w:kern w:val="0"/>
          <w:sz w:val="24"/>
        </w:rPr>
        <w:t>18GHz</w:t>
      </w:r>
      <w:r>
        <w:rPr>
          <w:rFonts w:hint="eastAsia" w:ascii="宋体" w:hAnsi="宋体" w:cs="微软雅黑"/>
          <w:kern w:val="0"/>
          <w:sz w:val="24"/>
        </w:rPr>
        <w:t>。同时升级电源系统、联网系统等配套设施，升级改造后的移动站满足《省级无线电监测设施建设规范和技术要求（试行）》中对二类移动站所提出的性能指标要求。</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二、总体要求</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1</w:t>
      </w:r>
      <w:r>
        <w:rPr>
          <w:rFonts w:hint="eastAsia" w:ascii="宋体" w:hAnsi="宋体" w:cs="微软雅黑"/>
          <w:kern w:val="0"/>
          <w:sz w:val="24"/>
        </w:rPr>
        <w:t>、监测功能应符合国家无线电监测中心关于超短波无线电监测网建设的各项规范和国际电联推荐的《频谱监测手册》以及其他相关技术标准。具有单站定位功能，车辆移动时系统可在有规律的时间间隔测出信号方位，当得到足够数量的明显方位时，通过定位计算，能在地图上显示发射源大致位置（以不同的颜色或图形标注）。在进行测向时，测向通道的频谱带宽、解调带宽与测向带宽分别独立可调。测向通道能够在测向的同时对声音解调并输出连续音频信号。具备监测与测向并行工作（扫描频段可不同步）能力。</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2</w:t>
      </w:r>
      <w:r>
        <w:rPr>
          <w:rFonts w:hint="eastAsia" w:ascii="宋体" w:hAnsi="宋体" w:cs="微软雅黑"/>
          <w:kern w:val="0"/>
          <w:sz w:val="24"/>
        </w:rPr>
        <w:t>、系统符合</w:t>
      </w:r>
      <w:r>
        <w:rPr>
          <w:rFonts w:ascii="宋体" w:hAnsi="宋体" w:cs="微软雅黑"/>
          <w:kern w:val="0"/>
          <w:sz w:val="24"/>
        </w:rPr>
        <w:t>YD/T3700-2020</w:t>
      </w:r>
      <w:r>
        <w:rPr>
          <w:rFonts w:hint="eastAsia" w:ascii="宋体" w:hAnsi="宋体" w:cs="微软雅黑"/>
          <w:kern w:val="0"/>
          <w:sz w:val="24"/>
        </w:rPr>
        <w:t>《超短波监测管理一体化平台技术规范》、《无线电管理一体化平台集成规范第</w:t>
      </w:r>
      <w:r>
        <w:rPr>
          <w:rFonts w:ascii="宋体" w:hAnsi="宋体" w:cs="微软雅黑"/>
          <w:kern w:val="0"/>
          <w:sz w:val="24"/>
        </w:rPr>
        <w:t>2</w:t>
      </w:r>
      <w:r>
        <w:rPr>
          <w:rFonts w:hint="eastAsia" w:ascii="宋体" w:hAnsi="宋体" w:cs="微软雅黑"/>
          <w:kern w:val="0"/>
          <w:sz w:val="24"/>
        </w:rPr>
        <w:t>部分：服务治理》要求，具备接入无线电监测管理一体化平台的能力，并联合监测网内其他监测设施实现联合监测、联合测向、交会定位和信号普查等功能。</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3</w:t>
      </w:r>
      <w:r>
        <w:rPr>
          <w:rFonts w:hint="eastAsia" w:ascii="宋体" w:hAnsi="宋体" w:cs="微软雅黑"/>
          <w:kern w:val="0"/>
          <w:sz w:val="24"/>
        </w:rPr>
        <w:t>、应用软件平台应基于</w:t>
      </w:r>
      <w:r>
        <w:rPr>
          <w:rFonts w:ascii="宋体" w:hAnsi="宋体" w:cs="微软雅黑"/>
          <w:kern w:val="0"/>
          <w:sz w:val="24"/>
        </w:rPr>
        <w:t>Linux</w:t>
      </w:r>
      <w:r>
        <w:rPr>
          <w:rFonts w:hint="eastAsia" w:ascii="宋体" w:hAnsi="宋体" w:cs="微软雅黑"/>
          <w:kern w:val="0"/>
          <w:sz w:val="24"/>
        </w:rPr>
        <w:t>软件环境开发，采用边缘端</w:t>
      </w:r>
      <w:r>
        <w:rPr>
          <w:rFonts w:ascii="宋体" w:hAnsi="宋体" w:cs="微软雅黑"/>
          <w:kern w:val="0"/>
          <w:sz w:val="24"/>
        </w:rPr>
        <w:t>-</w:t>
      </w:r>
      <w:r>
        <w:rPr>
          <w:rFonts w:hint="eastAsia" w:ascii="宋体" w:hAnsi="宋体" w:cs="微软雅黑"/>
          <w:kern w:val="0"/>
          <w:sz w:val="24"/>
        </w:rPr>
        <w:t>云端</w:t>
      </w:r>
      <w:r>
        <w:rPr>
          <w:rFonts w:ascii="宋体" w:hAnsi="宋体" w:cs="微软雅黑"/>
          <w:kern w:val="0"/>
          <w:sz w:val="24"/>
        </w:rPr>
        <w:t>-</w:t>
      </w:r>
      <w:r>
        <w:rPr>
          <w:rFonts w:hint="eastAsia" w:ascii="宋体" w:hAnsi="宋体" w:cs="微软雅黑"/>
          <w:kern w:val="0"/>
          <w:sz w:val="24"/>
        </w:rPr>
        <w:t>前端架构设计，具有远程监控、自动升级功能，支持跨平台运行，包括浏览器、电脑桌面、平板等多种应用平台。</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4</w:t>
      </w:r>
      <w:r>
        <w:rPr>
          <w:rFonts w:hint="eastAsia" w:ascii="宋体" w:hAnsi="宋体" w:cs="微软雅黑"/>
          <w:kern w:val="0"/>
          <w:sz w:val="24"/>
        </w:rPr>
        <w:t>、符合《国家无线电办公室关于开展全国无线电频谱使用评估专项活动的通知》（国无办函</w:t>
      </w:r>
      <w:r>
        <w:rPr>
          <w:rFonts w:ascii="宋体" w:hAnsi="宋体" w:cs="微软雅黑"/>
          <w:kern w:val="0"/>
          <w:sz w:val="24"/>
        </w:rPr>
        <w:t>[2016]4</w:t>
      </w:r>
      <w:r>
        <w:rPr>
          <w:rFonts w:hint="eastAsia" w:ascii="宋体" w:hAnsi="宋体" w:cs="微软雅黑"/>
          <w:kern w:val="0"/>
          <w:sz w:val="24"/>
        </w:rPr>
        <w:t>号）、《国家无线电办公室关于开展全国无线电频谱使用评估常态化试运行工作的通知》（国无办函</w:t>
      </w:r>
      <w:r>
        <w:rPr>
          <w:rFonts w:ascii="宋体" w:hAnsi="宋体" w:cs="微软雅黑"/>
          <w:kern w:val="0"/>
          <w:sz w:val="24"/>
        </w:rPr>
        <w:t>[2016]17</w:t>
      </w:r>
      <w:r>
        <w:rPr>
          <w:rFonts w:hint="eastAsia" w:ascii="宋体" w:hAnsi="宋体" w:cs="微软雅黑"/>
          <w:kern w:val="0"/>
          <w:sz w:val="24"/>
        </w:rPr>
        <w:t>号）、《国家无线电办公室关于开展</w:t>
      </w:r>
      <w:r>
        <w:rPr>
          <w:rFonts w:ascii="宋体" w:hAnsi="宋体" w:cs="微软雅黑"/>
          <w:kern w:val="0"/>
          <w:sz w:val="24"/>
        </w:rPr>
        <w:t>2017</w:t>
      </w:r>
      <w:r>
        <w:rPr>
          <w:rFonts w:hint="eastAsia" w:ascii="宋体" w:hAnsi="宋体" w:cs="微软雅黑"/>
          <w:kern w:val="0"/>
          <w:sz w:val="24"/>
        </w:rPr>
        <w:t>年频谱使用评估工作的通知》（国无办函</w:t>
      </w:r>
      <w:r>
        <w:rPr>
          <w:rFonts w:ascii="宋体" w:hAnsi="宋体" w:cs="微软雅黑"/>
          <w:kern w:val="0"/>
          <w:sz w:val="24"/>
        </w:rPr>
        <w:t>[2017]2</w:t>
      </w:r>
      <w:r>
        <w:rPr>
          <w:rFonts w:hint="eastAsia" w:ascii="宋体" w:hAnsi="宋体" w:cs="微软雅黑"/>
          <w:kern w:val="0"/>
          <w:sz w:val="24"/>
        </w:rPr>
        <w:t>号）、《无线电频谱使用评估通用方法》（</w:t>
      </w:r>
      <w:r>
        <w:rPr>
          <w:rFonts w:ascii="宋体" w:hAnsi="宋体" w:cs="微软雅黑"/>
          <w:kern w:val="0"/>
          <w:sz w:val="24"/>
        </w:rPr>
        <w:t>2017</w:t>
      </w:r>
      <w:r>
        <w:rPr>
          <w:rFonts w:hint="eastAsia" w:ascii="宋体" w:hAnsi="宋体" w:cs="微软雅黑"/>
          <w:kern w:val="0"/>
          <w:sz w:val="24"/>
        </w:rPr>
        <w:t>年）、《公众移动通信系统频谱使用评估专用方法》（</w:t>
      </w:r>
      <w:r>
        <w:rPr>
          <w:rFonts w:ascii="宋体" w:hAnsi="宋体" w:cs="微软雅黑"/>
          <w:kern w:val="0"/>
          <w:sz w:val="24"/>
        </w:rPr>
        <w:t>2016</w:t>
      </w:r>
      <w:r>
        <w:rPr>
          <w:rFonts w:hint="eastAsia" w:ascii="宋体" w:hAnsi="宋体" w:cs="微软雅黑"/>
          <w:kern w:val="0"/>
          <w:sz w:val="24"/>
        </w:rPr>
        <w:t>年）、《国家无线电办公室关于开展全国频率使用率评价专项活动的通知》（国无办函</w:t>
      </w:r>
      <w:r>
        <w:rPr>
          <w:rFonts w:ascii="宋体" w:hAnsi="宋体" w:cs="微软雅黑"/>
          <w:kern w:val="0"/>
          <w:sz w:val="24"/>
        </w:rPr>
        <w:t>[2018]9</w:t>
      </w:r>
      <w:r>
        <w:rPr>
          <w:rFonts w:hint="eastAsia" w:ascii="宋体" w:hAnsi="宋体" w:cs="微软雅黑"/>
          <w:kern w:val="0"/>
          <w:sz w:val="24"/>
        </w:rPr>
        <w:t>号）等的相关要求，完成规定频段的数据采集，并能按预先设定频段进行路测、自动采集路测数据、自动保存路测数据，无需人工干预；能够同步测试记录基站信息（主要包括移动网络号码、位置区域码和基站编号等内容）。</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Helvetica"/>
          <w:kern w:val="0"/>
          <w:sz w:val="24"/>
        </w:rPr>
        <w:t>▲</w:t>
      </w:r>
      <w:r>
        <w:rPr>
          <w:rFonts w:ascii="宋体" w:hAnsi="宋体" w:cs="微软雅黑"/>
          <w:kern w:val="0"/>
          <w:sz w:val="24"/>
        </w:rPr>
        <w:t>5</w:t>
      </w:r>
      <w:r>
        <w:rPr>
          <w:rFonts w:hint="eastAsia" w:ascii="宋体" w:hAnsi="宋体" w:cs="微软雅黑"/>
          <w:kern w:val="0"/>
          <w:sz w:val="24"/>
        </w:rPr>
        <w:t>、系统支持数据流盘，具备在最大</w:t>
      </w:r>
      <w:r>
        <w:rPr>
          <w:rFonts w:ascii="宋体" w:hAnsi="宋体" w:cs="微软雅黑"/>
          <w:kern w:val="0"/>
          <w:sz w:val="24"/>
        </w:rPr>
        <w:t>160MHz</w:t>
      </w:r>
      <w:r>
        <w:rPr>
          <w:rFonts w:hint="eastAsia" w:ascii="宋体" w:hAnsi="宋体" w:cs="微软雅黑"/>
          <w:kern w:val="0"/>
          <w:sz w:val="24"/>
        </w:rPr>
        <w:t>带宽下实现中频连续</w:t>
      </w:r>
      <w:r>
        <w:rPr>
          <w:rFonts w:ascii="宋体" w:hAnsi="宋体" w:cs="微软雅黑"/>
          <w:kern w:val="0"/>
          <w:sz w:val="24"/>
        </w:rPr>
        <w:t>IQ</w:t>
      </w:r>
      <w:r>
        <w:rPr>
          <w:rFonts w:hint="eastAsia" w:ascii="宋体" w:hAnsi="宋体" w:cs="微软雅黑"/>
          <w:kern w:val="0"/>
          <w:sz w:val="24"/>
        </w:rPr>
        <w:t>数据存储，并通过</w:t>
      </w:r>
      <w:r>
        <w:rPr>
          <w:rFonts w:ascii="宋体" w:hAnsi="宋体" w:cs="微软雅黑"/>
          <w:kern w:val="0"/>
          <w:sz w:val="24"/>
        </w:rPr>
        <w:t>PC</w:t>
      </w:r>
      <w:r>
        <w:rPr>
          <w:rFonts w:hint="eastAsia" w:ascii="宋体" w:hAnsi="宋体" w:cs="微软雅黑"/>
          <w:kern w:val="0"/>
          <w:sz w:val="24"/>
        </w:rPr>
        <w:t>端信号分析和信号处理软件，完成事后带内任意频域和时域的信号重现、模式识别、信号解调。</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6</w:t>
      </w:r>
      <w:r>
        <w:rPr>
          <w:rFonts w:hint="eastAsia" w:ascii="宋体" w:hAnsi="宋体" w:cs="微软雅黑"/>
          <w:kern w:val="0"/>
          <w:sz w:val="24"/>
        </w:rPr>
        <w:t>、提供汽车发电机、车载磷酸铁锂电池组、市电三种供电方式，电池组给监测测向设备的供电时间不小于</w:t>
      </w:r>
      <w:r>
        <w:rPr>
          <w:rFonts w:ascii="宋体" w:hAnsi="宋体" w:cs="微软雅黑"/>
          <w:kern w:val="0"/>
          <w:sz w:val="24"/>
        </w:rPr>
        <w:t>4</w:t>
      </w:r>
      <w:r>
        <w:rPr>
          <w:rFonts w:hint="eastAsia" w:ascii="宋体" w:hAnsi="宋体" w:cs="微软雅黑"/>
          <w:kern w:val="0"/>
          <w:sz w:val="24"/>
        </w:rPr>
        <w:t>小时。</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7</w:t>
      </w:r>
      <w:r>
        <w:rPr>
          <w:rFonts w:hint="eastAsia" w:ascii="宋体" w:hAnsi="宋体" w:cs="微软雅黑"/>
          <w:kern w:val="0"/>
          <w:sz w:val="24"/>
        </w:rPr>
        <w:t>、项目建设应遵循以下相关技术标准和规范。</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《中华人民共和国无线电管理条例》</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《国家无线电管理“十四五”规划》</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《频谱监测手册》</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《省级无线电监测设施建设规范和技术要求（试行）》（国无办〔</w:t>
      </w:r>
      <w:r>
        <w:rPr>
          <w:rFonts w:ascii="宋体" w:hAnsi="宋体"/>
          <w:sz w:val="24"/>
          <w:szCs w:val="24"/>
        </w:rPr>
        <w:t>2019</w:t>
      </w:r>
      <w:r>
        <w:rPr>
          <w:rFonts w:hint="eastAsia" w:ascii="宋体" w:hAnsi="宋体"/>
          <w:sz w:val="24"/>
          <w:szCs w:val="24"/>
        </w:rPr>
        <w:t>〕</w:t>
      </w:r>
      <w:r>
        <w:rPr>
          <w:rFonts w:ascii="宋体" w:hAnsi="宋体"/>
          <w:sz w:val="24"/>
          <w:szCs w:val="24"/>
        </w:rPr>
        <w:t>3</w:t>
      </w:r>
      <w:r>
        <w:rPr>
          <w:rFonts w:hint="eastAsia" w:ascii="宋体" w:hAnsi="宋体"/>
          <w:sz w:val="24"/>
          <w:szCs w:val="24"/>
        </w:rPr>
        <w:t>号）</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VHF/UHF</w:t>
      </w:r>
      <w:r>
        <w:rPr>
          <w:rFonts w:hint="eastAsia" w:ascii="宋体" w:hAnsi="宋体"/>
          <w:sz w:val="24"/>
          <w:szCs w:val="24"/>
        </w:rPr>
        <w:t>频段无线电监测接收机技术要求及测试方法》</w:t>
      </w:r>
      <w:r>
        <w:rPr>
          <w:rFonts w:ascii="宋体" w:hAnsi="宋体"/>
          <w:sz w:val="24"/>
          <w:szCs w:val="24"/>
        </w:rPr>
        <w:t>GB/T 32401-2015</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w:t>
      </w:r>
      <w:r>
        <w:rPr>
          <w:rFonts w:ascii="宋体" w:hAnsi="宋体"/>
          <w:sz w:val="24"/>
          <w:szCs w:val="24"/>
        </w:rPr>
        <w:t>VHF/UHF</w:t>
      </w:r>
      <w:r>
        <w:rPr>
          <w:rFonts w:hint="eastAsia" w:ascii="宋体" w:hAnsi="宋体"/>
          <w:sz w:val="24"/>
          <w:szCs w:val="24"/>
        </w:rPr>
        <w:t>无线电监测测向系统开场测试参数和测试方法》</w:t>
      </w:r>
      <w:r>
        <w:rPr>
          <w:rFonts w:ascii="宋体" w:hAnsi="宋体"/>
          <w:sz w:val="24"/>
          <w:szCs w:val="24"/>
        </w:rPr>
        <w:t>GB/T 34089-2017</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《基于空间谱估计技术的</w:t>
      </w:r>
      <w:r>
        <w:rPr>
          <w:rFonts w:ascii="宋体" w:hAnsi="宋体"/>
          <w:sz w:val="24"/>
          <w:szCs w:val="24"/>
        </w:rPr>
        <w:t>VHF/UHF</w:t>
      </w:r>
      <w:r>
        <w:rPr>
          <w:rFonts w:hint="eastAsia" w:ascii="宋体" w:hAnsi="宋体"/>
          <w:sz w:val="24"/>
          <w:szCs w:val="24"/>
        </w:rPr>
        <w:t>无线电测向系统开场测试参数和测试方法》（报批稿）</w:t>
      </w:r>
      <w:r>
        <w:rPr>
          <w:rFonts w:ascii="宋体" w:hAnsi="宋体"/>
          <w:sz w:val="24"/>
          <w:szCs w:val="24"/>
        </w:rPr>
        <w:t>2015-0709T-YD</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《无线电管理一体化平台体系架构及应用规范》</w:t>
      </w:r>
      <w:r>
        <w:rPr>
          <w:rFonts w:ascii="宋体" w:hAnsi="宋体"/>
          <w:sz w:val="24"/>
          <w:szCs w:val="24"/>
        </w:rPr>
        <w:t>YD/T3699-2020</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《超短波监测管理一体化平台技术规范》</w:t>
      </w:r>
      <w:r>
        <w:rPr>
          <w:rFonts w:ascii="宋体" w:hAnsi="宋体"/>
          <w:sz w:val="24"/>
          <w:szCs w:val="24"/>
        </w:rPr>
        <w:t>YD/T3700-2020</w:t>
      </w:r>
    </w:p>
    <w:p>
      <w:pPr>
        <w:pStyle w:val="52"/>
        <w:numPr>
          <w:ilvl w:val="0"/>
          <w:numId w:val="11"/>
        </w:numPr>
        <w:spacing w:line="360" w:lineRule="auto"/>
        <w:ind w:firstLineChars="0"/>
        <w:rPr>
          <w:rFonts w:ascii="宋体" w:hAnsi="宋体"/>
          <w:sz w:val="24"/>
          <w:szCs w:val="24"/>
        </w:rPr>
      </w:pPr>
      <w:r>
        <w:rPr>
          <w:rFonts w:hint="eastAsia" w:ascii="宋体" w:hAnsi="宋体"/>
          <w:sz w:val="24"/>
          <w:szCs w:val="24"/>
        </w:rPr>
        <w:t>其他相关技术标准和行业技术规范</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三、项目配置</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项目配置包括但不限于以下内容，投标供应商应保证系统完整性。</w:t>
      </w:r>
    </w:p>
    <w:tbl>
      <w:tblPr>
        <w:tblStyle w:val="2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78"/>
        <w:gridCol w:w="53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hint="eastAsia" w:ascii="宋体" w:hAnsi="宋体" w:cs="宋体"/>
                <w:sz w:val="24"/>
              </w:rPr>
              <w:t>序号</w:t>
            </w:r>
          </w:p>
        </w:tc>
        <w:tc>
          <w:tcPr>
            <w:tcW w:w="2178" w:type="dxa"/>
            <w:vAlign w:val="center"/>
          </w:tcPr>
          <w:p>
            <w:pPr>
              <w:spacing w:line="276" w:lineRule="auto"/>
              <w:jc w:val="center"/>
              <w:rPr>
                <w:rFonts w:ascii="宋体" w:hAnsi="宋体" w:cs="宋体"/>
                <w:sz w:val="24"/>
              </w:rPr>
            </w:pPr>
            <w:r>
              <w:rPr>
                <w:rFonts w:hint="eastAsia" w:ascii="宋体" w:hAnsi="宋体" w:cs="宋体"/>
                <w:sz w:val="24"/>
              </w:rPr>
              <w:t>设备名称</w:t>
            </w:r>
          </w:p>
        </w:tc>
        <w:tc>
          <w:tcPr>
            <w:tcW w:w="5335" w:type="dxa"/>
            <w:vAlign w:val="center"/>
          </w:tcPr>
          <w:p>
            <w:pPr>
              <w:spacing w:line="276" w:lineRule="auto"/>
              <w:jc w:val="center"/>
              <w:rPr>
                <w:rFonts w:ascii="宋体" w:hAnsi="宋体" w:cs="宋体"/>
                <w:sz w:val="24"/>
              </w:rPr>
            </w:pPr>
            <w:r>
              <w:rPr>
                <w:rFonts w:hint="eastAsia" w:ascii="宋体" w:hAnsi="宋体" w:cs="宋体"/>
                <w:sz w:val="24"/>
              </w:rPr>
              <w:t>主要规格参数</w:t>
            </w:r>
          </w:p>
        </w:tc>
        <w:tc>
          <w:tcPr>
            <w:tcW w:w="1417" w:type="dxa"/>
            <w:vAlign w:val="center"/>
          </w:tcPr>
          <w:p>
            <w:pPr>
              <w:spacing w:line="276" w:lineRule="auto"/>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4"/>
            <w:vAlign w:val="center"/>
          </w:tcPr>
          <w:p>
            <w:pPr>
              <w:spacing w:line="276" w:lineRule="auto"/>
              <w:jc w:val="left"/>
              <w:rPr>
                <w:rFonts w:ascii="宋体" w:hAnsi="宋体" w:cs="宋体"/>
                <w:bCs/>
                <w:sz w:val="24"/>
              </w:rPr>
            </w:pPr>
            <w:r>
              <w:rPr>
                <w:rFonts w:hint="eastAsia" w:ascii="宋体" w:hAnsi="宋体" w:cs="宋体"/>
                <w:bCs/>
                <w:sz w:val="24"/>
              </w:rPr>
              <w:t>一、监测测向设备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1</w:t>
            </w:r>
          </w:p>
        </w:tc>
        <w:tc>
          <w:tcPr>
            <w:tcW w:w="2178" w:type="dxa"/>
            <w:vAlign w:val="center"/>
          </w:tcPr>
          <w:p>
            <w:pPr>
              <w:spacing w:line="276" w:lineRule="auto"/>
              <w:rPr>
                <w:rFonts w:ascii="宋体" w:hAnsi="宋体" w:cs="宋体"/>
                <w:sz w:val="24"/>
              </w:rPr>
            </w:pPr>
            <w:r>
              <w:rPr>
                <w:rFonts w:hint="eastAsia" w:ascii="宋体" w:hAnsi="宋体" w:cs="宋体"/>
                <w:sz w:val="24"/>
              </w:rPr>
              <w:t>监测接收机</w:t>
            </w:r>
          </w:p>
        </w:tc>
        <w:tc>
          <w:tcPr>
            <w:tcW w:w="5335" w:type="dxa"/>
            <w:vAlign w:val="center"/>
          </w:tcPr>
          <w:p>
            <w:pPr>
              <w:spacing w:line="276" w:lineRule="auto"/>
              <w:rPr>
                <w:rFonts w:ascii="宋体" w:hAnsi="宋体" w:cs="宋体"/>
                <w:sz w:val="24"/>
              </w:rPr>
            </w:pPr>
            <w:r>
              <w:rPr>
                <w:rFonts w:hint="eastAsia" w:ascii="宋体" w:hAnsi="宋体" w:cs="宋体"/>
                <w:sz w:val="24"/>
              </w:rPr>
              <w:t>频率范围：</w:t>
            </w:r>
            <w:r>
              <w:rPr>
                <w:rFonts w:ascii="宋体" w:hAnsi="宋体" w:cs="宋体"/>
                <w:sz w:val="24"/>
              </w:rPr>
              <w:t>20MHz</w:t>
            </w:r>
            <w:r>
              <w:rPr>
                <w:rFonts w:hint="eastAsia" w:ascii="宋体" w:hAnsi="宋体" w:cs="宋体"/>
                <w:sz w:val="24"/>
              </w:rPr>
              <w:t>～</w:t>
            </w:r>
            <w:r>
              <w:rPr>
                <w:rFonts w:ascii="宋体" w:hAnsi="宋体" w:cs="宋体"/>
                <w:sz w:val="24"/>
              </w:rPr>
              <w:t>18GHz</w:t>
            </w:r>
            <w:r>
              <w:rPr>
                <w:rFonts w:hint="eastAsia" w:ascii="宋体" w:hAnsi="宋体" w:cs="宋体"/>
                <w:sz w:val="24"/>
              </w:rPr>
              <w:t>；</w:t>
            </w:r>
          </w:p>
          <w:p>
            <w:pPr>
              <w:spacing w:line="276" w:lineRule="auto"/>
              <w:rPr>
                <w:rFonts w:ascii="宋体" w:hAnsi="宋体"/>
                <w:sz w:val="24"/>
              </w:rPr>
            </w:pPr>
            <w:r>
              <w:rPr>
                <w:rFonts w:hint="eastAsia" w:ascii="宋体" w:hAnsi="宋体" w:cs="宋体"/>
                <w:sz w:val="24"/>
              </w:rPr>
              <w:t>中频带宽：</w:t>
            </w:r>
            <w:r>
              <w:rPr>
                <w:rFonts w:ascii="宋体" w:hAnsi="宋体" w:cs="宋体"/>
                <w:sz w:val="24"/>
              </w:rPr>
              <w:t>160MHz</w:t>
            </w:r>
            <w:r>
              <w:rPr>
                <w:rFonts w:hint="eastAsia" w:ascii="宋体" w:hAnsi="宋体" w:cs="宋体"/>
                <w:sz w:val="24"/>
              </w:rPr>
              <w:t>。</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2</w:t>
            </w:r>
          </w:p>
        </w:tc>
        <w:tc>
          <w:tcPr>
            <w:tcW w:w="2178" w:type="dxa"/>
            <w:vAlign w:val="center"/>
          </w:tcPr>
          <w:p>
            <w:pPr>
              <w:spacing w:line="276" w:lineRule="auto"/>
              <w:rPr>
                <w:rFonts w:ascii="宋体" w:hAnsi="宋体" w:cs="宋体"/>
                <w:sz w:val="24"/>
              </w:rPr>
            </w:pPr>
            <w:r>
              <w:rPr>
                <w:rFonts w:hint="eastAsia" w:ascii="宋体" w:hAnsi="宋体" w:cs="宋体"/>
                <w:sz w:val="24"/>
              </w:rPr>
              <w:t>九通道空间谱测向接收机</w:t>
            </w:r>
          </w:p>
        </w:tc>
        <w:tc>
          <w:tcPr>
            <w:tcW w:w="5335" w:type="dxa"/>
            <w:vAlign w:val="center"/>
          </w:tcPr>
          <w:p>
            <w:pPr>
              <w:spacing w:line="276" w:lineRule="auto"/>
              <w:rPr>
                <w:rFonts w:ascii="宋体" w:hAnsi="宋体" w:cs="宋体"/>
                <w:sz w:val="24"/>
              </w:rPr>
            </w:pPr>
            <w:r>
              <w:rPr>
                <w:rFonts w:hint="eastAsia" w:ascii="宋体" w:hAnsi="宋体" w:cs="宋体"/>
                <w:sz w:val="24"/>
              </w:rPr>
              <w:t>频率范围：</w:t>
            </w:r>
            <w:r>
              <w:rPr>
                <w:rFonts w:ascii="宋体" w:hAnsi="宋体" w:cs="宋体"/>
                <w:sz w:val="24"/>
              </w:rPr>
              <w:t>20MHz</w:t>
            </w:r>
            <w:r>
              <w:rPr>
                <w:rFonts w:hint="eastAsia" w:ascii="宋体" w:hAnsi="宋体" w:cs="宋体"/>
                <w:sz w:val="24"/>
              </w:rPr>
              <w:t>～</w:t>
            </w:r>
            <w:r>
              <w:rPr>
                <w:rFonts w:ascii="宋体" w:hAnsi="宋体" w:cs="宋体"/>
                <w:sz w:val="24"/>
              </w:rPr>
              <w:t>8000MHz</w:t>
            </w:r>
            <w:r>
              <w:rPr>
                <w:rFonts w:hint="eastAsia" w:ascii="宋体" w:hAnsi="宋体" w:cs="宋体"/>
                <w:sz w:val="24"/>
              </w:rPr>
              <w:t>。</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3</w:t>
            </w:r>
          </w:p>
        </w:tc>
        <w:tc>
          <w:tcPr>
            <w:tcW w:w="2178" w:type="dxa"/>
            <w:vAlign w:val="center"/>
          </w:tcPr>
          <w:p>
            <w:pPr>
              <w:spacing w:line="276" w:lineRule="auto"/>
              <w:rPr>
                <w:rFonts w:ascii="宋体" w:hAnsi="宋体" w:cs="宋体"/>
                <w:sz w:val="24"/>
              </w:rPr>
            </w:pPr>
            <w:r>
              <w:rPr>
                <w:rFonts w:hint="eastAsia" w:ascii="宋体" w:hAnsi="宋体" w:cs="宋体"/>
                <w:sz w:val="24"/>
              </w:rPr>
              <w:t>监测天线</w:t>
            </w:r>
          </w:p>
        </w:tc>
        <w:tc>
          <w:tcPr>
            <w:tcW w:w="5335" w:type="dxa"/>
            <w:vAlign w:val="center"/>
          </w:tcPr>
          <w:p>
            <w:pPr>
              <w:spacing w:line="276" w:lineRule="auto"/>
              <w:rPr>
                <w:rFonts w:ascii="宋体" w:hAnsi="宋体" w:cs="宋体"/>
                <w:sz w:val="24"/>
              </w:rPr>
            </w:pPr>
            <w:r>
              <w:rPr>
                <w:rFonts w:hint="eastAsia" w:ascii="宋体" w:hAnsi="宋体" w:cs="宋体"/>
                <w:sz w:val="24"/>
              </w:rPr>
              <w:t>频率范围：</w:t>
            </w:r>
            <w:r>
              <w:rPr>
                <w:rFonts w:ascii="宋体" w:hAnsi="宋体" w:cs="宋体"/>
                <w:sz w:val="24"/>
              </w:rPr>
              <w:t>20MHz</w:t>
            </w:r>
            <w:r>
              <w:rPr>
                <w:rFonts w:hint="eastAsia" w:ascii="宋体" w:hAnsi="宋体" w:cs="宋体"/>
                <w:sz w:val="24"/>
              </w:rPr>
              <w:t>～</w:t>
            </w:r>
            <w:r>
              <w:rPr>
                <w:rFonts w:ascii="宋体" w:hAnsi="宋体" w:cs="宋体"/>
                <w:sz w:val="24"/>
              </w:rPr>
              <w:t>18GHz</w:t>
            </w:r>
            <w:r>
              <w:rPr>
                <w:rFonts w:hint="eastAsia" w:ascii="宋体" w:hAnsi="宋体" w:cs="宋体"/>
                <w:sz w:val="24"/>
              </w:rPr>
              <w:t>；</w:t>
            </w:r>
          </w:p>
          <w:p>
            <w:pPr>
              <w:spacing w:line="276" w:lineRule="auto"/>
              <w:rPr>
                <w:rFonts w:ascii="宋体" w:hAnsi="宋体" w:cs="宋体"/>
                <w:sz w:val="24"/>
              </w:rPr>
            </w:pPr>
            <w:r>
              <w:rPr>
                <w:rFonts w:hint="eastAsia" w:ascii="宋体" w:hAnsi="宋体" w:cs="宋体"/>
                <w:sz w:val="24"/>
              </w:rPr>
              <w:t>有源</w:t>
            </w:r>
            <w:r>
              <w:rPr>
                <w:rFonts w:ascii="宋体" w:hAnsi="宋体" w:cs="宋体"/>
                <w:sz w:val="24"/>
              </w:rPr>
              <w:t>/</w:t>
            </w:r>
            <w:r>
              <w:rPr>
                <w:rFonts w:hint="eastAsia" w:ascii="宋体" w:hAnsi="宋体" w:cs="宋体"/>
                <w:sz w:val="24"/>
              </w:rPr>
              <w:t>无源可切换。</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4</w:t>
            </w:r>
          </w:p>
        </w:tc>
        <w:tc>
          <w:tcPr>
            <w:tcW w:w="2178" w:type="dxa"/>
            <w:vAlign w:val="center"/>
          </w:tcPr>
          <w:p>
            <w:pPr>
              <w:spacing w:line="276" w:lineRule="auto"/>
              <w:rPr>
                <w:rFonts w:ascii="宋体" w:hAnsi="宋体" w:cs="宋体"/>
                <w:sz w:val="24"/>
              </w:rPr>
            </w:pPr>
            <w:r>
              <w:rPr>
                <w:rFonts w:hint="eastAsia" w:ascii="宋体" w:hAnsi="宋体" w:cs="宋体"/>
                <w:sz w:val="24"/>
              </w:rPr>
              <w:t>九通道空间谱测向天线</w:t>
            </w:r>
          </w:p>
        </w:tc>
        <w:tc>
          <w:tcPr>
            <w:tcW w:w="5335" w:type="dxa"/>
            <w:vAlign w:val="center"/>
          </w:tcPr>
          <w:p>
            <w:pPr>
              <w:spacing w:line="276" w:lineRule="auto"/>
              <w:rPr>
                <w:rFonts w:ascii="宋体" w:hAnsi="宋体" w:cs="宋体"/>
                <w:sz w:val="24"/>
              </w:rPr>
            </w:pPr>
            <w:r>
              <w:rPr>
                <w:rFonts w:hint="eastAsia" w:ascii="宋体" w:hAnsi="宋体" w:cs="宋体"/>
                <w:sz w:val="24"/>
              </w:rPr>
              <w:t>垂直极化：</w:t>
            </w:r>
            <w:r>
              <w:rPr>
                <w:rFonts w:ascii="宋体" w:hAnsi="宋体" w:cs="宋体"/>
                <w:sz w:val="24"/>
              </w:rPr>
              <w:t>20MHz</w:t>
            </w:r>
            <w:r>
              <w:rPr>
                <w:rFonts w:hint="eastAsia" w:ascii="宋体" w:hAnsi="宋体" w:cs="宋体"/>
                <w:sz w:val="24"/>
              </w:rPr>
              <w:t>～</w:t>
            </w:r>
            <w:r>
              <w:rPr>
                <w:rFonts w:ascii="宋体" w:hAnsi="宋体" w:cs="宋体"/>
                <w:sz w:val="24"/>
              </w:rPr>
              <w:t>8000MHz</w:t>
            </w:r>
            <w:r>
              <w:rPr>
                <w:rFonts w:hint="eastAsia" w:ascii="宋体" w:hAnsi="宋体" w:cs="宋体"/>
                <w:sz w:val="24"/>
              </w:rPr>
              <w:t>；</w:t>
            </w:r>
          </w:p>
          <w:p>
            <w:pPr>
              <w:spacing w:line="276" w:lineRule="auto"/>
              <w:rPr>
                <w:rFonts w:ascii="宋体" w:hAnsi="宋体" w:cs="宋体"/>
                <w:sz w:val="24"/>
              </w:rPr>
            </w:pPr>
            <w:r>
              <w:rPr>
                <w:rFonts w:hint="eastAsia" w:ascii="宋体" w:hAnsi="宋体" w:cs="宋体"/>
                <w:sz w:val="24"/>
              </w:rPr>
              <w:t>水平极化：</w:t>
            </w:r>
            <w:r>
              <w:rPr>
                <w:rFonts w:ascii="宋体" w:hAnsi="宋体" w:cs="宋体"/>
                <w:sz w:val="24"/>
              </w:rPr>
              <w:t>40MHz</w:t>
            </w:r>
            <w:r>
              <w:rPr>
                <w:rFonts w:hint="eastAsia" w:ascii="宋体" w:hAnsi="宋体" w:cs="宋体"/>
                <w:sz w:val="24"/>
              </w:rPr>
              <w:t>～</w:t>
            </w:r>
            <w:r>
              <w:rPr>
                <w:rFonts w:ascii="宋体" w:hAnsi="宋体" w:cs="宋体"/>
                <w:sz w:val="24"/>
              </w:rPr>
              <w:t>1300MHz</w:t>
            </w:r>
            <w:r>
              <w:rPr>
                <w:rFonts w:hint="eastAsia" w:ascii="宋体" w:hAnsi="宋体" w:cs="宋体"/>
                <w:sz w:val="24"/>
              </w:rPr>
              <w:t>。</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5</w:t>
            </w:r>
          </w:p>
        </w:tc>
        <w:tc>
          <w:tcPr>
            <w:tcW w:w="2178" w:type="dxa"/>
            <w:vAlign w:val="center"/>
          </w:tcPr>
          <w:p>
            <w:pPr>
              <w:spacing w:line="276" w:lineRule="auto"/>
              <w:rPr>
                <w:rFonts w:ascii="宋体" w:hAnsi="宋体" w:cs="宋体"/>
                <w:sz w:val="24"/>
              </w:rPr>
            </w:pPr>
            <w:r>
              <w:rPr>
                <w:rFonts w:hint="eastAsia" w:ascii="宋体" w:hAnsi="宋体" w:cs="宋体"/>
                <w:sz w:val="24"/>
              </w:rPr>
              <w:t>微波测向天线</w:t>
            </w:r>
          </w:p>
        </w:tc>
        <w:tc>
          <w:tcPr>
            <w:tcW w:w="5335" w:type="dxa"/>
            <w:vAlign w:val="center"/>
          </w:tcPr>
          <w:p>
            <w:pPr>
              <w:spacing w:line="276" w:lineRule="auto"/>
              <w:rPr>
                <w:rFonts w:ascii="宋体" w:hAnsi="宋体" w:cs="宋体"/>
                <w:sz w:val="24"/>
              </w:rPr>
            </w:pPr>
            <w:r>
              <w:rPr>
                <w:rFonts w:hint="eastAsia" w:ascii="宋体" w:hAnsi="宋体" w:cs="宋体"/>
                <w:sz w:val="24"/>
              </w:rPr>
              <w:t>测向体制：比幅测向；</w:t>
            </w:r>
          </w:p>
          <w:p>
            <w:pPr>
              <w:spacing w:line="276" w:lineRule="auto"/>
              <w:rPr>
                <w:rFonts w:ascii="宋体" w:hAnsi="宋体" w:cs="宋体"/>
                <w:sz w:val="24"/>
              </w:rPr>
            </w:pPr>
            <w:r>
              <w:rPr>
                <w:rFonts w:hint="eastAsia" w:ascii="宋体" w:hAnsi="宋体" w:cs="宋体"/>
                <w:sz w:val="24"/>
              </w:rPr>
              <w:t>垂直极化：</w:t>
            </w:r>
            <w:r>
              <w:rPr>
                <w:rFonts w:ascii="宋体" w:hAnsi="宋体" w:cs="宋体"/>
                <w:sz w:val="24"/>
              </w:rPr>
              <w:t>8GHz</w:t>
            </w:r>
            <w:r>
              <w:rPr>
                <w:rFonts w:hint="eastAsia" w:ascii="宋体" w:hAnsi="宋体" w:cs="宋体"/>
                <w:sz w:val="24"/>
              </w:rPr>
              <w:t>～</w:t>
            </w:r>
            <w:r>
              <w:rPr>
                <w:rFonts w:ascii="宋体" w:hAnsi="宋体" w:cs="宋体"/>
                <w:sz w:val="24"/>
              </w:rPr>
              <w:t>18GHz</w:t>
            </w:r>
            <w:r>
              <w:rPr>
                <w:rFonts w:hint="eastAsia" w:ascii="宋体" w:hAnsi="宋体" w:cs="宋体"/>
                <w:sz w:val="24"/>
              </w:rPr>
              <w:t>。</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6</w:t>
            </w:r>
          </w:p>
        </w:tc>
        <w:tc>
          <w:tcPr>
            <w:tcW w:w="2178" w:type="dxa"/>
            <w:vAlign w:val="center"/>
          </w:tcPr>
          <w:p>
            <w:pPr>
              <w:spacing w:line="276" w:lineRule="auto"/>
              <w:rPr>
                <w:rFonts w:ascii="宋体" w:hAnsi="宋体" w:cs="宋体"/>
                <w:sz w:val="24"/>
              </w:rPr>
            </w:pPr>
            <w:r>
              <w:rPr>
                <w:rFonts w:hint="eastAsia" w:ascii="宋体" w:hAnsi="宋体" w:cs="宋体"/>
                <w:sz w:val="24"/>
              </w:rPr>
              <w:t>专用信号分析设备（含天线）</w:t>
            </w:r>
          </w:p>
        </w:tc>
        <w:tc>
          <w:tcPr>
            <w:tcW w:w="5335" w:type="dxa"/>
            <w:vAlign w:val="center"/>
          </w:tcPr>
          <w:p>
            <w:pPr>
              <w:spacing w:line="276" w:lineRule="auto"/>
              <w:rPr>
                <w:rFonts w:ascii="宋体" w:hAnsi="宋体" w:cs="宋体"/>
                <w:sz w:val="24"/>
              </w:rPr>
            </w:pPr>
            <w:r>
              <w:rPr>
                <w:rFonts w:hint="eastAsia" w:ascii="宋体" w:hAnsi="宋体" w:cs="宋体"/>
                <w:sz w:val="24"/>
              </w:rPr>
              <w:t>支持</w:t>
            </w:r>
            <w:r>
              <w:rPr>
                <w:rFonts w:ascii="宋体" w:hAnsi="宋体" w:cs="宋体"/>
                <w:sz w:val="24"/>
              </w:rPr>
              <w:t>DMR/dPMR/PDT/NXDN/TETRA</w:t>
            </w:r>
            <w:r>
              <w:rPr>
                <w:rFonts w:hint="eastAsia" w:ascii="宋体" w:hAnsi="宋体" w:cs="宋体"/>
                <w:sz w:val="24"/>
              </w:rPr>
              <w:t>信号解析；</w:t>
            </w:r>
          </w:p>
          <w:p>
            <w:pPr>
              <w:spacing w:line="276" w:lineRule="auto"/>
              <w:rPr>
                <w:rFonts w:ascii="宋体" w:hAnsi="宋体" w:cs="宋体"/>
                <w:sz w:val="24"/>
              </w:rPr>
            </w:pPr>
            <w:r>
              <w:rPr>
                <w:rFonts w:hint="eastAsia" w:ascii="宋体" w:hAnsi="宋体" w:cs="宋体"/>
                <w:sz w:val="24"/>
              </w:rPr>
              <w:t>支持考试作弊信号解析；</w:t>
            </w:r>
          </w:p>
          <w:p>
            <w:pPr>
              <w:spacing w:line="276" w:lineRule="auto"/>
              <w:rPr>
                <w:rFonts w:ascii="宋体" w:hAnsi="宋体" w:cs="宋体"/>
                <w:sz w:val="24"/>
              </w:rPr>
            </w:pPr>
            <w:r>
              <w:rPr>
                <w:rFonts w:hint="eastAsia" w:ascii="宋体" w:hAnsi="宋体" w:cs="宋体"/>
                <w:sz w:val="24"/>
              </w:rPr>
              <w:t>支持</w:t>
            </w:r>
            <w:r>
              <w:rPr>
                <w:rFonts w:ascii="宋体" w:hAnsi="宋体" w:cs="宋体"/>
                <w:sz w:val="24"/>
              </w:rPr>
              <w:t>2G/3G/4G/5G</w:t>
            </w:r>
            <w:r>
              <w:rPr>
                <w:rFonts w:hint="eastAsia" w:ascii="宋体" w:hAnsi="宋体" w:cs="宋体"/>
                <w:sz w:val="24"/>
              </w:rPr>
              <w:t>基站信号解码；</w:t>
            </w:r>
          </w:p>
          <w:p>
            <w:pPr>
              <w:spacing w:line="276" w:lineRule="auto"/>
              <w:rPr>
                <w:rFonts w:ascii="宋体" w:hAnsi="宋体" w:cs="宋体"/>
                <w:sz w:val="24"/>
              </w:rPr>
            </w:pPr>
            <w:r>
              <w:rPr>
                <w:rFonts w:hint="eastAsia" w:ascii="宋体" w:hAnsi="宋体" w:cs="宋体"/>
                <w:sz w:val="24"/>
              </w:rPr>
              <w:t>支持</w:t>
            </w:r>
            <w:r>
              <w:rPr>
                <w:rFonts w:ascii="宋体" w:hAnsi="宋体" w:cs="宋体"/>
                <w:sz w:val="24"/>
              </w:rPr>
              <w:t>PAL-D/NTSC/DTMB/DVB-T/DVB-T2</w:t>
            </w:r>
            <w:r>
              <w:rPr>
                <w:rFonts w:hint="eastAsia" w:ascii="宋体" w:hAnsi="宋体" w:cs="宋体"/>
                <w:sz w:val="24"/>
              </w:rPr>
              <w:t>制式电视信号解码。</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4"/>
            <w:vAlign w:val="center"/>
          </w:tcPr>
          <w:p>
            <w:pPr>
              <w:spacing w:line="276" w:lineRule="auto"/>
              <w:jc w:val="left"/>
              <w:rPr>
                <w:rFonts w:ascii="宋体" w:hAnsi="宋体" w:cs="宋体"/>
                <w:bCs/>
                <w:sz w:val="24"/>
              </w:rPr>
            </w:pPr>
            <w:r>
              <w:rPr>
                <w:rFonts w:hint="eastAsia" w:ascii="宋体" w:hAnsi="宋体" w:cs="宋体"/>
                <w:bCs/>
                <w:sz w:val="24"/>
              </w:rPr>
              <w:t>（二）应用软件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1</w:t>
            </w:r>
          </w:p>
        </w:tc>
        <w:tc>
          <w:tcPr>
            <w:tcW w:w="2178" w:type="dxa"/>
            <w:vAlign w:val="center"/>
          </w:tcPr>
          <w:p>
            <w:pPr>
              <w:spacing w:line="276" w:lineRule="auto"/>
              <w:rPr>
                <w:rFonts w:ascii="宋体" w:hAnsi="宋体" w:cs="宋体"/>
                <w:sz w:val="24"/>
              </w:rPr>
            </w:pPr>
            <w:r>
              <w:rPr>
                <w:rFonts w:hint="eastAsia" w:ascii="宋体" w:hAnsi="宋体" w:cs="宋体"/>
                <w:sz w:val="24"/>
              </w:rPr>
              <w:t>监测测向应用软件</w:t>
            </w:r>
          </w:p>
        </w:tc>
        <w:tc>
          <w:tcPr>
            <w:tcW w:w="5335" w:type="dxa"/>
            <w:vAlign w:val="center"/>
          </w:tcPr>
          <w:p>
            <w:pPr>
              <w:spacing w:line="276" w:lineRule="auto"/>
              <w:rPr>
                <w:rFonts w:ascii="宋体" w:hAnsi="宋体" w:cs="宋体"/>
                <w:sz w:val="24"/>
              </w:rPr>
            </w:pPr>
            <w:r>
              <w:rPr>
                <w:rFonts w:hint="eastAsia" w:ascii="宋体" w:hAnsi="宋体" w:cs="宋体"/>
                <w:sz w:val="24"/>
              </w:rPr>
              <w:t>含监测、测向接收机驱动程序；含全频段频谱分析</w:t>
            </w:r>
            <w:r>
              <w:rPr>
                <w:rFonts w:ascii="宋体" w:hAnsi="宋体" w:cs="宋体"/>
                <w:sz w:val="24"/>
              </w:rPr>
              <w:t>(</w:t>
            </w:r>
            <w:r>
              <w:rPr>
                <w:rFonts w:hint="eastAsia" w:ascii="宋体" w:hAnsi="宋体" w:cs="宋体"/>
                <w:sz w:val="24"/>
              </w:rPr>
              <w:t>瞬时频谱全景显示</w:t>
            </w:r>
            <w:r>
              <w:rPr>
                <w:rFonts w:ascii="宋体" w:hAnsi="宋体" w:cs="宋体"/>
                <w:sz w:val="24"/>
              </w:rPr>
              <w:t>/</w:t>
            </w:r>
            <w:r>
              <w:rPr>
                <w:rFonts w:hint="eastAsia" w:ascii="宋体" w:hAnsi="宋体" w:cs="宋体"/>
                <w:sz w:val="24"/>
              </w:rPr>
              <w:t>瀑布图</w:t>
            </w:r>
            <w:r>
              <w:rPr>
                <w:rFonts w:ascii="宋体" w:hAnsi="宋体" w:cs="宋体"/>
                <w:sz w:val="24"/>
              </w:rPr>
              <w:t>/</w:t>
            </w:r>
            <w:r>
              <w:rPr>
                <w:rFonts w:hint="eastAsia" w:ascii="宋体" w:hAnsi="宋体" w:cs="宋体"/>
                <w:sz w:val="24"/>
              </w:rPr>
              <w:t>两维缩放</w:t>
            </w:r>
            <w:r>
              <w:rPr>
                <w:rFonts w:ascii="宋体" w:hAnsi="宋体" w:cs="宋体"/>
                <w:sz w:val="24"/>
              </w:rPr>
              <w:t>/</w:t>
            </w:r>
            <w:r>
              <w:rPr>
                <w:rFonts w:hint="eastAsia" w:ascii="宋体" w:hAnsi="宋体" w:cs="宋体"/>
                <w:sz w:val="24"/>
              </w:rPr>
              <w:t>峰值搜索</w:t>
            </w:r>
            <w:r>
              <w:rPr>
                <w:rFonts w:ascii="宋体" w:hAnsi="宋体" w:cs="宋体"/>
                <w:sz w:val="24"/>
              </w:rPr>
              <w:t>/</w:t>
            </w:r>
            <w:r>
              <w:rPr>
                <w:rFonts w:hint="eastAsia" w:ascii="宋体" w:hAnsi="宋体" w:cs="宋体"/>
                <w:sz w:val="24"/>
              </w:rPr>
              <w:t>频段扫描</w:t>
            </w:r>
            <w:r>
              <w:rPr>
                <w:rFonts w:ascii="宋体" w:hAnsi="宋体" w:cs="宋体"/>
                <w:sz w:val="24"/>
              </w:rPr>
              <w:t>/</w:t>
            </w:r>
            <w:r>
              <w:rPr>
                <w:rFonts w:hint="eastAsia" w:ascii="宋体" w:hAnsi="宋体" w:cs="宋体"/>
                <w:sz w:val="24"/>
              </w:rPr>
              <w:t>频率表扫描等功能</w:t>
            </w:r>
            <w:r>
              <w:rPr>
                <w:rFonts w:ascii="宋体" w:hAnsi="宋体" w:cs="宋体"/>
                <w:sz w:val="24"/>
              </w:rPr>
              <w:t>)</w:t>
            </w:r>
            <w:r>
              <w:rPr>
                <w:rFonts w:hint="eastAsia" w:ascii="宋体" w:hAnsi="宋体" w:cs="宋体"/>
                <w:sz w:val="24"/>
              </w:rPr>
              <w:t>、</w:t>
            </w:r>
            <w:r>
              <w:rPr>
                <w:rFonts w:ascii="宋体" w:hAnsi="宋体" w:cs="宋体"/>
                <w:sz w:val="24"/>
              </w:rPr>
              <w:t>ITU</w:t>
            </w:r>
            <w:r>
              <w:rPr>
                <w:rFonts w:hint="eastAsia" w:ascii="宋体" w:hAnsi="宋体" w:cs="宋体"/>
                <w:sz w:val="24"/>
              </w:rPr>
              <w:t>规范建议的测量项目、测向数据显示</w:t>
            </w:r>
            <w:r>
              <w:rPr>
                <w:rFonts w:ascii="宋体" w:hAnsi="宋体" w:cs="宋体"/>
                <w:sz w:val="24"/>
              </w:rPr>
              <w:t>(</w:t>
            </w:r>
            <w:r>
              <w:rPr>
                <w:rFonts w:hint="eastAsia" w:ascii="宋体" w:hAnsi="宋体" w:cs="宋体"/>
                <w:sz w:val="24"/>
              </w:rPr>
              <w:t>频率</w:t>
            </w:r>
            <w:r>
              <w:rPr>
                <w:rFonts w:ascii="宋体" w:hAnsi="宋体" w:cs="宋体"/>
                <w:sz w:val="24"/>
              </w:rPr>
              <w:t>/</w:t>
            </w:r>
            <w:r>
              <w:rPr>
                <w:rFonts w:hint="eastAsia" w:ascii="宋体" w:hAnsi="宋体" w:cs="宋体"/>
                <w:sz w:val="24"/>
              </w:rPr>
              <w:t>方位角</w:t>
            </w:r>
            <w:r>
              <w:rPr>
                <w:rFonts w:ascii="宋体" w:hAnsi="宋体" w:cs="宋体"/>
                <w:sz w:val="24"/>
              </w:rPr>
              <w:t>/</w:t>
            </w:r>
            <w:r>
              <w:rPr>
                <w:rFonts w:hint="eastAsia" w:ascii="宋体" w:hAnsi="宋体" w:cs="宋体"/>
                <w:sz w:val="24"/>
              </w:rPr>
              <w:t>极坐标显示</w:t>
            </w:r>
            <w:r>
              <w:rPr>
                <w:rFonts w:ascii="宋体" w:hAnsi="宋体" w:cs="宋体"/>
                <w:sz w:val="24"/>
              </w:rPr>
              <w:t>)</w:t>
            </w:r>
            <w:r>
              <w:rPr>
                <w:rFonts w:hint="eastAsia" w:ascii="宋体" w:hAnsi="宋体" w:cs="宋体"/>
                <w:sz w:val="24"/>
              </w:rPr>
              <w:t>、数字</w:t>
            </w:r>
            <w:r>
              <w:rPr>
                <w:rFonts w:ascii="宋体" w:hAnsi="宋体" w:cs="宋体"/>
                <w:sz w:val="24"/>
              </w:rPr>
              <w:t>I/Q</w:t>
            </w:r>
            <w:r>
              <w:rPr>
                <w:rFonts w:hint="eastAsia" w:ascii="宋体" w:hAnsi="宋体" w:cs="宋体"/>
                <w:sz w:val="24"/>
              </w:rPr>
              <w:t>信号记录、频谱数据和瀑布图数据记录；含电子地图；含联网和远程控制软件。</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4"/>
            <w:vAlign w:val="center"/>
          </w:tcPr>
          <w:p>
            <w:pPr>
              <w:spacing w:line="276" w:lineRule="auto"/>
              <w:jc w:val="left"/>
              <w:rPr>
                <w:rFonts w:ascii="宋体" w:hAnsi="宋体" w:cs="宋体"/>
                <w:bCs/>
                <w:sz w:val="24"/>
              </w:rPr>
            </w:pPr>
            <w:r>
              <w:rPr>
                <w:rFonts w:hint="eastAsia" w:ascii="宋体" w:hAnsi="宋体" w:cs="宋体"/>
                <w:bCs/>
                <w:sz w:val="24"/>
              </w:rPr>
              <w:t>（三）移动站配套设施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1</w:t>
            </w:r>
          </w:p>
        </w:tc>
        <w:tc>
          <w:tcPr>
            <w:tcW w:w="2178" w:type="dxa"/>
            <w:vAlign w:val="center"/>
          </w:tcPr>
          <w:p>
            <w:pPr>
              <w:spacing w:line="276" w:lineRule="auto"/>
              <w:rPr>
                <w:rFonts w:ascii="宋体" w:hAnsi="宋体" w:cs="宋体"/>
                <w:sz w:val="24"/>
              </w:rPr>
            </w:pPr>
            <w:r>
              <w:rPr>
                <w:rFonts w:hint="eastAsia" w:ascii="宋体" w:hAnsi="宋体" w:cs="宋体"/>
                <w:sz w:val="24"/>
              </w:rPr>
              <w:t>承载平台</w:t>
            </w:r>
          </w:p>
        </w:tc>
        <w:tc>
          <w:tcPr>
            <w:tcW w:w="5335" w:type="dxa"/>
            <w:vAlign w:val="center"/>
          </w:tcPr>
          <w:p>
            <w:pPr>
              <w:spacing w:line="276" w:lineRule="auto"/>
              <w:rPr>
                <w:rFonts w:ascii="宋体" w:hAnsi="宋体" w:cs="宋体"/>
                <w:sz w:val="24"/>
              </w:rPr>
            </w:pPr>
            <w:r>
              <w:rPr>
                <w:rFonts w:hint="eastAsia" w:ascii="宋体" w:hAnsi="宋体" w:cs="宋体"/>
                <w:sz w:val="24"/>
              </w:rPr>
              <w:t>已有，奔驰威霆（黑色）。</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2</w:t>
            </w:r>
          </w:p>
        </w:tc>
        <w:tc>
          <w:tcPr>
            <w:tcW w:w="2178" w:type="dxa"/>
            <w:vAlign w:val="center"/>
          </w:tcPr>
          <w:p>
            <w:pPr>
              <w:spacing w:line="276" w:lineRule="auto"/>
              <w:rPr>
                <w:rFonts w:ascii="宋体" w:hAnsi="宋体" w:cs="宋体"/>
                <w:sz w:val="24"/>
              </w:rPr>
            </w:pPr>
            <w:r>
              <w:rPr>
                <w:rFonts w:hint="eastAsia" w:ascii="宋体" w:hAnsi="宋体" w:cs="宋体"/>
                <w:sz w:val="24"/>
              </w:rPr>
              <w:t>系统电缆</w:t>
            </w:r>
          </w:p>
        </w:tc>
        <w:tc>
          <w:tcPr>
            <w:tcW w:w="5335" w:type="dxa"/>
            <w:vAlign w:val="center"/>
          </w:tcPr>
          <w:p>
            <w:pPr>
              <w:spacing w:line="276" w:lineRule="auto"/>
              <w:rPr>
                <w:rFonts w:ascii="宋体" w:hAnsi="宋体"/>
                <w:bCs/>
                <w:color w:val="000000"/>
                <w:sz w:val="24"/>
              </w:rPr>
            </w:pPr>
            <w:r>
              <w:rPr>
                <w:rFonts w:hint="eastAsia" w:ascii="宋体" w:hAnsi="宋体" w:cs="宋体"/>
                <w:color w:val="000000"/>
                <w:kern w:val="0"/>
                <w:sz w:val="24"/>
              </w:rPr>
              <w:t>射频电缆、控制电缆、网络电缆等。</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3</w:t>
            </w:r>
          </w:p>
        </w:tc>
        <w:tc>
          <w:tcPr>
            <w:tcW w:w="2178" w:type="dxa"/>
            <w:vAlign w:val="center"/>
          </w:tcPr>
          <w:p>
            <w:pPr>
              <w:spacing w:line="276" w:lineRule="auto"/>
              <w:rPr>
                <w:rFonts w:ascii="宋体" w:hAnsi="宋体" w:cs="宋体"/>
                <w:sz w:val="24"/>
              </w:rPr>
            </w:pPr>
            <w:r>
              <w:rPr>
                <w:rFonts w:hint="eastAsia" w:ascii="宋体" w:hAnsi="宋体" w:cs="宋体"/>
                <w:sz w:val="24"/>
              </w:rPr>
              <w:t>电源管理系统</w:t>
            </w:r>
          </w:p>
        </w:tc>
        <w:tc>
          <w:tcPr>
            <w:tcW w:w="5335" w:type="dxa"/>
            <w:vAlign w:val="center"/>
          </w:tcPr>
          <w:p>
            <w:pPr>
              <w:spacing w:line="276" w:lineRule="auto"/>
              <w:rPr>
                <w:rFonts w:ascii="宋体" w:hAnsi="宋体" w:cs="宋体"/>
                <w:sz w:val="24"/>
              </w:rPr>
            </w:pPr>
            <w:r>
              <w:rPr>
                <w:rFonts w:hint="eastAsia" w:ascii="宋体" w:hAnsi="宋体" w:cs="宋体"/>
                <w:color w:val="000000"/>
                <w:kern w:val="0"/>
                <w:sz w:val="24"/>
              </w:rPr>
              <w:t>具备市电、锂电池组和汽车发电三种供电方式，电池组续航能力不低于</w:t>
            </w:r>
            <w:r>
              <w:rPr>
                <w:rFonts w:ascii="宋体" w:hAnsi="宋体" w:cs="宋体"/>
                <w:color w:val="000000"/>
                <w:kern w:val="0"/>
                <w:sz w:val="24"/>
              </w:rPr>
              <w:t>4</w:t>
            </w:r>
            <w:r>
              <w:rPr>
                <w:rFonts w:hint="eastAsia" w:ascii="宋体" w:hAnsi="宋体" w:cs="宋体"/>
                <w:color w:val="000000"/>
                <w:kern w:val="0"/>
                <w:sz w:val="24"/>
              </w:rPr>
              <w:t>小时。</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4</w:t>
            </w:r>
          </w:p>
        </w:tc>
        <w:tc>
          <w:tcPr>
            <w:tcW w:w="2178" w:type="dxa"/>
            <w:vAlign w:val="center"/>
          </w:tcPr>
          <w:p>
            <w:pPr>
              <w:spacing w:line="276" w:lineRule="auto"/>
              <w:rPr>
                <w:rFonts w:ascii="宋体" w:hAnsi="宋体" w:cs="宋体"/>
                <w:sz w:val="24"/>
              </w:rPr>
            </w:pPr>
            <w:r>
              <w:rPr>
                <w:rFonts w:hint="eastAsia" w:ascii="宋体" w:hAnsi="宋体" w:cs="宋体"/>
                <w:sz w:val="24"/>
              </w:rPr>
              <w:t>联网单元</w:t>
            </w:r>
          </w:p>
        </w:tc>
        <w:tc>
          <w:tcPr>
            <w:tcW w:w="5335" w:type="dxa"/>
            <w:vAlign w:val="center"/>
          </w:tcPr>
          <w:p>
            <w:pPr>
              <w:spacing w:line="276" w:lineRule="auto"/>
              <w:rPr>
                <w:rFonts w:ascii="宋体" w:hAnsi="宋体" w:cs="宋体"/>
                <w:color w:val="000000"/>
                <w:kern w:val="0"/>
                <w:sz w:val="24"/>
              </w:rPr>
            </w:pPr>
            <w:r>
              <w:rPr>
                <w:rFonts w:hint="eastAsia" w:ascii="宋体" w:hAnsi="宋体" w:cs="宋体"/>
                <w:sz w:val="24"/>
              </w:rPr>
              <w:t>支持</w:t>
            </w:r>
            <w:r>
              <w:rPr>
                <w:rFonts w:ascii="宋体" w:hAnsi="宋体" w:cs="宋体"/>
                <w:sz w:val="24"/>
              </w:rPr>
              <w:t>4G/5G</w:t>
            </w:r>
            <w:r>
              <w:rPr>
                <w:rFonts w:hint="eastAsia" w:ascii="宋体" w:hAnsi="宋体" w:cs="宋体"/>
                <w:sz w:val="24"/>
              </w:rPr>
              <w:t>、</w:t>
            </w:r>
            <w:r>
              <w:rPr>
                <w:rFonts w:ascii="宋体" w:hAnsi="宋体" w:cs="宋体"/>
                <w:sz w:val="24"/>
              </w:rPr>
              <w:t>WiFi</w:t>
            </w:r>
            <w:r>
              <w:rPr>
                <w:rFonts w:hint="eastAsia" w:ascii="宋体" w:hAnsi="宋体" w:cs="宋体"/>
                <w:sz w:val="24"/>
              </w:rPr>
              <w:t>、有线等多种通讯网络。</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5</w:t>
            </w:r>
          </w:p>
        </w:tc>
        <w:tc>
          <w:tcPr>
            <w:tcW w:w="2178" w:type="dxa"/>
            <w:vAlign w:val="center"/>
          </w:tcPr>
          <w:p>
            <w:pPr>
              <w:spacing w:line="276" w:lineRule="auto"/>
              <w:rPr>
                <w:rFonts w:ascii="宋体" w:hAnsi="宋体" w:cs="宋体"/>
                <w:sz w:val="24"/>
              </w:rPr>
            </w:pPr>
            <w:r>
              <w:rPr>
                <w:rFonts w:hint="eastAsia" w:ascii="宋体" w:hAnsi="宋体" w:cs="宋体"/>
                <w:sz w:val="24"/>
              </w:rPr>
              <w:t>控制终端</w:t>
            </w:r>
          </w:p>
        </w:tc>
        <w:tc>
          <w:tcPr>
            <w:tcW w:w="5335" w:type="dxa"/>
            <w:vAlign w:val="center"/>
          </w:tcPr>
          <w:p>
            <w:pPr>
              <w:spacing w:line="276" w:lineRule="auto"/>
              <w:rPr>
                <w:rFonts w:ascii="宋体" w:hAnsi="宋体" w:cs="宋体"/>
                <w:sz w:val="24"/>
              </w:rPr>
            </w:pPr>
            <w:r>
              <w:rPr>
                <w:rFonts w:hint="eastAsia" w:ascii="宋体" w:hAnsi="宋体" w:cs="宋体"/>
                <w:sz w:val="24"/>
              </w:rPr>
              <w:t>不低于酷睿</w:t>
            </w:r>
            <w:r>
              <w:rPr>
                <w:rFonts w:ascii="宋体" w:hAnsi="宋体" w:cs="宋体"/>
                <w:sz w:val="24"/>
              </w:rPr>
              <w:t>i5</w:t>
            </w:r>
            <w:r>
              <w:rPr>
                <w:rFonts w:hint="eastAsia" w:ascii="宋体" w:hAnsi="宋体" w:cs="宋体"/>
                <w:sz w:val="24"/>
              </w:rPr>
              <w:t>，</w:t>
            </w:r>
            <w:r>
              <w:rPr>
                <w:rFonts w:ascii="宋体" w:hAnsi="宋体" w:cs="宋体"/>
                <w:sz w:val="24"/>
              </w:rPr>
              <w:t>16G</w:t>
            </w:r>
            <w:r>
              <w:rPr>
                <w:rFonts w:hint="eastAsia" w:ascii="宋体" w:hAnsi="宋体" w:cs="宋体"/>
                <w:sz w:val="24"/>
              </w:rPr>
              <w:t>内存，</w:t>
            </w:r>
            <w:r>
              <w:rPr>
                <w:rFonts w:ascii="宋体" w:hAnsi="宋体" w:cs="宋体"/>
                <w:sz w:val="24"/>
              </w:rPr>
              <w:t>1T</w:t>
            </w:r>
            <w:r>
              <w:rPr>
                <w:rFonts w:hint="eastAsia" w:ascii="宋体" w:hAnsi="宋体" w:cs="宋体"/>
                <w:sz w:val="24"/>
              </w:rPr>
              <w:t>硬盘。</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6</w:t>
            </w:r>
          </w:p>
        </w:tc>
        <w:tc>
          <w:tcPr>
            <w:tcW w:w="2178" w:type="dxa"/>
            <w:vAlign w:val="center"/>
          </w:tcPr>
          <w:p>
            <w:pPr>
              <w:spacing w:line="276" w:lineRule="auto"/>
              <w:rPr>
                <w:rFonts w:ascii="宋体" w:hAnsi="宋体" w:cs="宋体"/>
                <w:sz w:val="24"/>
              </w:rPr>
            </w:pPr>
            <w:r>
              <w:rPr>
                <w:rFonts w:hint="eastAsia" w:ascii="宋体" w:hAnsi="宋体" w:cs="宋体"/>
                <w:sz w:val="24"/>
              </w:rPr>
              <w:t>天馈配套设施</w:t>
            </w:r>
          </w:p>
        </w:tc>
        <w:tc>
          <w:tcPr>
            <w:tcW w:w="5335" w:type="dxa"/>
            <w:vAlign w:val="center"/>
          </w:tcPr>
          <w:p>
            <w:pPr>
              <w:spacing w:line="276" w:lineRule="auto"/>
              <w:rPr>
                <w:rFonts w:ascii="宋体" w:hAnsi="宋体" w:cs="宋体"/>
                <w:sz w:val="24"/>
              </w:rPr>
            </w:pPr>
            <w:r>
              <w:rPr>
                <w:rFonts w:hint="eastAsia" w:ascii="宋体" w:hAnsi="宋体" w:cs="宋体"/>
                <w:sz w:val="24"/>
              </w:rPr>
              <w:t>车顶天线平台及天线安装适配器。</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7</w:t>
            </w:r>
          </w:p>
        </w:tc>
        <w:tc>
          <w:tcPr>
            <w:tcW w:w="2178" w:type="dxa"/>
            <w:vAlign w:val="center"/>
          </w:tcPr>
          <w:p>
            <w:pPr>
              <w:spacing w:line="276" w:lineRule="auto"/>
              <w:rPr>
                <w:rFonts w:ascii="宋体" w:hAnsi="宋体" w:cs="宋体"/>
                <w:sz w:val="24"/>
              </w:rPr>
            </w:pPr>
            <w:r>
              <w:rPr>
                <w:rFonts w:hint="eastAsia" w:ascii="宋体" w:hAnsi="宋体" w:cs="宋体"/>
                <w:sz w:val="24"/>
              </w:rPr>
              <w:t>操作台</w:t>
            </w:r>
          </w:p>
        </w:tc>
        <w:tc>
          <w:tcPr>
            <w:tcW w:w="5335" w:type="dxa"/>
            <w:vAlign w:val="center"/>
          </w:tcPr>
          <w:p>
            <w:pPr>
              <w:spacing w:line="276" w:lineRule="auto"/>
              <w:rPr>
                <w:rFonts w:ascii="宋体" w:hAnsi="宋体" w:cs="宋体"/>
                <w:sz w:val="24"/>
              </w:rPr>
            </w:pPr>
            <w:r>
              <w:rPr>
                <w:rFonts w:hint="eastAsia" w:ascii="宋体" w:hAnsi="宋体" w:cs="宋体"/>
                <w:sz w:val="24"/>
              </w:rPr>
              <w:t>实木材质。</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8</w:t>
            </w:r>
          </w:p>
        </w:tc>
        <w:tc>
          <w:tcPr>
            <w:tcW w:w="2178" w:type="dxa"/>
            <w:vAlign w:val="center"/>
          </w:tcPr>
          <w:p>
            <w:pPr>
              <w:spacing w:line="276" w:lineRule="auto"/>
              <w:rPr>
                <w:rFonts w:ascii="宋体" w:hAnsi="宋体" w:cs="宋体"/>
                <w:sz w:val="24"/>
              </w:rPr>
            </w:pPr>
            <w:r>
              <w:rPr>
                <w:rFonts w:hint="eastAsia" w:ascii="宋体" w:hAnsi="宋体" w:cs="宋体"/>
                <w:sz w:val="24"/>
              </w:rPr>
              <w:t>设备机柜</w:t>
            </w:r>
          </w:p>
        </w:tc>
        <w:tc>
          <w:tcPr>
            <w:tcW w:w="5335" w:type="dxa"/>
            <w:vAlign w:val="center"/>
          </w:tcPr>
          <w:p>
            <w:pPr>
              <w:spacing w:line="276" w:lineRule="auto"/>
              <w:rPr>
                <w:rFonts w:ascii="宋体" w:hAnsi="宋体" w:cs="宋体"/>
                <w:sz w:val="24"/>
              </w:rPr>
            </w:pPr>
            <w:r>
              <w:rPr>
                <w:rFonts w:hint="eastAsia" w:ascii="宋体" w:hAnsi="宋体" w:cs="宋体"/>
                <w:sz w:val="24"/>
              </w:rPr>
              <w:t>含减震装置。</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9</w:t>
            </w:r>
          </w:p>
        </w:tc>
        <w:tc>
          <w:tcPr>
            <w:tcW w:w="2178" w:type="dxa"/>
            <w:vAlign w:val="center"/>
          </w:tcPr>
          <w:p>
            <w:pPr>
              <w:spacing w:line="276" w:lineRule="auto"/>
              <w:rPr>
                <w:rFonts w:ascii="宋体" w:hAnsi="宋体" w:cs="宋体"/>
                <w:sz w:val="24"/>
              </w:rPr>
            </w:pPr>
            <w:r>
              <w:rPr>
                <w:rFonts w:hint="eastAsia" w:ascii="宋体" w:hAnsi="宋体" w:cs="宋体"/>
                <w:sz w:val="24"/>
              </w:rPr>
              <w:t>航空座椅</w:t>
            </w:r>
          </w:p>
        </w:tc>
        <w:tc>
          <w:tcPr>
            <w:tcW w:w="5335" w:type="dxa"/>
            <w:vAlign w:val="center"/>
          </w:tcPr>
          <w:p>
            <w:pPr>
              <w:spacing w:line="276" w:lineRule="auto"/>
              <w:rPr>
                <w:rFonts w:ascii="宋体" w:hAnsi="宋体" w:cs="宋体"/>
                <w:sz w:val="24"/>
              </w:rPr>
            </w:pPr>
            <w:r>
              <w:rPr>
                <w:rFonts w:hint="eastAsia" w:ascii="宋体" w:hAnsi="宋体" w:cs="宋体"/>
                <w:sz w:val="24"/>
              </w:rPr>
              <w:t>可电动调节。</w:t>
            </w:r>
          </w:p>
        </w:tc>
        <w:tc>
          <w:tcPr>
            <w:tcW w:w="1417" w:type="dxa"/>
            <w:vAlign w:val="center"/>
          </w:tcPr>
          <w:p>
            <w:pPr>
              <w:spacing w:line="276" w:lineRule="auto"/>
              <w:jc w:val="center"/>
              <w:rPr>
                <w:rFonts w:ascii="宋体" w:hAnsi="宋体" w:cs="宋体"/>
                <w:sz w:val="24"/>
              </w:rPr>
            </w:pPr>
            <w:r>
              <w:rPr>
                <w:rFonts w:ascii="宋体" w:hAnsi="宋体" w:cs="宋体"/>
                <w:sz w:val="24"/>
              </w:rPr>
              <w:t>6</w:t>
            </w:r>
            <w:r>
              <w:rPr>
                <w:rFonts w:hint="eastAsia" w:ascii="宋体" w:hAnsi="宋体" w:cs="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pPr>
              <w:spacing w:line="276" w:lineRule="auto"/>
              <w:jc w:val="center"/>
              <w:rPr>
                <w:rFonts w:ascii="宋体" w:hAnsi="宋体" w:cs="宋体"/>
                <w:sz w:val="24"/>
              </w:rPr>
            </w:pPr>
            <w:r>
              <w:rPr>
                <w:rFonts w:ascii="宋体" w:hAnsi="宋体" w:cs="宋体"/>
                <w:sz w:val="24"/>
              </w:rPr>
              <w:t>10</w:t>
            </w:r>
          </w:p>
        </w:tc>
        <w:tc>
          <w:tcPr>
            <w:tcW w:w="2178" w:type="dxa"/>
            <w:vAlign w:val="center"/>
          </w:tcPr>
          <w:p>
            <w:pPr>
              <w:spacing w:line="276" w:lineRule="auto"/>
              <w:rPr>
                <w:rFonts w:ascii="宋体" w:hAnsi="宋体" w:cs="宋体"/>
                <w:sz w:val="24"/>
              </w:rPr>
            </w:pPr>
            <w:r>
              <w:rPr>
                <w:rFonts w:hint="eastAsia" w:ascii="宋体" w:hAnsi="宋体" w:cs="宋体"/>
                <w:sz w:val="24"/>
              </w:rPr>
              <w:t>车辆改装</w:t>
            </w:r>
          </w:p>
        </w:tc>
        <w:tc>
          <w:tcPr>
            <w:tcW w:w="5335" w:type="dxa"/>
            <w:vAlign w:val="bottom"/>
          </w:tcPr>
          <w:p>
            <w:pPr>
              <w:spacing w:line="276" w:lineRule="auto"/>
              <w:rPr>
                <w:rFonts w:ascii="宋体" w:hAnsi="宋体" w:cs="宋体"/>
                <w:sz w:val="24"/>
              </w:rPr>
            </w:pPr>
            <w:r>
              <w:rPr>
                <w:rFonts w:hint="eastAsia" w:ascii="宋体" w:hAnsi="宋体" w:cs="宋体"/>
                <w:sz w:val="24"/>
              </w:rPr>
              <w:t>包括原车座椅拆除、航空座椅改装、主驾</w:t>
            </w:r>
            <w:r>
              <w:rPr>
                <w:rFonts w:ascii="宋体" w:hAnsi="宋体" w:cs="宋体"/>
                <w:sz w:val="24"/>
              </w:rPr>
              <w:t>/</w:t>
            </w:r>
            <w:r>
              <w:rPr>
                <w:rFonts w:hint="eastAsia" w:ascii="宋体" w:hAnsi="宋体" w:cs="宋体"/>
                <w:sz w:val="24"/>
              </w:rPr>
              <w:t>副驾座椅真皮翻新、扶手箱、木地板铺设、内饰除旧、车顶灯光改造、触摸屏式整车监测测向系统集中控制面板（含电源控制、网络接口、</w:t>
            </w:r>
            <w:r>
              <w:rPr>
                <w:rFonts w:ascii="宋体" w:hAnsi="宋体" w:cs="宋体"/>
                <w:sz w:val="24"/>
              </w:rPr>
              <w:t>USB</w:t>
            </w:r>
            <w:r>
              <w:rPr>
                <w:rFonts w:hint="eastAsia" w:ascii="宋体" w:hAnsi="宋体" w:cs="宋体"/>
                <w:sz w:val="24"/>
              </w:rPr>
              <w:t>接口等）、车辆外部抛光、打蜡处理等。</w:t>
            </w:r>
          </w:p>
        </w:tc>
        <w:tc>
          <w:tcPr>
            <w:tcW w:w="1417" w:type="dxa"/>
            <w:vAlign w:val="center"/>
          </w:tcPr>
          <w:p>
            <w:pPr>
              <w:spacing w:line="276" w:lineRule="auto"/>
              <w:jc w:val="center"/>
              <w:rPr>
                <w:rFonts w:ascii="宋体" w:hAnsi="宋体" w:cs="宋体"/>
                <w:sz w:val="24"/>
              </w:rPr>
            </w:pPr>
            <w:r>
              <w:rPr>
                <w:rFonts w:ascii="宋体" w:hAnsi="宋体" w:cs="宋体"/>
                <w:sz w:val="24"/>
              </w:rPr>
              <w:t>3</w:t>
            </w:r>
            <w:r>
              <w:rPr>
                <w:rFonts w:hint="eastAsia" w:ascii="宋体" w:hAnsi="宋体" w:cs="宋体"/>
                <w:sz w:val="24"/>
              </w:rPr>
              <w:t>套</w:t>
            </w:r>
          </w:p>
        </w:tc>
      </w:tr>
    </w:tbl>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四、技术指标要求</w:t>
      </w:r>
    </w:p>
    <w:p>
      <w:pPr>
        <w:autoSpaceDE w:val="0"/>
        <w:autoSpaceDN w:val="0"/>
        <w:adjustRightInd w:val="0"/>
        <w:spacing w:line="360" w:lineRule="auto"/>
        <w:outlineLvl w:val="1"/>
        <w:rPr>
          <w:rFonts w:ascii="宋体" w:hAnsi="宋体" w:cs="微软雅黑"/>
          <w:kern w:val="0"/>
          <w:sz w:val="24"/>
        </w:rPr>
      </w:pPr>
      <w:r>
        <w:rPr>
          <w:rFonts w:ascii="宋体" w:hAnsi="宋体" w:cs="微软雅黑"/>
          <w:kern w:val="0"/>
          <w:sz w:val="24"/>
        </w:rPr>
        <w:t>1</w:t>
      </w:r>
      <w:r>
        <w:rPr>
          <w:rFonts w:hint="eastAsia" w:ascii="宋体" w:hAnsi="宋体" w:cs="微软雅黑"/>
          <w:kern w:val="0"/>
          <w:sz w:val="24"/>
        </w:rPr>
        <w:t>、监测测向系统技术指标</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）监测频率范围：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w:t>
      </w:r>
      <w:r>
        <w:rPr>
          <w:rFonts w:hint="eastAsia" w:ascii="宋体" w:hAnsi="宋体" w:cs="Helvetica"/>
          <w:kern w:val="0"/>
          <w:sz w:val="24"/>
        </w:rPr>
        <w:t>）测向频率范围：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（垂直极化），</w:t>
      </w:r>
      <w:r>
        <w:rPr>
          <w:rFonts w:ascii="宋体" w:hAnsi="宋体" w:cs="Helvetica"/>
          <w:kern w:val="0"/>
          <w:sz w:val="24"/>
        </w:rPr>
        <w:t>40MHz</w:t>
      </w:r>
      <w:r>
        <w:rPr>
          <w:rFonts w:hint="eastAsia" w:ascii="宋体" w:hAnsi="宋体" w:cs="Helvetica"/>
          <w:kern w:val="0"/>
          <w:sz w:val="24"/>
        </w:rPr>
        <w:t>～</w:t>
      </w:r>
      <w:r>
        <w:rPr>
          <w:rFonts w:ascii="宋体" w:hAnsi="宋体" w:cs="Helvetica"/>
          <w:kern w:val="0"/>
          <w:sz w:val="24"/>
        </w:rPr>
        <w:t>1.3GHz</w:t>
      </w:r>
      <w:r>
        <w:rPr>
          <w:rFonts w:hint="eastAsia" w:ascii="宋体" w:hAnsi="宋体" w:cs="Helvetica"/>
          <w:kern w:val="0"/>
          <w:sz w:val="24"/>
        </w:rPr>
        <w:t>（水平极化）。</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）测向体制：</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（空间谱估计</w:t>
      </w:r>
      <w:r>
        <w:rPr>
          <w:rFonts w:ascii="宋体" w:hAnsi="宋体" w:cs="Helvetica"/>
          <w:kern w:val="0"/>
          <w:sz w:val="24"/>
        </w:rPr>
        <w:t>/</w:t>
      </w:r>
      <w:r>
        <w:rPr>
          <w:rFonts w:hint="eastAsia" w:ascii="宋体" w:hAnsi="宋体" w:cs="Helvetica"/>
          <w:kern w:val="0"/>
          <w:sz w:val="24"/>
        </w:rPr>
        <w:t>相关干涉仪），</w:t>
      </w:r>
      <w:r>
        <w:rPr>
          <w:rFonts w:ascii="宋体" w:hAnsi="宋体" w:cs="Helvetica"/>
          <w:kern w:val="0"/>
          <w:sz w:val="24"/>
        </w:rPr>
        <w:t>8GHz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（比幅）。</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4</w:t>
      </w:r>
      <w:r>
        <w:rPr>
          <w:rFonts w:hint="eastAsia" w:ascii="宋体" w:hAnsi="宋体" w:cs="Helvetica"/>
          <w:kern w:val="0"/>
          <w:sz w:val="24"/>
        </w:rPr>
        <w:t>）频率稳定度（</w:t>
      </w:r>
      <w:r>
        <w:rPr>
          <w:rFonts w:ascii="宋体" w:hAnsi="宋体" w:cs="Helvetica"/>
          <w:kern w:val="0"/>
          <w:sz w:val="24"/>
        </w:rPr>
        <w:t>0℃</w:t>
      </w:r>
      <w:r>
        <w:rPr>
          <w:rFonts w:hint="eastAsia" w:ascii="宋体" w:hAnsi="宋体" w:cs="Helvetica"/>
          <w:kern w:val="0"/>
          <w:sz w:val="24"/>
        </w:rPr>
        <w:t>～</w:t>
      </w:r>
      <w:r>
        <w:rPr>
          <w:rFonts w:ascii="宋体" w:hAnsi="宋体" w:cs="Helvetica"/>
          <w:kern w:val="0"/>
          <w:sz w:val="24"/>
        </w:rPr>
        <w:t>45</w:t>
      </w:r>
      <w:r>
        <w:rPr>
          <w:rFonts w:hint="eastAsia" w:ascii="宋体" w:hAnsi="宋体" w:cs="Helvetica"/>
          <w:kern w:val="0"/>
          <w:sz w:val="24"/>
        </w:rPr>
        <w:t>℃）：</w:t>
      </w:r>
      <w:r>
        <w:rPr>
          <w:rFonts w:ascii="宋体" w:hAnsi="宋体"/>
          <w:sz w:val="24"/>
          <w:szCs w:val="28"/>
        </w:rPr>
        <w:t>≤1×10</w:t>
      </w:r>
      <w:r>
        <w:rPr>
          <w:rFonts w:ascii="宋体" w:hAnsi="宋体"/>
          <w:sz w:val="24"/>
          <w:szCs w:val="28"/>
          <w:vertAlign w:val="superscript"/>
        </w:rPr>
        <w:t>-7</w:t>
      </w:r>
      <w:r>
        <w:rPr>
          <w:rFonts w:hint="eastAsia" w:ascii="宋体" w:hAnsi="宋体" w:cs="Helvetica"/>
          <w:kern w:val="0"/>
          <w:sz w:val="24"/>
        </w:rPr>
        <w:t>。</w:t>
      </w:r>
    </w:p>
    <w:p>
      <w:pPr>
        <w:widowControl/>
        <w:spacing w:line="360" w:lineRule="auto"/>
        <w:ind w:firstLine="480" w:firstLineChars="200"/>
        <w:rPr>
          <w:rFonts w:ascii="宋体" w:hAnsi="宋体"/>
          <w:sz w:val="24"/>
        </w:rPr>
      </w:pPr>
      <w:r>
        <w:rPr>
          <w:rFonts w:hint="eastAsia" w:ascii="宋体" w:hAnsi="宋体"/>
          <w:sz w:val="24"/>
          <w:szCs w:val="28"/>
        </w:rPr>
        <w:t>（</w:t>
      </w:r>
      <w:r>
        <w:rPr>
          <w:rFonts w:ascii="宋体" w:hAnsi="宋体"/>
          <w:sz w:val="24"/>
          <w:szCs w:val="28"/>
        </w:rPr>
        <w:t>5</w:t>
      </w:r>
      <w:r>
        <w:rPr>
          <w:rFonts w:hint="eastAsia" w:ascii="宋体" w:hAnsi="宋体"/>
          <w:sz w:val="24"/>
          <w:szCs w:val="28"/>
        </w:rPr>
        <w:t>）监测灵敏度：</w:t>
      </w:r>
      <w:r>
        <w:rPr>
          <w:rFonts w:hint="eastAsia" w:ascii="宋体" w:hAnsi="宋体"/>
          <w:sz w:val="24"/>
        </w:rPr>
        <w:t>≤</w:t>
      </w:r>
      <w:r>
        <w:rPr>
          <w:rFonts w:ascii="宋体" w:hAnsi="宋体"/>
          <w:sz w:val="24"/>
        </w:rPr>
        <w:t>15dB</w:t>
      </w:r>
      <w:r>
        <w:rPr>
          <w:rFonts w:hint="eastAsia" w:ascii="宋体" w:hAnsi="宋体"/>
          <w:sz w:val="24"/>
        </w:rPr>
        <w:t>μ</w:t>
      </w:r>
      <w:r>
        <w:rPr>
          <w:rFonts w:ascii="宋体" w:hAnsi="宋体"/>
          <w:sz w:val="24"/>
        </w:rPr>
        <w:t>V/m</w:t>
      </w:r>
      <w:r>
        <w:rPr>
          <w:rFonts w:hint="eastAsia" w:ascii="宋体" w:hAnsi="宋体"/>
          <w:sz w:val="24"/>
        </w:rPr>
        <w:t>（</w:t>
      </w:r>
      <w:r>
        <w:rPr>
          <w:rFonts w:ascii="宋体" w:hAnsi="宋体"/>
          <w:sz w:val="24"/>
        </w:rPr>
        <w:t>20MHz</w:t>
      </w:r>
      <w:r>
        <w:rPr>
          <w:rFonts w:hint="eastAsia" w:ascii="宋体" w:hAnsi="宋体"/>
          <w:sz w:val="24"/>
        </w:rPr>
        <w:t>～</w:t>
      </w:r>
      <w:r>
        <w:rPr>
          <w:rFonts w:ascii="宋体" w:hAnsi="宋体"/>
          <w:sz w:val="24"/>
        </w:rPr>
        <w:t>3000MHz</w:t>
      </w:r>
      <w:r>
        <w:rPr>
          <w:rFonts w:hint="eastAsia" w:ascii="宋体" w:hAnsi="宋体"/>
          <w:sz w:val="24"/>
        </w:rPr>
        <w:t>），≤</w:t>
      </w:r>
      <w:r>
        <w:rPr>
          <w:rFonts w:ascii="宋体" w:hAnsi="宋体"/>
          <w:sz w:val="24"/>
        </w:rPr>
        <w:t>20dB</w:t>
      </w:r>
      <w:r>
        <w:rPr>
          <w:rFonts w:hint="eastAsia" w:ascii="宋体" w:hAnsi="宋体"/>
          <w:sz w:val="24"/>
        </w:rPr>
        <w:t>μ</w:t>
      </w:r>
      <w:r>
        <w:rPr>
          <w:rFonts w:ascii="宋体" w:hAnsi="宋体"/>
          <w:sz w:val="24"/>
        </w:rPr>
        <w:t>V/m</w:t>
      </w:r>
      <w:r>
        <w:rPr>
          <w:rFonts w:hint="eastAsia" w:ascii="宋体" w:hAnsi="宋体"/>
          <w:sz w:val="24"/>
        </w:rPr>
        <w:t>（</w:t>
      </w:r>
      <w:r>
        <w:rPr>
          <w:rFonts w:ascii="宋体" w:hAnsi="宋体"/>
          <w:sz w:val="24"/>
        </w:rPr>
        <w:t>3GHz</w:t>
      </w:r>
      <w:r>
        <w:rPr>
          <w:rFonts w:hint="eastAsia" w:ascii="宋体" w:hAnsi="宋体"/>
          <w:sz w:val="24"/>
        </w:rPr>
        <w:t>～</w:t>
      </w:r>
      <w:r>
        <w:rPr>
          <w:rFonts w:ascii="宋体" w:hAnsi="宋体"/>
          <w:sz w:val="24"/>
        </w:rPr>
        <w:t>6GHz</w:t>
      </w:r>
      <w:r>
        <w:rPr>
          <w:rFonts w:hint="eastAsia" w:ascii="宋体" w:hAnsi="宋体"/>
          <w:sz w:val="24"/>
        </w:rPr>
        <w:t>），≤</w:t>
      </w:r>
      <w:r>
        <w:rPr>
          <w:rFonts w:ascii="宋体" w:hAnsi="宋体"/>
          <w:sz w:val="24"/>
        </w:rPr>
        <w:t>25dB</w:t>
      </w:r>
      <w:r>
        <w:rPr>
          <w:rFonts w:hint="eastAsia" w:ascii="宋体" w:hAnsi="宋体"/>
          <w:sz w:val="24"/>
        </w:rPr>
        <w:t>μ</w:t>
      </w:r>
      <w:r>
        <w:rPr>
          <w:rFonts w:ascii="宋体" w:hAnsi="宋体"/>
          <w:sz w:val="24"/>
        </w:rPr>
        <w:t>V/m</w:t>
      </w:r>
      <w:r>
        <w:rPr>
          <w:rFonts w:hint="eastAsia" w:ascii="宋体" w:hAnsi="宋体"/>
          <w:sz w:val="24"/>
        </w:rPr>
        <w:t>（</w:t>
      </w:r>
      <w:r>
        <w:rPr>
          <w:rFonts w:ascii="宋体" w:hAnsi="宋体"/>
          <w:sz w:val="24"/>
        </w:rPr>
        <w:t>6GHz</w:t>
      </w:r>
      <w:r>
        <w:rPr>
          <w:rFonts w:hint="eastAsia" w:ascii="宋体" w:hAnsi="宋体"/>
          <w:sz w:val="24"/>
        </w:rPr>
        <w:t>～</w:t>
      </w:r>
      <w:r>
        <w:rPr>
          <w:rFonts w:ascii="宋体" w:hAnsi="宋体"/>
          <w:sz w:val="24"/>
        </w:rPr>
        <w:t>18GHz</w:t>
      </w:r>
      <w:r>
        <w:rPr>
          <w:rFonts w:hint="eastAsia" w:ascii="宋体" w:hAnsi="宋体"/>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6</w:t>
      </w:r>
      <w:r>
        <w:rPr>
          <w:rFonts w:hint="eastAsia" w:ascii="宋体" w:hAnsi="宋体" w:cs="Helvetica"/>
          <w:kern w:val="0"/>
          <w:sz w:val="24"/>
        </w:rPr>
        <w:t>）测向准确度：</w:t>
      </w:r>
      <w:r>
        <w:rPr>
          <w:rFonts w:hint="eastAsia" w:ascii="宋体" w:hAnsi="宋体"/>
          <w:sz w:val="24"/>
          <w:szCs w:val="28"/>
        </w:rPr>
        <w:t>≤</w:t>
      </w:r>
      <w:r>
        <w:rPr>
          <w:rFonts w:ascii="宋体" w:hAnsi="宋体"/>
          <w:sz w:val="24"/>
          <w:szCs w:val="28"/>
        </w:rPr>
        <w:t>2</w:t>
      </w:r>
      <w:r>
        <w:rPr>
          <w:rFonts w:hint="eastAsia" w:ascii="宋体" w:hAnsi="宋体"/>
          <w:sz w:val="24"/>
          <w:szCs w:val="28"/>
        </w:rPr>
        <w:t>°（</w:t>
      </w:r>
      <w:r>
        <w:rPr>
          <w:rFonts w:ascii="宋体" w:hAnsi="宋体"/>
          <w:sz w:val="24"/>
          <w:szCs w:val="28"/>
        </w:rPr>
        <w:t>20MHz</w:t>
      </w:r>
      <w:r>
        <w:rPr>
          <w:rFonts w:hint="eastAsia" w:ascii="宋体" w:hAnsi="宋体"/>
          <w:sz w:val="24"/>
          <w:szCs w:val="28"/>
        </w:rPr>
        <w:t>～</w:t>
      </w:r>
      <w:r>
        <w:rPr>
          <w:rFonts w:ascii="宋体" w:hAnsi="宋体"/>
          <w:sz w:val="24"/>
          <w:szCs w:val="28"/>
        </w:rPr>
        <w:t>3000MHz,R.M.S</w:t>
      </w:r>
      <w:r>
        <w:rPr>
          <w:rFonts w:hint="eastAsia" w:ascii="宋体" w:hAnsi="宋体"/>
          <w:sz w:val="24"/>
          <w:szCs w:val="28"/>
        </w:rPr>
        <w:t>，无反射环境），≤</w:t>
      </w:r>
      <w:r>
        <w:rPr>
          <w:rFonts w:ascii="宋体" w:hAnsi="宋体"/>
          <w:sz w:val="24"/>
          <w:szCs w:val="28"/>
        </w:rPr>
        <w:t>3</w:t>
      </w:r>
      <w:r>
        <w:rPr>
          <w:rFonts w:hint="eastAsia" w:ascii="宋体" w:hAnsi="宋体"/>
          <w:sz w:val="24"/>
          <w:szCs w:val="28"/>
        </w:rPr>
        <w:t>°（</w:t>
      </w:r>
      <w:r>
        <w:rPr>
          <w:rFonts w:ascii="宋体" w:hAnsi="宋体"/>
          <w:sz w:val="24"/>
          <w:szCs w:val="28"/>
        </w:rPr>
        <w:t>3GHz</w:t>
      </w:r>
      <w:r>
        <w:rPr>
          <w:rFonts w:hint="eastAsia" w:ascii="宋体" w:hAnsi="宋体"/>
          <w:sz w:val="24"/>
          <w:szCs w:val="28"/>
        </w:rPr>
        <w:t>～</w:t>
      </w:r>
      <w:r>
        <w:rPr>
          <w:rFonts w:ascii="宋体" w:hAnsi="宋体"/>
          <w:sz w:val="24"/>
          <w:szCs w:val="28"/>
        </w:rPr>
        <w:t>6GHz</w:t>
      </w:r>
      <w:r>
        <w:rPr>
          <w:rFonts w:hint="eastAsia" w:ascii="宋体" w:hAnsi="宋体"/>
          <w:sz w:val="24"/>
          <w:szCs w:val="28"/>
        </w:rPr>
        <w:t>，</w:t>
      </w:r>
      <w:r>
        <w:rPr>
          <w:rFonts w:ascii="宋体" w:hAnsi="宋体"/>
          <w:sz w:val="24"/>
          <w:szCs w:val="28"/>
        </w:rPr>
        <w:t>R.M.S</w:t>
      </w:r>
      <w:r>
        <w:rPr>
          <w:rFonts w:hint="eastAsia" w:ascii="宋体" w:hAnsi="宋体"/>
          <w:sz w:val="24"/>
          <w:szCs w:val="28"/>
        </w:rPr>
        <w:t>，无反射环境），≤</w:t>
      </w:r>
      <w:r>
        <w:rPr>
          <w:rFonts w:ascii="宋体" w:hAnsi="宋体"/>
          <w:sz w:val="24"/>
          <w:szCs w:val="28"/>
        </w:rPr>
        <w:t>5</w:t>
      </w:r>
      <w:r>
        <w:rPr>
          <w:rFonts w:hint="eastAsia" w:ascii="宋体" w:hAnsi="宋体"/>
          <w:sz w:val="24"/>
          <w:szCs w:val="28"/>
        </w:rPr>
        <w:t>°（</w:t>
      </w:r>
      <w:r>
        <w:rPr>
          <w:rFonts w:ascii="宋体" w:hAnsi="宋体"/>
          <w:sz w:val="24"/>
          <w:szCs w:val="28"/>
        </w:rPr>
        <w:t>6GHz</w:t>
      </w:r>
      <w:r>
        <w:rPr>
          <w:rFonts w:hint="eastAsia" w:ascii="宋体" w:hAnsi="宋体"/>
          <w:sz w:val="24"/>
          <w:szCs w:val="28"/>
        </w:rPr>
        <w:t>～</w:t>
      </w:r>
      <w:r>
        <w:rPr>
          <w:rFonts w:ascii="宋体" w:hAnsi="宋体"/>
          <w:sz w:val="24"/>
          <w:szCs w:val="28"/>
        </w:rPr>
        <w:t>18GHz</w:t>
      </w:r>
      <w:r>
        <w:rPr>
          <w:rFonts w:hint="eastAsia" w:ascii="宋体" w:hAnsi="宋体"/>
          <w:sz w:val="24"/>
          <w:szCs w:val="28"/>
        </w:rPr>
        <w:t>，</w:t>
      </w:r>
      <w:r>
        <w:rPr>
          <w:rFonts w:ascii="宋体" w:hAnsi="宋体"/>
          <w:sz w:val="24"/>
          <w:szCs w:val="28"/>
        </w:rPr>
        <w:t>R.M.S</w:t>
      </w:r>
      <w:r>
        <w:rPr>
          <w:rFonts w:hint="eastAsia" w:ascii="宋体" w:hAnsi="宋体"/>
          <w:sz w:val="24"/>
          <w:szCs w:val="28"/>
        </w:rPr>
        <w:t>，无反射环境）</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7</w:t>
      </w:r>
      <w:r>
        <w:rPr>
          <w:rFonts w:hint="eastAsia" w:ascii="宋体" w:hAnsi="宋体" w:cs="Helvetica"/>
          <w:kern w:val="0"/>
          <w:sz w:val="24"/>
        </w:rPr>
        <w:t>）测向灵敏度：≤</w:t>
      </w:r>
      <w:r>
        <w:rPr>
          <w:rFonts w:ascii="宋体" w:hAnsi="宋体" w:cs="Helvetica"/>
          <w:kern w:val="0"/>
          <w:sz w:val="24"/>
        </w:rPr>
        <w:t>20dB</w:t>
      </w:r>
      <w:r>
        <w:rPr>
          <w:rFonts w:hint="eastAsia" w:ascii="宋体" w:hAnsi="宋体" w:cs="Helvetica"/>
          <w:kern w:val="0"/>
          <w:sz w:val="24"/>
        </w:rPr>
        <w:t>μ</w:t>
      </w:r>
      <w:r>
        <w:rPr>
          <w:rFonts w:ascii="宋体" w:hAnsi="宋体" w:cs="Helvetica"/>
          <w:kern w:val="0"/>
          <w:sz w:val="24"/>
        </w:rPr>
        <w:t>V/m</w:t>
      </w:r>
      <w:r>
        <w:rPr>
          <w:rFonts w:hint="eastAsia" w:ascii="宋体" w:hAnsi="宋体" w:cs="Helvetica"/>
          <w:kern w:val="0"/>
          <w:sz w:val="24"/>
        </w:rPr>
        <w:t>（</w:t>
      </w:r>
      <w:r>
        <w:rPr>
          <w:rFonts w:ascii="宋体" w:hAnsi="宋体" w:cs="Helvetica"/>
          <w:kern w:val="0"/>
          <w:sz w:val="24"/>
        </w:rPr>
        <w:t>20</w:t>
      </w:r>
      <w:r>
        <w:rPr>
          <w:rFonts w:ascii="宋体" w:hAnsi="宋体"/>
          <w:sz w:val="24"/>
          <w:szCs w:val="28"/>
        </w:rPr>
        <w:t>MHz</w:t>
      </w:r>
      <w:r>
        <w:rPr>
          <w:rFonts w:hint="eastAsia" w:ascii="宋体" w:hAnsi="宋体" w:cs="Helvetica"/>
          <w:kern w:val="0"/>
          <w:sz w:val="24"/>
        </w:rPr>
        <w:t>～</w:t>
      </w:r>
      <w:r>
        <w:rPr>
          <w:rFonts w:ascii="宋体" w:hAnsi="宋体" w:cs="Helvetica"/>
          <w:kern w:val="0"/>
          <w:sz w:val="24"/>
        </w:rPr>
        <w:t>3000MHz</w:t>
      </w:r>
      <w:r>
        <w:rPr>
          <w:rFonts w:hint="eastAsia" w:ascii="宋体" w:hAnsi="宋体" w:cs="Helvetica"/>
          <w:kern w:val="0"/>
          <w:sz w:val="24"/>
        </w:rPr>
        <w:t>），≤</w:t>
      </w:r>
      <w:r>
        <w:rPr>
          <w:rFonts w:ascii="宋体" w:hAnsi="宋体" w:cs="Helvetica"/>
          <w:kern w:val="0"/>
          <w:sz w:val="24"/>
        </w:rPr>
        <w:t>25dB</w:t>
      </w:r>
      <w:r>
        <w:rPr>
          <w:rFonts w:hint="eastAsia" w:ascii="宋体" w:hAnsi="宋体" w:cs="Helvetica"/>
          <w:kern w:val="0"/>
          <w:sz w:val="24"/>
        </w:rPr>
        <w:t>μ</w:t>
      </w:r>
      <w:r>
        <w:rPr>
          <w:rFonts w:ascii="宋体" w:hAnsi="宋体" w:cs="Helvetica"/>
          <w:kern w:val="0"/>
          <w:sz w:val="24"/>
        </w:rPr>
        <w:t>V/m</w:t>
      </w:r>
      <w:r>
        <w:rPr>
          <w:rFonts w:hint="eastAsia" w:ascii="宋体" w:hAnsi="宋体" w:cs="Helvetica"/>
          <w:kern w:val="0"/>
          <w:sz w:val="24"/>
        </w:rPr>
        <w:t>（</w:t>
      </w:r>
      <w:r>
        <w:rPr>
          <w:rFonts w:ascii="宋体" w:hAnsi="宋体" w:cs="Helvetica"/>
          <w:kern w:val="0"/>
          <w:sz w:val="24"/>
        </w:rPr>
        <w:t>3</w:t>
      </w:r>
      <w:r>
        <w:rPr>
          <w:rFonts w:ascii="宋体" w:hAnsi="宋体"/>
          <w:sz w:val="24"/>
          <w:szCs w:val="28"/>
        </w:rPr>
        <w:t>GHz</w:t>
      </w:r>
      <w:r>
        <w:rPr>
          <w:rFonts w:hint="eastAsia" w:ascii="宋体" w:hAnsi="宋体" w:cs="Helvetica"/>
          <w:kern w:val="0"/>
          <w:sz w:val="24"/>
        </w:rPr>
        <w:t>～</w:t>
      </w:r>
      <w:r>
        <w:rPr>
          <w:rFonts w:ascii="宋体" w:hAnsi="宋体" w:cs="Helvetica"/>
          <w:kern w:val="0"/>
          <w:sz w:val="24"/>
        </w:rPr>
        <w:t>6GHz</w:t>
      </w:r>
      <w:r>
        <w:rPr>
          <w:rFonts w:hint="eastAsia" w:ascii="宋体" w:hAnsi="宋体" w:cs="Helvetica"/>
          <w:kern w:val="0"/>
          <w:sz w:val="24"/>
        </w:rPr>
        <w:t>），≤</w:t>
      </w:r>
      <w:r>
        <w:rPr>
          <w:rFonts w:ascii="宋体" w:hAnsi="宋体" w:cs="Helvetica"/>
          <w:kern w:val="0"/>
          <w:sz w:val="24"/>
        </w:rPr>
        <w:t>30dB</w:t>
      </w:r>
      <w:r>
        <w:rPr>
          <w:rFonts w:hint="eastAsia" w:ascii="宋体" w:hAnsi="宋体" w:cs="Helvetica"/>
          <w:kern w:val="0"/>
          <w:sz w:val="24"/>
        </w:rPr>
        <w:t>μ</w:t>
      </w:r>
      <w:r>
        <w:rPr>
          <w:rFonts w:ascii="宋体" w:hAnsi="宋体" w:cs="Helvetica"/>
          <w:kern w:val="0"/>
          <w:sz w:val="24"/>
        </w:rPr>
        <w:t>V/m</w:t>
      </w:r>
      <w:r>
        <w:rPr>
          <w:rFonts w:hint="eastAsia" w:ascii="宋体" w:hAnsi="宋体" w:cs="Helvetica"/>
          <w:kern w:val="0"/>
          <w:sz w:val="24"/>
        </w:rPr>
        <w:t>（</w:t>
      </w:r>
      <w:r>
        <w:rPr>
          <w:rFonts w:ascii="宋体" w:hAnsi="宋体" w:cs="Helvetica"/>
          <w:kern w:val="0"/>
          <w:sz w:val="24"/>
        </w:rPr>
        <w:t>6</w:t>
      </w:r>
      <w:r>
        <w:rPr>
          <w:rFonts w:ascii="宋体" w:hAnsi="宋体"/>
          <w:sz w:val="24"/>
          <w:szCs w:val="28"/>
        </w:rPr>
        <w:t>GHz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sz w:val="24"/>
          <w:szCs w:val="28"/>
        </w:rPr>
      </w:pPr>
      <w:r>
        <w:rPr>
          <w:rFonts w:hint="eastAsia" w:ascii="宋体" w:hAnsi="宋体" w:cs="Helvetica"/>
          <w:kern w:val="0"/>
          <w:sz w:val="24"/>
        </w:rPr>
        <w:t>▲（</w:t>
      </w:r>
      <w:r>
        <w:rPr>
          <w:rFonts w:ascii="宋体" w:hAnsi="宋体" w:cs="Helvetica"/>
          <w:kern w:val="0"/>
          <w:sz w:val="24"/>
        </w:rPr>
        <w:t>8</w:t>
      </w:r>
      <w:r>
        <w:rPr>
          <w:rFonts w:hint="eastAsia" w:ascii="宋体" w:hAnsi="宋体" w:cs="Helvetica"/>
          <w:kern w:val="0"/>
          <w:sz w:val="24"/>
        </w:rPr>
        <w:t>）测向时效：≤</w:t>
      </w:r>
      <w:r>
        <w:rPr>
          <w:rFonts w:ascii="宋体" w:hAnsi="宋体" w:cs="Helvetica"/>
          <w:kern w:val="0"/>
          <w:sz w:val="24"/>
        </w:rPr>
        <w:t>1ms</w:t>
      </w:r>
      <w:r>
        <w:rPr>
          <w:rFonts w:hint="eastAsia" w:ascii="宋体" w:hAnsi="宋体"/>
          <w:sz w:val="24"/>
          <w:szCs w:val="28"/>
        </w:rPr>
        <w:t>（单次突发信号，</w:t>
      </w:r>
      <w:r>
        <w:rPr>
          <w:rFonts w:ascii="宋体" w:hAnsi="宋体"/>
          <w:sz w:val="24"/>
          <w:szCs w:val="28"/>
        </w:rPr>
        <w:t>20MHz</w:t>
      </w:r>
      <w:r>
        <w:rPr>
          <w:rFonts w:hint="eastAsia" w:ascii="宋体" w:hAnsi="宋体"/>
          <w:sz w:val="24"/>
          <w:szCs w:val="28"/>
        </w:rPr>
        <w:t>～</w:t>
      </w:r>
      <w:r>
        <w:rPr>
          <w:rFonts w:ascii="宋体" w:hAnsi="宋体"/>
          <w:sz w:val="24"/>
          <w:szCs w:val="28"/>
        </w:rPr>
        <w:t>8000MHz</w:t>
      </w:r>
      <w:r>
        <w:rPr>
          <w:rFonts w:hint="eastAsia" w:ascii="宋体" w:hAnsi="宋体"/>
          <w:sz w:val="24"/>
          <w:szCs w:val="28"/>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9</w:t>
      </w:r>
      <w:r>
        <w:rPr>
          <w:rFonts w:hint="eastAsia" w:ascii="宋体" w:hAnsi="宋体" w:cs="Helvetica"/>
          <w:kern w:val="0"/>
          <w:sz w:val="24"/>
        </w:rPr>
        <w:t>）同频非相干信号分离个数：≥</w:t>
      </w:r>
      <w:r>
        <w:rPr>
          <w:rFonts w:ascii="宋体" w:hAnsi="宋体" w:cs="Helvetica"/>
          <w:kern w:val="0"/>
          <w:sz w:val="24"/>
        </w:rPr>
        <w:t>3</w:t>
      </w:r>
      <w:r>
        <w:rPr>
          <w:rFonts w:hint="eastAsia" w:ascii="宋体" w:hAnsi="宋体" w:cs="Helvetica"/>
          <w:kern w:val="0"/>
          <w:sz w:val="24"/>
        </w:rPr>
        <w:t>（</w:t>
      </w:r>
      <w:r>
        <w:rPr>
          <w:rFonts w:ascii="宋体" w:hAnsi="宋体" w:cs="Helvetica"/>
          <w:kern w:val="0"/>
          <w:sz w:val="24"/>
        </w:rPr>
        <w:t>D/</w:t>
      </w:r>
      <w:r>
        <w:rPr>
          <w:rFonts w:ascii="Cambria Math" w:hAnsi="Cambria Math" w:cs="Helvetica"/>
          <w:kern w:val="0"/>
          <w:sz w:val="24"/>
        </w:rPr>
        <w:t>λ</w:t>
      </w: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w:t>
      </w:r>
      <w:r>
        <w:rPr>
          <w:rFonts w:ascii="宋体" w:hAnsi="宋体"/>
          <w:sz w:val="24"/>
          <w:szCs w:val="28"/>
        </w:rPr>
        <w:t>20MHz</w:t>
      </w:r>
      <w:r>
        <w:rPr>
          <w:rFonts w:hint="eastAsia" w:ascii="宋体" w:hAnsi="宋体"/>
          <w:sz w:val="24"/>
          <w:szCs w:val="28"/>
        </w:rPr>
        <w:t>～</w:t>
      </w:r>
      <w:r>
        <w:rPr>
          <w:rFonts w:ascii="宋体" w:hAnsi="宋体"/>
          <w:sz w:val="24"/>
          <w:szCs w:val="28"/>
        </w:rPr>
        <w:t>8000MHz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10</w:t>
      </w:r>
      <w:r>
        <w:rPr>
          <w:rFonts w:hint="eastAsia" w:ascii="宋体" w:hAnsi="宋体" w:cs="Helvetica"/>
          <w:kern w:val="0"/>
          <w:sz w:val="24"/>
        </w:rPr>
        <w:t>）同频相干信号分离个数：≥</w:t>
      </w:r>
      <w:r>
        <w:rPr>
          <w:rFonts w:ascii="宋体" w:hAnsi="宋体" w:cs="Helvetica"/>
          <w:kern w:val="0"/>
          <w:sz w:val="24"/>
        </w:rPr>
        <w:t>2</w:t>
      </w:r>
      <w:r>
        <w:rPr>
          <w:rFonts w:hint="eastAsia" w:ascii="宋体" w:hAnsi="宋体" w:cs="Helvetica"/>
          <w:kern w:val="0"/>
          <w:sz w:val="24"/>
        </w:rPr>
        <w:t>（</w:t>
      </w:r>
      <w:r>
        <w:rPr>
          <w:rFonts w:ascii="宋体" w:hAnsi="宋体" w:cs="Helvetica"/>
          <w:kern w:val="0"/>
          <w:sz w:val="24"/>
        </w:rPr>
        <w:t>D/</w:t>
      </w:r>
      <w:r>
        <w:rPr>
          <w:rFonts w:ascii="Cambria Math" w:hAnsi="Cambria Math" w:cs="Helvetica"/>
          <w:kern w:val="0"/>
          <w:sz w:val="24"/>
        </w:rPr>
        <w:t>λ</w:t>
      </w: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w:t>
      </w:r>
      <w:r>
        <w:rPr>
          <w:rFonts w:ascii="宋体" w:hAnsi="宋体"/>
          <w:sz w:val="24"/>
          <w:szCs w:val="28"/>
        </w:rPr>
        <w:t>20MHz</w:t>
      </w:r>
      <w:r>
        <w:rPr>
          <w:rFonts w:hint="eastAsia" w:ascii="宋体" w:hAnsi="宋体"/>
          <w:sz w:val="24"/>
          <w:szCs w:val="28"/>
        </w:rPr>
        <w:t>～</w:t>
      </w:r>
      <w:r>
        <w:rPr>
          <w:rFonts w:ascii="宋体" w:hAnsi="宋体"/>
          <w:sz w:val="24"/>
          <w:szCs w:val="28"/>
        </w:rPr>
        <w:t>8000MHz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11</w:t>
      </w:r>
      <w:r>
        <w:rPr>
          <w:rFonts w:hint="eastAsia" w:ascii="宋体" w:hAnsi="宋体" w:cs="Helvetica"/>
          <w:kern w:val="0"/>
          <w:sz w:val="24"/>
        </w:rPr>
        <w:t>）最小同频信号分辨角度：≤</w:t>
      </w:r>
      <w:r>
        <w:rPr>
          <w:rFonts w:ascii="宋体" w:hAnsi="宋体" w:cs="Helvetica"/>
          <w:kern w:val="0"/>
          <w:sz w:val="24"/>
        </w:rPr>
        <w:t>20</w:t>
      </w:r>
      <w:r>
        <w:rPr>
          <w:rFonts w:hint="eastAsia" w:ascii="宋体" w:hAnsi="宋体" w:cs="Helvetica"/>
          <w:kern w:val="0"/>
          <w:sz w:val="24"/>
        </w:rPr>
        <w:t>°（</w:t>
      </w:r>
      <w:r>
        <w:rPr>
          <w:rFonts w:ascii="宋体" w:hAnsi="宋体" w:cs="Helvetica"/>
          <w:kern w:val="0"/>
          <w:sz w:val="24"/>
        </w:rPr>
        <w:t>D/</w:t>
      </w:r>
      <w:r>
        <w:rPr>
          <w:rFonts w:ascii="Cambria Math" w:hAnsi="Cambria Math" w:cs="Helvetica"/>
          <w:kern w:val="0"/>
          <w:sz w:val="24"/>
        </w:rPr>
        <w:t>λ</w:t>
      </w: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w:t>
      </w:r>
      <w:r>
        <w:rPr>
          <w:rFonts w:ascii="宋体" w:hAnsi="宋体"/>
          <w:sz w:val="24"/>
          <w:szCs w:val="28"/>
        </w:rPr>
        <w:t>20MHz</w:t>
      </w:r>
      <w:r>
        <w:rPr>
          <w:rFonts w:hint="eastAsia" w:ascii="宋体" w:hAnsi="宋体"/>
          <w:sz w:val="24"/>
          <w:szCs w:val="28"/>
        </w:rPr>
        <w:t>～</w:t>
      </w:r>
      <w:r>
        <w:rPr>
          <w:rFonts w:ascii="宋体" w:hAnsi="宋体"/>
          <w:sz w:val="24"/>
          <w:szCs w:val="28"/>
        </w:rPr>
        <w:t>8000MHz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）调制测量能力：</w:t>
      </w:r>
      <w:r>
        <w:rPr>
          <w:rFonts w:ascii="宋体" w:hAnsi="宋体" w:cs="Helvetica"/>
          <w:kern w:val="0"/>
          <w:sz w:val="24"/>
        </w:rPr>
        <w:t>AM</w:t>
      </w:r>
      <w:r>
        <w:rPr>
          <w:rFonts w:hint="eastAsia" w:ascii="宋体" w:hAnsi="宋体" w:cs="Helvetica"/>
          <w:kern w:val="0"/>
          <w:sz w:val="24"/>
        </w:rPr>
        <w:t>、</w:t>
      </w:r>
      <w:r>
        <w:rPr>
          <w:rFonts w:ascii="宋体" w:hAnsi="宋体" w:cs="Helvetica"/>
          <w:kern w:val="0"/>
          <w:sz w:val="24"/>
        </w:rPr>
        <w:t>FM</w:t>
      </w:r>
      <w:r>
        <w:rPr>
          <w:rFonts w:hint="eastAsia" w:ascii="宋体" w:hAnsi="宋体" w:cs="Helvetica"/>
          <w:kern w:val="0"/>
          <w:sz w:val="24"/>
        </w:rPr>
        <w:t>、</w:t>
      </w:r>
      <w:r>
        <w:rPr>
          <w:rFonts w:ascii="宋体" w:hAnsi="宋体" w:cs="Helvetica"/>
          <w:kern w:val="0"/>
          <w:sz w:val="24"/>
        </w:rPr>
        <w:t>CW</w:t>
      </w:r>
      <w:r>
        <w:rPr>
          <w:rFonts w:hint="eastAsia" w:ascii="宋体" w:hAnsi="宋体" w:cs="Helvetica"/>
          <w:kern w:val="0"/>
          <w:sz w:val="24"/>
        </w:rPr>
        <w:t>、</w:t>
      </w:r>
      <w:r>
        <w:rPr>
          <w:rFonts w:ascii="宋体" w:hAnsi="宋体" w:cs="Helvetica"/>
          <w:kern w:val="0"/>
          <w:sz w:val="24"/>
        </w:rPr>
        <w:t>ASK</w:t>
      </w:r>
      <w:r>
        <w:rPr>
          <w:rFonts w:hint="eastAsia" w:ascii="宋体" w:hAnsi="宋体" w:cs="Helvetica"/>
          <w:kern w:val="0"/>
          <w:sz w:val="24"/>
        </w:rPr>
        <w:t>、</w:t>
      </w:r>
      <w:r>
        <w:rPr>
          <w:rFonts w:ascii="宋体" w:hAnsi="宋体" w:cs="Helvetica"/>
          <w:kern w:val="0"/>
          <w:sz w:val="24"/>
        </w:rPr>
        <w:t>PSK</w:t>
      </w:r>
      <w:r>
        <w:rPr>
          <w:rFonts w:hint="eastAsia" w:ascii="宋体" w:hAnsi="宋体" w:cs="Helvetica"/>
          <w:kern w:val="0"/>
          <w:sz w:val="24"/>
        </w:rPr>
        <w:t>、</w:t>
      </w:r>
      <w:r>
        <w:rPr>
          <w:rFonts w:ascii="宋体" w:hAnsi="宋体" w:cs="Helvetica"/>
          <w:kern w:val="0"/>
          <w:sz w:val="24"/>
        </w:rPr>
        <w:t>QAM</w:t>
      </w:r>
      <w:r>
        <w:rPr>
          <w:rFonts w:hint="eastAsia" w:ascii="宋体" w:hAnsi="宋体" w:cs="Helvetica"/>
          <w:kern w:val="0"/>
          <w:sz w:val="24"/>
        </w:rPr>
        <w:t>、</w:t>
      </w:r>
      <w:r>
        <w:rPr>
          <w:rFonts w:ascii="宋体" w:hAnsi="宋体" w:cs="Helvetica"/>
          <w:kern w:val="0"/>
          <w:sz w:val="24"/>
        </w:rPr>
        <w:t>FSK</w:t>
      </w:r>
      <w:r>
        <w:rPr>
          <w:rFonts w:hint="eastAsia" w:ascii="宋体" w:hAnsi="宋体" w:cs="Helvetica"/>
          <w:kern w:val="0"/>
          <w:sz w:val="24"/>
        </w:rPr>
        <w:t>、</w:t>
      </w:r>
      <w:r>
        <w:rPr>
          <w:rFonts w:ascii="宋体" w:hAnsi="宋体" w:cs="Helvetica"/>
          <w:kern w:val="0"/>
          <w:sz w:val="24"/>
        </w:rPr>
        <w:t>MSK</w:t>
      </w:r>
      <w:r>
        <w:rPr>
          <w:rFonts w:hint="eastAsia" w:ascii="宋体" w:hAnsi="宋体" w:cs="Helvetica"/>
          <w:kern w:val="0"/>
          <w:sz w:val="24"/>
        </w:rPr>
        <w:t>等。</w:t>
      </w:r>
    </w:p>
    <w:p>
      <w:pPr>
        <w:widowControl/>
        <w:spacing w:line="360" w:lineRule="auto"/>
        <w:ind w:firstLine="480" w:firstLineChars="200"/>
        <w:rPr>
          <w:rFonts w:ascii="宋体" w:hAnsi="宋体" w:cs="Helvetica"/>
          <w:kern w:val="0"/>
          <w:sz w:val="24"/>
        </w:rPr>
      </w:pPr>
      <w:r>
        <w:rPr>
          <w:rFonts w:hint="eastAsia" w:ascii="宋体" w:hAnsi="宋体" w:cs="宋体"/>
          <w:sz w:val="24"/>
        </w:rPr>
        <w:t>注：上述指标中</w:t>
      </w:r>
      <w:r>
        <w:rPr>
          <w:rFonts w:hint="eastAsia" w:ascii="宋体" w:hAnsi="宋体" w:cs="Helvetica"/>
          <w:kern w:val="0"/>
          <w:sz w:val="24"/>
        </w:rPr>
        <w:t>（</w:t>
      </w:r>
      <w:r>
        <w:rPr>
          <w:rFonts w:ascii="宋体" w:hAnsi="宋体" w:cs="Helvetica"/>
          <w:kern w:val="0"/>
          <w:sz w:val="24"/>
        </w:rPr>
        <w:t>8</w:t>
      </w:r>
      <w:r>
        <w:rPr>
          <w:rFonts w:hint="eastAsia" w:ascii="宋体" w:hAnsi="宋体" w:cs="Helvetica"/>
          <w:kern w:val="0"/>
          <w:sz w:val="24"/>
        </w:rPr>
        <w:t>）</w:t>
      </w:r>
      <w:r>
        <w:rPr>
          <w:rFonts w:ascii="宋体" w:hAnsi="宋体" w:cs="Helvetica"/>
          <w:kern w:val="0"/>
          <w:sz w:val="24"/>
        </w:rPr>
        <w:t>-</w:t>
      </w:r>
      <w:r>
        <w:rPr>
          <w:rFonts w:hint="eastAsia" w:ascii="宋体" w:hAnsi="宋体" w:cs="Helvetica"/>
          <w:kern w:val="0"/>
          <w:sz w:val="24"/>
        </w:rPr>
        <w:t>（</w:t>
      </w:r>
      <w:r>
        <w:rPr>
          <w:rFonts w:ascii="宋体" w:hAnsi="宋体" w:cs="Helvetica"/>
          <w:kern w:val="0"/>
          <w:sz w:val="24"/>
        </w:rPr>
        <w:t>11</w:t>
      </w:r>
      <w:r>
        <w:rPr>
          <w:rFonts w:hint="eastAsia" w:ascii="宋体" w:hAnsi="宋体" w:cs="Helvetica"/>
          <w:kern w:val="0"/>
          <w:sz w:val="24"/>
        </w:rPr>
        <w:t>）项需</w:t>
      </w:r>
      <w:r>
        <w:rPr>
          <w:rFonts w:hint="eastAsia" w:ascii="宋体" w:hAnsi="宋体" w:cs="宋体"/>
          <w:sz w:val="24"/>
        </w:rPr>
        <w:t>需提供具有</w:t>
      </w:r>
      <w:r>
        <w:rPr>
          <w:rFonts w:ascii="宋体" w:hAnsi="宋体" w:cs="宋体"/>
          <w:sz w:val="24"/>
        </w:rPr>
        <w:t>CMA</w:t>
      </w:r>
      <w:r>
        <w:rPr>
          <w:rFonts w:hint="eastAsia" w:ascii="宋体" w:hAnsi="宋体" w:cs="宋体"/>
          <w:sz w:val="24"/>
        </w:rPr>
        <w:t>或</w:t>
      </w:r>
      <w:r>
        <w:rPr>
          <w:rFonts w:ascii="宋体" w:hAnsi="宋体" w:cs="宋体"/>
          <w:sz w:val="24"/>
        </w:rPr>
        <w:t>CNAS</w:t>
      </w:r>
      <w:r>
        <w:rPr>
          <w:rFonts w:hint="eastAsia" w:ascii="宋体" w:hAnsi="宋体" w:cs="宋体"/>
          <w:sz w:val="24"/>
        </w:rPr>
        <w:t>资质的第三方检测机构出具的检测报告佐证，</w:t>
      </w:r>
      <w:r>
        <w:rPr>
          <w:rFonts w:hint="eastAsia" w:ascii="宋体" w:hAnsi="宋体" w:cs="Helvetica"/>
          <w:kern w:val="0"/>
          <w:sz w:val="24"/>
        </w:rPr>
        <w:t>未提供报告或所提供报告中测试数据不满足指标要求的按负偏离评分。</w:t>
      </w:r>
    </w:p>
    <w:p>
      <w:pPr>
        <w:autoSpaceDE w:val="0"/>
        <w:autoSpaceDN w:val="0"/>
        <w:adjustRightInd w:val="0"/>
        <w:spacing w:line="360" w:lineRule="auto"/>
        <w:outlineLvl w:val="1"/>
        <w:rPr>
          <w:rFonts w:ascii="宋体" w:hAnsi="宋体" w:cs="微软雅黑"/>
          <w:kern w:val="0"/>
          <w:sz w:val="24"/>
        </w:rPr>
      </w:pPr>
      <w:r>
        <w:rPr>
          <w:rFonts w:ascii="宋体" w:hAnsi="宋体" w:cs="微软雅黑"/>
          <w:kern w:val="0"/>
          <w:sz w:val="24"/>
        </w:rPr>
        <w:t>2</w:t>
      </w:r>
      <w:r>
        <w:rPr>
          <w:rFonts w:hint="eastAsia" w:ascii="宋体" w:hAnsi="宋体" w:cs="微软雅黑"/>
          <w:kern w:val="0"/>
          <w:sz w:val="24"/>
        </w:rPr>
        <w:t>、监测接收机技术指标</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w:t>
      </w:r>
      <w:r>
        <w:rPr>
          <w:rFonts w:hint="eastAsia" w:ascii="宋体" w:hAnsi="宋体" w:cs="Helvetica"/>
          <w:kern w:val="0"/>
          <w:sz w:val="24"/>
        </w:rPr>
        <w:t>）监测灵敏度：≤</w:t>
      </w:r>
      <w:r>
        <w:rPr>
          <w:rFonts w:ascii="宋体" w:hAnsi="宋体" w:cs="Helvetica"/>
          <w:kern w:val="0"/>
          <w:sz w:val="24"/>
        </w:rPr>
        <w:t>-110dBm</w:t>
      </w:r>
      <w:r>
        <w:rPr>
          <w:rFonts w:hint="eastAsia" w:ascii="宋体" w:hAnsi="宋体" w:cs="Helvetica"/>
          <w:kern w:val="0"/>
          <w:sz w:val="24"/>
        </w:rPr>
        <w:t>（低噪声模式）。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）频率稳定度：</w:t>
      </w:r>
      <w:r>
        <w:rPr>
          <w:rFonts w:ascii="宋体" w:hAnsi="宋体"/>
          <w:sz w:val="24"/>
          <w:szCs w:val="28"/>
        </w:rPr>
        <w:t>≤1×10</w:t>
      </w:r>
      <w:r>
        <w:rPr>
          <w:rFonts w:ascii="宋体" w:hAnsi="宋体"/>
          <w:sz w:val="24"/>
          <w:szCs w:val="28"/>
          <w:vertAlign w:val="superscript"/>
        </w:rPr>
        <w:t>-7</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4</w:t>
      </w:r>
      <w:r>
        <w:rPr>
          <w:rFonts w:hint="eastAsia" w:ascii="宋体" w:hAnsi="宋体" w:cs="Helvetica"/>
          <w:kern w:val="0"/>
          <w:sz w:val="24"/>
        </w:rPr>
        <w:t>）中频选择性：≤</w:t>
      </w:r>
      <w:r>
        <w:rPr>
          <w:rFonts w:ascii="宋体" w:hAnsi="宋体" w:cs="Helvetica"/>
          <w:kern w:val="0"/>
          <w:sz w:val="24"/>
        </w:rPr>
        <w:t>1.3</w:t>
      </w:r>
      <w:r>
        <w:rPr>
          <w:rFonts w:hint="eastAsia" w:ascii="宋体" w:hAnsi="宋体" w:cs="Helvetica"/>
          <w:kern w:val="0"/>
          <w:sz w:val="24"/>
        </w:rPr>
        <w:t>（</w:t>
      </w:r>
      <w:r>
        <w:rPr>
          <w:rFonts w:ascii="宋体" w:hAnsi="宋体" w:cs="Helvetica"/>
          <w:kern w:val="0"/>
          <w:sz w:val="24"/>
        </w:rPr>
        <w:t>W</w:t>
      </w:r>
      <w:r>
        <w:rPr>
          <w:rFonts w:ascii="宋体" w:hAnsi="宋体" w:cs="Helvetica"/>
          <w:kern w:val="0"/>
          <w:sz w:val="24"/>
          <w:vertAlign w:val="subscript"/>
        </w:rPr>
        <w:t>60</w:t>
      </w: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w:t>
      </w:r>
      <w:r>
        <w:rPr>
          <w:rFonts w:ascii="宋体" w:hAnsi="宋体" w:cs="Helvetica"/>
          <w:kern w:val="0"/>
          <w:sz w:val="24"/>
        </w:rPr>
        <w:t>W</w:t>
      </w:r>
      <w:r>
        <w:rPr>
          <w:rFonts w:ascii="宋体" w:hAnsi="宋体" w:cs="Helvetica"/>
          <w:kern w:val="0"/>
          <w:sz w:val="24"/>
          <w:vertAlign w:val="subscript"/>
        </w:rPr>
        <w:t>30</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5</w:t>
      </w:r>
      <w:r>
        <w:rPr>
          <w:rFonts w:hint="eastAsia" w:ascii="宋体" w:hAnsi="宋体" w:cs="Helvetica"/>
          <w:kern w:val="0"/>
          <w:sz w:val="24"/>
        </w:rPr>
        <w:t>）相位噪声：</w:t>
      </w:r>
      <w:r>
        <w:rPr>
          <w:rFonts w:ascii="宋体" w:hAnsi="宋体" w:cs="Helvetica"/>
          <w:kern w:val="0"/>
          <w:sz w:val="24"/>
        </w:rPr>
        <w:t>≤-120dBc/Hz@10kHz</w:t>
      </w:r>
      <w:r>
        <w:rPr>
          <w:rFonts w:hint="eastAsia" w:ascii="宋体" w:hAnsi="宋体" w:cs="Helvetica"/>
          <w:kern w:val="0"/>
          <w:sz w:val="24"/>
        </w:rPr>
        <w:t>（</w:t>
      </w:r>
      <w:r>
        <w:rPr>
          <w:rFonts w:ascii="宋体" w:hAnsi="宋体" w:cs="Helvetica"/>
          <w:kern w:val="0"/>
          <w:sz w:val="24"/>
        </w:rPr>
        <w:t>f=1GHz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6</w:t>
      </w:r>
      <w:r>
        <w:rPr>
          <w:rFonts w:hint="eastAsia" w:ascii="宋体" w:hAnsi="宋体" w:cs="Helvetica"/>
          <w:kern w:val="0"/>
          <w:sz w:val="24"/>
        </w:rPr>
        <w:t>）中频带宽：</w:t>
      </w:r>
      <w:r>
        <w:rPr>
          <w:rFonts w:ascii="宋体" w:hAnsi="宋体" w:cs="Helvetica"/>
          <w:kern w:val="0"/>
          <w:sz w:val="24"/>
        </w:rPr>
        <w:t>≥160MHz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7</w:t>
      </w:r>
      <w:r>
        <w:rPr>
          <w:rFonts w:hint="eastAsia" w:ascii="宋体" w:hAnsi="宋体" w:cs="Helvetica"/>
          <w:kern w:val="0"/>
          <w:sz w:val="24"/>
        </w:rPr>
        <w:t>）中频抑制：</w:t>
      </w:r>
      <w:r>
        <w:rPr>
          <w:rFonts w:ascii="宋体" w:hAnsi="宋体" w:cs="Helvetica"/>
          <w:kern w:val="0"/>
          <w:sz w:val="24"/>
        </w:rPr>
        <w:t>≥90dB</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8</w:t>
      </w:r>
      <w:r>
        <w:rPr>
          <w:rFonts w:hint="eastAsia" w:ascii="宋体" w:hAnsi="宋体" w:cs="Helvetica"/>
          <w:kern w:val="0"/>
          <w:sz w:val="24"/>
        </w:rPr>
        <w:t>）镜频抑制；</w:t>
      </w:r>
      <w:r>
        <w:rPr>
          <w:rFonts w:ascii="宋体" w:hAnsi="宋体" w:cs="Helvetica"/>
          <w:kern w:val="0"/>
          <w:sz w:val="24"/>
        </w:rPr>
        <w:t>≥90dB</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9</w:t>
      </w:r>
      <w:r>
        <w:rPr>
          <w:rFonts w:hint="eastAsia" w:ascii="宋体" w:hAnsi="宋体" w:cs="Helvetica"/>
          <w:kern w:val="0"/>
          <w:sz w:val="24"/>
        </w:rPr>
        <w:t>）噪声系数：</w:t>
      </w:r>
      <w:r>
        <w:rPr>
          <w:rFonts w:ascii="宋体" w:hAnsi="宋体" w:cs="Helvetica"/>
          <w:kern w:val="0"/>
          <w:sz w:val="24"/>
        </w:rPr>
        <w:t>≤15dB</w:t>
      </w:r>
      <w:r>
        <w:rPr>
          <w:rFonts w:hint="eastAsia" w:ascii="宋体" w:hAnsi="宋体" w:cs="Helvetica"/>
          <w:kern w:val="0"/>
          <w:sz w:val="24"/>
        </w:rPr>
        <w:t>（</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3GHz</w:t>
      </w:r>
      <w:r>
        <w:rPr>
          <w:rFonts w:hint="eastAsia" w:ascii="宋体" w:hAnsi="宋体" w:cs="Helvetica"/>
          <w:kern w:val="0"/>
          <w:sz w:val="24"/>
        </w:rPr>
        <w:t>），≤</w:t>
      </w:r>
      <w:r>
        <w:rPr>
          <w:rFonts w:ascii="宋体" w:hAnsi="宋体" w:cs="Helvetica"/>
          <w:kern w:val="0"/>
          <w:sz w:val="24"/>
        </w:rPr>
        <w:t>20dB</w:t>
      </w:r>
      <w:r>
        <w:rPr>
          <w:rFonts w:hint="eastAsia" w:ascii="宋体" w:hAnsi="宋体" w:cs="Helvetica"/>
          <w:kern w:val="0"/>
          <w:sz w:val="24"/>
        </w:rPr>
        <w:t>（</w:t>
      </w:r>
      <w:r>
        <w:rPr>
          <w:rFonts w:ascii="宋体" w:hAnsi="宋体" w:cs="Helvetica"/>
          <w:kern w:val="0"/>
          <w:sz w:val="24"/>
        </w:rPr>
        <w:t>3GHz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10</w:t>
      </w:r>
      <w:r>
        <w:rPr>
          <w:rFonts w:hint="eastAsia" w:ascii="宋体" w:hAnsi="宋体" w:cs="Helvetica"/>
          <w:kern w:val="0"/>
          <w:sz w:val="24"/>
        </w:rPr>
        <w:t>）扫描速度（</w:t>
      </w:r>
      <w:r>
        <w:rPr>
          <w:rFonts w:ascii="宋体" w:hAnsi="宋体" w:cs="Helvetica"/>
          <w:kern w:val="0"/>
          <w:sz w:val="24"/>
        </w:rPr>
        <w:t>25kHz</w:t>
      </w:r>
      <w:r>
        <w:rPr>
          <w:rFonts w:hint="eastAsia" w:ascii="宋体" w:hAnsi="宋体" w:cs="Helvetica"/>
          <w:kern w:val="0"/>
          <w:sz w:val="24"/>
        </w:rPr>
        <w:t>步进）：</w:t>
      </w:r>
      <w:r>
        <w:rPr>
          <w:rFonts w:ascii="宋体" w:hAnsi="宋体" w:cs="Helvetica"/>
          <w:kern w:val="0"/>
          <w:sz w:val="24"/>
        </w:rPr>
        <w:t>≥400GHz/s</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11</w:t>
      </w:r>
      <w:r>
        <w:rPr>
          <w:rFonts w:hint="eastAsia" w:ascii="宋体" w:hAnsi="宋体" w:cs="Helvetica"/>
          <w:kern w:val="0"/>
          <w:sz w:val="24"/>
        </w:rPr>
        <w:t>）二阶互调截断点：</w:t>
      </w:r>
      <w:r>
        <w:rPr>
          <w:rFonts w:ascii="宋体" w:hAnsi="宋体" w:cs="Helvetica"/>
          <w:kern w:val="0"/>
          <w:sz w:val="24"/>
        </w:rPr>
        <w:t>≥60dBm</w:t>
      </w:r>
      <w:r>
        <w:rPr>
          <w:rFonts w:hint="eastAsia" w:ascii="宋体" w:hAnsi="宋体" w:cs="Helvetica"/>
          <w:kern w:val="0"/>
          <w:sz w:val="24"/>
        </w:rPr>
        <w:t>（低失真模式）。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）三阶互调截断点：</w:t>
      </w:r>
      <w:r>
        <w:rPr>
          <w:rFonts w:ascii="宋体" w:hAnsi="宋体" w:cs="Helvetica"/>
          <w:kern w:val="0"/>
          <w:sz w:val="24"/>
        </w:rPr>
        <w:t>≥20dBm</w:t>
      </w:r>
      <w:r>
        <w:rPr>
          <w:rFonts w:hint="eastAsia" w:ascii="宋体" w:hAnsi="宋体" w:cs="Helvetica"/>
          <w:kern w:val="0"/>
          <w:sz w:val="24"/>
        </w:rPr>
        <w:t>（低失真模式）。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13</w:t>
      </w:r>
      <w:r>
        <w:rPr>
          <w:rFonts w:hint="eastAsia" w:ascii="宋体" w:hAnsi="宋体" w:cs="Helvetica"/>
          <w:kern w:val="0"/>
          <w:sz w:val="24"/>
        </w:rPr>
        <w:t>）数字荧光谱：最大支持</w:t>
      </w:r>
      <w:r>
        <w:rPr>
          <w:rFonts w:ascii="宋体" w:hAnsi="宋体" w:cs="Helvetica"/>
          <w:kern w:val="0"/>
          <w:sz w:val="24"/>
        </w:rPr>
        <w:t>160MHz</w:t>
      </w:r>
      <w:r>
        <w:rPr>
          <w:rFonts w:hint="eastAsia" w:ascii="宋体" w:hAnsi="宋体" w:cs="Helvetica"/>
          <w:kern w:val="0"/>
          <w:sz w:val="24"/>
        </w:rPr>
        <w:t>带宽。</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15</w:t>
      </w:r>
      <w:r>
        <w:rPr>
          <w:rFonts w:hint="eastAsia" w:ascii="宋体" w:hAnsi="宋体" w:cs="Helvetica"/>
          <w:kern w:val="0"/>
          <w:sz w:val="24"/>
        </w:rPr>
        <w:t>）多通道解调：在实时中频带内提供不少于</w:t>
      </w:r>
      <w:r>
        <w:rPr>
          <w:rFonts w:ascii="宋体" w:hAnsi="宋体" w:cs="Helvetica"/>
          <w:kern w:val="0"/>
          <w:sz w:val="24"/>
        </w:rPr>
        <w:t>64</w:t>
      </w:r>
      <w:r>
        <w:rPr>
          <w:rFonts w:hint="eastAsia" w:ascii="宋体" w:hAnsi="宋体" w:cs="Helvetica"/>
          <w:kern w:val="0"/>
          <w:sz w:val="24"/>
        </w:rPr>
        <w:t>个独立监测通道，可以在任意频点同时进行频谱、</w:t>
      </w:r>
      <w:r>
        <w:rPr>
          <w:rFonts w:ascii="宋体" w:hAnsi="宋体" w:cs="Helvetica"/>
          <w:kern w:val="0"/>
          <w:sz w:val="24"/>
        </w:rPr>
        <w:t>IQ</w:t>
      </w:r>
      <w:r>
        <w:rPr>
          <w:rFonts w:hint="eastAsia" w:ascii="宋体" w:hAnsi="宋体" w:cs="Helvetica"/>
          <w:kern w:val="0"/>
          <w:sz w:val="24"/>
        </w:rPr>
        <w:t>、声音等数据测量。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16</w:t>
      </w:r>
      <w:r>
        <w:rPr>
          <w:rFonts w:hint="eastAsia" w:ascii="宋体" w:hAnsi="宋体" w:cs="Helvetica"/>
          <w:kern w:val="0"/>
          <w:sz w:val="24"/>
        </w:rPr>
        <w:t>）</w:t>
      </w:r>
      <w:r>
        <w:rPr>
          <w:rFonts w:ascii="宋体" w:hAnsi="宋体" w:cs="Helvetica"/>
          <w:kern w:val="0"/>
          <w:sz w:val="24"/>
        </w:rPr>
        <w:t>IQ</w:t>
      </w:r>
      <w:r>
        <w:rPr>
          <w:rFonts w:hint="eastAsia" w:ascii="宋体" w:hAnsi="宋体" w:cs="Helvetica"/>
          <w:kern w:val="0"/>
          <w:sz w:val="24"/>
        </w:rPr>
        <w:t>短时存储：</w:t>
      </w:r>
      <w:r>
        <w:rPr>
          <w:rFonts w:ascii="宋体" w:hAnsi="宋体" w:cs="Helvetica"/>
          <w:kern w:val="0"/>
          <w:sz w:val="24"/>
        </w:rPr>
        <w:t>DDR4</w:t>
      </w:r>
      <w:r>
        <w:rPr>
          <w:rFonts w:hint="eastAsia" w:ascii="宋体" w:hAnsi="宋体" w:cs="Helvetica"/>
          <w:kern w:val="0"/>
          <w:sz w:val="24"/>
        </w:rPr>
        <w:t>存储</w:t>
      </w:r>
      <w:r>
        <w:rPr>
          <w:rFonts w:ascii="宋体" w:hAnsi="宋体" w:cs="Helvetica"/>
          <w:kern w:val="0"/>
          <w:sz w:val="24"/>
        </w:rPr>
        <w:t>≥4GB</w:t>
      </w:r>
      <w:r>
        <w:rPr>
          <w:rFonts w:hint="eastAsia" w:ascii="宋体" w:hAnsi="宋体" w:cs="Helvetica"/>
          <w:kern w:val="0"/>
          <w:sz w:val="24"/>
        </w:rPr>
        <w:t>，</w:t>
      </w:r>
      <w:r>
        <w:rPr>
          <w:rFonts w:ascii="宋体" w:hAnsi="宋体" w:cs="Helvetica"/>
          <w:kern w:val="0"/>
          <w:sz w:val="24"/>
        </w:rPr>
        <w:t>160MHz</w:t>
      </w:r>
      <w:r>
        <w:rPr>
          <w:rFonts w:hint="eastAsia" w:ascii="宋体" w:hAnsi="宋体" w:cs="Helvetica"/>
          <w:kern w:val="0"/>
          <w:sz w:val="24"/>
        </w:rPr>
        <w:t>带宽存储时间</w:t>
      </w:r>
      <w:r>
        <w:rPr>
          <w:rFonts w:ascii="宋体" w:hAnsi="宋体" w:cs="Helvetica"/>
          <w:kern w:val="0"/>
          <w:sz w:val="24"/>
        </w:rPr>
        <w:t>≥5</w:t>
      </w:r>
      <w:r>
        <w:rPr>
          <w:rFonts w:hint="eastAsia" w:ascii="宋体" w:hAnsi="宋体" w:cs="Helvetica"/>
          <w:kern w:val="0"/>
          <w:sz w:val="24"/>
        </w:rPr>
        <w:t>秒。</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17</w:t>
      </w:r>
      <w:r>
        <w:rPr>
          <w:rFonts w:hint="eastAsia" w:ascii="宋体" w:hAnsi="宋体" w:cs="Helvetica"/>
          <w:kern w:val="0"/>
          <w:sz w:val="24"/>
        </w:rPr>
        <w:t>）可实现硬件加速回放信号分析。</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18</w:t>
      </w:r>
      <w:r>
        <w:rPr>
          <w:rFonts w:hint="eastAsia" w:ascii="宋体" w:hAnsi="宋体" w:cs="Helvetica"/>
          <w:kern w:val="0"/>
          <w:sz w:val="24"/>
        </w:rPr>
        <w:t>）信号回放可通过硬件快速寻址，实现快</w:t>
      </w:r>
      <w:r>
        <w:rPr>
          <w:rFonts w:ascii="宋体" w:hAnsi="宋体" w:cs="Helvetica"/>
          <w:kern w:val="0"/>
          <w:sz w:val="24"/>
        </w:rPr>
        <w:t>/</w:t>
      </w:r>
      <w:r>
        <w:rPr>
          <w:rFonts w:hint="eastAsia" w:ascii="宋体" w:hAnsi="宋体" w:cs="Helvetica"/>
          <w:kern w:val="0"/>
          <w:sz w:val="24"/>
        </w:rPr>
        <w:t>慢回放、指定时间</w:t>
      </w:r>
      <w:r>
        <w:rPr>
          <w:rFonts w:ascii="宋体" w:hAnsi="宋体" w:cs="Helvetica"/>
          <w:kern w:val="0"/>
          <w:sz w:val="24"/>
        </w:rPr>
        <w:t>/</w:t>
      </w:r>
      <w:r>
        <w:rPr>
          <w:rFonts w:hint="eastAsia" w:ascii="宋体" w:hAnsi="宋体" w:cs="Helvetica"/>
          <w:kern w:val="0"/>
          <w:sz w:val="24"/>
        </w:rPr>
        <w:t>带宽回放、并快速通过瀑布图框选方式对信号进行选定。</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19</w:t>
      </w:r>
      <w:r>
        <w:rPr>
          <w:rFonts w:hint="eastAsia" w:ascii="宋体" w:hAnsi="宋体" w:cs="Helvetica"/>
          <w:kern w:val="0"/>
          <w:sz w:val="24"/>
        </w:rPr>
        <w:t>）存储的实时数据可进行监测及专项分析功能，包含但不限于：单频测量、</w:t>
      </w:r>
      <w:r>
        <w:rPr>
          <w:rFonts w:ascii="宋体" w:hAnsi="宋体" w:cs="Helvetica"/>
          <w:kern w:val="0"/>
          <w:sz w:val="24"/>
        </w:rPr>
        <w:t>ITU</w:t>
      </w:r>
      <w:r>
        <w:rPr>
          <w:rFonts w:hint="eastAsia" w:ascii="宋体" w:hAnsi="宋体" w:cs="Helvetica"/>
          <w:kern w:val="0"/>
          <w:sz w:val="24"/>
        </w:rPr>
        <w:t>分析、解调分析、多路分析、数字荧光谱等。</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20</w:t>
      </w:r>
      <w:r>
        <w:rPr>
          <w:rFonts w:hint="eastAsia" w:ascii="宋体" w:hAnsi="宋体" w:cs="Helvetica"/>
          <w:kern w:val="0"/>
          <w:sz w:val="24"/>
        </w:rPr>
        <w:t>）控制接口：</w:t>
      </w:r>
      <w:r>
        <w:rPr>
          <w:rFonts w:ascii="宋体" w:hAnsi="宋体" w:cs="Helvetica"/>
          <w:kern w:val="0"/>
          <w:sz w:val="24"/>
        </w:rPr>
        <w:t>10G SFP+</w:t>
      </w:r>
      <w:r>
        <w:rPr>
          <w:rFonts w:hint="eastAsia" w:ascii="宋体" w:hAnsi="宋体" w:cs="Helvetica"/>
          <w:kern w:val="0"/>
          <w:sz w:val="24"/>
        </w:rPr>
        <w:t>以太网。</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21</w:t>
      </w:r>
      <w:r>
        <w:rPr>
          <w:rFonts w:hint="eastAsia" w:ascii="宋体" w:hAnsi="宋体" w:cs="Helvetica"/>
          <w:kern w:val="0"/>
          <w:sz w:val="24"/>
        </w:rPr>
        <w:t>）定位模块：支持北斗、</w:t>
      </w:r>
      <w:r>
        <w:rPr>
          <w:rFonts w:ascii="宋体" w:hAnsi="宋体" w:cs="Helvetica"/>
          <w:kern w:val="0"/>
          <w:sz w:val="24"/>
        </w:rPr>
        <w:t>GPS</w:t>
      </w:r>
      <w:r>
        <w:rPr>
          <w:rFonts w:hint="eastAsia" w:ascii="宋体" w:hAnsi="宋体" w:cs="Helvetica"/>
          <w:kern w:val="0"/>
          <w:sz w:val="24"/>
        </w:rPr>
        <w:t>双模式，可在</w:t>
      </w:r>
      <w:r>
        <w:rPr>
          <w:rFonts w:ascii="宋体" w:hAnsi="宋体" w:cs="Helvetica"/>
          <w:kern w:val="0"/>
          <w:sz w:val="24"/>
        </w:rPr>
        <w:t>TDOA</w:t>
      </w:r>
      <w:r>
        <w:rPr>
          <w:rFonts w:hint="eastAsia" w:ascii="宋体" w:hAnsi="宋体" w:cs="Helvetica"/>
          <w:kern w:val="0"/>
          <w:sz w:val="24"/>
        </w:rPr>
        <w:t>时采用任一模式作为秒脉冲触发。</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22</w:t>
      </w:r>
      <w:r>
        <w:rPr>
          <w:rFonts w:hint="eastAsia" w:ascii="宋体" w:hAnsi="宋体" w:cs="Helvetica"/>
          <w:kern w:val="0"/>
          <w:sz w:val="24"/>
        </w:rPr>
        <w:t>）温度适应性：存储温度</w:t>
      </w:r>
      <w:r>
        <w:rPr>
          <w:rFonts w:ascii="宋体" w:hAnsi="宋体" w:cs="Helvetica"/>
          <w:kern w:val="0"/>
          <w:sz w:val="24"/>
        </w:rPr>
        <w:t>-40</w:t>
      </w:r>
      <w:r>
        <w:rPr>
          <w:rFonts w:hint="eastAsia" w:ascii="宋体" w:hAnsi="宋体" w:cs="Helvetica"/>
          <w:kern w:val="0"/>
          <w:sz w:val="24"/>
        </w:rPr>
        <w:t>℃～</w:t>
      </w:r>
      <w:r>
        <w:rPr>
          <w:rFonts w:ascii="宋体" w:hAnsi="宋体" w:cs="Helvetica"/>
          <w:kern w:val="0"/>
          <w:sz w:val="24"/>
        </w:rPr>
        <w:t>+70</w:t>
      </w:r>
      <w:r>
        <w:rPr>
          <w:rFonts w:hint="eastAsia" w:ascii="宋体" w:hAnsi="宋体" w:cs="Helvetica"/>
          <w:kern w:val="0"/>
          <w:sz w:val="24"/>
        </w:rPr>
        <w:t>℃，工作温度</w:t>
      </w:r>
      <w:r>
        <w:rPr>
          <w:rFonts w:ascii="宋体" w:hAnsi="宋体" w:cs="Helvetica"/>
          <w:kern w:val="0"/>
          <w:sz w:val="24"/>
        </w:rPr>
        <w:t>-35</w:t>
      </w:r>
      <w:r>
        <w:rPr>
          <w:rFonts w:hint="eastAsia" w:ascii="宋体" w:hAnsi="宋体" w:cs="Helvetica"/>
          <w:kern w:val="0"/>
          <w:sz w:val="24"/>
        </w:rPr>
        <w:t>℃～</w:t>
      </w:r>
      <w:r>
        <w:rPr>
          <w:rFonts w:ascii="宋体" w:hAnsi="宋体" w:cs="Helvetica"/>
          <w:kern w:val="0"/>
          <w:sz w:val="24"/>
        </w:rPr>
        <w:t>+60</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23</w:t>
      </w:r>
      <w:r>
        <w:rPr>
          <w:rFonts w:hint="eastAsia" w:ascii="宋体" w:hAnsi="宋体" w:cs="Helvetica"/>
          <w:kern w:val="0"/>
          <w:sz w:val="24"/>
        </w:rPr>
        <w:t>）自检：故障可追述至模块级、主芯片级。</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注：上述指标中（</w:t>
      </w:r>
      <w:r>
        <w:rPr>
          <w:rFonts w:ascii="宋体" w:hAnsi="宋体" w:cs="Helvetica"/>
          <w:kern w:val="0"/>
          <w:sz w:val="24"/>
        </w:rPr>
        <w:t>1</w:t>
      </w:r>
      <w:r>
        <w:rPr>
          <w:rFonts w:hint="eastAsia" w:ascii="宋体" w:hAnsi="宋体" w:cs="Helvetica"/>
          <w:kern w:val="0"/>
          <w:sz w:val="24"/>
        </w:rPr>
        <w:t>）</w:t>
      </w:r>
      <w:r>
        <w:rPr>
          <w:rFonts w:ascii="宋体" w:hAnsi="宋体" w:cs="Helvetica"/>
          <w:kern w:val="0"/>
          <w:sz w:val="24"/>
        </w:rPr>
        <w:t>-</w:t>
      </w: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）项需提供具有</w:t>
      </w:r>
      <w:r>
        <w:rPr>
          <w:rFonts w:ascii="宋体" w:hAnsi="宋体" w:cs="Helvetica"/>
          <w:kern w:val="0"/>
          <w:sz w:val="24"/>
        </w:rPr>
        <w:t>CMA</w:t>
      </w:r>
      <w:r>
        <w:rPr>
          <w:rFonts w:hint="eastAsia" w:ascii="宋体" w:hAnsi="宋体" w:cs="Helvetica"/>
          <w:kern w:val="0"/>
          <w:sz w:val="24"/>
        </w:rPr>
        <w:t>或</w:t>
      </w:r>
      <w:r>
        <w:rPr>
          <w:rFonts w:ascii="宋体" w:hAnsi="宋体" w:cs="Helvetica"/>
          <w:kern w:val="0"/>
          <w:sz w:val="24"/>
        </w:rPr>
        <w:t>CNAS</w:t>
      </w:r>
      <w:r>
        <w:rPr>
          <w:rFonts w:hint="eastAsia" w:ascii="宋体" w:hAnsi="宋体" w:cs="Helvetica"/>
          <w:kern w:val="0"/>
          <w:sz w:val="24"/>
        </w:rPr>
        <w:t>资质的第三方检测机构出具的检测报告佐证，未提供报告或所提供报告中测试数据不满足指标要求的按负偏离评分。</w:t>
      </w:r>
    </w:p>
    <w:p>
      <w:pPr>
        <w:autoSpaceDE w:val="0"/>
        <w:autoSpaceDN w:val="0"/>
        <w:adjustRightInd w:val="0"/>
        <w:spacing w:line="360" w:lineRule="auto"/>
        <w:outlineLvl w:val="1"/>
        <w:rPr>
          <w:rFonts w:ascii="宋体" w:hAnsi="宋体" w:cs="微软雅黑"/>
          <w:kern w:val="0"/>
          <w:sz w:val="24"/>
        </w:rPr>
      </w:pPr>
      <w:r>
        <w:rPr>
          <w:rFonts w:ascii="宋体" w:hAnsi="宋体" w:cs="微软雅黑"/>
          <w:kern w:val="0"/>
          <w:sz w:val="24"/>
        </w:rPr>
        <w:t>3</w:t>
      </w:r>
      <w:r>
        <w:rPr>
          <w:rFonts w:hint="eastAsia" w:ascii="宋体" w:hAnsi="宋体" w:cs="微软雅黑"/>
          <w:kern w:val="0"/>
          <w:sz w:val="24"/>
        </w:rPr>
        <w:t>、测向接收机技术指标</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）频率稳定度：</w:t>
      </w:r>
      <w:r>
        <w:rPr>
          <w:rFonts w:ascii="宋体" w:hAnsi="宋体"/>
          <w:sz w:val="24"/>
          <w:szCs w:val="28"/>
        </w:rPr>
        <w:t>≤1×10</w:t>
      </w:r>
      <w:r>
        <w:rPr>
          <w:rFonts w:ascii="宋体" w:hAnsi="宋体"/>
          <w:sz w:val="24"/>
          <w:szCs w:val="28"/>
          <w:vertAlign w:val="superscript"/>
        </w:rPr>
        <w:t>-7</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）中频选择性：≤</w:t>
      </w:r>
      <w:r>
        <w:rPr>
          <w:rFonts w:ascii="宋体" w:hAnsi="宋体" w:cs="Helvetica"/>
          <w:kern w:val="0"/>
          <w:sz w:val="24"/>
        </w:rPr>
        <w:t>1.3</w:t>
      </w:r>
      <w:r>
        <w:rPr>
          <w:rFonts w:hint="eastAsia" w:ascii="宋体" w:hAnsi="宋体" w:cs="Helvetica"/>
          <w:kern w:val="0"/>
          <w:sz w:val="24"/>
        </w:rPr>
        <w:t>（</w:t>
      </w:r>
      <w:r>
        <w:rPr>
          <w:rFonts w:ascii="宋体" w:hAnsi="宋体" w:cs="Helvetica"/>
          <w:kern w:val="0"/>
          <w:sz w:val="24"/>
        </w:rPr>
        <w:t>W</w:t>
      </w:r>
      <w:r>
        <w:rPr>
          <w:rFonts w:ascii="宋体" w:hAnsi="宋体" w:cs="Helvetica"/>
          <w:kern w:val="0"/>
          <w:sz w:val="24"/>
          <w:vertAlign w:val="subscript"/>
        </w:rPr>
        <w:t>60</w:t>
      </w: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w:t>
      </w:r>
      <w:r>
        <w:rPr>
          <w:rFonts w:ascii="宋体" w:hAnsi="宋体" w:cs="Helvetica"/>
          <w:kern w:val="0"/>
          <w:sz w:val="24"/>
        </w:rPr>
        <w:t>W</w:t>
      </w:r>
      <w:r>
        <w:rPr>
          <w:rFonts w:ascii="宋体" w:hAnsi="宋体" w:cs="Helvetica"/>
          <w:kern w:val="0"/>
          <w:sz w:val="24"/>
          <w:vertAlign w:val="subscript"/>
        </w:rPr>
        <w:t>30</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4</w:t>
      </w:r>
      <w:r>
        <w:rPr>
          <w:rFonts w:hint="eastAsia" w:ascii="宋体" w:hAnsi="宋体" w:cs="Helvetica"/>
          <w:kern w:val="0"/>
          <w:sz w:val="24"/>
        </w:rPr>
        <w:t>）相位噪声：</w:t>
      </w:r>
      <w:r>
        <w:rPr>
          <w:rFonts w:ascii="宋体" w:hAnsi="宋体" w:cs="Helvetica"/>
          <w:kern w:val="0"/>
          <w:sz w:val="24"/>
        </w:rPr>
        <w:t>≤-110dBc/Hz@10kHz</w:t>
      </w:r>
      <w:r>
        <w:rPr>
          <w:rFonts w:hint="eastAsia" w:ascii="宋体" w:hAnsi="宋体" w:cs="Helvetica"/>
          <w:kern w:val="0"/>
          <w:sz w:val="24"/>
        </w:rPr>
        <w:t>（</w:t>
      </w:r>
      <w:r>
        <w:rPr>
          <w:rFonts w:ascii="宋体" w:hAnsi="宋体" w:cs="Helvetica"/>
          <w:kern w:val="0"/>
          <w:sz w:val="24"/>
        </w:rPr>
        <w:t>f=1GHz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5</w:t>
      </w:r>
      <w:r>
        <w:rPr>
          <w:rFonts w:hint="eastAsia" w:ascii="宋体" w:hAnsi="宋体" w:cs="Helvetica"/>
          <w:kern w:val="0"/>
          <w:sz w:val="24"/>
        </w:rPr>
        <w:t>）中频抑制：</w:t>
      </w:r>
      <w:r>
        <w:rPr>
          <w:rFonts w:ascii="宋体" w:hAnsi="宋体" w:cs="Helvetica"/>
          <w:kern w:val="0"/>
          <w:sz w:val="24"/>
        </w:rPr>
        <w:t>≥90dB</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6</w:t>
      </w:r>
      <w:r>
        <w:rPr>
          <w:rFonts w:hint="eastAsia" w:ascii="宋体" w:hAnsi="宋体" w:cs="Helvetica"/>
          <w:kern w:val="0"/>
          <w:sz w:val="24"/>
        </w:rPr>
        <w:t>）镜频抑制；</w:t>
      </w:r>
      <w:r>
        <w:rPr>
          <w:rFonts w:ascii="宋体" w:hAnsi="宋体" w:cs="Helvetica"/>
          <w:kern w:val="0"/>
          <w:sz w:val="24"/>
        </w:rPr>
        <w:t>≥90dB</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7</w:t>
      </w:r>
      <w:r>
        <w:rPr>
          <w:rFonts w:hint="eastAsia" w:ascii="宋体" w:hAnsi="宋体" w:cs="Helvetica"/>
          <w:kern w:val="0"/>
          <w:sz w:val="24"/>
        </w:rPr>
        <w:t>）噪声系数：</w:t>
      </w:r>
      <w:r>
        <w:rPr>
          <w:rFonts w:ascii="宋体" w:hAnsi="宋体" w:cs="Helvetica"/>
          <w:kern w:val="0"/>
          <w:sz w:val="24"/>
        </w:rPr>
        <w:t>≤15dB</w:t>
      </w:r>
      <w:r>
        <w:rPr>
          <w:rFonts w:hint="eastAsia" w:ascii="宋体" w:hAnsi="宋体" w:cs="Helvetica"/>
          <w:kern w:val="0"/>
          <w:sz w:val="24"/>
        </w:rPr>
        <w:t>（</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3GHz</w:t>
      </w:r>
      <w:r>
        <w:rPr>
          <w:rFonts w:hint="eastAsia" w:ascii="宋体" w:hAnsi="宋体" w:cs="Helvetica"/>
          <w:kern w:val="0"/>
          <w:sz w:val="24"/>
        </w:rPr>
        <w:t>），≤</w:t>
      </w:r>
      <w:r>
        <w:rPr>
          <w:rFonts w:ascii="宋体" w:hAnsi="宋体" w:cs="Helvetica"/>
          <w:kern w:val="0"/>
          <w:sz w:val="24"/>
        </w:rPr>
        <w:t>20dB</w:t>
      </w:r>
      <w:r>
        <w:rPr>
          <w:rFonts w:hint="eastAsia" w:ascii="宋体" w:hAnsi="宋体" w:cs="Helvetica"/>
          <w:kern w:val="0"/>
          <w:sz w:val="24"/>
        </w:rPr>
        <w:t>（</w:t>
      </w:r>
      <w:r>
        <w:rPr>
          <w:rFonts w:ascii="宋体" w:hAnsi="宋体" w:cs="Helvetica"/>
          <w:kern w:val="0"/>
          <w:sz w:val="24"/>
        </w:rPr>
        <w:t>3GHz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8</w:t>
      </w:r>
      <w:r>
        <w:rPr>
          <w:rFonts w:hint="eastAsia" w:ascii="宋体" w:hAnsi="宋体" w:cs="Helvetica"/>
          <w:kern w:val="0"/>
          <w:sz w:val="24"/>
        </w:rPr>
        <w:t>）二阶互调截断点：</w:t>
      </w:r>
      <w:r>
        <w:rPr>
          <w:rFonts w:ascii="宋体" w:hAnsi="宋体" w:cs="Helvetica"/>
          <w:kern w:val="0"/>
          <w:sz w:val="24"/>
        </w:rPr>
        <w:t>≥50dBm</w:t>
      </w:r>
      <w:r>
        <w:rPr>
          <w:rFonts w:hint="eastAsia" w:ascii="宋体" w:hAnsi="宋体" w:cs="Helvetica"/>
          <w:kern w:val="0"/>
          <w:sz w:val="24"/>
        </w:rPr>
        <w:t>（低失真模式）。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9</w:t>
      </w:r>
      <w:r>
        <w:rPr>
          <w:rFonts w:hint="eastAsia" w:ascii="宋体" w:hAnsi="宋体" w:cs="Helvetica"/>
          <w:kern w:val="0"/>
          <w:sz w:val="24"/>
        </w:rPr>
        <w:t>）三阶互调截断点：</w:t>
      </w:r>
      <w:r>
        <w:rPr>
          <w:rFonts w:ascii="宋体" w:hAnsi="宋体" w:cs="Helvetica"/>
          <w:kern w:val="0"/>
          <w:sz w:val="24"/>
        </w:rPr>
        <w:t>≥10dBm</w:t>
      </w:r>
      <w:r>
        <w:rPr>
          <w:rFonts w:hint="eastAsia" w:ascii="宋体" w:hAnsi="宋体" w:cs="Helvetica"/>
          <w:kern w:val="0"/>
          <w:sz w:val="24"/>
        </w:rPr>
        <w:t>（低失真模式）。</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10</w:t>
      </w:r>
      <w:r>
        <w:rPr>
          <w:rFonts w:hint="eastAsia" w:ascii="宋体" w:hAnsi="宋体" w:cs="Helvetica"/>
          <w:kern w:val="0"/>
          <w:sz w:val="24"/>
        </w:rPr>
        <w:t>）最小测向分辨率：</w:t>
      </w:r>
      <w:r>
        <w:rPr>
          <w:rFonts w:ascii="宋体" w:hAnsi="宋体" w:cs="Helvetica"/>
          <w:kern w:val="0"/>
          <w:sz w:val="24"/>
        </w:rPr>
        <w:t>≤200Hz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11</w:t>
      </w:r>
      <w:r>
        <w:rPr>
          <w:rFonts w:hint="eastAsia" w:ascii="宋体" w:hAnsi="宋体" w:cs="Helvetica"/>
          <w:kern w:val="0"/>
          <w:sz w:val="24"/>
        </w:rPr>
        <w:t>）宽带测向分辨率：不限于</w:t>
      </w:r>
      <w:r>
        <w:rPr>
          <w:rFonts w:ascii="宋体" w:hAnsi="宋体" w:cs="Helvetica"/>
          <w:kern w:val="0"/>
          <w:sz w:val="24"/>
        </w:rPr>
        <w:t>3.125kHz</w:t>
      </w:r>
      <w:r>
        <w:rPr>
          <w:rFonts w:hint="eastAsia" w:ascii="宋体" w:hAnsi="宋体" w:cs="Helvetica"/>
          <w:kern w:val="0"/>
          <w:sz w:val="24"/>
        </w:rPr>
        <w:t>、</w:t>
      </w:r>
      <w:r>
        <w:rPr>
          <w:rFonts w:ascii="宋体" w:hAnsi="宋体" w:cs="Helvetica"/>
          <w:kern w:val="0"/>
          <w:sz w:val="24"/>
        </w:rPr>
        <w:t>6.25kHz</w:t>
      </w:r>
      <w:r>
        <w:rPr>
          <w:rFonts w:hint="eastAsia" w:ascii="宋体" w:hAnsi="宋体" w:cs="Helvetica"/>
          <w:kern w:val="0"/>
          <w:sz w:val="24"/>
        </w:rPr>
        <w:t>、</w:t>
      </w:r>
      <w:r>
        <w:rPr>
          <w:rFonts w:ascii="宋体" w:hAnsi="宋体" w:cs="Helvetica"/>
          <w:kern w:val="0"/>
          <w:sz w:val="24"/>
        </w:rPr>
        <w:t>12.5kHz</w:t>
      </w:r>
      <w:r>
        <w:rPr>
          <w:rFonts w:hint="eastAsia" w:ascii="宋体" w:hAnsi="宋体" w:cs="Helvetica"/>
          <w:kern w:val="0"/>
          <w:sz w:val="24"/>
        </w:rPr>
        <w:t>、</w:t>
      </w:r>
      <w:r>
        <w:rPr>
          <w:rFonts w:ascii="宋体" w:hAnsi="宋体" w:cs="Helvetica"/>
          <w:kern w:val="0"/>
          <w:sz w:val="24"/>
        </w:rPr>
        <w:t>25kHz</w:t>
      </w:r>
      <w:r>
        <w:rPr>
          <w:rFonts w:hint="eastAsia" w:ascii="宋体" w:hAnsi="宋体" w:cs="Helvetica"/>
          <w:kern w:val="0"/>
          <w:sz w:val="24"/>
        </w:rPr>
        <w:t>、</w:t>
      </w:r>
      <w:r>
        <w:rPr>
          <w:rFonts w:ascii="宋体" w:hAnsi="宋体" w:cs="Helvetica"/>
          <w:kern w:val="0"/>
          <w:sz w:val="24"/>
        </w:rPr>
        <w:t>50kHz</w:t>
      </w:r>
      <w:r>
        <w:rPr>
          <w:rFonts w:hint="eastAsia" w:ascii="宋体" w:hAnsi="宋体" w:cs="Helvetica"/>
          <w:kern w:val="0"/>
          <w:sz w:val="24"/>
        </w:rPr>
        <w:t>、</w:t>
      </w:r>
      <w:r>
        <w:rPr>
          <w:rFonts w:ascii="宋体" w:hAnsi="宋体" w:cs="Helvetica"/>
          <w:kern w:val="0"/>
          <w:sz w:val="24"/>
        </w:rPr>
        <w:t>100kHz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）温度适应性：存储温度</w:t>
      </w:r>
      <w:r>
        <w:rPr>
          <w:rFonts w:ascii="宋体" w:hAnsi="宋体" w:cs="Helvetica"/>
          <w:kern w:val="0"/>
          <w:sz w:val="24"/>
        </w:rPr>
        <w:t>-40</w:t>
      </w:r>
      <w:r>
        <w:rPr>
          <w:rFonts w:hint="eastAsia" w:ascii="宋体" w:hAnsi="宋体" w:cs="Helvetica"/>
          <w:kern w:val="0"/>
          <w:sz w:val="24"/>
        </w:rPr>
        <w:t>℃～</w:t>
      </w:r>
      <w:r>
        <w:rPr>
          <w:rFonts w:ascii="宋体" w:hAnsi="宋体" w:cs="Helvetica"/>
          <w:kern w:val="0"/>
          <w:sz w:val="24"/>
        </w:rPr>
        <w:t>+70</w:t>
      </w:r>
      <w:r>
        <w:rPr>
          <w:rFonts w:hint="eastAsia" w:ascii="宋体" w:hAnsi="宋体" w:cs="Helvetica"/>
          <w:kern w:val="0"/>
          <w:sz w:val="24"/>
        </w:rPr>
        <w:t>℃，工作温度</w:t>
      </w:r>
      <w:r>
        <w:rPr>
          <w:rFonts w:ascii="宋体" w:hAnsi="宋体" w:cs="Helvetica"/>
          <w:kern w:val="0"/>
          <w:sz w:val="24"/>
        </w:rPr>
        <w:t>-35</w:t>
      </w:r>
      <w:r>
        <w:rPr>
          <w:rFonts w:hint="eastAsia" w:ascii="宋体" w:hAnsi="宋体" w:cs="Helvetica"/>
          <w:kern w:val="0"/>
          <w:sz w:val="24"/>
        </w:rPr>
        <w:t>℃～</w:t>
      </w:r>
      <w:r>
        <w:rPr>
          <w:rFonts w:ascii="宋体" w:hAnsi="宋体" w:cs="Helvetica"/>
          <w:kern w:val="0"/>
          <w:sz w:val="24"/>
        </w:rPr>
        <w:t>+60</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13</w:t>
      </w:r>
      <w:r>
        <w:rPr>
          <w:rFonts w:hint="eastAsia" w:ascii="宋体" w:hAnsi="宋体" w:cs="Helvetica"/>
          <w:kern w:val="0"/>
          <w:sz w:val="24"/>
        </w:rPr>
        <w:t>）自检：故障可追述至模块级、主芯片级。</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注：上述指标中（</w:t>
      </w:r>
      <w:r>
        <w:rPr>
          <w:rFonts w:ascii="宋体" w:hAnsi="宋体" w:cs="Helvetica"/>
          <w:kern w:val="0"/>
          <w:sz w:val="24"/>
        </w:rPr>
        <w:t>1</w:t>
      </w:r>
      <w:r>
        <w:rPr>
          <w:rFonts w:hint="eastAsia" w:ascii="宋体" w:hAnsi="宋体" w:cs="Helvetica"/>
          <w:kern w:val="0"/>
          <w:sz w:val="24"/>
        </w:rPr>
        <w:t>）</w:t>
      </w:r>
      <w:r>
        <w:rPr>
          <w:rFonts w:ascii="宋体" w:hAnsi="宋体" w:cs="Helvetica"/>
          <w:kern w:val="0"/>
          <w:sz w:val="24"/>
        </w:rPr>
        <w:t>-</w:t>
      </w:r>
      <w:r>
        <w:rPr>
          <w:rFonts w:hint="eastAsia" w:ascii="宋体" w:hAnsi="宋体" w:cs="Helvetica"/>
          <w:kern w:val="0"/>
          <w:sz w:val="24"/>
        </w:rPr>
        <w:t>（</w:t>
      </w:r>
      <w:r>
        <w:rPr>
          <w:rFonts w:ascii="宋体" w:hAnsi="宋体" w:cs="Helvetica"/>
          <w:kern w:val="0"/>
          <w:sz w:val="24"/>
        </w:rPr>
        <w:t>9</w:t>
      </w:r>
      <w:r>
        <w:rPr>
          <w:rFonts w:hint="eastAsia" w:ascii="宋体" w:hAnsi="宋体" w:cs="Helvetica"/>
          <w:kern w:val="0"/>
          <w:sz w:val="24"/>
        </w:rPr>
        <w:t>）项需提供具有</w:t>
      </w:r>
      <w:r>
        <w:rPr>
          <w:rFonts w:ascii="宋体" w:hAnsi="宋体" w:cs="Helvetica"/>
          <w:kern w:val="0"/>
          <w:sz w:val="24"/>
        </w:rPr>
        <w:t>CMA</w:t>
      </w:r>
      <w:r>
        <w:rPr>
          <w:rFonts w:hint="eastAsia" w:ascii="宋体" w:hAnsi="宋体" w:cs="Helvetica"/>
          <w:kern w:val="0"/>
          <w:sz w:val="24"/>
        </w:rPr>
        <w:t>或</w:t>
      </w:r>
      <w:r>
        <w:rPr>
          <w:rFonts w:ascii="宋体" w:hAnsi="宋体" w:cs="Helvetica"/>
          <w:kern w:val="0"/>
          <w:sz w:val="24"/>
        </w:rPr>
        <w:t>CNAS</w:t>
      </w:r>
      <w:r>
        <w:rPr>
          <w:rFonts w:hint="eastAsia" w:ascii="宋体" w:hAnsi="宋体" w:cs="Helvetica"/>
          <w:kern w:val="0"/>
          <w:sz w:val="24"/>
        </w:rPr>
        <w:t>资质的第三方检测机构出具的检测报告佐证，未提供报告或所提供报告中测试数据不满足指标要求的按负偏离评分。</w:t>
      </w:r>
    </w:p>
    <w:p>
      <w:pPr>
        <w:autoSpaceDE w:val="0"/>
        <w:autoSpaceDN w:val="0"/>
        <w:adjustRightInd w:val="0"/>
        <w:spacing w:line="360" w:lineRule="auto"/>
        <w:outlineLvl w:val="1"/>
        <w:rPr>
          <w:rFonts w:ascii="宋体" w:hAnsi="宋体" w:cs="微软雅黑"/>
          <w:kern w:val="0"/>
          <w:sz w:val="24"/>
        </w:rPr>
      </w:pPr>
      <w:r>
        <w:rPr>
          <w:rFonts w:ascii="宋体" w:hAnsi="宋体" w:cs="微软雅黑"/>
          <w:kern w:val="0"/>
          <w:sz w:val="24"/>
        </w:rPr>
        <w:t>4</w:t>
      </w:r>
      <w:r>
        <w:rPr>
          <w:rFonts w:hint="eastAsia" w:ascii="宋体" w:hAnsi="宋体" w:cs="微软雅黑"/>
          <w:kern w:val="0"/>
          <w:sz w:val="24"/>
        </w:rPr>
        <w:t>、九通道空间谱测向天线</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（垂直极化），</w:t>
      </w:r>
      <w:r>
        <w:rPr>
          <w:rFonts w:ascii="宋体" w:hAnsi="宋体" w:cs="Helvetica"/>
          <w:kern w:val="0"/>
          <w:sz w:val="24"/>
        </w:rPr>
        <w:t>40MHz</w:t>
      </w:r>
      <w:r>
        <w:rPr>
          <w:rFonts w:hint="eastAsia" w:ascii="宋体" w:hAnsi="宋体" w:cs="Helvetica"/>
          <w:kern w:val="0"/>
          <w:sz w:val="24"/>
        </w:rPr>
        <w:t>～</w:t>
      </w:r>
      <w:r>
        <w:rPr>
          <w:rFonts w:ascii="宋体" w:hAnsi="宋体" w:cs="Helvetica"/>
          <w:kern w:val="0"/>
          <w:sz w:val="24"/>
        </w:rPr>
        <w:t>1.3GHz</w:t>
      </w:r>
      <w:r>
        <w:rPr>
          <w:rFonts w:hint="eastAsia" w:ascii="宋体" w:hAnsi="宋体" w:cs="Helvetica"/>
          <w:kern w:val="0"/>
          <w:sz w:val="24"/>
        </w:rPr>
        <w:t>（水平极化）。</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w:t>
      </w:r>
      <w:r>
        <w:rPr>
          <w:rFonts w:hint="eastAsia" w:ascii="宋体" w:hAnsi="宋体" w:cs="Helvetica"/>
          <w:kern w:val="0"/>
          <w:sz w:val="24"/>
        </w:rPr>
        <w:t>）天线阵元数量：</w:t>
      </w:r>
      <w:r>
        <w:rPr>
          <w:rFonts w:ascii="宋体" w:hAnsi="宋体" w:cs="Helvetica"/>
          <w:kern w:val="0"/>
          <w:sz w:val="24"/>
        </w:rPr>
        <w:t>9</w:t>
      </w:r>
      <w:r>
        <w:rPr>
          <w:rFonts w:hint="eastAsia" w:ascii="宋体" w:hAnsi="宋体" w:cs="Helvetica"/>
          <w:kern w:val="0"/>
          <w:sz w:val="24"/>
        </w:rPr>
        <w:t>阵元。</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）天线最大孔径：≤</w:t>
      </w:r>
      <w:r>
        <w:rPr>
          <w:rFonts w:ascii="宋体" w:hAnsi="宋体" w:cs="Helvetica"/>
          <w:kern w:val="0"/>
          <w:sz w:val="24"/>
        </w:rPr>
        <w:t>1.1m</w:t>
      </w:r>
      <w:r>
        <w:rPr>
          <w:rFonts w:hint="eastAsia" w:ascii="宋体" w:hAnsi="宋体" w:cs="Helvetica"/>
          <w:kern w:val="0"/>
          <w:sz w:val="24"/>
        </w:rPr>
        <w:t>。</w:t>
      </w:r>
    </w:p>
    <w:p>
      <w:pPr>
        <w:autoSpaceDE w:val="0"/>
        <w:autoSpaceDN w:val="0"/>
        <w:adjustRightInd w:val="0"/>
        <w:spacing w:line="360" w:lineRule="auto"/>
        <w:outlineLvl w:val="1"/>
        <w:rPr>
          <w:rFonts w:ascii="宋体" w:hAnsi="宋体" w:cs="微软雅黑"/>
          <w:kern w:val="0"/>
          <w:sz w:val="24"/>
        </w:rPr>
      </w:pPr>
      <w:r>
        <w:rPr>
          <w:rFonts w:ascii="宋体" w:hAnsi="宋体" w:cs="微软雅黑"/>
          <w:kern w:val="0"/>
          <w:sz w:val="24"/>
        </w:rPr>
        <w:t>5</w:t>
      </w:r>
      <w:r>
        <w:rPr>
          <w:rFonts w:hint="eastAsia" w:ascii="宋体" w:hAnsi="宋体" w:cs="微软雅黑"/>
          <w:kern w:val="0"/>
          <w:sz w:val="24"/>
        </w:rPr>
        <w:t>、监测天线指标</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1</w:t>
      </w:r>
      <w:r>
        <w:rPr>
          <w:rFonts w:hint="eastAsia" w:ascii="宋体" w:hAnsi="宋体" w:cs="Helvetica"/>
          <w:kern w:val="0"/>
          <w:sz w:val="24"/>
        </w:rPr>
        <w:t>）频率范围：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2</w:t>
      </w:r>
      <w:r>
        <w:rPr>
          <w:rFonts w:hint="eastAsia" w:ascii="宋体" w:hAnsi="宋体" w:cs="Helvetica"/>
          <w:kern w:val="0"/>
          <w:sz w:val="24"/>
        </w:rPr>
        <w:t>）极化方式：垂直极化。</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3</w:t>
      </w:r>
      <w:r>
        <w:rPr>
          <w:rFonts w:hint="eastAsia" w:ascii="宋体" w:hAnsi="宋体" w:cs="Helvetica"/>
          <w:kern w:val="0"/>
          <w:sz w:val="24"/>
        </w:rPr>
        <w:t>）工作模式：</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全频段支持有源</w:t>
      </w:r>
      <w:r>
        <w:rPr>
          <w:rFonts w:ascii="宋体" w:hAnsi="宋体" w:cs="Helvetica"/>
          <w:kern w:val="0"/>
          <w:sz w:val="24"/>
        </w:rPr>
        <w:t>/</w:t>
      </w:r>
      <w:r>
        <w:rPr>
          <w:rFonts w:hint="eastAsia" w:ascii="宋体" w:hAnsi="宋体" w:cs="Helvetica"/>
          <w:kern w:val="0"/>
          <w:sz w:val="24"/>
        </w:rPr>
        <w:t>无源可切换。</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w:t>
      </w:r>
      <w:r>
        <w:rPr>
          <w:rFonts w:ascii="宋体" w:hAnsi="宋体" w:cs="Helvetica"/>
          <w:kern w:val="0"/>
          <w:sz w:val="24"/>
        </w:rPr>
        <w:t>4</w:t>
      </w:r>
      <w:r>
        <w:rPr>
          <w:rFonts w:hint="eastAsia" w:ascii="宋体" w:hAnsi="宋体" w:cs="Helvetica"/>
          <w:kern w:val="0"/>
          <w:sz w:val="24"/>
        </w:rPr>
        <w:t>）增益：</w:t>
      </w:r>
      <w:r>
        <w:rPr>
          <w:rFonts w:ascii="宋体" w:hAnsi="宋体" w:cs="Helvetica"/>
          <w:kern w:val="0"/>
          <w:sz w:val="24"/>
        </w:rPr>
        <w:t>-10</w:t>
      </w:r>
      <w:r>
        <w:rPr>
          <w:rFonts w:hint="eastAsia" w:ascii="宋体" w:hAnsi="宋体" w:cs="Helvetica"/>
          <w:kern w:val="0"/>
          <w:sz w:val="24"/>
        </w:rPr>
        <w:t>～</w:t>
      </w:r>
      <w:r>
        <w:rPr>
          <w:rFonts w:ascii="宋体" w:hAnsi="宋体" w:cs="Helvetica"/>
          <w:kern w:val="0"/>
          <w:sz w:val="24"/>
        </w:rPr>
        <w:t>7dBi</w:t>
      </w:r>
      <w:r>
        <w:rPr>
          <w:rFonts w:hint="eastAsia" w:ascii="宋体" w:hAnsi="宋体" w:cs="Helvetica"/>
          <w:kern w:val="0"/>
          <w:sz w:val="24"/>
        </w:rPr>
        <w:t>（</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100MHz</w:t>
      </w:r>
      <w:r>
        <w:rPr>
          <w:rFonts w:hint="eastAsia" w:ascii="宋体" w:hAnsi="宋体" w:cs="Helvetica"/>
          <w:kern w:val="0"/>
          <w:sz w:val="24"/>
        </w:rPr>
        <w:t>），</w:t>
      </w:r>
      <w:r>
        <w:rPr>
          <w:rFonts w:ascii="宋体" w:hAnsi="宋体" w:cs="Helvetica"/>
          <w:kern w:val="0"/>
          <w:sz w:val="24"/>
        </w:rPr>
        <w:t>7</w:t>
      </w:r>
      <w:r>
        <w:rPr>
          <w:rFonts w:hint="eastAsia" w:ascii="宋体" w:hAnsi="宋体" w:cs="Helvetica"/>
          <w:kern w:val="0"/>
          <w:sz w:val="24"/>
        </w:rPr>
        <w:t>～</w:t>
      </w:r>
      <w:r>
        <w:rPr>
          <w:rFonts w:ascii="宋体" w:hAnsi="宋体" w:cs="Helvetica"/>
          <w:kern w:val="0"/>
          <w:sz w:val="24"/>
        </w:rPr>
        <w:t>18dBi</w:t>
      </w:r>
      <w:r>
        <w:rPr>
          <w:rFonts w:hint="eastAsia" w:ascii="宋体" w:hAnsi="宋体" w:cs="Helvetica"/>
          <w:kern w:val="0"/>
          <w:sz w:val="24"/>
        </w:rPr>
        <w:t>（</w:t>
      </w:r>
      <w:r>
        <w:rPr>
          <w:rFonts w:ascii="宋体" w:hAnsi="宋体" w:cs="Helvetica"/>
          <w:kern w:val="0"/>
          <w:sz w:val="24"/>
        </w:rPr>
        <w:t>100MHz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w:t>
      </w:r>
      <w:r>
        <w:rPr>
          <w:rFonts w:ascii="宋体" w:hAnsi="宋体" w:cs="Helvetica"/>
          <w:kern w:val="0"/>
          <w:sz w:val="24"/>
        </w:rPr>
        <w:t>12</w:t>
      </w:r>
      <w:r>
        <w:rPr>
          <w:rFonts w:hint="eastAsia" w:ascii="宋体" w:hAnsi="宋体" w:cs="Helvetica"/>
          <w:kern w:val="0"/>
          <w:sz w:val="24"/>
        </w:rPr>
        <w:t>～</w:t>
      </w:r>
      <w:r>
        <w:rPr>
          <w:rFonts w:ascii="宋体" w:hAnsi="宋体" w:cs="Helvetica"/>
          <w:kern w:val="0"/>
          <w:sz w:val="24"/>
        </w:rPr>
        <w:t>18dBi</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五、应用功能要求</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1</w:t>
      </w:r>
      <w:r>
        <w:rPr>
          <w:rFonts w:hint="eastAsia" w:ascii="宋体" w:hAnsi="宋体" w:cs="微软雅黑"/>
          <w:kern w:val="0"/>
          <w:sz w:val="24"/>
        </w:rPr>
        <w:t>、单频测量</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可对指定频率的信号进行实时射频参数测量，参数测量结果符合</w:t>
      </w:r>
      <w:r>
        <w:rPr>
          <w:rFonts w:ascii="宋体" w:hAnsi="宋体" w:cs="微软雅黑"/>
          <w:kern w:val="0"/>
          <w:sz w:val="24"/>
        </w:rPr>
        <w:t>ITU-R</w:t>
      </w:r>
      <w:r>
        <w:rPr>
          <w:rFonts w:hint="eastAsia" w:ascii="宋体" w:hAnsi="宋体" w:cs="微软雅黑"/>
          <w:kern w:val="0"/>
          <w:sz w:val="24"/>
        </w:rPr>
        <w:t>建议的相关参数（频率、频差、电平、场强、占用带宽、占用度、调制度等）的规范要求。测量过程中可实时显示信号中频频谱和电平流图，同时对监测信号进行实时监听录音。</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2</w:t>
      </w:r>
      <w:r>
        <w:rPr>
          <w:rFonts w:hint="eastAsia" w:ascii="宋体" w:hAnsi="宋体" w:cs="微软雅黑"/>
          <w:kern w:val="0"/>
          <w:sz w:val="24"/>
        </w:rPr>
        <w:t>、频段扫描</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对指定频段内信号按设定的参数进行扫描监测，识别频段内的合法已知信号和非法未知信号。扫描监测过程中可实时显示频段扫描数据（如瀑布图、时间电平关系图等），进行频段内监测数据统计，生成符合国家要求的报告。</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3</w:t>
      </w:r>
      <w:r>
        <w:rPr>
          <w:rFonts w:hint="eastAsia" w:ascii="宋体" w:hAnsi="宋体" w:cs="微软雅黑"/>
          <w:kern w:val="0"/>
          <w:sz w:val="24"/>
        </w:rPr>
        <w:t>、离散扫描</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对多个频率按设定的参数进行扫描监测，能够实时监测多个频点的情况，查看各频点信号的强弱、占用度等信息。</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4</w:t>
      </w:r>
      <w:r>
        <w:rPr>
          <w:rFonts w:hint="eastAsia" w:ascii="宋体" w:hAnsi="宋体" w:cs="微软雅黑"/>
          <w:kern w:val="0"/>
          <w:sz w:val="24"/>
        </w:rPr>
        <w:t>、单频测向</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系统提供固定频率测向功能，能够对单个频点进行测向定位，实时显示信号各项参数的值，并对测向方位角进行概率统计。</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支持空间谱估计测向功能，系统可识别不少于</w:t>
      </w:r>
      <w:r>
        <w:rPr>
          <w:rFonts w:ascii="宋体" w:hAnsi="宋体" w:cs="微软雅黑"/>
          <w:kern w:val="0"/>
          <w:sz w:val="24"/>
        </w:rPr>
        <w:t>3</w:t>
      </w:r>
      <w:r>
        <w:rPr>
          <w:rFonts w:hint="eastAsia" w:ascii="宋体" w:hAnsi="宋体" w:cs="微软雅黑"/>
          <w:kern w:val="0"/>
          <w:sz w:val="24"/>
        </w:rPr>
        <w:t>个同频非相干信号以及不少于</w:t>
      </w:r>
      <w:r>
        <w:rPr>
          <w:rFonts w:ascii="宋体" w:hAnsi="宋体" w:cs="微软雅黑"/>
          <w:kern w:val="0"/>
          <w:sz w:val="24"/>
        </w:rPr>
        <w:t>2</w:t>
      </w:r>
      <w:r>
        <w:rPr>
          <w:rFonts w:hint="eastAsia" w:ascii="宋体" w:hAnsi="宋体" w:cs="微软雅黑"/>
          <w:kern w:val="0"/>
          <w:sz w:val="24"/>
        </w:rPr>
        <w:t>个同频相干信号的来波方向和信号强度，实现同频信号的分离。系统可估计空中同频信号来波数量，可自动切换空间谱估计</w:t>
      </w:r>
      <w:r>
        <w:rPr>
          <w:rFonts w:ascii="宋体" w:hAnsi="宋体" w:cs="微软雅黑"/>
          <w:kern w:val="0"/>
          <w:sz w:val="24"/>
        </w:rPr>
        <w:t>/</w:t>
      </w:r>
      <w:r>
        <w:rPr>
          <w:rFonts w:hint="eastAsia" w:ascii="宋体" w:hAnsi="宋体" w:cs="微软雅黑"/>
          <w:kern w:val="0"/>
          <w:sz w:val="24"/>
        </w:rPr>
        <w:t>相关干涉仪测向体制，融合了两种测向体制的优势，使得测向系统既具有多波分辨、空域滤波等能力，又能保证测向的时效性。</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5</w:t>
      </w:r>
      <w:r>
        <w:rPr>
          <w:rFonts w:hint="eastAsia" w:ascii="宋体" w:hAnsi="宋体" w:cs="微软雅黑"/>
          <w:kern w:val="0"/>
          <w:sz w:val="24"/>
        </w:rPr>
        <w:t>、宽带测向</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能够对一定带宽内的频点测向，显示实时示向度、示向度最优值、实时频谱、瀑布图。支持用户设定门限对测向结果进行过滤。对测向方位角进行概率统计，给出测向概率出现次数最多的方位角。</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6</w:t>
      </w:r>
      <w:r>
        <w:rPr>
          <w:rFonts w:hint="eastAsia" w:ascii="宋体" w:hAnsi="宋体" w:cs="微软雅黑"/>
          <w:kern w:val="0"/>
          <w:sz w:val="24"/>
        </w:rPr>
        <w:t>、单站定位</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车辆移动时系统可在有规律的时间间隔测出信号方位，当得到足够数量的明显方位时，通过定位计算，能在地图上显示发射源大致位置。</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7</w:t>
      </w:r>
      <w:r>
        <w:rPr>
          <w:rFonts w:hint="eastAsia" w:ascii="宋体" w:hAnsi="宋体" w:cs="微软雅黑"/>
          <w:kern w:val="0"/>
          <w:sz w:val="24"/>
        </w:rPr>
        <w:t>、信号识别与分析</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w:t>
      </w:r>
      <w:r>
        <w:rPr>
          <w:rFonts w:ascii="宋体" w:hAnsi="宋体" w:cs="微软雅黑"/>
          <w:kern w:val="0"/>
          <w:sz w:val="24"/>
        </w:rPr>
        <w:t>AM</w:t>
      </w:r>
      <w:r>
        <w:rPr>
          <w:rFonts w:hint="eastAsia" w:ascii="宋体" w:hAnsi="宋体" w:cs="微软雅黑"/>
          <w:kern w:val="0"/>
          <w:sz w:val="24"/>
        </w:rPr>
        <w:t>、</w:t>
      </w:r>
      <w:r>
        <w:rPr>
          <w:rFonts w:ascii="宋体" w:hAnsi="宋体" w:cs="微软雅黑"/>
          <w:kern w:val="0"/>
          <w:sz w:val="24"/>
        </w:rPr>
        <w:t>FM</w:t>
      </w:r>
      <w:r>
        <w:rPr>
          <w:rFonts w:hint="eastAsia" w:ascii="宋体" w:hAnsi="宋体" w:cs="微软雅黑"/>
          <w:kern w:val="0"/>
          <w:sz w:val="24"/>
        </w:rPr>
        <w:t>、</w:t>
      </w:r>
      <w:r>
        <w:rPr>
          <w:rFonts w:ascii="宋体" w:hAnsi="宋体" w:cs="微软雅黑"/>
          <w:kern w:val="0"/>
          <w:sz w:val="24"/>
        </w:rPr>
        <w:t>CW</w:t>
      </w:r>
      <w:r>
        <w:rPr>
          <w:rFonts w:hint="eastAsia" w:ascii="宋体" w:hAnsi="宋体" w:cs="微软雅黑"/>
          <w:kern w:val="0"/>
          <w:sz w:val="24"/>
        </w:rPr>
        <w:t>、</w:t>
      </w:r>
      <w:r>
        <w:rPr>
          <w:rFonts w:ascii="宋体" w:hAnsi="宋体" w:cs="微软雅黑"/>
          <w:kern w:val="0"/>
          <w:sz w:val="24"/>
        </w:rPr>
        <w:t>FSK</w:t>
      </w:r>
      <w:r>
        <w:rPr>
          <w:rFonts w:hint="eastAsia" w:ascii="宋体" w:hAnsi="宋体" w:cs="微软雅黑"/>
          <w:kern w:val="0"/>
          <w:sz w:val="24"/>
        </w:rPr>
        <w:t>、</w:t>
      </w:r>
      <w:r>
        <w:rPr>
          <w:rFonts w:ascii="宋体" w:hAnsi="宋体" w:cs="微软雅黑"/>
          <w:kern w:val="0"/>
          <w:sz w:val="24"/>
        </w:rPr>
        <w:t>QPSK</w:t>
      </w:r>
      <w:r>
        <w:rPr>
          <w:rFonts w:hint="eastAsia" w:ascii="宋体" w:hAnsi="宋体" w:cs="微软雅黑"/>
          <w:kern w:val="0"/>
          <w:sz w:val="24"/>
        </w:rPr>
        <w:t>、</w:t>
      </w:r>
      <w:r>
        <w:rPr>
          <w:rFonts w:ascii="宋体" w:hAnsi="宋体" w:cs="微软雅黑"/>
          <w:kern w:val="0"/>
          <w:sz w:val="24"/>
        </w:rPr>
        <w:t>BPSK</w:t>
      </w:r>
      <w:r>
        <w:rPr>
          <w:rFonts w:hint="eastAsia" w:ascii="宋体" w:hAnsi="宋体" w:cs="微软雅黑"/>
          <w:kern w:val="0"/>
          <w:sz w:val="24"/>
        </w:rPr>
        <w:t>、</w:t>
      </w:r>
      <w:r>
        <w:rPr>
          <w:rFonts w:ascii="宋体" w:hAnsi="宋体" w:cs="微软雅黑"/>
          <w:kern w:val="0"/>
          <w:sz w:val="24"/>
        </w:rPr>
        <w:t>QAM</w:t>
      </w:r>
      <w:r>
        <w:rPr>
          <w:rFonts w:hint="eastAsia" w:ascii="宋体" w:hAnsi="宋体" w:cs="微软雅黑"/>
          <w:kern w:val="0"/>
          <w:sz w:val="24"/>
        </w:rPr>
        <w:t>等信号识别能力，系统软件能记录最大为中频带宽的数字基带</w:t>
      </w:r>
      <w:r>
        <w:rPr>
          <w:rFonts w:ascii="宋体" w:hAnsi="宋体" w:cs="微软雅黑"/>
          <w:kern w:val="0"/>
          <w:sz w:val="24"/>
        </w:rPr>
        <w:t>I/Q</w:t>
      </w:r>
      <w:r>
        <w:rPr>
          <w:rFonts w:hint="eastAsia" w:ascii="宋体" w:hAnsi="宋体" w:cs="微软雅黑"/>
          <w:kern w:val="0"/>
          <w:sz w:val="24"/>
        </w:rPr>
        <w:t>信号、信号监听录音、信号解结果和占用度分析结果，并生成相应报告。监测接收机支持时域、频域、调制域同步分析功能，具有多窗口展示频谱图、瀑布图、时域图、星座图、解调参数表、矢量误差图、相位误差图等。</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8</w:t>
      </w:r>
      <w:r>
        <w:rPr>
          <w:rFonts w:hint="eastAsia" w:ascii="宋体" w:hAnsi="宋体" w:cs="微软雅黑"/>
          <w:kern w:val="0"/>
          <w:sz w:val="24"/>
        </w:rPr>
        <w:t>、多路窄带监听</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具备多路信号解调分析、多路音频记录能力，可同时对最大中频带宽内</w:t>
      </w:r>
      <w:r>
        <w:rPr>
          <w:rFonts w:ascii="宋体" w:hAnsi="宋体" w:cs="微软雅黑"/>
          <w:kern w:val="0"/>
          <w:sz w:val="24"/>
        </w:rPr>
        <w:t>64</w:t>
      </w:r>
      <w:r>
        <w:rPr>
          <w:rFonts w:hint="eastAsia" w:ascii="宋体" w:hAnsi="宋体" w:cs="微软雅黑"/>
          <w:kern w:val="0"/>
          <w:sz w:val="24"/>
        </w:rPr>
        <w:t>路窄带信号进行监测与录音处理。</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9</w:t>
      </w:r>
      <w:r>
        <w:rPr>
          <w:rFonts w:hint="eastAsia" w:ascii="宋体" w:hAnsi="宋体" w:cs="微软雅黑"/>
          <w:kern w:val="0"/>
          <w:sz w:val="24"/>
        </w:rPr>
        <w:t>、数字集群信号解析</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w:t>
      </w:r>
      <w:r>
        <w:rPr>
          <w:rFonts w:ascii="宋体" w:hAnsi="宋体" w:cs="微软雅黑"/>
          <w:kern w:val="0"/>
          <w:sz w:val="24"/>
        </w:rPr>
        <w:t>DMR/dPMR/PDT/NXDN/TETRA</w:t>
      </w:r>
      <w:r>
        <w:rPr>
          <w:rFonts w:hint="eastAsia" w:ascii="宋体" w:hAnsi="宋体" w:cs="微软雅黑"/>
          <w:kern w:val="0"/>
          <w:sz w:val="24"/>
        </w:rPr>
        <w:t>制式数字对讲</w:t>
      </w:r>
      <w:r>
        <w:rPr>
          <w:rFonts w:ascii="宋体" w:hAnsi="宋体" w:cs="微软雅黑"/>
          <w:kern w:val="0"/>
          <w:sz w:val="24"/>
        </w:rPr>
        <w:t>/</w:t>
      </w:r>
      <w:r>
        <w:rPr>
          <w:rFonts w:hint="eastAsia" w:ascii="宋体" w:hAnsi="宋体" w:cs="微软雅黑"/>
          <w:kern w:val="0"/>
          <w:sz w:val="24"/>
        </w:rPr>
        <w:t>数字集群信号解调功能，并在频谱分析的同时输出文字内容和语音。</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10</w:t>
      </w:r>
      <w:r>
        <w:rPr>
          <w:rFonts w:hint="eastAsia" w:ascii="宋体" w:hAnsi="宋体" w:cs="微软雅黑"/>
          <w:kern w:val="0"/>
          <w:sz w:val="24"/>
        </w:rPr>
        <w:t>、电视信号监测</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具备搜索电视台信号，并对包括</w:t>
      </w:r>
      <w:r>
        <w:rPr>
          <w:rFonts w:ascii="宋体" w:hAnsi="宋体" w:cs="微软雅黑"/>
          <w:kern w:val="0"/>
          <w:sz w:val="24"/>
        </w:rPr>
        <w:t>PAL-D</w:t>
      </w:r>
      <w:r>
        <w:rPr>
          <w:rFonts w:hint="eastAsia" w:ascii="宋体" w:hAnsi="宋体" w:cs="微软雅黑"/>
          <w:kern w:val="0"/>
          <w:sz w:val="24"/>
        </w:rPr>
        <w:t>、</w:t>
      </w:r>
      <w:r>
        <w:rPr>
          <w:rFonts w:ascii="宋体" w:hAnsi="宋体" w:cs="微软雅黑"/>
          <w:kern w:val="0"/>
          <w:sz w:val="24"/>
        </w:rPr>
        <w:t>NTSC</w:t>
      </w:r>
      <w:r>
        <w:rPr>
          <w:rFonts w:hint="eastAsia" w:ascii="宋体" w:hAnsi="宋体" w:cs="微软雅黑"/>
          <w:kern w:val="0"/>
          <w:sz w:val="24"/>
        </w:rPr>
        <w:t>、</w:t>
      </w:r>
      <w:r>
        <w:rPr>
          <w:rFonts w:ascii="宋体" w:hAnsi="宋体" w:cs="微软雅黑"/>
          <w:kern w:val="0"/>
          <w:sz w:val="24"/>
        </w:rPr>
        <w:t>DTMB</w:t>
      </w:r>
      <w:r>
        <w:rPr>
          <w:rFonts w:hint="eastAsia" w:ascii="宋体" w:hAnsi="宋体" w:cs="微软雅黑"/>
          <w:kern w:val="0"/>
          <w:sz w:val="24"/>
        </w:rPr>
        <w:t>、</w:t>
      </w:r>
      <w:r>
        <w:rPr>
          <w:rFonts w:ascii="宋体" w:hAnsi="宋体" w:cs="微软雅黑"/>
          <w:kern w:val="0"/>
          <w:sz w:val="24"/>
        </w:rPr>
        <w:t>DVB-T</w:t>
      </w:r>
      <w:r>
        <w:rPr>
          <w:rFonts w:hint="eastAsia" w:ascii="宋体" w:hAnsi="宋体" w:cs="微软雅黑"/>
          <w:kern w:val="0"/>
          <w:sz w:val="24"/>
        </w:rPr>
        <w:t>、</w:t>
      </w:r>
      <w:r>
        <w:rPr>
          <w:rFonts w:ascii="宋体" w:hAnsi="宋体" w:cs="微软雅黑"/>
          <w:kern w:val="0"/>
          <w:sz w:val="24"/>
        </w:rPr>
        <w:t>DVB-T2</w:t>
      </w:r>
      <w:r>
        <w:rPr>
          <w:rFonts w:hint="eastAsia" w:ascii="宋体" w:hAnsi="宋体" w:cs="微软雅黑"/>
          <w:kern w:val="0"/>
          <w:sz w:val="24"/>
        </w:rPr>
        <w:t>制式的电视信号进行解调、播放的功能。可对电视台站数据进行保存，形成电视台站数据库；能进行列表查询展示；电视台站数据库有电视特征数据（如一帧截图），并能对保存的电视信号进行回放。</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11</w:t>
      </w:r>
      <w:r>
        <w:rPr>
          <w:rFonts w:hint="eastAsia" w:ascii="宋体" w:hAnsi="宋体" w:cs="微软雅黑"/>
          <w:kern w:val="0"/>
          <w:sz w:val="24"/>
        </w:rPr>
        <w:t>、基站信号监测</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具备移动通信信号接收和解码能力，能够对指定区域，通过电子地图展示出公众移动通信频率的使用及信号分布情况，掌握不同运营商、不同网络制式（</w:t>
      </w:r>
      <w:r>
        <w:rPr>
          <w:rFonts w:ascii="宋体" w:hAnsi="宋体" w:cs="微软雅黑"/>
          <w:kern w:val="0"/>
          <w:sz w:val="24"/>
        </w:rPr>
        <w:t>2G/3G/4G/5G</w:t>
      </w:r>
      <w:r>
        <w:rPr>
          <w:rFonts w:hint="eastAsia" w:ascii="宋体" w:hAnsi="宋体" w:cs="微软雅黑"/>
          <w:kern w:val="0"/>
          <w:sz w:val="24"/>
        </w:rPr>
        <w:t>）基站的情况，如类别、制式、频率、运营商、信道号、场强、基站识别码、蜂窝小区号、位置区域码等。</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12</w:t>
      </w:r>
      <w:r>
        <w:rPr>
          <w:rFonts w:hint="eastAsia" w:ascii="宋体" w:hAnsi="宋体" w:cs="微软雅黑"/>
          <w:kern w:val="0"/>
          <w:sz w:val="24"/>
        </w:rPr>
        <w:t>、考试作弊信号解析</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可对采用</w:t>
      </w:r>
      <w:r>
        <w:rPr>
          <w:rFonts w:ascii="宋体" w:hAnsi="宋体" w:cs="微软雅黑"/>
          <w:kern w:val="0"/>
          <w:sz w:val="24"/>
        </w:rPr>
        <w:t>FSK/LoRa</w:t>
      </w:r>
      <w:r>
        <w:rPr>
          <w:rFonts w:hint="eastAsia" w:ascii="宋体" w:hAnsi="宋体" w:cs="微软雅黑"/>
          <w:kern w:val="0"/>
          <w:sz w:val="24"/>
        </w:rPr>
        <w:t>等调制方式的数传（作弊）信号进行解码分析，自动生成解析结果列表。对于不能解析的可疑信号，可以进行信号的</w:t>
      </w:r>
      <w:r>
        <w:rPr>
          <w:rFonts w:ascii="宋体" w:hAnsi="宋体" w:cs="微软雅黑"/>
          <w:kern w:val="0"/>
          <w:sz w:val="24"/>
        </w:rPr>
        <w:t>IQ</w:t>
      </w:r>
      <w:r>
        <w:rPr>
          <w:rFonts w:hint="eastAsia" w:ascii="宋体" w:hAnsi="宋体" w:cs="微软雅黑"/>
          <w:kern w:val="0"/>
          <w:sz w:val="24"/>
        </w:rPr>
        <w:t>原始数据短时录制，方便后续分析。</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具备数据的保存和回放功能，可以实现频谱和解析语音回放；支持多种数据的存储，包括作弊音频、频谱图、</w:t>
      </w:r>
      <w:r>
        <w:rPr>
          <w:rFonts w:ascii="宋体" w:hAnsi="宋体" w:cs="微软雅黑"/>
          <w:kern w:val="0"/>
          <w:sz w:val="24"/>
        </w:rPr>
        <w:t>IQ</w:t>
      </w:r>
      <w:r>
        <w:rPr>
          <w:rFonts w:hint="eastAsia" w:ascii="宋体" w:hAnsi="宋体" w:cs="微软雅黑"/>
          <w:kern w:val="0"/>
          <w:sz w:val="24"/>
        </w:rPr>
        <w:t>数据、解码数据等；支持数据的回放，包括作弊音频、频谱、</w:t>
      </w:r>
      <w:r>
        <w:rPr>
          <w:rFonts w:ascii="宋体" w:hAnsi="宋体" w:cs="微软雅黑"/>
          <w:kern w:val="0"/>
          <w:sz w:val="24"/>
        </w:rPr>
        <w:t>IQ</w:t>
      </w:r>
      <w:r>
        <w:rPr>
          <w:rFonts w:hint="eastAsia" w:ascii="宋体" w:hAnsi="宋体" w:cs="微软雅黑"/>
          <w:kern w:val="0"/>
          <w:sz w:val="24"/>
        </w:rPr>
        <w:t>数据、解码数据等的回放。</w:t>
      </w:r>
    </w:p>
    <w:p>
      <w:pPr>
        <w:autoSpaceDE w:val="0"/>
        <w:autoSpaceDN w:val="0"/>
        <w:adjustRightInd w:val="0"/>
        <w:spacing w:line="360" w:lineRule="auto"/>
        <w:ind w:firstLine="480" w:firstLineChars="200"/>
        <w:outlineLvl w:val="1"/>
        <w:rPr>
          <w:rFonts w:ascii="宋体" w:hAnsi="宋体" w:cs="微软雅黑"/>
          <w:kern w:val="0"/>
          <w:sz w:val="24"/>
        </w:rPr>
      </w:pPr>
      <w:r>
        <w:rPr>
          <w:rFonts w:ascii="宋体" w:hAnsi="宋体" w:cs="微软雅黑"/>
          <w:kern w:val="0"/>
          <w:sz w:val="24"/>
        </w:rPr>
        <w:t>13</w:t>
      </w:r>
      <w:r>
        <w:rPr>
          <w:rFonts w:hint="eastAsia" w:ascii="宋体" w:hAnsi="宋体" w:cs="微软雅黑"/>
          <w:kern w:val="0"/>
          <w:sz w:val="24"/>
        </w:rPr>
        <w:t>、电子地图</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提供建站城市区域二维电子地图，软件支持高德、谷歌地图等多种地图数据。可结合车辆</w:t>
      </w:r>
      <w:r>
        <w:rPr>
          <w:rFonts w:ascii="宋体" w:hAnsi="宋体" w:cs="Helvetica"/>
          <w:kern w:val="0"/>
          <w:sz w:val="24"/>
        </w:rPr>
        <w:t>GPS</w:t>
      </w:r>
      <w:r>
        <w:rPr>
          <w:rFonts w:hint="eastAsia" w:ascii="宋体" w:hAnsi="宋体" w:cs="Helvetica"/>
          <w:kern w:val="0"/>
          <w:sz w:val="24"/>
        </w:rPr>
        <w:t>位置将测向结果标记在电子地图上。可将台站数据库中的台站显示在电子地图上，可以选择性地显示某一种或多种业务的台站，也可以显示台站查询的结果。支持信号路测功能，并可在电子地图上绘制路测线路以及信号场强态势图。</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六、车辆改装集成要求</w:t>
      </w:r>
    </w:p>
    <w:p>
      <w:pPr>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rPr>
        <w:t>、根据工信部和公安部对于特种车辆改装的行业管理要求，投标人选择的车辆改装企业须具有相应的工信部汽车改装资质（投标文件中需提供相应资质和资料复印件并加盖投标人公章）。车辆改装应符合国家相关标准和交通管理部门有关要求，应遵循如下文件或标准：</w:t>
      </w:r>
      <w:r>
        <w:rPr>
          <w:rFonts w:ascii="宋体" w:hAnsi="宋体"/>
          <w:sz w:val="24"/>
          <w:szCs w:val="28"/>
        </w:rPr>
        <w:t>QC/T934-2012</w:t>
      </w:r>
      <w:r>
        <w:rPr>
          <w:rFonts w:hint="eastAsia" w:ascii="宋体" w:hAnsi="宋体"/>
          <w:sz w:val="24"/>
          <w:szCs w:val="28"/>
        </w:rPr>
        <w:t>《无线电监测车技术条件》、</w:t>
      </w:r>
      <w:r>
        <w:rPr>
          <w:rFonts w:ascii="宋体" w:hAnsi="宋体"/>
          <w:sz w:val="24"/>
          <w:szCs w:val="28"/>
        </w:rPr>
        <w:t>GB7258-2017</w:t>
      </w:r>
      <w:r>
        <w:rPr>
          <w:rFonts w:hint="eastAsia" w:ascii="宋体" w:hAnsi="宋体"/>
          <w:sz w:val="24"/>
          <w:szCs w:val="28"/>
        </w:rPr>
        <w:t>《机动车运行安全技术条件》、</w:t>
      </w:r>
      <w:r>
        <w:rPr>
          <w:rFonts w:ascii="宋体" w:hAnsi="宋体"/>
          <w:sz w:val="24"/>
          <w:szCs w:val="28"/>
        </w:rPr>
        <w:t>GA802-2014</w:t>
      </w:r>
      <w:r>
        <w:rPr>
          <w:rFonts w:hint="eastAsia" w:ascii="宋体" w:hAnsi="宋体"/>
          <w:sz w:val="24"/>
          <w:szCs w:val="28"/>
        </w:rPr>
        <w:t>《机动车类型、术语和定义》、</w:t>
      </w:r>
      <w:r>
        <w:rPr>
          <w:rFonts w:ascii="宋体" w:hAnsi="宋体"/>
          <w:sz w:val="24"/>
          <w:szCs w:val="28"/>
        </w:rPr>
        <w:t>GB1589-2016</w:t>
      </w:r>
      <w:r>
        <w:rPr>
          <w:rFonts w:hint="eastAsia" w:ascii="宋体" w:hAnsi="宋体"/>
          <w:sz w:val="24"/>
          <w:szCs w:val="28"/>
        </w:rPr>
        <w:t>《汽车、挂车及汽车列车外廓尺寸、轴荷及质量限值》。</w:t>
      </w:r>
    </w:p>
    <w:p>
      <w:pPr>
        <w:spacing w:line="360" w:lineRule="auto"/>
        <w:ind w:firstLine="480" w:firstLineChars="200"/>
        <w:rPr>
          <w:rFonts w:ascii="宋体" w:hAnsi="宋体"/>
          <w:sz w:val="24"/>
          <w:szCs w:val="28"/>
        </w:rPr>
      </w:pPr>
      <w:r>
        <w:rPr>
          <w:rFonts w:ascii="宋体" w:hAnsi="宋体"/>
          <w:sz w:val="24"/>
          <w:szCs w:val="28"/>
        </w:rPr>
        <w:t>2</w:t>
      </w:r>
      <w:r>
        <w:rPr>
          <w:rFonts w:hint="eastAsia" w:ascii="宋体" w:hAnsi="宋体"/>
          <w:sz w:val="24"/>
          <w:szCs w:val="28"/>
        </w:rPr>
        <w:t>、车辆改造应充分考虑整车电磁兼容性，所有车载设备（包含电源系统）正常工作时的电磁辐射限值应满足国标</w:t>
      </w:r>
      <w:r>
        <w:rPr>
          <w:rFonts w:ascii="宋体" w:hAnsi="宋体"/>
          <w:sz w:val="24"/>
          <w:szCs w:val="28"/>
        </w:rPr>
        <w:t>GB14023-2011</w:t>
      </w:r>
      <w:r>
        <w:rPr>
          <w:rFonts w:hint="eastAsia" w:ascii="宋体" w:hAnsi="宋体"/>
          <w:sz w:val="24"/>
          <w:szCs w:val="28"/>
        </w:rPr>
        <w:t>《车辆船和内燃机无线电骚扰特性用于保护车外接收机的限值和测量方法》的要求。</w:t>
      </w:r>
    </w:p>
    <w:p>
      <w:pPr>
        <w:spacing w:line="360" w:lineRule="auto"/>
        <w:ind w:firstLine="480" w:firstLineChars="200"/>
        <w:rPr>
          <w:rFonts w:ascii="宋体" w:hAnsi="宋体"/>
          <w:sz w:val="24"/>
          <w:szCs w:val="28"/>
        </w:rPr>
      </w:pPr>
      <w:r>
        <w:rPr>
          <w:rFonts w:ascii="宋体" w:hAnsi="宋体"/>
          <w:sz w:val="24"/>
          <w:szCs w:val="28"/>
        </w:rPr>
        <w:t>3</w:t>
      </w:r>
      <w:r>
        <w:rPr>
          <w:rFonts w:hint="eastAsia" w:ascii="宋体" w:hAnsi="宋体"/>
          <w:sz w:val="24"/>
          <w:szCs w:val="28"/>
        </w:rPr>
        <w:t>、主驾、副驾座椅采用真皮翻新；拆除车辆后部原有的</w:t>
      </w:r>
      <w:r>
        <w:rPr>
          <w:rFonts w:ascii="宋体" w:hAnsi="宋体"/>
          <w:sz w:val="24"/>
          <w:szCs w:val="28"/>
        </w:rPr>
        <w:t>4</w:t>
      </w:r>
      <w:r>
        <w:rPr>
          <w:rFonts w:hint="eastAsia" w:ascii="宋体" w:hAnsi="宋体"/>
          <w:sz w:val="24"/>
          <w:szCs w:val="28"/>
        </w:rPr>
        <w:t>个座椅，加装</w:t>
      </w:r>
      <w:r>
        <w:rPr>
          <w:rFonts w:ascii="宋体" w:hAnsi="宋体"/>
          <w:sz w:val="24"/>
          <w:szCs w:val="28"/>
        </w:rPr>
        <w:t>2</w:t>
      </w:r>
      <w:r>
        <w:rPr>
          <w:rFonts w:hint="eastAsia" w:ascii="宋体" w:hAnsi="宋体"/>
          <w:sz w:val="24"/>
          <w:szCs w:val="28"/>
        </w:rPr>
        <w:t>个可电动调节的航空座椅；在车辆前部设置实木操作台</w:t>
      </w:r>
      <w:r>
        <w:rPr>
          <w:rFonts w:ascii="宋体" w:hAnsi="宋体"/>
          <w:sz w:val="24"/>
          <w:szCs w:val="28"/>
        </w:rPr>
        <w:t>1</w:t>
      </w:r>
      <w:r>
        <w:rPr>
          <w:rFonts w:hint="eastAsia" w:ascii="宋体" w:hAnsi="宋体"/>
          <w:sz w:val="24"/>
          <w:szCs w:val="28"/>
        </w:rPr>
        <w:t>套，含整车总控制面板（包括系统开关、</w:t>
      </w:r>
      <w:r>
        <w:rPr>
          <w:rFonts w:ascii="宋体" w:hAnsi="宋体"/>
          <w:sz w:val="24"/>
          <w:szCs w:val="28"/>
        </w:rPr>
        <w:t>USB</w:t>
      </w:r>
      <w:r>
        <w:rPr>
          <w:rFonts w:hint="eastAsia" w:ascii="宋体" w:hAnsi="宋体"/>
          <w:sz w:val="24"/>
          <w:szCs w:val="28"/>
        </w:rPr>
        <w:t>接口以及网络接口）。车辆内部改造包括车内灯光、强化木地板、扶手箱、内饰除旧等；车辆外部做抛光、打蜡处理。</w:t>
      </w:r>
    </w:p>
    <w:p>
      <w:pPr>
        <w:spacing w:line="360" w:lineRule="auto"/>
        <w:ind w:firstLine="480" w:firstLineChars="200"/>
        <w:jc w:val="left"/>
        <w:rPr>
          <w:rFonts w:ascii="宋体" w:hAnsi="宋体"/>
          <w:sz w:val="24"/>
          <w:szCs w:val="28"/>
        </w:rPr>
      </w:pPr>
      <w:r>
        <w:rPr>
          <w:rFonts w:ascii="宋体" w:hAnsi="宋体"/>
          <w:sz w:val="24"/>
          <w:szCs w:val="28"/>
        </w:rPr>
        <w:t>4</w:t>
      </w:r>
      <w:r>
        <w:rPr>
          <w:rFonts w:hint="eastAsia" w:ascii="宋体" w:hAnsi="宋体"/>
          <w:sz w:val="24"/>
          <w:szCs w:val="28"/>
        </w:rPr>
        <w:t>、车辆改装完成后，车体轴荷分配及左右配重应合理，最大乘员数应不低于</w:t>
      </w:r>
      <w:r>
        <w:rPr>
          <w:rFonts w:ascii="宋体" w:hAnsi="宋体"/>
          <w:sz w:val="24"/>
          <w:szCs w:val="28"/>
        </w:rPr>
        <w:t>4</w:t>
      </w:r>
      <w:r>
        <w:rPr>
          <w:rFonts w:hint="eastAsia" w:ascii="宋体" w:hAnsi="宋体"/>
          <w:sz w:val="24"/>
          <w:szCs w:val="28"/>
        </w:rPr>
        <w:t>人。具备适应国内路面行驶的抗震性能，车顶天线和车内系统设备不出现任何松动和损坏。所有工具、配件及其他物品均应在固定位置安放，在行驶中不会掉出，系统设备、柜体、车厢的加固能够承受</w:t>
      </w:r>
      <w:r>
        <w:rPr>
          <w:rFonts w:ascii="宋体" w:hAnsi="宋体"/>
          <w:sz w:val="24"/>
          <w:szCs w:val="28"/>
        </w:rPr>
        <w:t>80km/h</w:t>
      </w:r>
      <w:r>
        <w:rPr>
          <w:rFonts w:hint="eastAsia" w:ascii="宋体" w:hAnsi="宋体"/>
          <w:sz w:val="24"/>
          <w:szCs w:val="28"/>
        </w:rPr>
        <w:t>～</w:t>
      </w:r>
      <w:r>
        <w:rPr>
          <w:rFonts w:ascii="宋体" w:hAnsi="宋体"/>
          <w:sz w:val="24"/>
          <w:szCs w:val="28"/>
        </w:rPr>
        <w:t>120km/h</w:t>
      </w:r>
      <w:r>
        <w:rPr>
          <w:rFonts w:hint="eastAsia" w:ascii="宋体" w:hAnsi="宋体"/>
          <w:sz w:val="24"/>
          <w:szCs w:val="28"/>
        </w:rPr>
        <w:t>的急刹车的附加负载。放置天线的位置必须进行特殊加固。设备机柜安装时，须配置减震底架，采取二次减震措施。</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七、商务要求</w:t>
      </w:r>
    </w:p>
    <w:p>
      <w:pPr>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rPr>
        <w:t>交货地点：采购方指定地点。</w:t>
      </w:r>
    </w:p>
    <w:p>
      <w:pPr>
        <w:spacing w:line="360" w:lineRule="auto"/>
        <w:ind w:firstLine="480" w:firstLineChars="200"/>
        <w:rPr>
          <w:rFonts w:ascii="宋体" w:hAnsi="宋体"/>
          <w:sz w:val="24"/>
          <w:szCs w:val="28"/>
        </w:rPr>
      </w:pPr>
      <w:r>
        <w:rPr>
          <w:rFonts w:hint="eastAsia" w:ascii="宋体" w:hAnsi="宋体"/>
          <w:sz w:val="24"/>
          <w:szCs w:val="28"/>
        </w:rPr>
        <w:t>2、</w:t>
      </w:r>
      <w:r>
        <w:rPr>
          <w:rFonts w:ascii="宋体" w:hAnsi="宋体"/>
          <w:sz w:val="24"/>
          <w:szCs w:val="28"/>
        </w:rPr>
        <w:t>交货期：自合同签订之日起</w:t>
      </w:r>
      <w:r>
        <w:rPr>
          <w:rFonts w:hint="eastAsia" w:ascii="宋体" w:hAnsi="宋体"/>
          <w:sz w:val="24"/>
          <w:szCs w:val="28"/>
        </w:rPr>
        <w:t>7</w:t>
      </w:r>
      <w:r>
        <w:rPr>
          <w:rFonts w:ascii="宋体" w:hAnsi="宋体"/>
          <w:sz w:val="24"/>
          <w:szCs w:val="28"/>
        </w:rPr>
        <w:t>个月完成</w:t>
      </w:r>
      <w:r>
        <w:rPr>
          <w:rFonts w:hint="eastAsia" w:ascii="宋体" w:hAnsi="宋体"/>
          <w:sz w:val="24"/>
          <w:szCs w:val="28"/>
        </w:rPr>
        <w:t>（包括生产、第三方测试验证、出厂验收）。</w:t>
      </w:r>
    </w:p>
    <w:p>
      <w:pPr>
        <w:spacing w:line="360" w:lineRule="auto"/>
        <w:ind w:firstLine="480" w:firstLineChars="200"/>
        <w:rPr>
          <w:rFonts w:ascii="宋体" w:hAnsi="宋体"/>
          <w:sz w:val="24"/>
          <w:szCs w:val="28"/>
        </w:rPr>
      </w:pPr>
      <w:r>
        <w:rPr>
          <w:rFonts w:ascii="宋体" w:hAnsi="宋体"/>
          <w:sz w:val="24"/>
          <w:szCs w:val="28"/>
        </w:rPr>
        <w:t>3、质保期：3年</w:t>
      </w:r>
      <w:r>
        <w:rPr>
          <w:rFonts w:hint="eastAsia" w:ascii="宋体" w:hAnsi="宋体"/>
          <w:sz w:val="24"/>
          <w:szCs w:val="28"/>
        </w:rPr>
        <w:t>。</w:t>
      </w:r>
    </w:p>
    <w:p>
      <w:pPr>
        <w:spacing w:line="360" w:lineRule="auto"/>
        <w:ind w:firstLine="480" w:firstLineChars="200"/>
        <w:rPr>
          <w:rFonts w:ascii="宋体" w:hAnsi="宋体"/>
          <w:sz w:val="24"/>
          <w:szCs w:val="28"/>
        </w:rPr>
      </w:pPr>
      <w:r>
        <w:rPr>
          <w:rFonts w:ascii="宋体" w:hAnsi="宋体"/>
          <w:sz w:val="24"/>
          <w:szCs w:val="28"/>
        </w:rPr>
        <w:t>4、付款方式：</w:t>
      </w:r>
    </w:p>
    <w:p>
      <w:pPr>
        <w:spacing w:line="360" w:lineRule="auto"/>
        <w:ind w:firstLine="480" w:firstLineChars="200"/>
        <w:rPr>
          <w:rFonts w:ascii="宋体" w:hAnsi="宋体"/>
          <w:sz w:val="24"/>
          <w:szCs w:val="28"/>
        </w:rPr>
      </w:pPr>
      <w:r>
        <w:rPr>
          <w:rFonts w:ascii="宋体" w:hAnsi="宋体"/>
          <w:sz w:val="24"/>
          <w:szCs w:val="28"/>
        </w:rPr>
        <w:t>（1）合同签订后5个工作日内，乙方向甲方出具合同总价款5%金额</w:t>
      </w:r>
      <w:r>
        <w:rPr>
          <w:rFonts w:hint="eastAsia" w:ascii="宋体" w:hAnsi="宋体"/>
          <w:sz w:val="24"/>
          <w:szCs w:val="28"/>
        </w:rPr>
        <w:t>的银行保函，</w:t>
      </w:r>
      <w:r>
        <w:rPr>
          <w:rFonts w:ascii="宋体" w:hAnsi="宋体"/>
          <w:sz w:val="24"/>
          <w:szCs w:val="28"/>
        </w:rPr>
        <w:t>保函有效期截止时间为项目验收合格</w:t>
      </w:r>
      <w:r>
        <w:rPr>
          <w:rFonts w:hint="eastAsia" w:ascii="宋体" w:hAnsi="宋体"/>
          <w:sz w:val="24"/>
          <w:szCs w:val="28"/>
        </w:rPr>
        <w:t>之日</w:t>
      </w:r>
      <w:r>
        <w:rPr>
          <w:rFonts w:ascii="宋体" w:hAnsi="宋体"/>
          <w:sz w:val="24"/>
          <w:szCs w:val="28"/>
        </w:rPr>
        <w:t>；</w:t>
      </w:r>
    </w:p>
    <w:p>
      <w:pPr>
        <w:spacing w:line="360" w:lineRule="auto"/>
        <w:ind w:firstLine="480" w:firstLineChars="200"/>
        <w:rPr>
          <w:rFonts w:ascii="宋体" w:hAnsi="宋体"/>
          <w:sz w:val="24"/>
          <w:szCs w:val="28"/>
        </w:rPr>
      </w:pPr>
      <w:r>
        <w:rPr>
          <w:rFonts w:hint="eastAsia" w:ascii="宋体" w:hAnsi="宋体"/>
          <w:sz w:val="24"/>
          <w:szCs w:val="28"/>
        </w:rPr>
        <w:t>（</w:t>
      </w:r>
      <w:r>
        <w:rPr>
          <w:rFonts w:ascii="宋体" w:hAnsi="宋体"/>
          <w:sz w:val="24"/>
          <w:szCs w:val="28"/>
        </w:rPr>
        <w:t>2）甲方收到乙方合格银行保函后支付全部合同总价款；</w:t>
      </w:r>
    </w:p>
    <w:p>
      <w:pPr>
        <w:spacing w:line="360" w:lineRule="auto"/>
        <w:ind w:firstLine="480" w:firstLineChars="200"/>
        <w:rPr>
          <w:rFonts w:ascii="宋体" w:hAnsi="宋体"/>
          <w:sz w:val="24"/>
          <w:szCs w:val="28"/>
        </w:rPr>
      </w:pPr>
      <w:r>
        <w:rPr>
          <w:rFonts w:hint="eastAsia" w:ascii="宋体" w:hAnsi="宋体"/>
          <w:sz w:val="24"/>
          <w:szCs w:val="28"/>
        </w:rPr>
        <w:t>（</w:t>
      </w:r>
      <w:r>
        <w:rPr>
          <w:rFonts w:ascii="宋体" w:hAnsi="宋体"/>
          <w:sz w:val="24"/>
          <w:szCs w:val="28"/>
        </w:rPr>
        <w:t>3）乙方承诺在甲方办理支付手续前，为甲方出具等额的符合国家规定的发票；</w:t>
      </w:r>
    </w:p>
    <w:p>
      <w:pPr>
        <w:spacing w:line="360" w:lineRule="auto"/>
        <w:ind w:firstLine="480" w:firstLineChars="200"/>
        <w:rPr>
          <w:rFonts w:ascii="宋体" w:hAnsi="宋体"/>
          <w:sz w:val="24"/>
          <w:szCs w:val="28"/>
        </w:rPr>
      </w:pPr>
      <w:r>
        <w:rPr>
          <w:rFonts w:hint="eastAsia" w:ascii="宋体" w:hAnsi="宋体"/>
          <w:sz w:val="24"/>
          <w:szCs w:val="28"/>
        </w:rPr>
        <w:t>（</w:t>
      </w:r>
      <w:r>
        <w:rPr>
          <w:rFonts w:ascii="宋体" w:hAnsi="宋体"/>
          <w:sz w:val="24"/>
          <w:szCs w:val="28"/>
        </w:rPr>
        <w:t>4）上述时间不包括甲方正常办理支付报批手续的时间（办理银行担保所需的手续</w:t>
      </w:r>
      <w:r>
        <w:rPr>
          <w:rFonts w:hint="eastAsia" w:ascii="宋体" w:hAnsi="宋体"/>
          <w:sz w:val="24"/>
          <w:szCs w:val="28"/>
        </w:rPr>
        <w:t>费、</w:t>
      </w:r>
      <w:r>
        <w:rPr>
          <w:rFonts w:ascii="宋体" w:hAnsi="宋体"/>
          <w:sz w:val="24"/>
          <w:szCs w:val="28"/>
        </w:rPr>
        <w:t>担保费等全部由中标人承担）。</w:t>
      </w:r>
    </w:p>
    <w:p>
      <w:pPr>
        <w:spacing w:line="360" w:lineRule="auto"/>
        <w:ind w:firstLine="480" w:firstLineChars="200"/>
        <w:rPr>
          <w:rFonts w:ascii="宋体" w:hAnsi="宋体"/>
          <w:sz w:val="24"/>
          <w:szCs w:val="28"/>
        </w:rPr>
      </w:pPr>
      <w:r>
        <w:rPr>
          <w:rFonts w:hint="eastAsia" w:ascii="宋体" w:hAnsi="宋体"/>
          <w:sz w:val="24"/>
          <w:szCs w:val="28"/>
        </w:rPr>
        <w:t>5</w:t>
      </w:r>
      <w:r>
        <w:rPr>
          <w:rFonts w:ascii="宋体" w:hAnsi="宋体"/>
          <w:sz w:val="24"/>
          <w:szCs w:val="28"/>
        </w:rPr>
        <w:t>、其他：根据《国家无线电办公室关于进一步加强无线电管理基础和技术设施建设</w:t>
      </w:r>
      <w:r>
        <w:rPr>
          <w:rFonts w:hint="eastAsia" w:ascii="宋体" w:hAnsi="宋体"/>
          <w:sz w:val="24"/>
          <w:szCs w:val="28"/>
        </w:rPr>
        <w:t>项目验收有关工作的通知》</w:t>
      </w:r>
      <w:r>
        <w:rPr>
          <w:rFonts w:ascii="宋体" w:hAnsi="宋体"/>
          <w:sz w:val="24"/>
          <w:szCs w:val="28"/>
        </w:rPr>
        <w:t>国无办函〔2020〕31号）、《无线电监测设施测试验证</w:t>
      </w:r>
      <w:r>
        <w:rPr>
          <w:rFonts w:hint="eastAsia" w:ascii="宋体" w:hAnsi="宋体"/>
          <w:sz w:val="24"/>
          <w:szCs w:val="28"/>
        </w:rPr>
        <w:t>工作规定（试行）</w:t>
      </w:r>
      <w:r>
        <w:rPr>
          <w:rFonts w:ascii="宋体" w:hAnsi="宋体"/>
          <w:sz w:val="24"/>
          <w:szCs w:val="28"/>
        </w:rPr>
        <w:t>》（工信部无〔2017〕283号）等文件要求，本项目在建设过程中</w:t>
      </w:r>
      <w:r>
        <w:rPr>
          <w:rFonts w:hint="eastAsia" w:ascii="宋体" w:hAnsi="宋体"/>
          <w:sz w:val="24"/>
          <w:szCs w:val="28"/>
        </w:rPr>
        <w:t>如包含初步设计、</w:t>
      </w:r>
      <w:r>
        <w:rPr>
          <w:rFonts w:ascii="宋体" w:hAnsi="宋体"/>
          <w:sz w:val="24"/>
          <w:szCs w:val="28"/>
        </w:rPr>
        <w:t>出厂测试、第三方验收、培训、建设工程监理等内容，其费用均</w:t>
      </w:r>
      <w:r>
        <w:rPr>
          <w:rFonts w:hint="eastAsia" w:ascii="宋体" w:hAnsi="宋体"/>
          <w:sz w:val="24"/>
          <w:szCs w:val="28"/>
        </w:rPr>
        <w:t>由中标供应商承担，</w:t>
      </w:r>
      <w:r>
        <w:rPr>
          <w:rFonts w:ascii="宋体" w:hAnsi="宋体"/>
          <w:sz w:val="24"/>
          <w:szCs w:val="28"/>
        </w:rPr>
        <w:t>如涉及第三方专业机构，中标供应商须与采购人协商确定。</w:t>
      </w:r>
    </w:p>
    <w:p>
      <w:pPr>
        <w:autoSpaceDE w:val="0"/>
        <w:autoSpaceDN w:val="0"/>
        <w:adjustRightInd w:val="0"/>
        <w:spacing w:line="360" w:lineRule="auto"/>
        <w:ind w:left="119" w:right="-23"/>
        <w:outlineLvl w:val="0"/>
        <w:rPr>
          <w:rFonts w:ascii="宋体" w:hAnsi="宋体" w:cs="微软雅黑"/>
          <w:b/>
          <w:bCs/>
          <w:kern w:val="0"/>
          <w:sz w:val="24"/>
        </w:rPr>
      </w:pPr>
      <w:r>
        <w:rPr>
          <w:rFonts w:hint="eastAsia" w:ascii="宋体" w:hAnsi="宋体" w:cs="微软雅黑"/>
          <w:b/>
          <w:bCs/>
          <w:kern w:val="0"/>
          <w:sz w:val="24"/>
        </w:rPr>
        <w:t>八、验收要求</w:t>
      </w:r>
    </w:p>
    <w:p>
      <w:pPr>
        <w:spacing w:line="360" w:lineRule="auto"/>
        <w:ind w:firstLine="360" w:firstLineChars="150"/>
        <w:rPr>
          <w:rFonts w:ascii="宋体" w:hAnsi="宋体"/>
          <w:sz w:val="24"/>
          <w:szCs w:val="28"/>
        </w:rPr>
      </w:pPr>
      <w:r>
        <w:rPr>
          <w:rFonts w:hint="eastAsia" w:ascii="宋体" w:hAnsi="宋体"/>
          <w:sz w:val="24"/>
          <w:szCs w:val="28"/>
        </w:rPr>
        <w:t>项目验收分为合同验收、初步验收和竣工验收三个部分。</w:t>
      </w:r>
    </w:p>
    <w:p>
      <w:pPr>
        <w:spacing w:line="360" w:lineRule="auto"/>
        <w:ind w:firstLine="360" w:firstLineChars="150"/>
        <w:rPr>
          <w:rFonts w:ascii="宋体" w:hAnsi="宋体"/>
          <w:sz w:val="24"/>
          <w:szCs w:val="28"/>
        </w:rPr>
      </w:pPr>
      <w:r>
        <w:rPr>
          <w:rFonts w:hint="eastAsia" w:ascii="宋体" w:hAnsi="宋体"/>
          <w:sz w:val="24"/>
          <w:szCs w:val="28"/>
        </w:rPr>
        <w:t>1.合同验收包括检查合同建设内容完成情况、合同支付情况、合同规定的各类文档资料收集等工作。</w:t>
      </w:r>
    </w:p>
    <w:p>
      <w:pPr>
        <w:spacing w:line="360" w:lineRule="auto"/>
        <w:ind w:firstLine="360" w:firstLineChars="150"/>
        <w:rPr>
          <w:rFonts w:ascii="宋体" w:hAnsi="宋体"/>
          <w:sz w:val="24"/>
          <w:szCs w:val="28"/>
        </w:rPr>
      </w:pPr>
      <w:r>
        <w:rPr>
          <w:rFonts w:hint="eastAsia" w:ascii="宋体" w:hAnsi="宋体"/>
          <w:sz w:val="24"/>
          <w:szCs w:val="28"/>
        </w:rPr>
        <w:t>2.初步验收包括项目资料检查、财务资金检查、无线电管理基础和技术设施检查、规定执行情况检查等工作。</w:t>
      </w:r>
    </w:p>
    <w:p>
      <w:pPr>
        <w:spacing w:line="360" w:lineRule="auto"/>
        <w:ind w:firstLine="360" w:firstLineChars="150"/>
        <w:rPr>
          <w:rFonts w:ascii="宋体" w:hAnsi="宋体"/>
          <w:sz w:val="24"/>
          <w:szCs w:val="28"/>
        </w:rPr>
      </w:pPr>
      <w:r>
        <w:rPr>
          <w:rFonts w:hint="eastAsia" w:ascii="宋体" w:hAnsi="宋体"/>
          <w:sz w:val="24"/>
          <w:szCs w:val="28"/>
        </w:rPr>
        <w:t>3.竣工验收包括项目竣工验收申请及批复材料、项目试运行报告、项目承担单位基本情况、项目概况、项目实施总结报告等资料。</w:t>
      </w:r>
    </w:p>
    <w:p>
      <w:pPr>
        <w:autoSpaceDE w:val="0"/>
        <w:autoSpaceDN w:val="0"/>
        <w:adjustRightInd w:val="0"/>
        <w:spacing w:line="360" w:lineRule="auto"/>
        <w:ind w:left="119" w:right="-23"/>
        <w:outlineLvl w:val="0"/>
        <w:rPr>
          <w:rFonts w:ascii="宋体" w:hAnsi="宋体"/>
          <w:sz w:val="24"/>
          <w:szCs w:val="28"/>
        </w:rPr>
      </w:pPr>
      <w:r>
        <w:rPr>
          <w:rFonts w:hint="eastAsia" w:ascii="宋体" w:hAnsi="宋体" w:cs="微软雅黑"/>
          <w:b/>
          <w:bCs/>
          <w:kern w:val="0"/>
          <w:sz w:val="24"/>
        </w:rPr>
        <w:t>九、售后服务要求</w:t>
      </w:r>
    </w:p>
    <w:p>
      <w:pPr>
        <w:spacing w:line="360" w:lineRule="auto"/>
        <w:rPr>
          <w:rFonts w:ascii="宋体" w:hAnsi="宋体"/>
          <w:sz w:val="24"/>
          <w:szCs w:val="28"/>
        </w:rPr>
      </w:pPr>
      <w:r>
        <w:rPr>
          <w:rFonts w:ascii="宋体" w:hAnsi="宋体"/>
          <w:sz w:val="24"/>
          <w:szCs w:val="28"/>
        </w:rPr>
        <w:t>1.本项目需提供终验验收合格之日算起，三年免费原厂质保；</w:t>
      </w:r>
    </w:p>
    <w:p>
      <w:pPr>
        <w:spacing w:line="360" w:lineRule="auto"/>
        <w:rPr>
          <w:rFonts w:ascii="宋体" w:hAnsi="宋体"/>
          <w:sz w:val="24"/>
          <w:szCs w:val="28"/>
        </w:rPr>
      </w:pPr>
      <w:r>
        <w:rPr>
          <w:rFonts w:ascii="宋体" w:hAnsi="宋体"/>
          <w:sz w:val="24"/>
          <w:szCs w:val="28"/>
        </w:rPr>
        <w:t>2.质保期间，需提供7*24小时服务，服务响应时间按不超过2小时。</w:t>
      </w:r>
    </w:p>
    <w:p>
      <w:pPr>
        <w:spacing w:line="360" w:lineRule="auto"/>
        <w:rPr>
          <w:rFonts w:ascii="宋体" w:hAnsi="宋体"/>
          <w:sz w:val="24"/>
          <w:szCs w:val="28"/>
        </w:rPr>
      </w:pPr>
      <w:r>
        <w:rPr>
          <w:rFonts w:ascii="宋体" w:hAnsi="宋体"/>
          <w:sz w:val="24"/>
          <w:szCs w:val="28"/>
        </w:rPr>
        <w:t>3.培训条款</w:t>
      </w:r>
    </w:p>
    <w:p>
      <w:pPr>
        <w:spacing w:line="360" w:lineRule="auto"/>
        <w:rPr>
          <w:rFonts w:ascii="宋体" w:hAnsi="宋体"/>
          <w:sz w:val="24"/>
          <w:szCs w:val="28"/>
        </w:rPr>
      </w:pPr>
      <w:r>
        <w:rPr>
          <w:rFonts w:ascii="宋体" w:hAnsi="宋体"/>
          <w:sz w:val="24"/>
          <w:szCs w:val="28"/>
        </w:rPr>
        <w:t>3.1培训次数：验收合格后，中标供应商应为采购人工作人员提供不少于3次现场培训；</w:t>
      </w:r>
    </w:p>
    <w:p>
      <w:pPr>
        <w:spacing w:line="360" w:lineRule="auto"/>
        <w:rPr>
          <w:rFonts w:ascii="宋体" w:hAnsi="宋体"/>
          <w:sz w:val="24"/>
          <w:szCs w:val="28"/>
        </w:rPr>
      </w:pPr>
      <w:r>
        <w:rPr>
          <w:rFonts w:ascii="宋体" w:hAnsi="宋体"/>
          <w:sz w:val="24"/>
          <w:szCs w:val="28"/>
        </w:rPr>
        <w:t>3.2培训地点：采购人指定地点；</w:t>
      </w:r>
    </w:p>
    <w:p>
      <w:pPr>
        <w:spacing w:line="360" w:lineRule="auto"/>
        <w:rPr>
          <w:rFonts w:ascii="宋体" w:hAnsi="宋体"/>
          <w:sz w:val="24"/>
          <w:szCs w:val="28"/>
        </w:rPr>
      </w:pPr>
      <w:r>
        <w:rPr>
          <w:rFonts w:ascii="宋体" w:hAnsi="宋体"/>
          <w:sz w:val="24"/>
          <w:szCs w:val="28"/>
        </w:rPr>
        <w:t>3.3培训人数：采购人指定人数；</w:t>
      </w:r>
    </w:p>
    <w:p>
      <w:pPr>
        <w:spacing w:line="360" w:lineRule="auto"/>
        <w:rPr>
          <w:rFonts w:ascii="宋体" w:hAnsi="宋体"/>
          <w:sz w:val="24"/>
          <w:szCs w:val="28"/>
        </w:rPr>
      </w:pPr>
      <w:r>
        <w:rPr>
          <w:rFonts w:ascii="宋体" w:hAnsi="宋体"/>
          <w:sz w:val="24"/>
          <w:szCs w:val="28"/>
        </w:rPr>
        <w:t>3.4培训内容：设备的使用；</w:t>
      </w:r>
    </w:p>
    <w:p>
      <w:pPr>
        <w:spacing w:line="360" w:lineRule="auto"/>
        <w:jc w:val="left"/>
        <w:rPr>
          <w:rStyle w:val="96"/>
        </w:rPr>
      </w:pPr>
      <w:r>
        <w:rPr>
          <w:rFonts w:ascii="宋体" w:hAnsi="宋体"/>
          <w:sz w:val="24"/>
          <w:szCs w:val="28"/>
        </w:rPr>
        <w:t>3.5培训目的：保证采购人工作人员对设备的熟练使用。</w:t>
      </w:r>
      <w:r>
        <w:rPr>
          <w:rFonts w:hint="eastAsia" w:ascii="宋体" w:hAnsi="宋体" w:cs="宋体"/>
          <w:sz w:val="24"/>
        </w:rPr>
        <w:br w:type="page"/>
      </w:r>
      <w:bookmarkStart w:id="204" w:name="_Toc18231"/>
      <w:r>
        <w:rPr>
          <w:rStyle w:val="96"/>
          <w:rFonts w:hint="eastAsia"/>
        </w:rPr>
        <w:t>第五章 政府采购合同格式</w:t>
      </w:r>
      <w:bookmarkEnd w:id="201"/>
      <w:bookmarkEnd w:id="202"/>
      <w:bookmarkEnd w:id="203"/>
      <w:bookmarkStart w:id="205" w:name="_Toc362882445"/>
    </w:p>
    <w:bookmarkEnd w:id="204"/>
    <w:bookmarkEnd w:id="205"/>
    <w:p>
      <w:pPr>
        <w:jc w:val="center"/>
        <w:rPr>
          <w:rFonts w:ascii="宋体" w:hAnsi="宋体" w:cs="宋体"/>
          <w:b/>
          <w:bCs/>
          <w:sz w:val="44"/>
          <w:szCs w:val="44"/>
        </w:rPr>
      </w:pPr>
      <w:bookmarkStart w:id="206" w:name="_Toc25543"/>
      <w:bookmarkStart w:id="207" w:name="_Toc28984"/>
      <w:bookmarkStart w:id="208" w:name="_Toc14378"/>
      <w:bookmarkStart w:id="209" w:name="_Toc1517_WPSOffice_Level1"/>
    </w:p>
    <w:p>
      <w:pPr>
        <w:jc w:val="center"/>
        <w:rPr>
          <w:rFonts w:ascii="仿宋" w:hAnsi="仿宋" w:eastAsia="仿宋" w:cs="仿宋"/>
          <w:b/>
          <w:bCs/>
          <w:sz w:val="44"/>
          <w:szCs w:val="44"/>
        </w:rPr>
      </w:pPr>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sz w:val="44"/>
          <w:szCs w:val="36"/>
        </w:rPr>
      </w:pPr>
      <w:r>
        <w:rPr>
          <w:rFonts w:hint="eastAsia"/>
          <w:sz w:val="44"/>
          <w:szCs w:val="36"/>
        </w:rPr>
        <w:t>陕西省无线电管理委员会</w:t>
      </w:r>
    </w:p>
    <w:p>
      <w:pPr>
        <w:jc w:val="center"/>
        <w:rPr>
          <w:rFonts w:ascii="仿宋" w:hAnsi="仿宋" w:eastAsia="仿宋" w:cs="仿宋"/>
        </w:rPr>
      </w:pPr>
      <w:r>
        <w:rPr>
          <w:rFonts w:hint="eastAsia"/>
          <w:sz w:val="44"/>
          <w:szCs w:val="36"/>
        </w:rPr>
        <w:t>移动监测站升级改造项目B包</w:t>
      </w:r>
    </w:p>
    <w:p>
      <w:pPr>
        <w:rPr>
          <w:rFonts w:ascii="仿宋" w:hAnsi="仿宋" w:eastAsia="仿宋" w:cs="仿宋"/>
        </w:rPr>
      </w:pPr>
    </w:p>
    <w:p>
      <w:pPr>
        <w:jc w:val="center"/>
        <w:rPr>
          <w:rFonts w:ascii="宋体" w:hAnsi="宋体" w:cs="宋体"/>
          <w:b/>
          <w:sz w:val="36"/>
          <w:szCs w:val="36"/>
        </w:rPr>
      </w:pPr>
      <w:r>
        <w:rPr>
          <w:rFonts w:hint="eastAsia" w:ascii="宋体" w:hAnsi="宋体" w:cs="宋体"/>
          <w:b/>
          <w:sz w:val="36"/>
          <w:szCs w:val="36"/>
        </w:rPr>
        <w:t>（示范文本仅供参考）</w:t>
      </w:r>
    </w:p>
    <w:p>
      <w:pPr>
        <w:jc w:val="center"/>
        <w:rPr>
          <w:rFonts w:ascii="宋体" w:hAnsi="宋体" w:cs="宋体"/>
          <w:b/>
          <w:sz w:val="36"/>
          <w:szCs w:val="36"/>
        </w:rPr>
      </w:pPr>
    </w:p>
    <w:p>
      <w:pPr>
        <w:pStyle w:val="3"/>
        <w:rPr>
          <w:rFonts w:ascii="宋体" w:hAnsi="宋体" w:cs="宋体"/>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spacing w:before="120" w:beforeLines="50" w:line="360" w:lineRule="auto"/>
        <w:rPr>
          <w:rFonts w:ascii="宋体" w:hAnsi="宋体" w:cs="宋体"/>
          <w:b/>
          <w:bCs/>
          <w:sz w:val="36"/>
          <w:szCs w:val="36"/>
        </w:rPr>
      </w:pP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采购人：</w:t>
      </w:r>
      <w:r>
        <w:rPr>
          <w:rFonts w:hint="eastAsia" w:ascii="宋体" w:hAnsi="宋体" w:cs="宋体"/>
          <w:sz w:val="32"/>
          <w:szCs w:val="32"/>
          <w:u w:val="single"/>
        </w:rPr>
        <w:t xml:space="preserve">                     </w:t>
      </w: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供应商：</w:t>
      </w:r>
      <w:r>
        <w:rPr>
          <w:rFonts w:hint="eastAsia" w:ascii="宋体" w:hAnsi="宋体" w:cs="宋体"/>
          <w:sz w:val="32"/>
          <w:szCs w:val="32"/>
          <w:u w:val="single"/>
        </w:rPr>
        <w:t xml:space="preserve">                     </w:t>
      </w:r>
    </w:p>
    <w:p>
      <w:pPr>
        <w:spacing w:line="560" w:lineRule="exact"/>
        <w:jc w:val="center"/>
        <w:rPr>
          <w:rFonts w:ascii="仿宋" w:hAnsi="仿宋" w:eastAsia="仿宋" w:cs="仿宋"/>
          <w:b/>
          <w:bCs/>
          <w:sz w:val="36"/>
          <w:szCs w:val="36"/>
        </w:rPr>
      </w:pPr>
      <w:r>
        <w:rPr>
          <w:rFonts w:hint="eastAsia" w:ascii="宋体" w:hAnsi="宋体" w:cs="宋体"/>
          <w:b/>
          <w:bCs/>
          <w:sz w:val="32"/>
          <w:szCs w:val="32"/>
        </w:rPr>
        <w:t>二〇二二年八月</w:t>
      </w:r>
      <w:r>
        <w:rPr>
          <w:rFonts w:hint="eastAsia" w:ascii="仿宋" w:hAnsi="仿宋" w:eastAsia="仿宋" w:cs="仿宋"/>
          <w:b/>
          <w:bCs/>
          <w:sz w:val="36"/>
          <w:szCs w:val="36"/>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w:t>
      </w:r>
      <w:r>
        <w:rPr>
          <w:rFonts w:hint="eastAsia" w:ascii="宋体" w:hAnsi="宋体" w:cs="宋体"/>
          <w:sz w:val="24"/>
          <w:u w:val="single"/>
        </w:rPr>
        <w:t xml:space="preserve">                            </w:t>
      </w:r>
      <w:r>
        <w:rPr>
          <w:rFonts w:hint="eastAsia" w:ascii="宋体" w:hAnsi="宋体" w:cs="宋体"/>
          <w:sz w:val="24"/>
        </w:rPr>
        <w:t>（¥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（1）合同签订后5个工作日内，乙方向甲方出具合同总价款5%金额的银行保函，保函有效期截止时间为项目验收合格之日；</w:t>
      </w:r>
    </w:p>
    <w:p>
      <w:pPr>
        <w:adjustRightInd w:val="0"/>
        <w:snapToGrid w:val="0"/>
        <w:spacing w:line="360" w:lineRule="auto"/>
        <w:ind w:left="420" w:leftChars="200"/>
        <w:rPr>
          <w:rFonts w:ascii="宋体" w:hAnsi="宋体" w:cs="宋体"/>
          <w:sz w:val="24"/>
        </w:rPr>
      </w:pPr>
      <w:r>
        <w:rPr>
          <w:rFonts w:hint="eastAsia" w:ascii="宋体" w:hAnsi="宋体" w:cs="宋体"/>
          <w:sz w:val="24"/>
        </w:rPr>
        <w:t>（2）甲方收到乙方合格银行保函后支付全部合同总价款；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（3）乙方承诺在甲方办理支付手续前，为甲方出具等额的符合国家规定的发票；</w:t>
      </w:r>
    </w:p>
    <w:p>
      <w:pPr>
        <w:adjustRightInd w:val="0"/>
        <w:snapToGrid w:val="0"/>
        <w:spacing w:line="360" w:lineRule="auto"/>
        <w:ind w:left="420" w:leftChars="200"/>
        <w:rPr>
          <w:rFonts w:ascii="宋体" w:hAnsi="宋体" w:cs="宋体"/>
          <w:sz w:val="24"/>
          <w:highlight w:val="yellow"/>
        </w:rPr>
      </w:pPr>
      <w:r>
        <w:rPr>
          <w:rFonts w:hint="eastAsia" w:ascii="宋体" w:hAnsi="宋体" w:cs="宋体"/>
          <w:sz w:val="24"/>
        </w:rPr>
        <w:t>（4）上述时间不包括甲方正常办理支付报批手续的时间（办理银行担保所需的手续费、担保费等全部由中标人承担）。</w:t>
      </w:r>
    </w:p>
    <w:p>
      <w:pPr>
        <w:spacing w:line="360" w:lineRule="auto"/>
        <w:rPr>
          <w:rFonts w:ascii="宋体" w:hAnsi="宋体" w:cs="宋体"/>
          <w:b/>
          <w:sz w:val="24"/>
        </w:rPr>
      </w:pPr>
      <w:r>
        <w:rPr>
          <w:rFonts w:hint="eastAsia" w:ascii="宋体" w:hAnsi="宋体" w:cs="宋体"/>
          <w:b/>
          <w:sz w:val="24"/>
        </w:rPr>
        <w:t xml:space="preserve">五、交货期  </w:t>
      </w:r>
    </w:p>
    <w:p>
      <w:pPr>
        <w:tabs>
          <w:tab w:val="left" w:pos="840"/>
        </w:tabs>
        <w:spacing w:line="360" w:lineRule="auto"/>
        <w:ind w:firstLine="480" w:firstLineChars="200"/>
        <w:rPr>
          <w:rFonts w:ascii="宋体" w:hAnsi="宋体" w:cs="宋体"/>
          <w:sz w:val="24"/>
        </w:rPr>
      </w:pPr>
      <w:r>
        <w:rPr>
          <w:rFonts w:ascii="宋体" w:hAnsi="宋体" w:cs="宋体"/>
          <w:sz w:val="24"/>
        </w:rPr>
        <w:t>自合同签订之日起</w:t>
      </w:r>
      <w:r>
        <w:rPr>
          <w:rFonts w:hint="eastAsia" w:ascii="宋体" w:hAnsi="宋体" w:cs="宋体"/>
          <w:sz w:val="24"/>
        </w:rPr>
        <w:t>7</w:t>
      </w:r>
      <w:r>
        <w:rPr>
          <w:rFonts w:ascii="宋体" w:hAnsi="宋体" w:cs="宋体"/>
          <w:sz w:val="24"/>
        </w:rPr>
        <w:t>个月完成</w:t>
      </w:r>
      <w:r>
        <w:rPr>
          <w:rFonts w:hint="eastAsia" w:ascii="宋体" w:hAnsi="宋体" w:cs="宋体"/>
          <w:sz w:val="24"/>
        </w:rPr>
        <w:t>（包括生产、第三方测试验证、出厂验收）。</w:t>
      </w:r>
    </w:p>
    <w:p>
      <w:pPr>
        <w:adjustRightInd w:val="0"/>
        <w:snapToGrid w:val="0"/>
        <w:spacing w:line="360" w:lineRule="auto"/>
        <w:rPr>
          <w:rFonts w:ascii="宋体" w:hAnsi="宋体" w:cs="宋体"/>
          <w:b/>
          <w:sz w:val="24"/>
        </w:rPr>
      </w:pPr>
      <w:r>
        <w:rPr>
          <w:rFonts w:hint="eastAsia" w:ascii="宋体" w:hAnsi="宋体" w:cs="宋体"/>
          <w:b/>
          <w:sz w:val="24"/>
        </w:rPr>
        <w:t>六、质保期</w:t>
      </w:r>
    </w:p>
    <w:p>
      <w:pPr>
        <w:tabs>
          <w:tab w:val="left" w:pos="840"/>
        </w:tabs>
        <w:spacing w:line="520" w:lineRule="exact"/>
        <w:ind w:firstLine="480" w:firstLineChars="200"/>
        <w:rPr>
          <w:rFonts w:ascii="宋体" w:hAnsi="宋体" w:cs="宋体"/>
          <w:sz w:val="24"/>
        </w:rPr>
      </w:pPr>
      <w:r>
        <w:rPr>
          <w:rFonts w:ascii="宋体" w:hAnsi="宋体" w:cs="宋体"/>
          <w:sz w:val="24"/>
        </w:rPr>
        <w:t>3年</w:t>
      </w:r>
      <w:r>
        <w:rPr>
          <w:rFonts w:hint="eastAsia" w:ascii="宋体" w:hAnsi="宋体" w:cs="宋体"/>
          <w:sz w:val="24"/>
        </w:rPr>
        <w:t>。</w:t>
      </w:r>
    </w:p>
    <w:p>
      <w:pPr>
        <w:tabs>
          <w:tab w:val="left" w:pos="840"/>
        </w:tabs>
        <w:spacing w:line="520" w:lineRule="exact"/>
        <w:rPr>
          <w:rFonts w:ascii="宋体" w:hAnsi="宋体" w:cs="宋体"/>
          <w:b/>
          <w:sz w:val="24"/>
        </w:rPr>
      </w:pPr>
      <w:r>
        <w:rPr>
          <w:rFonts w:hint="eastAsia" w:ascii="宋体" w:hAnsi="宋体" w:cs="宋体"/>
          <w:b/>
          <w:sz w:val="24"/>
        </w:rPr>
        <w:t>七、内容及要求</w:t>
      </w:r>
    </w:p>
    <w:p>
      <w:pPr>
        <w:spacing w:after="120"/>
        <w:jc w:val="center"/>
        <w:rPr>
          <w:rFonts w:ascii="宋体" w:hAnsi="宋体" w:cs="宋体"/>
          <w:b/>
          <w:sz w:val="24"/>
        </w:rPr>
      </w:pPr>
      <w:r>
        <w:rPr>
          <w:rFonts w:hint="eastAsia" w:ascii="宋体" w:hAnsi="宋体" w:cs="宋体"/>
          <w:b/>
          <w:sz w:val="24"/>
        </w:rPr>
        <w:t>供货内容一览表</w:t>
      </w:r>
      <w:r>
        <w:rPr>
          <w:rFonts w:hint="eastAsia" w:ascii="宋体" w:hAnsi="宋体" w:cs="宋体"/>
          <w:sz w:val="24"/>
        </w:rPr>
        <w:t xml:space="preserve">                                </w:t>
      </w:r>
    </w:p>
    <w:tbl>
      <w:tblPr>
        <w:tblStyle w:val="29"/>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20" w:beforeLines="50"/>
              <w:jc w:val="center"/>
              <w:rPr>
                <w:rFonts w:ascii="宋体" w:hAnsi="宋体" w:cs="宋体"/>
                <w:b/>
                <w:sz w:val="24"/>
              </w:rPr>
            </w:pPr>
            <w:r>
              <w:rPr>
                <w:rFonts w:hint="eastAsia" w:ascii="宋体" w:hAnsi="宋体" w:cs="宋体"/>
                <w:b/>
                <w:sz w:val="24"/>
              </w:rPr>
              <w:t>序号</w:t>
            </w:r>
          </w:p>
        </w:tc>
        <w:tc>
          <w:tcPr>
            <w:tcW w:w="960" w:type="dxa"/>
            <w:vAlign w:val="center"/>
          </w:tcPr>
          <w:p>
            <w:pPr>
              <w:spacing w:before="120" w:beforeLines="50"/>
              <w:jc w:val="center"/>
              <w:rPr>
                <w:rFonts w:ascii="宋体" w:hAnsi="宋体" w:cs="宋体"/>
                <w:b/>
                <w:sz w:val="24"/>
              </w:rPr>
            </w:pPr>
            <w:r>
              <w:rPr>
                <w:rFonts w:hint="eastAsia" w:ascii="宋体" w:hAnsi="宋体" w:cs="宋体"/>
                <w:b/>
                <w:sz w:val="24"/>
              </w:rPr>
              <w:t>名称</w:t>
            </w:r>
          </w:p>
        </w:tc>
        <w:tc>
          <w:tcPr>
            <w:tcW w:w="148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品牌、规格及型号</w:t>
            </w:r>
          </w:p>
        </w:tc>
        <w:tc>
          <w:tcPr>
            <w:tcW w:w="1695" w:type="dxa"/>
            <w:tcBorders>
              <w:lef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原产地及 制造厂名</w:t>
            </w:r>
          </w:p>
        </w:tc>
        <w:tc>
          <w:tcPr>
            <w:tcW w:w="82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单价</w:t>
            </w:r>
          </w:p>
        </w:tc>
        <w:tc>
          <w:tcPr>
            <w:tcW w:w="735" w:type="dxa"/>
            <w:tcBorders>
              <w:left w:val="single" w:color="auto" w:sz="4" w:space="0"/>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数量</w:t>
            </w:r>
          </w:p>
        </w:tc>
        <w:tc>
          <w:tcPr>
            <w:tcW w:w="1050" w:type="dxa"/>
            <w:tcBorders>
              <w:left w:val="single" w:color="auto" w:sz="4" w:space="0"/>
            </w:tcBorders>
            <w:vAlign w:val="center"/>
          </w:tcPr>
          <w:p>
            <w:pPr>
              <w:jc w:val="center"/>
              <w:rPr>
                <w:rFonts w:ascii="宋体" w:hAnsi="宋体" w:cs="宋体"/>
                <w:b/>
                <w:sz w:val="24"/>
              </w:rPr>
            </w:pPr>
            <w:r>
              <w:rPr>
                <w:rFonts w:hint="eastAsia" w:ascii="宋体" w:hAnsi="宋体" w:cs="宋体"/>
                <w:b/>
                <w:sz w:val="24"/>
              </w:rPr>
              <w:t>交付地点</w:t>
            </w:r>
          </w:p>
        </w:tc>
        <w:tc>
          <w:tcPr>
            <w:tcW w:w="1215"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交付时间</w:t>
            </w:r>
          </w:p>
        </w:tc>
        <w:tc>
          <w:tcPr>
            <w:tcW w:w="903"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b/>
          <w:sz w:val="24"/>
        </w:rPr>
        <w:t xml:space="preserve">八、运输、安装、调试要求 </w:t>
      </w:r>
    </w:p>
    <w:p>
      <w:pPr>
        <w:spacing w:line="360" w:lineRule="auto"/>
        <w:ind w:firstLine="480" w:firstLineChars="200"/>
        <w:rPr>
          <w:rFonts w:ascii="宋体" w:hAnsi="宋体" w:cs="宋体"/>
          <w:sz w:val="24"/>
        </w:rPr>
      </w:pPr>
      <w:r>
        <w:rPr>
          <w:rFonts w:hint="eastAsia" w:ascii="宋体" w:hAnsi="宋体" w:cs="宋体"/>
          <w:sz w:val="24"/>
        </w:rPr>
        <w:t>1、运输方式由供应商及制造厂商自行选择，运输和装卸等风险由供应商承担。</w:t>
      </w:r>
    </w:p>
    <w:p>
      <w:pPr>
        <w:spacing w:line="360" w:lineRule="auto"/>
        <w:ind w:firstLine="480" w:firstLineChars="200"/>
        <w:rPr>
          <w:rFonts w:ascii="宋体" w:hAnsi="宋体" w:cs="宋体"/>
          <w:sz w:val="24"/>
        </w:rPr>
      </w:pPr>
      <w:r>
        <w:rPr>
          <w:rFonts w:hint="eastAsia" w:ascii="宋体" w:hAnsi="宋体" w:cs="宋体"/>
          <w:sz w:val="24"/>
        </w:rPr>
        <w:t>2、自合同生效后起自合同签订之日起7个月内完成交付。</w:t>
      </w:r>
    </w:p>
    <w:p>
      <w:pPr>
        <w:spacing w:line="360" w:lineRule="auto"/>
        <w:ind w:firstLine="480" w:firstLineChars="200"/>
        <w:rPr>
          <w:rFonts w:ascii="宋体" w:hAnsi="宋体" w:cs="宋体"/>
          <w:sz w:val="24"/>
        </w:rPr>
      </w:pPr>
      <w:r>
        <w:rPr>
          <w:rFonts w:hint="eastAsia" w:ascii="宋体" w:hAnsi="宋体" w:cs="宋体"/>
          <w:sz w:val="24"/>
        </w:rPr>
        <w:t>3、供应商向采购人交货时应移交全套软件产品，并为用户免费指导和培训操作与维护。</w:t>
      </w:r>
    </w:p>
    <w:p>
      <w:pPr>
        <w:spacing w:line="360" w:lineRule="auto"/>
        <w:ind w:firstLine="480" w:firstLineChars="200"/>
        <w:rPr>
          <w:rFonts w:ascii="宋体" w:hAnsi="宋体" w:cs="宋体"/>
          <w:sz w:val="24"/>
        </w:rPr>
      </w:pPr>
      <w:r>
        <w:rPr>
          <w:rFonts w:hint="eastAsia" w:ascii="宋体" w:hAnsi="宋体" w:cs="宋体"/>
          <w:sz w:val="24"/>
        </w:rPr>
        <w:t>4、供应商应积极保持与采购人良好沟通，保证合同的正常履行，并承担合同义务的履行责任。</w:t>
      </w:r>
    </w:p>
    <w:p>
      <w:pPr>
        <w:spacing w:line="360" w:lineRule="auto"/>
        <w:rPr>
          <w:rFonts w:ascii="宋体" w:hAnsi="宋体" w:cs="宋体"/>
          <w:b/>
          <w:sz w:val="24"/>
        </w:rPr>
      </w:pPr>
      <w:r>
        <w:rPr>
          <w:rFonts w:hint="eastAsia" w:ascii="宋体" w:hAnsi="宋体" w:cs="宋体"/>
          <w:b/>
          <w:sz w:val="24"/>
        </w:rPr>
        <w:t>九、售后服务</w:t>
      </w:r>
    </w:p>
    <w:p>
      <w:pPr>
        <w:tabs>
          <w:tab w:val="left" w:pos="840"/>
        </w:tabs>
        <w:spacing w:line="360" w:lineRule="auto"/>
        <w:ind w:firstLine="480" w:firstLineChars="200"/>
        <w:rPr>
          <w:rFonts w:ascii="宋体" w:hAnsi="宋体" w:cs="宋体"/>
          <w:sz w:val="24"/>
        </w:rPr>
      </w:pPr>
      <w:r>
        <w:rPr>
          <w:rFonts w:hint="eastAsia" w:ascii="宋体" w:hAnsi="宋体" w:cs="宋体"/>
          <w:sz w:val="24"/>
        </w:rPr>
        <w:t>1.本项目需提供终验验收合格之日算起，三年免费原厂质保；</w:t>
      </w:r>
    </w:p>
    <w:p>
      <w:pPr>
        <w:tabs>
          <w:tab w:val="left" w:pos="840"/>
        </w:tabs>
        <w:spacing w:line="360" w:lineRule="auto"/>
        <w:ind w:firstLine="480" w:firstLineChars="200"/>
        <w:rPr>
          <w:rFonts w:ascii="宋体" w:hAnsi="宋体" w:cs="宋体"/>
          <w:sz w:val="24"/>
        </w:rPr>
      </w:pPr>
      <w:r>
        <w:rPr>
          <w:rFonts w:hint="eastAsia" w:ascii="宋体" w:hAnsi="宋体" w:cs="宋体"/>
          <w:sz w:val="24"/>
        </w:rPr>
        <w:t>2.质保期间，需提供7*24小时服务，服务响应时间按不超过2小时。</w:t>
      </w:r>
    </w:p>
    <w:p>
      <w:pPr>
        <w:tabs>
          <w:tab w:val="left" w:pos="840"/>
        </w:tabs>
        <w:spacing w:line="360" w:lineRule="auto"/>
        <w:ind w:firstLine="480" w:firstLineChars="200"/>
        <w:rPr>
          <w:rFonts w:ascii="宋体" w:hAnsi="宋体" w:cs="宋体"/>
          <w:sz w:val="24"/>
        </w:rPr>
      </w:pPr>
      <w:r>
        <w:rPr>
          <w:rFonts w:hint="eastAsia" w:ascii="宋体" w:hAnsi="宋体" w:cs="宋体"/>
          <w:sz w:val="24"/>
        </w:rPr>
        <w:t>3.培训条款</w:t>
      </w:r>
    </w:p>
    <w:p>
      <w:pPr>
        <w:tabs>
          <w:tab w:val="left" w:pos="840"/>
        </w:tabs>
        <w:spacing w:line="360" w:lineRule="auto"/>
        <w:ind w:firstLine="480" w:firstLineChars="200"/>
        <w:rPr>
          <w:rFonts w:ascii="宋体" w:hAnsi="宋体" w:cs="宋体"/>
          <w:sz w:val="24"/>
        </w:rPr>
      </w:pPr>
      <w:r>
        <w:rPr>
          <w:rFonts w:hint="eastAsia" w:ascii="宋体" w:hAnsi="宋体" w:cs="宋体"/>
          <w:sz w:val="24"/>
        </w:rPr>
        <w:t>3.1培训次数：验收合格后，中标供应商应为采购人工作人员提供不少于3次现场培训；</w:t>
      </w:r>
    </w:p>
    <w:p>
      <w:pPr>
        <w:tabs>
          <w:tab w:val="left" w:pos="840"/>
        </w:tabs>
        <w:spacing w:line="360" w:lineRule="auto"/>
        <w:ind w:firstLine="480" w:firstLineChars="200"/>
        <w:rPr>
          <w:rFonts w:ascii="宋体" w:hAnsi="宋体" w:cs="宋体"/>
          <w:sz w:val="24"/>
        </w:rPr>
      </w:pPr>
      <w:r>
        <w:rPr>
          <w:rFonts w:hint="eastAsia" w:ascii="宋体" w:hAnsi="宋体" w:cs="宋体"/>
          <w:sz w:val="24"/>
        </w:rPr>
        <w:t>3.2培训地点：采购人指定地点；</w:t>
      </w:r>
    </w:p>
    <w:p>
      <w:pPr>
        <w:tabs>
          <w:tab w:val="left" w:pos="840"/>
        </w:tabs>
        <w:spacing w:line="360" w:lineRule="auto"/>
        <w:ind w:firstLine="480" w:firstLineChars="200"/>
        <w:rPr>
          <w:rFonts w:ascii="宋体" w:hAnsi="宋体" w:cs="宋体"/>
          <w:sz w:val="24"/>
        </w:rPr>
      </w:pPr>
      <w:r>
        <w:rPr>
          <w:rFonts w:hint="eastAsia" w:ascii="宋体" w:hAnsi="宋体" w:cs="宋体"/>
          <w:sz w:val="24"/>
        </w:rPr>
        <w:t>3.3培训人数：采购人指定人数；</w:t>
      </w:r>
    </w:p>
    <w:p>
      <w:pPr>
        <w:tabs>
          <w:tab w:val="left" w:pos="840"/>
        </w:tabs>
        <w:spacing w:line="360" w:lineRule="auto"/>
        <w:ind w:firstLine="480" w:firstLineChars="200"/>
        <w:rPr>
          <w:rFonts w:ascii="宋体" w:hAnsi="宋体" w:cs="宋体"/>
          <w:sz w:val="24"/>
        </w:rPr>
      </w:pPr>
      <w:r>
        <w:rPr>
          <w:rFonts w:hint="eastAsia" w:ascii="宋体" w:hAnsi="宋体" w:cs="宋体"/>
          <w:sz w:val="24"/>
        </w:rPr>
        <w:t>3.4培训内容：设备的使用；</w:t>
      </w:r>
    </w:p>
    <w:p>
      <w:pPr>
        <w:tabs>
          <w:tab w:val="left" w:pos="840"/>
        </w:tabs>
        <w:spacing w:line="360" w:lineRule="auto"/>
        <w:ind w:firstLine="480" w:firstLineChars="200"/>
        <w:rPr>
          <w:rFonts w:ascii="宋体" w:hAnsi="宋体" w:cs="宋体"/>
          <w:b/>
          <w:sz w:val="24"/>
        </w:rPr>
      </w:pPr>
      <w:r>
        <w:rPr>
          <w:rFonts w:hint="eastAsia" w:ascii="宋体" w:hAnsi="宋体" w:cs="宋体"/>
          <w:sz w:val="24"/>
        </w:rPr>
        <w:t>3.5培训目的：保证采购人工作人员对设备的熟练使用。</w:t>
      </w:r>
    </w:p>
    <w:p>
      <w:pPr>
        <w:numPr>
          <w:ilvl w:val="0"/>
          <w:numId w:val="12"/>
        </w:numPr>
        <w:spacing w:line="360" w:lineRule="auto"/>
        <w:rPr>
          <w:rFonts w:ascii="宋体" w:hAnsi="宋体" w:cs="宋体"/>
          <w:b/>
          <w:sz w:val="24"/>
        </w:rPr>
      </w:pPr>
      <w:r>
        <w:rPr>
          <w:rFonts w:hint="eastAsia" w:ascii="宋体" w:hAnsi="宋体" w:cs="宋体"/>
          <w:b/>
          <w:sz w:val="24"/>
        </w:rPr>
        <w:t>验收</w:t>
      </w:r>
    </w:p>
    <w:p>
      <w:pPr>
        <w:spacing w:line="360" w:lineRule="auto"/>
        <w:ind w:firstLine="480" w:firstLineChars="200"/>
        <w:rPr>
          <w:rFonts w:ascii="宋体" w:hAnsi="宋体" w:cs="宋体"/>
          <w:sz w:val="24"/>
        </w:rPr>
      </w:pPr>
      <w:r>
        <w:rPr>
          <w:rFonts w:hint="eastAsia" w:ascii="宋体" w:hAnsi="宋体" w:cs="宋体"/>
          <w:sz w:val="24"/>
        </w:rPr>
        <w:t>项目验收分为合同验收、初步验收和竣工验收三个部分。</w:t>
      </w:r>
    </w:p>
    <w:p>
      <w:pPr>
        <w:spacing w:line="360" w:lineRule="auto"/>
        <w:ind w:firstLine="480" w:firstLineChars="200"/>
        <w:rPr>
          <w:rFonts w:ascii="宋体" w:hAnsi="宋体" w:cs="宋体"/>
          <w:sz w:val="24"/>
        </w:rPr>
      </w:pPr>
      <w:r>
        <w:rPr>
          <w:rFonts w:hint="eastAsia" w:ascii="宋体" w:hAnsi="宋体" w:cs="宋体"/>
          <w:sz w:val="24"/>
        </w:rPr>
        <w:t>1.合同验收包括检查合同建设内容完成情况、合同支付情况、合同规定的各类文档资料收集等工作。</w:t>
      </w:r>
    </w:p>
    <w:p>
      <w:pPr>
        <w:spacing w:line="360" w:lineRule="auto"/>
        <w:ind w:firstLine="480" w:firstLineChars="200"/>
        <w:rPr>
          <w:rFonts w:ascii="宋体" w:hAnsi="宋体" w:cs="宋体"/>
          <w:sz w:val="24"/>
        </w:rPr>
      </w:pPr>
      <w:r>
        <w:rPr>
          <w:rFonts w:hint="eastAsia" w:ascii="宋体" w:hAnsi="宋体" w:cs="宋体"/>
          <w:sz w:val="24"/>
        </w:rPr>
        <w:t>2.初步验收包括项目资料检查、财务资金检查、无线电管理基础和技术设施检查、规定执行情况检查等工作。</w:t>
      </w:r>
    </w:p>
    <w:p>
      <w:pPr>
        <w:spacing w:line="360" w:lineRule="auto"/>
        <w:ind w:firstLine="480" w:firstLineChars="200"/>
        <w:rPr>
          <w:rFonts w:ascii="宋体" w:hAnsi="宋体" w:cs="宋体"/>
          <w:sz w:val="24"/>
        </w:rPr>
      </w:pPr>
      <w:r>
        <w:rPr>
          <w:rFonts w:hint="eastAsia" w:ascii="宋体" w:hAnsi="宋体" w:cs="宋体"/>
          <w:sz w:val="24"/>
        </w:rPr>
        <w:t>3.竣工验收包括项目竣工验收申请及批复材料、项目试运行报告、项目承担单位基本情况、项目概况、项目实施总结报告等资料。</w:t>
      </w:r>
    </w:p>
    <w:p>
      <w:pPr>
        <w:spacing w:line="360" w:lineRule="auto"/>
        <w:rPr>
          <w:rFonts w:ascii="宋体" w:hAnsi="宋体" w:cs="宋体"/>
          <w:b/>
          <w:sz w:val="24"/>
        </w:rPr>
      </w:pPr>
      <w:r>
        <w:rPr>
          <w:rFonts w:hint="eastAsia" w:ascii="宋体" w:hAnsi="宋体" w:cs="宋体"/>
          <w:b/>
          <w:sz w:val="24"/>
        </w:rPr>
        <w:t>十一、保密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十二、知识产权</w:t>
      </w:r>
    </w:p>
    <w:p>
      <w:pPr>
        <w:spacing w:line="360" w:lineRule="auto"/>
        <w:rPr>
          <w:rFonts w:ascii="宋体" w:hAnsi="宋体" w:cs="宋体"/>
          <w:sz w:val="24"/>
        </w:rPr>
      </w:pPr>
      <w:r>
        <w:rPr>
          <w:rFonts w:hint="eastAsia" w:ascii="宋体" w:hAnsi="宋体" w:cs="宋体"/>
          <w:sz w:val="24"/>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360" w:lineRule="auto"/>
        <w:rPr>
          <w:rFonts w:ascii="宋体" w:hAnsi="宋体" w:cs="宋体"/>
          <w:b/>
          <w:sz w:val="24"/>
        </w:rPr>
      </w:pPr>
      <w:r>
        <w:rPr>
          <w:rFonts w:hint="eastAsia" w:ascii="宋体" w:hAnsi="宋体" w:cs="宋体"/>
          <w:b/>
          <w:sz w:val="24"/>
        </w:rPr>
        <w:t>十三、合同争议的解决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十四、不可抗力情况下的免责约定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十五、违约责任</w:t>
      </w:r>
    </w:p>
    <w:p>
      <w:pPr>
        <w:spacing w:line="360" w:lineRule="auto"/>
        <w:rPr>
          <w:rFonts w:ascii="宋体" w:hAnsi="宋体" w:cs="宋体"/>
          <w:sz w:val="24"/>
        </w:rPr>
      </w:pPr>
      <w:r>
        <w:rPr>
          <w:rFonts w:hint="eastAsia" w:ascii="宋体" w:hAnsi="宋体" w:cs="宋体"/>
          <w:sz w:val="24"/>
        </w:rPr>
        <w:t xml:space="preserve">    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numPr>
          <w:ilvl w:val="0"/>
          <w:numId w:val="13"/>
        </w:numPr>
        <w:spacing w:line="360" w:lineRule="auto"/>
        <w:rPr>
          <w:rFonts w:ascii="宋体" w:hAnsi="宋体" w:cs="宋体"/>
          <w:sz w:val="24"/>
        </w:rPr>
      </w:pPr>
      <w:r>
        <w:rPr>
          <w:rFonts w:hint="eastAsia" w:ascii="宋体" w:hAnsi="宋体" w:cs="宋体"/>
          <w:b/>
          <w:sz w:val="24"/>
        </w:rPr>
        <w:t>其他（</w:t>
      </w:r>
      <w:r>
        <w:rPr>
          <w:rFonts w:hint="eastAsia" w:ascii="宋体" w:hAnsi="宋体" w:cs="宋体"/>
          <w:sz w:val="24"/>
        </w:rPr>
        <w:t>在合同中具体明确）</w:t>
      </w:r>
    </w:p>
    <w:p>
      <w:pPr>
        <w:pStyle w:val="2"/>
        <w:spacing w:line="360" w:lineRule="auto"/>
        <w:ind w:firstLine="480" w:firstLineChars="200"/>
        <w:rPr>
          <w:rFonts w:ascii="宋体" w:hAnsi="宋体" w:cs="宋体"/>
          <w:sz w:val="24"/>
        </w:rPr>
      </w:pPr>
      <w:r>
        <w:rPr>
          <w:rFonts w:hint="eastAsia"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spacing w:line="360" w:lineRule="auto"/>
        <w:rPr>
          <w:rFonts w:ascii="宋体" w:hAnsi="宋体" w:cs="宋体"/>
          <w:b/>
          <w:sz w:val="24"/>
        </w:rPr>
      </w:pPr>
      <w:r>
        <w:rPr>
          <w:rFonts w:hint="eastAsia" w:ascii="宋体" w:hAnsi="宋体" w:cs="宋体"/>
          <w:b/>
          <w:sz w:val="24"/>
        </w:rPr>
        <w:t>十七、合同订立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w:t>
      </w:r>
      <w:r>
        <w:rPr>
          <w:rFonts w:hint="eastAsia" w:ascii="宋体" w:hAnsi="宋体" w:cs="宋体"/>
          <w:sz w:val="24"/>
          <w:u w:val="single"/>
        </w:rPr>
        <w:t xml:space="preserve">                             </w:t>
      </w:r>
      <w:r>
        <w:rPr>
          <w:rFonts w:hint="eastAsia" w:ascii="宋体" w:hAnsi="宋体" w:cs="宋体"/>
          <w:sz w:val="24"/>
        </w:rPr>
        <w:t>。</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3. 本合同一式</w:t>
      </w:r>
      <w:r>
        <w:rPr>
          <w:rFonts w:hint="eastAsia" w:ascii="宋体" w:hAnsi="宋体" w:cs="宋体"/>
          <w:sz w:val="24"/>
          <w:u w:val="single"/>
        </w:rPr>
        <w:t xml:space="preserve">   </w:t>
      </w:r>
      <w:r>
        <w:rPr>
          <w:rFonts w:hint="eastAsia" w:ascii="宋体" w:hAnsi="宋体" w:cs="宋体"/>
          <w:sz w:val="24"/>
        </w:rPr>
        <w:t>份，具有同等法律效力，双方各执</w:t>
      </w:r>
      <w:r>
        <w:rPr>
          <w:rFonts w:hint="eastAsia" w:ascii="宋体" w:hAnsi="宋体" w:cs="宋体"/>
          <w:sz w:val="24"/>
          <w:u w:val="single"/>
        </w:rPr>
        <w:t xml:space="preserve">   </w:t>
      </w:r>
      <w:r>
        <w:rPr>
          <w:rFonts w:hint="eastAsia" w:ascii="宋体" w:hAnsi="宋体" w:cs="宋体"/>
          <w:sz w:val="24"/>
        </w:rPr>
        <w:t>份，监管部门备案</w:t>
      </w:r>
      <w:r>
        <w:rPr>
          <w:rFonts w:hint="eastAsia" w:ascii="宋体" w:hAnsi="宋体" w:cs="宋体"/>
          <w:sz w:val="24"/>
          <w:u w:val="single"/>
        </w:rPr>
        <w:t xml:space="preserve">    </w:t>
      </w:r>
      <w:r>
        <w:rPr>
          <w:rFonts w:hint="eastAsia" w:ascii="宋体" w:hAnsi="宋体" w:cs="宋体"/>
          <w:sz w:val="24"/>
        </w:rPr>
        <w:t xml:space="preserve">份、采购代理机构存档 </w:t>
      </w:r>
      <w:r>
        <w:rPr>
          <w:rFonts w:hint="eastAsia" w:ascii="宋体" w:hAnsi="宋体" w:cs="宋体"/>
          <w:sz w:val="24"/>
          <w:u w:val="single"/>
        </w:rPr>
        <w:t>壹</w:t>
      </w:r>
      <w:r>
        <w:rPr>
          <w:rFonts w:hint="eastAsia" w:ascii="宋体" w:hAnsi="宋体" w:cs="宋体"/>
          <w:sz w:val="24"/>
        </w:rPr>
        <w:t>份。各方签字盖章后生效，合同执行完毕自动失效。（合同的服务承诺则长期有效）。</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500" w:lineRule="exact"/>
        <w:ind w:firstLine="480" w:firstLineChars="200"/>
        <w:rPr>
          <w:rFonts w:ascii="仿宋" w:hAnsi="仿宋" w:eastAsia="仿宋" w:cs="仿宋"/>
          <w:b/>
          <w:bCs/>
          <w:sz w:val="22"/>
          <w:szCs w:val="22"/>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 xml:space="preserve">          电子邮箱：</w:t>
      </w:r>
      <w:r>
        <w:rPr>
          <w:rFonts w:hint="eastAsia" w:ascii="宋体" w:hAnsi="宋体" w:cs="宋体"/>
          <w:sz w:val="24"/>
          <w:u w:val="single"/>
        </w:rPr>
        <w:t xml:space="preserve">                   </w:t>
      </w:r>
      <w:r>
        <w:rPr>
          <w:rFonts w:hint="eastAsia" w:ascii="宋体" w:hAnsi="宋体" w:cs="宋体"/>
          <w:szCs w:val="22"/>
        </w:rPr>
        <w:t xml:space="preserve"> </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pStyle w:val="3"/>
        <w:jc w:val="center"/>
      </w:pPr>
      <w:bookmarkStart w:id="210" w:name="_Toc28836"/>
      <w:r>
        <w:rPr>
          <w:rFonts w:hint="eastAsia"/>
        </w:rPr>
        <w:t>第六章 投标文件格式</w:t>
      </w:r>
      <w:bookmarkEnd w:id="158"/>
      <w:bookmarkEnd w:id="206"/>
      <w:bookmarkEnd w:id="207"/>
      <w:bookmarkEnd w:id="208"/>
      <w:bookmarkEnd w:id="209"/>
      <w:bookmarkEnd w:id="210"/>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bookmarkStart w:id="211" w:name="_Toc217446082"/>
    </w:p>
    <w:p>
      <w:pPr>
        <w:rPr>
          <w:rFonts w:asciiTheme="minorEastAsia" w:hAnsiTheme="minorEastAsia" w:eastAsiaTheme="minorEastAsia"/>
          <w:b/>
          <w:sz w:val="24"/>
        </w:rPr>
      </w:pPr>
    </w:p>
    <w:p>
      <w:pPr>
        <w:rPr>
          <w:rFonts w:asciiTheme="minorEastAsia" w:hAnsiTheme="minorEastAsia" w:eastAsiaTheme="minorEastAsia"/>
          <w:b/>
          <w:sz w:val="24"/>
        </w:rPr>
      </w:pPr>
      <w:r>
        <w:rPr>
          <w:rFonts w:hint="eastAsia" w:asciiTheme="minorEastAsia" w:hAnsiTheme="minorEastAsia" w:eastAsiaTheme="minorEastAsia"/>
          <w:b/>
          <w:sz w:val="24"/>
        </w:rPr>
        <w:t>项目编号：YFC2022-GP-014H                                    正本/副本</w:t>
      </w:r>
    </w:p>
    <w:p>
      <w:pPr>
        <w:spacing w:line="360" w:lineRule="auto"/>
        <w:rPr>
          <w:rFonts w:cs="宋体" w:asciiTheme="minorEastAsia" w:hAnsiTheme="minorEastAsia" w:eastAsiaTheme="minorEastAsia"/>
          <w:b/>
          <w:sz w:val="44"/>
          <w:szCs w:val="28"/>
        </w:rPr>
      </w:pPr>
    </w:p>
    <w:p/>
    <w:p/>
    <w:p/>
    <w:p>
      <w:pPr>
        <w:tabs>
          <w:tab w:val="left" w:pos="7665"/>
        </w:tabs>
        <w:spacing w:line="360" w:lineRule="auto"/>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                           </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移动监测站升级改造项目B包</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pStyle w:val="2"/>
      </w:pPr>
    </w:p>
    <w:p/>
    <w:p>
      <w:pPr>
        <w:pStyle w:val="2"/>
      </w:pPr>
    </w:p>
    <w:p/>
    <w:p>
      <w:pPr>
        <w:pStyle w:val="2"/>
      </w:pPr>
    </w:p>
    <w:p/>
    <w:p>
      <w:pPr>
        <w:pStyle w:val="2"/>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211"/>
    </w:p>
    <w:p>
      <w:pPr>
        <w:tabs>
          <w:tab w:val="left" w:pos="7665"/>
        </w:tabs>
        <w:spacing w:line="360" w:lineRule="auto"/>
        <w:ind w:firstLine="480" w:firstLineChars="200"/>
        <w:rPr>
          <w:rFonts w:cs="宋体" w:asciiTheme="minorEastAsia" w:hAnsiTheme="minorEastAsia" w:eastAsiaTheme="minorEastAsia"/>
          <w:sz w:val="24"/>
        </w:r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12" w:name="_Toc1954_WPSOffice_Level2"/>
      <w:r>
        <w:rPr>
          <w:rFonts w:hint="eastAsia" w:cs="宋体" w:asciiTheme="minorEastAsia" w:hAnsiTheme="minorEastAsia" w:eastAsiaTheme="minorEastAsia"/>
          <w:b/>
          <w:bCs/>
          <w:sz w:val="24"/>
        </w:rPr>
        <w:t>2.法定代表人（单位负责人）身份证明</w:t>
      </w:r>
      <w:bookmarkEnd w:id="212"/>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13" w:name="_Toc27507_WPSOffice_Level2"/>
      <w:r>
        <w:rPr>
          <w:rFonts w:hint="eastAsia" w:cs="宋体" w:asciiTheme="minorEastAsia" w:hAnsiTheme="minorEastAsia" w:eastAsiaTheme="minorEastAsia"/>
          <w:b/>
          <w:bCs/>
          <w:sz w:val="24"/>
        </w:rPr>
        <w:t>3.法定代表人授权书</w:t>
      </w:r>
      <w:bookmarkEnd w:id="213"/>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 xml:space="preserve">（姓名）系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 xml:space="preserve">名称）的法定代表人（单位负责人），现委托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（被委托人姓名）为我方代理人。代理人根据授权，以我方的名义签署、澄清确认、递交、撤回、修改</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法定代表人（单位负责人）</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zh-CN"/>
              </w:rPr>
              <w:t>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委托代理人</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zh-CN"/>
              </w:rPr>
              <w:t>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4.投标供应商资格证明文件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（1）投标供应商需提供合法有效的统一社会信用代码营业执照。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（2）法定代表人参加投标的，须提供本人身份证加盖公章的复印件；法定代表人授权他人参加投标的，须提供法定代表人授权委托书及被授权代表的身份证复印件。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财务状况报告：提供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社会保障资金缴纳证明：提供供应商2022年1月1日以来连续每月已缴纳的社会保障资金缴存单据或社保机构开具的社会保险参保缴费情况证明；依法不需要缴纳社会保障资金的供应商应提供加盖公章的相关证明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（5）税收缴纳证明：提供供应商2022年1月1日以来连续每月或每季度已缴纳的纳税证明或完税证明（提供增值税、企业所得税至少一种），依法免税的供应商应提供加盖公章的相关证明文件。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（6）具备履行合同所必需的设备和专业技术能力的证明材料(由供应商根据项目需求提供说明材料或者承诺)；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（8）单位负责人为同一人或者存在控股、管理关系的不同单位不得同时参加同一项目投标。</w:t>
      </w:r>
    </w:p>
    <w:p>
      <w:pPr>
        <w:pStyle w:val="2"/>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（9）投标保证金缴纳凭证或担保机构出具的保函</w:t>
      </w:r>
    </w:p>
    <w:p>
      <w:pPr>
        <w:pStyle w:val="2"/>
        <w:ind w:firstLine="480" w:firstLineChars="200"/>
        <w:rPr>
          <w:rFonts w:ascii="宋体" w:hAnsi="宋体" w:cs="宋体"/>
          <w:b/>
          <w:bCs/>
          <w:szCs w:val="22"/>
          <w:lang w:val="zh-CN"/>
        </w:rPr>
      </w:pPr>
      <w:r>
        <w:rPr>
          <w:rFonts w:hint="eastAsia" w:cs="宋体" w:asciiTheme="minorEastAsia" w:hAnsiTheme="minorEastAsia" w:eastAsiaTheme="minorEastAsia"/>
          <w:sz w:val="24"/>
          <w:lang w:val="zh-CN"/>
        </w:rPr>
        <w:t>（10）中小企业声明函</w:t>
      </w: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以上资格证明文件为必备资格，缺项或者符合性、有效性、合法性审核不合格的，自动丧失供应商资格。</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r>
        <w:rPr>
          <w:rFonts w:asciiTheme="minorEastAsia" w:hAnsiTheme="minorEastAsia" w:eastAsiaTheme="minorEastAsia"/>
        </w:rPr>
        <w:t xml:space="preserve"> </w:t>
      </w:r>
      <w:bookmarkStart w:id="214" w:name="_Toc11170_WPSOffice_Level2"/>
      <w:r>
        <w:rPr>
          <w:rFonts w:hint="eastAsia" w:cs="宋体" w:asciiTheme="minorEastAsia" w:hAnsiTheme="minorEastAsia" w:eastAsiaTheme="minorEastAsia"/>
          <w:b/>
          <w:bCs/>
          <w:sz w:val="24"/>
        </w:rPr>
        <w:t>5.</w:t>
      </w:r>
      <w:bookmarkEnd w:id="214"/>
      <w:r>
        <w:rPr>
          <w:rFonts w:hint="eastAsia" w:cs="宋体" w:asciiTheme="minorEastAsia" w:hAnsiTheme="minorEastAsia" w:eastAsiaTheme="minorEastAsia"/>
          <w:sz w:val="24"/>
        </w:rPr>
        <w:t xml:space="preserve"> </w:t>
      </w:r>
      <w:bookmarkStart w:id="215"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215"/>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216" w:name="_Toc7962_WPSOffice_Level2"/>
      <w:r>
        <w:rPr>
          <w:rFonts w:hint="eastAsia" w:cs="宋体" w:asciiTheme="minorEastAsia" w:hAnsiTheme="minorEastAsia" w:eastAsiaTheme="minorEastAsia"/>
          <w:b/>
          <w:bCs/>
          <w:sz w:val="24"/>
        </w:rPr>
        <w:br w:type="page"/>
      </w:r>
      <w:bookmarkEnd w:id="216"/>
      <w:bookmarkStart w:id="217"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217"/>
    </w:p>
    <w:p>
      <w:pPr>
        <w:spacing w:line="360" w:lineRule="auto"/>
        <w:rPr>
          <w:rFonts w:ascii="宋体" w:hAnsi="宋体" w:cs="宋体"/>
          <w:spacing w:val="4"/>
          <w:u w:val="single"/>
        </w:rPr>
      </w:pPr>
    </w:p>
    <w:p>
      <w:pPr>
        <w:spacing w:line="360" w:lineRule="auto"/>
        <w:rPr>
          <w:rFonts w:ascii="宋体" w:hAnsi="宋体" w:cs="宋体"/>
          <w:spacing w:val="4"/>
          <w:sz w:val="24"/>
          <w:u w:val="single"/>
        </w:rPr>
      </w:pPr>
      <w:r>
        <w:rPr>
          <w:rFonts w:hint="eastAsia" w:ascii="宋体" w:hAnsi="宋体" w:cs="宋体"/>
          <w:spacing w:val="4"/>
          <w:sz w:val="24"/>
        </w:rPr>
        <w:t>致：</w:t>
      </w:r>
      <w:r>
        <w:rPr>
          <w:rFonts w:hint="eastAsia" w:ascii="宋体" w:hAnsi="宋体" w:cs="宋体"/>
          <w:spacing w:val="4"/>
          <w:sz w:val="24"/>
          <w:u w:val="single"/>
        </w:rPr>
        <w:t xml:space="preserve">     （采购人名称）   </w:t>
      </w:r>
      <w:r>
        <w:rPr>
          <w:rFonts w:hint="eastAsia" w:ascii="宋体" w:hAnsi="宋体" w:cs="宋体"/>
          <w:spacing w:val="4"/>
          <w:sz w:val="24"/>
        </w:rPr>
        <w:t>：</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sz w:val="24"/>
        </w:rPr>
      </w:pPr>
    </w:p>
    <w:p>
      <w:pPr>
        <w:pStyle w:val="2"/>
        <w:rPr>
          <w:rFonts w:ascii="宋体" w:hAnsi="宋体" w:cs="宋体"/>
          <w:sz w:val="24"/>
        </w:rPr>
      </w:pPr>
    </w:p>
    <w:p>
      <w:pPr>
        <w:rPr>
          <w:rFonts w:ascii="宋体" w:hAnsi="宋体" w:cs="宋体"/>
          <w:sz w:val="24"/>
        </w:rPr>
      </w:pPr>
    </w:p>
    <w:p>
      <w:pPr>
        <w:ind w:firstLine="3360" w:firstLineChars="1400"/>
        <w:rPr>
          <w:rFonts w:ascii="宋体" w:hAnsi="宋体" w:cs="宋体"/>
          <w:sz w:val="24"/>
          <w:u w:val="single"/>
        </w:rPr>
      </w:pPr>
      <w:r>
        <w:rPr>
          <w:rFonts w:hint="eastAsia" w:ascii="宋体" w:hAnsi="宋体" w:cs="宋体"/>
          <w:sz w:val="24"/>
        </w:rPr>
        <w:t xml:space="preserve">投标供应商： </w:t>
      </w:r>
      <w:r>
        <w:rPr>
          <w:rFonts w:hint="eastAsia" w:ascii="宋体" w:hAnsi="宋体" w:cs="宋体"/>
          <w:sz w:val="24"/>
          <w:u w:val="single"/>
        </w:rPr>
        <w:t xml:space="preserve">          （盖章）             </w:t>
      </w:r>
    </w:p>
    <w:p>
      <w:pPr>
        <w:ind w:right="360"/>
        <w:jc w:val="right"/>
        <w:rPr>
          <w:rFonts w:ascii="宋体" w:hAnsi="宋体" w:cs="宋体"/>
          <w:sz w:val="24"/>
        </w:rPr>
      </w:pPr>
    </w:p>
    <w:p>
      <w:pPr>
        <w:ind w:right="240"/>
        <w:jc w:val="center"/>
        <w:rPr>
          <w:rFonts w:ascii="宋体" w:hAnsi="宋体" w:cs="宋体"/>
          <w:sz w:val="24"/>
          <w:u w:val="single"/>
        </w:rPr>
      </w:pPr>
      <w:r>
        <w:rPr>
          <w:rFonts w:hint="eastAsia" w:ascii="宋体" w:hAnsi="宋体" w:cs="宋体"/>
          <w:sz w:val="24"/>
        </w:rPr>
        <w:t xml:space="preserve">                         法定代表人或其授权代理人： </w:t>
      </w:r>
      <w:r>
        <w:rPr>
          <w:rFonts w:hint="eastAsia" w:ascii="宋体" w:hAnsi="宋体" w:cs="宋体"/>
          <w:sz w:val="24"/>
          <w:u w:val="single"/>
        </w:rPr>
        <w:t>（签字或签章）</w:t>
      </w:r>
    </w:p>
    <w:p>
      <w:pPr>
        <w:wordWrap w:val="0"/>
        <w:ind w:right="360" w:firstLine="2640" w:firstLineChars="1100"/>
        <w:rPr>
          <w:rFonts w:ascii="宋体" w:hAnsi="宋体" w:cs="宋体"/>
          <w:sz w:val="24"/>
        </w:rPr>
      </w:pPr>
      <w:r>
        <w:rPr>
          <w:rFonts w:hint="eastAsia" w:ascii="宋体" w:hAnsi="宋体" w:cs="宋体"/>
          <w:sz w:val="24"/>
        </w:rPr>
        <w:t xml:space="preserve"> </w:t>
      </w:r>
    </w:p>
    <w:p>
      <w:pPr>
        <w:tabs>
          <w:tab w:val="left" w:pos="7665"/>
        </w:tabs>
        <w:spacing w:line="360" w:lineRule="auto"/>
        <w:rPr>
          <w:rFonts w:cs="宋体" w:asciiTheme="minorEastAsia" w:hAnsiTheme="minorEastAsia" w:eastAsiaTheme="minorEastAsia"/>
          <w:b/>
          <w:bCs/>
          <w:sz w:val="24"/>
        </w:rPr>
      </w:pP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1、投标人股东及股权证明。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2、投标人在本项目投标中，不存在与其它投标人负责人为同一人，有控股、管理等关联关 系承诺。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2-1、管理关系说明：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我单位管理的具有独立法人的下属单位有：</w:t>
      </w:r>
      <w:r>
        <w:rPr>
          <w:rFonts w:hint="eastAsia" w:ascii="宋体" w:hAnsi="宋体" w:cs="宋体"/>
          <w:spacing w:val="4"/>
          <w:sz w:val="24"/>
          <w:u w:val="single"/>
        </w:rPr>
        <w:t xml:space="preserve">                     </w:t>
      </w:r>
      <w:r>
        <w:rPr>
          <w:rFonts w:hint="eastAsia" w:ascii="宋体" w:hAnsi="宋体" w:cs="宋体"/>
          <w:spacing w:val="4"/>
          <w:sz w:val="24"/>
        </w:rPr>
        <w:t xml:space="preserve">。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我单位的上级管理单位有</w:t>
      </w:r>
      <w:r>
        <w:rPr>
          <w:rFonts w:hint="eastAsia" w:ascii="宋体" w:hAnsi="宋体" w:cs="宋体"/>
          <w:spacing w:val="4"/>
          <w:sz w:val="24"/>
          <w:u w:val="single"/>
        </w:rPr>
        <w:t xml:space="preserve">                           </w:t>
      </w:r>
      <w:r>
        <w:rPr>
          <w:rFonts w:hint="eastAsia" w:ascii="宋体" w:hAnsi="宋体" w:cs="宋体"/>
          <w:spacing w:val="4"/>
          <w:sz w:val="24"/>
        </w:rPr>
        <w:t xml:space="preserve">。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2-2、股权关系说明：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我单位控股的单位有</w:t>
      </w:r>
      <w:r>
        <w:rPr>
          <w:rFonts w:hint="eastAsia" w:ascii="宋体" w:hAnsi="宋体" w:cs="宋体"/>
          <w:spacing w:val="4"/>
          <w:sz w:val="24"/>
          <w:u w:val="single"/>
        </w:rPr>
        <w:t xml:space="preserve">                          </w:t>
      </w:r>
      <w:r>
        <w:rPr>
          <w:rFonts w:hint="eastAsia" w:ascii="宋体" w:hAnsi="宋体" w:cs="宋体"/>
          <w:spacing w:val="4"/>
          <w:sz w:val="24"/>
        </w:rPr>
        <w:t xml:space="preserve">。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我单位被单位控股</w:t>
      </w:r>
      <w:r>
        <w:rPr>
          <w:rFonts w:hint="eastAsia" w:ascii="宋体" w:hAnsi="宋体" w:cs="宋体"/>
          <w:spacing w:val="4"/>
          <w:sz w:val="24"/>
          <w:u w:val="single"/>
        </w:rPr>
        <w:t xml:space="preserve">                            </w:t>
      </w:r>
      <w:r>
        <w:rPr>
          <w:rFonts w:hint="eastAsia" w:ascii="宋体" w:hAnsi="宋体" w:cs="宋体"/>
          <w:spacing w:val="4"/>
          <w:sz w:val="24"/>
        </w:rPr>
        <w:t xml:space="preserve">。 </w:t>
      </w:r>
    </w:p>
    <w:p>
      <w:pPr>
        <w:spacing w:before="240" w:beforeLines="100" w:after="120" w:afterLines="50" w:line="360" w:lineRule="auto"/>
        <w:ind w:firstLine="496" w:firstLineChars="200"/>
        <w:rPr>
          <w:rFonts w:ascii="宋体" w:hAnsi="宋体" w:cs="宋体"/>
          <w:spacing w:val="4"/>
          <w:sz w:val="24"/>
          <w:u w:val="single"/>
        </w:rPr>
      </w:pPr>
      <w:r>
        <w:rPr>
          <w:rFonts w:hint="eastAsia" w:ascii="宋体" w:hAnsi="宋体" w:cs="宋体"/>
          <w:spacing w:val="4"/>
          <w:sz w:val="24"/>
        </w:rPr>
        <w:t>2-3、单位负责人：</w:t>
      </w:r>
      <w:r>
        <w:rPr>
          <w:rFonts w:hint="eastAsia" w:ascii="宋体" w:hAnsi="宋体" w:cs="宋体"/>
          <w:spacing w:val="4"/>
          <w:sz w:val="24"/>
          <w:u w:val="single"/>
        </w:rPr>
        <w:t xml:space="preserve">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3、其他与本项目有关的利害关系说明： </w:t>
      </w:r>
    </w:p>
    <w:p>
      <w:pPr>
        <w:spacing w:before="240" w:beforeLines="100" w:after="120" w:afterLines="50" w:line="360" w:lineRule="auto"/>
        <w:ind w:firstLine="496" w:firstLineChars="200"/>
        <w:rPr>
          <w:rFonts w:ascii="宋体" w:hAnsi="宋体" w:cs="宋体"/>
          <w:spacing w:val="4"/>
          <w:sz w:val="24"/>
        </w:rPr>
      </w:pPr>
      <w:r>
        <w:rPr>
          <w:rFonts w:hint="eastAsia" w:ascii="宋体" w:hAnsi="宋体" w:cs="宋体"/>
          <w:spacing w:val="4"/>
          <w:sz w:val="24"/>
        </w:rPr>
        <w:t xml:space="preserve">我单位承诺以上说明真实有效，无虚假内容或隐瞒。 </w:t>
      </w:r>
    </w:p>
    <w:p>
      <w:pPr>
        <w:spacing w:before="240" w:beforeLines="100" w:after="120" w:afterLines="50" w:line="360" w:lineRule="auto"/>
        <w:ind w:firstLine="496" w:firstLineChars="200"/>
        <w:jc w:val="center"/>
        <w:rPr>
          <w:rFonts w:ascii="宋体" w:hAnsi="宋体" w:cs="宋体"/>
          <w:spacing w:val="4"/>
          <w:sz w:val="24"/>
        </w:rPr>
      </w:pPr>
      <w:r>
        <w:rPr>
          <w:rFonts w:hint="eastAsia" w:ascii="宋体" w:hAnsi="宋体" w:cs="宋体"/>
          <w:spacing w:val="4"/>
          <w:sz w:val="24"/>
        </w:rPr>
        <w:t xml:space="preserve">                       供应商： （盖单位公章） </w:t>
      </w:r>
    </w:p>
    <w:p>
      <w:pPr>
        <w:spacing w:before="240" w:beforeLines="100" w:after="120" w:afterLines="50" w:line="360" w:lineRule="auto"/>
        <w:ind w:firstLine="496" w:firstLineChars="200"/>
        <w:jc w:val="right"/>
        <w:rPr>
          <w:rFonts w:ascii="宋体" w:hAnsi="宋体" w:cs="宋体"/>
          <w:spacing w:val="4"/>
          <w:sz w:val="24"/>
        </w:rPr>
      </w:pPr>
      <w:r>
        <w:rPr>
          <w:rFonts w:hint="eastAsia" w:ascii="宋体" w:hAnsi="宋体" w:cs="宋体"/>
          <w:spacing w:val="4"/>
          <w:sz w:val="24"/>
        </w:rPr>
        <w:t xml:space="preserve">法定代表人或授权代表： （签字或盖章） </w:t>
      </w:r>
    </w:p>
    <w:p>
      <w:pPr>
        <w:spacing w:before="240" w:beforeLines="100" w:after="120" w:afterLines="50" w:line="360" w:lineRule="auto"/>
        <w:ind w:firstLine="496" w:firstLineChars="200"/>
        <w:jc w:val="center"/>
        <w:rPr>
          <w:rFonts w:ascii="宋体" w:hAnsi="宋体" w:cs="宋体"/>
          <w:spacing w:val="4"/>
        </w:rPr>
      </w:pPr>
      <w:r>
        <w:rPr>
          <w:rFonts w:hint="eastAsia" w:ascii="宋体" w:hAnsi="宋体" w:cs="宋体"/>
          <w:spacing w:val="4"/>
          <w:sz w:val="24"/>
        </w:rPr>
        <w:t xml:space="preserve">                          日期：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tabs>
          <w:tab w:val="left" w:pos="7665"/>
        </w:tabs>
        <w:spacing w:line="360" w:lineRule="auto"/>
        <w:ind w:firstLine="480" w:firstLineChars="200"/>
        <w:rPr>
          <w:rFonts w:cs="宋体" w:asciiTheme="minorEastAsia" w:hAnsiTheme="minorEastAsia" w:eastAsiaTheme="minorEastAsia"/>
          <w:sz w:val="24"/>
        </w:rPr>
      </w:pPr>
      <w:bookmarkStart w:id="218" w:name="_Toc16434_WPSOffice_Level1"/>
    </w:p>
    <w:bookmarkEnd w:id="218"/>
    <w:p>
      <w:pPr>
        <w:tabs>
          <w:tab w:val="left" w:pos="7665"/>
        </w:tabs>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项目编号：</w:t>
      </w:r>
      <w:bookmarkStart w:id="219" w:name="_Toc13996_WPSOffice_Level1"/>
      <w:r>
        <w:rPr>
          <w:rFonts w:hint="eastAsia" w:cs="宋体" w:asciiTheme="minorEastAsia" w:hAnsiTheme="minorEastAsia" w:eastAsiaTheme="minorEastAsia"/>
          <w:b/>
          <w:sz w:val="24"/>
        </w:rPr>
        <w:t xml:space="preserve">YFC2022-GP-014H                                       </w:t>
      </w:r>
      <w:r>
        <w:rPr>
          <w:rFonts w:hint="eastAsia" w:cs="宋体" w:asciiTheme="minorEastAsia" w:hAnsiTheme="minorEastAsia" w:eastAsiaTheme="minorEastAsia"/>
          <w:sz w:val="24"/>
        </w:rPr>
        <w:t>正本/副本</w:t>
      </w:r>
      <w:bookmarkEnd w:id="219"/>
    </w:p>
    <w:p>
      <w:pPr>
        <w:spacing w:line="360" w:lineRule="auto"/>
        <w:rPr>
          <w:rFonts w:cs="宋体" w:asciiTheme="minorEastAsia" w:hAnsiTheme="minorEastAsia" w:eastAsiaTheme="minorEastAsia"/>
          <w:b/>
          <w:sz w:val="28"/>
          <w:szCs w:val="28"/>
        </w:rPr>
      </w:pP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移动监测站升级改造项目B包</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220" w:name="_Toc29073_WPSOffice_Level1"/>
      <w:r>
        <w:rPr>
          <w:rFonts w:hint="eastAsia" w:cs="宋体" w:asciiTheme="minorEastAsia" w:hAnsiTheme="minorEastAsia" w:eastAsiaTheme="minorEastAsia"/>
          <w:b/>
          <w:bCs/>
          <w:sz w:val="24"/>
        </w:rPr>
        <w:t>投标供应商：                        （盖单位章）</w:t>
      </w:r>
      <w:bookmarkEnd w:id="220"/>
    </w:p>
    <w:p>
      <w:pPr>
        <w:tabs>
          <w:tab w:val="left" w:pos="7665"/>
        </w:tabs>
        <w:spacing w:line="360" w:lineRule="auto"/>
        <w:ind w:firstLine="1205" w:firstLineChars="500"/>
        <w:rPr>
          <w:rFonts w:cs="宋体" w:asciiTheme="minorEastAsia" w:hAnsiTheme="minorEastAsia" w:eastAsiaTheme="minorEastAsia"/>
          <w:b/>
          <w:bCs/>
          <w:sz w:val="24"/>
        </w:rPr>
      </w:pPr>
      <w:bookmarkStart w:id="221" w:name="_Toc11565_WPSOffice_Level1"/>
      <w:r>
        <w:rPr>
          <w:rFonts w:hint="eastAsia" w:cs="宋体" w:asciiTheme="minorEastAsia" w:hAnsiTheme="minorEastAsia" w:eastAsiaTheme="minorEastAsia"/>
          <w:b/>
          <w:bCs/>
          <w:sz w:val="24"/>
        </w:rPr>
        <w:t>法定代表人或其委托代理人：          （签字）</w:t>
      </w:r>
      <w:bookmarkEnd w:id="221"/>
    </w:p>
    <w:p>
      <w:pPr>
        <w:tabs>
          <w:tab w:val="left" w:pos="7665"/>
        </w:tabs>
        <w:spacing w:line="360" w:lineRule="auto"/>
        <w:ind w:firstLine="1205" w:firstLineChars="500"/>
        <w:rPr>
          <w:rFonts w:cs="宋体" w:asciiTheme="minorEastAsia" w:hAnsiTheme="minorEastAsia" w:eastAsiaTheme="minorEastAsia"/>
          <w:b/>
          <w:bCs/>
          <w:sz w:val="24"/>
        </w:rPr>
      </w:pPr>
      <w:bookmarkStart w:id="222" w:name="_Toc31205_WPSOffice_Level1"/>
      <w:r>
        <w:rPr>
          <w:rFonts w:hint="eastAsia" w:cs="宋体" w:asciiTheme="minorEastAsia" w:hAnsiTheme="minorEastAsia" w:eastAsiaTheme="minorEastAsia"/>
          <w:b/>
          <w:bCs/>
          <w:sz w:val="24"/>
        </w:rPr>
        <w:t>时  间：   年   月   日</w:t>
      </w:r>
      <w:bookmarkEnd w:id="222"/>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223" w:name="_Toc11770_WPSOffice_Level1"/>
      <w:r>
        <w:rPr>
          <w:rFonts w:hint="eastAsia" w:cs="宋体" w:asciiTheme="minorEastAsia" w:hAnsiTheme="minorEastAsia" w:eastAsiaTheme="minorEastAsia"/>
          <w:sz w:val="28"/>
          <w:szCs w:val="28"/>
        </w:rPr>
        <w:t>目录</w:t>
      </w:r>
    </w:p>
    <w:bookmarkEnd w:id="223"/>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8"/>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8"/>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4" w:name="_Toc6960_WPSOffice_Level1"/>
      <w:r>
        <w:rPr>
          <w:rFonts w:hint="eastAsia" w:cs="宋体" w:asciiTheme="minorEastAsia" w:hAnsiTheme="minorEastAsia" w:eastAsiaTheme="minorEastAsia"/>
          <w:b/>
          <w:bCs/>
          <w:sz w:val="24"/>
        </w:rPr>
        <w:t>1.投 标 函</w:t>
      </w:r>
      <w:bookmarkEnd w:id="224"/>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的招标文件（政府采购项目编号：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本），电子文件2份。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二、我方投标总价为人民币（大写）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 （</w:t>
      </w:r>
      <w:r>
        <w:rPr>
          <w:rFonts w:cs="Arial"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），交货期限为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三、我方承诺除技术偏离表列出的偏离外，我方响应招标文件的全部要求。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（4）在合同约定的交货期限内完成合同规定的全部义务。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225" w:name="_Toc8415_WPSOffice_Level1"/>
      <w:r>
        <w:rPr>
          <w:rFonts w:hint="eastAsia" w:cs="宋体" w:asciiTheme="minorEastAsia" w:hAnsiTheme="minorEastAsia" w:eastAsiaTheme="minorEastAsia"/>
          <w:b/>
          <w:bCs/>
          <w:sz w:val="24"/>
        </w:rPr>
        <w:t>2.开标一览表</w:t>
      </w:r>
      <w:bookmarkEnd w:id="22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交货期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3840" w:firstLineChars="16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3840" w:firstLineChars="16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3840" w:firstLineChars="16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6" w:name="_Toc6017_WPSOffice_Level1"/>
      <w:bookmarkStart w:id="227" w:name="_Toc217446086"/>
      <w:r>
        <w:rPr>
          <w:rFonts w:hint="eastAsia" w:cs="宋体" w:asciiTheme="minorEastAsia" w:hAnsiTheme="minorEastAsia" w:eastAsiaTheme="minorEastAsia"/>
          <w:b/>
          <w:bCs/>
          <w:sz w:val="24"/>
        </w:rPr>
        <w:t>3.分项明细报价表</w:t>
      </w:r>
      <w:bookmarkEnd w:id="226"/>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227"/>
      <w:bookmarkStart w:id="228"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cols w:space="720" w:num="1"/>
          <w:docGrid w:linePitch="312" w:charSpace="0"/>
        </w:sectPr>
      </w:pPr>
    </w:p>
    <w:bookmarkEnd w:id="228"/>
    <w:p>
      <w:pPr>
        <w:tabs>
          <w:tab w:val="left" w:pos="7665"/>
        </w:tabs>
        <w:spacing w:line="360" w:lineRule="auto"/>
        <w:rPr>
          <w:rFonts w:cs="宋体" w:asciiTheme="minorEastAsia" w:hAnsiTheme="minorEastAsia" w:eastAsiaTheme="minorEastAsia"/>
          <w:b/>
          <w:bCs/>
          <w:sz w:val="24"/>
        </w:rPr>
      </w:pPr>
      <w:bookmarkStart w:id="229" w:name="_Toc23798"/>
      <w:bookmarkStart w:id="230" w:name="_Toc19818"/>
      <w:bookmarkStart w:id="231" w:name="_Toc22633"/>
      <w:r>
        <w:rPr>
          <w:rFonts w:hint="eastAsia" w:cs="宋体" w:asciiTheme="minorEastAsia" w:hAnsiTheme="minorEastAsia" w:eastAsiaTheme="minorEastAsia"/>
          <w:b/>
          <w:bCs/>
          <w:sz w:val="24"/>
        </w:rPr>
        <w:t>4.技术偏离表</w:t>
      </w:r>
      <w:bookmarkEnd w:id="229"/>
      <w:bookmarkEnd w:id="230"/>
      <w:bookmarkEnd w:id="231"/>
    </w:p>
    <w:p>
      <w:pPr>
        <w:pStyle w:val="20"/>
        <w:rPr>
          <w:sz w:val="24"/>
          <w:szCs w:val="24"/>
        </w:rPr>
      </w:pPr>
      <w:r>
        <w:rPr>
          <w:sz w:val="24"/>
          <w:szCs w:val="24"/>
        </w:rPr>
        <w:t>项目名称：                              项目编号：</w:t>
      </w:r>
    </w:p>
    <w:p>
      <w:pPr>
        <w:pStyle w:val="20"/>
      </w:pPr>
    </w:p>
    <w:tbl>
      <w:tblPr>
        <w:tblStyle w:val="2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258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w:t>
      </w:r>
      <w:r>
        <w:rPr>
          <w:rFonts w:ascii="宋体" w:hAnsi="宋体" w:cs="宋体"/>
          <w:sz w:val="24"/>
        </w:rPr>
        <w:t xml:space="preserve"> </w:t>
      </w:r>
    </w:p>
    <w:p>
      <w:pPr>
        <w:pStyle w:val="2"/>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r>
        <w:rPr>
          <w:rFonts w:hint="eastAsia" w:ascii="宋体" w:hAnsi="宋体" w:cs="宋体"/>
          <w:sz w:val="24"/>
        </w:rPr>
        <w:t xml:space="preserve">                 </w:t>
      </w: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包括但不限于：技术方案、实施方案、履约能力、售后服务及培训</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7"/>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供应商名称：</w:t>
      </w:r>
      <w:r>
        <w:rPr>
          <w:rStyle w:val="81"/>
          <w:rFonts w:hint="eastAsia" w:asciiTheme="minorEastAsia" w:hAnsiTheme="minorEastAsia" w:eastAsiaTheme="minorEastAsia"/>
          <w:sz w:val="24"/>
          <w:u w:val="single"/>
        </w:rPr>
        <w:t xml:space="preserve">                       </w:t>
      </w:r>
      <w:r>
        <w:rPr>
          <w:rStyle w:val="81"/>
          <w:rFonts w:asciiTheme="minorEastAsia" w:hAnsiTheme="minorEastAsia" w:eastAsiaTheme="minorEastAsia"/>
          <w:sz w:val="24"/>
          <w:u w:val="single"/>
        </w:rPr>
        <w:t xml:space="preserve"> </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采购项目编号：</w:t>
      </w:r>
      <w:r>
        <w:rPr>
          <w:rStyle w:val="81"/>
          <w:rFonts w:asciiTheme="minorEastAsia" w:hAnsiTheme="minorEastAsia" w:eastAsiaTheme="minorEastAsia"/>
          <w:sz w:val="24"/>
          <w:u w:val="single"/>
        </w:rPr>
        <w:t xml:space="preserve">                      </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p>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bl>
    <w:p>
      <w:pPr>
        <w:snapToGrid w:val="0"/>
        <w:ind w:left="398" w:hanging="398" w:hangingChars="166"/>
        <w:jc w:val="left"/>
        <w:textAlignment w:val="baseline"/>
        <w:rPr>
          <w:rStyle w:val="81"/>
          <w:rFonts w:asciiTheme="minorEastAsia" w:hAnsiTheme="minorEastAsia" w:eastAsiaTheme="minorEastAsia"/>
          <w:sz w:val="24"/>
        </w:rPr>
      </w:pPr>
    </w:p>
    <w:p>
      <w:pPr>
        <w:snapToGrid w:val="0"/>
        <w:ind w:left="398" w:hanging="398" w:hangingChars="166"/>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2、供应商应随此表附上相关的业绩证明。</w:t>
      </w:r>
    </w:p>
    <w:p>
      <w:pPr>
        <w:snapToGrid w:val="0"/>
        <w:ind w:firstLine="105" w:firstLineChars="50"/>
        <w:textAlignment w:val="baseline"/>
        <w:rPr>
          <w:rStyle w:val="81"/>
          <w:rFonts w:asciiTheme="minorEastAsia" w:hAnsiTheme="minorEastAsia" w:eastAsiaTheme="minorEastAsia"/>
        </w:rPr>
      </w:pPr>
      <w:r>
        <w:rPr>
          <w:rStyle w:val="81"/>
          <w:rFonts w:asciiTheme="minorEastAsia" w:hAnsiTheme="minorEastAsia" w:eastAsiaTheme="minorEastAsia"/>
        </w:rPr>
        <w:t xml:space="preserve">  </w:t>
      </w:r>
    </w:p>
    <w:p>
      <w:pPr>
        <w:textAlignment w:val="baseline"/>
        <w:rPr>
          <w:rStyle w:val="81"/>
          <w:rFonts w:asciiTheme="minorEastAsia" w:hAnsiTheme="minorEastAsia" w:eastAsiaTheme="minorEastAsia"/>
          <w:b/>
          <w:sz w:val="28"/>
        </w:rPr>
      </w:pPr>
    </w:p>
    <w:p>
      <w:pPr>
        <w:ind w:firstLine="3840" w:firstLineChars="1600"/>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 xml:space="preserve">供应商： </w:t>
      </w:r>
      <w:r>
        <w:rPr>
          <w:rStyle w:val="81"/>
          <w:rFonts w:asciiTheme="minorEastAsia" w:hAnsiTheme="minorEastAsia" w:eastAsiaTheme="minorEastAsia"/>
          <w:sz w:val="24"/>
          <w:u w:val="single"/>
        </w:rPr>
        <w:t xml:space="preserve">          （盖章）             </w:t>
      </w:r>
    </w:p>
    <w:p>
      <w:pPr>
        <w:ind w:right="360"/>
        <w:jc w:val="right"/>
        <w:textAlignment w:val="baseline"/>
        <w:rPr>
          <w:rStyle w:val="81"/>
          <w:rFonts w:asciiTheme="minorEastAsia" w:hAnsiTheme="minorEastAsia" w:eastAsiaTheme="minorEastAsia"/>
          <w:sz w:val="24"/>
        </w:rPr>
      </w:pPr>
    </w:p>
    <w:p>
      <w:pPr>
        <w:ind w:right="240"/>
        <w:jc w:val="right"/>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法定代表人或其授权代理人：</w:t>
      </w:r>
      <w:r>
        <w:rPr>
          <w:rStyle w:val="81"/>
          <w:rFonts w:asciiTheme="minorEastAsia" w:hAnsiTheme="minorEastAsia" w:eastAsiaTheme="minorEastAsia"/>
          <w:sz w:val="24"/>
          <w:u w:val="single"/>
        </w:rPr>
        <w:t>（签字或盖章）</w:t>
      </w:r>
    </w:p>
    <w:p>
      <w:pPr>
        <w:jc w:val="right"/>
        <w:textAlignment w:val="baseline"/>
        <w:rPr>
          <w:rStyle w:val="81"/>
          <w:rFonts w:asciiTheme="minorEastAsia" w:hAnsiTheme="minorEastAsia" w:eastAsiaTheme="minorEastAsia"/>
          <w:sz w:val="24"/>
          <w:u w:val="single"/>
        </w:rPr>
      </w:pPr>
    </w:p>
    <w:p>
      <w:pPr>
        <w:ind w:right="360"/>
        <w:jc w:val="center"/>
        <w:textAlignment w:val="baseline"/>
        <w:rPr>
          <w:rStyle w:val="81"/>
          <w:rFonts w:asciiTheme="minorEastAsia" w:hAnsiTheme="minorEastAsia" w:eastAsiaTheme="minorEastAsia"/>
          <w:sz w:val="24"/>
          <w:u w:val="single"/>
        </w:rPr>
      </w:pPr>
      <w:r>
        <w:rPr>
          <w:rStyle w:val="81"/>
          <w:rFonts w:hint="eastAsia" w:asciiTheme="minorEastAsia" w:hAnsiTheme="minorEastAsia" w:eastAsiaTheme="minorEastAsia"/>
          <w:sz w:val="24"/>
        </w:rPr>
        <w:t xml:space="preserve">  </w:t>
      </w:r>
      <w:r>
        <w:rPr>
          <w:rStyle w:val="81"/>
          <w:rFonts w:asciiTheme="minorEastAsia" w:hAnsiTheme="minorEastAsia" w:eastAsiaTheme="minorEastAsia"/>
          <w:sz w:val="24"/>
        </w:rPr>
        <w:t>日   期：</w:t>
      </w:r>
      <w:r>
        <w:rPr>
          <w:rStyle w:val="81"/>
          <w:rFonts w:asciiTheme="minorEastAsia" w:hAnsiTheme="minorEastAsia" w:eastAsiaTheme="minorEastAsia"/>
          <w:sz w:val="24"/>
          <w:u w:val="single"/>
        </w:rPr>
        <w:t xml:space="preserve">                              </w:t>
      </w:r>
    </w:p>
    <w:p>
      <w:pPr>
        <w:pStyle w:val="20"/>
        <w:widowControl/>
        <w:textAlignment w:val="baseline"/>
        <w:rPr>
          <w:rStyle w:val="81"/>
          <w:rFonts w:asciiTheme="minorEastAsia" w:hAnsiTheme="minorEastAsia" w:eastAsiaTheme="minorEastAsia"/>
          <w:sz w:val="24"/>
          <w:u w:val="single"/>
        </w:rPr>
      </w:pPr>
    </w:p>
    <w:p>
      <w:pPr>
        <w:pStyle w:val="20"/>
        <w:widowControl/>
        <w:textAlignment w:val="baseline"/>
        <w:rPr>
          <w:rStyle w:val="81"/>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docGrid w:linePitch="312" w:charSpace="0"/>
        </w:sectPr>
      </w:pPr>
    </w:p>
    <w:p>
      <w:pPr>
        <w:jc w:val="left"/>
        <w:rPr>
          <w:rFonts w:cs="宋体" w:asciiTheme="minorEastAsia" w:hAnsiTheme="minorEastAsia" w:eastAsiaTheme="minorEastAsia"/>
          <w:b/>
          <w:bCs/>
          <w:sz w:val="24"/>
        </w:rPr>
      </w:pPr>
      <w:bookmarkStart w:id="232" w:name="_Toc13350"/>
      <w:r>
        <w:rPr>
          <w:rFonts w:hint="eastAsia" w:cs="宋体" w:asciiTheme="minorEastAsia" w:hAnsiTheme="minorEastAsia" w:eastAsiaTheme="minorEastAsia"/>
          <w:b/>
          <w:bCs/>
          <w:sz w:val="24"/>
        </w:rPr>
        <w:t>8.投标供应商满足政府采购相关优惠政策的声明或证明材料</w:t>
      </w:r>
      <w:bookmarkEnd w:id="232"/>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sz w:val="24"/>
          <w:szCs w:val="24"/>
        </w:rPr>
        <w:sectPr>
          <w:pgSz w:w="11907" w:h="16840"/>
          <w:pgMar w:top="1440" w:right="1474" w:bottom="1440" w:left="1474" w:header="851" w:footer="992" w:gutter="0"/>
          <w:cols w:space="720" w:num="1"/>
          <w:docGrid w:linePitch="312" w:charSpace="0"/>
        </w:sectPr>
      </w:pPr>
    </w:p>
    <w:p>
      <w:pPr>
        <w:spacing w:line="360" w:lineRule="auto"/>
        <w:rPr>
          <w:rFonts w:ascii="宋体" w:hAnsi="宋体" w:cs="宋体"/>
          <w:b/>
          <w:sz w:val="24"/>
        </w:rPr>
      </w:pPr>
      <w:r>
        <w:rPr>
          <w:rFonts w:hint="eastAsia" w:cs="宋体" w:asciiTheme="minorEastAsia" w:hAnsiTheme="minorEastAsia" w:eastAsiaTheme="minorEastAsia"/>
          <w:sz w:val="24"/>
        </w:rPr>
        <w:t xml:space="preserve">附件1                      </w:t>
      </w:r>
      <w:r>
        <w:rPr>
          <w:rFonts w:hint="eastAsia" w:ascii="宋体" w:hAnsi="宋体" w:cs="宋体"/>
          <w:sz w:val="24"/>
        </w:rPr>
        <w:t xml:space="preserve"> </w:t>
      </w:r>
      <w:r>
        <w:rPr>
          <w:rFonts w:hint="eastAsia" w:ascii="宋体" w:hAnsi="宋体" w:cs="宋体"/>
          <w:b/>
          <w:sz w:val="24"/>
        </w:rPr>
        <w:t>中小企业声明函（货物）</w:t>
      </w:r>
    </w:p>
    <w:p>
      <w:pPr>
        <w:spacing w:line="360" w:lineRule="auto"/>
        <w:ind w:firstLine="424" w:firstLineChars="177"/>
        <w:rPr>
          <w:rFonts w:ascii="宋体" w:hAnsi="宋体" w:cs="宋体"/>
          <w:sz w:val="24"/>
        </w:rPr>
      </w:pPr>
    </w:p>
    <w:p>
      <w:pPr>
        <w:spacing w:line="360" w:lineRule="auto"/>
        <w:ind w:firstLine="424" w:firstLineChars="177"/>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424" w:firstLineChars="177"/>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24" w:firstLineChars="177"/>
        <w:rPr>
          <w:rFonts w:ascii="宋体" w:hAnsi="宋体" w:cs="宋体"/>
          <w:sz w:val="24"/>
        </w:rPr>
      </w:pPr>
      <w:r>
        <w:rPr>
          <w:rFonts w:hint="eastAsia" w:ascii="宋体" w:hAnsi="宋体" w:cs="宋体"/>
          <w:sz w:val="24"/>
        </w:rPr>
        <w:t>本企业对上述声明内容的真实性负责。如有虚假，将依法承担相应责任。</w:t>
      </w:r>
    </w:p>
    <w:p>
      <w:pPr>
        <w:wordWrap w:val="0"/>
        <w:spacing w:line="360" w:lineRule="auto"/>
        <w:jc w:val="right"/>
        <w:rPr>
          <w:rFonts w:ascii="宋体" w:hAnsi="宋体" w:cs="宋体"/>
          <w:sz w:val="24"/>
        </w:rPr>
      </w:pPr>
      <w:r>
        <w:rPr>
          <w:rFonts w:hint="eastAsia" w:ascii="宋体" w:hAnsi="宋体" w:cs="宋体"/>
          <w:sz w:val="24"/>
        </w:rPr>
        <w:t xml:space="preserve">企业名称（盖章）：         </w:t>
      </w:r>
    </w:p>
    <w:p>
      <w:pPr>
        <w:wordWrap w:val="0"/>
        <w:spacing w:line="360" w:lineRule="auto"/>
        <w:jc w:val="right"/>
        <w:rPr>
          <w:rFonts w:ascii="仿宋_GB2312" w:hAnsi="仿宋_GB2312" w:eastAsia="仿宋_GB2312" w:cs="仿宋_GB2312"/>
          <w:sz w:val="24"/>
        </w:rPr>
      </w:pPr>
      <w:r>
        <w:rPr>
          <w:rFonts w:hint="eastAsia" w:ascii="宋体" w:hAnsi="宋体" w:cs="宋体"/>
          <w:sz w:val="24"/>
        </w:rPr>
        <w:t xml:space="preserve">日 期：          </w:t>
      </w:r>
      <w:r>
        <w:rPr>
          <w:rFonts w:hint="eastAsia" w:ascii="仿宋_GB2312" w:hAnsi="仿宋_GB2312" w:eastAsia="仿宋_GB2312" w:cs="仿宋_GB2312"/>
          <w:sz w:val="24"/>
        </w:rPr>
        <w:t xml:space="preserve">             </w:t>
      </w:r>
    </w:p>
    <w:p>
      <w:pPr>
        <w:spacing w:line="360" w:lineRule="auto"/>
        <w:ind w:firstLine="6552" w:firstLineChars="2600"/>
        <w:rPr>
          <w:rFonts w:cs="宋体" w:asciiTheme="minorEastAsia" w:hAnsiTheme="minorEastAsia" w:eastAsiaTheme="minorEastAsia"/>
          <w:spacing w:val="6"/>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233" w:name="OLE_LINK14"/>
      <w:bookmarkStart w:id="234" w:name="OLE_LINK13"/>
      <w:r>
        <w:rPr>
          <w:rFonts w:hint="eastAsia" w:cs="宋体" w:asciiTheme="minorEastAsia" w:hAnsiTheme="minorEastAsia" w:eastAsiaTheme="minorEastAsia"/>
          <w:b/>
          <w:bCs/>
          <w:sz w:val="24"/>
        </w:rPr>
        <w:t xml:space="preserve">                     残疾人福利性单位声明函</w:t>
      </w:r>
    </w:p>
    <w:bookmarkEnd w:id="233"/>
    <w:bookmarkEnd w:id="234"/>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w:t>
      </w: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sectPr>
      <w:pgSz w:w="11907" w:h="16840"/>
      <w:pgMar w:top="1474" w:right="1587" w:bottom="147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89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89</w:t>
                    </w:r>
                    <w:r>
                      <w:t xml:space="preserve"> 页</w:t>
                    </w:r>
                  </w:p>
                </w:txbxContent>
              </v:textbox>
            </v:shape>
          </w:pict>
        </mc:Fallback>
      </mc:AlternateContent>
    </w:r>
    <w:r>
      <w:rPr>
        <w:rFonts w:hint="eastAsia"/>
        <w:kern w:val="0"/>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89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szCs w:val="18"/>
      </w:rPr>
    </w:pPr>
    <w:r>
      <w:rPr>
        <w:rFonts w:hint="eastAsia"/>
        <w:szCs w:val="18"/>
      </w:rPr>
      <w:t>陕西省无线电管理委员会移动监测站升级改造项目B包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szCs w:val="18"/>
      </w:rPr>
    </w:pPr>
    <w:r>
      <w:rPr>
        <w:rFonts w:hint="eastAsia"/>
        <w:szCs w:val="18"/>
      </w:rPr>
      <w:t>陕西省无线电管理委员会移动监测站升级改造项目B包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F49317F2"/>
    <w:multiLevelType w:val="singleLevel"/>
    <w:tmpl w:val="F49317F2"/>
    <w:lvl w:ilvl="0" w:tentative="0">
      <w:start w:val="1"/>
      <w:numFmt w:val="decimal"/>
      <w:suff w:val="space"/>
      <w:lvlText w:val="%1."/>
      <w:lvlJc w:val="left"/>
    </w:lvl>
  </w:abstractNum>
  <w:abstractNum w:abstractNumId="7">
    <w:nsid w:val="FF4C5691"/>
    <w:multiLevelType w:val="singleLevel"/>
    <w:tmpl w:val="FF4C5691"/>
    <w:lvl w:ilvl="0" w:tentative="0">
      <w:start w:val="16"/>
      <w:numFmt w:val="chineseCounting"/>
      <w:suff w:val="nothing"/>
      <w:lvlText w:val="%1、"/>
      <w:lvlJc w:val="left"/>
      <w:rPr>
        <w:rFonts w:hint="eastAsia"/>
      </w:rPr>
    </w:lvl>
  </w:abstractNum>
  <w:abstractNum w:abstractNumId="8">
    <w:nsid w:val="19E34E49"/>
    <w:multiLevelType w:val="multilevel"/>
    <w:tmpl w:val="19E34E4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0">
    <w:nsid w:val="42EB8BD4"/>
    <w:multiLevelType w:val="singleLevel"/>
    <w:tmpl w:val="42EB8BD4"/>
    <w:lvl w:ilvl="0" w:tentative="0">
      <w:start w:val="1"/>
      <w:numFmt w:val="decimal"/>
      <w:suff w:val="nothing"/>
      <w:lvlText w:val="（%1）"/>
      <w:lvlJc w:val="left"/>
    </w:lvl>
  </w:abstractNum>
  <w:abstractNum w:abstractNumId="11">
    <w:nsid w:val="531D060C"/>
    <w:multiLevelType w:val="singleLevel"/>
    <w:tmpl w:val="531D060C"/>
    <w:lvl w:ilvl="0" w:tentative="0">
      <w:start w:val="2"/>
      <w:numFmt w:val="chineseCounting"/>
      <w:suff w:val="space"/>
      <w:lvlText w:val="第%1章"/>
      <w:lvlJc w:val="left"/>
      <w:rPr>
        <w:rFonts w:hint="eastAsia"/>
      </w:rPr>
    </w:lvl>
  </w:abstractNum>
  <w:abstractNum w:abstractNumId="12">
    <w:nsid w:val="5847DFF0"/>
    <w:multiLevelType w:val="singleLevel"/>
    <w:tmpl w:val="5847DFF0"/>
    <w:lvl w:ilvl="0" w:tentative="0">
      <w:start w:val="10"/>
      <w:numFmt w:val="chineseCounting"/>
      <w:suff w:val="nothing"/>
      <w:lvlText w:val="%1、"/>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11"/>
  </w:num>
  <w:num w:numId="6">
    <w:abstractNumId w:val="6"/>
  </w:num>
  <w:num w:numId="7">
    <w:abstractNumId w:val="0"/>
  </w:num>
  <w:num w:numId="8">
    <w:abstractNumId w:val="10"/>
  </w:num>
  <w:num w:numId="9">
    <w:abstractNumId w:val="2"/>
  </w:num>
  <w:num w:numId="10">
    <w:abstractNumId w:val="3"/>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WQ4NGVhMTdlYjY4OGMxZmY2YWQ0ODFmYzIwMjkifQ=="/>
  </w:docVars>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029"/>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719"/>
    <w:rsid w:val="0004281A"/>
    <w:rsid w:val="000433B9"/>
    <w:rsid w:val="0004390A"/>
    <w:rsid w:val="00043B25"/>
    <w:rsid w:val="000443F3"/>
    <w:rsid w:val="000448F4"/>
    <w:rsid w:val="0004577D"/>
    <w:rsid w:val="00046582"/>
    <w:rsid w:val="00047F96"/>
    <w:rsid w:val="000500AF"/>
    <w:rsid w:val="000501D5"/>
    <w:rsid w:val="00052F51"/>
    <w:rsid w:val="00053172"/>
    <w:rsid w:val="00053FEA"/>
    <w:rsid w:val="000544AB"/>
    <w:rsid w:val="00054888"/>
    <w:rsid w:val="000561CD"/>
    <w:rsid w:val="000569F5"/>
    <w:rsid w:val="00056EC0"/>
    <w:rsid w:val="000578D3"/>
    <w:rsid w:val="00060B4C"/>
    <w:rsid w:val="0006207C"/>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42D1"/>
    <w:rsid w:val="00086728"/>
    <w:rsid w:val="000868AC"/>
    <w:rsid w:val="00086E98"/>
    <w:rsid w:val="00087097"/>
    <w:rsid w:val="0009005B"/>
    <w:rsid w:val="00090B1B"/>
    <w:rsid w:val="00090CA3"/>
    <w:rsid w:val="000910D1"/>
    <w:rsid w:val="00093400"/>
    <w:rsid w:val="00093E47"/>
    <w:rsid w:val="00093FAD"/>
    <w:rsid w:val="0009400A"/>
    <w:rsid w:val="000941EA"/>
    <w:rsid w:val="000945C6"/>
    <w:rsid w:val="00095192"/>
    <w:rsid w:val="00095796"/>
    <w:rsid w:val="00095EC0"/>
    <w:rsid w:val="00096778"/>
    <w:rsid w:val="00096E8E"/>
    <w:rsid w:val="0009711C"/>
    <w:rsid w:val="00097367"/>
    <w:rsid w:val="00097AD1"/>
    <w:rsid w:val="000A0566"/>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13B7"/>
    <w:rsid w:val="000B2517"/>
    <w:rsid w:val="000B2925"/>
    <w:rsid w:val="000B50ED"/>
    <w:rsid w:val="000B5F7E"/>
    <w:rsid w:val="000B6C05"/>
    <w:rsid w:val="000C0130"/>
    <w:rsid w:val="000C03C2"/>
    <w:rsid w:val="000C18DA"/>
    <w:rsid w:val="000C18FE"/>
    <w:rsid w:val="000C1A60"/>
    <w:rsid w:val="000C1D68"/>
    <w:rsid w:val="000C252A"/>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38CA"/>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5FD"/>
    <w:rsid w:val="00121B3E"/>
    <w:rsid w:val="00121C31"/>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31B0"/>
    <w:rsid w:val="00183545"/>
    <w:rsid w:val="00183C97"/>
    <w:rsid w:val="0018453A"/>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49A1"/>
    <w:rsid w:val="001B591F"/>
    <w:rsid w:val="001B62A7"/>
    <w:rsid w:val="001B6719"/>
    <w:rsid w:val="001B7859"/>
    <w:rsid w:val="001B7D96"/>
    <w:rsid w:val="001C057A"/>
    <w:rsid w:val="001C09C6"/>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C15"/>
    <w:rsid w:val="001E41B0"/>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BF1"/>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898"/>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34BD"/>
    <w:rsid w:val="0025374C"/>
    <w:rsid w:val="00253790"/>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5E0B"/>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1AE"/>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597"/>
    <w:rsid w:val="002D59EF"/>
    <w:rsid w:val="002E0128"/>
    <w:rsid w:val="002E0157"/>
    <w:rsid w:val="002E03AA"/>
    <w:rsid w:val="002E141C"/>
    <w:rsid w:val="002E23C3"/>
    <w:rsid w:val="002E2AC3"/>
    <w:rsid w:val="002E2DA7"/>
    <w:rsid w:val="002E479E"/>
    <w:rsid w:val="002E5DF0"/>
    <w:rsid w:val="002E6576"/>
    <w:rsid w:val="002E74E9"/>
    <w:rsid w:val="002E75EE"/>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45E"/>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683"/>
    <w:rsid w:val="00345692"/>
    <w:rsid w:val="003464B9"/>
    <w:rsid w:val="003471A3"/>
    <w:rsid w:val="0035081B"/>
    <w:rsid w:val="00350F67"/>
    <w:rsid w:val="00354CA1"/>
    <w:rsid w:val="00354DAD"/>
    <w:rsid w:val="00355956"/>
    <w:rsid w:val="00356291"/>
    <w:rsid w:val="00356B8F"/>
    <w:rsid w:val="00356F5F"/>
    <w:rsid w:val="0035753F"/>
    <w:rsid w:val="00360127"/>
    <w:rsid w:val="003601E4"/>
    <w:rsid w:val="00360E33"/>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5ED"/>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3C"/>
    <w:rsid w:val="003A42CD"/>
    <w:rsid w:val="003A44C5"/>
    <w:rsid w:val="003A4618"/>
    <w:rsid w:val="003A4A8E"/>
    <w:rsid w:val="003A4E23"/>
    <w:rsid w:val="003A5A10"/>
    <w:rsid w:val="003A5B35"/>
    <w:rsid w:val="003A71F2"/>
    <w:rsid w:val="003A77FD"/>
    <w:rsid w:val="003A7F4E"/>
    <w:rsid w:val="003B096F"/>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503F"/>
    <w:rsid w:val="003D5B5A"/>
    <w:rsid w:val="003D647A"/>
    <w:rsid w:val="003D6C1A"/>
    <w:rsid w:val="003D70D6"/>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99D"/>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071EB"/>
    <w:rsid w:val="00412BF2"/>
    <w:rsid w:val="00413CCA"/>
    <w:rsid w:val="00414961"/>
    <w:rsid w:val="004152DE"/>
    <w:rsid w:val="00415AF8"/>
    <w:rsid w:val="00416B0F"/>
    <w:rsid w:val="0042069B"/>
    <w:rsid w:val="00421C89"/>
    <w:rsid w:val="0042350E"/>
    <w:rsid w:val="00424B74"/>
    <w:rsid w:val="00424D63"/>
    <w:rsid w:val="00424D73"/>
    <w:rsid w:val="004255C3"/>
    <w:rsid w:val="004257D6"/>
    <w:rsid w:val="00425A66"/>
    <w:rsid w:val="00425BD4"/>
    <w:rsid w:val="004267E6"/>
    <w:rsid w:val="00426A31"/>
    <w:rsid w:val="00426CEC"/>
    <w:rsid w:val="00427282"/>
    <w:rsid w:val="0043058C"/>
    <w:rsid w:val="00430E97"/>
    <w:rsid w:val="0043135E"/>
    <w:rsid w:val="00432A06"/>
    <w:rsid w:val="00432C83"/>
    <w:rsid w:val="004331E2"/>
    <w:rsid w:val="004339C6"/>
    <w:rsid w:val="004360B2"/>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74C"/>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8BA"/>
    <w:rsid w:val="0049298C"/>
    <w:rsid w:val="0049313A"/>
    <w:rsid w:val="004940F8"/>
    <w:rsid w:val="004950C6"/>
    <w:rsid w:val="004952CB"/>
    <w:rsid w:val="00495A7B"/>
    <w:rsid w:val="00497878"/>
    <w:rsid w:val="00497D21"/>
    <w:rsid w:val="004A0493"/>
    <w:rsid w:val="004A0F19"/>
    <w:rsid w:val="004A18B9"/>
    <w:rsid w:val="004A3EA7"/>
    <w:rsid w:val="004A4D6D"/>
    <w:rsid w:val="004A5475"/>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755"/>
    <w:rsid w:val="004C2C94"/>
    <w:rsid w:val="004C32A8"/>
    <w:rsid w:val="004C3404"/>
    <w:rsid w:val="004C4992"/>
    <w:rsid w:val="004C4F9F"/>
    <w:rsid w:val="004C50BB"/>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2E6"/>
    <w:rsid w:val="004E697E"/>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01B"/>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282F"/>
    <w:rsid w:val="00523070"/>
    <w:rsid w:val="00523DF3"/>
    <w:rsid w:val="0052428A"/>
    <w:rsid w:val="00524C54"/>
    <w:rsid w:val="0052531E"/>
    <w:rsid w:val="005259C2"/>
    <w:rsid w:val="005259D4"/>
    <w:rsid w:val="00527033"/>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2FE1"/>
    <w:rsid w:val="00583009"/>
    <w:rsid w:val="005839D2"/>
    <w:rsid w:val="00583E0F"/>
    <w:rsid w:val="00584EBA"/>
    <w:rsid w:val="00585B02"/>
    <w:rsid w:val="00585C02"/>
    <w:rsid w:val="0058635D"/>
    <w:rsid w:val="005866A7"/>
    <w:rsid w:val="005871FE"/>
    <w:rsid w:val="005875D4"/>
    <w:rsid w:val="00587646"/>
    <w:rsid w:val="00587756"/>
    <w:rsid w:val="005907B1"/>
    <w:rsid w:val="00590DF7"/>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B797F"/>
    <w:rsid w:val="005C0128"/>
    <w:rsid w:val="005C03A5"/>
    <w:rsid w:val="005C07C7"/>
    <w:rsid w:val="005C0B2F"/>
    <w:rsid w:val="005C0DDA"/>
    <w:rsid w:val="005C11D0"/>
    <w:rsid w:val="005C1371"/>
    <w:rsid w:val="005C1D74"/>
    <w:rsid w:val="005C3A92"/>
    <w:rsid w:val="005C3D15"/>
    <w:rsid w:val="005C45D9"/>
    <w:rsid w:val="005C5884"/>
    <w:rsid w:val="005C60A3"/>
    <w:rsid w:val="005C659C"/>
    <w:rsid w:val="005C6C55"/>
    <w:rsid w:val="005C7F33"/>
    <w:rsid w:val="005D12D1"/>
    <w:rsid w:val="005D4E46"/>
    <w:rsid w:val="005D53A0"/>
    <w:rsid w:val="005D5875"/>
    <w:rsid w:val="005D5C35"/>
    <w:rsid w:val="005D5D7C"/>
    <w:rsid w:val="005D5EC0"/>
    <w:rsid w:val="005D723A"/>
    <w:rsid w:val="005D7467"/>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0F1B"/>
    <w:rsid w:val="00605E0E"/>
    <w:rsid w:val="006061D0"/>
    <w:rsid w:val="00606C65"/>
    <w:rsid w:val="00606ED2"/>
    <w:rsid w:val="0060742D"/>
    <w:rsid w:val="006079F5"/>
    <w:rsid w:val="00610930"/>
    <w:rsid w:val="00610E59"/>
    <w:rsid w:val="00611740"/>
    <w:rsid w:val="006124EC"/>
    <w:rsid w:val="00612C9D"/>
    <w:rsid w:val="00613005"/>
    <w:rsid w:val="00614CDE"/>
    <w:rsid w:val="00614F32"/>
    <w:rsid w:val="00615010"/>
    <w:rsid w:val="00615077"/>
    <w:rsid w:val="006156C4"/>
    <w:rsid w:val="00615EC6"/>
    <w:rsid w:val="00615FE0"/>
    <w:rsid w:val="00617184"/>
    <w:rsid w:val="00617260"/>
    <w:rsid w:val="00620CF0"/>
    <w:rsid w:val="00621BDA"/>
    <w:rsid w:val="00623574"/>
    <w:rsid w:val="006235E6"/>
    <w:rsid w:val="006244E4"/>
    <w:rsid w:val="006244F1"/>
    <w:rsid w:val="006250BE"/>
    <w:rsid w:val="006259B3"/>
    <w:rsid w:val="006277D4"/>
    <w:rsid w:val="0063012A"/>
    <w:rsid w:val="006306EA"/>
    <w:rsid w:val="00630A1C"/>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59F0"/>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29DE"/>
    <w:rsid w:val="00692F1A"/>
    <w:rsid w:val="0069491E"/>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063F"/>
    <w:rsid w:val="006C2DBC"/>
    <w:rsid w:val="006C3433"/>
    <w:rsid w:val="006C525B"/>
    <w:rsid w:val="006C578D"/>
    <w:rsid w:val="006C5B27"/>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181F"/>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4BD8"/>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40CE"/>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4D6"/>
    <w:rsid w:val="007B0FD5"/>
    <w:rsid w:val="007B2235"/>
    <w:rsid w:val="007B3489"/>
    <w:rsid w:val="007B3D7B"/>
    <w:rsid w:val="007B4732"/>
    <w:rsid w:val="007B5609"/>
    <w:rsid w:val="007B587E"/>
    <w:rsid w:val="007B5CA3"/>
    <w:rsid w:val="007B5F76"/>
    <w:rsid w:val="007B5F8A"/>
    <w:rsid w:val="007B6BAD"/>
    <w:rsid w:val="007C0D99"/>
    <w:rsid w:val="007C0E9C"/>
    <w:rsid w:val="007C3344"/>
    <w:rsid w:val="007C3EA7"/>
    <w:rsid w:val="007C4B71"/>
    <w:rsid w:val="007C52CB"/>
    <w:rsid w:val="007C649E"/>
    <w:rsid w:val="007C69DB"/>
    <w:rsid w:val="007C755D"/>
    <w:rsid w:val="007C7FFE"/>
    <w:rsid w:val="007D022D"/>
    <w:rsid w:val="007D090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C83"/>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896"/>
    <w:rsid w:val="00813F8B"/>
    <w:rsid w:val="00814422"/>
    <w:rsid w:val="00814AE4"/>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1C75"/>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0453"/>
    <w:rsid w:val="008923A3"/>
    <w:rsid w:val="00892DCA"/>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46E"/>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34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D67E0"/>
    <w:rsid w:val="008E035F"/>
    <w:rsid w:val="008E15F8"/>
    <w:rsid w:val="008E1AF9"/>
    <w:rsid w:val="008E2306"/>
    <w:rsid w:val="008E2370"/>
    <w:rsid w:val="008E28FA"/>
    <w:rsid w:val="008E2B3F"/>
    <w:rsid w:val="008E2B7A"/>
    <w:rsid w:val="008E2D9D"/>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0361"/>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55C3"/>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73E9"/>
    <w:rsid w:val="009804D0"/>
    <w:rsid w:val="00980914"/>
    <w:rsid w:val="00980F62"/>
    <w:rsid w:val="0098132F"/>
    <w:rsid w:val="00981831"/>
    <w:rsid w:val="00981A9D"/>
    <w:rsid w:val="009821B9"/>
    <w:rsid w:val="00984FFE"/>
    <w:rsid w:val="00986262"/>
    <w:rsid w:val="009871CE"/>
    <w:rsid w:val="00987804"/>
    <w:rsid w:val="00990333"/>
    <w:rsid w:val="00991A10"/>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13C2"/>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C29"/>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3E3"/>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1492"/>
    <w:rsid w:val="00A820B9"/>
    <w:rsid w:val="00A82B11"/>
    <w:rsid w:val="00A82CE4"/>
    <w:rsid w:val="00A82FCA"/>
    <w:rsid w:val="00A8437B"/>
    <w:rsid w:val="00A84684"/>
    <w:rsid w:val="00A8526C"/>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A3B24"/>
    <w:rsid w:val="00AA4561"/>
    <w:rsid w:val="00AA4686"/>
    <w:rsid w:val="00AA4E5C"/>
    <w:rsid w:val="00AA5BDB"/>
    <w:rsid w:val="00AA7AD9"/>
    <w:rsid w:val="00AB14F4"/>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AB3"/>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19E"/>
    <w:rsid w:val="00B10A88"/>
    <w:rsid w:val="00B10C69"/>
    <w:rsid w:val="00B11788"/>
    <w:rsid w:val="00B127B5"/>
    <w:rsid w:val="00B127C7"/>
    <w:rsid w:val="00B128DF"/>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6E2A"/>
    <w:rsid w:val="00B677E4"/>
    <w:rsid w:val="00B702AB"/>
    <w:rsid w:val="00B71972"/>
    <w:rsid w:val="00B71AF4"/>
    <w:rsid w:val="00B71C54"/>
    <w:rsid w:val="00B724F1"/>
    <w:rsid w:val="00B7259B"/>
    <w:rsid w:val="00B725A1"/>
    <w:rsid w:val="00B72897"/>
    <w:rsid w:val="00B72E63"/>
    <w:rsid w:val="00B73F60"/>
    <w:rsid w:val="00B744C2"/>
    <w:rsid w:val="00B74998"/>
    <w:rsid w:val="00B75406"/>
    <w:rsid w:val="00B76408"/>
    <w:rsid w:val="00B816E0"/>
    <w:rsid w:val="00B81D52"/>
    <w:rsid w:val="00B822BE"/>
    <w:rsid w:val="00B82725"/>
    <w:rsid w:val="00B83349"/>
    <w:rsid w:val="00B83901"/>
    <w:rsid w:val="00B863A6"/>
    <w:rsid w:val="00B86732"/>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0E2"/>
    <w:rsid w:val="00BA5269"/>
    <w:rsid w:val="00BA5485"/>
    <w:rsid w:val="00BA6269"/>
    <w:rsid w:val="00BA6BE8"/>
    <w:rsid w:val="00BA6F4F"/>
    <w:rsid w:val="00BA778F"/>
    <w:rsid w:val="00BB07FD"/>
    <w:rsid w:val="00BB0DD3"/>
    <w:rsid w:val="00BB16DE"/>
    <w:rsid w:val="00BB1E8E"/>
    <w:rsid w:val="00BB2DD9"/>
    <w:rsid w:val="00BB3351"/>
    <w:rsid w:val="00BB3561"/>
    <w:rsid w:val="00BB3A11"/>
    <w:rsid w:val="00BB3D8C"/>
    <w:rsid w:val="00BB54B0"/>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3D41"/>
    <w:rsid w:val="00BE43A5"/>
    <w:rsid w:val="00BE4AE9"/>
    <w:rsid w:val="00BE5767"/>
    <w:rsid w:val="00BE5795"/>
    <w:rsid w:val="00BE64FB"/>
    <w:rsid w:val="00BE74FA"/>
    <w:rsid w:val="00BE7FAD"/>
    <w:rsid w:val="00BF0B35"/>
    <w:rsid w:val="00BF0C85"/>
    <w:rsid w:val="00BF145A"/>
    <w:rsid w:val="00BF1780"/>
    <w:rsid w:val="00BF188D"/>
    <w:rsid w:val="00BF209C"/>
    <w:rsid w:val="00BF2AF5"/>
    <w:rsid w:val="00BF3179"/>
    <w:rsid w:val="00BF329E"/>
    <w:rsid w:val="00BF43D0"/>
    <w:rsid w:val="00BF444A"/>
    <w:rsid w:val="00BF48A6"/>
    <w:rsid w:val="00BF49AF"/>
    <w:rsid w:val="00BF5B4D"/>
    <w:rsid w:val="00BF616F"/>
    <w:rsid w:val="00BF65BE"/>
    <w:rsid w:val="00BF6E7E"/>
    <w:rsid w:val="00BF7395"/>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0E1"/>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1D4C"/>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06C"/>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407"/>
    <w:rsid w:val="00CF174B"/>
    <w:rsid w:val="00CF1896"/>
    <w:rsid w:val="00CF37F0"/>
    <w:rsid w:val="00CF5528"/>
    <w:rsid w:val="00CF5CC5"/>
    <w:rsid w:val="00CF6567"/>
    <w:rsid w:val="00CF6D31"/>
    <w:rsid w:val="00CF7449"/>
    <w:rsid w:val="00CF798C"/>
    <w:rsid w:val="00D002F8"/>
    <w:rsid w:val="00D00885"/>
    <w:rsid w:val="00D00A6A"/>
    <w:rsid w:val="00D00C76"/>
    <w:rsid w:val="00D018D7"/>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73F"/>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262DE"/>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514"/>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082"/>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902FC"/>
    <w:rsid w:val="00D9041A"/>
    <w:rsid w:val="00D90458"/>
    <w:rsid w:val="00D90532"/>
    <w:rsid w:val="00D90BE3"/>
    <w:rsid w:val="00D914AE"/>
    <w:rsid w:val="00D91C2A"/>
    <w:rsid w:val="00D93CCF"/>
    <w:rsid w:val="00D93F23"/>
    <w:rsid w:val="00D93F5C"/>
    <w:rsid w:val="00D94AA2"/>
    <w:rsid w:val="00D94B73"/>
    <w:rsid w:val="00D94F6E"/>
    <w:rsid w:val="00D955E3"/>
    <w:rsid w:val="00D959D7"/>
    <w:rsid w:val="00D95A4C"/>
    <w:rsid w:val="00D96260"/>
    <w:rsid w:val="00D962E1"/>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A03"/>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EE6"/>
    <w:rsid w:val="00DC1F9B"/>
    <w:rsid w:val="00DC28AF"/>
    <w:rsid w:val="00DC300A"/>
    <w:rsid w:val="00DC3999"/>
    <w:rsid w:val="00DC424E"/>
    <w:rsid w:val="00DC5730"/>
    <w:rsid w:val="00DC5C2C"/>
    <w:rsid w:val="00DC5C34"/>
    <w:rsid w:val="00DC79A9"/>
    <w:rsid w:val="00DD054F"/>
    <w:rsid w:val="00DD058B"/>
    <w:rsid w:val="00DD08B5"/>
    <w:rsid w:val="00DD0F66"/>
    <w:rsid w:val="00DD19DE"/>
    <w:rsid w:val="00DD22B5"/>
    <w:rsid w:val="00DD2316"/>
    <w:rsid w:val="00DD28FD"/>
    <w:rsid w:val="00DD2926"/>
    <w:rsid w:val="00DD2B74"/>
    <w:rsid w:val="00DD4F63"/>
    <w:rsid w:val="00DD54EF"/>
    <w:rsid w:val="00DD5F61"/>
    <w:rsid w:val="00DD670F"/>
    <w:rsid w:val="00DD6BC7"/>
    <w:rsid w:val="00DD720E"/>
    <w:rsid w:val="00DD7897"/>
    <w:rsid w:val="00DD7CA0"/>
    <w:rsid w:val="00DD7CF5"/>
    <w:rsid w:val="00DE173B"/>
    <w:rsid w:val="00DE1FAC"/>
    <w:rsid w:val="00DE393D"/>
    <w:rsid w:val="00DE3F07"/>
    <w:rsid w:val="00DE4A2C"/>
    <w:rsid w:val="00DE4AFF"/>
    <w:rsid w:val="00DE5FCB"/>
    <w:rsid w:val="00DE63FE"/>
    <w:rsid w:val="00DE6A41"/>
    <w:rsid w:val="00DE6CB3"/>
    <w:rsid w:val="00DE79B2"/>
    <w:rsid w:val="00DF067A"/>
    <w:rsid w:val="00DF0E8D"/>
    <w:rsid w:val="00DF13B1"/>
    <w:rsid w:val="00DF245B"/>
    <w:rsid w:val="00DF4096"/>
    <w:rsid w:val="00DF42FE"/>
    <w:rsid w:val="00DF4D3E"/>
    <w:rsid w:val="00DF6A8B"/>
    <w:rsid w:val="00DF745E"/>
    <w:rsid w:val="00DF7883"/>
    <w:rsid w:val="00E00989"/>
    <w:rsid w:val="00E00FE9"/>
    <w:rsid w:val="00E048FC"/>
    <w:rsid w:val="00E049F5"/>
    <w:rsid w:val="00E04AF3"/>
    <w:rsid w:val="00E04C0A"/>
    <w:rsid w:val="00E060EF"/>
    <w:rsid w:val="00E066BA"/>
    <w:rsid w:val="00E0679B"/>
    <w:rsid w:val="00E07E8D"/>
    <w:rsid w:val="00E10EDC"/>
    <w:rsid w:val="00E1106F"/>
    <w:rsid w:val="00E129B4"/>
    <w:rsid w:val="00E15405"/>
    <w:rsid w:val="00E157F9"/>
    <w:rsid w:val="00E162D5"/>
    <w:rsid w:val="00E16BD2"/>
    <w:rsid w:val="00E16F7E"/>
    <w:rsid w:val="00E170CB"/>
    <w:rsid w:val="00E17AB5"/>
    <w:rsid w:val="00E2146C"/>
    <w:rsid w:val="00E214B9"/>
    <w:rsid w:val="00E21501"/>
    <w:rsid w:val="00E22AC6"/>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791F"/>
    <w:rsid w:val="00E4052D"/>
    <w:rsid w:val="00E408E0"/>
    <w:rsid w:val="00E4184A"/>
    <w:rsid w:val="00E425C4"/>
    <w:rsid w:val="00E42D13"/>
    <w:rsid w:val="00E43A35"/>
    <w:rsid w:val="00E44FB7"/>
    <w:rsid w:val="00E45338"/>
    <w:rsid w:val="00E460B3"/>
    <w:rsid w:val="00E473CC"/>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CD3"/>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A22"/>
    <w:rsid w:val="00EC3450"/>
    <w:rsid w:val="00EC4A57"/>
    <w:rsid w:val="00EC77A9"/>
    <w:rsid w:val="00EC7B23"/>
    <w:rsid w:val="00ED0BC4"/>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4890"/>
    <w:rsid w:val="00F05236"/>
    <w:rsid w:val="00F06353"/>
    <w:rsid w:val="00F0772A"/>
    <w:rsid w:val="00F109D6"/>
    <w:rsid w:val="00F109E9"/>
    <w:rsid w:val="00F10D00"/>
    <w:rsid w:val="00F11022"/>
    <w:rsid w:val="00F110E9"/>
    <w:rsid w:val="00F11130"/>
    <w:rsid w:val="00F1191B"/>
    <w:rsid w:val="00F14060"/>
    <w:rsid w:val="00F14338"/>
    <w:rsid w:val="00F14E13"/>
    <w:rsid w:val="00F17871"/>
    <w:rsid w:val="00F17EF8"/>
    <w:rsid w:val="00F22401"/>
    <w:rsid w:val="00F22F80"/>
    <w:rsid w:val="00F22F9B"/>
    <w:rsid w:val="00F236B5"/>
    <w:rsid w:val="00F2372A"/>
    <w:rsid w:val="00F250C1"/>
    <w:rsid w:val="00F251AE"/>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5ED4"/>
    <w:rsid w:val="00F46BAF"/>
    <w:rsid w:val="00F47AF8"/>
    <w:rsid w:val="00F50449"/>
    <w:rsid w:val="00F512D6"/>
    <w:rsid w:val="00F51CAA"/>
    <w:rsid w:val="00F51CFE"/>
    <w:rsid w:val="00F520EA"/>
    <w:rsid w:val="00F529B6"/>
    <w:rsid w:val="00F53687"/>
    <w:rsid w:val="00F53DAA"/>
    <w:rsid w:val="00F53DCD"/>
    <w:rsid w:val="00F54E62"/>
    <w:rsid w:val="00F55694"/>
    <w:rsid w:val="00F56DE6"/>
    <w:rsid w:val="00F56F50"/>
    <w:rsid w:val="00F60A27"/>
    <w:rsid w:val="00F60B3F"/>
    <w:rsid w:val="00F60C57"/>
    <w:rsid w:val="00F61357"/>
    <w:rsid w:val="00F61742"/>
    <w:rsid w:val="00F61B0E"/>
    <w:rsid w:val="00F62005"/>
    <w:rsid w:val="00F62095"/>
    <w:rsid w:val="00F62A61"/>
    <w:rsid w:val="00F62C4B"/>
    <w:rsid w:val="00F63324"/>
    <w:rsid w:val="00F63B0C"/>
    <w:rsid w:val="00F64D68"/>
    <w:rsid w:val="00F64F4F"/>
    <w:rsid w:val="00F65592"/>
    <w:rsid w:val="00F657AE"/>
    <w:rsid w:val="00F65B68"/>
    <w:rsid w:val="00F65F59"/>
    <w:rsid w:val="00F66DEF"/>
    <w:rsid w:val="00F66E7B"/>
    <w:rsid w:val="00F67CB0"/>
    <w:rsid w:val="00F7045A"/>
    <w:rsid w:val="00F711B4"/>
    <w:rsid w:val="00F711B5"/>
    <w:rsid w:val="00F714EC"/>
    <w:rsid w:val="00F7171F"/>
    <w:rsid w:val="00F71CE9"/>
    <w:rsid w:val="00F72D08"/>
    <w:rsid w:val="00F7424E"/>
    <w:rsid w:val="00F74545"/>
    <w:rsid w:val="00F74882"/>
    <w:rsid w:val="00F74FC2"/>
    <w:rsid w:val="00F75837"/>
    <w:rsid w:val="00F76669"/>
    <w:rsid w:val="00F76BA1"/>
    <w:rsid w:val="00F77A49"/>
    <w:rsid w:val="00F80507"/>
    <w:rsid w:val="00F80EF1"/>
    <w:rsid w:val="00F81031"/>
    <w:rsid w:val="00F815A6"/>
    <w:rsid w:val="00F822E6"/>
    <w:rsid w:val="00F8262C"/>
    <w:rsid w:val="00F8276E"/>
    <w:rsid w:val="00F82877"/>
    <w:rsid w:val="00F84F2A"/>
    <w:rsid w:val="00F85055"/>
    <w:rsid w:val="00F856C5"/>
    <w:rsid w:val="00F8736C"/>
    <w:rsid w:val="00F87A9A"/>
    <w:rsid w:val="00F87AB7"/>
    <w:rsid w:val="00F90288"/>
    <w:rsid w:val="00F90983"/>
    <w:rsid w:val="00F919ED"/>
    <w:rsid w:val="00F9301F"/>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4A9B"/>
    <w:rsid w:val="00FE5937"/>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35941AB"/>
    <w:rsid w:val="036D286B"/>
    <w:rsid w:val="03D5136E"/>
    <w:rsid w:val="03DE4803"/>
    <w:rsid w:val="03FA4B86"/>
    <w:rsid w:val="040300D0"/>
    <w:rsid w:val="044319EC"/>
    <w:rsid w:val="047C559E"/>
    <w:rsid w:val="04F1119D"/>
    <w:rsid w:val="04FD3A4F"/>
    <w:rsid w:val="055F4103"/>
    <w:rsid w:val="05BC11C9"/>
    <w:rsid w:val="05F357D0"/>
    <w:rsid w:val="063A7DB1"/>
    <w:rsid w:val="063C64F5"/>
    <w:rsid w:val="068D34A2"/>
    <w:rsid w:val="0691031A"/>
    <w:rsid w:val="071776EA"/>
    <w:rsid w:val="07550729"/>
    <w:rsid w:val="07E745B3"/>
    <w:rsid w:val="089E34F5"/>
    <w:rsid w:val="09C63D96"/>
    <w:rsid w:val="0A073E44"/>
    <w:rsid w:val="0AA20EDF"/>
    <w:rsid w:val="0B252D26"/>
    <w:rsid w:val="0B38656F"/>
    <w:rsid w:val="0BB20188"/>
    <w:rsid w:val="0C132289"/>
    <w:rsid w:val="0CB657C6"/>
    <w:rsid w:val="0D407795"/>
    <w:rsid w:val="0E5007DE"/>
    <w:rsid w:val="0E790013"/>
    <w:rsid w:val="0E7E3011"/>
    <w:rsid w:val="0EB765CD"/>
    <w:rsid w:val="0EC358ED"/>
    <w:rsid w:val="0EDA4B0D"/>
    <w:rsid w:val="0EFC7001"/>
    <w:rsid w:val="0F156F83"/>
    <w:rsid w:val="0F6B6953"/>
    <w:rsid w:val="0F707843"/>
    <w:rsid w:val="10004DA3"/>
    <w:rsid w:val="100F0F06"/>
    <w:rsid w:val="10133CEC"/>
    <w:rsid w:val="10471B90"/>
    <w:rsid w:val="108B1CC1"/>
    <w:rsid w:val="10CE0ABD"/>
    <w:rsid w:val="10FF683C"/>
    <w:rsid w:val="116A08C3"/>
    <w:rsid w:val="11A33C0D"/>
    <w:rsid w:val="11B973F8"/>
    <w:rsid w:val="122F63AC"/>
    <w:rsid w:val="127B43B6"/>
    <w:rsid w:val="13680C0A"/>
    <w:rsid w:val="13A04ADA"/>
    <w:rsid w:val="13BD7F7E"/>
    <w:rsid w:val="14816B91"/>
    <w:rsid w:val="14EA6FA1"/>
    <w:rsid w:val="152D3131"/>
    <w:rsid w:val="15BF7B05"/>
    <w:rsid w:val="15E22820"/>
    <w:rsid w:val="160D6B43"/>
    <w:rsid w:val="16872EBB"/>
    <w:rsid w:val="16D042ED"/>
    <w:rsid w:val="16E07DC5"/>
    <w:rsid w:val="17BA0C20"/>
    <w:rsid w:val="18BD6938"/>
    <w:rsid w:val="19E87FDB"/>
    <w:rsid w:val="1AC11F8B"/>
    <w:rsid w:val="1B05209B"/>
    <w:rsid w:val="1B0B329C"/>
    <w:rsid w:val="1BA230FD"/>
    <w:rsid w:val="1BA634C6"/>
    <w:rsid w:val="1BB67EAD"/>
    <w:rsid w:val="1C2025FB"/>
    <w:rsid w:val="1C635AC0"/>
    <w:rsid w:val="1CEE3C8E"/>
    <w:rsid w:val="1E73289D"/>
    <w:rsid w:val="1E930565"/>
    <w:rsid w:val="1E9C1534"/>
    <w:rsid w:val="1EA33558"/>
    <w:rsid w:val="1ED52605"/>
    <w:rsid w:val="1F6D75A9"/>
    <w:rsid w:val="200759D0"/>
    <w:rsid w:val="20CD2F2D"/>
    <w:rsid w:val="20D05411"/>
    <w:rsid w:val="21301249"/>
    <w:rsid w:val="21590C6F"/>
    <w:rsid w:val="21600162"/>
    <w:rsid w:val="22824CAF"/>
    <w:rsid w:val="230954A7"/>
    <w:rsid w:val="23267F71"/>
    <w:rsid w:val="23444524"/>
    <w:rsid w:val="23575B67"/>
    <w:rsid w:val="23754123"/>
    <w:rsid w:val="242A46F0"/>
    <w:rsid w:val="24945E6B"/>
    <w:rsid w:val="24CE3299"/>
    <w:rsid w:val="253B76A6"/>
    <w:rsid w:val="25FA16A4"/>
    <w:rsid w:val="260C6ABC"/>
    <w:rsid w:val="26874BD1"/>
    <w:rsid w:val="268F21C0"/>
    <w:rsid w:val="26CC4DFF"/>
    <w:rsid w:val="26CE0A8C"/>
    <w:rsid w:val="273A0BF1"/>
    <w:rsid w:val="27605C0F"/>
    <w:rsid w:val="282C0B4D"/>
    <w:rsid w:val="29A61AF6"/>
    <w:rsid w:val="29A62909"/>
    <w:rsid w:val="29E95322"/>
    <w:rsid w:val="29EC0AC1"/>
    <w:rsid w:val="2AE2377A"/>
    <w:rsid w:val="2D2E581F"/>
    <w:rsid w:val="2E54239A"/>
    <w:rsid w:val="2ED86341"/>
    <w:rsid w:val="2F7512DC"/>
    <w:rsid w:val="2F9D053B"/>
    <w:rsid w:val="31126690"/>
    <w:rsid w:val="311745F7"/>
    <w:rsid w:val="319369D6"/>
    <w:rsid w:val="333A1DBF"/>
    <w:rsid w:val="35D85E66"/>
    <w:rsid w:val="36EE4E57"/>
    <w:rsid w:val="37150697"/>
    <w:rsid w:val="39260332"/>
    <w:rsid w:val="39454C35"/>
    <w:rsid w:val="39A55E66"/>
    <w:rsid w:val="39E51EF7"/>
    <w:rsid w:val="3A4E5378"/>
    <w:rsid w:val="3A8A7049"/>
    <w:rsid w:val="3B2670AB"/>
    <w:rsid w:val="3BEB5AC1"/>
    <w:rsid w:val="3C7075E4"/>
    <w:rsid w:val="3C73358E"/>
    <w:rsid w:val="3CB215BE"/>
    <w:rsid w:val="3DE22A9D"/>
    <w:rsid w:val="3FD37425"/>
    <w:rsid w:val="40B23823"/>
    <w:rsid w:val="40EC55EA"/>
    <w:rsid w:val="41806924"/>
    <w:rsid w:val="420F2347"/>
    <w:rsid w:val="42D1119D"/>
    <w:rsid w:val="432D61BB"/>
    <w:rsid w:val="4354380F"/>
    <w:rsid w:val="437F5F72"/>
    <w:rsid w:val="43EE4B89"/>
    <w:rsid w:val="43F33D10"/>
    <w:rsid w:val="447103A1"/>
    <w:rsid w:val="44727557"/>
    <w:rsid w:val="455D7376"/>
    <w:rsid w:val="45B4341C"/>
    <w:rsid w:val="463D62BC"/>
    <w:rsid w:val="46AE76A0"/>
    <w:rsid w:val="475442BC"/>
    <w:rsid w:val="479A273C"/>
    <w:rsid w:val="47C87427"/>
    <w:rsid w:val="484A2925"/>
    <w:rsid w:val="48EA3FA2"/>
    <w:rsid w:val="491175F8"/>
    <w:rsid w:val="49F53A7E"/>
    <w:rsid w:val="4A45381C"/>
    <w:rsid w:val="4A7936AE"/>
    <w:rsid w:val="4B6A2015"/>
    <w:rsid w:val="4BA74278"/>
    <w:rsid w:val="4BBD645C"/>
    <w:rsid w:val="4BF66658"/>
    <w:rsid w:val="4DCB2AF5"/>
    <w:rsid w:val="4F1A3CB3"/>
    <w:rsid w:val="4F1E0BD4"/>
    <w:rsid w:val="4F601247"/>
    <w:rsid w:val="4FCB3D3E"/>
    <w:rsid w:val="4FFB4B92"/>
    <w:rsid w:val="502B5B04"/>
    <w:rsid w:val="509311B2"/>
    <w:rsid w:val="51233921"/>
    <w:rsid w:val="51E2428B"/>
    <w:rsid w:val="51E86350"/>
    <w:rsid w:val="530818C9"/>
    <w:rsid w:val="53865DE2"/>
    <w:rsid w:val="53F35333"/>
    <w:rsid w:val="548B0CB9"/>
    <w:rsid w:val="55BA5565"/>
    <w:rsid w:val="561B5434"/>
    <w:rsid w:val="56443236"/>
    <w:rsid w:val="56B82C96"/>
    <w:rsid w:val="572B3A61"/>
    <w:rsid w:val="574C149B"/>
    <w:rsid w:val="5785331F"/>
    <w:rsid w:val="588D7247"/>
    <w:rsid w:val="59D54599"/>
    <w:rsid w:val="5BE17A7D"/>
    <w:rsid w:val="5BEC3839"/>
    <w:rsid w:val="5D4942EE"/>
    <w:rsid w:val="5D620088"/>
    <w:rsid w:val="5DAE6B9E"/>
    <w:rsid w:val="5E3C37E3"/>
    <w:rsid w:val="5FE14611"/>
    <w:rsid w:val="5FFC5679"/>
    <w:rsid w:val="60864AEA"/>
    <w:rsid w:val="61B27A4F"/>
    <w:rsid w:val="6258504E"/>
    <w:rsid w:val="62E47122"/>
    <w:rsid w:val="63946143"/>
    <w:rsid w:val="639623A8"/>
    <w:rsid w:val="63CE7891"/>
    <w:rsid w:val="63EA6BD0"/>
    <w:rsid w:val="645857BB"/>
    <w:rsid w:val="647F59A0"/>
    <w:rsid w:val="65064810"/>
    <w:rsid w:val="66BB6825"/>
    <w:rsid w:val="67347A3D"/>
    <w:rsid w:val="678E1852"/>
    <w:rsid w:val="68617A2A"/>
    <w:rsid w:val="69085720"/>
    <w:rsid w:val="697C1803"/>
    <w:rsid w:val="6A4D2293"/>
    <w:rsid w:val="6AD52733"/>
    <w:rsid w:val="6BBC2756"/>
    <w:rsid w:val="6BF821B7"/>
    <w:rsid w:val="6C0E0099"/>
    <w:rsid w:val="6C81295D"/>
    <w:rsid w:val="6CFA100B"/>
    <w:rsid w:val="6D043EB4"/>
    <w:rsid w:val="6D0D6C71"/>
    <w:rsid w:val="6DE70BD3"/>
    <w:rsid w:val="6E0020C4"/>
    <w:rsid w:val="6F611730"/>
    <w:rsid w:val="6F961959"/>
    <w:rsid w:val="70192BA2"/>
    <w:rsid w:val="701C1CFC"/>
    <w:rsid w:val="703E6B44"/>
    <w:rsid w:val="706E4EB9"/>
    <w:rsid w:val="70982274"/>
    <w:rsid w:val="70A53E40"/>
    <w:rsid w:val="70F24E9E"/>
    <w:rsid w:val="72371A7B"/>
    <w:rsid w:val="723727D8"/>
    <w:rsid w:val="729675C6"/>
    <w:rsid w:val="72D368B7"/>
    <w:rsid w:val="72DD7DFC"/>
    <w:rsid w:val="73BC5805"/>
    <w:rsid w:val="74112BA1"/>
    <w:rsid w:val="745970CB"/>
    <w:rsid w:val="74AF3325"/>
    <w:rsid w:val="74B31B32"/>
    <w:rsid w:val="75595D22"/>
    <w:rsid w:val="761F16F3"/>
    <w:rsid w:val="767037DF"/>
    <w:rsid w:val="7674692B"/>
    <w:rsid w:val="767513B0"/>
    <w:rsid w:val="767A1F53"/>
    <w:rsid w:val="76B02787"/>
    <w:rsid w:val="76EF6628"/>
    <w:rsid w:val="77121824"/>
    <w:rsid w:val="77704659"/>
    <w:rsid w:val="784D5C4E"/>
    <w:rsid w:val="78CA53F2"/>
    <w:rsid w:val="79A663CC"/>
    <w:rsid w:val="7A5D1E54"/>
    <w:rsid w:val="7A954B61"/>
    <w:rsid w:val="7B4D3ED6"/>
    <w:rsid w:val="7BC84BB5"/>
    <w:rsid w:val="7C805C05"/>
    <w:rsid w:val="7CD73633"/>
    <w:rsid w:val="7D1843AA"/>
    <w:rsid w:val="7D6D5948"/>
    <w:rsid w:val="7D810325"/>
    <w:rsid w:val="7D9C50BC"/>
    <w:rsid w:val="7DE4748C"/>
    <w:rsid w:val="7F654E40"/>
    <w:rsid w:val="7FA37366"/>
    <w:rsid w:val="7FE14E84"/>
    <w:rsid w:val="7FF2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36"/>
      <w:szCs w:val="20"/>
    </w:rPr>
  </w:style>
  <w:style w:type="paragraph" w:styleId="4">
    <w:name w:val="heading 2"/>
    <w:basedOn w:val="1"/>
    <w:next w:val="1"/>
    <w:link w:val="99"/>
    <w:qFormat/>
    <w:uiPriority w:val="9"/>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9"/>
    <w:pPr>
      <w:keepNext/>
      <w:keepLines/>
      <w:spacing w:before="260" w:after="260" w:line="412" w:lineRule="auto"/>
      <w:outlineLvl w:val="2"/>
    </w:pPr>
    <w:rPr>
      <w:b/>
      <w:sz w:val="32"/>
      <w:szCs w:val="20"/>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9"/>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link w:val="88"/>
    <w:qFormat/>
    <w:uiPriority w:val="0"/>
    <w:pPr>
      <w:ind w:firstLine="420"/>
    </w:pPr>
    <w:rPr>
      <w:szCs w:val="20"/>
    </w:rPr>
  </w:style>
  <w:style w:type="paragraph" w:styleId="13">
    <w:name w:val="annotation text"/>
    <w:basedOn w:val="1"/>
    <w:link w:val="87"/>
    <w:qFormat/>
    <w:uiPriority w:val="0"/>
    <w:pPr>
      <w:jc w:val="left"/>
    </w:pPr>
  </w:style>
  <w:style w:type="paragraph" w:styleId="14">
    <w:name w:val="Body Text Indent"/>
    <w:basedOn w:val="1"/>
    <w:link w:val="78"/>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0"/>
    <w:qFormat/>
    <w:uiPriority w:val="0"/>
    <w:pPr>
      <w:ind w:firstLine="630"/>
    </w:pPr>
    <w:rPr>
      <w:sz w:val="32"/>
      <w:szCs w:val="20"/>
    </w:rPr>
  </w:style>
  <w:style w:type="paragraph" w:styleId="19">
    <w:name w:val="Balloon Text"/>
    <w:basedOn w:val="1"/>
    <w:link w:val="66"/>
    <w:qFormat/>
    <w:uiPriority w:val="0"/>
    <w:rPr>
      <w:sz w:val="18"/>
      <w:szCs w:val="18"/>
    </w:rPr>
  </w:style>
  <w:style w:type="paragraph" w:styleId="20">
    <w:name w:val="footer"/>
    <w:basedOn w:val="1"/>
    <w:link w:val="101"/>
    <w:qFormat/>
    <w:uiPriority w:val="0"/>
    <w:pPr>
      <w:tabs>
        <w:tab w:val="center" w:pos="4153"/>
        <w:tab w:val="right" w:pos="8306"/>
      </w:tabs>
      <w:snapToGrid w:val="0"/>
      <w:jc w:val="left"/>
    </w:pPr>
    <w:rPr>
      <w:sz w:val="18"/>
      <w:szCs w:val="20"/>
    </w:rPr>
  </w:style>
  <w:style w:type="paragraph" w:styleId="21">
    <w:name w:val="header"/>
    <w:basedOn w:val="1"/>
    <w:link w:val="73"/>
    <w:qFormat/>
    <w:uiPriority w:val="99"/>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6"/>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64"/>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7">
    <w:name w:val="表格文字"/>
    <w:basedOn w:val="1"/>
    <w:qFormat/>
    <w:uiPriority w:val="0"/>
    <w:pPr>
      <w:spacing w:before="25" w:after="25"/>
      <w:jc w:val="left"/>
    </w:pPr>
    <w:rPr>
      <w:rFonts w:ascii="Calibri" w:hAnsi="Calibri"/>
      <w:bCs/>
      <w:spacing w:val="10"/>
      <w:kern w:val="0"/>
      <w:sz w:val="24"/>
    </w:rPr>
  </w:style>
  <w:style w:type="paragraph" w:customStyle="1" w:styleId="48">
    <w:name w:val="Char1"/>
    <w:basedOn w:val="1"/>
    <w:qFormat/>
    <w:uiPriority w:val="0"/>
    <w:rPr>
      <w:szCs w:val="21"/>
    </w:rPr>
  </w:style>
  <w:style w:type="paragraph" w:customStyle="1" w:styleId="4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 Char Char Char"/>
    <w:basedOn w:val="1"/>
    <w:qFormat/>
    <w:uiPriority w:val="0"/>
    <w:rPr>
      <w:rFonts w:ascii="Tahoma" w:hAnsi="Tahoma"/>
      <w:sz w:val="24"/>
      <w:szCs w:val="20"/>
    </w:rPr>
  </w:style>
  <w:style w:type="paragraph" w:customStyle="1" w:styleId="51">
    <w:name w:val="p0"/>
    <w:basedOn w:val="1"/>
    <w:link w:val="72"/>
    <w:qFormat/>
    <w:uiPriority w:val="0"/>
    <w:pPr>
      <w:widowControl/>
    </w:pPr>
    <w:rPr>
      <w:kern w:val="0"/>
      <w:szCs w:val="21"/>
    </w:rPr>
  </w:style>
  <w:style w:type="paragraph" w:styleId="52">
    <w:name w:val="List Paragraph"/>
    <w:basedOn w:val="1"/>
    <w:link w:val="103"/>
    <w:qFormat/>
    <w:uiPriority w:val="34"/>
    <w:pPr>
      <w:ind w:firstLine="420" w:firstLineChars="200"/>
    </w:pPr>
    <w:rPr>
      <w:sz w:val="18"/>
      <w:szCs w:val="18"/>
    </w:rPr>
  </w:style>
  <w:style w:type="paragraph" w:customStyle="1" w:styleId="53">
    <w:name w:val="title12"/>
    <w:basedOn w:val="1"/>
    <w:qFormat/>
    <w:uiPriority w:val="0"/>
    <w:pPr>
      <w:spacing w:before="150"/>
      <w:jc w:val="left"/>
    </w:pPr>
    <w:rPr>
      <w:b/>
      <w:kern w:val="0"/>
      <w:sz w:val="22"/>
      <w:szCs w:val="22"/>
    </w:rPr>
  </w:style>
  <w:style w:type="paragraph" w:customStyle="1" w:styleId="54">
    <w:name w:val="表格"/>
    <w:basedOn w:val="1"/>
    <w:qFormat/>
    <w:uiPriority w:val="0"/>
    <w:pPr>
      <w:spacing w:line="400" w:lineRule="exact"/>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默认段落字体 Para Char Char Char Char Char Char Char"/>
    <w:basedOn w:val="1"/>
    <w:qFormat/>
    <w:uiPriority w:val="0"/>
    <w:rPr>
      <w:rFonts w:ascii="Tahoma" w:hAnsi="Tahoma"/>
      <w:sz w:val="24"/>
      <w:szCs w:val="20"/>
    </w:rPr>
  </w:style>
  <w:style w:type="character" w:customStyle="1" w:styleId="64">
    <w:name w:val="批注主题 Char"/>
    <w:link w:val="27"/>
    <w:qFormat/>
    <w:uiPriority w:val="0"/>
    <w:rPr>
      <w:b/>
      <w:bCs/>
      <w:kern w:val="2"/>
      <w:sz w:val="21"/>
      <w:szCs w:val="24"/>
    </w:rPr>
  </w:style>
  <w:style w:type="character" w:customStyle="1" w:styleId="65">
    <w:name w:val="stclosebtn"/>
    <w:basedOn w:val="31"/>
    <w:qFormat/>
    <w:uiPriority w:val="0"/>
  </w:style>
  <w:style w:type="character" w:customStyle="1" w:styleId="66">
    <w:name w:val="批注框文本 Char"/>
    <w:link w:val="19"/>
    <w:qFormat/>
    <w:uiPriority w:val="0"/>
    <w:rPr>
      <w:kern w:val="2"/>
      <w:sz w:val="18"/>
      <w:szCs w:val="18"/>
    </w:rPr>
  </w:style>
  <w:style w:type="character" w:customStyle="1" w:styleId="67">
    <w:name w:val="beforeinfotext"/>
    <w:basedOn w:val="31"/>
    <w:qFormat/>
    <w:uiPriority w:val="0"/>
    <w:rPr>
      <w:color w:val="666666"/>
    </w:rPr>
  </w:style>
  <w:style w:type="character" w:customStyle="1" w:styleId="68">
    <w:name w:val="hour_am"/>
    <w:basedOn w:val="31"/>
    <w:qFormat/>
    <w:uiPriority w:val="0"/>
  </w:style>
  <w:style w:type="character" w:customStyle="1" w:styleId="69">
    <w:name w:val="Char Char14"/>
    <w:qFormat/>
    <w:uiPriority w:val="0"/>
    <w:rPr>
      <w:rFonts w:ascii="Arial" w:hAnsi="Arial" w:eastAsia="黑体"/>
      <w:b/>
      <w:bCs/>
      <w:sz w:val="28"/>
      <w:szCs w:val="28"/>
      <w:lang w:val="en-US" w:eastAsia="zh-CN" w:bidi="ar-SA"/>
    </w:rPr>
  </w:style>
  <w:style w:type="character" w:customStyle="1" w:styleId="70">
    <w:name w:val="active"/>
    <w:basedOn w:val="31"/>
    <w:qFormat/>
    <w:uiPriority w:val="0"/>
    <w:rPr>
      <w:color w:val="00FF00"/>
      <w:shd w:val="clear" w:color="auto" w:fill="000000"/>
    </w:rPr>
  </w:style>
  <w:style w:type="character" w:customStyle="1" w:styleId="71">
    <w:name w:val="普通文字1 Char"/>
    <w:qFormat/>
    <w:uiPriority w:val="0"/>
    <w:rPr>
      <w:rFonts w:ascii="宋体" w:hAnsi="Courier New" w:eastAsia="宋体"/>
      <w:kern w:val="2"/>
      <w:sz w:val="21"/>
      <w:lang w:val="en-US" w:eastAsia="zh-CN" w:bidi="ar-SA"/>
    </w:rPr>
  </w:style>
  <w:style w:type="character" w:customStyle="1" w:styleId="72">
    <w:name w:val="p0 Char"/>
    <w:link w:val="51"/>
    <w:qFormat/>
    <w:uiPriority w:val="0"/>
    <w:rPr>
      <w:rFonts w:eastAsia="宋体"/>
      <w:sz w:val="21"/>
      <w:szCs w:val="21"/>
      <w:lang w:val="en-US" w:eastAsia="zh-CN" w:bidi="ar-SA"/>
    </w:rPr>
  </w:style>
  <w:style w:type="character" w:customStyle="1" w:styleId="73">
    <w:name w:val="页眉 Char"/>
    <w:link w:val="21"/>
    <w:qFormat/>
    <w:uiPriority w:val="99"/>
    <w:rPr>
      <w:rFonts w:eastAsia="宋体"/>
      <w:kern w:val="2"/>
      <w:sz w:val="18"/>
      <w:lang w:val="en-US" w:eastAsia="zh-CN" w:bidi="ar-SA"/>
    </w:rPr>
  </w:style>
  <w:style w:type="character" w:customStyle="1" w:styleId="74">
    <w:name w:val="indent"/>
    <w:basedOn w:val="31"/>
    <w:qFormat/>
    <w:uiPriority w:val="0"/>
  </w:style>
  <w:style w:type="character" w:customStyle="1" w:styleId="75">
    <w:name w:val="hour_pm"/>
    <w:basedOn w:val="31"/>
    <w:qFormat/>
    <w:uiPriority w:val="0"/>
  </w:style>
  <w:style w:type="character" w:customStyle="1" w:styleId="76">
    <w:name w:val="button"/>
    <w:basedOn w:val="31"/>
    <w:qFormat/>
    <w:uiPriority w:val="0"/>
  </w:style>
  <w:style w:type="character" w:customStyle="1" w:styleId="77">
    <w:name w:val="正文文本缩进 字符1"/>
    <w:semiHidden/>
    <w:qFormat/>
    <w:locked/>
    <w:uiPriority w:val="0"/>
    <w:rPr>
      <w:kern w:val="2"/>
      <w:sz w:val="32"/>
    </w:rPr>
  </w:style>
  <w:style w:type="character" w:customStyle="1" w:styleId="78">
    <w:name w:val="正文文本缩进 Char"/>
    <w:link w:val="14"/>
    <w:qFormat/>
    <w:uiPriority w:val="0"/>
    <w:rPr>
      <w:kern w:val="2"/>
      <w:sz w:val="32"/>
    </w:rPr>
  </w:style>
  <w:style w:type="character" w:customStyle="1" w:styleId="79">
    <w:name w:val="hover3"/>
    <w:basedOn w:val="31"/>
    <w:qFormat/>
    <w:uiPriority w:val="0"/>
    <w:rPr>
      <w:shd w:val="clear" w:color="auto" w:fill="EEEEEE"/>
    </w:rPr>
  </w:style>
  <w:style w:type="character" w:customStyle="1" w:styleId="80">
    <w:name w:val="mini-outputtext1"/>
    <w:basedOn w:val="31"/>
    <w:qFormat/>
    <w:uiPriority w:val="0"/>
  </w:style>
  <w:style w:type="character" w:customStyle="1" w:styleId="81">
    <w:name w:val="NormalCharacter"/>
    <w:qFormat/>
    <w:uiPriority w:val="0"/>
  </w:style>
  <w:style w:type="character" w:customStyle="1" w:styleId="82">
    <w:name w:val="tmpztreemove_arrow"/>
    <w:basedOn w:val="31"/>
    <w:qFormat/>
    <w:uiPriority w:val="0"/>
    <w:rPr>
      <w:shd w:val="clear" w:color="auto" w:fill="FFFFFF"/>
    </w:rPr>
  </w:style>
  <w:style w:type="character" w:customStyle="1" w:styleId="83">
    <w:name w:val="input-direction"/>
    <w:basedOn w:val="31"/>
    <w:qFormat/>
    <w:uiPriority w:val="0"/>
    <w:rPr>
      <w:color w:val="FF6600"/>
    </w:rPr>
  </w:style>
  <w:style w:type="character" w:customStyle="1" w:styleId="84">
    <w:name w:val="bds_nopic2"/>
    <w:qFormat/>
    <w:uiPriority w:val="0"/>
    <w:rPr>
      <w:rFonts w:ascii="Times New Roman" w:hAnsi="Times New Roman" w:eastAsia="宋体"/>
    </w:rPr>
  </w:style>
  <w:style w:type="character" w:customStyle="1" w:styleId="85">
    <w:name w:val="hilite"/>
    <w:basedOn w:val="31"/>
    <w:qFormat/>
    <w:uiPriority w:val="0"/>
    <w:rPr>
      <w:color w:val="FFFFFF"/>
      <w:shd w:val="clear" w:color="auto" w:fill="666677"/>
    </w:rPr>
  </w:style>
  <w:style w:type="character" w:customStyle="1" w:styleId="86">
    <w:name w:val="正文文本缩进 3 Char"/>
    <w:link w:val="23"/>
    <w:qFormat/>
    <w:uiPriority w:val="0"/>
    <w:rPr>
      <w:rFonts w:ascii="黑体" w:eastAsia="黑体"/>
      <w:kern w:val="2"/>
      <w:sz w:val="30"/>
      <w:szCs w:val="28"/>
    </w:rPr>
  </w:style>
  <w:style w:type="character" w:customStyle="1" w:styleId="87">
    <w:name w:val="批注文字 Char"/>
    <w:link w:val="13"/>
    <w:qFormat/>
    <w:uiPriority w:val="0"/>
    <w:rPr>
      <w:kern w:val="2"/>
      <w:sz w:val="21"/>
      <w:szCs w:val="24"/>
    </w:rPr>
  </w:style>
  <w:style w:type="character" w:customStyle="1" w:styleId="88">
    <w:name w:val="正文缩进 Char"/>
    <w:link w:val="8"/>
    <w:qFormat/>
    <w:uiPriority w:val="0"/>
    <w:rPr>
      <w:rFonts w:eastAsia="宋体"/>
      <w:kern w:val="2"/>
      <w:sz w:val="21"/>
      <w:lang w:val="en-US" w:eastAsia="zh-CN" w:bidi="ar-SA"/>
    </w:rPr>
  </w:style>
  <w:style w:type="character" w:customStyle="1" w:styleId="89">
    <w:name w:val="span-long"/>
    <w:basedOn w:val="31"/>
    <w:qFormat/>
    <w:uiPriority w:val="0"/>
  </w:style>
  <w:style w:type="character" w:customStyle="1" w:styleId="90">
    <w:name w:val="hilite6"/>
    <w:basedOn w:val="31"/>
    <w:qFormat/>
    <w:uiPriority w:val="0"/>
    <w:rPr>
      <w:color w:val="FFFFFF"/>
      <w:shd w:val="clear" w:color="auto" w:fill="666677"/>
    </w:rPr>
  </w:style>
  <w:style w:type="character" w:customStyle="1" w:styleId="9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2">
    <w:name w:val="glyphicon4"/>
    <w:basedOn w:val="31"/>
    <w:qFormat/>
    <w:uiPriority w:val="0"/>
  </w:style>
  <w:style w:type="character" w:customStyle="1" w:styleId="93">
    <w:name w:val="active6"/>
    <w:basedOn w:val="31"/>
    <w:qFormat/>
    <w:uiPriority w:val="0"/>
    <w:rPr>
      <w:color w:val="00FF00"/>
      <w:shd w:val="clear" w:color="auto" w:fill="000000"/>
    </w:rPr>
  </w:style>
  <w:style w:type="character" w:customStyle="1" w:styleId="94">
    <w:name w:val="proollist"/>
    <w:basedOn w:val="31"/>
    <w:qFormat/>
    <w:uiPriority w:val="0"/>
  </w:style>
  <w:style w:type="character" w:customStyle="1" w:styleId="95">
    <w:name w:val="number"/>
    <w:basedOn w:val="31"/>
    <w:qFormat/>
    <w:uiPriority w:val="0"/>
    <w:rPr>
      <w:color w:val="FF8833"/>
      <w:sz w:val="18"/>
      <w:szCs w:val="18"/>
    </w:rPr>
  </w:style>
  <w:style w:type="character" w:customStyle="1" w:styleId="96">
    <w:name w:val="标题 1 Char"/>
    <w:link w:val="3"/>
    <w:qFormat/>
    <w:uiPriority w:val="0"/>
    <w:rPr>
      <w:rFonts w:ascii="Times New Roman" w:hAnsi="Times New Roman" w:eastAsia="宋体"/>
      <w:b/>
      <w:kern w:val="44"/>
      <w:sz w:val="36"/>
      <w:szCs w:val="20"/>
    </w:rPr>
  </w:style>
  <w:style w:type="character" w:customStyle="1" w:styleId="97">
    <w:name w:val="phone"/>
    <w:basedOn w:val="31"/>
    <w:qFormat/>
    <w:uiPriority w:val="0"/>
    <w:rPr>
      <w:color w:val="FF8833"/>
      <w:sz w:val="18"/>
      <w:szCs w:val="18"/>
    </w:rPr>
  </w:style>
  <w:style w:type="character" w:customStyle="1" w:styleId="98">
    <w:name w:val="old"/>
    <w:basedOn w:val="31"/>
    <w:qFormat/>
    <w:uiPriority w:val="0"/>
    <w:rPr>
      <w:color w:val="999999"/>
    </w:rPr>
  </w:style>
  <w:style w:type="character" w:customStyle="1" w:styleId="99">
    <w:name w:val="标题 2 Char"/>
    <w:link w:val="4"/>
    <w:qFormat/>
    <w:uiPriority w:val="0"/>
    <w:rPr>
      <w:rFonts w:ascii="Arial" w:hAnsi="Arial" w:eastAsia="黑体"/>
      <w:b/>
      <w:kern w:val="2"/>
      <w:sz w:val="28"/>
    </w:rPr>
  </w:style>
  <w:style w:type="character" w:customStyle="1" w:styleId="100">
    <w:name w:val="正文文本缩进 2 Char"/>
    <w:link w:val="18"/>
    <w:qFormat/>
    <w:uiPriority w:val="0"/>
    <w:rPr>
      <w:kern w:val="2"/>
      <w:sz w:val="32"/>
    </w:rPr>
  </w:style>
  <w:style w:type="character" w:customStyle="1" w:styleId="101">
    <w:name w:val="页脚 Char"/>
    <w:link w:val="20"/>
    <w:qFormat/>
    <w:uiPriority w:val="0"/>
    <w:rPr>
      <w:rFonts w:eastAsia="宋体"/>
      <w:kern w:val="2"/>
      <w:sz w:val="18"/>
      <w:lang w:val="en-US" w:eastAsia="zh-CN" w:bidi="ar-SA"/>
    </w:rPr>
  </w:style>
  <w:style w:type="paragraph" w:customStyle="1" w:styleId="102">
    <w:name w:val="正文缩进1"/>
    <w:basedOn w:val="1"/>
    <w:qFormat/>
    <w:uiPriority w:val="0"/>
    <w:pPr>
      <w:ind w:firstLine="420" w:firstLineChars="200"/>
    </w:pPr>
  </w:style>
  <w:style w:type="character" w:customStyle="1" w:styleId="103">
    <w:name w:val="列出段落 Char"/>
    <w:link w:val="52"/>
    <w:qFormat/>
    <w:locked/>
    <w:uiPriority w:val="34"/>
    <w:rPr>
      <w:kern w:val="2"/>
      <w:sz w:val="18"/>
      <w:szCs w:val="18"/>
    </w:rPr>
  </w:style>
  <w:style w:type="paragraph" w:customStyle="1" w:styleId="104">
    <w:name w:val="*正文"/>
    <w:basedOn w:val="1"/>
    <w:link w:val="105"/>
    <w:qFormat/>
    <w:uiPriority w:val="0"/>
    <w:pPr>
      <w:spacing w:line="360" w:lineRule="auto"/>
      <w:ind w:firstLine="200" w:firstLineChars="200"/>
    </w:pPr>
    <w:rPr>
      <w:rFonts w:ascii="宋体" w:hAnsi="宋体" w:eastAsia="仿宋" w:cstheme="minorBidi"/>
      <w:kern w:val="0"/>
      <w:sz w:val="28"/>
      <w:szCs w:val="22"/>
    </w:rPr>
  </w:style>
  <w:style w:type="character" w:customStyle="1" w:styleId="105">
    <w:name w:val="*正文 Char"/>
    <w:link w:val="104"/>
    <w:qFormat/>
    <w:uiPriority w:val="0"/>
    <w:rPr>
      <w:rFonts w:ascii="宋体" w:hAnsi="宋体" w:eastAsia="仿宋" w:cstheme="minorBidi"/>
      <w:sz w:val="28"/>
      <w:szCs w:val="22"/>
    </w:rPr>
  </w:style>
  <w:style w:type="paragraph" w:customStyle="1" w:styleId="106">
    <w:name w:val="样式 首行缩进:  0 字符"/>
    <w:basedOn w:val="1"/>
    <w:link w:val="107"/>
    <w:qFormat/>
    <w:uiPriority w:val="0"/>
    <w:pPr>
      <w:spacing w:line="360" w:lineRule="auto"/>
      <w:ind w:firstLine="200" w:firstLineChars="200"/>
    </w:pPr>
    <w:rPr>
      <w:rFonts w:cs="宋体"/>
      <w:sz w:val="24"/>
    </w:rPr>
  </w:style>
  <w:style w:type="character" w:customStyle="1" w:styleId="107">
    <w:name w:val="样式 首行缩进:  0 字符 Char"/>
    <w:link w:val="106"/>
    <w:qFormat/>
    <w:uiPriority w:val="0"/>
    <w:rPr>
      <w:rFonts w:cs="宋体"/>
      <w:kern w:val="2"/>
      <w:sz w:val="24"/>
      <w:szCs w:val="24"/>
    </w:rPr>
  </w:style>
  <w:style w:type="paragraph" w:customStyle="1" w:styleId="108">
    <w:name w:val="标号"/>
    <w:basedOn w:val="1"/>
    <w:qFormat/>
    <w:uiPriority w:val="99"/>
    <w:pPr>
      <w:spacing w:line="360" w:lineRule="auto"/>
    </w:pPr>
    <w:rPr>
      <w:rFonts w:ascii="宋体" w:hAnsi="宋体"/>
      <w:sz w:val="24"/>
    </w:rPr>
  </w:style>
  <w:style w:type="paragraph" w:customStyle="1" w:styleId="109">
    <w:name w:val="列出段落1"/>
    <w:basedOn w:val="1"/>
    <w:qFormat/>
    <w:uiPriority w:val="34"/>
    <w:pPr>
      <w:ind w:firstLine="420" w:firstLineChars="200"/>
    </w:pPr>
  </w:style>
  <w:style w:type="paragraph" w:customStyle="1" w:styleId="110">
    <w:name w:val="TOC 标题1"/>
    <w:basedOn w:val="3"/>
    <w:next w:val="1"/>
    <w:qFormat/>
    <w:uiPriority w:val="99"/>
    <w:pPr>
      <w:spacing w:line="276" w:lineRule="auto"/>
      <w:outlineLvl w:val="9"/>
    </w:pPr>
    <w:rPr>
      <w:rFonts w:ascii="仿宋" w:hAnsi="仿宋" w:eastAsia="仿宋"/>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陕西源丰成</Company>
  <Pages>91</Pages>
  <Words>46629</Words>
  <Characters>50081</Characters>
  <Lines>398</Lines>
  <Paragraphs>112</Paragraphs>
  <TotalTime>78</TotalTime>
  <ScaleCrop>false</ScaleCrop>
  <LinksUpToDate>false</LinksUpToDate>
  <CharactersWithSpaces>52765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源丰成</dc:creator>
  <cp:lastModifiedBy>萌哒哒</cp:lastModifiedBy>
  <cp:lastPrinted>2022-04-06T08:45:00Z</cp:lastPrinted>
  <dcterms:modified xsi:type="dcterms:W3CDTF">2022-08-08T07:10:50Z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79701B24D81C41B6B7DA427941CAF6E9</vt:lpwstr>
  </property>
</Properties>
</file>