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color w:val="auto"/>
          <w:szCs w:val="21"/>
        </w:rPr>
      </w:pPr>
    </w:p>
    <w:p>
      <w:pPr>
        <w:spacing w:line="360" w:lineRule="auto"/>
        <w:jc w:val="right"/>
        <w:rPr>
          <w:rFonts w:ascii="宋体" w:hAnsi="宋体"/>
          <w:b/>
          <w:bCs/>
          <w:color w:val="auto"/>
          <w:sz w:val="28"/>
          <w:szCs w:val="28"/>
        </w:rPr>
      </w:pPr>
      <w:r>
        <w:rPr>
          <w:rFonts w:hint="eastAsia" w:ascii="宋体" w:hAnsi="宋体"/>
          <w:b/>
          <w:bCs/>
          <w:color w:val="auto"/>
          <w:sz w:val="28"/>
          <w:szCs w:val="28"/>
        </w:rPr>
        <w:t>政府采购项目</w:t>
      </w:r>
    </w:p>
    <w:p>
      <w:pPr>
        <w:spacing w:line="360" w:lineRule="auto"/>
        <w:rPr>
          <w:rFonts w:ascii="宋体" w:hAnsi="宋体"/>
          <w:b/>
          <w:bCs/>
          <w:color w:val="auto"/>
          <w:sz w:val="28"/>
          <w:szCs w:val="28"/>
        </w:rPr>
      </w:pPr>
      <w:r>
        <w:rPr>
          <w:rFonts w:hint="eastAsia" w:ascii="宋体" w:hAnsi="宋体"/>
          <w:b/>
          <w:bCs/>
          <w:color w:val="auto"/>
          <w:sz w:val="28"/>
          <w:szCs w:val="28"/>
        </w:rPr>
        <w:t>采购项目编号：</w:t>
      </w:r>
      <w:r>
        <w:rPr>
          <w:rFonts w:hint="eastAsia" w:ascii="宋体" w:hAnsi="宋体"/>
          <w:b/>
          <w:bCs/>
          <w:color w:val="auto"/>
          <w:kern w:val="0"/>
          <w:sz w:val="28"/>
          <w:szCs w:val="28"/>
        </w:rPr>
        <w:t>SXZCZ-2022-58</w:t>
      </w:r>
      <w:r>
        <w:rPr>
          <w:rFonts w:hint="eastAsia" w:ascii="宋体" w:hAnsi="宋体"/>
          <w:b/>
          <w:bCs/>
          <w:color w:val="auto"/>
          <w:sz w:val="28"/>
          <w:szCs w:val="28"/>
        </w:rPr>
        <w:fldChar w:fldCharType="begin"/>
      </w:r>
      <w:r>
        <w:rPr>
          <w:rFonts w:hint="eastAsia" w:ascii="宋体" w:hAnsi="宋体"/>
          <w:b/>
          <w:bCs/>
          <w:color w:val="auto"/>
          <w:sz w:val="28"/>
          <w:szCs w:val="28"/>
        </w:rPr>
        <w:instrText xml:space="preserve"> DOCVARIABLE  采购编号  \* MERGEFORMAT </w:instrText>
      </w:r>
      <w:r>
        <w:rPr>
          <w:rFonts w:hint="eastAsia" w:ascii="宋体" w:hAnsi="宋体"/>
          <w:b/>
          <w:bCs/>
          <w:color w:val="auto"/>
          <w:sz w:val="28"/>
          <w:szCs w:val="28"/>
        </w:rPr>
        <w:fldChar w:fldCharType="end"/>
      </w:r>
    </w:p>
    <w:p>
      <w:pPr>
        <w:spacing w:line="360" w:lineRule="auto"/>
        <w:rPr>
          <w:rFonts w:ascii="宋体" w:hAnsi="宋体"/>
          <w:b/>
          <w:color w:val="auto"/>
          <w:szCs w:val="21"/>
        </w:rPr>
      </w:pP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spacing w:line="360" w:lineRule="auto"/>
        <w:jc w:val="center"/>
        <w:rPr>
          <w:rFonts w:ascii="宋体" w:hAnsi="宋体"/>
          <w:b/>
          <w:color w:val="auto"/>
          <w:sz w:val="52"/>
          <w:szCs w:val="52"/>
        </w:rPr>
      </w:pPr>
      <w:r>
        <w:rPr>
          <w:rFonts w:hint="eastAsia" w:ascii="宋体" w:hAnsi="宋体"/>
          <w:b/>
          <w:bCs/>
          <w:color w:val="auto"/>
          <w:sz w:val="52"/>
          <w:szCs w:val="52"/>
        </w:rPr>
        <w:t>执法全过程系统运维及监督点位项目</w:t>
      </w:r>
    </w:p>
    <w:p>
      <w:pPr>
        <w:spacing w:line="360" w:lineRule="auto"/>
        <w:rPr>
          <w:rFonts w:ascii="宋体" w:hAnsi="宋体"/>
          <w:b/>
          <w:color w:val="auto"/>
          <w:szCs w:val="21"/>
        </w:rPr>
      </w:pPr>
    </w:p>
    <w:p>
      <w:pPr>
        <w:tabs>
          <w:tab w:val="left" w:pos="420"/>
          <w:tab w:val="center" w:pos="4933"/>
          <w:tab w:val="left" w:pos="6660"/>
          <w:tab w:val="left" w:pos="7829"/>
        </w:tabs>
        <w:spacing w:line="360" w:lineRule="auto"/>
        <w:jc w:val="left"/>
        <w:rPr>
          <w:rFonts w:ascii="宋体" w:hAnsi="宋体"/>
          <w:b/>
          <w:color w:val="auto"/>
          <w:sz w:val="52"/>
          <w:szCs w:val="52"/>
        </w:rPr>
      </w:pPr>
      <w:r>
        <w:rPr>
          <w:rFonts w:hint="eastAsia" w:ascii="宋体" w:hAnsi="宋体"/>
          <w:b/>
          <w:color w:val="auto"/>
          <w:sz w:val="52"/>
          <w:szCs w:val="52"/>
        </w:rPr>
        <w:tab/>
      </w:r>
      <w:r>
        <w:rPr>
          <w:rFonts w:hint="eastAsia" w:ascii="宋体" w:hAnsi="宋体"/>
          <w:b/>
          <w:color w:val="auto"/>
          <w:sz w:val="52"/>
          <w:szCs w:val="52"/>
        </w:rPr>
        <w:tab/>
      </w:r>
      <w:r>
        <w:rPr>
          <w:rFonts w:hint="eastAsia" w:ascii="宋体" w:hAnsi="宋体"/>
          <w:b/>
          <w:color w:val="auto"/>
          <w:sz w:val="44"/>
          <w:szCs w:val="44"/>
        </w:rPr>
        <w:t>竞争性磋商文件</w:t>
      </w:r>
      <w:r>
        <w:rPr>
          <w:rFonts w:hint="eastAsia" w:ascii="宋体" w:hAnsi="宋体"/>
          <w:b/>
          <w:color w:val="auto"/>
          <w:sz w:val="52"/>
          <w:szCs w:val="52"/>
        </w:rPr>
        <w:tab/>
      </w:r>
    </w:p>
    <w:p>
      <w:pPr>
        <w:spacing w:line="360" w:lineRule="auto"/>
        <w:rPr>
          <w:rFonts w:ascii="宋体" w:hAnsi="宋体"/>
          <w:bCs/>
          <w:color w:val="auto"/>
          <w:szCs w:val="21"/>
        </w:rPr>
      </w:pPr>
    </w:p>
    <w:p>
      <w:pPr>
        <w:spacing w:line="360" w:lineRule="auto"/>
        <w:jc w:val="center"/>
        <w:rPr>
          <w:rFonts w:ascii="宋体" w:hAnsi="宋体"/>
          <w:bCs/>
          <w:color w:val="auto"/>
          <w:szCs w:val="21"/>
        </w:rPr>
      </w:pPr>
    </w:p>
    <w:p>
      <w:pPr>
        <w:spacing w:line="360" w:lineRule="auto"/>
        <w:jc w:val="center"/>
        <w:rPr>
          <w:rFonts w:ascii="宋体" w:hAnsi="宋体"/>
          <w:bCs/>
          <w:color w:val="auto"/>
          <w:szCs w:val="21"/>
        </w:rPr>
      </w:pPr>
    </w:p>
    <w:p>
      <w:pPr>
        <w:spacing w:line="360" w:lineRule="auto"/>
        <w:rPr>
          <w:rFonts w:ascii="宋体" w:hAnsi="宋体"/>
          <w:b/>
          <w:bCs/>
          <w:color w:val="auto"/>
          <w:szCs w:val="21"/>
        </w:rPr>
      </w:pPr>
    </w:p>
    <w:p>
      <w:pPr>
        <w:spacing w:line="360" w:lineRule="auto"/>
        <w:jc w:val="center"/>
        <w:rPr>
          <w:rFonts w:ascii="宋体" w:hAnsi="宋体"/>
          <w:b/>
          <w:bCs/>
          <w:color w:val="auto"/>
          <w:szCs w:val="21"/>
        </w:rPr>
      </w:pPr>
    </w:p>
    <w:p>
      <w:pPr>
        <w:spacing w:line="360" w:lineRule="auto"/>
        <w:jc w:val="center"/>
        <w:rPr>
          <w:rFonts w:ascii="宋体" w:hAnsi="宋体"/>
          <w:b/>
          <w:bCs/>
          <w:color w:val="auto"/>
          <w:szCs w:val="21"/>
        </w:rPr>
      </w:pPr>
    </w:p>
    <w:p>
      <w:pPr>
        <w:spacing w:line="360" w:lineRule="auto"/>
        <w:jc w:val="center"/>
        <w:rPr>
          <w:rFonts w:ascii="宋体" w:hAnsi="宋体"/>
          <w:b/>
          <w:bCs/>
          <w:color w:val="auto"/>
          <w:szCs w:val="21"/>
        </w:rPr>
      </w:pPr>
    </w:p>
    <w:p>
      <w:pPr>
        <w:spacing w:line="360" w:lineRule="auto"/>
        <w:ind w:firstLine="1687" w:firstLineChars="700"/>
        <w:rPr>
          <w:rFonts w:ascii="宋体" w:hAnsi="宋体"/>
          <w:color w:val="auto"/>
          <w:sz w:val="24"/>
          <w:u w:val="single"/>
        </w:rPr>
      </w:pPr>
      <w:r>
        <w:rPr>
          <w:rFonts w:ascii="宋体" w:hAnsi="宋体"/>
          <w:b/>
          <w:bCs/>
          <w:color w:val="auto"/>
          <w:sz w:val="24"/>
        </w:rPr>
        <w:t xml:space="preserve">采 </w:t>
      </w:r>
      <w:r>
        <w:rPr>
          <w:rFonts w:hint="eastAsia" w:ascii="宋体" w:hAnsi="宋体"/>
          <w:b/>
          <w:bCs/>
          <w:color w:val="auto"/>
          <w:sz w:val="24"/>
        </w:rPr>
        <w:t xml:space="preserve">  </w:t>
      </w:r>
      <w:r>
        <w:rPr>
          <w:rFonts w:ascii="宋体" w:hAnsi="宋体"/>
          <w:b/>
          <w:bCs/>
          <w:color w:val="auto"/>
          <w:sz w:val="24"/>
        </w:rPr>
        <w:t>购</w:t>
      </w:r>
      <w:r>
        <w:rPr>
          <w:rFonts w:hint="eastAsia" w:ascii="宋体" w:hAnsi="宋体"/>
          <w:b/>
          <w:bCs/>
          <w:color w:val="auto"/>
          <w:sz w:val="24"/>
        </w:rPr>
        <w:t xml:space="preserve">   </w:t>
      </w:r>
      <w:r>
        <w:rPr>
          <w:rFonts w:ascii="宋体" w:hAnsi="宋体"/>
          <w:b/>
          <w:bCs/>
          <w:color w:val="auto"/>
          <w:sz w:val="24"/>
        </w:rPr>
        <w:t>人：</w:t>
      </w:r>
      <w:r>
        <w:rPr>
          <w:rFonts w:ascii="宋体" w:hAnsi="宋体"/>
          <w:color w:val="auto"/>
          <w:sz w:val="24"/>
          <w:u w:val="single"/>
        </w:rPr>
        <w:t>陕西省生态环境执法总队</w:t>
      </w:r>
      <w:r>
        <w:rPr>
          <w:rFonts w:hint="eastAsia" w:ascii="宋体" w:hAnsi="宋体"/>
          <w:color w:val="auto"/>
          <w:sz w:val="24"/>
          <w:u w:val="single"/>
        </w:rPr>
        <w:t xml:space="preserve">    </w:t>
      </w:r>
    </w:p>
    <w:p>
      <w:pPr>
        <w:pStyle w:val="7"/>
        <w:ind w:firstLine="420"/>
        <w:rPr>
          <w:color w:val="auto"/>
        </w:rPr>
      </w:pPr>
    </w:p>
    <w:p>
      <w:pPr>
        <w:pStyle w:val="7"/>
        <w:ind w:firstLine="420"/>
        <w:rPr>
          <w:color w:val="auto"/>
        </w:rPr>
      </w:pPr>
    </w:p>
    <w:p>
      <w:pPr>
        <w:pStyle w:val="7"/>
        <w:ind w:firstLine="420"/>
        <w:rPr>
          <w:color w:val="auto"/>
        </w:rPr>
      </w:pPr>
    </w:p>
    <w:p>
      <w:pPr>
        <w:spacing w:line="360" w:lineRule="auto"/>
        <w:ind w:firstLine="1687" w:firstLineChars="700"/>
        <w:rPr>
          <w:rFonts w:ascii="宋体" w:hAnsi="宋体"/>
          <w:color w:val="auto"/>
          <w:sz w:val="24"/>
          <w:u w:val="single"/>
        </w:rPr>
      </w:pPr>
      <w:r>
        <w:rPr>
          <w:rFonts w:ascii="宋体" w:hAnsi="宋体"/>
          <w:b/>
          <w:bCs/>
          <w:color w:val="auto"/>
          <w:sz w:val="24"/>
        </w:rPr>
        <w:t>采购代理机构：</w:t>
      </w:r>
      <w:r>
        <w:rPr>
          <w:rFonts w:hint="eastAsia" w:ascii="宋体" w:hAnsi="宋体"/>
          <w:color w:val="auto"/>
          <w:sz w:val="24"/>
          <w:u w:val="single"/>
        </w:rPr>
        <w:t>陕西中采招项目管理有限公司</w:t>
      </w:r>
    </w:p>
    <w:p>
      <w:pPr>
        <w:pStyle w:val="7"/>
        <w:ind w:firstLine="420"/>
        <w:rPr>
          <w:color w:val="auto"/>
        </w:rPr>
      </w:pPr>
    </w:p>
    <w:p>
      <w:pPr>
        <w:pStyle w:val="7"/>
        <w:ind w:firstLine="420"/>
        <w:rPr>
          <w:color w:val="auto"/>
        </w:rPr>
      </w:pPr>
    </w:p>
    <w:p>
      <w:pPr>
        <w:spacing w:line="360" w:lineRule="auto"/>
        <w:ind w:firstLine="1687" w:firstLineChars="700"/>
        <w:rPr>
          <w:rFonts w:ascii="宋体" w:hAnsi="宋体"/>
          <w:color w:val="auto"/>
          <w:sz w:val="24"/>
          <w:u w:val="single"/>
        </w:rPr>
      </w:pPr>
      <w:r>
        <w:rPr>
          <w:rFonts w:hint="eastAsia" w:ascii="宋体" w:hAnsi="宋体"/>
          <w:b/>
          <w:bCs/>
          <w:color w:val="auto"/>
          <w:sz w:val="24"/>
        </w:rPr>
        <w:t>日        期：</w:t>
      </w:r>
      <w:r>
        <w:rPr>
          <w:rFonts w:hint="eastAsia" w:ascii="宋体" w:hAnsi="宋体"/>
          <w:color w:val="auto"/>
          <w:sz w:val="24"/>
          <w:u w:val="single"/>
        </w:rPr>
        <w:t xml:space="preserve">二零二二年九月            </w:t>
      </w:r>
    </w:p>
    <w:p>
      <w:pPr>
        <w:pStyle w:val="21"/>
        <w:tabs>
          <w:tab w:val="right" w:leader="dot" w:pos="9747"/>
          <w:tab w:val="clear" w:pos="8302"/>
        </w:tabs>
        <w:spacing w:line="600" w:lineRule="auto"/>
        <w:ind w:firstLine="643" w:firstLineChars="200"/>
        <w:jc w:val="center"/>
        <w:rPr>
          <w:rFonts w:hint="eastAsia" w:ascii="黑体" w:hAnsi="黑体" w:eastAsia="黑体" w:cs="黑体"/>
          <w:b/>
          <w:bCs/>
          <w:color w:val="auto"/>
          <w:sz w:val="48"/>
          <w:szCs w:val="48"/>
        </w:rPr>
      </w:pPr>
      <w:bookmarkStart w:id="0" w:name="_Toc28776"/>
      <w:bookmarkStart w:id="1" w:name="_Toc14384"/>
      <w:r>
        <w:rPr>
          <w:rStyle w:val="39"/>
          <w:rFonts w:hint="eastAsia" w:ascii="黑体" w:hAnsi="黑体" w:eastAsia="黑体" w:cs="黑体"/>
          <w:b/>
          <w:color w:val="auto"/>
          <w:sz w:val="32"/>
          <w:szCs w:val="32"/>
        </w:rPr>
        <w:br w:type="page"/>
      </w:r>
    </w:p>
    <w:p>
      <w:pPr>
        <w:pStyle w:val="21"/>
        <w:tabs>
          <w:tab w:val="right" w:leader="dot" w:pos="9747"/>
          <w:tab w:val="clear" w:pos="8302"/>
        </w:tabs>
        <w:spacing w:line="600" w:lineRule="auto"/>
        <w:ind w:firstLine="964" w:firstLineChars="200"/>
        <w:jc w:val="center"/>
        <w:rPr>
          <w:rFonts w:hint="eastAsia" w:ascii="宋体" w:hAnsi="宋体" w:eastAsia="仿宋_GB2312" w:cs="宋体"/>
          <w:b/>
          <w:bCs/>
          <w:smallCaps/>
          <w:color w:val="auto"/>
          <w:kern w:val="0"/>
          <w:sz w:val="21"/>
          <w:szCs w:val="30"/>
          <w:lang w:val="en-US" w:eastAsia="zh-CN" w:bidi="ar-SA"/>
        </w:rPr>
      </w:pPr>
      <w:r>
        <w:rPr>
          <w:rFonts w:hint="eastAsia" w:ascii="黑体" w:hAnsi="黑体" w:eastAsia="黑体" w:cs="黑体"/>
          <w:b/>
          <w:bCs/>
          <w:color w:val="auto"/>
          <w:sz w:val="48"/>
          <w:szCs w:val="48"/>
        </w:rPr>
        <w:t>目  录</w:t>
      </w:r>
      <w:bookmarkEnd w:id="0"/>
      <w:bookmarkEnd w:id="1"/>
      <w:r>
        <w:rPr>
          <w:rFonts w:hint="eastAsia" w:ascii="宋体" w:hAnsi="宋体"/>
          <w:b/>
          <w:bCs/>
          <w:color w:val="auto"/>
          <w:szCs w:val="30"/>
        </w:rPr>
        <w:fldChar w:fldCharType="begin"/>
      </w:r>
      <w:r>
        <w:rPr>
          <w:rFonts w:hint="eastAsia" w:ascii="宋体" w:hAnsi="宋体"/>
          <w:b/>
          <w:bCs/>
          <w:color w:val="auto"/>
          <w:szCs w:val="30"/>
        </w:rPr>
        <w:instrText xml:space="preserve">TOC \o "1-3" \h \u </w:instrText>
      </w:r>
      <w:r>
        <w:rPr>
          <w:rFonts w:hint="eastAsia" w:ascii="宋体" w:hAnsi="宋体"/>
          <w:b/>
          <w:bCs/>
          <w:color w:val="auto"/>
          <w:szCs w:val="30"/>
        </w:rPr>
        <w:fldChar w:fldCharType="separate"/>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_Toc9048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第一部分 竞争性磋商公告</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_Toc9048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3</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_Toc22925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第二部分 供应商须知</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_Toc22925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6</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_Toc11328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一、总则</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_Toc11328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_Toc11232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二、磋商文件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_Toc11232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_Toc32453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三、响应文件的编制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_Toc32453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_Toc9724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四、响应文件密封、递交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_Toc9724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_Toc20758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五、磋商、评审、成交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_Toc20758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15</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_Toc11321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六、响应纪律要求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_Toc11321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_Toc2414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七、询问、质疑、投诉</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_Toc2414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_Toc23075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八、合同的签订及履行</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_Toc23075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_Toc21117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九、采购代理服务费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_Toc21117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bCs w:val="0"/>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_Toc32689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十、其它事项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_Toc32689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_Toc29756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第三部分 采购需求及要求</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_Toc29756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21</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_Toc13661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第四部分 磋商、评审、成交</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_Toc13661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25</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_Toc23103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一、开启响应文件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_Toc23103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_Toc7544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二、组织评审</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_Toc7544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_Toc30623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三、成交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_Toc30623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32</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_Toc4453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四、其他</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_Toc4453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33</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_Toc20558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附表1：《资格审查表》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_Toc20558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35</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_Toc8211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附表2：《符合性审查表》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_Toc8211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bCs w:val="0"/>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_Toc14259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附表4：《商务评审表》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_Toc14259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37</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_Toc5816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第五部分 政府采购合同格式</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_Toc5816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39</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_Toc6126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一、政府采购合同</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_Toc6126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_Toc9169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二、合同一般条款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_Toc9169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43</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bCs w:val="0"/>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_Toc31094 </w:instrText>
      </w:r>
      <w:r>
        <w:rPr>
          <w:rFonts w:hint="eastAsia" w:ascii="宋体" w:hAnsi="宋体" w:eastAsia="宋体" w:cs="宋体"/>
          <w:b w:val="0"/>
          <w:bCs/>
          <w:sz w:val="28"/>
          <w:szCs w:val="28"/>
        </w:rPr>
        <w:fldChar w:fldCharType="separate"/>
      </w:r>
      <w:r>
        <w:rPr>
          <w:rFonts w:hint="eastAsia" w:ascii="宋体" w:hAnsi="宋体" w:eastAsia="宋体" w:cs="宋体"/>
          <w:b w:val="0"/>
          <w:bCs/>
          <w:kern w:val="2"/>
          <w:sz w:val="28"/>
          <w:szCs w:val="28"/>
        </w:rPr>
        <w:t>三、合同专用条款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_Toc31094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47</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_Toc30534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 xml:space="preserve">第六部分 </w:t>
      </w:r>
      <w:r>
        <w:rPr>
          <w:rFonts w:hint="eastAsia" w:ascii="宋体" w:hAnsi="宋体" w:eastAsia="宋体" w:cs="宋体"/>
          <w:b/>
          <w:bCs w:val="0"/>
          <w:sz w:val="28"/>
          <w:szCs w:val="28"/>
          <w:lang w:val="zh-CN"/>
        </w:rPr>
        <w:t>响应文件格式</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_Toc30534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48</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_Toc17060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一、资格证明文件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_Toc17060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51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_Toc10959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二、响应函（格式）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_Toc10959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63</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_Toc2416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三</w:t>
      </w:r>
      <w:r>
        <w:rPr>
          <w:rFonts w:hint="eastAsia" w:ascii="宋体" w:hAnsi="宋体" w:eastAsia="宋体" w:cs="宋体"/>
          <w:b w:val="0"/>
          <w:bCs/>
          <w:sz w:val="28"/>
          <w:szCs w:val="28"/>
        </w:rPr>
        <w:t>、报价表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_Toc2416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65</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_Toc1623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、技术部分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_Toc1623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_Toc27313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五</w:t>
      </w:r>
      <w:r>
        <w:rPr>
          <w:rFonts w:hint="eastAsia" w:ascii="宋体" w:hAnsi="宋体" w:eastAsia="宋体" w:cs="宋体"/>
          <w:b w:val="0"/>
          <w:bCs/>
          <w:sz w:val="28"/>
          <w:szCs w:val="28"/>
        </w:rPr>
        <w:t>、商务部分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_Toc27313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val="0"/>
          <w:bCs/>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_Toc31778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六</w:t>
      </w:r>
      <w:r>
        <w:rPr>
          <w:rFonts w:hint="eastAsia" w:ascii="宋体" w:hAnsi="宋体" w:eastAsia="宋体" w:cs="宋体"/>
          <w:b w:val="0"/>
          <w:bCs/>
          <w:sz w:val="28"/>
          <w:szCs w:val="28"/>
        </w:rPr>
        <w:t>、供应商认为必要说明的其它内容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_Toc31778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21"/>
        <w:tabs>
          <w:tab w:val="right" w:leader="dot" w:pos="9747"/>
          <w:tab w:val="clear" w:pos="8302"/>
        </w:tabs>
        <w:ind w:firstLine="280" w:firstLineChars="100"/>
        <w:rPr>
          <w:rFonts w:hint="eastAsia" w:ascii="宋体" w:hAnsi="宋体" w:eastAsia="宋体" w:cs="宋体"/>
          <w:b/>
          <w:bCs w:val="0"/>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sz w:val="28"/>
          <w:szCs w:val="28"/>
        </w:rPr>
        <w:instrText xml:space="preserve"> HYPERLINK \l _Toc23873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en-US" w:eastAsia="zh-CN"/>
        </w:rPr>
        <w:t>七</w:t>
      </w:r>
      <w:r>
        <w:rPr>
          <w:rFonts w:hint="eastAsia" w:ascii="宋体" w:hAnsi="宋体" w:eastAsia="宋体" w:cs="宋体"/>
          <w:b w:val="0"/>
          <w:bCs/>
          <w:sz w:val="28"/>
          <w:szCs w:val="28"/>
        </w:rPr>
        <w:t>、承诺书</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_Toc23873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72</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rPr>
        <w:fldChar w:fldCharType="end"/>
      </w:r>
    </w:p>
    <w:p>
      <w:pPr>
        <w:pStyle w:val="18"/>
        <w:tabs>
          <w:tab w:val="right" w:leader="dot" w:pos="9747"/>
        </w:tabs>
        <w:rPr>
          <w:rFonts w:hint="eastAsia" w:ascii="宋体" w:hAnsi="宋体" w:eastAsia="宋体" w:cs="宋体"/>
          <w:b/>
          <w:bCs w:val="0"/>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sz w:val="28"/>
          <w:szCs w:val="28"/>
        </w:rPr>
        <w:instrText xml:space="preserve"> HYPERLINK \l _Toc18110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lang w:val="en-GB"/>
        </w:rPr>
        <w:t>封袋正面标识式样</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_Toc18110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74</w:t>
      </w:r>
      <w:r>
        <w:rPr>
          <w:rFonts w:hint="eastAsia" w:ascii="宋体" w:hAnsi="宋体" w:eastAsia="宋体" w:cs="宋体"/>
          <w:b/>
          <w:bCs w:val="0"/>
          <w:sz w:val="28"/>
          <w:szCs w:val="28"/>
        </w:rPr>
        <w:fldChar w:fldCharType="end"/>
      </w:r>
      <w:r>
        <w:rPr>
          <w:rFonts w:hint="eastAsia" w:ascii="宋体" w:hAnsi="宋体" w:eastAsia="宋体" w:cs="宋体"/>
          <w:b/>
          <w:bCs w:val="0"/>
          <w:color w:val="auto"/>
          <w:sz w:val="28"/>
          <w:szCs w:val="28"/>
        </w:rPr>
        <w:fldChar w:fldCharType="end"/>
      </w:r>
    </w:p>
    <w:p>
      <w:pPr>
        <w:tabs>
          <w:tab w:val="right" w:leader="dot" w:pos="9747"/>
        </w:tabs>
        <w:spacing w:before="120" w:after="120" w:line="360" w:lineRule="auto"/>
        <w:ind w:firstLine="420" w:firstLineChars="200"/>
        <w:jc w:val="center"/>
        <w:rPr>
          <w:rFonts w:ascii="宋体" w:hAnsi="宋体"/>
          <w:color w:val="auto"/>
          <w:szCs w:val="30"/>
        </w:rPr>
      </w:pPr>
      <w:r>
        <w:rPr>
          <w:rFonts w:hint="eastAsia" w:ascii="宋体" w:hAnsi="宋体"/>
          <w:bCs/>
          <w:color w:val="auto"/>
          <w:szCs w:val="30"/>
        </w:rPr>
        <w:fldChar w:fldCharType="end"/>
      </w:r>
      <w:r>
        <w:rPr>
          <w:rFonts w:hint="eastAsia" w:ascii="宋体" w:hAnsi="宋体"/>
          <w:color w:val="auto"/>
          <w:szCs w:val="30"/>
        </w:rPr>
        <w:br w:type="page"/>
      </w:r>
    </w:p>
    <w:p>
      <w:pPr>
        <w:pStyle w:val="4"/>
        <w:keepNext w:val="0"/>
        <w:keepLines w:val="0"/>
        <w:spacing w:before="0" w:after="0"/>
        <w:rPr>
          <w:rFonts w:eastAsia="黑体"/>
          <w:color w:val="auto"/>
        </w:rPr>
      </w:pPr>
      <w:bookmarkStart w:id="2" w:name="_Toc30721"/>
      <w:bookmarkStart w:id="3" w:name="_Toc8243"/>
      <w:bookmarkStart w:id="4" w:name="_Toc9048"/>
      <w:r>
        <w:rPr>
          <w:rFonts w:hint="eastAsia" w:ascii="黑体" w:hAnsi="黑体" w:eastAsia="黑体" w:cs="黑体"/>
          <w:b/>
          <w:bCs/>
          <w:color w:val="auto"/>
          <w:sz w:val="32"/>
          <w:szCs w:val="32"/>
        </w:rPr>
        <w:t>第一部分</w:t>
      </w:r>
      <w:bookmarkEnd w:id="2"/>
      <w:bookmarkEnd w:id="3"/>
      <w:r>
        <w:rPr>
          <w:rFonts w:hint="eastAsia" w:ascii="黑体" w:hAnsi="黑体" w:eastAsia="黑体" w:cs="黑体"/>
          <w:b/>
          <w:bCs/>
          <w:color w:val="auto"/>
          <w:sz w:val="32"/>
          <w:szCs w:val="32"/>
        </w:rPr>
        <w:t xml:space="preserve"> 竞争性磋商公告</w:t>
      </w:r>
      <w:bookmarkEnd w:id="4"/>
    </w:p>
    <w:p>
      <w:pPr>
        <w:spacing w:line="360" w:lineRule="auto"/>
        <w:ind w:firstLine="480" w:firstLineChars="200"/>
        <w:rPr>
          <w:rFonts w:ascii="宋体" w:hAnsi="宋体"/>
          <w:color w:val="auto"/>
          <w:sz w:val="24"/>
        </w:rPr>
      </w:pPr>
      <w:r>
        <w:rPr>
          <w:rFonts w:hint="eastAsia" w:ascii="宋体" w:hAnsi="宋体"/>
          <w:color w:val="auto"/>
          <w:sz w:val="24"/>
        </w:rPr>
        <w:t>陕西中采招项目管理有限公司受陕西省生态环境执法总队的委托，按照政府采购程序，对</w:t>
      </w:r>
      <w:r>
        <w:rPr>
          <w:rFonts w:hint="eastAsia" w:ascii="宋体" w:hAnsi="宋体"/>
          <w:color w:val="auto"/>
          <w:kern w:val="0"/>
          <w:sz w:val="24"/>
        </w:rPr>
        <w:t>执法全过程系统运维及监督点位项目</w:t>
      </w:r>
      <w:r>
        <w:rPr>
          <w:rFonts w:hint="eastAsia" w:ascii="宋体" w:hAnsi="宋体"/>
          <w:color w:val="auto"/>
          <w:sz w:val="24"/>
        </w:rPr>
        <w:t>进行竞争性磋商采购，欢迎符合资格条件的、有能力提供本项目所需货物和服务的供应商参加投标。</w:t>
      </w:r>
    </w:p>
    <w:p>
      <w:pPr>
        <w:widowControl/>
        <w:spacing w:line="400" w:lineRule="exact"/>
        <w:ind w:right="-197" w:rightChars="-94"/>
        <w:jc w:val="left"/>
        <w:rPr>
          <w:rFonts w:ascii="宋体" w:hAnsi="宋体"/>
          <w:color w:val="auto"/>
          <w:kern w:val="0"/>
          <w:sz w:val="24"/>
        </w:rPr>
      </w:pPr>
      <w:r>
        <w:rPr>
          <w:rFonts w:hint="eastAsia" w:ascii="宋体" w:hAnsi="宋体"/>
          <w:b/>
          <w:bCs/>
          <w:color w:val="auto"/>
          <w:sz w:val="24"/>
        </w:rPr>
        <w:t>一、采购项目名称：</w:t>
      </w:r>
      <w:r>
        <w:rPr>
          <w:rFonts w:hint="eastAsia" w:ascii="宋体" w:hAnsi="宋体"/>
          <w:color w:val="auto"/>
          <w:sz w:val="24"/>
        </w:rPr>
        <w:t>执法全过程系统运维及监督点位项目</w:t>
      </w:r>
    </w:p>
    <w:p>
      <w:pPr>
        <w:spacing w:line="360" w:lineRule="auto"/>
        <w:rPr>
          <w:rFonts w:ascii="宋体" w:hAnsi="宋体"/>
          <w:color w:val="auto"/>
          <w:sz w:val="24"/>
        </w:rPr>
      </w:pPr>
      <w:r>
        <w:rPr>
          <w:rFonts w:hint="eastAsia" w:ascii="宋体" w:hAnsi="宋体"/>
          <w:b/>
          <w:bCs/>
          <w:color w:val="auto"/>
          <w:sz w:val="24"/>
        </w:rPr>
        <w:t>二、采购项目编号：</w:t>
      </w:r>
      <w:r>
        <w:rPr>
          <w:rFonts w:hint="eastAsia" w:ascii="宋体" w:hAnsi="宋体"/>
          <w:color w:val="auto"/>
          <w:kern w:val="0"/>
          <w:sz w:val="24"/>
        </w:rPr>
        <w:t>SXZCZ-2022-58</w:t>
      </w:r>
    </w:p>
    <w:p>
      <w:pPr>
        <w:spacing w:line="360" w:lineRule="auto"/>
        <w:rPr>
          <w:rFonts w:ascii="宋体" w:hAnsi="宋体"/>
          <w:color w:val="auto"/>
          <w:sz w:val="24"/>
        </w:rPr>
      </w:pPr>
      <w:r>
        <w:rPr>
          <w:rFonts w:hint="eastAsia" w:ascii="宋体" w:hAnsi="宋体"/>
          <w:b/>
          <w:bCs/>
          <w:color w:val="auto"/>
          <w:sz w:val="24"/>
        </w:rPr>
        <w:t>三、采购人名称：</w:t>
      </w:r>
      <w:r>
        <w:rPr>
          <w:rFonts w:hint="eastAsia" w:ascii="宋体" w:hAnsi="宋体"/>
          <w:color w:val="auto"/>
          <w:sz w:val="24"/>
        </w:rPr>
        <w:t>陕西省生态环境执法总队</w:t>
      </w:r>
    </w:p>
    <w:p>
      <w:pPr>
        <w:spacing w:line="360" w:lineRule="auto"/>
        <w:ind w:firstLine="480" w:firstLineChars="200"/>
        <w:rPr>
          <w:rFonts w:ascii="宋体" w:hAnsi="宋体"/>
          <w:color w:val="auto"/>
          <w:sz w:val="24"/>
        </w:rPr>
      </w:pPr>
      <w:r>
        <w:rPr>
          <w:rFonts w:hint="eastAsia" w:ascii="宋体" w:hAnsi="宋体"/>
          <w:color w:val="auto"/>
          <w:sz w:val="24"/>
        </w:rPr>
        <w:t>地址：西影路环保大厦</w:t>
      </w:r>
    </w:p>
    <w:p>
      <w:pPr>
        <w:spacing w:line="360" w:lineRule="auto"/>
        <w:ind w:firstLine="480" w:firstLineChars="200"/>
        <w:rPr>
          <w:rFonts w:ascii="宋体" w:hAnsi="宋体"/>
          <w:color w:val="auto"/>
          <w:sz w:val="24"/>
        </w:rPr>
      </w:pPr>
      <w:r>
        <w:rPr>
          <w:rFonts w:hint="eastAsia" w:ascii="宋体" w:hAnsi="宋体"/>
          <w:color w:val="auto"/>
          <w:sz w:val="24"/>
        </w:rPr>
        <w:t>联系人：陈先生</w:t>
      </w:r>
    </w:p>
    <w:p>
      <w:pPr>
        <w:spacing w:line="360" w:lineRule="auto"/>
        <w:ind w:firstLine="480" w:firstLineChars="200"/>
        <w:rPr>
          <w:rFonts w:ascii="宋体" w:hAnsi="宋体"/>
          <w:color w:val="auto"/>
          <w:sz w:val="24"/>
        </w:rPr>
      </w:pPr>
      <w:r>
        <w:rPr>
          <w:rFonts w:hint="eastAsia" w:ascii="宋体" w:hAnsi="宋体"/>
          <w:color w:val="auto"/>
          <w:sz w:val="24"/>
        </w:rPr>
        <w:t>电  话：029-85429258</w:t>
      </w:r>
    </w:p>
    <w:p>
      <w:pPr>
        <w:spacing w:line="360" w:lineRule="auto"/>
        <w:rPr>
          <w:rFonts w:ascii="宋体" w:hAnsi="宋体"/>
          <w:color w:val="auto"/>
          <w:sz w:val="24"/>
        </w:rPr>
      </w:pPr>
      <w:r>
        <w:rPr>
          <w:rFonts w:hint="eastAsia" w:ascii="宋体" w:hAnsi="宋体"/>
          <w:b/>
          <w:bCs/>
          <w:color w:val="auto"/>
          <w:sz w:val="24"/>
        </w:rPr>
        <w:t>四、采购代理机构名称：</w:t>
      </w:r>
      <w:r>
        <w:rPr>
          <w:rFonts w:hint="eastAsia" w:ascii="宋体" w:hAnsi="宋体"/>
          <w:color w:val="auto"/>
          <w:sz w:val="24"/>
        </w:rPr>
        <w:t>陕西中采招项目管理有限公司</w:t>
      </w:r>
    </w:p>
    <w:p>
      <w:pPr>
        <w:spacing w:line="360" w:lineRule="auto"/>
        <w:ind w:firstLine="480" w:firstLineChars="200"/>
        <w:rPr>
          <w:rFonts w:ascii="宋体" w:hAnsi="宋体"/>
          <w:color w:val="auto"/>
          <w:sz w:val="24"/>
        </w:rPr>
      </w:pPr>
      <w:r>
        <w:rPr>
          <w:rFonts w:hint="eastAsia" w:ascii="宋体" w:hAnsi="宋体"/>
          <w:color w:val="auto"/>
          <w:sz w:val="24"/>
        </w:rPr>
        <w:t>地址：陕西省西安市莲湖区北关正街33号腾飞鸿翔大厦5层</w:t>
      </w:r>
    </w:p>
    <w:p>
      <w:pPr>
        <w:spacing w:line="360" w:lineRule="auto"/>
        <w:ind w:firstLine="480" w:firstLineChars="200"/>
        <w:rPr>
          <w:rFonts w:ascii="宋体" w:hAnsi="宋体"/>
          <w:color w:val="auto"/>
          <w:sz w:val="24"/>
        </w:rPr>
      </w:pPr>
      <w:r>
        <w:rPr>
          <w:rFonts w:hint="eastAsia" w:ascii="宋体" w:hAnsi="宋体"/>
          <w:color w:val="auto"/>
          <w:sz w:val="24"/>
        </w:rPr>
        <w:t>联系人：许工</w:t>
      </w:r>
    </w:p>
    <w:p>
      <w:pPr>
        <w:spacing w:line="360" w:lineRule="auto"/>
        <w:ind w:firstLine="480" w:firstLineChars="200"/>
        <w:rPr>
          <w:rFonts w:ascii="宋体" w:hAnsi="宋体"/>
          <w:color w:val="auto"/>
          <w:sz w:val="24"/>
        </w:rPr>
      </w:pPr>
      <w:r>
        <w:rPr>
          <w:rFonts w:hint="eastAsia" w:ascii="宋体" w:hAnsi="宋体"/>
          <w:color w:val="auto"/>
          <w:sz w:val="24"/>
        </w:rPr>
        <w:t>电话：13309277096</w:t>
      </w:r>
    </w:p>
    <w:p>
      <w:pPr>
        <w:widowControl/>
        <w:spacing w:line="400" w:lineRule="exact"/>
        <w:ind w:left="723" w:right="-197" w:rightChars="-94" w:hanging="723" w:hangingChars="300"/>
        <w:jc w:val="left"/>
        <w:rPr>
          <w:rFonts w:ascii="宋体" w:hAnsi="宋体"/>
          <w:color w:val="auto"/>
          <w:sz w:val="24"/>
        </w:rPr>
      </w:pPr>
      <w:r>
        <w:rPr>
          <w:rFonts w:hint="eastAsia" w:ascii="宋体" w:hAnsi="宋体"/>
          <w:b/>
          <w:bCs/>
          <w:color w:val="auto"/>
          <w:sz w:val="24"/>
        </w:rPr>
        <w:t>五、采购内容和需求：</w:t>
      </w:r>
      <w:r>
        <w:rPr>
          <w:rFonts w:hint="eastAsia" w:ascii="宋体" w:hAnsi="宋体"/>
          <w:color w:val="auto"/>
          <w:sz w:val="24"/>
        </w:rPr>
        <w:t>执法全过程系统运维服务。</w:t>
      </w:r>
    </w:p>
    <w:p>
      <w:pPr>
        <w:numPr>
          <w:ilvl w:val="0"/>
          <w:numId w:val="1"/>
        </w:numPr>
        <w:spacing w:line="360" w:lineRule="auto"/>
        <w:rPr>
          <w:color w:val="auto"/>
        </w:rPr>
      </w:pPr>
      <w:r>
        <w:rPr>
          <w:rFonts w:hint="eastAsia" w:ascii="宋体" w:hAnsi="宋体"/>
          <w:b/>
          <w:bCs/>
          <w:color w:val="auto"/>
          <w:sz w:val="24"/>
        </w:rPr>
        <w:t>采购预算：</w:t>
      </w:r>
      <w:r>
        <w:rPr>
          <w:rFonts w:hint="eastAsia" w:ascii="宋体" w:hAnsi="宋体"/>
          <w:color w:val="auto"/>
          <w:kern w:val="0"/>
          <w:sz w:val="24"/>
        </w:rPr>
        <w:t>1052000 .00元（大写：壹佰零伍万贰仟圆整）</w:t>
      </w:r>
    </w:p>
    <w:p>
      <w:pPr>
        <w:spacing w:line="360" w:lineRule="auto"/>
        <w:rPr>
          <w:rFonts w:ascii="宋体" w:hAnsi="宋体"/>
          <w:b/>
          <w:bCs/>
          <w:color w:val="auto"/>
          <w:sz w:val="24"/>
        </w:rPr>
      </w:pPr>
      <w:r>
        <w:rPr>
          <w:rFonts w:hint="eastAsia" w:ascii="宋体" w:hAnsi="宋体"/>
          <w:b/>
          <w:bCs/>
          <w:color w:val="auto"/>
          <w:sz w:val="24"/>
        </w:rPr>
        <w:t>七、投标供应商资格要求：</w:t>
      </w:r>
    </w:p>
    <w:p>
      <w:pPr>
        <w:spacing w:line="360" w:lineRule="auto"/>
        <w:rPr>
          <w:rFonts w:ascii="宋体" w:hAnsi="宋体"/>
          <w:color w:val="auto"/>
          <w:sz w:val="24"/>
        </w:rPr>
      </w:pPr>
      <w:r>
        <w:rPr>
          <w:rFonts w:hint="eastAsia" w:ascii="宋体" w:hAnsi="宋体"/>
          <w:color w:val="auto"/>
          <w:sz w:val="24"/>
        </w:rPr>
        <w:t>（1）基本资格条件：符合《中华人民共和国政府采购法》第二十二条的规定；</w:t>
      </w:r>
    </w:p>
    <w:p>
      <w:pPr>
        <w:pStyle w:val="47"/>
        <w:spacing w:line="440" w:lineRule="exact"/>
        <w:rPr>
          <w:rFonts w:ascii="宋体" w:hAnsi="宋体"/>
          <w:color w:val="auto"/>
        </w:rPr>
      </w:pPr>
      <w:r>
        <w:rPr>
          <w:rFonts w:hint="eastAsia" w:ascii="宋体" w:hAnsi="宋体"/>
          <w:color w:val="auto"/>
        </w:rPr>
        <w:t>（2）特定资格条件：</w:t>
      </w:r>
    </w:p>
    <w:p>
      <w:pPr>
        <w:spacing w:line="400" w:lineRule="exact"/>
        <w:ind w:firstLine="480" w:firstLineChars="200"/>
        <w:jc w:val="left"/>
        <w:rPr>
          <w:rFonts w:ascii="宋体" w:hAnsi="宋体"/>
          <w:color w:val="auto"/>
          <w:sz w:val="24"/>
        </w:rPr>
      </w:pPr>
      <w:r>
        <w:rPr>
          <w:rFonts w:hint="eastAsia" w:ascii="宋体" w:hAnsi="宋体"/>
          <w:color w:val="auto"/>
          <w:sz w:val="24"/>
        </w:rPr>
        <w:t>1、供应商具有独立承担民事责任能力的法人、其他组织或自然人，并出具合法有效的营业执照或事业单位法人证书等国家规定的相关证明，自然人参与的提供其身份证明；</w:t>
      </w:r>
    </w:p>
    <w:p>
      <w:pPr>
        <w:spacing w:line="400" w:lineRule="exact"/>
        <w:ind w:firstLine="480" w:firstLineChars="200"/>
        <w:rPr>
          <w:rFonts w:ascii="宋体" w:hAnsi="宋体"/>
          <w:color w:val="auto"/>
          <w:sz w:val="24"/>
        </w:rPr>
      </w:pPr>
      <w:r>
        <w:rPr>
          <w:rFonts w:hint="eastAsia" w:ascii="宋体" w:hAnsi="宋体"/>
          <w:color w:val="auto"/>
          <w:sz w:val="24"/>
        </w:rPr>
        <w:t>2、财务状况报告：提供2021年度的财务审计报告或具有健全的财务报表或开标前六个月内其基本存款账户开户银行出具的资信证明及基本存款账户开户许可证；</w:t>
      </w:r>
    </w:p>
    <w:p>
      <w:pPr>
        <w:spacing w:line="400" w:lineRule="exact"/>
        <w:ind w:firstLine="480" w:firstLineChars="200"/>
        <w:jc w:val="left"/>
        <w:rPr>
          <w:rFonts w:ascii="宋体" w:hAnsi="宋体"/>
          <w:color w:val="auto"/>
          <w:sz w:val="24"/>
        </w:rPr>
      </w:pPr>
      <w:r>
        <w:rPr>
          <w:rFonts w:hint="eastAsia" w:ascii="宋体" w:hAnsi="宋体"/>
          <w:color w:val="auto"/>
          <w:sz w:val="24"/>
        </w:rPr>
        <w:t>3、社会保障资金缴纳证明，截止开标时一年内已缴存的至少六个月的社会保障资金缴存单据或社保机构开具的社会保险参保缴费情况证明，单据或证明上应有社保机构或代收机构的公章或业务专用章。（依法不需要缴纳社会保障资金的服务商应提供相关文件证明）；</w:t>
      </w:r>
    </w:p>
    <w:p>
      <w:pPr>
        <w:spacing w:line="400" w:lineRule="exact"/>
        <w:ind w:firstLine="480" w:firstLineChars="200"/>
        <w:jc w:val="left"/>
        <w:rPr>
          <w:rFonts w:ascii="宋体" w:hAnsi="宋体"/>
          <w:color w:val="auto"/>
          <w:sz w:val="24"/>
        </w:rPr>
      </w:pPr>
      <w:r>
        <w:rPr>
          <w:rFonts w:hint="eastAsia" w:ascii="宋体" w:hAnsi="宋体"/>
          <w:color w:val="auto"/>
          <w:sz w:val="24"/>
        </w:rPr>
        <w:t>4、税收缴纳证明，截止开标时一年内已缴存的至少六个月的纳税证明或完税证明，纳税证明或完税证明上应有代收机构或税务机关的公章或业务专用章。（依法免税的服务商应提供相关文件证明）；</w:t>
      </w:r>
    </w:p>
    <w:p>
      <w:pPr>
        <w:spacing w:line="400" w:lineRule="exact"/>
        <w:ind w:firstLine="480" w:firstLineChars="200"/>
        <w:jc w:val="left"/>
        <w:rPr>
          <w:rFonts w:ascii="宋体" w:hAnsi="宋体"/>
          <w:color w:val="auto"/>
          <w:sz w:val="24"/>
        </w:rPr>
      </w:pPr>
      <w:r>
        <w:rPr>
          <w:rFonts w:hint="eastAsia" w:ascii="宋体" w:hAnsi="宋体"/>
          <w:color w:val="auto"/>
          <w:sz w:val="24"/>
        </w:rPr>
        <w:t>5、参加政府采购活动前3年内在经营活动中没有重大违法记录的书面声明；</w:t>
      </w:r>
    </w:p>
    <w:p>
      <w:pPr>
        <w:spacing w:line="400" w:lineRule="exact"/>
        <w:ind w:firstLine="480" w:firstLineChars="200"/>
        <w:jc w:val="left"/>
        <w:rPr>
          <w:rFonts w:ascii="宋体" w:hAnsi="宋体"/>
          <w:color w:val="auto"/>
          <w:sz w:val="24"/>
        </w:rPr>
      </w:pPr>
      <w:r>
        <w:rPr>
          <w:rFonts w:hint="eastAsia" w:ascii="宋体" w:hAnsi="宋体"/>
          <w:color w:val="auto"/>
          <w:sz w:val="24"/>
        </w:rPr>
        <w:t>6、具备履行合同所必需的设备和专业技术能力的证明材料(由供应商根据项目需求提供说明材料或者承诺)；</w:t>
      </w:r>
    </w:p>
    <w:p>
      <w:pPr>
        <w:spacing w:line="400" w:lineRule="exact"/>
        <w:ind w:firstLine="480" w:firstLineChars="200"/>
        <w:jc w:val="left"/>
        <w:rPr>
          <w:rFonts w:ascii="宋体" w:hAnsi="宋体"/>
          <w:color w:val="auto"/>
          <w:sz w:val="24"/>
        </w:rPr>
      </w:pPr>
      <w:r>
        <w:rPr>
          <w:rFonts w:hint="eastAsia" w:ascii="宋体" w:hAnsi="宋体"/>
          <w:color w:val="auto"/>
          <w:sz w:val="24"/>
        </w:rPr>
        <w:t>7、供应商应授权合法的人员参加磋商全过程，其中法定代表人直接参加磋商的，须出具法人身份证，并与营业执照上信息一致。法定代表人授权代表参加磋商的，须出具法定代表人授权书及授权代表身份证；</w:t>
      </w:r>
    </w:p>
    <w:p>
      <w:pPr>
        <w:spacing w:line="400" w:lineRule="exact"/>
        <w:ind w:firstLine="480" w:firstLineChars="200"/>
        <w:jc w:val="left"/>
        <w:rPr>
          <w:rFonts w:ascii="宋体" w:hAnsi="宋体"/>
          <w:color w:val="auto"/>
          <w:sz w:val="24"/>
        </w:rPr>
      </w:pPr>
      <w:r>
        <w:rPr>
          <w:rFonts w:hint="eastAsia" w:ascii="宋体" w:hAnsi="宋体"/>
          <w:color w:val="auto"/>
          <w:sz w:val="24"/>
        </w:rPr>
        <w:t>8、</w:t>
      </w:r>
      <w:r>
        <w:rPr>
          <w:rFonts w:hint="eastAsia" w:ascii="宋体" w:hAnsi="宋体"/>
          <w:color w:val="auto"/>
          <w:kern w:val="0"/>
          <w:sz w:val="24"/>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r>
        <w:rPr>
          <w:rFonts w:hint="eastAsia" w:ascii="宋体" w:hAnsi="宋体"/>
          <w:b/>
          <w:bCs/>
          <w:color w:val="auto"/>
          <w:kern w:val="0"/>
          <w:sz w:val="24"/>
        </w:rPr>
        <w:t>（查询时间须在磋商文件发售期至磋商响应文件递交截止时间之间，并将网页截图（加盖供应商公章）附在磋商响应文件中）</w:t>
      </w:r>
      <w:r>
        <w:rPr>
          <w:rFonts w:hint="eastAsia" w:ascii="宋体" w:hAnsi="宋体"/>
          <w:color w:val="auto"/>
          <w:kern w:val="0"/>
          <w:sz w:val="24"/>
        </w:rPr>
        <w:t>；</w:t>
      </w:r>
    </w:p>
    <w:p>
      <w:pPr>
        <w:spacing w:line="400" w:lineRule="exact"/>
        <w:ind w:firstLine="480" w:firstLineChars="200"/>
        <w:jc w:val="left"/>
        <w:rPr>
          <w:rFonts w:ascii="宋体" w:hAnsi="宋体"/>
          <w:color w:val="auto"/>
          <w:kern w:val="0"/>
          <w:sz w:val="24"/>
        </w:rPr>
      </w:pPr>
      <w:r>
        <w:rPr>
          <w:rFonts w:hint="eastAsia" w:ascii="宋体" w:hAnsi="宋体"/>
          <w:color w:val="auto"/>
          <w:sz w:val="24"/>
        </w:rPr>
        <w:t>9、</w:t>
      </w:r>
      <w:r>
        <w:rPr>
          <w:rFonts w:hint="eastAsia" w:ascii="宋体" w:hAnsi="宋体"/>
          <w:color w:val="auto"/>
          <w:kern w:val="0"/>
          <w:sz w:val="24"/>
        </w:rPr>
        <w:t>投标保证金缴纳凭证；</w:t>
      </w:r>
    </w:p>
    <w:p>
      <w:pPr>
        <w:spacing w:line="400" w:lineRule="exact"/>
        <w:ind w:firstLine="480" w:firstLineChars="200"/>
        <w:jc w:val="left"/>
        <w:rPr>
          <w:rFonts w:ascii="宋体" w:hAnsi="宋体"/>
          <w:color w:val="auto"/>
          <w:kern w:val="0"/>
          <w:sz w:val="24"/>
        </w:rPr>
      </w:pPr>
      <w:r>
        <w:rPr>
          <w:rFonts w:hint="eastAsia" w:ascii="宋体" w:hAnsi="宋体"/>
          <w:color w:val="auto"/>
          <w:sz w:val="24"/>
        </w:rPr>
        <w:t>10、本项目不接受联合体磋商。</w:t>
      </w:r>
    </w:p>
    <w:p>
      <w:pPr>
        <w:spacing w:line="360" w:lineRule="auto"/>
        <w:rPr>
          <w:rFonts w:ascii="宋体" w:hAnsi="宋体"/>
          <w:b/>
          <w:bCs/>
          <w:color w:val="auto"/>
          <w:sz w:val="24"/>
        </w:rPr>
      </w:pPr>
      <w:r>
        <w:rPr>
          <w:rFonts w:hint="eastAsia" w:ascii="宋体" w:hAnsi="宋体"/>
          <w:b/>
          <w:bCs/>
          <w:color w:val="auto"/>
          <w:sz w:val="24"/>
        </w:rPr>
        <w:t>八、采购项目需要落实的政府采购政策：</w:t>
      </w:r>
    </w:p>
    <w:p>
      <w:pPr>
        <w:spacing w:line="360" w:lineRule="auto"/>
        <w:rPr>
          <w:rFonts w:ascii="宋体" w:hAnsi="宋体"/>
          <w:color w:val="auto"/>
          <w:sz w:val="24"/>
        </w:rPr>
      </w:pPr>
      <w:r>
        <w:rPr>
          <w:rFonts w:hint="eastAsia" w:ascii="宋体" w:hAnsi="宋体"/>
          <w:color w:val="auto"/>
          <w:sz w:val="24"/>
        </w:rPr>
        <w:t>1.满足《中华人民共和国政府采购法》第二十二条规定</w:t>
      </w:r>
    </w:p>
    <w:p>
      <w:pPr>
        <w:spacing w:line="360" w:lineRule="auto"/>
        <w:rPr>
          <w:rFonts w:ascii="宋体" w:hAnsi="宋体"/>
          <w:color w:val="auto"/>
          <w:sz w:val="24"/>
        </w:rPr>
      </w:pPr>
      <w:r>
        <w:rPr>
          <w:rFonts w:hint="eastAsia" w:ascii="宋体" w:hAnsi="宋体"/>
          <w:color w:val="auto"/>
          <w:sz w:val="24"/>
        </w:rPr>
        <w:t>2.落实政府采购政策需满足的资格要求：</w:t>
      </w:r>
    </w:p>
    <w:p>
      <w:pPr>
        <w:spacing w:line="360" w:lineRule="auto"/>
        <w:rPr>
          <w:rFonts w:ascii="宋体" w:hAnsi="宋体"/>
          <w:color w:val="auto"/>
          <w:sz w:val="24"/>
        </w:rPr>
      </w:pPr>
      <w:r>
        <w:rPr>
          <w:rFonts w:hint="eastAsia" w:ascii="宋体" w:hAnsi="宋体"/>
          <w:color w:val="auto"/>
          <w:sz w:val="24"/>
        </w:rPr>
        <w:t>2.1《政府采购促进中小企业发展管理办法》（财库〔2020〕46号）；</w:t>
      </w:r>
    </w:p>
    <w:p>
      <w:pPr>
        <w:spacing w:line="360" w:lineRule="auto"/>
        <w:rPr>
          <w:rFonts w:ascii="宋体" w:hAnsi="宋体"/>
          <w:color w:val="auto"/>
          <w:sz w:val="24"/>
        </w:rPr>
      </w:pPr>
      <w:r>
        <w:rPr>
          <w:rFonts w:hint="eastAsia" w:ascii="宋体" w:hAnsi="宋体"/>
          <w:color w:val="auto"/>
          <w:sz w:val="24"/>
        </w:rPr>
        <w:t>2.2《财政部 司法部关于政府采购支持监狱企业发展有关问题的通知》（财库〔2014〕68号）；</w:t>
      </w:r>
    </w:p>
    <w:p>
      <w:pPr>
        <w:spacing w:line="360" w:lineRule="auto"/>
        <w:rPr>
          <w:rFonts w:ascii="宋体" w:hAnsi="宋体"/>
          <w:color w:val="auto"/>
          <w:sz w:val="24"/>
        </w:rPr>
      </w:pPr>
      <w:r>
        <w:rPr>
          <w:rFonts w:hint="eastAsia" w:ascii="宋体" w:hAnsi="宋体"/>
          <w:color w:val="auto"/>
          <w:sz w:val="24"/>
        </w:rPr>
        <w:t>2.3《国务院办公厅关于建立政府强制采购节能产品制度的通知》（国办发〔2007〕51号）；</w:t>
      </w:r>
    </w:p>
    <w:p>
      <w:pPr>
        <w:spacing w:line="360" w:lineRule="auto"/>
        <w:rPr>
          <w:rFonts w:ascii="宋体" w:hAnsi="宋体"/>
          <w:color w:val="auto"/>
          <w:sz w:val="24"/>
        </w:rPr>
      </w:pPr>
      <w:r>
        <w:rPr>
          <w:rFonts w:hint="eastAsia" w:ascii="宋体" w:hAnsi="宋体"/>
          <w:color w:val="auto"/>
          <w:sz w:val="24"/>
        </w:rPr>
        <w:t>2.4《节能产品政府采购实施意见》（财库[2004]185号）；</w:t>
      </w:r>
    </w:p>
    <w:p>
      <w:pPr>
        <w:spacing w:line="360" w:lineRule="auto"/>
        <w:rPr>
          <w:rFonts w:ascii="宋体" w:hAnsi="宋体"/>
          <w:color w:val="auto"/>
          <w:sz w:val="24"/>
        </w:rPr>
      </w:pPr>
      <w:r>
        <w:rPr>
          <w:rFonts w:hint="eastAsia" w:ascii="宋体" w:hAnsi="宋体"/>
          <w:color w:val="auto"/>
          <w:sz w:val="24"/>
        </w:rPr>
        <w:t>2.5《环境标志产品政府采购实施的意见》（财库[2006]90号）；</w:t>
      </w:r>
    </w:p>
    <w:p>
      <w:pPr>
        <w:spacing w:line="360" w:lineRule="auto"/>
        <w:rPr>
          <w:rFonts w:ascii="宋体" w:hAnsi="宋体"/>
          <w:color w:val="auto"/>
          <w:sz w:val="24"/>
        </w:rPr>
      </w:pPr>
      <w:r>
        <w:rPr>
          <w:rFonts w:hint="eastAsia" w:ascii="宋体" w:hAnsi="宋体"/>
          <w:color w:val="auto"/>
          <w:sz w:val="24"/>
        </w:rPr>
        <w:t>2.6《三部门联合发布关于促进残疾人就业政府采购政策的通知》（财库〔2017〕141号）；</w:t>
      </w:r>
    </w:p>
    <w:p>
      <w:pPr>
        <w:spacing w:line="360" w:lineRule="auto"/>
        <w:rPr>
          <w:rFonts w:ascii="宋体" w:hAnsi="宋体"/>
          <w:color w:val="auto"/>
          <w:sz w:val="24"/>
        </w:rPr>
      </w:pPr>
      <w:r>
        <w:rPr>
          <w:rFonts w:hint="eastAsia" w:ascii="宋体" w:hAnsi="宋体"/>
          <w:color w:val="auto"/>
          <w:sz w:val="24"/>
        </w:rPr>
        <w:t>2.7《财政部 发展改革委 生态环境部 市场监管总局关于调整优化节能产品、环境标志产品政府采购执行机制的通知》（财库〔2019〕9号）</w:t>
      </w:r>
    </w:p>
    <w:p>
      <w:pPr>
        <w:spacing w:line="360" w:lineRule="auto"/>
        <w:rPr>
          <w:rFonts w:ascii="宋体" w:hAnsi="宋体"/>
          <w:color w:val="auto"/>
          <w:sz w:val="24"/>
        </w:rPr>
      </w:pPr>
      <w:r>
        <w:rPr>
          <w:rFonts w:hint="eastAsia" w:ascii="宋体" w:hAnsi="宋体"/>
          <w:color w:val="auto"/>
          <w:sz w:val="24"/>
        </w:rPr>
        <w:t>2.8《财政部 国务院扶贫办关于运用政府采购政策支持脱贫攻坚的通知》（财库〔2019〕27号）；</w:t>
      </w:r>
    </w:p>
    <w:p>
      <w:pPr>
        <w:spacing w:line="360" w:lineRule="auto"/>
        <w:rPr>
          <w:rFonts w:ascii="宋体" w:hAnsi="宋体"/>
          <w:color w:val="auto"/>
          <w:sz w:val="24"/>
        </w:rPr>
      </w:pPr>
      <w:r>
        <w:rPr>
          <w:rFonts w:hint="eastAsia" w:ascii="宋体" w:hAnsi="宋体"/>
          <w:color w:val="auto"/>
          <w:sz w:val="24"/>
        </w:rPr>
        <w:t>2.9《陕西省中小企业政府采购信用融资办法》（陕财办采〔2018〕23号）；</w:t>
      </w:r>
    </w:p>
    <w:p>
      <w:pPr>
        <w:spacing w:line="360" w:lineRule="auto"/>
        <w:rPr>
          <w:rFonts w:ascii="宋体" w:hAnsi="宋体"/>
          <w:color w:val="auto"/>
          <w:sz w:val="24"/>
        </w:rPr>
      </w:pPr>
      <w:r>
        <w:rPr>
          <w:rFonts w:hint="eastAsia" w:ascii="宋体" w:hAnsi="宋体"/>
          <w:color w:val="auto"/>
          <w:sz w:val="24"/>
        </w:rPr>
        <w:t>2.10其他需要落实的政府采购政策。</w:t>
      </w:r>
    </w:p>
    <w:p>
      <w:pPr>
        <w:spacing w:line="360" w:lineRule="auto"/>
        <w:rPr>
          <w:rFonts w:ascii="宋体" w:hAnsi="宋体"/>
          <w:b/>
          <w:bCs/>
          <w:color w:val="auto"/>
          <w:sz w:val="24"/>
        </w:rPr>
      </w:pPr>
      <w:r>
        <w:rPr>
          <w:rFonts w:hint="eastAsia" w:ascii="宋体" w:hAnsi="宋体"/>
          <w:b/>
          <w:bCs/>
          <w:color w:val="auto"/>
          <w:sz w:val="24"/>
        </w:rPr>
        <w:t>九、磋商文件 发售时间、地点</w:t>
      </w:r>
    </w:p>
    <w:p>
      <w:pPr>
        <w:spacing w:line="360" w:lineRule="auto"/>
        <w:ind w:firstLine="480" w:firstLineChars="200"/>
        <w:rPr>
          <w:rFonts w:ascii="宋体" w:hAnsi="宋体"/>
          <w:color w:val="auto"/>
          <w:sz w:val="24"/>
        </w:rPr>
      </w:pPr>
      <w:r>
        <w:rPr>
          <w:rFonts w:hint="eastAsia" w:ascii="宋体" w:hAnsi="宋体"/>
          <w:color w:val="auto"/>
          <w:sz w:val="24"/>
        </w:rPr>
        <w:t>1、发售时间：2022年09月08日 9:00:00至2022年09月16日17:00:00（双休日及法定节假日除外）</w:t>
      </w:r>
    </w:p>
    <w:p>
      <w:pPr>
        <w:spacing w:line="360" w:lineRule="auto"/>
        <w:ind w:firstLine="480" w:firstLineChars="200"/>
        <w:rPr>
          <w:rFonts w:ascii="宋体" w:hAnsi="宋体"/>
          <w:color w:val="auto"/>
          <w:sz w:val="24"/>
        </w:rPr>
      </w:pPr>
      <w:r>
        <w:rPr>
          <w:rFonts w:hint="eastAsia" w:ascii="宋体" w:hAnsi="宋体"/>
          <w:color w:val="auto"/>
          <w:sz w:val="24"/>
        </w:rPr>
        <w:t>2、发售地点：陕西省西安市莲湖区北关正街33号腾飞鸿翔大厦5层</w:t>
      </w:r>
    </w:p>
    <w:p>
      <w:pPr>
        <w:spacing w:line="360" w:lineRule="auto"/>
        <w:ind w:firstLine="480" w:firstLineChars="200"/>
        <w:rPr>
          <w:rFonts w:ascii="宋体" w:hAnsi="宋体"/>
          <w:color w:val="auto"/>
          <w:sz w:val="24"/>
        </w:rPr>
      </w:pPr>
      <w:r>
        <w:rPr>
          <w:rFonts w:hint="eastAsia" w:ascii="宋体" w:hAnsi="宋体"/>
          <w:color w:val="auto"/>
          <w:sz w:val="24"/>
        </w:rPr>
        <w:t>3、文件售价：每套500.00元（人民币），售后不退</w:t>
      </w:r>
    </w:p>
    <w:p>
      <w:pPr>
        <w:spacing w:line="440" w:lineRule="exact"/>
        <w:ind w:firstLine="480" w:firstLineChars="200"/>
        <w:jc w:val="left"/>
        <w:rPr>
          <w:rFonts w:ascii="宋体" w:hAnsi="宋体"/>
          <w:color w:val="auto"/>
          <w:sz w:val="24"/>
        </w:rPr>
      </w:pPr>
      <w:r>
        <w:rPr>
          <w:rFonts w:hint="eastAsia" w:ascii="宋体" w:hAnsi="宋体"/>
          <w:color w:val="auto"/>
          <w:sz w:val="24"/>
        </w:rPr>
        <w:t>注：</w:t>
      </w:r>
      <w:r>
        <w:rPr>
          <w:rFonts w:hint="eastAsia" w:ascii="宋体" w:hAnsi="宋体"/>
          <w:color w:val="auto"/>
          <w:kern w:val="0"/>
          <w:sz w:val="24"/>
        </w:rPr>
        <w:t>购买磋商文件请携带单位经办人介绍信原件、身份证原件及复印件加盖公章。（请各供应商购买竞争性磋商文件后，按照陕西省财政厅《关于政府采购供应商注册登记有关事项的通知》要求，通过陕西省政府采购网注册登记加入陕西省政府采购供应商库。）</w:t>
      </w:r>
    </w:p>
    <w:p>
      <w:pPr>
        <w:spacing w:line="360" w:lineRule="auto"/>
        <w:rPr>
          <w:rFonts w:ascii="宋体" w:hAnsi="宋体"/>
          <w:b/>
          <w:bCs/>
          <w:color w:val="auto"/>
          <w:sz w:val="24"/>
        </w:rPr>
      </w:pPr>
      <w:r>
        <w:rPr>
          <w:rFonts w:hint="eastAsia" w:ascii="宋体" w:hAnsi="宋体"/>
          <w:b/>
          <w:bCs/>
          <w:color w:val="auto"/>
          <w:sz w:val="24"/>
        </w:rPr>
        <w:t>十、磋商文件 递交截止时间及开标时间和地点</w:t>
      </w:r>
    </w:p>
    <w:p>
      <w:pPr>
        <w:spacing w:line="360" w:lineRule="auto"/>
        <w:ind w:firstLine="480" w:firstLineChars="200"/>
        <w:rPr>
          <w:rFonts w:ascii="宋体" w:hAnsi="宋体"/>
          <w:color w:val="auto"/>
          <w:sz w:val="24"/>
        </w:rPr>
      </w:pPr>
      <w:r>
        <w:rPr>
          <w:rFonts w:hint="eastAsia" w:ascii="宋体" w:hAnsi="宋体"/>
          <w:color w:val="auto"/>
          <w:sz w:val="24"/>
        </w:rPr>
        <w:t>1、文件递交截止时间：2022年09月20日 14:30:00前</w:t>
      </w:r>
    </w:p>
    <w:p>
      <w:pPr>
        <w:spacing w:line="360" w:lineRule="auto"/>
        <w:ind w:firstLine="480" w:firstLineChars="200"/>
        <w:rPr>
          <w:rFonts w:ascii="宋体" w:hAnsi="宋体"/>
          <w:color w:val="auto"/>
          <w:sz w:val="24"/>
        </w:rPr>
      </w:pPr>
      <w:r>
        <w:rPr>
          <w:rFonts w:hint="eastAsia" w:ascii="宋体" w:hAnsi="宋体"/>
          <w:color w:val="auto"/>
          <w:sz w:val="24"/>
        </w:rPr>
        <w:t>2、投标地点：陕西省西安市莲湖区北关正街33号腾飞鸿翔大厦5层开标一室</w:t>
      </w:r>
    </w:p>
    <w:p>
      <w:pPr>
        <w:spacing w:line="360" w:lineRule="auto"/>
        <w:ind w:firstLine="480" w:firstLineChars="200"/>
        <w:rPr>
          <w:rFonts w:ascii="宋体" w:hAnsi="宋体"/>
          <w:color w:val="auto"/>
          <w:sz w:val="24"/>
        </w:rPr>
      </w:pPr>
      <w:r>
        <w:rPr>
          <w:rFonts w:hint="eastAsia" w:ascii="宋体" w:hAnsi="宋体"/>
          <w:color w:val="auto"/>
          <w:sz w:val="24"/>
        </w:rPr>
        <w:t>3、开标时间：2022年9月20日 14:30:00</w:t>
      </w:r>
    </w:p>
    <w:p>
      <w:pPr>
        <w:spacing w:line="360" w:lineRule="auto"/>
        <w:ind w:firstLine="480" w:firstLineChars="200"/>
        <w:rPr>
          <w:rFonts w:ascii="宋体" w:hAnsi="宋体"/>
          <w:color w:val="auto"/>
          <w:sz w:val="24"/>
        </w:rPr>
      </w:pPr>
      <w:r>
        <w:rPr>
          <w:rFonts w:hint="eastAsia" w:ascii="宋体" w:hAnsi="宋体"/>
          <w:color w:val="auto"/>
          <w:sz w:val="24"/>
        </w:rPr>
        <w:t>4、开标地点：陕西省西安市莲湖区北关正街33号腾飞鸿翔大厦5层开标一室</w:t>
      </w:r>
    </w:p>
    <w:p>
      <w:pPr>
        <w:spacing w:line="360" w:lineRule="auto"/>
        <w:rPr>
          <w:rFonts w:ascii="宋体" w:hAnsi="宋体"/>
          <w:b/>
          <w:bCs/>
          <w:color w:val="auto"/>
          <w:sz w:val="24"/>
        </w:rPr>
      </w:pPr>
      <w:r>
        <w:rPr>
          <w:rFonts w:hint="eastAsia" w:ascii="宋体" w:hAnsi="宋体"/>
          <w:b/>
          <w:bCs/>
          <w:color w:val="auto"/>
          <w:sz w:val="24"/>
        </w:rPr>
        <w:t>十一、其他应说明的事项</w:t>
      </w:r>
    </w:p>
    <w:p>
      <w:pPr>
        <w:spacing w:line="360" w:lineRule="auto"/>
        <w:ind w:firstLine="480" w:firstLineChars="200"/>
        <w:rPr>
          <w:rFonts w:ascii="宋体" w:hAnsi="宋体"/>
          <w:color w:val="auto"/>
          <w:sz w:val="24"/>
        </w:rPr>
      </w:pPr>
      <w:r>
        <w:rPr>
          <w:rFonts w:hint="eastAsia" w:ascii="宋体" w:hAnsi="宋体"/>
          <w:color w:val="auto"/>
          <w:sz w:val="24"/>
        </w:rPr>
        <w:t>1、采购代理机构联系方式：13309277096</w:t>
      </w:r>
    </w:p>
    <w:p>
      <w:pPr>
        <w:spacing w:line="360" w:lineRule="auto"/>
        <w:ind w:firstLine="480" w:firstLineChars="200"/>
        <w:rPr>
          <w:rFonts w:ascii="宋体" w:hAnsi="宋体"/>
          <w:color w:val="auto"/>
          <w:sz w:val="24"/>
        </w:rPr>
      </w:pPr>
      <w:r>
        <w:rPr>
          <w:rFonts w:hint="eastAsia" w:ascii="宋体" w:hAnsi="宋体"/>
          <w:color w:val="auto"/>
          <w:sz w:val="24"/>
        </w:rPr>
        <w:t>2、开户名称：陕西中采招项目管理有限公司</w:t>
      </w:r>
    </w:p>
    <w:p>
      <w:pPr>
        <w:spacing w:line="360" w:lineRule="auto"/>
        <w:ind w:firstLine="480" w:firstLineChars="200"/>
        <w:rPr>
          <w:rFonts w:ascii="宋体" w:hAnsi="宋体"/>
          <w:color w:val="auto"/>
          <w:sz w:val="24"/>
        </w:rPr>
      </w:pPr>
      <w:r>
        <w:rPr>
          <w:rFonts w:hint="eastAsia" w:ascii="宋体" w:hAnsi="宋体"/>
          <w:color w:val="auto"/>
          <w:sz w:val="24"/>
        </w:rPr>
        <w:t>3、开户银行：</w:t>
      </w:r>
      <w:r>
        <w:rPr>
          <w:rFonts w:hint="eastAsia" w:ascii="宋体" w:hAnsi="宋体"/>
          <w:color w:val="auto"/>
          <w:kern w:val="0"/>
          <w:sz w:val="24"/>
          <w:szCs w:val="22"/>
        </w:rPr>
        <w:t>中信银行股份有限公司陕西自贸试验区西安科技路</w:t>
      </w:r>
    </w:p>
    <w:p>
      <w:pPr>
        <w:spacing w:line="360" w:lineRule="auto"/>
        <w:ind w:firstLine="480" w:firstLineChars="200"/>
        <w:rPr>
          <w:rFonts w:ascii="宋体" w:hAnsi="宋体"/>
          <w:color w:val="auto"/>
          <w:sz w:val="24"/>
        </w:rPr>
      </w:pPr>
      <w:r>
        <w:rPr>
          <w:rFonts w:hint="eastAsia" w:ascii="宋体" w:hAnsi="宋体"/>
          <w:color w:val="auto"/>
          <w:sz w:val="24"/>
        </w:rPr>
        <w:t>4、账 号：</w:t>
      </w:r>
      <w:r>
        <w:rPr>
          <w:rFonts w:ascii="宋体" w:hAnsi="宋体"/>
          <w:color w:val="auto"/>
          <w:kern w:val="0"/>
          <w:sz w:val="24"/>
          <w:szCs w:val="22"/>
        </w:rPr>
        <w:t>8111701012400643572</w:t>
      </w:r>
    </w:p>
    <w:p>
      <w:pPr>
        <w:spacing w:line="360" w:lineRule="auto"/>
        <w:rPr>
          <w:rFonts w:ascii="宋体" w:hAnsi="宋体"/>
          <w:color w:val="auto"/>
          <w:sz w:val="24"/>
        </w:rPr>
      </w:pPr>
      <w:r>
        <w:rPr>
          <w:rFonts w:hint="eastAsia" w:ascii="宋体" w:hAnsi="宋体"/>
          <w:b/>
          <w:bCs/>
          <w:color w:val="auto"/>
          <w:sz w:val="24"/>
        </w:rPr>
        <w:t>十二、本竞争性磋商公告期限为自发布之日起5个工作日。</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 xml:space="preserve">                                   陕西中采招项目管理有限公司</w:t>
      </w:r>
    </w:p>
    <w:p>
      <w:pPr>
        <w:pStyle w:val="11"/>
        <w:ind w:firstLine="4560" w:firstLineChars="1900"/>
        <w:jc w:val="left"/>
        <w:rPr>
          <w:rFonts w:ascii="宋体" w:hAnsi="宋体" w:cs="宋体"/>
          <w:color w:val="auto"/>
          <w:sz w:val="24"/>
        </w:rPr>
      </w:pPr>
    </w:p>
    <w:p>
      <w:pPr>
        <w:jc w:val="center"/>
        <w:rPr>
          <w:rFonts w:ascii="宋体" w:hAnsi="宋体"/>
          <w:color w:val="auto"/>
          <w:sz w:val="24"/>
        </w:rPr>
      </w:pPr>
      <w:r>
        <w:rPr>
          <w:rFonts w:hint="eastAsia" w:ascii="宋体" w:hAnsi="宋体"/>
          <w:color w:val="auto"/>
          <w:sz w:val="24"/>
        </w:rPr>
        <w:t xml:space="preserve">                               2022年9月08日</w:t>
      </w:r>
    </w:p>
    <w:p>
      <w:pPr>
        <w:rPr>
          <w:color w:val="auto"/>
        </w:rPr>
      </w:pPr>
    </w:p>
    <w:p>
      <w:pPr>
        <w:spacing w:line="360" w:lineRule="auto"/>
        <w:jc w:val="center"/>
        <w:rPr>
          <w:rFonts w:ascii="宋体" w:hAnsi="宋体"/>
          <w:color w:val="auto"/>
          <w:szCs w:val="30"/>
        </w:rPr>
      </w:pPr>
      <w:r>
        <w:rPr>
          <w:rFonts w:hint="eastAsia" w:ascii="宋体" w:hAnsi="宋体"/>
          <w:color w:val="auto"/>
          <w:szCs w:val="30"/>
        </w:rPr>
        <w:br w:type="page"/>
      </w:r>
    </w:p>
    <w:p>
      <w:pPr>
        <w:numPr>
          <w:ilvl w:val="0"/>
          <w:numId w:val="2"/>
        </w:numPr>
        <w:spacing w:line="360" w:lineRule="auto"/>
        <w:jc w:val="center"/>
        <w:outlineLvl w:val="0"/>
        <w:rPr>
          <w:rFonts w:ascii="黑体" w:hAnsi="黑体" w:eastAsia="黑体" w:cs="黑体"/>
          <w:b/>
          <w:bCs/>
          <w:color w:val="auto"/>
          <w:sz w:val="32"/>
          <w:szCs w:val="32"/>
        </w:rPr>
      </w:pPr>
      <w:bookmarkStart w:id="5" w:name="_Toc22925"/>
      <w:r>
        <w:rPr>
          <w:rFonts w:hint="eastAsia" w:ascii="黑体" w:hAnsi="黑体" w:eastAsia="黑体" w:cs="黑体"/>
          <w:b/>
          <w:bCs/>
          <w:color w:val="auto"/>
          <w:sz w:val="32"/>
          <w:szCs w:val="32"/>
        </w:rPr>
        <w:t>供应商须知</w:t>
      </w:r>
      <w:bookmarkEnd w:id="5"/>
    </w:p>
    <w:p>
      <w:pPr>
        <w:spacing w:line="360" w:lineRule="auto"/>
        <w:jc w:val="center"/>
        <w:rPr>
          <w:bCs/>
          <w:color w:val="auto"/>
          <w:sz w:val="24"/>
        </w:rPr>
      </w:pPr>
      <w:r>
        <w:rPr>
          <w:rFonts w:hint="eastAsia"/>
          <w:bCs/>
          <w:color w:val="auto"/>
          <w:sz w:val="24"/>
        </w:rPr>
        <w:t>响应须知前附表（如有不一致，以本表为准）</w:t>
      </w:r>
    </w:p>
    <w:tbl>
      <w:tblPr>
        <w:tblStyle w:val="24"/>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rPr>
                <w:rFonts w:ascii="黑体" w:hAnsi="黑体" w:eastAsia="黑体" w:cs="黑体"/>
                <w:b/>
                <w:color w:val="auto"/>
                <w:sz w:val="24"/>
              </w:rPr>
            </w:pPr>
            <w:bookmarkStart w:id="6" w:name="_Toc32436"/>
            <w:bookmarkStart w:id="7" w:name="_Toc31084"/>
            <w:bookmarkStart w:id="8" w:name="_Toc22306"/>
            <w:r>
              <w:rPr>
                <w:rFonts w:hint="eastAsia" w:ascii="黑体" w:hAnsi="黑体" w:eastAsia="黑体" w:cs="黑体"/>
                <w:b/>
                <w:color w:val="auto"/>
                <w:sz w:val="24"/>
              </w:rPr>
              <w:t>序号</w:t>
            </w:r>
          </w:p>
        </w:tc>
        <w:tc>
          <w:tcPr>
            <w:tcW w:w="829" w:type="dxa"/>
            <w:vAlign w:val="center"/>
          </w:tcPr>
          <w:p>
            <w:pPr>
              <w:jc w:val="center"/>
              <w:rPr>
                <w:rFonts w:ascii="黑体" w:hAnsi="黑体" w:eastAsia="黑体" w:cs="黑体"/>
                <w:b/>
                <w:color w:val="auto"/>
                <w:sz w:val="24"/>
              </w:rPr>
            </w:pPr>
            <w:r>
              <w:rPr>
                <w:rFonts w:hint="eastAsia" w:ascii="黑体" w:hAnsi="黑体" w:eastAsia="黑体" w:cs="黑体"/>
                <w:b/>
                <w:color w:val="auto"/>
                <w:sz w:val="24"/>
              </w:rPr>
              <w:t>条款</w:t>
            </w:r>
          </w:p>
          <w:p>
            <w:pPr>
              <w:jc w:val="center"/>
              <w:rPr>
                <w:rFonts w:ascii="黑体" w:hAnsi="黑体" w:eastAsia="黑体" w:cs="黑体"/>
                <w:b/>
                <w:color w:val="auto"/>
                <w:sz w:val="24"/>
              </w:rPr>
            </w:pPr>
            <w:r>
              <w:rPr>
                <w:rFonts w:hint="eastAsia" w:ascii="黑体" w:hAnsi="黑体" w:eastAsia="黑体" w:cs="黑体"/>
                <w:b/>
                <w:color w:val="auto"/>
                <w:sz w:val="24"/>
              </w:rPr>
              <w:t>序号</w:t>
            </w:r>
          </w:p>
        </w:tc>
        <w:tc>
          <w:tcPr>
            <w:tcW w:w="8364" w:type="dxa"/>
            <w:vAlign w:val="center"/>
          </w:tcPr>
          <w:p>
            <w:pPr>
              <w:jc w:val="center"/>
              <w:rPr>
                <w:rFonts w:ascii="黑体" w:hAnsi="黑体" w:eastAsia="黑体" w:cs="黑体"/>
                <w:b/>
                <w:color w:val="auto"/>
                <w:sz w:val="24"/>
              </w:rPr>
            </w:pPr>
            <w:r>
              <w:rPr>
                <w:rFonts w:hint="eastAsia" w:ascii="黑体" w:hAnsi="黑体" w:eastAsia="黑体" w:cs="黑体"/>
                <w:b/>
                <w:color w:val="auto"/>
                <w:sz w:val="24"/>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rPr>
                <w:b/>
                <w:color w:val="auto"/>
              </w:rPr>
            </w:pPr>
          </w:p>
        </w:tc>
        <w:tc>
          <w:tcPr>
            <w:tcW w:w="829" w:type="dxa"/>
            <w:vAlign w:val="center"/>
          </w:tcPr>
          <w:p>
            <w:pPr>
              <w:jc w:val="center"/>
              <w:rPr>
                <w:b/>
                <w:color w:val="auto"/>
              </w:rPr>
            </w:pPr>
          </w:p>
        </w:tc>
        <w:tc>
          <w:tcPr>
            <w:tcW w:w="8364" w:type="dxa"/>
            <w:vAlign w:val="center"/>
          </w:tcPr>
          <w:p>
            <w:pPr>
              <w:jc w:val="center"/>
              <w:rPr>
                <w:b/>
                <w:color w:val="auto"/>
              </w:rPr>
            </w:pPr>
            <w:r>
              <w:rPr>
                <w:rFonts w:hint="eastAsia"/>
                <w:b/>
                <w:color w:val="auto"/>
              </w:rPr>
              <w:t>一、总则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w:t>
            </w:r>
          </w:p>
        </w:tc>
        <w:tc>
          <w:tcPr>
            <w:tcW w:w="829" w:type="dxa"/>
            <w:vAlign w:val="center"/>
          </w:tcPr>
          <w:p>
            <w:pPr>
              <w:spacing w:line="360" w:lineRule="auto"/>
              <w:jc w:val="center"/>
              <w:rPr>
                <w:b/>
                <w:color w:val="auto"/>
              </w:rPr>
            </w:pPr>
            <w:r>
              <w:rPr>
                <w:rFonts w:hint="eastAsia"/>
                <w:b/>
                <w:color w:val="auto"/>
              </w:rPr>
              <w:t>1</w:t>
            </w:r>
            <w:r>
              <w:rPr>
                <w:b/>
                <w:color w:val="auto"/>
              </w:rPr>
              <w:t>.</w:t>
            </w:r>
            <w:r>
              <w:rPr>
                <w:rFonts w:hint="eastAsia"/>
                <w:b/>
                <w:color w:val="auto"/>
              </w:rPr>
              <w:t>1</w:t>
            </w:r>
          </w:p>
        </w:tc>
        <w:tc>
          <w:tcPr>
            <w:tcW w:w="8364" w:type="dxa"/>
            <w:vAlign w:val="center"/>
          </w:tcPr>
          <w:p>
            <w:pPr>
              <w:spacing w:line="360" w:lineRule="auto"/>
              <w:rPr>
                <w:rFonts w:ascii="宋体" w:hAnsi="宋体"/>
                <w:color w:val="auto"/>
                <w:szCs w:val="21"/>
              </w:rPr>
            </w:pPr>
            <w:r>
              <w:rPr>
                <w:rFonts w:hint="eastAsia" w:ascii="宋体" w:hAnsi="宋体"/>
                <w:color w:val="auto"/>
                <w:szCs w:val="21"/>
              </w:rPr>
              <w:t>项目名称：执法全过程系统运维及监督点位项目</w:t>
            </w:r>
          </w:p>
          <w:p>
            <w:pPr>
              <w:spacing w:line="360" w:lineRule="auto"/>
              <w:rPr>
                <w:rFonts w:ascii="宋体" w:hAnsi="宋体"/>
                <w:color w:val="auto"/>
                <w:szCs w:val="21"/>
              </w:rPr>
            </w:pPr>
            <w:r>
              <w:rPr>
                <w:rFonts w:hint="eastAsia" w:ascii="宋体" w:hAnsi="宋体"/>
                <w:color w:val="auto"/>
                <w:szCs w:val="21"/>
              </w:rPr>
              <w:t>采购预算：1052000 .00元（大写：壹佰零伍万贰仟圆整）</w:t>
            </w:r>
          </w:p>
          <w:p>
            <w:pPr>
              <w:spacing w:line="360" w:lineRule="auto"/>
              <w:rPr>
                <w:rFonts w:ascii="宋体" w:hAnsi="宋体"/>
                <w:color w:val="auto"/>
                <w:szCs w:val="21"/>
              </w:rPr>
            </w:pPr>
            <w:r>
              <w:rPr>
                <w:rFonts w:hint="eastAsia" w:ascii="宋体" w:hAnsi="宋体"/>
                <w:color w:val="auto"/>
                <w:szCs w:val="21"/>
              </w:rPr>
              <w:t>资金来源：财政拨款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2</w:t>
            </w:r>
          </w:p>
        </w:tc>
        <w:tc>
          <w:tcPr>
            <w:tcW w:w="829" w:type="dxa"/>
            <w:vAlign w:val="center"/>
          </w:tcPr>
          <w:p>
            <w:pPr>
              <w:spacing w:line="360" w:lineRule="auto"/>
              <w:jc w:val="center"/>
              <w:rPr>
                <w:b/>
                <w:color w:val="auto"/>
              </w:rPr>
            </w:pPr>
            <w:r>
              <w:rPr>
                <w:rFonts w:hint="eastAsia"/>
                <w:b/>
                <w:color w:val="auto"/>
              </w:rPr>
              <w:t>1.2</w:t>
            </w:r>
          </w:p>
        </w:tc>
        <w:tc>
          <w:tcPr>
            <w:tcW w:w="8364" w:type="dxa"/>
            <w:vAlign w:val="center"/>
          </w:tcPr>
          <w:p>
            <w:pPr>
              <w:spacing w:line="360" w:lineRule="auto"/>
              <w:rPr>
                <w:rFonts w:ascii="宋体" w:hAnsi="宋体"/>
                <w:color w:val="auto"/>
                <w:szCs w:val="21"/>
              </w:rPr>
            </w:pPr>
            <w:r>
              <w:rPr>
                <w:rFonts w:hint="eastAsia" w:ascii="宋体" w:hAnsi="宋体"/>
                <w:color w:val="auto"/>
                <w:szCs w:val="21"/>
              </w:rPr>
              <w:t>采购人名称：陕西省生态环境执法总队</w:t>
            </w:r>
          </w:p>
          <w:p>
            <w:pPr>
              <w:spacing w:line="360" w:lineRule="auto"/>
              <w:rPr>
                <w:rFonts w:ascii="宋体" w:hAnsi="宋体"/>
                <w:color w:val="auto"/>
                <w:szCs w:val="21"/>
              </w:rPr>
            </w:pPr>
            <w:r>
              <w:rPr>
                <w:rFonts w:hint="eastAsia" w:ascii="宋体" w:hAnsi="宋体"/>
                <w:color w:val="auto"/>
                <w:szCs w:val="21"/>
              </w:rPr>
              <w:t>地址：西影路环保大厦</w:t>
            </w:r>
          </w:p>
          <w:p>
            <w:pPr>
              <w:spacing w:line="360" w:lineRule="auto"/>
              <w:rPr>
                <w:rFonts w:ascii="宋体" w:hAnsi="宋体"/>
                <w:color w:val="auto"/>
                <w:szCs w:val="21"/>
              </w:rPr>
            </w:pPr>
            <w:r>
              <w:rPr>
                <w:rFonts w:hint="eastAsia" w:ascii="宋体" w:hAnsi="宋体"/>
                <w:color w:val="auto"/>
                <w:szCs w:val="21"/>
              </w:rPr>
              <w:t>联系人：陈先生</w:t>
            </w:r>
          </w:p>
          <w:p>
            <w:pPr>
              <w:spacing w:line="360" w:lineRule="auto"/>
              <w:rPr>
                <w:rFonts w:ascii="宋体" w:hAnsi="宋体"/>
                <w:color w:val="auto"/>
                <w:szCs w:val="21"/>
              </w:rPr>
            </w:pPr>
            <w:r>
              <w:rPr>
                <w:rFonts w:hint="eastAsia" w:ascii="宋体" w:hAnsi="宋体"/>
                <w:color w:val="auto"/>
                <w:szCs w:val="21"/>
              </w:rPr>
              <w:t>联系方式：029-85429258</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3</w:t>
            </w:r>
          </w:p>
        </w:tc>
        <w:tc>
          <w:tcPr>
            <w:tcW w:w="829" w:type="dxa"/>
            <w:vAlign w:val="center"/>
          </w:tcPr>
          <w:p>
            <w:pPr>
              <w:spacing w:line="360" w:lineRule="auto"/>
              <w:jc w:val="center"/>
              <w:rPr>
                <w:b/>
                <w:color w:val="auto"/>
              </w:rPr>
            </w:pPr>
            <w:r>
              <w:rPr>
                <w:rFonts w:hint="eastAsia"/>
                <w:b/>
                <w:color w:val="auto"/>
              </w:rPr>
              <w:t>1.4</w:t>
            </w:r>
          </w:p>
        </w:tc>
        <w:tc>
          <w:tcPr>
            <w:tcW w:w="8364" w:type="dxa"/>
            <w:vAlign w:val="center"/>
          </w:tcPr>
          <w:p>
            <w:pPr>
              <w:spacing w:line="360" w:lineRule="auto"/>
              <w:rPr>
                <w:rFonts w:ascii="宋体" w:hAnsi="宋体"/>
                <w:color w:val="auto"/>
                <w:szCs w:val="21"/>
              </w:rPr>
            </w:pPr>
            <w:r>
              <w:rPr>
                <w:rFonts w:hint="eastAsia" w:ascii="宋体" w:hAnsi="宋体"/>
                <w:color w:val="auto"/>
                <w:szCs w:val="21"/>
              </w:rPr>
              <w:t>采购代理机构名称：陕西中采招项目管理有限公司</w:t>
            </w:r>
          </w:p>
          <w:p>
            <w:pPr>
              <w:spacing w:line="360" w:lineRule="auto"/>
              <w:rPr>
                <w:rFonts w:ascii="宋体" w:hAnsi="宋体"/>
                <w:color w:val="auto"/>
                <w:szCs w:val="21"/>
              </w:rPr>
            </w:pPr>
            <w:r>
              <w:rPr>
                <w:rFonts w:hint="eastAsia" w:ascii="宋体" w:hAnsi="宋体"/>
                <w:color w:val="auto"/>
                <w:szCs w:val="21"/>
              </w:rPr>
              <w:t>地址：陕西省西安市莲湖区北关正街33号腾飞鸿翔大厦5层</w:t>
            </w:r>
          </w:p>
          <w:p>
            <w:pPr>
              <w:spacing w:line="360" w:lineRule="auto"/>
              <w:rPr>
                <w:rFonts w:ascii="宋体" w:hAnsi="宋体"/>
                <w:color w:val="auto"/>
                <w:szCs w:val="21"/>
              </w:rPr>
            </w:pPr>
            <w:r>
              <w:rPr>
                <w:rFonts w:hint="eastAsia" w:ascii="宋体" w:hAnsi="宋体"/>
                <w:color w:val="auto"/>
                <w:szCs w:val="21"/>
              </w:rPr>
              <w:t>联系人：许工</w:t>
            </w:r>
          </w:p>
          <w:p>
            <w:pPr>
              <w:spacing w:line="360" w:lineRule="auto"/>
              <w:rPr>
                <w:rFonts w:ascii="宋体" w:hAnsi="宋体"/>
                <w:color w:val="auto"/>
                <w:szCs w:val="21"/>
              </w:rPr>
            </w:pPr>
            <w:r>
              <w:rPr>
                <w:rFonts w:hint="eastAsia" w:ascii="宋体" w:hAnsi="宋体"/>
                <w:color w:val="auto"/>
                <w:szCs w:val="21"/>
              </w:rPr>
              <w:t>联系电话：13309277096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4</w:t>
            </w:r>
          </w:p>
        </w:tc>
        <w:tc>
          <w:tcPr>
            <w:tcW w:w="829" w:type="dxa"/>
            <w:vAlign w:val="center"/>
          </w:tcPr>
          <w:p>
            <w:pPr>
              <w:spacing w:line="360" w:lineRule="auto"/>
              <w:jc w:val="center"/>
              <w:rPr>
                <w:b/>
                <w:color w:val="auto"/>
              </w:rPr>
            </w:pPr>
            <w:r>
              <w:rPr>
                <w:rFonts w:hint="eastAsia"/>
                <w:b/>
                <w:color w:val="auto"/>
              </w:rPr>
              <w:t>2.1</w:t>
            </w:r>
          </w:p>
        </w:tc>
        <w:tc>
          <w:tcPr>
            <w:tcW w:w="8364" w:type="dxa"/>
            <w:vAlign w:val="center"/>
          </w:tcPr>
          <w:p>
            <w:pPr>
              <w:spacing w:line="360" w:lineRule="auto"/>
              <w:rPr>
                <w:color w:val="auto"/>
                <w:kern w:val="28"/>
              </w:rPr>
            </w:pPr>
            <w:r>
              <w:rPr>
                <w:rFonts w:hint="eastAsia"/>
                <w:color w:val="auto"/>
                <w:kern w:val="28"/>
                <w:u w:val="single"/>
              </w:rPr>
              <w:t>本项目是否专门面向中小企业采购</w:t>
            </w:r>
            <w:r>
              <w:rPr>
                <w:rFonts w:hint="eastAsia"/>
                <w:color w:val="auto"/>
                <w:kern w:val="28"/>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5</w:t>
            </w:r>
          </w:p>
        </w:tc>
        <w:tc>
          <w:tcPr>
            <w:tcW w:w="829" w:type="dxa"/>
            <w:vAlign w:val="center"/>
          </w:tcPr>
          <w:p>
            <w:pPr>
              <w:spacing w:line="360" w:lineRule="auto"/>
              <w:jc w:val="center"/>
              <w:rPr>
                <w:b/>
                <w:color w:val="auto"/>
              </w:rPr>
            </w:pPr>
            <w:r>
              <w:rPr>
                <w:rFonts w:hint="eastAsia"/>
                <w:b/>
                <w:color w:val="auto"/>
              </w:rPr>
              <w:t>2.1</w:t>
            </w:r>
          </w:p>
        </w:tc>
        <w:tc>
          <w:tcPr>
            <w:tcW w:w="8364" w:type="dxa"/>
            <w:vAlign w:val="center"/>
          </w:tcPr>
          <w:p>
            <w:pPr>
              <w:spacing w:line="360" w:lineRule="auto"/>
              <w:rPr>
                <w:color w:val="auto"/>
                <w:kern w:val="28"/>
              </w:rPr>
            </w:pPr>
            <w:r>
              <w:rPr>
                <w:rFonts w:hint="eastAsia"/>
                <w:color w:val="auto"/>
                <w:kern w:val="28"/>
                <w:u w:val="single"/>
              </w:rPr>
              <w:t>是否允许联合体响应</w:t>
            </w:r>
            <w:r>
              <w:rPr>
                <w:rFonts w:hint="eastAsia"/>
                <w:color w:val="auto"/>
                <w:kern w:val="28"/>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6</w:t>
            </w:r>
          </w:p>
        </w:tc>
        <w:tc>
          <w:tcPr>
            <w:tcW w:w="829" w:type="dxa"/>
            <w:vAlign w:val="center"/>
          </w:tcPr>
          <w:p>
            <w:pPr>
              <w:spacing w:line="360" w:lineRule="auto"/>
              <w:jc w:val="center"/>
              <w:rPr>
                <w:b/>
                <w:color w:val="auto"/>
              </w:rPr>
            </w:pPr>
            <w:r>
              <w:rPr>
                <w:rFonts w:hint="eastAsia"/>
                <w:b/>
                <w:color w:val="auto"/>
              </w:rPr>
              <w:t>2</w:t>
            </w:r>
            <w:r>
              <w:rPr>
                <w:b/>
                <w:color w:val="auto"/>
              </w:rPr>
              <w:t>.</w:t>
            </w:r>
            <w:r>
              <w:rPr>
                <w:rFonts w:hint="eastAsia"/>
                <w:b/>
                <w:color w:val="auto"/>
              </w:rPr>
              <w:t>2</w:t>
            </w:r>
          </w:p>
        </w:tc>
        <w:tc>
          <w:tcPr>
            <w:tcW w:w="8364" w:type="dxa"/>
            <w:vAlign w:val="center"/>
          </w:tcPr>
          <w:p>
            <w:pPr>
              <w:spacing w:line="360" w:lineRule="auto"/>
              <w:rPr>
                <w:color w:val="auto"/>
              </w:rPr>
            </w:pPr>
            <w:r>
              <w:rPr>
                <w:rFonts w:hint="eastAsia"/>
                <w:color w:val="auto"/>
              </w:rPr>
              <w:t>2.2响应供应商应在响应文件中提交以下文件以证明其资格：</w:t>
            </w:r>
          </w:p>
          <w:p>
            <w:pPr>
              <w:spacing w:line="360" w:lineRule="auto"/>
              <w:rPr>
                <w:rFonts w:ascii="宋体" w:hAnsi="宋体"/>
                <w:color w:val="auto"/>
                <w:szCs w:val="21"/>
              </w:rPr>
            </w:pPr>
            <w:r>
              <w:rPr>
                <w:rFonts w:hint="eastAsia" w:ascii="宋体" w:hAnsi="宋体"/>
                <w:color w:val="auto"/>
                <w:szCs w:val="21"/>
              </w:rPr>
              <w:t>（1）基本资格条件：符合《中华人民共和国政府采购法》第二十二条的规定；</w:t>
            </w:r>
          </w:p>
          <w:p>
            <w:pPr>
              <w:pStyle w:val="47"/>
              <w:spacing w:line="440" w:lineRule="exact"/>
              <w:rPr>
                <w:rFonts w:ascii="宋体" w:hAnsi="宋体"/>
                <w:color w:val="auto"/>
                <w:sz w:val="21"/>
                <w:szCs w:val="21"/>
              </w:rPr>
            </w:pPr>
            <w:r>
              <w:rPr>
                <w:rFonts w:hint="eastAsia" w:ascii="宋体" w:hAnsi="宋体"/>
                <w:color w:val="auto"/>
                <w:sz w:val="21"/>
                <w:szCs w:val="21"/>
              </w:rPr>
              <w:t>（2）特定资格条件：</w:t>
            </w:r>
          </w:p>
          <w:p>
            <w:pPr>
              <w:spacing w:line="400" w:lineRule="exact"/>
              <w:ind w:firstLine="420" w:firstLineChars="200"/>
              <w:jc w:val="left"/>
              <w:rPr>
                <w:rFonts w:ascii="宋体" w:hAnsi="宋体"/>
                <w:color w:val="auto"/>
                <w:szCs w:val="21"/>
              </w:rPr>
            </w:pPr>
            <w:r>
              <w:rPr>
                <w:rFonts w:hint="eastAsia" w:ascii="宋体" w:hAnsi="宋体"/>
                <w:color w:val="auto"/>
                <w:szCs w:val="21"/>
              </w:rPr>
              <w:t>1、供应商具有独立承担民事责任能力的法人、其他组织或自然人，并出具合法有效的营业执照或事业单位法人证书等国家规定的相关证明，自然人参与的提供其身份证明；</w:t>
            </w:r>
          </w:p>
          <w:p>
            <w:pPr>
              <w:spacing w:line="400" w:lineRule="exact"/>
              <w:ind w:firstLine="420" w:firstLineChars="200"/>
              <w:rPr>
                <w:rFonts w:ascii="宋体" w:hAnsi="宋体"/>
                <w:color w:val="auto"/>
                <w:szCs w:val="21"/>
              </w:rPr>
            </w:pPr>
            <w:r>
              <w:rPr>
                <w:rFonts w:hint="eastAsia" w:ascii="宋体" w:hAnsi="宋体"/>
                <w:color w:val="auto"/>
                <w:szCs w:val="21"/>
              </w:rPr>
              <w:t>2、财务状况报告：提供2021年度的财务审计报告或具有健全的财务报表或开标前六个月内其基本存款账户开户银行出具的资信证明及基本存款账户开户许可证；</w:t>
            </w:r>
          </w:p>
          <w:p>
            <w:pPr>
              <w:spacing w:line="400" w:lineRule="exact"/>
              <w:ind w:firstLine="420" w:firstLineChars="200"/>
              <w:jc w:val="left"/>
              <w:rPr>
                <w:rFonts w:ascii="宋体" w:hAnsi="宋体"/>
                <w:color w:val="auto"/>
                <w:szCs w:val="21"/>
              </w:rPr>
            </w:pPr>
            <w:r>
              <w:rPr>
                <w:rFonts w:hint="eastAsia" w:ascii="宋体" w:hAnsi="宋体"/>
                <w:color w:val="auto"/>
                <w:szCs w:val="21"/>
              </w:rPr>
              <w:t>3、社会保障资金缴纳证明，截止开标时一年内已缴存的至少六个月的社会保障资金缴存单据或社保机构开具的社会保险参保缴费情况证明，单据或证明上应有社保机构或代收机构的公章或业务专用章。（依法不需要缴纳社会保障资金的服务商应提供相关文件证明）；</w:t>
            </w:r>
          </w:p>
          <w:p>
            <w:pPr>
              <w:spacing w:line="400" w:lineRule="exact"/>
              <w:ind w:firstLine="420" w:firstLineChars="200"/>
              <w:jc w:val="left"/>
              <w:rPr>
                <w:rFonts w:ascii="宋体" w:hAnsi="宋体"/>
                <w:color w:val="auto"/>
                <w:szCs w:val="21"/>
              </w:rPr>
            </w:pPr>
            <w:r>
              <w:rPr>
                <w:rFonts w:hint="eastAsia" w:ascii="宋体" w:hAnsi="宋体"/>
                <w:color w:val="auto"/>
                <w:szCs w:val="21"/>
              </w:rPr>
              <w:t>4、税收缴纳证明，截止开标时一年内已缴存的至少六个月的纳税证明或完税证明，纳税证明或完税证明上应有代收机构或税务机关的公章或业务专用章。（依法免税的服务商应提供相关文件证明）；</w:t>
            </w:r>
          </w:p>
          <w:p>
            <w:pPr>
              <w:spacing w:line="400" w:lineRule="exact"/>
              <w:ind w:firstLine="420" w:firstLineChars="200"/>
              <w:jc w:val="left"/>
              <w:rPr>
                <w:rFonts w:ascii="宋体" w:hAnsi="宋体"/>
                <w:color w:val="auto"/>
                <w:szCs w:val="21"/>
              </w:rPr>
            </w:pPr>
            <w:r>
              <w:rPr>
                <w:rFonts w:hint="eastAsia" w:ascii="宋体" w:hAnsi="宋体"/>
                <w:color w:val="auto"/>
                <w:szCs w:val="21"/>
              </w:rPr>
              <w:t>5、参加政府采购活动前3年内在经营活动中没有重大违法记录的书面声明；</w:t>
            </w:r>
          </w:p>
          <w:p>
            <w:pPr>
              <w:spacing w:line="400" w:lineRule="exact"/>
              <w:ind w:firstLine="420" w:firstLineChars="200"/>
              <w:jc w:val="left"/>
              <w:rPr>
                <w:rFonts w:ascii="宋体" w:hAnsi="宋体"/>
                <w:color w:val="auto"/>
                <w:szCs w:val="21"/>
              </w:rPr>
            </w:pPr>
            <w:r>
              <w:rPr>
                <w:rFonts w:hint="eastAsia" w:ascii="宋体" w:hAnsi="宋体"/>
                <w:color w:val="auto"/>
                <w:szCs w:val="21"/>
              </w:rPr>
              <w:t>6、具备履行合同所必需的设备和专业技术能力的证明材料(由供应商根据项目需求提供说明材料或者承诺)；</w:t>
            </w:r>
          </w:p>
          <w:p>
            <w:pPr>
              <w:spacing w:line="400" w:lineRule="exact"/>
              <w:ind w:firstLine="420" w:firstLineChars="200"/>
              <w:jc w:val="left"/>
              <w:rPr>
                <w:rFonts w:ascii="宋体" w:hAnsi="宋体"/>
                <w:color w:val="auto"/>
                <w:szCs w:val="21"/>
              </w:rPr>
            </w:pPr>
            <w:r>
              <w:rPr>
                <w:rFonts w:hint="eastAsia" w:ascii="宋体" w:hAnsi="宋体"/>
                <w:color w:val="auto"/>
                <w:szCs w:val="21"/>
              </w:rPr>
              <w:t>7、供应商应授权合法的人员参加磋商全过程，其中法定代表人直接参加磋商的，须出具法人身份证，并与营业执照上信息一致。法定代表人授权代表参加磋商的，须出具法定代表人授权书及授权代表身份证；</w:t>
            </w:r>
          </w:p>
          <w:p>
            <w:pPr>
              <w:spacing w:line="400" w:lineRule="exact"/>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kern w:val="0"/>
                <w:szCs w:val="21"/>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r>
              <w:rPr>
                <w:rFonts w:hint="eastAsia" w:ascii="宋体" w:hAnsi="宋体"/>
                <w:b/>
                <w:bCs/>
                <w:color w:val="auto"/>
                <w:kern w:val="0"/>
                <w:szCs w:val="21"/>
              </w:rPr>
              <w:t>（查询时间须在磋商文件发售期至磋商响应文件递交截止时间之间，并将网页截图（加盖供应商公章）附在磋商响应文件中）</w:t>
            </w:r>
            <w:r>
              <w:rPr>
                <w:rFonts w:hint="eastAsia" w:ascii="宋体" w:hAnsi="宋体"/>
                <w:color w:val="auto"/>
                <w:kern w:val="0"/>
                <w:szCs w:val="21"/>
              </w:rPr>
              <w:t>；</w:t>
            </w:r>
          </w:p>
          <w:p>
            <w:pPr>
              <w:spacing w:line="400" w:lineRule="exact"/>
              <w:ind w:firstLine="420" w:firstLineChars="200"/>
              <w:jc w:val="left"/>
              <w:rPr>
                <w:rFonts w:ascii="宋体" w:hAnsi="宋体"/>
                <w:color w:val="auto"/>
                <w:kern w:val="0"/>
                <w:szCs w:val="21"/>
              </w:rPr>
            </w:pPr>
            <w:r>
              <w:rPr>
                <w:rFonts w:hint="eastAsia" w:ascii="宋体" w:hAnsi="宋体"/>
                <w:color w:val="auto"/>
                <w:szCs w:val="21"/>
              </w:rPr>
              <w:t>9、</w:t>
            </w:r>
            <w:r>
              <w:rPr>
                <w:rFonts w:hint="eastAsia" w:ascii="宋体" w:hAnsi="宋体"/>
                <w:color w:val="auto"/>
                <w:kern w:val="0"/>
                <w:szCs w:val="21"/>
              </w:rPr>
              <w:t>投标保证金缴纳凭证；</w:t>
            </w:r>
          </w:p>
          <w:p>
            <w:pPr>
              <w:spacing w:line="400" w:lineRule="exact"/>
              <w:ind w:firstLine="420" w:firstLineChars="200"/>
              <w:jc w:val="left"/>
              <w:rPr>
                <w:rFonts w:ascii="宋体" w:hAnsi="宋体"/>
                <w:color w:val="auto"/>
                <w:kern w:val="0"/>
                <w:szCs w:val="21"/>
              </w:rPr>
            </w:pPr>
            <w:r>
              <w:rPr>
                <w:rFonts w:hint="eastAsia" w:ascii="宋体" w:hAnsi="宋体"/>
                <w:color w:val="auto"/>
                <w:szCs w:val="21"/>
              </w:rPr>
              <w:t>10、本项目不接受联合体磋商。</w:t>
            </w:r>
          </w:p>
          <w:p>
            <w:pPr>
              <w:spacing w:line="360" w:lineRule="auto"/>
              <w:rPr>
                <w:color w:val="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7</w:t>
            </w:r>
          </w:p>
        </w:tc>
        <w:tc>
          <w:tcPr>
            <w:tcW w:w="829" w:type="dxa"/>
            <w:vAlign w:val="center"/>
          </w:tcPr>
          <w:p>
            <w:pPr>
              <w:spacing w:line="360" w:lineRule="auto"/>
              <w:jc w:val="center"/>
              <w:rPr>
                <w:b/>
                <w:color w:val="auto"/>
              </w:rPr>
            </w:pPr>
            <w:r>
              <w:rPr>
                <w:rFonts w:hint="eastAsia"/>
                <w:b/>
                <w:color w:val="auto"/>
              </w:rPr>
              <w:t>2.3</w:t>
            </w:r>
          </w:p>
        </w:tc>
        <w:tc>
          <w:tcPr>
            <w:tcW w:w="8364" w:type="dxa"/>
            <w:vAlign w:val="center"/>
          </w:tcPr>
          <w:p>
            <w:pPr>
              <w:spacing w:line="360" w:lineRule="auto"/>
              <w:rPr>
                <w:color w:val="auto"/>
                <w:kern w:val="28"/>
                <w:u w:val="single"/>
              </w:rPr>
            </w:pPr>
            <w:r>
              <w:rPr>
                <w:rFonts w:hint="eastAsia"/>
                <w:color w:val="auto"/>
                <w:kern w:val="28"/>
                <w:u w:val="single"/>
              </w:rPr>
              <w:t>2.3响应供应商递交响应文件时，必须同时提交以下资格证明文件证明材料原件，以证明其资格：</w:t>
            </w:r>
          </w:p>
          <w:p>
            <w:pPr>
              <w:spacing w:line="360" w:lineRule="auto"/>
              <w:rPr>
                <w:color w:val="auto"/>
                <w:kern w:val="28"/>
              </w:rPr>
            </w:pPr>
            <w:r>
              <w:rPr>
                <w:rFonts w:hint="eastAsia"/>
                <w:color w:val="auto"/>
                <w:kern w:val="28"/>
              </w:rPr>
              <w:t>2.3.1企业法人、其他组织营业执照副本或事业单位法人证书，自然人提供身份证明；</w:t>
            </w:r>
          </w:p>
          <w:p>
            <w:pPr>
              <w:spacing w:line="360" w:lineRule="auto"/>
              <w:rPr>
                <w:color w:val="auto"/>
              </w:rPr>
            </w:pPr>
            <w:r>
              <w:rPr>
                <w:rFonts w:hint="eastAsia"/>
                <w:color w:val="auto"/>
                <w:kern w:val="28"/>
              </w:rPr>
              <w:t>2.3.2授权代表身份证（法定代表人直接参加磋商会议提交法定代表人身份证）。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spacing w:line="360" w:lineRule="auto"/>
              <w:jc w:val="center"/>
              <w:rPr>
                <w:b/>
                <w:color w:val="auto"/>
              </w:rPr>
            </w:pPr>
          </w:p>
        </w:tc>
        <w:tc>
          <w:tcPr>
            <w:tcW w:w="8364" w:type="dxa"/>
            <w:vAlign w:val="center"/>
          </w:tcPr>
          <w:p>
            <w:pPr>
              <w:spacing w:line="560" w:lineRule="exact"/>
              <w:jc w:val="center"/>
              <w:rPr>
                <w:rFonts w:hAnsi="宋体"/>
                <w:color w:val="auto"/>
              </w:rPr>
            </w:pPr>
            <w:r>
              <w:rPr>
                <w:rFonts w:hint="eastAsia"/>
                <w:b/>
                <w:color w:val="auto"/>
              </w:rPr>
              <w:t>二、竞争性磋商文件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8</w:t>
            </w:r>
          </w:p>
        </w:tc>
        <w:tc>
          <w:tcPr>
            <w:tcW w:w="829" w:type="dxa"/>
            <w:vAlign w:val="center"/>
          </w:tcPr>
          <w:p>
            <w:pPr>
              <w:spacing w:line="360" w:lineRule="auto"/>
              <w:jc w:val="center"/>
              <w:rPr>
                <w:b/>
                <w:color w:val="auto"/>
              </w:rPr>
            </w:pPr>
            <w:r>
              <w:rPr>
                <w:rFonts w:hint="eastAsia"/>
                <w:b/>
                <w:color w:val="auto"/>
              </w:rPr>
              <w:t>7</w:t>
            </w:r>
          </w:p>
        </w:tc>
        <w:tc>
          <w:tcPr>
            <w:tcW w:w="8364" w:type="dxa"/>
            <w:vAlign w:val="center"/>
          </w:tcPr>
          <w:p>
            <w:pPr>
              <w:tabs>
                <w:tab w:val="left" w:pos="315"/>
                <w:tab w:val="left" w:pos="1785"/>
                <w:tab w:val="left" w:pos="2310"/>
                <w:tab w:val="left" w:pos="8640"/>
              </w:tabs>
              <w:rPr>
                <w:bCs/>
                <w:color w:val="auto"/>
              </w:rPr>
            </w:pPr>
            <w:r>
              <w:rPr>
                <w:rFonts w:hint="eastAsia"/>
                <w:bCs/>
                <w:color w:val="auto"/>
              </w:rPr>
              <w:t>响应答疑会时间：无</w:t>
            </w:r>
          </w:p>
          <w:p>
            <w:pPr>
              <w:rPr>
                <w:rFonts w:hAnsi="宋体"/>
                <w:color w:val="auto"/>
              </w:rPr>
            </w:pPr>
            <w:r>
              <w:rPr>
                <w:rFonts w:hint="eastAsia"/>
                <w:bCs/>
                <w:color w:val="auto"/>
              </w:rPr>
              <w:t>响应答疑会地点：无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三、响应文件的编制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9</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13.1</w:t>
            </w:r>
          </w:p>
        </w:tc>
        <w:tc>
          <w:tcPr>
            <w:tcW w:w="8364" w:type="dxa"/>
            <w:vAlign w:val="center"/>
          </w:tcPr>
          <w:p>
            <w:pPr>
              <w:spacing w:line="360" w:lineRule="auto"/>
              <w:rPr>
                <w:b/>
                <w:color w:val="auto"/>
              </w:rPr>
            </w:pPr>
            <w:r>
              <w:rPr>
                <w:rFonts w:hint="eastAsia"/>
                <w:color w:val="auto"/>
                <w:kern w:val="28"/>
                <w:u w:val="single"/>
              </w:rPr>
              <w:t>本次磋商活动需交纳保证金为</w:t>
            </w:r>
            <w:r>
              <w:rPr>
                <w:rFonts w:hint="eastAsia"/>
                <w:color w:val="auto"/>
                <w:kern w:val="28"/>
              </w:rPr>
              <w:t>：</w:t>
            </w:r>
            <w:r>
              <w:rPr>
                <w:rFonts w:hint="eastAsia"/>
                <w:b/>
                <w:bCs/>
                <w:color w:val="auto"/>
                <w:kern w:val="28"/>
              </w:rPr>
              <w:t>贰万</w:t>
            </w:r>
            <w:r>
              <w:rPr>
                <w:rFonts w:hint="eastAsia" w:ascii="宋体" w:hAnsi="宋体"/>
                <w:b/>
                <w:bCs/>
                <w:color w:val="auto"/>
                <w:kern w:val="28"/>
              </w:rPr>
              <w:t>元整（20,000.00元）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10</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13.2</w:t>
            </w:r>
          </w:p>
        </w:tc>
        <w:tc>
          <w:tcPr>
            <w:tcW w:w="8364" w:type="dxa"/>
            <w:vAlign w:val="center"/>
          </w:tcPr>
          <w:p>
            <w:pPr>
              <w:spacing w:line="360" w:lineRule="auto"/>
              <w:rPr>
                <w:color w:val="auto"/>
                <w:kern w:val="28"/>
              </w:rPr>
            </w:pPr>
            <w:r>
              <w:rPr>
                <w:rFonts w:hint="eastAsia"/>
                <w:color w:val="auto"/>
                <w:kern w:val="28"/>
                <w:u w:val="single"/>
              </w:rPr>
              <w:t>磋商保证金应为人民币，可采用下列形式支付</w:t>
            </w:r>
            <w:r>
              <w:rPr>
                <w:rFonts w:hint="eastAsia"/>
                <w:color w:val="auto"/>
                <w:kern w:val="28"/>
              </w:rPr>
              <w:t>：</w:t>
            </w:r>
          </w:p>
          <w:p>
            <w:pPr>
              <w:spacing w:line="360" w:lineRule="auto"/>
              <w:rPr>
                <w:color w:val="auto"/>
                <w:kern w:val="28"/>
              </w:rPr>
            </w:pPr>
            <w:r>
              <w:rPr>
                <w:rFonts w:hint="eastAsia"/>
                <w:color w:val="auto"/>
                <w:kern w:val="28"/>
              </w:rPr>
              <w:t>银行转账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11</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13.3</w:t>
            </w:r>
          </w:p>
        </w:tc>
        <w:tc>
          <w:tcPr>
            <w:tcW w:w="8364" w:type="dxa"/>
            <w:vAlign w:val="center"/>
          </w:tcPr>
          <w:p>
            <w:pPr>
              <w:spacing w:line="360" w:lineRule="auto"/>
              <w:rPr>
                <w:color w:val="auto"/>
                <w:kern w:val="28"/>
              </w:rPr>
            </w:pPr>
            <w:r>
              <w:rPr>
                <w:rFonts w:hint="eastAsia"/>
                <w:color w:val="auto"/>
                <w:kern w:val="28"/>
              </w:rPr>
              <w:t>磋商保证金必须在磋商会议前到达采购代理机构指定的账户。</w:t>
            </w:r>
          </w:p>
          <w:p>
            <w:pPr>
              <w:spacing w:line="360" w:lineRule="auto"/>
              <w:rPr>
                <w:color w:val="auto"/>
                <w:kern w:val="28"/>
              </w:rPr>
            </w:pPr>
            <w:r>
              <w:rPr>
                <w:rFonts w:hint="eastAsia"/>
                <w:color w:val="auto"/>
                <w:kern w:val="28"/>
              </w:rPr>
              <w:t>1、采购代理机构联系方式：13309277096</w:t>
            </w:r>
          </w:p>
          <w:p>
            <w:pPr>
              <w:spacing w:line="360" w:lineRule="auto"/>
              <w:rPr>
                <w:color w:val="auto"/>
                <w:kern w:val="28"/>
              </w:rPr>
            </w:pPr>
            <w:r>
              <w:rPr>
                <w:rFonts w:hint="eastAsia"/>
                <w:color w:val="auto"/>
                <w:kern w:val="28"/>
              </w:rPr>
              <w:t>2、开户名称：陕西中采招项目管理有限公司</w:t>
            </w:r>
          </w:p>
          <w:p>
            <w:pPr>
              <w:spacing w:line="360" w:lineRule="auto"/>
              <w:rPr>
                <w:color w:val="auto"/>
                <w:kern w:val="28"/>
              </w:rPr>
            </w:pPr>
            <w:r>
              <w:rPr>
                <w:rFonts w:hint="eastAsia"/>
                <w:color w:val="auto"/>
                <w:kern w:val="28"/>
              </w:rPr>
              <w:t>3、开户银行：中信银行股份有限公司陕西自贸试验区西安科技路</w:t>
            </w:r>
          </w:p>
          <w:p>
            <w:pPr>
              <w:spacing w:line="360" w:lineRule="auto"/>
              <w:rPr>
                <w:color w:val="auto"/>
                <w:kern w:val="28"/>
              </w:rPr>
            </w:pPr>
            <w:r>
              <w:rPr>
                <w:rFonts w:hint="eastAsia"/>
                <w:color w:val="auto"/>
                <w:kern w:val="28"/>
              </w:rPr>
              <w:t>4、账 号：8111701012400643572</w:t>
            </w:r>
          </w:p>
          <w:p>
            <w:pPr>
              <w:spacing w:line="360" w:lineRule="auto"/>
              <w:rPr>
                <w:b/>
                <w:color w:val="auto"/>
              </w:rPr>
            </w:pPr>
            <w:r>
              <w:rPr>
                <w:rFonts w:hint="eastAsia"/>
                <w:color w:val="auto"/>
                <w:kern w:val="28"/>
              </w:rPr>
              <w:t xml:space="preserve">  转账事由：SXZCZ-2022-58项目磋商保证金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12</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14.1</w:t>
            </w:r>
          </w:p>
        </w:tc>
        <w:tc>
          <w:tcPr>
            <w:tcW w:w="8364" w:type="dxa"/>
            <w:vAlign w:val="center"/>
          </w:tcPr>
          <w:p>
            <w:pPr>
              <w:spacing w:line="360" w:lineRule="auto"/>
              <w:rPr>
                <w:b/>
                <w:color w:val="auto"/>
              </w:rPr>
            </w:pPr>
            <w:r>
              <w:rPr>
                <w:rFonts w:hint="eastAsia"/>
                <w:color w:val="auto"/>
                <w:kern w:val="28"/>
                <w:u w:val="single"/>
              </w:rPr>
              <w:t>响应文件有效期</w:t>
            </w:r>
            <w:r>
              <w:rPr>
                <w:rFonts w:hint="eastAsia"/>
                <w:color w:val="auto"/>
                <w:kern w:val="28"/>
              </w:rPr>
              <w:t>为自磋商之日起算九十（90）个日历日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四、响应文件密封、递交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13</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15.1</w:t>
            </w:r>
          </w:p>
        </w:tc>
        <w:tc>
          <w:tcPr>
            <w:tcW w:w="8364" w:type="dxa"/>
            <w:vAlign w:val="center"/>
          </w:tcPr>
          <w:p>
            <w:pPr>
              <w:spacing w:line="360" w:lineRule="auto"/>
              <w:rPr>
                <w:b/>
                <w:color w:val="auto"/>
              </w:rPr>
            </w:pPr>
            <w:r>
              <w:rPr>
                <w:rFonts w:hint="eastAsia"/>
                <w:color w:val="auto"/>
                <w:kern w:val="28"/>
                <w:u w:val="single"/>
              </w:rPr>
              <w:t>响应文件</w:t>
            </w:r>
            <w:r>
              <w:rPr>
                <w:rFonts w:hint="eastAsia"/>
                <w:color w:val="auto"/>
                <w:kern w:val="28"/>
              </w:rPr>
              <w:t>正本壹份、副本叁份，电子版本壹份，共伍份。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14</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15.2</w:t>
            </w:r>
          </w:p>
        </w:tc>
        <w:tc>
          <w:tcPr>
            <w:tcW w:w="8364" w:type="dxa"/>
            <w:vAlign w:val="center"/>
          </w:tcPr>
          <w:p>
            <w:pPr>
              <w:spacing w:line="360" w:lineRule="auto"/>
              <w:rPr>
                <w:b/>
                <w:color w:val="auto"/>
              </w:rPr>
            </w:pPr>
            <w:r>
              <w:rPr>
                <w:rFonts w:hint="eastAsia"/>
                <w:color w:val="auto"/>
                <w:kern w:val="28"/>
                <w:u w:val="single"/>
              </w:rPr>
              <w:t>“首次报价一览表”</w:t>
            </w:r>
            <w:r>
              <w:rPr>
                <w:rFonts w:hint="eastAsia"/>
                <w:color w:val="auto"/>
                <w:kern w:val="28"/>
              </w:rPr>
              <w:t>在响应文件内装订。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15</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15.3</w:t>
            </w:r>
          </w:p>
        </w:tc>
        <w:tc>
          <w:tcPr>
            <w:tcW w:w="8364" w:type="dxa"/>
            <w:vAlign w:val="center"/>
          </w:tcPr>
          <w:p>
            <w:pPr>
              <w:spacing w:line="360" w:lineRule="auto"/>
              <w:rPr>
                <w:b/>
                <w:color w:val="auto"/>
              </w:rPr>
            </w:pPr>
            <w:r>
              <w:rPr>
                <w:rFonts w:hint="eastAsia"/>
                <w:color w:val="auto"/>
                <w:kern w:val="28"/>
                <w:u w:val="single"/>
              </w:rPr>
              <w:t>“资格证明文件证明材料原件”</w:t>
            </w:r>
            <w:r>
              <w:rPr>
                <w:rFonts w:hint="eastAsia"/>
                <w:color w:val="auto"/>
                <w:kern w:val="28"/>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16</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15.4</w:t>
            </w:r>
          </w:p>
        </w:tc>
        <w:tc>
          <w:tcPr>
            <w:tcW w:w="8364" w:type="dxa"/>
            <w:vAlign w:val="center"/>
          </w:tcPr>
          <w:p>
            <w:pPr>
              <w:spacing w:line="360" w:lineRule="auto"/>
              <w:rPr>
                <w:b/>
                <w:color w:val="auto"/>
              </w:rPr>
            </w:pPr>
            <w:r>
              <w:rPr>
                <w:rFonts w:hint="eastAsia"/>
                <w:color w:val="auto"/>
                <w:kern w:val="28"/>
                <w:u w:val="single"/>
              </w:rPr>
              <w:t>“评审证明材料”</w:t>
            </w:r>
            <w:r>
              <w:rPr>
                <w:rFonts w:hint="eastAsia"/>
                <w:color w:val="auto"/>
                <w:kern w:val="28"/>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17</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17</w:t>
            </w:r>
          </w:p>
        </w:tc>
        <w:tc>
          <w:tcPr>
            <w:tcW w:w="8364" w:type="dxa"/>
            <w:vAlign w:val="center"/>
          </w:tcPr>
          <w:p>
            <w:pPr>
              <w:spacing w:line="360" w:lineRule="auto"/>
              <w:rPr>
                <w:color w:val="auto"/>
                <w:kern w:val="28"/>
              </w:rPr>
            </w:pPr>
            <w:r>
              <w:rPr>
                <w:rFonts w:hint="eastAsia"/>
                <w:color w:val="auto"/>
                <w:kern w:val="28"/>
                <w:u w:val="single"/>
              </w:rPr>
              <w:t>响应截止时间</w:t>
            </w:r>
            <w:r>
              <w:rPr>
                <w:rFonts w:hint="eastAsia"/>
                <w:color w:val="auto"/>
                <w:kern w:val="28"/>
              </w:rPr>
              <w:t>：2022年9月20日14时30分</w:t>
            </w:r>
          </w:p>
          <w:p>
            <w:pPr>
              <w:spacing w:line="360" w:lineRule="auto"/>
              <w:rPr>
                <w:color w:val="auto"/>
                <w:kern w:val="28"/>
              </w:rPr>
            </w:pPr>
            <w:r>
              <w:rPr>
                <w:rFonts w:hint="eastAsia"/>
                <w:color w:val="auto"/>
                <w:kern w:val="28"/>
                <w:u w:val="single"/>
              </w:rPr>
              <w:t>响应文件送达地点为</w:t>
            </w:r>
            <w:r>
              <w:rPr>
                <w:rFonts w:hint="eastAsia"/>
                <w:color w:val="auto"/>
                <w:kern w:val="28"/>
              </w:rPr>
              <w:t>：</w:t>
            </w:r>
            <w:r>
              <w:rPr>
                <w:rFonts w:hint="eastAsia" w:ascii="宋体" w:hAnsi="宋体"/>
                <w:color w:val="auto"/>
                <w:szCs w:val="21"/>
              </w:rPr>
              <w:t>陕西省西安市莲湖区北关正街33号腾飞鸿翔大厦5层开标一室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spacing w:line="360" w:lineRule="auto"/>
              <w:jc w:val="center"/>
              <w:rPr>
                <w:color w:val="auto"/>
                <w:kern w:val="28"/>
              </w:rPr>
            </w:pPr>
            <w:bookmarkStart w:id="9" w:name="_Toc32497"/>
            <w:bookmarkStart w:id="10" w:name="_Toc24731"/>
            <w:bookmarkStart w:id="11" w:name="_Toc12646"/>
            <w:bookmarkStart w:id="12" w:name="_Toc26930"/>
            <w:r>
              <w:rPr>
                <w:rFonts w:hint="eastAsia"/>
                <w:b/>
                <w:color w:val="auto"/>
              </w:rPr>
              <w:t>五、磋商、评审和</w:t>
            </w:r>
            <w:bookmarkEnd w:id="9"/>
            <w:r>
              <w:rPr>
                <w:rFonts w:hint="eastAsia"/>
                <w:b/>
                <w:color w:val="auto"/>
              </w:rPr>
              <w:t>成交</w:t>
            </w:r>
            <w:bookmarkEnd w:id="10"/>
            <w:bookmarkEnd w:id="11"/>
            <w:bookmarkEnd w:id="1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18</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19</w:t>
            </w:r>
          </w:p>
        </w:tc>
        <w:tc>
          <w:tcPr>
            <w:tcW w:w="8364" w:type="dxa"/>
            <w:vAlign w:val="center"/>
          </w:tcPr>
          <w:p>
            <w:pPr>
              <w:spacing w:line="360" w:lineRule="auto"/>
              <w:jc w:val="left"/>
              <w:rPr>
                <w:color w:val="auto"/>
                <w:kern w:val="28"/>
                <w:u w:val="single"/>
              </w:rPr>
            </w:pPr>
            <w:bookmarkStart w:id="13" w:name="_Toc7080"/>
            <w:bookmarkStart w:id="14" w:name="_Toc24424"/>
            <w:bookmarkStart w:id="15" w:name="_Toc2283"/>
            <w:bookmarkStart w:id="16" w:name="_Toc16496"/>
            <w:r>
              <w:rPr>
                <w:rFonts w:hint="eastAsia"/>
                <w:color w:val="auto"/>
                <w:kern w:val="28"/>
                <w:u w:val="single"/>
              </w:rPr>
              <w:t>磋商、评审、成交</w:t>
            </w:r>
            <w:r>
              <w:rPr>
                <w:rFonts w:hint="eastAsia"/>
                <w:color w:val="auto"/>
                <w:kern w:val="28"/>
              </w:rPr>
              <w:t>：见磋商文件第四部分。</w:t>
            </w:r>
            <w:bookmarkEnd w:id="13"/>
            <w:bookmarkEnd w:id="14"/>
            <w:bookmarkEnd w:id="15"/>
            <w:bookmarkEnd w:id="1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spacing w:line="360" w:lineRule="auto"/>
              <w:jc w:val="center"/>
              <w:rPr>
                <w:color w:val="auto"/>
                <w:kern w:val="28"/>
                <w:u w:val="single"/>
              </w:rPr>
            </w:pPr>
            <w:bookmarkStart w:id="17" w:name="_Toc19704"/>
            <w:bookmarkStart w:id="18" w:name="_Toc7244"/>
            <w:bookmarkStart w:id="19" w:name="_Toc164"/>
            <w:r>
              <w:rPr>
                <w:rFonts w:hint="eastAsia"/>
                <w:b/>
                <w:color w:val="auto"/>
              </w:rPr>
              <w:t>七、询问、质疑、投诉</w:t>
            </w:r>
            <w:bookmarkEnd w:id="17"/>
            <w:bookmarkEnd w:id="18"/>
            <w:bookmarkEnd w:id="1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19</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21.2</w:t>
            </w:r>
          </w:p>
        </w:tc>
        <w:tc>
          <w:tcPr>
            <w:tcW w:w="8364" w:type="dxa"/>
            <w:vAlign w:val="center"/>
          </w:tcPr>
          <w:p>
            <w:pPr>
              <w:spacing w:line="360" w:lineRule="auto"/>
              <w:rPr>
                <w:color w:val="auto"/>
                <w:kern w:val="28"/>
                <w:u w:val="single"/>
              </w:rPr>
            </w:pPr>
            <w:bookmarkStart w:id="20" w:name="_Toc3466"/>
            <w:bookmarkStart w:id="21" w:name="_Toc4970"/>
            <w:bookmarkStart w:id="22" w:name="_Toc19703"/>
            <w:r>
              <w:rPr>
                <w:rFonts w:hint="eastAsia"/>
                <w:color w:val="auto"/>
                <w:kern w:val="28"/>
                <w:u w:val="single"/>
              </w:rPr>
              <w:t>询问（</w:t>
            </w:r>
            <w:r>
              <w:rPr>
                <w:rFonts w:hint="eastAsia" w:ascii="宋体" w:hAnsi="宋体"/>
                <w:color w:val="auto"/>
                <w:szCs w:val="21"/>
                <w:u w:val="single"/>
              </w:rPr>
              <w:t>陕西中采招项目管理有限公司</w:t>
            </w:r>
            <w:r>
              <w:rPr>
                <w:rFonts w:hint="eastAsia"/>
                <w:color w:val="auto"/>
                <w:kern w:val="28"/>
                <w:u w:val="single"/>
              </w:rPr>
              <w:t>）联系方式：</w:t>
            </w:r>
            <w:bookmarkEnd w:id="20"/>
            <w:bookmarkEnd w:id="21"/>
            <w:bookmarkEnd w:id="22"/>
          </w:p>
          <w:p>
            <w:pPr>
              <w:spacing w:line="360" w:lineRule="auto"/>
              <w:rPr>
                <w:rFonts w:ascii="宋体" w:hAnsi="宋体"/>
                <w:color w:val="auto"/>
                <w:szCs w:val="21"/>
              </w:rPr>
            </w:pPr>
            <w:r>
              <w:rPr>
                <w:rFonts w:hint="eastAsia" w:ascii="宋体" w:hAnsi="宋体"/>
                <w:color w:val="auto"/>
                <w:szCs w:val="21"/>
              </w:rPr>
              <w:t>地址：陕西省西安市莲湖区北关正街33号腾飞鸿翔大厦5层</w:t>
            </w:r>
          </w:p>
          <w:p>
            <w:pPr>
              <w:spacing w:line="360" w:lineRule="auto"/>
              <w:rPr>
                <w:rFonts w:ascii="宋体" w:hAnsi="宋体"/>
                <w:color w:val="auto"/>
                <w:szCs w:val="21"/>
              </w:rPr>
            </w:pPr>
            <w:r>
              <w:rPr>
                <w:rFonts w:hint="eastAsia" w:ascii="宋体" w:hAnsi="宋体"/>
                <w:color w:val="auto"/>
                <w:szCs w:val="21"/>
              </w:rPr>
              <w:t>联系人：许工</w:t>
            </w:r>
          </w:p>
          <w:p>
            <w:pPr>
              <w:spacing w:line="360" w:lineRule="auto"/>
              <w:rPr>
                <w:color w:val="auto"/>
                <w:kern w:val="28"/>
                <w:u w:val="single"/>
              </w:rPr>
            </w:pPr>
            <w:r>
              <w:rPr>
                <w:rFonts w:hint="eastAsia" w:ascii="宋体" w:hAnsi="宋体"/>
                <w:color w:val="auto"/>
                <w:szCs w:val="21"/>
              </w:rPr>
              <w:t>电话：13309277096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20</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22.1</w:t>
            </w:r>
          </w:p>
        </w:tc>
        <w:tc>
          <w:tcPr>
            <w:tcW w:w="8364" w:type="dxa"/>
            <w:vAlign w:val="center"/>
          </w:tcPr>
          <w:p>
            <w:pPr>
              <w:spacing w:line="360" w:lineRule="auto"/>
              <w:rPr>
                <w:color w:val="auto"/>
                <w:kern w:val="28"/>
                <w:u w:val="single"/>
              </w:rPr>
            </w:pPr>
            <w:r>
              <w:rPr>
                <w:rFonts w:hint="eastAsia"/>
                <w:color w:val="auto"/>
                <w:kern w:val="28"/>
                <w:u w:val="single"/>
              </w:rPr>
              <w:t>质疑（</w:t>
            </w:r>
            <w:r>
              <w:rPr>
                <w:rFonts w:hint="eastAsia" w:ascii="宋体" w:hAnsi="宋体"/>
                <w:color w:val="auto"/>
                <w:szCs w:val="21"/>
                <w:u w:val="single"/>
              </w:rPr>
              <w:t>陕西中采招项目管理有限公司</w:t>
            </w:r>
            <w:r>
              <w:rPr>
                <w:rFonts w:hint="eastAsia"/>
                <w:color w:val="auto"/>
                <w:kern w:val="28"/>
                <w:u w:val="single"/>
              </w:rPr>
              <w:t>）联系方式：</w:t>
            </w:r>
          </w:p>
          <w:p>
            <w:pPr>
              <w:spacing w:line="360" w:lineRule="auto"/>
              <w:rPr>
                <w:rFonts w:ascii="宋体" w:hAnsi="宋体"/>
                <w:color w:val="auto"/>
                <w:szCs w:val="21"/>
              </w:rPr>
            </w:pPr>
            <w:r>
              <w:rPr>
                <w:rFonts w:hint="eastAsia" w:ascii="宋体" w:hAnsi="宋体"/>
                <w:color w:val="auto"/>
                <w:szCs w:val="21"/>
              </w:rPr>
              <w:t>地址：陕西省西安市莲湖区北关正街33号腾飞鸿翔大厦5层</w:t>
            </w:r>
          </w:p>
          <w:p>
            <w:pPr>
              <w:spacing w:line="360" w:lineRule="auto"/>
              <w:rPr>
                <w:rFonts w:ascii="宋体" w:hAnsi="宋体"/>
                <w:color w:val="auto"/>
                <w:szCs w:val="21"/>
              </w:rPr>
            </w:pPr>
            <w:r>
              <w:rPr>
                <w:rFonts w:hint="eastAsia" w:ascii="宋体" w:hAnsi="宋体"/>
                <w:color w:val="auto"/>
                <w:szCs w:val="21"/>
              </w:rPr>
              <w:t>联系人：许工</w:t>
            </w:r>
          </w:p>
          <w:p>
            <w:pPr>
              <w:spacing w:line="360" w:lineRule="auto"/>
              <w:jc w:val="left"/>
              <w:rPr>
                <w:color w:val="auto"/>
                <w:kern w:val="28"/>
                <w:u w:val="single"/>
              </w:rPr>
            </w:pPr>
            <w:r>
              <w:rPr>
                <w:rFonts w:hint="eastAsia" w:ascii="宋体" w:hAnsi="宋体"/>
                <w:color w:val="auto"/>
                <w:szCs w:val="21"/>
              </w:rPr>
              <w:t>电话：13309277096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spacing w:line="360" w:lineRule="auto"/>
              <w:jc w:val="center"/>
              <w:rPr>
                <w:color w:val="auto"/>
                <w:kern w:val="28"/>
                <w:u w:val="single"/>
              </w:rPr>
            </w:pPr>
            <w:bookmarkStart w:id="23" w:name="_Toc5636"/>
            <w:bookmarkStart w:id="24" w:name="_Toc16509"/>
            <w:bookmarkStart w:id="25" w:name="_Toc28950"/>
            <w:r>
              <w:rPr>
                <w:rFonts w:hint="eastAsia"/>
                <w:b/>
                <w:color w:val="auto"/>
              </w:rPr>
              <w:t>八、合同的签订及履行</w:t>
            </w:r>
            <w:bookmarkEnd w:id="23"/>
            <w:bookmarkEnd w:id="24"/>
            <w:bookmarkEnd w:id="2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21</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24.1</w:t>
            </w:r>
          </w:p>
        </w:tc>
        <w:tc>
          <w:tcPr>
            <w:tcW w:w="8364" w:type="dxa"/>
            <w:vAlign w:val="center"/>
          </w:tcPr>
          <w:p>
            <w:pPr>
              <w:spacing w:line="360" w:lineRule="auto"/>
              <w:rPr>
                <w:color w:val="auto"/>
                <w:kern w:val="28"/>
                <w:u w:val="single"/>
              </w:rPr>
            </w:pPr>
            <w:r>
              <w:rPr>
                <w:rFonts w:hint="eastAsia"/>
                <w:color w:val="auto"/>
                <w:kern w:val="28"/>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spacing w:line="360" w:lineRule="auto"/>
              <w:jc w:val="center"/>
              <w:rPr>
                <w:color w:val="auto"/>
                <w:kern w:val="28"/>
                <w:u w:val="single"/>
              </w:rPr>
            </w:pPr>
            <w:bookmarkStart w:id="26" w:name="_Toc6808"/>
            <w:bookmarkStart w:id="27" w:name="_Toc9562"/>
            <w:bookmarkStart w:id="28" w:name="_Toc16510"/>
            <w:r>
              <w:rPr>
                <w:rFonts w:hint="eastAsia"/>
                <w:b/>
                <w:color w:val="auto"/>
              </w:rPr>
              <w:t>九、采购代理服务费</w:t>
            </w:r>
            <w:bookmarkEnd w:id="26"/>
            <w:bookmarkEnd w:id="27"/>
            <w:bookmarkEnd w:id="2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22</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26.1</w:t>
            </w:r>
          </w:p>
        </w:tc>
        <w:tc>
          <w:tcPr>
            <w:tcW w:w="8364" w:type="dxa"/>
            <w:vAlign w:val="center"/>
          </w:tcPr>
          <w:p>
            <w:pPr>
              <w:spacing w:line="360" w:lineRule="auto"/>
              <w:jc w:val="left"/>
              <w:rPr>
                <w:color w:val="auto"/>
                <w:kern w:val="28"/>
                <w:u w:val="single"/>
              </w:rPr>
            </w:pPr>
            <w:bookmarkStart w:id="29" w:name="_Toc7419"/>
            <w:r>
              <w:rPr>
                <w:rFonts w:hint="eastAsia"/>
                <w:color w:val="auto"/>
                <w:kern w:val="28"/>
              </w:rPr>
              <w:t>采购代理服务费按约定由成交供应商支付，采购代理服务费不在响应报价中单列。</w:t>
            </w:r>
            <w:bookmarkEnd w:id="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color w:val="auto"/>
              </w:rPr>
            </w:pPr>
            <w:r>
              <w:rPr>
                <w:rFonts w:hint="eastAsia"/>
                <w:b/>
                <w:color w:val="auto"/>
              </w:rPr>
              <w:t>23</w:t>
            </w:r>
          </w:p>
        </w:tc>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26.2</w:t>
            </w:r>
          </w:p>
        </w:tc>
        <w:tc>
          <w:tcPr>
            <w:tcW w:w="8364" w:type="dxa"/>
            <w:vAlign w:val="center"/>
          </w:tcPr>
          <w:p>
            <w:pPr>
              <w:spacing w:line="360" w:lineRule="auto"/>
              <w:jc w:val="left"/>
              <w:rPr>
                <w:color w:val="auto"/>
                <w:kern w:val="28"/>
                <w:u w:val="single"/>
              </w:rPr>
            </w:pPr>
            <w:r>
              <w:rPr>
                <w:rFonts w:hint="eastAsia"/>
                <w:color w:val="auto"/>
                <w:kern w:val="28"/>
              </w:rPr>
              <w:t>招标代理服务费收取按照国家计委颁布的《招标代理服务收费管理暂行办法》（计价格[2002]1980号）和（发改办价格[2003]857号）收费标准计取，此服务费应计入磋商报价中，但不需要单独开列。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rPr>
                <w:b/>
                <w:color w:val="auto"/>
              </w:rPr>
            </w:pPr>
            <w:r>
              <w:rPr>
                <w:rFonts w:hint="eastAsia"/>
                <w:b/>
                <w:color w:val="auto"/>
              </w:rPr>
              <w:t>24</w:t>
            </w:r>
          </w:p>
        </w:tc>
        <w:tc>
          <w:tcPr>
            <w:tcW w:w="829" w:type="dxa"/>
            <w:vAlign w:val="center"/>
          </w:tcPr>
          <w:p>
            <w:pPr>
              <w:tabs>
                <w:tab w:val="left" w:pos="315"/>
                <w:tab w:val="left" w:pos="1785"/>
                <w:tab w:val="left" w:pos="2310"/>
                <w:tab w:val="left" w:pos="8640"/>
              </w:tabs>
              <w:spacing w:line="360" w:lineRule="auto"/>
              <w:jc w:val="center"/>
              <w:rPr>
                <w:b/>
                <w:color w:val="auto"/>
              </w:rPr>
            </w:pPr>
          </w:p>
        </w:tc>
        <w:tc>
          <w:tcPr>
            <w:tcW w:w="8364" w:type="dxa"/>
            <w:vAlign w:val="center"/>
          </w:tcPr>
          <w:p>
            <w:pPr>
              <w:tabs>
                <w:tab w:val="left" w:pos="315"/>
                <w:tab w:val="left" w:pos="1785"/>
                <w:tab w:val="left" w:pos="2310"/>
                <w:tab w:val="left" w:pos="8640"/>
              </w:tabs>
              <w:spacing w:line="360" w:lineRule="auto"/>
              <w:rPr>
                <w:b/>
                <w:color w:val="auto"/>
              </w:rPr>
            </w:pPr>
            <w:r>
              <w:rPr>
                <w:rFonts w:hint="eastAsia"/>
                <w:color w:val="auto"/>
              </w:rPr>
              <w:t>成交结果公告媒体：</w:t>
            </w:r>
            <w:r>
              <w:rPr>
                <w:rFonts w:hint="eastAsia" w:ascii="BatangChe" w:hAnsi="BatangChe"/>
                <w:color w:val="auto"/>
              </w:rPr>
              <w:t>陕西省政府采购网(http://www.ccgp-shaanxi.gov.cn/）。</w:t>
            </w:r>
          </w:p>
        </w:tc>
      </w:tr>
    </w:tbl>
    <w:p>
      <w:pPr>
        <w:spacing w:line="360" w:lineRule="auto"/>
        <w:rPr>
          <w:rFonts w:ascii="宋体" w:hAnsi="宋体"/>
          <w:color w:val="auto"/>
          <w:sz w:val="24"/>
        </w:rPr>
      </w:pPr>
      <w:r>
        <w:rPr>
          <w:rFonts w:hint="eastAsia" w:ascii="宋体" w:hAnsi="宋体"/>
          <w:color w:val="auto"/>
          <w:sz w:val="24"/>
        </w:rPr>
        <w:br w:type="page"/>
      </w:r>
    </w:p>
    <w:p>
      <w:pPr>
        <w:spacing w:line="360" w:lineRule="auto"/>
        <w:ind w:firstLine="481"/>
        <w:jc w:val="left"/>
        <w:rPr>
          <w:rFonts w:ascii="宋体" w:hAnsi="宋体"/>
          <w:color w:val="auto"/>
          <w:sz w:val="24"/>
        </w:rPr>
      </w:pPr>
      <w:bookmarkStart w:id="30" w:name="_Toc5476"/>
      <w:r>
        <w:rPr>
          <w:rFonts w:hint="eastAsia" w:ascii="宋体" w:hAnsi="宋体"/>
          <w:color w:val="auto"/>
          <w:sz w:val="24"/>
        </w:rPr>
        <w:t>本次采购活动依据《中华人民共和国政府采购法》及其配套的法规、规章及政策执行。</w:t>
      </w:r>
      <w:bookmarkEnd w:id="6"/>
      <w:bookmarkEnd w:id="7"/>
      <w:bookmarkEnd w:id="8"/>
      <w:bookmarkEnd w:id="30"/>
    </w:p>
    <w:p>
      <w:pPr>
        <w:spacing w:line="360" w:lineRule="auto"/>
        <w:ind w:firstLine="481"/>
        <w:jc w:val="left"/>
        <w:outlineLvl w:val="1"/>
        <w:rPr>
          <w:rFonts w:ascii="黑体" w:hAnsi="黑体" w:eastAsia="黑体" w:cs="黑体"/>
          <w:b/>
          <w:color w:val="auto"/>
          <w:sz w:val="24"/>
        </w:rPr>
      </w:pPr>
      <w:bookmarkStart w:id="31" w:name="_Toc11328"/>
      <w:bookmarkStart w:id="32" w:name="_Toc11778"/>
      <w:bookmarkStart w:id="33" w:name="_Toc21459"/>
      <w:r>
        <w:rPr>
          <w:rFonts w:hint="eastAsia" w:ascii="黑体" w:hAnsi="黑体" w:eastAsia="黑体" w:cs="黑体"/>
          <w:b/>
          <w:color w:val="auto"/>
          <w:sz w:val="24"/>
        </w:rPr>
        <w:t>一、总则</w:t>
      </w:r>
      <w:bookmarkEnd w:id="31"/>
      <w:bookmarkEnd w:id="32"/>
      <w:bookmarkEnd w:id="33"/>
    </w:p>
    <w:p>
      <w:pPr>
        <w:spacing w:line="360" w:lineRule="auto"/>
        <w:ind w:firstLine="482" w:firstLineChars="200"/>
        <w:rPr>
          <w:rFonts w:ascii="宋体" w:hAnsi="宋体"/>
          <w:b/>
          <w:bCs/>
          <w:color w:val="auto"/>
          <w:sz w:val="24"/>
        </w:rPr>
      </w:pPr>
      <w:r>
        <w:rPr>
          <w:rFonts w:hint="eastAsia" w:ascii="宋体" w:hAnsi="宋体"/>
          <w:b/>
          <w:bCs/>
          <w:color w:val="auto"/>
          <w:sz w:val="24"/>
        </w:rPr>
        <w:t>1.定义</w:t>
      </w:r>
    </w:p>
    <w:p>
      <w:pPr>
        <w:spacing w:line="360" w:lineRule="auto"/>
        <w:ind w:firstLine="480" w:firstLineChars="200"/>
        <w:rPr>
          <w:rFonts w:ascii="宋体" w:hAnsi="宋体"/>
          <w:color w:val="auto"/>
          <w:sz w:val="24"/>
        </w:rPr>
      </w:pPr>
      <w:r>
        <w:rPr>
          <w:rFonts w:ascii="宋体" w:hAnsi="宋体"/>
          <w:color w:val="auto"/>
          <w:sz w:val="24"/>
        </w:rPr>
        <w:t>1.1</w:t>
      </w:r>
      <w:r>
        <w:rPr>
          <w:rFonts w:hint="eastAsia" w:ascii="宋体" w:hAnsi="宋体"/>
          <w:color w:val="auto"/>
          <w:sz w:val="24"/>
        </w:rPr>
        <w:t>“本项目”系指磋商邀请函中所描述项目。</w:t>
      </w:r>
    </w:p>
    <w:p>
      <w:pPr>
        <w:spacing w:line="360" w:lineRule="auto"/>
        <w:ind w:firstLine="480" w:firstLineChars="200"/>
        <w:rPr>
          <w:rFonts w:ascii="宋体" w:cs="Times New Roman"/>
          <w:color w:val="auto"/>
          <w:sz w:val="24"/>
        </w:rPr>
      </w:pPr>
      <w:r>
        <w:rPr>
          <w:rFonts w:ascii="宋体" w:hAnsi="宋体"/>
          <w:color w:val="auto"/>
          <w:sz w:val="24"/>
        </w:rPr>
        <w:t>1.2</w:t>
      </w:r>
      <w:r>
        <w:rPr>
          <w:rFonts w:hint="eastAsia" w:ascii="宋体" w:hAnsi="宋体"/>
          <w:color w:val="auto"/>
          <w:sz w:val="24"/>
        </w:rPr>
        <w:t>“采购人”系指磋商邀请函中所指采购人，亦指甲方、业主；</w:t>
      </w:r>
    </w:p>
    <w:p>
      <w:pPr>
        <w:spacing w:line="360" w:lineRule="auto"/>
        <w:ind w:firstLine="480" w:firstLineChars="200"/>
        <w:rPr>
          <w:rFonts w:ascii="宋体" w:cs="Times New Roman"/>
          <w:color w:val="auto"/>
          <w:sz w:val="24"/>
        </w:rPr>
      </w:pPr>
      <w:r>
        <w:rPr>
          <w:rFonts w:ascii="宋体" w:hAnsi="宋体"/>
          <w:color w:val="auto"/>
          <w:sz w:val="24"/>
        </w:rPr>
        <w:t>1.3</w:t>
      </w:r>
      <w:r>
        <w:rPr>
          <w:rFonts w:hint="eastAsia" w:ascii="宋体" w:hAnsi="宋体"/>
          <w:color w:val="auto"/>
          <w:sz w:val="24"/>
        </w:rPr>
        <w:t>“监督机构”系财政主管部门及采购人纪检监察部门；</w:t>
      </w:r>
    </w:p>
    <w:p>
      <w:pPr>
        <w:spacing w:line="360" w:lineRule="auto"/>
        <w:ind w:firstLine="480" w:firstLineChars="200"/>
        <w:rPr>
          <w:rFonts w:ascii="宋体" w:cs="Times New Roman"/>
          <w:color w:val="auto"/>
          <w:sz w:val="24"/>
        </w:rPr>
      </w:pPr>
      <w:r>
        <w:rPr>
          <w:rFonts w:ascii="宋体" w:hAnsi="宋体"/>
          <w:color w:val="auto"/>
          <w:sz w:val="24"/>
        </w:rPr>
        <w:t>1.4</w:t>
      </w:r>
      <w:r>
        <w:rPr>
          <w:rFonts w:hint="eastAsia" w:ascii="宋体" w:hAnsi="宋体"/>
          <w:color w:val="auto"/>
          <w:sz w:val="24"/>
        </w:rPr>
        <w:t>“采购代理机构”系陕西中采招项目管理有限公司；</w:t>
      </w:r>
    </w:p>
    <w:p>
      <w:pPr>
        <w:spacing w:line="360" w:lineRule="auto"/>
        <w:ind w:firstLine="480" w:firstLineChars="200"/>
        <w:rPr>
          <w:rFonts w:ascii="宋体" w:cs="Times New Roman"/>
          <w:color w:val="auto"/>
          <w:sz w:val="24"/>
        </w:rPr>
      </w:pPr>
      <w:r>
        <w:rPr>
          <w:rFonts w:ascii="宋体" w:hAnsi="宋体"/>
          <w:color w:val="auto"/>
          <w:sz w:val="24"/>
        </w:rPr>
        <w:t>1.5</w:t>
      </w:r>
      <w:r>
        <w:rPr>
          <w:rFonts w:hint="eastAsia" w:ascii="宋体" w:hAnsi="宋体"/>
          <w:color w:val="auto"/>
          <w:sz w:val="24"/>
        </w:rPr>
        <w:t>“采购单位”系采购人及采购代理机构的统称；</w:t>
      </w:r>
    </w:p>
    <w:p>
      <w:pPr>
        <w:spacing w:line="360" w:lineRule="auto"/>
        <w:ind w:firstLine="480" w:firstLineChars="200"/>
        <w:rPr>
          <w:rFonts w:ascii="宋体" w:cs="Times New Roman"/>
          <w:color w:val="auto"/>
          <w:sz w:val="24"/>
        </w:rPr>
      </w:pPr>
      <w:r>
        <w:rPr>
          <w:rFonts w:ascii="宋体" w:hAnsi="宋体"/>
          <w:color w:val="auto"/>
          <w:sz w:val="24"/>
        </w:rPr>
        <w:t>1.</w:t>
      </w:r>
      <w:r>
        <w:rPr>
          <w:rFonts w:hint="eastAsia" w:ascii="宋体" w:hAnsi="宋体"/>
          <w:color w:val="auto"/>
          <w:sz w:val="24"/>
        </w:rPr>
        <w:t>6“响应供应商”系指购买了磋商文件拟向采购人提供服务，并拟参加磋商会议的供应商；</w:t>
      </w:r>
    </w:p>
    <w:p>
      <w:pPr>
        <w:spacing w:line="360" w:lineRule="auto"/>
        <w:ind w:firstLine="480" w:firstLineChars="200"/>
        <w:rPr>
          <w:rFonts w:ascii="宋体" w:hAnsi="宋体"/>
          <w:color w:val="auto"/>
          <w:sz w:val="24"/>
        </w:rPr>
      </w:pPr>
      <w:r>
        <w:rPr>
          <w:rFonts w:hint="eastAsia" w:ascii="宋体" w:hAnsi="宋体"/>
          <w:color w:val="auto"/>
          <w:sz w:val="24"/>
        </w:rPr>
        <w:t>1.7“日期”指公历日</w:t>
      </w:r>
      <w:r>
        <w:rPr>
          <w:rFonts w:ascii="宋体"/>
          <w:color w:val="auto"/>
          <w:sz w:val="24"/>
        </w:rPr>
        <w:t>,</w:t>
      </w:r>
      <w:r>
        <w:rPr>
          <w:rFonts w:hint="eastAsia" w:ascii="宋体" w:hAnsi="宋体"/>
          <w:color w:val="auto"/>
          <w:sz w:val="24"/>
        </w:rPr>
        <w:t>“时间”指北京时间。</w:t>
      </w:r>
    </w:p>
    <w:p>
      <w:pPr>
        <w:spacing w:line="360" w:lineRule="auto"/>
        <w:ind w:firstLine="482" w:firstLineChars="200"/>
        <w:rPr>
          <w:rFonts w:ascii="宋体" w:hAnsi="宋体"/>
          <w:b/>
          <w:bCs/>
          <w:color w:val="auto"/>
          <w:sz w:val="24"/>
        </w:rPr>
      </w:pPr>
      <w:r>
        <w:rPr>
          <w:rFonts w:hint="eastAsia" w:ascii="宋体" w:hAnsi="宋体"/>
          <w:b/>
          <w:bCs/>
          <w:color w:val="auto"/>
          <w:sz w:val="24"/>
        </w:rPr>
        <w:t>2.合格供应商</w:t>
      </w:r>
    </w:p>
    <w:p>
      <w:pPr>
        <w:spacing w:line="360" w:lineRule="auto"/>
        <w:ind w:firstLine="482" w:firstLineChars="200"/>
        <w:rPr>
          <w:rFonts w:ascii="宋体" w:hAnsi="宋体"/>
          <w:b/>
          <w:bCs/>
          <w:color w:val="auto"/>
          <w:sz w:val="24"/>
        </w:rPr>
      </w:pPr>
      <w:bookmarkStart w:id="34" w:name="OLE_LINK43"/>
      <w:r>
        <w:rPr>
          <w:rFonts w:hint="eastAsia" w:ascii="宋体" w:hAnsi="宋体"/>
          <w:b/>
          <w:bCs/>
          <w:color w:val="auto"/>
          <w:sz w:val="24"/>
        </w:rPr>
        <w:t>2.1投标供应商资格要求：</w:t>
      </w:r>
    </w:p>
    <w:p>
      <w:pPr>
        <w:spacing w:line="360" w:lineRule="auto"/>
        <w:rPr>
          <w:rFonts w:ascii="宋体" w:hAnsi="宋体"/>
          <w:color w:val="auto"/>
          <w:sz w:val="24"/>
        </w:rPr>
      </w:pPr>
      <w:r>
        <w:rPr>
          <w:rFonts w:hint="eastAsia" w:ascii="宋体" w:hAnsi="宋体"/>
          <w:color w:val="auto"/>
          <w:sz w:val="24"/>
        </w:rPr>
        <w:t>（1）基本资格条件：符合《中华人民共和国政府采购法》第二十二条的规定；</w:t>
      </w:r>
    </w:p>
    <w:p>
      <w:pPr>
        <w:pStyle w:val="47"/>
        <w:spacing w:line="440" w:lineRule="exact"/>
        <w:rPr>
          <w:rFonts w:ascii="宋体" w:hAnsi="宋体"/>
          <w:color w:val="auto"/>
        </w:rPr>
      </w:pPr>
      <w:r>
        <w:rPr>
          <w:rFonts w:hint="eastAsia" w:ascii="宋体" w:hAnsi="宋体"/>
          <w:color w:val="auto"/>
        </w:rPr>
        <w:t>（2）特定资格条件：</w:t>
      </w:r>
    </w:p>
    <w:p>
      <w:pPr>
        <w:spacing w:line="400" w:lineRule="exact"/>
        <w:ind w:firstLine="480" w:firstLineChars="200"/>
        <w:jc w:val="left"/>
        <w:rPr>
          <w:rFonts w:ascii="宋体" w:hAnsi="宋体"/>
          <w:color w:val="auto"/>
          <w:sz w:val="24"/>
        </w:rPr>
      </w:pPr>
      <w:r>
        <w:rPr>
          <w:rFonts w:hint="eastAsia" w:ascii="宋体" w:hAnsi="宋体"/>
          <w:color w:val="auto"/>
          <w:sz w:val="24"/>
        </w:rPr>
        <w:t>1、供应商具有独立承担民事责任能力的法人、其他组织或自然人，并出具合法有效的营业执照或事业单位法人证书等国家规定的相关证明，自然人参与的提供其身份证明；</w:t>
      </w:r>
    </w:p>
    <w:p>
      <w:pPr>
        <w:spacing w:line="400" w:lineRule="exact"/>
        <w:ind w:firstLine="480" w:firstLineChars="200"/>
        <w:rPr>
          <w:rFonts w:ascii="宋体" w:hAnsi="宋体"/>
          <w:color w:val="auto"/>
          <w:sz w:val="24"/>
        </w:rPr>
      </w:pPr>
      <w:r>
        <w:rPr>
          <w:rFonts w:hint="eastAsia" w:ascii="宋体" w:hAnsi="宋体"/>
          <w:color w:val="auto"/>
          <w:sz w:val="24"/>
        </w:rPr>
        <w:t>2、财务状况报告：提供2021年度的财务审计报告或具有健全的财务报表或开标前六个月内其基本存款账户开户银行出具的资信证明及基本存款账户开户许可证；</w:t>
      </w:r>
    </w:p>
    <w:p>
      <w:pPr>
        <w:spacing w:line="400" w:lineRule="exact"/>
        <w:ind w:firstLine="480" w:firstLineChars="200"/>
        <w:jc w:val="left"/>
        <w:rPr>
          <w:rFonts w:ascii="宋体" w:hAnsi="宋体"/>
          <w:color w:val="auto"/>
          <w:sz w:val="24"/>
        </w:rPr>
      </w:pPr>
      <w:r>
        <w:rPr>
          <w:rFonts w:hint="eastAsia" w:ascii="宋体" w:hAnsi="宋体"/>
          <w:color w:val="auto"/>
          <w:sz w:val="24"/>
        </w:rPr>
        <w:t>3、社会保障资金缴纳证明，截止开标时一年内已缴存的至少六个月的社会保障资金缴存单据或社保机构开具的社会保险参保缴费情况证明，单据或证明上应有社保机构或代收机构的公章或业务专用章。（依法不需要缴纳社会保障资金的服务商应提供相关文件证明）；</w:t>
      </w:r>
    </w:p>
    <w:p>
      <w:pPr>
        <w:spacing w:line="400" w:lineRule="exact"/>
        <w:ind w:firstLine="480" w:firstLineChars="200"/>
        <w:jc w:val="left"/>
        <w:rPr>
          <w:rFonts w:ascii="宋体" w:hAnsi="宋体"/>
          <w:color w:val="auto"/>
          <w:sz w:val="24"/>
        </w:rPr>
      </w:pPr>
      <w:r>
        <w:rPr>
          <w:rFonts w:hint="eastAsia" w:ascii="宋体" w:hAnsi="宋体"/>
          <w:color w:val="auto"/>
          <w:sz w:val="24"/>
        </w:rPr>
        <w:t>4、税收缴纳证明，截止开标时一年内已缴存的至少六个月的纳税证明或完税证明，纳税证明或完税证明上应有代收机构或税务机关的公章或业务专用章。（依法免税的服务商应提供相关文件证明）；</w:t>
      </w:r>
    </w:p>
    <w:p>
      <w:pPr>
        <w:spacing w:line="400" w:lineRule="exact"/>
        <w:ind w:firstLine="480" w:firstLineChars="200"/>
        <w:jc w:val="left"/>
        <w:rPr>
          <w:rFonts w:ascii="宋体" w:hAnsi="宋体"/>
          <w:color w:val="auto"/>
          <w:sz w:val="24"/>
        </w:rPr>
      </w:pPr>
      <w:r>
        <w:rPr>
          <w:rFonts w:hint="eastAsia" w:ascii="宋体" w:hAnsi="宋体"/>
          <w:color w:val="auto"/>
          <w:sz w:val="24"/>
        </w:rPr>
        <w:t>5、参加政府采购活动前3年内在经营活动中没有重大违法记录的书面声明；</w:t>
      </w:r>
    </w:p>
    <w:p>
      <w:pPr>
        <w:spacing w:line="400" w:lineRule="exact"/>
        <w:ind w:firstLine="480" w:firstLineChars="200"/>
        <w:jc w:val="left"/>
        <w:rPr>
          <w:rFonts w:ascii="宋体" w:hAnsi="宋体"/>
          <w:color w:val="auto"/>
          <w:sz w:val="24"/>
        </w:rPr>
      </w:pPr>
      <w:r>
        <w:rPr>
          <w:rFonts w:hint="eastAsia" w:ascii="宋体" w:hAnsi="宋体"/>
          <w:color w:val="auto"/>
          <w:sz w:val="24"/>
        </w:rPr>
        <w:t>6、具备履行合同所必需的设备和专业技术能力的证明材料(由供应商根据项目需求提供说明材料或者承诺)；</w:t>
      </w:r>
    </w:p>
    <w:p>
      <w:pPr>
        <w:spacing w:line="400" w:lineRule="exact"/>
        <w:ind w:firstLine="480" w:firstLineChars="200"/>
        <w:jc w:val="left"/>
        <w:rPr>
          <w:rFonts w:ascii="宋体" w:hAnsi="宋体"/>
          <w:color w:val="auto"/>
          <w:sz w:val="24"/>
        </w:rPr>
      </w:pPr>
      <w:r>
        <w:rPr>
          <w:rFonts w:hint="eastAsia" w:ascii="宋体" w:hAnsi="宋体"/>
          <w:color w:val="auto"/>
          <w:sz w:val="24"/>
        </w:rPr>
        <w:t>7、供应商应授权合法的人员参加磋商全过程，其中法定代表人直接参加磋商的，须出具法人身份证，并与营业执照上信息一致。法定代表人授权代表参加磋商的，须出具法定代表人授权书及授权代表身份证；</w:t>
      </w:r>
    </w:p>
    <w:p>
      <w:pPr>
        <w:spacing w:line="400" w:lineRule="exact"/>
        <w:ind w:firstLine="480" w:firstLineChars="200"/>
        <w:jc w:val="left"/>
        <w:rPr>
          <w:rFonts w:ascii="宋体" w:hAnsi="宋体"/>
          <w:color w:val="auto"/>
          <w:sz w:val="24"/>
        </w:rPr>
      </w:pPr>
      <w:r>
        <w:rPr>
          <w:rFonts w:hint="eastAsia" w:ascii="宋体" w:hAnsi="宋体"/>
          <w:color w:val="auto"/>
          <w:sz w:val="24"/>
        </w:rPr>
        <w:t>8、</w:t>
      </w:r>
      <w:r>
        <w:rPr>
          <w:rFonts w:hint="eastAsia" w:ascii="宋体" w:hAnsi="宋体"/>
          <w:color w:val="auto"/>
          <w:kern w:val="0"/>
          <w:sz w:val="24"/>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r>
        <w:rPr>
          <w:rFonts w:hint="eastAsia" w:ascii="宋体" w:hAnsi="宋体"/>
          <w:b/>
          <w:bCs/>
          <w:color w:val="auto"/>
          <w:kern w:val="0"/>
          <w:sz w:val="24"/>
        </w:rPr>
        <w:t>（查询时间须在磋商文件发售期至磋商响应文件递交截止时间之间，并将网页截图（加盖供应商公章）附在磋商响应文件中）</w:t>
      </w:r>
      <w:r>
        <w:rPr>
          <w:rFonts w:hint="eastAsia" w:ascii="宋体" w:hAnsi="宋体"/>
          <w:color w:val="auto"/>
          <w:kern w:val="0"/>
          <w:sz w:val="24"/>
        </w:rPr>
        <w:t>；</w:t>
      </w:r>
    </w:p>
    <w:p>
      <w:pPr>
        <w:spacing w:line="400" w:lineRule="exact"/>
        <w:ind w:firstLine="480" w:firstLineChars="200"/>
        <w:jc w:val="left"/>
        <w:rPr>
          <w:rFonts w:ascii="宋体" w:hAnsi="宋体"/>
          <w:color w:val="auto"/>
          <w:kern w:val="0"/>
          <w:sz w:val="24"/>
        </w:rPr>
      </w:pPr>
      <w:r>
        <w:rPr>
          <w:rFonts w:hint="eastAsia" w:ascii="宋体" w:hAnsi="宋体"/>
          <w:color w:val="auto"/>
          <w:sz w:val="24"/>
        </w:rPr>
        <w:t>9、</w:t>
      </w:r>
      <w:r>
        <w:rPr>
          <w:rFonts w:hint="eastAsia" w:ascii="宋体" w:hAnsi="宋体"/>
          <w:color w:val="auto"/>
          <w:kern w:val="0"/>
          <w:sz w:val="24"/>
        </w:rPr>
        <w:t>投标保证金缴纳凭证；</w:t>
      </w:r>
    </w:p>
    <w:p>
      <w:pPr>
        <w:spacing w:line="400" w:lineRule="exact"/>
        <w:ind w:firstLine="480" w:firstLineChars="200"/>
        <w:jc w:val="left"/>
        <w:rPr>
          <w:rFonts w:ascii="宋体" w:hAnsi="宋体"/>
          <w:color w:val="auto"/>
          <w:kern w:val="0"/>
          <w:sz w:val="24"/>
        </w:rPr>
      </w:pPr>
      <w:r>
        <w:rPr>
          <w:rFonts w:hint="eastAsia" w:ascii="宋体" w:hAnsi="宋体"/>
          <w:color w:val="auto"/>
          <w:sz w:val="24"/>
        </w:rPr>
        <w:t>10、本项目不接受联合体磋商。</w:t>
      </w:r>
    </w:p>
    <w:p>
      <w:pPr>
        <w:spacing w:line="360" w:lineRule="auto"/>
        <w:rPr>
          <w:rFonts w:ascii="宋体" w:hAnsi="宋体"/>
          <w:b/>
          <w:bCs/>
          <w:color w:val="auto"/>
          <w:sz w:val="24"/>
        </w:rPr>
      </w:pPr>
      <w:r>
        <w:rPr>
          <w:rFonts w:hint="eastAsia" w:ascii="宋体" w:hAnsi="宋体"/>
          <w:b/>
          <w:bCs/>
          <w:color w:val="auto"/>
          <w:sz w:val="24"/>
        </w:rPr>
        <w:t>2.2采购项目需要落实的政府采购政策：</w:t>
      </w:r>
    </w:p>
    <w:p>
      <w:pPr>
        <w:spacing w:line="360" w:lineRule="auto"/>
        <w:rPr>
          <w:rFonts w:ascii="宋体" w:hAnsi="宋体"/>
          <w:color w:val="auto"/>
          <w:sz w:val="24"/>
        </w:rPr>
      </w:pPr>
      <w:r>
        <w:rPr>
          <w:rFonts w:hint="eastAsia" w:ascii="宋体" w:hAnsi="宋体"/>
          <w:color w:val="auto"/>
          <w:sz w:val="24"/>
        </w:rPr>
        <w:t>1）.满足《中华人民共和国政府采购法》第二十二条规定</w:t>
      </w:r>
    </w:p>
    <w:p>
      <w:pPr>
        <w:spacing w:line="360" w:lineRule="auto"/>
        <w:rPr>
          <w:rFonts w:ascii="宋体" w:hAnsi="宋体"/>
          <w:color w:val="auto"/>
          <w:sz w:val="24"/>
        </w:rPr>
      </w:pPr>
      <w:r>
        <w:rPr>
          <w:rFonts w:hint="eastAsia" w:ascii="宋体" w:hAnsi="宋体"/>
          <w:color w:val="auto"/>
          <w:sz w:val="24"/>
        </w:rPr>
        <w:t>2）.落实政府采购政策需满足的资格要求：</w:t>
      </w:r>
    </w:p>
    <w:p>
      <w:pPr>
        <w:spacing w:line="360" w:lineRule="auto"/>
        <w:rPr>
          <w:rFonts w:ascii="宋体" w:hAnsi="宋体"/>
          <w:color w:val="auto"/>
          <w:sz w:val="24"/>
        </w:rPr>
      </w:pPr>
      <w:r>
        <w:rPr>
          <w:rFonts w:hint="eastAsia" w:ascii="宋体" w:hAnsi="宋体"/>
          <w:color w:val="auto"/>
          <w:sz w:val="24"/>
        </w:rPr>
        <w:t>2.1《政府采购促进中小企业发展管理办法》（财库〔2020〕46号）；</w:t>
      </w:r>
    </w:p>
    <w:p>
      <w:pPr>
        <w:spacing w:line="360" w:lineRule="auto"/>
        <w:rPr>
          <w:rFonts w:ascii="宋体" w:hAnsi="宋体"/>
          <w:color w:val="auto"/>
          <w:sz w:val="24"/>
        </w:rPr>
      </w:pPr>
      <w:r>
        <w:rPr>
          <w:rFonts w:hint="eastAsia" w:ascii="宋体" w:hAnsi="宋体"/>
          <w:color w:val="auto"/>
          <w:sz w:val="24"/>
        </w:rPr>
        <w:t>2.2《财政部 司法部关于政府采购支持监狱企业发展有关问题的通知》（财库〔2014〕68号）；</w:t>
      </w:r>
    </w:p>
    <w:p>
      <w:pPr>
        <w:spacing w:line="360" w:lineRule="auto"/>
        <w:rPr>
          <w:rFonts w:ascii="宋体" w:hAnsi="宋体"/>
          <w:color w:val="auto"/>
          <w:sz w:val="24"/>
        </w:rPr>
      </w:pPr>
      <w:r>
        <w:rPr>
          <w:rFonts w:hint="eastAsia" w:ascii="宋体" w:hAnsi="宋体"/>
          <w:color w:val="auto"/>
          <w:sz w:val="24"/>
        </w:rPr>
        <w:t>2.3《国务院办公厅关于建立政府强制采购节能产品制度的通知》（国办发〔2007〕51号）；</w:t>
      </w:r>
    </w:p>
    <w:p>
      <w:pPr>
        <w:spacing w:line="360" w:lineRule="auto"/>
        <w:rPr>
          <w:rFonts w:ascii="宋体" w:hAnsi="宋体"/>
          <w:color w:val="auto"/>
          <w:sz w:val="24"/>
        </w:rPr>
      </w:pPr>
      <w:r>
        <w:rPr>
          <w:rFonts w:hint="eastAsia" w:ascii="宋体" w:hAnsi="宋体"/>
          <w:color w:val="auto"/>
          <w:sz w:val="24"/>
        </w:rPr>
        <w:t>2.4《节能产品政府采购实施意见》（财库[2004]185号）；</w:t>
      </w:r>
    </w:p>
    <w:p>
      <w:pPr>
        <w:spacing w:line="360" w:lineRule="auto"/>
        <w:rPr>
          <w:rFonts w:ascii="宋体" w:hAnsi="宋体"/>
          <w:color w:val="auto"/>
          <w:sz w:val="24"/>
        </w:rPr>
      </w:pPr>
      <w:r>
        <w:rPr>
          <w:rFonts w:hint="eastAsia" w:ascii="宋体" w:hAnsi="宋体"/>
          <w:color w:val="auto"/>
          <w:sz w:val="24"/>
        </w:rPr>
        <w:t>2.5《环境标志产品政府采购实施的意见》（财库[2006]90号）；</w:t>
      </w:r>
    </w:p>
    <w:p>
      <w:pPr>
        <w:spacing w:line="360" w:lineRule="auto"/>
        <w:rPr>
          <w:rFonts w:ascii="宋体" w:hAnsi="宋体"/>
          <w:color w:val="auto"/>
          <w:sz w:val="24"/>
        </w:rPr>
      </w:pPr>
      <w:r>
        <w:rPr>
          <w:rFonts w:hint="eastAsia" w:ascii="宋体" w:hAnsi="宋体"/>
          <w:color w:val="auto"/>
          <w:sz w:val="24"/>
        </w:rPr>
        <w:t>2.6《三部门联合发布关于促进残疾人就业政府采购政策的通知》（财库〔2017〕141号）；</w:t>
      </w:r>
    </w:p>
    <w:p>
      <w:pPr>
        <w:spacing w:line="360" w:lineRule="auto"/>
        <w:rPr>
          <w:rFonts w:ascii="宋体" w:hAnsi="宋体"/>
          <w:color w:val="auto"/>
          <w:sz w:val="24"/>
        </w:rPr>
      </w:pPr>
      <w:r>
        <w:rPr>
          <w:rFonts w:hint="eastAsia" w:ascii="宋体" w:hAnsi="宋体"/>
          <w:color w:val="auto"/>
          <w:sz w:val="24"/>
        </w:rPr>
        <w:t>2.7《财政部 发展改革委 生态环境部 市场监管总局关于调整优化节能产品、环境标志产品政府采购执行机制的通知》（财库〔2019〕9号）</w:t>
      </w:r>
    </w:p>
    <w:p>
      <w:pPr>
        <w:spacing w:line="360" w:lineRule="auto"/>
        <w:rPr>
          <w:rFonts w:ascii="宋体" w:hAnsi="宋体"/>
          <w:color w:val="auto"/>
          <w:sz w:val="24"/>
        </w:rPr>
      </w:pPr>
      <w:r>
        <w:rPr>
          <w:rFonts w:hint="eastAsia" w:ascii="宋体" w:hAnsi="宋体"/>
          <w:color w:val="auto"/>
          <w:sz w:val="24"/>
        </w:rPr>
        <w:t>2.8《财政部 国务院扶贫办关于运用政府采购政策支持脱贫攻坚的通知》（财库〔2019〕27号）；</w:t>
      </w:r>
    </w:p>
    <w:p>
      <w:pPr>
        <w:spacing w:line="360" w:lineRule="auto"/>
        <w:rPr>
          <w:rFonts w:ascii="宋体" w:hAnsi="宋体"/>
          <w:color w:val="auto"/>
          <w:sz w:val="24"/>
        </w:rPr>
      </w:pPr>
      <w:r>
        <w:rPr>
          <w:rFonts w:hint="eastAsia" w:ascii="宋体" w:hAnsi="宋体"/>
          <w:color w:val="auto"/>
          <w:sz w:val="24"/>
        </w:rPr>
        <w:t>2.9《陕西省中小企业政府采购信用融资办法》（陕财办采〔2018〕23号）；</w:t>
      </w:r>
    </w:p>
    <w:p>
      <w:pPr>
        <w:spacing w:line="360" w:lineRule="auto"/>
        <w:rPr>
          <w:rFonts w:ascii="宋体" w:hAnsi="宋体"/>
          <w:color w:val="auto"/>
          <w:sz w:val="24"/>
        </w:rPr>
      </w:pPr>
      <w:r>
        <w:rPr>
          <w:rFonts w:hint="eastAsia" w:ascii="宋体" w:hAnsi="宋体"/>
          <w:color w:val="auto"/>
          <w:sz w:val="24"/>
        </w:rPr>
        <w:t>2.10其他需要落实的政府采购政策。</w:t>
      </w:r>
    </w:p>
    <w:p>
      <w:pPr>
        <w:spacing w:line="360" w:lineRule="auto"/>
        <w:ind w:firstLine="482" w:firstLineChars="200"/>
        <w:rPr>
          <w:rFonts w:ascii="宋体" w:hAnsi="宋体"/>
          <w:b/>
          <w:bCs/>
          <w:color w:val="auto"/>
          <w:sz w:val="24"/>
        </w:rPr>
      </w:pPr>
      <w:r>
        <w:rPr>
          <w:rFonts w:hint="eastAsia" w:ascii="宋体" w:hAnsi="宋体"/>
          <w:b/>
          <w:bCs/>
          <w:color w:val="auto"/>
          <w:sz w:val="24"/>
        </w:rPr>
        <w:t>3.磋商费用</w:t>
      </w:r>
    </w:p>
    <w:p>
      <w:pPr>
        <w:spacing w:line="360" w:lineRule="auto"/>
        <w:ind w:firstLine="480" w:firstLineChars="200"/>
        <w:rPr>
          <w:rFonts w:ascii="黑体" w:hAnsi="黑体" w:eastAsia="黑体" w:cs="黑体"/>
          <w:b/>
          <w:color w:val="auto"/>
          <w:sz w:val="24"/>
        </w:rPr>
      </w:pPr>
      <w:r>
        <w:rPr>
          <w:rFonts w:hint="eastAsia" w:ascii="宋体" w:hAnsi="宋体"/>
          <w:color w:val="auto"/>
          <w:sz w:val="24"/>
        </w:rPr>
        <w:t>3.1供应商应承担所有与准备和参加磋商有关的费用。不论磋商的结果如何，采购人和采购代理机构均无义务和责任承担这些费用。</w:t>
      </w:r>
      <w:bookmarkEnd w:id="34"/>
    </w:p>
    <w:p>
      <w:pPr>
        <w:spacing w:line="360" w:lineRule="auto"/>
        <w:ind w:firstLine="481"/>
        <w:jc w:val="left"/>
        <w:outlineLvl w:val="1"/>
        <w:rPr>
          <w:rFonts w:ascii="黑体" w:hAnsi="黑体" w:eastAsia="黑体" w:cs="黑体"/>
          <w:b/>
          <w:color w:val="auto"/>
          <w:sz w:val="24"/>
        </w:rPr>
      </w:pPr>
      <w:bookmarkStart w:id="35" w:name="_Toc11232"/>
      <w:bookmarkStart w:id="36" w:name="_Toc5008"/>
      <w:r>
        <w:rPr>
          <w:rFonts w:hint="eastAsia" w:ascii="黑体" w:hAnsi="黑体" w:eastAsia="黑体" w:cs="黑体"/>
          <w:b/>
          <w:color w:val="auto"/>
          <w:sz w:val="24"/>
        </w:rPr>
        <w:t>二、磋商文件</w:t>
      </w:r>
      <w:bookmarkEnd w:id="35"/>
      <w:bookmarkEnd w:id="36"/>
    </w:p>
    <w:p>
      <w:pPr>
        <w:spacing w:line="360" w:lineRule="auto"/>
        <w:ind w:firstLine="482" w:firstLineChars="200"/>
        <w:rPr>
          <w:rFonts w:ascii="宋体" w:hAnsi="宋体"/>
          <w:b/>
          <w:bCs/>
          <w:color w:val="auto"/>
          <w:sz w:val="24"/>
        </w:rPr>
      </w:pPr>
      <w:r>
        <w:rPr>
          <w:rFonts w:hint="eastAsia" w:ascii="宋体" w:hAnsi="宋体"/>
          <w:b/>
          <w:bCs/>
          <w:color w:val="auto"/>
          <w:sz w:val="24"/>
        </w:rPr>
        <w:t>4.</w:t>
      </w:r>
      <w:bookmarkStart w:id="37" w:name="OLE_LINK45"/>
      <w:r>
        <w:rPr>
          <w:rFonts w:hint="eastAsia" w:ascii="宋体" w:hAnsi="宋体"/>
          <w:b/>
          <w:bCs/>
          <w:color w:val="auto"/>
          <w:sz w:val="24"/>
        </w:rPr>
        <w:t>磋商文件的</w:t>
      </w:r>
      <w:bookmarkEnd w:id="37"/>
      <w:r>
        <w:rPr>
          <w:rFonts w:hint="eastAsia" w:ascii="宋体" w:hAnsi="宋体"/>
          <w:b/>
          <w:bCs/>
          <w:color w:val="auto"/>
          <w:sz w:val="24"/>
        </w:rPr>
        <w:t>构成</w:t>
      </w:r>
    </w:p>
    <w:p>
      <w:pPr>
        <w:spacing w:line="360" w:lineRule="auto"/>
        <w:ind w:firstLine="480" w:firstLineChars="200"/>
        <w:rPr>
          <w:rFonts w:ascii="宋体" w:hAnsi="宋体"/>
          <w:color w:val="auto"/>
          <w:sz w:val="24"/>
        </w:rPr>
      </w:pPr>
      <w:r>
        <w:rPr>
          <w:rFonts w:hint="eastAsia" w:ascii="宋体" w:hAnsi="宋体"/>
          <w:color w:val="auto"/>
          <w:sz w:val="24"/>
        </w:rPr>
        <w:t>4.1磋商文件由下列文件以及在采购过程中发出的澄清及变更文件组成：</w:t>
      </w:r>
    </w:p>
    <w:p>
      <w:pPr>
        <w:spacing w:line="360" w:lineRule="auto"/>
        <w:ind w:firstLine="480" w:firstLineChars="200"/>
        <w:rPr>
          <w:rFonts w:ascii="宋体" w:hAnsi="宋体"/>
          <w:color w:val="auto"/>
          <w:sz w:val="24"/>
        </w:rPr>
      </w:pPr>
      <w:r>
        <w:rPr>
          <w:rFonts w:hint="eastAsia" w:ascii="宋体" w:hAnsi="宋体"/>
          <w:color w:val="auto"/>
          <w:sz w:val="24"/>
        </w:rPr>
        <w:t>4.1.1磋商邀请函</w:t>
      </w:r>
    </w:p>
    <w:p>
      <w:pPr>
        <w:spacing w:line="360" w:lineRule="auto"/>
        <w:ind w:firstLine="480" w:firstLineChars="200"/>
        <w:rPr>
          <w:rFonts w:ascii="宋体" w:hAnsi="宋体"/>
          <w:color w:val="auto"/>
          <w:sz w:val="24"/>
        </w:rPr>
      </w:pPr>
      <w:r>
        <w:rPr>
          <w:rFonts w:hint="eastAsia" w:ascii="宋体" w:hAnsi="宋体"/>
          <w:color w:val="auto"/>
          <w:sz w:val="24"/>
        </w:rPr>
        <w:t>4.1.2用户需求书</w:t>
      </w:r>
    </w:p>
    <w:p>
      <w:pPr>
        <w:spacing w:line="360" w:lineRule="auto"/>
        <w:ind w:firstLine="480" w:firstLineChars="200"/>
        <w:rPr>
          <w:rFonts w:ascii="宋体" w:hAnsi="宋体"/>
          <w:color w:val="auto"/>
          <w:sz w:val="24"/>
        </w:rPr>
      </w:pPr>
      <w:r>
        <w:rPr>
          <w:rFonts w:hint="eastAsia" w:ascii="宋体" w:hAnsi="宋体"/>
          <w:color w:val="auto"/>
          <w:sz w:val="24"/>
        </w:rPr>
        <w:t>4.1.3供应商须知</w:t>
      </w:r>
    </w:p>
    <w:p>
      <w:pPr>
        <w:spacing w:line="360" w:lineRule="auto"/>
        <w:ind w:firstLine="480" w:firstLineChars="200"/>
        <w:rPr>
          <w:rFonts w:ascii="宋体" w:hAnsi="宋体"/>
          <w:color w:val="auto"/>
          <w:sz w:val="24"/>
        </w:rPr>
      </w:pPr>
      <w:r>
        <w:rPr>
          <w:rFonts w:hint="eastAsia" w:ascii="宋体" w:hAnsi="宋体"/>
          <w:color w:val="auto"/>
          <w:sz w:val="24"/>
        </w:rPr>
        <w:t>4.1.4磋商、评审、成交</w:t>
      </w:r>
    </w:p>
    <w:p>
      <w:pPr>
        <w:spacing w:line="360" w:lineRule="auto"/>
        <w:ind w:firstLine="480" w:firstLineChars="200"/>
        <w:rPr>
          <w:rFonts w:ascii="宋体" w:hAnsi="宋体"/>
          <w:color w:val="auto"/>
          <w:sz w:val="24"/>
        </w:rPr>
      </w:pPr>
      <w:r>
        <w:rPr>
          <w:rFonts w:hint="eastAsia" w:ascii="宋体" w:hAnsi="宋体"/>
          <w:color w:val="auto"/>
          <w:sz w:val="24"/>
        </w:rPr>
        <w:t>4.1.5政府采购合同格式</w:t>
      </w:r>
    </w:p>
    <w:p>
      <w:pPr>
        <w:spacing w:line="360" w:lineRule="auto"/>
        <w:ind w:firstLine="480" w:firstLineChars="200"/>
        <w:rPr>
          <w:rFonts w:ascii="宋体" w:hAnsi="宋体"/>
          <w:color w:val="auto"/>
          <w:sz w:val="24"/>
        </w:rPr>
      </w:pPr>
      <w:r>
        <w:rPr>
          <w:rFonts w:hint="eastAsia" w:ascii="宋体" w:hAnsi="宋体"/>
          <w:color w:val="auto"/>
          <w:sz w:val="24"/>
        </w:rPr>
        <w:t xml:space="preserve">4.1.6响应文件格式 </w:t>
      </w:r>
    </w:p>
    <w:p>
      <w:pPr>
        <w:spacing w:line="360" w:lineRule="auto"/>
        <w:ind w:firstLine="480" w:firstLineChars="200"/>
        <w:rPr>
          <w:rFonts w:ascii="宋体" w:hAnsi="宋体"/>
          <w:color w:val="auto"/>
          <w:sz w:val="24"/>
        </w:rPr>
      </w:pPr>
      <w:r>
        <w:rPr>
          <w:rFonts w:hint="eastAsia" w:ascii="宋体" w:hAnsi="宋体"/>
          <w:color w:val="auto"/>
          <w:sz w:val="24"/>
        </w:rPr>
        <w:t>4.1.7在磋商过程中由采购代理机构发出的澄清及变更文件等。</w:t>
      </w:r>
    </w:p>
    <w:p>
      <w:pPr>
        <w:spacing w:line="360" w:lineRule="auto"/>
        <w:ind w:firstLine="482" w:firstLineChars="200"/>
        <w:rPr>
          <w:rFonts w:ascii="宋体" w:hAnsi="宋体"/>
          <w:b/>
          <w:bCs/>
          <w:color w:val="auto"/>
          <w:sz w:val="24"/>
        </w:rPr>
      </w:pPr>
      <w:r>
        <w:rPr>
          <w:rFonts w:hint="eastAsia" w:ascii="宋体" w:hAnsi="宋体"/>
          <w:b/>
          <w:bCs/>
          <w:color w:val="auto"/>
          <w:sz w:val="24"/>
        </w:rPr>
        <w:t>5.磋商文件的澄清</w:t>
      </w:r>
    </w:p>
    <w:p>
      <w:pPr>
        <w:spacing w:line="360" w:lineRule="auto"/>
        <w:ind w:firstLine="480" w:firstLineChars="200"/>
        <w:rPr>
          <w:rFonts w:ascii="宋体" w:hAnsi="宋体"/>
          <w:color w:val="auto"/>
          <w:sz w:val="24"/>
        </w:rPr>
      </w:pPr>
      <w:r>
        <w:rPr>
          <w:rFonts w:hint="eastAsia" w:ascii="宋体" w:hAnsi="宋体"/>
          <w:color w:val="auto"/>
          <w:sz w:val="24"/>
        </w:rPr>
        <w:t>5.1在响应截止期前，采购单位有权根据需求对磋商文件进行必要的澄清，澄清文件将以书面形式通知每一个购买磋商文件的供应商。</w:t>
      </w:r>
    </w:p>
    <w:p>
      <w:pPr>
        <w:spacing w:line="360" w:lineRule="auto"/>
        <w:ind w:firstLine="480" w:firstLineChars="200"/>
        <w:rPr>
          <w:rFonts w:ascii="宋体" w:hAnsi="宋体"/>
          <w:color w:val="auto"/>
          <w:sz w:val="24"/>
        </w:rPr>
      </w:pPr>
      <w:r>
        <w:rPr>
          <w:rFonts w:hint="eastAsia" w:ascii="宋体" w:hAnsi="宋体"/>
          <w:color w:val="auto"/>
          <w:sz w:val="24"/>
        </w:rPr>
        <w:t>该澄清的内容为磋商文件组成部分。</w:t>
      </w:r>
    </w:p>
    <w:p>
      <w:pPr>
        <w:spacing w:line="360" w:lineRule="auto"/>
        <w:ind w:firstLine="482" w:firstLineChars="200"/>
        <w:rPr>
          <w:rFonts w:ascii="宋体" w:hAnsi="宋体"/>
          <w:b/>
          <w:bCs/>
          <w:color w:val="auto"/>
          <w:sz w:val="24"/>
        </w:rPr>
      </w:pPr>
      <w:r>
        <w:rPr>
          <w:rFonts w:hint="eastAsia" w:ascii="宋体" w:hAnsi="宋体"/>
          <w:b/>
          <w:bCs/>
          <w:color w:val="auto"/>
          <w:sz w:val="24"/>
        </w:rPr>
        <w:t>6.磋商文件的修改</w:t>
      </w:r>
    </w:p>
    <w:p>
      <w:pPr>
        <w:spacing w:line="360" w:lineRule="auto"/>
        <w:ind w:firstLine="480" w:firstLineChars="200"/>
        <w:rPr>
          <w:rFonts w:ascii="宋体" w:hAnsi="宋体"/>
          <w:color w:val="auto"/>
          <w:sz w:val="24"/>
        </w:rPr>
      </w:pPr>
      <w:r>
        <w:rPr>
          <w:rFonts w:hint="eastAsia" w:ascii="宋体" w:hAnsi="宋体"/>
          <w:color w:val="auto"/>
          <w:sz w:val="24"/>
        </w:rPr>
        <w:t>6.1在响应截止期前，采购单位有权根据需求对磋商文件进行必要的修改，对磋商文件的修改将以变更公告形式在陕西省政府采购网上发布，并将以书面形式通知每一个购买磋商文件的供应商。</w:t>
      </w:r>
    </w:p>
    <w:p>
      <w:pPr>
        <w:spacing w:line="360" w:lineRule="auto"/>
        <w:ind w:firstLine="480" w:firstLineChars="200"/>
        <w:rPr>
          <w:rFonts w:ascii="宋体" w:hAnsi="宋体"/>
          <w:color w:val="auto"/>
          <w:sz w:val="24"/>
        </w:rPr>
      </w:pPr>
      <w:r>
        <w:rPr>
          <w:rFonts w:hint="eastAsia" w:ascii="宋体" w:hAnsi="宋体"/>
          <w:color w:val="auto"/>
          <w:sz w:val="24"/>
        </w:rPr>
        <w:t>该修改的内容为磋商文件组成部分。</w:t>
      </w:r>
    </w:p>
    <w:p>
      <w:pPr>
        <w:spacing w:line="360" w:lineRule="auto"/>
        <w:ind w:firstLine="480" w:firstLineChars="200"/>
        <w:rPr>
          <w:rFonts w:ascii="宋体" w:hAnsi="宋体"/>
          <w:color w:val="auto"/>
          <w:sz w:val="24"/>
        </w:rPr>
      </w:pPr>
      <w:r>
        <w:rPr>
          <w:rFonts w:hint="eastAsia" w:ascii="宋体" w:hAnsi="宋体"/>
          <w:color w:val="auto"/>
          <w:sz w:val="24"/>
        </w:rPr>
        <w:t>6.2为使供应商准备响应时有充分时间对磋商文件的修改部分进行研究，采购单位有权适当延长响应截止期。</w:t>
      </w:r>
    </w:p>
    <w:p>
      <w:pPr>
        <w:spacing w:line="360" w:lineRule="auto"/>
        <w:ind w:firstLine="480" w:firstLineChars="200"/>
        <w:rPr>
          <w:rFonts w:ascii="宋体" w:hAnsi="宋体"/>
          <w:color w:val="auto"/>
          <w:sz w:val="24"/>
        </w:rPr>
      </w:pPr>
      <w:r>
        <w:rPr>
          <w:rFonts w:hint="eastAsia" w:ascii="宋体" w:hAnsi="宋体"/>
          <w:color w:val="auto"/>
          <w:sz w:val="24"/>
        </w:rPr>
        <w:t>延期公告将以6.1所述方式通知每一个购买磋商文件的供应商。</w:t>
      </w:r>
    </w:p>
    <w:p>
      <w:pPr>
        <w:spacing w:line="360" w:lineRule="auto"/>
        <w:ind w:firstLine="480" w:firstLineChars="200"/>
        <w:rPr>
          <w:rFonts w:ascii="宋体" w:hAnsi="宋体"/>
          <w:color w:val="auto"/>
          <w:sz w:val="24"/>
        </w:rPr>
      </w:pPr>
      <w:r>
        <w:rPr>
          <w:rFonts w:hint="eastAsia" w:ascii="宋体" w:hAnsi="宋体"/>
          <w:color w:val="auto"/>
          <w:sz w:val="24"/>
        </w:rPr>
        <w:t>6.3供应商在收到上述通知后，应在通知规定的时间内向采购代理机构回函确认。</w:t>
      </w:r>
    </w:p>
    <w:p>
      <w:pPr>
        <w:spacing w:line="360" w:lineRule="auto"/>
        <w:ind w:firstLine="482" w:firstLineChars="200"/>
        <w:rPr>
          <w:rFonts w:ascii="宋体" w:hAnsi="宋体"/>
          <w:b/>
          <w:bCs/>
          <w:color w:val="auto"/>
          <w:sz w:val="24"/>
        </w:rPr>
      </w:pPr>
      <w:bookmarkStart w:id="38" w:name="_Toc217446041"/>
      <w:bookmarkStart w:id="39" w:name="_Toc208848971"/>
      <w:r>
        <w:rPr>
          <w:rFonts w:hint="eastAsia" w:ascii="宋体" w:hAnsi="宋体"/>
          <w:b/>
          <w:bCs/>
          <w:color w:val="auto"/>
          <w:sz w:val="24"/>
        </w:rPr>
        <w:t>7.答疑会和现场考察</w:t>
      </w:r>
      <w:bookmarkEnd w:id="38"/>
      <w:bookmarkEnd w:id="39"/>
    </w:p>
    <w:p>
      <w:pPr>
        <w:spacing w:line="360" w:lineRule="auto"/>
        <w:ind w:firstLine="480" w:firstLineChars="200"/>
        <w:rPr>
          <w:rFonts w:ascii="宋体" w:hAnsi="宋体"/>
          <w:color w:val="auto"/>
          <w:sz w:val="24"/>
        </w:rPr>
      </w:pPr>
      <w:r>
        <w:rPr>
          <w:rFonts w:hint="eastAsia" w:ascii="宋体" w:hAnsi="宋体"/>
          <w:color w:val="auto"/>
          <w:sz w:val="24"/>
        </w:rPr>
        <w:t>7.1根据采购项目特点或具体情况，采购单位认为有必要，可以在磋商文件提供期限截止后，组织已获取磋商文件的潜在供应商现场考察或者召开开标前答疑会。</w:t>
      </w:r>
    </w:p>
    <w:p>
      <w:pPr>
        <w:spacing w:line="360" w:lineRule="auto"/>
        <w:ind w:firstLine="480" w:firstLineChars="200"/>
        <w:rPr>
          <w:rFonts w:ascii="宋体" w:hAnsi="宋体"/>
          <w:color w:val="auto"/>
          <w:sz w:val="24"/>
        </w:rPr>
      </w:pPr>
      <w:r>
        <w:rPr>
          <w:rFonts w:hint="eastAsia" w:ascii="宋体" w:hAnsi="宋体"/>
          <w:color w:val="auto"/>
          <w:sz w:val="24"/>
        </w:rPr>
        <w:t>如需组织现场考察或者召开答疑会的，采购单位将以书面形式通知所有获取磋商文件的潜在供应商参加。</w:t>
      </w:r>
    </w:p>
    <w:p>
      <w:pPr>
        <w:spacing w:line="360" w:lineRule="auto"/>
        <w:ind w:firstLine="480" w:firstLineChars="200"/>
        <w:rPr>
          <w:rFonts w:ascii="宋体" w:hAnsi="宋体"/>
          <w:color w:val="auto"/>
          <w:sz w:val="24"/>
        </w:rPr>
      </w:pPr>
      <w:r>
        <w:rPr>
          <w:rFonts w:hint="eastAsia" w:ascii="宋体" w:hAnsi="宋体"/>
          <w:color w:val="auto"/>
          <w:sz w:val="24"/>
        </w:rPr>
        <w:t>7.2供应商考察现场所发生的一切费用由供应商自己承担。</w:t>
      </w:r>
    </w:p>
    <w:p>
      <w:pPr>
        <w:spacing w:line="360" w:lineRule="auto"/>
        <w:ind w:firstLine="482" w:firstLineChars="200"/>
        <w:rPr>
          <w:rFonts w:ascii="宋体" w:hAnsi="宋体"/>
          <w:b/>
          <w:bCs/>
          <w:color w:val="auto"/>
          <w:sz w:val="24"/>
        </w:rPr>
      </w:pPr>
      <w:r>
        <w:rPr>
          <w:rFonts w:hint="eastAsia" w:ascii="宋体" w:hAnsi="宋体"/>
          <w:b/>
          <w:bCs/>
          <w:color w:val="auto"/>
          <w:sz w:val="24"/>
        </w:rPr>
        <w:t>8.磋商文件的解释权归属</w:t>
      </w:r>
    </w:p>
    <w:p>
      <w:pPr>
        <w:spacing w:line="360" w:lineRule="auto"/>
        <w:ind w:firstLine="480" w:firstLineChars="200"/>
        <w:rPr>
          <w:rFonts w:ascii="宋体" w:hAnsi="宋体"/>
          <w:color w:val="auto"/>
          <w:sz w:val="24"/>
        </w:rPr>
      </w:pPr>
      <w:r>
        <w:rPr>
          <w:rFonts w:hint="eastAsia" w:ascii="宋体" w:hAnsi="宋体"/>
          <w:color w:val="auto"/>
          <w:sz w:val="24"/>
        </w:rPr>
        <w:t>本磋商文件的解释权归采购代理机构。</w:t>
      </w:r>
    </w:p>
    <w:p>
      <w:pPr>
        <w:spacing w:line="360" w:lineRule="auto"/>
        <w:ind w:firstLine="481"/>
        <w:jc w:val="left"/>
        <w:outlineLvl w:val="1"/>
        <w:rPr>
          <w:rFonts w:ascii="黑体" w:hAnsi="黑体" w:eastAsia="黑体" w:cs="黑体"/>
          <w:b/>
          <w:color w:val="auto"/>
          <w:sz w:val="24"/>
        </w:rPr>
      </w:pPr>
      <w:bookmarkStart w:id="40" w:name="_Toc32453"/>
      <w:bookmarkStart w:id="41" w:name="_Toc31824"/>
      <w:bookmarkStart w:id="42" w:name="_Toc18767"/>
      <w:r>
        <w:rPr>
          <w:rFonts w:hint="eastAsia" w:ascii="黑体" w:hAnsi="黑体" w:eastAsia="黑体" w:cs="黑体"/>
          <w:b/>
          <w:color w:val="auto"/>
          <w:sz w:val="24"/>
        </w:rPr>
        <w:t>三、响应文件的编制</w:t>
      </w:r>
      <w:bookmarkEnd w:id="40"/>
      <w:bookmarkEnd w:id="41"/>
      <w:bookmarkEnd w:id="42"/>
    </w:p>
    <w:p>
      <w:pPr>
        <w:spacing w:line="360" w:lineRule="auto"/>
        <w:ind w:firstLine="482" w:firstLineChars="200"/>
        <w:rPr>
          <w:rFonts w:ascii="宋体" w:hAnsi="宋体"/>
          <w:b/>
          <w:color w:val="auto"/>
          <w:sz w:val="24"/>
        </w:rPr>
      </w:pPr>
      <w:r>
        <w:rPr>
          <w:rFonts w:hint="eastAsia" w:ascii="宋体" w:hAnsi="宋体"/>
          <w:b/>
          <w:color w:val="auto"/>
          <w:sz w:val="24"/>
        </w:rPr>
        <w:t>9.响应文件的编制要求</w:t>
      </w:r>
    </w:p>
    <w:p>
      <w:pPr>
        <w:spacing w:line="360" w:lineRule="auto"/>
        <w:ind w:firstLine="480" w:firstLineChars="200"/>
        <w:rPr>
          <w:rFonts w:ascii="宋体" w:hAnsi="宋体"/>
          <w:color w:val="auto"/>
          <w:sz w:val="24"/>
        </w:rPr>
      </w:pPr>
      <w:r>
        <w:rPr>
          <w:rFonts w:hint="eastAsia" w:ascii="宋体" w:hAnsi="宋体"/>
          <w:color w:val="auto"/>
          <w:sz w:val="24"/>
        </w:rPr>
        <w:t>9.1响应文件的构成应符合法律法规及磋商文件的要求。</w:t>
      </w:r>
    </w:p>
    <w:p>
      <w:pPr>
        <w:spacing w:line="360" w:lineRule="auto"/>
        <w:ind w:firstLine="480" w:firstLineChars="200"/>
        <w:rPr>
          <w:rFonts w:ascii="宋体" w:hAnsi="宋体"/>
          <w:color w:val="auto"/>
          <w:sz w:val="24"/>
        </w:rPr>
      </w:pPr>
      <w:bookmarkStart w:id="43" w:name="OLE_LINK46"/>
      <w:r>
        <w:rPr>
          <w:rFonts w:hint="eastAsia" w:ascii="宋体" w:hAnsi="宋体"/>
          <w:color w:val="auto"/>
          <w:sz w:val="24"/>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响应没有对磋商文件在各方面都作出实质性响应是供应商的风险，有可能导致其响应被拒绝，或被认定为无效响应或被确定为响应无效。</w:t>
      </w:r>
    </w:p>
    <w:p>
      <w:pPr>
        <w:spacing w:line="360" w:lineRule="auto"/>
        <w:ind w:firstLine="480" w:firstLineChars="200"/>
        <w:rPr>
          <w:rFonts w:ascii="宋体" w:hAnsi="宋体"/>
          <w:color w:val="auto"/>
          <w:sz w:val="24"/>
        </w:rPr>
      </w:pPr>
      <w:r>
        <w:rPr>
          <w:rFonts w:hint="eastAsia" w:ascii="宋体" w:hAnsi="宋体"/>
          <w:color w:val="auto"/>
          <w:sz w:val="24"/>
        </w:rPr>
        <w:t>9.3供应商必须对响应文件所提供的全部资料的真实性承担法律责任，并无条件接受采购人或采购代理机构及政府采购监督管理部门等对其中任何资料进行核实的要求。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hAnsi="宋体"/>
          <w:color w:val="auto"/>
          <w:sz w:val="24"/>
        </w:rPr>
      </w:pPr>
      <w:r>
        <w:rPr>
          <w:rFonts w:hint="eastAsia" w:ascii="宋体" w:hAnsi="宋体"/>
          <w:color w:val="auto"/>
          <w:sz w:val="24"/>
        </w:rPr>
        <w:t>9.4如果因为供应商响应文件填报的内容不详，或没有提供磋商文件中所要求的全部资料及数据，由此造成的后果，其责任由供应商承担。</w:t>
      </w:r>
    </w:p>
    <w:p>
      <w:pPr>
        <w:spacing w:line="360" w:lineRule="auto"/>
        <w:ind w:firstLine="482" w:firstLineChars="200"/>
        <w:rPr>
          <w:rFonts w:ascii="宋体" w:hAnsi="宋体"/>
          <w:b/>
          <w:color w:val="auto"/>
          <w:sz w:val="24"/>
        </w:rPr>
      </w:pPr>
      <w:r>
        <w:rPr>
          <w:rFonts w:hint="eastAsia" w:ascii="宋体" w:hAnsi="宋体"/>
          <w:b/>
          <w:color w:val="auto"/>
          <w:sz w:val="24"/>
        </w:rPr>
        <w:t>10.响应的语言及计量单位</w:t>
      </w:r>
    </w:p>
    <w:p>
      <w:pPr>
        <w:spacing w:line="360" w:lineRule="auto"/>
        <w:ind w:firstLine="480" w:firstLineChars="200"/>
        <w:rPr>
          <w:rFonts w:ascii="宋体" w:hAnsi="宋体"/>
          <w:color w:val="auto"/>
          <w:sz w:val="24"/>
        </w:rPr>
      </w:pPr>
      <w:r>
        <w:rPr>
          <w:rFonts w:hint="eastAsia" w:ascii="宋体" w:hAnsi="宋体"/>
          <w:color w:val="auto"/>
          <w:sz w:val="24"/>
        </w:rPr>
        <w:t>10.1供应商提交的响应文件以及供应商与采购代理机构就有关响应的所有来往函电均应使用中文。供应商提交的支持文件或印刷的资料可以用另一种语言，但相应内容应附有中文翻译本，两种语言不一致时以中文翻译本为准。</w:t>
      </w:r>
    </w:p>
    <w:p>
      <w:pPr>
        <w:spacing w:line="360" w:lineRule="auto"/>
        <w:ind w:firstLine="480" w:firstLineChars="200"/>
        <w:rPr>
          <w:rFonts w:ascii="宋体" w:hAnsi="宋体"/>
          <w:color w:val="auto"/>
          <w:sz w:val="24"/>
        </w:rPr>
      </w:pPr>
      <w:r>
        <w:rPr>
          <w:rFonts w:hint="eastAsia" w:ascii="宋体" w:hAnsi="宋体"/>
          <w:color w:val="auto"/>
          <w:sz w:val="24"/>
        </w:rPr>
        <w:t>10.2除非磋商文件的技术规格中另有规定，供应商在响应文件中及其与采购人和采购代理机构的所有往来文件中的计量单位均应采用中华人民共和国法定计量单位。</w:t>
      </w:r>
    </w:p>
    <w:p>
      <w:pPr>
        <w:spacing w:line="360" w:lineRule="auto"/>
        <w:ind w:firstLine="482" w:firstLineChars="200"/>
        <w:rPr>
          <w:rFonts w:ascii="宋体" w:hAnsi="宋体"/>
          <w:b/>
          <w:color w:val="auto"/>
          <w:sz w:val="24"/>
        </w:rPr>
      </w:pPr>
      <w:r>
        <w:rPr>
          <w:rFonts w:hint="eastAsia" w:ascii="宋体" w:hAnsi="宋体"/>
          <w:b/>
          <w:color w:val="auto"/>
          <w:sz w:val="24"/>
        </w:rPr>
        <w:t>11.响应的报价</w:t>
      </w:r>
    </w:p>
    <w:p>
      <w:pPr>
        <w:spacing w:line="360" w:lineRule="auto"/>
        <w:ind w:firstLine="480" w:firstLineChars="200"/>
        <w:rPr>
          <w:rFonts w:ascii="宋体" w:hAnsi="宋体"/>
          <w:color w:val="auto"/>
          <w:sz w:val="24"/>
        </w:rPr>
      </w:pPr>
      <w:r>
        <w:rPr>
          <w:rFonts w:hint="eastAsia" w:ascii="宋体" w:hAnsi="宋体"/>
          <w:color w:val="auto"/>
          <w:sz w:val="24"/>
        </w:rPr>
        <w:t>11.1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ind w:firstLine="480" w:firstLineChars="200"/>
        <w:rPr>
          <w:rFonts w:ascii="宋体" w:hAnsi="宋体"/>
          <w:color w:val="auto"/>
          <w:sz w:val="24"/>
        </w:rPr>
      </w:pPr>
      <w:r>
        <w:rPr>
          <w:rFonts w:hint="eastAsia" w:ascii="宋体" w:hAnsi="宋体"/>
          <w:color w:val="auto"/>
          <w:sz w:val="24"/>
        </w:rPr>
        <w:t>11.2供应商应按照《响应文件格式》中《首次报价一览表》中的相关要求填写需要响应的内容，首次报价超过采购预算或磋商文件规定的最高限价的，按无效响应处理。</w:t>
      </w:r>
    </w:p>
    <w:p>
      <w:pPr>
        <w:spacing w:line="360" w:lineRule="auto"/>
        <w:ind w:firstLine="480" w:firstLineChars="200"/>
        <w:rPr>
          <w:rFonts w:ascii="宋体" w:hAnsi="宋体"/>
          <w:color w:val="auto"/>
          <w:sz w:val="24"/>
        </w:rPr>
      </w:pPr>
      <w:r>
        <w:rPr>
          <w:rFonts w:hint="eastAsia" w:ascii="宋体" w:hAnsi="宋体"/>
          <w:color w:val="auto"/>
          <w:sz w:val="24"/>
        </w:rPr>
        <w:t>11.3磋商报价采取二轮报价的办法，最终报价作为计算价格分值的依据。供应商应在磋商当天，磋商小组规定的报价时间内，填写最终报价表，签名并递交采购代理机构。</w:t>
      </w:r>
    </w:p>
    <w:p>
      <w:pPr>
        <w:spacing w:line="360" w:lineRule="auto"/>
        <w:ind w:firstLine="480" w:firstLineChars="200"/>
        <w:rPr>
          <w:rFonts w:ascii="宋体" w:hAnsi="宋体"/>
          <w:color w:val="auto"/>
          <w:sz w:val="24"/>
        </w:rPr>
      </w:pPr>
      <w:r>
        <w:rPr>
          <w:rFonts w:hint="eastAsia" w:ascii="宋体" w:hAnsi="宋体"/>
          <w:color w:val="auto"/>
          <w:sz w:val="24"/>
        </w:rPr>
        <w:t>11.4如采购内容无实质性变更，各供应商的报价应逐次降低，本次报价超过采购预算或磋商文件规定的最高限价的，按无效响应处理；本次报价超过上次报价但未超过采购预算或磋商文件规定的最高限价的，或在规定时间内最终报价未提交、提交不成功的均为无效报价，按无效响应处理。</w:t>
      </w:r>
    </w:p>
    <w:p>
      <w:pPr>
        <w:spacing w:line="360" w:lineRule="auto"/>
        <w:ind w:firstLine="480" w:firstLineChars="200"/>
        <w:rPr>
          <w:rFonts w:ascii="宋体" w:hAnsi="宋体"/>
          <w:color w:val="auto"/>
          <w:sz w:val="24"/>
        </w:rPr>
      </w:pPr>
      <w:r>
        <w:rPr>
          <w:rFonts w:hint="eastAsia" w:ascii="宋体" w:hAnsi="宋体"/>
          <w:color w:val="auto"/>
          <w:sz w:val="24"/>
        </w:rPr>
        <w:t>“规定时间”由现场工作人员集体确定。供应商最终报价较首次报价降价的，成交后，签订合同时应按照成交价较首次报价的下浮比率修改分项报价表中的相应报价。</w:t>
      </w:r>
    </w:p>
    <w:p>
      <w:pPr>
        <w:spacing w:line="360" w:lineRule="auto"/>
        <w:ind w:firstLine="480" w:firstLineChars="200"/>
        <w:rPr>
          <w:rFonts w:ascii="宋体" w:hAnsi="宋体"/>
          <w:color w:val="auto"/>
          <w:sz w:val="24"/>
        </w:rPr>
      </w:pPr>
      <w:r>
        <w:rPr>
          <w:rFonts w:hint="eastAsia" w:ascii="宋体" w:hAnsi="宋体"/>
          <w:color w:val="auto"/>
          <w:sz w:val="24"/>
        </w:rPr>
        <w:t>11.6磋商报价货币：人民币；单位：元，保留到元。</w:t>
      </w:r>
    </w:p>
    <w:p>
      <w:pPr>
        <w:spacing w:line="360" w:lineRule="auto"/>
        <w:ind w:firstLine="480" w:firstLineChars="200"/>
        <w:rPr>
          <w:rFonts w:ascii="宋体" w:hAnsi="宋体"/>
          <w:color w:val="auto"/>
          <w:sz w:val="24"/>
        </w:rPr>
      </w:pPr>
      <w:r>
        <w:rPr>
          <w:rFonts w:hint="eastAsia" w:ascii="宋体" w:hAnsi="宋体"/>
          <w:color w:val="auto"/>
          <w:sz w:val="24"/>
        </w:rPr>
        <w:t>11.7磋商报价大小写不一致的以大写为准。</w:t>
      </w:r>
    </w:p>
    <w:p>
      <w:pPr>
        <w:spacing w:line="360" w:lineRule="auto"/>
        <w:ind w:firstLine="480" w:firstLineChars="200"/>
        <w:rPr>
          <w:rFonts w:ascii="宋体" w:hAnsi="宋体"/>
          <w:color w:val="auto"/>
          <w:sz w:val="24"/>
        </w:rPr>
      </w:pPr>
      <w:r>
        <w:rPr>
          <w:rFonts w:hint="eastAsia" w:ascii="宋体" w:hAnsi="宋体"/>
          <w:color w:val="auto"/>
          <w:sz w:val="24"/>
        </w:rPr>
        <w:t>11.8因供应商对磋商文件理解不透、误解、疏漏或对市场行情了解不清造成的后果和风险，均由供应商自己负责。</w:t>
      </w:r>
    </w:p>
    <w:p>
      <w:pPr>
        <w:spacing w:line="360" w:lineRule="auto"/>
        <w:ind w:firstLine="482" w:firstLineChars="200"/>
        <w:rPr>
          <w:rFonts w:ascii="宋体" w:hAnsi="宋体"/>
          <w:b/>
          <w:color w:val="auto"/>
          <w:sz w:val="24"/>
        </w:rPr>
      </w:pPr>
      <w:r>
        <w:rPr>
          <w:rFonts w:hint="eastAsia" w:ascii="宋体" w:hAnsi="宋体"/>
          <w:b/>
          <w:color w:val="auto"/>
          <w:sz w:val="24"/>
        </w:rPr>
        <w:t>12.响应文件的制作和签署</w:t>
      </w:r>
    </w:p>
    <w:p>
      <w:pPr>
        <w:spacing w:line="360" w:lineRule="auto"/>
        <w:ind w:firstLine="480" w:firstLineChars="200"/>
        <w:rPr>
          <w:rFonts w:ascii="宋体" w:hAnsi="宋体"/>
          <w:color w:val="auto"/>
          <w:sz w:val="24"/>
        </w:rPr>
      </w:pPr>
      <w:r>
        <w:rPr>
          <w:rFonts w:hint="eastAsia" w:ascii="宋体" w:hAnsi="宋体"/>
          <w:color w:val="auto"/>
          <w:sz w:val="24"/>
        </w:rPr>
        <w:t>12.1供应商编写响应文件时，请按照磋商文件提供的相应格式及顺序编排；并应编制目录，逐页标注连续页码，装订成册；不得缺少或留空任何磋商文件要求填写的表格或提交的资料。</w:t>
      </w:r>
    </w:p>
    <w:p>
      <w:pPr>
        <w:spacing w:line="360" w:lineRule="auto"/>
        <w:ind w:firstLine="480" w:firstLineChars="200"/>
        <w:rPr>
          <w:rFonts w:ascii="宋体" w:hAnsi="宋体"/>
          <w:color w:val="auto"/>
          <w:sz w:val="24"/>
        </w:rPr>
      </w:pPr>
      <w:r>
        <w:rPr>
          <w:rFonts w:hint="eastAsia" w:ascii="宋体" w:hAnsi="宋体"/>
          <w:color w:val="auto"/>
          <w:sz w:val="24"/>
        </w:rPr>
        <w:t>12.2响应文件的正本需打印，并由供应商的法定代表人或其授权代表签字，并加盖供应商公章。响应文件的副本可以采用正本的复印件。</w:t>
      </w:r>
    </w:p>
    <w:p>
      <w:pPr>
        <w:spacing w:line="360" w:lineRule="auto"/>
        <w:ind w:firstLine="480" w:firstLineChars="200"/>
        <w:rPr>
          <w:rFonts w:ascii="宋体" w:hAnsi="宋体"/>
          <w:color w:val="auto"/>
          <w:sz w:val="24"/>
        </w:rPr>
      </w:pPr>
      <w:r>
        <w:rPr>
          <w:rFonts w:hint="eastAsia" w:ascii="宋体" w:hAnsi="宋体"/>
          <w:color w:val="auto"/>
          <w:sz w:val="24"/>
        </w:rPr>
        <w:t>12.3除供应商对响应文件错处作必要修改外，响应文件不得行间插字、涂改和增删，如有修改，必须由供应商的法定代表人或其授权代表在修改处签字并加盖供应商公章后才有效。</w:t>
      </w:r>
    </w:p>
    <w:p>
      <w:pPr>
        <w:spacing w:line="360" w:lineRule="auto"/>
        <w:ind w:firstLine="480" w:firstLineChars="200"/>
        <w:rPr>
          <w:rFonts w:ascii="宋体" w:hAnsi="宋体"/>
          <w:color w:val="auto"/>
          <w:sz w:val="24"/>
        </w:rPr>
      </w:pPr>
      <w:r>
        <w:rPr>
          <w:rFonts w:hint="eastAsia" w:ascii="宋体" w:hAnsi="宋体"/>
          <w:color w:val="auto"/>
          <w:sz w:val="24"/>
        </w:rPr>
        <w:t>12.4响应文件因表述不清所引起的后果由供应商负责。</w:t>
      </w:r>
    </w:p>
    <w:p>
      <w:pPr>
        <w:spacing w:line="360" w:lineRule="auto"/>
        <w:ind w:firstLine="482" w:firstLineChars="200"/>
        <w:rPr>
          <w:rFonts w:ascii="宋体" w:hAnsi="宋体"/>
          <w:b/>
          <w:bCs/>
          <w:color w:val="auto"/>
          <w:sz w:val="24"/>
        </w:rPr>
      </w:pPr>
      <w:r>
        <w:rPr>
          <w:rFonts w:hint="eastAsia" w:ascii="宋体" w:hAnsi="宋体"/>
          <w:b/>
          <w:bCs/>
          <w:color w:val="auto"/>
          <w:sz w:val="24"/>
        </w:rPr>
        <w:t>13.</w:t>
      </w:r>
      <w:bookmarkEnd w:id="43"/>
      <w:r>
        <w:rPr>
          <w:rFonts w:hint="eastAsia" w:ascii="宋体" w:hAnsi="宋体"/>
          <w:b/>
          <w:bCs/>
          <w:color w:val="auto"/>
          <w:sz w:val="24"/>
        </w:rPr>
        <w:t>磋商保证金</w:t>
      </w:r>
    </w:p>
    <w:p>
      <w:pPr>
        <w:spacing w:line="360" w:lineRule="auto"/>
        <w:ind w:firstLine="480" w:firstLineChars="200"/>
        <w:rPr>
          <w:rFonts w:ascii="宋体" w:hAnsi="宋体"/>
          <w:color w:val="auto"/>
          <w:sz w:val="24"/>
        </w:rPr>
      </w:pPr>
      <w:r>
        <w:rPr>
          <w:rFonts w:hint="eastAsia" w:ascii="宋体" w:hAnsi="宋体"/>
          <w:color w:val="auto"/>
          <w:sz w:val="24"/>
        </w:rPr>
        <w:t>13.1本次磋商活动需交纳保证金为：</w:t>
      </w:r>
      <w:r>
        <w:rPr>
          <w:rFonts w:hint="eastAsia" w:ascii="宋体" w:hAnsi="宋体"/>
          <w:b/>
          <w:bCs/>
          <w:color w:val="auto"/>
          <w:sz w:val="24"/>
          <w:u w:val="single"/>
        </w:rPr>
        <w:t>贰万元整（20,000.00元）</w:t>
      </w:r>
    </w:p>
    <w:p>
      <w:pPr>
        <w:spacing w:line="360" w:lineRule="auto"/>
        <w:ind w:firstLine="480" w:firstLineChars="200"/>
        <w:rPr>
          <w:rFonts w:ascii="宋体" w:hAnsi="宋体"/>
          <w:color w:val="auto"/>
          <w:sz w:val="24"/>
        </w:rPr>
      </w:pPr>
      <w:r>
        <w:rPr>
          <w:rFonts w:hint="eastAsia" w:ascii="宋体" w:hAnsi="宋体"/>
          <w:color w:val="auto"/>
          <w:sz w:val="24"/>
        </w:rPr>
        <w:t>13.2保证金应为人民币，可采用下列形式支付：</w:t>
      </w:r>
      <w:r>
        <w:rPr>
          <w:rFonts w:hint="eastAsia" w:ascii="宋体" w:hAnsi="宋体"/>
          <w:color w:val="auto"/>
          <w:sz w:val="24"/>
          <w:u w:val="single"/>
        </w:rPr>
        <w:t>银行转账</w:t>
      </w:r>
    </w:p>
    <w:p>
      <w:pPr>
        <w:spacing w:line="360" w:lineRule="auto"/>
        <w:ind w:firstLine="480" w:firstLineChars="200"/>
        <w:rPr>
          <w:rFonts w:ascii="宋体" w:hAnsi="宋体"/>
          <w:color w:val="auto"/>
          <w:sz w:val="24"/>
        </w:rPr>
      </w:pPr>
      <w:r>
        <w:rPr>
          <w:rFonts w:hint="eastAsia" w:ascii="宋体" w:hAnsi="宋体"/>
          <w:color w:val="auto"/>
          <w:sz w:val="24"/>
        </w:rPr>
        <w:t>13.3磋商保证金必须在磋商会议前到达采购代理机构指定的账户。</w:t>
      </w:r>
    </w:p>
    <w:p>
      <w:pPr>
        <w:spacing w:line="360" w:lineRule="auto"/>
        <w:ind w:firstLine="480" w:firstLineChars="200"/>
        <w:rPr>
          <w:rFonts w:ascii="宋体" w:hAnsi="宋体"/>
          <w:color w:val="auto"/>
          <w:sz w:val="24"/>
        </w:rPr>
      </w:pPr>
      <w:r>
        <w:rPr>
          <w:rFonts w:hint="eastAsia" w:ascii="宋体" w:hAnsi="宋体"/>
          <w:color w:val="auto"/>
          <w:sz w:val="24"/>
        </w:rPr>
        <w:t>采购代理机构联系方式：13309277096</w:t>
      </w:r>
    </w:p>
    <w:p>
      <w:pPr>
        <w:spacing w:line="360" w:lineRule="auto"/>
        <w:ind w:firstLine="480" w:firstLineChars="200"/>
        <w:rPr>
          <w:rFonts w:ascii="宋体" w:hAnsi="宋体"/>
          <w:color w:val="auto"/>
          <w:sz w:val="24"/>
        </w:rPr>
      </w:pPr>
      <w:r>
        <w:rPr>
          <w:rFonts w:hint="eastAsia" w:ascii="宋体" w:hAnsi="宋体"/>
          <w:color w:val="auto"/>
          <w:sz w:val="24"/>
        </w:rPr>
        <w:t>开户名称：陕西中采招项目管理有限公司</w:t>
      </w:r>
    </w:p>
    <w:p>
      <w:pPr>
        <w:spacing w:line="360" w:lineRule="auto"/>
        <w:ind w:firstLine="480" w:firstLineChars="200"/>
        <w:rPr>
          <w:rFonts w:ascii="宋体" w:hAnsi="宋体"/>
          <w:color w:val="auto"/>
          <w:sz w:val="24"/>
        </w:rPr>
      </w:pPr>
      <w:r>
        <w:rPr>
          <w:rFonts w:hint="eastAsia" w:ascii="宋体" w:hAnsi="宋体"/>
          <w:color w:val="auto"/>
          <w:sz w:val="24"/>
        </w:rPr>
        <w:t>开户银行：</w:t>
      </w:r>
      <w:r>
        <w:rPr>
          <w:rFonts w:hint="eastAsia" w:ascii="宋体" w:hAnsi="宋体"/>
          <w:color w:val="auto"/>
          <w:kern w:val="0"/>
          <w:sz w:val="24"/>
          <w:szCs w:val="22"/>
        </w:rPr>
        <w:t>中信银行股份有限公司陕西自贸试验区西安科技路</w:t>
      </w:r>
    </w:p>
    <w:p>
      <w:pPr>
        <w:spacing w:line="360" w:lineRule="auto"/>
        <w:ind w:firstLine="480" w:firstLineChars="200"/>
        <w:rPr>
          <w:rFonts w:ascii="宋体" w:hAnsi="宋体"/>
          <w:color w:val="auto"/>
          <w:sz w:val="24"/>
        </w:rPr>
      </w:pPr>
      <w:r>
        <w:rPr>
          <w:rFonts w:hint="eastAsia" w:ascii="宋体" w:hAnsi="宋体"/>
          <w:color w:val="auto"/>
          <w:sz w:val="24"/>
        </w:rPr>
        <w:t>账 号：</w:t>
      </w:r>
      <w:r>
        <w:rPr>
          <w:rFonts w:ascii="宋体" w:hAnsi="宋体"/>
          <w:color w:val="auto"/>
          <w:kern w:val="0"/>
          <w:sz w:val="24"/>
          <w:szCs w:val="22"/>
        </w:rPr>
        <w:t>8111701012400643572</w:t>
      </w:r>
    </w:p>
    <w:p>
      <w:pPr>
        <w:spacing w:line="360" w:lineRule="auto"/>
        <w:rPr>
          <w:rFonts w:ascii="宋体" w:hAnsi="宋体"/>
          <w:b/>
          <w:color w:val="auto"/>
          <w:sz w:val="24"/>
          <w:u w:val="single"/>
        </w:rPr>
      </w:pPr>
      <w:r>
        <w:rPr>
          <w:rFonts w:hint="eastAsia" w:ascii="宋体" w:hAnsi="宋体"/>
          <w:b/>
          <w:color w:val="auto"/>
          <w:sz w:val="24"/>
        </w:rPr>
        <w:t xml:space="preserve">      </w:t>
      </w:r>
      <w:r>
        <w:rPr>
          <w:rFonts w:hint="eastAsia" w:ascii="宋体" w:hAnsi="宋体"/>
          <w:b/>
          <w:color w:val="auto"/>
          <w:sz w:val="24"/>
          <w:u w:val="single"/>
        </w:rPr>
        <w:t>转账事由：</w:t>
      </w:r>
      <w:r>
        <w:rPr>
          <w:rFonts w:hint="eastAsia" w:ascii="宋体" w:hAnsi="宋体"/>
          <w:b/>
          <w:bCs/>
          <w:color w:val="auto"/>
          <w:kern w:val="0"/>
          <w:sz w:val="24"/>
          <w:u w:val="single"/>
        </w:rPr>
        <w:t>SXZCZ-2022-58</w:t>
      </w:r>
      <w:r>
        <w:rPr>
          <w:rFonts w:hint="eastAsia" w:ascii="宋体" w:hAnsi="宋体"/>
          <w:b/>
          <w:color w:val="auto"/>
          <w:sz w:val="24"/>
          <w:u w:val="single"/>
        </w:rPr>
        <w:t>项目磋商保证金</w:t>
      </w:r>
    </w:p>
    <w:p>
      <w:pPr>
        <w:spacing w:line="360" w:lineRule="auto"/>
        <w:ind w:firstLine="482" w:firstLineChars="200"/>
        <w:rPr>
          <w:rFonts w:ascii="宋体" w:hAnsi="宋体"/>
          <w:b/>
          <w:color w:val="auto"/>
          <w:sz w:val="24"/>
        </w:rPr>
      </w:pPr>
      <w:r>
        <w:rPr>
          <w:rFonts w:hint="eastAsia" w:ascii="宋体" w:hAnsi="宋体"/>
          <w:b/>
          <w:color w:val="auto"/>
          <w:sz w:val="24"/>
        </w:rPr>
        <w:t>备注：磋商保证金以供应商名称汇款,汇款凭证标明项目编号，如以个人汇款，视为无效。</w:t>
      </w:r>
    </w:p>
    <w:p>
      <w:pPr>
        <w:spacing w:line="360" w:lineRule="auto"/>
        <w:ind w:firstLine="480" w:firstLineChars="200"/>
        <w:rPr>
          <w:rFonts w:ascii="宋体" w:hAnsi="宋体"/>
          <w:color w:val="auto"/>
          <w:sz w:val="24"/>
        </w:rPr>
      </w:pPr>
      <w:r>
        <w:rPr>
          <w:rFonts w:hint="eastAsia" w:ascii="宋体" w:hAnsi="宋体"/>
          <w:color w:val="auto"/>
          <w:sz w:val="24"/>
        </w:rPr>
        <w:t>13.4供应商未交纳、未足额交纳或未按规定时间交纳磋商保证金的，将被视为自动放弃磋商权利。</w:t>
      </w:r>
    </w:p>
    <w:p>
      <w:pPr>
        <w:spacing w:line="360" w:lineRule="auto"/>
        <w:ind w:firstLine="480" w:firstLineChars="200"/>
        <w:rPr>
          <w:rFonts w:ascii="宋体" w:hAnsi="宋体"/>
          <w:color w:val="auto"/>
          <w:sz w:val="24"/>
        </w:rPr>
      </w:pPr>
      <w:r>
        <w:rPr>
          <w:rFonts w:hint="eastAsia" w:ascii="宋体" w:hAnsi="宋体"/>
          <w:color w:val="auto"/>
          <w:sz w:val="24"/>
        </w:rPr>
        <w:t>13.5磋商保证金的交付单位和供应商的名称必须一致，否则将视为响应无效。</w:t>
      </w:r>
    </w:p>
    <w:p>
      <w:pPr>
        <w:spacing w:line="360" w:lineRule="auto"/>
        <w:ind w:firstLine="480" w:firstLineChars="200"/>
        <w:rPr>
          <w:rFonts w:ascii="宋体" w:hAnsi="宋体"/>
          <w:color w:val="auto"/>
          <w:sz w:val="24"/>
        </w:rPr>
      </w:pPr>
      <w:r>
        <w:rPr>
          <w:rFonts w:hint="eastAsia" w:ascii="宋体" w:hAnsi="宋体"/>
          <w:color w:val="auto"/>
          <w:sz w:val="24"/>
        </w:rPr>
        <w:t>13.6项目废标后重新组织磋商的，保证金会退回原项目响应供应商账户，供应商需按照新的磋商文件要求</w:t>
      </w:r>
      <w:r>
        <w:rPr>
          <w:rFonts w:hint="eastAsia" w:ascii="宋体" w:hAnsi="宋体"/>
          <w:b/>
          <w:bCs/>
          <w:color w:val="auto"/>
          <w:sz w:val="24"/>
        </w:rPr>
        <w:t>重新交纳保证金</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13.7磋商保证金退还</w:t>
      </w:r>
    </w:p>
    <w:p>
      <w:pPr>
        <w:spacing w:line="360" w:lineRule="auto"/>
        <w:ind w:firstLine="480" w:firstLineChars="200"/>
        <w:rPr>
          <w:rFonts w:ascii="宋体" w:hAnsi="宋体"/>
          <w:color w:val="auto"/>
          <w:sz w:val="24"/>
        </w:rPr>
      </w:pPr>
      <w:r>
        <w:rPr>
          <w:rFonts w:hint="eastAsia" w:ascii="宋体" w:hAnsi="宋体"/>
          <w:color w:val="auto"/>
          <w:sz w:val="24"/>
        </w:rPr>
        <w:t>13.7.1如无质疑或投诉，未成交供应商的磋商保证金，在成交通知书发出后5个工作日内原额、原账户无息退还；</w:t>
      </w:r>
    </w:p>
    <w:p>
      <w:pPr>
        <w:spacing w:line="360" w:lineRule="auto"/>
        <w:ind w:firstLine="480" w:firstLineChars="200"/>
        <w:rPr>
          <w:rFonts w:ascii="宋体" w:hAnsi="宋体"/>
          <w:color w:val="auto"/>
          <w:sz w:val="24"/>
        </w:rPr>
      </w:pPr>
      <w:r>
        <w:rPr>
          <w:rFonts w:hint="eastAsia" w:ascii="宋体" w:hAnsi="宋体"/>
          <w:color w:val="auto"/>
          <w:sz w:val="24"/>
        </w:rPr>
        <w:t>如有质疑或投诉，将在质疑和投诉处理完毕后5个工作日内原额、原账户无息退还。</w:t>
      </w:r>
    </w:p>
    <w:p>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13.7.2成交供应商的磋商保证金,在成交供应商与采购人签订采购合同并将采购合同（一份）送达采购代理机构后5个工作日内原额、原账户无息退还。</w:t>
      </w:r>
    </w:p>
    <w:p>
      <w:pPr>
        <w:spacing w:line="360" w:lineRule="auto"/>
        <w:ind w:firstLine="480" w:firstLineChars="200"/>
        <w:rPr>
          <w:rFonts w:ascii="宋体" w:hAnsi="宋体"/>
          <w:color w:val="auto"/>
          <w:sz w:val="24"/>
        </w:rPr>
      </w:pPr>
      <w:r>
        <w:rPr>
          <w:rFonts w:hint="eastAsia" w:ascii="宋体" w:hAnsi="宋体"/>
          <w:color w:val="auto"/>
          <w:sz w:val="24"/>
        </w:rPr>
        <w:t>13.8供应商有下列情形之一的，采购代理机构不予退还其交纳的保证金；情节严重的，由财政部门将其列入不良行为记录名单，在一至三年内禁止参加政府采购活动，并予以通报：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hAnsi="宋体"/>
          <w:color w:val="auto"/>
          <w:sz w:val="24"/>
        </w:rPr>
      </w:pPr>
      <w:r>
        <w:rPr>
          <w:rFonts w:hint="eastAsia" w:ascii="宋体" w:hAnsi="宋体"/>
          <w:color w:val="auto"/>
          <w:sz w:val="24"/>
        </w:rPr>
        <w:t>13.8.1开标后在磋商文件规定的响应有效期间，供应商撤回其所投响应文件；</w:t>
      </w:r>
    </w:p>
    <w:p>
      <w:pPr>
        <w:spacing w:line="360" w:lineRule="auto"/>
        <w:ind w:firstLine="480" w:firstLineChars="200"/>
        <w:rPr>
          <w:rFonts w:ascii="宋体" w:hAnsi="宋体"/>
          <w:color w:val="auto"/>
          <w:sz w:val="24"/>
        </w:rPr>
      </w:pPr>
      <w:r>
        <w:rPr>
          <w:rFonts w:hint="eastAsia" w:ascii="宋体" w:hAnsi="宋体"/>
          <w:color w:val="auto"/>
          <w:sz w:val="24"/>
        </w:rPr>
        <w:t>13.8.2成交供应商在收到成交通知书后，在磋商文件规定的时间内无正当理由不与采购人或者采购代理机构签订合同的；</w:t>
      </w:r>
    </w:p>
    <w:p>
      <w:pPr>
        <w:spacing w:line="360" w:lineRule="auto"/>
        <w:ind w:firstLine="480" w:firstLineChars="200"/>
        <w:rPr>
          <w:rFonts w:ascii="宋体" w:hAnsi="宋体"/>
          <w:color w:val="auto"/>
          <w:sz w:val="24"/>
        </w:rPr>
      </w:pPr>
      <w:r>
        <w:rPr>
          <w:rFonts w:hint="eastAsia" w:ascii="宋体" w:hAnsi="宋体"/>
          <w:color w:val="auto"/>
          <w:sz w:val="24"/>
        </w:rPr>
        <w:t>13.8.3成交供应商未按时缴付采购代理服务费；</w:t>
      </w:r>
    </w:p>
    <w:p>
      <w:pPr>
        <w:spacing w:line="360" w:lineRule="auto"/>
        <w:ind w:firstLine="480" w:firstLineChars="200"/>
        <w:rPr>
          <w:rFonts w:ascii="宋体" w:hAnsi="宋体"/>
          <w:color w:val="auto"/>
          <w:sz w:val="24"/>
        </w:rPr>
      </w:pPr>
      <w:r>
        <w:rPr>
          <w:rFonts w:hint="eastAsia" w:ascii="宋体" w:hAnsi="宋体"/>
          <w:color w:val="auto"/>
          <w:sz w:val="24"/>
        </w:rPr>
        <w:t>13.8.4成交供应商将成交项目转让给他人，或者在响应文件中未说明，且未经采购人同意，将成交项目分包给他人的；</w:t>
      </w:r>
    </w:p>
    <w:p>
      <w:pPr>
        <w:spacing w:line="360" w:lineRule="auto"/>
        <w:ind w:firstLine="480" w:firstLineChars="200"/>
        <w:rPr>
          <w:rFonts w:ascii="宋体" w:hAnsi="宋体"/>
          <w:color w:val="auto"/>
          <w:sz w:val="24"/>
        </w:rPr>
      </w:pPr>
      <w:r>
        <w:rPr>
          <w:rFonts w:hint="eastAsia" w:ascii="宋体" w:hAnsi="宋体"/>
          <w:color w:val="auto"/>
          <w:sz w:val="24"/>
        </w:rPr>
        <w:t>13.8.5成交供应商拒绝履行合同义务的；</w:t>
      </w:r>
    </w:p>
    <w:p>
      <w:pPr>
        <w:spacing w:line="360" w:lineRule="auto"/>
        <w:ind w:firstLine="480" w:firstLineChars="200"/>
        <w:rPr>
          <w:rFonts w:ascii="宋体" w:hAnsi="宋体"/>
          <w:color w:val="auto"/>
          <w:sz w:val="24"/>
        </w:rPr>
      </w:pPr>
      <w:r>
        <w:rPr>
          <w:rFonts w:hint="eastAsia" w:ascii="宋体" w:hAnsi="宋体"/>
          <w:color w:val="auto"/>
          <w:sz w:val="24"/>
        </w:rPr>
        <w:t>13.8.6其他违法、违规行为的。</w:t>
      </w:r>
    </w:p>
    <w:p>
      <w:pPr>
        <w:spacing w:line="360" w:lineRule="auto"/>
        <w:ind w:firstLine="482" w:firstLineChars="200"/>
        <w:rPr>
          <w:rFonts w:ascii="宋体" w:hAnsi="宋体"/>
          <w:b/>
          <w:bCs/>
          <w:color w:val="auto"/>
          <w:sz w:val="24"/>
        </w:rPr>
      </w:pPr>
      <w:r>
        <w:rPr>
          <w:rFonts w:hint="eastAsia" w:ascii="宋体" w:hAnsi="宋体"/>
          <w:b/>
          <w:bCs/>
          <w:color w:val="auto"/>
          <w:sz w:val="24"/>
        </w:rPr>
        <w:t>14.响应文件的有效期</w:t>
      </w:r>
    </w:p>
    <w:p>
      <w:pPr>
        <w:spacing w:line="360" w:lineRule="auto"/>
        <w:ind w:firstLine="480" w:firstLineChars="200"/>
        <w:rPr>
          <w:rFonts w:ascii="宋体" w:hAnsi="宋体"/>
          <w:color w:val="auto"/>
          <w:sz w:val="24"/>
        </w:rPr>
      </w:pPr>
      <w:r>
        <w:rPr>
          <w:rFonts w:hint="eastAsia" w:ascii="宋体" w:hAnsi="宋体"/>
          <w:color w:val="auto"/>
          <w:sz w:val="24"/>
        </w:rPr>
        <w:t>14.1响应文件有效期为自开标之日起算九十（90）个日历日；响应文件有效期短于磋商文件规定的响应有效期，按无效响应文件处理；成交供应商的响应文件有效期延长至合同执行完毕。</w:t>
      </w:r>
    </w:p>
    <w:p>
      <w:pPr>
        <w:spacing w:line="360" w:lineRule="auto"/>
        <w:ind w:firstLine="480" w:firstLineChars="200"/>
        <w:rPr>
          <w:rFonts w:ascii="宋体" w:hAnsi="宋体"/>
          <w:color w:val="auto"/>
          <w:sz w:val="24"/>
        </w:rPr>
      </w:pPr>
      <w:r>
        <w:rPr>
          <w:rFonts w:hint="eastAsia" w:ascii="宋体" w:hAnsi="宋体"/>
          <w:color w:val="auto"/>
          <w:sz w:val="24"/>
        </w:rPr>
        <w:t>14.2在特殊情况下，采购人可与供应商协商延长响应文件的有效期,这种要求和答复均应以书面形式进行。</w:t>
      </w:r>
    </w:p>
    <w:p>
      <w:pPr>
        <w:spacing w:line="360" w:lineRule="auto"/>
        <w:ind w:firstLine="480" w:firstLineChars="200"/>
        <w:rPr>
          <w:rFonts w:ascii="宋体" w:hAnsi="宋体"/>
          <w:color w:val="auto"/>
          <w:sz w:val="24"/>
        </w:rPr>
      </w:pPr>
      <w:r>
        <w:rPr>
          <w:rFonts w:hint="eastAsia" w:ascii="宋体" w:hAnsi="宋体"/>
          <w:color w:val="auto"/>
          <w:sz w:val="24"/>
        </w:rPr>
        <w:t>14.3供应商可拒绝接受延期要求而不会导致磋商保证金被没收，同意延长有效期的供应商不能修改响应文件。</w:t>
      </w:r>
      <w:bookmarkStart w:id="44" w:name="_Toc6401"/>
      <w:bookmarkStart w:id="45" w:name="_Toc18934"/>
    </w:p>
    <w:p>
      <w:pPr>
        <w:spacing w:line="360" w:lineRule="auto"/>
        <w:ind w:firstLine="481"/>
        <w:jc w:val="left"/>
        <w:outlineLvl w:val="1"/>
        <w:rPr>
          <w:rFonts w:ascii="黑体" w:hAnsi="黑体" w:eastAsia="黑体" w:cs="黑体"/>
          <w:b/>
          <w:color w:val="auto"/>
          <w:sz w:val="24"/>
        </w:rPr>
      </w:pPr>
      <w:bookmarkStart w:id="46" w:name="_Toc29987"/>
    </w:p>
    <w:p>
      <w:pPr>
        <w:spacing w:line="360" w:lineRule="auto"/>
        <w:ind w:firstLine="481"/>
        <w:jc w:val="left"/>
        <w:outlineLvl w:val="1"/>
        <w:rPr>
          <w:rFonts w:ascii="黑体" w:hAnsi="黑体" w:eastAsia="黑体" w:cs="黑体"/>
          <w:b/>
          <w:color w:val="auto"/>
          <w:sz w:val="24"/>
        </w:rPr>
      </w:pPr>
      <w:bookmarkStart w:id="47" w:name="_Toc9724"/>
      <w:r>
        <w:rPr>
          <w:rFonts w:hint="eastAsia" w:ascii="黑体" w:hAnsi="黑体" w:eastAsia="黑体" w:cs="黑体"/>
          <w:b/>
          <w:color w:val="auto"/>
          <w:sz w:val="24"/>
        </w:rPr>
        <w:t>四、响应文件密封、递交</w:t>
      </w:r>
      <w:bookmarkEnd w:id="44"/>
      <w:bookmarkEnd w:id="45"/>
      <w:bookmarkEnd w:id="46"/>
      <w:bookmarkEnd w:id="47"/>
    </w:p>
    <w:p>
      <w:pPr>
        <w:spacing w:line="360" w:lineRule="auto"/>
        <w:ind w:firstLine="482" w:firstLineChars="200"/>
        <w:rPr>
          <w:rFonts w:ascii="宋体" w:hAnsi="宋体"/>
          <w:b/>
          <w:bCs/>
          <w:color w:val="auto"/>
          <w:sz w:val="24"/>
        </w:rPr>
      </w:pPr>
      <w:r>
        <w:rPr>
          <w:rFonts w:hint="eastAsia" w:ascii="宋体" w:hAnsi="宋体"/>
          <w:b/>
          <w:bCs/>
          <w:color w:val="auto"/>
          <w:sz w:val="24"/>
        </w:rPr>
        <w:t>15.响应文件的密封及标记</w:t>
      </w:r>
    </w:p>
    <w:p>
      <w:pPr>
        <w:spacing w:line="360" w:lineRule="auto"/>
        <w:ind w:firstLine="480" w:firstLineChars="200"/>
        <w:rPr>
          <w:rFonts w:ascii="宋体" w:hAnsi="宋体"/>
          <w:color w:val="auto"/>
          <w:sz w:val="24"/>
        </w:rPr>
      </w:pPr>
      <w:r>
        <w:rPr>
          <w:rFonts w:hint="eastAsia" w:ascii="宋体" w:hAnsi="宋体"/>
          <w:color w:val="auto"/>
          <w:sz w:val="24"/>
        </w:rPr>
        <w:t>15.1响应文件正本</w:t>
      </w:r>
      <w:r>
        <w:rPr>
          <w:rFonts w:hint="eastAsia" w:ascii="宋体" w:hAnsi="宋体"/>
          <w:b/>
          <w:bCs/>
          <w:color w:val="auto"/>
          <w:sz w:val="24"/>
          <w:u w:val="single"/>
        </w:rPr>
        <w:t>壹</w:t>
      </w:r>
      <w:r>
        <w:rPr>
          <w:rFonts w:hint="eastAsia" w:ascii="宋体" w:hAnsi="宋体"/>
          <w:color w:val="auto"/>
          <w:sz w:val="24"/>
        </w:rPr>
        <w:t>份、副本</w:t>
      </w:r>
      <w:r>
        <w:rPr>
          <w:rFonts w:hint="eastAsia" w:ascii="宋体" w:hAnsi="宋体"/>
          <w:b/>
          <w:bCs/>
          <w:color w:val="auto"/>
          <w:sz w:val="24"/>
          <w:u w:val="single"/>
        </w:rPr>
        <w:t>叁</w:t>
      </w:r>
      <w:r>
        <w:rPr>
          <w:rFonts w:hint="eastAsia" w:ascii="宋体" w:hAnsi="宋体"/>
          <w:color w:val="auto"/>
          <w:sz w:val="24"/>
        </w:rPr>
        <w:t>份，电子版本</w:t>
      </w:r>
      <w:r>
        <w:rPr>
          <w:rFonts w:hint="eastAsia" w:ascii="宋体" w:hAnsi="宋体"/>
          <w:b/>
          <w:bCs/>
          <w:color w:val="auto"/>
          <w:sz w:val="24"/>
          <w:u w:val="single"/>
        </w:rPr>
        <w:t>壹</w:t>
      </w:r>
      <w:r>
        <w:rPr>
          <w:rFonts w:hint="eastAsia" w:ascii="宋体" w:hAnsi="宋体"/>
          <w:color w:val="auto"/>
          <w:sz w:val="24"/>
        </w:rPr>
        <w:t>份，共</w:t>
      </w:r>
      <w:r>
        <w:rPr>
          <w:rFonts w:hint="eastAsia" w:ascii="宋体" w:hAnsi="宋体"/>
          <w:b/>
          <w:bCs/>
          <w:color w:val="auto"/>
          <w:sz w:val="24"/>
          <w:u w:val="single"/>
        </w:rPr>
        <w:t>伍</w:t>
      </w:r>
      <w:r>
        <w:rPr>
          <w:rFonts w:hint="eastAsia" w:ascii="宋体" w:hAnsi="宋体"/>
          <w:color w:val="auto"/>
          <w:sz w:val="24"/>
        </w:rPr>
        <w:t>份。正、副本须分别胶装成册，正、副本和电子版本分开密封。不允许活页夹装订，由于装订原因造成响应文件得散落、丢失等，责任自负。</w:t>
      </w:r>
      <w:r>
        <w:rPr>
          <w:rFonts w:hint="eastAsia" w:ascii="宋体" w:hAnsi="宋体"/>
          <w:b/>
          <w:color w:val="auto"/>
          <w:sz w:val="24"/>
        </w:rPr>
        <w:t>在封口处需由法定代表人或授权人代表签字，并加盖供应商公章。</w:t>
      </w:r>
      <w:r>
        <w:rPr>
          <w:rFonts w:hint="eastAsia" w:ascii="宋体" w:hAnsi="宋体"/>
          <w:color w:val="auto"/>
          <w:sz w:val="24"/>
        </w:rPr>
        <w:t>封皮上写明采购项目名称、采购项目编号、供应商名称、标段（如果有）、包号（如果有），并注明</w:t>
      </w:r>
      <w:r>
        <w:rPr>
          <w:rFonts w:hint="eastAsia" w:ascii="宋体" w:hAnsi="宋体"/>
          <w:b/>
          <w:bCs/>
          <w:color w:val="auto"/>
          <w:sz w:val="24"/>
          <w:u w:val="single"/>
        </w:rPr>
        <w:t>“响应文件正（副）本（电子版）”、“非磋商会议不得启封”</w:t>
      </w:r>
      <w:r>
        <w:rPr>
          <w:rFonts w:hint="eastAsia" w:ascii="宋体" w:hAnsi="宋体"/>
          <w:color w:val="auto"/>
          <w:sz w:val="24"/>
        </w:rPr>
        <w:t>字样。</w:t>
      </w:r>
    </w:p>
    <w:p>
      <w:pPr>
        <w:spacing w:line="360" w:lineRule="auto"/>
        <w:ind w:firstLine="480"/>
        <w:rPr>
          <w:rFonts w:ascii="宋体" w:hAnsi="宋体"/>
          <w:b/>
          <w:color w:val="auto"/>
          <w:sz w:val="24"/>
        </w:rPr>
      </w:pPr>
      <w:r>
        <w:rPr>
          <w:rFonts w:hint="eastAsia" w:ascii="宋体" w:hAnsi="宋体"/>
          <w:color w:val="auto"/>
          <w:sz w:val="24"/>
        </w:rPr>
        <w:t>15.2首次</w:t>
      </w:r>
      <w:r>
        <w:rPr>
          <w:rFonts w:hint="eastAsia" w:ascii="宋体" w:hAnsi="宋体"/>
          <w:bCs/>
          <w:color w:val="auto"/>
          <w:sz w:val="24"/>
        </w:rPr>
        <w:t>报价一览表在响应文件内装订。封皮上写明</w:t>
      </w:r>
      <w:r>
        <w:rPr>
          <w:rFonts w:hint="eastAsia" w:ascii="宋体" w:hAnsi="宋体"/>
          <w:color w:val="auto"/>
          <w:sz w:val="24"/>
        </w:rPr>
        <w:t>采购项目名称、采购项目编号、供应商名称、标段（如果有）、包号（如果有）</w:t>
      </w:r>
      <w:r>
        <w:rPr>
          <w:rFonts w:hint="eastAsia" w:ascii="宋体" w:hAnsi="宋体"/>
          <w:b/>
          <w:color w:val="auto"/>
          <w:sz w:val="24"/>
        </w:rPr>
        <w:t>，</w:t>
      </w:r>
      <w:r>
        <w:rPr>
          <w:rFonts w:hint="eastAsia" w:ascii="宋体" w:hAnsi="宋体"/>
          <w:bCs/>
          <w:color w:val="auto"/>
          <w:sz w:val="24"/>
        </w:rPr>
        <w:t>并注明</w:t>
      </w:r>
      <w:r>
        <w:rPr>
          <w:rFonts w:hint="eastAsia" w:ascii="宋体" w:hAnsi="宋体"/>
          <w:b/>
          <w:bCs/>
          <w:color w:val="auto"/>
          <w:sz w:val="24"/>
          <w:u w:val="single"/>
        </w:rPr>
        <w:t>“非磋商会议不得启封”</w:t>
      </w:r>
      <w:r>
        <w:rPr>
          <w:rFonts w:hint="eastAsia" w:ascii="宋体" w:hAnsi="宋体"/>
          <w:bCs/>
          <w:color w:val="auto"/>
          <w:sz w:val="24"/>
        </w:rPr>
        <w:t>字样，响应时递交。</w:t>
      </w:r>
    </w:p>
    <w:p>
      <w:pPr>
        <w:spacing w:line="360" w:lineRule="auto"/>
        <w:ind w:firstLine="480"/>
        <w:rPr>
          <w:rFonts w:ascii="宋体" w:hAnsi="宋体"/>
          <w:b/>
          <w:bCs/>
          <w:color w:val="auto"/>
          <w:sz w:val="24"/>
          <w:u w:val="single"/>
        </w:rPr>
      </w:pPr>
      <w:r>
        <w:rPr>
          <w:rFonts w:hint="eastAsia" w:ascii="宋体" w:hAnsi="宋体"/>
          <w:color w:val="auto"/>
          <w:sz w:val="24"/>
        </w:rPr>
        <w:t>15.3</w:t>
      </w:r>
      <w:r>
        <w:rPr>
          <w:rFonts w:hint="eastAsia" w:ascii="宋体" w:hAnsi="宋体"/>
          <w:b/>
          <w:bCs/>
          <w:color w:val="auto"/>
          <w:sz w:val="24"/>
          <w:u w:val="single"/>
        </w:rPr>
        <w:t>“评审证明材料”（如果有）</w:t>
      </w:r>
      <w:r>
        <w:rPr>
          <w:rFonts w:hint="eastAsia" w:ascii="宋体" w:hAnsi="宋体"/>
          <w:color w:val="auto"/>
          <w:sz w:val="24"/>
        </w:rPr>
        <w:t>按照评审表要求内容组成，封口处应有供应商法定代表人或授权人代表签字及供应商公章。封皮上写明采购项目名称、采购项目编号、供应商名称、标段（如果有）、包号（如果有），并注明</w:t>
      </w:r>
      <w:r>
        <w:rPr>
          <w:rFonts w:hint="eastAsia" w:ascii="宋体" w:hAnsi="宋体"/>
          <w:b/>
          <w:bCs/>
          <w:color w:val="auto"/>
          <w:sz w:val="24"/>
          <w:u w:val="single"/>
        </w:rPr>
        <w:t>“评审证明材料”</w:t>
      </w:r>
      <w:r>
        <w:rPr>
          <w:rFonts w:hint="eastAsia" w:ascii="宋体" w:hAnsi="宋体"/>
          <w:color w:val="auto"/>
          <w:sz w:val="24"/>
        </w:rPr>
        <w:t>字样及</w:t>
      </w:r>
      <w:r>
        <w:rPr>
          <w:rFonts w:hint="eastAsia" w:ascii="宋体" w:hAnsi="宋体"/>
          <w:b/>
          <w:bCs/>
          <w:color w:val="auto"/>
          <w:sz w:val="24"/>
          <w:u w:val="single"/>
        </w:rPr>
        <w:t>“清单目录”</w:t>
      </w:r>
      <w:r>
        <w:rPr>
          <w:rFonts w:hint="eastAsia" w:ascii="宋体" w:hAnsi="宋体"/>
          <w:color w:val="auto"/>
          <w:sz w:val="24"/>
        </w:rPr>
        <w:t>，响应时递交，评审结束后退还。</w:t>
      </w:r>
    </w:p>
    <w:p>
      <w:pPr>
        <w:spacing w:line="360" w:lineRule="auto"/>
        <w:ind w:firstLine="480"/>
        <w:rPr>
          <w:rFonts w:ascii="宋体" w:hAnsi="宋体"/>
          <w:color w:val="auto"/>
          <w:sz w:val="24"/>
        </w:rPr>
      </w:pPr>
      <w:r>
        <w:rPr>
          <w:rFonts w:hint="eastAsia" w:ascii="宋体" w:hAnsi="宋体"/>
          <w:color w:val="auto"/>
          <w:sz w:val="24"/>
        </w:rPr>
        <w:t>15.5如果供应商未按上述要求密封及加写标记，将有可能导致响应无效。</w:t>
      </w:r>
    </w:p>
    <w:p>
      <w:pPr>
        <w:spacing w:line="360" w:lineRule="auto"/>
        <w:ind w:firstLine="482" w:firstLineChars="200"/>
        <w:rPr>
          <w:rFonts w:ascii="宋体" w:hAnsi="宋体"/>
          <w:b/>
          <w:bCs/>
          <w:color w:val="auto"/>
          <w:sz w:val="24"/>
        </w:rPr>
      </w:pPr>
      <w:r>
        <w:rPr>
          <w:rFonts w:hint="eastAsia" w:ascii="宋体" w:hAnsi="宋体"/>
          <w:b/>
          <w:bCs/>
          <w:color w:val="auto"/>
          <w:sz w:val="24"/>
        </w:rPr>
        <w:t>16.响应文件递交</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16.1供应商必须在磋商文件规定的时间和地点，将全部响应文件递交至磋商现场；</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16.2采购代理机构工作人员在磋商文件规定的响应文件递交截止时间前，只负责响应文件的接收、清点、造册登记工作，并请法定代表人或被授权人签字确认，对其有效性不负任何责任；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16.3采购代理机构在宣布递交响应文件截止时间之后，拒绝接收任何人送达、递交的响应文件；</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16.4无论供应商成交与否或者响应无效，其响应文件恕不退还。</w:t>
      </w:r>
    </w:p>
    <w:p>
      <w:pPr>
        <w:spacing w:line="360" w:lineRule="auto"/>
        <w:ind w:firstLine="482" w:firstLineChars="200"/>
        <w:rPr>
          <w:rFonts w:ascii="宋体" w:hAnsi="宋体"/>
          <w:b/>
          <w:bCs/>
          <w:color w:val="auto"/>
          <w:sz w:val="24"/>
        </w:rPr>
      </w:pPr>
      <w:r>
        <w:rPr>
          <w:rFonts w:hint="eastAsia" w:ascii="宋体" w:hAnsi="宋体"/>
          <w:b/>
          <w:bCs/>
          <w:color w:val="auto"/>
          <w:sz w:val="24"/>
        </w:rPr>
        <w:t>17.响应截止时间</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17.1供应商必须在磋商文件规定的递交截止时间之前递交响应文件，采购代理机构在截止时间后拒绝接收任何响应文件。</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17.2因采购单位推迟响应截止时间时，采购代理机构应以书面（或传真）的形式,通知所有供应商；在这种情况下，采购代理机构和供应商的权利和义务将受到新的截止期的约束。</w:t>
      </w:r>
    </w:p>
    <w:p>
      <w:pPr>
        <w:spacing w:line="360" w:lineRule="auto"/>
        <w:ind w:firstLine="482" w:firstLineChars="200"/>
        <w:rPr>
          <w:rFonts w:ascii="宋体" w:hAnsi="宋体"/>
          <w:b/>
          <w:bCs/>
          <w:color w:val="auto"/>
          <w:sz w:val="24"/>
        </w:rPr>
      </w:pPr>
      <w:r>
        <w:rPr>
          <w:rFonts w:hint="eastAsia" w:ascii="宋体" w:hAnsi="宋体"/>
          <w:b/>
          <w:bCs/>
          <w:color w:val="auto"/>
          <w:sz w:val="24"/>
        </w:rPr>
        <w:t>18.响应文件的修改和撤回</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18.1响应文件递交后，如果供应商提出书面修改、补充和撤回响应文件要求，在响应截止时间前以书面形式送达采购代理机构；</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18.2供应商修改响应文件的书面材料，须密封送达采购代理机构，修改或补充的内容应按磋商文件要求签署、盖章、密封、标记，并作为响应文件的组成部分；</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18.3撤回响应文件应以书面形式通知采购代理机构；</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18.4在响应截止时间后到磋商文件规定的响应有效期满之间的这段时间内，供应商不得撤回其响应文件；</w:t>
      </w:r>
    </w:p>
    <w:p>
      <w:pPr>
        <w:spacing w:line="360" w:lineRule="auto"/>
        <w:ind w:firstLine="480" w:firstLineChars="200"/>
        <w:rPr>
          <w:rFonts w:ascii="仿宋_GB2312" w:hAnsi="仿宋" w:eastAsia="仿宋_GB2312" w:cs="仿宋"/>
          <w:color w:val="auto"/>
          <w:sz w:val="24"/>
        </w:rPr>
      </w:pPr>
      <w:r>
        <w:rPr>
          <w:rFonts w:hint="eastAsia" w:ascii="宋体" w:hAnsi="宋体"/>
          <w:color w:val="auto"/>
          <w:sz w:val="24"/>
        </w:rPr>
        <w:t>18.5供应商在响应文件递交截止时间后，不得对其响应文件做任何修改。</w:t>
      </w:r>
      <w:bookmarkStart w:id="48" w:name="_Toc11068"/>
    </w:p>
    <w:p>
      <w:pPr>
        <w:spacing w:line="360" w:lineRule="auto"/>
        <w:ind w:firstLine="481"/>
        <w:jc w:val="left"/>
        <w:outlineLvl w:val="1"/>
        <w:rPr>
          <w:rFonts w:ascii="黑体" w:hAnsi="黑体" w:eastAsia="黑体" w:cs="黑体"/>
          <w:b/>
          <w:color w:val="auto"/>
          <w:sz w:val="24"/>
        </w:rPr>
      </w:pPr>
      <w:bookmarkStart w:id="49" w:name="_Toc20758"/>
      <w:bookmarkStart w:id="50" w:name="_Toc23398"/>
      <w:r>
        <w:rPr>
          <w:rFonts w:hint="eastAsia" w:ascii="黑体" w:hAnsi="黑体" w:eastAsia="黑体" w:cs="黑体"/>
          <w:b/>
          <w:color w:val="auto"/>
          <w:sz w:val="24"/>
        </w:rPr>
        <w:t>五、</w:t>
      </w:r>
      <w:bookmarkEnd w:id="48"/>
      <w:r>
        <w:rPr>
          <w:rFonts w:hint="eastAsia" w:ascii="黑体" w:hAnsi="黑体" w:eastAsia="黑体" w:cs="黑体"/>
          <w:b/>
          <w:color w:val="auto"/>
          <w:sz w:val="24"/>
        </w:rPr>
        <w:t>磋商、评审、成交</w:t>
      </w:r>
      <w:bookmarkEnd w:id="49"/>
      <w:bookmarkEnd w:id="50"/>
    </w:p>
    <w:p>
      <w:pPr>
        <w:spacing w:line="360" w:lineRule="auto"/>
        <w:ind w:firstLine="481"/>
        <w:jc w:val="left"/>
        <w:rPr>
          <w:rFonts w:ascii="宋体" w:hAnsi="宋体"/>
          <w:b/>
          <w:bCs/>
          <w:color w:val="auto"/>
          <w:sz w:val="24"/>
          <w:u w:val="single"/>
        </w:rPr>
      </w:pPr>
      <w:bookmarkStart w:id="51" w:name="_Toc10941"/>
      <w:bookmarkStart w:id="52" w:name="_Toc13499"/>
      <w:bookmarkStart w:id="53" w:name="_Toc14491"/>
      <w:r>
        <w:rPr>
          <w:rFonts w:hint="eastAsia" w:ascii="宋体" w:hAnsi="宋体"/>
          <w:b/>
          <w:bCs/>
          <w:color w:val="auto"/>
          <w:sz w:val="24"/>
          <w:u w:val="single"/>
        </w:rPr>
        <w:t>19.见磋商文件第四部分。</w:t>
      </w:r>
      <w:bookmarkEnd w:id="51"/>
      <w:bookmarkEnd w:id="52"/>
      <w:bookmarkEnd w:id="53"/>
    </w:p>
    <w:p>
      <w:pPr>
        <w:spacing w:line="360" w:lineRule="auto"/>
        <w:ind w:firstLine="481"/>
        <w:jc w:val="left"/>
        <w:rPr>
          <w:rFonts w:ascii="仿宋_GB2312" w:hAnsi="仿宋" w:eastAsia="仿宋_GB2312" w:cs="仿宋"/>
          <w:b/>
          <w:bCs/>
          <w:color w:val="auto"/>
          <w:sz w:val="24"/>
          <w:u w:val="single"/>
        </w:rPr>
      </w:pPr>
    </w:p>
    <w:p>
      <w:pPr>
        <w:spacing w:line="360" w:lineRule="auto"/>
        <w:ind w:firstLine="481"/>
        <w:jc w:val="left"/>
        <w:outlineLvl w:val="1"/>
        <w:rPr>
          <w:rFonts w:ascii="黑体" w:hAnsi="黑体" w:eastAsia="黑体" w:cs="黑体"/>
          <w:b/>
          <w:color w:val="auto"/>
          <w:sz w:val="24"/>
        </w:rPr>
      </w:pPr>
      <w:bookmarkStart w:id="54" w:name="_Toc11321"/>
      <w:bookmarkStart w:id="55" w:name="_Toc10860"/>
      <w:r>
        <w:rPr>
          <w:rFonts w:hint="eastAsia" w:ascii="黑体" w:hAnsi="黑体" w:eastAsia="黑体" w:cs="黑体"/>
          <w:b/>
          <w:color w:val="auto"/>
          <w:sz w:val="24"/>
        </w:rPr>
        <w:t>六、响应纪律要求</w:t>
      </w:r>
      <w:bookmarkEnd w:id="54"/>
      <w:bookmarkEnd w:id="55"/>
    </w:p>
    <w:p>
      <w:pPr>
        <w:spacing w:line="360" w:lineRule="auto"/>
        <w:ind w:firstLine="482" w:firstLineChars="200"/>
        <w:rPr>
          <w:rFonts w:ascii="宋体" w:hAnsi="宋体"/>
          <w:b/>
          <w:bCs/>
          <w:color w:val="auto"/>
          <w:sz w:val="24"/>
        </w:rPr>
      </w:pPr>
      <w:bookmarkStart w:id="56" w:name="_Toc308164816"/>
      <w:bookmarkStart w:id="57" w:name="_Toc217446075"/>
      <w:r>
        <w:rPr>
          <w:rFonts w:hint="eastAsia" w:ascii="宋体" w:hAnsi="宋体"/>
          <w:b/>
          <w:bCs/>
          <w:color w:val="auto"/>
          <w:sz w:val="24"/>
        </w:rPr>
        <w:t>20.供应商不得具有的情形</w:t>
      </w:r>
      <w:bookmarkEnd w:id="56"/>
      <w:bookmarkEnd w:id="57"/>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供应商参加本项目响应不得有下列情形：</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20.1提供虚假材料谋取成交；</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20.2采取不正当手段诋毁、排挤其他供应商；</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20.3与采购单位、其他供应商恶意串通；</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20.4成交或者成交后无正当理由拒不与采购人签订政府采购合同；</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20.5未按照磋商文件确定的事项签订政府采购合同；</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20.6将政府采购合同转包或者违规分包；</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20.7提供假冒伪劣产品；</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20.8擅自变更、中止或者终止政府采购合同；</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20.9拒绝有关部门的监督检查或者向监督检查部门提供虚假情况；</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20.10法律法规规定的其他情形。</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供应商有上述情形的，按照规定追究法律责任，具备20.1-20.10条情形之一的，同时将取消成交资格或者认定成交无效。</w:t>
      </w:r>
    </w:p>
    <w:p>
      <w:pPr>
        <w:tabs>
          <w:tab w:val="left" w:pos="525"/>
        </w:tabs>
        <w:spacing w:line="360" w:lineRule="auto"/>
        <w:ind w:firstLine="480" w:firstLineChars="200"/>
        <w:rPr>
          <w:rFonts w:ascii="宋体" w:hAnsi="宋体"/>
          <w:color w:val="auto"/>
          <w:sz w:val="24"/>
        </w:rPr>
      </w:pPr>
    </w:p>
    <w:p>
      <w:pPr>
        <w:spacing w:line="360" w:lineRule="auto"/>
        <w:ind w:firstLine="481"/>
        <w:jc w:val="left"/>
        <w:outlineLvl w:val="1"/>
        <w:rPr>
          <w:rFonts w:ascii="黑体" w:hAnsi="黑体" w:eastAsia="黑体" w:cs="黑体"/>
          <w:b/>
          <w:color w:val="auto"/>
          <w:sz w:val="24"/>
        </w:rPr>
      </w:pPr>
      <w:bookmarkStart w:id="58" w:name="_Toc19542"/>
      <w:bookmarkStart w:id="59" w:name="_Toc2414"/>
      <w:r>
        <w:rPr>
          <w:rFonts w:hint="eastAsia" w:ascii="黑体" w:hAnsi="黑体" w:eastAsia="黑体" w:cs="黑体"/>
          <w:b/>
          <w:color w:val="auto"/>
          <w:sz w:val="24"/>
        </w:rPr>
        <w:t>七、询问、质疑、投诉</w:t>
      </w:r>
      <w:bookmarkEnd w:id="58"/>
      <w:bookmarkEnd w:id="59"/>
    </w:p>
    <w:p>
      <w:pPr>
        <w:spacing w:line="360" w:lineRule="auto"/>
        <w:ind w:firstLine="481"/>
        <w:rPr>
          <w:rFonts w:ascii="宋体" w:hAnsi="宋体"/>
          <w:b/>
          <w:bCs/>
          <w:color w:val="auto"/>
          <w:sz w:val="24"/>
        </w:rPr>
      </w:pPr>
      <w:bookmarkStart w:id="60" w:name="_Toc7574"/>
      <w:bookmarkStart w:id="61" w:name="_Toc5895"/>
      <w:bookmarkStart w:id="62" w:name="_Toc1395"/>
      <w:bookmarkStart w:id="63" w:name="_Toc21371"/>
      <w:r>
        <w:rPr>
          <w:rFonts w:hint="eastAsia" w:ascii="宋体" w:hAnsi="宋体"/>
          <w:b/>
          <w:bCs/>
          <w:color w:val="auto"/>
          <w:sz w:val="24"/>
        </w:rPr>
        <w:t>21.询问</w:t>
      </w:r>
      <w:bookmarkEnd w:id="60"/>
      <w:bookmarkEnd w:id="61"/>
      <w:bookmarkEnd w:id="62"/>
      <w:bookmarkEnd w:id="63"/>
    </w:p>
    <w:p>
      <w:pPr>
        <w:spacing w:line="360" w:lineRule="auto"/>
        <w:ind w:firstLine="480" w:firstLineChars="200"/>
        <w:rPr>
          <w:rFonts w:ascii="宋体" w:hAnsi="宋体"/>
          <w:color w:val="auto"/>
          <w:sz w:val="24"/>
        </w:rPr>
      </w:pPr>
      <w:r>
        <w:rPr>
          <w:rFonts w:hint="eastAsia" w:ascii="宋体" w:hAnsi="宋体"/>
          <w:color w:val="auto"/>
          <w:sz w:val="24"/>
        </w:rPr>
        <w:t>21.1供应商对政府采购活动事项（磋商文件、采购过程和成交结果）有疑问的，可以向采购人或采购代理机构提出询问；</w:t>
      </w:r>
    </w:p>
    <w:p>
      <w:pPr>
        <w:spacing w:line="360" w:lineRule="auto"/>
        <w:ind w:firstLine="480" w:firstLineChars="200"/>
        <w:rPr>
          <w:rFonts w:ascii="宋体" w:hAnsi="宋体"/>
          <w:color w:val="auto"/>
          <w:sz w:val="24"/>
        </w:rPr>
      </w:pPr>
      <w:r>
        <w:rPr>
          <w:rFonts w:hint="eastAsia" w:ascii="宋体" w:hAnsi="宋体"/>
          <w:color w:val="auto"/>
          <w:sz w:val="24"/>
        </w:rPr>
        <w:t>如果供应商向采购代理机构提出的询问超出采购人对采购代理机构委托授权范围的，采购代理机构将告知供应商向采购人提出。</w:t>
      </w:r>
    </w:p>
    <w:p>
      <w:pPr>
        <w:spacing w:line="360" w:lineRule="auto"/>
        <w:ind w:firstLine="480" w:firstLineChars="200"/>
        <w:rPr>
          <w:rFonts w:ascii="宋体" w:hAnsi="宋体"/>
          <w:color w:val="auto"/>
          <w:sz w:val="24"/>
        </w:rPr>
      </w:pPr>
      <w:r>
        <w:rPr>
          <w:rFonts w:hint="eastAsia" w:ascii="宋体" w:hAnsi="宋体"/>
          <w:color w:val="auto"/>
          <w:sz w:val="24"/>
        </w:rPr>
        <w:t>21.2询问可以口头方式提出，也可以书面方式提出，书面方式包括但不限于传真、信函、电子邮件；</w:t>
      </w:r>
    </w:p>
    <w:p>
      <w:pPr>
        <w:spacing w:line="360" w:lineRule="auto"/>
        <w:ind w:firstLine="480" w:firstLineChars="200"/>
        <w:rPr>
          <w:rFonts w:ascii="宋体" w:hAnsi="宋体"/>
          <w:color w:val="auto"/>
          <w:sz w:val="24"/>
        </w:rPr>
      </w:pPr>
      <w:r>
        <w:rPr>
          <w:rFonts w:hint="eastAsia" w:ascii="宋体" w:hAnsi="宋体"/>
          <w:color w:val="auto"/>
          <w:sz w:val="24"/>
        </w:rPr>
        <w:t>联系方式见《磋商邀请函》中“采购人、采购代理机构的名称、地址和联系方式”。</w:t>
      </w:r>
    </w:p>
    <w:p>
      <w:pPr>
        <w:spacing w:line="360" w:lineRule="auto"/>
        <w:ind w:firstLine="480" w:firstLineChars="200"/>
        <w:rPr>
          <w:rFonts w:ascii="宋体" w:hAnsi="宋体"/>
          <w:color w:val="auto"/>
          <w:sz w:val="24"/>
        </w:rPr>
      </w:pPr>
      <w:r>
        <w:rPr>
          <w:rFonts w:hint="eastAsia" w:ascii="宋体" w:hAnsi="宋体"/>
          <w:color w:val="auto"/>
          <w:sz w:val="24"/>
        </w:rPr>
        <w:t>21.3采购代理机构或采购人将在三个工作日内对供应商依法提出的询问作出答复，但答复的内容不涉及商业秘密。</w:t>
      </w:r>
    </w:p>
    <w:p>
      <w:pPr>
        <w:spacing w:line="360" w:lineRule="auto"/>
        <w:ind w:firstLine="482" w:firstLineChars="200"/>
        <w:rPr>
          <w:rFonts w:ascii="宋体" w:hAnsi="宋体"/>
          <w:b/>
          <w:bCs/>
          <w:color w:val="auto"/>
          <w:sz w:val="24"/>
        </w:rPr>
      </w:pPr>
      <w:r>
        <w:rPr>
          <w:rFonts w:hint="eastAsia" w:ascii="宋体" w:hAnsi="宋体"/>
          <w:b/>
          <w:bCs/>
          <w:color w:val="auto"/>
          <w:sz w:val="24"/>
        </w:rPr>
        <w:t>22.质疑</w:t>
      </w:r>
    </w:p>
    <w:p>
      <w:pPr>
        <w:spacing w:line="360" w:lineRule="auto"/>
        <w:ind w:firstLine="480" w:firstLineChars="200"/>
        <w:rPr>
          <w:rFonts w:ascii="宋体" w:hAnsi="宋体"/>
          <w:color w:val="auto"/>
          <w:sz w:val="24"/>
        </w:rPr>
      </w:pPr>
      <w:r>
        <w:rPr>
          <w:rFonts w:hint="eastAsia" w:ascii="宋体" w:hAnsi="宋体"/>
          <w:color w:val="auto"/>
          <w:sz w:val="24"/>
        </w:rPr>
        <w:t>22.1供应商认为政府采购活动事项（磋商文件、采购过程和成交结果）使自身的合法权益受到损害，可以在法定期限内，以书面形式向采购代理机构或采购人提出质疑；</w:t>
      </w:r>
    </w:p>
    <w:p>
      <w:pPr>
        <w:spacing w:line="360" w:lineRule="auto"/>
        <w:ind w:firstLine="480" w:firstLineChars="200"/>
        <w:rPr>
          <w:rFonts w:ascii="宋体" w:hAnsi="宋体"/>
          <w:color w:val="auto"/>
          <w:sz w:val="24"/>
        </w:rPr>
      </w:pPr>
      <w:r>
        <w:rPr>
          <w:rFonts w:hint="eastAsia" w:ascii="宋体" w:hAnsi="宋体"/>
          <w:color w:val="auto"/>
          <w:sz w:val="24"/>
        </w:rPr>
        <w:t>如果供应商向采购代理机构提出的质疑超出采购人对采购代理机构委托授权范围的，采购代理机构将告知供应商向采购人提出。</w:t>
      </w:r>
    </w:p>
    <w:p>
      <w:pPr>
        <w:spacing w:line="360" w:lineRule="auto"/>
        <w:ind w:firstLine="480" w:firstLineChars="200"/>
        <w:rPr>
          <w:rFonts w:ascii="宋体" w:hAnsi="宋体"/>
          <w:color w:val="auto"/>
          <w:sz w:val="24"/>
        </w:rPr>
      </w:pPr>
      <w:r>
        <w:rPr>
          <w:rFonts w:hint="eastAsia" w:ascii="宋体" w:hAnsi="宋体"/>
          <w:color w:val="auto"/>
          <w:sz w:val="24"/>
        </w:rPr>
        <w:t xml:space="preserve">22.2质疑书应当有明确的请求和必要的证明材料，捏造事实、提供虚假材料或者以非法手段取得证明材料不能作为质疑、投诉的证明材料(依据《中华人民共和国政府采购法实施条例》第五十七条）； </w:t>
      </w:r>
    </w:p>
    <w:p>
      <w:pPr>
        <w:spacing w:line="360" w:lineRule="auto"/>
        <w:ind w:firstLine="480" w:firstLineChars="200"/>
        <w:rPr>
          <w:rFonts w:ascii="宋体" w:hAnsi="宋体"/>
          <w:color w:val="auto"/>
          <w:sz w:val="24"/>
        </w:rPr>
      </w:pPr>
      <w:r>
        <w:rPr>
          <w:rFonts w:hint="eastAsia" w:ascii="宋体" w:hAnsi="宋体"/>
          <w:color w:val="auto"/>
          <w:sz w:val="24"/>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hAnsi="宋体"/>
          <w:color w:val="auto"/>
          <w:sz w:val="24"/>
        </w:rPr>
      </w:pPr>
      <w:r>
        <w:rPr>
          <w:rFonts w:hint="eastAsia" w:ascii="宋体" w:hAnsi="宋体"/>
          <w:color w:val="auto"/>
          <w:sz w:val="24"/>
        </w:rPr>
        <w:t>22.3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360" w:lineRule="auto"/>
        <w:ind w:firstLine="480" w:firstLineChars="200"/>
        <w:rPr>
          <w:rFonts w:ascii="宋体" w:hAnsi="宋体"/>
          <w:color w:val="auto"/>
          <w:sz w:val="24"/>
        </w:rPr>
      </w:pPr>
      <w:r>
        <w:rPr>
          <w:rFonts w:hint="eastAsia" w:ascii="宋体" w:hAnsi="宋体"/>
          <w:color w:val="auto"/>
          <w:sz w:val="24"/>
        </w:rPr>
        <w:t>22.4有下列情形之一的，属于无效质疑，采购代理机构和采购人可不予受理：</w:t>
      </w:r>
    </w:p>
    <w:p>
      <w:pPr>
        <w:spacing w:line="360" w:lineRule="auto"/>
        <w:ind w:firstLine="480" w:firstLineChars="200"/>
        <w:rPr>
          <w:rFonts w:ascii="宋体" w:hAnsi="宋体"/>
          <w:color w:val="auto"/>
          <w:sz w:val="24"/>
        </w:rPr>
      </w:pPr>
      <w:r>
        <w:rPr>
          <w:rFonts w:hint="eastAsia" w:ascii="宋体" w:hAnsi="宋体"/>
          <w:color w:val="auto"/>
          <w:sz w:val="24"/>
        </w:rPr>
        <w:t>22.4.1质疑供应商不是参与本次政府采购项目的供应商或潜在供应商；</w:t>
      </w:r>
    </w:p>
    <w:p>
      <w:pPr>
        <w:spacing w:line="360" w:lineRule="auto"/>
        <w:ind w:firstLine="480" w:firstLineChars="200"/>
        <w:rPr>
          <w:rFonts w:ascii="宋体" w:hAnsi="宋体"/>
          <w:color w:val="auto"/>
          <w:sz w:val="24"/>
        </w:rPr>
      </w:pPr>
      <w:r>
        <w:rPr>
          <w:rFonts w:hint="eastAsia" w:ascii="宋体" w:hAnsi="宋体"/>
          <w:color w:val="auto"/>
          <w:sz w:val="24"/>
        </w:rPr>
        <w:t>22.4.2质疑供应商与质疑事项不存在利害关系的；</w:t>
      </w:r>
    </w:p>
    <w:p>
      <w:pPr>
        <w:spacing w:line="360" w:lineRule="auto"/>
        <w:ind w:firstLine="480" w:firstLineChars="200"/>
        <w:rPr>
          <w:rFonts w:ascii="宋体" w:hAnsi="宋体"/>
          <w:color w:val="auto"/>
          <w:sz w:val="24"/>
        </w:rPr>
      </w:pPr>
      <w:r>
        <w:rPr>
          <w:rFonts w:hint="eastAsia" w:ascii="宋体" w:hAnsi="宋体"/>
          <w:color w:val="auto"/>
          <w:sz w:val="24"/>
        </w:rPr>
        <w:t>22.4.3未在法定期限内提出质疑的；</w:t>
      </w:r>
    </w:p>
    <w:p>
      <w:pPr>
        <w:spacing w:line="360" w:lineRule="auto"/>
        <w:ind w:firstLine="480" w:firstLineChars="200"/>
        <w:rPr>
          <w:rFonts w:ascii="宋体" w:hAnsi="宋体"/>
          <w:color w:val="auto"/>
          <w:sz w:val="24"/>
        </w:rPr>
      </w:pPr>
      <w:r>
        <w:rPr>
          <w:rFonts w:hint="eastAsia" w:ascii="宋体" w:hAnsi="宋体"/>
          <w:color w:val="auto"/>
          <w:sz w:val="24"/>
        </w:rPr>
        <w:t>22.4.4质疑未以书面形式提出，或质疑书主要内容构成不完整的；</w:t>
      </w:r>
    </w:p>
    <w:p>
      <w:pPr>
        <w:spacing w:line="360" w:lineRule="auto"/>
        <w:ind w:firstLine="480" w:firstLineChars="200"/>
        <w:rPr>
          <w:rFonts w:ascii="宋体" w:hAnsi="宋体"/>
          <w:color w:val="auto"/>
          <w:sz w:val="24"/>
        </w:rPr>
      </w:pPr>
      <w:r>
        <w:rPr>
          <w:rFonts w:hint="eastAsia" w:ascii="宋体" w:hAnsi="宋体"/>
          <w:color w:val="auto"/>
          <w:sz w:val="24"/>
        </w:rPr>
        <w:t>22.4.5质疑书没有合法有效的签字、盖章或授权的；</w:t>
      </w:r>
    </w:p>
    <w:p>
      <w:pPr>
        <w:spacing w:line="360" w:lineRule="auto"/>
        <w:ind w:firstLine="480" w:firstLineChars="200"/>
        <w:rPr>
          <w:rFonts w:ascii="宋体" w:hAnsi="宋体"/>
          <w:color w:val="auto"/>
          <w:sz w:val="24"/>
        </w:rPr>
      </w:pPr>
      <w:r>
        <w:rPr>
          <w:rFonts w:hint="eastAsia" w:ascii="宋体" w:hAnsi="宋体"/>
          <w:color w:val="auto"/>
          <w:sz w:val="24"/>
        </w:rPr>
        <w:t>22.4.6以非法手段取得证据、材料的；</w:t>
      </w:r>
    </w:p>
    <w:p>
      <w:pPr>
        <w:spacing w:line="360" w:lineRule="auto"/>
        <w:ind w:firstLine="480" w:firstLineChars="200"/>
        <w:rPr>
          <w:rFonts w:ascii="宋体" w:hAnsi="宋体"/>
          <w:color w:val="auto"/>
          <w:sz w:val="24"/>
        </w:rPr>
      </w:pPr>
      <w:r>
        <w:rPr>
          <w:rFonts w:hint="eastAsia" w:ascii="宋体" w:hAnsi="宋体"/>
          <w:color w:val="auto"/>
          <w:sz w:val="24"/>
        </w:rPr>
        <w:t>22.4.7质疑答复后，同一质疑供应商就同一事项再次提出质疑的；</w:t>
      </w:r>
    </w:p>
    <w:p>
      <w:pPr>
        <w:spacing w:line="360" w:lineRule="auto"/>
        <w:ind w:firstLine="480" w:firstLineChars="200"/>
        <w:rPr>
          <w:rFonts w:ascii="宋体" w:hAnsi="宋体"/>
          <w:color w:val="auto"/>
          <w:sz w:val="24"/>
        </w:rPr>
      </w:pPr>
      <w:r>
        <w:rPr>
          <w:rFonts w:hint="eastAsia" w:ascii="宋体" w:hAnsi="宋体"/>
          <w:color w:val="auto"/>
          <w:sz w:val="24"/>
        </w:rPr>
        <w:t>22.4.8不符合法律、法规、规章和政府采购监管机构规定的其他条件的。</w:t>
      </w:r>
    </w:p>
    <w:p>
      <w:pPr>
        <w:spacing w:line="360" w:lineRule="auto"/>
        <w:ind w:firstLine="480" w:firstLineChars="200"/>
        <w:rPr>
          <w:rFonts w:ascii="宋体" w:hAnsi="宋体"/>
          <w:color w:val="auto"/>
          <w:sz w:val="24"/>
        </w:rPr>
      </w:pPr>
      <w:r>
        <w:rPr>
          <w:rFonts w:hint="eastAsia" w:ascii="宋体" w:hAnsi="宋体"/>
          <w:color w:val="auto"/>
          <w:sz w:val="24"/>
        </w:rPr>
        <w:t>22.5采购人或采购代理机构将在收到质疑供应商提交的质疑书二个工作日内就质疑书是否有效做出答复。</w:t>
      </w:r>
    </w:p>
    <w:p>
      <w:pPr>
        <w:spacing w:line="360" w:lineRule="auto"/>
        <w:ind w:firstLine="480" w:firstLineChars="200"/>
        <w:rPr>
          <w:rFonts w:ascii="宋体" w:hAnsi="宋体"/>
          <w:color w:val="auto"/>
          <w:sz w:val="24"/>
        </w:rPr>
      </w:pPr>
      <w:r>
        <w:rPr>
          <w:rFonts w:hint="eastAsia" w:ascii="宋体" w:hAnsi="宋体"/>
          <w:color w:val="auto"/>
          <w:sz w:val="24"/>
        </w:rPr>
        <w:t>22.6在法定质疑期内，针对同一采购程序环节的质疑应当一次性提出。采购代理机构或采购人将在收到有效书面质疑后7个工作日内做出答复，并以书面形式通知质疑人和其他有关供应商。</w:t>
      </w:r>
    </w:p>
    <w:p>
      <w:pPr>
        <w:spacing w:line="360" w:lineRule="auto"/>
        <w:ind w:firstLine="480" w:firstLineChars="200"/>
        <w:rPr>
          <w:rFonts w:ascii="宋体" w:hAnsi="宋体"/>
          <w:color w:val="auto"/>
          <w:sz w:val="24"/>
        </w:rPr>
      </w:pPr>
      <w:r>
        <w:rPr>
          <w:rFonts w:ascii="宋体" w:hAnsi="宋体"/>
          <w:color w:val="auto"/>
          <w:sz w:val="24"/>
        </w:rPr>
        <w:t>22.7</w:t>
      </w:r>
      <w:r>
        <w:rPr>
          <w:rFonts w:hint="eastAsia" w:ascii="宋体" w:hAnsi="宋体"/>
          <w:color w:val="auto"/>
          <w:sz w:val="24"/>
        </w:rPr>
        <w:t>采购人、采购代理机构不接受信函、电报、电话、传真、电子邮件方式的质疑书，质疑书以送达采购人或采购代理机构处时间为准。</w:t>
      </w:r>
    </w:p>
    <w:p>
      <w:pPr>
        <w:spacing w:line="360" w:lineRule="auto"/>
        <w:ind w:firstLine="482" w:firstLineChars="200"/>
        <w:rPr>
          <w:rFonts w:ascii="宋体" w:hAnsi="宋体"/>
          <w:b/>
          <w:bCs/>
          <w:color w:val="auto"/>
          <w:sz w:val="24"/>
        </w:rPr>
      </w:pPr>
      <w:r>
        <w:rPr>
          <w:rFonts w:hint="eastAsia" w:ascii="宋体" w:hAnsi="宋体"/>
          <w:b/>
          <w:bCs/>
          <w:color w:val="auto"/>
          <w:sz w:val="24"/>
        </w:rPr>
        <w:t>23.投诉</w:t>
      </w:r>
    </w:p>
    <w:p>
      <w:pPr>
        <w:spacing w:line="360" w:lineRule="auto"/>
        <w:ind w:firstLine="480" w:firstLineChars="200"/>
        <w:rPr>
          <w:rFonts w:ascii="宋体" w:hAnsi="宋体"/>
          <w:color w:val="auto"/>
          <w:sz w:val="24"/>
        </w:rPr>
      </w:pPr>
      <w:r>
        <w:rPr>
          <w:rFonts w:hint="eastAsia" w:ascii="宋体" w:hAnsi="宋体"/>
          <w:color w:val="auto"/>
          <w:sz w:val="24"/>
        </w:rPr>
        <w:t>23.1质疑供应商对采购人、采购代理机构的答复不满意或者采购人、采购代理机构未在规定的时间内作出答复的，可以在答复期满后十五个工作日内向同级政府采购监督管理部门投诉。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color w:val="auto"/>
          <w:sz w:val="24"/>
        </w:rPr>
      </w:pPr>
      <w:r>
        <w:rPr>
          <w:rFonts w:hint="eastAsia" w:ascii="宋体" w:hAnsi="宋体"/>
          <w:color w:val="auto"/>
          <w:sz w:val="24"/>
        </w:rPr>
        <w:t>23.2供应商投诉的事项不得超出已质疑事项的范围，但基于质疑答复内容提出的投诉事项除外。</w:t>
      </w:r>
    </w:p>
    <w:p>
      <w:pPr>
        <w:spacing w:line="360" w:lineRule="auto"/>
        <w:ind w:firstLine="480" w:firstLineChars="200"/>
        <w:rPr>
          <w:rFonts w:ascii="宋体" w:hAnsi="宋体"/>
          <w:color w:val="auto"/>
          <w:sz w:val="24"/>
        </w:rPr>
      </w:pPr>
      <w:r>
        <w:rPr>
          <w:rFonts w:hint="eastAsia" w:ascii="宋体" w:hAnsi="宋体"/>
          <w:color w:val="auto"/>
          <w:sz w:val="24"/>
        </w:rPr>
        <w:t>23.3</w:t>
      </w:r>
      <w:r>
        <w:rPr>
          <w:rFonts w:hint="eastAsia" w:ascii="宋体" w:hAnsi="宋体"/>
          <w:b/>
          <w:bCs/>
          <w:color w:val="auto"/>
          <w:sz w:val="24"/>
        </w:rPr>
        <w:t>对捏造事实、提供虚假材料进行质疑、投诉的行为予以严肃处理：</w:t>
      </w:r>
      <w:r>
        <w:rPr>
          <w:rFonts w:hint="eastAsia" w:ascii="宋体" w:hAnsi="宋体"/>
          <w:color w:val="auto"/>
          <w:sz w:val="24"/>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color w:val="auto"/>
          <w:sz w:val="24"/>
        </w:rPr>
        <w:t>投诉人在全国范围内十二个月内三次以上投诉查无实据的，由财政部门列入不良行为记录名单。</w:t>
      </w:r>
      <w:r>
        <w:rPr>
          <w:rFonts w:hint="eastAsia" w:ascii="宋体" w:hAnsi="宋体"/>
          <w:color w:val="auto"/>
          <w:sz w:val="24"/>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color w:val="auto"/>
          <w:sz w:val="24"/>
        </w:rPr>
      </w:pPr>
      <w:r>
        <w:rPr>
          <w:rFonts w:hint="eastAsia" w:ascii="宋体" w:hAnsi="宋体"/>
          <w:color w:val="auto"/>
          <w:sz w:val="24"/>
        </w:rPr>
        <w:t>23.4</w:t>
      </w:r>
      <w:r>
        <w:rPr>
          <w:rFonts w:hint="eastAsia" w:ascii="宋体" w:hAnsi="宋体"/>
          <w:b/>
          <w:bCs/>
          <w:color w:val="auto"/>
          <w:sz w:val="24"/>
        </w:rPr>
        <w:t>对捏造事实诬告陷害他人、诽谤他人的法律适用：</w:t>
      </w:r>
      <w:r>
        <w:rPr>
          <w:rFonts w:hint="eastAsia" w:ascii="宋体" w:hAnsi="宋体"/>
          <w:color w:val="auto"/>
          <w:sz w:val="24"/>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left"/>
        <w:rPr>
          <w:rFonts w:ascii="宋体" w:hAnsi="宋体"/>
          <w:b/>
          <w:color w:val="auto"/>
          <w:sz w:val="24"/>
        </w:rPr>
      </w:pPr>
      <w:bookmarkStart w:id="64" w:name="_Toc3525"/>
    </w:p>
    <w:p>
      <w:pPr>
        <w:spacing w:line="360" w:lineRule="auto"/>
        <w:ind w:firstLine="481"/>
        <w:jc w:val="left"/>
        <w:outlineLvl w:val="1"/>
        <w:rPr>
          <w:rFonts w:ascii="黑体" w:hAnsi="黑体" w:eastAsia="黑体" w:cs="黑体"/>
          <w:b/>
          <w:color w:val="auto"/>
          <w:sz w:val="24"/>
        </w:rPr>
      </w:pPr>
      <w:bookmarkStart w:id="65" w:name="_Toc23075"/>
      <w:bookmarkStart w:id="66" w:name="_Toc11965"/>
      <w:r>
        <w:rPr>
          <w:rFonts w:hint="eastAsia" w:ascii="黑体" w:hAnsi="黑体" w:eastAsia="黑体" w:cs="黑体"/>
          <w:b/>
          <w:color w:val="auto"/>
          <w:sz w:val="24"/>
        </w:rPr>
        <w:t>八、合同</w:t>
      </w:r>
      <w:bookmarkEnd w:id="64"/>
      <w:r>
        <w:rPr>
          <w:rFonts w:hint="eastAsia" w:ascii="黑体" w:hAnsi="黑体" w:eastAsia="黑体" w:cs="黑体"/>
          <w:b/>
          <w:color w:val="auto"/>
          <w:sz w:val="24"/>
        </w:rPr>
        <w:t>的签订及履行</w:t>
      </w:r>
      <w:bookmarkEnd w:id="65"/>
      <w:bookmarkEnd w:id="66"/>
    </w:p>
    <w:p>
      <w:pPr>
        <w:spacing w:line="360" w:lineRule="auto"/>
        <w:ind w:firstLine="482" w:firstLineChars="200"/>
        <w:rPr>
          <w:rFonts w:ascii="宋体" w:hAnsi="宋体"/>
          <w:b/>
          <w:bCs/>
          <w:color w:val="auto"/>
          <w:sz w:val="24"/>
        </w:rPr>
      </w:pPr>
      <w:r>
        <w:rPr>
          <w:rFonts w:hint="eastAsia" w:ascii="宋体" w:hAnsi="宋体"/>
          <w:b/>
          <w:bCs/>
          <w:color w:val="auto"/>
          <w:sz w:val="24"/>
        </w:rPr>
        <w:t>24.签订合同</w:t>
      </w:r>
    </w:p>
    <w:p>
      <w:pPr>
        <w:spacing w:line="360" w:lineRule="auto"/>
        <w:ind w:firstLine="480" w:firstLineChars="200"/>
        <w:rPr>
          <w:rFonts w:ascii="宋体" w:hAnsi="宋体"/>
          <w:b/>
          <w:bCs/>
          <w:color w:val="auto"/>
          <w:sz w:val="24"/>
          <w:u w:val="single"/>
        </w:rPr>
      </w:pPr>
      <w:r>
        <w:rPr>
          <w:rFonts w:hint="eastAsia" w:ascii="宋体" w:hAnsi="宋体"/>
          <w:color w:val="auto"/>
          <w:sz w:val="24"/>
        </w:rPr>
        <w:t>24.1</w:t>
      </w:r>
      <w:r>
        <w:rPr>
          <w:rFonts w:hint="eastAsia" w:ascii="宋体" w:hAnsi="宋体"/>
          <w:b/>
          <w:bCs/>
          <w:color w:val="auto"/>
          <w:sz w:val="24"/>
          <w:u w:val="singl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p>
      <w:pPr>
        <w:spacing w:line="360" w:lineRule="auto"/>
        <w:ind w:firstLine="480" w:firstLineChars="200"/>
        <w:rPr>
          <w:rFonts w:ascii="宋体" w:hAnsi="宋体"/>
          <w:color w:val="auto"/>
          <w:sz w:val="24"/>
        </w:rPr>
      </w:pPr>
      <w:r>
        <w:rPr>
          <w:rFonts w:hint="eastAsia" w:ascii="宋体" w:hAnsi="宋体"/>
          <w:color w:val="auto"/>
          <w:sz w:val="24"/>
        </w:rPr>
        <w:t>24.2采购人与成交供应商自成交通知书发出之日起三十日内，按磋商文件要求和成交供应商响应文件承诺签订政府采购合同，政府采购合同不得超出磋商文件和成交供应商响应文件的范围，也不得再行订立背离合同实质性内容的其他协议。</w:t>
      </w:r>
    </w:p>
    <w:p>
      <w:pPr>
        <w:spacing w:line="360" w:lineRule="auto"/>
        <w:ind w:firstLine="482" w:firstLineChars="200"/>
        <w:rPr>
          <w:rFonts w:ascii="宋体" w:hAnsi="宋体"/>
          <w:b/>
          <w:bCs/>
          <w:color w:val="auto"/>
          <w:sz w:val="24"/>
        </w:rPr>
      </w:pPr>
      <w:r>
        <w:rPr>
          <w:rFonts w:hint="eastAsia" w:ascii="宋体" w:hAnsi="宋体"/>
          <w:b/>
          <w:bCs/>
          <w:color w:val="auto"/>
          <w:sz w:val="24"/>
        </w:rPr>
        <w:t>25.合同的履行</w:t>
      </w:r>
    </w:p>
    <w:p>
      <w:pPr>
        <w:spacing w:line="360" w:lineRule="auto"/>
        <w:ind w:firstLine="480" w:firstLineChars="200"/>
        <w:rPr>
          <w:rFonts w:ascii="宋体" w:hAnsi="宋体"/>
          <w:color w:val="auto"/>
          <w:sz w:val="24"/>
        </w:rPr>
      </w:pPr>
      <w:r>
        <w:rPr>
          <w:rFonts w:hint="eastAsia" w:ascii="宋体" w:hAnsi="宋体"/>
          <w:color w:val="auto"/>
          <w:sz w:val="24"/>
        </w:rPr>
        <w:t>25.1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hAnsi="宋体"/>
          <w:color w:val="auto"/>
          <w:sz w:val="24"/>
        </w:rPr>
      </w:pPr>
      <w:r>
        <w:rPr>
          <w:rFonts w:hint="eastAsia" w:ascii="宋体" w:hAnsi="宋体"/>
          <w:color w:val="auto"/>
          <w:sz w:val="24"/>
        </w:rPr>
        <w:t>25.2政府采购合同履行中，采购人需追加与合同标的相同的货物、工程或者服务的，在不改变合同其他条款的前提下，可以与成交供应商签订补充合同，但所有补充合同的采购金额不得超过原采购金额的10%，签订补充合同的必须按规定备案。</w:t>
      </w:r>
    </w:p>
    <w:p>
      <w:pPr>
        <w:spacing w:line="360" w:lineRule="auto"/>
        <w:ind w:firstLine="480" w:firstLineChars="200"/>
        <w:rPr>
          <w:rFonts w:ascii="宋体" w:hAnsi="宋体"/>
          <w:color w:val="auto"/>
          <w:sz w:val="24"/>
        </w:rPr>
      </w:pPr>
      <w:r>
        <w:rPr>
          <w:rFonts w:hint="eastAsia" w:ascii="宋体" w:hAnsi="宋体"/>
          <w:color w:val="auto"/>
          <w:sz w:val="24"/>
        </w:rPr>
        <w:t>25.3根据需要，采购代理机构可会同采购人负责监督、协调和处理履约过程中出现的问题。</w:t>
      </w:r>
    </w:p>
    <w:p>
      <w:pPr>
        <w:spacing w:line="360" w:lineRule="auto"/>
        <w:ind w:firstLine="480" w:firstLineChars="200"/>
        <w:rPr>
          <w:rFonts w:ascii="宋体" w:hAnsi="宋体"/>
          <w:color w:val="auto"/>
          <w:sz w:val="24"/>
        </w:rPr>
      </w:pPr>
      <w:r>
        <w:rPr>
          <w:rFonts w:hint="eastAsia" w:ascii="宋体" w:hAnsi="宋体"/>
          <w:color w:val="auto"/>
          <w:sz w:val="24"/>
        </w:rPr>
        <w:t>25.4陕西省财政厅政府采购管理处在合同履行期间以及履行期后，可以随时检查项目的执行情况，对采购标准、采购内容进行调查核实，并对发现的问题进行处理。</w:t>
      </w:r>
    </w:p>
    <w:p>
      <w:pPr>
        <w:spacing w:line="360" w:lineRule="auto"/>
        <w:jc w:val="center"/>
        <w:rPr>
          <w:rFonts w:ascii="宋体" w:hAnsi="宋体"/>
          <w:b/>
          <w:color w:val="auto"/>
          <w:sz w:val="24"/>
        </w:rPr>
      </w:pPr>
      <w:bookmarkStart w:id="67" w:name="_Toc30703"/>
    </w:p>
    <w:p>
      <w:pPr>
        <w:spacing w:line="360" w:lineRule="auto"/>
        <w:ind w:firstLine="481"/>
        <w:jc w:val="left"/>
        <w:outlineLvl w:val="1"/>
        <w:rPr>
          <w:rFonts w:ascii="黑体" w:hAnsi="黑体" w:eastAsia="黑体" w:cs="黑体"/>
          <w:b/>
          <w:color w:val="auto"/>
          <w:sz w:val="24"/>
        </w:rPr>
      </w:pPr>
      <w:bookmarkStart w:id="68" w:name="_Toc21117"/>
      <w:bookmarkStart w:id="69" w:name="_Toc24941"/>
      <w:r>
        <w:rPr>
          <w:rFonts w:hint="eastAsia" w:ascii="黑体" w:hAnsi="黑体" w:eastAsia="黑体" w:cs="黑体"/>
          <w:b/>
          <w:color w:val="auto"/>
          <w:sz w:val="24"/>
        </w:rPr>
        <w:t>九、采购代理服务费</w:t>
      </w:r>
      <w:bookmarkEnd w:id="67"/>
      <w:bookmarkEnd w:id="68"/>
      <w:bookmarkEnd w:id="69"/>
    </w:p>
    <w:p>
      <w:pPr>
        <w:spacing w:line="360" w:lineRule="auto"/>
        <w:ind w:firstLine="482" w:firstLineChars="200"/>
        <w:rPr>
          <w:rFonts w:ascii="宋体" w:cs="Times New Roman"/>
          <w:b/>
          <w:bCs/>
          <w:color w:val="auto"/>
          <w:sz w:val="24"/>
        </w:rPr>
      </w:pPr>
      <w:bookmarkStart w:id="70" w:name="_Toc11215"/>
      <w:r>
        <w:rPr>
          <w:rFonts w:ascii="宋体" w:hAnsi="宋体"/>
          <w:b/>
          <w:bCs/>
          <w:color w:val="auto"/>
          <w:sz w:val="24"/>
        </w:rPr>
        <w:t>26.</w:t>
      </w:r>
      <w:r>
        <w:rPr>
          <w:rFonts w:hint="eastAsia" w:ascii="宋体" w:hAnsi="宋体"/>
          <w:b/>
          <w:bCs/>
          <w:color w:val="auto"/>
          <w:sz w:val="24"/>
        </w:rPr>
        <w:t>采购代理服务费</w:t>
      </w:r>
    </w:p>
    <w:p>
      <w:pPr>
        <w:spacing w:line="360" w:lineRule="auto"/>
        <w:ind w:firstLine="480" w:firstLineChars="200"/>
        <w:rPr>
          <w:rFonts w:ascii="宋体" w:cs="Times New Roman"/>
          <w:color w:val="auto"/>
          <w:sz w:val="24"/>
        </w:rPr>
      </w:pPr>
      <w:r>
        <w:rPr>
          <w:rFonts w:ascii="宋体" w:hAnsi="宋体"/>
          <w:color w:val="auto"/>
          <w:sz w:val="24"/>
        </w:rPr>
        <w:t>26.1</w:t>
      </w:r>
      <w:r>
        <w:rPr>
          <w:rFonts w:hint="eastAsia" w:ascii="宋体" w:hAnsi="宋体"/>
          <w:color w:val="auto"/>
          <w:sz w:val="24"/>
        </w:rPr>
        <w:t>采购代理服务费按约定由成交供应商支付，采购代理服务费不在响应报价中单列。</w:t>
      </w:r>
    </w:p>
    <w:p>
      <w:pPr>
        <w:spacing w:line="360" w:lineRule="auto"/>
        <w:ind w:firstLine="480" w:firstLineChars="200"/>
        <w:rPr>
          <w:rFonts w:ascii="宋体" w:cs="Times New Roman"/>
          <w:color w:val="auto"/>
          <w:sz w:val="24"/>
        </w:rPr>
      </w:pPr>
      <w:r>
        <w:rPr>
          <w:rFonts w:ascii="宋体" w:hAnsi="宋体"/>
          <w:color w:val="auto"/>
          <w:sz w:val="24"/>
        </w:rPr>
        <w:t>26.2</w:t>
      </w:r>
      <w:r>
        <w:rPr>
          <w:rFonts w:hint="eastAsia" w:ascii="宋体" w:hAnsi="宋体"/>
          <w:color w:val="auto"/>
          <w:sz w:val="24"/>
        </w:rPr>
        <w:t>采购代理服务费按以下标准计取：</w:t>
      </w:r>
    </w:p>
    <w:p>
      <w:pPr>
        <w:spacing w:line="360" w:lineRule="auto"/>
        <w:ind w:firstLine="480" w:firstLineChars="200"/>
        <w:rPr>
          <w:rFonts w:ascii="宋体" w:cs="Times New Roman"/>
          <w:color w:val="auto"/>
          <w:sz w:val="24"/>
        </w:rPr>
      </w:pPr>
      <w:r>
        <w:rPr>
          <w:rFonts w:hint="eastAsia" w:ascii="宋体" w:hAnsi="宋体"/>
          <w:color w:val="auto"/>
          <w:sz w:val="24"/>
        </w:rPr>
        <w:t>招标代理服务费收取按照国家计委颁布的《招标代理服务收费管理暂行办法》（计价格[2002]1980号）和（发改办价格[2003]857号）收费标准计取，此服务费应计入磋商报价中，但不需要单独开列。</w:t>
      </w:r>
    </w:p>
    <w:p>
      <w:pPr>
        <w:spacing w:line="360" w:lineRule="auto"/>
        <w:ind w:firstLine="480" w:firstLineChars="200"/>
        <w:rPr>
          <w:rFonts w:ascii="宋体" w:cs="Times New Roman"/>
          <w:color w:val="auto"/>
          <w:sz w:val="24"/>
        </w:rPr>
      </w:pPr>
      <w:r>
        <w:rPr>
          <w:rFonts w:ascii="宋体" w:hAnsi="宋体"/>
          <w:color w:val="auto"/>
          <w:sz w:val="24"/>
        </w:rPr>
        <w:t>26.3</w:t>
      </w:r>
      <w:r>
        <w:rPr>
          <w:rFonts w:hint="eastAsia" w:ascii="宋体" w:hAnsi="宋体"/>
          <w:color w:val="auto"/>
          <w:sz w:val="24"/>
        </w:rPr>
        <w:t>成交供应商在取得成交通知书前应向采购代理机构缴付采购代理服务费（以到达采购代理机构开户银行帐户为准），采购代理服务费以电汇或现金形式缴纳。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color w:val="auto"/>
          <w:sz w:val="24"/>
        </w:rPr>
      </w:pPr>
      <w:r>
        <w:rPr>
          <w:rFonts w:ascii="宋体" w:hAnsi="宋体"/>
          <w:color w:val="auto"/>
          <w:sz w:val="24"/>
        </w:rPr>
        <w:t>26.4</w:t>
      </w:r>
      <w:r>
        <w:rPr>
          <w:rFonts w:hint="eastAsia" w:ascii="宋体" w:hAnsi="宋体"/>
          <w:color w:val="auto"/>
          <w:sz w:val="24"/>
        </w:rPr>
        <w:t>成交供应商如未按规定办理，采购代理机构将没收其保证金，以弥补采购代理机构的损失。</w:t>
      </w:r>
    </w:p>
    <w:p>
      <w:pPr>
        <w:spacing w:line="360" w:lineRule="auto"/>
        <w:ind w:firstLine="480" w:firstLineChars="200"/>
        <w:rPr>
          <w:rFonts w:ascii="宋体" w:hAnsi="宋体"/>
          <w:color w:val="auto"/>
          <w:sz w:val="24"/>
        </w:rPr>
      </w:pPr>
    </w:p>
    <w:p>
      <w:pPr>
        <w:spacing w:line="360" w:lineRule="auto"/>
        <w:ind w:firstLine="481"/>
        <w:jc w:val="left"/>
        <w:outlineLvl w:val="1"/>
        <w:rPr>
          <w:rFonts w:ascii="黑体" w:hAnsi="黑体" w:eastAsia="黑体" w:cs="黑体"/>
          <w:b/>
          <w:color w:val="auto"/>
          <w:sz w:val="24"/>
        </w:rPr>
      </w:pPr>
      <w:bookmarkStart w:id="71" w:name="_Toc32689"/>
      <w:bookmarkStart w:id="72" w:name="_Toc30819"/>
      <w:r>
        <w:rPr>
          <w:rFonts w:hint="eastAsia" w:ascii="黑体" w:hAnsi="黑体" w:eastAsia="黑体" w:cs="黑体"/>
          <w:b/>
          <w:color w:val="auto"/>
          <w:sz w:val="24"/>
        </w:rPr>
        <w:t>十、其它事项</w:t>
      </w:r>
      <w:bookmarkEnd w:id="70"/>
      <w:bookmarkEnd w:id="71"/>
      <w:bookmarkEnd w:id="72"/>
    </w:p>
    <w:p>
      <w:pPr>
        <w:spacing w:line="360" w:lineRule="auto"/>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27.特殊情形的处理</w:t>
      </w:r>
    </w:p>
    <w:p>
      <w:pPr>
        <w:spacing w:line="360" w:lineRule="auto"/>
        <w:ind w:firstLine="480" w:firstLineChars="200"/>
        <w:rPr>
          <w:rFonts w:ascii="宋体" w:hAnsi="宋体"/>
          <w:color w:val="auto"/>
          <w:sz w:val="24"/>
        </w:rPr>
      </w:pPr>
      <w:r>
        <w:rPr>
          <w:rFonts w:hint="eastAsia" w:ascii="宋体" w:hAnsi="宋体"/>
          <w:color w:val="auto"/>
          <w:sz w:val="24"/>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pPr>
        <w:spacing w:line="360" w:lineRule="auto"/>
        <w:ind w:firstLine="482" w:firstLineChars="200"/>
        <w:rPr>
          <w:rFonts w:ascii="宋体" w:hAnsi="宋体"/>
          <w:b/>
          <w:bCs/>
          <w:color w:val="auto"/>
          <w:sz w:val="24"/>
        </w:rPr>
      </w:pPr>
      <w:r>
        <w:rPr>
          <w:rFonts w:hint="eastAsia" w:ascii="宋体" w:hAnsi="宋体"/>
          <w:b/>
          <w:bCs/>
          <w:color w:val="auto"/>
          <w:sz w:val="24"/>
        </w:rPr>
        <w:t>28.成交供应商确定后，成交供应商无正当理由拖延或拒签合同的，采购单位将有权取消该成交决定，没收其磋商保证金，同时报请监督机构予以通报，将其列入不良行为记录名单。在此情况下采购单位可将合同授予排名在成交供应商之后第一位的成交候选人，或重新组织采购。</w:t>
      </w:r>
    </w:p>
    <w:p>
      <w:pPr>
        <w:spacing w:line="360" w:lineRule="auto"/>
        <w:ind w:firstLine="482" w:firstLineChars="200"/>
        <w:rPr>
          <w:rFonts w:ascii="宋体" w:hAnsi="宋体"/>
          <w:b/>
          <w:bCs/>
          <w:color w:val="auto"/>
          <w:sz w:val="24"/>
        </w:rPr>
      </w:pPr>
      <w:r>
        <w:rPr>
          <w:rFonts w:hint="eastAsia" w:ascii="宋体" w:hAnsi="宋体"/>
          <w:b/>
          <w:bCs/>
          <w:color w:val="auto"/>
          <w:sz w:val="24"/>
        </w:rPr>
        <w:t>29.拒绝商业贿赂</w:t>
      </w:r>
    </w:p>
    <w:p>
      <w:pPr>
        <w:spacing w:line="360" w:lineRule="auto"/>
        <w:ind w:firstLine="480" w:firstLineChars="200"/>
        <w:rPr>
          <w:rFonts w:ascii="宋体" w:hAnsi="宋体"/>
          <w:color w:val="auto"/>
          <w:sz w:val="24"/>
        </w:rPr>
      </w:pPr>
      <w:r>
        <w:rPr>
          <w:rFonts w:hint="eastAsia" w:ascii="宋体" w:hAnsi="宋体"/>
          <w:color w:val="auto"/>
          <w:sz w:val="24"/>
        </w:rPr>
        <w:t>采购人、采购代理机构、供应商和评审专家在政府采购活动中，都要签订相应的《拒绝商业贿赂承诺书》，并对违反承诺的行为承担全部责任。</w:t>
      </w:r>
    </w:p>
    <w:p>
      <w:pPr>
        <w:spacing w:line="360" w:lineRule="auto"/>
        <w:ind w:firstLine="482" w:firstLineChars="200"/>
        <w:rPr>
          <w:rFonts w:ascii="宋体" w:hAnsi="宋体"/>
          <w:b/>
          <w:bCs/>
          <w:color w:val="auto"/>
          <w:sz w:val="24"/>
        </w:rPr>
      </w:pPr>
      <w:r>
        <w:rPr>
          <w:rFonts w:hint="eastAsia" w:ascii="宋体" w:hAnsi="宋体"/>
          <w:b/>
          <w:bCs/>
          <w:color w:val="auto"/>
          <w:sz w:val="24"/>
        </w:rPr>
        <w:t>30.信用担保</w:t>
      </w:r>
    </w:p>
    <w:p>
      <w:pPr>
        <w:spacing w:line="360" w:lineRule="auto"/>
        <w:ind w:firstLine="480" w:firstLineChars="200"/>
        <w:rPr>
          <w:rFonts w:ascii="宋体" w:hAnsi="宋体"/>
          <w:color w:val="auto"/>
          <w:sz w:val="24"/>
        </w:rPr>
      </w:pPr>
      <w:r>
        <w:rPr>
          <w:rFonts w:hint="eastAsia" w:ascii="宋体" w:hAnsi="宋体"/>
          <w:color w:val="auto"/>
          <w:sz w:val="24"/>
        </w:rPr>
        <w:t>30.1</w:t>
      </w:r>
      <w:r>
        <w:rPr>
          <w:rFonts w:ascii="宋体" w:hAnsi="宋体"/>
          <w:color w:val="auto"/>
          <w:sz w:val="24"/>
        </w:rPr>
        <w:t>供应商在投标、履约、融资等环节可自愿选择采取信用担保的形式。</w:t>
      </w:r>
    </w:p>
    <w:p>
      <w:pPr>
        <w:spacing w:line="360" w:lineRule="auto"/>
        <w:ind w:firstLine="480" w:firstLineChars="200"/>
        <w:rPr>
          <w:rFonts w:ascii="宋体" w:hAnsi="宋体"/>
          <w:color w:val="auto"/>
          <w:sz w:val="24"/>
        </w:rPr>
      </w:pPr>
      <w:r>
        <w:rPr>
          <w:rFonts w:hint="eastAsia" w:ascii="宋体" w:hAnsi="宋体"/>
          <w:color w:val="auto"/>
          <w:sz w:val="24"/>
        </w:rPr>
        <w:t>30.2具体详见陕西省财政厅关于印发《陕西省中小企业政府采购信用融资办法》（陕财办采〔2018〕23号）。</w:t>
      </w:r>
    </w:p>
    <w:p>
      <w:pPr>
        <w:spacing w:line="360" w:lineRule="auto"/>
        <w:ind w:firstLine="480" w:firstLineChars="200"/>
        <w:rPr>
          <w:rFonts w:ascii="宋体" w:hAnsi="宋体"/>
          <w:color w:val="auto"/>
          <w:sz w:val="24"/>
        </w:rPr>
      </w:pPr>
      <w:r>
        <w:rPr>
          <w:rFonts w:hint="eastAsia" w:ascii="宋体" w:hAnsi="宋体"/>
          <w:color w:val="auto"/>
          <w:sz w:val="24"/>
        </w:rPr>
        <w:br w:type="page"/>
      </w:r>
    </w:p>
    <w:p>
      <w:pPr>
        <w:spacing w:line="360" w:lineRule="auto"/>
        <w:ind w:firstLine="643" w:firstLineChars="200"/>
        <w:jc w:val="center"/>
        <w:outlineLvl w:val="0"/>
        <w:rPr>
          <w:rFonts w:ascii="黑体" w:hAnsi="黑体" w:eastAsia="黑体" w:cs="黑体"/>
          <w:b/>
          <w:bCs/>
          <w:color w:val="auto"/>
          <w:sz w:val="32"/>
          <w:szCs w:val="32"/>
        </w:rPr>
      </w:pPr>
      <w:bookmarkStart w:id="73" w:name="_Toc29756"/>
      <w:r>
        <w:rPr>
          <w:rFonts w:hint="eastAsia" w:ascii="黑体" w:hAnsi="黑体" w:eastAsia="黑体" w:cs="黑体"/>
          <w:b/>
          <w:bCs/>
          <w:color w:val="auto"/>
          <w:sz w:val="32"/>
          <w:szCs w:val="32"/>
        </w:rPr>
        <w:t>第三部分 采购需求及要求</w:t>
      </w:r>
      <w:bookmarkEnd w:id="73"/>
    </w:p>
    <w:p>
      <w:pPr>
        <w:spacing w:line="360" w:lineRule="auto"/>
        <w:outlineLvl w:val="0"/>
        <w:rPr>
          <w:rFonts w:hint="eastAsia" w:ascii="黑体" w:hAnsi="黑体" w:eastAsia="黑体" w:cs="黑体"/>
          <w:b/>
          <w:bCs/>
          <w:color w:val="auto"/>
          <w:sz w:val="30"/>
          <w:szCs w:val="30"/>
        </w:rPr>
      </w:pPr>
      <w:bookmarkStart w:id="74" w:name="_Toc9557"/>
      <w:bookmarkStart w:id="75" w:name="_Toc15634"/>
      <w:r>
        <w:rPr>
          <w:rFonts w:hint="eastAsia" w:ascii="黑体" w:hAnsi="黑体" w:eastAsia="黑体" w:cs="黑体"/>
          <w:b/>
          <w:bCs/>
          <w:color w:val="auto"/>
          <w:sz w:val="30"/>
          <w:szCs w:val="30"/>
        </w:rPr>
        <w:t>一、技术部分：</w:t>
      </w:r>
      <w:bookmarkEnd w:id="74"/>
      <w:bookmarkEnd w:id="75"/>
    </w:p>
    <w:p>
      <w:pPr>
        <w:pStyle w:val="48"/>
        <w:numPr>
          <w:ilvl w:val="1"/>
          <w:numId w:val="0"/>
        </w:numPr>
        <w:spacing w:before="0" w:after="0" w:line="540" w:lineRule="exact"/>
        <w:ind w:leftChars="0" w:firstLine="482" w:firstLineChars="200"/>
        <w:rPr>
          <w:rFonts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服务范围和服务内容</w:t>
      </w:r>
    </w:p>
    <w:p>
      <w:pPr>
        <w:spacing w:line="540" w:lineRule="exact"/>
        <w:ind w:firstLine="480" w:firstLineChars="20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次服务范围为陕西省生态环境执法总队建设的全周期生态环境执法数据综合管理系统建设项目进行运维，主要结合实际工作需求，保证平台设备正常运行，改造升级现有版本并维护更新，确保系统正常运行，与队伍管理系统正常对接。对发生故障的执法记录仪软件硬件进行检测，维修，确保记录仪正常工作，（包括但不限于：及时更换记录仪电池，确保每台记录仪能正常工作，对破损的记录仪显示屏和背夹及时更换，对软件出现的问题进行检测，维修，更新。同时根据日常维护的数据和记录，提供信息系统的整体建设规划和建议,更好的为陕西省生态环境执法总队的环境执法信息化发展提供有力的保障。</w:t>
      </w:r>
    </w:p>
    <w:p>
      <w:pPr>
        <w:spacing w:line="540" w:lineRule="exact"/>
        <w:ind w:firstLine="480" w:firstLineChars="20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全周期生态环境执法数据综合管理系统建设项目的组成主要可分为两类:硬件设备和软件系统。硬件设备包括执法仪，数据采集站，服务器，智慧大屏;软件设备可指挥调度平台与电子数据管理平台。 通过运行维护服务的有效管理使硬件与软件平台各设备的能够正常运行率≥99%，</w:t>
      </w:r>
    </w:p>
    <w:p>
      <w:pPr>
        <w:pStyle w:val="7"/>
      </w:pPr>
    </w:p>
    <w:p>
      <w:pPr>
        <w:pStyle w:val="7"/>
        <w:ind w:firstLine="480"/>
      </w:pPr>
      <w:r>
        <w:rPr>
          <w:rFonts w:hint="eastAsia" w:ascii="宋体" w:hAnsi="宋体"/>
          <w:color w:val="auto"/>
          <w:sz w:val="24"/>
          <w:lang w:val="en-US" w:eastAsia="zh-CN"/>
        </w:rPr>
        <w:t>2</w:t>
      </w:r>
      <w:r>
        <w:rPr>
          <w:rFonts w:hint="eastAsia" w:ascii="宋体" w:hAnsi="宋体"/>
          <w:color w:val="auto"/>
          <w:sz w:val="24"/>
        </w:rPr>
        <w:t>、技术参数及要求：</w:t>
      </w:r>
    </w:p>
    <w:p>
      <w:pPr>
        <w:rPr>
          <w:color w:val="auto"/>
        </w:rPr>
      </w:pPr>
    </w:p>
    <w:tbl>
      <w:tblPr>
        <w:tblStyle w:val="25"/>
        <w:tblW w:w="89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056"/>
        <w:gridCol w:w="645"/>
        <w:gridCol w:w="65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056"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c>
          <w:tcPr>
            <w:tcW w:w="645"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数量</w:t>
            </w:r>
          </w:p>
        </w:tc>
        <w:tc>
          <w:tcPr>
            <w:tcW w:w="6573"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056"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专网建设</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建设不低于100兆的专网宽带，满足执法记录仪的数据传输,调取，查阅与调度指挥平台。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1056" w:type="dxa"/>
            <w:vAlign w:val="center"/>
          </w:tcPr>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VPN交换机接入防火墙</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建设目标：</w:t>
            </w:r>
            <w:r>
              <w:rPr>
                <w:rFonts w:hint="eastAsia" w:cs="仿宋" w:asciiTheme="minorEastAsia" w:hAnsiTheme="minorEastAsia" w:eastAsiaTheme="minorEastAsia"/>
                <w:color w:val="auto"/>
                <w:kern w:val="0"/>
                <w:szCs w:val="21"/>
              </w:rPr>
              <w:t>实现主动积极的防御，一旦某台设备发现新型、未知威胁可以通过云端快速进行更新，24小时内实现全网拦截。结合云端网络安全异常监测技术，对网站出现漏洞、篡改、黑链、挂马等安全事件快速通报和预警，可以提升广域网的安全防护能力，帮助用户实时了解分支机构安全风险，避免分支机构存在安全漏洞，以便真正实现管理集中化和运维自动化数据中心。</w:t>
            </w:r>
          </w:p>
          <w:p>
            <w:pPr>
              <w:spacing w:line="360" w:lineRule="auto"/>
              <w:rPr>
                <w:rFonts w:asciiTheme="minorEastAsia" w:hAnsiTheme="minorEastAsia" w:eastAsiaTheme="minorEastAsia"/>
                <w:color w:val="auto"/>
                <w:szCs w:val="21"/>
              </w:rPr>
            </w:pPr>
            <w:r>
              <w:rPr>
                <w:rFonts w:hint="eastAsia" w:cs="仿宋" w:asciiTheme="minorEastAsia" w:hAnsiTheme="minorEastAsia" w:eastAsiaTheme="minorEastAsia"/>
                <w:b/>
                <w:bCs/>
                <w:color w:val="auto"/>
                <w:kern w:val="0"/>
                <w:szCs w:val="21"/>
              </w:rPr>
              <w:t>功能要求：1.应用层安全加固</w:t>
            </w:r>
            <w:r>
              <w:rPr>
                <w:rFonts w:hint="eastAsia" w:cs="仿宋" w:asciiTheme="minorEastAsia" w:hAnsiTheme="minorEastAsia" w:eastAsiaTheme="minorEastAsia"/>
                <w:color w:val="auto"/>
                <w:kern w:val="0"/>
                <w:szCs w:val="21"/>
              </w:rPr>
              <w:t>主要功能包含应用层安全加固、增强安全检测技术和简化安全管理，可以保障在复杂业务环境下数据中心信息安全。</w:t>
            </w:r>
            <w:r>
              <w:rPr>
                <w:rFonts w:hint="eastAsia" w:cs="仿宋" w:asciiTheme="minorEastAsia" w:hAnsiTheme="minorEastAsia" w:eastAsiaTheme="minorEastAsia"/>
                <w:b/>
                <w:bCs/>
                <w:color w:val="auto"/>
                <w:kern w:val="0"/>
                <w:szCs w:val="21"/>
              </w:rPr>
              <w:t>2.</w:t>
            </w:r>
            <w:r>
              <w:rPr>
                <w:rFonts w:hint="eastAsia" w:cs="仿宋" w:asciiTheme="minorEastAsia" w:hAnsiTheme="minorEastAsia" w:eastAsiaTheme="minorEastAsia"/>
                <w:b/>
                <w:bCs/>
                <w:color w:val="auto"/>
                <w:kern w:val="0"/>
                <w:szCs w:val="21"/>
              </w:rPr>
              <w:cr/>
            </w:r>
            <w:r>
              <w:rPr>
                <w:rFonts w:hint="eastAsia" w:cs="仿宋" w:asciiTheme="minorEastAsia" w:hAnsiTheme="minorEastAsia" w:eastAsiaTheme="minorEastAsia"/>
                <w:b/>
                <w:bCs/>
                <w:color w:val="auto"/>
                <w:kern w:val="0"/>
                <w:szCs w:val="21"/>
              </w:rPr>
              <w:t>数据中心安全</w:t>
            </w:r>
            <w:r>
              <w:rPr>
                <w:rFonts w:hint="eastAsia" w:cs="仿宋" w:asciiTheme="minorEastAsia" w:hAnsiTheme="minorEastAsia" w:eastAsiaTheme="minorEastAsia"/>
                <w:b/>
                <w:bCs/>
                <w:color w:val="auto"/>
                <w:kern w:val="0"/>
                <w:szCs w:val="21"/>
              </w:rPr>
              <w:cr/>
            </w:r>
            <w:r>
              <w:rPr>
                <w:rFonts w:hint="eastAsia" w:cs="仿宋" w:asciiTheme="minorEastAsia" w:hAnsiTheme="minorEastAsia" w:eastAsiaTheme="minorEastAsia"/>
                <w:b/>
                <w:bCs/>
                <w:color w:val="auto"/>
                <w:kern w:val="0"/>
                <w:szCs w:val="21"/>
              </w:rPr>
              <w:t>域隔离</w:t>
            </w:r>
            <w:r>
              <w:rPr>
                <w:rFonts w:hint="eastAsia" w:cs="仿宋" w:asciiTheme="minorEastAsia" w:hAnsiTheme="minorEastAsia" w:eastAsiaTheme="minorEastAsia"/>
                <w:color w:val="auto"/>
                <w:kern w:val="0"/>
                <w:szCs w:val="21"/>
              </w:rPr>
              <w:t>主要功能可以将数据中心按照不同安全等级进行区域划分，实现层次化、重点化、全面化的保护和访问控制，有效解决传统防火墙中存在的上线部署、业务新增和日常管理策略复杂、可视性差等问题。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p>
        </w:tc>
        <w:tc>
          <w:tcPr>
            <w:tcW w:w="1056" w:type="dxa"/>
            <w:vAlign w:val="center"/>
          </w:tcPr>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升级</w:t>
            </w:r>
            <w:r>
              <w:rPr>
                <w:rFonts w:hint="eastAsia" w:cs="仿宋" w:asciiTheme="minorEastAsia" w:hAnsiTheme="minorEastAsia" w:eastAsiaTheme="minorEastAsia"/>
                <w:color w:val="auto"/>
                <w:kern w:val="0"/>
                <w:szCs w:val="21"/>
              </w:rPr>
              <w:t>智能4G可视化指挥调度系统</w:t>
            </w:r>
            <w:r>
              <w:rPr>
                <w:rFonts w:hint="eastAsia" w:asciiTheme="minorEastAsia" w:hAnsiTheme="minorEastAsia" w:eastAsiaTheme="minorEastAsia"/>
                <w:color w:val="auto"/>
                <w:szCs w:val="21"/>
              </w:rPr>
              <w:t>，系统软件安全巡检</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建设目标</w:t>
            </w:r>
            <w:r>
              <w:rPr>
                <w:rFonts w:hint="eastAsia" w:cs="仿宋" w:asciiTheme="minorEastAsia" w:hAnsiTheme="minorEastAsia" w:eastAsiaTheme="minorEastAsia"/>
                <w:color w:val="auto"/>
                <w:kern w:val="0"/>
                <w:szCs w:val="21"/>
              </w:rPr>
              <w:t>：升级建设智能4G可视化指挥调度系统，实现一线执勤执法工作的可视化、影像化和数字化管理，并基于云存储、移动互联网技术、GIS服务和集群公网通信等先进技术，通过整合智能硬件、应用软件和多系统平台，融合4G宽带网络、GPS定位系统、音视频会议、集群通信等多位一体的智能4G可视化指挥调度系统，真正实现在“移动互联网+”上的智慧服务系统。</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现场执法取证全过程的远程视频监控功能：</w:t>
            </w:r>
            <w:r>
              <w:rPr>
                <w:rFonts w:hint="eastAsia" w:cs="仿宋" w:asciiTheme="minorEastAsia" w:hAnsiTheme="minorEastAsia" w:eastAsiaTheme="minorEastAsia"/>
                <w:color w:val="auto"/>
                <w:kern w:val="0"/>
                <w:szCs w:val="21"/>
              </w:rPr>
              <w:t>以云存储、移动宽带互联网技术为基础，通过4G/3G/WIFI等组建的远程视频监控系统，监控现场人员和环境。监控中心可实时掌握现场执法取证进度，实时了解执法取证现场基本情况、安全动态及紧急情况的控制等，及时做出应对和指挥调度。</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现场执法取证全过程的指挥调度功能：</w:t>
            </w:r>
            <w:r>
              <w:rPr>
                <w:rFonts w:hint="eastAsia" w:cs="仿宋" w:asciiTheme="minorEastAsia" w:hAnsiTheme="minorEastAsia" w:eastAsiaTheme="minorEastAsia"/>
                <w:color w:val="auto"/>
                <w:kern w:val="0"/>
                <w:szCs w:val="21"/>
              </w:rPr>
              <w:t>通过4G智能执法单兵，系统实时了解现场情况，并通过GPS、LBS定位了解人员位置信息，进而通过语音调度实现对现场的指挥调度。</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公网集群语音通信功能：</w:t>
            </w:r>
            <w:r>
              <w:rPr>
                <w:rFonts w:hint="eastAsia" w:cs="仿宋" w:asciiTheme="minorEastAsia" w:hAnsiTheme="minorEastAsia" w:eastAsiaTheme="minorEastAsia"/>
                <w:color w:val="auto"/>
                <w:kern w:val="0"/>
                <w:szCs w:val="21"/>
              </w:rPr>
              <w:t>语音对讲，群呼，组呼。执法人员无需手持对讲机，有效的提升了工作效率。通过对各级指挥中心和所有相关人员同时进行实时的现场信息提供，可同时集中各级领导和多行业专家，汇聚各方智慧，获取最优秀的处置建议，实施集体决策。至少满足3G/4G网络，实现无距离限制的集群语音通信。</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GIS系统应用功能：</w:t>
            </w:r>
            <w:r>
              <w:rPr>
                <w:rFonts w:hint="eastAsia" w:cs="仿宋" w:asciiTheme="minorEastAsia" w:hAnsiTheme="minorEastAsia" w:eastAsiaTheme="minorEastAsia"/>
                <w:color w:val="auto"/>
                <w:kern w:val="0"/>
                <w:szCs w:val="21"/>
              </w:rPr>
              <w:t>GPS/LBS定位，轨迹回放功能，可实时查看人员所处位置和行驶轨迹。视频回放功能：对视频、图像、音频文件实现多种查询条件的快速查询检索，在线播放视频、音频文件，打开并浏览图像，文件下载，视频文件特别说明，锁定文件等。实时图传功能：实时网络传至服务器进行存储。数据检索功能：根据自定义查询条件搜索媒体数据，查询条件包括用户姓名、用户编号、媒体类型（视频、音频、照片、文本）、媒体拍摄时间范围、备注信息、部门。支持按普通模式、模糊查询或高级模式显示查询条件。一键SOS视频联动报警功能，可针对重大疑难执行案件进行统一调度指挥。</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1.可视化调度</w:t>
            </w:r>
            <w:r>
              <w:rPr>
                <w:rFonts w:hint="eastAsia" w:cs="仿宋" w:asciiTheme="minorEastAsia" w:hAnsiTheme="minorEastAsia" w:eastAsiaTheme="minorEastAsia"/>
                <w:color w:val="auto"/>
                <w:kern w:val="0"/>
                <w:szCs w:val="21"/>
              </w:rPr>
              <w:t>：实现对4G记录仪进行音视频、数据通信、GPS位置调度、一键SOS紧急报警和集群语音对讲等调度功能。</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2.分级管理：</w:t>
            </w:r>
            <w:r>
              <w:rPr>
                <w:rFonts w:hint="eastAsia" w:cs="仿宋" w:asciiTheme="minorEastAsia" w:hAnsiTheme="minorEastAsia" w:eastAsiaTheme="minorEastAsia"/>
                <w:color w:val="auto"/>
                <w:kern w:val="0"/>
                <w:szCs w:val="21"/>
              </w:rPr>
              <w:t>建立各执法单位及一线执法人员等的多级管理视图，实现分级业务需求和管理要求。</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3.海量数据支撑：</w:t>
            </w:r>
            <w:r>
              <w:rPr>
                <w:rFonts w:hint="eastAsia" w:cs="仿宋" w:asciiTheme="minorEastAsia" w:hAnsiTheme="minorEastAsia" w:eastAsiaTheme="minorEastAsia"/>
                <w:color w:val="auto"/>
                <w:kern w:val="0"/>
                <w:szCs w:val="21"/>
              </w:rPr>
              <w:t>具备良好的扩容能力，支持海量视频数据的存储、并发访问、管理和应用分析，为下一步的视频智能分析应用奠定良好基础。</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4.建立执法仪记录资料管理系统：</w:t>
            </w:r>
            <w:r>
              <w:rPr>
                <w:rFonts w:hint="eastAsia" w:cs="仿宋" w:asciiTheme="minorEastAsia" w:hAnsiTheme="minorEastAsia" w:eastAsiaTheme="minorEastAsia"/>
                <w:color w:val="auto"/>
                <w:kern w:val="0"/>
                <w:szCs w:val="21"/>
              </w:rPr>
              <w:t>对所辖各执法单位及一线执法人员等各基层单位执法上传的音视频信息进行集中管理，实现音视频信息的采集、查询、统计、设备管理等功能，为执法事后提供有效的现场影音资料，为取证提供强大支撑。</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5.建立标准技术规范接口：</w:t>
            </w:r>
            <w:r>
              <w:rPr>
                <w:rFonts w:hint="eastAsia" w:cs="仿宋" w:asciiTheme="minorEastAsia" w:hAnsiTheme="minorEastAsia" w:eastAsiaTheme="minorEastAsia"/>
                <w:color w:val="auto"/>
                <w:kern w:val="0"/>
                <w:szCs w:val="21"/>
              </w:rPr>
              <w:t>严格按照国家及执法行业的数据标准和接口规范，为相关应用系统和设备预留应用接口，保证系统之间的无缝对接。</w:t>
            </w:r>
          </w:p>
          <w:p>
            <w:pPr>
              <w:spacing w:line="360" w:lineRule="auto"/>
              <w:rPr>
                <w:rFonts w:cs="仿宋" w:asciiTheme="minorEastAsia" w:hAnsiTheme="minorEastAsia" w:eastAsiaTheme="minorEastAsia"/>
                <w:color w:val="auto"/>
                <w:kern w:val="0"/>
                <w:szCs w:val="21"/>
              </w:rPr>
            </w:pPr>
          </w:p>
          <w:p>
            <w:pPr>
              <w:spacing w:line="360" w:lineRule="auto"/>
              <w:rPr>
                <w:rFonts w:asciiTheme="minorEastAsia" w:hAnsiTheme="minorEastAsia" w:eastAsiaTheme="minorEastAsia"/>
                <w:color w:val="auto"/>
                <w:szCs w:val="21"/>
              </w:rPr>
            </w:pPr>
            <w:r>
              <w:rPr>
                <w:rFonts w:hint="eastAsia" w:cs="仿宋" w:asciiTheme="minorEastAsia" w:hAnsiTheme="minorEastAsia" w:eastAsiaTheme="minorEastAsia"/>
                <w:b/>
                <w:bCs/>
                <w:color w:val="auto"/>
                <w:kern w:val="0"/>
                <w:szCs w:val="21"/>
              </w:rPr>
              <w:t>维护服务要求：</w:t>
            </w:r>
            <w:r>
              <w:rPr>
                <w:rFonts w:hint="eastAsia" w:cs="仿宋" w:asciiTheme="minorEastAsia" w:hAnsiTheme="minorEastAsia" w:eastAsiaTheme="minorEastAsia"/>
                <w:color w:val="auto"/>
                <w:kern w:val="0"/>
                <w:szCs w:val="21"/>
              </w:rPr>
              <w:cr/>
            </w:r>
            <w:r>
              <w:rPr>
                <w:rFonts w:hint="eastAsia" w:cs="仿宋" w:asciiTheme="minorEastAsia" w:hAnsiTheme="minorEastAsia" w:eastAsiaTheme="minorEastAsia"/>
                <w:color w:val="auto"/>
                <w:kern w:val="0"/>
                <w:szCs w:val="21"/>
              </w:rPr>
              <w:t>（1）定期预防性维护服务：要求每两周进行一次现场例行检查，不定期检测系统运行状况，解决系统软件问题，使用户的系统保持良好的运行状况。</w:t>
            </w:r>
            <w:r>
              <w:rPr>
                <w:rFonts w:hint="eastAsia" w:cs="仿宋" w:asciiTheme="minorEastAsia" w:hAnsiTheme="minorEastAsia" w:eastAsiaTheme="minorEastAsia"/>
                <w:color w:val="auto"/>
                <w:kern w:val="0"/>
                <w:szCs w:val="21"/>
              </w:rPr>
              <w:cr/>
            </w:r>
            <w:r>
              <w:rPr>
                <w:rFonts w:hint="eastAsia" w:cs="仿宋" w:asciiTheme="minorEastAsia" w:hAnsiTheme="minorEastAsia" w:eastAsiaTheme="minorEastAsia"/>
                <w:color w:val="auto"/>
                <w:kern w:val="0"/>
                <w:szCs w:val="21"/>
              </w:rPr>
              <w:t>（2）系统运维检查：要求一月一次的系统运行健康检查，使系统始终在最佳状态下运行。</w:t>
            </w:r>
            <w:r>
              <w:rPr>
                <w:rFonts w:hint="eastAsia" w:cs="仿宋" w:asciiTheme="minorEastAsia" w:hAnsiTheme="minorEastAsia" w:eastAsiaTheme="minorEastAsia"/>
                <w:color w:val="auto"/>
                <w:kern w:val="0"/>
                <w:szCs w:val="21"/>
              </w:rPr>
              <w:cr/>
            </w:r>
            <w:r>
              <w:rPr>
                <w:rFonts w:hint="eastAsia" w:cs="仿宋" w:asciiTheme="minorEastAsia" w:hAnsiTheme="minorEastAsia" w:eastAsiaTheme="minorEastAsia"/>
                <w:color w:val="auto"/>
                <w:kern w:val="0"/>
                <w:szCs w:val="21"/>
              </w:rPr>
              <w:t>（3）系统运行状况分析：要求</w:t>
            </w:r>
            <w:r>
              <w:rPr>
                <w:rFonts w:hint="eastAsia" w:cs="仿宋" w:asciiTheme="minorEastAsia" w:hAnsiTheme="minorEastAsia" w:eastAsiaTheme="minorEastAsia"/>
                <w:color w:val="auto"/>
                <w:kern w:val="0"/>
                <w:szCs w:val="21"/>
              </w:rPr>
              <w:cr/>
            </w:r>
            <w:r>
              <w:rPr>
                <w:rFonts w:hint="eastAsia" w:cs="仿宋" w:asciiTheme="minorEastAsia" w:hAnsiTheme="minorEastAsia" w:eastAsiaTheme="minorEastAsia"/>
                <w:color w:val="auto"/>
                <w:kern w:val="0"/>
                <w:szCs w:val="21"/>
              </w:rPr>
              <w:t>每季一次对系统的运行状况分析，提高系统的可靠性、可用性和整体性能。每年一次向用户提交详细的系统可用性、安全性、运行状况分析等预防性维护策略、报告和总结。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1056" w:type="dxa"/>
            <w:vAlign w:val="center"/>
          </w:tcPr>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网络安全运行监控</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b/>
                <w:bCs/>
                <w:color w:val="auto"/>
                <w:kern w:val="0"/>
                <w:szCs w:val="21"/>
              </w:rPr>
              <w:t>建设目标：</w:t>
            </w:r>
            <w:r>
              <w:rPr>
                <w:rFonts w:hint="eastAsia" w:cs="仿宋" w:asciiTheme="minorEastAsia" w:hAnsiTheme="minorEastAsia" w:eastAsiaTheme="minorEastAsia"/>
                <w:color w:val="auto"/>
                <w:kern w:val="0"/>
                <w:szCs w:val="21"/>
              </w:rPr>
              <w:t>系统运维应急方案是对中断或严重影响业务的故障，如宕机、数据丢失、业务中断等，进行快速响应和处理，在最短时间内恢复业务系统，将损失降到最低。</w:t>
            </w:r>
          </w:p>
          <w:p>
            <w:pPr>
              <w:spacing w:line="360" w:lineRule="auto"/>
              <w:rPr>
                <w:rFonts w:cs="仿宋" w:asciiTheme="minorEastAsia" w:hAnsiTheme="minorEastAsia" w:eastAsiaTheme="minorEastAsia"/>
                <w:b/>
                <w:bCs/>
                <w:color w:val="auto"/>
                <w:kern w:val="0"/>
                <w:szCs w:val="21"/>
              </w:rPr>
            </w:pPr>
            <w:r>
              <w:rPr>
                <w:rFonts w:hint="eastAsia" w:cs="仿宋" w:asciiTheme="minorEastAsia" w:hAnsiTheme="minorEastAsia" w:eastAsiaTheme="minorEastAsia"/>
                <w:b/>
                <w:bCs/>
                <w:color w:val="auto"/>
                <w:kern w:val="0"/>
                <w:szCs w:val="21"/>
              </w:rPr>
              <w:t>服务要求：</w:t>
            </w:r>
          </w:p>
          <w:p>
            <w:pPr>
              <w:numPr>
                <w:ilvl w:val="0"/>
                <w:numId w:val="3"/>
              </w:num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系统巡检人员要定期规范检查各硬件设备的运转情况和应用软件运行情况，同时做好日常的数据增量备份和定期全备份。</w:t>
            </w:r>
          </w:p>
          <w:p>
            <w:pPr>
              <w:numPr>
                <w:ilvl w:val="0"/>
                <w:numId w:val="3"/>
              </w:num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对发现的问题在报各级负责人的同时，要协调相关资源分析问题根源，确定解决方案和临时解决措施，避免造成更大的影响。问题得到稳定或彻底解决后，要形成问题汇报，避免以后类似重大紧急情况的发生。</w:t>
            </w:r>
          </w:p>
          <w:p>
            <w:pPr>
              <w:spacing w:line="360" w:lineRule="auto"/>
              <w:rPr>
                <w:rFonts w:asciiTheme="minorEastAsia" w:hAnsiTheme="minorEastAsia" w:eastAsiaTheme="minorEastAsia"/>
                <w:color w:val="auto"/>
                <w:szCs w:val="21"/>
              </w:rPr>
            </w:pPr>
            <w:r>
              <w:rPr>
                <w:rFonts w:hint="eastAsia" w:cs="仿宋" w:asciiTheme="minorEastAsia" w:hAnsiTheme="minorEastAsia" w:eastAsiaTheme="minorEastAsia"/>
                <w:b/>
                <w:bCs/>
                <w:color w:val="auto"/>
                <w:kern w:val="0"/>
                <w:szCs w:val="21"/>
              </w:rPr>
              <w:t>3.</w:t>
            </w:r>
            <w:r>
              <w:rPr>
                <w:rFonts w:hint="eastAsia" w:cs="仿宋" w:asciiTheme="minorEastAsia" w:hAnsiTheme="minorEastAsia" w:eastAsiaTheme="minorEastAsia"/>
                <w:color w:val="auto"/>
                <w:kern w:val="0"/>
                <w:szCs w:val="21"/>
              </w:rPr>
              <w:t>当获悉出现突发事件时，技术支持人员可以立即从知识库或其它渠道获取相应的应急策略，并综合用户方的具体情况，给出相关解决方案，然后在第一时间以电话、邮件支持或现场服务的方式帮助用户解决问题，尽最大努力减小突发事件对用户日常应用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1056"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数据库运行维护、数据备份</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asciiTheme="minorEastAsia" w:hAnsiTheme="minorEastAsia" w:eastAsiaTheme="minorEastAsia"/>
                <w:color w:val="auto"/>
                <w:szCs w:val="21"/>
              </w:rPr>
            </w:pPr>
            <w:r>
              <w:rPr>
                <w:rFonts w:hint="eastAsia" w:cs="仿宋" w:asciiTheme="minorEastAsia" w:hAnsiTheme="minorEastAsia" w:eastAsiaTheme="minorEastAsia"/>
                <w:b/>
                <w:bCs/>
                <w:color w:val="auto"/>
                <w:kern w:val="0"/>
                <w:szCs w:val="21"/>
              </w:rPr>
              <w:t>服务器维修保养任务</w:t>
            </w:r>
            <w:r>
              <w:rPr>
                <w:rFonts w:hint="eastAsia" w:cs="仿宋" w:asciiTheme="minorEastAsia" w:hAnsiTheme="minorEastAsia" w:eastAsiaTheme="minorEastAsia"/>
                <w:color w:val="auto"/>
                <w:kern w:val="0"/>
                <w:szCs w:val="21"/>
              </w:rPr>
              <w:t>：包括服务器的电源模块、主板、硬盘、内存、网卡等部件的维保； SAN存储系统（接入SAN网络的服务器客户端、SAN交换机）、磁盘阵列、磁带库等的管理维护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6</w:t>
            </w:r>
          </w:p>
        </w:tc>
        <w:tc>
          <w:tcPr>
            <w:tcW w:w="1056"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Tomcat、MQ等中间件的日常维护管理和监控</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6573" w:type="dxa"/>
            <w:vAlign w:val="center"/>
          </w:tcPr>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网络安全运行监控，记录、监控相关安全事件，等级保护。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7</w:t>
            </w:r>
          </w:p>
        </w:tc>
        <w:tc>
          <w:tcPr>
            <w:tcW w:w="1056" w:type="dxa"/>
            <w:vAlign w:val="center"/>
          </w:tcPr>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专业技术服务工程师</w:t>
            </w:r>
          </w:p>
        </w:tc>
        <w:tc>
          <w:tcPr>
            <w:tcW w:w="645" w:type="dxa"/>
            <w:vAlign w:val="center"/>
          </w:tcPr>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2名</w:t>
            </w:r>
          </w:p>
        </w:tc>
        <w:tc>
          <w:tcPr>
            <w:tcW w:w="6573" w:type="dxa"/>
            <w:vAlign w:val="center"/>
          </w:tcPr>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1.提供现场值守服务。维护团队需要指派2名资深服务技术服务工程师长期值守环保综合办公大楼，负责对现场设备运行状态进行监视、管理和维护，通过对系统运行日志的分析提前发现并排除可能发生的潜在故障，并在全部维护服务团队支持下，在1小时内排除普通故障，2小时内排除较大故障，4小时内排除重大故障，24小时内排除特大故障。</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2.现场监控服务运维服务人员要做到耐心、细心、热心的服务。工作要做到事事有记录、事事有反馈、重大问题及时汇报。严格遵守工作作息时间，严格按照服务工作流程操作。</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3.现场支持工程师着装整洁、言行礼貌大方，技术专业，操作熟练、严谨、规范；现场支持时必须遵守用户单位的相关规章制度。</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4.现场支持工程师在进行现场支持工作时必须在保证数据和系统安全的前提下开展工作。</w:t>
            </w:r>
          </w:p>
          <w:p>
            <w:pPr>
              <w:spacing w:line="360" w:lineRule="auto"/>
              <w:rPr>
                <w:rFonts w:cs="仿宋" w:asciiTheme="minorEastAsia" w:hAnsiTheme="minorEastAsia" w:eastAsiaTheme="minorEastAsia"/>
                <w:color w:val="auto"/>
                <w:kern w:val="0"/>
                <w:szCs w:val="21"/>
              </w:rPr>
            </w:pPr>
            <w:r>
              <w:rPr>
                <w:rFonts w:hint="eastAsia" w:cs="仿宋" w:asciiTheme="minorEastAsia" w:hAnsiTheme="minorEastAsia" w:eastAsiaTheme="minorEastAsia"/>
                <w:color w:val="auto"/>
                <w:kern w:val="0"/>
                <w:szCs w:val="21"/>
              </w:rPr>
              <w:t>5.现场支持时出现暂时无法解决的故障或其他新的故障时，告知用户并及时上报负责人，寻找其他解决途径。</w:t>
            </w:r>
          </w:p>
          <w:p>
            <w:pPr>
              <w:spacing w:line="360" w:lineRule="auto"/>
              <w:rPr>
                <w:rFonts w:asciiTheme="minorEastAsia" w:hAnsiTheme="minorEastAsia" w:eastAsiaTheme="minorEastAsia"/>
                <w:color w:val="auto"/>
                <w:szCs w:val="21"/>
              </w:rPr>
            </w:pPr>
            <w:r>
              <w:rPr>
                <w:rFonts w:hint="eastAsia" w:cs="仿宋" w:asciiTheme="minorEastAsia" w:hAnsiTheme="minorEastAsia" w:eastAsiaTheme="minorEastAsia"/>
                <w:color w:val="auto"/>
                <w:kern w:val="0"/>
                <w:szCs w:val="21"/>
              </w:rPr>
              <w:t>6.故障解决后，现场支持工程师要详细记录问题的发生时间、地点、提出人和问题描述，并形成书面文档，必要时向用户介绍故障出现的原因及预防方法和解决技巧。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8</w:t>
            </w:r>
          </w:p>
        </w:tc>
        <w:tc>
          <w:tcPr>
            <w:tcW w:w="1056"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物联网卡</w:t>
            </w:r>
          </w:p>
        </w:tc>
        <w:tc>
          <w:tcPr>
            <w:tcW w:w="645"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70</w:t>
            </w:r>
          </w:p>
        </w:tc>
        <w:tc>
          <w:tcPr>
            <w:tcW w:w="6573" w:type="dxa"/>
            <w:vAlign w:val="center"/>
          </w:tcPr>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每台记录仪每个月分配20G高速流量。时效1年</w:t>
            </w:r>
          </w:p>
        </w:tc>
      </w:tr>
    </w:tbl>
    <w:p>
      <w:pPr>
        <w:spacing w:line="360" w:lineRule="auto"/>
        <w:ind w:firstLine="643" w:firstLineChars="200"/>
        <w:jc w:val="center"/>
        <w:outlineLvl w:val="0"/>
        <w:rPr>
          <w:rFonts w:ascii="黑体" w:hAnsi="黑体" w:eastAsia="黑体" w:cs="黑体"/>
          <w:b/>
          <w:bCs/>
          <w:color w:val="auto"/>
          <w:sz w:val="32"/>
          <w:szCs w:val="32"/>
        </w:rPr>
      </w:pPr>
    </w:p>
    <w:p>
      <w:pPr>
        <w:pStyle w:val="7"/>
        <w:numPr>
          <w:ilvl w:val="0"/>
          <w:numId w:val="4"/>
        </w:numPr>
        <w:ind w:firstLine="482"/>
        <w:rPr>
          <w:rFonts w:ascii="黑体" w:hAnsi="黑体" w:eastAsia="黑体" w:cs="黑体"/>
          <w:b/>
          <w:color w:val="auto"/>
          <w:sz w:val="24"/>
        </w:rPr>
      </w:pPr>
      <w:r>
        <w:rPr>
          <w:rFonts w:hint="eastAsia" w:ascii="黑体" w:hAnsi="黑体" w:eastAsia="黑体" w:cs="黑体"/>
          <w:b/>
          <w:color w:val="auto"/>
          <w:sz w:val="24"/>
        </w:rPr>
        <w:t>商务部分：</w:t>
      </w:r>
    </w:p>
    <w:p>
      <w:pPr>
        <w:pStyle w:val="7"/>
        <w:ind w:firstLine="0" w:firstLineChars="0"/>
        <w:rPr>
          <w:color w:val="auto"/>
        </w:rPr>
      </w:pPr>
    </w:p>
    <w:p>
      <w:pPr>
        <w:spacing w:line="360" w:lineRule="auto"/>
        <w:ind w:firstLine="482" w:firstLineChars="200"/>
        <w:rPr>
          <w:rFonts w:ascii="宋体" w:hAnsi="宋体"/>
          <w:b/>
          <w:color w:val="auto"/>
          <w:sz w:val="24"/>
        </w:rPr>
      </w:pPr>
      <w:r>
        <w:rPr>
          <w:rFonts w:hint="eastAsia" w:ascii="宋体" w:hAnsi="宋体"/>
          <w:b/>
          <w:color w:val="auto"/>
          <w:sz w:val="24"/>
        </w:rPr>
        <w:t>1.4付款方式和发票开具方式</w:t>
      </w:r>
    </w:p>
    <w:p>
      <w:pPr>
        <w:spacing w:line="360" w:lineRule="auto"/>
        <w:ind w:firstLine="480" w:firstLineChars="200"/>
        <w:rPr>
          <w:rFonts w:ascii="宋体" w:hAnsi="宋体"/>
          <w:color w:val="auto"/>
          <w:sz w:val="24"/>
        </w:rPr>
      </w:pPr>
      <w:r>
        <w:rPr>
          <w:rFonts w:hint="eastAsia" w:ascii="宋体" w:hAnsi="宋体"/>
          <w:color w:val="auto"/>
          <w:sz w:val="24"/>
        </w:rPr>
        <w:t>1.4.1项目合同签订后，支付合同总价款的65%；</w:t>
      </w:r>
    </w:p>
    <w:p>
      <w:pPr>
        <w:spacing w:line="360" w:lineRule="auto"/>
        <w:ind w:firstLine="480" w:firstLineChars="200"/>
        <w:rPr>
          <w:rFonts w:ascii="宋体" w:hAnsi="宋体"/>
          <w:color w:val="auto"/>
          <w:sz w:val="24"/>
        </w:rPr>
      </w:pPr>
      <w:r>
        <w:rPr>
          <w:rFonts w:hint="eastAsia" w:ascii="宋体" w:hAnsi="宋体"/>
          <w:color w:val="auto"/>
          <w:sz w:val="24"/>
        </w:rPr>
        <w:t>1.4.2服务期满6个月后，支付合同总价款的35%；</w:t>
      </w:r>
    </w:p>
    <w:p>
      <w:pPr>
        <w:spacing w:line="360" w:lineRule="auto"/>
        <w:ind w:firstLine="480" w:firstLineChars="200"/>
        <w:rPr>
          <w:rFonts w:ascii="宋体" w:hAnsi="宋体"/>
          <w:color w:val="auto"/>
          <w:sz w:val="24"/>
        </w:rPr>
      </w:pPr>
      <w:r>
        <w:rPr>
          <w:rFonts w:hint="eastAsia" w:ascii="宋体" w:hAnsi="宋体"/>
          <w:color w:val="auto"/>
          <w:sz w:val="24"/>
        </w:rPr>
        <w:t>1.4.3成交供应商承诺在采购人办理支付手续前，为采购人出具等额的符合国家规定的发票；</w:t>
      </w:r>
    </w:p>
    <w:p>
      <w:pPr>
        <w:spacing w:line="360" w:lineRule="auto"/>
        <w:ind w:firstLine="480" w:firstLineChars="200"/>
        <w:outlineLvl w:val="0"/>
        <w:rPr>
          <w:rFonts w:ascii="宋体" w:hAnsi="宋体"/>
          <w:color w:val="auto"/>
          <w:sz w:val="24"/>
        </w:rPr>
      </w:pPr>
      <w:bookmarkStart w:id="76" w:name="_Toc7242"/>
      <w:bookmarkStart w:id="77" w:name="_Toc25213"/>
      <w:r>
        <w:rPr>
          <w:rFonts w:hint="eastAsia" w:ascii="宋体" w:hAnsi="宋体"/>
          <w:color w:val="auto"/>
          <w:sz w:val="24"/>
        </w:rPr>
        <w:t>1.4.4上述时间不包括采购人正常办理支付报批手续的时间。</w:t>
      </w:r>
      <w:bookmarkEnd w:id="76"/>
      <w:bookmarkEnd w:id="77"/>
    </w:p>
    <w:p>
      <w:pPr>
        <w:spacing w:line="360" w:lineRule="auto"/>
        <w:ind w:firstLine="482" w:firstLineChars="200"/>
        <w:rPr>
          <w:rFonts w:ascii="宋体" w:hAnsi="宋体"/>
          <w:b/>
          <w:color w:val="auto"/>
          <w:sz w:val="24"/>
        </w:rPr>
      </w:pPr>
      <w:r>
        <w:rPr>
          <w:rFonts w:hint="eastAsia" w:ascii="宋体" w:hAnsi="宋体"/>
          <w:b/>
          <w:color w:val="auto"/>
          <w:sz w:val="24"/>
        </w:rPr>
        <w:t>1.5服务期限、地点和方式</w:t>
      </w:r>
    </w:p>
    <w:p>
      <w:pPr>
        <w:spacing w:line="360" w:lineRule="auto"/>
        <w:ind w:firstLine="480" w:firstLineChars="200"/>
        <w:rPr>
          <w:rFonts w:ascii="宋体" w:hAnsi="宋体"/>
          <w:color w:val="auto"/>
          <w:sz w:val="24"/>
          <w:u w:val="single"/>
        </w:rPr>
      </w:pPr>
      <w:r>
        <w:rPr>
          <w:rFonts w:hint="eastAsia" w:ascii="宋体" w:hAnsi="宋体"/>
          <w:color w:val="auto"/>
          <w:sz w:val="24"/>
        </w:rPr>
        <w:t>1.5.1服务期：一年；</w:t>
      </w:r>
    </w:p>
    <w:p>
      <w:pPr>
        <w:spacing w:line="360" w:lineRule="auto"/>
        <w:ind w:firstLine="480" w:firstLineChars="200"/>
        <w:rPr>
          <w:rFonts w:ascii="宋体" w:hAnsi="宋体"/>
          <w:color w:val="auto"/>
          <w:sz w:val="24"/>
        </w:rPr>
      </w:pPr>
      <w:r>
        <w:rPr>
          <w:rFonts w:hint="eastAsia" w:ascii="宋体" w:hAnsi="宋体"/>
          <w:color w:val="auto"/>
          <w:sz w:val="24"/>
        </w:rPr>
        <w:t>1.5.2服务地点：</w:t>
      </w:r>
      <w:r>
        <w:rPr>
          <w:rFonts w:hint="eastAsia" w:ascii="宋体" w:hAnsi="宋体"/>
          <w:color w:val="auto"/>
          <w:sz w:val="24"/>
          <w:u w:val="single"/>
        </w:rPr>
        <w:t>采购人指定地点</w:t>
      </w:r>
      <w:r>
        <w:rPr>
          <w:rFonts w:hint="eastAsia" w:ascii="宋体" w:hAnsi="宋体"/>
          <w:color w:val="auto"/>
          <w:sz w:val="24"/>
        </w:rPr>
        <w:t>。</w:t>
      </w: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80"/>
        <w:rPr>
          <w:rFonts w:ascii="宋体" w:hAnsi="宋体"/>
          <w:color w:val="auto"/>
          <w:sz w:val="24"/>
        </w:rPr>
      </w:pPr>
    </w:p>
    <w:p>
      <w:pPr>
        <w:rPr>
          <w:rFonts w:ascii="宋体" w:hAnsi="宋体"/>
          <w:color w:val="auto"/>
          <w:sz w:val="24"/>
        </w:rPr>
      </w:pPr>
    </w:p>
    <w:p>
      <w:pPr>
        <w:pStyle w:val="7"/>
        <w:ind w:firstLine="420"/>
        <w:rPr>
          <w:color w:val="auto"/>
        </w:rPr>
      </w:pPr>
    </w:p>
    <w:p>
      <w:pPr>
        <w:spacing w:line="360" w:lineRule="auto"/>
        <w:ind w:firstLine="643" w:firstLineChars="200"/>
        <w:jc w:val="center"/>
        <w:outlineLvl w:val="0"/>
        <w:rPr>
          <w:rFonts w:ascii="宋体" w:hAnsi="宋体"/>
          <w:color w:val="auto"/>
          <w:sz w:val="24"/>
        </w:rPr>
      </w:pPr>
      <w:bookmarkStart w:id="78" w:name="_Toc13661"/>
      <w:r>
        <w:rPr>
          <w:rFonts w:hint="eastAsia" w:ascii="黑体" w:hAnsi="黑体" w:eastAsia="黑体" w:cs="黑体"/>
          <w:b/>
          <w:bCs/>
          <w:color w:val="auto"/>
          <w:sz w:val="32"/>
          <w:szCs w:val="32"/>
        </w:rPr>
        <w:t>第四部分 磋商、评审、成交</w:t>
      </w:r>
      <w:bookmarkEnd w:id="78"/>
    </w:p>
    <w:p>
      <w:pPr>
        <w:spacing w:line="360" w:lineRule="auto"/>
        <w:ind w:firstLine="481"/>
        <w:jc w:val="left"/>
        <w:outlineLvl w:val="1"/>
        <w:rPr>
          <w:rFonts w:ascii="黑体" w:hAnsi="黑体" w:eastAsia="黑体" w:cs="黑体"/>
          <w:b/>
          <w:color w:val="auto"/>
          <w:sz w:val="24"/>
        </w:rPr>
      </w:pPr>
      <w:bookmarkStart w:id="79" w:name="_Toc983"/>
      <w:bookmarkStart w:id="80" w:name="_Toc7863"/>
      <w:bookmarkStart w:id="81" w:name="_Toc23103"/>
      <w:bookmarkStart w:id="82" w:name="_Toc9954"/>
      <w:r>
        <w:rPr>
          <w:rFonts w:hint="eastAsia" w:ascii="黑体" w:hAnsi="黑体" w:eastAsia="黑体" w:cs="黑体"/>
          <w:b/>
          <w:color w:val="auto"/>
          <w:sz w:val="24"/>
        </w:rPr>
        <w:t>一、</w:t>
      </w:r>
      <w:bookmarkEnd w:id="79"/>
      <w:bookmarkEnd w:id="80"/>
      <w:r>
        <w:rPr>
          <w:rFonts w:hint="eastAsia" w:ascii="黑体" w:hAnsi="黑体" w:eastAsia="黑体" w:cs="黑体"/>
          <w:b/>
          <w:color w:val="auto"/>
          <w:sz w:val="24"/>
        </w:rPr>
        <w:t>开启响应文件</w:t>
      </w:r>
      <w:bookmarkEnd w:id="81"/>
      <w:bookmarkEnd w:id="82"/>
    </w:p>
    <w:p>
      <w:pPr>
        <w:tabs>
          <w:tab w:val="left" w:pos="525"/>
        </w:tabs>
        <w:spacing w:line="360" w:lineRule="auto"/>
        <w:ind w:firstLine="480" w:firstLineChars="200"/>
        <w:rPr>
          <w:rFonts w:ascii="宋体" w:hAnsi="宋体"/>
          <w:color w:val="auto"/>
          <w:sz w:val="24"/>
        </w:rPr>
      </w:pPr>
      <w:bookmarkStart w:id="83" w:name="_Toc5246"/>
      <w:bookmarkStart w:id="84" w:name="_Toc23278"/>
      <w:r>
        <w:rPr>
          <w:rFonts w:hint="eastAsia" w:ascii="宋体" w:hAnsi="宋体"/>
          <w:color w:val="auto"/>
          <w:sz w:val="24"/>
        </w:rPr>
        <w:t>1.采购代理机构组织开标、评审工作，整个过程受政府采购监管机构的监督、管理。</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2.采购代理机构在磋商文件规定的时间和地点组织开标。供应商须派法定代表人或被授权代表参加，并签到。法定代表人参加的，须出示本人身份证原件；被授权代表参加的，须出示被授权代表的身份证原件。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ascii="宋体" w:hAnsi="宋体"/>
          <w:b/>
          <w:bCs/>
          <w:color w:val="auto"/>
          <w:sz w:val="24"/>
        </w:rPr>
      </w:pPr>
      <w:r>
        <w:rPr>
          <w:rFonts w:hint="eastAsia" w:ascii="宋体" w:hAnsi="宋体"/>
          <w:b/>
          <w:bCs/>
          <w:color w:val="auto"/>
          <w:sz w:val="24"/>
        </w:rPr>
        <w:t>参加磋商的供应商不足3家的，不得开启。</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3.磋商供应商对开启过程和开启记录有疑义，以及认为采购人、采购代理机构相关工作人员有需要回避情形的，应在开标现场提出询问或回避申请，采购人、采购代理机构应当及时处理。</w:t>
      </w:r>
    </w:p>
    <w:p>
      <w:pPr>
        <w:tabs>
          <w:tab w:val="left" w:pos="525"/>
        </w:tabs>
        <w:spacing w:line="360" w:lineRule="auto"/>
        <w:ind w:firstLine="480" w:firstLineChars="200"/>
        <w:rPr>
          <w:rFonts w:ascii="宋体" w:hAnsi="宋体"/>
          <w:color w:val="auto"/>
          <w:sz w:val="24"/>
        </w:rPr>
      </w:pPr>
      <w:r>
        <w:rPr>
          <w:rFonts w:hint="eastAsia" w:ascii="宋体" w:hAnsi="宋体"/>
          <w:color w:val="auto"/>
          <w:sz w:val="24"/>
        </w:rPr>
        <w:t>4.响应供应商未参加开标的，视同认可开标结果。</w:t>
      </w:r>
    </w:p>
    <w:bookmarkEnd w:id="83"/>
    <w:bookmarkEnd w:id="84"/>
    <w:p>
      <w:pPr>
        <w:spacing w:line="360" w:lineRule="auto"/>
        <w:ind w:firstLine="480" w:firstLineChars="200"/>
        <w:rPr>
          <w:rFonts w:ascii="宋体" w:hAnsi="宋体"/>
          <w:color w:val="auto"/>
          <w:sz w:val="24"/>
        </w:rPr>
      </w:pPr>
      <w:bookmarkStart w:id="85" w:name="_Toc24432"/>
      <w:r>
        <w:rPr>
          <w:rFonts w:hint="eastAsia" w:ascii="宋体" w:hAnsi="宋体"/>
          <w:color w:val="auto"/>
          <w:sz w:val="24"/>
        </w:rPr>
        <w:t>5.资格性审查</w:t>
      </w:r>
    </w:p>
    <w:p>
      <w:pPr>
        <w:spacing w:line="360" w:lineRule="auto"/>
        <w:ind w:firstLine="480" w:firstLineChars="200"/>
        <w:rPr>
          <w:rFonts w:ascii="宋体" w:hAnsi="宋体"/>
          <w:color w:val="auto"/>
          <w:sz w:val="24"/>
        </w:rPr>
      </w:pPr>
      <w:r>
        <w:rPr>
          <w:rFonts w:hint="eastAsia" w:ascii="宋体" w:hAnsi="宋体"/>
          <w:color w:val="auto"/>
          <w:sz w:val="24"/>
        </w:rPr>
        <w:t>采购人依据法律法规和磋商文件的规定，对响应文件中的供应商资格证明文件进行审查，以确定供应商是否具备磋商资格。</w:t>
      </w:r>
    </w:p>
    <w:p>
      <w:pPr>
        <w:spacing w:line="360" w:lineRule="auto"/>
        <w:ind w:firstLine="480" w:firstLineChars="200"/>
        <w:rPr>
          <w:rFonts w:ascii="宋体" w:hAnsi="宋体"/>
          <w:color w:val="auto"/>
          <w:sz w:val="24"/>
        </w:rPr>
      </w:pPr>
      <w:r>
        <w:rPr>
          <w:rFonts w:hint="eastAsia" w:ascii="宋体" w:hAnsi="宋体"/>
          <w:color w:val="auto"/>
          <w:sz w:val="24"/>
        </w:rPr>
        <w:t>出现下列情形的，响应文件将被视为无效：</w:t>
      </w:r>
    </w:p>
    <w:p>
      <w:pPr>
        <w:spacing w:line="360" w:lineRule="auto"/>
        <w:ind w:firstLine="480" w:firstLineChars="200"/>
        <w:rPr>
          <w:rFonts w:ascii="宋体" w:hAnsi="宋体"/>
          <w:color w:val="auto"/>
          <w:sz w:val="24"/>
        </w:rPr>
      </w:pPr>
      <w:r>
        <w:rPr>
          <w:rFonts w:hint="eastAsia" w:ascii="宋体" w:hAnsi="宋体"/>
          <w:color w:val="auto"/>
          <w:sz w:val="24"/>
        </w:rPr>
        <w:t>5.1不具备磋商文件中规定的资格要求的；</w:t>
      </w:r>
    </w:p>
    <w:p>
      <w:pPr>
        <w:spacing w:line="360" w:lineRule="auto"/>
        <w:ind w:firstLine="480" w:firstLineChars="200"/>
        <w:rPr>
          <w:rFonts w:ascii="宋体" w:hAnsi="宋体"/>
          <w:color w:val="auto"/>
          <w:sz w:val="24"/>
        </w:rPr>
      </w:pPr>
      <w:r>
        <w:rPr>
          <w:rFonts w:hint="eastAsia" w:ascii="宋体" w:hAnsi="宋体"/>
          <w:color w:val="auto"/>
          <w:sz w:val="24"/>
        </w:rPr>
        <w:t>5.2未按磋商文件要求提供资格证明文件，或未按磋商文件要求加盖公章的；</w:t>
      </w:r>
    </w:p>
    <w:p>
      <w:pPr>
        <w:spacing w:line="360" w:lineRule="auto"/>
        <w:ind w:firstLine="480" w:firstLineChars="200"/>
        <w:rPr>
          <w:rFonts w:ascii="宋体" w:hAnsi="宋体"/>
          <w:color w:val="auto"/>
          <w:sz w:val="24"/>
        </w:rPr>
      </w:pPr>
      <w:r>
        <w:rPr>
          <w:rFonts w:hint="eastAsia" w:ascii="宋体" w:hAnsi="宋体"/>
          <w:color w:val="auto"/>
          <w:sz w:val="24"/>
        </w:rPr>
        <w:t>5.3采购人审查人员认为供应商的资格证明文件存在疑点，要求供应商现场或通过电子邮件等形式提供更清晰有效的证明文件，供应商不能在规定时限内提供符合磋商文件要求的证明文件的。</w:t>
      </w:r>
    </w:p>
    <w:p>
      <w:pPr>
        <w:spacing w:line="360" w:lineRule="auto"/>
        <w:ind w:firstLine="480" w:firstLineChars="200"/>
        <w:rPr>
          <w:rFonts w:ascii="宋体" w:hAnsi="宋体"/>
          <w:color w:val="auto"/>
          <w:sz w:val="24"/>
        </w:rPr>
      </w:pPr>
      <w:r>
        <w:rPr>
          <w:rFonts w:hint="eastAsia" w:ascii="宋体" w:hAnsi="宋体"/>
          <w:color w:val="auto"/>
          <w:sz w:val="24"/>
        </w:rPr>
        <w:t>资格审查结束后，采购人审查人员应当对审查结果进行签字确认，并告知有关供应商未通过审查的原因。</w:t>
      </w:r>
    </w:p>
    <w:p>
      <w:pPr>
        <w:spacing w:line="360" w:lineRule="auto"/>
        <w:ind w:firstLine="480" w:firstLineChars="200"/>
        <w:rPr>
          <w:rFonts w:ascii="宋体" w:hAnsi="宋体"/>
          <w:color w:val="auto"/>
          <w:sz w:val="24"/>
        </w:rPr>
      </w:pPr>
      <w:r>
        <w:rPr>
          <w:rFonts w:hint="eastAsia" w:ascii="宋体" w:hAnsi="宋体"/>
          <w:color w:val="auto"/>
          <w:sz w:val="24"/>
        </w:rPr>
        <w:t>通过资格审查的供应商不足3家的，不得进行符合性审查，应予以废标。</w:t>
      </w:r>
    </w:p>
    <w:p>
      <w:pPr>
        <w:spacing w:line="360" w:lineRule="auto"/>
        <w:ind w:firstLine="481"/>
        <w:jc w:val="left"/>
        <w:outlineLvl w:val="1"/>
        <w:rPr>
          <w:rFonts w:ascii="黑体" w:hAnsi="黑体" w:eastAsia="黑体" w:cs="黑体"/>
          <w:b/>
          <w:color w:val="auto"/>
          <w:sz w:val="24"/>
        </w:rPr>
      </w:pPr>
      <w:bookmarkStart w:id="86" w:name="_Toc7544"/>
      <w:r>
        <w:rPr>
          <w:rFonts w:hint="eastAsia" w:ascii="黑体" w:hAnsi="黑体" w:eastAsia="黑体" w:cs="黑体"/>
          <w:b/>
          <w:color w:val="auto"/>
          <w:sz w:val="24"/>
        </w:rPr>
        <w:t>二、组织评审</w:t>
      </w:r>
      <w:bookmarkEnd w:id="85"/>
      <w:bookmarkEnd w:id="86"/>
    </w:p>
    <w:p>
      <w:pPr>
        <w:spacing w:line="360" w:lineRule="auto"/>
        <w:ind w:firstLine="480" w:firstLineChars="200"/>
        <w:rPr>
          <w:rFonts w:ascii="宋体" w:hAnsi="宋体"/>
          <w:color w:val="auto"/>
          <w:sz w:val="24"/>
        </w:rPr>
      </w:pPr>
      <w:r>
        <w:rPr>
          <w:rFonts w:hint="eastAsia" w:ascii="宋体" w:hAnsi="宋体"/>
          <w:color w:val="auto"/>
          <w:sz w:val="24"/>
        </w:rPr>
        <w:t>1.采购代理机构负责组织评审工作，并履行下列职责：</w:t>
      </w:r>
    </w:p>
    <w:p>
      <w:pPr>
        <w:spacing w:line="360" w:lineRule="auto"/>
        <w:ind w:firstLine="480" w:firstLineChars="200"/>
        <w:rPr>
          <w:rFonts w:ascii="宋体" w:hAnsi="宋体"/>
          <w:color w:val="auto"/>
          <w:sz w:val="24"/>
        </w:rPr>
      </w:pPr>
      <w:r>
        <w:rPr>
          <w:rFonts w:hint="eastAsia" w:ascii="宋体" w:hAnsi="宋体"/>
          <w:color w:val="auto"/>
          <w:sz w:val="24"/>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olor w:val="auto"/>
          <w:sz w:val="24"/>
        </w:rPr>
      </w:pPr>
      <w:r>
        <w:rPr>
          <w:rFonts w:hint="eastAsia" w:ascii="宋体" w:hAnsi="宋体"/>
          <w:color w:val="auto"/>
          <w:sz w:val="24"/>
        </w:rPr>
        <w:t>1.2宣布评审纪律;</w:t>
      </w:r>
    </w:p>
    <w:p>
      <w:pPr>
        <w:spacing w:line="360" w:lineRule="auto"/>
        <w:ind w:firstLine="480" w:firstLineChars="200"/>
        <w:rPr>
          <w:rFonts w:ascii="宋体" w:hAnsi="宋体"/>
          <w:color w:val="auto"/>
          <w:sz w:val="24"/>
        </w:rPr>
      </w:pPr>
      <w:r>
        <w:rPr>
          <w:rFonts w:hint="eastAsia" w:ascii="宋体" w:hAnsi="宋体"/>
          <w:color w:val="auto"/>
          <w:sz w:val="24"/>
        </w:rPr>
        <w:t>1.3公布供应商名单，告知评审专家应当回避的情形;</w:t>
      </w:r>
    </w:p>
    <w:p>
      <w:pPr>
        <w:spacing w:line="360" w:lineRule="auto"/>
        <w:ind w:firstLine="480" w:firstLineChars="200"/>
        <w:rPr>
          <w:rFonts w:ascii="宋体" w:hAnsi="宋体"/>
          <w:color w:val="auto"/>
          <w:sz w:val="24"/>
        </w:rPr>
      </w:pPr>
      <w:r>
        <w:rPr>
          <w:rFonts w:hint="eastAsia" w:ascii="宋体" w:hAnsi="宋体"/>
          <w:color w:val="auto"/>
          <w:sz w:val="24"/>
        </w:rPr>
        <w:t>1.4组织磋商小组推选评审组长，采购人代表不得担任组长;</w:t>
      </w:r>
    </w:p>
    <w:p>
      <w:pPr>
        <w:spacing w:line="360" w:lineRule="auto"/>
        <w:ind w:firstLine="480" w:firstLineChars="200"/>
        <w:rPr>
          <w:rFonts w:ascii="宋体" w:hAnsi="宋体"/>
          <w:color w:val="auto"/>
          <w:sz w:val="24"/>
        </w:rPr>
      </w:pPr>
      <w:r>
        <w:rPr>
          <w:rFonts w:hint="eastAsia" w:ascii="宋体" w:hAnsi="宋体"/>
          <w:color w:val="auto"/>
          <w:sz w:val="24"/>
        </w:rPr>
        <w:t>1.5在评审期间采取必要的通讯管理措施，保证评审活动不受外界干扰;</w:t>
      </w:r>
    </w:p>
    <w:p>
      <w:pPr>
        <w:spacing w:line="360" w:lineRule="auto"/>
        <w:ind w:firstLine="480" w:firstLineChars="200"/>
        <w:rPr>
          <w:rFonts w:ascii="宋体" w:hAnsi="宋体"/>
          <w:color w:val="auto"/>
          <w:sz w:val="24"/>
        </w:rPr>
      </w:pPr>
      <w:r>
        <w:rPr>
          <w:rFonts w:hint="eastAsia" w:ascii="宋体" w:hAnsi="宋体"/>
          <w:color w:val="auto"/>
          <w:sz w:val="24"/>
        </w:rPr>
        <w:t>1.6根据磋商小组的要求介绍政府采购相关政策法规、磋商文件;</w:t>
      </w:r>
    </w:p>
    <w:p>
      <w:pPr>
        <w:spacing w:line="360" w:lineRule="auto"/>
        <w:ind w:firstLine="480" w:firstLineChars="200"/>
        <w:rPr>
          <w:rFonts w:ascii="宋体" w:hAnsi="宋体"/>
          <w:color w:val="auto"/>
          <w:sz w:val="24"/>
        </w:rPr>
      </w:pPr>
      <w:r>
        <w:rPr>
          <w:rFonts w:hint="eastAsia" w:ascii="宋体" w:hAnsi="宋体"/>
          <w:color w:val="auto"/>
          <w:sz w:val="24"/>
        </w:rPr>
        <w:t>1.7维护评审秩序，监督磋商小组依照磋商文件规定的评审程序、方法和标准进行独立评审，及时制止和纠正采购人代表、评审专家的倾向性言论或者违法违规行为;</w:t>
      </w:r>
    </w:p>
    <w:p>
      <w:pPr>
        <w:spacing w:line="360" w:lineRule="auto"/>
        <w:ind w:firstLine="480" w:firstLineChars="200"/>
        <w:rPr>
          <w:rFonts w:ascii="宋体" w:hAnsi="宋体"/>
          <w:color w:val="auto"/>
          <w:sz w:val="24"/>
        </w:rPr>
      </w:pPr>
      <w:r>
        <w:rPr>
          <w:rFonts w:hint="eastAsia" w:ascii="宋体" w:hAnsi="宋体"/>
          <w:color w:val="auto"/>
          <w:sz w:val="24"/>
        </w:rPr>
        <w:t>1.8核对评审结果;</w:t>
      </w:r>
    </w:p>
    <w:p>
      <w:pPr>
        <w:spacing w:line="360" w:lineRule="auto"/>
        <w:ind w:firstLine="480" w:firstLineChars="200"/>
        <w:rPr>
          <w:rFonts w:ascii="宋体" w:hAnsi="宋体"/>
          <w:color w:val="auto"/>
          <w:sz w:val="24"/>
        </w:rPr>
      </w:pPr>
      <w:r>
        <w:rPr>
          <w:rFonts w:hint="eastAsia" w:ascii="宋体" w:hAnsi="宋体"/>
          <w:color w:val="auto"/>
          <w:sz w:val="24"/>
        </w:rPr>
        <w:t>1.9评审工作完成后，按照规定向评审专家支付劳务报酬和异地评审差旅费，不得向评审专家以外的其他人员支付评审劳务报酬;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olor w:val="auto"/>
          <w:sz w:val="24"/>
        </w:rPr>
      </w:pPr>
      <w:r>
        <w:rPr>
          <w:rFonts w:hint="eastAsia" w:ascii="宋体" w:hAnsi="宋体"/>
          <w:color w:val="auto"/>
          <w:sz w:val="24"/>
        </w:rPr>
        <w:t>1.10处理与评审有关的其他事项。</w:t>
      </w:r>
    </w:p>
    <w:p>
      <w:pPr>
        <w:spacing w:line="360" w:lineRule="auto"/>
        <w:ind w:firstLine="480" w:firstLineChars="200"/>
        <w:rPr>
          <w:rFonts w:ascii="宋体" w:hAnsi="宋体"/>
          <w:color w:val="auto"/>
          <w:sz w:val="24"/>
        </w:rPr>
      </w:pPr>
      <w:r>
        <w:rPr>
          <w:rFonts w:hint="eastAsia" w:ascii="宋体" w:hAnsi="宋体"/>
          <w:color w:val="auto"/>
          <w:sz w:val="24"/>
        </w:rPr>
        <w:t>采购人可以在评审前说明项目背景和采购需求，说明内容不得含有歧视性、倾向性意见，不得超出磋商文件所述范围。说明应当提交书面材料，并随磋商文件一并存档</w:t>
      </w:r>
    </w:p>
    <w:p>
      <w:pPr>
        <w:spacing w:line="360" w:lineRule="auto"/>
        <w:ind w:firstLine="480" w:firstLineChars="200"/>
        <w:rPr>
          <w:rFonts w:ascii="宋体" w:hAnsi="宋体"/>
          <w:color w:val="auto"/>
          <w:sz w:val="24"/>
        </w:rPr>
      </w:pPr>
      <w:r>
        <w:rPr>
          <w:rFonts w:hint="eastAsia" w:ascii="宋体" w:hAnsi="宋体"/>
          <w:color w:val="auto"/>
          <w:sz w:val="24"/>
        </w:rPr>
        <w:t>2.磋商小组负责具体评审事务，并独立履行下列职责：</w:t>
      </w:r>
    </w:p>
    <w:p>
      <w:pPr>
        <w:spacing w:line="360" w:lineRule="auto"/>
        <w:ind w:firstLine="480" w:firstLineChars="200"/>
        <w:rPr>
          <w:rFonts w:ascii="宋体" w:hAnsi="宋体"/>
          <w:color w:val="auto"/>
          <w:sz w:val="24"/>
        </w:rPr>
      </w:pPr>
      <w:r>
        <w:rPr>
          <w:rFonts w:hint="eastAsia" w:ascii="宋体" w:hAnsi="宋体"/>
          <w:color w:val="auto"/>
          <w:sz w:val="24"/>
        </w:rPr>
        <w:t>2.1遵守评审工作纪律，不得泄露评审情况和评审中获悉的商业秘密；</w:t>
      </w:r>
    </w:p>
    <w:p>
      <w:pPr>
        <w:spacing w:line="360" w:lineRule="auto"/>
        <w:ind w:firstLine="480" w:firstLineChars="200"/>
        <w:rPr>
          <w:rFonts w:ascii="宋体" w:hAnsi="宋体"/>
          <w:color w:val="auto"/>
          <w:sz w:val="24"/>
        </w:rPr>
      </w:pPr>
      <w:r>
        <w:rPr>
          <w:rFonts w:hint="eastAsia" w:ascii="宋体" w:hAnsi="宋体"/>
          <w:color w:val="auto"/>
          <w:sz w:val="24"/>
        </w:rPr>
        <w:t>2.2按照客观、公正、审慎的原则，根据磋商文件规定的评审程序、评审方法和评审标准进行独立评审；</w:t>
      </w:r>
    </w:p>
    <w:p>
      <w:pPr>
        <w:spacing w:line="360" w:lineRule="auto"/>
        <w:ind w:firstLine="480" w:firstLineChars="200"/>
        <w:rPr>
          <w:rFonts w:ascii="宋体" w:hAnsi="宋体"/>
          <w:color w:val="auto"/>
          <w:sz w:val="24"/>
        </w:rPr>
      </w:pPr>
      <w:r>
        <w:rPr>
          <w:rFonts w:hint="eastAsia" w:ascii="宋体" w:hAnsi="宋体"/>
          <w:color w:val="auto"/>
          <w:sz w:val="24"/>
        </w:rPr>
        <w:t>2.3要求供应商对响应文件有关事项做出澄清或者说明；</w:t>
      </w:r>
    </w:p>
    <w:p>
      <w:pPr>
        <w:spacing w:line="360" w:lineRule="auto"/>
        <w:ind w:firstLine="480" w:firstLineChars="200"/>
        <w:rPr>
          <w:rFonts w:ascii="宋体" w:hAnsi="宋体"/>
          <w:color w:val="auto"/>
          <w:sz w:val="24"/>
        </w:rPr>
      </w:pPr>
      <w:r>
        <w:rPr>
          <w:rFonts w:hint="eastAsia" w:ascii="宋体" w:hAnsi="宋体"/>
          <w:color w:val="auto"/>
          <w:sz w:val="24"/>
        </w:rPr>
        <w:t>2.4与供应商分别进行磋商；</w:t>
      </w:r>
    </w:p>
    <w:p>
      <w:pPr>
        <w:spacing w:line="360" w:lineRule="auto"/>
        <w:ind w:firstLine="480" w:firstLineChars="200"/>
        <w:rPr>
          <w:rFonts w:ascii="宋体" w:hAnsi="宋体"/>
          <w:color w:val="auto"/>
          <w:sz w:val="24"/>
        </w:rPr>
      </w:pPr>
      <w:r>
        <w:rPr>
          <w:rFonts w:hint="eastAsia" w:ascii="宋体" w:hAnsi="宋体"/>
          <w:color w:val="auto"/>
          <w:sz w:val="24"/>
        </w:rPr>
        <w:t>2.5对响应文件进行比较和评价；</w:t>
      </w:r>
    </w:p>
    <w:p>
      <w:pPr>
        <w:spacing w:line="360" w:lineRule="auto"/>
        <w:ind w:firstLine="480" w:firstLineChars="200"/>
        <w:rPr>
          <w:rFonts w:ascii="宋体" w:hAnsi="宋体"/>
          <w:color w:val="auto"/>
          <w:sz w:val="24"/>
        </w:rPr>
      </w:pPr>
      <w:r>
        <w:rPr>
          <w:rFonts w:hint="eastAsia" w:ascii="宋体" w:hAnsi="宋体"/>
          <w:color w:val="auto"/>
          <w:sz w:val="24"/>
        </w:rPr>
        <w:t>2.6确定成交候选人名单，以及根据采购人委托直接确定成交供应商；</w:t>
      </w:r>
    </w:p>
    <w:p>
      <w:pPr>
        <w:spacing w:line="360" w:lineRule="auto"/>
        <w:ind w:firstLine="480" w:firstLineChars="200"/>
        <w:rPr>
          <w:rFonts w:ascii="宋体" w:hAnsi="宋体"/>
          <w:color w:val="auto"/>
          <w:sz w:val="24"/>
        </w:rPr>
      </w:pPr>
      <w:r>
        <w:rPr>
          <w:rFonts w:hint="eastAsia" w:ascii="宋体" w:hAnsi="宋体"/>
          <w:color w:val="auto"/>
          <w:sz w:val="24"/>
        </w:rPr>
        <w:t>2.7配合答复供应商的询问、质疑和投诉等事项，不得泄露评审文件、评审情况和在评审过程中获悉的商业秘密；</w:t>
      </w:r>
    </w:p>
    <w:p>
      <w:pPr>
        <w:spacing w:line="360" w:lineRule="auto"/>
        <w:ind w:firstLine="480" w:firstLineChars="200"/>
        <w:rPr>
          <w:rFonts w:ascii="宋体" w:hAnsi="宋体"/>
          <w:color w:val="auto"/>
          <w:sz w:val="24"/>
        </w:rPr>
      </w:pPr>
      <w:r>
        <w:rPr>
          <w:rFonts w:hint="eastAsia" w:ascii="宋体" w:hAnsi="宋体"/>
          <w:color w:val="auto"/>
          <w:sz w:val="24"/>
        </w:rPr>
        <w:t>2.8向采购人、采购代理机构或者有关部门报告评审中发现的违法行为。</w:t>
      </w:r>
    </w:p>
    <w:p>
      <w:pPr>
        <w:spacing w:line="360" w:lineRule="auto"/>
        <w:ind w:firstLine="480" w:firstLineChars="200"/>
        <w:rPr>
          <w:rFonts w:ascii="宋体" w:hAnsi="宋体"/>
          <w:color w:val="auto"/>
          <w:sz w:val="24"/>
        </w:rPr>
      </w:pPr>
      <w:r>
        <w:rPr>
          <w:rFonts w:hint="eastAsia" w:ascii="宋体" w:hAnsi="宋体"/>
          <w:color w:val="auto"/>
          <w:sz w:val="24"/>
        </w:rPr>
        <w:t>3.成立磋商小组</w:t>
      </w:r>
    </w:p>
    <w:p>
      <w:pPr>
        <w:spacing w:line="360" w:lineRule="auto"/>
        <w:ind w:firstLine="480" w:firstLineChars="200"/>
        <w:rPr>
          <w:rFonts w:ascii="宋体" w:hAnsi="宋体"/>
          <w:color w:val="auto"/>
          <w:sz w:val="24"/>
        </w:rPr>
      </w:pPr>
      <w:r>
        <w:rPr>
          <w:rFonts w:hint="eastAsia" w:ascii="宋体" w:hAnsi="宋体"/>
          <w:color w:val="auto"/>
          <w:sz w:val="24"/>
        </w:rPr>
        <w:t>3.1为了确保磋商工作的公平、公正，依据政府采购法和政府采购相关法规、规章，成立磋商小组，磋商小组由采购人代表和评审专家共3人以上单数组成，其中评审专家人数不少于磋商小组成员总数的三分之二。</w:t>
      </w:r>
    </w:p>
    <w:p>
      <w:pPr>
        <w:spacing w:line="360" w:lineRule="auto"/>
        <w:ind w:firstLine="480" w:firstLineChars="200"/>
        <w:rPr>
          <w:rFonts w:ascii="宋体" w:hAnsi="宋体"/>
          <w:color w:val="auto"/>
          <w:sz w:val="24"/>
        </w:rPr>
      </w:pPr>
      <w:r>
        <w:rPr>
          <w:rFonts w:hint="eastAsia" w:ascii="宋体" w:hAnsi="宋体"/>
          <w:color w:val="auto"/>
          <w:sz w:val="24"/>
        </w:rPr>
        <w:t>评审专家对本单位的采购项目只能作为采购人代表参与评审。采购代理机构工作人员不得参加由本机构代理的政府采购项目的评审。</w:t>
      </w:r>
    </w:p>
    <w:p>
      <w:pPr>
        <w:spacing w:line="360" w:lineRule="auto"/>
        <w:ind w:firstLine="480" w:firstLineChars="200"/>
        <w:rPr>
          <w:rFonts w:ascii="宋体" w:hAnsi="宋体"/>
          <w:color w:val="auto"/>
          <w:sz w:val="24"/>
        </w:rPr>
      </w:pPr>
      <w:r>
        <w:rPr>
          <w:rFonts w:hint="eastAsia" w:ascii="宋体" w:hAnsi="宋体"/>
          <w:color w:val="auto"/>
          <w:sz w:val="24"/>
        </w:rPr>
        <w:t>磋商小组成员名单在评审结果公告前应当保密。</w:t>
      </w:r>
    </w:p>
    <w:p>
      <w:pPr>
        <w:spacing w:line="360" w:lineRule="auto"/>
        <w:ind w:firstLine="480" w:firstLineChars="200"/>
        <w:rPr>
          <w:rFonts w:ascii="宋体" w:hAnsi="宋体"/>
          <w:color w:val="auto"/>
          <w:sz w:val="24"/>
        </w:rPr>
      </w:pPr>
      <w:r>
        <w:rPr>
          <w:rFonts w:hint="eastAsia" w:ascii="宋体" w:hAnsi="宋体"/>
          <w:color w:val="auto"/>
          <w:sz w:val="24"/>
        </w:rPr>
        <w:t>3.2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ascii="宋体" w:hAnsi="宋体"/>
          <w:color w:val="auto"/>
          <w:sz w:val="24"/>
        </w:rPr>
      </w:pPr>
      <w:r>
        <w:rPr>
          <w:rFonts w:hint="eastAsia" w:ascii="宋体" w:hAnsi="宋体"/>
          <w:color w:val="auto"/>
          <w:sz w:val="24"/>
        </w:rPr>
        <w:t>3.3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pPr>
        <w:spacing w:line="360" w:lineRule="auto"/>
        <w:ind w:firstLine="480" w:firstLineChars="200"/>
        <w:rPr>
          <w:rFonts w:ascii="宋体" w:hAnsi="宋体"/>
          <w:color w:val="auto"/>
          <w:sz w:val="24"/>
        </w:rPr>
      </w:pPr>
      <w:r>
        <w:rPr>
          <w:rFonts w:hint="eastAsia" w:ascii="宋体" w:hAnsi="宋体"/>
          <w:color w:val="auto"/>
          <w:sz w:val="24"/>
        </w:rPr>
        <w:t>采购代理机构应当将变更、重新组建磋商小组的情况予以记录，并随磋商文件一并存档。</w:t>
      </w:r>
    </w:p>
    <w:p>
      <w:pPr>
        <w:spacing w:line="360" w:lineRule="auto"/>
        <w:ind w:firstLine="480" w:firstLineChars="200"/>
        <w:rPr>
          <w:rFonts w:ascii="宋体" w:hAnsi="宋体"/>
          <w:color w:val="auto"/>
          <w:sz w:val="24"/>
        </w:rPr>
      </w:pPr>
      <w:r>
        <w:rPr>
          <w:rFonts w:hint="eastAsia" w:ascii="宋体" w:hAnsi="宋体"/>
          <w:color w:val="auto"/>
          <w:sz w:val="24"/>
        </w:rPr>
        <w:t>4.评审方法：综合评分法</w:t>
      </w:r>
    </w:p>
    <w:p>
      <w:pPr>
        <w:spacing w:line="360" w:lineRule="auto"/>
        <w:ind w:firstLine="480" w:firstLineChars="200"/>
        <w:rPr>
          <w:rFonts w:ascii="宋体" w:hAnsi="宋体"/>
          <w:color w:val="auto"/>
          <w:sz w:val="24"/>
        </w:rPr>
      </w:pPr>
      <w:r>
        <w:rPr>
          <w:rFonts w:hint="eastAsia" w:ascii="宋体" w:hAnsi="宋体"/>
          <w:color w:val="auto"/>
          <w:sz w:val="24"/>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ascii="宋体" w:hAnsi="宋体"/>
          <w:color w:val="auto"/>
          <w:sz w:val="24"/>
        </w:rPr>
      </w:pPr>
      <w:r>
        <w:rPr>
          <w:rFonts w:hint="eastAsia" w:ascii="宋体" w:hAnsi="宋体"/>
          <w:color w:val="auto"/>
          <w:sz w:val="24"/>
        </w:rPr>
        <w:t>5.评审程序</w:t>
      </w:r>
    </w:p>
    <w:p>
      <w:pPr>
        <w:spacing w:line="360" w:lineRule="auto"/>
        <w:ind w:firstLine="480" w:firstLineChars="200"/>
        <w:rPr>
          <w:rFonts w:ascii="宋体" w:hAnsi="宋体"/>
          <w:color w:val="auto"/>
          <w:sz w:val="24"/>
        </w:rPr>
      </w:pPr>
      <w:r>
        <w:rPr>
          <w:rFonts w:hint="eastAsia" w:ascii="宋体" w:hAnsi="宋体"/>
          <w:color w:val="auto"/>
          <w:sz w:val="24"/>
        </w:rPr>
        <w:t>分步评审，每一步评审不符合磋商文件要求者，不得进入下一步评审，全部评审合格的供应商，进入最后的打分，最后按得分由高到低排序，推荐成交候选供应商。</w:t>
      </w:r>
    </w:p>
    <w:p>
      <w:pPr>
        <w:spacing w:line="360" w:lineRule="auto"/>
        <w:ind w:firstLine="480" w:firstLineChars="200"/>
        <w:rPr>
          <w:rFonts w:ascii="宋体" w:hAnsi="宋体"/>
          <w:color w:val="auto"/>
          <w:sz w:val="24"/>
        </w:rPr>
      </w:pPr>
      <w:r>
        <w:rPr>
          <w:rFonts w:hint="eastAsia" w:ascii="宋体" w:hAnsi="宋体"/>
          <w:color w:val="auto"/>
          <w:sz w:val="24"/>
        </w:rPr>
        <w:t>5.1响应文件的符合性审查</w:t>
      </w:r>
    </w:p>
    <w:p>
      <w:pPr>
        <w:spacing w:line="360" w:lineRule="auto"/>
        <w:ind w:firstLine="480" w:firstLineChars="200"/>
        <w:rPr>
          <w:rFonts w:ascii="宋体" w:hAnsi="宋体"/>
          <w:color w:val="auto"/>
          <w:sz w:val="24"/>
        </w:rPr>
      </w:pPr>
      <w:r>
        <w:rPr>
          <w:rFonts w:hint="eastAsia" w:ascii="宋体" w:hAnsi="宋体"/>
          <w:color w:val="auto"/>
          <w:sz w:val="24"/>
        </w:rPr>
        <w:t>磋商小组依据磋商文件的规定，对响应文件的有效性、完整性和对磋商文件的响应程度进行审查，以确定是否对磋商文件的全部实质性要求做出响应。</w:t>
      </w:r>
    </w:p>
    <w:p>
      <w:pPr>
        <w:spacing w:line="360" w:lineRule="auto"/>
        <w:ind w:firstLine="480" w:firstLineChars="200"/>
        <w:rPr>
          <w:rFonts w:ascii="宋体" w:hAnsi="宋体"/>
          <w:color w:val="auto"/>
          <w:sz w:val="24"/>
        </w:rPr>
      </w:pPr>
      <w:r>
        <w:rPr>
          <w:rFonts w:hint="eastAsia" w:ascii="宋体" w:hAnsi="宋体"/>
          <w:color w:val="auto"/>
          <w:sz w:val="24"/>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pPr>
        <w:spacing w:line="360" w:lineRule="auto"/>
        <w:ind w:firstLine="480" w:firstLineChars="200"/>
        <w:rPr>
          <w:rFonts w:ascii="宋体" w:hAnsi="宋体"/>
          <w:color w:val="auto"/>
          <w:sz w:val="24"/>
        </w:rPr>
      </w:pPr>
      <w:r>
        <w:rPr>
          <w:rFonts w:hint="eastAsia" w:ascii="宋体" w:hAnsi="宋体"/>
          <w:color w:val="auto"/>
          <w:sz w:val="24"/>
        </w:rPr>
        <w:t>5.2响应文件的澄清</w:t>
      </w:r>
    </w:p>
    <w:p>
      <w:pPr>
        <w:spacing w:line="360" w:lineRule="auto"/>
        <w:ind w:firstLine="480" w:firstLineChars="200"/>
        <w:rPr>
          <w:rFonts w:ascii="宋体" w:hAnsi="宋体"/>
          <w:color w:val="auto"/>
          <w:sz w:val="24"/>
        </w:rPr>
      </w:pPr>
      <w:r>
        <w:rPr>
          <w:rFonts w:hint="eastAsia" w:ascii="宋体" w:hAnsi="宋体"/>
          <w:color w:val="auto"/>
          <w:sz w:val="24"/>
        </w:rPr>
        <w:t>5.2.1磋商小组在对响应文件的有效性、完整性和响应程度进行审查时，可以要求供应商对响应文件中含义不明确、同类问题表述不一致或者有明显文字和计算错误的内容等做出必要的澄清、说明或者更正。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ascii="宋体" w:hAnsi="宋体"/>
          <w:color w:val="auto"/>
          <w:sz w:val="24"/>
        </w:rPr>
      </w:pPr>
      <w:r>
        <w:rPr>
          <w:rFonts w:hint="eastAsia" w:ascii="宋体" w:hAnsi="宋体"/>
          <w:color w:val="auto"/>
          <w:sz w:val="24"/>
        </w:rPr>
        <w:t>5.2.2依照《中华人民共和国民法典》中的过失责任原则，澄清、说明或更正前磋商小组将按最不利于参与本次磋商供应商的原则对响应文件做出评判。</w:t>
      </w:r>
    </w:p>
    <w:p>
      <w:pPr>
        <w:spacing w:line="360" w:lineRule="auto"/>
        <w:ind w:firstLine="480" w:firstLineChars="200"/>
        <w:rPr>
          <w:rFonts w:ascii="宋体" w:hAnsi="宋体"/>
          <w:color w:val="auto"/>
          <w:sz w:val="24"/>
        </w:rPr>
      </w:pPr>
      <w:r>
        <w:rPr>
          <w:rFonts w:hint="eastAsia" w:ascii="宋体" w:hAnsi="宋体"/>
          <w:color w:val="auto"/>
          <w:sz w:val="24"/>
        </w:rPr>
        <w:t>5.2.3磋商小组要求供应商澄清、说明或者更正响应文件应当以书面形式做出。供应商应当在规定的澄清时限内以书面形式提交，供应商的澄清、说明或者更正应当由法定代表人或其授权代表签字或者加盖公章。</w:t>
      </w:r>
    </w:p>
    <w:p>
      <w:pPr>
        <w:spacing w:line="360" w:lineRule="auto"/>
        <w:ind w:firstLine="480" w:firstLineChars="200"/>
        <w:rPr>
          <w:rFonts w:ascii="宋体" w:hAnsi="宋体"/>
          <w:color w:val="auto"/>
          <w:sz w:val="24"/>
        </w:rPr>
      </w:pPr>
      <w:r>
        <w:rPr>
          <w:rFonts w:hint="eastAsia" w:ascii="宋体" w:hAnsi="宋体"/>
          <w:color w:val="auto"/>
          <w:sz w:val="24"/>
        </w:rPr>
        <w:t>5.2.4供应商的澄清、说明或者更正不得超出响应文件的范围或者改变响应文件的实质性内容。澄清、说明或者更正的内容将作为合同履行的重要依据。</w:t>
      </w:r>
    </w:p>
    <w:p>
      <w:pPr>
        <w:spacing w:line="360" w:lineRule="auto"/>
        <w:ind w:firstLine="482" w:firstLineChars="200"/>
        <w:rPr>
          <w:rFonts w:ascii="宋体" w:hAnsi="宋体"/>
          <w:b/>
          <w:bCs/>
          <w:color w:val="auto"/>
          <w:sz w:val="24"/>
        </w:rPr>
      </w:pPr>
      <w:r>
        <w:rPr>
          <w:rFonts w:hint="eastAsia" w:ascii="宋体" w:hAnsi="宋体"/>
          <w:b/>
          <w:bCs/>
          <w:color w:val="auto"/>
          <w:sz w:val="24"/>
        </w:rPr>
        <w:t>除采用竞争性磋商方式采购的政府购买服务项目、市场竞争不充分的科研项目以及需要扶持的科技成果转化项目外，通过符合性审查的供应商不足3家的，不得进行后续磋商活动，应予以废标。</w:t>
      </w:r>
    </w:p>
    <w:p>
      <w:pPr>
        <w:spacing w:line="360" w:lineRule="auto"/>
        <w:ind w:firstLine="480" w:firstLineChars="200"/>
        <w:rPr>
          <w:rFonts w:ascii="宋体" w:hAnsi="宋体"/>
          <w:color w:val="auto"/>
          <w:sz w:val="24"/>
        </w:rPr>
      </w:pPr>
      <w:r>
        <w:rPr>
          <w:rFonts w:hint="eastAsia" w:ascii="宋体" w:hAnsi="宋体"/>
          <w:color w:val="auto"/>
          <w:sz w:val="24"/>
        </w:rPr>
        <w:t>5.3进行磋商</w:t>
      </w:r>
    </w:p>
    <w:p>
      <w:pPr>
        <w:spacing w:line="360" w:lineRule="auto"/>
        <w:ind w:firstLine="480" w:firstLineChars="200"/>
        <w:rPr>
          <w:rFonts w:ascii="宋体" w:hAnsi="宋体"/>
          <w:color w:val="auto"/>
          <w:sz w:val="24"/>
        </w:rPr>
      </w:pPr>
      <w:r>
        <w:rPr>
          <w:rFonts w:hint="eastAsia" w:ascii="宋体" w:hAnsi="宋体"/>
          <w:color w:val="auto"/>
          <w:sz w:val="24"/>
        </w:rPr>
        <w:t>磋商小组所有成员应当集中与单一供应商分别进行磋商，并给予所有参加磋商的供应商平等的磋商机会。需要供应商书面答复磋商内容的，供应商应当按照磋商小组的要求，在磋商小组规定的时限内以书面形式答复磋商的内容，并由法定代表人或其授权代表签字或者加盖公章。</w:t>
      </w:r>
    </w:p>
    <w:p>
      <w:pPr>
        <w:spacing w:line="360" w:lineRule="auto"/>
        <w:ind w:firstLine="480" w:firstLineChars="200"/>
        <w:rPr>
          <w:rFonts w:ascii="宋体" w:hAnsi="宋体"/>
          <w:color w:val="auto"/>
          <w:sz w:val="24"/>
        </w:rPr>
      </w:pPr>
      <w:r>
        <w:rPr>
          <w:rFonts w:hint="eastAsia" w:ascii="宋体" w:hAnsi="宋体"/>
          <w:color w:val="auto"/>
          <w:sz w:val="24"/>
        </w:rPr>
        <w:t>5.4磋商文件的实质性变更</w:t>
      </w:r>
    </w:p>
    <w:p>
      <w:pPr>
        <w:spacing w:line="360" w:lineRule="auto"/>
        <w:ind w:firstLine="480" w:firstLineChars="200"/>
        <w:rPr>
          <w:rFonts w:ascii="宋体" w:hAnsi="宋体"/>
          <w:color w:val="auto"/>
          <w:sz w:val="24"/>
        </w:rPr>
      </w:pPr>
      <w:r>
        <w:rPr>
          <w:rFonts w:hint="eastAsia" w:ascii="宋体" w:hAnsi="宋体"/>
          <w:color w:val="auto"/>
          <w:sz w:val="24"/>
        </w:rPr>
        <w:t>5.4.1在磋商过程中，磋商小组可以根据磋商文件和磋商情况实质性变动采购需求中的技术、服务要求以及合同基本条款，但不得变动磋商文件中的其他内容。实质性变动的内容，须经采购人代表确认。</w:t>
      </w:r>
    </w:p>
    <w:p>
      <w:pPr>
        <w:spacing w:line="360" w:lineRule="auto"/>
        <w:ind w:firstLine="480" w:firstLineChars="200"/>
        <w:rPr>
          <w:rFonts w:ascii="宋体" w:hAnsi="宋体"/>
          <w:color w:val="auto"/>
          <w:sz w:val="24"/>
        </w:rPr>
      </w:pPr>
      <w:r>
        <w:rPr>
          <w:rFonts w:hint="eastAsia" w:ascii="宋体" w:hAnsi="宋体"/>
          <w:color w:val="auto"/>
          <w:sz w:val="24"/>
        </w:rPr>
        <w:t>5.4.2对磋商文件作出的实质性变动是磋商文件的有效组成部分，磋商小组将以书面形式通知所有参加磋商的供应商。</w:t>
      </w:r>
    </w:p>
    <w:p>
      <w:pPr>
        <w:spacing w:line="360" w:lineRule="auto"/>
        <w:ind w:firstLine="480" w:firstLineChars="200"/>
        <w:rPr>
          <w:rFonts w:ascii="宋体" w:hAnsi="宋体"/>
          <w:color w:val="auto"/>
          <w:sz w:val="24"/>
        </w:rPr>
      </w:pPr>
      <w:r>
        <w:rPr>
          <w:rFonts w:hint="eastAsia" w:ascii="宋体" w:hAnsi="宋体"/>
          <w:color w:val="auto"/>
          <w:sz w:val="24"/>
        </w:rPr>
        <w:t>5.4.3供应商应当按照磋商文件的变动情况和磋商小组的要求，在磋商小组规定的时限内重新提交响应文件，并由法定代表人或其授权代表签字或者加盖公章。</w:t>
      </w:r>
    </w:p>
    <w:p>
      <w:pPr>
        <w:spacing w:line="360" w:lineRule="auto"/>
        <w:ind w:firstLine="480" w:firstLineChars="200"/>
        <w:rPr>
          <w:rFonts w:ascii="宋体" w:hAnsi="宋体"/>
          <w:color w:val="auto"/>
          <w:sz w:val="24"/>
        </w:rPr>
      </w:pPr>
      <w:r>
        <w:rPr>
          <w:rFonts w:hint="eastAsia" w:ascii="宋体" w:hAnsi="宋体"/>
          <w:color w:val="auto"/>
          <w:sz w:val="24"/>
        </w:rPr>
        <w:t>5.4.4供应商未能在规定的时间内按照磋商小组的要求以书面形式提交实质性变更响应文件的，视作未实质性响应。</w:t>
      </w:r>
    </w:p>
    <w:p>
      <w:pPr>
        <w:spacing w:line="360" w:lineRule="auto"/>
        <w:ind w:firstLine="480" w:firstLineChars="200"/>
        <w:rPr>
          <w:rFonts w:ascii="宋体" w:hAnsi="宋体"/>
          <w:color w:val="auto"/>
          <w:sz w:val="24"/>
        </w:rPr>
      </w:pPr>
      <w:r>
        <w:rPr>
          <w:rFonts w:hint="eastAsia" w:ascii="宋体" w:hAnsi="宋体"/>
          <w:color w:val="auto"/>
          <w:sz w:val="24"/>
        </w:rPr>
        <w:t>5.5最终报价</w:t>
      </w:r>
    </w:p>
    <w:p>
      <w:pPr>
        <w:spacing w:line="360" w:lineRule="auto"/>
        <w:ind w:firstLine="480" w:firstLineChars="200"/>
        <w:rPr>
          <w:rFonts w:ascii="宋体" w:hAnsi="宋体"/>
          <w:color w:val="auto"/>
          <w:sz w:val="24"/>
        </w:rPr>
      </w:pPr>
      <w:r>
        <w:rPr>
          <w:rFonts w:hint="eastAsia" w:ascii="宋体" w:hAnsi="宋体"/>
          <w:color w:val="auto"/>
          <w:sz w:val="24"/>
        </w:rPr>
        <w:t>5.5.1磋商文件能够详细列明采购标的的技术、服务要求的，磋商结束后，磋商小组应当要求所有实质性响应的供应商在规定时间内提交最终报价，提交最终报价的供应商不得少于3家。</w:t>
      </w:r>
    </w:p>
    <w:p>
      <w:pPr>
        <w:spacing w:line="360" w:lineRule="auto"/>
        <w:ind w:firstLine="480" w:firstLineChars="200"/>
        <w:rPr>
          <w:rFonts w:ascii="宋体" w:hAnsi="宋体"/>
          <w:color w:val="auto"/>
          <w:sz w:val="24"/>
        </w:rPr>
      </w:pPr>
      <w:r>
        <w:rPr>
          <w:rFonts w:hint="eastAsia" w:ascii="宋体" w:hAnsi="宋体"/>
          <w:color w:val="auto"/>
          <w:sz w:val="24"/>
        </w:rPr>
        <w:t>5.5.2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ascii="宋体" w:hAnsi="宋体"/>
          <w:color w:val="auto"/>
          <w:sz w:val="24"/>
        </w:rPr>
      </w:pPr>
      <w:r>
        <w:rPr>
          <w:rFonts w:hint="eastAsia" w:ascii="宋体" w:hAnsi="宋体"/>
          <w:color w:val="auto"/>
          <w:sz w:val="24"/>
        </w:rPr>
        <w:t>5.5.3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 号），采购的政府购买服务项目（含政府和社会资本合作项目），在采购过程中符合要求的供应商（社会资本）只有2家的，竞争性磋商采购活动可以继续进行。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ascii="宋体" w:hAnsi="宋体"/>
          <w:color w:val="auto"/>
          <w:sz w:val="24"/>
        </w:rPr>
      </w:pPr>
      <w:r>
        <w:rPr>
          <w:rFonts w:hint="eastAsia" w:ascii="宋体" w:hAnsi="宋体"/>
          <w:color w:val="auto"/>
          <w:sz w:val="24"/>
        </w:rPr>
        <w:t>5.5.4供应商要以书面形式提交最终报价。</w:t>
      </w:r>
    </w:p>
    <w:p>
      <w:pPr>
        <w:spacing w:line="360" w:lineRule="auto"/>
        <w:ind w:firstLine="480" w:firstLineChars="200"/>
        <w:rPr>
          <w:rFonts w:ascii="宋体" w:hAnsi="宋体"/>
          <w:color w:val="auto"/>
          <w:sz w:val="24"/>
        </w:rPr>
      </w:pPr>
      <w:r>
        <w:rPr>
          <w:rFonts w:hint="eastAsia" w:ascii="宋体" w:hAnsi="宋体"/>
          <w:color w:val="auto"/>
          <w:sz w:val="24"/>
        </w:rPr>
        <w:t>最终报价表应由其法定代表人或授权代表签字。最终报价将作为综合评分法中价格分的计算依据。</w:t>
      </w:r>
    </w:p>
    <w:p>
      <w:pPr>
        <w:spacing w:line="360" w:lineRule="auto"/>
        <w:ind w:firstLine="480" w:firstLineChars="200"/>
        <w:rPr>
          <w:rFonts w:ascii="宋体" w:hAnsi="宋体"/>
          <w:color w:val="auto"/>
          <w:sz w:val="24"/>
        </w:rPr>
      </w:pPr>
      <w:r>
        <w:rPr>
          <w:rFonts w:hint="eastAsia" w:ascii="宋体" w:hAnsi="宋体"/>
          <w:color w:val="auto"/>
          <w:sz w:val="24"/>
        </w:rPr>
        <w:t>5.5.5已提交响应文件的供应商，在提交最终报价之前，可以根据磋商情况书面申请退出磋商，书面申请应由其法定代表人或授权代表签字。采购代理机构将退还其所交纳的磋商保证金。</w:t>
      </w:r>
    </w:p>
    <w:p>
      <w:pPr>
        <w:spacing w:line="360" w:lineRule="auto"/>
        <w:ind w:firstLine="480" w:firstLineChars="200"/>
        <w:rPr>
          <w:rFonts w:ascii="宋体" w:hAnsi="宋体"/>
          <w:color w:val="auto"/>
          <w:sz w:val="24"/>
        </w:rPr>
      </w:pPr>
      <w:r>
        <w:rPr>
          <w:rFonts w:hint="eastAsia" w:ascii="宋体" w:hAnsi="宋体"/>
          <w:color w:val="auto"/>
          <w:sz w:val="24"/>
        </w:rPr>
        <w:t>5.5.6磋商小组认为供应商的报价明显低于其他通过符合性和响应性审查供应商的报价，有可能影响工程、货物、服务质量或者不能诚信履约的，要求供应商在规定时间内以书面形式提供说明（必要时提交相关证明材料），供应商不能证明其报价合理性的，按无效响应对待。</w:t>
      </w:r>
    </w:p>
    <w:p>
      <w:pPr>
        <w:spacing w:line="360" w:lineRule="auto"/>
        <w:ind w:firstLine="480" w:firstLineChars="200"/>
        <w:rPr>
          <w:rFonts w:ascii="宋体" w:hAnsi="宋体"/>
          <w:color w:val="auto"/>
          <w:sz w:val="24"/>
        </w:rPr>
      </w:pPr>
      <w:r>
        <w:rPr>
          <w:rFonts w:hint="eastAsia" w:ascii="宋体" w:hAnsi="宋体"/>
          <w:color w:val="auto"/>
          <w:sz w:val="24"/>
        </w:rPr>
        <w:t>5.6综合比较与评价</w:t>
      </w:r>
    </w:p>
    <w:p>
      <w:pPr>
        <w:spacing w:line="360" w:lineRule="auto"/>
        <w:ind w:firstLine="480" w:firstLineChars="200"/>
        <w:rPr>
          <w:rFonts w:ascii="宋体" w:hAnsi="宋体"/>
          <w:color w:val="auto"/>
          <w:sz w:val="24"/>
        </w:rPr>
      </w:pPr>
      <w:r>
        <w:rPr>
          <w:rFonts w:hint="eastAsia" w:ascii="宋体" w:hAnsi="宋体"/>
          <w:color w:val="auto"/>
          <w:sz w:val="24"/>
        </w:rPr>
        <w:t>5.6.1评分总值最高为100分，评分分值分配如下：</w:t>
      </w:r>
    </w:p>
    <w:tbl>
      <w:tblPr>
        <w:tblStyle w:val="24"/>
        <w:tblW w:w="7936"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color w:val="auto"/>
                <w:sz w:val="24"/>
              </w:rPr>
            </w:pPr>
            <w:r>
              <w:rPr>
                <w:rFonts w:hint="eastAsia" w:ascii="黑体" w:hAnsi="黑体" w:eastAsia="黑体" w:cs="黑体"/>
                <w:b/>
                <w:bCs/>
                <w:color w:val="auto"/>
                <w:sz w:val="24"/>
              </w:rPr>
              <w:t>评分项目</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color w:val="auto"/>
                <w:sz w:val="24"/>
              </w:rPr>
            </w:pPr>
            <w:r>
              <w:rPr>
                <w:rFonts w:hint="eastAsia" w:ascii="黑体" w:hAnsi="黑体" w:eastAsia="黑体" w:cs="黑体"/>
                <w:b/>
                <w:bCs/>
                <w:color w:val="auto"/>
                <w:sz w:val="24"/>
              </w:rPr>
              <w:t>技术评分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color w:val="auto"/>
                <w:sz w:val="24"/>
              </w:rPr>
            </w:pPr>
            <w:r>
              <w:rPr>
                <w:rFonts w:hint="eastAsia" w:ascii="黑体" w:hAnsi="黑体" w:eastAsia="黑体" w:cs="黑体"/>
                <w:b/>
                <w:bCs/>
                <w:color w:val="auto"/>
                <w:sz w:val="24"/>
              </w:rPr>
              <w:t>商务评分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color w:val="auto"/>
                <w:sz w:val="24"/>
              </w:rPr>
            </w:pPr>
            <w:r>
              <w:rPr>
                <w:rFonts w:hint="eastAsia" w:ascii="黑体" w:hAnsi="黑体" w:eastAsia="黑体" w:cs="黑体"/>
                <w:b/>
                <w:bCs/>
                <w:color w:val="auto"/>
                <w:sz w:val="24"/>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仿宋_GB2312" w:hAnsi="仿宋" w:eastAsia="仿宋_GB2312" w:cs="仿宋"/>
                <w:color w:val="auto"/>
                <w:sz w:val="24"/>
              </w:rPr>
            </w:pPr>
            <w:r>
              <w:rPr>
                <w:rFonts w:hint="eastAsia" w:ascii="黑体" w:hAnsi="黑体" w:eastAsia="黑体" w:cs="黑体"/>
                <w:color w:val="auto"/>
                <w:sz w:val="24"/>
              </w:rPr>
              <w:t>分值</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olor w:val="auto"/>
                <w:sz w:val="24"/>
              </w:rPr>
            </w:pPr>
            <w:r>
              <w:rPr>
                <w:rFonts w:hint="eastAsia" w:ascii="宋体" w:hAnsi="宋体"/>
                <w:color w:val="auto"/>
                <w:sz w:val="24"/>
              </w:rPr>
              <w:t>65分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olor w:val="auto"/>
                <w:sz w:val="24"/>
              </w:rPr>
            </w:pPr>
            <w:r>
              <w:rPr>
                <w:rFonts w:hint="eastAsia" w:ascii="宋体" w:hAnsi="宋体"/>
                <w:color w:val="auto"/>
                <w:sz w:val="24"/>
              </w:rPr>
              <w:t>25分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olor w:val="auto"/>
                <w:sz w:val="24"/>
              </w:rPr>
            </w:pPr>
            <w:r>
              <w:rPr>
                <w:rFonts w:hint="eastAsia" w:ascii="宋体" w:hAnsi="宋体"/>
                <w:color w:val="auto"/>
                <w:sz w:val="24"/>
              </w:rPr>
              <w:t>10分</w:t>
            </w:r>
          </w:p>
        </w:tc>
      </w:tr>
    </w:tbl>
    <w:p>
      <w:pPr>
        <w:spacing w:line="360" w:lineRule="auto"/>
        <w:ind w:firstLine="480" w:firstLineChars="200"/>
        <w:rPr>
          <w:rFonts w:ascii="宋体" w:hAnsi="宋体"/>
          <w:color w:val="auto"/>
          <w:sz w:val="24"/>
        </w:rPr>
      </w:pPr>
      <w:r>
        <w:rPr>
          <w:rFonts w:hint="eastAsia" w:ascii="宋体" w:hAnsi="宋体"/>
          <w:color w:val="auto"/>
          <w:sz w:val="24"/>
        </w:rPr>
        <w:t>5.6.2技术评审</w:t>
      </w:r>
    </w:p>
    <w:p>
      <w:pPr>
        <w:spacing w:line="360" w:lineRule="auto"/>
        <w:ind w:firstLine="480" w:firstLineChars="200"/>
        <w:rPr>
          <w:rFonts w:ascii="宋体" w:hAnsi="宋体"/>
          <w:color w:val="auto"/>
          <w:sz w:val="24"/>
        </w:rPr>
      </w:pPr>
      <w:r>
        <w:rPr>
          <w:rFonts w:hint="eastAsia" w:ascii="宋体" w:hAnsi="宋体"/>
          <w:color w:val="auto"/>
          <w:sz w:val="24"/>
        </w:rPr>
        <w:t>技术评分项明细及各单项所占分值详见附表《技术评审表》。</w:t>
      </w:r>
    </w:p>
    <w:p>
      <w:pPr>
        <w:spacing w:line="360" w:lineRule="auto"/>
        <w:ind w:firstLine="480" w:firstLineChars="200"/>
        <w:rPr>
          <w:rFonts w:ascii="宋体" w:hAnsi="宋体"/>
          <w:color w:val="auto"/>
          <w:sz w:val="24"/>
        </w:rPr>
      </w:pPr>
      <w:r>
        <w:rPr>
          <w:rFonts w:hint="eastAsia" w:ascii="宋体" w:hAnsi="宋体"/>
          <w:color w:val="auto"/>
          <w:sz w:val="24"/>
        </w:rPr>
        <w:t>5.6.3商务评审</w:t>
      </w:r>
    </w:p>
    <w:p>
      <w:pPr>
        <w:spacing w:line="360" w:lineRule="auto"/>
        <w:ind w:firstLine="480" w:firstLineChars="200"/>
        <w:rPr>
          <w:rFonts w:ascii="宋体" w:hAnsi="宋体"/>
          <w:color w:val="auto"/>
          <w:sz w:val="24"/>
        </w:rPr>
      </w:pPr>
      <w:r>
        <w:rPr>
          <w:rFonts w:hint="eastAsia" w:ascii="宋体" w:hAnsi="宋体"/>
          <w:color w:val="auto"/>
          <w:sz w:val="24"/>
        </w:rPr>
        <w:t>商务评分项明细及各单项所占分值详见附表《商务评审表》。</w:t>
      </w:r>
    </w:p>
    <w:p>
      <w:pPr>
        <w:spacing w:line="360" w:lineRule="auto"/>
        <w:ind w:firstLine="480" w:firstLineChars="200"/>
        <w:rPr>
          <w:rFonts w:ascii="宋体" w:hAnsi="宋体"/>
          <w:color w:val="auto"/>
          <w:sz w:val="24"/>
        </w:rPr>
      </w:pPr>
      <w:r>
        <w:rPr>
          <w:rFonts w:hint="eastAsia" w:ascii="宋体" w:hAnsi="宋体"/>
          <w:color w:val="auto"/>
          <w:sz w:val="24"/>
        </w:rPr>
        <w:t>5.6.4价格评审</w:t>
      </w:r>
    </w:p>
    <w:p>
      <w:pPr>
        <w:spacing w:line="360" w:lineRule="auto"/>
        <w:ind w:firstLine="480" w:firstLineChars="200"/>
        <w:rPr>
          <w:rFonts w:ascii="宋体" w:hAnsi="宋体"/>
          <w:color w:val="auto"/>
          <w:sz w:val="24"/>
        </w:rPr>
      </w:pPr>
      <w:r>
        <w:rPr>
          <w:rFonts w:hint="eastAsia" w:ascii="宋体" w:hAnsi="宋体"/>
          <w:color w:val="auto"/>
          <w:sz w:val="24"/>
        </w:rPr>
        <w:t>5.6.4.1报价错误的处理原则：</w:t>
      </w:r>
    </w:p>
    <w:p>
      <w:pPr>
        <w:numPr>
          <w:ilvl w:val="0"/>
          <w:numId w:val="5"/>
        </w:numPr>
        <w:spacing w:line="360" w:lineRule="auto"/>
        <w:ind w:firstLine="480" w:firstLineChars="200"/>
        <w:rPr>
          <w:rFonts w:ascii="宋体" w:hAnsi="宋体"/>
          <w:color w:val="auto"/>
          <w:sz w:val="24"/>
        </w:rPr>
      </w:pPr>
      <w:r>
        <w:rPr>
          <w:rFonts w:hint="eastAsia" w:ascii="宋体" w:hAnsi="宋体"/>
          <w:color w:val="auto"/>
          <w:sz w:val="24"/>
        </w:rPr>
        <w:t>响应文件的首次报价一览表内容与响应文件不一致的，以首次报价一览表为准；大写金额和小写金额不一致的，以大写金额为准；单价金额小数点或者百分比有明显错位的，以首次报价一览表的总价为准，并修改单价；总价金额与按单价计算汇总金额不一致的，以单价计算汇总金额为准；</w:t>
      </w:r>
    </w:p>
    <w:p>
      <w:pPr>
        <w:spacing w:line="360" w:lineRule="auto"/>
        <w:ind w:firstLine="480" w:firstLineChars="200"/>
        <w:rPr>
          <w:rFonts w:ascii="宋体" w:hAnsi="宋体"/>
          <w:color w:val="auto"/>
          <w:sz w:val="24"/>
        </w:rPr>
      </w:pPr>
      <w:r>
        <w:rPr>
          <w:rFonts w:hint="eastAsia" w:ascii="宋体" w:hAnsi="宋体"/>
          <w:color w:val="auto"/>
          <w:sz w:val="24"/>
        </w:rPr>
        <w:t>2）对响应货物、服务、工程的关键、主要内容，供应商报价漏项的，按非实质性响应响应处理；</w:t>
      </w:r>
    </w:p>
    <w:p>
      <w:pPr>
        <w:spacing w:line="360" w:lineRule="auto"/>
        <w:ind w:firstLine="480" w:firstLineChars="200"/>
        <w:rPr>
          <w:rFonts w:ascii="宋体" w:hAnsi="宋体"/>
          <w:color w:val="auto"/>
          <w:sz w:val="24"/>
        </w:rPr>
      </w:pPr>
      <w:r>
        <w:rPr>
          <w:rFonts w:hint="eastAsia" w:ascii="宋体" w:hAnsi="宋体"/>
          <w:color w:val="auto"/>
          <w:sz w:val="24"/>
        </w:rPr>
        <w:t>3）对响应货物、服务、工程的非关键、非主要内容，供应商报价漏项的，评审时将要求漏项的供应商予以澄清，但该澄清不作为评审的依据；磋商小组将以其它供应商对应项的最高报价补充计入其评审价；</w:t>
      </w:r>
    </w:p>
    <w:p>
      <w:pPr>
        <w:spacing w:line="360" w:lineRule="auto"/>
        <w:ind w:firstLine="480" w:firstLineChars="200"/>
        <w:rPr>
          <w:rFonts w:ascii="宋体" w:hAnsi="宋体"/>
          <w:color w:val="auto"/>
          <w:sz w:val="24"/>
        </w:rPr>
      </w:pPr>
      <w:r>
        <w:rPr>
          <w:rFonts w:hint="eastAsia" w:ascii="宋体" w:hAnsi="宋体"/>
          <w:color w:val="auto"/>
          <w:sz w:val="24"/>
        </w:rPr>
        <w:t>4）对非关键、非主要内容的费用，如果供应商是另行单独报价的，评审时也相应另行计入其评审价；</w:t>
      </w:r>
    </w:p>
    <w:p>
      <w:pPr>
        <w:spacing w:line="360" w:lineRule="auto"/>
        <w:ind w:firstLine="480" w:firstLineChars="200"/>
        <w:rPr>
          <w:rFonts w:ascii="宋体" w:hAnsi="宋体"/>
          <w:color w:val="auto"/>
          <w:sz w:val="24"/>
        </w:rPr>
      </w:pPr>
      <w:r>
        <w:rPr>
          <w:rFonts w:hint="eastAsia" w:ascii="宋体" w:hAnsi="宋体"/>
          <w:color w:val="auto"/>
          <w:sz w:val="24"/>
        </w:rPr>
        <w:t>5）对数量的评审，以《用户需求书》所明示数量为准；《用户需求书》未明示的，由磋商小组以其专业知识判断，必要时参考供应商的澄清文件决定；</w:t>
      </w:r>
    </w:p>
    <w:p>
      <w:pPr>
        <w:spacing w:line="360" w:lineRule="auto"/>
        <w:ind w:firstLine="480" w:firstLineChars="200"/>
        <w:rPr>
          <w:rFonts w:ascii="宋体" w:hAnsi="宋体"/>
          <w:color w:val="auto"/>
          <w:sz w:val="24"/>
        </w:rPr>
      </w:pPr>
      <w:r>
        <w:rPr>
          <w:rFonts w:hint="eastAsia" w:ascii="宋体" w:hAnsi="宋体"/>
          <w:color w:val="auto"/>
          <w:sz w:val="24"/>
        </w:rPr>
        <w:t>6）本条款中多种处理原则所产生的结果不一致的，以最高的修正价作为核实价。</w:t>
      </w:r>
    </w:p>
    <w:p>
      <w:pPr>
        <w:spacing w:line="360" w:lineRule="auto"/>
        <w:ind w:firstLine="480" w:firstLineChars="200"/>
        <w:rPr>
          <w:rFonts w:ascii="宋体" w:cs="Times New Roman"/>
          <w:color w:val="auto"/>
          <w:sz w:val="24"/>
        </w:rPr>
      </w:pPr>
      <w:r>
        <w:rPr>
          <w:rFonts w:hint="eastAsia" w:ascii="宋体" w:hAnsi="宋体"/>
          <w:color w:val="auto"/>
          <w:sz w:val="24"/>
        </w:rPr>
        <w:t>5.6.4.2对小型或微型企业响应的扶持：</w:t>
      </w:r>
    </w:p>
    <w:p>
      <w:pPr>
        <w:spacing w:line="360" w:lineRule="auto"/>
        <w:ind w:firstLine="480" w:firstLineChars="200"/>
        <w:rPr>
          <w:rFonts w:ascii="宋体" w:cs="Times New Roman"/>
          <w:color w:val="auto"/>
          <w:sz w:val="24"/>
        </w:rPr>
      </w:pPr>
      <w:r>
        <w:rPr>
          <w:rFonts w:ascii="宋体" w:hAnsi="宋体"/>
          <w:color w:val="auto"/>
          <w:sz w:val="24"/>
        </w:rPr>
        <w:t>1</w:t>
      </w:r>
      <w:r>
        <w:rPr>
          <w:rFonts w:hint="eastAsia" w:ascii="宋体" w:hAnsi="宋体"/>
          <w:color w:val="auto"/>
          <w:sz w:val="24"/>
        </w:rPr>
        <w:t>）响应供应商为</w:t>
      </w:r>
      <w:r>
        <w:rPr>
          <w:rFonts w:hint="eastAsia" w:ascii="宋体" w:hAnsi="宋体"/>
          <w:b/>
          <w:bCs/>
          <w:color w:val="auto"/>
          <w:sz w:val="24"/>
          <w:u w:val="single"/>
        </w:rPr>
        <w:t>小型或微型企业</w:t>
      </w:r>
      <w:r>
        <w:rPr>
          <w:rFonts w:hint="eastAsia" w:ascii="宋体" w:hAnsi="宋体"/>
          <w:color w:val="auto"/>
          <w:sz w:val="24"/>
        </w:rPr>
        <w:t>（包括成员全部为小型或微型企业的联合体）时，报价给予</w:t>
      </w:r>
      <w:r>
        <w:rPr>
          <w:rFonts w:ascii="宋体" w:hAnsi="宋体"/>
          <w:color w:val="auto"/>
        </w:rPr>
        <w:t>C</w:t>
      </w:r>
      <w:r>
        <w:rPr>
          <w:rFonts w:ascii="宋体" w:hAnsi="宋体"/>
          <w:color w:val="auto"/>
          <w:vertAlign w:val="subscript"/>
        </w:rPr>
        <w:t>1</w:t>
      </w:r>
      <w:r>
        <w:rPr>
          <w:rFonts w:hint="eastAsia" w:ascii="宋体" w:hAnsi="宋体"/>
          <w:color w:val="auto"/>
          <w:sz w:val="24"/>
        </w:rPr>
        <w:t>的价格扣除（</w:t>
      </w:r>
      <w:r>
        <w:rPr>
          <w:rFonts w:ascii="宋体" w:hAnsi="宋体"/>
          <w:color w:val="auto"/>
        </w:rPr>
        <w:t>C</w:t>
      </w:r>
      <w:r>
        <w:rPr>
          <w:rFonts w:ascii="宋体" w:hAnsi="宋体"/>
          <w:color w:val="auto"/>
          <w:vertAlign w:val="subscript"/>
        </w:rPr>
        <w:t>1</w:t>
      </w:r>
      <w:r>
        <w:rPr>
          <w:rFonts w:hint="eastAsia" w:ascii="宋体" w:hAnsi="宋体"/>
          <w:color w:val="auto"/>
          <w:sz w:val="24"/>
        </w:rPr>
        <w:t>的取值范围为</w:t>
      </w:r>
      <w:r>
        <w:rPr>
          <w:rFonts w:ascii="宋体" w:hAnsi="宋体"/>
          <w:color w:val="auto"/>
          <w:sz w:val="24"/>
        </w:rPr>
        <w:t>6%</w:t>
      </w:r>
      <w:r>
        <w:rPr>
          <w:rFonts w:hint="eastAsia" w:ascii="宋体" w:hAnsi="宋体"/>
          <w:color w:val="auto"/>
          <w:sz w:val="24"/>
        </w:rPr>
        <w:t>），即：评审价＝核实价×</w:t>
      </w:r>
      <w:r>
        <w:rPr>
          <w:rFonts w:ascii="宋体" w:hAnsi="宋体"/>
          <w:color w:val="auto"/>
          <w:sz w:val="24"/>
        </w:rPr>
        <w:t>(1</w:t>
      </w:r>
      <w:r>
        <w:rPr>
          <w:rFonts w:hint="eastAsia" w:ascii="宋体" w:hAnsi="宋体"/>
          <w:color w:val="auto"/>
          <w:sz w:val="24"/>
        </w:rPr>
        <w:t>－</w:t>
      </w:r>
      <w:r>
        <w:rPr>
          <w:rFonts w:ascii="宋体" w:hAnsi="宋体"/>
          <w:color w:val="auto"/>
        </w:rPr>
        <w:t>C</w:t>
      </w:r>
      <w:r>
        <w:rPr>
          <w:rFonts w:ascii="宋体" w:hAnsi="宋体"/>
          <w:color w:val="auto"/>
          <w:vertAlign w:val="subscript"/>
        </w:rPr>
        <w:t>1</w:t>
      </w:r>
      <w:r>
        <w:rPr>
          <w:rFonts w:hint="eastAsia" w:ascii="宋体" w:hAnsi="宋体"/>
          <w:color w:val="auto"/>
          <w:sz w:val="24"/>
        </w:rPr>
        <w:t>）。</w:t>
      </w:r>
    </w:p>
    <w:p>
      <w:pPr>
        <w:spacing w:line="360" w:lineRule="auto"/>
        <w:ind w:firstLine="480" w:firstLineChars="200"/>
        <w:rPr>
          <w:rFonts w:ascii="宋体" w:cs="Times New Roman"/>
          <w:color w:val="auto"/>
          <w:sz w:val="24"/>
        </w:rPr>
      </w:pPr>
      <w:r>
        <w:rPr>
          <w:rFonts w:ascii="宋体" w:hAnsi="宋体"/>
          <w:color w:val="auto"/>
          <w:sz w:val="24"/>
        </w:rPr>
        <w:t>2</w:t>
      </w:r>
      <w:r>
        <w:rPr>
          <w:rFonts w:hint="eastAsia" w:ascii="宋体" w:hAnsi="宋体"/>
          <w:color w:val="auto"/>
          <w:sz w:val="24"/>
        </w:rPr>
        <w:t>）根据《政府采购促进中小企业发展管理办法》（财库〔2020〕46号）的规定，响应供应商响应时需注意：</w:t>
      </w:r>
    </w:p>
    <w:p>
      <w:pPr>
        <w:spacing w:line="360" w:lineRule="auto"/>
        <w:ind w:firstLine="480" w:firstLineChars="200"/>
        <w:rPr>
          <w:rFonts w:ascii="宋体" w:cs="Times New Roman"/>
          <w:color w:val="auto"/>
          <w:sz w:val="24"/>
        </w:rPr>
      </w:pPr>
      <w:r>
        <w:rPr>
          <w:rFonts w:hint="eastAsia" w:ascii="宋体" w:hAnsi="宋体"/>
          <w:color w:val="auto"/>
          <w:sz w:val="24"/>
        </w:rPr>
        <w:t>本办法所称小型、微型企业应当同时符合以下条件：</w:t>
      </w:r>
    </w:p>
    <w:p>
      <w:pPr>
        <w:spacing w:line="360" w:lineRule="auto"/>
        <w:ind w:firstLine="480" w:firstLineChars="200"/>
        <w:rPr>
          <w:rFonts w:ascii="宋体" w:cs="Times New Roman"/>
          <w:color w:val="auto"/>
          <w:sz w:val="24"/>
        </w:rPr>
      </w:pPr>
      <w:r>
        <w:rPr>
          <w:rFonts w:hint="eastAsia" w:ascii="宋体" w:hAnsi="宋体"/>
          <w:color w:val="auto"/>
          <w:sz w:val="24"/>
        </w:rPr>
        <w:t>（一）符合小型、微型企业划分标准；</w:t>
      </w:r>
    </w:p>
    <w:p>
      <w:pPr>
        <w:spacing w:line="360" w:lineRule="auto"/>
        <w:ind w:firstLine="480" w:firstLineChars="200"/>
        <w:rPr>
          <w:rFonts w:ascii="宋体" w:cs="Times New Roman"/>
          <w:color w:val="auto"/>
          <w:sz w:val="24"/>
        </w:rPr>
      </w:pPr>
      <w:r>
        <w:rPr>
          <w:rFonts w:hint="eastAsia" w:ascii="宋体" w:hAnsi="宋体"/>
          <w:color w:val="auto"/>
          <w:sz w:val="24"/>
        </w:rPr>
        <w:t>中小企业划分标准参照《关于印发中小企业划型标准规定的通知》（工信部联企业</w:t>
      </w:r>
      <w:r>
        <w:rPr>
          <w:rFonts w:ascii="宋体" w:hAnsi="宋体"/>
          <w:color w:val="auto"/>
          <w:sz w:val="24"/>
        </w:rPr>
        <w:t>[2011]300</w:t>
      </w:r>
      <w:r>
        <w:rPr>
          <w:rFonts w:hint="eastAsia" w:ascii="宋体" w:hAnsi="宋体"/>
          <w:color w:val="auto"/>
          <w:sz w:val="24"/>
        </w:rPr>
        <w:t>号）执行。</w:t>
      </w:r>
    </w:p>
    <w:p>
      <w:pPr>
        <w:spacing w:line="360" w:lineRule="auto"/>
        <w:ind w:firstLine="480" w:firstLineChars="200"/>
        <w:rPr>
          <w:rFonts w:ascii="宋体" w:hAnsi="宋体"/>
          <w:color w:val="auto"/>
          <w:sz w:val="24"/>
        </w:rPr>
      </w:pPr>
      <w:r>
        <w:rPr>
          <w:rFonts w:hint="eastAsia" w:ascii="宋体" w:hAnsi="宋体"/>
          <w:color w:val="auto"/>
          <w:sz w:val="24"/>
        </w:rPr>
        <w:t>（二）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ascii="宋体" w:hAnsi="宋体"/>
          <w:color w:val="auto"/>
          <w:sz w:val="24"/>
        </w:rPr>
      </w:pPr>
      <w:r>
        <w:rPr>
          <w:rFonts w:hint="eastAsia" w:ascii="宋体" w:hAnsi="宋体"/>
          <w:color w:val="auto"/>
          <w:sz w:val="24"/>
        </w:rPr>
        <w:t>在货物采购项目中，供应商提供的货物既有中小企业制造货物，也有大型企业制造货物的，不享受本办法规定的中小企业扶持政策。</w:t>
      </w:r>
    </w:p>
    <w:p>
      <w:pPr>
        <w:spacing w:line="360" w:lineRule="auto"/>
        <w:ind w:firstLine="480" w:firstLineChars="200"/>
        <w:rPr>
          <w:rFonts w:ascii="宋体" w:hAnsi="宋体"/>
          <w:color w:val="auto"/>
          <w:sz w:val="24"/>
        </w:rPr>
      </w:pPr>
      <w:r>
        <w:rPr>
          <w:rFonts w:hint="eastAsia" w:ascii="宋体" w:hAnsi="宋体"/>
          <w:color w:val="auto"/>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）参加政府采购活动的</w:t>
      </w:r>
      <w:r>
        <w:rPr>
          <w:rFonts w:hint="eastAsia" w:ascii="宋体" w:hAnsi="宋体"/>
          <w:b/>
          <w:bCs/>
          <w:color w:val="auto"/>
          <w:sz w:val="24"/>
          <w:u w:val="single"/>
        </w:rPr>
        <w:t>中型、小型、微型企业</w:t>
      </w:r>
      <w:r>
        <w:rPr>
          <w:rFonts w:hint="eastAsia" w:ascii="宋体" w:hAnsi="宋体"/>
          <w:color w:val="auto"/>
          <w:sz w:val="24"/>
        </w:rPr>
        <w:t>响应时须提供《中小企业声明函》（格式）。</w:t>
      </w:r>
    </w:p>
    <w:p>
      <w:pPr>
        <w:spacing w:line="360" w:lineRule="auto"/>
        <w:ind w:firstLine="480" w:firstLineChars="200"/>
        <w:rPr>
          <w:rFonts w:ascii="宋体" w:hAnsi="宋体"/>
          <w:color w:val="auto"/>
          <w:sz w:val="24"/>
        </w:rPr>
      </w:pPr>
      <w:r>
        <w:rPr>
          <w:rFonts w:hint="eastAsia" w:ascii="宋体" w:hAnsi="宋体"/>
          <w:color w:val="auto"/>
          <w:sz w:val="24"/>
        </w:rPr>
        <w:t>5.6.4.3对监狱企业的扶持</w:t>
      </w:r>
    </w:p>
    <w:p>
      <w:pPr>
        <w:spacing w:line="360" w:lineRule="auto"/>
        <w:ind w:firstLine="480" w:firstLineChars="200"/>
        <w:rPr>
          <w:rFonts w:ascii="宋体" w:hAnsi="宋体"/>
          <w:color w:val="auto"/>
          <w:sz w:val="24"/>
        </w:rPr>
      </w:pPr>
      <w:r>
        <w:rPr>
          <w:rFonts w:hint="eastAsia" w:ascii="宋体" w:hAnsi="宋体"/>
          <w:color w:val="auto"/>
          <w:sz w:val="24"/>
        </w:rPr>
        <w:t>1）监狱企业应符合《财政部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ascii="宋体" w:hAnsi="宋体"/>
          <w:color w:val="auto"/>
          <w:sz w:val="24"/>
        </w:rPr>
      </w:pPr>
      <w:r>
        <w:rPr>
          <w:rFonts w:hint="eastAsia" w:ascii="宋体" w:hAnsi="宋体"/>
          <w:color w:val="auto"/>
          <w:sz w:val="24"/>
        </w:rPr>
        <w:t>5.6.4.4对残疾人福利性单位的扶持</w:t>
      </w:r>
    </w:p>
    <w:p>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ascii="宋体" w:hAnsi="宋体"/>
          <w:color w:val="auto"/>
          <w:sz w:val="24"/>
          <w:highlight w:val="red"/>
        </w:rPr>
      </w:pPr>
      <w:r>
        <w:rPr>
          <w:rFonts w:hint="eastAsia" w:ascii="宋体" w:hAnsi="宋体"/>
          <w:color w:val="auto"/>
          <w:sz w:val="24"/>
        </w:rPr>
        <w:t>2）参加政府采购活动的</w:t>
      </w:r>
      <w:r>
        <w:rPr>
          <w:rFonts w:hint="eastAsia" w:ascii="宋体" w:hAnsi="宋体"/>
          <w:b/>
          <w:bCs/>
          <w:color w:val="auto"/>
          <w:sz w:val="24"/>
          <w:u w:val="single"/>
        </w:rPr>
        <w:t>残疾人单位</w:t>
      </w:r>
      <w:r>
        <w:rPr>
          <w:rFonts w:hint="eastAsia" w:ascii="宋体" w:hAnsi="宋体"/>
          <w:color w:val="auto"/>
          <w:sz w:val="24"/>
        </w:rPr>
        <w:t>应提供《残疾人福利性单位声明函》（格式）。</w:t>
      </w:r>
    </w:p>
    <w:p>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对于同时属于小微企业、监狱企业或残疾人福利性单位的，不重复进行响应报价扣除。</w:t>
      </w:r>
    </w:p>
    <w:p>
      <w:pPr>
        <w:spacing w:line="360" w:lineRule="auto"/>
        <w:ind w:firstLine="480" w:firstLineChars="200"/>
        <w:rPr>
          <w:rFonts w:ascii="宋体" w:hAnsi="宋体"/>
          <w:color w:val="auto"/>
          <w:sz w:val="24"/>
        </w:rPr>
      </w:pPr>
      <w:r>
        <w:rPr>
          <w:rFonts w:hint="eastAsia" w:ascii="宋体" w:hAnsi="宋体"/>
          <w:color w:val="auto"/>
          <w:sz w:val="24"/>
        </w:rPr>
        <w:t>5.6.4.5评审价的确定</w:t>
      </w:r>
    </w:p>
    <w:p>
      <w:pPr>
        <w:spacing w:line="360" w:lineRule="auto"/>
        <w:ind w:firstLine="480" w:firstLineChars="200"/>
        <w:rPr>
          <w:rFonts w:ascii="宋体" w:hAnsi="宋体"/>
          <w:color w:val="auto"/>
          <w:sz w:val="24"/>
        </w:rPr>
      </w:pPr>
      <w:r>
        <w:rPr>
          <w:rFonts w:hint="eastAsia" w:ascii="宋体" w:hAnsi="宋体"/>
          <w:color w:val="auto"/>
          <w:sz w:val="24"/>
        </w:rPr>
        <w:t>按上述条款的原则校核修正后的价格为评审价。</w:t>
      </w:r>
    </w:p>
    <w:p>
      <w:pPr>
        <w:spacing w:line="360" w:lineRule="auto"/>
        <w:ind w:firstLine="480" w:firstLineChars="200"/>
        <w:rPr>
          <w:rFonts w:ascii="宋体" w:hAnsi="宋体"/>
          <w:color w:val="auto"/>
          <w:sz w:val="24"/>
        </w:rPr>
      </w:pPr>
      <w:r>
        <w:rPr>
          <w:rFonts w:hint="eastAsia" w:ascii="宋体" w:hAnsi="宋体"/>
          <w:color w:val="auto"/>
          <w:sz w:val="24"/>
        </w:rPr>
        <w:t>5.6.4.6计算价格评分</w:t>
      </w:r>
    </w:p>
    <w:p>
      <w:pPr>
        <w:spacing w:line="360" w:lineRule="auto"/>
        <w:ind w:firstLine="480" w:firstLineChars="200"/>
        <w:rPr>
          <w:rFonts w:ascii="宋体" w:hAnsi="宋体"/>
          <w:color w:val="auto"/>
          <w:sz w:val="24"/>
        </w:rPr>
      </w:pPr>
      <w:r>
        <w:rPr>
          <w:rFonts w:hint="eastAsia" w:ascii="宋体" w:hAnsi="宋体"/>
          <w:color w:val="auto"/>
          <w:sz w:val="24"/>
        </w:rPr>
        <w:t>各有效供应商的评审价中，取最低者作为基准价，各有效供应商的价格评分统一按照下列公式计算：</w:t>
      </w:r>
    </w:p>
    <w:p>
      <w:pPr>
        <w:spacing w:line="360" w:lineRule="auto"/>
        <w:ind w:firstLine="480" w:firstLineChars="200"/>
        <w:rPr>
          <w:rFonts w:ascii="宋体" w:hAnsi="宋体"/>
          <w:color w:val="auto"/>
          <w:sz w:val="24"/>
        </w:rPr>
      </w:pPr>
      <w:r>
        <w:rPr>
          <w:rFonts w:hint="eastAsia" w:ascii="宋体" w:hAnsi="宋体"/>
          <w:color w:val="auto"/>
          <w:sz w:val="24"/>
        </w:rPr>
        <w:t>价格评分＝（基准价÷评审价）×价格分分值。</w:t>
      </w:r>
    </w:p>
    <w:p>
      <w:pPr>
        <w:spacing w:line="360" w:lineRule="auto"/>
        <w:ind w:firstLine="480" w:firstLineChars="200"/>
        <w:rPr>
          <w:rFonts w:ascii="宋体" w:hAnsi="宋体"/>
          <w:color w:val="auto"/>
          <w:sz w:val="24"/>
        </w:rPr>
      </w:pPr>
      <w:r>
        <w:rPr>
          <w:rFonts w:hint="eastAsia" w:ascii="宋体" w:hAnsi="宋体"/>
          <w:color w:val="auto"/>
          <w:sz w:val="24"/>
        </w:rPr>
        <w:t>5.6.5评审总得分及统计：各评委的评分的算术平均值即为该供应商的技术评分或商务评分。然后，根据比价原则评出价格评分。将技术评分、商务评分和价格评分分别相加得出评审总得分（评审总得分分值按四舍五入原则精确到小数点后两位）。</w:t>
      </w:r>
    </w:p>
    <w:p>
      <w:pPr>
        <w:spacing w:line="360" w:lineRule="auto"/>
        <w:ind w:firstLine="480" w:firstLineChars="200"/>
        <w:rPr>
          <w:rFonts w:ascii="宋体" w:hAnsi="宋体"/>
          <w:color w:val="auto"/>
          <w:sz w:val="24"/>
        </w:rPr>
      </w:pPr>
      <w:r>
        <w:rPr>
          <w:rFonts w:hint="eastAsia" w:ascii="宋体" w:hAnsi="宋体"/>
          <w:color w:val="auto"/>
          <w:sz w:val="24"/>
        </w:rPr>
        <w:t>5.7推荐成交候选供应商</w:t>
      </w:r>
    </w:p>
    <w:p>
      <w:pPr>
        <w:spacing w:line="360" w:lineRule="auto"/>
        <w:ind w:firstLine="480" w:firstLineChars="200"/>
        <w:rPr>
          <w:rFonts w:ascii="宋体" w:hAnsi="宋体"/>
          <w:color w:val="auto"/>
          <w:sz w:val="24"/>
        </w:rPr>
      </w:pPr>
      <w:r>
        <w:rPr>
          <w:rFonts w:hint="eastAsia" w:ascii="宋体" w:hAnsi="宋体"/>
          <w:color w:val="auto"/>
          <w:sz w:val="24"/>
        </w:rPr>
        <w:t>磋商小组应当根据综合评分情况，按照评审得分由高到低顺序推荐3名以上成交候选供应商（有效供应商不足三家时以实际数量推荐）。</w:t>
      </w:r>
    </w:p>
    <w:p>
      <w:pPr>
        <w:spacing w:line="360" w:lineRule="auto"/>
        <w:ind w:firstLine="480" w:firstLineChars="200"/>
        <w:rPr>
          <w:rFonts w:ascii="宋体" w:hAnsi="宋体"/>
          <w:color w:val="auto"/>
          <w:sz w:val="24"/>
        </w:rPr>
      </w:pPr>
      <w:r>
        <w:rPr>
          <w:rFonts w:hint="eastAsia" w:ascii="宋体" w:hAnsi="宋体"/>
          <w:color w:val="auto"/>
          <w:sz w:val="24"/>
        </w:rPr>
        <w:t>评标总得分相同的，按下列顺序比较确定：（1）投标报价（由低到高）；（2）技术评分（由高到低），如以上都相同的，名次由评标委员会抽签确定。</w:t>
      </w:r>
    </w:p>
    <w:p>
      <w:pPr>
        <w:spacing w:line="360" w:lineRule="auto"/>
        <w:ind w:firstLine="480" w:firstLineChars="200"/>
        <w:rPr>
          <w:rFonts w:ascii="宋体" w:hAnsi="宋体"/>
          <w:color w:val="auto"/>
          <w:sz w:val="24"/>
        </w:rPr>
      </w:pPr>
      <w:r>
        <w:rPr>
          <w:rFonts w:hint="eastAsia" w:ascii="宋体" w:hAnsi="宋体"/>
          <w:color w:val="auto"/>
          <w:sz w:val="24"/>
        </w:rPr>
        <w:t>5.8编写评审报告</w:t>
      </w:r>
    </w:p>
    <w:p>
      <w:pPr>
        <w:spacing w:line="360" w:lineRule="auto"/>
        <w:ind w:firstLine="480" w:firstLineChars="200"/>
        <w:rPr>
          <w:rFonts w:ascii="宋体" w:hAnsi="宋体"/>
          <w:color w:val="auto"/>
          <w:sz w:val="24"/>
        </w:rPr>
      </w:pPr>
      <w:r>
        <w:rPr>
          <w:rFonts w:hint="eastAsia" w:ascii="宋体" w:hAnsi="宋体"/>
          <w:color w:val="auto"/>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360" w:lineRule="auto"/>
        <w:ind w:firstLine="480" w:firstLineChars="200"/>
        <w:rPr>
          <w:rFonts w:ascii="宋体" w:hAnsi="宋体"/>
          <w:color w:val="auto"/>
          <w:sz w:val="24"/>
        </w:rPr>
      </w:pPr>
      <w:r>
        <w:rPr>
          <w:rFonts w:hint="eastAsia" w:ascii="宋体" w:hAnsi="宋体"/>
          <w:color w:val="auto"/>
          <w:sz w:val="24"/>
        </w:rPr>
        <w:t>采购人书面授权磋商小组直接确定成交供应商的，磋商小组应在评审报告中明确成交供应商及成交金额。</w:t>
      </w:r>
    </w:p>
    <w:p>
      <w:pPr>
        <w:spacing w:line="360" w:lineRule="auto"/>
        <w:ind w:firstLine="480" w:firstLineChars="200"/>
        <w:rPr>
          <w:rFonts w:ascii="宋体" w:hAnsi="宋体"/>
          <w:color w:val="auto"/>
          <w:sz w:val="24"/>
        </w:rPr>
      </w:pPr>
      <w:r>
        <w:rPr>
          <w:rFonts w:hint="eastAsia" w:ascii="宋体" w:hAnsi="宋体"/>
          <w:color w:val="auto"/>
          <w:sz w:val="24"/>
        </w:rPr>
        <w:t>除下列情形外，任何人不得以任何理由组织重新评审：</w:t>
      </w:r>
    </w:p>
    <w:p>
      <w:pPr>
        <w:spacing w:line="360" w:lineRule="auto"/>
        <w:ind w:firstLine="480" w:firstLineChars="200"/>
        <w:rPr>
          <w:rFonts w:ascii="宋体" w:hAnsi="宋体"/>
          <w:color w:val="auto"/>
          <w:sz w:val="24"/>
        </w:rPr>
      </w:pPr>
      <w:r>
        <w:rPr>
          <w:rFonts w:hint="eastAsia" w:ascii="宋体" w:hAnsi="宋体"/>
          <w:color w:val="auto"/>
          <w:sz w:val="24"/>
        </w:rPr>
        <w:t>（1）资格性检查认定错误的；</w:t>
      </w:r>
    </w:p>
    <w:p>
      <w:pPr>
        <w:spacing w:line="360" w:lineRule="auto"/>
        <w:ind w:firstLine="480" w:firstLineChars="200"/>
        <w:rPr>
          <w:rFonts w:ascii="宋体" w:hAnsi="宋体"/>
          <w:color w:val="auto"/>
          <w:sz w:val="24"/>
        </w:rPr>
      </w:pPr>
      <w:r>
        <w:rPr>
          <w:rFonts w:hint="eastAsia" w:ascii="宋体" w:hAnsi="宋体"/>
          <w:color w:val="auto"/>
          <w:sz w:val="24"/>
        </w:rPr>
        <w:t>（2）分值汇总计算错误的；</w:t>
      </w:r>
    </w:p>
    <w:p>
      <w:pPr>
        <w:spacing w:line="360" w:lineRule="auto"/>
        <w:ind w:firstLine="480" w:firstLineChars="200"/>
        <w:rPr>
          <w:rFonts w:ascii="宋体" w:hAnsi="宋体"/>
          <w:color w:val="auto"/>
          <w:sz w:val="24"/>
        </w:rPr>
      </w:pPr>
      <w:r>
        <w:rPr>
          <w:rFonts w:hint="eastAsia" w:ascii="宋体" w:hAnsi="宋体"/>
          <w:color w:val="auto"/>
          <w:sz w:val="24"/>
        </w:rPr>
        <w:t>（3）分项评分超出评分标准范围的；</w:t>
      </w:r>
    </w:p>
    <w:p>
      <w:pPr>
        <w:spacing w:line="360" w:lineRule="auto"/>
        <w:ind w:firstLine="480" w:firstLineChars="200"/>
        <w:rPr>
          <w:rFonts w:ascii="宋体" w:hAnsi="宋体"/>
          <w:color w:val="auto"/>
          <w:sz w:val="24"/>
        </w:rPr>
      </w:pPr>
      <w:r>
        <w:rPr>
          <w:rFonts w:hint="eastAsia" w:ascii="宋体" w:hAnsi="宋体"/>
          <w:color w:val="auto"/>
          <w:sz w:val="24"/>
        </w:rPr>
        <w:t>（4）客观分因素评分不一致的；</w:t>
      </w:r>
    </w:p>
    <w:p>
      <w:pPr>
        <w:spacing w:line="360" w:lineRule="auto"/>
        <w:ind w:firstLine="480" w:firstLineChars="200"/>
        <w:rPr>
          <w:rFonts w:ascii="宋体" w:hAnsi="宋体"/>
          <w:color w:val="auto"/>
          <w:sz w:val="24"/>
        </w:rPr>
      </w:pPr>
      <w:r>
        <w:rPr>
          <w:rFonts w:hint="eastAsia" w:ascii="宋体" w:hAnsi="宋体"/>
          <w:color w:val="auto"/>
          <w:sz w:val="24"/>
        </w:rPr>
        <w:t>（5）经磋商小组一致认定评分畸高、畸低的情形。</w:t>
      </w:r>
    </w:p>
    <w:p>
      <w:pPr>
        <w:spacing w:line="360" w:lineRule="auto"/>
        <w:ind w:firstLine="480" w:firstLineChars="200"/>
        <w:rPr>
          <w:rFonts w:ascii="宋体" w:hAnsi="宋体"/>
          <w:color w:val="auto"/>
          <w:sz w:val="24"/>
        </w:rPr>
      </w:pPr>
      <w:r>
        <w:rPr>
          <w:rFonts w:hint="eastAsia" w:ascii="宋体" w:hAnsi="宋体"/>
          <w:color w:val="auto"/>
          <w:sz w:val="24"/>
        </w:rPr>
        <w:t>6.有下列情况之一的，视为供应商串通投标，其响应无效：</w:t>
      </w:r>
    </w:p>
    <w:p>
      <w:pPr>
        <w:spacing w:line="360" w:lineRule="auto"/>
        <w:ind w:firstLine="480" w:firstLineChars="200"/>
        <w:rPr>
          <w:rFonts w:ascii="宋体" w:hAnsi="宋体"/>
          <w:color w:val="auto"/>
          <w:sz w:val="24"/>
        </w:rPr>
      </w:pPr>
      <w:r>
        <w:rPr>
          <w:rFonts w:hint="eastAsia" w:ascii="宋体" w:hAnsi="宋体"/>
          <w:color w:val="auto"/>
          <w:sz w:val="24"/>
        </w:rPr>
        <w:t>6.1不同供应商的响应文件由同一单位或者个人编制；</w:t>
      </w:r>
    </w:p>
    <w:p>
      <w:pPr>
        <w:spacing w:line="360" w:lineRule="auto"/>
        <w:ind w:firstLine="480" w:firstLineChars="200"/>
        <w:rPr>
          <w:rFonts w:ascii="宋体" w:hAnsi="宋体"/>
          <w:color w:val="auto"/>
          <w:sz w:val="24"/>
        </w:rPr>
      </w:pPr>
      <w:r>
        <w:rPr>
          <w:rFonts w:hint="eastAsia" w:ascii="宋体" w:hAnsi="宋体"/>
          <w:color w:val="auto"/>
          <w:sz w:val="24"/>
        </w:rPr>
        <w:t>6.2不同供应商的响应文件由同一台电脑编制；</w:t>
      </w:r>
    </w:p>
    <w:p>
      <w:pPr>
        <w:spacing w:line="360" w:lineRule="auto"/>
        <w:ind w:firstLine="480" w:firstLineChars="200"/>
        <w:rPr>
          <w:rFonts w:ascii="宋体" w:hAnsi="宋体"/>
          <w:color w:val="auto"/>
          <w:sz w:val="24"/>
        </w:rPr>
      </w:pPr>
      <w:r>
        <w:rPr>
          <w:rFonts w:hint="eastAsia" w:ascii="宋体" w:hAnsi="宋体"/>
          <w:color w:val="auto"/>
          <w:sz w:val="24"/>
        </w:rPr>
        <w:t>6.3不同供应商委托同一单位或者个人办理投标事宜；</w:t>
      </w:r>
    </w:p>
    <w:p>
      <w:pPr>
        <w:spacing w:line="360" w:lineRule="auto"/>
        <w:ind w:firstLine="480" w:firstLineChars="200"/>
        <w:rPr>
          <w:rFonts w:ascii="宋体" w:hAnsi="宋体"/>
          <w:color w:val="auto"/>
          <w:sz w:val="24"/>
        </w:rPr>
      </w:pPr>
      <w:r>
        <w:rPr>
          <w:rFonts w:hint="eastAsia" w:ascii="宋体" w:hAnsi="宋体"/>
          <w:color w:val="auto"/>
          <w:sz w:val="24"/>
        </w:rPr>
        <w:t>6.4不同供应商的响应文件载明的项目管理成员或者联系人员为同一人；</w:t>
      </w:r>
    </w:p>
    <w:p>
      <w:pPr>
        <w:spacing w:line="360" w:lineRule="auto"/>
        <w:ind w:firstLine="480" w:firstLineChars="200"/>
        <w:rPr>
          <w:rFonts w:ascii="宋体" w:hAnsi="宋体"/>
          <w:color w:val="auto"/>
          <w:sz w:val="24"/>
        </w:rPr>
      </w:pPr>
      <w:r>
        <w:rPr>
          <w:rFonts w:hint="eastAsia" w:ascii="宋体" w:hAnsi="宋体"/>
          <w:color w:val="auto"/>
          <w:sz w:val="24"/>
        </w:rPr>
        <w:t>6.5不同供应商的响应文件异常一致或者磋商报价呈规律性差异；</w:t>
      </w:r>
    </w:p>
    <w:p>
      <w:pPr>
        <w:spacing w:line="360" w:lineRule="auto"/>
        <w:ind w:firstLine="480" w:firstLineChars="200"/>
        <w:rPr>
          <w:rFonts w:ascii="宋体" w:hAnsi="宋体"/>
          <w:color w:val="auto"/>
          <w:sz w:val="24"/>
        </w:rPr>
      </w:pPr>
      <w:r>
        <w:rPr>
          <w:rFonts w:hint="eastAsia" w:ascii="宋体" w:hAnsi="宋体"/>
          <w:color w:val="auto"/>
          <w:sz w:val="24"/>
        </w:rPr>
        <w:t>6.6不同供应商的响应文件相互混装；</w:t>
      </w:r>
    </w:p>
    <w:p>
      <w:pPr>
        <w:spacing w:line="360" w:lineRule="auto"/>
        <w:ind w:firstLine="480" w:firstLineChars="200"/>
        <w:rPr>
          <w:rFonts w:ascii="宋体" w:hAnsi="宋体"/>
          <w:color w:val="auto"/>
          <w:sz w:val="24"/>
        </w:rPr>
      </w:pPr>
      <w:r>
        <w:rPr>
          <w:rFonts w:hint="eastAsia" w:ascii="宋体" w:hAnsi="宋体"/>
          <w:color w:val="auto"/>
          <w:sz w:val="24"/>
        </w:rPr>
        <w:t>6.7不同供应商的磋商保证金从同一单位或者个人的账户转出。</w:t>
      </w:r>
    </w:p>
    <w:p>
      <w:pPr>
        <w:spacing w:line="360" w:lineRule="auto"/>
        <w:ind w:firstLine="480" w:firstLineChars="200"/>
        <w:rPr>
          <w:rFonts w:ascii="宋体" w:hAnsi="宋体"/>
          <w:color w:val="auto"/>
          <w:sz w:val="24"/>
        </w:rPr>
      </w:pPr>
      <w:r>
        <w:rPr>
          <w:rFonts w:hint="eastAsia" w:ascii="宋体" w:hAnsi="宋体"/>
          <w:color w:val="auto"/>
          <w:sz w:val="24"/>
        </w:rPr>
        <w:t>6.8政府采购法律法规及磋商文件规定的其他情形。</w:t>
      </w:r>
    </w:p>
    <w:p>
      <w:pPr>
        <w:spacing w:line="360" w:lineRule="auto"/>
        <w:ind w:firstLine="481"/>
        <w:jc w:val="left"/>
        <w:outlineLvl w:val="1"/>
        <w:rPr>
          <w:rFonts w:ascii="黑体" w:hAnsi="黑体" w:eastAsia="黑体" w:cs="黑体"/>
          <w:b/>
          <w:color w:val="auto"/>
          <w:sz w:val="24"/>
        </w:rPr>
      </w:pPr>
      <w:bookmarkStart w:id="87" w:name="_Toc8840"/>
      <w:bookmarkStart w:id="88" w:name="_Toc30623"/>
      <w:r>
        <w:rPr>
          <w:rFonts w:hint="eastAsia" w:ascii="黑体" w:hAnsi="黑体" w:eastAsia="黑体" w:cs="黑体"/>
          <w:b/>
          <w:color w:val="auto"/>
          <w:sz w:val="24"/>
        </w:rPr>
        <w:t>三、成交</w:t>
      </w:r>
      <w:bookmarkEnd w:id="87"/>
      <w:bookmarkEnd w:id="88"/>
    </w:p>
    <w:p>
      <w:pPr>
        <w:spacing w:line="360" w:lineRule="auto"/>
        <w:ind w:firstLine="480" w:firstLineChars="200"/>
        <w:rPr>
          <w:rFonts w:ascii="宋体" w:hAnsi="宋体"/>
          <w:color w:val="auto"/>
          <w:sz w:val="24"/>
        </w:rPr>
      </w:pPr>
      <w:r>
        <w:rPr>
          <w:rFonts w:hint="eastAsia" w:ascii="宋体" w:hAnsi="宋体"/>
          <w:color w:val="auto"/>
          <w:sz w:val="24"/>
        </w:rPr>
        <w:t>1.本项目采用第</w:t>
      </w:r>
      <w:r>
        <w:rPr>
          <w:rFonts w:hint="eastAsia" w:ascii="宋体" w:hAnsi="宋体"/>
          <w:color w:val="auto"/>
          <w:sz w:val="24"/>
          <w:u w:val="single"/>
        </w:rPr>
        <w:t>（1）</w:t>
      </w:r>
      <w:r>
        <w:rPr>
          <w:rFonts w:hint="eastAsia" w:ascii="宋体" w:hAnsi="宋体"/>
          <w:color w:val="auto"/>
          <w:sz w:val="24"/>
        </w:rPr>
        <w:t>种方式确定成交供应商：</w:t>
      </w:r>
    </w:p>
    <w:p>
      <w:pPr>
        <w:spacing w:line="360" w:lineRule="auto"/>
        <w:ind w:firstLine="480" w:firstLineChars="200"/>
        <w:rPr>
          <w:rFonts w:ascii="宋体" w:hAnsi="宋体"/>
          <w:color w:val="auto"/>
          <w:sz w:val="24"/>
        </w:rPr>
      </w:pPr>
      <w:r>
        <w:rPr>
          <w:rFonts w:hint="eastAsia" w:ascii="宋体" w:hAnsi="宋体"/>
          <w:color w:val="auto"/>
          <w:sz w:val="24"/>
        </w:rPr>
        <w:t>（1）采购人根据磋商小组评审结果确认。采购代理机构在评审结束后2个工作日内将评审报告送采购人确认。采购人在收到评审报告之日起5个工作日内，从评审报告提出的成交候选供应商中，按照排序由高到低的原则确定成交供应商</w:t>
      </w:r>
      <w:r>
        <w:rPr>
          <w:rFonts w:hint="eastAsia" w:asciiTheme="minorEastAsia" w:hAnsiTheme="minorEastAsia" w:cstheme="minorEastAsia"/>
          <w:color w:val="auto"/>
          <w:sz w:val="24"/>
        </w:rPr>
        <w:t>，并书面复函采购代理机构</w:t>
      </w:r>
      <w:r>
        <w:rPr>
          <w:rFonts w:hint="eastAsia" w:ascii="宋体" w:hAnsi="宋体"/>
          <w:color w:val="auto"/>
          <w:sz w:val="24"/>
        </w:rPr>
        <w:t>。采购人逾期未确定成交供应商且不提出异议的，视同按评审报告提出的排序第一的供应商为成交供应商。</w:t>
      </w:r>
    </w:p>
    <w:p>
      <w:pPr>
        <w:spacing w:line="360" w:lineRule="auto"/>
        <w:ind w:firstLine="482" w:firstLineChars="200"/>
        <w:rPr>
          <w:rFonts w:ascii="宋体" w:hAnsi="宋体"/>
          <w:b/>
          <w:bCs/>
          <w:color w:val="auto"/>
          <w:sz w:val="24"/>
        </w:rPr>
      </w:pPr>
      <w:r>
        <w:rPr>
          <w:rFonts w:hint="eastAsia" w:ascii="宋体" w:hAnsi="宋体"/>
          <w:b/>
          <w:bCs/>
          <w:color w:val="auto"/>
          <w:sz w:val="24"/>
        </w:rPr>
        <w:t>（2）采购人书面授权磋商小组直接确定成交供应商。</w:t>
      </w:r>
    </w:p>
    <w:p>
      <w:pPr>
        <w:spacing w:line="360" w:lineRule="auto"/>
        <w:ind w:firstLine="482" w:firstLineChars="200"/>
        <w:rPr>
          <w:rFonts w:ascii="宋体" w:hAnsi="宋体"/>
          <w:b/>
          <w:bCs/>
          <w:color w:val="auto"/>
          <w:sz w:val="24"/>
        </w:rPr>
      </w:pPr>
      <w:r>
        <w:rPr>
          <w:rFonts w:hint="eastAsia" w:ascii="宋体" w:hAnsi="宋体"/>
          <w:b/>
          <w:bCs/>
          <w:color w:val="auto"/>
          <w:sz w:val="24"/>
        </w:rPr>
        <w:t>采购人在评审前提供《委托评审小组定标授权书》，磋商小组将根据采购人授权直接确定成交供应商。</w:t>
      </w:r>
    </w:p>
    <w:p>
      <w:pPr>
        <w:spacing w:line="360" w:lineRule="auto"/>
        <w:ind w:firstLine="480" w:firstLineChars="200"/>
        <w:rPr>
          <w:rFonts w:ascii="宋体" w:hAnsi="宋体"/>
          <w:color w:val="auto"/>
          <w:sz w:val="24"/>
        </w:rPr>
      </w:pPr>
      <w:r>
        <w:rPr>
          <w:rFonts w:hint="eastAsia" w:ascii="宋体" w:hAnsi="宋体"/>
          <w:color w:val="auto"/>
          <w:sz w:val="24"/>
        </w:rPr>
        <w:t>2.采购代理机构将在成交供应商确定之日起2个工作日内，在财政部门指定的政府采购信息媒体上发布成交公告，成交公告期限为1个工作日。同时，采购代理机构向成交供应商发出“成交通知书”，并将磋商文件随成交结果同时公告。</w:t>
      </w:r>
    </w:p>
    <w:p>
      <w:pPr>
        <w:spacing w:line="360" w:lineRule="auto"/>
        <w:ind w:firstLine="480" w:firstLineChars="200"/>
        <w:rPr>
          <w:rFonts w:ascii="宋体" w:hAnsi="宋体"/>
          <w:color w:val="auto"/>
          <w:sz w:val="24"/>
        </w:rPr>
      </w:pPr>
      <w:r>
        <w:rPr>
          <w:rFonts w:hint="eastAsia" w:ascii="宋体" w:hAnsi="宋体"/>
          <w:color w:val="auto"/>
          <w:sz w:val="24"/>
        </w:rPr>
        <w:t>成交结果公告应当包括以下内容：</w:t>
      </w:r>
    </w:p>
    <w:p>
      <w:pPr>
        <w:spacing w:line="360" w:lineRule="auto"/>
        <w:ind w:firstLine="480" w:firstLineChars="200"/>
        <w:rPr>
          <w:rFonts w:ascii="宋体" w:hAnsi="宋体"/>
          <w:color w:val="auto"/>
          <w:sz w:val="24"/>
        </w:rPr>
      </w:pPr>
      <w:r>
        <w:rPr>
          <w:rFonts w:hint="eastAsia" w:ascii="宋体" w:hAnsi="宋体"/>
          <w:color w:val="auto"/>
          <w:sz w:val="24"/>
        </w:rPr>
        <w:t>（1）采购人和采购代理机构的名称、地址和联系方式；</w:t>
      </w:r>
    </w:p>
    <w:p>
      <w:pPr>
        <w:spacing w:line="360" w:lineRule="auto"/>
        <w:ind w:firstLine="480" w:firstLineChars="200"/>
        <w:rPr>
          <w:rFonts w:ascii="宋体" w:hAnsi="宋体"/>
          <w:color w:val="auto"/>
          <w:sz w:val="24"/>
        </w:rPr>
      </w:pPr>
      <w:r>
        <w:rPr>
          <w:rFonts w:hint="eastAsia" w:ascii="宋体" w:hAnsi="宋体"/>
          <w:color w:val="auto"/>
          <w:sz w:val="24"/>
        </w:rPr>
        <w:t>（2）项目名称和项目编号；</w:t>
      </w:r>
    </w:p>
    <w:p>
      <w:pPr>
        <w:spacing w:line="360" w:lineRule="auto"/>
        <w:ind w:firstLine="480" w:firstLineChars="200"/>
        <w:rPr>
          <w:rFonts w:ascii="宋体" w:hAnsi="宋体"/>
          <w:color w:val="auto"/>
          <w:sz w:val="24"/>
        </w:rPr>
      </w:pPr>
      <w:r>
        <w:rPr>
          <w:rFonts w:hint="eastAsia" w:ascii="宋体" w:hAnsi="宋体"/>
          <w:color w:val="auto"/>
          <w:sz w:val="24"/>
        </w:rPr>
        <w:t>（3）成交供应商名称、地址和成交金额；</w:t>
      </w:r>
    </w:p>
    <w:p>
      <w:pPr>
        <w:spacing w:line="360" w:lineRule="auto"/>
        <w:ind w:firstLine="480" w:firstLineChars="200"/>
        <w:rPr>
          <w:rFonts w:ascii="宋体" w:hAnsi="宋体"/>
          <w:color w:val="auto"/>
          <w:sz w:val="24"/>
        </w:rPr>
      </w:pPr>
      <w:r>
        <w:rPr>
          <w:rFonts w:hint="eastAsia" w:ascii="宋体" w:hAnsi="宋体"/>
          <w:color w:val="auto"/>
          <w:sz w:val="24"/>
        </w:rPr>
        <w:t>（4）主要成交标的的名称、规格型号、数量、单价、服务要求；</w:t>
      </w:r>
    </w:p>
    <w:p>
      <w:pPr>
        <w:spacing w:line="360" w:lineRule="auto"/>
        <w:ind w:firstLine="480" w:firstLineChars="200"/>
        <w:rPr>
          <w:rFonts w:ascii="宋体" w:hAnsi="宋体"/>
          <w:color w:val="auto"/>
          <w:sz w:val="24"/>
        </w:rPr>
      </w:pPr>
      <w:r>
        <w:rPr>
          <w:rFonts w:hint="eastAsia" w:ascii="宋体" w:hAnsi="宋体"/>
          <w:color w:val="auto"/>
          <w:sz w:val="24"/>
        </w:rPr>
        <w:t>（5）磋商小组成员名单。</w:t>
      </w:r>
    </w:p>
    <w:p>
      <w:pPr>
        <w:spacing w:line="360" w:lineRule="auto"/>
        <w:ind w:firstLine="480" w:firstLineChars="200"/>
        <w:rPr>
          <w:rFonts w:ascii="宋体" w:hAnsi="宋体"/>
          <w:color w:val="auto"/>
          <w:sz w:val="24"/>
        </w:rPr>
      </w:pPr>
      <w:r>
        <w:rPr>
          <w:rFonts w:hint="eastAsia" w:ascii="宋体" w:hAnsi="宋体"/>
          <w:color w:val="auto"/>
          <w:sz w:val="24"/>
        </w:rPr>
        <w:t>采用书面推荐供应商参加采购活动的，还应当公告采购人和评审专家的推荐意见。</w:t>
      </w:r>
    </w:p>
    <w:p>
      <w:pPr>
        <w:spacing w:line="360" w:lineRule="auto"/>
        <w:ind w:firstLine="481"/>
        <w:jc w:val="left"/>
        <w:outlineLvl w:val="1"/>
        <w:rPr>
          <w:rFonts w:ascii="黑体" w:hAnsi="黑体" w:eastAsia="黑体" w:cs="黑体"/>
          <w:b/>
          <w:color w:val="auto"/>
          <w:sz w:val="24"/>
        </w:rPr>
      </w:pPr>
      <w:bookmarkStart w:id="89" w:name="_Toc4453"/>
      <w:bookmarkStart w:id="90" w:name="_Toc17637"/>
      <w:bookmarkStart w:id="91" w:name="_Toc11305"/>
      <w:bookmarkStart w:id="92" w:name="_Toc16588"/>
      <w:r>
        <w:rPr>
          <w:rFonts w:hint="eastAsia" w:ascii="黑体" w:hAnsi="黑体" w:eastAsia="黑体" w:cs="黑体"/>
          <w:b/>
          <w:color w:val="auto"/>
          <w:sz w:val="24"/>
        </w:rPr>
        <w:t>四、其他</w:t>
      </w:r>
      <w:bookmarkEnd w:id="89"/>
      <w:bookmarkEnd w:id="90"/>
    </w:p>
    <w:p>
      <w:pPr>
        <w:spacing w:line="360" w:lineRule="auto"/>
        <w:ind w:firstLine="480" w:firstLineChars="200"/>
        <w:rPr>
          <w:rFonts w:ascii="宋体" w:hAnsi="宋体"/>
          <w:color w:val="auto"/>
          <w:sz w:val="24"/>
        </w:rPr>
      </w:pPr>
      <w:r>
        <w:rPr>
          <w:rFonts w:hint="eastAsia" w:ascii="宋体" w:hAnsi="宋体"/>
          <w:color w:val="auto"/>
          <w:sz w:val="24"/>
        </w:rPr>
        <w:t>1.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spacing w:line="360" w:lineRule="auto"/>
        <w:ind w:firstLine="480" w:firstLineChars="200"/>
        <w:rPr>
          <w:rFonts w:ascii="宋体" w:hAnsi="宋体"/>
          <w:color w:val="auto"/>
          <w:sz w:val="24"/>
        </w:rPr>
      </w:pPr>
      <w:r>
        <w:rPr>
          <w:rFonts w:hint="eastAsia" w:ascii="宋体" w:hAnsi="宋体"/>
          <w:color w:val="auto"/>
          <w:sz w:val="24"/>
        </w:rPr>
        <w:t>2.根据《政府采购法》第三十六条规定，在磋商采购中，出现下列情形之一的，本项目按废标处理：</w:t>
      </w:r>
    </w:p>
    <w:p>
      <w:pPr>
        <w:spacing w:line="360" w:lineRule="auto"/>
        <w:ind w:firstLine="480" w:firstLineChars="200"/>
        <w:rPr>
          <w:rFonts w:ascii="宋体" w:hAnsi="宋体"/>
          <w:color w:val="auto"/>
          <w:sz w:val="24"/>
        </w:rPr>
      </w:pPr>
      <w:r>
        <w:rPr>
          <w:rFonts w:hint="eastAsia" w:ascii="宋体" w:hAnsi="宋体"/>
          <w:color w:val="auto"/>
          <w:sz w:val="24"/>
        </w:rPr>
        <w:t>2.1出现影响采购公正的违法、违规行为的；</w:t>
      </w:r>
    </w:p>
    <w:p>
      <w:pPr>
        <w:spacing w:line="360" w:lineRule="auto"/>
        <w:ind w:firstLine="480" w:firstLineChars="200"/>
        <w:rPr>
          <w:rFonts w:ascii="宋体" w:hAnsi="宋体"/>
          <w:color w:val="auto"/>
          <w:sz w:val="24"/>
        </w:rPr>
      </w:pPr>
      <w:r>
        <w:rPr>
          <w:rFonts w:hint="eastAsia" w:ascii="宋体" w:hAnsi="宋体"/>
          <w:color w:val="auto"/>
          <w:sz w:val="24"/>
        </w:rPr>
        <w:t>2.2供应商的报价均超过了采购预算，采购人不能支付的；</w:t>
      </w:r>
    </w:p>
    <w:p>
      <w:pPr>
        <w:spacing w:line="360" w:lineRule="auto"/>
        <w:ind w:firstLine="480" w:firstLineChars="200"/>
        <w:rPr>
          <w:rFonts w:ascii="宋体" w:hAnsi="宋体"/>
          <w:color w:val="auto"/>
          <w:sz w:val="24"/>
        </w:rPr>
      </w:pPr>
      <w:r>
        <w:rPr>
          <w:rFonts w:hint="eastAsia" w:ascii="宋体" w:hAnsi="宋体"/>
          <w:color w:val="auto"/>
          <w:sz w:val="24"/>
        </w:rPr>
        <w:t>2.3因重大变故，采购任务取消的。</w:t>
      </w:r>
    </w:p>
    <w:p>
      <w:pPr>
        <w:spacing w:line="360" w:lineRule="auto"/>
        <w:ind w:firstLine="480" w:firstLineChars="200"/>
        <w:rPr>
          <w:rFonts w:ascii="宋体" w:hAnsi="宋体"/>
          <w:color w:val="auto"/>
          <w:sz w:val="24"/>
        </w:rPr>
      </w:pPr>
      <w:r>
        <w:rPr>
          <w:rFonts w:hint="eastAsia" w:ascii="宋体" w:hAnsi="宋体"/>
          <w:color w:val="auto"/>
          <w:sz w:val="24"/>
        </w:rPr>
        <w:t>废标后，由采购代理机构发布废标公告。除采购任务取消外，本项目将重新组织采购活动。</w:t>
      </w:r>
    </w:p>
    <w:p>
      <w:pPr>
        <w:spacing w:line="360" w:lineRule="auto"/>
        <w:ind w:firstLine="480" w:firstLineChars="200"/>
        <w:rPr>
          <w:rFonts w:ascii="宋体" w:hAnsi="宋体"/>
          <w:color w:val="auto"/>
          <w:sz w:val="24"/>
        </w:rPr>
      </w:pPr>
      <w:r>
        <w:rPr>
          <w:rFonts w:hint="eastAsia" w:ascii="宋体" w:hAnsi="宋体"/>
          <w:color w:val="auto"/>
          <w:sz w:val="24"/>
        </w:rPr>
        <w:t>3.在递交响应文件阶段、资格审查阶段以及符合性审查阶段，当出现有效投标供应商不足3家时，除采购任务取消外，按照以下方式处理：</w:t>
      </w:r>
    </w:p>
    <w:p>
      <w:pPr>
        <w:spacing w:line="360" w:lineRule="auto"/>
        <w:ind w:firstLine="480" w:firstLineChars="200"/>
        <w:rPr>
          <w:rFonts w:ascii="宋体" w:hAnsi="宋体"/>
          <w:color w:val="auto"/>
          <w:sz w:val="24"/>
        </w:rPr>
      </w:pPr>
      <w:r>
        <w:rPr>
          <w:rFonts w:hint="eastAsia" w:ascii="宋体" w:hAnsi="宋体"/>
          <w:color w:val="auto"/>
          <w:sz w:val="24"/>
        </w:rPr>
        <w:t>3.1磋商文件存在不合理条款或者磋商程序不符合规定的，采购人、采购代理机构改正后依法重新开展采购活动；</w:t>
      </w:r>
    </w:p>
    <w:p>
      <w:pPr>
        <w:spacing w:line="360" w:lineRule="auto"/>
        <w:ind w:firstLine="480" w:firstLineChars="200"/>
        <w:rPr>
          <w:rFonts w:ascii="宋体" w:hAnsi="宋体"/>
          <w:color w:val="auto"/>
          <w:sz w:val="24"/>
        </w:rPr>
      </w:pPr>
      <w:r>
        <w:rPr>
          <w:rFonts w:hint="eastAsia" w:ascii="宋体" w:hAnsi="宋体"/>
          <w:color w:val="auto"/>
          <w:sz w:val="24"/>
        </w:rPr>
        <w:t>3.2磋商文件没有不合理条款、磋商程序符合规定，需要采用其他采购方式采购的，采购人应当依法报财政部门批准。</w:t>
      </w:r>
    </w:p>
    <w:p>
      <w:pPr>
        <w:spacing w:line="360" w:lineRule="auto"/>
        <w:ind w:firstLine="480" w:firstLineChars="200"/>
        <w:rPr>
          <w:rFonts w:ascii="宋体" w:hAnsi="宋体"/>
          <w:color w:val="auto"/>
          <w:sz w:val="24"/>
        </w:rPr>
      </w:pPr>
      <w:r>
        <w:rPr>
          <w:rFonts w:hint="eastAsia" w:ascii="宋体" w:hAnsi="宋体"/>
          <w:color w:val="auto"/>
          <w:sz w:val="24"/>
        </w:rPr>
        <w:t>4.采购代理机构应当采取必要措施，保证评审在严格保密的情况下进行。除采购人代表、评审现场组织人员外，采购人的其他工作人员以及与评审工作无关的人员不得进入评审现场。</w:t>
      </w:r>
    </w:p>
    <w:p>
      <w:pPr>
        <w:spacing w:line="360" w:lineRule="auto"/>
        <w:ind w:firstLine="480" w:firstLineChars="200"/>
        <w:rPr>
          <w:rFonts w:ascii="宋体" w:hAnsi="宋体"/>
          <w:color w:val="auto"/>
          <w:sz w:val="24"/>
        </w:rPr>
      </w:pPr>
      <w:r>
        <w:rPr>
          <w:rFonts w:hint="eastAsia" w:ascii="宋体" w:hAnsi="宋体"/>
          <w:color w:val="auto"/>
          <w:sz w:val="24"/>
        </w:rPr>
        <w:t>有关人员对评审情况以及在评审过程中获悉的国家秘密、商业秘密负有保密责任。</w:t>
      </w:r>
    </w:p>
    <w:bookmarkEnd w:id="91"/>
    <w:bookmarkEnd w:id="92"/>
    <w:p>
      <w:pPr>
        <w:spacing w:line="360" w:lineRule="auto"/>
        <w:ind w:firstLine="480" w:firstLineChars="200"/>
        <w:rPr>
          <w:rFonts w:ascii="宋体" w:hAnsi="宋体"/>
          <w:color w:val="auto"/>
          <w:sz w:val="24"/>
        </w:rPr>
      </w:pPr>
      <w:r>
        <w:rPr>
          <w:rFonts w:hint="eastAsia" w:ascii="宋体" w:hAnsi="宋体"/>
          <w:color w:val="auto"/>
          <w:sz w:val="24"/>
        </w:rPr>
        <w:t>5.《成交通知书》是合同的一个组成部分，对采购人和成交供应商具有同等法律效力；</w:t>
      </w:r>
    </w:p>
    <w:p>
      <w:pPr>
        <w:spacing w:line="360" w:lineRule="auto"/>
        <w:ind w:firstLine="480" w:firstLineChars="200"/>
        <w:rPr>
          <w:rFonts w:ascii="宋体" w:hAnsi="宋体"/>
          <w:color w:val="auto"/>
          <w:sz w:val="24"/>
        </w:rPr>
      </w:pPr>
      <w:r>
        <w:rPr>
          <w:rFonts w:hint="eastAsia" w:ascii="宋体" w:hAnsi="宋体"/>
          <w:color w:val="auto"/>
          <w:sz w:val="24"/>
        </w:rPr>
        <w:t>《成交通知书》发出后，采购人改变成交结果，或者成交供应商放弃成交的，均应承担相应的法律责任。</w:t>
      </w:r>
    </w:p>
    <w:p>
      <w:pPr>
        <w:spacing w:line="360" w:lineRule="auto"/>
        <w:ind w:firstLine="480" w:firstLineChars="200"/>
        <w:rPr>
          <w:rFonts w:ascii="宋体" w:hAnsi="宋体"/>
          <w:color w:val="auto"/>
          <w:sz w:val="24"/>
        </w:rPr>
      </w:pPr>
      <w:r>
        <w:rPr>
          <w:rFonts w:hint="eastAsia" w:ascii="宋体" w:hAnsi="宋体"/>
          <w:color w:val="auto"/>
          <w:sz w:val="24"/>
        </w:rPr>
        <w:t>6.磋商文件未明确的其他事项，按《政府采购法》及其相关法律法规执行。</w:t>
      </w:r>
    </w:p>
    <w:p>
      <w:pPr>
        <w:spacing w:line="360" w:lineRule="auto"/>
        <w:ind w:firstLine="480" w:firstLineChars="200"/>
        <w:rPr>
          <w:rFonts w:ascii="??_GB2312" w:hAnsi="仿宋" w:eastAsia="Times New Roman" w:cs="Times New Roman"/>
          <w:color w:val="auto"/>
          <w:sz w:val="24"/>
        </w:rPr>
      </w:pPr>
    </w:p>
    <w:p>
      <w:pPr>
        <w:spacing w:line="360" w:lineRule="auto"/>
        <w:outlineLvl w:val="1"/>
        <w:rPr>
          <w:rFonts w:eastAsia="黑体"/>
          <w:b/>
          <w:color w:val="auto"/>
          <w:sz w:val="18"/>
          <w:szCs w:val="18"/>
        </w:rPr>
      </w:pPr>
      <w:r>
        <w:rPr>
          <w:rFonts w:hint="eastAsia" w:ascii="仿宋_GB2312" w:hAnsi="仿宋" w:eastAsia="仿宋_GB2312" w:cs="仿宋"/>
          <w:color w:val="auto"/>
          <w:sz w:val="24"/>
        </w:rPr>
        <w:br w:type="page"/>
      </w:r>
      <w:bookmarkStart w:id="93" w:name="_Toc27614"/>
      <w:bookmarkStart w:id="94" w:name="_Toc15890"/>
      <w:bookmarkStart w:id="95" w:name="_Toc20558"/>
      <w:bookmarkStart w:id="96" w:name="_Toc12860"/>
      <w:r>
        <w:rPr>
          <w:rFonts w:hint="eastAsia" w:ascii="黑体" w:hAnsi="仿宋" w:eastAsia="黑体" w:cs="黑体"/>
          <w:b/>
          <w:bCs/>
          <w:color w:val="auto"/>
          <w:sz w:val="24"/>
        </w:rPr>
        <w:t>附表1：《资格审查表》</w:t>
      </w:r>
      <w:bookmarkEnd w:id="93"/>
      <w:bookmarkEnd w:id="94"/>
      <w:bookmarkEnd w:id="95"/>
      <w:bookmarkEnd w:id="96"/>
    </w:p>
    <w:p>
      <w:pPr>
        <w:spacing w:line="360" w:lineRule="auto"/>
        <w:jc w:val="center"/>
        <w:rPr>
          <w:color w:val="auto"/>
        </w:rPr>
      </w:pPr>
      <w:r>
        <w:rPr>
          <w:rFonts w:hint="eastAsia" w:ascii="黑体" w:hAnsi="仿宋" w:eastAsia="黑体" w:cs="黑体"/>
          <w:color w:val="auto"/>
          <w:sz w:val="32"/>
          <w:szCs w:val="32"/>
        </w:rPr>
        <w:t>资格审查表</w:t>
      </w:r>
    </w:p>
    <w:tbl>
      <w:tblPr>
        <w:tblStyle w:val="2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blHeader/>
          <w:jc w:val="center"/>
        </w:trPr>
        <w:tc>
          <w:tcPr>
            <w:tcW w:w="707" w:type="dxa"/>
            <w:vAlign w:val="center"/>
          </w:tcPr>
          <w:p>
            <w:pPr>
              <w:jc w:val="center"/>
              <w:rPr>
                <w:rFonts w:ascii="黑体" w:hAnsi="黑体" w:eastAsia="黑体" w:cs="黑体"/>
                <w:b/>
                <w:color w:val="auto"/>
              </w:rPr>
            </w:pPr>
            <w:r>
              <w:rPr>
                <w:rFonts w:hint="eastAsia" w:ascii="黑体" w:hAnsi="黑体" w:eastAsia="黑体" w:cs="黑体"/>
                <w:b/>
                <w:color w:val="auto"/>
              </w:rPr>
              <w:t>序号</w:t>
            </w:r>
          </w:p>
        </w:tc>
        <w:tc>
          <w:tcPr>
            <w:tcW w:w="4968" w:type="dxa"/>
            <w:gridSpan w:val="2"/>
            <w:tcBorders>
              <w:tl2br w:val="single" w:color="auto" w:sz="4" w:space="0"/>
            </w:tcBorders>
            <w:vAlign w:val="center"/>
          </w:tcPr>
          <w:p>
            <w:pPr>
              <w:jc w:val="right"/>
              <w:rPr>
                <w:rFonts w:ascii="黑体" w:hAnsi="黑体" w:eastAsia="黑体" w:cs="黑体"/>
                <w:b/>
                <w:color w:val="auto"/>
              </w:rPr>
            </w:pPr>
            <w:r>
              <w:rPr>
                <w:rFonts w:hint="eastAsia" w:ascii="黑体" w:hAnsi="黑体" w:eastAsia="黑体" w:cs="黑体"/>
                <w:b/>
                <w:color w:val="auto"/>
              </w:rPr>
              <w:t>响应供应商</w:t>
            </w:r>
          </w:p>
          <w:p>
            <w:pPr>
              <w:rPr>
                <w:rFonts w:ascii="黑体" w:hAnsi="黑体" w:eastAsia="黑体" w:cs="黑体"/>
                <w:color w:val="auto"/>
              </w:rPr>
            </w:pPr>
            <w:r>
              <w:rPr>
                <w:rFonts w:hint="eastAsia" w:ascii="黑体" w:hAnsi="黑体" w:eastAsia="黑体" w:cs="黑体"/>
                <w:b/>
                <w:color w:val="auto"/>
              </w:rPr>
              <w:t>响应资格审查项</w:t>
            </w:r>
            <w:r>
              <w:rPr>
                <w:rFonts w:hint="eastAsia" w:ascii="黑体" w:hAnsi="黑体" w:eastAsia="黑体" w:cs="黑体"/>
                <w:b/>
                <w:i/>
                <w:color w:val="auto"/>
              </w:rPr>
              <w:t>（即供应商资格条件）</w:t>
            </w:r>
          </w:p>
        </w:tc>
        <w:tc>
          <w:tcPr>
            <w:tcW w:w="995" w:type="dxa"/>
            <w:vAlign w:val="center"/>
          </w:tcPr>
          <w:p>
            <w:pPr>
              <w:jc w:val="center"/>
              <w:rPr>
                <w:rFonts w:ascii="黑体" w:hAnsi="黑体" w:eastAsia="黑体" w:cs="黑体"/>
                <w:color w:val="auto"/>
              </w:rPr>
            </w:pPr>
            <w:r>
              <w:rPr>
                <w:rFonts w:hint="eastAsia" w:ascii="黑体" w:hAnsi="黑体" w:eastAsia="黑体" w:cs="黑体"/>
                <w:color w:val="auto"/>
              </w:rPr>
              <w:t>A响应供应商</w:t>
            </w:r>
          </w:p>
        </w:tc>
        <w:tc>
          <w:tcPr>
            <w:tcW w:w="995" w:type="dxa"/>
            <w:vAlign w:val="center"/>
          </w:tcPr>
          <w:p>
            <w:pPr>
              <w:jc w:val="center"/>
              <w:rPr>
                <w:rFonts w:ascii="黑体" w:hAnsi="黑体" w:eastAsia="黑体" w:cs="黑体"/>
                <w:color w:val="auto"/>
              </w:rPr>
            </w:pPr>
            <w:r>
              <w:rPr>
                <w:rFonts w:hint="eastAsia" w:ascii="黑体" w:hAnsi="黑体" w:eastAsia="黑体" w:cs="黑体"/>
                <w:color w:val="auto"/>
              </w:rPr>
              <w:t>B响应供应商</w:t>
            </w:r>
          </w:p>
        </w:tc>
        <w:tc>
          <w:tcPr>
            <w:tcW w:w="995" w:type="dxa"/>
            <w:vAlign w:val="center"/>
          </w:tcPr>
          <w:p>
            <w:pPr>
              <w:tabs>
                <w:tab w:val="left" w:pos="8640"/>
              </w:tabs>
              <w:jc w:val="center"/>
              <w:rPr>
                <w:rFonts w:ascii="黑体" w:hAnsi="黑体" w:eastAsia="黑体" w:cs="黑体"/>
                <w:color w:val="auto"/>
              </w:rPr>
            </w:pPr>
            <w:r>
              <w:rPr>
                <w:rFonts w:hint="eastAsia" w:ascii="黑体" w:hAnsi="黑体" w:eastAsia="黑体" w:cs="黑体"/>
                <w:color w:val="auto"/>
              </w:rPr>
              <w:t>C响应供应商</w:t>
            </w:r>
          </w:p>
        </w:tc>
        <w:tc>
          <w:tcPr>
            <w:tcW w:w="992" w:type="dxa"/>
            <w:vAlign w:val="center"/>
          </w:tcPr>
          <w:p>
            <w:pPr>
              <w:jc w:val="center"/>
              <w:rPr>
                <w:rFonts w:ascii="黑体" w:hAnsi="黑体" w:eastAsia="黑体" w:cs="黑体"/>
                <w:color w:val="auto"/>
              </w:rPr>
            </w:pPr>
            <w:r>
              <w:rPr>
                <w:rFonts w:hint="eastAsia" w:ascii="黑体" w:hAnsi="黑体" w:eastAsia="黑体" w:cs="黑体"/>
                <w:color w:val="auto"/>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w:t>
            </w:r>
          </w:p>
        </w:tc>
        <w:tc>
          <w:tcPr>
            <w:tcW w:w="4968" w:type="dxa"/>
            <w:gridSpan w:val="2"/>
            <w:vAlign w:val="center"/>
          </w:tcPr>
          <w:p>
            <w:pPr>
              <w:ind w:left="40" w:leftChars="19"/>
              <w:rPr>
                <w:rFonts w:ascii="宋体" w:hAnsi="宋体"/>
                <w:color w:val="auto"/>
                <w:kern w:val="28"/>
                <w:sz w:val="20"/>
                <w:szCs w:val="22"/>
              </w:rPr>
            </w:pPr>
            <w:r>
              <w:rPr>
                <w:rFonts w:hint="eastAsia" w:ascii="宋体" w:hAnsi="宋体"/>
                <w:color w:val="auto"/>
                <w:kern w:val="28"/>
                <w:sz w:val="20"/>
                <w:szCs w:val="22"/>
              </w:rPr>
              <w:t>供应商资格声明（格式）；</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1.1</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供应商具有独立承担民事责任能力的法人、其他组织或自然人，并出具合法有效的营业执照或事业单位法人证书等国家规定的相关证明，自然人参与的提供其身份证明；</w:t>
            </w:r>
            <w:r>
              <w:rPr>
                <w:rFonts w:hint="eastAsia" w:ascii="宋体" w:hAnsi="宋体"/>
                <w:color w:val="auto"/>
                <w:kern w:val="28"/>
                <w:sz w:val="16"/>
                <w:szCs w:val="20"/>
              </w:rPr>
              <w:t>；</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1.2</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财务状况报告：提供2021年度的财务审计报告或具有健全的财务报表或开标前六个月内其基本存款账户开户银行出具的资信证明及基本存款账户开户许可证；</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1.3</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社会保障资金缴纳证明，截止开标时一年内已缴存的至少六个月的社会保障资金缴存单据或社保机构开具的社会保险参保缴费情况证明，单据或证明上应有社保机构或代收机构的公章或业务专用章。（依法不需要缴纳社会保障资金的服务商应提供相关文件证明）；</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1.4</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税收缴纳证明，截止开标时一年内已缴存的至少六个月的纳税证明或完税证明，纳税证明或完税证明上应有代收机构或税务机关的公章或业务专用章。（依法免税的服务商应提供相关文件证明）；</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1.5</w:t>
            </w:r>
          </w:p>
        </w:tc>
        <w:tc>
          <w:tcPr>
            <w:tcW w:w="4968" w:type="dxa"/>
            <w:gridSpan w:val="2"/>
            <w:vAlign w:val="center"/>
          </w:tcPr>
          <w:p>
            <w:pPr>
              <w:rPr>
                <w:rFonts w:ascii="宋体" w:hAnsi="宋体"/>
                <w:color w:val="auto"/>
                <w:kern w:val="28"/>
                <w:sz w:val="16"/>
                <w:szCs w:val="20"/>
              </w:rPr>
            </w:pPr>
            <w:r>
              <w:rPr>
                <w:rFonts w:hint="eastAsia" w:ascii="宋体" w:hAnsi="宋体"/>
                <w:color w:val="auto"/>
                <w:sz w:val="20"/>
                <w:szCs w:val="20"/>
              </w:rPr>
              <w:t>参加政府采购活动前3年内在经营活动中没有重大违法记录的书面声明；</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2</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具备履行合同所必需的设备和专业技术能力的证明材料(由供应商根据项目需求提供说明材料或者承诺)；</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3</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sz w:val="20"/>
                <w:szCs w:val="20"/>
              </w:rPr>
              <w:t>供应商应授权合法的人员参加磋商全过程，其中法定代表人直接参加磋商的，须出具法人身份证，并与营业执照上信息一致。法定代表人授权代表参加磋商的，须出具法定代表人授权书及授权代表身份证；</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color w:val="auto"/>
              </w:rPr>
            </w:pPr>
            <w:r>
              <w:rPr>
                <w:rFonts w:hint="eastAsia" w:ascii="宋体" w:hAnsi="宋体"/>
                <w:bCs/>
                <w:color w:val="auto"/>
              </w:rPr>
              <w:t>4</w:t>
            </w:r>
          </w:p>
        </w:tc>
        <w:tc>
          <w:tcPr>
            <w:tcW w:w="4968" w:type="dxa"/>
            <w:gridSpan w:val="2"/>
            <w:vAlign w:val="center"/>
          </w:tcPr>
          <w:p>
            <w:pPr>
              <w:ind w:left="40" w:leftChars="19"/>
              <w:rPr>
                <w:rFonts w:ascii="宋体" w:hAnsi="宋体"/>
                <w:color w:val="auto"/>
                <w:kern w:val="28"/>
                <w:sz w:val="16"/>
                <w:szCs w:val="20"/>
              </w:rPr>
            </w:pPr>
            <w:r>
              <w:rPr>
                <w:rFonts w:hint="eastAsia" w:ascii="宋体" w:hAnsi="宋体"/>
                <w:color w:val="auto"/>
                <w:kern w:val="0"/>
                <w:sz w:val="20"/>
                <w:szCs w:val="20"/>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r>
              <w:rPr>
                <w:rFonts w:hint="eastAsia" w:ascii="宋体" w:hAnsi="宋体"/>
                <w:b/>
                <w:bCs/>
                <w:color w:val="auto"/>
                <w:kern w:val="0"/>
                <w:sz w:val="20"/>
                <w:szCs w:val="20"/>
              </w:rPr>
              <w:t>（查询时间须在磋商文件发售期至磋商响应文件递交截止时间之间，并将网页截图（加盖供应商公章）附在磋商响应文件中）</w:t>
            </w:r>
            <w:r>
              <w:rPr>
                <w:rFonts w:hint="eastAsia" w:ascii="宋体" w:hAnsi="宋体"/>
                <w:color w:val="auto"/>
                <w:kern w:val="0"/>
                <w:sz w:val="20"/>
                <w:szCs w:val="20"/>
              </w:rPr>
              <w:t>；</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675" w:type="dxa"/>
            <w:gridSpan w:val="3"/>
            <w:vAlign w:val="center"/>
          </w:tcPr>
          <w:p>
            <w:pPr>
              <w:spacing w:before="40" w:after="40"/>
              <w:jc w:val="center"/>
              <w:rPr>
                <w:rFonts w:ascii="宋体" w:hAnsi="宋体"/>
                <w:b/>
                <w:color w:val="auto"/>
              </w:rPr>
            </w:pPr>
            <w:r>
              <w:rPr>
                <w:rFonts w:hint="eastAsia" w:ascii="宋体" w:hAnsi="宋体"/>
                <w:bCs/>
                <w:color w:val="auto"/>
              </w:rPr>
              <w:t>结论</w:t>
            </w:r>
          </w:p>
        </w:tc>
        <w:tc>
          <w:tcPr>
            <w:tcW w:w="995" w:type="dxa"/>
            <w:vAlign w:val="center"/>
          </w:tcPr>
          <w:p>
            <w:pPr>
              <w:spacing w:before="40" w:after="40" w:line="360" w:lineRule="auto"/>
              <w:rPr>
                <w:rFonts w:ascii="宋体" w:hAnsi="宋体"/>
                <w:b/>
                <w:color w:val="auto"/>
              </w:rPr>
            </w:pPr>
          </w:p>
        </w:tc>
        <w:tc>
          <w:tcPr>
            <w:tcW w:w="995" w:type="dxa"/>
            <w:vAlign w:val="center"/>
          </w:tcPr>
          <w:p>
            <w:pPr>
              <w:spacing w:before="40" w:after="40" w:line="360" w:lineRule="auto"/>
              <w:rPr>
                <w:rFonts w:ascii="宋体" w:hAnsi="宋体"/>
                <w:b/>
                <w:color w:val="auto"/>
              </w:rPr>
            </w:pPr>
          </w:p>
        </w:tc>
        <w:tc>
          <w:tcPr>
            <w:tcW w:w="995" w:type="dxa"/>
            <w:vAlign w:val="center"/>
          </w:tcPr>
          <w:p>
            <w:pPr>
              <w:spacing w:before="40" w:after="40" w:line="360" w:lineRule="auto"/>
              <w:rPr>
                <w:rFonts w:ascii="宋体" w:hAnsi="宋体"/>
                <w:b/>
                <w:color w:val="auto"/>
              </w:rPr>
            </w:pPr>
          </w:p>
        </w:tc>
        <w:tc>
          <w:tcPr>
            <w:tcW w:w="992" w:type="dxa"/>
            <w:vAlign w:val="center"/>
          </w:tcPr>
          <w:p>
            <w:pPr>
              <w:spacing w:before="40" w:after="40" w:line="360" w:lineRule="auto"/>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49" w:type="dxa"/>
            <w:gridSpan w:val="2"/>
            <w:vAlign w:val="center"/>
          </w:tcPr>
          <w:p>
            <w:pPr>
              <w:jc w:val="center"/>
              <w:rPr>
                <w:rFonts w:ascii="宋体" w:hAnsi="宋体"/>
                <w:color w:val="auto"/>
              </w:rPr>
            </w:pPr>
            <w:r>
              <w:rPr>
                <w:rFonts w:hint="eastAsia" w:ascii="宋体" w:hAnsi="宋体"/>
                <w:color w:val="auto"/>
              </w:rPr>
              <w:t>不通过原因说明</w:t>
            </w:r>
          </w:p>
        </w:tc>
        <w:tc>
          <w:tcPr>
            <w:tcW w:w="8403" w:type="dxa"/>
            <w:gridSpan w:val="5"/>
            <w:vAlign w:val="center"/>
          </w:tcPr>
          <w:p>
            <w:pPr>
              <w:spacing w:before="40" w:after="40" w:line="360" w:lineRule="auto"/>
              <w:rPr>
                <w:rFonts w:ascii="宋体" w:hAnsi="宋体"/>
                <w:b/>
                <w:color w:val="auto"/>
              </w:rPr>
            </w:pPr>
          </w:p>
        </w:tc>
      </w:tr>
    </w:tbl>
    <w:p>
      <w:pPr>
        <w:spacing w:before="120"/>
        <w:ind w:firstLine="420" w:firstLineChars="200"/>
        <w:rPr>
          <w:rFonts w:ascii="宋体" w:hAnsi="宋体"/>
          <w:color w:val="auto"/>
        </w:rPr>
      </w:pPr>
      <w:r>
        <w:rPr>
          <w:rFonts w:hint="eastAsia" w:ascii="宋体" w:hAnsi="宋体"/>
          <w:color w:val="auto"/>
        </w:rPr>
        <w:t>1.审查人员对响应供应商是否满足要求逐条标注评审意见，“是”标记为“</w:t>
      </w:r>
      <w:r>
        <w:rPr>
          <w:rFonts w:ascii="Arial" w:hAnsi="Arial" w:cs="Arial"/>
          <w:color w:val="auto"/>
        </w:rPr>
        <w:t>√</w:t>
      </w:r>
      <w:r>
        <w:rPr>
          <w:rFonts w:hint="eastAsia" w:ascii="宋体" w:hAnsi="宋体"/>
          <w:color w:val="auto"/>
        </w:rPr>
        <w:t>”，“否”标记为“×”；</w:t>
      </w:r>
    </w:p>
    <w:p>
      <w:pPr>
        <w:spacing w:before="120"/>
        <w:ind w:firstLine="420" w:firstLineChars="200"/>
        <w:rPr>
          <w:rFonts w:ascii="宋体" w:hAnsi="宋体"/>
          <w:color w:val="auto"/>
        </w:rPr>
      </w:pPr>
      <w:r>
        <w:rPr>
          <w:rFonts w:hint="eastAsia" w:ascii="宋体" w:hAnsi="宋体"/>
          <w:color w:val="auto"/>
        </w:rPr>
        <w:t>2.评审结论栏统一填写为“通过”或“不通过”，出现一个“×”为“不通过”；</w:t>
      </w:r>
    </w:p>
    <w:p>
      <w:pPr>
        <w:spacing w:before="120"/>
        <w:ind w:firstLine="420" w:firstLineChars="200"/>
        <w:rPr>
          <w:color w:val="auto"/>
        </w:rPr>
      </w:pPr>
      <w:r>
        <w:rPr>
          <w:rFonts w:hint="eastAsia" w:ascii="宋体" w:hAnsi="宋体"/>
          <w:color w:val="auto"/>
        </w:rPr>
        <w:t>3.对结论为“不通过”的响应，要说明原因。</w:t>
      </w:r>
    </w:p>
    <w:p>
      <w:pPr>
        <w:outlineLvl w:val="1"/>
        <w:rPr>
          <w:rFonts w:eastAsia="黑体"/>
          <w:b/>
          <w:color w:val="auto"/>
          <w:sz w:val="18"/>
          <w:szCs w:val="18"/>
        </w:rPr>
      </w:pPr>
      <w:r>
        <w:rPr>
          <w:rFonts w:hint="eastAsia" w:ascii="黑体" w:hAnsi="仿宋" w:eastAsia="黑体" w:cs="黑体"/>
          <w:b/>
          <w:bCs/>
          <w:color w:val="auto"/>
          <w:sz w:val="24"/>
        </w:rPr>
        <w:br w:type="page"/>
      </w:r>
      <w:bookmarkStart w:id="97" w:name="_Toc23195"/>
      <w:bookmarkStart w:id="98" w:name="_Toc11597"/>
      <w:bookmarkStart w:id="99" w:name="_Toc1955"/>
      <w:bookmarkStart w:id="100" w:name="_Toc8211"/>
      <w:r>
        <w:rPr>
          <w:rFonts w:hint="eastAsia" w:ascii="黑体" w:hAnsi="仿宋" w:eastAsia="黑体" w:cs="黑体"/>
          <w:b/>
          <w:bCs/>
          <w:color w:val="auto"/>
          <w:sz w:val="24"/>
        </w:rPr>
        <w:t>附表2：《符合性审查表》</w:t>
      </w:r>
      <w:bookmarkEnd w:id="97"/>
      <w:bookmarkEnd w:id="98"/>
      <w:bookmarkEnd w:id="99"/>
      <w:bookmarkEnd w:id="100"/>
    </w:p>
    <w:p>
      <w:pPr>
        <w:rPr>
          <w:b/>
          <w:color w:val="auto"/>
          <w:sz w:val="18"/>
          <w:szCs w:val="18"/>
        </w:rPr>
      </w:pPr>
    </w:p>
    <w:p>
      <w:pPr>
        <w:spacing w:line="360" w:lineRule="auto"/>
        <w:jc w:val="center"/>
        <w:rPr>
          <w:color w:val="auto"/>
        </w:rPr>
      </w:pPr>
      <w:r>
        <w:rPr>
          <w:rFonts w:hint="eastAsia" w:ascii="黑体" w:hAnsi="仿宋" w:eastAsia="黑体" w:cs="黑体"/>
          <w:color w:val="auto"/>
          <w:sz w:val="32"/>
          <w:szCs w:val="32"/>
        </w:rPr>
        <w:t>符合性审查表</w:t>
      </w:r>
    </w:p>
    <w:tbl>
      <w:tblPr>
        <w:tblStyle w:val="2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vAlign w:val="center"/>
          </w:tcPr>
          <w:p>
            <w:pPr>
              <w:jc w:val="center"/>
              <w:rPr>
                <w:rFonts w:ascii="黑体" w:hAnsi="黑体" w:eastAsia="黑体" w:cs="黑体"/>
                <w:b/>
                <w:color w:val="auto"/>
              </w:rPr>
            </w:pPr>
            <w:r>
              <w:rPr>
                <w:rFonts w:hint="eastAsia" w:ascii="黑体" w:hAnsi="黑体" w:eastAsia="黑体" w:cs="黑体"/>
                <w:b/>
                <w:color w:val="auto"/>
              </w:rPr>
              <w:t>序号</w:t>
            </w:r>
          </w:p>
        </w:tc>
        <w:tc>
          <w:tcPr>
            <w:tcW w:w="4968" w:type="dxa"/>
            <w:gridSpan w:val="2"/>
            <w:tcBorders>
              <w:tl2br w:val="single" w:color="auto" w:sz="4" w:space="0"/>
            </w:tcBorders>
            <w:vAlign w:val="center"/>
          </w:tcPr>
          <w:p>
            <w:pPr>
              <w:jc w:val="right"/>
              <w:rPr>
                <w:rFonts w:ascii="黑体" w:hAnsi="黑体" w:eastAsia="黑体" w:cs="黑体"/>
                <w:b/>
                <w:color w:val="auto"/>
              </w:rPr>
            </w:pPr>
            <w:r>
              <w:rPr>
                <w:rFonts w:hint="eastAsia" w:ascii="黑体" w:hAnsi="黑体" w:eastAsia="黑体" w:cs="黑体"/>
                <w:b/>
                <w:color w:val="auto"/>
              </w:rPr>
              <w:t>响应供应商</w:t>
            </w:r>
          </w:p>
          <w:p>
            <w:pPr>
              <w:rPr>
                <w:rFonts w:ascii="黑体" w:hAnsi="黑体" w:eastAsia="黑体" w:cs="黑体"/>
                <w:color w:val="auto"/>
              </w:rPr>
            </w:pPr>
            <w:r>
              <w:rPr>
                <w:rFonts w:hint="eastAsia" w:ascii="黑体" w:hAnsi="黑体" w:eastAsia="黑体" w:cs="黑体"/>
                <w:b/>
                <w:color w:val="auto"/>
              </w:rPr>
              <w:t>响应有效性审查项</w:t>
            </w:r>
          </w:p>
        </w:tc>
        <w:tc>
          <w:tcPr>
            <w:tcW w:w="995" w:type="dxa"/>
            <w:vAlign w:val="center"/>
          </w:tcPr>
          <w:p>
            <w:pPr>
              <w:jc w:val="center"/>
              <w:rPr>
                <w:rFonts w:ascii="黑体" w:hAnsi="黑体" w:eastAsia="黑体" w:cs="黑体"/>
                <w:color w:val="auto"/>
              </w:rPr>
            </w:pPr>
            <w:r>
              <w:rPr>
                <w:rFonts w:hint="eastAsia" w:ascii="黑体" w:hAnsi="黑体" w:eastAsia="黑体" w:cs="黑体"/>
                <w:color w:val="auto"/>
              </w:rPr>
              <w:t>A响应供应商</w:t>
            </w:r>
          </w:p>
        </w:tc>
        <w:tc>
          <w:tcPr>
            <w:tcW w:w="995" w:type="dxa"/>
            <w:vAlign w:val="center"/>
          </w:tcPr>
          <w:p>
            <w:pPr>
              <w:jc w:val="center"/>
              <w:rPr>
                <w:rFonts w:ascii="黑体" w:hAnsi="黑体" w:eastAsia="黑体" w:cs="黑体"/>
                <w:color w:val="auto"/>
              </w:rPr>
            </w:pPr>
            <w:r>
              <w:rPr>
                <w:rFonts w:hint="eastAsia" w:ascii="黑体" w:hAnsi="黑体" w:eastAsia="黑体" w:cs="黑体"/>
                <w:color w:val="auto"/>
              </w:rPr>
              <w:t>B响应供应商</w:t>
            </w:r>
          </w:p>
        </w:tc>
        <w:tc>
          <w:tcPr>
            <w:tcW w:w="995" w:type="dxa"/>
            <w:vAlign w:val="center"/>
          </w:tcPr>
          <w:p>
            <w:pPr>
              <w:tabs>
                <w:tab w:val="left" w:pos="8640"/>
              </w:tabs>
              <w:jc w:val="center"/>
              <w:rPr>
                <w:rFonts w:ascii="黑体" w:hAnsi="黑体" w:eastAsia="黑体" w:cs="黑体"/>
                <w:color w:val="auto"/>
              </w:rPr>
            </w:pPr>
            <w:r>
              <w:rPr>
                <w:rFonts w:hint="eastAsia" w:ascii="黑体" w:hAnsi="黑体" w:eastAsia="黑体" w:cs="黑体"/>
                <w:color w:val="auto"/>
              </w:rPr>
              <w:t>C响应供应商</w:t>
            </w:r>
          </w:p>
        </w:tc>
        <w:tc>
          <w:tcPr>
            <w:tcW w:w="992" w:type="dxa"/>
            <w:vAlign w:val="center"/>
          </w:tcPr>
          <w:p>
            <w:pPr>
              <w:jc w:val="center"/>
              <w:rPr>
                <w:rFonts w:ascii="黑体" w:hAnsi="黑体" w:eastAsia="黑体" w:cs="黑体"/>
                <w:color w:val="auto"/>
              </w:rPr>
            </w:pPr>
            <w:r>
              <w:rPr>
                <w:rFonts w:hint="eastAsia" w:ascii="黑体" w:hAnsi="黑体" w:eastAsia="黑体" w:cs="黑体"/>
                <w:color w:val="auto"/>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color w:val="auto"/>
              </w:rPr>
            </w:pPr>
            <w:r>
              <w:rPr>
                <w:rFonts w:hint="eastAsia" w:ascii="宋体" w:hAnsi="宋体"/>
                <w:bCs/>
                <w:color w:val="auto"/>
              </w:rPr>
              <w:t>1</w:t>
            </w:r>
          </w:p>
        </w:tc>
        <w:tc>
          <w:tcPr>
            <w:tcW w:w="4968" w:type="dxa"/>
            <w:gridSpan w:val="2"/>
            <w:vAlign w:val="center"/>
          </w:tcPr>
          <w:p>
            <w:pPr>
              <w:rPr>
                <w:color w:val="auto"/>
              </w:rPr>
            </w:pPr>
            <w:r>
              <w:rPr>
                <w:rFonts w:hint="eastAsia"/>
                <w:color w:val="auto"/>
              </w:rPr>
              <w:t>响应文件语言及有效期符合磋商文件要求。</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vAlign w:val="center"/>
          </w:tcPr>
          <w:p>
            <w:pPr>
              <w:jc w:val="center"/>
              <w:rPr>
                <w:rFonts w:ascii="宋体" w:hAnsi="宋体"/>
                <w:bCs/>
                <w:color w:val="auto"/>
              </w:rPr>
            </w:pPr>
            <w:r>
              <w:rPr>
                <w:rFonts w:hint="eastAsia" w:ascii="宋体" w:hAnsi="宋体"/>
                <w:bCs/>
                <w:color w:val="auto"/>
              </w:rPr>
              <w:t>2</w:t>
            </w:r>
          </w:p>
        </w:tc>
        <w:tc>
          <w:tcPr>
            <w:tcW w:w="4968" w:type="dxa"/>
            <w:gridSpan w:val="2"/>
            <w:vAlign w:val="center"/>
          </w:tcPr>
          <w:p>
            <w:pPr>
              <w:rPr>
                <w:color w:val="auto"/>
              </w:rPr>
            </w:pPr>
            <w:r>
              <w:rPr>
                <w:rFonts w:hint="eastAsia"/>
                <w:color w:val="auto"/>
              </w:rPr>
              <w:t>响应文件封面、响应函、法定代表人授权委托书三处的项目名称、项目编号均无遗漏，且与所投项目名称、项目编号一致。</w:t>
            </w:r>
          </w:p>
        </w:tc>
        <w:tc>
          <w:tcPr>
            <w:tcW w:w="995" w:type="dxa"/>
          </w:tcPr>
          <w:p>
            <w:pPr>
              <w:pStyle w:val="14"/>
              <w:tabs>
                <w:tab w:val="left" w:pos="686"/>
                <w:tab w:val="left" w:pos="1030"/>
              </w:tabs>
              <w:spacing w:before="40" w:after="40"/>
              <w:rPr>
                <w:rFonts w:hAnsi="宋体"/>
                <w:color w:val="auto"/>
                <w:sz w:val="21"/>
              </w:rPr>
            </w:pPr>
          </w:p>
        </w:tc>
        <w:tc>
          <w:tcPr>
            <w:tcW w:w="995" w:type="dxa"/>
            <w:vAlign w:val="center"/>
          </w:tcPr>
          <w:p>
            <w:pPr>
              <w:spacing w:before="40" w:after="40"/>
              <w:rPr>
                <w:rFonts w:ascii="宋体" w:hAnsi="宋体"/>
                <w:color w:val="auto"/>
              </w:rPr>
            </w:pPr>
          </w:p>
        </w:tc>
        <w:tc>
          <w:tcPr>
            <w:tcW w:w="995" w:type="dxa"/>
            <w:vAlign w:val="center"/>
          </w:tcPr>
          <w:p>
            <w:pPr>
              <w:spacing w:before="40" w:after="40"/>
              <w:rPr>
                <w:rFonts w:ascii="宋体" w:hAnsi="宋体"/>
                <w:color w:val="auto"/>
              </w:rPr>
            </w:pPr>
          </w:p>
        </w:tc>
        <w:tc>
          <w:tcPr>
            <w:tcW w:w="992" w:type="dxa"/>
            <w:vAlign w:val="center"/>
          </w:tcPr>
          <w:p>
            <w:pPr>
              <w:spacing w:before="40" w:after="4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color w:val="auto"/>
              </w:rPr>
            </w:pPr>
            <w:r>
              <w:rPr>
                <w:rFonts w:hint="eastAsia" w:ascii="宋体" w:hAnsi="宋体"/>
                <w:bCs/>
                <w:color w:val="auto"/>
              </w:rPr>
              <w:t>3</w:t>
            </w:r>
          </w:p>
        </w:tc>
        <w:tc>
          <w:tcPr>
            <w:tcW w:w="4968" w:type="dxa"/>
            <w:gridSpan w:val="2"/>
            <w:vAlign w:val="center"/>
          </w:tcPr>
          <w:p>
            <w:pPr>
              <w:rPr>
                <w:color w:val="auto"/>
              </w:rPr>
            </w:pPr>
            <w:r>
              <w:rPr>
                <w:rFonts w:hint="eastAsia"/>
                <w:color w:val="auto"/>
              </w:rPr>
              <w:t>响应文件签署、盖章均按磋商文件要求签字、盖章（评分标准中要求提供的证明材料除外）。</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color w:val="auto"/>
              </w:rPr>
            </w:pPr>
            <w:r>
              <w:rPr>
                <w:rFonts w:hint="eastAsia" w:ascii="宋体" w:hAnsi="宋体"/>
                <w:bCs/>
                <w:color w:val="auto"/>
              </w:rPr>
              <w:t>4</w:t>
            </w:r>
          </w:p>
        </w:tc>
        <w:tc>
          <w:tcPr>
            <w:tcW w:w="4968" w:type="dxa"/>
            <w:gridSpan w:val="2"/>
            <w:vAlign w:val="center"/>
          </w:tcPr>
          <w:p>
            <w:pPr>
              <w:rPr>
                <w:color w:val="auto"/>
              </w:rPr>
            </w:pPr>
            <w:r>
              <w:rPr>
                <w:rFonts w:hint="eastAsia"/>
                <w:color w:val="auto"/>
              </w:rPr>
              <w:t>首次报价一览表填写符合要求且未超出采购预算或磋商文件规定的最高限价。</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color w:val="auto"/>
              </w:rPr>
            </w:pPr>
            <w:r>
              <w:rPr>
                <w:rFonts w:hint="eastAsia" w:ascii="宋体" w:hAnsi="宋体"/>
                <w:bCs/>
                <w:color w:val="auto"/>
              </w:rPr>
              <w:t>5</w:t>
            </w:r>
          </w:p>
        </w:tc>
        <w:tc>
          <w:tcPr>
            <w:tcW w:w="4968" w:type="dxa"/>
            <w:gridSpan w:val="2"/>
            <w:vAlign w:val="center"/>
          </w:tcPr>
          <w:p>
            <w:pPr>
              <w:rPr>
                <w:color w:val="auto"/>
              </w:rPr>
            </w:pPr>
            <w:r>
              <w:rPr>
                <w:rFonts w:hint="eastAsia"/>
                <w:color w:val="auto"/>
              </w:rPr>
              <w:t>响应磋商文件商务条款，无重大保留或偏差。</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color w:val="auto"/>
              </w:rPr>
            </w:pPr>
            <w:r>
              <w:rPr>
                <w:rFonts w:hint="eastAsia" w:ascii="宋体" w:hAnsi="宋体"/>
                <w:bCs/>
                <w:color w:val="auto"/>
              </w:rPr>
              <w:t>6</w:t>
            </w:r>
          </w:p>
        </w:tc>
        <w:tc>
          <w:tcPr>
            <w:tcW w:w="4968" w:type="dxa"/>
            <w:gridSpan w:val="2"/>
            <w:vAlign w:val="center"/>
          </w:tcPr>
          <w:p>
            <w:pPr>
              <w:rPr>
                <w:color w:val="auto"/>
              </w:rPr>
            </w:pPr>
            <w:r>
              <w:rPr>
                <w:rFonts w:hint="eastAsia"/>
                <w:color w:val="auto"/>
              </w:rPr>
              <w:t>没有不符合磋商文件规定的被视为无效响应的其他条款。</w:t>
            </w:r>
          </w:p>
        </w:tc>
        <w:tc>
          <w:tcPr>
            <w:tcW w:w="995" w:type="dxa"/>
          </w:tcPr>
          <w:p>
            <w:pPr>
              <w:tabs>
                <w:tab w:val="left" w:pos="686"/>
                <w:tab w:val="left" w:pos="1030"/>
              </w:tabs>
              <w:spacing w:before="40" w:after="40"/>
              <w:rPr>
                <w:rFonts w:ascii="宋体" w:hAnsi="宋体"/>
                <w:color w:val="auto"/>
              </w:rPr>
            </w:pPr>
          </w:p>
        </w:tc>
        <w:tc>
          <w:tcPr>
            <w:tcW w:w="995" w:type="dxa"/>
            <w:vAlign w:val="center"/>
          </w:tcPr>
          <w:p>
            <w:pPr>
              <w:spacing w:before="40" w:after="40"/>
              <w:rPr>
                <w:rFonts w:ascii="宋体" w:hAnsi="宋体"/>
                <w:b/>
                <w:color w:val="auto"/>
              </w:rPr>
            </w:pPr>
          </w:p>
        </w:tc>
        <w:tc>
          <w:tcPr>
            <w:tcW w:w="995" w:type="dxa"/>
            <w:vAlign w:val="center"/>
          </w:tcPr>
          <w:p>
            <w:pPr>
              <w:spacing w:before="40" w:after="40"/>
              <w:rPr>
                <w:rFonts w:ascii="宋体" w:hAnsi="宋体"/>
                <w:b/>
                <w:color w:val="auto"/>
              </w:rPr>
            </w:pPr>
          </w:p>
        </w:tc>
        <w:tc>
          <w:tcPr>
            <w:tcW w:w="992" w:type="dxa"/>
            <w:vAlign w:val="center"/>
          </w:tcPr>
          <w:p>
            <w:pPr>
              <w:spacing w:before="40" w:after="40"/>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vAlign w:val="center"/>
          </w:tcPr>
          <w:p>
            <w:pPr>
              <w:spacing w:before="40" w:after="40" w:line="360" w:lineRule="auto"/>
              <w:jc w:val="center"/>
              <w:rPr>
                <w:rFonts w:ascii="宋体" w:hAnsi="宋体"/>
                <w:b/>
                <w:color w:val="auto"/>
              </w:rPr>
            </w:pPr>
            <w:r>
              <w:rPr>
                <w:rFonts w:hint="eastAsia" w:ascii="宋体" w:hAnsi="宋体"/>
                <w:b/>
                <w:color w:val="auto"/>
              </w:rPr>
              <w:t>结  论</w:t>
            </w:r>
          </w:p>
        </w:tc>
        <w:tc>
          <w:tcPr>
            <w:tcW w:w="995" w:type="dxa"/>
            <w:vAlign w:val="center"/>
          </w:tcPr>
          <w:p>
            <w:pPr>
              <w:spacing w:before="40" w:after="40" w:line="360" w:lineRule="auto"/>
              <w:rPr>
                <w:rFonts w:ascii="宋体" w:hAnsi="宋体"/>
                <w:b/>
                <w:color w:val="auto"/>
              </w:rPr>
            </w:pPr>
          </w:p>
        </w:tc>
        <w:tc>
          <w:tcPr>
            <w:tcW w:w="995" w:type="dxa"/>
            <w:vAlign w:val="center"/>
          </w:tcPr>
          <w:p>
            <w:pPr>
              <w:spacing w:before="40" w:after="40" w:line="360" w:lineRule="auto"/>
              <w:rPr>
                <w:rFonts w:ascii="宋体" w:hAnsi="宋体"/>
                <w:b/>
                <w:color w:val="auto"/>
              </w:rPr>
            </w:pPr>
          </w:p>
        </w:tc>
        <w:tc>
          <w:tcPr>
            <w:tcW w:w="995" w:type="dxa"/>
            <w:vAlign w:val="center"/>
          </w:tcPr>
          <w:p>
            <w:pPr>
              <w:spacing w:before="40" w:after="40" w:line="360" w:lineRule="auto"/>
              <w:rPr>
                <w:rFonts w:ascii="宋体" w:hAnsi="宋体"/>
                <w:b/>
                <w:color w:val="auto"/>
              </w:rPr>
            </w:pPr>
          </w:p>
        </w:tc>
        <w:tc>
          <w:tcPr>
            <w:tcW w:w="992" w:type="dxa"/>
            <w:vAlign w:val="center"/>
          </w:tcPr>
          <w:p>
            <w:pPr>
              <w:spacing w:before="40" w:after="40" w:line="360" w:lineRule="auto"/>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vAlign w:val="center"/>
          </w:tcPr>
          <w:p>
            <w:pPr>
              <w:jc w:val="center"/>
              <w:rPr>
                <w:rFonts w:ascii="宋体" w:hAnsi="宋体"/>
                <w:color w:val="auto"/>
              </w:rPr>
            </w:pPr>
            <w:r>
              <w:rPr>
                <w:rFonts w:hint="eastAsia" w:ascii="宋体" w:hAnsi="宋体"/>
                <w:color w:val="auto"/>
              </w:rPr>
              <w:t>不通过原因说明</w:t>
            </w:r>
          </w:p>
        </w:tc>
        <w:tc>
          <w:tcPr>
            <w:tcW w:w="8403" w:type="dxa"/>
            <w:gridSpan w:val="5"/>
            <w:vAlign w:val="center"/>
          </w:tcPr>
          <w:p>
            <w:pPr>
              <w:spacing w:before="40" w:after="40" w:line="360" w:lineRule="auto"/>
              <w:rPr>
                <w:rFonts w:ascii="宋体" w:hAnsi="宋体"/>
                <w:b/>
                <w:color w:val="auto"/>
              </w:rPr>
            </w:pPr>
          </w:p>
        </w:tc>
      </w:tr>
    </w:tbl>
    <w:p>
      <w:pPr>
        <w:spacing w:before="120" w:line="360" w:lineRule="auto"/>
        <w:ind w:firstLine="420" w:firstLineChars="200"/>
        <w:rPr>
          <w:rFonts w:ascii="宋体" w:hAnsi="宋体"/>
          <w:color w:val="auto"/>
        </w:rPr>
      </w:pPr>
      <w:r>
        <w:rPr>
          <w:rFonts w:hint="eastAsia" w:ascii="宋体" w:hAnsi="宋体"/>
          <w:color w:val="auto"/>
        </w:rPr>
        <w:t>1.评审时评委对响应供应商是否满足要求逐条标注评审意见，“是”标记为“</w:t>
      </w:r>
      <w:r>
        <w:rPr>
          <w:rFonts w:ascii="宋体" w:hAnsi="宋体"/>
          <w:color w:val="auto"/>
        </w:rPr>
        <w:t>√</w:t>
      </w:r>
      <w:r>
        <w:rPr>
          <w:rFonts w:hint="eastAsia" w:ascii="宋体" w:hAnsi="宋体"/>
          <w:color w:val="auto"/>
        </w:rPr>
        <w:t>”，“否”标记为“×”；</w:t>
      </w:r>
    </w:p>
    <w:p>
      <w:pPr>
        <w:spacing w:before="120" w:line="360" w:lineRule="auto"/>
        <w:ind w:firstLine="420" w:firstLineChars="200"/>
        <w:rPr>
          <w:rFonts w:ascii="宋体" w:hAnsi="宋体"/>
          <w:color w:val="auto"/>
        </w:rPr>
      </w:pPr>
      <w:r>
        <w:rPr>
          <w:rFonts w:hint="eastAsia" w:ascii="宋体" w:hAnsi="宋体"/>
          <w:color w:val="auto"/>
        </w:rPr>
        <w:t>2.评审结论栏统一填写为“通过”或“不通过”，出现一个“×”为“不通过”；</w:t>
      </w:r>
    </w:p>
    <w:p>
      <w:pPr>
        <w:spacing w:before="120" w:line="360" w:lineRule="auto"/>
        <w:ind w:firstLine="420" w:firstLineChars="200"/>
        <w:rPr>
          <w:rFonts w:ascii="宋体" w:hAnsi="宋体"/>
          <w:color w:val="auto"/>
        </w:rPr>
      </w:pPr>
      <w:r>
        <w:rPr>
          <w:rFonts w:hint="eastAsia" w:ascii="宋体" w:hAnsi="宋体"/>
          <w:color w:val="auto"/>
        </w:rPr>
        <w:t>3.对结论为“不通过”的响应，要说明原因。</w:t>
      </w:r>
    </w:p>
    <w:p>
      <w:pPr>
        <w:pStyle w:val="11"/>
        <w:rPr>
          <w:color w:val="auto"/>
        </w:rPr>
        <w:sectPr>
          <w:headerReference r:id="rId3" w:type="default"/>
          <w:footerReference r:id="rId4" w:type="default"/>
          <w:pgSz w:w="11907" w:h="16840"/>
          <w:pgMar w:top="1440" w:right="1080" w:bottom="1440" w:left="1080" w:header="907" w:footer="964" w:gutter="0"/>
          <w:cols w:space="720" w:num="1"/>
          <w:titlePg/>
          <w:docGrid w:linePitch="285" w:charSpace="0"/>
        </w:sectPr>
      </w:pPr>
    </w:p>
    <w:p>
      <w:pPr>
        <w:spacing w:line="360" w:lineRule="auto"/>
        <w:rPr>
          <w:rFonts w:ascii="黑体" w:hAnsi="仿宋" w:eastAsia="黑体" w:cs="黑体"/>
          <w:color w:val="auto"/>
          <w:sz w:val="32"/>
          <w:szCs w:val="32"/>
        </w:rPr>
      </w:pPr>
      <w:r>
        <w:rPr>
          <w:rFonts w:hint="eastAsia" w:ascii="黑体" w:hAnsi="仿宋" w:eastAsia="黑体" w:cs="黑体"/>
          <w:b/>
          <w:bCs/>
          <w:color w:val="auto"/>
          <w:sz w:val="24"/>
        </w:rPr>
        <w:t>附表3：《价格评审表》</w:t>
      </w:r>
    </w:p>
    <w:p>
      <w:pPr>
        <w:spacing w:line="360" w:lineRule="auto"/>
        <w:jc w:val="center"/>
        <w:rPr>
          <w:rFonts w:ascii="黑体" w:hAnsi="仿宋" w:eastAsia="黑体" w:cs="黑体"/>
          <w:color w:val="auto"/>
          <w:sz w:val="32"/>
          <w:szCs w:val="32"/>
        </w:rPr>
      </w:pPr>
      <w:r>
        <w:rPr>
          <w:rFonts w:hint="eastAsia" w:ascii="黑体" w:hAnsi="仿宋" w:eastAsia="黑体" w:cs="黑体"/>
          <w:color w:val="auto"/>
          <w:sz w:val="32"/>
          <w:szCs w:val="32"/>
        </w:rPr>
        <w:t>价格评审表</w:t>
      </w:r>
    </w:p>
    <w:tbl>
      <w:tblPr>
        <w:tblStyle w:val="24"/>
        <w:tblW w:w="9517" w:type="dxa"/>
        <w:jc w:val="center"/>
        <w:tblLayout w:type="fixed"/>
        <w:tblCellMar>
          <w:top w:w="0" w:type="dxa"/>
          <w:left w:w="108" w:type="dxa"/>
          <w:bottom w:w="0" w:type="dxa"/>
          <w:right w:w="108" w:type="dxa"/>
        </w:tblCellMar>
      </w:tblPr>
      <w:tblGrid>
        <w:gridCol w:w="2166"/>
        <w:gridCol w:w="6259"/>
        <w:gridCol w:w="563"/>
        <w:gridCol w:w="529"/>
      </w:tblGrid>
      <w:tr>
        <w:tblPrEx>
          <w:tblCellMar>
            <w:top w:w="0" w:type="dxa"/>
            <w:left w:w="108" w:type="dxa"/>
            <w:bottom w:w="0" w:type="dxa"/>
            <w:right w:w="108" w:type="dxa"/>
          </w:tblCellMar>
        </w:tblPrEx>
        <w:trPr>
          <w:trHeight w:val="899"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类别</w:t>
            </w:r>
          </w:p>
        </w:tc>
        <w:tc>
          <w:tcPr>
            <w:tcW w:w="62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评审内容</w:t>
            </w:r>
          </w:p>
        </w:tc>
        <w:tc>
          <w:tcPr>
            <w:tcW w:w="563"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分值</w:t>
            </w:r>
          </w:p>
        </w:tc>
        <w:tc>
          <w:tcPr>
            <w:tcW w:w="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序号</w:t>
            </w:r>
          </w:p>
        </w:tc>
      </w:tr>
      <w:tr>
        <w:tblPrEx>
          <w:tblCellMar>
            <w:top w:w="0" w:type="dxa"/>
            <w:left w:w="108" w:type="dxa"/>
            <w:bottom w:w="0" w:type="dxa"/>
            <w:right w:w="108" w:type="dxa"/>
          </w:tblCellMar>
        </w:tblPrEx>
        <w:trPr>
          <w:trHeight w:val="1720"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color w:val="auto"/>
              </w:rPr>
            </w:pPr>
            <w:r>
              <w:rPr>
                <w:rFonts w:hint="eastAsia" w:ascii="黑体" w:hAnsi="黑体" w:eastAsia="黑体" w:cs="黑体"/>
                <w:b/>
                <w:color w:val="auto"/>
              </w:rPr>
              <w:t>价格评分</w:t>
            </w:r>
          </w:p>
        </w:tc>
        <w:tc>
          <w:tcPr>
            <w:tcW w:w="625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各有效供应商的评审价中，取最低者作为基准价，各有效供应商的价格评分统一按照下列公式计算：</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价格评分＝（基准价÷评审价）×价格分分值。</w:t>
            </w:r>
          </w:p>
          <w:p>
            <w:pPr>
              <w:spacing w:line="300" w:lineRule="exact"/>
              <w:ind w:firstLine="422" w:firstLineChars="200"/>
              <w:rPr>
                <w:rFonts w:ascii="宋体" w:hAnsi="宋体" w:cs="Calibri"/>
                <w:color w:val="auto"/>
                <w:sz w:val="22"/>
                <w:szCs w:val="22"/>
              </w:rPr>
            </w:pPr>
            <w:r>
              <w:rPr>
                <w:rFonts w:hint="eastAsia" w:ascii="宋体" w:hAnsi="宋体" w:cs="Calibri"/>
                <w:b/>
                <w:bCs/>
                <w:color w:val="auto"/>
                <w:szCs w:val="21"/>
              </w:rPr>
              <w:t>注：响应供应商声明自己属于小微企业、监狱企业或残疾人福利性单位的，参照相关政策法规的要求执行给予6%的价格扣除，用扣除后的价格（评审价）参与评审。</w:t>
            </w:r>
          </w:p>
        </w:tc>
        <w:tc>
          <w:tcPr>
            <w:tcW w:w="5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10分</w:t>
            </w:r>
          </w:p>
        </w:tc>
        <w:tc>
          <w:tcPr>
            <w:tcW w:w="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1</w:t>
            </w:r>
          </w:p>
        </w:tc>
      </w:tr>
      <w:tr>
        <w:trPr>
          <w:trHeight w:val="464"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rPr>
            </w:pPr>
            <w:r>
              <w:rPr>
                <w:rFonts w:hint="eastAsia" w:ascii="宋体" w:hAnsi="宋体"/>
                <w:b/>
                <w:color w:val="auto"/>
              </w:rPr>
              <w:t>小计</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黑体" w:hAnsi="黑体" w:eastAsia="黑体" w:cs="黑体"/>
                <w:b/>
                <w:color w:val="auto"/>
              </w:rPr>
              <w:t>10分</w:t>
            </w:r>
          </w:p>
        </w:tc>
      </w:tr>
    </w:tbl>
    <w:p>
      <w:pPr>
        <w:spacing w:line="360" w:lineRule="auto"/>
        <w:ind w:firstLine="422" w:firstLineChars="200"/>
        <w:rPr>
          <w:rFonts w:ascii="宋体" w:hAnsi="宋体"/>
          <w:b/>
          <w:bCs/>
          <w:color w:val="auto"/>
          <w:u w:val="single"/>
          <w:lang w:val="en-GB"/>
        </w:rPr>
      </w:pPr>
      <w:r>
        <w:rPr>
          <w:rFonts w:hint="eastAsia" w:ascii="宋体" w:hAnsi="宋体"/>
          <w:b/>
          <w:bCs/>
          <w:color w:val="auto"/>
          <w:u w:val="single"/>
          <w:lang w:val="en-GB"/>
        </w:rPr>
        <w:t>注：</w:t>
      </w:r>
      <w:r>
        <w:rPr>
          <w:rFonts w:hint="eastAsia" w:ascii="宋体" w:hAnsi="宋体"/>
          <w:b/>
          <w:bCs/>
          <w:color w:val="auto"/>
          <w:u w:val="single"/>
        </w:rPr>
        <w:t>磋商</w:t>
      </w:r>
      <w:r>
        <w:rPr>
          <w:rFonts w:hint="eastAsia" w:ascii="宋体" w:hAnsi="宋体"/>
          <w:b/>
          <w:bCs/>
          <w:color w:val="auto"/>
          <w:u w:val="single"/>
          <w:lang w:val="en-GB"/>
        </w:rPr>
        <w:t>文件要求提交的与评价指标体系相关的各类有效资料，</w:t>
      </w:r>
      <w:r>
        <w:rPr>
          <w:rFonts w:hint="eastAsia" w:ascii="宋体" w:hAnsi="宋体"/>
          <w:b/>
          <w:bCs/>
          <w:color w:val="auto"/>
          <w:u w:val="single"/>
        </w:rPr>
        <w:t>响应</w:t>
      </w:r>
      <w:r>
        <w:rPr>
          <w:rFonts w:hint="eastAsia" w:ascii="宋体" w:hAnsi="宋体"/>
          <w:b/>
          <w:bCs/>
          <w:color w:val="auto"/>
          <w:u w:val="single"/>
          <w:lang w:val="en-GB"/>
        </w:rPr>
        <w:t>供应商如未按要求提交的，该项评分为零分；</w:t>
      </w:r>
    </w:p>
    <w:p>
      <w:pPr>
        <w:pStyle w:val="7"/>
        <w:ind w:firstLine="420"/>
        <w:rPr>
          <w:color w:val="auto"/>
          <w:lang w:val="en-GB"/>
        </w:rPr>
      </w:pPr>
    </w:p>
    <w:p>
      <w:pPr>
        <w:wordWrap w:val="0"/>
        <w:topLinePunct/>
        <w:spacing w:line="500" w:lineRule="exact"/>
        <w:ind w:firstLine="482" w:firstLineChars="200"/>
        <w:outlineLvl w:val="1"/>
        <w:rPr>
          <w:rFonts w:ascii="黑体" w:hAnsi="仿宋" w:eastAsia="黑体" w:cs="黑体"/>
          <w:b/>
          <w:bCs/>
          <w:color w:val="auto"/>
          <w:sz w:val="24"/>
        </w:rPr>
      </w:pPr>
    </w:p>
    <w:p>
      <w:pPr>
        <w:wordWrap w:val="0"/>
        <w:topLinePunct/>
        <w:spacing w:line="500" w:lineRule="exact"/>
        <w:ind w:firstLine="482" w:firstLineChars="200"/>
        <w:outlineLvl w:val="1"/>
        <w:rPr>
          <w:rFonts w:ascii="黑体" w:hAnsi="仿宋" w:eastAsia="黑体"/>
          <w:b/>
          <w:bCs/>
          <w:color w:val="auto"/>
          <w:sz w:val="24"/>
        </w:rPr>
      </w:pPr>
      <w:bookmarkStart w:id="101" w:name="_Toc14259"/>
      <w:bookmarkStart w:id="102" w:name="_Toc25633"/>
      <w:r>
        <w:rPr>
          <w:rFonts w:hint="eastAsia" w:ascii="黑体" w:hAnsi="仿宋" w:eastAsia="黑体" w:cs="黑体"/>
          <w:b/>
          <w:bCs/>
          <w:color w:val="auto"/>
          <w:sz w:val="24"/>
        </w:rPr>
        <w:t>附表4：《商务评审表》</w:t>
      </w:r>
      <w:bookmarkEnd w:id="101"/>
      <w:bookmarkEnd w:id="102"/>
    </w:p>
    <w:p>
      <w:pPr>
        <w:spacing w:line="360" w:lineRule="auto"/>
        <w:jc w:val="center"/>
        <w:rPr>
          <w:rFonts w:ascii="黑体" w:hAnsi="仿宋" w:eastAsia="黑体" w:cs="黑体"/>
          <w:color w:val="auto"/>
          <w:sz w:val="32"/>
          <w:szCs w:val="32"/>
        </w:rPr>
      </w:pPr>
      <w:bookmarkStart w:id="103" w:name="_Toc483349423"/>
      <w:r>
        <w:rPr>
          <w:rFonts w:hint="eastAsia" w:ascii="黑体" w:hAnsi="仿宋" w:eastAsia="黑体" w:cs="黑体"/>
          <w:color w:val="auto"/>
          <w:sz w:val="32"/>
          <w:szCs w:val="32"/>
        </w:rPr>
        <w:t>商务评审表</w:t>
      </w:r>
      <w:bookmarkEnd w:id="103"/>
    </w:p>
    <w:tbl>
      <w:tblPr>
        <w:tblStyle w:val="24"/>
        <w:tblW w:w="8991" w:type="dxa"/>
        <w:jc w:val="center"/>
        <w:tblLayout w:type="fixed"/>
        <w:tblCellMar>
          <w:top w:w="0" w:type="dxa"/>
          <w:left w:w="108" w:type="dxa"/>
          <w:bottom w:w="0" w:type="dxa"/>
          <w:right w:w="108" w:type="dxa"/>
        </w:tblCellMar>
      </w:tblPr>
      <w:tblGrid>
        <w:gridCol w:w="650"/>
        <w:gridCol w:w="650"/>
        <w:gridCol w:w="6108"/>
        <w:gridCol w:w="1583"/>
      </w:tblGrid>
      <w:tr>
        <w:tblPrEx>
          <w:tblCellMar>
            <w:top w:w="0" w:type="dxa"/>
            <w:left w:w="108" w:type="dxa"/>
            <w:bottom w:w="0" w:type="dxa"/>
            <w:right w:w="108" w:type="dxa"/>
          </w:tblCellMar>
        </w:tblPrEx>
        <w:trPr>
          <w:trHeight w:val="91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序号</w:t>
            </w:r>
          </w:p>
        </w:tc>
        <w:tc>
          <w:tcPr>
            <w:tcW w:w="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类别</w:t>
            </w:r>
          </w:p>
        </w:tc>
        <w:tc>
          <w:tcPr>
            <w:tcW w:w="61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评审内容</w:t>
            </w:r>
          </w:p>
        </w:tc>
        <w:tc>
          <w:tcPr>
            <w:tcW w:w="1583"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分值</w:t>
            </w:r>
          </w:p>
        </w:tc>
      </w:tr>
      <w:tr>
        <w:tblPrEx>
          <w:tblCellMar>
            <w:top w:w="0" w:type="dxa"/>
            <w:left w:w="108" w:type="dxa"/>
            <w:bottom w:w="0" w:type="dxa"/>
            <w:right w:w="108" w:type="dxa"/>
          </w:tblCellMar>
        </w:tblPrEx>
        <w:trPr>
          <w:trHeight w:val="58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color w:val="auto"/>
              </w:rPr>
            </w:pPr>
            <w:r>
              <w:rPr>
                <w:rFonts w:hint="eastAsia" w:ascii="宋体" w:hAnsi="宋体"/>
                <w:color w:val="auto"/>
              </w:rPr>
              <w:t>1</w:t>
            </w:r>
          </w:p>
        </w:tc>
        <w:tc>
          <w:tcPr>
            <w:tcW w:w="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本地化服务能力</w:t>
            </w:r>
          </w:p>
        </w:tc>
        <w:tc>
          <w:tcPr>
            <w:tcW w:w="61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Calibri"/>
                <w:color w:val="auto"/>
                <w:szCs w:val="21"/>
                <w:lang w:val="zh-CN"/>
              </w:rPr>
            </w:pPr>
            <w:r>
              <w:rPr>
                <w:rFonts w:hint="eastAsia" w:ascii="宋体" w:hAnsi="宋体" w:cs="Calibri"/>
                <w:color w:val="auto"/>
                <w:szCs w:val="21"/>
                <w:lang w:val="zh-CN"/>
              </w:rPr>
              <w:t>供应商在项目所在地具有相应的技术支持及服务能力（提供相关证明材料），能够有效保障本地化技术服务及服务协调的及时性，计0-</w:t>
            </w:r>
            <w:r>
              <w:rPr>
                <w:rFonts w:hint="eastAsia" w:ascii="宋体" w:hAnsi="宋体" w:cs="Calibri"/>
                <w:color w:val="auto"/>
                <w:szCs w:val="21"/>
                <w:lang w:val="en-US" w:eastAsia="zh-CN"/>
              </w:rPr>
              <w:t>10</w:t>
            </w:r>
            <w:r>
              <w:rPr>
                <w:rFonts w:hint="eastAsia" w:ascii="宋体" w:hAnsi="宋体" w:cs="Calibri"/>
                <w:color w:val="auto"/>
                <w:szCs w:val="21"/>
                <w:lang w:val="zh-CN"/>
              </w:rPr>
              <w:t>分。</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10分</w:t>
            </w:r>
          </w:p>
        </w:tc>
      </w:tr>
      <w:tr>
        <w:tblPrEx>
          <w:tblCellMar>
            <w:top w:w="0" w:type="dxa"/>
            <w:left w:w="108" w:type="dxa"/>
            <w:bottom w:w="0" w:type="dxa"/>
            <w:right w:w="108" w:type="dxa"/>
          </w:tblCellMar>
        </w:tblPrEx>
        <w:trPr>
          <w:trHeight w:val="58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color w:val="auto"/>
              </w:rPr>
            </w:pPr>
            <w:r>
              <w:rPr>
                <w:rFonts w:hint="eastAsia" w:ascii="宋体" w:hAnsi="宋体"/>
                <w:color w:val="auto"/>
              </w:rPr>
              <w:t>2</w:t>
            </w:r>
          </w:p>
        </w:tc>
        <w:tc>
          <w:tcPr>
            <w:tcW w:w="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培训方案</w:t>
            </w:r>
          </w:p>
        </w:tc>
        <w:tc>
          <w:tcPr>
            <w:tcW w:w="610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lang w:val="zh-CN"/>
              </w:rPr>
            </w:pPr>
            <w:r>
              <w:rPr>
                <w:rFonts w:hint="eastAsia" w:ascii="宋体" w:hAnsi="宋体" w:cs="Calibri"/>
                <w:color w:val="auto"/>
                <w:szCs w:val="21"/>
                <w:lang w:val="zh-CN"/>
              </w:rPr>
              <w:t>培训方案具有可行的技术培训措施，制定详细的培训课程计划，根据响应情况计0-</w:t>
            </w:r>
            <w:r>
              <w:rPr>
                <w:rFonts w:ascii="宋体" w:hAnsi="宋体" w:cs="Calibri"/>
                <w:color w:val="auto"/>
                <w:szCs w:val="21"/>
                <w:lang w:val="zh-CN"/>
              </w:rPr>
              <w:t>2</w:t>
            </w:r>
            <w:r>
              <w:rPr>
                <w:rFonts w:hint="eastAsia" w:ascii="宋体" w:hAnsi="宋体" w:cs="Calibri"/>
                <w:color w:val="auto"/>
                <w:szCs w:val="21"/>
                <w:lang w:val="zh-CN"/>
              </w:rPr>
              <w:t>分。</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ascii="宋体" w:hAnsi="宋体"/>
                <w:color w:val="auto"/>
              </w:rPr>
              <w:t>2</w:t>
            </w:r>
            <w:r>
              <w:rPr>
                <w:rFonts w:hint="eastAsia" w:ascii="宋体" w:hAnsi="宋体"/>
                <w:color w:val="auto"/>
              </w:rPr>
              <w:t>分</w:t>
            </w:r>
          </w:p>
        </w:tc>
      </w:tr>
      <w:tr>
        <w:tblPrEx>
          <w:tblCellMar>
            <w:top w:w="0" w:type="dxa"/>
            <w:left w:w="108" w:type="dxa"/>
            <w:bottom w:w="0" w:type="dxa"/>
            <w:right w:w="108" w:type="dxa"/>
          </w:tblCellMar>
        </w:tblPrEx>
        <w:trPr>
          <w:trHeight w:val="58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color w:val="auto"/>
              </w:rPr>
            </w:pPr>
            <w:r>
              <w:rPr>
                <w:rFonts w:hint="eastAsia" w:ascii="宋体" w:hAnsi="宋体"/>
                <w:color w:val="auto"/>
              </w:rPr>
              <w:t>3</w:t>
            </w:r>
          </w:p>
        </w:tc>
        <w:tc>
          <w:tcPr>
            <w:tcW w:w="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业绩</w:t>
            </w:r>
          </w:p>
        </w:tc>
        <w:tc>
          <w:tcPr>
            <w:tcW w:w="610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lang w:val="zh-CN"/>
              </w:rPr>
            </w:pPr>
            <w:r>
              <w:rPr>
                <w:rFonts w:hint="eastAsia" w:ascii="宋体" w:hAnsi="宋体" w:cs="Calibri"/>
                <w:color w:val="auto"/>
                <w:szCs w:val="21"/>
                <w:lang w:val="zh-CN"/>
              </w:rPr>
              <w:t>提供供应商的201</w:t>
            </w:r>
            <w:r>
              <w:rPr>
                <w:rFonts w:hint="eastAsia" w:ascii="宋体" w:hAnsi="宋体" w:cs="Calibri"/>
                <w:color w:val="auto"/>
                <w:szCs w:val="21"/>
                <w:lang w:val="en-US" w:eastAsia="zh-CN"/>
              </w:rPr>
              <w:t>9</w:t>
            </w:r>
            <w:r>
              <w:rPr>
                <w:rFonts w:hint="eastAsia" w:ascii="宋体" w:hAnsi="宋体" w:cs="Calibri"/>
                <w:color w:val="auto"/>
                <w:szCs w:val="21"/>
                <w:lang w:val="zh-CN"/>
              </w:rPr>
              <w:t>年1月1日至今（以合同签订时间为准）类似项目业绩合同，每份计</w:t>
            </w:r>
            <w:r>
              <w:rPr>
                <w:rFonts w:hint="eastAsia" w:ascii="宋体" w:hAnsi="宋体" w:cs="Calibri"/>
                <w:color w:val="auto"/>
                <w:szCs w:val="21"/>
              </w:rPr>
              <w:t>1</w:t>
            </w:r>
            <w:r>
              <w:rPr>
                <w:rFonts w:hint="eastAsia" w:ascii="宋体" w:hAnsi="宋体" w:cs="Calibri"/>
                <w:color w:val="auto"/>
                <w:szCs w:val="21"/>
                <w:lang w:val="zh-CN"/>
              </w:rPr>
              <w:t>分，满分</w:t>
            </w:r>
            <w:r>
              <w:rPr>
                <w:rFonts w:hint="eastAsia" w:ascii="宋体" w:hAnsi="宋体" w:cs="Calibri"/>
                <w:color w:val="auto"/>
                <w:szCs w:val="21"/>
              </w:rPr>
              <w:t>5</w:t>
            </w:r>
            <w:r>
              <w:rPr>
                <w:rFonts w:hint="eastAsia" w:ascii="宋体" w:hAnsi="宋体" w:cs="Calibri"/>
                <w:color w:val="auto"/>
                <w:szCs w:val="21"/>
                <w:lang w:val="zh-CN"/>
              </w:rPr>
              <w:t>分。</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5分</w:t>
            </w:r>
          </w:p>
        </w:tc>
      </w:tr>
      <w:tr>
        <w:tblPrEx>
          <w:tblCellMar>
            <w:top w:w="0" w:type="dxa"/>
            <w:left w:w="108" w:type="dxa"/>
            <w:bottom w:w="0" w:type="dxa"/>
            <w:right w:w="108" w:type="dxa"/>
          </w:tblCellMar>
        </w:tblPrEx>
        <w:trPr>
          <w:trHeight w:val="58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
                <w:color w:val="auto"/>
              </w:rPr>
            </w:pPr>
            <w:r>
              <w:rPr>
                <w:rFonts w:hint="eastAsia" w:ascii="宋体" w:hAnsi="宋体"/>
                <w:color w:val="auto"/>
              </w:rPr>
              <w:t>4</w:t>
            </w:r>
          </w:p>
        </w:tc>
        <w:tc>
          <w:tcPr>
            <w:tcW w:w="6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服务承诺</w:t>
            </w:r>
          </w:p>
        </w:tc>
        <w:tc>
          <w:tcPr>
            <w:tcW w:w="610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lang w:val="zh-CN"/>
              </w:rPr>
            </w:pPr>
            <w:r>
              <w:rPr>
                <w:rFonts w:hint="eastAsia" w:ascii="宋体" w:hAnsi="宋体" w:cs="Calibri"/>
                <w:color w:val="auto"/>
                <w:szCs w:val="21"/>
                <w:lang w:val="zh-CN"/>
              </w:rPr>
              <w:t>供应商应对服务、保密等方面做出实质性承诺，内容合理可行，根据响应情况计0-8分。</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8分</w:t>
            </w:r>
          </w:p>
        </w:tc>
      </w:tr>
      <w:tr>
        <w:tblPrEx>
          <w:tblCellMar>
            <w:top w:w="0" w:type="dxa"/>
            <w:left w:w="108" w:type="dxa"/>
            <w:bottom w:w="0" w:type="dxa"/>
            <w:right w:w="108" w:type="dxa"/>
          </w:tblCellMar>
        </w:tblPrEx>
        <w:trPr>
          <w:trHeight w:val="470" w:hRule="atLeast"/>
          <w:jc w:val="center"/>
        </w:trPr>
        <w:tc>
          <w:tcPr>
            <w:tcW w:w="13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小计</w:t>
            </w:r>
          </w:p>
        </w:tc>
        <w:tc>
          <w:tcPr>
            <w:tcW w:w="7691"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黑体" w:hAnsi="黑体" w:eastAsia="黑体" w:cs="黑体"/>
                <w:b/>
                <w:color w:val="auto"/>
                <w:sz w:val="24"/>
              </w:rPr>
            </w:pPr>
            <w:r>
              <w:rPr>
                <w:rFonts w:hint="eastAsia" w:ascii="黑体" w:hAnsi="黑体" w:eastAsia="黑体" w:cs="黑体"/>
                <w:b/>
                <w:color w:val="auto"/>
              </w:rPr>
              <w:t>25分</w:t>
            </w:r>
          </w:p>
        </w:tc>
      </w:tr>
    </w:tbl>
    <w:p>
      <w:pPr>
        <w:wordWrap w:val="0"/>
        <w:topLinePunct/>
        <w:spacing w:line="500" w:lineRule="exact"/>
        <w:ind w:firstLine="422" w:firstLineChars="200"/>
        <w:rPr>
          <w:rFonts w:ascii="宋体" w:hAnsi="宋体"/>
          <w:b/>
          <w:bCs/>
          <w:color w:val="auto"/>
          <w:u w:val="single"/>
          <w:lang w:val="en-GB"/>
        </w:rPr>
      </w:pPr>
      <w:r>
        <w:rPr>
          <w:rFonts w:hint="eastAsia" w:ascii="宋体" w:hAnsi="宋体"/>
          <w:b/>
          <w:bCs/>
          <w:color w:val="auto"/>
          <w:u w:val="single"/>
          <w:lang w:val="en-GB"/>
        </w:rPr>
        <w:t>注：磋商文件要求提交的与评价指标体系相关的各类有效资料，响应供应商如未按要求提交的，该项评分为零分；</w:t>
      </w:r>
    </w:p>
    <w:p>
      <w:pPr>
        <w:rPr>
          <w:rFonts w:ascii="黑体" w:hAnsi="仿宋" w:eastAsia="黑体" w:cs="黑体"/>
          <w:b/>
          <w:bCs/>
          <w:color w:val="auto"/>
          <w:sz w:val="24"/>
        </w:rPr>
      </w:pPr>
      <w:r>
        <w:rPr>
          <w:rFonts w:hint="eastAsia" w:ascii="黑体" w:hAnsi="仿宋" w:eastAsia="黑体" w:cs="黑体"/>
          <w:b/>
          <w:bCs/>
          <w:color w:val="auto"/>
          <w:sz w:val="24"/>
        </w:rPr>
        <w:br w:type="page"/>
      </w:r>
    </w:p>
    <w:p>
      <w:pPr>
        <w:spacing w:line="360" w:lineRule="auto"/>
        <w:rPr>
          <w:rFonts w:ascii="黑体" w:hAnsi="仿宋" w:eastAsia="黑体" w:cs="黑体"/>
          <w:color w:val="auto"/>
          <w:sz w:val="32"/>
          <w:szCs w:val="32"/>
        </w:rPr>
      </w:pPr>
      <w:bookmarkStart w:id="104" w:name="_Toc483349422"/>
      <w:bookmarkStart w:id="105" w:name="_Toc31567"/>
      <w:r>
        <w:rPr>
          <w:rFonts w:hint="eastAsia" w:ascii="黑体" w:hAnsi="仿宋" w:eastAsia="黑体" w:cs="黑体"/>
          <w:b/>
          <w:bCs/>
          <w:color w:val="auto"/>
          <w:sz w:val="24"/>
        </w:rPr>
        <w:t>附表5：《技术评审表》</w:t>
      </w:r>
    </w:p>
    <w:p>
      <w:pPr>
        <w:spacing w:line="360" w:lineRule="auto"/>
        <w:jc w:val="center"/>
        <w:rPr>
          <w:rFonts w:ascii="黑体" w:hAnsi="仿宋" w:eastAsia="黑体"/>
          <w:color w:val="auto"/>
          <w:sz w:val="32"/>
          <w:szCs w:val="32"/>
        </w:rPr>
      </w:pPr>
      <w:r>
        <w:rPr>
          <w:rFonts w:hint="eastAsia" w:ascii="黑体" w:hAnsi="仿宋" w:eastAsia="黑体" w:cs="黑体"/>
          <w:color w:val="auto"/>
          <w:sz w:val="32"/>
          <w:szCs w:val="32"/>
        </w:rPr>
        <w:t>技术评审表</w:t>
      </w:r>
      <w:bookmarkEnd w:id="104"/>
      <w:bookmarkEnd w:id="105"/>
    </w:p>
    <w:tbl>
      <w:tblPr>
        <w:tblStyle w:val="24"/>
        <w:tblW w:w="8969" w:type="dxa"/>
        <w:jc w:val="center"/>
        <w:tblLayout w:type="fixed"/>
        <w:tblCellMar>
          <w:top w:w="0" w:type="dxa"/>
          <w:left w:w="108" w:type="dxa"/>
          <w:bottom w:w="0" w:type="dxa"/>
          <w:right w:w="108" w:type="dxa"/>
        </w:tblCellMar>
      </w:tblPr>
      <w:tblGrid>
        <w:gridCol w:w="591"/>
        <w:gridCol w:w="1057"/>
        <w:gridCol w:w="6306"/>
        <w:gridCol w:w="1015"/>
      </w:tblGrid>
      <w:tr>
        <w:tblPrEx>
          <w:tblCellMar>
            <w:top w:w="0" w:type="dxa"/>
            <w:left w:w="108" w:type="dxa"/>
            <w:bottom w:w="0" w:type="dxa"/>
            <w:right w:w="108" w:type="dxa"/>
          </w:tblCellMar>
        </w:tblPrEx>
        <w:trPr>
          <w:trHeight w:val="974"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序号</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类别</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评审内容</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olor w:val="auto"/>
                <w:sz w:val="24"/>
              </w:rPr>
            </w:pPr>
            <w:r>
              <w:rPr>
                <w:rFonts w:hint="eastAsia" w:ascii="黑体" w:hAnsi="黑体" w:eastAsia="黑体" w:cs="黑体"/>
                <w:color w:val="auto"/>
                <w:sz w:val="24"/>
              </w:rPr>
              <w:t>分值</w:t>
            </w:r>
          </w:p>
        </w:tc>
      </w:tr>
      <w:tr>
        <w:tblPrEx>
          <w:tblCellMar>
            <w:top w:w="0" w:type="dxa"/>
            <w:left w:w="108" w:type="dxa"/>
            <w:bottom w:w="0" w:type="dxa"/>
            <w:right w:w="108" w:type="dxa"/>
          </w:tblCellMar>
        </w:tblPrEx>
        <w:trPr>
          <w:trHeight w:val="1544"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color w:val="auto"/>
              </w:rPr>
            </w:pPr>
            <w:r>
              <w:rPr>
                <w:rFonts w:hint="eastAsia" w:ascii="宋体" w:hAnsi="宋体"/>
                <w:bCs/>
                <w:color w:val="auto"/>
              </w:rPr>
              <w:t>1</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项目理解</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供应商熟悉生态环境执法业务，对本项目运维需求具有深刻理解，提供对项目现状及需求的完整性分析。</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方案内容思路清晰、全面、合理、可行，计</w:t>
            </w:r>
            <w:r>
              <w:rPr>
                <w:rFonts w:hint="eastAsia" w:ascii="宋体" w:hAnsi="宋体" w:cs="Calibri"/>
                <w:color w:val="auto"/>
                <w:szCs w:val="21"/>
                <w:lang w:val="en-US" w:eastAsia="zh-CN"/>
              </w:rPr>
              <w:t>15</w:t>
            </w:r>
            <w:r>
              <w:rPr>
                <w:rFonts w:hint="eastAsia" w:ascii="宋体" w:hAnsi="宋体" w:cs="Calibri"/>
                <w:color w:val="auto"/>
                <w:szCs w:val="21"/>
              </w:rPr>
              <w:t>-</w:t>
            </w:r>
            <w:r>
              <w:rPr>
                <w:rFonts w:hint="eastAsia" w:ascii="宋体" w:hAnsi="宋体" w:cs="Calibri"/>
                <w:color w:val="auto"/>
                <w:szCs w:val="21"/>
                <w:lang w:val="en-US" w:eastAsia="zh-CN"/>
              </w:rPr>
              <w:t>20</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方案内容较全面、较合理，计</w:t>
            </w:r>
            <w:r>
              <w:rPr>
                <w:rFonts w:hint="eastAsia" w:ascii="宋体" w:hAnsi="宋体" w:cs="Calibri"/>
                <w:color w:val="auto"/>
                <w:szCs w:val="21"/>
                <w:lang w:val="en-US" w:eastAsia="zh-CN"/>
              </w:rPr>
              <w:t>8</w:t>
            </w:r>
            <w:r>
              <w:rPr>
                <w:rFonts w:hint="eastAsia" w:ascii="宋体" w:hAnsi="宋体" w:cs="Calibri"/>
                <w:color w:val="auto"/>
                <w:szCs w:val="21"/>
              </w:rPr>
              <w:t>-</w:t>
            </w:r>
            <w:r>
              <w:rPr>
                <w:rFonts w:hint="eastAsia" w:ascii="宋体" w:hAnsi="宋体" w:cs="Calibri"/>
                <w:color w:val="auto"/>
                <w:szCs w:val="21"/>
                <w:lang w:val="en-US" w:eastAsia="zh-CN"/>
              </w:rPr>
              <w:t>15</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方案内容缺少、缺乏合理性的，计</w:t>
            </w:r>
            <w:r>
              <w:rPr>
                <w:rFonts w:hint="eastAsia" w:ascii="宋体" w:hAnsi="宋体" w:cs="Calibri"/>
                <w:color w:val="auto"/>
                <w:szCs w:val="21"/>
                <w:lang w:val="en-US" w:eastAsia="zh-CN"/>
              </w:rPr>
              <w:t>0</w:t>
            </w:r>
            <w:r>
              <w:rPr>
                <w:rFonts w:hint="eastAsia" w:ascii="宋体" w:hAnsi="宋体" w:cs="Calibri"/>
                <w:color w:val="auto"/>
                <w:szCs w:val="21"/>
              </w:rPr>
              <w:t>-</w:t>
            </w:r>
            <w:r>
              <w:rPr>
                <w:rFonts w:hint="eastAsia" w:ascii="宋体" w:hAnsi="宋体" w:cs="Calibri"/>
                <w:color w:val="auto"/>
                <w:szCs w:val="21"/>
                <w:lang w:val="en-US" w:eastAsia="zh-CN"/>
              </w:rPr>
              <w:t>8</w:t>
            </w:r>
            <w:r>
              <w:rPr>
                <w:rFonts w:hint="eastAsia" w:ascii="宋体" w:hAnsi="宋体" w:cs="Calibri"/>
                <w:color w:val="auto"/>
                <w:szCs w:val="21"/>
              </w:rPr>
              <w:t>分。</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20分</w:t>
            </w:r>
          </w:p>
        </w:tc>
      </w:tr>
      <w:tr>
        <w:tblPrEx>
          <w:tblCellMar>
            <w:top w:w="0" w:type="dxa"/>
            <w:left w:w="108" w:type="dxa"/>
            <w:bottom w:w="0" w:type="dxa"/>
            <w:right w:w="108" w:type="dxa"/>
          </w:tblCellMar>
        </w:tblPrEx>
        <w:trPr>
          <w:trHeight w:val="184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color w:val="auto"/>
              </w:rPr>
            </w:pPr>
            <w:r>
              <w:rPr>
                <w:rFonts w:hint="eastAsia" w:ascii="宋体" w:hAnsi="宋体"/>
                <w:bCs/>
                <w:color w:val="auto"/>
              </w:rPr>
              <w:t>2</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运维服务方案</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整体运维服务方案完全响应磋商文件技术要求，包括但不限于服务目标、软硬件运维方案、运维服务流程、服务规范等内容。</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方案内容思路清晰、全面、合理、可行，计</w:t>
            </w:r>
            <w:r>
              <w:rPr>
                <w:rFonts w:hint="eastAsia" w:ascii="宋体" w:hAnsi="宋体" w:cs="Calibri"/>
                <w:color w:val="auto"/>
                <w:szCs w:val="21"/>
                <w:lang w:val="en-US" w:eastAsia="zh-CN"/>
              </w:rPr>
              <w:t>15</w:t>
            </w:r>
            <w:r>
              <w:rPr>
                <w:rFonts w:hint="eastAsia" w:ascii="宋体" w:hAnsi="宋体" w:cs="Calibri"/>
                <w:color w:val="auto"/>
                <w:szCs w:val="21"/>
              </w:rPr>
              <w:t>-</w:t>
            </w:r>
            <w:r>
              <w:rPr>
                <w:rFonts w:hint="eastAsia" w:ascii="宋体" w:hAnsi="宋体" w:cs="Calibri"/>
                <w:color w:val="auto"/>
                <w:szCs w:val="21"/>
                <w:lang w:val="en-US" w:eastAsia="zh-CN"/>
              </w:rPr>
              <w:t>20</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方案内容较全面、较合理，计</w:t>
            </w:r>
            <w:r>
              <w:rPr>
                <w:rFonts w:hint="eastAsia" w:ascii="宋体" w:hAnsi="宋体" w:cs="Calibri"/>
                <w:color w:val="auto"/>
                <w:szCs w:val="21"/>
                <w:lang w:val="en-US" w:eastAsia="zh-CN"/>
              </w:rPr>
              <w:t>8</w:t>
            </w:r>
            <w:r>
              <w:rPr>
                <w:rFonts w:hint="eastAsia" w:ascii="宋体" w:hAnsi="宋体" w:cs="Calibri"/>
                <w:color w:val="auto"/>
                <w:szCs w:val="21"/>
              </w:rPr>
              <w:t>-</w:t>
            </w:r>
            <w:r>
              <w:rPr>
                <w:rFonts w:hint="eastAsia" w:ascii="宋体" w:hAnsi="宋体" w:cs="Calibri"/>
                <w:color w:val="auto"/>
                <w:szCs w:val="21"/>
                <w:lang w:val="en-US" w:eastAsia="zh-CN"/>
              </w:rPr>
              <w:t>15</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方案内容缺少、缺乏合理性的，计</w:t>
            </w:r>
            <w:r>
              <w:rPr>
                <w:rFonts w:hint="eastAsia" w:ascii="宋体" w:hAnsi="宋体" w:cs="Calibri"/>
                <w:color w:val="auto"/>
                <w:szCs w:val="21"/>
                <w:lang w:val="en-US" w:eastAsia="zh-CN"/>
              </w:rPr>
              <w:t>0</w:t>
            </w:r>
            <w:r>
              <w:rPr>
                <w:rFonts w:hint="eastAsia" w:ascii="宋体" w:hAnsi="宋体" w:cs="Calibri"/>
                <w:color w:val="auto"/>
                <w:szCs w:val="21"/>
              </w:rPr>
              <w:t>-</w:t>
            </w:r>
            <w:r>
              <w:rPr>
                <w:rFonts w:hint="eastAsia" w:ascii="宋体" w:hAnsi="宋体" w:cs="Calibri"/>
                <w:color w:val="auto"/>
                <w:szCs w:val="21"/>
                <w:lang w:val="en-US" w:eastAsia="zh-CN"/>
              </w:rPr>
              <w:t>8</w:t>
            </w:r>
            <w:r>
              <w:rPr>
                <w:rFonts w:hint="eastAsia" w:ascii="宋体" w:hAnsi="宋体" w:cs="Calibri"/>
                <w:color w:val="auto"/>
                <w:szCs w:val="21"/>
              </w:rPr>
              <w:t>分。</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20分</w:t>
            </w:r>
          </w:p>
        </w:tc>
      </w:tr>
      <w:tr>
        <w:tblPrEx>
          <w:tblCellMar>
            <w:top w:w="0" w:type="dxa"/>
            <w:left w:w="108" w:type="dxa"/>
            <w:bottom w:w="0" w:type="dxa"/>
            <w:right w:w="108" w:type="dxa"/>
          </w:tblCellMar>
        </w:tblPrEx>
        <w:trPr>
          <w:trHeight w:val="1544"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color w:val="auto"/>
              </w:rPr>
            </w:pPr>
            <w:r>
              <w:rPr>
                <w:rFonts w:hint="eastAsia" w:ascii="宋体" w:hAnsi="宋体"/>
                <w:bCs/>
                <w:color w:val="auto"/>
              </w:rPr>
              <w:t>3</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项目组织方案</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提供项目组织方案，包括但不限于组织机构、人员安排、服务进度计划、质量保障等内容。</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方案内容思路清晰、全面、合理、可行，计</w:t>
            </w:r>
            <w:r>
              <w:rPr>
                <w:rFonts w:hint="eastAsia" w:ascii="宋体" w:hAnsi="宋体" w:cs="Calibri"/>
                <w:color w:val="auto"/>
                <w:szCs w:val="21"/>
                <w:lang w:val="en-US" w:eastAsia="zh-CN"/>
              </w:rPr>
              <w:t>6</w:t>
            </w:r>
            <w:r>
              <w:rPr>
                <w:rFonts w:hint="eastAsia" w:ascii="宋体" w:hAnsi="宋体" w:cs="Calibri"/>
                <w:color w:val="auto"/>
                <w:szCs w:val="21"/>
              </w:rPr>
              <w:t>-</w:t>
            </w:r>
            <w:r>
              <w:rPr>
                <w:rFonts w:hint="eastAsia" w:ascii="宋体" w:hAnsi="宋体" w:cs="Calibri"/>
                <w:color w:val="auto"/>
                <w:szCs w:val="21"/>
                <w:lang w:val="en-US" w:eastAsia="zh-CN"/>
              </w:rPr>
              <w:t>10</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方案内容较全面、较合理，计</w:t>
            </w:r>
            <w:r>
              <w:rPr>
                <w:rFonts w:hint="eastAsia" w:ascii="宋体" w:hAnsi="宋体" w:cs="Calibri"/>
                <w:color w:val="auto"/>
                <w:szCs w:val="21"/>
                <w:lang w:val="en-US" w:eastAsia="zh-CN"/>
              </w:rPr>
              <w:t>3</w:t>
            </w:r>
            <w:r>
              <w:rPr>
                <w:rFonts w:hint="eastAsia" w:ascii="宋体" w:hAnsi="宋体" w:cs="Calibri"/>
                <w:color w:val="auto"/>
                <w:szCs w:val="21"/>
              </w:rPr>
              <w:t>-</w:t>
            </w:r>
            <w:r>
              <w:rPr>
                <w:rFonts w:hint="eastAsia" w:ascii="宋体" w:hAnsi="宋体" w:cs="Calibri"/>
                <w:color w:val="auto"/>
                <w:szCs w:val="21"/>
                <w:lang w:val="en-US" w:eastAsia="zh-CN"/>
              </w:rPr>
              <w:t>6</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方案内容缺少、缺乏合理性的，计0-</w:t>
            </w:r>
            <w:r>
              <w:rPr>
                <w:rFonts w:hint="eastAsia" w:ascii="宋体" w:hAnsi="宋体" w:cs="Calibri"/>
                <w:color w:val="auto"/>
                <w:szCs w:val="21"/>
                <w:lang w:val="en-US" w:eastAsia="zh-CN"/>
              </w:rPr>
              <w:t>3</w:t>
            </w:r>
            <w:r>
              <w:rPr>
                <w:rFonts w:hint="eastAsia" w:ascii="宋体" w:hAnsi="宋体" w:cs="Calibri"/>
                <w:color w:val="auto"/>
                <w:szCs w:val="21"/>
              </w:rPr>
              <w:t>分。</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bCs/>
                <w:color w:val="auto"/>
              </w:rPr>
              <w:t>10分</w:t>
            </w:r>
          </w:p>
        </w:tc>
      </w:tr>
      <w:tr>
        <w:tblPrEx>
          <w:tblCellMar>
            <w:top w:w="0" w:type="dxa"/>
            <w:left w:w="108" w:type="dxa"/>
            <w:bottom w:w="0" w:type="dxa"/>
            <w:right w:w="108" w:type="dxa"/>
          </w:tblCellMar>
        </w:tblPrEx>
        <w:trPr>
          <w:trHeight w:val="276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color w:val="auto"/>
              </w:rPr>
            </w:pPr>
            <w:r>
              <w:rPr>
                <w:rFonts w:hint="eastAsia" w:ascii="宋体" w:hAnsi="宋体"/>
                <w:bCs/>
                <w:color w:val="auto"/>
              </w:rPr>
              <w:t>4</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应急响应方案</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供应商针对可能出现的问题及突发事件，有具体可行的应急响应方案，内容包括但不限于运维响应时间、定期巡查、应急解决方案、服务监督管理机制等。</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应急响应方案符合本项目实际情况，科学、合理的，计</w:t>
            </w:r>
            <w:r>
              <w:rPr>
                <w:rFonts w:hint="eastAsia" w:ascii="宋体" w:hAnsi="宋体" w:cs="Calibri"/>
                <w:color w:val="auto"/>
                <w:szCs w:val="21"/>
                <w:lang w:val="en-US" w:eastAsia="zh-CN"/>
              </w:rPr>
              <w:t>6</w:t>
            </w:r>
            <w:r>
              <w:rPr>
                <w:rFonts w:hint="eastAsia" w:ascii="宋体" w:hAnsi="宋体" w:cs="Calibri"/>
                <w:color w:val="auto"/>
                <w:szCs w:val="21"/>
              </w:rPr>
              <w:t>-</w:t>
            </w:r>
            <w:r>
              <w:rPr>
                <w:rFonts w:hint="eastAsia" w:ascii="宋体" w:hAnsi="宋体" w:cs="Calibri"/>
                <w:color w:val="auto"/>
                <w:szCs w:val="21"/>
                <w:lang w:val="en-US" w:eastAsia="zh-CN"/>
              </w:rPr>
              <w:t>10</w:t>
            </w:r>
            <w:bookmarkStart w:id="526" w:name="_GoBack"/>
            <w:bookmarkEnd w:id="526"/>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应急响应方案符合本项目实际情况，但合理性一般的，计</w:t>
            </w:r>
            <w:r>
              <w:rPr>
                <w:rFonts w:hint="eastAsia" w:ascii="宋体" w:hAnsi="宋体" w:cs="Calibri"/>
                <w:color w:val="auto"/>
                <w:szCs w:val="21"/>
                <w:lang w:val="en-US" w:eastAsia="zh-CN"/>
              </w:rPr>
              <w:t>3</w:t>
            </w:r>
            <w:r>
              <w:rPr>
                <w:rFonts w:hint="eastAsia" w:ascii="宋体" w:hAnsi="宋体" w:cs="Calibri"/>
                <w:color w:val="auto"/>
                <w:szCs w:val="21"/>
              </w:rPr>
              <w:t>-</w:t>
            </w:r>
            <w:r>
              <w:rPr>
                <w:rFonts w:hint="eastAsia" w:ascii="宋体" w:hAnsi="宋体" w:cs="Calibri"/>
                <w:color w:val="auto"/>
                <w:szCs w:val="21"/>
                <w:lang w:val="en-US" w:eastAsia="zh-CN"/>
              </w:rPr>
              <w:t>6</w:t>
            </w:r>
            <w:r>
              <w:rPr>
                <w:rFonts w:hint="eastAsia" w:ascii="宋体" w:hAnsi="宋体" w:cs="Calibri"/>
                <w:color w:val="auto"/>
                <w:szCs w:val="21"/>
              </w:rPr>
              <w:t>分；</w:t>
            </w:r>
          </w:p>
          <w:p>
            <w:pPr>
              <w:spacing w:line="300" w:lineRule="exact"/>
              <w:ind w:firstLine="420" w:firstLineChars="200"/>
              <w:rPr>
                <w:rFonts w:ascii="宋体" w:hAnsi="宋体" w:cs="Calibri"/>
                <w:color w:val="auto"/>
                <w:szCs w:val="21"/>
              </w:rPr>
            </w:pPr>
            <w:r>
              <w:rPr>
                <w:rFonts w:hint="eastAsia" w:ascii="宋体" w:hAnsi="宋体" w:cs="Calibri"/>
                <w:color w:val="auto"/>
                <w:szCs w:val="21"/>
              </w:rPr>
              <w:t>应急响应方案不符合本项目实际情况或没有应急响应方案的，计0-3分。</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color w:val="auto"/>
              </w:rPr>
              <w:t>10分</w:t>
            </w:r>
          </w:p>
        </w:tc>
      </w:tr>
      <w:tr>
        <w:tblPrEx>
          <w:tblCellMar>
            <w:top w:w="0" w:type="dxa"/>
            <w:left w:w="108" w:type="dxa"/>
            <w:bottom w:w="0" w:type="dxa"/>
            <w:right w:w="108" w:type="dxa"/>
          </w:tblCellMar>
        </w:tblPrEx>
        <w:trPr>
          <w:trHeight w:val="93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黑体" w:hAnsi="黑体" w:eastAsia="黑体" w:cs="黑体"/>
                <w:b/>
                <w:color w:val="auto"/>
              </w:rPr>
            </w:pPr>
            <w:r>
              <w:rPr>
                <w:rFonts w:hint="eastAsia" w:ascii="宋体" w:hAnsi="宋体"/>
                <w:bCs/>
                <w:color w:val="auto"/>
              </w:rPr>
              <w:t>5</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安全措施</w:t>
            </w:r>
          </w:p>
        </w:tc>
        <w:tc>
          <w:tcPr>
            <w:tcW w:w="630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color w:val="auto"/>
                <w:szCs w:val="21"/>
              </w:rPr>
            </w:pPr>
            <w:r>
              <w:rPr>
                <w:rFonts w:hint="eastAsia" w:ascii="宋体" w:hAnsi="宋体" w:cs="Calibri"/>
                <w:color w:val="auto"/>
                <w:szCs w:val="21"/>
              </w:rPr>
              <w:t>供应商的运行维护工作必须遵循并优化现有的安全体系，必须在现有安全体制下提出确保系统安全可靠的安全策略、措施和步骤。按其响应程度计0-5分。</w:t>
            </w:r>
          </w:p>
        </w:tc>
        <w:tc>
          <w:tcPr>
            <w:tcW w:w="101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color w:val="auto"/>
              </w:rPr>
            </w:pPr>
            <w:r>
              <w:rPr>
                <w:rFonts w:hint="eastAsia" w:ascii="宋体" w:hAnsi="宋体"/>
                <w:color w:val="auto"/>
              </w:rPr>
              <w:t>5分</w:t>
            </w:r>
          </w:p>
        </w:tc>
      </w:tr>
      <w:tr>
        <w:tblPrEx>
          <w:tblCellMar>
            <w:top w:w="0" w:type="dxa"/>
            <w:left w:w="108" w:type="dxa"/>
            <w:bottom w:w="0" w:type="dxa"/>
            <w:right w:w="108" w:type="dxa"/>
          </w:tblCellMar>
        </w:tblPrEx>
        <w:trPr>
          <w:trHeight w:val="482" w:hRule="atLeast"/>
          <w:jc w:val="center"/>
        </w:trPr>
        <w:tc>
          <w:tcPr>
            <w:tcW w:w="16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小计</w:t>
            </w:r>
          </w:p>
        </w:tc>
        <w:tc>
          <w:tcPr>
            <w:tcW w:w="73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color w:val="auto"/>
              </w:rPr>
            </w:pPr>
            <w:r>
              <w:rPr>
                <w:rFonts w:hint="eastAsia" w:ascii="黑体" w:hAnsi="黑体" w:eastAsia="黑体" w:cs="黑体"/>
                <w:b/>
                <w:color w:val="auto"/>
              </w:rPr>
              <w:t>65分</w:t>
            </w:r>
          </w:p>
        </w:tc>
      </w:tr>
    </w:tbl>
    <w:p>
      <w:pPr>
        <w:wordWrap w:val="0"/>
        <w:topLinePunct/>
        <w:spacing w:line="500" w:lineRule="exact"/>
        <w:ind w:firstLine="422" w:firstLineChars="200"/>
        <w:rPr>
          <w:rFonts w:ascii="宋体" w:hAnsi="宋体"/>
          <w:b/>
          <w:bCs/>
          <w:color w:val="auto"/>
          <w:u w:val="single"/>
          <w:lang w:val="en-GB"/>
        </w:rPr>
      </w:pPr>
      <w:r>
        <w:rPr>
          <w:rFonts w:hint="eastAsia" w:ascii="宋体" w:hAnsi="宋体"/>
          <w:b/>
          <w:bCs/>
          <w:color w:val="auto"/>
          <w:u w:val="single"/>
          <w:lang w:val="en-GB"/>
        </w:rPr>
        <w:t>注：磋商文件要求提交的与评价指标体系相关的各类有效资料，响应供应商如未按要求提交的，该项评分为零分；</w:t>
      </w:r>
    </w:p>
    <w:p>
      <w:pPr>
        <w:rPr>
          <w:color w:val="auto"/>
        </w:rPr>
      </w:pPr>
      <w:r>
        <w:rPr>
          <w:rFonts w:hint="eastAsia" w:ascii="宋体" w:hAnsi="宋体"/>
          <w:b/>
          <w:bCs/>
          <w:color w:val="auto"/>
          <w:u w:val="single"/>
          <w:lang w:val="en-GB"/>
        </w:rPr>
        <w:br w:type="page"/>
      </w:r>
    </w:p>
    <w:p>
      <w:pPr>
        <w:spacing w:line="360" w:lineRule="auto"/>
        <w:jc w:val="center"/>
        <w:outlineLvl w:val="0"/>
        <w:rPr>
          <w:rFonts w:ascii="黑体" w:hAnsi="黑体" w:eastAsia="黑体" w:cs="黑体"/>
          <w:b/>
          <w:bCs/>
          <w:color w:val="auto"/>
          <w:sz w:val="32"/>
          <w:szCs w:val="32"/>
        </w:rPr>
      </w:pPr>
      <w:bookmarkStart w:id="106" w:name="_Toc5816"/>
      <w:r>
        <w:rPr>
          <w:rFonts w:hint="eastAsia" w:ascii="黑体" w:hAnsi="黑体" w:eastAsia="黑体" w:cs="黑体"/>
          <w:b/>
          <w:bCs/>
          <w:color w:val="auto"/>
          <w:sz w:val="32"/>
          <w:szCs w:val="32"/>
        </w:rPr>
        <w:t>第五部分 政府采购合同格式</w:t>
      </w:r>
      <w:bookmarkEnd w:id="106"/>
    </w:p>
    <w:p>
      <w:pPr>
        <w:spacing w:line="360" w:lineRule="auto"/>
        <w:ind w:firstLine="481"/>
        <w:jc w:val="left"/>
        <w:rPr>
          <w:rFonts w:ascii="黑体" w:hAnsi="仿宋" w:eastAsia="黑体" w:cs="仿宋"/>
          <w:b/>
          <w:color w:val="auto"/>
          <w:sz w:val="24"/>
          <w:u w:val="single"/>
        </w:rPr>
      </w:pPr>
      <w:bookmarkStart w:id="107" w:name="_Toc11252"/>
      <w:bookmarkStart w:id="108" w:name="_Toc26893"/>
      <w:bookmarkStart w:id="109" w:name="_Toc32018"/>
      <w:bookmarkStart w:id="110" w:name="_Toc24356"/>
      <w:r>
        <w:rPr>
          <w:rFonts w:hint="eastAsia" w:ascii="黑体" w:hAnsi="仿宋" w:eastAsia="黑体" w:cs="仿宋"/>
          <w:b/>
          <w:color w:val="auto"/>
          <w:sz w:val="24"/>
          <w:u w:val="single"/>
        </w:rPr>
        <w:t>注：本合同仅为合同的参考文本，合同签订双方可根据项目的具体要求进行修订。</w:t>
      </w:r>
      <w:bookmarkEnd w:id="107"/>
      <w:bookmarkEnd w:id="108"/>
      <w:bookmarkEnd w:id="109"/>
      <w:bookmarkEnd w:id="110"/>
    </w:p>
    <w:p>
      <w:pPr>
        <w:spacing w:line="360" w:lineRule="auto"/>
        <w:ind w:firstLine="481"/>
        <w:jc w:val="left"/>
        <w:rPr>
          <w:rFonts w:ascii="黑体" w:hAnsi="仿宋" w:eastAsia="黑体" w:cs="仿宋"/>
          <w:b/>
          <w:color w:val="auto"/>
          <w:sz w:val="24"/>
        </w:rPr>
      </w:pPr>
    </w:p>
    <w:p>
      <w:pPr>
        <w:spacing w:line="360" w:lineRule="auto"/>
        <w:jc w:val="center"/>
        <w:outlineLvl w:val="1"/>
        <w:rPr>
          <w:rFonts w:ascii="黑体" w:hAnsi="仿宋" w:eastAsia="黑体" w:cs="Times New Roman"/>
          <w:color w:val="auto"/>
          <w:sz w:val="32"/>
          <w:szCs w:val="32"/>
        </w:rPr>
      </w:pPr>
      <w:bookmarkStart w:id="111" w:name="_Toc19396"/>
      <w:bookmarkStart w:id="112" w:name="_Toc25256"/>
      <w:bookmarkStart w:id="113" w:name="_Toc24645"/>
      <w:bookmarkStart w:id="114" w:name="_Toc6126"/>
      <w:bookmarkStart w:id="115" w:name="_Toc483349426"/>
      <w:bookmarkStart w:id="116" w:name="_Toc24759"/>
      <w:bookmarkStart w:id="117" w:name="_Toc17018"/>
      <w:bookmarkStart w:id="118" w:name="_Toc2715"/>
      <w:bookmarkStart w:id="119" w:name="_Toc484353362"/>
      <w:bookmarkStart w:id="120" w:name="_Toc23240"/>
      <w:r>
        <w:rPr>
          <w:rFonts w:hint="eastAsia" w:ascii="黑体" w:hAnsi="仿宋" w:eastAsia="黑体" w:cs="黑体"/>
          <w:b/>
          <w:bCs/>
          <w:color w:val="auto"/>
          <w:sz w:val="32"/>
          <w:szCs w:val="32"/>
        </w:rPr>
        <w:t>一、</w:t>
      </w:r>
      <w:bookmarkEnd w:id="111"/>
      <w:r>
        <w:rPr>
          <w:rFonts w:hint="eastAsia" w:ascii="黑体" w:hAnsi="黑体" w:eastAsia="黑体" w:cs="黑体"/>
          <w:b/>
          <w:bCs/>
          <w:color w:val="auto"/>
          <w:sz w:val="32"/>
          <w:szCs w:val="32"/>
        </w:rPr>
        <w:t>政府采购合同</w:t>
      </w:r>
      <w:bookmarkEnd w:id="112"/>
      <w:bookmarkEnd w:id="113"/>
      <w:bookmarkEnd w:id="114"/>
      <w:bookmarkEnd w:id="115"/>
      <w:bookmarkEnd w:id="116"/>
      <w:bookmarkEnd w:id="117"/>
      <w:bookmarkEnd w:id="118"/>
      <w:bookmarkEnd w:id="119"/>
      <w:bookmarkEnd w:id="120"/>
    </w:p>
    <w:p>
      <w:pPr>
        <w:spacing w:line="360" w:lineRule="auto"/>
        <w:ind w:firstLine="480" w:firstLineChars="200"/>
        <w:rPr>
          <w:rFonts w:ascii="宋体" w:hAnsi="宋体"/>
          <w:color w:val="auto"/>
          <w:sz w:val="24"/>
        </w:rPr>
      </w:pPr>
      <w:r>
        <w:rPr>
          <w:rFonts w:hint="eastAsia" w:ascii="宋体" w:hAnsi="宋体"/>
          <w:color w:val="auto"/>
          <w:sz w:val="24"/>
          <w:u w:val="single"/>
          <w:lang w:val="zh-CN"/>
        </w:rPr>
        <w:t xml:space="preserve">        </w:t>
      </w:r>
      <w:r>
        <w:rPr>
          <w:rFonts w:hint="eastAsia" w:ascii="宋体" w:hAnsi="宋体"/>
          <w:color w:val="auto"/>
          <w:sz w:val="24"/>
          <w:lang w:val="zh-CN"/>
        </w:rPr>
        <w:t>年</w:t>
      </w:r>
      <w:r>
        <w:rPr>
          <w:rFonts w:hint="eastAsia" w:ascii="宋体" w:hAnsi="宋体"/>
          <w:color w:val="auto"/>
          <w:sz w:val="24"/>
          <w:u w:val="single"/>
          <w:lang w:val="zh-CN"/>
        </w:rPr>
        <w:t xml:space="preserve">    </w:t>
      </w:r>
      <w:r>
        <w:rPr>
          <w:rFonts w:hint="eastAsia" w:ascii="宋体" w:hAnsi="宋体"/>
          <w:color w:val="auto"/>
          <w:sz w:val="24"/>
          <w:lang w:val="zh-CN"/>
        </w:rPr>
        <w:t>月</w:t>
      </w:r>
      <w:r>
        <w:rPr>
          <w:rFonts w:hint="eastAsia"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hint="eastAsia" w:ascii="宋体" w:hAnsi="宋体"/>
          <w:color w:val="auto"/>
          <w:sz w:val="24"/>
          <w:u w:val="single"/>
        </w:rPr>
        <w:t>（采购人）</w:t>
      </w:r>
      <w:r>
        <w:rPr>
          <w:rFonts w:hint="eastAsia" w:ascii="宋体" w:hAnsi="宋体"/>
          <w:color w:val="auto"/>
          <w:sz w:val="24"/>
        </w:rPr>
        <w:t>（以下简称“甲方”）以</w:t>
      </w:r>
      <w:r>
        <w:rPr>
          <w:rFonts w:hint="eastAsia" w:ascii="宋体" w:hAnsi="宋体"/>
          <w:color w:val="auto"/>
          <w:sz w:val="24"/>
          <w:u w:val="single"/>
        </w:rPr>
        <w:t>竞争性磋商</w:t>
      </w:r>
      <w:r>
        <w:rPr>
          <w:rFonts w:hint="eastAsia" w:ascii="宋体" w:hAnsi="宋体"/>
          <w:color w:val="auto"/>
          <w:sz w:val="24"/>
        </w:rPr>
        <w:t>的方式对</w:t>
      </w:r>
      <w:r>
        <w:rPr>
          <w:rFonts w:hint="eastAsia" w:ascii="宋体" w:hAnsi="宋体"/>
          <w:color w:val="auto"/>
          <w:sz w:val="24"/>
          <w:u w:val="single"/>
        </w:rPr>
        <w:t>“（执法全过程系统运维及监督点位项目</w:t>
      </w:r>
      <w:r>
        <w:rPr>
          <w:rFonts w:hint="eastAsia" w:hAnsi="宋体"/>
          <w:color w:val="auto"/>
          <w:sz w:val="24"/>
          <w:u w:val="single"/>
        </w:rPr>
        <w:t>）</w:t>
      </w:r>
      <w:r>
        <w:rPr>
          <w:rFonts w:hint="eastAsia" w:ascii="宋体" w:hAnsi="宋体"/>
          <w:color w:val="auto"/>
          <w:sz w:val="24"/>
          <w:u w:val="single"/>
        </w:rPr>
        <w:t>”</w:t>
      </w:r>
      <w:r>
        <w:rPr>
          <w:rFonts w:hint="eastAsia" w:ascii="宋体" w:hAnsi="宋体"/>
          <w:color w:val="auto"/>
          <w:sz w:val="24"/>
        </w:rPr>
        <w:t>（项目编号：（</w:t>
      </w:r>
      <w:r>
        <w:rPr>
          <w:rFonts w:hint="eastAsia" w:ascii="宋体" w:hAnsi="宋体"/>
          <w:color w:val="auto"/>
          <w:kern w:val="0"/>
          <w:sz w:val="24"/>
        </w:rPr>
        <w:t>SXZCZ-2022-58</w:t>
      </w:r>
      <w:r>
        <w:rPr>
          <w:rFonts w:hint="eastAsia" w:ascii="宋体" w:hAnsi="宋体"/>
          <w:color w:val="auto"/>
          <w:sz w:val="24"/>
        </w:rPr>
        <w:t>））进行了采购。经</w:t>
      </w:r>
      <w:r>
        <w:rPr>
          <w:rFonts w:hint="eastAsia" w:ascii="宋体" w:hAnsi="宋体"/>
          <w:color w:val="auto"/>
          <w:sz w:val="24"/>
          <w:u w:val="single"/>
        </w:rPr>
        <w:t>磋商小组</w:t>
      </w:r>
      <w:r>
        <w:rPr>
          <w:rFonts w:hint="eastAsia" w:ascii="宋体" w:hAnsi="宋体"/>
          <w:color w:val="auto"/>
          <w:sz w:val="24"/>
        </w:rPr>
        <w:t>评定，</w:t>
      </w:r>
      <w:r>
        <w:rPr>
          <w:rFonts w:hint="eastAsia" w:ascii="宋体" w:hAnsi="宋体"/>
          <w:color w:val="auto"/>
          <w:sz w:val="24"/>
          <w:u w:val="single"/>
        </w:rPr>
        <w:t xml:space="preserve">  （成交供应商名称） </w:t>
      </w:r>
      <w:r>
        <w:rPr>
          <w:rFonts w:hint="eastAsia" w:ascii="宋体" w:hAnsi="宋体"/>
          <w:color w:val="auto"/>
          <w:sz w:val="24"/>
        </w:rPr>
        <w:t>（以下简称“乙方”）为该项目成交供应商。现于成交通知书发出之日起三十日内，按照采购文件确定的事项签订本合同。</w:t>
      </w:r>
    </w:p>
    <w:p>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w:t>
      </w:r>
      <w:r>
        <w:rPr>
          <w:rFonts w:hint="eastAsia" w:ascii="宋体" w:hAnsi="宋体"/>
          <w:color w:val="auto"/>
          <w:sz w:val="24"/>
        </w:rPr>
        <w:t>民法典</w:t>
      </w:r>
      <w:r>
        <w:rPr>
          <w:rFonts w:hint="eastAsia" w:ascii="宋体" w:hAnsi="宋体"/>
          <w:color w:val="auto"/>
          <w:sz w:val="24"/>
          <w:lang w:val="zh-CN"/>
        </w:rPr>
        <w:t>》、《中华人民共和国政府采购法》等相关法律法规之规定，按照平等、自愿、公平和诚实信用的原则，经甲方和乙方协商一致，约定以下合同</w:t>
      </w:r>
      <w:r>
        <w:rPr>
          <w:rFonts w:hint="eastAsia" w:ascii="宋体" w:hAnsi="宋体"/>
          <w:color w:val="auto"/>
          <w:sz w:val="24"/>
        </w:rPr>
        <w:t>条款，以兹共同遵守、全面履行。</w:t>
      </w:r>
    </w:p>
    <w:p>
      <w:pPr>
        <w:spacing w:line="360" w:lineRule="auto"/>
        <w:ind w:firstLine="482" w:firstLineChars="200"/>
        <w:rPr>
          <w:rFonts w:ascii="宋体" w:hAnsi="宋体"/>
          <w:color w:val="auto"/>
          <w:sz w:val="24"/>
        </w:rPr>
      </w:pPr>
      <w:bookmarkStart w:id="121" w:name="_Toc20421"/>
      <w:bookmarkStart w:id="122" w:name="_Toc26482"/>
      <w:bookmarkStart w:id="123" w:name="_Toc19273"/>
      <w:bookmarkStart w:id="124" w:name="_Toc22967"/>
      <w:bookmarkStart w:id="125" w:name="_Toc6601"/>
      <w:bookmarkStart w:id="126" w:name="_Toc15367"/>
      <w:bookmarkStart w:id="127" w:name="_Toc28855"/>
      <w:bookmarkStart w:id="128" w:name="_Toc9470"/>
      <w:r>
        <w:rPr>
          <w:rFonts w:hint="eastAsia" w:ascii="宋体" w:hAnsi="宋体"/>
          <w:b/>
          <w:color w:val="auto"/>
          <w:sz w:val="24"/>
        </w:rPr>
        <w:t>1.1合同组成部分</w:t>
      </w:r>
      <w:bookmarkEnd w:id="121"/>
      <w:bookmarkEnd w:id="122"/>
      <w:bookmarkEnd w:id="123"/>
      <w:bookmarkEnd w:id="124"/>
      <w:bookmarkEnd w:id="125"/>
      <w:bookmarkEnd w:id="126"/>
      <w:bookmarkEnd w:id="127"/>
      <w:bookmarkEnd w:id="128"/>
    </w:p>
    <w:p>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rPr>
      </w:pPr>
      <w:r>
        <w:rPr>
          <w:rFonts w:hint="eastAsia" w:ascii="宋体" w:hAnsi="宋体"/>
          <w:color w:val="auto"/>
          <w:sz w:val="24"/>
        </w:rPr>
        <w:t>1.1.1本合同及其补充合同、变更协议；</w:t>
      </w:r>
    </w:p>
    <w:p>
      <w:pPr>
        <w:spacing w:line="360" w:lineRule="auto"/>
        <w:ind w:firstLine="480" w:firstLineChars="200"/>
        <w:rPr>
          <w:rFonts w:ascii="宋体" w:hAnsi="宋体"/>
          <w:color w:val="auto"/>
          <w:sz w:val="24"/>
        </w:rPr>
      </w:pPr>
      <w:r>
        <w:rPr>
          <w:rFonts w:hint="eastAsia" w:ascii="宋体" w:hAnsi="宋体"/>
          <w:color w:val="auto"/>
          <w:sz w:val="24"/>
        </w:rPr>
        <w:t>1.1.2成交通知书；</w:t>
      </w:r>
    </w:p>
    <w:p>
      <w:pPr>
        <w:spacing w:line="360" w:lineRule="auto"/>
        <w:ind w:firstLine="480" w:firstLineChars="200"/>
        <w:rPr>
          <w:rFonts w:ascii="宋体" w:hAnsi="宋体"/>
          <w:color w:val="auto"/>
          <w:sz w:val="24"/>
        </w:rPr>
      </w:pPr>
      <w:r>
        <w:rPr>
          <w:rFonts w:hint="eastAsia" w:ascii="宋体" w:hAnsi="宋体"/>
          <w:color w:val="auto"/>
          <w:sz w:val="24"/>
        </w:rPr>
        <w:t>1.1.3响应文件（含澄清或者说明文件）；</w:t>
      </w:r>
    </w:p>
    <w:p>
      <w:pPr>
        <w:spacing w:line="360" w:lineRule="auto"/>
        <w:ind w:firstLine="480" w:firstLineChars="200"/>
        <w:rPr>
          <w:rFonts w:ascii="宋体" w:hAnsi="宋体"/>
          <w:color w:val="auto"/>
          <w:sz w:val="24"/>
        </w:rPr>
      </w:pPr>
      <w:r>
        <w:rPr>
          <w:rFonts w:hint="eastAsia" w:ascii="宋体" w:hAnsi="宋体"/>
          <w:color w:val="auto"/>
          <w:sz w:val="24"/>
        </w:rPr>
        <w:t>1.1.4竞争性磋商文件（含澄清或者修改文件）；</w:t>
      </w:r>
    </w:p>
    <w:p>
      <w:pPr>
        <w:spacing w:line="360" w:lineRule="auto"/>
        <w:ind w:firstLine="480" w:firstLineChars="200"/>
        <w:rPr>
          <w:rFonts w:ascii="宋体" w:hAnsi="宋体"/>
          <w:color w:val="auto"/>
          <w:sz w:val="24"/>
        </w:rPr>
      </w:pPr>
      <w:r>
        <w:rPr>
          <w:rFonts w:hint="eastAsia" w:ascii="宋体" w:hAnsi="宋体"/>
          <w:color w:val="auto"/>
          <w:sz w:val="24"/>
        </w:rPr>
        <w:t>1.1.5其他相关采购文件。</w:t>
      </w:r>
    </w:p>
    <w:p>
      <w:pPr>
        <w:spacing w:line="360" w:lineRule="auto"/>
        <w:ind w:firstLine="482" w:firstLineChars="200"/>
        <w:rPr>
          <w:rFonts w:ascii="宋体" w:hAnsi="宋体"/>
          <w:b/>
          <w:color w:val="auto"/>
          <w:sz w:val="24"/>
        </w:rPr>
      </w:pPr>
      <w:bookmarkStart w:id="129" w:name="_Toc18557"/>
      <w:bookmarkStart w:id="130" w:name="_Toc30141"/>
      <w:bookmarkStart w:id="131" w:name="_Toc22185"/>
      <w:bookmarkStart w:id="132" w:name="_Toc6773"/>
      <w:bookmarkStart w:id="133" w:name="_Toc16407"/>
      <w:bookmarkStart w:id="134" w:name="_Toc2918"/>
      <w:bookmarkStart w:id="135" w:name="_Toc18585"/>
      <w:bookmarkStart w:id="136" w:name="_Toc6311"/>
      <w:r>
        <w:rPr>
          <w:rFonts w:hint="eastAsia" w:ascii="宋体" w:hAnsi="宋体"/>
          <w:b/>
          <w:color w:val="auto"/>
          <w:sz w:val="24"/>
        </w:rPr>
        <w:t>1.2标的</w:t>
      </w:r>
      <w:bookmarkEnd w:id="129"/>
      <w:bookmarkEnd w:id="130"/>
      <w:bookmarkEnd w:id="131"/>
      <w:bookmarkEnd w:id="132"/>
      <w:bookmarkEnd w:id="133"/>
      <w:bookmarkEnd w:id="134"/>
      <w:bookmarkEnd w:id="135"/>
      <w:bookmarkEnd w:id="136"/>
    </w:p>
    <w:p>
      <w:pPr>
        <w:spacing w:line="360" w:lineRule="auto"/>
        <w:ind w:firstLine="480" w:firstLineChars="200"/>
        <w:rPr>
          <w:rFonts w:ascii="宋体" w:hAnsi="宋体"/>
          <w:color w:val="auto"/>
          <w:sz w:val="24"/>
          <w:u w:val="single"/>
        </w:rPr>
      </w:pPr>
      <w:r>
        <w:rPr>
          <w:rFonts w:hint="eastAsia" w:ascii="宋体" w:hAnsi="宋体"/>
          <w:color w:val="auto"/>
          <w:sz w:val="24"/>
        </w:rPr>
        <w:t>1.2.1标的名称：</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u w:val="single"/>
        </w:rPr>
      </w:pPr>
      <w:r>
        <w:rPr>
          <w:rFonts w:hint="eastAsia" w:ascii="宋体" w:hAnsi="宋体"/>
          <w:color w:val="auto"/>
          <w:sz w:val="24"/>
        </w:rPr>
        <w:t>1.2.2标的数量：</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1.2.3标的质量：</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2" w:firstLineChars="200"/>
        <w:rPr>
          <w:rFonts w:ascii="宋体" w:hAnsi="宋体"/>
          <w:b/>
          <w:color w:val="auto"/>
          <w:sz w:val="24"/>
        </w:rPr>
      </w:pPr>
      <w:bookmarkStart w:id="137" w:name="_Toc21782"/>
      <w:bookmarkStart w:id="138" w:name="_Toc1386"/>
      <w:bookmarkStart w:id="139" w:name="_Toc4929"/>
      <w:bookmarkStart w:id="140" w:name="_Toc5635"/>
      <w:bookmarkStart w:id="141" w:name="_Toc20141"/>
      <w:bookmarkStart w:id="142" w:name="_Toc13918"/>
      <w:bookmarkStart w:id="143" w:name="_Toc21124"/>
      <w:bookmarkStart w:id="144" w:name="_Toc6409"/>
      <w:r>
        <w:rPr>
          <w:rFonts w:hint="eastAsia" w:ascii="宋体" w:hAnsi="宋体"/>
          <w:b/>
          <w:color w:val="auto"/>
          <w:sz w:val="24"/>
        </w:rPr>
        <w:t>1.3价款</w:t>
      </w:r>
      <w:bookmarkEnd w:id="137"/>
      <w:bookmarkEnd w:id="138"/>
      <w:bookmarkEnd w:id="139"/>
      <w:bookmarkEnd w:id="140"/>
      <w:bookmarkEnd w:id="141"/>
      <w:bookmarkEnd w:id="142"/>
      <w:bookmarkEnd w:id="143"/>
      <w:bookmarkEnd w:id="144"/>
    </w:p>
    <w:p>
      <w:pPr>
        <w:spacing w:line="360" w:lineRule="auto"/>
        <w:ind w:firstLine="480" w:firstLineChars="200"/>
        <w:rPr>
          <w:rFonts w:ascii="宋体" w:hAnsi="宋体"/>
          <w:color w:val="auto"/>
          <w:sz w:val="24"/>
        </w:rPr>
      </w:pPr>
      <w:r>
        <w:rPr>
          <w:rFonts w:hint="eastAsia" w:ascii="宋体" w:hAnsi="宋体"/>
          <w:color w:val="auto"/>
          <w:sz w:val="24"/>
        </w:rPr>
        <w:t>本合同总价为：￥</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元人民币）。</w:t>
      </w:r>
    </w:p>
    <w:p>
      <w:pPr>
        <w:spacing w:line="360" w:lineRule="auto"/>
        <w:ind w:firstLine="480" w:firstLineChars="200"/>
        <w:rPr>
          <w:rFonts w:ascii="宋体" w:hAnsi="宋体"/>
          <w:color w:val="auto"/>
          <w:sz w:val="24"/>
          <w:u w:val="single"/>
        </w:rPr>
      </w:pPr>
      <w:r>
        <w:rPr>
          <w:rFonts w:hint="eastAsia" w:ascii="宋体" w:hAnsi="宋体"/>
          <w:color w:val="auto"/>
          <w:sz w:val="24"/>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360" w:lineRule="auto"/>
              <w:jc w:val="center"/>
              <w:rPr>
                <w:rFonts w:hAnsi="宋体" w:cs="宋体"/>
                <w:color w:val="auto"/>
                <w:sz w:val="24"/>
                <w:szCs w:val="24"/>
              </w:rPr>
            </w:pPr>
            <w:r>
              <w:rPr>
                <w:rFonts w:hint="eastAsia" w:hAnsi="宋体" w:cs="宋体"/>
                <w:color w:val="auto"/>
                <w:sz w:val="24"/>
                <w:szCs w:val="24"/>
              </w:rPr>
              <w:t>序号</w:t>
            </w:r>
          </w:p>
        </w:tc>
        <w:tc>
          <w:tcPr>
            <w:tcW w:w="3402" w:type="dxa"/>
            <w:vAlign w:val="center"/>
          </w:tcPr>
          <w:p>
            <w:pPr>
              <w:pStyle w:val="34"/>
              <w:spacing w:line="360" w:lineRule="auto"/>
              <w:ind w:firstLine="200"/>
              <w:jc w:val="center"/>
              <w:rPr>
                <w:rFonts w:hAnsi="宋体" w:cs="宋体"/>
                <w:color w:val="auto"/>
                <w:sz w:val="24"/>
                <w:szCs w:val="24"/>
              </w:rPr>
            </w:pPr>
            <w:r>
              <w:rPr>
                <w:rFonts w:hint="eastAsia" w:hAnsi="宋体" w:cs="宋体"/>
                <w:color w:val="auto"/>
                <w:sz w:val="24"/>
                <w:szCs w:val="24"/>
              </w:rPr>
              <w:t>分项名称</w:t>
            </w:r>
          </w:p>
        </w:tc>
        <w:tc>
          <w:tcPr>
            <w:tcW w:w="2552" w:type="dxa"/>
            <w:vAlign w:val="center"/>
          </w:tcPr>
          <w:p>
            <w:pPr>
              <w:pStyle w:val="34"/>
              <w:spacing w:line="360" w:lineRule="auto"/>
              <w:jc w:val="center"/>
              <w:rPr>
                <w:rFonts w:hAnsi="宋体" w:cs="宋体"/>
                <w:color w:val="auto"/>
                <w:sz w:val="24"/>
                <w:szCs w:val="24"/>
              </w:rPr>
            </w:pPr>
            <w:r>
              <w:rPr>
                <w:rFonts w:hint="eastAsia" w:hAnsi="宋体" w:cs="宋体"/>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360" w:lineRule="auto"/>
              <w:ind w:firstLine="200"/>
              <w:jc w:val="center"/>
              <w:rPr>
                <w:rFonts w:hAnsi="宋体" w:cs="宋体"/>
                <w:color w:val="auto"/>
                <w:sz w:val="24"/>
                <w:szCs w:val="24"/>
              </w:rPr>
            </w:pPr>
          </w:p>
        </w:tc>
        <w:tc>
          <w:tcPr>
            <w:tcW w:w="3402" w:type="dxa"/>
            <w:vAlign w:val="center"/>
          </w:tcPr>
          <w:p>
            <w:pPr>
              <w:pStyle w:val="34"/>
              <w:spacing w:line="360" w:lineRule="auto"/>
              <w:ind w:firstLine="200"/>
              <w:jc w:val="center"/>
              <w:rPr>
                <w:rFonts w:hAnsi="宋体" w:cs="宋体"/>
                <w:color w:val="auto"/>
                <w:sz w:val="24"/>
                <w:szCs w:val="24"/>
              </w:rPr>
            </w:pPr>
          </w:p>
        </w:tc>
        <w:tc>
          <w:tcPr>
            <w:tcW w:w="2552" w:type="dxa"/>
            <w:vAlign w:val="center"/>
          </w:tcPr>
          <w:p>
            <w:pPr>
              <w:pStyle w:val="34"/>
              <w:spacing w:line="360" w:lineRule="auto"/>
              <w:ind w:firstLine="200"/>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360" w:lineRule="auto"/>
              <w:ind w:firstLine="200"/>
              <w:jc w:val="center"/>
              <w:rPr>
                <w:rFonts w:hAnsi="宋体" w:cs="宋体"/>
                <w:color w:val="auto"/>
                <w:sz w:val="24"/>
                <w:szCs w:val="24"/>
              </w:rPr>
            </w:pPr>
          </w:p>
        </w:tc>
        <w:tc>
          <w:tcPr>
            <w:tcW w:w="3402" w:type="dxa"/>
            <w:vAlign w:val="center"/>
          </w:tcPr>
          <w:p>
            <w:pPr>
              <w:pStyle w:val="34"/>
              <w:spacing w:line="360" w:lineRule="auto"/>
              <w:ind w:firstLine="200"/>
              <w:jc w:val="center"/>
              <w:rPr>
                <w:rFonts w:hAnsi="宋体" w:cs="宋体"/>
                <w:color w:val="auto"/>
                <w:sz w:val="24"/>
                <w:szCs w:val="24"/>
              </w:rPr>
            </w:pPr>
          </w:p>
        </w:tc>
        <w:tc>
          <w:tcPr>
            <w:tcW w:w="2552" w:type="dxa"/>
            <w:vAlign w:val="center"/>
          </w:tcPr>
          <w:p>
            <w:pPr>
              <w:pStyle w:val="34"/>
              <w:spacing w:line="360" w:lineRule="auto"/>
              <w:ind w:firstLine="200"/>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360" w:lineRule="auto"/>
              <w:ind w:firstLine="200"/>
              <w:jc w:val="center"/>
              <w:rPr>
                <w:rFonts w:hAnsi="宋体" w:cs="宋体"/>
                <w:color w:val="auto"/>
                <w:sz w:val="24"/>
                <w:szCs w:val="24"/>
              </w:rPr>
            </w:pPr>
          </w:p>
        </w:tc>
        <w:tc>
          <w:tcPr>
            <w:tcW w:w="3402" w:type="dxa"/>
            <w:vAlign w:val="center"/>
          </w:tcPr>
          <w:p>
            <w:pPr>
              <w:pStyle w:val="34"/>
              <w:spacing w:line="360" w:lineRule="auto"/>
              <w:ind w:firstLine="200"/>
              <w:jc w:val="center"/>
              <w:rPr>
                <w:rFonts w:hAnsi="宋体" w:cs="宋体"/>
                <w:color w:val="auto"/>
                <w:sz w:val="24"/>
                <w:szCs w:val="24"/>
              </w:rPr>
            </w:pPr>
          </w:p>
        </w:tc>
        <w:tc>
          <w:tcPr>
            <w:tcW w:w="2552" w:type="dxa"/>
            <w:vAlign w:val="center"/>
          </w:tcPr>
          <w:p>
            <w:pPr>
              <w:pStyle w:val="34"/>
              <w:spacing w:line="360" w:lineRule="auto"/>
              <w:ind w:firstLine="200"/>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360" w:lineRule="auto"/>
              <w:ind w:firstLine="200"/>
              <w:jc w:val="center"/>
              <w:rPr>
                <w:rFonts w:hAnsi="宋体" w:cs="宋体"/>
                <w:color w:val="auto"/>
                <w:sz w:val="24"/>
                <w:szCs w:val="24"/>
              </w:rPr>
            </w:pPr>
          </w:p>
        </w:tc>
        <w:tc>
          <w:tcPr>
            <w:tcW w:w="3402" w:type="dxa"/>
            <w:vAlign w:val="center"/>
          </w:tcPr>
          <w:p>
            <w:pPr>
              <w:pStyle w:val="34"/>
              <w:spacing w:line="360" w:lineRule="auto"/>
              <w:ind w:firstLine="200"/>
              <w:jc w:val="center"/>
              <w:rPr>
                <w:rFonts w:hAnsi="宋体" w:cs="宋体"/>
                <w:color w:val="auto"/>
                <w:sz w:val="24"/>
                <w:szCs w:val="24"/>
              </w:rPr>
            </w:pPr>
          </w:p>
        </w:tc>
        <w:tc>
          <w:tcPr>
            <w:tcW w:w="2552" w:type="dxa"/>
            <w:vAlign w:val="center"/>
          </w:tcPr>
          <w:p>
            <w:pPr>
              <w:pStyle w:val="34"/>
              <w:spacing w:line="360" w:lineRule="auto"/>
              <w:ind w:firstLine="200"/>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4"/>
              <w:spacing w:line="360" w:lineRule="auto"/>
              <w:ind w:firstLine="200"/>
              <w:jc w:val="center"/>
              <w:rPr>
                <w:rFonts w:hAnsi="宋体" w:cs="宋体"/>
                <w:color w:val="auto"/>
                <w:sz w:val="24"/>
                <w:szCs w:val="24"/>
              </w:rPr>
            </w:pPr>
            <w:r>
              <w:rPr>
                <w:rFonts w:hint="eastAsia" w:hAnsi="宋体" w:cs="宋体"/>
                <w:color w:val="auto"/>
                <w:sz w:val="24"/>
                <w:szCs w:val="24"/>
              </w:rPr>
              <w:t>总价</w:t>
            </w:r>
          </w:p>
        </w:tc>
        <w:tc>
          <w:tcPr>
            <w:tcW w:w="2552" w:type="dxa"/>
            <w:vAlign w:val="center"/>
          </w:tcPr>
          <w:p>
            <w:pPr>
              <w:pStyle w:val="34"/>
              <w:spacing w:line="360" w:lineRule="auto"/>
              <w:ind w:firstLine="200"/>
              <w:jc w:val="center"/>
              <w:rPr>
                <w:rFonts w:hAnsi="宋体" w:cs="宋体"/>
                <w:color w:val="auto"/>
                <w:sz w:val="24"/>
                <w:szCs w:val="24"/>
              </w:rPr>
            </w:pPr>
          </w:p>
        </w:tc>
      </w:tr>
    </w:tbl>
    <w:p>
      <w:pPr>
        <w:spacing w:line="360" w:lineRule="auto"/>
        <w:ind w:firstLine="482" w:firstLineChars="200"/>
        <w:rPr>
          <w:rFonts w:ascii="宋体" w:hAnsi="宋体"/>
          <w:b/>
          <w:color w:val="auto"/>
          <w:sz w:val="24"/>
        </w:rPr>
      </w:pPr>
      <w:bookmarkStart w:id="145" w:name="_Toc26916"/>
      <w:bookmarkStart w:id="146" w:name="_Toc3654"/>
      <w:bookmarkStart w:id="147" w:name="_Toc15617"/>
      <w:bookmarkStart w:id="148" w:name="_Toc30506"/>
      <w:bookmarkStart w:id="149" w:name="_Toc13113"/>
      <w:bookmarkStart w:id="150" w:name="_Toc30158"/>
      <w:bookmarkStart w:id="151" w:name="_Toc17639"/>
      <w:bookmarkStart w:id="152" w:name="_Toc14993"/>
      <w:r>
        <w:rPr>
          <w:rFonts w:hint="eastAsia" w:ascii="宋体" w:hAnsi="宋体"/>
          <w:b/>
          <w:color w:val="auto"/>
          <w:sz w:val="24"/>
        </w:rPr>
        <w:t>1.4付款方式和发票开具方式</w:t>
      </w:r>
      <w:bookmarkEnd w:id="145"/>
      <w:bookmarkEnd w:id="146"/>
      <w:bookmarkEnd w:id="147"/>
      <w:bookmarkEnd w:id="148"/>
      <w:bookmarkEnd w:id="149"/>
      <w:bookmarkEnd w:id="150"/>
      <w:bookmarkEnd w:id="151"/>
      <w:bookmarkEnd w:id="152"/>
    </w:p>
    <w:p>
      <w:pPr>
        <w:spacing w:line="360" w:lineRule="auto"/>
        <w:ind w:firstLine="480" w:firstLineChars="200"/>
        <w:rPr>
          <w:rFonts w:ascii="宋体" w:hAnsi="宋体"/>
          <w:color w:val="auto"/>
          <w:sz w:val="24"/>
        </w:rPr>
      </w:pPr>
      <w:bookmarkStart w:id="153" w:name="_Toc18630"/>
      <w:bookmarkStart w:id="154" w:name="_Toc3625"/>
      <w:bookmarkStart w:id="155" w:name="_Toc17784"/>
      <w:bookmarkStart w:id="156" w:name="_Toc11108"/>
      <w:bookmarkStart w:id="157" w:name="_Toc4760"/>
      <w:bookmarkStart w:id="158" w:name="_Toc8772"/>
      <w:bookmarkStart w:id="159" w:name="_Toc19039"/>
      <w:bookmarkStart w:id="160" w:name="_Toc31421"/>
      <w:r>
        <w:rPr>
          <w:rFonts w:hint="eastAsia" w:ascii="宋体" w:hAnsi="宋体"/>
          <w:color w:val="auto"/>
          <w:sz w:val="24"/>
        </w:rPr>
        <w:t>1.4.1项目合同签订后，支付合同总价款的65%；</w:t>
      </w:r>
    </w:p>
    <w:p>
      <w:pPr>
        <w:spacing w:line="360" w:lineRule="auto"/>
        <w:ind w:firstLine="480" w:firstLineChars="200"/>
        <w:rPr>
          <w:rFonts w:ascii="宋体" w:hAnsi="宋体"/>
          <w:color w:val="auto"/>
          <w:sz w:val="24"/>
        </w:rPr>
      </w:pPr>
      <w:r>
        <w:rPr>
          <w:rFonts w:hint="eastAsia" w:ascii="宋体" w:hAnsi="宋体"/>
          <w:color w:val="auto"/>
          <w:sz w:val="24"/>
        </w:rPr>
        <w:t>1.4.2服务期满6个月后，支付合同总价款的35%；</w:t>
      </w:r>
    </w:p>
    <w:p>
      <w:pPr>
        <w:spacing w:line="360" w:lineRule="auto"/>
        <w:ind w:firstLine="480" w:firstLineChars="200"/>
        <w:rPr>
          <w:rFonts w:ascii="宋体" w:hAnsi="宋体"/>
          <w:color w:val="auto"/>
          <w:sz w:val="24"/>
        </w:rPr>
      </w:pPr>
      <w:r>
        <w:rPr>
          <w:rFonts w:hint="eastAsia" w:ascii="宋体" w:hAnsi="宋体"/>
          <w:color w:val="auto"/>
          <w:sz w:val="24"/>
        </w:rPr>
        <w:t>1.4.3成交供应商承诺在采购人办理支付手续前，为采购人出具等额的符合国家规定的发票；</w:t>
      </w:r>
    </w:p>
    <w:p>
      <w:pPr>
        <w:spacing w:line="360" w:lineRule="auto"/>
        <w:ind w:firstLine="480" w:firstLineChars="200"/>
        <w:outlineLvl w:val="0"/>
        <w:rPr>
          <w:rFonts w:ascii="宋体" w:hAnsi="宋体"/>
          <w:color w:val="auto"/>
          <w:sz w:val="24"/>
        </w:rPr>
      </w:pPr>
      <w:bookmarkStart w:id="161" w:name="_Toc18857"/>
      <w:bookmarkStart w:id="162" w:name="_Toc32173"/>
      <w:r>
        <w:rPr>
          <w:rFonts w:hint="eastAsia" w:ascii="宋体" w:hAnsi="宋体"/>
          <w:color w:val="auto"/>
          <w:sz w:val="24"/>
        </w:rPr>
        <w:t>1.4.4上述时间不包括采购人正常办理支付报批手续的时间。</w:t>
      </w:r>
      <w:bookmarkEnd w:id="161"/>
      <w:bookmarkEnd w:id="162"/>
    </w:p>
    <w:p>
      <w:pPr>
        <w:spacing w:line="360" w:lineRule="auto"/>
        <w:ind w:firstLine="482" w:firstLineChars="200"/>
        <w:rPr>
          <w:rFonts w:ascii="宋体" w:hAnsi="宋体"/>
          <w:b/>
          <w:color w:val="auto"/>
          <w:sz w:val="24"/>
        </w:rPr>
      </w:pPr>
      <w:r>
        <w:rPr>
          <w:rFonts w:hint="eastAsia" w:ascii="宋体" w:hAnsi="宋体"/>
          <w:b/>
          <w:color w:val="auto"/>
          <w:sz w:val="24"/>
        </w:rPr>
        <w:t>1.5服务期限、地点和方式</w:t>
      </w:r>
      <w:bookmarkEnd w:id="153"/>
      <w:bookmarkEnd w:id="154"/>
      <w:bookmarkEnd w:id="155"/>
      <w:bookmarkEnd w:id="156"/>
      <w:bookmarkEnd w:id="157"/>
      <w:bookmarkEnd w:id="158"/>
      <w:bookmarkEnd w:id="159"/>
      <w:bookmarkEnd w:id="160"/>
    </w:p>
    <w:p>
      <w:pPr>
        <w:spacing w:line="360" w:lineRule="auto"/>
        <w:ind w:firstLine="480" w:firstLineChars="200"/>
        <w:rPr>
          <w:rFonts w:ascii="宋体" w:hAnsi="宋体"/>
          <w:color w:val="auto"/>
          <w:sz w:val="24"/>
          <w:u w:val="single"/>
        </w:rPr>
      </w:pPr>
      <w:r>
        <w:rPr>
          <w:rFonts w:hint="eastAsia" w:ascii="宋体" w:hAnsi="宋体"/>
          <w:color w:val="auto"/>
          <w:sz w:val="24"/>
        </w:rPr>
        <w:t>1.5.1服务期：一年；</w:t>
      </w:r>
    </w:p>
    <w:p>
      <w:pPr>
        <w:spacing w:line="360" w:lineRule="auto"/>
        <w:ind w:firstLine="480" w:firstLineChars="200"/>
        <w:rPr>
          <w:rFonts w:ascii="宋体" w:hAnsi="宋体"/>
          <w:color w:val="auto"/>
          <w:sz w:val="24"/>
          <w:u w:val="single"/>
        </w:rPr>
      </w:pPr>
      <w:r>
        <w:rPr>
          <w:rFonts w:hint="eastAsia" w:ascii="宋体" w:hAnsi="宋体"/>
          <w:color w:val="auto"/>
          <w:sz w:val="24"/>
        </w:rPr>
        <w:t>1.5.2服务地点：</w:t>
      </w:r>
      <w:r>
        <w:rPr>
          <w:rFonts w:hint="eastAsia" w:ascii="宋体" w:hAnsi="宋体"/>
          <w:color w:val="auto"/>
          <w:sz w:val="24"/>
          <w:u w:val="single"/>
        </w:rPr>
        <w:t>采购人指定地点</w:t>
      </w:r>
      <w:r>
        <w:rPr>
          <w:rFonts w:hint="eastAsia" w:ascii="宋体" w:hAnsi="宋体"/>
          <w:color w:val="auto"/>
          <w:sz w:val="24"/>
        </w:rPr>
        <w:t>。</w:t>
      </w:r>
    </w:p>
    <w:p>
      <w:pPr>
        <w:spacing w:line="360" w:lineRule="auto"/>
        <w:ind w:firstLine="482" w:firstLineChars="200"/>
        <w:rPr>
          <w:rFonts w:ascii="宋体" w:hAnsi="宋体"/>
          <w:color w:val="auto"/>
          <w:sz w:val="24"/>
          <w:u w:val="single"/>
        </w:rPr>
      </w:pPr>
      <w:bookmarkStart w:id="163" w:name="_Toc3079"/>
      <w:bookmarkStart w:id="164" w:name="_Toc18097"/>
      <w:bookmarkStart w:id="165" w:name="_Toc5698"/>
      <w:bookmarkStart w:id="166" w:name="_Toc8586"/>
      <w:bookmarkStart w:id="167" w:name="_Toc24662"/>
      <w:bookmarkStart w:id="168" w:name="_Toc15869"/>
      <w:bookmarkStart w:id="169" w:name="_Toc3232"/>
      <w:bookmarkStart w:id="170" w:name="_Toc2375"/>
      <w:r>
        <w:rPr>
          <w:rFonts w:hint="eastAsia" w:ascii="宋体" w:hAnsi="宋体"/>
          <w:b/>
          <w:color w:val="auto"/>
          <w:sz w:val="24"/>
        </w:rPr>
        <w:t>1.6违约责任</w:t>
      </w:r>
      <w:bookmarkEnd w:id="163"/>
      <w:bookmarkEnd w:id="164"/>
      <w:bookmarkEnd w:id="165"/>
      <w:bookmarkEnd w:id="166"/>
      <w:bookmarkEnd w:id="167"/>
      <w:bookmarkEnd w:id="168"/>
      <w:bookmarkEnd w:id="169"/>
      <w:bookmarkEnd w:id="170"/>
    </w:p>
    <w:p>
      <w:pPr>
        <w:spacing w:line="360" w:lineRule="auto"/>
        <w:ind w:firstLine="480" w:firstLineChars="200"/>
        <w:rPr>
          <w:rFonts w:ascii="宋体" w:hAnsi="宋体"/>
          <w:color w:val="auto"/>
          <w:sz w:val="24"/>
        </w:rPr>
      </w:pPr>
      <w:r>
        <w:rPr>
          <w:rFonts w:hint="eastAsia" w:ascii="宋体" w:hAnsi="宋体"/>
          <w:color w:val="auto"/>
          <w:sz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olor w:val="auto"/>
          <w:sz w:val="24"/>
          <w:u w:val="single"/>
        </w:rPr>
        <w:t>0.5</w:t>
      </w:r>
      <w:r>
        <w:rPr>
          <w:rFonts w:hint="eastAsia" w:ascii="宋体" w:hAnsi="宋体"/>
          <w:color w:val="auto"/>
          <w:sz w:val="24"/>
        </w:rPr>
        <w:t>%计算，最高限额为本合同总价的</w:t>
      </w:r>
      <w:r>
        <w:rPr>
          <w:rFonts w:hint="eastAsia" w:ascii="宋体" w:hAnsi="宋体"/>
          <w:color w:val="auto"/>
          <w:sz w:val="24"/>
          <w:u w:val="single"/>
        </w:rPr>
        <w:t>5</w:t>
      </w:r>
      <w:r>
        <w:rPr>
          <w:rFonts w:hint="eastAsia" w:ascii="宋体" w:hAnsi="宋体"/>
          <w:color w:val="auto"/>
          <w:sz w:val="24"/>
        </w:rPr>
        <w:t>%；迟延履行的违约金计算数额达到前述最高限额之日起，甲方有权在要求乙方支付违约金的同时，书面通知乙方解除本合同；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rPr>
      </w:pPr>
      <w:r>
        <w:rPr>
          <w:rFonts w:hint="eastAsia" w:ascii="宋体" w:hAnsi="宋体"/>
          <w:color w:val="auto"/>
          <w:sz w:val="24"/>
        </w:rPr>
        <w:t>1.6.2除不可抗力外，如果甲方没有按照本合同约定的付款方式付款，那么乙方可要求甲方支付违约金，违约金按每迟延付款一日的应付而未付款的</w:t>
      </w:r>
      <w:r>
        <w:rPr>
          <w:rFonts w:hint="eastAsia" w:ascii="宋体" w:hAnsi="宋体"/>
          <w:color w:val="auto"/>
          <w:sz w:val="24"/>
          <w:u w:val="single"/>
        </w:rPr>
        <w:t>0.5</w:t>
      </w:r>
      <w:r>
        <w:rPr>
          <w:rFonts w:hint="eastAsia" w:ascii="宋体" w:hAnsi="宋体"/>
          <w:color w:val="auto"/>
          <w:sz w:val="24"/>
        </w:rPr>
        <w:t>%计算，最高限额为本合同总价的</w:t>
      </w:r>
      <w:r>
        <w:rPr>
          <w:rFonts w:hint="eastAsia" w:ascii="宋体" w:hAnsi="宋体"/>
          <w:color w:val="auto"/>
          <w:sz w:val="24"/>
          <w:u w:val="single"/>
        </w:rPr>
        <w:t>5</w:t>
      </w:r>
      <w:r>
        <w:rPr>
          <w:rFonts w:hint="eastAsia" w:ascii="宋体" w:hAnsi="宋体"/>
          <w:color w:val="auto"/>
          <w:sz w:val="24"/>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color w:val="auto"/>
          <w:sz w:val="24"/>
        </w:rPr>
      </w:pPr>
      <w:r>
        <w:rPr>
          <w:rFonts w:hint="eastAsia" w:ascii="宋体" w:hAnsi="宋体"/>
          <w:color w:val="auto"/>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color w:val="auto"/>
          <w:sz w:val="24"/>
        </w:rPr>
      </w:pPr>
      <w:r>
        <w:rPr>
          <w:rFonts w:hint="eastAsia" w:ascii="宋体" w:hAnsi="宋体"/>
          <w:color w:val="auto"/>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color w:val="auto"/>
          <w:sz w:val="24"/>
        </w:rPr>
      </w:pPr>
      <w:r>
        <w:rPr>
          <w:rFonts w:hint="eastAsia" w:ascii="宋体" w:hAnsi="宋体"/>
          <w:color w:val="auto"/>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olor w:val="auto"/>
          <w:sz w:val="24"/>
        </w:rPr>
      </w:pPr>
      <w:r>
        <w:rPr>
          <w:rFonts w:hint="eastAsia" w:ascii="宋体" w:hAnsi="宋体"/>
          <w:color w:val="auto"/>
          <w:sz w:val="24"/>
        </w:rPr>
        <w:t>1.6.6如果出现政府采购监督管理部门在处理投诉事项期间，书面通知甲方暂停采购活动的情形，或者询问或质疑事项可能影响成交结果的，导致甲方中止履行合同的情形，均不视为甲方违约。</w:t>
      </w:r>
    </w:p>
    <w:p>
      <w:pPr>
        <w:spacing w:line="360" w:lineRule="auto"/>
        <w:ind w:firstLine="482" w:firstLineChars="200"/>
        <w:rPr>
          <w:rFonts w:ascii="宋体" w:hAnsi="宋体"/>
          <w:b/>
          <w:color w:val="auto"/>
          <w:sz w:val="24"/>
        </w:rPr>
      </w:pPr>
      <w:bookmarkStart w:id="171" w:name="_Toc14686"/>
      <w:bookmarkStart w:id="172" w:name="_Toc30329"/>
      <w:bookmarkStart w:id="173" w:name="_Toc9497"/>
      <w:bookmarkStart w:id="174" w:name="_Toc18683"/>
      <w:bookmarkStart w:id="175" w:name="_Toc26807"/>
      <w:bookmarkStart w:id="176" w:name="_Toc32454"/>
      <w:bookmarkStart w:id="177" w:name="_Toc14537"/>
      <w:bookmarkStart w:id="178" w:name="_Toc29170"/>
      <w:r>
        <w:rPr>
          <w:rFonts w:hint="eastAsia" w:ascii="宋体" w:hAnsi="宋体"/>
          <w:b/>
          <w:color w:val="auto"/>
          <w:sz w:val="24"/>
        </w:rPr>
        <w:t>1.7合同争议的解决</w:t>
      </w:r>
      <w:bookmarkEnd w:id="171"/>
      <w:bookmarkEnd w:id="172"/>
      <w:bookmarkEnd w:id="173"/>
      <w:bookmarkEnd w:id="174"/>
      <w:bookmarkEnd w:id="175"/>
      <w:bookmarkEnd w:id="176"/>
      <w:bookmarkEnd w:id="177"/>
      <w:bookmarkEnd w:id="178"/>
    </w:p>
    <w:p>
      <w:pPr>
        <w:spacing w:line="360" w:lineRule="auto"/>
        <w:ind w:firstLine="480" w:firstLineChars="200"/>
        <w:rPr>
          <w:rFonts w:ascii="宋体" w:hAnsi="宋体"/>
          <w:color w:val="auto"/>
          <w:sz w:val="24"/>
        </w:rPr>
      </w:pPr>
      <w:r>
        <w:rPr>
          <w:rFonts w:hint="eastAsia" w:ascii="宋体" w:hAnsi="宋体"/>
          <w:color w:val="auto"/>
          <w:sz w:val="24"/>
        </w:rPr>
        <w:t>本合同履行过程中发生的任何争议，双方当事人均可通过和解或者调解解决；不愿和解、调解或者和解、调解不成的，可以选择下列第</w:t>
      </w:r>
      <w:r>
        <w:rPr>
          <w:rFonts w:hint="eastAsia" w:ascii="宋体" w:hAnsi="宋体"/>
          <w:color w:val="auto"/>
          <w:sz w:val="24"/>
          <w:u w:val="single"/>
        </w:rPr>
        <w:t>1.7.2款</w:t>
      </w:r>
      <w:r>
        <w:rPr>
          <w:rFonts w:hint="eastAsia" w:ascii="宋体" w:hAnsi="宋体"/>
          <w:color w:val="auto"/>
          <w:sz w:val="24"/>
        </w:rPr>
        <w:t>方式解决：</w:t>
      </w:r>
    </w:p>
    <w:p>
      <w:pPr>
        <w:spacing w:line="360" w:lineRule="auto"/>
        <w:ind w:firstLine="480" w:firstLineChars="200"/>
        <w:rPr>
          <w:rFonts w:ascii="宋体" w:hAnsi="宋体"/>
          <w:color w:val="auto"/>
          <w:sz w:val="24"/>
        </w:rPr>
      </w:pPr>
      <w:r>
        <w:rPr>
          <w:rFonts w:hint="eastAsia" w:ascii="宋体" w:hAnsi="宋体"/>
          <w:color w:val="auto"/>
          <w:sz w:val="24"/>
        </w:rPr>
        <w:t>1.7.1将争议提交</w:t>
      </w:r>
      <w:r>
        <w:rPr>
          <w:rFonts w:hint="eastAsia" w:ascii="宋体" w:hAnsi="宋体"/>
          <w:color w:val="auto"/>
          <w:sz w:val="24"/>
          <w:u w:val="single"/>
        </w:rPr>
        <w:t xml:space="preserve">   合同签订地   </w:t>
      </w:r>
      <w:r>
        <w:rPr>
          <w:rFonts w:hint="eastAsia" w:ascii="宋体" w:hAnsi="宋体"/>
          <w:color w:val="auto"/>
          <w:sz w:val="24"/>
        </w:rPr>
        <w:t>仲裁委员会依申请仲裁时其现行有效的仲裁规则裁决；</w:t>
      </w:r>
    </w:p>
    <w:p>
      <w:pPr>
        <w:spacing w:line="360" w:lineRule="auto"/>
        <w:ind w:firstLine="480" w:firstLineChars="200"/>
        <w:rPr>
          <w:rFonts w:ascii="宋体" w:hAnsi="宋体"/>
          <w:color w:val="auto"/>
          <w:sz w:val="24"/>
        </w:rPr>
      </w:pPr>
      <w:r>
        <w:rPr>
          <w:rFonts w:hint="eastAsia" w:ascii="宋体" w:hAnsi="宋体"/>
          <w:color w:val="auto"/>
          <w:sz w:val="24"/>
        </w:rPr>
        <w:t>1.7.2向</w:t>
      </w:r>
      <w:r>
        <w:rPr>
          <w:rFonts w:hint="eastAsia" w:ascii="宋体" w:hAnsi="宋体"/>
          <w:color w:val="auto"/>
          <w:sz w:val="24"/>
          <w:u w:val="single"/>
        </w:rPr>
        <w:t xml:space="preserve">   合同签订地   </w:t>
      </w:r>
      <w:r>
        <w:rPr>
          <w:rFonts w:hint="eastAsia" w:ascii="宋体" w:hAnsi="宋体"/>
          <w:color w:val="auto"/>
          <w:sz w:val="24"/>
        </w:rPr>
        <w:t>人民法院起诉。</w:t>
      </w:r>
    </w:p>
    <w:p>
      <w:pPr>
        <w:spacing w:line="360" w:lineRule="auto"/>
        <w:ind w:firstLine="482" w:firstLineChars="200"/>
        <w:rPr>
          <w:rFonts w:ascii="宋体" w:hAnsi="宋体"/>
          <w:b/>
          <w:color w:val="auto"/>
          <w:sz w:val="24"/>
        </w:rPr>
      </w:pPr>
      <w:bookmarkStart w:id="179" w:name="_Toc15436"/>
      <w:bookmarkStart w:id="180" w:name="_Toc58"/>
      <w:bookmarkStart w:id="181" w:name="_Toc26227"/>
      <w:bookmarkStart w:id="182" w:name="_Toc16417"/>
      <w:bookmarkStart w:id="183" w:name="_Toc23784"/>
      <w:bookmarkStart w:id="184" w:name="_Toc17829"/>
      <w:bookmarkStart w:id="185" w:name="_Toc15827"/>
      <w:bookmarkStart w:id="186" w:name="_Toc12273"/>
      <w:r>
        <w:rPr>
          <w:rFonts w:hint="eastAsia" w:ascii="宋体" w:hAnsi="宋体"/>
          <w:b/>
          <w:color w:val="auto"/>
          <w:sz w:val="24"/>
        </w:rPr>
        <w:t>1.8合同生效</w:t>
      </w:r>
      <w:bookmarkEnd w:id="179"/>
      <w:bookmarkEnd w:id="180"/>
      <w:bookmarkEnd w:id="181"/>
      <w:bookmarkEnd w:id="182"/>
      <w:bookmarkEnd w:id="183"/>
      <w:bookmarkEnd w:id="184"/>
      <w:bookmarkEnd w:id="185"/>
      <w:bookmarkEnd w:id="186"/>
    </w:p>
    <w:p>
      <w:pPr>
        <w:spacing w:line="360" w:lineRule="auto"/>
        <w:ind w:firstLine="480" w:firstLineChars="200"/>
        <w:rPr>
          <w:rFonts w:ascii="宋体" w:hAnsi="宋体"/>
          <w:b/>
          <w:color w:val="auto"/>
          <w:sz w:val="24"/>
        </w:rPr>
      </w:pPr>
      <w:r>
        <w:rPr>
          <w:rFonts w:hint="eastAsia" w:ascii="宋体" w:hAnsi="宋体"/>
          <w:color w:val="auto"/>
          <w:sz w:val="24"/>
        </w:rPr>
        <w:t>本合同自双方当事人盖章或者签字时生效。</w:t>
      </w:r>
    </w:p>
    <w:p>
      <w:pPr>
        <w:spacing w:line="360" w:lineRule="auto"/>
        <w:ind w:firstLine="480" w:firstLineChars="200"/>
        <w:rPr>
          <w:rFonts w:ascii="宋体" w:hAnsi="宋体"/>
          <w:color w:val="auto"/>
          <w:sz w:val="24"/>
          <w:lang w:val="zh-CN"/>
        </w:rPr>
      </w:pPr>
    </w:p>
    <w:p>
      <w:pPr>
        <w:spacing w:line="360" w:lineRule="auto"/>
        <w:ind w:firstLine="482" w:firstLineChars="200"/>
        <w:rPr>
          <w:rFonts w:ascii="宋体" w:hAnsi="宋体"/>
          <w:b/>
          <w:bCs/>
          <w:color w:val="auto"/>
          <w:sz w:val="24"/>
          <w:lang w:val="zh-CN"/>
        </w:rPr>
      </w:pPr>
      <w:r>
        <w:rPr>
          <w:rFonts w:hint="eastAsia" w:ascii="宋体" w:hAnsi="宋体"/>
          <w:b/>
          <w:bCs/>
          <w:color w:val="auto"/>
          <w:sz w:val="24"/>
          <w:lang w:val="zh-CN"/>
        </w:rPr>
        <w:t>甲方：                                   乙方：</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统一社会信用代码：                       统一社会信用代码或身份证号码：</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住所：                                   住所：</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法定代表人或                             法定代表人</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授权代表（签字）：                       或授权代表（签字）:</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联系人：                                 联系人：</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约定送达地址：                           约定送达地址：</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邮政编码：                               邮政编码：</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电话:                                    电话:</w:t>
      </w:r>
    </w:p>
    <w:p>
      <w:pPr>
        <w:spacing w:line="360" w:lineRule="auto"/>
        <w:ind w:firstLine="480" w:firstLineChars="200"/>
        <w:rPr>
          <w:rFonts w:ascii="宋体" w:hAnsi="宋体"/>
          <w:color w:val="auto"/>
          <w:sz w:val="24"/>
          <w:lang w:val="zh-CN"/>
        </w:rPr>
      </w:pPr>
      <w:r>
        <w:rPr>
          <w:rFonts w:hint="eastAsia" w:ascii="宋体" w:hAnsi="宋体"/>
          <w:color w:val="auto"/>
          <w:sz w:val="24"/>
          <w:lang w:val="zh-CN"/>
        </w:rPr>
        <w:t>传真:                                    传真:</w:t>
      </w:r>
    </w:p>
    <w:p>
      <w:pPr>
        <w:spacing w:line="360" w:lineRule="auto"/>
        <w:ind w:firstLine="480" w:firstLineChars="200"/>
        <w:rPr>
          <w:rFonts w:ascii="宋体" w:hAnsi="宋体"/>
          <w:color w:val="auto"/>
          <w:sz w:val="24"/>
        </w:rPr>
      </w:pPr>
      <w:r>
        <w:rPr>
          <w:rFonts w:hint="eastAsia" w:ascii="宋体" w:hAnsi="宋体"/>
          <w:color w:val="auto"/>
          <w:sz w:val="24"/>
          <w:lang w:val="zh-CN"/>
        </w:rPr>
        <w:t>电子邮箱：                               电子邮箱：</w:t>
      </w:r>
    </w:p>
    <w:p>
      <w:pPr>
        <w:spacing w:line="360" w:lineRule="auto"/>
        <w:ind w:firstLine="480" w:firstLineChars="200"/>
        <w:rPr>
          <w:rFonts w:ascii="宋体" w:hAnsi="宋体"/>
          <w:color w:val="auto"/>
          <w:sz w:val="24"/>
        </w:rPr>
      </w:pPr>
      <w:r>
        <w:rPr>
          <w:rFonts w:hint="eastAsia" w:ascii="宋体" w:hAnsi="宋体"/>
          <w:color w:val="auto"/>
          <w:sz w:val="24"/>
        </w:rPr>
        <w:t>开户银行：                               开户银行：</w:t>
      </w:r>
    </w:p>
    <w:p>
      <w:pPr>
        <w:spacing w:line="360" w:lineRule="auto"/>
        <w:ind w:firstLine="480" w:firstLineChars="200"/>
        <w:rPr>
          <w:rFonts w:ascii="宋体" w:hAnsi="宋体"/>
          <w:color w:val="auto"/>
          <w:sz w:val="24"/>
        </w:rPr>
      </w:pPr>
      <w:r>
        <w:rPr>
          <w:rFonts w:hint="eastAsia" w:ascii="宋体" w:hAnsi="宋体"/>
          <w:color w:val="auto"/>
          <w:sz w:val="24"/>
        </w:rPr>
        <w:t>开户名称：                               开户名称：</w:t>
      </w:r>
    </w:p>
    <w:p>
      <w:pPr>
        <w:spacing w:line="360" w:lineRule="auto"/>
        <w:ind w:firstLine="480" w:firstLineChars="200"/>
        <w:rPr>
          <w:rFonts w:ascii="宋体" w:hAnsi="宋体"/>
          <w:color w:val="auto"/>
          <w:sz w:val="24"/>
        </w:rPr>
      </w:pPr>
      <w:r>
        <w:rPr>
          <w:rFonts w:hint="eastAsia" w:ascii="宋体" w:hAnsi="宋体"/>
          <w:color w:val="auto"/>
          <w:sz w:val="24"/>
        </w:rPr>
        <w:t>开户账号：</w:t>
      </w:r>
      <w:r>
        <w:rPr>
          <w:rFonts w:hint="eastAsia" w:ascii="宋体" w:hAnsi="宋体"/>
          <w:color w:val="auto"/>
          <w:sz w:val="24"/>
          <w:lang w:val="zh-CN"/>
        </w:rPr>
        <w:t xml:space="preserve">                               </w:t>
      </w:r>
      <w:r>
        <w:rPr>
          <w:rFonts w:hint="eastAsia" w:ascii="宋体" w:hAnsi="宋体"/>
          <w:color w:val="auto"/>
          <w:sz w:val="24"/>
        </w:rPr>
        <w:t>开户账号：</w:t>
      </w:r>
    </w:p>
    <w:p>
      <w:pPr>
        <w:spacing w:line="360" w:lineRule="auto"/>
        <w:jc w:val="center"/>
        <w:outlineLvl w:val="1"/>
        <w:rPr>
          <w:rFonts w:ascii="黑体" w:hAnsi="黑体" w:eastAsia="黑体" w:cs="黑体"/>
          <w:color w:val="auto"/>
          <w:sz w:val="32"/>
          <w:szCs w:val="32"/>
        </w:rPr>
      </w:pPr>
      <w:bookmarkStart w:id="187" w:name="_Toc331685783"/>
      <w:bookmarkStart w:id="188" w:name="_Toc3483"/>
      <w:r>
        <w:rPr>
          <w:rFonts w:hint="eastAsia" w:ascii="黑体" w:hAnsi="黑体" w:eastAsia="黑体" w:cs="黑体"/>
          <w:color w:val="auto"/>
          <w:sz w:val="32"/>
          <w:szCs w:val="32"/>
        </w:rPr>
        <w:br w:type="page"/>
      </w:r>
      <w:bookmarkStart w:id="189" w:name="_Toc9001"/>
      <w:bookmarkStart w:id="190" w:name="_Toc9169"/>
      <w:bookmarkStart w:id="191" w:name="_Toc16795"/>
      <w:bookmarkStart w:id="192" w:name="_Toc11838"/>
      <w:r>
        <w:rPr>
          <w:rFonts w:hint="eastAsia" w:ascii="黑体" w:hAnsi="黑体" w:eastAsia="黑体" w:cs="黑体"/>
          <w:b/>
          <w:bCs/>
          <w:color w:val="auto"/>
          <w:sz w:val="32"/>
          <w:szCs w:val="32"/>
        </w:rPr>
        <w:t>二、合同一般条款</w:t>
      </w:r>
      <w:bookmarkEnd w:id="187"/>
      <w:bookmarkEnd w:id="188"/>
      <w:bookmarkEnd w:id="189"/>
      <w:bookmarkEnd w:id="190"/>
      <w:bookmarkEnd w:id="191"/>
      <w:bookmarkEnd w:id="192"/>
    </w:p>
    <w:p>
      <w:pPr>
        <w:spacing w:line="360" w:lineRule="auto"/>
        <w:ind w:firstLine="482" w:firstLineChars="200"/>
        <w:rPr>
          <w:rFonts w:ascii="宋体" w:hAnsi="宋体"/>
          <w:b/>
          <w:color w:val="auto"/>
          <w:sz w:val="24"/>
        </w:rPr>
      </w:pPr>
      <w:bookmarkStart w:id="193" w:name="_Toc16972"/>
      <w:bookmarkStart w:id="194" w:name="_Ref467379225"/>
      <w:bookmarkStart w:id="195" w:name="_Toc19680"/>
      <w:bookmarkStart w:id="196" w:name="_Ref467378404"/>
      <w:bookmarkStart w:id="197" w:name="_Toc26002"/>
      <w:bookmarkStart w:id="198" w:name="_Ref467378499"/>
      <w:bookmarkStart w:id="199" w:name="_Toc487900349"/>
      <w:bookmarkStart w:id="200" w:name="_Toc279701240"/>
      <w:bookmarkStart w:id="201" w:name="_Toc22731"/>
      <w:bookmarkStart w:id="202" w:name="_Toc5228"/>
      <w:bookmarkStart w:id="203" w:name="_Toc259093669"/>
      <w:bookmarkStart w:id="204" w:name="_Ref467379205"/>
      <w:bookmarkStart w:id="205" w:name="_Ref467379109"/>
      <w:bookmarkStart w:id="206" w:name="_Ref467379101"/>
      <w:bookmarkStart w:id="207" w:name="_Toc31297"/>
      <w:bookmarkStart w:id="208" w:name="_Ref467379195"/>
      <w:bookmarkStart w:id="209" w:name="_Ref467379094"/>
      <w:bookmarkStart w:id="210" w:name="_Toc25079"/>
      <w:bookmarkStart w:id="211" w:name="_Ref467379214"/>
      <w:bookmarkStart w:id="212" w:name="_Toc14021"/>
      <w:bookmarkStart w:id="213" w:name="_Ref467378463"/>
      <w:r>
        <w:rPr>
          <w:rFonts w:hint="eastAsia" w:ascii="宋体" w:hAnsi="宋体"/>
          <w:b/>
          <w:color w:val="auto"/>
          <w:sz w:val="24"/>
        </w:rPr>
        <w:t>2.1定义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spacing w:line="360" w:lineRule="auto"/>
        <w:ind w:firstLine="480" w:firstLineChars="200"/>
        <w:rPr>
          <w:rFonts w:ascii="宋体" w:hAnsi="宋体"/>
          <w:color w:val="auto"/>
          <w:sz w:val="24"/>
        </w:rPr>
      </w:pPr>
      <w:r>
        <w:rPr>
          <w:rFonts w:hint="eastAsia" w:ascii="宋体" w:hAnsi="宋体"/>
          <w:color w:val="auto"/>
          <w:sz w:val="24"/>
        </w:rPr>
        <w:t>本合同中的下列词语应按以下内容进行解释：</w:t>
      </w:r>
    </w:p>
    <w:p>
      <w:pPr>
        <w:spacing w:line="360" w:lineRule="auto"/>
        <w:ind w:firstLine="480" w:firstLineChars="200"/>
        <w:rPr>
          <w:rFonts w:ascii="宋体" w:hAnsi="宋体"/>
          <w:color w:val="auto"/>
          <w:sz w:val="24"/>
        </w:rPr>
      </w:pPr>
      <w:r>
        <w:rPr>
          <w:rFonts w:hint="eastAsia" w:ascii="宋体" w:hAnsi="宋体"/>
          <w:color w:val="auto"/>
          <w:sz w:val="24"/>
        </w:rPr>
        <w:t>2.1.1“合同”系指采购人和成交供应商签订的载明双方当事人所达成的协议，并包括所有的附件、附录和构成合同的其他文件。</w:t>
      </w:r>
    </w:p>
    <w:p>
      <w:pPr>
        <w:spacing w:line="360" w:lineRule="auto"/>
        <w:ind w:firstLine="480" w:firstLineChars="200"/>
        <w:rPr>
          <w:rFonts w:ascii="宋体" w:hAnsi="宋体"/>
          <w:color w:val="auto"/>
          <w:sz w:val="24"/>
        </w:rPr>
      </w:pPr>
      <w:r>
        <w:rPr>
          <w:rFonts w:hint="eastAsia" w:ascii="宋体" w:hAnsi="宋体"/>
          <w:color w:val="auto"/>
          <w:sz w:val="24"/>
        </w:rPr>
        <w:t>2.1.2“合同价”系指根据合同约定，成交供应商在完全履行合同义务后，采购人应支付给成交供应商的价格。</w:t>
      </w:r>
    </w:p>
    <w:p>
      <w:pPr>
        <w:spacing w:line="360" w:lineRule="auto"/>
        <w:ind w:firstLine="480" w:firstLineChars="200"/>
        <w:rPr>
          <w:rFonts w:ascii="宋体" w:hAnsi="宋体"/>
          <w:color w:val="auto"/>
          <w:sz w:val="24"/>
        </w:rPr>
      </w:pPr>
      <w:r>
        <w:rPr>
          <w:rFonts w:hint="eastAsia" w:ascii="宋体" w:hAnsi="宋体"/>
          <w:color w:val="auto"/>
          <w:sz w:val="24"/>
        </w:rPr>
        <w:t>2.1.3“服务”系指成交供应商根据合同约定应向采购人履行的除货物和工程以外的其他政府采购对象，包括采购人自身需要的服务和向社会公众提供的公共服务。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rPr>
      </w:pPr>
      <w:bookmarkStart w:id="214" w:name="_Ref467378840"/>
      <w:r>
        <w:rPr>
          <w:rFonts w:hint="eastAsia" w:ascii="宋体" w:hAnsi="宋体"/>
          <w:color w:val="auto"/>
          <w:sz w:val="24"/>
        </w:rPr>
        <w:t>2.1.4“甲方”系指与成交供应商签署合同的采购人</w:t>
      </w:r>
      <w:bookmarkEnd w:id="214"/>
      <w:r>
        <w:rPr>
          <w:rFonts w:hint="eastAsia" w:ascii="宋体" w:hAnsi="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olor w:val="auto"/>
          <w:sz w:val="24"/>
        </w:rPr>
      </w:pPr>
      <w:bookmarkStart w:id="215" w:name="_Ref467379400"/>
      <w:r>
        <w:rPr>
          <w:rFonts w:hint="eastAsia" w:ascii="宋体" w:hAnsi="宋体"/>
          <w:color w:val="auto"/>
          <w:sz w:val="24"/>
        </w:rPr>
        <w:t>2.1.5“乙方”系指根据合同约定提供服务的成交供应商</w:t>
      </w:r>
      <w:bookmarkEnd w:id="215"/>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rPr>
      </w:pPr>
      <w:bookmarkStart w:id="216" w:name="_Ref467379436"/>
      <w:r>
        <w:rPr>
          <w:rFonts w:hint="eastAsia" w:ascii="宋体" w:hAnsi="宋体"/>
          <w:color w:val="auto"/>
          <w:sz w:val="24"/>
        </w:rPr>
        <w:t>2.1.6“现场”系指合同约定提供服务的地点。</w:t>
      </w:r>
      <w:bookmarkEnd w:id="216"/>
    </w:p>
    <w:p>
      <w:pPr>
        <w:spacing w:line="360" w:lineRule="auto"/>
        <w:ind w:firstLine="482" w:firstLineChars="200"/>
        <w:rPr>
          <w:rFonts w:ascii="宋体" w:hAnsi="宋体"/>
          <w:b/>
          <w:color w:val="auto"/>
          <w:sz w:val="24"/>
        </w:rPr>
      </w:pPr>
      <w:bookmarkStart w:id="217" w:name="_Toc487900350"/>
      <w:bookmarkStart w:id="218" w:name="_Toc16752"/>
      <w:bookmarkStart w:id="219" w:name="_Toc23289"/>
      <w:bookmarkStart w:id="220" w:name="_Toc19539"/>
      <w:bookmarkStart w:id="221" w:name="_Toc22410"/>
      <w:bookmarkStart w:id="222" w:name="_Toc279701241"/>
      <w:bookmarkStart w:id="223" w:name="_Toc4531"/>
      <w:bookmarkStart w:id="224" w:name="_Toc3565"/>
      <w:bookmarkStart w:id="225" w:name="_Toc31402"/>
      <w:bookmarkStart w:id="226" w:name="_Toc3769"/>
      <w:bookmarkStart w:id="227" w:name="_Toc259093670"/>
      <w:r>
        <w:rPr>
          <w:rFonts w:hint="eastAsia" w:ascii="宋体" w:hAnsi="宋体"/>
          <w:b/>
          <w:color w:val="auto"/>
          <w:sz w:val="24"/>
        </w:rPr>
        <w:t>2.2技术规范</w:t>
      </w:r>
      <w:bookmarkEnd w:id="217"/>
      <w:bookmarkEnd w:id="218"/>
      <w:bookmarkEnd w:id="219"/>
      <w:bookmarkEnd w:id="220"/>
      <w:bookmarkEnd w:id="221"/>
      <w:bookmarkEnd w:id="222"/>
      <w:bookmarkEnd w:id="223"/>
      <w:bookmarkEnd w:id="224"/>
      <w:bookmarkEnd w:id="225"/>
      <w:bookmarkEnd w:id="226"/>
      <w:bookmarkEnd w:id="227"/>
    </w:p>
    <w:p>
      <w:pPr>
        <w:spacing w:line="360" w:lineRule="auto"/>
        <w:ind w:firstLine="480" w:firstLineChars="200"/>
        <w:rPr>
          <w:rFonts w:ascii="宋体" w:hAnsi="宋体"/>
          <w:color w:val="auto"/>
          <w:sz w:val="24"/>
        </w:rPr>
      </w:pPr>
      <w:r>
        <w:rPr>
          <w:rFonts w:hint="eastAsia" w:ascii="宋体" w:hAnsi="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b/>
          <w:color w:val="auto"/>
          <w:sz w:val="24"/>
        </w:rPr>
      </w:pPr>
      <w:bookmarkStart w:id="228" w:name="_Toc13673"/>
      <w:bookmarkStart w:id="229" w:name="_Toc31298"/>
      <w:bookmarkStart w:id="230" w:name="_Toc259093671"/>
      <w:bookmarkStart w:id="231" w:name="_Toc9161"/>
      <w:bookmarkStart w:id="232" w:name="_Toc4133"/>
      <w:bookmarkStart w:id="233" w:name="_Toc15220"/>
      <w:bookmarkStart w:id="234" w:name="_Toc27945"/>
      <w:bookmarkStart w:id="235" w:name="_Toc32669"/>
      <w:bookmarkStart w:id="236" w:name="_Toc279701242"/>
      <w:bookmarkStart w:id="237" w:name="_Toc12412"/>
      <w:bookmarkStart w:id="238" w:name="_Toc487900351"/>
      <w:r>
        <w:rPr>
          <w:rFonts w:hint="eastAsia" w:ascii="宋体" w:hAnsi="宋体"/>
          <w:b/>
          <w:color w:val="auto"/>
          <w:sz w:val="24"/>
        </w:rPr>
        <w:t>2.3知识产权</w:t>
      </w:r>
      <w:bookmarkEnd w:id="228"/>
      <w:bookmarkEnd w:id="229"/>
      <w:bookmarkEnd w:id="230"/>
      <w:bookmarkEnd w:id="231"/>
      <w:bookmarkEnd w:id="232"/>
      <w:bookmarkEnd w:id="233"/>
      <w:bookmarkEnd w:id="234"/>
      <w:bookmarkEnd w:id="235"/>
      <w:bookmarkEnd w:id="236"/>
      <w:bookmarkEnd w:id="237"/>
      <w:bookmarkEnd w:id="238"/>
    </w:p>
    <w:p>
      <w:pPr>
        <w:spacing w:line="360" w:lineRule="auto"/>
        <w:ind w:firstLine="480" w:firstLineChars="200"/>
        <w:rPr>
          <w:rFonts w:ascii="宋体" w:hAnsi="宋体"/>
          <w:color w:val="auto"/>
          <w:sz w:val="24"/>
        </w:rPr>
      </w:pPr>
      <w:r>
        <w:rPr>
          <w:rFonts w:hint="eastAsia" w:ascii="宋体" w:hAnsi="宋体"/>
          <w:color w:val="auto"/>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2" w:firstLineChars="200"/>
        <w:rPr>
          <w:rFonts w:ascii="宋体" w:hAnsi="宋体"/>
          <w:b/>
          <w:color w:val="auto"/>
          <w:sz w:val="24"/>
        </w:rPr>
      </w:pPr>
      <w:r>
        <w:rPr>
          <w:rFonts w:hint="eastAsia" w:ascii="宋体" w:hAnsi="宋体"/>
          <w:b/>
          <w:color w:val="auto"/>
          <w:sz w:val="24"/>
        </w:rPr>
        <w:t>2.4履约检查和问题反馈</w:t>
      </w:r>
    </w:p>
    <w:p>
      <w:pPr>
        <w:spacing w:line="360" w:lineRule="auto"/>
        <w:ind w:firstLine="480" w:firstLineChars="200"/>
        <w:rPr>
          <w:rFonts w:ascii="宋体" w:hAnsi="宋体"/>
          <w:color w:val="auto"/>
          <w:sz w:val="24"/>
        </w:rPr>
      </w:pPr>
      <w:bookmarkStart w:id="239" w:name="_Ref467379657"/>
      <w:r>
        <w:rPr>
          <w:rFonts w:hint="eastAsia" w:ascii="宋体" w:hAnsi="宋体"/>
          <w:color w:val="auto"/>
          <w:sz w:val="24"/>
        </w:rPr>
        <w:t>2.4.1</w:t>
      </w:r>
      <w:bookmarkEnd w:id="239"/>
      <w:bookmarkStart w:id="240" w:name="_Toc186431854"/>
      <w:bookmarkStart w:id="241" w:name="_Ref467379807"/>
      <w:bookmarkStart w:id="242" w:name="_Toc279701247"/>
      <w:bookmarkStart w:id="243" w:name="_Toc259093676"/>
      <w:bookmarkStart w:id="244" w:name="_Toc487900357"/>
      <w:bookmarkStart w:id="245" w:name="_Ref467379793"/>
      <w:r>
        <w:rPr>
          <w:rFonts w:hint="eastAsia" w:ascii="宋体" w:hAnsi="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rPr>
      </w:pPr>
      <w:r>
        <w:rPr>
          <w:rFonts w:hint="eastAsia" w:ascii="宋体" w:hAnsi="宋体"/>
          <w:color w:val="auto"/>
          <w:sz w:val="24"/>
        </w:rPr>
        <w:t>2.4.2合同履行期间，甲方有权将履行过程中出现的问题反馈给乙方，双方当事人应以书面形式约定需要完善和改进的内容</w:t>
      </w:r>
      <w:bookmarkEnd w:id="240"/>
      <w:bookmarkStart w:id="246" w:name="_Toc186431855"/>
      <w:r>
        <w:rPr>
          <w:rFonts w:hint="eastAsia" w:ascii="宋体" w:hAnsi="宋体"/>
          <w:color w:val="auto"/>
          <w:sz w:val="24"/>
        </w:rPr>
        <w:t>。</w:t>
      </w:r>
    </w:p>
    <w:bookmarkEnd w:id="246"/>
    <w:p>
      <w:pPr>
        <w:spacing w:line="360" w:lineRule="auto"/>
        <w:ind w:firstLine="482" w:firstLineChars="200"/>
        <w:rPr>
          <w:rFonts w:ascii="宋体" w:hAnsi="宋体"/>
          <w:b/>
          <w:color w:val="auto"/>
          <w:sz w:val="24"/>
        </w:rPr>
      </w:pPr>
      <w:bookmarkStart w:id="247" w:name="_Toc7472"/>
      <w:bookmarkStart w:id="248" w:name="_Toc22011"/>
      <w:bookmarkStart w:id="249" w:name="_Toc31233"/>
      <w:bookmarkStart w:id="250" w:name="_Toc13247"/>
      <w:bookmarkStart w:id="251" w:name="_Toc15447"/>
      <w:bookmarkStart w:id="252" w:name="_Toc7860"/>
      <w:bookmarkStart w:id="253" w:name="_Toc26555"/>
      <w:bookmarkStart w:id="254" w:name="_Toc32670"/>
      <w:r>
        <w:rPr>
          <w:rFonts w:hint="eastAsia" w:ascii="宋体" w:hAnsi="宋体"/>
          <w:b/>
          <w:color w:val="auto"/>
          <w:sz w:val="24"/>
        </w:rPr>
        <w:t>2.5结算方式和付款条件</w:t>
      </w:r>
      <w:bookmarkEnd w:id="241"/>
      <w:bookmarkEnd w:id="242"/>
      <w:bookmarkEnd w:id="243"/>
      <w:bookmarkEnd w:id="244"/>
      <w:bookmarkEnd w:id="245"/>
      <w:bookmarkEnd w:id="247"/>
      <w:bookmarkEnd w:id="248"/>
      <w:bookmarkEnd w:id="249"/>
      <w:bookmarkEnd w:id="250"/>
      <w:bookmarkEnd w:id="251"/>
      <w:bookmarkEnd w:id="252"/>
      <w:bookmarkEnd w:id="253"/>
      <w:bookmarkEnd w:id="254"/>
    </w:p>
    <w:p>
      <w:pPr>
        <w:spacing w:line="360" w:lineRule="auto"/>
        <w:ind w:firstLine="480" w:firstLineChars="200"/>
        <w:rPr>
          <w:rFonts w:ascii="宋体" w:hAnsi="宋体"/>
          <w:color w:val="auto"/>
          <w:sz w:val="24"/>
        </w:rPr>
      </w:pPr>
      <w:bookmarkStart w:id="255" w:name="_Toc259093677"/>
      <w:bookmarkStart w:id="256" w:name="_Ref467379923"/>
      <w:bookmarkStart w:id="257" w:name="_Ref467379863"/>
      <w:bookmarkStart w:id="258" w:name="_Toc279701248"/>
      <w:bookmarkStart w:id="259" w:name="_Toc487900358"/>
      <w:bookmarkStart w:id="260" w:name="_Ref467379852"/>
      <w:bookmarkStart w:id="261" w:name="_Toc9974"/>
      <w:bookmarkStart w:id="262" w:name="_Toc13154"/>
      <w:bookmarkStart w:id="263" w:name="_Toc24255"/>
      <w:bookmarkStart w:id="264" w:name="_Toc3886"/>
      <w:bookmarkStart w:id="265" w:name="_Toc18990"/>
      <w:bookmarkStart w:id="266" w:name="_Toc30507"/>
      <w:bookmarkStart w:id="267" w:name="_Toc16163"/>
      <w:bookmarkStart w:id="268" w:name="_Toc13467"/>
      <w:r>
        <w:rPr>
          <w:rFonts w:hint="eastAsia" w:ascii="宋体" w:hAnsi="宋体"/>
          <w:color w:val="auto"/>
          <w:sz w:val="24"/>
        </w:rPr>
        <w:t>2.5.1项目合同签订后，支付合同总价款的65%；</w:t>
      </w:r>
    </w:p>
    <w:p>
      <w:pPr>
        <w:spacing w:line="360" w:lineRule="auto"/>
        <w:ind w:firstLine="480" w:firstLineChars="200"/>
        <w:rPr>
          <w:rFonts w:ascii="宋体" w:hAnsi="宋体"/>
          <w:color w:val="auto"/>
          <w:sz w:val="24"/>
        </w:rPr>
      </w:pPr>
      <w:r>
        <w:rPr>
          <w:rFonts w:hint="eastAsia" w:ascii="宋体" w:hAnsi="宋体"/>
          <w:color w:val="auto"/>
          <w:sz w:val="24"/>
        </w:rPr>
        <w:t>2.5.2服务期满6个月后，支付合同总价款的35%；</w:t>
      </w:r>
    </w:p>
    <w:p>
      <w:pPr>
        <w:spacing w:line="360" w:lineRule="auto"/>
        <w:ind w:firstLine="480" w:firstLineChars="200"/>
        <w:rPr>
          <w:rFonts w:ascii="宋体" w:hAnsi="宋体"/>
          <w:color w:val="auto"/>
          <w:sz w:val="24"/>
        </w:rPr>
      </w:pPr>
      <w:r>
        <w:rPr>
          <w:rFonts w:hint="eastAsia" w:ascii="宋体" w:hAnsi="宋体"/>
          <w:color w:val="auto"/>
          <w:sz w:val="24"/>
        </w:rPr>
        <w:t>2.5.3成交供应商承诺在采购人办理支付手续前，为采购人出具等额的符合国家规定的发票；</w:t>
      </w:r>
    </w:p>
    <w:p>
      <w:pPr>
        <w:spacing w:line="360" w:lineRule="auto"/>
        <w:ind w:firstLine="480" w:firstLineChars="200"/>
        <w:outlineLvl w:val="0"/>
        <w:rPr>
          <w:rFonts w:ascii="宋体" w:hAnsi="宋体"/>
          <w:color w:val="auto"/>
          <w:sz w:val="24"/>
        </w:rPr>
      </w:pPr>
      <w:bookmarkStart w:id="269" w:name="_Toc19025"/>
      <w:bookmarkStart w:id="270" w:name="_Toc22782"/>
      <w:r>
        <w:rPr>
          <w:rFonts w:hint="eastAsia" w:ascii="宋体" w:hAnsi="宋体"/>
          <w:color w:val="auto"/>
          <w:sz w:val="24"/>
        </w:rPr>
        <w:t>2.5.4上述时间不包括采购人正常办理支付报批手续的时间。</w:t>
      </w:r>
      <w:bookmarkEnd w:id="269"/>
      <w:bookmarkEnd w:id="270"/>
    </w:p>
    <w:p>
      <w:pPr>
        <w:spacing w:line="360" w:lineRule="auto"/>
        <w:ind w:firstLine="482" w:firstLineChars="200"/>
        <w:rPr>
          <w:rFonts w:ascii="宋体" w:hAnsi="宋体"/>
          <w:b/>
          <w:color w:val="auto"/>
          <w:sz w:val="24"/>
        </w:rPr>
      </w:pPr>
      <w:r>
        <w:rPr>
          <w:rFonts w:hint="eastAsia" w:ascii="宋体" w:hAnsi="宋体"/>
          <w:b/>
          <w:color w:val="auto"/>
          <w:sz w:val="24"/>
        </w:rPr>
        <w:t>2.6技术资料</w:t>
      </w:r>
      <w:bookmarkEnd w:id="255"/>
      <w:bookmarkEnd w:id="256"/>
      <w:bookmarkEnd w:id="257"/>
      <w:bookmarkEnd w:id="258"/>
      <w:bookmarkEnd w:id="259"/>
      <w:bookmarkEnd w:id="260"/>
      <w:r>
        <w:rPr>
          <w:rFonts w:hint="eastAsia" w:ascii="宋体" w:hAnsi="宋体"/>
          <w:b/>
          <w:color w:val="auto"/>
          <w:sz w:val="24"/>
        </w:rPr>
        <w:t>和保密义务</w:t>
      </w:r>
      <w:bookmarkEnd w:id="261"/>
      <w:bookmarkEnd w:id="262"/>
      <w:bookmarkEnd w:id="263"/>
      <w:bookmarkEnd w:id="264"/>
      <w:bookmarkEnd w:id="265"/>
      <w:bookmarkEnd w:id="266"/>
      <w:bookmarkEnd w:id="267"/>
      <w:bookmarkEnd w:id="268"/>
    </w:p>
    <w:p>
      <w:pPr>
        <w:spacing w:line="360" w:lineRule="auto"/>
        <w:ind w:firstLine="480" w:firstLineChars="200"/>
        <w:rPr>
          <w:rFonts w:ascii="宋体" w:hAnsi="宋体"/>
          <w:color w:val="auto"/>
          <w:sz w:val="24"/>
        </w:rPr>
      </w:pPr>
      <w:r>
        <w:rPr>
          <w:rFonts w:hint="eastAsia" w:ascii="宋体" w:hAnsi="宋体"/>
          <w:color w:val="auto"/>
          <w:sz w:val="24"/>
        </w:rPr>
        <w:t>2.6.1乙方有权依据合同约定和项目需要，向甲方了解有关情况，调阅有关资料等，甲方应予积极配合；</w:t>
      </w:r>
    </w:p>
    <w:p>
      <w:pPr>
        <w:spacing w:line="360" w:lineRule="auto"/>
        <w:ind w:firstLine="480" w:firstLineChars="200"/>
        <w:rPr>
          <w:rFonts w:ascii="宋体" w:hAnsi="宋体"/>
          <w:color w:val="auto"/>
          <w:sz w:val="24"/>
        </w:rPr>
      </w:pPr>
      <w:r>
        <w:rPr>
          <w:rFonts w:hint="eastAsia" w:ascii="宋体" w:hAnsi="宋体"/>
          <w:color w:val="auto"/>
          <w:sz w:val="24"/>
        </w:rPr>
        <w:t>2.6.2乙方有义务妥善保管和保护由甲方提供的前款信息和资料等；</w:t>
      </w:r>
    </w:p>
    <w:p>
      <w:pPr>
        <w:spacing w:line="360" w:lineRule="auto"/>
        <w:ind w:firstLine="480" w:firstLineChars="200"/>
        <w:rPr>
          <w:rFonts w:ascii="宋体" w:hAnsi="宋体"/>
          <w:color w:val="auto"/>
          <w:sz w:val="24"/>
        </w:rPr>
      </w:pPr>
      <w:r>
        <w:rPr>
          <w:rFonts w:hint="eastAsia" w:ascii="宋体" w:hAnsi="宋体"/>
          <w:color w:val="auto"/>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rPr>
      </w:pPr>
      <w:bookmarkStart w:id="271" w:name="_Toc31682"/>
      <w:bookmarkStart w:id="272" w:name="_Toc30781"/>
      <w:bookmarkStart w:id="273" w:name="_Toc19069"/>
      <w:bookmarkStart w:id="274" w:name="_Toc23788"/>
      <w:bookmarkStart w:id="275" w:name="_Toc259093681"/>
      <w:bookmarkStart w:id="276" w:name="_Toc279701252"/>
      <w:bookmarkStart w:id="277" w:name="_Toc487900362"/>
      <w:r>
        <w:rPr>
          <w:rFonts w:hint="eastAsia" w:ascii="宋体" w:hAnsi="宋体"/>
          <w:b/>
          <w:color w:val="auto"/>
          <w:sz w:val="24"/>
        </w:rPr>
        <w:t>2.7质量保证</w:t>
      </w:r>
      <w:bookmarkEnd w:id="271"/>
      <w:bookmarkEnd w:id="272"/>
      <w:bookmarkEnd w:id="273"/>
      <w:bookmarkEnd w:id="274"/>
    </w:p>
    <w:p>
      <w:pPr>
        <w:spacing w:line="360" w:lineRule="auto"/>
        <w:ind w:firstLine="480" w:firstLineChars="200"/>
        <w:rPr>
          <w:rFonts w:ascii="宋体" w:hAnsi="宋体"/>
          <w:color w:val="auto"/>
          <w:sz w:val="24"/>
        </w:rPr>
      </w:pPr>
      <w:r>
        <w:rPr>
          <w:rFonts w:hint="eastAsia" w:ascii="宋体" w:hAnsi="宋体"/>
          <w:color w:val="auto"/>
          <w:sz w:val="24"/>
        </w:rPr>
        <w:t>2.7.1乙方应建立和完善履行合同的内部质量保证体系，并提供相关内部规章制度给甲方，以便甲方进行监督检查；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rPr>
      </w:pPr>
      <w:r>
        <w:rPr>
          <w:rFonts w:hint="eastAsia" w:ascii="宋体" w:hAnsi="宋体"/>
          <w:color w:val="auto"/>
          <w:sz w:val="24"/>
        </w:rPr>
        <w:t>2.7.2乙方应保证履行合同的人员数量和素质、软件和硬件设备的配置、场地、环境和设施等满足全面履行合同的要求，并应接受甲方的监督检查。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rPr>
      </w:pPr>
      <w:bookmarkStart w:id="278" w:name="_Toc4333"/>
      <w:bookmarkStart w:id="279" w:name="_Toc22267"/>
      <w:bookmarkStart w:id="280" w:name="_Toc13743"/>
      <w:bookmarkStart w:id="281" w:name="_Toc6644"/>
      <w:r>
        <w:rPr>
          <w:rFonts w:hint="eastAsia" w:ascii="宋体" w:hAnsi="宋体"/>
          <w:b/>
          <w:color w:val="auto"/>
          <w:sz w:val="24"/>
        </w:rPr>
        <w:t>2.8延迟</w:t>
      </w:r>
      <w:bookmarkEnd w:id="275"/>
      <w:bookmarkEnd w:id="276"/>
      <w:bookmarkEnd w:id="277"/>
      <w:r>
        <w:rPr>
          <w:rFonts w:hint="eastAsia" w:ascii="宋体" w:hAnsi="宋体"/>
          <w:b/>
          <w:color w:val="auto"/>
          <w:sz w:val="24"/>
        </w:rPr>
        <w:t>履行</w:t>
      </w:r>
      <w:bookmarkEnd w:id="278"/>
      <w:bookmarkEnd w:id="279"/>
      <w:bookmarkEnd w:id="280"/>
      <w:bookmarkEnd w:id="281"/>
    </w:p>
    <w:p>
      <w:pPr>
        <w:spacing w:line="360" w:lineRule="auto"/>
        <w:ind w:firstLine="480" w:firstLineChars="200"/>
        <w:rPr>
          <w:rFonts w:ascii="宋体" w:hAnsi="宋体"/>
          <w:color w:val="auto"/>
          <w:sz w:val="24"/>
        </w:rPr>
      </w:pPr>
      <w:r>
        <w:rPr>
          <w:rFonts w:hint="eastAsia" w:ascii="宋体" w:hAnsi="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rPr>
          <w:rFonts w:ascii="宋体" w:hAnsi="宋体"/>
          <w:b/>
          <w:color w:val="auto"/>
          <w:sz w:val="24"/>
        </w:rPr>
      </w:pPr>
      <w:bookmarkStart w:id="282" w:name="_Toc4141"/>
      <w:bookmarkStart w:id="283" w:name="_Toc7134"/>
      <w:bookmarkStart w:id="284" w:name="_Toc9519"/>
      <w:bookmarkStart w:id="285" w:name="_Toc10611"/>
      <w:bookmarkStart w:id="286" w:name="_Ref467378121"/>
      <w:bookmarkStart w:id="287" w:name="_Toc259093683"/>
      <w:bookmarkStart w:id="288" w:name="_Toc487900364"/>
      <w:bookmarkStart w:id="289" w:name="_Toc279701254"/>
      <w:r>
        <w:rPr>
          <w:rFonts w:hint="eastAsia" w:ascii="宋体" w:hAnsi="宋体"/>
          <w:b/>
          <w:color w:val="auto"/>
          <w:sz w:val="24"/>
        </w:rPr>
        <w:t>2.9合同变更</w:t>
      </w:r>
      <w:bookmarkEnd w:id="282"/>
      <w:bookmarkEnd w:id="283"/>
      <w:bookmarkEnd w:id="284"/>
      <w:bookmarkEnd w:id="285"/>
    </w:p>
    <w:p>
      <w:pPr>
        <w:spacing w:line="360" w:lineRule="auto"/>
        <w:ind w:firstLine="480" w:firstLineChars="200"/>
        <w:rPr>
          <w:rFonts w:ascii="宋体" w:hAnsi="宋体"/>
          <w:color w:val="auto"/>
          <w:sz w:val="24"/>
        </w:rPr>
      </w:pPr>
      <w:r>
        <w:rPr>
          <w:rFonts w:hint="eastAsia" w:ascii="宋体" w:hAnsi="宋体"/>
          <w:color w:val="auto"/>
          <w:sz w:val="24"/>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rPr>
          <w:rFonts w:ascii="宋体" w:hAnsi="宋体"/>
          <w:color w:val="auto"/>
          <w:sz w:val="24"/>
        </w:rPr>
      </w:pPr>
      <w:r>
        <w:rPr>
          <w:rFonts w:hint="eastAsia" w:ascii="宋体" w:hAnsi="宋体"/>
          <w:color w:val="auto"/>
          <w:sz w:val="24"/>
        </w:rPr>
        <w:t>2.9.2合同继续履行将损害国家利益和社会公共利益的，双方当事人应当以书面形式变更合同。有过错的一方应当承担赔偿责任，双方当事人都有过错的，各自承担相应的责任。</w:t>
      </w:r>
      <w:bookmarkStart w:id="290" w:name="_Toc279701259"/>
      <w:bookmarkStart w:id="291" w:name="_Toc487900369"/>
      <w:bookmarkStart w:id="292" w:name="_Toc259093688"/>
    </w:p>
    <w:p>
      <w:pPr>
        <w:spacing w:line="360" w:lineRule="auto"/>
        <w:ind w:firstLine="482" w:firstLineChars="200"/>
        <w:rPr>
          <w:rFonts w:ascii="宋体" w:hAnsi="宋体"/>
          <w:b/>
          <w:color w:val="auto"/>
          <w:sz w:val="24"/>
        </w:rPr>
      </w:pPr>
      <w:bookmarkStart w:id="293" w:name="_Toc10663"/>
      <w:bookmarkStart w:id="294" w:name="_Toc23368"/>
      <w:bookmarkStart w:id="295" w:name="_Toc27031"/>
      <w:bookmarkStart w:id="296" w:name="_Toc26689"/>
      <w:bookmarkStart w:id="297" w:name="_Toc21830"/>
      <w:bookmarkStart w:id="298" w:name="_Toc458"/>
      <w:bookmarkStart w:id="299" w:name="_Toc42"/>
      <w:bookmarkStart w:id="300" w:name="_Toc13465"/>
      <w:r>
        <w:rPr>
          <w:rFonts w:hint="eastAsia" w:ascii="宋体" w:hAnsi="宋体"/>
          <w:b/>
          <w:color w:val="auto"/>
          <w:sz w:val="24"/>
        </w:rPr>
        <w:t>2.10合同转让</w:t>
      </w:r>
      <w:bookmarkEnd w:id="290"/>
      <w:bookmarkEnd w:id="291"/>
      <w:bookmarkEnd w:id="292"/>
      <w:r>
        <w:rPr>
          <w:rFonts w:hint="eastAsia" w:ascii="宋体" w:hAnsi="宋体"/>
          <w:b/>
          <w:color w:val="auto"/>
          <w:sz w:val="24"/>
        </w:rPr>
        <w:t>和分包</w:t>
      </w:r>
      <w:bookmarkEnd w:id="293"/>
      <w:bookmarkEnd w:id="294"/>
      <w:bookmarkEnd w:id="295"/>
      <w:bookmarkEnd w:id="296"/>
      <w:bookmarkEnd w:id="297"/>
      <w:bookmarkEnd w:id="298"/>
      <w:bookmarkEnd w:id="299"/>
      <w:bookmarkEnd w:id="300"/>
    </w:p>
    <w:p>
      <w:pPr>
        <w:spacing w:line="360" w:lineRule="auto"/>
        <w:ind w:firstLine="480" w:firstLineChars="200"/>
        <w:rPr>
          <w:rFonts w:ascii="宋体" w:hAnsi="宋体"/>
          <w:color w:val="auto"/>
          <w:sz w:val="24"/>
        </w:rPr>
      </w:pPr>
      <w:r>
        <w:rPr>
          <w:rFonts w:hint="eastAsia" w:ascii="宋体" w:hAnsi="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rPr>
          <w:rFonts w:ascii="宋体" w:hAnsi="宋体"/>
          <w:b/>
          <w:color w:val="auto"/>
          <w:sz w:val="24"/>
        </w:rPr>
      </w:pPr>
      <w:bookmarkStart w:id="301" w:name="_Toc4720"/>
      <w:bookmarkStart w:id="302" w:name="_Toc32389"/>
      <w:bookmarkStart w:id="303" w:name="_Toc14371"/>
      <w:bookmarkStart w:id="304" w:name="_Toc26633"/>
      <w:bookmarkStart w:id="305" w:name="_Toc13058"/>
      <w:bookmarkStart w:id="306" w:name="_Toc24901"/>
      <w:bookmarkStart w:id="307" w:name="_Toc25571"/>
      <w:bookmarkStart w:id="308" w:name="_Toc32494"/>
      <w:r>
        <w:rPr>
          <w:rFonts w:hint="eastAsia" w:ascii="宋体" w:hAnsi="宋体"/>
          <w:b/>
          <w:color w:val="auto"/>
          <w:sz w:val="24"/>
        </w:rPr>
        <w:t>2.11不可抗力</w:t>
      </w:r>
      <w:bookmarkEnd w:id="301"/>
      <w:bookmarkEnd w:id="302"/>
      <w:bookmarkEnd w:id="303"/>
      <w:bookmarkEnd w:id="304"/>
      <w:bookmarkEnd w:id="305"/>
      <w:bookmarkEnd w:id="306"/>
      <w:bookmarkEnd w:id="307"/>
      <w:bookmarkEnd w:id="308"/>
    </w:p>
    <w:p>
      <w:pPr>
        <w:spacing w:line="360" w:lineRule="auto"/>
        <w:ind w:firstLine="480" w:firstLineChars="200"/>
        <w:rPr>
          <w:rFonts w:ascii="宋体" w:hAnsi="宋体"/>
          <w:color w:val="auto"/>
          <w:sz w:val="24"/>
        </w:rPr>
      </w:pPr>
      <w:r>
        <w:rPr>
          <w:rFonts w:hint="eastAsia" w:ascii="宋体" w:hAnsi="宋体"/>
          <w:color w:val="auto"/>
          <w:sz w:val="24"/>
        </w:rPr>
        <w:t>2.11.1如果任何一方遭遇法律规定的不可抗力，致使合同履行受阻时，履行合同的期限应予延长，延长的期限应相当于不可抗力所影响的时间；</w:t>
      </w:r>
    </w:p>
    <w:p>
      <w:pPr>
        <w:spacing w:line="360" w:lineRule="auto"/>
        <w:ind w:firstLine="480" w:firstLineChars="200"/>
        <w:rPr>
          <w:rFonts w:ascii="宋体" w:hAnsi="宋体"/>
          <w:color w:val="auto"/>
          <w:sz w:val="24"/>
        </w:rPr>
      </w:pPr>
      <w:r>
        <w:rPr>
          <w:rFonts w:hint="eastAsia" w:ascii="宋体" w:hAnsi="宋体"/>
          <w:color w:val="auto"/>
          <w:sz w:val="24"/>
        </w:rPr>
        <w:t>2.11.2因不可抗力致使不能实现合同目的的，当事人可以解除合同；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2.11.3因不可抗力致使合同有变更必要的，双方当事人应在</w:t>
      </w:r>
      <w:r>
        <w:rPr>
          <w:rFonts w:hint="eastAsia" w:ascii="宋体" w:hAnsi="宋体"/>
          <w:b/>
          <w:color w:val="auto"/>
          <w:sz w:val="24"/>
          <w:u w:val="single"/>
        </w:rPr>
        <w:t>10个工作日</w:t>
      </w:r>
      <w:r>
        <w:rPr>
          <w:rFonts w:hint="eastAsia" w:ascii="宋体" w:hAnsi="宋体"/>
          <w:color w:val="auto"/>
          <w:sz w:val="24"/>
        </w:rPr>
        <w:t>内以书面形式变更合同；</w:t>
      </w:r>
    </w:p>
    <w:p>
      <w:pPr>
        <w:spacing w:line="360" w:lineRule="auto"/>
        <w:ind w:firstLine="480" w:firstLineChars="200"/>
        <w:rPr>
          <w:rFonts w:ascii="宋体" w:hAnsi="宋体"/>
          <w:color w:val="auto"/>
          <w:sz w:val="24"/>
        </w:rPr>
      </w:pPr>
      <w:r>
        <w:rPr>
          <w:rFonts w:hint="eastAsia" w:ascii="宋体" w:hAnsi="宋体"/>
          <w:color w:val="auto"/>
          <w:sz w:val="24"/>
        </w:rPr>
        <w:t>2.11.4受不可抗力影响的一方在不可抗力发生后，应在</w:t>
      </w:r>
      <w:r>
        <w:rPr>
          <w:rFonts w:hint="eastAsia" w:ascii="宋体" w:hAnsi="宋体"/>
          <w:b/>
          <w:color w:val="auto"/>
          <w:sz w:val="24"/>
          <w:u w:val="single"/>
        </w:rPr>
        <w:t>10个工作日</w:t>
      </w:r>
      <w:r>
        <w:rPr>
          <w:rFonts w:hint="eastAsia" w:ascii="宋体" w:hAnsi="宋体"/>
          <w:color w:val="auto"/>
          <w:sz w:val="24"/>
        </w:rPr>
        <w:t>内以书面形式通知对方当事人，并在</w:t>
      </w:r>
      <w:r>
        <w:rPr>
          <w:rFonts w:hint="eastAsia" w:ascii="宋体" w:hAnsi="宋体"/>
          <w:b/>
          <w:color w:val="auto"/>
          <w:sz w:val="24"/>
          <w:u w:val="single"/>
        </w:rPr>
        <w:t>10个工作日</w:t>
      </w:r>
      <w:r>
        <w:rPr>
          <w:rFonts w:hint="eastAsia" w:ascii="宋体" w:hAnsi="宋体"/>
          <w:color w:val="auto"/>
          <w:sz w:val="24"/>
        </w:rPr>
        <w:t>内，将有关部门出具的证明文件送达对方当事人。</w:t>
      </w:r>
    </w:p>
    <w:p>
      <w:pPr>
        <w:spacing w:line="360" w:lineRule="auto"/>
        <w:ind w:firstLine="482" w:firstLineChars="200"/>
        <w:rPr>
          <w:rFonts w:ascii="宋体" w:hAnsi="宋体"/>
          <w:b/>
          <w:color w:val="auto"/>
          <w:sz w:val="24"/>
        </w:rPr>
      </w:pPr>
      <w:bookmarkStart w:id="309" w:name="_Toc23854"/>
      <w:bookmarkStart w:id="310" w:name="_Toc7854"/>
      <w:bookmarkStart w:id="311" w:name="_Toc259093684"/>
      <w:bookmarkStart w:id="312" w:name="_Toc24465"/>
      <w:bookmarkStart w:id="313" w:name="_Toc487900365"/>
      <w:bookmarkStart w:id="314" w:name="_Toc3638"/>
      <w:bookmarkStart w:id="315" w:name="_Toc14115"/>
      <w:bookmarkStart w:id="316" w:name="_Toc279701255"/>
      <w:bookmarkStart w:id="317" w:name="_Toc25783"/>
      <w:bookmarkStart w:id="318" w:name="_Toc24226"/>
      <w:bookmarkStart w:id="319" w:name="_Toc7143"/>
      <w:r>
        <w:rPr>
          <w:rFonts w:hint="eastAsia" w:ascii="宋体" w:hAnsi="宋体"/>
          <w:b/>
          <w:color w:val="auto"/>
          <w:sz w:val="24"/>
        </w:rPr>
        <w:t>2.12税费</w:t>
      </w:r>
      <w:bookmarkEnd w:id="309"/>
      <w:bookmarkEnd w:id="310"/>
      <w:bookmarkEnd w:id="311"/>
      <w:bookmarkEnd w:id="312"/>
      <w:bookmarkEnd w:id="313"/>
      <w:bookmarkEnd w:id="314"/>
      <w:bookmarkEnd w:id="315"/>
      <w:bookmarkEnd w:id="316"/>
      <w:bookmarkEnd w:id="317"/>
      <w:bookmarkEnd w:id="318"/>
      <w:bookmarkEnd w:id="319"/>
    </w:p>
    <w:p>
      <w:pPr>
        <w:spacing w:line="360" w:lineRule="auto"/>
        <w:ind w:firstLine="480" w:firstLineChars="200"/>
        <w:rPr>
          <w:rFonts w:ascii="宋体" w:hAnsi="宋体"/>
          <w:color w:val="auto"/>
          <w:sz w:val="24"/>
        </w:rPr>
      </w:pPr>
      <w:r>
        <w:rPr>
          <w:rFonts w:hint="eastAsia" w:ascii="宋体" w:hAnsi="宋体"/>
          <w:color w:val="auto"/>
          <w:sz w:val="24"/>
        </w:rPr>
        <w:t>与合同有关的一切税费，均按照中华人民共和国法律的相关规定缴纳。</w:t>
      </w:r>
    </w:p>
    <w:p>
      <w:pPr>
        <w:spacing w:line="360" w:lineRule="auto"/>
        <w:ind w:firstLine="482" w:firstLineChars="200"/>
        <w:rPr>
          <w:rFonts w:ascii="宋体" w:hAnsi="宋体"/>
          <w:b/>
          <w:color w:val="auto"/>
          <w:sz w:val="24"/>
        </w:rPr>
      </w:pPr>
      <w:bookmarkStart w:id="320" w:name="_Toc24592"/>
      <w:bookmarkStart w:id="321" w:name="_Toc30105"/>
      <w:bookmarkStart w:id="322" w:name="_Toc279701258"/>
      <w:bookmarkStart w:id="323" w:name="_Toc26883"/>
      <w:bookmarkStart w:id="324" w:name="_Toc487900368"/>
      <w:bookmarkStart w:id="325" w:name="_Toc9444"/>
      <w:bookmarkStart w:id="326" w:name="_Toc14814"/>
      <w:bookmarkStart w:id="327" w:name="_Toc7315"/>
      <w:bookmarkStart w:id="328" w:name="_Toc259093687"/>
      <w:bookmarkStart w:id="329" w:name="_Toc25525"/>
      <w:bookmarkStart w:id="330" w:name="_Toc12334"/>
      <w:r>
        <w:rPr>
          <w:rFonts w:hint="eastAsia" w:ascii="宋体" w:hAnsi="宋体"/>
          <w:b/>
          <w:color w:val="auto"/>
          <w:sz w:val="24"/>
        </w:rPr>
        <w:t>2.13乙方破产</w:t>
      </w:r>
      <w:bookmarkEnd w:id="320"/>
      <w:bookmarkEnd w:id="321"/>
      <w:bookmarkEnd w:id="322"/>
      <w:bookmarkEnd w:id="323"/>
      <w:bookmarkEnd w:id="324"/>
      <w:bookmarkEnd w:id="325"/>
      <w:bookmarkEnd w:id="326"/>
      <w:bookmarkEnd w:id="327"/>
      <w:bookmarkEnd w:id="328"/>
      <w:bookmarkEnd w:id="329"/>
      <w:bookmarkEnd w:id="330"/>
    </w:p>
    <w:p>
      <w:pPr>
        <w:spacing w:line="360" w:lineRule="auto"/>
        <w:ind w:firstLine="480" w:firstLineChars="200"/>
        <w:rPr>
          <w:rFonts w:ascii="宋体" w:hAnsi="宋体"/>
          <w:color w:val="auto"/>
          <w:sz w:val="24"/>
        </w:rPr>
      </w:pPr>
      <w:r>
        <w:rPr>
          <w:rFonts w:hint="eastAsia" w:ascii="宋体" w:hAnsi="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b/>
          <w:color w:val="auto"/>
          <w:sz w:val="24"/>
        </w:rPr>
      </w:pPr>
      <w:bookmarkStart w:id="331" w:name="_Toc2016"/>
      <w:bookmarkStart w:id="332" w:name="_Toc31935"/>
      <w:bookmarkStart w:id="333" w:name="_Toc27457"/>
      <w:bookmarkStart w:id="334" w:name="_Toc23323"/>
      <w:bookmarkStart w:id="335" w:name="_Toc1123"/>
      <w:bookmarkStart w:id="336" w:name="_Toc18535"/>
      <w:r>
        <w:rPr>
          <w:rFonts w:hint="eastAsia" w:ascii="宋体" w:hAnsi="宋体"/>
          <w:b/>
          <w:color w:val="auto"/>
          <w:sz w:val="24"/>
        </w:rPr>
        <w:t>2.14合同中止、终止</w:t>
      </w:r>
      <w:bookmarkEnd w:id="331"/>
      <w:bookmarkEnd w:id="332"/>
      <w:bookmarkEnd w:id="333"/>
      <w:bookmarkEnd w:id="334"/>
      <w:bookmarkEnd w:id="335"/>
      <w:bookmarkEnd w:id="336"/>
    </w:p>
    <w:p>
      <w:pPr>
        <w:spacing w:line="360" w:lineRule="auto"/>
        <w:ind w:firstLine="480" w:firstLineChars="200"/>
        <w:rPr>
          <w:rFonts w:ascii="宋体" w:hAnsi="宋体"/>
          <w:color w:val="auto"/>
          <w:sz w:val="24"/>
        </w:rPr>
      </w:pPr>
      <w:r>
        <w:rPr>
          <w:rFonts w:hint="eastAsia" w:ascii="宋体" w:hAnsi="宋体"/>
          <w:color w:val="auto"/>
          <w:sz w:val="24"/>
        </w:rPr>
        <w:t>2.14.1双方当事人不得擅自中止或者终止合同；</w:t>
      </w:r>
    </w:p>
    <w:p>
      <w:pPr>
        <w:spacing w:line="360" w:lineRule="auto"/>
        <w:ind w:firstLine="480" w:firstLineChars="200"/>
        <w:rPr>
          <w:rFonts w:ascii="宋体" w:hAnsi="宋体"/>
          <w:color w:val="auto"/>
          <w:sz w:val="24"/>
        </w:rPr>
      </w:pPr>
      <w:r>
        <w:rPr>
          <w:rFonts w:hint="eastAsia"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rPr>
      </w:pPr>
      <w:bookmarkStart w:id="337" w:name="_Toc17363"/>
      <w:bookmarkStart w:id="338" w:name="_Toc32237"/>
      <w:bookmarkStart w:id="339" w:name="_Toc1969"/>
      <w:bookmarkStart w:id="340" w:name="_Toc9000"/>
      <w:bookmarkStart w:id="341" w:name="_Toc23234"/>
      <w:bookmarkStart w:id="342" w:name="_Toc14525"/>
      <w:r>
        <w:rPr>
          <w:rFonts w:hint="eastAsia" w:ascii="宋体" w:hAnsi="宋体"/>
          <w:b/>
          <w:color w:val="auto"/>
          <w:sz w:val="24"/>
        </w:rPr>
        <w:t>2.15检验和验收</w:t>
      </w:r>
      <w:bookmarkEnd w:id="337"/>
      <w:bookmarkEnd w:id="338"/>
      <w:bookmarkEnd w:id="339"/>
      <w:bookmarkEnd w:id="340"/>
      <w:bookmarkEnd w:id="341"/>
      <w:bookmarkEnd w:id="342"/>
    </w:p>
    <w:p>
      <w:pPr>
        <w:tabs>
          <w:tab w:val="left" w:pos="360"/>
          <w:tab w:val="left" w:pos="540"/>
          <w:tab w:val="left" w:pos="1080"/>
        </w:tabs>
        <w:spacing w:line="360" w:lineRule="auto"/>
        <w:ind w:firstLine="480" w:firstLineChars="200"/>
        <w:rPr>
          <w:rFonts w:ascii="宋体" w:hAnsi="宋体"/>
          <w:color w:val="auto"/>
          <w:sz w:val="24"/>
        </w:rPr>
      </w:pPr>
      <w:r>
        <w:rPr>
          <w:rFonts w:hint="eastAsia" w:ascii="宋体" w:hAnsi="宋体"/>
          <w:color w:val="auto"/>
          <w:sz w:val="24"/>
        </w:rPr>
        <w:t>2.15.1乙方按照磋商文件</w:t>
      </w:r>
      <w:r>
        <w:rPr>
          <w:rFonts w:hint="eastAsia" w:ascii="宋体" w:hAnsi="宋体"/>
          <w:b/>
          <w:i/>
          <w:color w:val="auto"/>
          <w:sz w:val="24"/>
          <w:u w:val="single"/>
        </w:rPr>
        <w:t>用户需求书</w:t>
      </w:r>
      <w:r>
        <w:rPr>
          <w:rFonts w:hint="eastAsia" w:ascii="宋体" w:hAnsi="宋体"/>
          <w:color w:val="auto"/>
          <w:sz w:val="24"/>
        </w:rPr>
        <w:t>的约定，定期提交服务报告，甲方按照磋商文件</w:t>
      </w:r>
      <w:r>
        <w:rPr>
          <w:rFonts w:hint="eastAsia" w:ascii="宋体" w:hAnsi="宋体"/>
          <w:b/>
          <w:i/>
          <w:color w:val="auto"/>
          <w:sz w:val="24"/>
          <w:u w:val="single"/>
        </w:rPr>
        <w:t>用户需求书</w:t>
      </w:r>
      <w:r>
        <w:rPr>
          <w:rFonts w:hint="eastAsia" w:ascii="宋体" w:hAnsi="宋体"/>
          <w:color w:val="auto"/>
          <w:sz w:val="24"/>
        </w:rPr>
        <w:t>的约定进行定期验收；</w:t>
      </w:r>
    </w:p>
    <w:p>
      <w:pPr>
        <w:tabs>
          <w:tab w:val="left" w:pos="360"/>
          <w:tab w:val="left" w:pos="540"/>
          <w:tab w:val="left" w:pos="1080"/>
        </w:tabs>
        <w:spacing w:line="360" w:lineRule="auto"/>
        <w:ind w:firstLine="480" w:firstLineChars="200"/>
        <w:rPr>
          <w:rFonts w:ascii="宋体" w:hAnsi="宋体"/>
          <w:color w:val="auto"/>
          <w:sz w:val="24"/>
        </w:rPr>
      </w:pPr>
      <w:r>
        <w:rPr>
          <w:rFonts w:hint="eastAsia" w:ascii="宋体" w:hAnsi="宋体"/>
          <w:color w:val="auto"/>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rPr>
      </w:pPr>
      <w:r>
        <w:rPr>
          <w:rFonts w:hint="eastAsia" w:ascii="宋体" w:hAnsi="宋体"/>
          <w:color w:val="auto"/>
          <w:sz w:val="24"/>
        </w:rPr>
        <w:t>2.15.3检验和验收标准、程序等具体内容以及前述验收书的效力详见</w:t>
      </w:r>
      <w:r>
        <w:rPr>
          <w:rFonts w:hint="eastAsia" w:ascii="宋体" w:hAnsi="宋体"/>
          <w:b/>
          <w:i/>
          <w:color w:val="auto"/>
          <w:sz w:val="24"/>
          <w:u w:val="single"/>
        </w:rPr>
        <w:t>磋商文件用户需求书</w:t>
      </w:r>
      <w:r>
        <w:rPr>
          <w:rFonts w:hint="eastAsia" w:ascii="宋体" w:hAnsi="宋体"/>
          <w:i/>
          <w:color w:val="auto"/>
          <w:sz w:val="24"/>
        </w:rPr>
        <w:t>。</w:t>
      </w:r>
    </w:p>
    <w:bookmarkEnd w:id="286"/>
    <w:bookmarkEnd w:id="287"/>
    <w:bookmarkEnd w:id="288"/>
    <w:bookmarkEnd w:id="289"/>
    <w:p>
      <w:pPr>
        <w:spacing w:line="360" w:lineRule="auto"/>
        <w:ind w:firstLine="482" w:firstLineChars="200"/>
        <w:rPr>
          <w:rFonts w:ascii="宋体" w:hAnsi="宋体"/>
          <w:b/>
          <w:color w:val="auto"/>
          <w:sz w:val="24"/>
        </w:rPr>
      </w:pPr>
      <w:bookmarkStart w:id="343" w:name="_Toc259093690"/>
      <w:bookmarkStart w:id="344" w:name="_Toc279701261"/>
      <w:bookmarkStart w:id="345" w:name="_Toc487900371"/>
      <w:bookmarkStart w:id="346" w:name="_Toc9808"/>
      <w:bookmarkStart w:id="347" w:name="_Toc2308"/>
      <w:bookmarkStart w:id="348" w:name="_Toc12666"/>
      <w:bookmarkStart w:id="349" w:name="_Toc7598"/>
      <w:bookmarkStart w:id="350" w:name="_Toc31892"/>
      <w:bookmarkStart w:id="351" w:name="_Toc13424"/>
      <w:bookmarkStart w:id="352" w:name="_Toc20675"/>
      <w:bookmarkStart w:id="353" w:name="_Toc25198"/>
      <w:r>
        <w:rPr>
          <w:rFonts w:hint="eastAsia" w:ascii="宋体" w:hAnsi="宋体"/>
          <w:b/>
          <w:color w:val="auto"/>
          <w:sz w:val="24"/>
        </w:rPr>
        <w:t>2.16通知</w:t>
      </w:r>
      <w:bookmarkEnd w:id="343"/>
      <w:bookmarkEnd w:id="344"/>
      <w:bookmarkEnd w:id="345"/>
      <w:r>
        <w:rPr>
          <w:rFonts w:hint="eastAsia" w:ascii="宋体" w:hAnsi="宋体"/>
          <w:b/>
          <w:color w:val="auto"/>
          <w:sz w:val="24"/>
        </w:rPr>
        <w:t>和送达</w:t>
      </w:r>
      <w:bookmarkEnd w:id="346"/>
      <w:bookmarkEnd w:id="347"/>
      <w:bookmarkEnd w:id="348"/>
      <w:bookmarkEnd w:id="349"/>
      <w:bookmarkEnd w:id="350"/>
      <w:bookmarkEnd w:id="351"/>
      <w:bookmarkEnd w:id="352"/>
      <w:bookmarkEnd w:id="353"/>
    </w:p>
    <w:p>
      <w:pPr>
        <w:spacing w:line="360" w:lineRule="auto"/>
        <w:ind w:firstLine="480" w:firstLineChars="200"/>
        <w:rPr>
          <w:rFonts w:ascii="宋体" w:hAnsi="宋体"/>
          <w:color w:val="auto"/>
          <w:sz w:val="24"/>
        </w:rPr>
      </w:pPr>
      <w:bookmarkStart w:id="354" w:name="_Toc29220"/>
      <w:bookmarkStart w:id="355" w:name="_Toc7073"/>
      <w:bookmarkStart w:id="356" w:name="_Toc487900372"/>
      <w:bookmarkStart w:id="357" w:name="_Toc259093691"/>
      <w:bookmarkStart w:id="358" w:name="_Toc279701262"/>
      <w:r>
        <w:rPr>
          <w:rFonts w:hint="eastAsia" w:ascii="宋体" w:hAnsi="宋体"/>
          <w:color w:val="auto"/>
          <w:sz w:val="24"/>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color w:val="auto"/>
          <w:sz w:val="24"/>
          <w:u w:val="single"/>
        </w:rPr>
        <w:t xml:space="preserve">   </w:t>
      </w:r>
      <w:r>
        <w:rPr>
          <w:rFonts w:hint="eastAsia" w:ascii="宋体" w:hAnsi="宋体"/>
          <w:color w:val="auto"/>
          <w:sz w:val="24"/>
        </w:rPr>
        <w:t>个工作日内书面通知对方当事人，在对方当事人收到有关变更通知之前，变更前的约定送达方式或者地址仍视为有效。</w:t>
      </w:r>
      <w:bookmarkEnd w:id="354"/>
      <w:bookmarkEnd w:id="355"/>
    </w:p>
    <w:p>
      <w:pPr>
        <w:spacing w:line="360" w:lineRule="auto"/>
        <w:ind w:firstLine="480" w:firstLineChars="200"/>
        <w:rPr>
          <w:rFonts w:ascii="宋体" w:hAnsi="宋体"/>
          <w:color w:val="auto"/>
          <w:sz w:val="24"/>
        </w:rPr>
      </w:pPr>
      <w:bookmarkStart w:id="359" w:name="_Toc27674"/>
      <w:bookmarkStart w:id="360" w:name="_Toc18401"/>
      <w:r>
        <w:rPr>
          <w:rFonts w:hint="eastAsia" w:ascii="宋体" w:hAnsi="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9"/>
      <w:bookmarkEnd w:id="360"/>
    </w:p>
    <w:bookmarkEnd w:id="356"/>
    <w:bookmarkEnd w:id="357"/>
    <w:bookmarkEnd w:id="358"/>
    <w:p>
      <w:pPr>
        <w:spacing w:line="360" w:lineRule="auto"/>
        <w:ind w:firstLine="482" w:firstLineChars="200"/>
        <w:rPr>
          <w:rFonts w:ascii="宋体" w:hAnsi="宋体"/>
          <w:b/>
          <w:color w:val="auto"/>
          <w:sz w:val="24"/>
        </w:rPr>
      </w:pPr>
      <w:bookmarkStart w:id="361" w:name="_Toc5063"/>
      <w:bookmarkStart w:id="362" w:name="_Toc27644"/>
      <w:bookmarkStart w:id="363" w:name="_Toc28906"/>
      <w:bookmarkStart w:id="364" w:name="_Toc279701263"/>
      <w:bookmarkStart w:id="365" w:name="_Toc12254"/>
      <w:bookmarkStart w:id="366" w:name="_Toc20808"/>
      <w:bookmarkStart w:id="367" w:name="_Toc15816"/>
      <w:bookmarkStart w:id="368" w:name="_Toc487900373"/>
      <w:bookmarkStart w:id="369" w:name="_Toc259093692"/>
      <w:bookmarkStart w:id="370" w:name="_Toc25494"/>
      <w:bookmarkStart w:id="371" w:name="_Toc30955"/>
      <w:r>
        <w:rPr>
          <w:rFonts w:hint="eastAsia" w:ascii="宋体" w:hAnsi="宋体"/>
          <w:b/>
          <w:color w:val="auto"/>
          <w:sz w:val="24"/>
        </w:rPr>
        <w:t>2.17合同使用的文字和适用的法律</w:t>
      </w:r>
      <w:bookmarkEnd w:id="361"/>
      <w:bookmarkEnd w:id="362"/>
      <w:bookmarkEnd w:id="363"/>
      <w:bookmarkEnd w:id="364"/>
      <w:bookmarkEnd w:id="365"/>
      <w:bookmarkEnd w:id="366"/>
      <w:bookmarkEnd w:id="367"/>
      <w:bookmarkEnd w:id="368"/>
      <w:bookmarkEnd w:id="369"/>
      <w:bookmarkEnd w:id="370"/>
      <w:bookmarkEnd w:id="371"/>
    </w:p>
    <w:p>
      <w:pPr>
        <w:spacing w:line="360" w:lineRule="auto"/>
        <w:ind w:firstLine="480" w:firstLineChars="200"/>
        <w:rPr>
          <w:rFonts w:ascii="宋体" w:hAnsi="宋体"/>
          <w:color w:val="auto"/>
          <w:sz w:val="24"/>
        </w:rPr>
      </w:pPr>
      <w:r>
        <w:rPr>
          <w:rFonts w:hint="eastAsia" w:ascii="宋体" w:hAnsi="宋体"/>
          <w:color w:val="auto"/>
          <w:sz w:val="24"/>
        </w:rPr>
        <w:t>2.17.1合同使用汉语书就、变更和解释；</w:t>
      </w:r>
    </w:p>
    <w:p>
      <w:pPr>
        <w:spacing w:line="360" w:lineRule="auto"/>
        <w:ind w:firstLine="480" w:firstLineChars="200"/>
        <w:rPr>
          <w:rFonts w:ascii="宋体" w:hAnsi="宋体"/>
          <w:color w:val="auto"/>
          <w:sz w:val="24"/>
        </w:rPr>
      </w:pPr>
      <w:r>
        <w:rPr>
          <w:rFonts w:hint="eastAsia" w:ascii="宋体" w:hAnsi="宋体"/>
          <w:color w:val="auto"/>
          <w:sz w:val="24"/>
        </w:rPr>
        <w:t>2.17.2合同适用中华人民共和国法律。</w:t>
      </w:r>
    </w:p>
    <w:p>
      <w:pPr>
        <w:spacing w:line="360" w:lineRule="auto"/>
        <w:ind w:firstLine="482" w:firstLineChars="200"/>
        <w:rPr>
          <w:rFonts w:ascii="宋体" w:hAnsi="宋体"/>
          <w:b/>
          <w:color w:val="auto"/>
          <w:sz w:val="24"/>
        </w:rPr>
      </w:pPr>
      <w:bookmarkStart w:id="372" w:name="_Toc24121"/>
      <w:bookmarkStart w:id="373" w:name="_Toc259093693"/>
      <w:bookmarkStart w:id="374" w:name="_Toc27403"/>
      <w:bookmarkStart w:id="375" w:name="_Toc25512"/>
      <w:bookmarkStart w:id="376" w:name="_Toc30096"/>
      <w:bookmarkStart w:id="377" w:name="_Toc22266"/>
      <w:bookmarkStart w:id="378" w:name="_Toc27127"/>
      <w:bookmarkStart w:id="379" w:name="_Toc1492"/>
      <w:bookmarkStart w:id="380" w:name="_Toc279701264"/>
      <w:bookmarkStart w:id="381" w:name="_Toc5699"/>
      <w:bookmarkStart w:id="382" w:name="_Toc487900374"/>
      <w:r>
        <w:rPr>
          <w:rFonts w:hint="eastAsia" w:ascii="宋体" w:hAnsi="宋体"/>
          <w:b/>
          <w:color w:val="auto"/>
          <w:sz w:val="24"/>
        </w:rPr>
        <w:t>2.18履约保证金</w:t>
      </w:r>
      <w:bookmarkEnd w:id="372"/>
      <w:bookmarkEnd w:id="373"/>
      <w:bookmarkEnd w:id="374"/>
      <w:bookmarkEnd w:id="375"/>
      <w:bookmarkEnd w:id="376"/>
      <w:bookmarkEnd w:id="377"/>
      <w:bookmarkEnd w:id="378"/>
      <w:bookmarkEnd w:id="379"/>
      <w:bookmarkEnd w:id="380"/>
      <w:bookmarkEnd w:id="381"/>
    </w:p>
    <w:p>
      <w:pPr>
        <w:spacing w:line="360" w:lineRule="auto"/>
        <w:ind w:firstLine="480" w:firstLineChars="200"/>
        <w:rPr>
          <w:rFonts w:ascii="宋体" w:hAnsi="宋体"/>
          <w:color w:val="auto"/>
          <w:sz w:val="24"/>
        </w:rPr>
      </w:pPr>
      <w:r>
        <w:rPr>
          <w:rFonts w:hint="eastAsia" w:ascii="宋体" w:hAnsi="宋体"/>
          <w:color w:val="auto"/>
          <w:sz w:val="24"/>
        </w:rPr>
        <w:t>2.18.1本项目不提交履约保证金。</w:t>
      </w:r>
    </w:p>
    <w:bookmarkEnd w:id="382"/>
    <w:p>
      <w:pPr>
        <w:spacing w:line="360" w:lineRule="auto"/>
        <w:ind w:firstLine="482" w:firstLineChars="200"/>
        <w:rPr>
          <w:rFonts w:ascii="宋体" w:hAnsi="宋体"/>
          <w:b/>
          <w:color w:val="auto"/>
          <w:sz w:val="24"/>
        </w:rPr>
      </w:pPr>
      <w:r>
        <w:rPr>
          <w:rFonts w:hint="eastAsia" w:ascii="宋体" w:hAnsi="宋体"/>
          <w:b/>
          <w:color w:val="auto"/>
          <w:sz w:val="24"/>
        </w:rPr>
        <w:t>2.19合同份数</w:t>
      </w:r>
    </w:p>
    <w:p>
      <w:pPr>
        <w:spacing w:line="360" w:lineRule="auto"/>
        <w:ind w:firstLine="480"/>
        <w:rPr>
          <w:rFonts w:ascii="宋体" w:hAnsi="宋体"/>
          <w:color w:val="auto"/>
          <w:sz w:val="24"/>
        </w:rPr>
      </w:pPr>
      <w:r>
        <w:rPr>
          <w:rFonts w:hint="eastAsia" w:ascii="宋体" w:hAnsi="宋体"/>
          <w:color w:val="auto"/>
          <w:sz w:val="24"/>
        </w:rPr>
        <w:t>合同份数按</w:t>
      </w:r>
      <w:r>
        <w:rPr>
          <w:rFonts w:hint="eastAsia" w:ascii="宋体" w:hAnsi="宋体"/>
          <w:b/>
          <w:bCs/>
          <w:color w:val="auto"/>
          <w:sz w:val="24"/>
        </w:rPr>
        <w:t>合同专用条款</w:t>
      </w:r>
      <w:r>
        <w:rPr>
          <w:rFonts w:hint="eastAsia" w:ascii="宋体" w:hAnsi="宋体"/>
          <w:color w:val="auto"/>
          <w:sz w:val="24"/>
        </w:rPr>
        <w:t>规定，每份均具有同等法律效力。</w:t>
      </w:r>
    </w:p>
    <w:p>
      <w:pPr>
        <w:pStyle w:val="35"/>
        <w:spacing w:line="360" w:lineRule="auto"/>
        <w:ind w:firstLine="0"/>
        <w:jc w:val="center"/>
        <w:outlineLvl w:val="1"/>
        <w:rPr>
          <w:rFonts w:hAnsi="宋体"/>
          <w:b/>
          <w:color w:val="auto"/>
        </w:rPr>
      </w:pPr>
      <w:r>
        <w:rPr>
          <w:rFonts w:hint="eastAsia" w:hAnsi="宋体"/>
          <w:color w:val="auto"/>
        </w:rPr>
        <w:br w:type="page"/>
      </w:r>
      <w:bookmarkStart w:id="383" w:name="_Toc331685784"/>
      <w:bookmarkStart w:id="384" w:name="_Toc31094"/>
      <w:bookmarkStart w:id="385" w:name="_Toc4850"/>
      <w:r>
        <w:rPr>
          <w:rFonts w:hint="eastAsia" w:ascii="黑体" w:hAnsi="黑体" w:eastAsia="黑体" w:cs="黑体"/>
          <w:b/>
          <w:bCs/>
          <w:color w:val="auto"/>
          <w:kern w:val="2"/>
          <w:sz w:val="32"/>
          <w:szCs w:val="32"/>
        </w:rPr>
        <w:t>三、合同专用条款</w:t>
      </w:r>
      <w:bookmarkEnd w:id="383"/>
      <w:bookmarkEnd w:id="384"/>
      <w:bookmarkEnd w:id="385"/>
    </w:p>
    <w:p>
      <w:pPr>
        <w:spacing w:line="360" w:lineRule="auto"/>
        <w:ind w:firstLine="480" w:firstLineChars="200"/>
        <w:rPr>
          <w:rFonts w:ascii="宋体" w:hAnsi="宋体"/>
          <w:color w:val="auto"/>
          <w:sz w:val="24"/>
        </w:rPr>
      </w:pPr>
      <w:r>
        <w:rPr>
          <w:rFonts w:hint="eastAsia" w:ascii="宋体" w:hAnsi="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条款号</w:t>
            </w:r>
          </w:p>
        </w:tc>
        <w:tc>
          <w:tcPr>
            <w:tcW w:w="7633" w:type="dxa"/>
            <w:vAlign w:val="center"/>
          </w:tcPr>
          <w:p>
            <w:pPr>
              <w:spacing w:line="360" w:lineRule="auto"/>
              <w:jc w:val="center"/>
              <w:rPr>
                <w:rFonts w:ascii="宋体" w:hAnsi="宋体"/>
                <w:b/>
                <w:color w:val="auto"/>
                <w:sz w:val="24"/>
              </w:rPr>
            </w:pPr>
            <w:r>
              <w:rPr>
                <w:rFonts w:hint="eastAsia" w:ascii="宋体" w:hAnsi="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color w:val="auto"/>
                <w:sz w:val="24"/>
              </w:rPr>
            </w:pPr>
          </w:p>
        </w:tc>
        <w:tc>
          <w:tcPr>
            <w:tcW w:w="7633" w:type="dxa"/>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color w:val="auto"/>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color w:val="auto"/>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rPr>
            </w:pPr>
          </w:p>
        </w:tc>
      </w:tr>
    </w:tbl>
    <w:p>
      <w:pPr>
        <w:spacing w:after="156" w:line="560" w:lineRule="exact"/>
        <w:ind w:firstLine="480"/>
        <w:rPr>
          <w:color w:val="auto"/>
        </w:rPr>
      </w:pPr>
      <w:r>
        <w:rPr>
          <w:rFonts w:hint="eastAsia"/>
          <w:color w:val="auto"/>
        </w:rPr>
        <w:t>注：最终以成交供应商响应文件响应条款为准修订。</w:t>
      </w:r>
    </w:p>
    <w:p>
      <w:pPr>
        <w:spacing w:after="156" w:line="560" w:lineRule="exact"/>
        <w:ind w:firstLine="480"/>
        <w:rPr>
          <w:color w:val="auto"/>
        </w:rPr>
      </w:pPr>
      <w:r>
        <w:rPr>
          <w:rFonts w:hint="eastAsia"/>
          <w:color w:val="auto"/>
        </w:rPr>
        <w:br w:type="page"/>
      </w:r>
    </w:p>
    <w:p>
      <w:pPr>
        <w:spacing w:line="360" w:lineRule="auto"/>
        <w:jc w:val="center"/>
        <w:outlineLvl w:val="0"/>
        <w:rPr>
          <w:rFonts w:ascii="黑体" w:hAnsi="黑体" w:eastAsia="黑体" w:cs="黑体"/>
          <w:b/>
          <w:bCs/>
          <w:color w:val="auto"/>
          <w:szCs w:val="32"/>
        </w:rPr>
      </w:pPr>
      <w:bookmarkStart w:id="386" w:name="_Toc30534"/>
      <w:r>
        <w:rPr>
          <w:rFonts w:hint="eastAsia" w:ascii="黑体" w:hAnsi="黑体" w:eastAsia="黑体" w:cs="黑体"/>
          <w:b/>
          <w:bCs/>
          <w:color w:val="auto"/>
          <w:sz w:val="32"/>
          <w:szCs w:val="32"/>
        </w:rPr>
        <w:t xml:space="preserve">第六部分 </w:t>
      </w:r>
      <w:r>
        <w:rPr>
          <w:rFonts w:hint="eastAsia" w:ascii="黑体" w:hAnsi="黑体" w:eastAsia="黑体" w:cs="黑体"/>
          <w:b/>
          <w:bCs/>
          <w:color w:val="auto"/>
          <w:sz w:val="32"/>
          <w:szCs w:val="32"/>
          <w:lang w:val="zh-CN"/>
        </w:rPr>
        <w:t>响应文件格式</w:t>
      </w:r>
      <w:bookmarkEnd w:id="386"/>
    </w:p>
    <w:p>
      <w:pPr>
        <w:wordWrap w:val="0"/>
        <w:topLinePunct/>
        <w:spacing w:line="360" w:lineRule="auto"/>
        <w:ind w:firstLine="422" w:firstLineChars="200"/>
        <w:rPr>
          <w:rFonts w:ascii="宋体" w:hAnsi="宋体"/>
          <w:b/>
          <w:bCs/>
          <w:color w:val="auto"/>
          <w:szCs w:val="21"/>
          <w:u w:val="single"/>
          <w:lang w:val="en-GB"/>
        </w:rPr>
      </w:pPr>
      <w:r>
        <w:rPr>
          <w:rFonts w:hint="eastAsia" w:ascii="宋体" w:hAnsi="宋体"/>
          <w:b/>
          <w:bCs/>
          <w:color w:val="auto"/>
          <w:szCs w:val="21"/>
          <w:u w:val="single"/>
          <w:lang w:val="en-GB"/>
        </w:rPr>
        <w:t>注：请供应商按照以下要求的格式、内容、顺序制作响应文件，并请编制目录及页码，否则可能将影响对响应文件的评价</w:t>
      </w:r>
      <w:r>
        <w:rPr>
          <w:rFonts w:hint="eastAsia" w:ascii="宋体" w:hAnsi="宋体"/>
          <w:b/>
          <w:bCs/>
          <w:color w:val="auto"/>
          <w:szCs w:val="21"/>
          <w:u w:val="single"/>
        </w:rPr>
        <w:t>或导致响应无效</w:t>
      </w:r>
      <w:r>
        <w:rPr>
          <w:rFonts w:hint="eastAsia" w:ascii="宋体" w:hAnsi="宋体"/>
          <w:b/>
          <w:bCs/>
          <w:color w:val="auto"/>
          <w:szCs w:val="21"/>
          <w:u w:val="single"/>
          <w:lang w:val="en-GB"/>
        </w:rPr>
        <w:t>。</w:t>
      </w: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宋体" w:hAnsi="宋体"/>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uto"/>
        <w:ind w:firstLine="482" w:firstLineChars="200"/>
        <w:rPr>
          <w:rFonts w:ascii="仿宋_GB2312" w:hAnsi="仿宋" w:eastAsia="仿宋_GB2312" w:cs="仿宋"/>
          <w:b/>
          <w:bCs/>
          <w:color w:val="auto"/>
          <w:sz w:val="24"/>
          <w:u w:val="single"/>
        </w:rPr>
      </w:pPr>
    </w:p>
    <w:p>
      <w:pPr>
        <w:spacing w:line="360" w:lineRule="atLeast"/>
        <w:rPr>
          <w:rFonts w:ascii="宋体" w:hAnsi="宋体"/>
          <w:color w:val="auto"/>
          <w:sz w:val="32"/>
          <w:szCs w:val="32"/>
        </w:rPr>
      </w:pPr>
      <w:r>
        <w:rPr>
          <w:rFonts w:hint="eastAsia" w:ascii="黑体" w:hAnsi="黑体" w:eastAsia="黑体" w:cs="黑体"/>
          <w:b/>
          <w:color w:val="auto"/>
          <w:sz w:val="28"/>
          <w:szCs w:val="28"/>
        </w:rPr>
        <w:t>项目编号：</w:t>
      </w:r>
      <w:r>
        <w:rPr>
          <w:rFonts w:hint="eastAsia" w:ascii="宋体" w:hAnsi="宋体"/>
          <w:b/>
          <w:bCs/>
          <w:color w:val="auto"/>
          <w:kern w:val="0"/>
          <w:sz w:val="28"/>
          <w:szCs w:val="28"/>
        </w:rPr>
        <w:t>SXZCZ-2022-58</w:t>
      </w:r>
      <w:r>
        <w:rPr>
          <w:rFonts w:hint="eastAsia" w:ascii="黑体" w:hAnsi="黑体" w:eastAsia="黑体" w:cs="黑体"/>
          <w:b/>
          <w:color w:val="auto"/>
          <w:sz w:val="28"/>
          <w:szCs w:val="28"/>
        </w:rPr>
        <w:t xml:space="preserve"> </w:t>
      </w:r>
      <w:r>
        <w:rPr>
          <w:rFonts w:hint="eastAsia" w:ascii="宋体" w:hAnsi="宋体"/>
          <w:color w:val="auto"/>
          <w:sz w:val="32"/>
          <w:szCs w:val="32"/>
        </w:rPr>
        <w:t xml:space="preserve">             </w:t>
      </w:r>
      <w:r>
        <w:rPr>
          <w:rFonts w:hint="eastAsia" w:ascii="宋体" w:hAnsi="宋体" w:cs="Arial"/>
          <w:color w:val="auto"/>
          <w:kern w:val="0"/>
          <w:sz w:val="30"/>
          <w:szCs w:val="30"/>
        </w:rPr>
        <w:t xml:space="preserve">                        </w:t>
      </w:r>
    </w:p>
    <w:p>
      <w:pPr>
        <w:spacing w:line="360" w:lineRule="atLeast"/>
        <w:rPr>
          <w:rFonts w:ascii="宋体" w:hAnsi="宋体"/>
          <w:b/>
          <w:color w:val="auto"/>
          <w:sz w:val="28"/>
          <w:szCs w:val="28"/>
        </w:rPr>
      </w:pPr>
      <w:r>
        <w:rPr>
          <w:rFonts w:hint="eastAsia" w:ascii="宋体" w:hAnsi="宋体"/>
          <w:color w:val="auto"/>
          <w:szCs w:val="21"/>
        </w:rPr>
        <w:t xml:space="preserve">                                                             </w:t>
      </w:r>
      <w:r>
        <w:rPr>
          <w:rFonts w:hint="eastAsia" w:ascii="宋体" w:hAnsi="宋体"/>
          <w:b/>
          <w:color w:val="auto"/>
          <w:sz w:val="28"/>
          <w:szCs w:val="28"/>
        </w:rPr>
        <w:t>（正本或副本）</w:t>
      </w:r>
    </w:p>
    <w:p>
      <w:pPr>
        <w:spacing w:line="360" w:lineRule="atLeast"/>
        <w:rPr>
          <w:rFonts w:ascii="宋体" w:hAnsi="宋体"/>
          <w:color w:val="auto"/>
          <w:szCs w:val="21"/>
        </w:rPr>
      </w:pPr>
    </w:p>
    <w:p>
      <w:pPr>
        <w:spacing w:line="360" w:lineRule="atLeast"/>
        <w:rPr>
          <w:rFonts w:ascii="宋体" w:hAnsi="宋体"/>
          <w:color w:val="auto"/>
          <w:szCs w:val="21"/>
        </w:rPr>
      </w:pPr>
    </w:p>
    <w:p>
      <w:pPr>
        <w:jc w:val="center"/>
        <w:rPr>
          <w:rFonts w:ascii="宋体" w:hAnsi="宋体"/>
          <w:color w:val="auto"/>
          <w:sz w:val="44"/>
        </w:rPr>
      </w:pPr>
    </w:p>
    <w:p>
      <w:pPr>
        <w:jc w:val="center"/>
        <w:rPr>
          <w:rFonts w:ascii="宋体" w:hAnsi="宋体"/>
          <w:b/>
          <w:color w:val="auto"/>
          <w:sz w:val="40"/>
          <w:szCs w:val="40"/>
        </w:rPr>
      </w:pPr>
    </w:p>
    <w:p>
      <w:pPr>
        <w:jc w:val="center"/>
        <w:rPr>
          <w:rFonts w:ascii="宋体" w:hAnsi="宋体"/>
          <w:b/>
          <w:color w:val="auto"/>
          <w:sz w:val="40"/>
          <w:szCs w:val="40"/>
        </w:rPr>
      </w:pPr>
    </w:p>
    <w:p>
      <w:pPr>
        <w:jc w:val="center"/>
        <w:rPr>
          <w:rFonts w:ascii="宋体" w:hAnsi="宋体"/>
          <w:b/>
          <w:color w:val="auto"/>
          <w:sz w:val="40"/>
          <w:szCs w:val="40"/>
          <w:u w:val="single"/>
        </w:rPr>
      </w:pPr>
      <w:r>
        <w:rPr>
          <w:rFonts w:hint="eastAsia" w:ascii="宋体" w:hAnsi="宋体"/>
          <w:b/>
          <w:color w:val="auto"/>
          <w:sz w:val="40"/>
          <w:szCs w:val="40"/>
        </w:rPr>
        <w:t>执法全过程系统运维及监督点位项目</w:t>
      </w:r>
    </w:p>
    <w:p>
      <w:pPr>
        <w:ind w:firstLine="2073" w:firstLineChars="288"/>
        <w:rPr>
          <w:rFonts w:ascii="宋体" w:hAnsi="宋体"/>
          <w:color w:val="auto"/>
          <w:sz w:val="72"/>
          <w:szCs w:val="72"/>
        </w:rPr>
      </w:pPr>
    </w:p>
    <w:p>
      <w:pPr>
        <w:spacing w:line="360" w:lineRule="atLeast"/>
        <w:jc w:val="center"/>
        <w:rPr>
          <w:rFonts w:ascii="黑体" w:hAnsi="黑体" w:eastAsia="黑体" w:cs="黑体"/>
          <w:b/>
          <w:color w:val="auto"/>
          <w:sz w:val="72"/>
          <w:szCs w:val="72"/>
        </w:rPr>
      </w:pPr>
      <w:r>
        <w:rPr>
          <w:rFonts w:hint="eastAsia" w:ascii="黑体" w:hAnsi="黑体" w:eastAsia="黑体" w:cs="黑体"/>
          <w:b/>
          <w:color w:val="auto"/>
          <w:sz w:val="72"/>
          <w:szCs w:val="72"/>
        </w:rPr>
        <w:t>磋商响应文件</w:t>
      </w:r>
    </w:p>
    <w:p>
      <w:pPr>
        <w:spacing w:line="360" w:lineRule="atLeast"/>
        <w:jc w:val="center"/>
        <w:rPr>
          <w:rFonts w:ascii="宋体" w:hAnsi="宋体"/>
          <w:color w:val="auto"/>
          <w:sz w:val="52"/>
          <w:szCs w:val="52"/>
        </w:rPr>
      </w:pPr>
    </w:p>
    <w:p>
      <w:pPr>
        <w:spacing w:line="360" w:lineRule="atLeast"/>
        <w:jc w:val="center"/>
        <w:rPr>
          <w:rFonts w:ascii="宋体" w:hAnsi="宋体"/>
          <w:color w:val="auto"/>
          <w:sz w:val="52"/>
          <w:szCs w:val="52"/>
        </w:rPr>
      </w:pPr>
    </w:p>
    <w:p>
      <w:pPr>
        <w:spacing w:line="360" w:lineRule="atLeast"/>
        <w:jc w:val="center"/>
        <w:rPr>
          <w:rFonts w:ascii="宋体" w:hAnsi="宋体"/>
          <w:color w:val="auto"/>
          <w:sz w:val="52"/>
          <w:szCs w:val="52"/>
        </w:rPr>
      </w:pPr>
    </w:p>
    <w:p>
      <w:pPr>
        <w:spacing w:line="360" w:lineRule="atLeast"/>
        <w:jc w:val="center"/>
        <w:rPr>
          <w:rFonts w:ascii="宋体" w:hAnsi="宋体"/>
          <w:color w:val="auto"/>
          <w:sz w:val="52"/>
          <w:szCs w:val="52"/>
        </w:rPr>
      </w:pPr>
    </w:p>
    <w:p>
      <w:pPr>
        <w:spacing w:line="360" w:lineRule="atLeast"/>
        <w:rPr>
          <w:rFonts w:ascii="宋体" w:hAnsi="宋体"/>
          <w:color w:val="auto"/>
          <w:sz w:val="24"/>
        </w:rPr>
      </w:pPr>
    </w:p>
    <w:p>
      <w:pPr>
        <w:spacing w:line="360" w:lineRule="atLeast"/>
        <w:rPr>
          <w:rFonts w:ascii="宋体" w:hAnsi="宋体"/>
          <w:color w:val="auto"/>
          <w:sz w:val="24"/>
        </w:rPr>
      </w:pPr>
    </w:p>
    <w:p>
      <w:pPr>
        <w:spacing w:line="360" w:lineRule="atLeast"/>
        <w:rPr>
          <w:rFonts w:ascii="宋体" w:hAnsi="宋体"/>
          <w:color w:val="auto"/>
          <w:sz w:val="24"/>
        </w:rPr>
      </w:pPr>
    </w:p>
    <w:p>
      <w:pPr>
        <w:spacing w:line="360" w:lineRule="atLeast"/>
        <w:ind w:firstLine="1120" w:firstLineChars="400"/>
        <w:rPr>
          <w:rFonts w:ascii="黑体" w:hAnsi="黑体" w:eastAsia="黑体" w:cs="黑体"/>
          <w:color w:val="auto"/>
          <w:sz w:val="28"/>
          <w:szCs w:val="28"/>
          <w:u w:val="single"/>
        </w:rPr>
      </w:pPr>
      <w:r>
        <w:rPr>
          <w:rFonts w:hint="eastAsia" w:ascii="黑体" w:hAnsi="黑体" w:eastAsia="黑体" w:cs="黑体"/>
          <w:color w:val="auto"/>
          <w:sz w:val="28"/>
          <w:szCs w:val="28"/>
        </w:rPr>
        <w:t>供应商：</w:t>
      </w:r>
      <w:r>
        <w:rPr>
          <w:rFonts w:hint="eastAsia" w:ascii="黑体" w:hAnsi="黑体" w:eastAsia="黑体" w:cs="黑体"/>
          <w:color w:val="auto"/>
          <w:sz w:val="28"/>
          <w:szCs w:val="28"/>
          <w:u w:val="single"/>
        </w:rPr>
        <w:t xml:space="preserve">                      </w:t>
      </w:r>
    </w:p>
    <w:p>
      <w:pPr>
        <w:pStyle w:val="7"/>
        <w:ind w:firstLine="1120" w:firstLineChars="400"/>
        <w:rPr>
          <w:rFonts w:eastAsia="黑体"/>
          <w:color w:val="auto"/>
        </w:rPr>
      </w:pPr>
      <w:r>
        <w:rPr>
          <w:rFonts w:hint="eastAsia" w:ascii="黑体" w:hAnsi="黑体" w:eastAsia="黑体" w:cs="黑体"/>
          <w:color w:val="auto"/>
          <w:sz w:val="28"/>
          <w:szCs w:val="28"/>
        </w:rPr>
        <w:t>法人或授权代表：</w:t>
      </w:r>
      <w:r>
        <w:rPr>
          <w:rFonts w:hint="eastAsia" w:ascii="黑体" w:hAnsi="黑体" w:eastAsia="黑体" w:cs="黑体"/>
          <w:color w:val="auto"/>
          <w:sz w:val="28"/>
          <w:szCs w:val="28"/>
          <w:u w:val="single"/>
        </w:rPr>
        <w:t xml:space="preserve">                      </w:t>
      </w:r>
    </w:p>
    <w:p>
      <w:pPr>
        <w:spacing w:line="360" w:lineRule="atLeast"/>
        <w:ind w:firstLine="1120" w:firstLineChars="400"/>
        <w:rPr>
          <w:rFonts w:ascii="黑体" w:hAnsi="黑体" w:eastAsia="黑体" w:cs="黑体"/>
          <w:color w:val="auto"/>
          <w:sz w:val="28"/>
          <w:szCs w:val="28"/>
          <w:u w:val="single"/>
        </w:rPr>
      </w:pPr>
      <w:r>
        <w:rPr>
          <w:rFonts w:hint="eastAsia" w:ascii="黑体" w:hAnsi="黑体" w:eastAsia="黑体" w:cs="黑体"/>
          <w:color w:val="auto"/>
          <w:sz w:val="28"/>
          <w:szCs w:val="28"/>
        </w:rPr>
        <w:t>时间：</w:t>
      </w:r>
      <w:r>
        <w:rPr>
          <w:rFonts w:hint="eastAsia" w:ascii="黑体" w:hAnsi="黑体" w:eastAsia="黑体" w:cs="黑体"/>
          <w:color w:val="auto"/>
          <w:sz w:val="28"/>
          <w:szCs w:val="28"/>
          <w:u w:val="single"/>
        </w:rPr>
        <w:t xml:space="preserve">                           </w:t>
      </w:r>
    </w:p>
    <w:p>
      <w:pPr>
        <w:jc w:val="center"/>
        <w:rPr>
          <w:rFonts w:ascii="黑体" w:hAnsi="黑体" w:eastAsia="黑体" w:cs="黑体"/>
          <w:color w:val="auto"/>
          <w:sz w:val="32"/>
          <w:szCs w:val="32"/>
        </w:rPr>
      </w:pPr>
      <w:bookmarkStart w:id="387" w:name="_Toc3239"/>
      <w:bookmarkStart w:id="388" w:name="_Toc2288"/>
      <w:bookmarkStart w:id="389" w:name="_Toc24497"/>
    </w:p>
    <w:p>
      <w:pPr>
        <w:jc w:val="center"/>
        <w:rPr>
          <w:rFonts w:ascii="黑体" w:hAnsi="黑体" w:eastAsia="黑体" w:cs="黑体"/>
          <w:color w:val="auto"/>
          <w:sz w:val="32"/>
          <w:szCs w:val="32"/>
        </w:rPr>
      </w:pPr>
      <w:r>
        <w:rPr>
          <w:rFonts w:hint="eastAsia" w:ascii="黑体" w:hAnsi="黑体" w:eastAsia="黑体" w:cs="黑体"/>
          <w:color w:val="auto"/>
          <w:sz w:val="32"/>
          <w:szCs w:val="32"/>
        </w:rPr>
        <w:t>目  录</w:t>
      </w:r>
      <w:bookmarkEnd w:id="387"/>
      <w:bookmarkEnd w:id="388"/>
      <w:bookmarkEnd w:id="389"/>
    </w:p>
    <w:p>
      <w:pPr>
        <w:rPr>
          <w:color w:val="auto"/>
        </w:rPr>
      </w:pPr>
    </w:p>
    <w:p>
      <w:pPr>
        <w:spacing w:line="360" w:lineRule="auto"/>
        <w:rPr>
          <w:rFonts w:ascii="黑体" w:hAnsi="黑体" w:eastAsia="黑体" w:cs="Times New Roman"/>
          <w:b/>
          <w:bCs/>
          <w:color w:val="auto"/>
          <w:sz w:val="24"/>
        </w:rPr>
      </w:pPr>
      <w:bookmarkStart w:id="390" w:name="_Toc483349431"/>
      <w:bookmarkStart w:id="391" w:name="_Toc26733"/>
      <w:r>
        <w:rPr>
          <w:rFonts w:hint="eastAsia" w:ascii="黑体" w:hAnsi="黑体" w:eastAsia="黑体" w:cs="黑体"/>
          <w:b/>
          <w:bCs/>
          <w:color w:val="auto"/>
          <w:sz w:val="24"/>
        </w:rPr>
        <w:t>一、资格证明文件</w:t>
      </w:r>
      <w:bookmarkEnd w:id="390"/>
      <w:bookmarkEnd w:id="391"/>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392" w:name="_Toc483349433"/>
      <w:bookmarkStart w:id="393" w:name="_Toc4584"/>
      <w:r>
        <w:rPr>
          <w:rFonts w:hint="eastAsia" w:ascii="黑体" w:hAnsi="黑体" w:eastAsia="黑体" w:cs="黑体"/>
          <w:b/>
          <w:bCs/>
          <w:color w:val="auto"/>
          <w:sz w:val="24"/>
          <w:lang w:val="en-US" w:eastAsia="zh-CN"/>
        </w:rPr>
        <w:t>二</w:t>
      </w:r>
      <w:r>
        <w:rPr>
          <w:rFonts w:hint="eastAsia" w:ascii="黑体" w:hAnsi="黑体" w:eastAsia="黑体" w:cs="黑体"/>
          <w:b/>
          <w:bCs/>
          <w:color w:val="auto"/>
          <w:sz w:val="24"/>
        </w:rPr>
        <w:t>、响应函（格式）</w:t>
      </w:r>
      <w:bookmarkEnd w:id="392"/>
      <w:bookmarkEnd w:id="393"/>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394" w:name="_Toc29371"/>
      <w:bookmarkStart w:id="395" w:name="_Toc483349434"/>
      <w:r>
        <w:rPr>
          <w:rFonts w:hint="eastAsia" w:ascii="黑体" w:hAnsi="黑体" w:eastAsia="黑体" w:cs="黑体"/>
          <w:b/>
          <w:bCs/>
          <w:color w:val="auto"/>
          <w:sz w:val="24"/>
          <w:lang w:val="en-US" w:eastAsia="zh-CN"/>
        </w:rPr>
        <w:t>三</w:t>
      </w:r>
      <w:r>
        <w:rPr>
          <w:rFonts w:hint="eastAsia" w:ascii="黑体" w:hAnsi="黑体" w:eastAsia="黑体" w:cs="黑体"/>
          <w:b/>
          <w:bCs/>
          <w:color w:val="auto"/>
          <w:sz w:val="24"/>
        </w:rPr>
        <w:t>、报价表</w:t>
      </w:r>
      <w:bookmarkEnd w:id="394"/>
      <w:bookmarkEnd w:id="395"/>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396" w:name="_Toc27473"/>
      <w:bookmarkStart w:id="397" w:name="_Toc483349435"/>
      <w:r>
        <w:rPr>
          <w:rFonts w:hint="eastAsia" w:ascii="黑体" w:hAnsi="黑体" w:eastAsia="黑体" w:cs="黑体"/>
          <w:b/>
          <w:bCs/>
          <w:color w:val="auto"/>
          <w:sz w:val="24"/>
          <w:lang w:val="en-US" w:eastAsia="zh-CN"/>
        </w:rPr>
        <w:t>四</w:t>
      </w:r>
      <w:r>
        <w:rPr>
          <w:rFonts w:hint="eastAsia" w:ascii="黑体" w:hAnsi="黑体" w:eastAsia="黑体" w:cs="黑体"/>
          <w:b/>
          <w:bCs/>
          <w:color w:val="auto"/>
          <w:sz w:val="24"/>
        </w:rPr>
        <w:t>、技术部分</w:t>
      </w:r>
      <w:bookmarkEnd w:id="396"/>
      <w:bookmarkEnd w:id="397"/>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398" w:name="_Toc25422"/>
      <w:bookmarkStart w:id="399" w:name="_Toc483349436"/>
      <w:r>
        <w:rPr>
          <w:rFonts w:hint="eastAsia" w:ascii="黑体" w:hAnsi="黑体" w:eastAsia="黑体" w:cs="黑体"/>
          <w:b/>
          <w:bCs/>
          <w:color w:val="auto"/>
          <w:sz w:val="24"/>
          <w:lang w:val="en-US" w:eastAsia="zh-CN"/>
        </w:rPr>
        <w:t>五</w:t>
      </w:r>
      <w:r>
        <w:rPr>
          <w:rFonts w:hint="eastAsia" w:ascii="黑体" w:hAnsi="黑体" w:eastAsia="黑体" w:cs="黑体"/>
          <w:b/>
          <w:bCs/>
          <w:color w:val="auto"/>
          <w:sz w:val="24"/>
        </w:rPr>
        <w:t>、商务部分</w:t>
      </w:r>
      <w:bookmarkEnd w:id="398"/>
      <w:bookmarkEnd w:id="399"/>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400" w:name="_Toc32072"/>
      <w:bookmarkStart w:id="401" w:name="_Toc483349437"/>
      <w:r>
        <w:rPr>
          <w:rFonts w:hint="eastAsia" w:ascii="黑体" w:hAnsi="黑体" w:eastAsia="黑体" w:cs="黑体"/>
          <w:b/>
          <w:bCs/>
          <w:color w:val="auto"/>
          <w:sz w:val="24"/>
          <w:lang w:val="en-US" w:eastAsia="zh-CN"/>
        </w:rPr>
        <w:t>六</w:t>
      </w:r>
      <w:r>
        <w:rPr>
          <w:rFonts w:hint="eastAsia" w:ascii="黑体" w:hAnsi="黑体" w:eastAsia="黑体" w:cs="黑体"/>
          <w:b/>
          <w:bCs/>
          <w:color w:val="auto"/>
          <w:sz w:val="24"/>
        </w:rPr>
        <w:t>、供应商认为必要说明的其它内容</w:t>
      </w:r>
      <w:bookmarkEnd w:id="400"/>
      <w:bookmarkEnd w:id="401"/>
      <w:r>
        <w:rPr>
          <w:rFonts w:hint="eastAsia" w:ascii="黑体" w:hAnsi="黑体" w:eastAsia="黑体" w:cs="黑体"/>
          <w:b/>
          <w:bCs/>
          <w:color w:val="auto"/>
          <w:sz w:val="24"/>
        </w:rPr>
        <w:t>..........................................</w:t>
      </w:r>
      <w:r>
        <w:rPr>
          <w:rFonts w:hint="eastAsia" w:eastAsia="黑体"/>
          <w:color w:val="auto"/>
        </w:rPr>
        <w:t>x</w:t>
      </w:r>
    </w:p>
    <w:p>
      <w:pPr>
        <w:spacing w:line="360" w:lineRule="auto"/>
        <w:rPr>
          <w:rFonts w:ascii="黑体" w:hAnsi="黑体" w:eastAsia="黑体" w:cs="Times New Roman"/>
          <w:b/>
          <w:bCs/>
          <w:color w:val="auto"/>
          <w:sz w:val="24"/>
        </w:rPr>
      </w:pPr>
      <w:bookmarkStart w:id="402" w:name="_Toc483349438"/>
      <w:bookmarkStart w:id="403" w:name="_Toc29690"/>
      <w:r>
        <w:rPr>
          <w:rFonts w:hint="eastAsia" w:ascii="黑体" w:hAnsi="黑体" w:eastAsia="黑体" w:cs="黑体"/>
          <w:b/>
          <w:bCs/>
          <w:color w:val="auto"/>
          <w:sz w:val="24"/>
          <w:lang w:val="en-US" w:eastAsia="zh-CN"/>
        </w:rPr>
        <w:t>七</w:t>
      </w:r>
      <w:r>
        <w:rPr>
          <w:rFonts w:hint="eastAsia" w:ascii="黑体" w:hAnsi="黑体" w:eastAsia="黑体" w:cs="黑体"/>
          <w:b/>
          <w:bCs/>
          <w:color w:val="auto"/>
          <w:sz w:val="24"/>
        </w:rPr>
        <w:t>、承诺书</w:t>
      </w:r>
      <w:bookmarkEnd w:id="402"/>
      <w:bookmarkEnd w:id="403"/>
      <w:r>
        <w:rPr>
          <w:rFonts w:hint="eastAsia" w:ascii="黑体" w:hAnsi="黑体" w:eastAsia="黑体" w:cs="黑体"/>
          <w:b/>
          <w:bCs/>
          <w:color w:val="auto"/>
          <w:sz w:val="24"/>
        </w:rPr>
        <w:t>................................................................</w:t>
      </w:r>
      <w:r>
        <w:rPr>
          <w:rFonts w:hint="eastAsia" w:eastAsia="黑体"/>
          <w:color w:val="auto"/>
        </w:rPr>
        <w:t>x</w:t>
      </w: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spacing w:line="360" w:lineRule="auto"/>
        <w:jc w:val="center"/>
        <w:rPr>
          <w:rFonts w:ascii="黑体" w:hAnsi="仿宋" w:eastAsia="黑体" w:cs="仿宋"/>
          <w:b/>
          <w:color w:val="auto"/>
          <w:sz w:val="24"/>
        </w:rPr>
      </w:pPr>
    </w:p>
    <w:p>
      <w:pPr>
        <w:rPr>
          <w:rFonts w:ascii="黑体" w:hAnsi="仿宋" w:eastAsia="黑体" w:cs="仿宋"/>
          <w:b/>
          <w:color w:val="auto"/>
          <w:sz w:val="24"/>
        </w:rPr>
      </w:pPr>
      <w:r>
        <w:rPr>
          <w:rFonts w:ascii="黑体" w:hAnsi="仿宋" w:eastAsia="黑体" w:cs="仿宋"/>
          <w:b/>
          <w:color w:val="auto"/>
          <w:sz w:val="24"/>
        </w:rPr>
        <w:br w:type="page"/>
      </w:r>
    </w:p>
    <w:p>
      <w:pPr>
        <w:spacing w:line="360" w:lineRule="auto"/>
        <w:jc w:val="center"/>
        <w:outlineLvl w:val="1"/>
        <w:rPr>
          <w:rFonts w:ascii="黑体" w:hAnsi="仿宋" w:eastAsia="黑体" w:cs="仿宋"/>
          <w:b/>
          <w:color w:val="auto"/>
          <w:sz w:val="32"/>
          <w:szCs w:val="32"/>
        </w:rPr>
      </w:pPr>
      <w:bookmarkStart w:id="404" w:name="_Toc9082"/>
      <w:bookmarkStart w:id="405" w:name="_Toc30302"/>
      <w:bookmarkStart w:id="406" w:name="_Toc17060"/>
      <w:bookmarkStart w:id="407" w:name="_Toc16970"/>
      <w:bookmarkStart w:id="408" w:name="_Toc278794812"/>
      <w:r>
        <w:rPr>
          <w:rFonts w:hint="eastAsia" w:ascii="黑体" w:hAnsi="仿宋" w:eastAsia="黑体" w:cs="仿宋"/>
          <w:b/>
          <w:color w:val="auto"/>
          <w:sz w:val="32"/>
          <w:szCs w:val="32"/>
        </w:rPr>
        <w:t>一、资格证明文件</w:t>
      </w:r>
      <w:bookmarkEnd w:id="404"/>
      <w:bookmarkEnd w:id="405"/>
      <w:bookmarkEnd w:id="406"/>
      <w:bookmarkEnd w:id="407"/>
    </w:p>
    <w:p>
      <w:pPr>
        <w:pStyle w:val="13"/>
        <w:spacing w:line="500" w:lineRule="exact"/>
        <w:ind w:left="-120" w:leftChars="-57" w:firstLine="527" w:firstLineChars="250"/>
        <w:rPr>
          <w:rFonts w:hAnsi="宋体"/>
          <w:b/>
          <w:bCs/>
          <w:color w:val="auto"/>
          <w:u w:val="single"/>
        </w:rPr>
      </w:pPr>
      <w:r>
        <w:rPr>
          <w:rFonts w:hint="eastAsia" w:hAnsi="宋体"/>
          <w:b/>
          <w:bCs/>
          <w:color w:val="auto"/>
          <w:u w:val="single"/>
        </w:rPr>
        <w:t>注：</w:t>
      </w:r>
      <w:r>
        <w:rPr>
          <w:rFonts w:hint="eastAsia" w:hAnsi="宋体"/>
          <w:b/>
          <w:bCs/>
          <w:color w:val="auto"/>
          <w:u w:val="single"/>
          <w:lang w:val="en-GB"/>
        </w:rPr>
        <w:t>资格证明文件按照《</w:t>
      </w:r>
      <w:r>
        <w:rPr>
          <w:rFonts w:hint="eastAsia" w:hAnsi="宋体"/>
          <w:b/>
          <w:bCs/>
          <w:color w:val="auto"/>
          <w:u w:val="single"/>
        </w:rPr>
        <w:t>第三部分 供应商须知</w:t>
      </w:r>
      <w:r>
        <w:rPr>
          <w:rFonts w:hint="eastAsia" w:hAnsi="宋体"/>
          <w:b/>
          <w:bCs/>
          <w:color w:val="auto"/>
          <w:u w:val="single"/>
          <w:lang w:val="en-GB"/>
        </w:rPr>
        <w:t>》2.2条要求内容组成，</w:t>
      </w:r>
      <w:r>
        <w:rPr>
          <w:rFonts w:hint="eastAsia" w:hAnsi="宋体"/>
          <w:b/>
          <w:bCs/>
          <w:color w:val="auto"/>
          <w:u w:val="single"/>
        </w:rPr>
        <w:t>未按照要求提供将有可能导致响应无效。</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jc w:val="center"/>
        <w:rPr>
          <w:rFonts w:ascii="黑体" w:hAnsi="仿宋" w:eastAsia="黑体" w:cs="仿宋"/>
          <w:bCs/>
          <w:color w:val="auto"/>
          <w:sz w:val="32"/>
          <w:szCs w:val="32"/>
        </w:rPr>
      </w:pPr>
    </w:p>
    <w:p>
      <w:pPr>
        <w:spacing w:line="360" w:lineRule="auto"/>
        <w:jc w:val="center"/>
        <w:rPr>
          <w:rFonts w:ascii="黑体" w:hAnsi="仿宋" w:eastAsia="黑体" w:cs="仿宋"/>
          <w:bCs/>
          <w:color w:val="auto"/>
          <w:sz w:val="32"/>
          <w:szCs w:val="32"/>
        </w:rPr>
      </w:pPr>
    </w:p>
    <w:p>
      <w:pPr>
        <w:spacing w:line="360" w:lineRule="auto"/>
        <w:ind w:firstLine="482" w:firstLineChars="200"/>
        <w:rPr>
          <w:rFonts w:ascii="宋体" w:hAnsi="宋体"/>
          <w:b/>
          <w:bCs/>
          <w:color w:val="auto"/>
          <w:sz w:val="24"/>
        </w:rPr>
      </w:pPr>
      <w:r>
        <w:rPr>
          <w:rFonts w:hint="eastAsia" w:ascii="宋体" w:hAnsi="宋体"/>
          <w:b/>
          <w:bCs/>
          <w:color w:val="auto"/>
          <w:sz w:val="24"/>
        </w:rPr>
        <w:br w:type="page"/>
      </w:r>
    </w:p>
    <w:p>
      <w:pPr>
        <w:spacing w:line="360" w:lineRule="auto"/>
        <w:ind w:firstLine="482" w:firstLineChars="200"/>
        <w:rPr>
          <w:rFonts w:ascii="宋体" w:hAnsi="宋体"/>
          <w:b/>
          <w:bCs/>
          <w:color w:val="auto"/>
          <w:sz w:val="24"/>
        </w:rPr>
      </w:pPr>
      <w:r>
        <w:rPr>
          <w:rFonts w:hint="eastAsia" w:ascii="宋体" w:hAnsi="宋体"/>
          <w:b/>
          <w:bCs/>
          <w:color w:val="auto"/>
          <w:sz w:val="24"/>
        </w:rPr>
        <w:t>1.1供应商资格声明</w:t>
      </w:r>
    </w:p>
    <w:p>
      <w:pPr>
        <w:spacing w:line="360" w:lineRule="auto"/>
        <w:ind w:firstLine="480" w:firstLineChars="200"/>
        <w:rPr>
          <w:rFonts w:ascii="宋体" w:hAnsi="宋体"/>
          <w:color w:val="auto"/>
          <w:sz w:val="24"/>
        </w:rPr>
      </w:pPr>
    </w:p>
    <w:p>
      <w:pPr>
        <w:spacing w:line="360" w:lineRule="auto"/>
        <w:jc w:val="center"/>
        <w:rPr>
          <w:rFonts w:ascii="黑体" w:hAnsi="仿宋" w:eastAsia="黑体" w:cs="仿宋"/>
          <w:bCs/>
          <w:color w:val="auto"/>
          <w:sz w:val="32"/>
          <w:szCs w:val="32"/>
        </w:rPr>
      </w:pPr>
      <w:bookmarkStart w:id="409" w:name="_Toc31886"/>
      <w:bookmarkStart w:id="410" w:name="_Toc9644"/>
      <w:bookmarkStart w:id="411" w:name="_Toc32276"/>
      <w:r>
        <w:rPr>
          <w:rFonts w:hint="eastAsia" w:ascii="黑体" w:hAnsi="仿宋" w:eastAsia="黑体" w:cs="仿宋"/>
          <w:bCs/>
          <w:color w:val="auto"/>
          <w:sz w:val="32"/>
          <w:szCs w:val="32"/>
        </w:rPr>
        <w:t>供应商资格声明（格式）</w:t>
      </w:r>
      <w:bookmarkEnd w:id="409"/>
      <w:bookmarkEnd w:id="410"/>
      <w:bookmarkEnd w:id="411"/>
    </w:p>
    <w:p>
      <w:pPr>
        <w:spacing w:line="360" w:lineRule="auto"/>
        <w:ind w:firstLine="359" w:firstLineChars="171"/>
        <w:rPr>
          <w:rFonts w:ascii="宋体" w:hAnsi="宋体"/>
          <w:color w:val="auto"/>
          <w:szCs w:val="21"/>
        </w:rPr>
      </w:pPr>
    </w:p>
    <w:p>
      <w:pPr>
        <w:spacing w:line="360" w:lineRule="auto"/>
        <w:rPr>
          <w:rFonts w:ascii="宋体" w:hAnsi="宋体"/>
          <w:b/>
          <w:bCs/>
          <w:color w:val="auto"/>
          <w:sz w:val="24"/>
        </w:rPr>
      </w:pPr>
      <w:r>
        <w:rPr>
          <w:rFonts w:hint="eastAsia" w:ascii="宋体" w:hAnsi="宋体"/>
          <w:color w:val="auto"/>
          <w:sz w:val="24"/>
        </w:rPr>
        <w:t>致：</w:t>
      </w:r>
      <w:r>
        <w:rPr>
          <w:rFonts w:hint="eastAsia" w:ascii="宋体" w:hAnsi="宋体"/>
          <w:b/>
          <w:bCs/>
          <w:color w:val="auto"/>
          <w:sz w:val="24"/>
        </w:rPr>
        <w:t>陕西中采招项目管理有限公司</w:t>
      </w:r>
    </w:p>
    <w:p>
      <w:pPr>
        <w:spacing w:line="360" w:lineRule="auto"/>
        <w:ind w:firstLine="480" w:firstLineChars="200"/>
        <w:rPr>
          <w:rFonts w:ascii="宋体" w:hAnsi="宋体"/>
          <w:color w:val="auto"/>
          <w:sz w:val="24"/>
        </w:rPr>
      </w:pPr>
      <w:bookmarkStart w:id="412" w:name="_Toc18251"/>
      <w:bookmarkStart w:id="413" w:name="_Toc21728"/>
      <w:bookmarkStart w:id="414" w:name="_Toc29197"/>
      <w:r>
        <w:rPr>
          <w:rFonts w:hint="eastAsia" w:ascii="宋体" w:hAnsi="宋体"/>
          <w:color w:val="auto"/>
          <w:sz w:val="24"/>
        </w:rPr>
        <w:t>作为参加贵公司组织的竞争性磋商项目的供应商，本公司郑重声明</w:t>
      </w:r>
      <w:r>
        <w:rPr>
          <w:rFonts w:hint="eastAsia" w:ascii="宋体" w:hAnsi="宋体"/>
          <w:b/>
          <w:bCs/>
          <w:color w:val="auto"/>
          <w:sz w:val="24"/>
          <w:u w:val="single"/>
        </w:rPr>
        <w:t>我方符合磋商文件中“供应商资格要求”规定的条件</w:t>
      </w:r>
      <w:r>
        <w:rPr>
          <w:rFonts w:hint="eastAsia" w:ascii="宋体" w:hAnsi="宋体"/>
          <w:color w:val="auto"/>
          <w:sz w:val="24"/>
        </w:rPr>
        <w:t>，申告并承诺如下：</w:t>
      </w:r>
      <w:bookmarkEnd w:id="412"/>
      <w:bookmarkEnd w:id="413"/>
      <w:bookmarkEnd w:id="414"/>
    </w:p>
    <w:p>
      <w:pPr>
        <w:spacing w:line="360" w:lineRule="auto"/>
        <w:ind w:firstLine="480" w:firstLineChars="200"/>
        <w:rPr>
          <w:rFonts w:ascii="宋体" w:hAnsi="宋体"/>
          <w:color w:val="auto"/>
          <w:sz w:val="24"/>
        </w:rPr>
      </w:pPr>
      <w:bookmarkStart w:id="415" w:name="_Toc5504"/>
      <w:bookmarkStart w:id="416" w:name="_Toc986"/>
      <w:bookmarkStart w:id="417" w:name="_Toc10094"/>
      <w:bookmarkStart w:id="418" w:name="_Toc10633"/>
      <w:r>
        <w:rPr>
          <w:rFonts w:hint="eastAsia" w:ascii="宋体" w:hAnsi="宋体"/>
          <w:color w:val="auto"/>
          <w:sz w:val="24"/>
        </w:rPr>
        <w:t>1.我方具有独立承担民事责任的能力，且是中华人民共和国境内注册的法人</w:t>
      </w:r>
      <w:bookmarkEnd w:id="415"/>
      <w:r>
        <w:rPr>
          <w:rFonts w:hint="eastAsia" w:ascii="宋体" w:hAnsi="宋体"/>
          <w:color w:val="auto"/>
          <w:sz w:val="24"/>
        </w:rPr>
        <w:t>、其他组织或自然人；</w:t>
      </w:r>
      <w:bookmarkEnd w:id="416"/>
    </w:p>
    <w:p>
      <w:pPr>
        <w:spacing w:line="360" w:lineRule="auto"/>
        <w:ind w:firstLine="480" w:firstLineChars="200"/>
        <w:rPr>
          <w:rFonts w:ascii="宋体" w:hAnsi="宋体"/>
          <w:color w:val="auto"/>
          <w:sz w:val="24"/>
        </w:rPr>
      </w:pPr>
      <w:bookmarkStart w:id="419" w:name="_Toc23492"/>
      <w:r>
        <w:rPr>
          <w:rFonts w:hint="eastAsia" w:ascii="宋体" w:hAnsi="宋体"/>
          <w:color w:val="auto"/>
          <w:sz w:val="24"/>
        </w:rPr>
        <w:t>2.我方具有良好的商业信誉和健全的财务会计制度；</w:t>
      </w:r>
      <w:bookmarkEnd w:id="417"/>
      <w:bookmarkEnd w:id="418"/>
      <w:bookmarkEnd w:id="419"/>
    </w:p>
    <w:p>
      <w:pPr>
        <w:spacing w:line="360" w:lineRule="auto"/>
        <w:ind w:firstLine="480" w:firstLineChars="200"/>
        <w:rPr>
          <w:rFonts w:ascii="宋体" w:hAnsi="宋体"/>
          <w:color w:val="auto"/>
          <w:sz w:val="24"/>
        </w:rPr>
      </w:pPr>
      <w:bookmarkStart w:id="420" w:name="_Toc16240"/>
      <w:bookmarkStart w:id="421" w:name="_Toc21112"/>
      <w:bookmarkStart w:id="422" w:name="_Toc21747"/>
      <w:r>
        <w:rPr>
          <w:rFonts w:hint="eastAsia" w:ascii="宋体" w:hAnsi="宋体"/>
          <w:color w:val="auto"/>
          <w:sz w:val="24"/>
        </w:rPr>
        <w:t>3.我方具有履行合同所必须的设备和专业技术能力；</w:t>
      </w:r>
      <w:bookmarkEnd w:id="420"/>
      <w:bookmarkEnd w:id="421"/>
      <w:bookmarkEnd w:id="422"/>
    </w:p>
    <w:p>
      <w:pPr>
        <w:spacing w:line="360" w:lineRule="auto"/>
        <w:ind w:firstLine="480" w:firstLineChars="200"/>
        <w:rPr>
          <w:rFonts w:ascii="宋体" w:hAnsi="宋体"/>
          <w:color w:val="auto"/>
          <w:sz w:val="24"/>
        </w:rPr>
      </w:pPr>
      <w:bookmarkStart w:id="423" w:name="_Toc23084"/>
      <w:bookmarkStart w:id="424" w:name="_Toc21919"/>
      <w:bookmarkStart w:id="425" w:name="_Toc13349"/>
      <w:r>
        <w:rPr>
          <w:rFonts w:hint="eastAsia" w:ascii="宋体" w:hAnsi="宋体"/>
          <w:color w:val="auto"/>
          <w:sz w:val="24"/>
        </w:rPr>
        <w:t>4.我方具有依法缴纳税收和社会保障资金的良好记录；</w:t>
      </w:r>
      <w:bookmarkEnd w:id="423"/>
      <w:bookmarkEnd w:id="424"/>
      <w:bookmarkEnd w:id="425"/>
    </w:p>
    <w:p>
      <w:pPr>
        <w:spacing w:line="360" w:lineRule="auto"/>
        <w:ind w:firstLine="480" w:firstLineChars="200"/>
        <w:rPr>
          <w:rFonts w:ascii="宋体" w:hAnsi="宋体"/>
          <w:color w:val="auto"/>
          <w:sz w:val="24"/>
        </w:rPr>
      </w:pPr>
      <w:bookmarkStart w:id="426" w:name="_Toc14836"/>
      <w:bookmarkStart w:id="427" w:name="_Toc8077"/>
      <w:bookmarkStart w:id="428" w:name="_Toc1324"/>
      <w:r>
        <w:rPr>
          <w:rFonts w:hint="eastAsia" w:ascii="宋体" w:hAnsi="宋体"/>
          <w:color w:val="auto"/>
          <w:sz w:val="24"/>
        </w:rPr>
        <w:t>5.我方参加本次政府采购活动前三年内，在经营活动中没有重大违法记录；</w:t>
      </w:r>
      <w:bookmarkEnd w:id="426"/>
      <w:bookmarkEnd w:id="427"/>
      <w:bookmarkEnd w:id="428"/>
    </w:p>
    <w:p>
      <w:pPr>
        <w:spacing w:line="360" w:lineRule="auto"/>
        <w:ind w:firstLine="480" w:firstLineChars="200"/>
        <w:rPr>
          <w:rFonts w:ascii="宋体" w:hAnsi="宋体"/>
          <w:color w:val="auto"/>
          <w:sz w:val="24"/>
        </w:rPr>
      </w:pPr>
      <w:bookmarkStart w:id="429" w:name="_Toc5411"/>
      <w:bookmarkStart w:id="430" w:name="_Toc10055"/>
      <w:bookmarkStart w:id="431" w:name="_Toc16165"/>
      <w:r>
        <w:rPr>
          <w:rFonts w:hint="eastAsia" w:ascii="宋体" w:hAnsi="宋体"/>
          <w:color w:val="auto"/>
          <w:sz w:val="24"/>
        </w:rPr>
        <w:t>6.我方具有法律、行政法规规定的其他条件；</w:t>
      </w:r>
      <w:bookmarkEnd w:id="429"/>
      <w:bookmarkEnd w:id="430"/>
      <w:bookmarkEnd w:id="431"/>
    </w:p>
    <w:p>
      <w:pPr>
        <w:spacing w:line="360" w:lineRule="auto"/>
        <w:ind w:firstLine="480" w:firstLineChars="200"/>
        <w:rPr>
          <w:rFonts w:ascii="宋体" w:hAnsi="宋体"/>
          <w:color w:val="auto"/>
          <w:sz w:val="24"/>
        </w:rPr>
      </w:pPr>
      <w:bookmarkStart w:id="432" w:name="_Toc6797"/>
      <w:bookmarkStart w:id="433" w:name="_Toc26686"/>
      <w:bookmarkStart w:id="434" w:name="_Toc4518"/>
      <w:r>
        <w:rPr>
          <w:rFonts w:hint="eastAsia" w:ascii="宋体" w:hAnsi="宋体"/>
          <w:color w:val="auto"/>
          <w:sz w:val="24"/>
        </w:rPr>
        <w:t>7.我方具备采购人根据采购项目提出的特殊条件（如果有）。</w:t>
      </w:r>
      <w:bookmarkEnd w:id="432"/>
      <w:bookmarkEnd w:id="433"/>
      <w:bookmarkEnd w:id="434"/>
    </w:p>
    <w:p>
      <w:pPr>
        <w:spacing w:line="360" w:lineRule="auto"/>
        <w:ind w:firstLine="480" w:firstLineChars="200"/>
        <w:rPr>
          <w:rFonts w:ascii="宋体" w:hAnsi="宋体"/>
          <w:color w:val="auto"/>
          <w:sz w:val="24"/>
        </w:rPr>
      </w:pPr>
      <w:bookmarkStart w:id="435" w:name="_Toc15093"/>
      <w:bookmarkStart w:id="436" w:name="_Toc14587"/>
      <w:bookmarkStart w:id="437" w:name="_Toc718"/>
      <w:r>
        <w:rPr>
          <w:rFonts w:hint="eastAsia" w:ascii="宋体" w:hAnsi="宋体"/>
          <w:color w:val="auto"/>
          <w:sz w:val="24"/>
        </w:rPr>
        <w:t>相关证明材料附后，如有需要，我方可根据采购人的要求提供更多证明材料，以便核查。</w:t>
      </w:r>
      <w:bookmarkEnd w:id="435"/>
      <w:bookmarkEnd w:id="436"/>
      <w:bookmarkEnd w:id="437"/>
    </w:p>
    <w:p>
      <w:pPr>
        <w:spacing w:line="360" w:lineRule="auto"/>
        <w:ind w:firstLine="482" w:firstLineChars="200"/>
        <w:rPr>
          <w:rFonts w:ascii="宋体" w:hAnsi="宋体"/>
          <w:b/>
          <w:bCs/>
          <w:color w:val="auto"/>
          <w:sz w:val="24"/>
          <w:u w:val="single"/>
        </w:rPr>
      </w:pPr>
      <w:bookmarkStart w:id="438" w:name="_Toc22356"/>
      <w:bookmarkStart w:id="439" w:name="_Toc12460"/>
      <w:bookmarkStart w:id="440" w:name="_Toc3663"/>
      <w:r>
        <w:rPr>
          <w:rFonts w:hint="eastAsia" w:ascii="宋体" w:hAnsi="宋体"/>
          <w:b/>
          <w:bCs/>
          <w:color w:val="auto"/>
          <w:sz w:val="24"/>
          <w:u w:val="single"/>
        </w:rPr>
        <w:t>以上内容如有虚假或与事实不符的，磋商小组可将我方做无效响应处理，相关法律责任和处罚也由我方承担。</w:t>
      </w:r>
      <w:bookmarkEnd w:id="438"/>
      <w:bookmarkEnd w:id="439"/>
      <w:bookmarkEnd w:id="440"/>
    </w:p>
    <w:p>
      <w:pPr>
        <w:spacing w:line="360" w:lineRule="auto"/>
        <w:ind w:firstLine="480" w:firstLineChars="200"/>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10" w:firstLineChars="171"/>
        <w:rPr>
          <w:rFonts w:ascii="宋体" w:hAnsi="宋体"/>
          <w:color w:val="auto"/>
          <w:sz w:val="24"/>
        </w:rPr>
      </w:pPr>
    </w:p>
    <w:p>
      <w:pPr>
        <w:spacing w:line="360" w:lineRule="auto"/>
        <w:ind w:firstLine="480" w:firstLineChars="200"/>
        <w:rPr>
          <w:rFonts w:ascii="宋体" w:hAnsi="宋体"/>
          <w:color w:val="auto"/>
          <w:sz w:val="24"/>
          <w:u w:val="single"/>
        </w:rPr>
      </w:pP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u w:val="single"/>
        </w:rPr>
      </w:pPr>
      <w:r>
        <w:rPr>
          <w:rFonts w:hint="eastAsia" w:ascii="宋体" w:hAnsi="宋体"/>
          <w:color w:val="auto"/>
          <w:sz w:val="24"/>
        </w:rPr>
        <w:t>供应商名称（盖章）：</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480" w:firstLineChars="200"/>
        <w:rPr>
          <w:rFonts w:ascii="宋体" w:hAnsi="宋体"/>
          <w:color w:val="auto"/>
          <w:sz w:val="24"/>
        </w:rPr>
      </w:pPr>
      <w:r>
        <w:rPr>
          <w:rFonts w:hint="eastAsia" w:ascii="宋体" w:hAnsi="宋体"/>
          <w:color w:val="auto"/>
          <w:sz w:val="24"/>
        </w:rPr>
        <w:br w:type="page"/>
      </w:r>
    </w:p>
    <w:p>
      <w:pPr>
        <w:spacing w:line="360" w:lineRule="auto"/>
        <w:ind w:firstLine="480" w:firstLineChars="200"/>
        <w:rPr>
          <w:rFonts w:ascii="宋体" w:hAnsi="宋体"/>
          <w:color w:val="auto"/>
          <w:sz w:val="24"/>
        </w:rPr>
      </w:pPr>
      <w:bookmarkStart w:id="441" w:name="_Toc31698"/>
      <w:r>
        <w:rPr>
          <w:rFonts w:hint="eastAsia" w:ascii="宋体" w:hAnsi="宋体"/>
          <w:color w:val="auto"/>
          <w:sz w:val="24"/>
        </w:rPr>
        <w:t>1）企业法人、其他组织营业执照副本或事业单位法人证书，自然人提供身份证明（复印件加盖响应供应商公章）；</w:t>
      </w:r>
      <w:bookmarkEnd w:id="441"/>
    </w:p>
    <w:p>
      <w:pPr>
        <w:spacing w:line="360" w:lineRule="auto"/>
        <w:ind w:firstLine="480" w:firstLineChars="200"/>
        <w:rPr>
          <w:rFonts w:ascii="宋体" w:hAnsi="宋体"/>
          <w:color w:val="auto"/>
          <w:sz w:val="24"/>
        </w:rPr>
      </w:pPr>
    </w:p>
    <w:p>
      <w:pPr>
        <w:spacing w:line="400" w:lineRule="exact"/>
        <w:ind w:firstLine="480" w:firstLineChars="200"/>
        <w:jc w:val="left"/>
        <w:rPr>
          <w:rFonts w:ascii="宋体" w:hAnsi="宋体"/>
          <w:color w:val="auto"/>
          <w:sz w:val="24"/>
        </w:rPr>
      </w:pPr>
      <w:bookmarkStart w:id="442" w:name="_Toc26245"/>
      <w:bookmarkStart w:id="443" w:name="_Toc864"/>
      <w:bookmarkStart w:id="444" w:name="_Toc2640"/>
      <w:r>
        <w:rPr>
          <w:rFonts w:hint="eastAsia" w:ascii="宋体" w:hAnsi="宋体"/>
          <w:color w:val="auto"/>
          <w:sz w:val="24"/>
        </w:rPr>
        <w:t>2）</w:t>
      </w:r>
      <w:bookmarkEnd w:id="442"/>
      <w:bookmarkEnd w:id="443"/>
      <w:bookmarkEnd w:id="444"/>
      <w:r>
        <w:rPr>
          <w:rFonts w:hint="eastAsia" w:ascii="宋体" w:hAnsi="宋体"/>
          <w:color w:val="auto"/>
          <w:sz w:val="24"/>
        </w:rPr>
        <w:t>税收缴纳证明，截止开标时一年内已缴存的至少六个月的纳税证明或完税证明，纳税证明或完税证明上应有代收机构或税务机关的公章或业务专用章。（依法免税的服务商应提供相关文件证明）；</w:t>
      </w:r>
    </w:p>
    <w:p>
      <w:pPr>
        <w:spacing w:line="360" w:lineRule="auto"/>
        <w:ind w:firstLine="480" w:firstLineChars="200"/>
        <w:rPr>
          <w:rFonts w:ascii="宋体" w:hAnsi="宋体"/>
          <w:color w:val="auto"/>
          <w:sz w:val="24"/>
          <w:lang w:val="zh-CN"/>
        </w:rPr>
      </w:pPr>
      <w:r>
        <w:rPr>
          <w:rFonts w:hint="eastAsia" w:ascii="宋体" w:hAnsi="宋体"/>
          <w:color w:val="auto"/>
          <w:sz w:val="24"/>
        </w:rPr>
        <w:t>（以上形式的资料提供任何一种即可）</w:t>
      </w:r>
    </w:p>
    <w:p>
      <w:pPr>
        <w:spacing w:line="360" w:lineRule="auto"/>
        <w:ind w:firstLine="480" w:firstLineChars="200"/>
        <w:rPr>
          <w:rFonts w:ascii="宋体" w:hAnsi="宋体"/>
          <w:color w:val="auto"/>
          <w:sz w:val="24"/>
          <w:lang w:val="zh-CN"/>
        </w:rPr>
      </w:pPr>
    </w:p>
    <w:p>
      <w:pPr>
        <w:spacing w:line="360" w:lineRule="auto"/>
        <w:ind w:firstLine="480" w:firstLineChars="200"/>
        <w:rPr>
          <w:rFonts w:ascii="宋体" w:hAnsi="宋体"/>
          <w:color w:val="auto"/>
          <w:sz w:val="24"/>
          <w:lang w:val="zh-CN"/>
        </w:rPr>
      </w:pPr>
    </w:p>
    <w:p>
      <w:pPr>
        <w:spacing w:line="360" w:lineRule="auto"/>
        <w:rPr>
          <w:rFonts w:ascii="宋体" w:hAnsi="宋体"/>
          <w:color w:val="auto"/>
          <w:sz w:val="24"/>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jc w:val="center"/>
        <w:rPr>
          <w:rFonts w:ascii="黑体" w:hAnsi="仿宋" w:eastAsia="黑体" w:cs="仿宋"/>
          <w:bCs/>
          <w:color w:val="auto"/>
          <w:sz w:val="32"/>
          <w:szCs w:val="32"/>
        </w:rPr>
      </w:pPr>
      <w:r>
        <w:rPr>
          <w:rFonts w:hint="eastAsia" w:ascii="黑体" w:hAnsi="仿宋" w:eastAsia="黑体" w:cs="仿宋"/>
          <w:bCs/>
          <w:color w:val="auto"/>
          <w:sz w:val="32"/>
          <w:szCs w:val="32"/>
        </w:rPr>
        <w:br w:type="page"/>
      </w:r>
    </w:p>
    <w:p>
      <w:pPr>
        <w:spacing w:line="360" w:lineRule="auto"/>
        <w:ind w:firstLine="482" w:firstLineChars="200"/>
        <w:rPr>
          <w:rFonts w:ascii="宋体" w:hAnsi="宋体"/>
          <w:b/>
          <w:bCs/>
          <w:color w:val="auto"/>
          <w:sz w:val="24"/>
        </w:rPr>
      </w:pPr>
      <w:r>
        <w:rPr>
          <w:rFonts w:hint="eastAsia" w:ascii="宋体" w:hAnsi="宋体"/>
          <w:b/>
          <w:bCs/>
          <w:color w:val="auto"/>
          <w:sz w:val="24"/>
        </w:rPr>
        <w:t>1.2</w:t>
      </w:r>
      <w:r>
        <w:rPr>
          <w:rFonts w:hint="eastAsia" w:ascii="宋体" w:hAnsi="宋体"/>
          <w:b/>
          <w:bCs/>
          <w:color w:val="auto"/>
          <w:sz w:val="24"/>
          <w:lang w:val="en-GB"/>
        </w:rPr>
        <w:t>保证金汇款声明函</w:t>
      </w:r>
      <w:r>
        <w:rPr>
          <w:rFonts w:hint="eastAsia" w:ascii="宋体" w:hAnsi="宋体"/>
          <w:b/>
          <w:bCs/>
          <w:color w:val="auto"/>
          <w:sz w:val="24"/>
        </w:rPr>
        <w:t>/保函</w:t>
      </w:r>
    </w:p>
    <w:p>
      <w:pPr>
        <w:spacing w:line="360" w:lineRule="auto"/>
        <w:ind w:firstLine="482" w:firstLineChars="200"/>
        <w:rPr>
          <w:rFonts w:ascii="宋体" w:hAnsi="宋体"/>
          <w:b/>
          <w:bCs/>
          <w:color w:val="auto"/>
          <w:sz w:val="24"/>
        </w:rPr>
      </w:pPr>
    </w:p>
    <w:p>
      <w:pPr>
        <w:spacing w:line="360" w:lineRule="atLeast"/>
        <w:jc w:val="center"/>
        <w:rPr>
          <w:rFonts w:ascii="黑体" w:hAnsi="仿宋" w:eastAsia="黑体" w:cs="仿宋"/>
          <w:b/>
          <w:color w:val="auto"/>
          <w:sz w:val="24"/>
          <w:lang w:val="en-GB"/>
        </w:rPr>
      </w:pPr>
      <w:r>
        <w:rPr>
          <w:rFonts w:hint="eastAsia" w:ascii="黑体" w:hAnsi="仿宋" w:eastAsia="黑体" w:cs="仿宋"/>
          <w:bCs/>
          <w:color w:val="auto"/>
          <w:sz w:val="32"/>
          <w:szCs w:val="32"/>
          <w:lang w:val="en-GB"/>
        </w:rPr>
        <w:t>保证金汇款声明函（</w:t>
      </w:r>
      <w:r>
        <w:rPr>
          <w:rFonts w:hint="eastAsia" w:ascii="黑体" w:hAnsi="仿宋" w:eastAsia="黑体" w:cs="仿宋"/>
          <w:bCs/>
          <w:color w:val="auto"/>
          <w:sz w:val="32"/>
          <w:szCs w:val="32"/>
        </w:rPr>
        <w:t>格式</w:t>
      </w:r>
      <w:r>
        <w:rPr>
          <w:rFonts w:hint="eastAsia" w:ascii="黑体" w:hAnsi="仿宋" w:eastAsia="黑体" w:cs="仿宋"/>
          <w:bCs/>
          <w:color w:val="auto"/>
          <w:sz w:val="32"/>
          <w:szCs w:val="32"/>
          <w:lang w:val="en-GB"/>
        </w:rPr>
        <w:t>）</w:t>
      </w:r>
    </w:p>
    <w:p>
      <w:pPr>
        <w:pStyle w:val="13"/>
        <w:spacing w:line="500" w:lineRule="exact"/>
        <w:rPr>
          <w:rFonts w:hAnsi="宋体"/>
          <w:color w:val="auto"/>
          <w:sz w:val="24"/>
          <w:szCs w:val="24"/>
        </w:rPr>
      </w:pPr>
      <w:r>
        <w:rPr>
          <w:rFonts w:hint="eastAsia" w:hAnsi="宋体"/>
          <w:color w:val="auto"/>
          <w:sz w:val="24"/>
          <w:szCs w:val="24"/>
        </w:rPr>
        <w:t>致：</w:t>
      </w:r>
      <w:r>
        <w:rPr>
          <w:rFonts w:hint="eastAsia" w:hAnsi="宋体"/>
          <w:b/>
          <w:bCs/>
          <w:color w:val="auto"/>
          <w:sz w:val="24"/>
          <w:szCs w:val="24"/>
        </w:rPr>
        <w:t>陕西中采招项目管理有限公司</w:t>
      </w:r>
    </w:p>
    <w:p>
      <w:pPr>
        <w:widowControl/>
        <w:spacing w:line="400" w:lineRule="exact"/>
        <w:ind w:right="-197" w:rightChars="-94"/>
        <w:jc w:val="left"/>
        <w:rPr>
          <w:rFonts w:hAnsi="宋体"/>
          <w:color w:val="auto"/>
          <w:sz w:val="24"/>
        </w:rPr>
      </w:pPr>
      <w:r>
        <w:rPr>
          <w:rFonts w:hint="eastAsia" w:hAnsi="宋体"/>
          <w:color w:val="auto"/>
          <w:sz w:val="24"/>
        </w:rPr>
        <w:t>我方为</w:t>
      </w:r>
      <w:r>
        <w:rPr>
          <w:rFonts w:hint="eastAsia" w:ascii="宋体" w:hAnsi="宋体"/>
          <w:color w:val="auto"/>
          <w:sz w:val="24"/>
          <w:u w:val="single"/>
        </w:rPr>
        <w:t>执法全过程系统运维及监督点位项目</w:t>
      </w:r>
      <w:r>
        <w:rPr>
          <w:rFonts w:hint="eastAsia" w:hAnsi="宋体"/>
          <w:color w:val="auto"/>
          <w:sz w:val="24"/>
        </w:rPr>
        <w:t>（</w:t>
      </w:r>
      <w:r>
        <w:rPr>
          <w:rFonts w:hint="eastAsia" w:hAnsi="宋体"/>
          <w:color w:val="auto"/>
          <w:sz w:val="24"/>
          <w:u w:val="single"/>
        </w:rPr>
        <w:t>项目编号：</w:t>
      </w:r>
      <w:r>
        <w:rPr>
          <w:rFonts w:hint="eastAsia" w:ascii="宋体" w:hAnsi="宋体"/>
          <w:color w:val="auto"/>
          <w:kern w:val="0"/>
          <w:sz w:val="24"/>
          <w:u w:val="single"/>
        </w:rPr>
        <w:t>SXZCZ-2022-58</w:t>
      </w:r>
      <w:r>
        <w:rPr>
          <w:rFonts w:hint="eastAsia" w:hAnsi="宋体"/>
          <w:color w:val="auto"/>
          <w:sz w:val="24"/>
        </w:rPr>
        <w:t>）递交磋商保证金人民币</w:t>
      </w:r>
      <w:r>
        <w:rPr>
          <w:rFonts w:hint="eastAsia" w:hAnsi="宋体"/>
          <w:color w:val="auto"/>
          <w:sz w:val="24"/>
          <w:u w:val="single"/>
        </w:rPr>
        <w:t xml:space="preserve">       </w:t>
      </w:r>
      <w:r>
        <w:rPr>
          <w:rFonts w:hint="eastAsia" w:hAnsi="宋体"/>
          <w:color w:val="auto"/>
          <w:sz w:val="24"/>
        </w:rPr>
        <w:t>元（大写：人民币</w:t>
      </w:r>
      <w:r>
        <w:rPr>
          <w:rFonts w:hint="eastAsia" w:hAnsi="宋体"/>
          <w:color w:val="auto"/>
          <w:sz w:val="24"/>
          <w:u w:val="single"/>
        </w:rPr>
        <w:t xml:space="preserve">                </w:t>
      </w:r>
      <w:r>
        <w:rPr>
          <w:rFonts w:hint="eastAsia" w:hAnsi="宋体"/>
          <w:color w:val="auto"/>
          <w:sz w:val="24"/>
        </w:rPr>
        <w:t>元）已于</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日以银行主动划账方式划入你方账户。</w:t>
      </w:r>
    </w:p>
    <w:p>
      <w:pPr>
        <w:pStyle w:val="13"/>
        <w:spacing w:line="500" w:lineRule="exact"/>
        <w:ind w:left="-120" w:leftChars="-57" w:firstLine="602" w:firstLineChars="250"/>
        <w:rPr>
          <w:rFonts w:hAnsi="宋体"/>
          <w:b/>
          <w:bCs/>
          <w:color w:val="auto"/>
          <w:sz w:val="24"/>
          <w:szCs w:val="24"/>
          <w:u w:val="single"/>
        </w:rPr>
      </w:pPr>
      <w:r>
        <w:rPr>
          <w:rFonts w:hint="eastAsia" w:hAnsi="宋体"/>
          <w:b/>
          <w:bCs/>
          <w:color w:val="auto"/>
          <w:sz w:val="24"/>
          <w:szCs w:val="24"/>
          <w:u w:val="single"/>
        </w:rPr>
        <w:t>详见附件：银行出具的汇款单或转账凭证复印件。</w:t>
      </w:r>
    </w:p>
    <w:p>
      <w:pPr>
        <w:pStyle w:val="13"/>
        <w:spacing w:line="500" w:lineRule="exact"/>
        <w:ind w:left="-120" w:leftChars="-57" w:firstLine="600" w:firstLineChars="250"/>
        <w:rPr>
          <w:rFonts w:hAnsi="宋体"/>
          <w:b/>
          <w:bCs/>
          <w:color w:val="auto"/>
          <w:sz w:val="24"/>
          <w:szCs w:val="24"/>
          <w:u w:val="single"/>
        </w:rPr>
      </w:pPr>
      <w:r>
        <w:rPr>
          <w:rFonts w:hint="eastAsia" w:hAnsi="宋体"/>
          <w:color w:val="auto"/>
          <w:sz w:val="24"/>
          <w:szCs w:val="24"/>
        </w:rPr>
        <w:t>我方理解并保证：</w:t>
      </w:r>
      <w:r>
        <w:rPr>
          <w:rFonts w:hint="eastAsia" w:hAnsi="宋体"/>
          <w:b/>
          <w:bCs/>
          <w:color w:val="auto"/>
          <w:sz w:val="24"/>
          <w:szCs w:val="24"/>
          <w:u w:val="single"/>
        </w:rPr>
        <w:t>磋商保证金应在磋商文件规定的时间到达贵方指定的账户，对于磋商保证金未在磋商文件规定的时间到达贵方指定的账户而有可能导致的响应无效，责任由我方承担。</w:t>
      </w:r>
    </w:p>
    <w:p>
      <w:pPr>
        <w:pStyle w:val="13"/>
        <w:spacing w:line="500" w:lineRule="exact"/>
        <w:ind w:left="-120" w:leftChars="-57" w:firstLine="602" w:firstLineChars="250"/>
        <w:rPr>
          <w:rFonts w:hAnsi="宋体"/>
          <w:b/>
          <w:bCs/>
          <w:color w:val="auto"/>
          <w:sz w:val="24"/>
          <w:szCs w:val="24"/>
          <w:u w:val="single"/>
        </w:rPr>
      </w:pPr>
      <w:r>
        <w:rPr>
          <w:rFonts w:hint="eastAsia" w:hAnsi="宋体"/>
          <w:b/>
          <w:bCs/>
          <w:color w:val="auto"/>
          <w:sz w:val="24"/>
          <w:szCs w:val="24"/>
          <w:u w:val="single"/>
        </w:rPr>
        <w:t>退还保证金时请按转出原账户划入我方账户。</w:t>
      </w:r>
    </w:p>
    <w:p>
      <w:pPr>
        <w:pStyle w:val="13"/>
        <w:spacing w:line="500" w:lineRule="exact"/>
        <w:ind w:left="-120" w:leftChars="-57" w:firstLine="600" w:firstLineChars="250"/>
        <w:rPr>
          <w:rFonts w:hAnsi="宋体"/>
          <w:color w:val="auto"/>
          <w:sz w:val="24"/>
          <w:szCs w:val="24"/>
        </w:rPr>
      </w:pPr>
    </w:p>
    <w:p>
      <w:pPr>
        <w:pStyle w:val="13"/>
        <w:spacing w:line="500" w:lineRule="exact"/>
        <w:ind w:left="-120" w:leftChars="-57" w:firstLine="600" w:firstLineChars="250"/>
        <w:rPr>
          <w:rFonts w:hAnsi="宋体"/>
          <w:color w:val="auto"/>
          <w:sz w:val="24"/>
          <w:szCs w:val="24"/>
        </w:rPr>
      </w:pPr>
    </w:p>
    <w:tbl>
      <w:tblPr>
        <w:tblStyle w:val="2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vAlign w:val="center"/>
          </w:tcPr>
          <w:p>
            <w:pPr>
              <w:pStyle w:val="13"/>
              <w:spacing w:line="500" w:lineRule="exact"/>
              <w:jc w:val="center"/>
              <w:rPr>
                <w:rFonts w:hAnsi="宋体"/>
                <w:color w:val="auto"/>
                <w:sz w:val="24"/>
                <w:szCs w:val="24"/>
              </w:rPr>
            </w:pPr>
            <w:r>
              <w:rPr>
                <w:rFonts w:hint="eastAsia" w:hAnsi="宋体"/>
                <w:color w:val="auto"/>
                <w:sz w:val="24"/>
                <w:szCs w:val="24"/>
              </w:rPr>
              <w:t>凭证复印件（加盖公章）。</w:t>
            </w:r>
          </w:p>
        </w:tc>
      </w:tr>
    </w:tbl>
    <w:p>
      <w:pPr>
        <w:pStyle w:val="13"/>
        <w:spacing w:line="500" w:lineRule="exact"/>
        <w:ind w:left="-120" w:leftChars="-57" w:firstLine="600" w:firstLineChars="250"/>
        <w:rPr>
          <w:rFonts w:hAnsi="宋体"/>
          <w:color w:val="auto"/>
          <w:sz w:val="24"/>
          <w:szCs w:val="24"/>
        </w:rPr>
      </w:pPr>
    </w:p>
    <w:p>
      <w:pPr>
        <w:pStyle w:val="13"/>
        <w:spacing w:line="500" w:lineRule="exact"/>
        <w:ind w:left="-120" w:leftChars="-57" w:firstLine="600" w:firstLineChars="250"/>
        <w:rPr>
          <w:rFonts w:hAnsi="宋体"/>
          <w:color w:val="auto"/>
          <w:sz w:val="24"/>
          <w:szCs w:val="24"/>
        </w:rPr>
      </w:pPr>
    </w:p>
    <w:p>
      <w:pPr>
        <w:pStyle w:val="13"/>
        <w:spacing w:line="500" w:lineRule="exact"/>
        <w:ind w:left="-120" w:leftChars="-57" w:firstLine="600" w:firstLineChars="250"/>
        <w:rPr>
          <w:rFonts w:hAnsi="宋体"/>
          <w:color w:val="auto"/>
          <w:sz w:val="24"/>
          <w:szCs w:val="24"/>
        </w:rPr>
      </w:pPr>
    </w:p>
    <w:p>
      <w:pPr>
        <w:spacing w:line="360" w:lineRule="auto"/>
        <w:ind w:firstLine="480" w:firstLineChars="200"/>
        <w:rPr>
          <w:rFonts w:ascii="宋体" w:hAnsi="宋体"/>
          <w:color w:val="auto"/>
          <w:sz w:val="24"/>
          <w:u w:val="single"/>
        </w:rPr>
      </w:pP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u w:val="single"/>
        </w:rPr>
      </w:pPr>
      <w:r>
        <w:rPr>
          <w:rFonts w:hint="eastAsia" w:ascii="宋体" w:hAnsi="宋体"/>
          <w:color w:val="auto"/>
          <w:sz w:val="24"/>
        </w:rPr>
        <w:t>供应商名称（盖章）：</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 </w:t>
      </w:r>
    </w:p>
    <w:p>
      <w:pPr>
        <w:spacing w:line="360" w:lineRule="auto"/>
        <w:ind w:firstLine="480" w:firstLineChars="200"/>
        <w:rPr>
          <w:rFonts w:ascii="宋体" w:hAnsi="宋体"/>
          <w:color w:val="auto"/>
          <w:sz w:val="24"/>
        </w:rPr>
      </w:pPr>
      <w:r>
        <w:rPr>
          <w:rFonts w:hint="eastAsia" w:ascii="宋体" w:hAnsi="宋体"/>
          <w:color w:val="auto"/>
          <w:sz w:val="24"/>
        </w:rPr>
        <w:br w:type="page"/>
      </w:r>
    </w:p>
    <w:p>
      <w:pPr>
        <w:spacing w:line="360" w:lineRule="atLeast"/>
        <w:jc w:val="center"/>
        <w:rPr>
          <w:rFonts w:ascii="黑体" w:hAnsi="仿宋" w:eastAsia="黑体" w:cs="黑体"/>
          <w:color w:val="auto"/>
          <w:sz w:val="32"/>
          <w:szCs w:val="32"/>
          <w:lang w:val="en-GB"/>
        </w:rPr>
      </w:pPr>
      <w:r>
        <w:rPr>
          <w:rFonts w:hint="eastAsia" w:ascii="黑体" w:hAnsi="仿宋" w:eastAsia="黑体" w:cs="黑体"/>
          <w:color w:val="auto"/>
          <w:sz w:val="32"/>
          <w:szCs w:val="32"/>
          <w:lang w:val="en-GB"/>
        </w:rPr>
        <w:t>保</w:t>
      </w:r>
      <w:r>
        <w:rPr>
          <w:rFonts w:hint="eastAsia" w:ascii="黑体" w:hAnsi="仿宋" w:eastAsia="黑体" w:cs="黑体"/>
          <w:color w:val="auto"/>
          <w:sz w:val="32"/>
          <w:szCs w:val="32"/>
        </w:rPr>
        <w:t>函</w:t>
      </w:r>
      <w:r>
        <w:rPr>
          <w:rFonts w:hint="eastAsia" w:ascii="黑体" w:hAnsi="仿宋" w:eastAsia="黑体" w:cs="黑体"/>
          <w:color w:val="auto"/>
          <w:sz w:val="32"/>
          <w:szCs w:val="32"/>
          <w:lang w:val="en-GB"/>
        </w:rPr>
        <w:t>（</w:t>
      </w:r>
      <w:r>
        <w:rPr>
          <w:rFonts w:hint="eastAsia" w:ascii="黑体" w:hAnsi="仿宋" w:eastAsia="黑体" w:cs="黑体"/>
          <w:color w:val="auto"/>
          <w:sz w:val="32"/>
          <w:szCs w:val="32"/>
        </w:rPr>
        <w:t>原件</w:t>
      </w:r>
      <w:r>
        <w:rPr>
          <w:rFonts w:hint="eastAsia" w:ascii="黑体" w:hAnsi="仿宋" w:eastAsia="黑体" w:cs="黑体"/>
          <w:color w:val="auto"/>
          <w:sz w:val="32"/>
          <w:szCs w:val="32"/>
          <w:lang w:val="en-GB"/>
        </w:rPr>
        <w:t>）</w:t>
      </w:r>
    </w:p>
    <w:p>
      <w:pPr>
        <w:spacing w:line="360" w:lineRule="auto"/>
        <w:jc w:val="center"/>
        <w:rPr>
          <w:rFonts w:ascii="黑体" w:hAnsi="仿宋" w:eastAsia="黑体" w:cs="黑体"/>
          <w:color w:val="auto"/>
          <w:sz w:val="24"/>
          <w:u w:val="single"/>
          <w:lang w:val="en-GB"/>
        </w:rPr>
      </w:pPr>
      <w:r>
        <w:rPr>
          <w:rFonts w:hint="eastAsia" w:ascii="黑体" w:hAnsi="仿宋" w:eastAsia="黑体" w:cs="黑体"/>
          <w:color w:val="auto"/>
          <w:sz w:val="24"/>
          <w:u w:val="single"/>
          <w:lang w:val="en-GB"/>
        </w:rPr>
        <w:t>（</w:t>
      </w:r>
      <w:r>
        <w:rPr>
          <w:rFonts w:hint="eastAsia" w:ascii="黑体" w:hAnsi="仿宋" w:eastAsia="黑体" w:cs="黑体"/>
          <w:color w:val="auto"/>
          <w:sz w:val="24"/>
          <w:u w:val="single"/>
        </w:rPr>
        <w:t>以保函形式提交磋商保证金时提供</w:t>
      </w:r>
      <w:r>
        <w:rPr>
          <w:rFonts w:hint="eastAsia" w:ascii="黑体" w:hAnsi="仿宋" w:eastAsia="黑体" w:cs="黑体"/>
          <w:color w:val="auto"/>
          <w:sz w:val="24"/>
          <w:u w:val="single"/>
          <w:lang w:val="en-GB"/>
        </w:rPr>
        <w:t>）</w:t>
      </w:r>
    </w:p>
    <w:p>
      <w:pPr>
        <w:spacing w:line="360" w:lineRule="auto"/>
        <w:ind w:firstLine="482" w:firstLineChars="200"/>
        <w:rPr>
          <w:rFonts w:ascii="宋体" w:hAnsi="宋体"/>
          <w:b/>
          <w:bCs/>
          <w:color w:val="auto"/>
          <w:sz w:val="24"/>
        </w:rPr>
      </w:pPr>
      <w:r>
        <w:rPr>
          <w:rFonts w:hint="eastAsia" w:ascii="宋体" w:hAnsi="宋体"/>
          <w:b/>
          <w:bCs/>
          <w:color w:val="auto"/>
          <w:sz w:val="24"/>
        </w:rPr>
        <w:br w:type="page"/>
      </w:r>
    </w:p>
    <w:p>
      <w:pPr>
        <w:spacing w:line="360" w:lineRule="auto"/>
        <w:ind w:firstLine="482" w:firstLineChars="200"/>
        <w:rPr>
          <w:rFonts w:ascii="宋体" w:hAnsi="宋体"/>
          <w:b/>
          <w:bCs/>
          <w:color w:val="auto"/>
          <w:sz w:val="24"/>
        </w:rPr>
      </w:pPr>
      <w:r>
        <w:rPr>
          <w:rFonts w:hint="eastAsia" w:ascii="宋体" w:hAnsi="宋体"/>
          <w:b/>
          <w:bCs/>
          <w:color w:val="auto"/>
          <w:sz w:val="24"/>
        </w:rPr>
        <w:t>1.3法定代表人授权书/法定代表人证明书</w:t>
      </w:r>
    </w:p>
    <w:p>
      <w:pPr>
        <w:spacing w:line="360" w:lineRule="auto"/>
        <w:jc w:val="center"/>
        <w:rPr>
          <w:rFonts w:ascii="黑体" w:hAnsi="仿宋" w:eastAsia="黑体" w:cs="仿宋"/>
          <w:bCs/>
          <w:color w:val="auto"/>
          <w:sz w:val="32"/>
          <w:szCs w:val="32"/>
        </w:rPr>
      </w:pPr>
      <w:bookmarkStart w:id="445" w:name="_Toc31350"/>
      <w:bookmarkStart w:id="446" w:name="_Toc14010"/>
      <w:bookmarkStart w:id="447" w:name="_Toc5877"/>
      <w:r>
        <w:rPr>
          <w:rFonts w:hint="eastAsia" w:ascii="黑体" w:hAnsi="仿宋" w:eastAsia="黑体" w:cs="仿宋"/>
          <w:bCs/>
          <w:color w:val="auto"/>
          <w:sz w:val="32"/>
          <w:szCs w:val="32"/>
        </w:rPr>
        <w:t>法定代表人授权书（格式）</w:t>
      </w:r>
      <w:bookmarkEnd w:id="445"/>
      <w:bookmarkEnd w:id="446"/>
      <w:bookmarkEnd w:id="447"/>
    </w:p>
    <w:p>
      <w:pPr>
        <w:spacing w:line="360" w:lineRule="auto"/>
        <w:jc w:val="center"/>
        <w:rPr>
          <w:rFonts w:ascii="黑体" w:hAnsi="仿宋" w:eastAsia="黑体" w:cs="仿宋"/>
          <w:bCs/>
          <w:color w:val="auto"/>
          <w:sz w:val="32"/>
          <w:szCs w:val="32"/>
        </w:rPr>
      </w:pPr>
      <w:bookmarkStart w:id="448" w:name="_Toc1840"/>
      <w:bookmarkStart w:id="449" w:name="_Toc27240"/>
      <w:bookmarkStart w:id="450" w:name="_Toc15295"/>
      <w:r>
        <w:rPr>
          <w:rFonts w:hint="eastAsia" w:ascii="黑体" w:hAnsi="仿宋" w:eastAsia="黑体" w:cs="仿宋"/>
          <w:bCs/>
          <w:color w:val="auto"/>
          <w:sz w:val="24"/>
          <w:u w:val="single"/>
        </w:rPr>
        <w:t>（非法定代表人直接参加磋商会议时提供</w:t>
      </w:r>
      <w:r>
        <w:rPr>
          <w:rFonts w:hint="eastAsia" w:ascii="黑体" w:hAnsi="仿宋" w:eastAsia="黑体" w:cs="仿宋"/>
          <w:bCs/>
          <w:color w:val="auto"/>
          <w:sz w:val="32"/>
          <w:szCs w:val="32"/>
        </w:rPr>
        <w:t>）</w:t>
      </w:r>
      <w:bookmarkEnd w:id="448"/>
      <w:bookmarkEnd w:id="449"/>
      <w:bookmarkEnd w:id="450"/>
    </w:p>
    <w:p>
      <w:pPr>
        <w:spacing w:line="360" w:lineRule="auto"/>
        <w:rPr>
          <w:rFonts w:ascii="宋体" w:hAnsi="宋体"/>
          <w:b/>
          <w:bCs/>
          <w:color w:val="auto"/>
          <w:sz w:val="24"/>
        </w:rPr>
      </w:pPr>
      <w:r>
        <w:rPr>
          <w:rFonts w:hint="eastAsia" w:ascii="宋体" w:hAnsi="宋体"/>
          <w:color w:val="auto"/>
          <w:sz w:val="24"/>
        </w:rPr>
        <w:t>致：</w:t>
      </w:r>
      <w:r>
        <w:rPr>
          <w:rFonts w:hint="eastAsia" w:ascii="宋体" w:hAnsi="宋体"/>
          <w:b/>
          <w:bCs/>
          <w:color w:val="auto"/>
          <w:sz w:val="24"/>
        </w:rPr>
        <w:t>陕西中采招项目管理有限公司</w:t>
      </w:r>
    </w:p>
    <w:p>
      <w:pPr>
        <w:pStyle w:val="13"/>
        <w:spacing w:line="500" w:lineRule="exact"/>
        <w:ind w:left="-120" w:leftChars="-57" w:firstLine="600" w:firstLineChars="250"/>
        <w:rPr>
          <w:rFonts w:hAnsi="宋体"/>
          <w:color w:val="auto"/>
          <w:sz w:val="24"/>
          <w:szCs w:val="24"/>
        </w:rPr>
      </w:pPr>
      <w:r>
        <w:rPr>
          <w:rFonts w:hint="eastAsia" w:hAnsi="宋体"/>
          <w:color w:val="auto"/>
          <w:sz w:val="24"/>
          <w:szCs w:val="24"/>
        </w:rPr>
        <w:t>本授权书声明：注册于（</w:t>
      </w:r>
      <w:r>
        <w:rPr>
          <w:rFonts w:hint="eastAsia" w:hAnsi="宋体"/>
          <w:color w:val="auto"/>
          <w:sz w:val="24"/>
          <w:szCs w:val="24"/>
          <w:u w:val="single"/>
        </w:rPr>
        <w:t xml:space="preserve"> 工商行政管理局名称）之（委托单位全称） </w:t>
      </w:r>
      <w:r>
        <w:rPr>
          <w:rFonts w:hint="eastAsia" w:hAnsi="宋体"/>
          <w:color w:val="auto"/>
          <w:sz w:val="24"/>
          <w:szCs w:val="24"/>
        </w:rPr>
        <w:t>的法定代表人</w:t>
      </w:r>
      <w:r>
        <w:rPr>
          <w:rFonts w:hint="eastAsia" w:hAnsi="宋体"/>
          <w:color w:val="auto"/>
          <w:sz w:val="24"/>
          <w:szCs w:val="24"/>
          <w:u w:val="single"/>
        </w:rPr>
        <w:t>（姓名、性别）</w:t>
      </w:r>
      <w:r>
        <w:rPr>
          <w:rFonts w:hint="eastAsia" w:hAnsi="宋体"/>
          <w:color w:val="auto"/>
          <w:sz w:val="24"/>
          <w:szCs w:val="24"/>
        </w:rPr>
        <w:t>授权本公司的</w:t>
      </w:r>
      <w:r>
        <w:rPr>
          <w:rFonts w:hint="eastAsia" w:hAnsi="宋体"/>
          <w:color w:val="auto"/>
          <w:sz w:val="24"/>
          <w:szCs w:val="24"/>
          <w:u w:val="single"/>
        </w:rPr>
        <w:t>（被授权人姓名、性别、职务）</w:t>
      </w:r>
      <w:r>
        <w:rPr>
          <w:rFonts w:hint="eastAsia" w:hAnsi="宋体"/>
          <w:color w:val="auto"/>
          <w:sz w:val="24"/>
          <w:szCs w:val="24"/>
        </w:rPr>
        <w:t>为合法代理人，就贵方组织的有关</w:t>
      </w:r>
      <w:r>
        <w:rPr>
          <w:rFonts w:hint="eastAsia" w:hAnsi="宋体"/>
          <w:color w:val="auto"/>
          <w:sz w:val="24"/>
          <w:szCs w:val="24"/>
          <w:u w:val="single"/>
        </w:rPr>
        <w:t>（执法全过程系统运维及监督点位项目）</w:t>
      </w:r>
      <w:r>
        <w:rPr>
          <w:rFonts w:hint="eastAsia" w:hAnsi="宋体"/>
          <w:color w:val="auto"/>
          <w:sz w:val="24"/>
          <w:szCs w:val="24"/>
        </w:rPr>
        <w:t>（项目编号：</w:t>
      </w:r>
      <w:r>
        <w:rPr>
          <w:rFonts w:hint="eastAsia" w:hAnsi="宋体"/>
          <w:color w:val="auto"/>
          <w:sz w:val="24"/>
          <w:szCs w:val="24"/>
          <w:u w:val="single"/>
        </w:rPr>
        <w:t xml:space="preserve">   </w:t>
      </w:r>
      <w:r>
        <w:rPr>
          <w:rFonts w:hint="eastAsia" w:hAnsi="宋体"/>
          <w:color w:val="auto"/>
          <w:kern w:val="0"/>
          <w:sz w:val="24"/>
          <w:szCs w:val="24"/>
          <w:u w:val="single"/>
        </w:rPr>
        <w:t>SXZCZ-2022-58</w:t>
      </w:r>
      <w:r>
        <w:rPr>
          <w:rFonts w:hint="eastAsia" w:hAnsi="宋体"/>
          <w:color w:val="auto"/>
          <w:sz w:val="24"/>
          <w:szCs w:val="24"/>
          <w:u w:val="single"/>
        </w:rPr>
        <w:t xml:space="preserve"> </w:t>
      </w:r>
      <w:r>
        <w:rPr>
          <w:rFonts w:hint="eastAsia" w:hAnsi="宋体"/>
          <w:color w:val="auto"/>
          <w:sz w:val="24"/>
          <w:szCs w:val="24"/>
        </w:rPr>
        <w:t>）的响应、洽谈、执行等具体事务，签署全部有关响应文件、文书、协议、合同，本公司对被授权人在本项目中的签名承担全部法律责任。本授权书自磋商会议之日起计算有效期为</w:t>
      </w:r>
      <w:r>
        <w:rPr>
          <w:rFonts w:hint="eastAsia" w:hAnsi="宋体"/>
          <w:color w:val="auto"/>
          <w:sz w:val="24"/>
          <w:szCs w:val="24"/>
          <w:u w:val="single"/>
        </w:rPr>
        <w:t>90</w:t>
      </w:r>
      <w:r>
        <w:rPr>
          <w:rFonts w:hint="eastAsia" w:hAnsi="宋体"/>
          <w:color w:val="auto"/>
          <w:sz w:val="24"/>
          <w:szCs w:val="24"/>
        </w:rPr>
        <w:t>天。</w:t>
      </w:r>
    </w:p>
    <w:p>
      <w:pPr>
        <w:pStyle w:val="13"/>
        <w:spacing w:line="500" w:lineRule="exact"/>
        <w:ind w:firstLine="480" w:firstLineChars="200"/>
        <w:rPr>
          <w:rFonts w:hAnsi="宋体"/>
          <w:color w:val="auto"/>
          <w:sz w:val="24"/>
          <w:szCs w:val="24"/>
        </w:rPr>
      </w:pPr>
      <w:r>
        <w:rPr>
          <w:rFonts w:hint="eastAsia" w:hAnsi="宋体"/>
          <w:color w:val="auto"/>
          <w:sz w:val="24"/>
          <w:szCs w:val="24"/>
        </w:rPr>
        <w:t>委托单位：</w:t>
      </w:r>
      <w:r>
        <w:rPr>
          <w:rFonts w:hint="eastAsia" w:hAnsi="宋体"/>
          <w:color w:val="auto"/>
          <w:sz w:val="24"/>
          <w:szCs w:val="24"/>
          <w:u w:val="single"/>
        </w:rPr>
        <w:t xml:space="preserve">    </w:t>
      </w:r>
      <w:r>
        <w:rPr>
          <w:rFonts w:hint="eastAsia" w:hAnsi="宋体"/>
          <w:color w:val="auto"/>
          <w:sz w:val="24"/>
          <w:szCs w:val="24"/>
        </w:rPr>
        <w:t>（公章）                  法定代表人（签字）：</w:t>
      </w:r>
    </w:p>
    <w:p>
      <w:pPr>
        <w:pStyle w:val="13"/>
        <w:spacing w:line="500" w:lineRule="exact"/>
        <w:ind w:firstLine="480" w:firstLineChars="200"/>
        <w:rPr>
          <w:rFonts w:hAnsi="宋体"/>
          <w:color w:val="auto"/>
          <w:sz w:val="24"/>
          <w:szCs w:val="24"/>
        </w:rPr>
      </w:pPr>
      <w:r>
        <w:rPr>
          <w:rFonts w:hint="eastAsia" w:hAnsi="宋体"/>
          <w:color w:val="auto"/>
          <w:sz w:val="24"/>
          <w:szCs w:val="24"/>
        </w:rPr>
        <w:t>签发日期：</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pPr>
        <w:pStyle w:val="13"/>
        <w:spacing w:line="500" w:lineRule="exact"/>
        <w:ind w:firstLine="480" w:firstLineChars="200"/>
        <w:rPr>
          <w:rFonts w:hAnsi="宋体"/>
          <w:color w:val="auto"/>
          <w:sz w:val="24"/>
          <w:szCs w:val="24"/>
        </w:rPr>
      </w:pPr>
      <w:r>
        <w:rPr>
          <w:rFonts w:hint="eastAsia" w:hAnsi="宋体"/>
          <w:color w:val="auto"/>
          <w:sz w:val="24"/>
          <w:szCs w:val="24"/>
        </w:rPr>
        <w:t>附：被授权人姓名（签字）：</w:t>
      </w:r>
      <w:r>
        <w:rPr>
          <w:rFonts w:hint="eastAsia" w:hAnsi="宋体"/>
          <w:color w:val="auto"/>
          <w:sz w:val="24"/>
          <w:szCs w:val="24"/>
          <w:u w:val="single"/>
        </w:rPr>
        <w:t xml:space="preserve">              </w:t>
      </w:r>
      <w:r>
        <w:rPr>
          <w:rFonts w:hint="eastAsia" w:hAnsi="宋体"/>
          <w:color w:val="auto"/>
          <w:sz w:val="24"/>
          <w:szCs w:val="24"/>
        </w:rPr>
        <w:t>性别：</w:t>
      </w:r>
      <w:r>
        <w:rPr>
          <w:rFonts w:hint="eastAsia" w:hAnsi="宋体"/>
          <w:color w:val="auto"/>
          <w:sz w:val="24"/>
          <w:szCs w:val="24"/>
          <w:u w:val="single"/>
        </w:rPr>
        <w:t xml:space="preserve">       </w:t>
      </w:r>
      <w:r>
        <w:rPr>
          <w:rFonts w:hint="eastAsia" w:hAnsi="宋体"/>
          <w:color w:val="auto"/>
          <w:sz w:val="24"/>
          <w:szCs w:val="24"/>
        </w:rPr>
        <w:t>职务：</w:t>
      </w:r>
      <w:r>
        <w:rPr>
          <w:rFonts w:hint="eastAsia" w:hAnsi="宋体"/>
          <w:color w:val="auto"/>
          <w:sz w:val="24"/>
          <w:szCs w:val="24"/>
          <w:u w:val="single"/>
        </w:rPr>
        <w:t xml:space="preserve">             </w:t>
      </w:r>
    </w:p>
    <w:p>
      <w:pPr>
        <w:pStyle w:val="13"/>
        <w:spacing w:line="500" w:lineRule="exact"/>
        <w:ind w:firstLine="960" w:firstLineChars="400"/>
        <w:rPr>
          <w:rFonts w:hAnsi="宋体"/>
          <w:color w:val="auto"/>
          <w:sz w:val="24"/>
          <w:szCs w:val="24"/>
          <w:u w:val="single"/>
        </w:rPr>
      </w:pPr>
      <w:r>
        <w:rPr>
          <w:rFonts w:hint="eastAsia" w:hAnsi="宋体"/>
          <w:color w:val="auto"/>
          <w:sz w:val="24"/>
          <w:szCs w:val="24"/>
        </w:rPr>
        <w:t xml:space="preserve">联系地址：  </w:t>
      </w:r>
      <w:r>
        <w:rPr>
          <w:rFonts w:hint="eastAsia" w:hAnsi="宋体"/>
          <w:color w:val="auto"/>
          <w:sz w:val="24"/>
          <w:szCs w:val="24"/>
          <w:u w:val="single"/>
        </w:rPr>
        <w:t xml:space="preserve">                                                </w:t>
      </w:r>
    </w:p>
    <w:p>
      <w:pPr>
        <w:pStyle w:val="13"/>
        <w:spacing w:line="500" w:lineRule="exact"/>
        <w:ind w:firstLine="960" w:firstLineChars="400"/>
        <w:rPr>
          <w:rFonts w:hAnsi="宋体"/>
          <w:color w:val="auto"/>
          <w:sz w:val="24"/>
          <w:szCs w:val="24"/>
          <w:u w:val="single"/>
        </w:rPr>
      </w:pPr>
      <w:r>
        <w:rPr>
          <w:rFonts w:hint="eastAsia" w:hAnsi="宋体"/>
          <w:color w:val="auto"/>
          <w:sz w:val="24"/>
          <w:szCs w:val="24"/>
        </w:rPr>
        <w:t>联系电话：</w:t>
      </w:r>
      <w:r>
        <w:rPr>
          <w:rFonts w:hint="eastAsia" w:hAnsi="宋体"/>
          <w:color w:val="auto"/>
          <w:sz w:val="24"/>
          <w:szCs w:val="24"/>
          <w:u w:val="single"/>
        </w:rPr>
        <w:t xml:space="preserve">                  </w:t>
      </w:r>
      <w:r>
        <w:rPr>
          <w:rFonts w:hint="eastAsia" w:hAnsi="宋体"/>
          <w:color w:val="auto"/>
          <w:sz w:val="24"/>
          <w:szCs w:val="24"/>
        </w:rPr>
        <w:t>传真：</w:t>
      </w:r>
      <w:r>
        <w:rPr>
          <w:rFonts w:hint="eastAsia" w:hAnsi="宋体"/>
          <w:color w:val="auto"/>
          <w:sz w:val="24"/>
          <w:szCs w:val="24"/>
          <w:u w:val="single"/>
        </w:rPr>
        <w:t xml:space="preserve">                          </w:t>
      </w:r>
    </w:p>
    <w:p>
      <w:pPr>
        <w:pStyle w:val="13"/>
        <w:spacing w:line="500" w:lineRule="exact"/>
        <w:ind w:firstLine="2760" w:firstLineChars="1150"/>
        <w:rPr>
          <w:rFonts w:hAnsi="宋体"/>
          <w:color w:val="auto"/>
          <w:sz w:val="24"/>
          <w:szCs w:val="24"/>
        </w:rPr>
      </w:pPr>
    </w:p>
    <w:p>
      <w:pPr>
        <w:pStyle w:val="13"/>
        <w:spacing w:line="500" w:lineRule="exact"/>
        <w:ind w:firstLine="2760" w:firstLineChars="1150"/>
        <w:rPr>
          <w:rFonts w:hAnsi="宋体"/>
          <w:color w:val="auto"/>
          <w:sz w:val="24"/>
          <w:szCs w:val="24"/>
        </w:rPr>
      </w:pPr>
      <w:r>
        <w:rPr>
          <w:rFonts w:hint="eastAsia" w:hAnsi="宋体"/>
          <w:color w:val="auto"/>
          <w:sz w:val="24"/>
          <w:szCs w:val="24"/>
        </w:rPr>
        <w:t>法定代表人/被授权人身份证复印件</w:t>
      </w:r>
    </w:p>
    <w:tbl>
      <w:tblPr>
        <w:tblStyle w:val="24"/>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3"/>
              <w:snapToGrid w:val="0"/>
              <w:spacing w:line="500" w:lineRule="exact"/>
              <w:jc w:val="center"/>
              <w:rPr>
                <w:rFonts w:hAnsi="宋体"/>
                <w:color w:val="auto"/>
                <w:sz w:val="24"/>
                <w:szCs w:val="24"/>
                <w:shd w:val="pct10" w:color="auto" w:fill="FFFFFF"/>
              </w:rPr>
            </w:pPr>
            <w:r>
              <w:rPr>
                <w:rFonts w:hint="eastAsia" w:hAnsi="宋体"/>
                <w:color w:val="auto"/>
                <w:sz w:val="24"/>
                <w:szCs w:val="24"/>
                <w:shd w:val="pct10" w:color="auto" w:fill="FFFFFF"/>
              </w:rPr>
              <w:t>法定代表人身份证复印件（国徽面）</w:t>
            </w:r>
          </w:p>
        </w:tc>
        <w:tc>
          <w:tcPr>
            <w:tcW w:w="4213" w:type="dxa"/>
            <w:shd w:val="clear" w:color="auto" w:fill="E0E0E0"/>
            <w:vAlign w:val="center"/>
          </w:tcPr>
          <w:p>
            <w:pPr>
              <w:pStyle w:val="13"/>
              <w:snapToGrid w:val="0"/>
              <w:spacing w:line="500" w:lineRule="exact"/>
              <w:jc w:val="center"/>
              <w:rPr>
                <w:rFonts w:hAnsi="宋体"/>
                <w:color w:val="auto"/>
                <w:sz w:val="24"/>
                <w:szCs w:val="24"/>
                <w:shd w:val="pct10" w:color="auto" w:fill="FFFFFF"/>
              </w:rPr>
            </w:pPr>
            <w:r>
              <w:rPr>
                <w:rFonts w:hint="eastAsia" w:hAnsi="宋体"/>
                <w:color w:val="auto"/>
                <w:sz w:val="24"/>
                <w:szCs w:val="24"/>
                <w:shd w:val="pct10" w:color="auto" w:fill="FFFFFF"/>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3"/>
              <w:snapToGrid w:val="0"/>
              <w:spacing w:line="500" w:lineRule="exact"/>
              <w:jc w:val="center"/>
              <w:rPr>
                <w:rFonts w:hAnsi="宋体"/>
                <w:color w:val="auto"/>
                <w:sz w:val="24"/>
                <w:szCs w:val="24"/>
                <w:shd w:val="pct10" w:color="auto" w:fill="FFFFFF"/>
              </w:rPr>
            </w:pPr>
            <w:r>
              <w:rPr>
                <w:rFonts w:hint="eastAsia" w:hAnsi="宋体"/>
                <w:color w:val="auto"/>
                <w:sz w:val="24"/>
                <w:szCs w:val="24"/>
                <w:shd w:val="pct10" w:color="auto" w:fill="FFFFFF"/>
              </w:rPr>
              <w:t>法定代表人身份证复印件（人像面）</w:t>
            </w:r>
          </w:p>
        </w:tc>
        <w:tc>
          <w:tcPr>
            <w:tcW w:w="4213" w:type="dxa"/>
            <w:shd w:val="clear" w:color="auto" w:fill="E0E0E0"/>
            <w:vAlign w:val="center"/>
          </w:tcPr>
          <w:p>
            <w:pPr>
              <w:pStyle w:val="13"/>
              <w:snapToGrid w:val="0"/>
              <w:spacing w:line="500" w:lineRule="exact"/>
              <w:jc w:val="center"/>
              <w:rPr>
                <w:rFonts w:hAnsi="宋体"/>
                <w:color w:val="auto"/>
                <w:sz w:val="24"/>
                <w:szCs w:val="24"/>
                <w:shd w:val="pct10" w:color="auto" w:fill="FFFFFF"/>
              </w:rPr>
            </w:pPr>
            <w:r>
              <w:rPr>
                <w:rFonts w:hint="eastAsia" w:hAnsi="宋体"/>
                <w:color w:val="auto"/>
                <w:sz w:val="24"/>
                <w:szCs w:val="24"/>
                <w:shd w:val="pct10" w:color="auto" w:fill="FFFFFF"/>
              </w:rPr>
              <w:t>被授权人身份证复印件（人像面）</w:t>
            </w:r>
          </w:p>
        </w:tc>
      </w:tr>
    </w:tbl>
    <w:p>
      <w:pPr>
        <w:spacing w:line="360" w:lineRule="auto"/>
        <w:jc w:val="center"/>
        <w:rPr>
          <w:rFonts w:hint="eastAsia" w:ascii="黑体" w:hAnsi="仿宋" w:eastAsia="黑体" w:cs="仿宋"/>
          <w:bCs/>
          <w:color w:val="auto"/>
          <w:sz w:val="32"/>
          <w:szCs w:val="32"/>
        </w:rPr>
      </w:pPr>
      <w:bookmarkStart w:id="451" w:name="_Toc18951"/>
      <w:bookmarkStart w:id="452" w:name="_Toc9280"/>
      <w:bookmarkStart w:id="453" w:name="_Toc3011"/>
    </w:p>
    <w:p>
      <w:pPr>
        <w:spacing w:line="360" w:lineRule="auto"/>
        <w:jc w:val="center"/>
        <w:rPr>
          <w:rFonts w:ascii="黑体" w:hAnsi="仿宋" w:eastAsia="黑体" w:cs="仿宋"/>
          <w:bCs/>
          <w:color w:val="auto"/>
          <w:sz w:val="32"/>
          <w:szCs w:val="32"/>
        </w:rPr>
      </w:pPr>
      <w:r>
        <w:rPr>
          <w:rFonts w:hint="eastAsia" w:ascii="黑体" w:hAnsi="仿宋" w:eastAsia="黑体" w:cs="仿宋"/>
          <w:bCs/>
          <w:color w:val="auto"/>
          <w:sz w:val="32"/>
          <w:szCs w:val="32"/>
        </w:rPr>
        <w:t>法定代表人证明书（格式）</w:t>
      </w:r>
      <w:bookmarkEnd w:id="451"/>
      <w:bookmarkEnd w:id="452"/>
      <w:bookmarkEnd w:id="453"/>
    </w:p>
    <w:p>
      <w:pPr>
        <w:spacing w:line="360" w:lineRule="auto"/>
        <w:jc w:val="center"/>
        <w:rPr>
          <w:rFonts w:ascii="黑体" w:hAnsi="仿宋" w:eastAsia="黑体" w:cs="仿宋"/>
          <w:bCs/>
          <w:color w:val="auto"/>
          <w:sz w:val="24"/>
          <w:u w:val="single"/>
        </w:rPr>
      </w:pPr>
      <w:bookmarkStart w:id="454" w:name="_Toc29574"/>
      <w:bookmarkStart w:id="455" w:name="_Toc14682"/>
      <w:bookmarkStart w:id="456" w:name="_Toc6023"/>
      <w:r>
        <w:rPr>
          <w:rFonts w:hint="eastAsia" w:ascii="黑体" w:hAnsi="仿宋" w:eastAsia="黑体" w:cs="仿宋"/>
          <w:bCs/>
          <w:color w:val="auto"/>
          <w:sz w:val="24"/>
          <w:u w:val="single"/>
        </w:rPr>
        <w:t>（法定代表人直接参加磋商会议时提供）</w:t>
      </w:r>
      <w:bookmarkEnd w:id="454"/>
      <w:bookmarkEnd w:id="455"/>
      <w:bookmarkEnd w:id="456"/>
    </w:p>
    <w:p>
      <w:pPr>
        <w:spacing w:line="360" w:lineRule="atLeast"/>
        <w:jc w:val="center"/>
        <w:rPr>
          <w:rFonts w:ascii="黑体" w:hAnsi="仿宋" w:eastAsia="黑体" w:cs="仿宋"/>
          <w:b/>
          <w:color w:val="auto"/>
          <w:sz w:val="24"/>
        </w:rPr>
      </w:pPr>
    </w:p>
    <w:tbl>
      <w:tblPr>
        <w:tblStyle w:val="2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ascii="宋体" w:hAnsi="宋体"/>
                <w:color w:val="auto"/>
                <w:kern w:val="0"/>
                <w:sz w:val="24"/>
              </w:rPr>
            </w:pPr>
            <w:r>
              <w:rPr>
                <w:rFonts w:hint="eastAsia" w:ascii="宋体" w:hAnsi="宋体"/>
                <w:color w:val="auto"/>
                <w:kern w:val="0"/>
                <w:sz w:val="24"/>
              </w:rPr>
              <w:t>致：陕西中采招项目管理有限公司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企</w:t>
            </w:r>
          </w:p>
          <w:p>
            <w:pPr>
              <w:tabs>
                <w:tab w:val="left" w:pos="210"/>
              </w:tabs>
              <w:spacing w:line="320" w:lineRule="exact"/>
              <w:jc w:val="center"/>
              <w:rPr>
                <w:rFonts w:ascii="宋体" w:hAnsi="宋体"/>
                <w:color w:val="auto"/>
                <w:kern w:val="0"/>
                <w:sz w:val="24"/>
              </w:rPr>
            </w:pPr>
          </w:p>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业</w:t>
            </w:r>
          </w:p>
          <w:p>
            <w:pPr>
              <w:tabs>
                <w:tab w:val="left" w:pos="210"/>
              </w:tabs>
              <w:spacing w:line="320" w:lineRule="exact"/>
              <w:jc w:val="center"/>
              <w:rPr>
                <w:rFonts w:ascii="宋体" w:hAnsi="宋体"/>
                <w:color w:val="auto"/>
                <w:kern w:val="0"/>
                <w:sz w:val="24"/>
              </w:rPr>
            </w:pPr>
          </w:p>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法</w:t>
            </w:r>
          </w:p>
          <w:p>
            <w:pPr>
              <w:tabs>
                <w:tab w:val="left" w:pos="210"/>
              </w:tabs>
              <w:spacing w:line="320" w:lineRule="exact"/>
              <w:jc w:val="center"/>
              <w:rPr>
                <w:rFonts w:ascii="宋体" w:hAnsi="宋体"/>
                <w:color w:val="auto"/>
                <w:kern w:val="0"/>
                <w:sz w:val="24"/>
              </w:rPr>
            </w:pPr>
          </w:p>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人</w:t>
            </w: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企业名称</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法定地址</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邮政编码</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工商登记机关</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税务登记机关</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机构代码证号</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法定代表人</w:t>
            </w: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姓名</w:t>
            </w:r>
          </w:p>
        </w:tc>
        <w:tc>
          <w:tcPr>
            <w:tcW w:w="2236" w:type="dxa"/>
            <w:gridSpan w:val="2"/>
            <w:vAlign w:val="center"/>
          </w:tcPr>
          <w:p>
            <w:pPr>
              <w:tabs>
                <w:tab w:val="left" w:pos="210"/>
              </w:tabs>
              <w:spacing w:line="320" w:lineRule="exact"/>
              <w:jc w:val="center"/>
              <w:rPr>
                <w:rFonts w:ascii="宋体" w:hAnsi="宋体"/>
                <w:color w:val="auto"/>
                <w:kern w:val="0"/>
                <w:sz w:val="24"/>
              </w:rPr>
            </w:pPr>
          </w:p>
        </w:tc>
        <w:tc>
          <w:tcPr>
            <w:tcW w:w="2061"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性别</w:t>
            </w:r>
          </w:p>
        </w:tc>
        <w:tc>
          <w:tcPr>
            <w:tcW w:w="2063" w:type="dxa"/>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职务</w:t>
            </w:r>
          </w:p>
        </w:tc>
        <w:tc>
          <w:tcPr>
            <w:tcW w:w="2236" w:type="dxa"/>
            <w:gridSpan w:val="2"/>
            <w:vAlign w:val="center"/>
          </w:tcPr>
          <w:p>
            <w:pPr>
              <w:tabs>
                <w:tab w:val="left" w:pos="210"/>
              </w:tabs>
              <w:spacing w:line="320" w:lineRule="exact"/>
              <w:jc w:val="center"/>
              <w:rPr>
                <w:rFonts w:ascii="宋体" w:hAnsi="宋体"/>
                <w:color w:val="auto"/>
                <w:kern w:val="0"/>
                <w:sz w:val="24"/>
              </w:rPr>
            </w:pPr>
          </w:p>
        </w:tc>
        <w:tc>
          <w:tcPr>
            <w:tcW w:w="2061"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联系电话</w:t>
            </w:r>
          </w:p>
        </w:tc>
        <w:tc>
          <w:tcPr>
            <w:tcW w:w="2063" w:type="dxa"/>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2065" w:type="dxa"/>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传真</w:t>
            </w:r>
          </w:p>
        </w:tc>
        <w:tc>
          <w:tcPr>
            <w:tcW w:w="6360" w:type="dxa"/>
            <w:gridSpan w:val="4"/>
            <w:vAlign w:val="center"/>
          </w:tcPr>
          <w:p>
            <w:pPr>
              <w:tabs>
                <w:tab w:val="left" w:pos="210"/>
              </w:tabs>
              <w:spacing w:line="320" w:lineRule="exact"/>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法定代表人身份证复印件</w:t>
            </w:r>
          </w:p>
        </w:tc>
        <w:tc>
          <w:tcPr>
            <w:tcW w:w="4125" w:type="dxa"/>
            <w:gridSpan w:val="2"/>
            <w:vMerge w:val="restart"/>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（粘贴处）</w:t>
            </w:r>
          </w:p>
        </w:tc>
        <w:tc>
          <w:tcPr>
            <w:tcW w:w="4300" w:type="dxa"/>
            <w:gridSpan w:val="3"/>
            <w:vAlign w:val="center"/>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rPr>
                <w:rFonts w:ascii="宋体" w:hAnsi="宋体"/>
                <w:color w:val="auto"/>
                <w:kern w:val="0"/>
                <w:sz w:val="24"/>
              </w:rPr>
            </w:pPr>
          </w:p>
        </w:tc>
        <w:tc>
          <w:tcPr>
            <w:tcW w:w="4125" w:type="dxa"/>
            <w:gridSpan w:val="2"/>
            <w:vMerge w:val="continue"/>
            <w:vAlign w:val="center"/>
          </w:tcPr>
          <w:p>
            <w:pPr>
              <w:tabs>
                <w:tab w:val="left" w:pos="210"/>
              </w:tabs>
              <w:spacing w:line="320" w:lineRule="exact"/>
              <w:jc w:val="center"/>
              <w:rPr>
                <w:rFonts w:ascii="宋体" w:hAnsi="宋体"/>
                <w:color w:val="auto"/>
                <w:kern w:val="0"/>
                <w:sz w:val="24"/>
              </w:rPr>
            </w:pPr>
          </w:p>
        </w:tc>
        <w:tc>
          <w:tcPr>
            <w:tcW w:w="4300" w:type="dxa"/>
            <w:gridSpan w:val="3"/>
            <w:vAlign w:val="bottom"/>
          </w:tcPr>
          <w:p>
            <w:pPr>
              <w:tabs>
                <w:tab w:val="left" w:pos="210"/>
              </w:tabs>
              <w:spacing w:line="320" w:lineRule="exact"/>
              <w:jc w:val="center"/>
              <w:rPr>
                <w:rFonts w:ascii="宋体" w:hAnsi="宋体"/>
                <w:color w:val="auto"/>
                <w:kern w:val="0"/>
                <w:sz w:val="24"/>
              </w:rPr>
            </w:pPr>
            <w:r>
              <w:rPr>
                <w:rFonts w:hint="eastAsia" w:ascii="宋体" w:hAnsi="宋体"/>
                <w:color w:val="auto"/>
                <w:kern w:val="0"/>
                <w:sz w:val="24"/>
              </w:rPr>
              <w:t>（公章）</w:t>
            </w:r>
          </w:p>
          <w:p>
            <w:pPr>
              <w:tabs>
                <w:tab w:val="left" w:pos="210"/>
              </w:tabs>
              <w:spacing w:line="320" w:lineRule="exact"/>
              <w:jc w:val="center"/>
              <w:rPr>
                <w:rFonts w:ascii="宋体" w:hAnsi="宋体"/>
                <w:color w:val="auto"/>
                <w:kern w:val="0"/>
                <w:sz w:val="24"/>
              </w:rPr>
            </w:pPr>
          </w:p>
          <w:p>
            <w:pPr>
              <w:tabs>
                <w:tab w:val="left" w:pos="210"/>
              </w:tabs>
              <w:spacing w:line="320" w:lineRule="exact"/>
              <w:jc w:val="center"/>
              <w:rPr>
                <w:rFonts w:ascii="宋体" w:hAnsi="宋体"/>
                <w:color w:val="auto"/>
                <w:kern w:val="0"/>
                <w:sz w:val="24"/>
              </w:rPr>
            </w:pPr>
          </w:p>
          <w:p>
            <w:pPr>
              <w:tabs>
                <w:tab w:val="left" w:pos="210"/>
              </w:tabs>
              <w:spacing w:line="320" w:lineRule="exact"/>
              <w:jc w:val="center"/>
              <w:rPr>
                <w:rFonts w:ascii="宋体" w:hAnsi="宋体"/>
                <w:color w:val="auto"/>
                <w:kern w:val="0"/>
                <w:sz w:val="24"/>
              </w:rPr>
            </w:pPr>
          </w:p>
          <w:p>
            <w:pPr>
              <w:tabs>
                <w:tab w:val="left" w:pos="210"/>
              </w:tabs>
              <w:spacing w:line="320" w:lineRule="exact"/>
              <w:jc w:val="right"/>
              <w:rPr>
                <w:rFonts w:ascii="宋体" w:hAnsi="宋体"/>
                <w:color w:val="auto"/>
                <w:kern w:val="0"/>
                <w:sz w:val="24"/>
              </w:rPr>
            </w:pPr>
            <w:r>
              <w:rPr>
                <w:rFonts w:hint="eastAsia" w:ascii="宋体" w:hAnsi="宋体"/>
                <w:color w:val="auto"/>
                <w:kern w:val="0"/>
                <w:sz w:val="24"/>
              </w:rPr>
              <w:t xml:space="preserve">年  月  日 </w:t>
            </w:r>
          </w:p>
        </w:tc>
      </w:tr>
    </w:tbl>
    <w:p>
      <w:pPr>
        <w:spacing w:line="360" w:lineRule="auto"/>
        <w:ind w:firstLine="480" w:firstLineChars="200"/>
        <w:rPr>
          <w:rFonts w:ascii="仿宋_GB2312" w:hAnsi="仿宋" w:eastAsia="仿宋_GB2312" w:cs="仿宋"/>
          <w:color w:val="auto"/>
          <w:sz w:val="24"/>
        </w:rPr>
      </w:pPr>
    </w:p>
    <w:p>
      <w:pPr>
        <w:spacing w:line="360" w:lineRule="auto"/>
        <w:ind w:firstLine="480" w:firstLineChars="200"/>
        <w:rPr>
          <w:rFonts w:ascii="仿宋_GB2312" w:hAnsi="仿宋" w:eastAsia="仿宋_GB2312" w:cs="仿宋"/>
          <w:color w:val="auto"/>
          <w:sz w:val="24"/>
        </w:rPr>
      </w:pPr>
    </w:p>
    <w:p>
      <w:pPr>
        <w:spacing w:line="360" w:lineRule="auto"/>
        <w:ind w:firstLine="480" w:firstLineChars="200"/>
        <w:rPr>
          <w:rFonts w:ascii="仿宋_GB2312" w:hAnsi="仿宋" w:eastAsia="仿宋_GB2312" w:cs="仿宋"/>
          <w:color w:val="auto"/>
          <w:sz w:val="24"/>
        </w:rPr>
      </w:pPr>
    </w:p>
    <w:p>
      <w:pPr>
        <w:spacing w:line="360" w:lineRule="auto"/>
        <w:ind w:firstLine="480" w:firstLineChars="200"/>
        <w:rPr>
          <w:rFonts w:ascii="仿宋_GB2312" w:hAnsi="仿宋" w:eastAsia="仿宋_GB2312" w:cs="仿宋"/>
          <w:color w:val="auto"/>
          <w:sz w:val="24"/>
        </w:rPr>
      </w:pPr>
    </w:p>
    <w:p>
      <w:pPr>
        <w:spacing w:line="360" w:lineRule="auto"/>
        <w:ind w:firstLine="480" w:firstLineChars="200"/>
        <w:rPr>
          <w:rFonts w:ascii="仿宋_GB2312" w:hAnsi="仿宋" w:eastAsia="仿宋_GB2312" w:cs="仿宋"/>
          <w:color w:val="auto"/>
          <w:sz w:val="24"/>
        </w:rPr>
      </w:pPr>
    </w:p>
    <w:p>
      <w:pPr>
        <w:spacing w:line="360" w:lineRule="auto"/>
        <w:ind w:firstLine="482" w:firstLineChars="200"/>
        <w:rPr>
          <w:rFonts w:ascii="宋体" w:hAnsi="宋体"/>
          <w:b/>
          <w:bCs/>
          <w:color w:val="auto"/>
          <w:sz w:val="24"/>
        </w:rPr>
      </w:pPr>
      <w:r>
        <w:rPr>
          <w:rFonts w:hint="eastAsia" w:ascii="宋体" w:hAnsi="宋体"/>
          <w:b/>
          <w:bCs/>
          <w:color w:val="auto"/>
          <w:sz w:val="24"/>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ascii="宋体" w:hAnsi="宋体"/>
          <w:b/>
          <w:bCs/>
          <w:color w:val="auto"/>
          <w:sz w:val="24"/>
        </w:rPr>
      </w:pPr>
      <w:r>
        <w:rPr>
          <w:rFonts w:hint="eastAsia" w:ascii="宋体" w:hAnsi="宋体"/>
          <w:b/>
          <w:bCs/>
          <w:color w:val="auto"/>
          <w:sz w:val="24"/>
          <w:u w:val="single"/>
        </w:rPr>
        <w:t>特别提醒：成交供应商的《中小企业声明函》、《残疾人福利性单位声明函》或监狱企业证明文件将随成交结果公告一同公布，接受社会监督。</w:t>
      </w:r>
    </w:p>
    <w:p>
      <w:pPr>
        <w:spacing w:line="360" w:lineRule="auto"/>
        <w:ind w:firstLine="480" w:firstLineChars="200"/>
        <w:rPr>
          <w:rFonts w:ascii="宋体" w:hAnsi="宋体"/>
          <w:color w:val="auto"/>
          <w:sz w:val="24"/>
        </w:rPr>
      </w:pPr>
      <w:r>
        <w:rPr>
          <w:rFonts w:hint="eastAsia" w:ascii="宋体" w:hAnsi="宋体"/>
          <w:color w:val="auto"/>
          <w:sz w:val="24"/>
        </w:rPr>
        <w:t>（1）关于中小企业判定</w:t>
      </w:r>
    </w:p>
    <w:p>
      <w:pPr>
        <w:spacing w:line="360" w:lineRule="auto"/>
        <w:ind w:firstLine="480" w:firstLineChars="200"/>
        <w:rPr>
          <w:rFonts w:ascii="宋体" w:hAnsi="宋体"/>
          <w:color w:val="auto"/>
          <w:sz w:val="24"/>
        </w:rPr>
      </w:pPr>
      <w:r>
        <w:rPr>
          <w:rFonts w:hint="eastAsia" w:ascii="宋体" w:hAnsi="宋体"/>
          <w:color w:val="auto"/>
          <w:sz w:val="24"/>
        </w:rPr>
        <w:t>本项目采购标的对应的中小企业划分标准所属行业为</w:t>
      </w:r>
      <w:r>
        <w:rPr>
          <w:rFonts w:hint="eastAsia" w:ascii="宋体" w:hAnsi="宋体"/>
          <w:color w:val="auto"/>
          <w:sz w:val="24"/>
          <w:u w:val="single"/>
        </w:rPr>
        <w:t xml:space="preserve">      </w:t>
      </w:r>
      <w:r>
        <w:rPr>
          <w:rFonts w:hint="eastAsia" w:ascii="宋体" w:hAnsi="宋体"/>
          <w:color w:val="auto"/>
          <w:sz w:val="24"/>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ascii="黑体" w:hAnsi="仿宋" w:eastAsia="黑体" w:cs="黑体"/>
          <w:color w:val="auto"/>
          <w:sz w:val="32"/>
          <w:szCs w:val="32"/>
        </w:rPr>
      </w:pPr>
      <w:r>
        <w:rPr>
          <w:rFonts w:hint="eastAsia" w:ascii="黑体" w:hAnsi="仿宋" w:eastAsia="黑体" w:cs="黑体"/>
          <w:color w:val="auto"/>
          <w:sz w:val="32"/>
          <w:szCs w:val="32"/>
        </w:rPr>
        <w:t>中小企业声明函（工程、服务）（格式）</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本公司（联合体）郑重声明，根据《政府采购促进中小企业发展管理办法》（财库﹝2020﹞46 号）的规定，本公司（联合体）参加</w:t>
      </w:r>
      <w:r>
        <w:rPr>
          <w:rFonts w:hint="eastAsia" w:ascii="宋体" w:hAnsi="宋体"/>
          <w:color w:val="auto"/>
          <w:kern w:val="0"/>
          <w:sz w:val="24"/>
          <w:szCs w:val="20"/>
          <w:u w:val="single"/>
        </w:rPr>
        <w:t>（陕西中采招项目管理有限公司）</w:t>
      </w:r>
      <w:r>
        <w:rPr>
          <w:rFonts w:hint="eastAsia" w:ascii="宋体" w:hAnsi="宋体"/>
          <w:color w:val="auto"/>
          <w:kern w:val="0"/>
          <w:sz w:val="24"/>
          <w:szCs w:val="20"/>
        </w:rPr>
        <w:t>的</w:t>
      </w:r>
      <w:r>
        <w:rPr>
          <w:rFonts w:hint="eastAsia" w:ascii="宋体" w:hAnsi="宋体"/>
          <w:color w:val="auto"/>
          <w:kern w:val="0"/>
          <w:sz w:val="24"/>
          <w:szCs w:val="20"/>
          <w:u w:val="single"/>
        </w:rPr>
        <w:t>（执法全过程系统运维及监督点位项目）</w:t>
      </w:r>
      <w:r>
        <w:rPr>
          <w:rFonts w:hint="eastAsia" w:ascii="宋体" w:hAnsi="宋体"/>
          <w:color w:val="auto"/>
          <w:kern w:val="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1.</w:t>
      </w:r>
      <w:r>
        <w:rPr>
          <w:rFonts w:hint="eastAsia" w:ascii="宋体" w:hAnsi="宋体"/>
          <w:color w:val="auto"/>
          <w:kern w:val="0"/>
          <w:sz w:val="24"/>
          <w:szCs w:val="20"/>
          <w:u w:val="single"/>
        </w:rPr>
        <w:t>（执法全过程系统运维及监督点位项目）</w:t>
      </w:r>
      <w:r>
        <w:rPr>
          <w:rFonts w:hint="eastAsia" w:ascii="宋体" w:hAnsi="宋体"/>
          <w:color w:val="auto"/>
          <w:kern w:val="0"/>
          <w:sz w:val="24"/>
          <w:szCs w:val="20"/>
        </w:rPr>
        <w:t>，属于</w:t>
      </w:r>
      <w:r>
        <w:rPr>
          <w:rFonts w:hint="eastAsia" w:ascii="宋体" w:hAnsi="宋体"/>
          <w:color w:val="auto"/>
          <w:kern w:val="0"/>
          <w:sz w:val="24"/>
          <w:szCs w:val="20"/>
          <w:u w:val="single"/>
        </w:rPr>
        <w:t>（采购文件中明确的所属行业）</w:t>
      </w:r>
      <w:r>
        <w:rPr>
          <w:rFonts w:hint="eastAsia" w:ascii="宋体" w:hAnsi="宋体"/>
          <w:color w:val="auto"/>
          <w:kern w:val="0"/>
          <w:sz w:val="24"/>
          <w:szCs w:val="20"/>
        </w:rPr>
        <w:t xml:space="preserve">；承建（承接）企业为（企业名称），从业人员   人，营业收入为   万元，资产总额为   万元1，属于（中型企业、小型企业、微型企业）； </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2.</w:t>
      </w:r>
      <w:r>
        <w:rPr>
          <w:rFonts w:hint="eastAsia" w:ascii="宋体" w:hAnsi="宋体"/>
          <w:color w:val="auto"/>
          <w:kern w:val="0"/>
          <w:sz w:val="24"/>
          <w:szCs w:val="20"/>
          <w:u w:val="single"/>
        </w:rPr>
        <w:t>（执法全过程系统运维及监督点位项目）</w:t>
      </w:r>
      <w:r>
        <w:rPr>
          <w:rFonts w:hint="eastAsia" w:ascii="宋体" w:hAnsi="宋体"/>
          <w:color w:val="auto"/>
          <w:kern w:val="0"/>
          <w:sz w:val="24"/>
          <w:szCs w:val="20"/>
        </w:rPr>
        <w:t>，属于</w:t>
      </w:r>
      <w:r>
        <w:rPr>
          <w:rFonts w:hint="eastAsia" w:ascii="宋体" w:hAnsi="宋体"/>
          <w:color w:val="auto"/>
          <w:kern w:val="0"/>
          <w:sz w:val="24"/>
          <w:szCs w:val="20"/>
          <w:u w:val="single"/>
        </w:rPr>
        <w:t>（采购文件中明确的所属行业）</w:t>
      </w:r>
      <w:r>
        <w:rPr>
          <w:rFonts w:hint="eastAsia" w:ascii="宋体" w:hAnsi="宋体"/>
          <w:color w:val="auto"/>
          <w:kern w:val="0"/>
          <w:sz w:val="24"/>
          <w:szCs w:val="20"/>
        </w:rPr>
        <w:t xml:space="preserve">；承建（承接）企业为（企业名称），从业人员   人，营业收入为   万元，资产总额为   万元，属于（中型企业、小型企业、微型企业）； </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以上企业，不属于大企业的分支机构，不存在控股股东为大企业的情形，也不存在与大企业的负责人为同一人的情形。</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本企业对上述声明内容的真实性负责。如有虚假，将依法承担相应责任。</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供应商名称（盖章）：</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日 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60" w:lineRule="auto"/>
        <w:ind w:firstLine="567"/>
        <w:rPr>
          <w:rFonts w:ascii="宋体" w:hAnsi="宋体"/>
          <w:color w:val="auto"/>
          <w:kern w:val="0"/>
          <w:sz w:val="18"/>
          <w:szCs w:val="18"/>
        </w:rPr>
      </w:pPr>
      <w:r>
        <w:rPr>
          <w:color w:val="auto"/>
          <w:sz w:val="18"/>
        </w:rPr>
        <w:pict>
          <v:line id="_x0000_s1026" o:spid="_x0000_s1026" o:spt="20" style="position:absolute;left:0pt;margin-left:0.3pt;margin-top:10.95pt;height:0pt;width:149.25pt;z-index:251662336;mso-width-relative:page;mso-height-relative:page;"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M6A+GLp&#10;AQAAtAMAAA4AAAAAAAAAAQAgAAAAIQEAAGRycy9lMm9Eb2MueG1sUEsFBgAAAAAGAAYAWQEAAHwF&#10;AAAAAA==&#10;">
            <v:path arrowok="t"/>
            <v:fill focussize="0,0"/>
            <v:stroke/>
            <v:imagedata o:title=""/>
            <o:lock v:ext="edit"/>
          </v:line>
        </w:pict>
      </w:r>
    </w:p>
    <w:p>
      <w:pPr>
        <w:widowControl/>
        <w:jc w:val="left"/>
        <w:rPr>
          <w:rFonts w:ascii="宋体" w:hAnsi="宋体"/>
          <w:color w:val="auto"/>
          <w:kern w:val="0"/>
          <w:szCs w:val="21"/>
        </w:rPr>
      </w:pPr>
      <w:r>
        <w:rPr>
          <w:rFonts w:hint="eastAsia" w:ascii="宋体" w:hAnsi="宋体"/>
          <w:b/>
          <w:bCs/>
          <w:color w:val="auto"/>
          <w:kern w:val="0"/>
          <w:szCs w:val="21"/>
        </w:rPr>
        <w:t>备注：</w:t>
      </w:r>
      <w:r>
        <w:rPr>
          <w:rFonts w:hint="eastAsia" w:ascii="宋体" w:hAnsi="宋体"/>
          <w:color w:val="auto"/>
          <w:kern w:val="0"/>
          <w:szCs w:val="21"/>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widowControl/>
        <w:jc w:val="left"/>
        <w:rPr>
          <w:rFonts w:ascii="宋体" w:hAnsi="宋体"/>
          <w:color w:val="auto"/>
          <w:kern w:val="0"/>
          <w:szCs w:val="21"/>
        </w:rPr>
      </w:pPr>
      <w:r>
        <w:rPr>
          <w:rFonts w:hint="eastAsia" w:ascii="宋体" w:hAnsi="宋体"/>
          <w:color w:val="auto"/>
          <w:kern w:val="0"/>
          <w:szCs w:val="21"/>
        </w:rPr>
        <w:t>2.从业人员、营业收入、资产总额填报上一年度数据，无上一年度数据的新成立企业可不填报。</w:t>
      </w:r>
    </w:p>
    <w:p>
      <w:pPr>
        <w:rPr>
          <w:rFonts w:ascii="宋体" w:hAnsi="宋体"/>
          <w:b/>
          <w:bCs/>
          <w:color w:val="auto"/>
          <w:sz w:val="24"/>
        </w:rPr>
      </w:pPr>
      <w:r>
        <w:rPr>
          <w:rFonts w:hint="eastAsia" w:ascii="宋体" w:hAnsi="宋体"/>
          <w:b/>
          <w:bCs/>
          <w:color w:val="auto"/>
          <w:sz w:val="24"/>
        </w:rPr>
        <w:br w:type="page"/>
      </w:r>
    </w:p>
    <w:p>
      <w:pPr>
        <w:spacing w:line="360" w:lineRule="auto"/>
        <w:ind w:firstLine="480" w:firstLineChars="200"/>
        <w:rPr>
          <w:rFonts w:ascii="宋体" w:hAnsi="宋体"/>
          <w:color w:val="auto"/>
          <w:sz w:val="24"/>
        </w:rPr>
      </w:pPr>
      <w:r>
        <w:rPr>
          <w:rFonts w:hint="eastAsia" w:ascii="宋体" w:hAnsi="宋体"/>
          <w:color w:val="auto"/>
          <w:sz w:val="24"/>
        </w:rPr>
        <w:t>（2）关于监狱企业的证明文件</w:t>
      </w:r>
    </w:p>
    <w:p>
      <w:pPr>
        <w:spacing w:line="360" w:lineRule="auto"/>
        <w:jc w:val="center"/>
        <w:rPr>
          <w:rFonts w:ascii="黑体" w:hAnsi="仿宋" w:eastAsia="黑体" w:cs="黑体"/>
          <w:color w:val="auto"/>
          <w:sz w:val="32"/>
          <w:szCs w:val="32"/>
        </w:rPr>
      </w:pPr>
      <w:r>
        <w:rPr>
          <w:rFonts w:hint="eastAsia" w:ascii="黑体" w:hAnsi="仿宋" w:eastAsia="黑体" w:cs="黑体"/>
          <w:color w:val="auto"/>
          <w:sz w:val="32"/>
          <w:szCs w:val="32"/>
        </w:rPr>
        <w:t>关于监狱企业的证明文件（格式）</w:t>
      </w:r>
    </w:p>
    <w:p>
      <w:pPr>
        <w:spacing w:line="360" w:lineRule="auto"/>
        <w:ind w:firstLine="480" w:firstLineChars="200"/>
        <w:rPr>
          <w:rFonts w:ascii="宋体" w:hAnsi="宋体"/>
          <w:color w:val="auto"/>
          <w:sz w:val="24"/>
        </w:rPr>
      </w:pPr>
      <w:r>
        <w:rPr>
          <w:rFonts w:hint="eastAsia" w:ascii="宋体" w:hAnsi="宋体"/>
          <w:color w:val="auto"/>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color w:val="auto"/>
          <w:sz w:val="24"/>
        </w:rPr>
      </w:pPr>
      <w:r>
        <w:rPr>
          <w:rFonts w:hint="eastAsia" w:ascii="宋体" w:hAnsi="宋体"/>
          <w:color w:val="auto"/>
          <w:sz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color w:val="auto"/>
          <w:sz w:val="24"/>
        </w:rPr>
      </w:pPr>
    </w:p>
    <w:p>
      <w:pPr>
        <w:rPr>
          <w:rFonts w:ascii="宋体" w:hAnsi="宋体"/>
          <w:b/>
          <w:bCs/>
          <w:color w:val="auto"/>
          <w:sz w:val="24"/>
        </w:rPr>
      </w:pPr>
      <w:r>
        <w:rPr>
          <w:rFonts w:hint="eastAsia" w:ascii="宋体" w:hAnsi="宋体"/>
          <w:b/>
          <w:bCs/>
          <w:color w:val="auto"/>
          <w:sz w:val="24"/>
        </w:rPr>
        <w:br w:type="page"/>
      </w:r>
    </w:p>
    <w:p>
      <w:pPr>
        <w:spacing w:line="360" w:lineRule="auto"/>
        <w:ind w:firstLine="480" w:firstLineChars="200"/>
        <w:rPr>
          <w:rFonts w:ascii="宋体" w:hAnsi="宋体"/>
          <w:color w:val="auto"/>
          <w:sz w:val="24"/>
        </w:rPr>
      </w:pPr>
      <w:r>
        <w:rPr>
          <w:rFonts w:hint="eastAsia" w:ascii="宋体" w:hAnsi="宋体"/>
          <w:color w:val="auto"/>
          <w:sz w:val="24"/>
        </w:rPr>
        <w:t>（3）关于残疾人福利性单位判定</w:t>
      </w:r>
    </w:p>
    <w:p>
      <w:pPr>
        <w:spacing w:line="360" w:lineRule="atLeast"/>
        <w:jc w:val="center"/>
        <w:rPr>
          <w:rFonts w:ascii="黑体" w:hAnsi="仿宋" w:eastAsia="黑体" w:cs="黑体"/>
          <w:color w:val="auto"/>
          <w:sz w:val="32"/>
          <w:szCs w:val="32"/>
        </w:rPr>
      </w:pPr>
      <w:r>
        <w:rPr>
          <w:rFonts w:hint="eastAsia" w:ascii="黑体" w:hAnsi="仿宋" w:eastAsia="黑体" w:cs="黑体"/>
          <w:color w:val="auto"/>
          <w:sz w:val="32"/>
          <w:szCs w:val="32"/>
        </w:rPr>
        <w:t>残疾人福利单位声明函</w:t>
      </w:r>
    </w:p>
    <w:p>
      <w:pPr>
        <w:spacing w:line="360" w:lineRule="auto"/>
        <w:ind w:firstLine="567"/>
        <w:rPr>
          <w:rFonts w:ascii="宋体" w:hAnsi="宋体"/>
          <w:color w:val="auto"/>
          <w:kern w:val="0"/>
          <w:sz w:val="24"/>
          <w:szCs w:val="20"/>
        </w:rPr>
      </w:pPr>
      <w:r>
        <w:rPr>
          <w:rFonts w:hint="eastAsia" w:ascii="宋体" w:hAnsi="宋体"/>
          <w:color w:val="auto"/>
          <w:kern w:val="0"/>
          <w:sz w:val="24"/>
          <w:szCs w:val="20"/>
        </w:rPr>
        <w:t>本单位郑重声明，根据《财政部 民政部 中国残疾人联合会关于促进残疾人就业政府采购政策的通知》（财库〔2017〕141号）的规定，本单位为符合条件的残疾人福利性单位，且本单位参加（陕西中采招项目管理有限公司）</w:t>
      </w:r>
      <w:r>
        <w:rPr>
          <w:rFonts w:hint="eastAsia" w:ascii="宋体" w:hAnsi="宋体"/>
          <w:color w:val="auto"/>
          <w:kern w:val="0"/>
          <w:sz w:val="24"/>
          <w:szCs w:val="20"/>
          <w:u w:val="single"/>
        </w:rPr>
        <w:t>（执法全过程系统运维及监督点位项目）</w:t>
      </w:r>
      <w:r>
        <w:rPr>
          <w:rFonts w:hint="eastAsia" w:ascii="宋体" w:hAnsi="宋体"/>
          <w:color w:val="auto"/>
          <w:kern w:val="0"/>
          <w:sz w:val="24"/>
          <w:szCs w:val="20"/>
        </w:rPr>
        <w:t>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color w:val="auto"/>
          <w:kern w:val="0"/>
          <w:sz w:val="24"/>
          <w:szCs w:val="20"/>
        </w:rPr>
      </w:pPr>
      <w:r>
        <w:rPr>
          <w:rFonts w:hint="eastAsia" w:ascii="宋体" w:hAnsi="宋体"/>
          <w:color w:val="auto"/>
          <w:kern w:val="0"/>
          <w:sz w:val="24"/>
          <w:szCs w:val="20"/>
        </w:rPr>
        <w:t>本单位对上述声明的真实性负责。如有虚假，将依法承担相应责任。</w:t>
      </w:r>
    </w:p>
    <w:p>
      <w:pPr>
        <w:spacing w:line="360" w:lineRule="auto"/>
        <w:ind w:left="1080" w:leftChars="257" w:hanging="540"/>
        <w:jc w:val="center"/>
        <w:rPr>
          <w:rFonts w:ascii="宋体" w:hAnsi="宋体"/>
          <w:color w:val="auto"/>
          <w:kern w:val="0"/>
          <w:sz w:val="24"/>
          <w:szCs w:val="20"/>
        </w:rPr>
      </w:pPr>
    </w:p>
    <w:p>
      <w:pPr>
        <w:spacing w:line="360" w:lineRule="auto"/>
        <w:ind w:left="1080" w:leftChars="257" w:hanging="540"/>
        <w:jc w:val="center"/>
        <w:rPr>
          <w:rFonts w:ascii="宋体" w:hAnsi="宋体"/>
          <w:color w:val="auto"/>
          <w:kern w:val="0"/>
          <w:sz w:val="24"/>
          <w:szCs w:val="20"/>
        </w:rPr>
      </w:pPr>
    </w:p>
    <w:p>
      <w:pPr>
        <w:spacing w:line="360" w:lineRule="auto"/>
        <w:ind w:firstLine="480" w:firstLineChars="200"/>
        <w:rPr>
          <w:rFonts w:ascii="宋体" w:cs="Times New Roman"/>
          <w:color w:val="auto"/>
          <w:sz w:val="24"/>
          <w:u w:val="single"/>
        </w:rPr>
      </w:pPr>
      <w:r>
        <w:rPr>
          <w:rFonts w:hint="eastAsia" w:ascii="宋体" w:hAnsi="宋体"/>
          <w:color w:val="auto"/>
          <w:sz w:val="24"/>
        </w:rPr>
        <w:t>供应商名称（盖章）：</w:t>
      </w:r>
      <w:r>
        <w:rPr>
          <w:rFonts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60" w:lineRule="auto"/>
        <w:ind w:firstLine="567"/>
        <w:rPr>
          <w:rFonts w:ascii="宋体" w:hAnsi="宋体"/>
          <w:color w:val="auto"/>
          <w:kern w:val="0"/>
          <w:sz w:val="18"/>
          <w:szCs w:val="18"/>
        </w:rPr>
      </w:pPr>
      <w:r>
        <w:rPr>
          <w:color w:val="auto"/>
          <w:sz w:val="18"/>
        </w:rPr>
        <w:pict>
          <v:line id="_x0000_s1029" o:spid="_x0000_s1029" o:spt="20" style="position:absolute;left:0pt;margin-left:0.3pt;margin-top:10.95pt;height:0pt;width:149.25pt;z-index:251663360;mso-width-relative:page;mso-height-relative:page;"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cFp7e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77gzAlLF3736fvt&#10;xy8/f3ym9e7bV7ZIJvUBS8JeuR0MGYYdJMXHBmx6kxZ2pIGazJbT1ZyzU8UvZvPlbDGYrI6RyQRY&#10;XcxfLgkgCZHPij8kATC+Ut6yFFTcaJf0i1IcXmOkwgT9DUnbzl9rY/IdGsd6qjifJmZBc9nQPFBo&#10;A2lD13ImTEsDLyNkRvRG1+nrxIPQ7q8MsINIY5KfJJqq/QVLpbcCuzMuHw0w4xKNygM3dJocO3uU&#10;or2vT9m6ImV0mZl9GLw0LQ9zih/+bJ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HBae3p&#10;AQAAtAMAAA4AAAAAAAAAAQAgAAAAIQEAAGRycy9lMm9Eb2MueG1sUEsFBgAAAAAGAAYAWQEAAHwF&#10;AAAAAA==&#10;">
            <v:path arrowok="t"/>
            <v:fill focussize="0,0"/>
            <v:stroke/>
            <v:imagedata o:title=""/>
            <o:lock v:ext="edit"/>
          </v:line>
        </w:pict>
      </w:r>
    </w:p>
    <w:p>
      <w:pPr>
        <w:widowControl/>
        <w:jc w:val="left"/>
        <w:rPr>
          <w:color w:val="auto"/>
          <w:szCs w:val="21"/>
        </w:rPr>
      </w:pPr>
      <w:r>
        <w:rPr>
          <w:rFonts w:hint="eastAsia" w:ascii="宋体" w:hAnsi="宋体"/>
          <w:b/>
          <w:bCs/>
          <w:color w:val="auto"/>
          <w:kern w:val="0"/>
          <w:szCs w:val="21"/>
        </w:rPr>
        <w:t>备注：</w:t>
      </w:r>
      <w:r>
        <w:rPr>
          <w:rFonts w:hint="eastAsia" w:ascii="宋体" w:hAnsi="宋体"/>
          <w:color w:val="auto"/>
          <w:kern w:val="0"/>
          <w:szCs w:val="21"/>
        </w:rPr>
        <w:t xml:space="preserve">根据《财政部 民政部 中国残疾人联合会关于促进残疾人就业政府采购政策的通知》（财库 </w:t>
      </w:r>
    </w:p>
    <w:p>
      <w:pPr>
        <w:widowControl/>
        <w:jc w:val="left"/>
        <w:rPr>
          <w:color w:val="auto"/>
          <w:szCs w:val="21"/>
        </w:rPr>
      </w:pPr>
      <w:r>
        <w:rPr>
          <w:rFonts w:hint="eastAsia" w:ascii="宋体" w:hAnsi="宋体"/>
          <w:color w:val="auto"/>
          <w:kern w:val="0"/>
          <w:szCs w:val="21"/>
        </w:rPr>
        <w:t>〔2017〕141 号）的规定：</w:t>
      </w:r>
    </w:p>
    <w:p>
      <w:pPr>
        <w:widowControl/>
        <w:jc w:val="left"/>
        <w:rPr>
          <w:color w:val="auto"/>
          <w:szCs w:val="21"/>
        </w:rPr>
      </w:pPr>
      <w:r>
        <w:rPr>
          <w:rFonts w:hint="eastAsia" w:ascii="宋体" w:hAnsi="宋体"/>
          <w:color w:val="auto"/>
          <w:kern w:val="0"/>
          <w:szCs w:val="21"/>
        </w:rPr>
        <w:t>一、享受政府采购支持政策的残疾人福利性单位应当同时满足以下条件：</w:t>
      </w:r>
    </w:p>
    <w:p>
      <w:pPr>
        <w:widowControl/>
        <w:jc w:val="left"/>
        <w:rPr>
          <w:color w:val="auto"/>
          <w:szCs w:val="21"/>
        </w:rPr>
      </w:pPr>
      <w:r>
        <w:rPr>
          <w:rFonts w:hint="eastAsia" w:ascii="宋体" w:hAnsi="宋体"/>
          <w:color w:val="auto"/>
          <w:kern w:val="0"/>
          <w:szCs w:val="21"/>
        </w:rPr>
        <w:t xml:space="preserve">（一）安置的残疾人占本单位在职职工人数的比例不低于 </w:t>
      </w:r>
      <w:r>
        <w:rPr>
          <w:rFonts w:ascii="仿宋" w:hAnsi="仿宋" w:eastAsia="仿宋" w:cs="仿宋"/>
          <w:color w:val="auto"/>
          <w:kern w:val="0"/>
          <w:szCs w:val="21"/>
        </w:rPr>
        <w:t>25</w:t>
      </w:r>
      <w:r>
        <w:rPr>
          <w:rFonts w:hint="eastAsia" w:ascii="宋体" w:hAnsi="宋体"/>
          <w:color w:val="auto"/>
          <w:kern w:val="0"/>
          <w:szCs w:val="21"/>
        </w:rPr>
        <w:t xml:space="preserve">%（含 </w:t>
      </w:r>
      <w:r>
        <w:rPr>
          <w:rFonts w:hint="eastAsia" w:ascii="仿宋" w:hAnsi="仿宋" w:eastAsia="仿宋" w:cs="仿宋"/>
          <w:color w:val="auto"/>
          <w:kern w:val="0"/>
          <w:szCs w:val="21"/>
        </w:rPr>
        <w:t>25</w:t>
      </w:r>
      <w:r>
        <w:rPr>
          <w:rFonts w:hint="eastAsia" w:ascii="宋体" w:hAnsi="宋体"/>
          <w:color w:val="auto"/>
          <w:kern w:val="0"/>
          <w:szCs w:val="21"/>
        </w:rPr>
        <w:t>%），并且安置的残疾人人数不少于10人（含10人）；</w:t>
      </w:r>
    </w:p>
    <w:p>
      <w:pPr>
        <w:widowControl/>
        <w:jc w:val="left"/>
        <w:rPr>
          <w:color w:val="auto"/>
          <w:szCs w:val="21"/>
        </w:rPr>
      </w:pPr>
      <w:r>
        <w:rPr>
          <w:rFonts w:hint="eastAsia" w:ascii="宋体" w:hAnsi="宋体"/>
          <w:color w:val="auto"/>
          <w:kern w:val="0"/>
          <w:szCs w:val="21"/>
        </w:rPr>
        <w:t>（二）依法与安置的每位残疾人签订了一年以上（含一年）的劳动合同或服务协议；</w:t>
      </w:r>
    </w:p>
    <w:p>
      <w:pPr>
        <w:widowControl/>
        <w:jc w:val="left"/>
        <w:rPr>
          <w:color w:val="auto"/>
          <w:szCs w:val="21"/>
        </w:rPr>
      </w:pPr>
      <w:r>
        <w:rPr>
          <w:rFonts w:hint="eastAsia" w:ascii="宋体" w:hAnsi="宋体"/>
          <w:color w:val="auto"/>
          <w:kern w:val="0"/>
          <w:szCs w:val="21"/>
        </w:rPr>
        <w:t>（三）为安置的每位残疾人按月足额缴纳了基本养老保险、基本医疗保险、失业保险、工伤保险和生育保险等社会保险费；</w:t>
      </w:r>
    </w:p>
    <w:p>
      <w:pPr>
        <w:widowControl/>
        <w:jc w:val="left"/>
        <w:rPr>
          <w:color w:val="auto"/>
          <w:szCs w:val="21"/>
        </w:rPr>
      </w:pPr>
      <w:r>
        <w:rPr>
          <w:rFonts w:hint="eastAsia" w:ascii="宋体" w:hAnsi="宋体"/>
          <w:color w:val="auto"/>
          <w:kern w:val="0"/>
          <w:szCs w:val="21"/>
        </w:rPr>
        <w:t>（四）通过银行等金融机构向安置的每位残疾人，按月支付了不低于单位所在区县适用的经省级人民政府批准的月最低工资标准的工资；</w:t>
      </w:r>
    </w:p>
    <w:p>
      <w:pPr>
        <w:widowControl/>
        <w:jc w:val="left"/>
        <w:rPr>
          <w:rFonts w:ascii="宋体" w:hAnsi="宋体"/>
          <w:color w:val="auto"/>
          <w:kern w:val="0"/>
          <w:szCs w:val="21"/>
        </w:rPr>
      </w:pPr>
      <w:r>
        <w:rPr>
          <w:rFonts w:hint="eastAsia" w:ascii="宋体" w:hAnsi="宋体"/>
          <w:color w:val="auto"/>
          <w:kern w:val="0"/>
          <w:szCs w:val="21"/>
        </w:rPr>
        <w:t>（五）提供本单位制造的货物、承担的工程或者服务（以下简称产品），或者提供其他残疾人福利性单位制造的货物（不包括使用非残疾人福利性单位注册商标的货物）。</w:t>
      </w:r>
    </w:p>
    <w:p>
      <w:pPr>
        <w:widowControl/>
        <w:jc w:val="left"/>
        <w:rPr>
          <w:color w:val="auto"/>
          <w:szCs w:val="21"/>
        </w:rPr>
      </w:pPr>
      <w:r>
        <w:rPr>
          <w:rFonts w:hint="eastAsia" w:ascii="宋体" w:hAnsi="宋体"/>
          <w:color w:val="auto"/>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jc w:val="left"/>
        <w:rPr>
          <w:color w:val="auto"/>
          <w:szCs w:val="21"/>
        </w:rPr>
      </w:pPr>
      <w:r>
        <w:rPr>
          <w:rFonts w:hint="eastAsia" w:ascii="宋体" w:hAnsi="宋体"/>
          <w:color w:val="auto"/>
          <w:kern w:val="0"/>
          <w:szCs w:val="21"/>
        </w:rPr>
        <w:t>二、中标、成交供应商为残疾人福利性单位的，采购人或者其委托的采购代理机构应当随中标、成交结果同时公告其《残疾人福利性单位声明函》，接受社会监督。</w:t>
      </w:r>
    </w:p>
    <w:p>
      <w:pPr>
        <w:rPr>
          <w:rFonts w:ascii="宋体" w:hAnsi="宋体"/>
          <w:b/>
          <w:bCs/>
          <w:color w:val="auto"/>
          <w:sz w:val="24"/>
        </w:rPr>
      </w:pPr>
      <w:r>
        <w:rPr>
          <w:rFonts w:hint="eastAsia" w:ascii="宋体" w:hAnsi="宋体"/>
          <w:b/>
          <w:bCs/>
          <w:color w:val="auto"/>
          <w:sz w:val="24"/>
        </w:rPr>
        <w:br w:type="page"/>
      </w:r>
    </w:p>
    <w:p>
      <w:pPr>
        <w:spacing w:line="360" w:lineRule="auto"/>
        <w:ind w:firstLine="482" w:firstLineChars="200"/>
        <w:rPr>
          <w:rFonts w:ascii="宋体" w:hAnsi="宋体"/>
          <w:b/>
          <w:bCs/>
          <w:color w:val="auto"/>
          <w:sz w:val="24"/>
        </w:rPr>
      </w:pPr>
      <w:r>
        <w:rPr>
          <w:rFonts w:hint="eastAsia" w:ascii="宋体" w:hAnsi="宋体"/>
          <w:b/>
          <w:bCs/>
          <w:color w:val="auto"/>
          <w:sz w:val="24"/>
        </w:rPr>
        <w:t>1.5</w:t>
      </w:r>
      <w:r>
        <w:rPr>
          <w:rFonts w:hint="eastAsia" w:ascii="宋体" w:hAnsi="宋体"/>
          <w:b/>
          <w:bCs/>
          <w:color w:val="auto"/>
          <w:sz w:val="24"/>
          <w:lang w:val="en-GB"/>
        </w:rPr>
        <w:t>名称变更</w:t>
      </w:r>
      <w:r>
        <w:rPr>
          <w:rFonts w:hint="eastAsia" w:ascii="宋体" w:hAnsi="宋体"/>
          <w:b/>
          <w:bCs/>
          <w:color w:val="auto"/>
          <w:sz w:val="24"/>
        </w:rPr>
        <w:t>证明</w:t>
      </w:r>
    </w:p>
    <w:p>
      <w:pPr>
        <w:spacing w:line="360" w:lineRule="auto"/>
        <w:ind w:firstLine="482" w:firstLineChars="200"/>
        <w:rPr>
          <w:rFonts w:ascii="宋体" w:hAnsi="宋体"/>
          <w:b/>
          <w:bCs/>
          <w:color w:val="auto"/>
          <w:sz w:val="24"/>
        </w:rPr>
      </w:pPr>
    </w:p>
    <w:p>
      <w:pPr>
        <w:spacing w:line="360" w:lineRule="atLeast"/>
        <w:jc w:val="center"/>
        <w:rPr>
          <w:rFonts w:ascii="黑体" w:hAnsi="仿宋" w:eastAsia="黑体" w:cs="仿宋"/>
          <w:bCs/>
          <w:color w:val="auto"/>
          <w:sz w:val="32"/>
          <w:szCs w:val="32"/>
          <w:lang w:val="en-GB"/>
        </w:rPr>
      </w:pPr>
      <w:r>
        <w:rPr>
          <w:rFonts w:hint="eastAsia" w:ascii="黑体" w:hAnsi="仿宋" w:eastAsia="黑体" w:cs="仿宋"/>
          <w:bCs/>
          <w:color w:val="auto"/>
          <w:sz w:val="32"/>
          <w:szCs w:val="32"/>
          <w:lang w:val="en-GB"/>
        </w:rPr>
        <w:t>名称变更</w:t>
      </w:r>
      <w:r>
        <w:rPr>
          <w:rFonts w:hint="eastAsia" w:ascii="黑体" w:hAnsi="仿宋" w:eastAsia="黑体" w:cs="仿宋"/>
          <w:bCs/>
          <w:color w:val="auto"/>
          <w:sz w:val="32"/>
          <w:szCs w:val="32"/>
        </w:rPr>
        <w:t>证明（如果有）</w:t>
      </w:r>
    </w:p>
    <w:p>
      <w:pPr>
        <w:pStyle w:val="13"/>
        <w:spacing w:line="500" w:lineRule="exact"/>
        <w:ind w:left="-120" w:leftChars="-57" w:firstLine="527" w:firstLineChars="250"/>
        <w:rPr>
          <w:rFonts w:hAnsi="宋体"/>
          <w:b/>
          <w:bCs/>
          <w:color w:val="auto"/>
          <w:u w:val="single"/>
        </w:rPr>
      </w:pPr>
      <w:r>
        <w:rPr>
          <w:rFonts w:hint="eastAsia" w:hAnsi="宋体"/>
          <w:b/>
          <w:bCs/>
          <w:color w:val="auto"/>
          <w:u w:val="single"/>
        </w:rPr>
        <w:t>注：供应商如果有名称变更的，应提供由工商管理部门出具的变更证明文件。（复印件加盖供应商公章）</w:t>
      </w: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rPr>
          <w:rFonts w:ascii="黑体" w:hAnsi="仿宋" w:eastAsia="黑体" w:cs="仿宋"/>
          <w:b/>
          <w:color w:val="auto"/>
          <w:sz w:val="32"/>
          <w:szCs w:val="32"/>
        </w:rPr>
      </w:pPr>
    </w:p>
    <w:p>
      <w:pPr>
        <w:spacing w:line="360" w:lineRule="auto"/>
        <w:jc w:val="center"/>
        <w:outlineLvl w:val="1"/>
        <w:rPr>
          <w:rFonts w:ascii="黑体" w:hAnsi="仿宋" w:eastAsia="黑体" w:cs="仿宋"/>
          <w:b/>
          <w:color w:val="auto"/>
          <w:sz w:val="32"/>
          <w:szCs w:val="32"/>
        </w:rPr>
      </w:pPr>
      <w:bookmarkStart w:id="457" w:name="_Toc7153"/>
      <w:bookmarkStart w:id="458" w:name="_Toc1613"/>
      <w:bookmarkStart w:id="459" w:name="_Toc451"/>
      <w:bookmarkStart w:id="460" w:name="_Toc10959"/>
      <w:r>
        <w:rPr>
          <w:rFonts w:hint="eastAsia" w:ascii="黑体" w:hAnsi="仿宋" w:eastAsia="黑体" w:cs="仿宋"/>
          <w:b/>
          <w:color w:val="auto"/>
          <w:sz w:val="32"/>
          <w:szCs w:val="32"/>
        </w:rPr>
        <w:t>二、</w:t>
      </w:r>
      <w:bookmarkEnd w:id="457"/>
      <w:bookmarkEnd w:id="458"/>
      <w:bookmarkEnd w:id="459"/>
      <w:r>
        <w:rPr>
          <w:rFonts w:hint="eastAsia" w:ascii="黑体" w:hAnsi="仿宋" w:eastAsia="黑体" w:cs="仿宋"/>
          <w:b/>
          <w:color w:val="auto"/>
          <w:sz w:val="32"/>
          <w:szCs w:val="32"/>
        </w:rPr>
        <w:t>响应函（格式）</w:t>
      </w:r>
      <w:bookmarkEnd w:id="460"/>
    </w:p>
    <w:p>
      <w:pPr>
        <w:rPr>
          <w:color w:val="auto"/>
        </w:rPr>
      </w:pPr>
      <w:bookmarkStart w:id="461" w:name="_Toc29191"/>
      <w:bookmarkStart w:id="462" w:name="_Toc21086"/>
    </w:p>
    <w:bookmarkEnd w:id="408"/>
    <w:bookmarkEnd w:id="461"/>
    <w:bookmarkEnd w:id="462"/>
    <w:p>
      <w:pPr>
        <w:spacing w:line="360" w:lineRule="auto"/>
        <w:rPr>
          <w:rFonts w:ascii="宋体" w:hAnsi="宋体"/>
          <w:b/>
          <w:bCs/>
          <w:color w:val="auto"/>
          <w:sz w:val="24"/>
        </w:rPr>
      </w:pPr>
      <w:r>
        <w:rPr>
          <w:rFonts w:hint="eastAsia" w:ascii="宋体" w:hAnsi="宋体"/>
          <w:color w:val="auto"/>
          <w:sz w:val="24"/>
        </w:rPr>
        <w:t>致：</w:t>
      </w:r>
      <w:r>
        <w:rPr>
          <w:rFonts w:hint="eastAsia" w:ascii="宋体" w:hAnsi="宋体"/>
          <w:b/>
          <w:bCs/>
          <w:color w:val="auto"/>
          <w:sz w:val="24"/>
        </w:rPr>
        <w:t>陕西中采招项目管理有限公司</w:t>
      </w:r>
    </w:p>
    <w:p>
      <w:pPr>
        <w:spacing w:line="360" w:lineRule="auto"/>
        <w:ind w:firstLine="480" w:firstLineChars="200"/>
        <w:rPr>
          <w:rFonts w:ascii="宋体" w:hAnsi="宋体"/>
          <w:color w:val="auto"/>
          <w:sz w:val="24"/>
        </w:rPr>
      </w:pPr>
      <w:r>
        <w:rPr>
          <w:rFonts w:hint="eastAsia" w:ascii="宋体" w:hAnsi="宋体"/>
          <w:color w:val="auto"/>
          <w:sz w:val="24"/>
        </w:rPr>
        <w:t>为响应你方组织的</w:t>
      </w:r>
      <w:r>
        <w:rPr>
          <w:rFonts w:hint="eastAsia" w:ascii="宋体" w:hAnsi="宋体"/>
          <w:color w:val="auto"/>
          <w:sz w:val="24"/>
          <w:u w:val="single"/>
        </w:rPr>
        <w:t>（</w:t>
      </w:r>
      <w:r>
        <w:rPr>
          <w:rFonts w:hint="eastAsia" w:ascii="宋体" w:hAnsi="宋体"/>
          <w:color w:val="auto"/>
          <w:kern w:val="0"/>
          <w:sz w:val="24"/>
          <w:szCs w:val="20"/>
          <w:u w:val="single"/>
        </w:rPr>
        <w:t>执法全过程系统运维及监督点位项目</w:t>
      </w:r>
      <w:r>
        <w:rPr>
          <w:rFonts w:hint="eastAsia" w:hAnsi="宋体"/>
          <w:color w:val="auto"/>
          <w:sz w:val="24"/>
          <w:u w:val="single"/>
        </w:rPr>
        <w:t>）</w:t>
      </w:r>
      <w:r>
        <w:rPr>
          <w:rFonts w:hint="eastAsia" w:ascii="宋体" w:hAnsi="宋体"/>
          <w:color w:val="auto"/>
          <w:sz w:val="24"/>
        </w:rPr>
        <w:t>的竞争性磋商采购（项目编号为：</w:t>
      </w:r>
      <w:r>
        <w:rPr>
          <w:rFonts w:hint="eastAsia" w:ascii="宋体" w:hAnsi="宋体"/>
          <w:color w:val="auto"/>
          <w:sz w:val="24"/>
          <w:u w:val="single"/>
        </w:rPr>
        <w:t xml:space="preserve"> </w:t>
      </w:r>
      <w:r>
        <w:rPr>
          <w:rFonts w:hint="eastAsia" w:ascii="宋体" w:hAnsi="宋体"/>
          <w:color w:val="auto"/>
          <w:kern w:val="0"/>
          <w:sz w:val="24"/>
          <w:u w:val="single"/>
        </w:rPr>
        <w:t>SXZCZ-2022-58</w:t>
      </w:r>
      <w:r>
        <w:rPr>
          <w:rFonts w:hint="eastAsia" w:ascii="宋体" w:hAnsi="宋体"/>
          <w:color w:val="auto"/>
          <w:sz w:val="24"/>
          <w:u w:val="single"/>
        </w:rPr>
        <w:t xml:space="preserve"> </w:t>
      </w:r>
      <w:r>
        <w:rPr>
          <w:rFonts w:hint="eastAsia" w:ascii="宋体" w:hAnsi="宋体"/>
          <w:color w:val="auto"/>
          <w:sz w:val="24"/>
        </w:rPr>
        <w:t>），我方愿参与磋商。</w:t>
      </w:r>
    </w:p>
    <w:p>
      <w:pPr>
        <w:spacing w:line="360" w:lineRule="auto"/>
        <w:ind w:firstLine="480" w:firstLineChars="200"/>
        <w:rPr>
          <w:rFonts w:ascii="宋体" w:hAnsi="宋体"/>
          <w:color w:val="auto"/>
          <w:sz w:val="24"/>
        </w:rPr>
      </w:pPr>
      <w:r>
        <w:rPr>
          <w:rFonts w:hint="eastAsia" w:ascii="宋体" w:hAnsi="宋体"/>
          <w:color w:val="auto"/>
          <w:sz w:val="24"/>
        </w:rPr>
        <w:t>我方确认收到贵方提供的</w:t>
      </w:r>
      <w:r>
        <w:rPr>
          <w:rFonts w:hint="eastAsia" w:ascii="宋体" w:hAnsi="宋体"/>
          <w:color w:val="auto"/>
          <w:sz w:val="24"/>
          <w:u w:val="single"/>
        </w:rPr>
        <w:t xml:space="preserve">  （</w:t>
      </w:r>
      <w:r>
        <w:rPr>
          <w:rFonts w:hint="eastAsia" w:ascii="宋体" w:hAnsi="宋体"/>
          <w:color w:val="auto"/>
          <w:kern w:val="0"/>
          <w:sz w:val="24"/>
          <w:szCs w:val="20"/>
          <w:u w:val="single"/>
        </w:rPr>
        <w:t>执法全过程系统运维及监督点位项目</w:t>
      </w:r>
      <w:r>
        <w:rPr>
          <w:rFonts w:hint="eastAsia" w:hAnsi="宋体"/>
          <w:color w:val="auto"/>
          <w:sz w:val="24"/>
          <w:u w:val="single"/>
        </w:rPr>
        <w:t>）</w:t>
      </w:r>
      <w:r>
        <w:rPr>
          <w:rFonts w:hint="eastAsia" w:ascii="宋体" w:hAnsi="宋体"/>
          <w:color w:val="auto"/>
          <w:sz w:val="24"/>
          <w:u w:val="single"/>
        </w:rPr>
        <w:t xml:space="preserve">  </w:t>
      </w:r>
      <w:r>
        <w:rPr>
          <w:rFonts w:hint="eastAsia" w:ascii="宋体" w:hAnsi="宋体"/>
          <w:color w:val="auto"/>
          <w:sz w:val="24"/>
        </w:rPr>
        <w:t>磋商文件的全部内容。</w:t>
      </w:r>
    </w:p>
    <w:p>
      <w:pPr>
        <w:spacing w:line="360" w:lineRule="auto"/>
        <w:ind w:firstLine="480" w:firstLineChars="200"/>
        <w:rPr>
          <w:rFonts w:ascii="宋体" w:hAnsi="宋体"/>
          <w:color w:val="auto"/>
          <w:sz w:val="24"/>
        </w:rPr>
      </w:pPr>
      <w:r>
        <w:rPr>
          <w:rFonts w:hint="eastAsia" w:ascii="宋体" w:hAnsi="宋体"/>
          <w:color w:val="auto"/>
          <w:sz w:val="24"/>
        </w:rPr>
        <w:t>我方在参与磋商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spacing w:line="360" w:lineRule="auto"/>
        <w:ind w:firstLine="480" w:firstLineChars="200"/>
        <w:rPr>
          <w:rFonts w:ascii="宋体" w:hAnsi="宋体"/>
          <w:color w:val="auto"/>
          <w:sz w:val="24"/>
        </w:rPr>
      </w:pPr>
      <w:r>
        <w:rPr>
          <w:rFonts w:hint="eastAsia" w:ascii="宋体" w:hAnsi="宋体"/>
          <w:color w:val="auto"/>
          <w:sz w:val="24"/>
          <w:u w:val="single"/>
        </w:rPr>
        <w:t xml:space="preserve">      (供应商名称)      </w:t>
      </w:r>
      <w:r>
        <w:rPr>
          <w:rFonts w:hint="eastAsia" w:ascii="宋体" w:hAnsi="宋体"/>
          <w:color w:val="auto"/>
          <w:sz w:val="24"/>
        </w:rPr>
        <w:t>作为供应商正式授权</w:t>
      </w:r>
      <w:r>
        <w:rPr>
          <w:rFonts w:hint="eastAsia" w:ascii="宋体" w:hAnsi="宋体"/>
          <w:color w:val="auto"/>
          <w:sz w:val="24"/>
          <w:u w:val="single"/>
        </w:rPr>
        <w:t xml:space="preserve">  (授权代表全名, 职务)  </w:t>
      </w:r>
      <w:r>
        <w:rPr>
          <w:rFonts w:hint="eastAsia" w:ascii="宋体" w:hAnsi="宋体"/>
          <w:color w:val="auto"/>
          <w:sz w:val="24"/>
        </w:rPr>
        <w:t>代表我方全权处理有关本响应的一切事宜。</w:t>
      </w:r>
    </w:p>
    <w:p>
      <w:pPr>
        <w:spacing w:line="360" w:lineRule="auto"/>
        <w:ind w:firstLine="480" w:firstLineChars="200"/>
        <w:rPr>
          <w:rFonts w:ascii="宋体" w:hAnsi="宋体"/>
          <w:color w:val="auto"/>
          <w:sz w:val="24"/>
        </w:rPr>
      </w:pPr>
      <w:r>
        <w:rPr>
          <w:rFonts w:hint="eastAsia" w:ascii="宋体" w:hAnsi="宋体"/>
          <w:color w:val="auto"/>
          <w:sz w:val="24"/>
        </w:rPr>
        <w:t>在此提交的响应文件，正本壹份，副本</w:t>
      </w:r>
      <w:r>
        <w:rPr>
          <w:rFonts w:hint="eastAsia" w:ascii="宋体" w:hAnsi="宋体"/>
          <w:color w:val="auto"/>
          <w:sz w:val="24"/>
          <w:u w:val="single"/>
        </w:rPr>
        <w:t xml:space="preserve">    </w:t>
      </w:r>
      <w:r>
        <w:rPr>
          <w:rFonts w:hint="eastAsia" w:ascii="宋体" w:hAnsi="宋体"/>
          <w:color w:val="auto"/>
          <w:sz w:val="24"/>
        </w:rPr>
        <w:t>份，电子版本</w:t>
      </w:r>
      <w:r>
        <w:rPr>
          <w:rFonts w:hint="eastAsia" w:ascii="宋体" w:hAnsi="宋体"/>
          <w:color w:val="auto"/>
          <w:sz w:val="24"/>
          <w:u w:val="single"/>
        </w:rPr>
        <w:t xml:space="preserve">    </w:t>
      </w:r>
      <w:r>
        <w:rPr>
          <w:rFonts w:hint="eastAsia" w:ascii="宋体" w:hAnsi="宋体"/>
          <w:color w:val="auto"/>
          <w:sz w:val="24"/>
        </w:rPr>
        <w:t>份。</w:t>
      </w:r>
    </w:p>
    <w:p>
      <w:pPr>
        <w:spacing w:line="360" w:lineRule="auto"/>
        <w:ind w:firstLine="480" w:firstLineChars="200"/>
        <w:rPr>
          <w:rFonts w:ascii="宋体" w:hAnsi="宋体"/>
          <w:color w:val="auto"/>
          <w:sz w:val="24"/>
        </w:rPr>
      </w:pPr>
      <w:r>
        <w:rPr>
          <w:rFonts w:hint="eastAsia" w:ascii="宋体" w:hAnsi="宋体"/>
          <w:color w:val="auto"/>
          <w:sz w:val="24"/>
        </w:rPr>
        <w:t>我方已完全明白磋商文件的所有条款要求，并申明如下：</w:t>
      </w:r>
    </w:p>
    <w:p>
      <w:pPr>
        <w:spacing w:line="360" w:lineRule="auto"/>
        <w:ind w:firstLine="480" w:firstLineChars="200"/>
        <w:rPr>
          <w:rFonts w:ascii="宋体" w:hAnsi="宋体"/>
          <w:color w:val="auto"/>
          <w:sz w:val="24"/>
        </w:rPr>
      </w:pPr>
      <w:r>
        <w:rPr>
          <w:rFonts w:hint="eastAsia" w:ascii="宋体" w:hAnsi="宋体"/>
          <w:color w:val="auto"/>
          <w:sz w:val="24"/>
        </w:rPr>
        <w:t>（一）按磋商文件提供的全部服务的响应总价详见《首次报价一览表》。</w:t>
      </w:r>
    </w:p>
    <w:p>
      <w:pPr>
        <w:spacing w:line="360" w:lineRule="auto"/>
        <w:ind w:firstLine="480" w:firstLineChars="200"/>
        <w:rPr>
          <w:rFonts w:ascii="宋体" w:hAnsi="宋体"/>
          <w:color w:val="auto"/>
          <w:sz w:val="24"/>
        </w:rPr>
      </w:pPr>
      <w:r>
        <w:rPr>
          <w:rFonts w:hint="eastAsia" w:ascii="宋体" w:hAnsi="宋体"/>
          <w:color w:val="auto"/>
          <w:sz w:val="24"/>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hAnsi="宋体"/>
          <w:color w:val="auto"/>
          <w:sz w:val="24"/>
        </w:rPr>
      </w:pPr>
      <w:r>
        <w:rPr>
          <w:rFonts w:hint="eastAsia" w:ascii="宋体" w:hAnsi="宋体"/>
          <w:color w:val="auto"/>
          <w:sz w:val="24"/>
        </w:rPr>
        <w:t>（三）我方明白并同意，在规定的开标日之后，响应有效期之内撤回响应或成交后不按规定与采购人签订合同或不提交履约保证金，则贵方将不予退还磋商保证金。</w:t>
      </w:r>
    </w:p>
    <w:p>
      <w:pPr>
        <w:spacing w:line="360" w:lineRule="auto"/>
        <w:ind w:firstLine="480" w:firstLineChars="200"/>
        <w:rPr>
          <w:rFonts w:ascii="宋体" w:hAnsi="宋体"/>
          <w:color w:val="auto"/>
          <w:sz w:val="24"/>
        </w:rPr>
      </w:pPr>
      <w:r>
        <w:rPr>
          <w:rFonts w:hint="eastAsia" w:ascii="宋体" w:hAnsi="宋体"/>
          <w:color w:val="auto"/>
          <w:sz w:val="24"/>
        </w:rPr>
        <w:t>（四）我方同意按照贵方可能提出的要求而提供与响应有关的任何其它数据、信息或资料。</w:t>
      </w:r>
    </w:p>
    <w:p>
      <w:pPr>
        <w:spacing w:line="360" w:lineRule="auto"/>
        <w:ind w:firstLine="480" w:firstLineChars="200"/>
        <w:rPr>
          <w:rFonts w:ascii="宋体" w:hAnsi="宋体"/>
          <w:color w:val="auto"/>
          <w:sz w:val="24"/>
        </w:rPr>
      </w:pPr>
      <w:r>
        <w:rPr>
          <w:rFonts w:hint="eastAsia" w:ascii="宋体" w:hAnsi="宋体"/>
          <w:color w:val="auto"/>
          <w:sz w:val="24"/>
        </w:rPr>
        <w:t>（五）我方理解贵方不一定接受最低响应价或任何贵方可能收到的响应报价。</w:t>
      </w:r>
    </w:p>
    <w:p>
      <w:pPr>
        <w:spacing w:line="360" w:lineRule="auto"/>
        <w:ind w:firstLine="480" w:firstLineChars="200"/>
        <w:rPr>
          <w:rFonts w:ascii="宋体" w:hAnsi="宋体"/>
          <w:color w:val="auto"/>
          <w:sz w:val="24"/>
        </w:rPr>
      </w:pPr>
      <w:r>
        <w:rPr>
          <w:rFonts w:hint="eastAsia" w:ascii="宋体" w:hAnsi="宋体"/>
          <w:color w:val="auto"/>
          <w:sz w:val="24"/>
        </w:rPr>
        <w:t>（六）我方如果成交，将保证履行磋商文件及其澄清、修改文件（如果有）中的全部责任和义务，按质、按量、按期完成《用户需求书》及《合同书》中的全部任务。</w:t>
      </w:r>
    </w:p>
    <w:p>
      <w:pPr>
        <w:spacing w:line="360" w:lineRule="auto"/>
        <w:ind w:firstLine="480" w:firstLineChars="200"/>
        <w:rPr>
          <w:rFonts w:ascii="宋体" w:hAnsi="宋体"/>
          <w:color w:val="auto"/>
          <w:sz w:val="24"/>
        </w:rPr>
      </w:pPr>
      <w:r>
        <w:rPr>
          <w:rFonts w:hint="eastAsia" w:ascii="宋体" w:hAnsi="宋体"/>
          <w:color w:val="auto"/>
          <w:sz w:val="24"/>
        </w:rPr>
        <w:t>（七）如我方被授予合同，我方承诺支付就本次采购应支付或将支付的采购代理服务费。</w:t>
      </w:r>
    </w:p>
    <w:p>
      <w:pPr>
        <w:spacing w:line="360" w:lineRule="auto"/>
        <w:ind w:firstLine="480" w:firstLineChars="200"/>
        <w:rPr>
          <w:rFonts w:ascii="宋体" w:hAnsi="宋体"/>
          <w:color w:val="auto"/>
          <w:sz w:val="24"/>
        </w:rPr>
      </w:pPr>
      <w:r>
        <w:rPr>
          <w:rFonts w:hint="eastAsia" w:ascii="宋体" w:hAnsi="宋体"/>
          <w:color w:val="auto"/>
          <w:sz w:val="24"/>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color w:val="auto"/>
          <w:sz w:val="24"/>
        </w:rPr>
      </w:pPr>
      <w:r>
        <w:rPr>
          <w:rFonts w:hint="eastAsia" w:ascii="宋体" w:hAnsi="宋体"/>
          <w:color w:val="auto"/>
          <w:sz w:val="24"/>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rPr>
          <w:rFonts w:ascii="宋体" w:hAnsi="宋体"/>
          <w:color w:val="auto"/>
          <w:sz w:val="24"/>
        </w:rPr>
      </w:pPr>
      <w:bookmarkStart w:id="463" w:name="_Toc20139"/>
      <w:bookmarkStart w:id="464" w:name="_Toc30327"/>
      <w:bookmarkStart w:id="465" w:name="_Toc2656"/>
      <w:r>
        <w:rPr>
          <w:rFonts w:hint="eastAsia" w:ascii="宋体" w:hAnsi="宋体"/>
          <w:color w:val="auto"/>
          <w:sz w:val="24"/>
        </w:rPr>
        <w:t>（十）</w:t>
      </w:r>
      <w:r>
        <w:rPr>
          <w:rFonts w:hint="eastAsia" w:ascii="宋体" w:hAnsi="宋体"/>
          <w:b/>
          <w:bCs/>
          <w:color w:val="auto"/>
          <w:sz w:val="24"/>
          <w:u w:val="single"/>
        </w:rPr>
        <w:t>我方符合磋商文件中“供应商资格要求”规定的条件</w:t>
      </w:r>
      <w:r>
        <w:rPr>
          <w:rFonts w:hint="eastAsia" w:ascii="宋体" w:hAnsi="宋体"/>
          <w:color w:val="auto"/>
          <w:sz w:val="24"/>
        </w:rPr>
        <w:t>，承诺如下：</w:t>
      </w:r>
      <w:bookmarkEnd w:id="463"/>
      <w:bookmarkEnd w:id="464"/>
      <w:bookmarkEnd w:id="465"/>
    </w:p>
    <w:p>
      <w:pPr>
        <w:spacing w:line="360" w:lineRule="auto"/>
        <w:ind w:firstLine="480" w:firstLineChars="200"/>
        <w:rPr>
          <w:rFonts w:ascii="宋体" w:hAnsi="宋体"/>
          <w:color w:val="auto"/>
          <w:sz w:val="24"/>
        </w:rPr>
      </w:pPr>
      <w:bookmarkStart w:id="466" w:name="_Toc2071"/>
      <w:bookmarkStart w:id="467" w:name="_Toc14364"/>
      <w:bookmarkStart w:id="468" w:name="_Toc17937"/>
      <w:r>
        <w:rPr>
          <w:rFonts w:hint="eastAsia" w:ascii="宋体" w:hAnsi="宋体"/>
          <w:color w:val="auto"/>
          <w:sz w:val="24"/>
        </w:rPr>
        <w:t>（1）我方具有独立承担民事责任的能力，且是中华人民共和国境内注册的法人、其他组织或自然人；</w:t>
      </w:r>
      <w:bookmarkEnd w:id="466"/>
    </w:p>
    <w:p>
      <w:pPr>
        <w:spacing w:line="360" w:lineRule="auto"/>
        <w:ind w:firstLine="480" w:firstLineChars="200"/>
        <w:rPr>
          <w:rFonts w:ascii="宋体" w:hAnsi="宋体"/>
          <w:color w:val="auto"/>
          <w:sz w:val="24"/>
        </w:rPr>
      </w:pPr>
      <w:bookmarkStart w:id="469" w:name="_Toc9945"/>
      <w:r>
        <w:rPr>
          <w:rFonts w:hint="eastAsia" w:ascii="宋体" w:hAnsi="宋体"/>
          <w:color w:val="auto"/>
          <w:sz w:val="24"/>
        </w:rPr>
        <w:t>（2）我方具有良好的商业信誉和健全的财务会计制度；</w:t>
      </w:r>
      <w:bookmarkEnd w:id="467"/>
      <w:bookmarkEnd w:id="468"/>
      <w:bookmarkEnd w:id="469"/>
    </w:p>
    <w:p>
      <w:pPr>
        <w:spacing w:line="360" w:lineRule="auto"/>
        <w:ind w:firstLine="480" w:firstLineChars="200"/>
        <w:rPr>
          <w:rFonts w:ascii="宋体" w:hAnsi="宋体"/>
          <w:color w:val="auto"/>
          <w:sz w:val="24"/>
        </w:rPr>
      </w:pPr>
      <w:bookmarkStart w:id="470" w:name="_Toc25294"/>
      <w:bookmarkStart w:id="471" w:name="_Toc24656"/>
      <w:bookmarkStart w:id="472" w:name="_Toc25137"/>
      <w:r>
        <w:rPr>
          <w:rFonts w:hint="eastAsia" w:ascii="宋体" w:hAnsi="宋体"/>
          <w:color w:val="auto"/>
          <w:sz w:val="24"/>
        </w:rPr>
        <w:t>（3）我方具有履行合同所必须的设备和专业技术能力；</w:t>
      </w:r>
      <w:bookmarkEnd w:id="470"/>
      <w:bookmarkEnd w:id="471"/>
      <w:bookmarkEnd w:id="472"/>
    </w:p>
    <w:p>
      <w:pPr>
        <w:spacing w:line="360" w:lineRule="auto"/>
        <w:ind w:firstLine="480" w:firstLineChars="200"/>
        <w:rPr>
          <w:rFonts w:ascii="宋体" w:hAnsi="宋体"/>
          <w:color w:val="auto"/>
          <w:sz w:val="24"/>
        </w:rPr>
      </w:pPr>
      <w:bookmarkStart w:id="473" w:name="_Toc20410"/>
      <w:bookmarkStart w:id="474" w:name="_Toc16193"/>
      <w:bookmarkStart w:id="475" w:name="_Toc20191"/>
      <w:r>
        <w:rPr>
          <w:rFonts w:hint="eastAsia" w:ascii="宋体" w:hAnsi="宋体"/>
          <w:color w:val="auto"/>
          <w:sz w:val="24"/>
        </w:rPr>
        <w:t>（4）我方具有依法缴纳税收和社会保障资金的良好记录；</w:t>
      </w:r>
      <w:bookmarkEnd w:id="473"/>
      <w:bookmarkEnd w:id="474"/>
      <w:bookmarkEnd w:id="475"/>
    </w:p>
    <w:p>
      <w:pPr>
        <w:spacing w:line="360" w:lineRule="auto"/>
        <w:ind w:firstLine="480" w:firstLineChars="200"/>
        <w:rPr>
          <w:rFonts w:ascii="宋体" w:hAnsi="宋体"/>
          <w:color w:val="auto"/>
          <w:sz w:val="24"/>
        </w:rPr>
      </w:pPr>
      <w:bookmarkStart w:id="476" w:name="_Toc16926"/>
      <w:bookmarkStart w:id="477" w:name="_Toc14579"/>
      <w:bookmarkStart w:id="478" w:name="_Toc21563"/>
      <w:r>
        <w:rPr>
          <w:rFonts w:hint="eastAsia" w:ascii="宋体" w:hAnsi="宋体"/>
          <w:color w:val="auto"/>
          <w:sz w:val="24"/>
        </w:rPr>
        <w:t>（5）我方参加本次政府采购活动前三年内，在经营活动中没有重大违法记录；</w:t>
      </w:r>
      <w:bookmarkEnd w:id="476"/>
      <w:bookmarkEnd w:id="477"/>
      <w:bookmarkEnd w:id="478"/>
    </w:p>
    <w:p>
      <w:pPr>
        <w:spacing w:line="360" w:lineRule="auto"/>
        <w:ind w:firstLine="480" w:firstLineChars="200"/>
        <w:rPr>
          <w:rFonts w:ascii="宋体" w:hAnsi="宋体"/>
          <w:color w:val="auto"/>
          <w:sz w:val="24"/>
        </w:rPr>
      </w:pPr>
      <w:bookmarkStart w:id="479" w:name="_Toc7846"/>
      <w:bookmarkStart w:id="480" w:name="_Toc30273"/>
      <w:bookmarkStart w:id="481" w:name="_Toc32489"/>
      <w:r>
        <w:rPr>
          <w:rFonts w:hint="eastAsia" w:ascii="宋体" w:hAnsi="宋体"/>
          <w:color w:val="auto"/>
          <w:sz w:val="24"/>
        </w:rPr>
        <w:t>（6）我方具有法律、行政法规规定的其他条件；</w:t>
      </w:r>
      <w:bookmarkEnd w:id="479"/>
      <w:bookmarkEnd w:id="480"/>
      <w:bookmarkEnd w:id="481"/>
    </w:p>
    <w:p>
      <w:pPr>
        <w:spacing w:line="360" w:lineRule="auto"/>
        <w:ind w:firstLine="480" w:firstLineChars="200"/>
        <w:rPr>
          <w:rFonts w:ascii="宋体" w:hAnsi="宋体"/>
          <w:color w:val="auto"/>
          <w:sz w:val="24"/>
        </w:rPr>
      </w:pPr>
      <w:bookmarkStart w:id="482" w:name="_Toc19026"/>
      <w:bookmarkStart w:id="483" w:name="_Toc9446"/>
      <w:bookmarkStart w:id="484" w:name="_Toc3674"/>
      <w:r>
        <w:rPr>
          <w:rFonts w:hint="eastAsia" w:ascii="宋体" w:hAnsi="宋体"/>
          <w:color w:val="auto"/>
          <w:sz w:val="24"/>
        </w:rPr>
        <w:t>（7）我方具备采购人根据采购项目提出的特殊条件（如果有）。</w:t>
      </w:r>
      <w:bookmarkEnd w:id="482"/>
      <w:bookmarkEnd w:id="483"/>
      <w:bookmarkEnd w:id="484"/>
    </w:p>
    <w:p>
      <w:pPr>
        <w:spacing w:line="360" w:lineRule="auto"/>
        <w:ind w:firstLine="482" w:firstLineChars="200"/>
        <w:rPr>
          <w:rFonts w:ascii="宋体" w:hAnsi="宋体"/>
          <w:b/>
          <w:bCs/>
          <w:color w:val="auto"/>
          <w:sz w:val="24"/>
          <w:u w:val="single"/>
        </w:rPr>
      </w:pPr>
      <w:bookmarkStart w:id="485" w:name="_Toc7440"/>
      <w:bookmarkStart w:id="486" w:name="_Toc18816"/>
      <w:bookmarkStart w:id="487" w:name="_Toc28260"/>
      <w:r>
        <w:rPr>
          <w:rFonts w:hint="eastAsia" w:ascii="宋体" w:hAnsi="宋体"/>
          <w:b/>
          <w:bCs/>
          <w:color w:val="auto"/>
          <w:sz w:val="24"/>
          <w:u w:val="single"/>
        </w:rPr>
        <w:t>以上内容如有虚假或与事实不符的，磋商小组可将我方做无效响应处理，相关法律责任和处罚也由我方承担。</w:t>
      </w:r>
      <w:bookmarkEnd w:id="485"/>
      <w:bookmarkEnd w:id="486"/>
      <w:bookmarkEnd w:id="487"/>
    </w:p>
    <w:p>
      <w:pPr>
        <w:spacing w:line="360" w:lineRule="auto"/>
        <w:ind w:firstLine="480" w:firstLineChars="200"/>
        <w:rPr>
          <w:rFonts w:ascii="宋体" w:hAnsi="宋体"/>
          <w:color w:val="auto"/>
          <w:sz w:val="24"/>
        </w:rPr>
      </w:pPr>
      <w:r>
        <w:rPr>
          <w:rFonts w:hint="eastAsia" w:ascii="宋体" w:hAnsi="宋体"/>
          <w:color w:val="auto"/>
          <w:sz w:val="24"/>
        </w:rPr>
        <w:t>（十一）我方对在本函及响应文件中所作的所有承诺承担法律责任。</w:t>
      </w:r>
    </w:p>
    <w:p>
      <w:pPr>
        <w:spacing w:line="360" w:lineRule="auto"/>
        <w:ind w:firstLine="480" w:firstLineChars="200"/>
        <w:rPr>
          <w:rFonts w:ascii="宋体" w:hAnsi="宋体"/>
          <w:color w:val="auto"/>
          <w:sz w:val="24"/>
        </w:rPr>
      </w:pPr>
      <w:r>
        <w:rPr>
          <w:rFonts w:hint="eastAsia" w:ascii="宋体" w:hAnsi="宋体"/>
          <w:color w:val="auto"/>
          <w:sz w:val="24"/>
        </w:rPr>
        <w:t>（十二）所有与本采购有关的函件请发往下列地址：</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电    话：</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传    真：</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代表姓名：</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r>
        <w:rPr>
          <w:rFonts w:hint="eastAsia" w:ascii="宋体" w:hAnsi="宋体"/>
          <w:color w:val="auto"/>
          <w:sz w:val="24"/>
        </w:rPr>
        <w:t>.</w:t>
      </w:r>
    </w:p>
    <w:p>
      <w:pPr>
        <w:spacing w:line="360" w:lineRule="auto"/>
        <w:rPr>
          <w:rFonts w:ascii="宋体" w:hAnsi="宋体"/>
          <w:color w:val="auto"/>
          <w:sz w:val="24"/>
          <w:u w:val="single"/>
        </w:rPr>
      </w:pPr>
    </w:p>
    <w:p>
      <w:pPr>
        <w:spacing w:line="360" w:lineRule="auto"/>
        <w:rPr>
          <w:rFonts w:ascii="宋体" w:hAnsi="宋体"/>
          <w:color w:val="auto"/>
          <w:sz w:val="24"/>
          <w:u w:val="single"/>
        </w:rPr>
      </w:pPr>
    </w:p>
    <w:p>
      <w:pPr>
        <w:spacing w:line="360" w:lineRule="auto"/>
        <w:rPr>
          <w:rFonts w:ascii="宋体" w:hAnsi="宋体"/>
          <w:color w:val="auto"/>
          <w:sz w:val="24"/>
          <w:u w:val="single"/>
        </w:rPr>
      </w:pPr>
    </w:p>
    <w:p>
      <w:pPr>
        <w:spacing w:line="360" w:lineRule="auto"/>
        <w:rPr>
          <w:rFonts w:ascii="宋体" w:hAnsi="宋体"/>
          <w:color w:val="auto"/>
          <w:sz w:val="24"/>
          <w:u w:val="single"/>
        </w:rPr>
      </w:pP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u w:val="single"/>
        </w:rPr>
      </w:pP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u w:val="single"/>
        </w:rPr>
      </w:pPr>
      <w:r>
        <w:rPr>
          <w:rFonts w:hint="eastAsia" w:ascii="宋体" w:hAnsi="宋体"/>
          <w:color w:val="auto"/>
          <w:sz w:val="24"/>
        </w:rPr>
        <w:t>供应商名称（盖章）：</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480" w:firstLineChars="200"/>
        <w:rPr>
          <w:rFonts w:ascii="仿宋_GB2312" w:hAnsi="仿宋" w:eastAsia="仿宋_GB2312" w:cs="仿宋"/>
          <w:color w:val="auto"/>
          <w:sz w:val="24"/>
        </w:rPr>
      </w:pPr>
    </w:p>
    <w:p>
      <w:pPr>
        <w:pStyle w:val="11"/>
        <w:rPr>
          <w:rFonts w:ascii="仿宋_GB2312" w:hAnsi="仿宋" w:eastAsia="仿宋_GB2312" w:cs="仿宋"/>
          <w:color w:val="auto"/>
          <w:sz w:val="24"/>
        </w:rPr>
      </w:pPr>
    </w:p>
    <w:p>
      <w:pPr>
        <w:pStyle w:val="11"/>
        <w:rPr>
          <w:rFonts w:ascii="仿宋_GB2312" w:hAnsi="仿宋" w:eastAsia="仿宋_GB2312" w:cs="仿宋"/>
          <w:color w:val="auto"/>
          <w:sz w:val="24"/>
        </w:rPr>
      </w:pPr>
    </w:p>
    <w:p>
      <w:pPr>
        <w:spacing w:line="360" w:lineRule="atLeast"/>
        <w:jc w:val="center"/>
        <w:outlineLvl w:val="1"/>
        <w:rPr>
          <w:rFonts w:ascii="黑体" w:hAnsi="仿宋" w:eastAsia="黑体" w:cs="仿宋"/>
          <w:b/>
          <w:color w:val="auto"/>
          <w:sz w:val="32"/>
          <w:szCs w:val="32"/>
        </w:rPr>
      </w:pPr>
    </w:p>
    <w:p>
      <w:pPr>
        <w:spacing w:line="360" w:lineRule="atLeast"/>
        <w:jc w:val="center"/>
        <w:outlineLvl w:val="1"/>
        <w:rPr>
          <w:rFonts w:ascii="黑体" w:hAnsi="仿宋" w:eastAsia="黑体" w:cs="仿宋"/>
          <w:b/>
          <w:color w:val="auto"/>
          <w:sz w:val="32"/>
          <w:szCs w:val="32"/>
        </w:rPr>
      </w:pPr>
      <w:bookmarkStart w:id="488" w:name="_Toc2416"/>
      <w:r>
        <w:rPr>
          <w:rFonts w:hint="eastAsia" w:ascii="黑体" w:hAnsi="仿宋" w:eastAsia="黑体" w:cs="仿宋"/>
          <w:b/>
          <w:color w:val="auto"/>
          <w:sz w:val="32"/>
          <w:szCs w:val="32"/>
          <w:lang w:val="en-US" w:eastAsia="zh-CN"/>
        </w:rPr>
        <w:t>三</w:t>
      </w:r>
      <w:r>
        <w:rPr>
          <w:rFonts w:hint="eastAsia" w:ascii="黑体" w:hAnsi="仿宋" w:eastAsia="黑体" w:cs="仿宋"/>
          <w:b/>
          <w:color w:val="auto"/>
          <w:sz w:val="32"/>
          <w:szCs w:val="32"/>
        </w:rPr>
        <w:t>、报价表</w:t>
      </w:r>
      <w:bookmarkEnd w:id="488"/>
    </w:p>
    <w:p>
      <w:pPr>
        <w:spacing w:line="360" w:lineRule="auto"/>
        <w:ind w:firstLine="482" w:firstLineChars="200"/>
        <w:rPr>
          <w:rFonts w:ascii="宋体" w:cs="Times New Roman"/>
          <w:b/>
          <w:bCs/>
          <w:color w:val="auto"/>
          <w:sz w:val="24"/>
        </w:rPr>
      </w:pPr>
      <w:r>
        <w:rPr>
          <w:rFonts w:ascii="宋体" w:hAnsi="宋体"/>
          <w:b/>
          <w:bCs/>
          <w:color w:val="auto"/>
          <w:sz w:val="24"/>
        </w:rPr>
        <w:t>4.1</w:t>
      </w:r>
      <w:r>
        <w:rPr>
          <w:rFonts w:hint="eastAsia" w:ascii="宋体" w:hAnsi="宋体"/>
          <w:b/>
          <w:bCs/>
          <w:color w:val="auto"/>
          <w:sz w:val="24"/>
        </w:rPr>
        <w:t>首次报价一览表（格式）</w:t>
      </w:r>
    </w:p>
    <w:p>
      <w:pPr>
        <w:spacing w:line="360" w:lineRule="auto"/>
        <w:ind w:firstLine="482" w:firstLineChars="200"/>
        <w:rPr>
          <w:rFonts w:ascii="宋体" w:cs="Times New Roman"/>
          <w:b/>
          <w:bCs/>
          <w:color w:val="auto"/>
          <w:sz w:val="24"/>
        </w:rPr>
      </w:pPr>
      <w:r>
        <w:rPr>
          <w:rFonts w:ascii="宋体" w:hAnsi="宋体"/>
          <w:b/>
          <w:bCs/>
          <w:color w:val="auto"/>
          <w:sz w:val="24"/>
        </w:rPr>
        <w:t>4.2</w:t>
      </w:r>
      <w:r>
        <w:rPr>
          <w:rFonts w:hint="eastAsia" w:ascii="宋体" w:hAnsi="宋体"/>
          <w:b/>
          <w:bCs/>
          <w:color w:val="auto"/>
          <w:sz w:val="24"/>
        </w:rPr>
        <w:t>分项报价表（格式）</w:t>
      </w: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cs="Times New Roman"/>
          <w:b/>
          <w:bCs/>
          <w:color w:val="auto"/>
          <w:sz w:val="24"/>
        </w:rPr>
      </w:pPr>
    </w:p>
    <w:p>
      <w:pPr>
        <w:spacing w:line="360" w:lineRule="auto"/>
        <w:ind w:firstLine="482" w:firstLineChars="200"/>
        <w:rPr>
          <w:rFonts w:ascii="宋体" w:hAnsi="宋体"/>
          <w:b/>
          <w:bCs/>
          <w:color w:val="auto"/>
          <w:sz w:val="24"/>
        </w:rPr>
      </w:pPr>
    </w:p>
    <w:p>
      <w:pPr>
        <w:spacing w:line="360" w:lineRule="auto"/>
        <w:ind w:firstLine="482" w:firstLineChars="200"/>
        <w:rPr>
          <w:rFonts w:ascii="宋体" w:cs="Times New Roman"/>
          <w:b/>
          <w:bCs/>
          <w:color w:val="auto"/>
          <w:sz w:val="24"/>
        </w:rPr>
      </w:pPr>
      <w:r>
        <w:rPr>
          <w:rFonts w:ascii="宋体" w:hAnsi="宋体"/>
          <w:b/>
          <w:bCs/>
          <w:color w:val="auto"/>
          <w:sz w:val="24"/>
        </w:rPr>
        <w:t>4.1</w:t>
      </w:r>
      <w:r>
        <w:rPr>
          <w:rFonts w:hint="eastAsia" w:ascii="宋体" w:hAnsi="宋体"/>
          <w:b/>
          <w:bCs/>
          <w:color w:val="auto"/>
          <w:sz w:val="24"/>
        </w:rPr>
        <w:t>首次报价一览表</w:t>
      </w:r>
    </w:p>
    <w:p>
      <w:pPr>
        <w:spacing w:line="360" w:lineRule="atLeast"/>
        <w:jc w:val="center"/>
        <w:rPr>
          <w:rFonts w:ascii="黑体" w:hAnsi="仿宋" w:eastAsia="黑体" w:cs="Times New Roman"/>
          <w:color w:val="auto"/>
          <w:sz w:val="32"/>
          <w:szCs w:val="32"/>
        </w:rPr>
      </w:pPr>
      <w:r>
        <w:rPr>
          <w:rFonts w:hint="eastAsia" w:ascii="黑体" w:hAnsi="仿宋" w:eastAsia="黑体" w:cs="黑体"/>
          <w:color w:val="auto"/>
          <w:sz w:val="32"/>
          <w:szCs w:val="32"/>
        </w:rPr>
        <w:t>首次报价一览表（格式）</w:t>
      </w:r>
    </w:p>
    <w:p>
      <w:pPr>
        <w:spacing w:line="360" w:lineRule="auto"/>
        <w:ind w:firstLine="480" w:firstLineChars="200"/>
        <w:rPr>
          <w:rFonts w:ascii="宋体" w:cs="Times New Roman"/>
          <w:color w:val="auto"/>
          <w:sz w:val="24"/>
        </w:rPr>
      </w:pPr>
      <w:r>
        <w:rPr>
          <w:rFonts w:hint="eastAsia" w:ascii="宋体" w:hAnsi="宋体"/>
          <w:color w:val="auto"/>
          <w:sz w:val="24"/>
        </w:rPr>
        <w:t>项目名称：</w:t>
      </w:r>
      <w:r>
        <w:rPr>
          <w:rFonts w:hint="eastAsia" w:ascii="宋体" w:hAnsi="宋体"/>
          <w:color w:val="auto"/>
          <w:kern w:val="0"/>
          <w:sz w:val="24"/>
          <w:szCs w:val="20"/>
          <w:u w:val="single"/>
        </w:rPr>
        <w:t>执法全过程系统运维及监督点位项目</w:t>
      </w:r>
    </w:p>
    <w:p>
      <w:pPr>
        <w:spacing w:line="360" w:lineRule="auto"/>
        <w:ind w:firstLine="480" w:firstLineChars="200"/>
        <w:rPr>
          <w:rFonts w:ascii="宋体" w:cs="Times New Roman"/>
          <w:color w:val="auto"/>
          <w:sz w:val="24"/>
        </w:rPr>
      </w:pPr>
      <w:r>
        <w:rPr>
          <w:rFonts w:hint="eastAsia" w:ascii="宋体" w:hAnsi="宋体"/>
          <w:color w:val="auto"/>
          <w:sz w:val="24"/>
        </w:rPr>
        <w:t>项目编号：</w:t>
      </w:r>
      <w:r>
        <w:rPr>
          <w:rFonts w:hint="eastAsia" w:ascii="宋体" w:hAnsi="宋体"/>
          <w:color w:val="auto"/>
          <w:kern w:val="0"/>
          <w:sz w:val="24"/>
          <w:u w:val="single"/>
        </w:rPr>
        <w:t>SXZCZ-2022-58</w:t>
      </w:r>
    </w:p>
    <w:p>
      <w:pPr>
        <w:spacing w:line="360" w:lineRule="auto"/>
        <w:ind w:firstLine="480" w:firstLineChars="200"/>
        <w:rPr>
          <w:rFonts w:ascii="宋体" w:hAnsi="宋体"/>
          <w:color w:val="auto"/>
          <w:sz w:val="24"/>
        </w:rPr>
      </w:pPr>
      <w:r>
        <w:rPr>
          <w:rFonts w:hint="eastAsia" w:ascii="宋体" w:hAnsi="宋体"/>
          <w:color w:val="auto"/>
          <w:sz w:val="24"/>
        </w:rPr>
        <w:t>供应商：</w:t>
      </w:r>
    </w:p>
    <w:p>
      <w:pPr>
        <w:kinsoku w:val="0"/>
        <w:spacing w:line="500" w:lineRule="exact"/>
        <w:ind w:firstLine="120" w:firstLineChars="50"/>
        <w:jc w:val="center"/>
        <w:rPr>
          <w:rFonts w:ascii="??_GB2312" w:hAnsi="仿宋" w:eastAsia="Times New Roman" w:cs="Times New Roman"/>
          <w:color w:val="auto"/>
          <w:sz w:val="24"/>
        </w:rPr>
      </w:pPr>
      <w:r>
        <w:rPr>
          <w:rFonts w:ascii="宋体" w:hAnsi="宋体"/>
          <w:color w:val="auto"/>
          <w:sz w:val="24"/>
        </w:rPr>
        <w:t xml:space="preserve">                                                           </w:t>
      </w:r>
    </w:p>
    <w:tbl>
      <w:tblPr>
        <w:tblStyle w:val="2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Times New Roman"/>
                <w:color w:val="auto"/>
                <w:sz w:val="24"/>
              </w:rPr>
            </w:pPr>
            <w:r>
              <w:rPr>
                <w:rFonts w:hint="eastAsia" w:ascii="黑体" w:hAnsi="黑体" w:eastAsia="黑体" w:cs="黑体"/>
                <w:color w:val="auto"/>
                <w:sz w:val="24"/>
              </w:rPr>
              <w:t>首次总报价</w:t>
            </w:r>
          </w:p>
        </w:tc>
        <w:tc>
          <w:tcPr>
            <w:tcW w:w="6503" w:type="dxa"/>
            <w:vAlign w:val="center"/>
          </w:tcPr>
          <w:p>
            <w:pPr>
              <w:jc w:val="center"/>
              <w:rPr>
                <w:rFonts w:ascii="宋体" w:cs="Times New Roman"/>
                <w:color w:val="auto"/>
                <w:sz w:val="24"/>
              </w:rPr>
            </w:pPr>
            <w:r>
              <w:rPr>
                <w:rFonts w:hint="eastAsia" w:ascii="宋体" w:hAnsi="宋体"/>
                <w:color w:val="auto"/>
                <w:spacing w:val="-6"/>
                <w:sz w:val="24"/>
              </w:rPr>
              <w:t>（</w:t>
            </w:r>
            <w:r>
              <w:rPr>
                <w:rFonts w:ascii="宋体" w:hAnsi="宋体"/>
                <w:color w:val="auto"/>
                <w:spacing w:val="-6"/>
                <w:sz w:val="24"/>
                <w:u w:val="single"/>
              </w:rPr>
              <w:t xml:space="preserve">                          </w:t>
            </w:r>
            <w:r>
              <w:rPr>
                <w:rFonts w:hint="eastAsia" w:ascii="宋体" w:hAnsi="宋体"/>
                <w:color w:val="auto"/>
                <w:spacing w:val="-6"/>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Times New Roman"/>
                <w:color w:val="auto"/>
                <w:sz w:val="24"/>
              </w:rPr>
            </w:pPr>
          </w:p>
        </w:tc>
        <w:tc>
          <w:tcPr>
            <w:tcW w:w="6503" w:type="dxa"/>
            <w:vAlign w:val="center"/>
          </w:tcPr>
          <w:p>
            <w:pPr>
              <w:jc w:val="center"/>
              <w:rPr>
                <w:rFonts w:ascii="宋体" w:cs="Times New Roman"/>
                <w:color w:val="auto"/>
                <w:sz w:val="24"/>
              </w:rPr>
            </w:pPr>
            <w:r>
              <w:rPr>
                <w:rFonts w:hint="eastAsia"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color w:val="auto"/>
                <w:sz w:val="24"/>
              </w:rPr>
            </w:pPr>
            <w:r>
              <w:rPr>
                <w:rFonts w:hint="eastAsia" w:ascii="黑体" w:hAnsi="黑体" w:eastAsia="黑体" w:cs="Times New Roman"/>
                <w:color w:val="auto"/>
                <w:sz w:val="24"/>
              </w:rPr>
              <w:t>服务期</w:t>
            </w:r>
          </w:p>
        </w:tc>
        <w:tc>
          <w:tcPr>
            <w:tcW w:w="6503"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color w:val="auto"/>
                <w:sz w:val="24"/>
              </w:rPr>
            </w:pPr>
            <w:r>
              <w:rPr>
                <w:rFonts w:hint="eastAsia" w:ascii="黑体" w:hAnsi="黑体" w:eastAsia="黑体" w:cs="黑体"/>
                <w:color w:val="auto"/>
                <w:spacing w:val="-6"/>
                <w:sz w:val="24"/>
              </w:rPr>
              <w:t>备注</w:t>
            </w:r>
          </w:p>
        </w:tc>
        <w:tc>
          <w:tcPr>
            <w:tcW w:w="6503" w:type="dxa"/>
            <w:vAlign w:val="center"/>
          </w:tcPr>
          <w:p>
            <w:pPr>
              <w:jc w:val="center"/>
              <w:rPr>
                <w:rFonts w:ascii="??_GB2312" w:hAnsi="仿宋" w:eastAsia="Times New Roman" w:cs="Times New Roman"/>
                <w:color w:val="auto"/>
                <w:spacing w:val="-6"/>
                <w:sz w:val="24"/>
              </w:rPr>
            </w:pPr>
          </w:p>
        </w:tc>
      </w:tr>
    </w:tbl>
    <w:p>
      <w:pPr>
        <w:pStyle w:val="13"/>
        <w:spacing w:line="500" w:lineRule="exact"/>
        <w:ind w:left="-120" w:leftChars="-57" w:firstLine="527" w:firstLineChars="250"/>
        <w:rPr>
          <w:b/>
          <w:bCs/>
          <w:color w:val="auto"/>
          <w:u w:val="single"/>
        </w:rPr>
      </w:pPr>
    </w:p>
    <w:p>
      <w:pPr>
        <w:pStyle w:val="13"/>
        <w:spacing w:line="440" w:lineRule="exact"/>
        <w:ind w:left="-120" w:leftChars="-57" w:firstLine="527" w:firstLineChars="250"/>
        <w:rPr>
          <w:b/>
          <w:bCs/>
          <w:color w:val="auto"/>
          <w:u w:val="single"/>
        </w:rPr>
      </w:pPr>
      <w:r>
        <w:rPr>
          <w:rFonts w:hint="eastAsia" w:hAnsi="宋体"/>
          <w:b/>
          <w:bCs/>
          <w:color w:val="auto"/>
          <w:u w:val="single"/>
        </w:rPr>
        <w:t>注：</w:t>
      </w:r>
    </w:p>
    <w:p>
      <w:pPr>
        <w:pStyle w:val="13"/>
        <w:spacing w:line="440" w:lineRule="exact"/>
        <w:ind w:left="-120" w:leftChars="-57" w:firstLine="527" w:firstLineChars="250"/>
        <w:rPr>
          <w:b/>
          <w:bCs/>
          <w:color w:val="auto"/>
          <w:u w:val="single"/>
        </w:rPr>
      </w:pPr>
      <w:r>
        <w:rPr>
          <w:rFonts w:hAnsi="宋体"/>
          <w:b/>
          <w:bCs/>
          <w:color w:val="auto"/>
          <w:u w:val="single"/>
        </w:rPr>
        <w:t>1.</w:t>
      </w:r>
      <w:r>
        <w:rPr>
          <w:rFonts w:hint="eastAsia" w:hAnsi="宋体"/>
          <w:b/>
          <w:bCs/>
          <w:color w:val="auto"/>
          <w:u w:val="single"/>
        </w:rPr>
        <w:t>此表“首次总报价”是包括完成《用户需求书》要求的全部内容的所有可预见以及不可预见的费用。</w:t>
      </w:r>
    </w:p>
    <w:p>
      <w:pPr>
        <w:pStyle w:val="13"/>
        <w:spacing w:line="440" w:lineRule="exact"/>
        <w:ind w:left="-120" w:leftChars="-57" w:firstLine="527" w:firstLineChars="250"/>
        <w:rPr>
          <w:b/>
          <w:bCs/>
          <w:color w:val="auto"/>
          <w:u w:val="single"/>
        </w:rPr>
      </w:pPr>
      <w:r>
        <w:rPr>
          <w:rFonts w:hint="eastAsia" w:hAnsi="宋体"/>
          <w:b/>
          <w:bCs/>
          <w:color w:val="auto"/>
          <w:u w:val="single"/>
          <w:lang w:val="en-US" w:eastAsia="zh-CN"/>
        </w:rPr>
        <w:t>2</w:t>
      </w:r>
      <w:r>
        <w:rPr>
          <w:rFonts w:hAnsi="宋体"/>
          <w:b/>
          <w:bCs/>
          <w:color w:val="auto"/>
          <w:u w:val="single"/>
        </w:rPr>
        <w:t>.</w:t>
      </w:r>
      <w:r>
        <w:rPr>
          <w:rFonts w:hint="eastAsia" w:hAnsi="宋体"/>
          <w:b/>
          <w:bCs/>
          <w:color w:val="auto"/>
          <w:u w:val="single"/>
        </w:rPr>
        <w:t>表内报价内容以元为单位。</w:t>
      </w:r>
    </w:p>
    <w:p>
      <w:pPr>
        <w:kinsoku w:val="0"/>
        <w:spacing w:line="500" w:lineRule="exact"/>
        <w:rPr>
          <w:rFonts w:ascii="??_GB2312" w:hAnsi="仿宋" w:eastAsia="Times New Roman" w:cs="Times New Roman"/>
          <w:color w:val="auto"/>
          <w:sz w:val="24"/>
        </w:rPr>
      </w:pPr>
    </w:p>
    <w:p>
      <w:pPr>
        <w:kinsoku w:val="0"/>
        <w:spacing w:line="500" w:lineRule="exact"/>
        <w:rPr>
          <w:rFonts w:ascii="??_GB2312" w:hAnsi="仿宋" w:eastAsia="Times New Roman" w:cs="Times New Roman"/>
          <w:color w:val="auto"/>
          <w:sz w:val="24"/>
        </w:rPr>
      </w:pPr>
    </w:p>
    <w:p>
      <w:pPr>
        <w:kinsoku w:val="0"/>
        <w:spacing w:line="500" w:lineRule="exact"/>
        <w:rPr>
          <w:rFonts w:ascii="??_GB2312" w:hAnsi="仿宋" w:eastAsia="Times New Roman" w:cs="Times New Roman"/>
          <w:color w:val="auto"/>
          <w:sz w:val="24"/>
        </w:rPr>
      </w:pPr>
    </w:p>
    <w:p>
      <w:pPr>
        <w:kinsoku w:val="0"/>
        <w:spacing w:line="500" w:lineRule="exact"/>
        <w:rPr>
          <w:rFonts w:ascii="??_GB2312" w:hAnsi="仿宋" w:eastAsia="Times New Roman" w:cs="Times New Roman"/>
          <w:color w:val="auto"/>
          <w:sz w:val="24"/>
        </w:rPr>
      </w:pPr>
    </w:p>
    <w:p>
      <w:pPr>
        <w:spacing w:line="360" w:lineRule="auto"/>
        <w:ind w:firstLine="420" w:firstLineChars="200"/>
        <w:rPr>
          <w:rFonts w:ascii="??_GB2312" w:hAnsi="仿宋" w:eastAsia="Times New Roman" w:cs="Times New Roman"/>
          <w:color w:val="auto"/>
        </w:rPr>
      </w:pPr>
    </w:p>
    <w:p>
      <w:pPr>
        <w:spacing w:line="360" w:lineRule="auto"/>
        <w:ind w:firstLine="480" w:firstLineChars="200"/>
        <w:rPr>
          <w:rFonts w:ascii="宋体" w:cs="Times New Roman"/>
          <w:color w:val="auto"/>
          <w:sz w:val="24"/>
          <w:u w:val="single"/>
        </w:rPr>
      </w:pPr>
      <w:r>
        <w:rPr>
          <w:rFonts w:hint="eastAsia" w:ascii="宋体" w:hAnsi="宋体"/>
          <w:color w:val="auto"/>
          <w:sz w:val="24"/>
        </w:rPr>
        <w:t>供应商法定代表人（或法定代表人授权代表）签字：</w:t>
      </w:r>
      <w:r>
        <w:rPr>
          <w:rFonts w:ascii="宋体" w:hAnsi="宋体"/>
          <w:color w:val="auto"/>
          <w:sz w:val="24"/>
          <w:u w:val="single"/>
        </w:rPr>
        <w:t xml:space="preserve">                   </w:t>
      </w:r>
    </w:p>
    <w:p>
      <w:pPr>
        <w:spacing w:line="360" w:lineRule="auto"/>
        <w:ind w:firstLine="480" w:firstLineChars="200"/>
        <w:rPr>
          <w:rFonts w:ascii="宋体" w:cs="Times New Roman"/>
          <w:color w:val="auto"/>
          <w:sz w:val="24"/>
          <w:u w:val="single"/>
        </w:rPr>
      </w:pPr>
      <w:r>
        <w:rPr>
          <w:rFonts w:hint="eastAsia" w:ascii="宋体" w:hAnsi="宋体"/>
          <w:color w:val="auto"/>
          <w:sz w:val="24"/>
        </w:rPr>
        <w:t>供应商名称（盖章）：</w:t>
      </w:r>
      <w:r>
        <w:rPr>
          <w:rFonts w:ascii="宋体" w:hAnsi="宋体"/>
          <w:color w:val="auto"/>
          <w:sz w:val="24"/>
          <w:u w:val="single"/>
        </w:rPr>
        <w:t xml:space="preserve">                        </w:t>
      </w:r>
    </w:p>
    <w:p>
      <w:pPr>
        <w:spacing w:line="360" w:lineRule="auto"/>
        <w:ind w:firstLine="480" w:firstLineChars="200"/>
        <w:rPr>
          <w:rFonts w:ascii="宋体" w:cs="Times New Roman"/>
          <w:color w:val="auto"/>
          <w:sz w:val="24"/>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60" w:lineRule="auto"/>
        <w:ind w:firstLine="482" w:firstLineChars="200"/>
        <w:rPr>
          <w:rFonts w:ascii="宋体" w:hAnsi="宋体"/>
          <w:b/>
          <w:bCs/>
          <w:color w:val="auto"/>
          <w:sz w:val="24"/>
        </w:rPr>
        <w:sectPr>
          <w:footerReference r:id="rId5" w:type="default"/>
          <w:pgSz w:w="11906" w:h="16838"/>
          <w:pgMar w:top="1440" w:right="1080" w:bottom="1440" w:left="1080" w:header="907" w:footer="992" w:gutter="0"/>
          <w:cols w:space="425" w:num="1"/>
          <w:docGrid w:type="lines" w:linePitch="312" w:charSpace="0"/>
        </w:sectPr>
      </w:pPr>
    </w:p>
    <w:p>
      <w:pPr>
        <w:spacing w:line="360" w:lineRule="auto"/>
        <w:ind w:firstLine="482" w:firstLineChars="200"/>
        <w:rPr>
          <w:rFonts w:ascii="宋体" w:cs="Times New Roman"/>
          <w:b/>
          <w:bCs/>
          <w:color w:val="auto"/>
          <w:sz w:val="24"/>
        </w:rPr>
      </w:pPr>
      <w:r>
        <w:rPr>
          <w:rFonts w:ascii="宋体" w:hAnsi="宋体"/>
          <w:b/>
          <w:bCs/>
          <w:color w:val="auto"/>
          <w:sz w:val="24"/>
        </w:rPr>
        <w:t>4.2</w:t>
      </w:r>
      <w:r>
        <w:rPr>
          <w:rFonts w:hint="eastAsia" w:ascii="宋体" w:hAnsi="宋体"/>
          <w:b/>
          <w:bCs/>
          <w:color w:val="auto"/>
          <w:sz w:val="24"/>
        </w:rPr>
        <w:t>分项报价表</w:t>
      </w:r>
    </w:p>
    <w:p>
      <w:pPr>
        <w:spacing w:line="360" w:lineRule="atLeast"/>
        <w:jc w:val="center"/>
        <w:rPr>
          <w:rFonts w:ascii="黑体" w:hAnsi="仿宋" w:eastAsia="黑体" w:cs="Times New Roman"/>
          <w:color w:val="auto"/>
          <w:sz w:val="32"/>
          <w:szCs w:val="32"/>
        </w:rPr>
      </w:pPr>
      <w:r>
        <w:rPr>
          <w:rFonts w:hint="eastAsia" w:ascii="黑体" w:hAnsi="仿宋" w:eastAsia="黑体" w:cs="黑体"/>
          <w:color w:val="auto"/>
          <w:sz w:val="32"/>
          <w:szCs w:val="32"/>
        </w:rPr>
        <w:t>分项报价表（格式）</w:t>
      </w:r>
    </w:p>
    <w:p>
      <w:pPr>
        <w:spacing w:line="360" w:lineRule="auto"/>
        <w:ind w:firstLine="480" w:firstLineChars="200"/>
        <w:rPr>
          <w:rFonts w:ascii="宋体" w:cs="Times New Roman"/>
          <w:color w:val="auto"/>
          <w:sz w:val="24"/>
        </w:rPr>
      </w:pPr>
      <w:r>
        <w:rPr>
          <w:rFonts w:hint="eastAsia" w:ascii="宋体" w:hAnsi="宋体"/>
          <w:color w:val="auto"/>
          <w:sz w:val="24"/>
        </w:rPr>
        <w:t>项目名称：</w:t>
      </w:r>
      <w:r>
        <w:rPr>
          <w:rFonts w:hint="eastAsia" w:ascii="宋体" w:hAnsi="宋体"/>
          <w:color w:val="auto"/>
          <w:kern w:val="0"/>
          <w:sz w:val="24"/>
          <w:szCs w:val="20"/>
          <w:u w:val="single"/>
        </w:rPr>
        <w:t>执法全过程系统运维及监督点位项目</w:t>
      </w:r>
    </w:p>
    <w:p>
      <w:pPr>
        <w:spacing w:line="360" w:lineRule="auto"/>
        <w:ind w:firstLine="480" w:firstLineChars="200"/>
        <w:rPr>
          <w:rFonts w:ascii="宋体" w:cs="Times New Roman"/>
          <w:color w:val="auto"/>
          <w:sz w:val="24"/>
        </w:rPr>
      </w:pPr>
      <w:r>
        <w:rPr>
          <w:rFonts w:hint="eastAsia" w:ascii="宋体" w:hAnsi="宋体"/>
          <w:color w:val="auto"/>
          <w:sz w:val="24"/>
        </w:rPr>
        <w:t>项目编号：</w:t>
      </w:r>
      <w:r>
        <w:rPr>
          <w:rFonts w:hint="eastAsia" w:ascii="宋体" w:hAnsi="宋体"/>
          <w:color w:val="auto"/>
          <w:kern w:val="0"/>
          <w:sz w:val="24"/>
          <w:u w:val="single"/>
        </w:rPr>
        <w:t>SXZCZ-2022-58</w:t>
      </w:r>
    </w:p>
    <w:p>
      <w:pPr>
        <w:spacing w:line="360" w:lineRule="auto"/>
        <w:ind w:firstLine="480" w:firstLineChars="200"/>
        <w:rPr>
          <w:rFonts w:ascii="宋体" w:hAnsi="宋体"/>
          <w:color w:val="auto"/>
          <w:sz w:val="24"/>
        </w:rPr>
      </w:pPr>
      <w:r>
        <w:rPr>
          <w:rFonts w:hint="eastAsia" w:ascii="宋体" w:hAnsi="宋体"/>
          <w:color w:val="auto"/>
          <w:sz w:val="24"/>
        </w:rPr>
        <w:t>供应商：</w:t>
      </w:r>
    </w:p>
    <w:tbl>
      <w:tblPr>
        <w:tblStyle w:val="24"/>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3"/>
        <w:gridCol w:w="1351"/>
        <w:gridCol w:w="1444"/>
        <w:gridCol w:w="882"/>
        <w:gridCol w:w="9"/>
        <w:gridCol w:w="788"/>
        <w:gridCol w:w="10"/>
        <w:gridCol w:w="681"/>
        <w:gridCol w:w="15"/>
        <w:gridCol w:w="2027"/>
        <w:gridCol w:w="7"/>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320" w:type="dxa"/>
            <w:gridSpan w:val="13"/>
            <w:shd w:val="clear" w:color="auto" w:fill="F3F3F3"/>
            <w:vAlign w:val="center"/>
          </w:tcPr>
          <w:p>
            <w:pPr>
              <w:tabs>
                <w:tab w:val="left" w:pos="9585"/>
                <w:tab w:val="left" w:pos="11205"/>
              </w:tabs>
              <w:jc w:val="left"/>
              <w:rPr>
                <w:rFonts w:ascii="黑体" w:hAnsi="黑体" w:eastAsia="黑体" w:cs="Times New Roman"/>
                <w:color w:val="auto"/>
                <w:sz w:val="24"/>
              </w:rPr>
            </w:pPr>
            <w:r>
              <w:rPr>
                <w:rFonts w:hint="eastAsia" w:ascii="黑体" w:hAnsi="黑体" w:eastAsia="黑体" w:cs="黑体"/>
                <w:color w:val="auto"/>
                <w:sz w:val="24"/>
              </w:rPr>
              <w:t>一、服务类详列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67"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序号</w:t>
            </w:r>
          </w:p>
        </w:tc>
        <w:tc>
          <w:tcPr>
            <w:tcW w:w="1351"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分项名称</w:t>
            </w:r>
          </w:p>
        </w:tc>
        <w:tc>
          <w:tcPr>
            <w:tcW w:w="1444"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服务内容</w:t>
            </w:r>
          </w:p>
        </w:tc>
        <w:tc>
          <w:tcPr>
            <w:tcW w:w="882"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单位</w:t>
            </w:r>
          </w:p>
        </w:tc>
        <w:tc>
          <w:tcPr>
            <w:tcW w:w="797"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数量</w:t>
            </w:r>
          </w:p>
        </w:tc>
        <w:tc>
          <w:tcPr>
            <w:tcW w:w="706" w:type="dxa"/>
            <w:gridSpan w:val="3"/>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单价</w:t>
            </w:r>
          </w:p>
        </w:tc>
        <w:tc>
          <w:tcPr>
            <w:tcW w:w="2027"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合计（元）</w:t>
            </w:r>
          </w:p>
        </w:tc>
        <w:tc>
          <w:tcPr>
            <w:tcW w:w="1146"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67" w:type="dxa"/>
            <w:gridSpan w:val="2"/>
            <w:vAlign w:val="center"/>
          </w:tcPr>
          <w:p>
            <w:pPr>
              <w:spacing w:line="360" w:lineRule="auto"/>
              <w:jc w:val="center"/>
              <w:rPr>
                <w:rFonts w:ascii="黑体" w:hAnsi="黑体" w:eastAsia="黑体" w:cs="黑体"/>
                <w:color w:val="auto"/>
              </w:rPr>
            </w:pPr>
            <w:r>
              <w:rPr>
                <w:rFonts w:hint="eastAsia" w:ascii="黑体" w:hAnsi="黑体" w:eastAsia="黑体" w:cs="黑体"/>
                <w:color w:val="auto"/>
              </w:rPr>
              <w:t>1</w:t>
            </w:r>
          </w:p>
        </w:tc>
        <w:tc>
          <w:tcPr>
            <w:tcW w:w="1351" w:type="dxa"/>
            <w:vAlign w:val="center"/>
          </w:tcPr>
          <w:p>
            <w:pPr>
              <w:spacing w:line="360" w:lineRule="auto"/>
              <w:jc w:val="center"/>
              <w:rPr>
                <w:rFonts w:ascii="黑体" w:hAnsi="黑体" w:eastAsia="黑体" w:cs="黑体"/>
                <w:color w:val="auto"/>
              </w:rPr>
            </w:pPr>
          </w:p>
        </w:tc>
        <w:tc>
          <w:tcPr>
            <w:tcW w:w="1444" w:type="dxa"/>
            <w:vAlign w:val="center"/>
          </w:tcPr>
          <w:p>
            <w:pPr>
              <w:spacing w:line="360" w:lineRule="auto"/>
              <w:jc w:val="center"/>
              <w:rPr>
                <w:rFonts w:ascii="黑体" w:hAnsi="黑体" w:eastAsia="黑体" w:cs="黑体"/>
                <w:color w:val="auto"/>
              </w:rPr>
            </w:pPr>
          </w:p>
        </w:tc>
        <w:tc>
          <w:tcPr>
            <w:tcW w:w="882" w:type="dxa"/>
            <w:vAlign w:val="center"/>
          </w:tcPr>
          <w:p>
            <w:pPr>
              <w:spacing w:line="360" w:lineRule="auto"/>
              <w:jc w:val="center"/>
              <w:rPr>
                <w:rFonts w:ascii="黑体" w:hAnsi="黑体" w:eastAsia="黑体" w:cs="黑体"/>
                <w:color w:val="auto"/>
              </w:rPr>
            </w:pPr>
          </w:p>
        </w:tc>
        <w:tc>
          <w:tcPr>
            <w:tcW w:w="797" w:type="dxa"/>
            <w:gridSpan w:val="2"/>
            <w:vAlign w:val="center"/>
          </w:tcPr>
          <w:p>
            <w:pPr>
              <w:spacing w:line="360" w:lineRule="auto"/>
              <w:jc w:val="center"/>
              <w:rPr>
                <w:rFonts w:ascii="黑体" w:hAnsi="黑体" w:eastAsia="黑体" w:cs="黑体"/>
                <w:color w:val="auto"/>
              </w:rPr>
            </w:pPr>
          </w:p>
        </w:tc>
        <w:tc>
          <w:tcPr>
            <w:tcW w:w="706" w:type="dxa"/>
            <w:gridSpan w:val="3"/>
            <w:vAlign w:val="center"/>
          </w:tcPr>
          <w:p>
            <w:pPr>
              <w:spacing w:line="360" w:lineRule="auto"/>
              <w:jc w:val="center"/>
              <w:rPr>
                <w:rFonts w:ascii="黑体" w:hAnsi="黑体" w:eastAsia="黑体" w:cs="黑体"/>
                <w:color w:val="auto"/>
              </w:rPr>
            </w:pPr>
          </w:p>
        </w:tc>
        <w:tc>
          <w:tcPr>
            <w:tcW w:w="2027" w:type="dxa"/>
            <w:vAlign w:val="center"/>
          </w:tcPr>
          <w:p>
            <w:pPr>
              <w:spacing w:line="360" w:lineRule="auto"/>
              <w:jc w:val="center"/>
              <w:rPr>
                <w:rFonts w:ascii="黑体" w:hAnsi="黑体" w:eastAsia="黑体" w:cs="黑体"/>
                <w:color w:val="auto"/>
              </w:rPr>
            </w:pPr>
          </w:p>
        </w:tc>
        <w:tc>
          <w:tcPr>
            <w:tcW w:w="1146" w:type="dxa"/>
            <w:gridSpan w:val="2"/>
            <w:vAlign w:val="center"/>
          </w:tcPr>
          <w:p>
            <w:pPr>
              <w:spacing w:line="360" w:lineRule="auto"/>
              <w:jc w:val="center"/>
              <w:rPr>
                <w:rFonts w:ascii="黑体" w:hAnsi="黑体" w:eastAsia="黑体"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67" w:type="dxa"/>
            <w:gridSpan w:val="2"/>
            <w:vAlign w:val="center"/>
          </w:tcPr>
          <w:p>
            <w:pPr>
              <w:spacing w:line="360" w:lineRule="auto"/>
              <w:jc w:val="center"/>
              <w:rPr>
                <w:rFonts w:ascii="黑体" w:hAnsi="黑体" w:eastAsia="黑体" w:cs="黑体"/>
                <w:color w:val="auto"/>
              </w:rPr>
            </w:pPr>
            <w:r>
              <w:rPr>
                <w:rFonts w:hint="eastAsia" w:ascii="黑体" w:hAnsi="黑体" w:eastAsia="黑体" w:cs="黑体"/>
                <w:color w:val="auto"/>
              </w:rPr>
              <w:t>2</w:t>
            </w:r>
          </w:p>
        </w:tc>
        <w:tc>
          <w:tcPr>
            <w:tcW w:w="1351" w:type="dxa"/>
            <w:vAlign w:val="center"/>
          </w:tcPr>
          <w:p>
            <w:pPr>
              <w:spacing w:line="360" w:lineRule="auto"/>
              <w:jc w:val="center"/>
              <w:rPr>
                <w:rFonts w:ascii="黑体" w:hAnsi="黑体" w:eastAsia="黑体" w:cs="黑体"/>
                <w:color w:val="auto"/>
              </w:rPr>
            </w:pPr>
          </w:p>
        </w:tc>
        <w:tc>
          <w:tcPr>
            <w:tcW w:w="1444" w:type="dxa"/>
            <w:vAlign w:val="center"/>
          </w:tcPr>
          <w:p>
            <w:pPr>
              <w:spacing w:line="360" w:lineRule="auto"/>
              <w:jc w:val="center"/>
              <w:rPr>
                <w:rFonts w:ascii="黑体" w:hAnsi="黑体" w:eastAsia="黑体" w:cs="黑体"/>
                <w:color w:val="auto"/>
              </w:rPr>
            </w:pPr>
          </w:p>
        </w:tc>
        <w:tc>
          <w:tcPr>
            <w:tcW w:w="882" w:type="dxa"/>
            <w:vAlign w:val="center"/>
          </w:tcPr>
          <w:p>
            <w:pPr>
              <w:spacing w:line="360" w:lineRule="auto"/>
              <w:jc w:val="center"/>
              <w:rPr>
                <w:rFonts w:ascii="黑体" w:hAnsi="黑体" w:eastAsia="黑体" w:cs="黑体"/>
                <w:color w:val="auto"/>
              </w:rPr>
            </w:pPr>
          </w:p>
        </w:tc>
        <w:tc>
          <w:tcPr>
            <w:tcW w:w="797" w:type="dxa"/>
            <w:gridSpan w:val="2"/>
            <w:vAlign w:val="center"/>
          </w:tcPr>
          <w:p>
            <w:pPr>
              <w:spacing w:line="360" w:lineRule="auto"/>
              <w:jc w:val="center"/>
              <w:rPr>
                <w:rFonts w:ascii="黑体" w:hAnsi="黑体" w:eastAsia="黑体" w:cs="黑体"/>
                <w:color w:val="auto"/>
              </w:rPr>
            </w:pPr>
          </w:p>
        </w:tc>
        <w:tc>
          <w:tcPr>
            <w:tcW w:w="706" w:type="dxa"/>
            <w:gridSpan w:val="3"/>
            <w:vAlign w:val="center"/>
          </w:tcPr>
          <w:p>
            <w:pPr>
              <w:spacing w:line="360" w:lineRule="auto"/>
              <w:jc w:val="center"/>
              <w:rPr>
                <w:rFonts w:ascii="黑体" w:hAnsi="黑体" w:eastAsia="黑体" w:cs="黑体"/>
                <w:color w:val="auto"/>
              </w:rPr>
            </w:pPr>
          </w:p>
        </w:tc>
        <w:tc>
          <w:tcPr>
            <w:tcW w:w="2027" w:type="dxa"/>
            <w:vAlign w:val="center"/>
          </w:tcPr>
          <w:p>
            <w:pPr>
              <w:spacing w:line="360" w:lineRule="auto"/>
              <w:jc w:val="center"/>
              <w:rPr>
                <w:rFonts w:ascii="黑体" w:hAnsi="黑体" w:eastAsia="黑体" w:cs="黑体"/>
                <w:color w:val="auto"/>
              </w:rPr>
            </w:pPr>
          </w:p>
        </w:tc>
        <w:tc>
          <w:tcPr>
            <w:tcW w:w="1146" w:type="dxa"/>
            <w:gridSpan w:val="2"/>
            <w:vAlign w:val="center"/>
          </w:tcPr>
          <w:p>
            <w:pPr>
              <w:spacing w:line="360" w:lineRule="auto"/>
              <w:jc w:val="center"/>
              <w:rPr>
                <w:rFonts w:ascii="黑体" w:hAnsi="黑体" w:eastAsia="黑体"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67"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w:t>
            </w:r>
          </w:p>
        </w:tc>
        <w:tc>
          <w:tcPr>
            <w:tcW w:w="1351" w:type="dxa"/>
            <w:vAlign w:val="center"/>
          </w:tcPr>
          <w:p>
            <w:pPr>
              <w:spacing w:line="360" w:lineRule="auto"/>
              <w:jc w:val="center"/>
              <w:rPr>
                <w:rFonts w:ascii="黑体" w:hAnsi="黑体" w:eastAsia="黑体" w:cs="Times New Roman"/>
                <w:color w:val="auto"/>
              </w:rPr>
            </w:pPr>
          </w:p>
        </w:tc>
        <w:tc>
          <w:tcPr>
            <w:tcW w:w="1444" w:type="dxa"/>
            <w:vAlign w:val="center"/>
          </w:tcPr>
          <w:p>
            <w:pPr>
              <w:spacing w:line="360" w:lineRule="auto"/>
              <w:jc w:val="center"/>
              <w:rPr>
                <w:rFonts w:ascii="黑体" w:hAnsi="黑体" w:eastAsia="黑体" w:cs="Times New Roman"/>
                <w:color w:val="auto"/>
              </w:rPr>
            </w:pPr>
          </w:p>
        </w:tc>
        <w:tc>
          <w:tcPr>
            <w:tcW w:w="882" w:type="dxa"/>
            <w:vAlign w:val="center"/>
          </w:tcPr>
          <w:p>
            <w:pPr>
              <w:spacing w:line="360" w:lineRule="auto"/>
              <w:jc w:val="center"/>
              <w:rPr>
                <w:rFonts w:ascii="黑体" w:hAnsi="黑体" w:eastAsia="黑体" w:cs="Times New Roman"/>
                <w:color w:val="auto"/>
              </w:rPr>
            </w:pPr>
          </w:p>
        </w:tc>
        <w:tc>
          <w:tcPr>
            <w:tcW w:w="797" w:type="dxa"/>
            <w:gridSpan w:val="2"/>
            <w:vAlign w:val="center"/>
          </w:tcPr>
          <w:p>
            <w:pPr>
              <w:spacing w:line="360" w:lineRule="auto"/>
              <w:jc w:val="center"/>
              <w:rPr>
                <w:rFonts w:ascii="黑体" w:hAnsi="黑体" w:eastAsia="黑体" w:cs="Times New Roman"/>
                <w:color w:val="auto"/>
              </w:rPr>
            </w:pPr>
          </w:p>
        </w:tc>
        <w:tc>
          <w:tcPr>
            <w:tcW w:w="706" w:type="dxa"/>
            <w:gridSpan w:val="3"/>
            <w:vAlign w:val="center"/>
          </w:tcPr>
          <w:p>
            <w:pPr>
              <w:spacing w:line="360" w:lineRule="auto"/>
              <w:jc w:val="center"/>
              <w:rPr>
                <w:rFonts w:ascii="黑体" w:hAnsi="黑体" w:eastAsia="黑体" w:cs="Times New Roman"/>
                <w:color w:val="auto"/>
              </w:rPr>
            </w:pPr>
          </w:p>
        </w:tc>
        <w:tc>
          <w:tcPr>
            <w:tcW w:w="2027" w:type="dxa"/>
            <w:vAlign w:val="center"/>
          </w:tcPr>
          <w:p>
            <w:pPr>
              <w:spacing w:line="360" w:lineRule="auto"/>
              <w:jc w:val="center"/>
              <w:rPr>
                <w:rFonts w:ascii="黑体" w:hAnsi="黑体" w:eastAsia="黑体" w:cs="Times New Roman"/>
                <w:color w:val="auto"/>
              </w:rPr>
            </w:pPr>
          </w:p>
        </w:tc>
        <w:tc>
          <w:tcPr>
            <w:tcW w:w="1146" w:type="dxa"/>
            <w:gridSpan w:val="2"/>
            <w:vAlign w:val="center"/>
          </w:tcPr>
          <w:p>
            <w:pPr>
              <w:spacing w:line="360" w:lineRule="auto"/>
              <w:jc w:val="center"/>
              <w:rPr>
                <w:rFonts w:ascii="黑体" w:hAnsi="黑体" w:eastAsia="黑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762" w:type="dxa"/>
            <w:gridSpan w:val="4"/>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合</w:t>
            </w:r>
            <w:r>
              <w:rPr>
                <w:rFonts w:ascii="黑体" w:hAnsi="黑体" w:eastAsia="黑体" w:cs="黑体"/>
                <w:color w:val="auto"/>
              </w:rPr>
              <w:t xml:space="preserve">     </w:t>
            </w:r>
            <w:r>
              <w:rPr>
                <w:rFonts w:hint="eastAsia" w:ascii="黑体" w:hAnsi="黑体" w:eastAsia="黑体" w:cs="黑体"/>
                <w:color w:val="auto"/>
              </w:rPr>
              <w:t>计</w:t>
            </w:r>
          </w:p>
        </w:tc>
        <w:tc>
          <w:tcPr>
            <w:tcW w:w="2385" w:type="dxa"/>
            <w:gridSpan w:val="6"/>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数量合计：</w:t>
            </w:r>
          </w:p>
        </w:tc>
        <w:tc>
          <w:tcPr>
            <w:tcW w:w="3173" w:type="dxa"/>
            <w:gridSpan w:val="3"/>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报价合计：</w:t>
            </w:r>
            <w:r>
              <w:rPr>
                <w:rFonts w:ascii="黑体" w:hAnsi="黑体" w:eastAsia="黑体" w:cs="黑体"/>
                <w:color w:val="auto"/>
              </w:rPr>
              <w:t xml:space="preserve">  </w:t>
            </w:r>
            <w:r>
              <w:rPr>
                <w:rFonts w:hint="eastAsia" w:ascii="黑体" w:hAnsi="黑体" w:eastAsia="黑体" w:cs="黑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320" w:type="dxa"/>
            <w:gridSpan w:val="13"/>
            <w:vAlign w:val="center"/>
          </w:tcPr>
          <w:p>
            <w:pPr>
              <w:tabs>
                <w:tab w:val="left" w:pos="9585"/>
                <w:tab w:val="left" w:pos="11205"/>
              </w:tabs>
              <w:rPr>
                <w:rFonts w:hAnsi="宋体" w:cs="Times New Roman"/>
                <w:b/>
                <w:bCs/>
                <w:color w:val="auto"/>
              </w:rPr>
            </w:pPr>
            <w:r>
              <w:rPr>
                <w:rFonts w:hint="eastAsia" w:ascii="黑体" w:hAnsi="黑体" w:eastAsia="黑体" w:cs="黑体"/>
                <w:color w:val="auto"/>
                <w:sz w:val="24"/>
              </w:rPr>
              <w:t>二、其他费用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54"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序号</w:t>
            </w:r>
          </w:p>
        </w:tc>
        <w:tc>
          <w:tcPr>
            <w:tcW w:w="1364"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分项名称</w:t>
            </w:r>
          </w:p>
        </w:tc>
        <w:tc>
          <w:tcPr>
            <w:tcW w:w="1444"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具体内容</w:t>
            </w:r>
          </w:p>
        </w:tc>
        <w:tc>
          <w:tcPr>
            <w:tcW w:w="891"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单位</w:t>
            </w:r>
          </w:p>
        </w:tc>
        <w:tc>
          <w:tcPr>
            <w:tcW w:w="798" w:type="dxa"/>
            <w:gridSpan w:val="2"/>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数量</w:t>
            </w:r>
          </w:p>
        </w:tc>
        <w:tc>
          <w:tcPr>
            <w:tcW w:w="681"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单价</w:t>
            </w:r>
          </w:p>
        </w:tc>
        <w:tc>
          <w:tcPr>
            <w:tcW w:w="2049" w:type="dxa"/>
            <w:gridSpan w:val="3"/>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合计（元）</w:t>
            </w:r>
          </w:p>
        </w:tc>
        <w:tc>
          <w:tcPr>
            <w:tcW w:w="1139"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54" w:type="dxa"/>
            <w:vAlign w:val="center"/>
          </w:tcPr>
          <w:p>
            <w:pPr>
              <w:spacing w:line="360" w:lineRule="auto"/>
              <w:jc w:val="center"/>
              <w:rPr>
                <w:rFonts w:ascii="黑体" w:hAnsi="黑体" w:eastAsia="黑体" w:cs="黑体"/>
                <w:color w:val="auto"/>
              </w:rPr>
            </w:pPr>
            <w:r>
              <w:rPr>
                <w:rFonts w:hint="eastAsia" w:ascii="黑体" w:hAnsi="黑体" w:eastAsia="黑体" w:cs="黑体"/>
                <w:color w:val="auto"/>
              </w:rPr>
              <w:t>3</w:t>
            </w:r>
          </w:p>
        </w:tc>
        <w:tc>
          <w:tcPr>
            <w:tcW w:w="1364" w:type="dxa"/>
            <w:gridSpan w:val="2"/>
            <w:vAlign w:val="center"/>
          </w:tcPr>
          <w:p>
            <w:pPr>
              <w:spacing w:line="360" w:lineRule="auto"/>
              <w:jc w:val="center"/>
              <w:rPr>
                <w:rFonts w:ascii="黑体" w:hAnsi="黑体" w:eastAsia="黑体" w:cs="黑体"/>
                <w:color w:val="auto"/>
              </w:rPr>
            </w:pPr>
          </w:p>
        </w:tc>
        <w:tc>
          <w:tcPr>
            <w:tcW w:w="1444" w:type="dxa"/>
            <w:vAlign w:val="center"/>
          </w:tcPr>
          <w:p>
            <w:pPr>
              <w:spacing w:line="360" w:lineRule="auto"/>
              <w:jc w:val="center"/>
              <w:rPr>
                <w:rFonts w:ascii="黑体" w:hAnsi="黑体" w:eastAsia="黑体" w:cs="黑体"/>
                <w:color w:val="auto"/>
              </w:rPr>
            </w:pPr>
          </w:p>
        </w:tc>
        <w:tc>
          <w:tcPr>
            <w:tcW w:w="891" w:type="dxa"/>
            <w:gridSpan w:val="2"/>
            <w:vAlign w:val="center"/>
          </w:tcPr>
          <w:p>
            <w:pPr>
              <w:spacing w:line="360" w:lineRule="auto"/>
              <w:jc w:val="center"/>
              <w:rPr>
                <w:rFonts w:ascii="黑体" w:hAnsi="黑体" w:eastAsia="黑体" w:cs="黑体"/>
                <w:color w:val="auto"/>
              </w:rPr>
            </w:pPr>
          </w:p>
        </w:tc>
        <w:tc>
          <w:tcPr>
            <w:tcW w:w="798" w:type="dxa"/>
            <w:gridSpan w:val="2"/>
            <w:vAlign w:val="center"/>
          </w:tcPr>
          <w:p>
            <w:pPr>
              <w:spacing w:line="360" w:lineRule="auto"/>
              <w:jc w:val="center"/>
              <w:rPr>
                <w:rFonts w:ascii="黑体" w:hAnsi="黑体" w:eastAsia="黑体" w:cs="黑体"/>
                <w:color w:val="auto"/>
              </w:rPr>
            </w:pPr>
          </w:p>
        </w:tc>
        <w:tc>
          <w:tcPr>
            <w:tcW w:w="681" w:type="dxa"/>
            <w:vAlign w:val="center"/>
          </w:tcPr>
          <w:p>
            <w:pPr>
              <w:spacing w:line="360" w:lineRule="auto"/>
              <w:jc w:val="center"/>
              <w:rPr>
                <w:rFonts w:ascii="黑体" w:hAnsi="黑体" w:eastAsia="黑体" w:cs="黑体"/>
                <w:color w:val="auto"/>
              </w:rPr>
            </w:pPr>
          </w:p>
        </w:tc>
        <w:tc>
          <w:tcPr>
            <w:tcW w:w="2049" w:type="dxa"/>
            <w:gridSpan w:val="3"/>
            <w:vAlign w:val="center"/>
          </w:tcPr>
          <w:p>
            <w:pPr>
              <w:spacing w:line="360" w:lineRule="auto"/>
              <w:jc w:val="center"/>
              <w:rPr>
                <w:rFonts w:ascii="黑体" w:hAnsi="黑体" w:eastAsia="黑体" w:cs="黑体"/>
                <w:color w:val="auto"/>
              </w:rPr>
            </w:pPr>
          </w:p>
        </w:tc>
        <w:tc>
          <w:tcPr>
            <w:tcW w:w="1139" w:type="dxa"/>
            <w:vAlign w:val="center"/>
          </w:tcPr>
          <w:p>
            <w:pPr>
              <w:spacing w:line="360" w:lineRule="auto"/>
              <w:jc w:val="center"/>
              <w:rPr>
                <w:rFonts w:ascii="黑体" w:hAnsi="黑体" w:eastAsia="黑体"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54" w:type="dxa"/>
            <w:vAlign w:val="center"/>
          </w:tcPr>
          <w:p>
            <w:pPr>
              <w:spacing w:line="360" w:lineRule="auto"/>
              <w:jc w:val="center"/>
              <w:rPr>
                <w:rFonts w:ascii="黑体" w:hAnsi="黑体" w:eastAsia="黑体" w:cs="黑体"/>
                <w:color w:val="auto"/>
              </w:rPr>
            </w:pPr>
            <w:r>
              <w:rPr>
                <w:rFonts w:hint="eastAsia" w:ascii="黑体" w:hAnsi="黑体" w:eastAsia="黑体" w:cs="黑体"/>
                <w:color w:val="auto"/>
              </w:rPr>
              <w:t>4</w:t>
            </w:r>
          </w:p>
        </w:tc>
        <w:tc>
          <w:tcPr>
            <w:tcW w:w="1364" w:type="dxa"/>
            <w:gridSpan w:val="2"/>
            <w:vAlign w:val="center"/>
          </w:tcPr>
          <w:p>
            <w:pPr>
              <w:spacing w:line="360" w:lineRule="auto"/>
              <w:jc w:val="center"/>
              <w:rPr>
                <w:rFonts w:ascii="黑体" w:hAnsi="黑体" w:eastAsia="黑体" w:cs="黑体"/>
                <w:color w:val="auto"/>
              </w:rPr>
            </w:pPr>
          </w:p>
        </w:tc>
        <w:tc>
          <w:tcPr>
            <w:tcW w:w="1444" w:type="dxa"/>
            <w:vAlign w:val="center"/>
          </w:tcPr>
          <w:p>
            <w:pPr>
              <w:spacing w:line="360" w:lineRule="auto"/>
              <w:jc w:val="center"/>
              <w:rPr>
                <w:rFonts w:ascii="黑体" w:hAnsi="黑体" w:eastAsia="黑体" w:cs="黑体"/>
                <w:color w:val="auto"/>
              </w:rPr>
            </w:pPr>
          </w:p>
        </w:tc>
        <w:tc>
          <w:tcPr>
            <w:tcW w:w="891" w:type="dxa"/>
            <w:gridSpan w:val="2"/>
            <w:vAlign w:val="center"/>
          </w:tcPr>
          <w:p>
            <w:pPr>
              <w:spacing w:line="360" w:lineRule="auto"/>
              <w:jc w:val="center"/>
              <w:rPr>
                <w:rFonts w:ascii="黑体" w:hAnsi="黑体" w:eastAsia="黑体" w:cs="黑体"/>
                <w:color w:val="auto"/>
              </w:rPr>
            </w:pPr>
          </w:p>
        </w:tc>
        <w:tc>
          <w:tcPr>
            <w:tcW w:w="798" w:type="dxa"/>
            <w:gridSpan w:val="2"/>
            <w:vAlign w:val="center"/>
          </w:tcPr>
          <w:p>
            <w:pPr>
              <w:spacing w:line="360" w:lineRule="auto"/>
              <w:jc w:val="center"/>
              <w:rPr>
                <w:rFonts w:ascii="黑体" w:hAnsi="黑体" w:eastAsia="黑体" w:cs="黑体"/>
                <w:color w:val="auto"/>
              </w:rPr>
            </w:pPr>
          </w:p>
        </w:tc>
        <w:tc>
          <w:tcPr>
            <w:tcW w:w="681" w:type="dxa"/>
            <w:vAlign w:val="center"/>
          </w:tcPr>
          <w:p>
            <w:pPr>
              <w:spacing w:line="360" w:lineRule="auto"/>
              <w:jc w:val="center"/>
              <w:rPr>
                <w:rFonts w:ascii="黑体" w:hAnsi="黑体" w:eastAsia="黑体" w:cs="黑体"/>
                <w:color w:val="auto"/>
              </w:rPr>
            </w:pPr>
          </w:p>
        </w:tc>
        <w:tc>
          <w:tcPr>
            <w:tcW w:w="2049" w:type="dxa"/>
            <w:gridSpan w:val="3"/>
            <w:vAlign w:val="center"/>
          </w:tcPr>
          <w:p>
            <w:pPr>
              <w:spacing w:line="360" w:lineRule="auto"/>
              <w:jc w:val="center"/>
              <w:rPr>
                <w:rFonts w:ascii="黑体" w:hAnsi="黑体" w:eastAsia="黑体" w:cs="黑体"/>
                <w:color w:val="auto"/>
              </w:rPr>
            </w:pPr>
          </w:p>
        </w:tc>
        <w:tc>
          <w:tcPr>
            <w:tcW w:w="1139" w:type="dxa"/>
            <w:vAlign w:val="center"/>
          </w:tcPr>
          <w:p>
            <w:pPr>
              <w:spacing w:line="360" w:lineRule="auto"/>
              <w:jc w:val="center"/>
              <w:rPr>
                <w:rFonts w:ascii="黑体" w:hAnsi="黑体" w:eastAsia="黑体" w:cs="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54" w:type="dxa"/>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w:t>
            </w:r>
          </w:p>
        </w:tc>
        <w:tc>
          <w:tcPr>
            <w:tcW w:w="1364" w:type="dxa"/>
            <w:gridSpan w:val="2"/>
            <w:vAlign w:val="center"/>
          </w:tcPr>
          <w:p>
            <w:pPr>
              <w:spacing w:line="360" w:lineRule="auto"/>
              <w:jc w:val="center"/>
              <w:rPr>
                <w:rFonts w:ascii="黑体" w:hAnsi="黑体" w:eastAsia="黑体" w:cs="Times New Roman"/>
                <w:color w:val="auto"/>
              </w:rPr>
            </w:pPr>
          </w:p>
        </w:tc>
        <w:tc>
          <w:tcPr>
            <w:tcW w:w="1444" w:type="dxa"/>
            <w:vAlign w:val="center"/>
          </w:tcPr>
          <w:p>
            <w:pPr>
              <w:spacing w:line="360" w:lineRule="auto"/>
              <w:jc w:val="center"/>
              <w:rPr>
                <w:rFonts w:ascii="黑体" w:hAnsi="黑体" w:eastAsia="黑体" w:cs="Times New Roman"/>
                <w:color w:val="auto"/>
              </w:rPr>
            </w:pPr>
          </w:p>
        </w:tc>
        <w:tc>
          <w:tcPr>
            <w:tcW w:w="891" w:type="dxa"/>
            <w:gridSpan w:val="2"/>
            <w:vAlign w:val="center"/>
          </w:tcPr>
          <w:p>
            <w:pPr>
              <w:spacing w:line="360" w:lineRule="auto"/>
              <w:jc w:val="center"/>
              <w:rPr>
                <w:rFonts w:ascii="黑体" w:hAnsi="黑体" w:eastAsia="黑体" w:cs="Times New Roman"/>
                <w:color w:val="auto"/>
              </w:rPr>
            </w:pPr>
          </w:p>
        </w:tc>
        <w:tc>
          <w:tcPr>
            <w:tcW w:w="798" w:type="dxa"/>
            <w:gridSpan w:val="2"/>
            <w:vAlign w:val="center"/>
          </w:tcPr>
          <w:p>
            <w:pPr>
              <w:spacing w:line="360" w:lineRule="auto"/>
              <w:jc w:val="center"/>
              <w:rPr>
                <w:rFonts w:ascii="黑体" w:hAnsi="黑体" w:eastAsia="黑体" w:cs="Times New Roman"/>
                <w:color w:val="auto"/>
              </w:rPr>
            </w:pPr>
          </w:p>
        </w:tc>
        <w:tc>
          <w:tcPr>
            <w:tcW w:w="681" w:type="dxa"/>
            <w:vAlign w:val="center"/>
          </w:tcPr>
          <w:p>
            <w:pPr>
              <w:spacing w:line="360" w:lineRule="auto"/>
              <w:jc w:val="center"/>
              <w:rPr>
                <w:rFonts w:ascii="黑体" w:hAnsi="黑体" w:eastAsia="黑体" w:cs="Times New Roman"/>
                <w:color w:val="auto"/>
              </w:rPr>
            </w:pPr>
          </w:p>
        </w:tc>
        <w:tc>
          <w:tcPr>
            <w:tcW w:w="2049" w:type="dxa"/>
            <w:gridSpan w:val="3"/>
            <w:vAlign w:val="center"/>
          </w:tcPr>
          <w:p>
            <w:pPr>
              <w:spacing w:line="360" w:lineRule="auto"/>
              <w:jc w:val="center"/>
              <w:rPr>
                <w:rFonts w:ascii="黑体" w:hAnsi="黑体" w:eastAsia="黑体" w:cs="Times New Roman"/>
                <w:color w:val="auto"/>
              </w:rPr>
            </w:pPr>
          </w:p>
        </w:tc>
        <w:tc>
          <w:tcPr>
            <w:tcW w:w="1139" w:type="dxa"/>
            <w:vAlign w:val="center"/>
          </w:tcPr>
          <w:p>
            <w:pPr>
              <w:spacing w:line="360" w:lineRule="auto"/>
              <w:jc w:val="center"/>
              <w:rPr>
                <w:rFonts w:ascii="黑体" w:hAnsi="黑体" w:eastAsia="黑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762" w:type="dxa"/>
            <w:gridSpan w:val="4"/>
            <w:shd w:val="clear" w:color="auto" w:fill="auto"/>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合</w:t>
            </w:r>
            <w:r>
              <w:rPr>
                <w:rFonts w:ascii="黑体" w:hAnsi="黑体" w:eastAsia="黑体" w:cs="黑体"/>
                <w:color w:val="auto"/>
              </w:rPr>
              <w:t xml:space="preserve">     </w:t>
            </w:r>
            <w:r>
              <w:rPr>
                <w:rFonts w:hint="eastAsia" w:ascii="黑体" w:hAnsi="黑体" w:eastAsia="黑体" w:cs="黑体"/>
                <w:color w:val="auto"/>
              </w:rPr>
              <w:t>计</w:t>
            </w:r>
          </w:p>
        </w:tc>
        <w:tc>
          <w:tcPr>
            <w:tcW w:w="2370" w:type="dxa"/>
            <w:gridSpan w:val="5"/>
            <w:shd w:val="clear" w:color="auto" w:fill="FFFFCC"/>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数量合计：</w:t>
            </w:r>
          </w:p>
        </w:tc>
        <w:tc>
          <w:tcPr>
            <w:tcW w:w="3188" w:type="dxa"/>
            <w:gridSpan w:val="4"/>
            <w:shd w:val="clear" w:color="auto" w:fill="FFFFCC"/>
            <w:vAlign w:val="center"/>
          </w:tcPr>
          <w:p>
            <w:pPr>
              <w:spacing w:line="360" w:lineRule="auto"/>
              <w:jc w:val="center"/>
              <w:rPr>
                <w:rFonts w:ascii="黑体" w:hAnsi="黑体" w:eastAsia="黑体" w:cs="Times New Roman"/>
                <w:color w:val="auto"/>
              </w:rPr>
            </w:pPr>
            <w:r>
              <w:rPr>
                <w:rFonts w:hint="eastAsia" w:ascii="黑体" w:hAnsi="黑体" w:eastAsia="黑体" w:cs="黑体"/>
                <w:color w:val="auto"/>
              </w:rPr>
              <w:t>报价合计：</w:t>
            </w:r>
            <w:r>
              <w:rPr>
                <w:rFonts w:ascii="黑体" w:hAnsi="黑体" w:eastAsia="黑体" w:cs="黑体"/>
                <w:color w:val="auto"/>
              </w:rPr>
              <w:t xml:space="preserve">  </w:t>
            </w:r>
            <w:r>
              <w:rPr>
                <w:rFonts w:hint="eastAsia" w:ascii="黑体" w:hAnsi="黑体" w:eastAsia="黑体" w:cs="黑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320" w:type="dxa"/>
            <w:gridSpan w:val="13"/>
            <w:shd w:val="clear" w:color="auto" w:fill="FFFFCC"/>
            <w:vAlign w:val="center"/>
          </w:tcPr>
          <w:p>
            <w:pPr>
              <w:rPr>
                <w:rFonts w:hAnsi="宋体" w:cs="Times New Roman"/>
                <w:b/>
                <w:bCs/>
                <w:color w:val="auto"/>
              </w:rPr>
            </w:pPr>
            <w:r>
              <w:rPr>
                <w:rFonts w:hint="eastAsia" w:ascii="黑体" w:hAnsi="黑体" w:eastAsia="黑体" w:cs="黑体"/>
                <w:color w:val="auto"/>
                <w:sz w:val="24"/>
              </w:rPr>
              <w:t>三、报价汇总：人民币</w:t>
            </w:r>
            <w:r>
              <w:rPr>
                <w:rFonts w:ascii="黑体" w:hAnsi="黑体" w:eastAsia="黑体" w:cs="黑体"/>
                <w:color w:val="auto"/>
                <w:sz w:val="24"/>
                <w:u w:val="single"/>
              </w:rPr>
              <w:t xml:space="preserve">    </w:t>
            </w:r>
            <w:r>
              <w:rPr>
                <w:rFonts w:hint="eastAsia" w:ascii="黑体" w:hAnsi="黑体" w:eastAsia="黑体" w:cs="黑体"/>
                <w:color w:val="auto"/>
                <w:sz w:val="24"/>
                <w:u w:val="single"/>
              </w:rPr>
              <w:t xml:space="preserve">  </w:t>
            </w:r>
            <w:r>
              <w:rPr>
                <w:rFonts w:hint="eastAsia" w:ascii="黑体" w:hAnsi="黑体" w:eastAsia="黑体" w:cs="黑体"/>
                <w:color w:val="auto"/>
                <w:sz w:val="24"/>
              </w:rPr>
              <w:t>元。</w:t>
            </w:r>
            <w:r>
              <w:rPr>
                <w:rFonts w:ascii="黑体" w:hAnsi="黑体" w:eastAsia="黑体" w:cs="黑体"/>
                <w:color w:val="auto"/>
                <w:sz w:val="24"/>
              </w:rPr>
              <w:t xml:space="preserve"> </w:t>
            </w:r>
            <w:r>
              <w:rPr>
                <w:rFonts w:hint="eastAsia" w:ascii="黑体" w:hAnsi="黑体" w:eastAsia="黑体" w:cs="黑体"/>
                <w:color w:val="auto"/>
              </w:rPr>
              <w:t>（以上各合计项与首次报价一览表中的对应项均一致相符，如不一致以首次报价一览表为准）</w:t>
            </w:r>
          </w:p>
        </w:tc>
      </w:tr>
    </w:tbl>
    <w:p>
      <w:pPr>
        <w:pStyle w:val="13"/>
        <w:spacing w:line="440" w:lineRule="exact"/>
        <w:ind w:firstLine="422" w:firstLineChars="200"/>
        <w:rPr>
          <w:b/>
          <w:bCs/>
          <w:color w:val="auto"/>
          <w:u w:val="single"/>
        </w:rPr>
      </w:pPr>
      <w:r>
        <w:rPr>
          <w:rFonts w:hint="eastAsia" w:hAnsi="宋体"/>
          <w:b/>
          <w:bCs/>
          <w:color w:val="auto"/>
          <w:u w:val="single"/>
        </w:rPr>
        <w:t>注：</w:t>
      </w:r>
    </w:p>
    <w:p>
      <w:pPr>
        <w:pStyle w:val="13"/>
        <w:spacing w:line="440" w:lineRule="exact"/>
        <w:ind w:left="-120" w:leftChars="-57" w:firstLine="527" w:firstLineChars="250"/>
        <w:rPr>
          <w:b/>
          <w:bCs/>
          <w:color w:val="auto"/>
          <w:u w:val="single"/>
        </w:rPr>
      </w:pPr>
      <w:r>
        <w:rPr>
          <w:rFonts w:hAnsi="宋体"/>
          <w:b/>
          <w:bCs/>
          <w:color w:val="auto"/>
          <w:u w:val="single"/>
        </w:rPr>
        <w:t>1.</w:t>
      </w:r>
      <w:r>
        <w:rPr>
          <w:rFonts w:hint="eastAsia" w:hAnsi="宋体"/>
          <w:b/>
          <w:bCs/>
          <w:color w:val="auto"/>
          <w:u w:val="single"/>
        </w:rPr>
        <w:t>分项报价表可参照以上格式提供，也可由供应商自拟格式；</w:t>
      </w:r>
    </w:p>
    <w:p>
      <w:pPr>
        <w:pStyle w:val="13"/>
        <w:spacing w:line="440" w:lineRule="exact"/>
        <w:ind w:left="-120" w:leftChars="-57" w:firstLine="527" w:firstLineChars="250"/>
        <w:rPr>
          <w:b/>
          <w:bCs/>
          <w:color w:val="auto"/>
          <w:u w:val="single"/>
        </w:rPr>
      </w:pPr>
      <w:r>
        <w:rPr>
          <w:rFonts w:hint="eastAsia" w:hAnsi="宋体"/>
          <w:b/>
          <w:bCs/>
          <w:color w:val="auto"/>
          <w:u w:val="single"/>
        </w:rPr>
        <w:t>自拟格式应能清楚表达《首次报价一览表》总报价组成；</w:t>
      </w:r>
    </w:p>
    <w:p>
      <w:pPr>
        <w:pStyle w:val="13"/>
        <w:spacing w:line="440" w:lineRule="exact"/>
        <w:ind w:left="-120" w:leftChars="-57" w:firstLine="527" w:firstLineChars="250"/>
        <w:rPr>
          <w:b/>
          <w:bCs/>
          <w:color w:val="auto"/>
          <w:u w:val="single"/>
        </w:rPr>
      </w:pPr>
      <w:r>
        <w:rPr>
          <w:rFonts w:hAnsi="宋体"/>
          <w:b/>
          <w:bCs/>
          <w:color w:val="auto"/>
          <w:u w:val="single"/>
        </w:rPr>
        <w:t>2.</w:t>
      </w:r>
      <w:r>
        <w:rPr>
          <w:rFonts w:hint="eastAsia" w:hAnsi="宋体"/>
          <w:b/>
          <w:bCs/>
          <w:color w:val="auto"/>
          <w:u w:val="single"/>
        </w:rPr>
        <w:t>对于报价免费的项目必须标明“免费”。</w:t>
      </w:r>
    </w:p>
    <w:p>
      <w:pPr>
        <w:pStyle w:val="13"/>
        <w:spacing w:line="440" w:lineRule="exact"/>
        <w:ind w:left="-120" w:leftChars="-57" w:firstLine="527" w:firstLineChars="250"/>
        <w:rPr>
          <w:b/>
          <w:bCs/>
          <w:color w:val="auto"/>
          <w:u w:val="single"/>
        </w:rPr>
      </w:pPr>
      <w:r>
        <w:rPr>
          <w:rFonts w:hAnsi="宋体"/>
          <w:b/>
          <w:bCs/>
          <w:color w:val="auto"/>
          <w:u w:val="single"/>
        </w:rPr>
        <w:t>3.</w:t>
      </w:r>
      <w:r>
        <w:rPr>
          <w:rFonts w:hint="eastAsia" w:hAnsi="宋体"/>
          <w:b/>
          <w:bCs/>
          <w:color w:val="auto"/>
          <w:u w:val="single"/>
        </w:rPr>
        <w:t>表内报价内容以元为单位。</w:t>
      </w:r>
    </w:p>
    <w:p>
      <w:pPr>
        <w:spacing w:line="360" w:lineRule="auto"/>
        <w:ind w:firstLine="480" w:firstLineChars="200"/>
        <w:rPr>
          <w:rFonts w:ascii="宋体" w:cs="Times New Roman"/>
          <w:color w:val="auto"/>
          <w:sz w:val="24"/>
          <w:u w:val="single"/>
        </w:rPr>
      </w:pPr>
      <w:r>
        <w:rPr>
          <w:rFonts w:hint="eastAsia" w:ascii="宋体" w:hAnsi="宋体"/>
          <w:color w:val="auto"/>
          <w:sz w:val="24"/>
        </w:rPr>
        <w:t>供应商法定代表人（或法定代表人授权代表）签字：</w:t>
      </w:r>
      <w:r>
        <w:rPr>
          <w:rFonts w:ascii="宋体" w:hAnsi="宋体"/>
          <w:color w:val="auto"/>
          <w:sz w:val="24"/>
          <w:u w:val="single"/>
        </w:rPr>
        <w:t xml:space="preserve">                   </w:t>
      </w:r>
    </w:p>
    <w:p>
      <w:pPr>
        <w:spacing w:line="360" w:lineRule="auto"/>
        <w:ind w:firstLine="480" w:firstLineChars="200"/>
        <w:rPr>
          <w:rFonts w:ascii="宋体" w:cs="Times New Roman"/>
          <w:color w:val="auto"/>
          <w:sz w:val="24"/>
          <w:u w:val="single"/>
        </w:rPr>
      </w:pPr>
      <w:r>
        <w:rPr>
          <w:rFonts w:hint="eastAsia" w:ascii="宋体" w:hAnsi="宋体"/>
          <w:color w:val="auto"/>
          <w:sz w:val="24"/>
        </w:rPr>
        <w:t>供应商名称（盖章）：</w:t>
      </w:r>
      <w:r>
        <w:rPr>
          <w:rFonts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60" w:lineRule="auto"/>
        <w:ind w:firstLine="482" w:firstLineChars="200"/>
        <w:rPr>
          <w:rFonts w:ascii="宋体" w:hAnsi="宋体"/>
          <w:b/>
          <w:bCs/>
          <w:color w:val="auto"/>
          <w:sz w:val="24"/>
        </w:rPr>
        <w:sectPr>
          <w:pgSz w:w="11906" w:h="16838"/>
          <w:pgMar w:top="1440" w:right="1080" w:bottom="1440" w:left="1080" w:header="851" w:footer="992" w:gutter="0"/>
          <w:cols w:space="425" w:num="1"/>
          <w:docGrid w:type="lines" w:linePitch="312" w:charSpace="0"/>
        </w:sectPr>
      </w:pPr>
      <w:bookmarkStart w:id="489" w:name="_Toc14998"/>
      <w:bookmarkStart w:id="490" w:name="_Toc27342"/>
      <w:bookmarkStart w:id="491" w:name="_Toc483349446"/>
      <w:bookmarkStart w:id="492" w:name="_Toc22652"/>
      <w:bookmarkStart w:id="493" w:name="_Toc484353369"/>
    </w:p>
    <w:p>
      <w:pPr>
        <w:spacing w:line="360" w:lineRule="auto"/>
        <w:jc w:val="center"/>
        <w:outlineLvl w:val="1"/>
        <w:rPr>
          <w:rFonts w:hint="eastAsia" w:ascii="黑体" w:hAnsi="仿宋" w:eastAsia="黑体" w:cs="黑体"/>
          <w:b/>
          <w:bCs/>
          <w:color w:val="auto"/>
          <w:sz w:val="32"/>
          <w:szCs w:val="32"/>
          <w:lang w:val="en-US" w:eastAsia="zh-CN"/>
        </w:rPr>
      </w:pPr>
      <w:bookmarkStart w:id="494" w:name="_Toc1623"/>
      <w:bookmarkStart w:id="495" w:name="_Toc16644"/>
    </w:p>
    <w:p>
      <w:pPr>
        <w:spacing w:line="360" w:lineRule="auto"/>
        <w:jc w:val="center"/>
        <w:outlineLvl w:val="1"/>
        <w:rPr>
          <w:rFonts w:ascii="黑体" w:hAnsi="仿宋" w:eastAsia="黑体" w:cs="Times New Roman"/>
          <w:b/>
          <w:bCs/>
          <w:color w:val="auto"/>
          <w:sz w:val="32"/>
          <w:szCs w:val="32"/>
        </w:rPr>
      </w:pPr>
      <w:r>
        <w:rPr>
          <w:rFonts w:hint="eastAsia" w:ascii="黑体" w:hAnsi="仿宋" w:eastAsia="黑体" w:cs="黑体"/>
          <w:b/>
          <w:bCs/>
          <w:color w:val="auto"/>
          <w:sz w:val="32"/>
          <w:szCs w:val="32"/>
          <w:lang w:val="en-US" w:eastAsia="zh-CN"/>
        </w:rPr>
        <w:t>四</w:t>
      </w:r>
      <w:r>
        <w:rPr>
          <w:rFonts w:hint="eastAsia" w:ascii="黑体" w:hAnsi="仿宋" w:eastAsia="黑体" w:cs="黑体"/>
          <w:b/>
          <w:bCs/>
          <w:color w:val="auto"/>
          <w:sz w:val="32"/>
          <w:szCs w:val="32"/>
        </w:rPr>
        <w:t>、技术部分</w:t>
      </w:r>
      <w:bookmarkEnd w:id="489"/>
      <w:bookmarkEnd w:id="490"/>
      <w:bookmarkEnd w:id="491"/>
      <w:bookmarkEnd w:id="492"/>
      <w:bookmarkEnd w:id="493"/>
      <w:bookmarkEnd w:id="494"/>
      <w:bookmarkEnd w:id="495"/>
    </w:p>
    <w:p>
      <w:pPr>
        <w:spacing w:line="360" w:lineRule="auto"/>
        <w:ind w:firstLine="480" w:firstLineChars="200"/>
      </w:pPr>
      <w:r>
        <w:rPr>
          <w:rFonts w:hint="eastAsia" w:ascii="宋体" w:hAnsi="宋体"/>
          <w:color w:val="auto"/>
          <w:sz w:val="24"/>
        </w:rPr>
        <w:t>响应供应商应按照磋商文件的要求，根据《用户需求书》《技术评审表》要求内容做出全面响应并编制技术服务方案。</w:t>
      </w:r>
    </w:p>
    <w:p>
      <w:pPr>
        <w:spacing w:line="360" w:lineRule="auto"/>
        <w:ind w:firstLine="482" w:firstLineChars="200"/>
        <w:jc w:val="left"/>
        <w:rPr>
          <w:rFonts w:ascii="宋体" w:hAnsi="宋体"/>
          <w:b/>
          <w:bCs/>
          <w:color w:val="auto"/>
          <w:sz w:val="24"/>
        </w:rPr>
      </w:pPr>
      <w:r>
        <w:rPr>
          <w:rFonts w:hint="eastAsia" w:ascii="宋体" w:hAnsi="宋体"/>
          <w:b/>
          <w:bCs/>
          <w:color w:val="auto"/>
          <w:sz w:val="24"/>
        </w:rPr>
        <w:t>5.1项目理解</w:t>
      </w:r>
    </w:p>
    <w:p>
      <w:pPr>
        <w:spacing w:line="360" w:lineRule="auto"/>
        <w:ind w:firstLine="482" w:firstLineChars="200"/>
        <w:jc w:val="left"/>
        <w:rPr>
          <w:rFonts w:ascii="宋体" w:hAnsi="宋体"/>
          <w:b/>
          <w:bCs/>
          <w:color w:val="auto"/>
          <w:sz w:val="24"/>
        </w:rPr>
      </w:pPr>
      <w:r>
        <w:rPr>
          <w:rFonts w:hint="eastAsia" w:ascii="宋体" w:hAnsi="宋体"/>
          <w:b/>
          <w:bCs/>
          <w:color w:val="auto"/>
          <w:sz w:val="24"/>
        </w:rPr>
        <w:t>5.2运维服务方案</w:t>
      </w:r>
    </w:p>
    <w:p>
      <w:pPr>
        <w:spacing w:line="360" w:lineRule="auto"/>
        <w:ind w:firstLine="482" w:firstLineChars="200"/>
        <w:jc w:val="left"/>
        <w:rPr>
          <w:rFonts w:ascii="宋体" w:hAnsi="宋体"/>
          <w:b/>
          <w:bCs/>
          <w:color w:val="auto"/>
          <w:sz w:val="24"/>
        </w:rPr>
      </w:pPr>
      <w:r>
        <w:rPr>
          <w:rFonts w:hint="eastAsia" w:ascii="宋体" w:hAnsi="宋体"/>
          <w:b/>
          <w:bCs/>
          <w:color w:val="auto"/>
          <w:sz w:val="24"/>
        </w:rPr>
        <w:t>5.</w:t>
      </w:r>
      <w:r>
        <w:rPr>
          <w:rFonts w:hint="eastAsia" w:ascii="宋体" w:hAnsi="宋体"/>
          <w:b/>
          <w:bCs/>
          <w:color w:val="auto"/>
          <w:sz w:val="24"/>
          <w:lang w:val="en-US" w:eastAsia="zh-CN"/>
        </w:rPr>
        <w:t>3</w:t>
      </w:r>
      <w:r>
        <w:rPr>
          <w:rFonts w:hint="eastAsia" w:ascii="宋体" w:hAnsi="宋体"/>
          <w:b/>
          <w:bCs/>
          <w:color w:val="auto"/>
          <w:sz w:val="24"/>
        </w:rPr>
        <w:t>项目组织方案</w:t>
      </w:r>
    </w:p>
    <w:p>
      <w:pPr>
        <w:spacing w:line="360" w:lineRule="auto"/>
        <w:ind w:firstLine="482" w:firstLineChars="200"/>
        <w:jc w:val="left"/>
        <w:rPr>
          <w:rFonts w:ascii="宋体" w:hAnsi="宋体"/>
          <w:b/>
          <w:bCs/>
          <w:color w:val="auto"/>
          <w:sz w:val="24"/>
        </w:rPr>
      </w:pPr>
      <w:r>
        <w:rPr>
          <w:rFonts w:hint="eastAsia" w:ascii="宋体" w:hAnsi="宋体"/>
          <w:b/>
          <w:bCs/>
          <w:color w:val="auto"/>
          <w:sz w:val="24"/>
        </w:rPr>
        <w:t>5.</w:t>
      </w:r>
      <w:r>
        <w:rPr>
          <w:rFonts w:hint="eastAsia" w:ascii="宋体" w:hAnsi="宋体"/>
          <w:b/>
          <w:bCs/>
          <w:color w:val="auto"/>
          <w:sz w:val="24"/>
          <w:lang w:val="en-US" w:eastAsia="zh-CN"/>
        </w:rPr>
        <w:t>4</w:t>
      </w:r>
      <w:r>
        <w:rPr>
          <w:rFonts w:hint="eastAsia" w:ascii="宋体" w:hAnsi="宋体"/>
          <w:b/>
          <w:bCs/>
          <w:color w:val="auto"/>
          <w:sz w:val="24"/>
        </w:rPr>
        <w:t>安全措施</w:t>
      </w:r>
    </w:p>
    <w:p>
      <w:pPr>
        <w:pStyle w:val="13"/>
        <w:spacing w:line="360" w:lineRule="auto"/>
        <w:ind w:left="-120" w:leftChars="-57" w:firstLine="602" w:firstLineChars="250"/>
        <w:rPr>
          <w:rFonts w:ascii="仿宋_GB2312" w:hAnsi="仿宋" w:eastAsia="仿宋_GB2312" w:cs="仿宋"/>
          <w:b/>
          <w:bCs/>
          <w:color w:val="auto"/>
          <w:sz w:val="24"/>
          <w:szCs w:val="24"/>
        </w:rPr>
      </w:pPr>
    </w:p>
    <w:p>
      <w:pPr>
        <w:spacing w:line="360" w:lineRule="auto"/>
        <w:ind w:firstLine="480" w:firstLineChars="200"/>
        <w:rPr>
          <w:rFonts w:ascii="宋体" w:hAnsi="宋体"/>
          <w:color w:val="auto"/>
          <w:sz w:val="24"/>
        </w:rPr>
      </w:pPr>
    </w:p>
    <w:p>
      <w:pPr>
        <w:spacing w:line="360" w:lineRule="auto"/>
        <w:jc w:val="center"/>
        <w:outlineLvl w:val="1"/>
        <w:rPr>
          <w:rFonts w:ascii="黑体" w:hAnsi="仿宋" w:eastAsia="黑体" w:cs="黑体"/>
          <w:b/>
          <w:bCs/>
          <w:color w:val="auto"/>
          <w:sz w:val="32"/>
          <w:szCs w:val="32"/>
        </w:rPr>
      </w:pPr>
      <w:bookmarkStart w:id="496" w:name="_Toc8463"/>
      <w:bookmarkStart w:id="497" w:name="_Toc483349447"/>
      <w:bookmarkStart w:id="498" w:name="_Toc28982"/>
      <w:bookmarkStart w:id="499" w:name="_Toc484353370"/>
      <w:bookmarkStart w:id="500" w:name="_Toc29468"/>
      <w:r>
        <w:rPr>
          <w:rFonts w:hint="eastAsia" w:ascii="黑体" w:hAnsi="仿宋" w:eastAsia="黑体" w:cs="黑体"/>
          <w:b/>
          <w:bCs/>
          <w:color w:val="auto"/>
          <w:sz w:val="32"/>
          <w:szCs w:val="32"/>
        </w:rPr>
        <w:br w:type="page"/>
      </w:r>
    </w:p>
    <w:p>
      <w:pPr>
        <w:spacing w:line="360" w:lineRule="auto"/>
        <w:jc w:val="center"/>
        <w:outlineLvl w:val="1"/>
        <w:rPr>
          <w:rFonts w:ascii="黑体" w:hAnsi="仿宋" w:eastAsia="黑体" w:cs="Times New Roman"/>
          <w:b/>
          <w:bCs/>
          <w:color w:val="auto"/>
          <w:sz w:val="32"/>
          <w:szCs w:val="32"/>
        </w:rPr>
      </w:pPr>
      <w:bookmarkStart w:id="501" w:name="_Toc27313"/>
      <w:bookmarkStart w:id="502" w:name="_Toc20479"/>
      <w:r>
        <w:rPr>
          <w:rFonts w:hint="eastAsia" w:ascii="黑体" w:hAnsi="仿宋" w:eastAsia="黑体" w:cs="黑体"/>
          <w:b/>
          <w:bCs/>
          <w:color w:val="auto"/>
          <w:sz w:val="32"/>
          <w:szCs w:val="32"/>
          <w:lang w:val="en-US" w:eastAsia="zh-CN"/>
        </w:rPr>
        <w:t>五</w:t>
      </w:r>
      <w:r>
        <w:rPr>
          <w:rFonts w:hint="eastAsia" w:ascii="黑体" w:hAnsi="仿宋" w:eastAsia="黑体" w:cs="黑体"/>
          <w:b/>
          <w:bCs/>
          <w:color w:val="auto"/>
          <w:sz w:val="32"/>
          <w:szCs w:val="32"/>
        </w:rPr>
        <w:t>、商务部分</w:t>
      </w:r>
      <w:bookmarkEnd w:id="496"/>
      <w:bookmarkEnd w:id="497"/>
      <w:bookmarkEnd w:id="498"/>
      <w:bookmarkEnd w:id="499"/>
      <w:bookmarkEnd w:id="500"/>
      <w:bookmarkEnd w:id="501"/>
      <w:bookmarkEnd w:id="502"/>
    </w:p>
    <w:p>
      <w:pPr>
        <w:spacing w:line="360" w:lineRule="auto"/>
        <w:ind w:firstLine="482" w:firstLineChars="200"/>
        <w:jc w:val="left"/>
        <w:rPr>
          <w:rFonts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.1供应商履约情况证明材料</w:t>
      </w:r>
    </w:p>
    <w:p>
      <w:pPr>
        <w:spacing w:line="360" w:lineRule="auto"/>
        <w:ind w:firstLine="480" w:firstLineChars="200"/>
        <w:jc w:val="left"/>
        <w:rPr>
          <w:rFonts w:ascii="宋体" w:hAnsi="宋体"/>
          <w:color w:val="auto"/>
          <w:sz w:val="24"/>
        </w:rPr>
      </w:pPr>
    </w:p>
    <w:p>
      <w:pPr>
        <w:spacing w:line="360" w:lineRule="auto"/>
        <w:ind w:firstLine="480" w:firstLineChars="200"/>
        <w:jc w:val="left"/>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.1.1企业简介</w:t>
      </w:r>
    </w:p>
    <w:p>
      <w:pPr>
        <w:spacing w:line="360" w:lineRule="auto"/>
        <w:ind w:firstLine="480" w:firstLineChars="200"/>
        <w:jc w:val="left"/>
        <w:rPr>
          <w:rFonts w:ascii="宋体" w:hAnsi="宋体"/>
          <w:color w:val="auto"/>
          <w:sz w:val="24"/>
        </w:rPr>
      </w:pPr>
    </w:p>
    <w:p>
      <w:pPr>
        <w:spacing w:line="360" w:lineRule="auto"/>
        <w:ind w:firstLine="480" w:firstLineChars="200"/>
        <w:jc w:val="left"/>
        <w:rPr>
          <w:rFonts w:ascii="宋体" w:hAnsi="宋体"/>
          <w:b/>
          <w:bCs/>
          <w:color w:val="auto"/>
          <w:sz w:val="24"/>
        </w:rPr>
      </w:pPr>
      <w:r>
        <w:rPr>
          <w:rFonts w:hint="eastAsia" w:ascii="宋体" w:hAnsi="宋体"/>
          <w:color w:val="auto"/>
          <w:sz w:val="24"/>
          <w:lang w:val="en-US" w:eastAsia="zh-CN"/>
        </w:rPr>
        <w:t>5</w:t>
      </w:r>
      <w:r>
        <w:rPr>
          <w:rFonts w:hint="eastAsia" w:ascii="宋体" w:hAnsi="宋体"/>
          <w:color w:val="auto"/>
          <w:sz w:val="24"/>
        </w:rPr>
        <w:t>.1.2资质证书/获奖证书/荣誉证书/信用等级证书等（复印件加盖公章）</w:t>
      </w:r>
    </w:p>
    <w:p>
      <w:pPr>
        <w:spacing w:line="360" w:lineRule="auto"/>
        <w:ind w:firstLine="482" w:firstLineChars="200"/>
        <w:jc w:val="left"/>
        <w:rPr>
          <w:rFonts w:ascii="宋体" w:hAnsi="宋体"/>
          <w:b/>
          <w:bCs/>
          <w:color w:val="auto"/>
          <w:sz w:val="24"/>
        </w:rPr>
      </w:pPr>
    </w:p>
    <w:p>
      <w:pPr>
        <w:spacing w:line="360" w:lineRule="auto"/>
        <w:ind w:firstLine="480" w:firstLineChars="200"/>
        <w:jc w:val="left"/>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.1.3同类项目业绩</w:t>
      </w:r>
    </w:p>
    <w:p>
      <w:pPr>
        <w:pStyle w:val="13"/>
        <w:spacing w:line="360" w:lineRule="auto"/>
        <w:rPr>
          <w:rFonts w:ascii="仿宋_GB2312" w:hAnsi="仿宋" w:eastAsia="仿宋_GB2312" w:cs="仿宋"/>
          <w:b/>
          <w:bCs/>
          <w:color w:val="auto"/>
          <w:sz w:val="24"/>
          <w:szCs w:val="24"/>
        </w:rPr>
      </w:pPr>
    </w:p>
    <w:p>
      <w:pPr>
        <w:spacing w:line="360" w:lineRule="auto"/>
        <w:ind w:firstLine="480" w:firstLineChars="200"/>
        <w:jc w:val="left"/>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.1.4其它重要事项说明及承诺</w:t>
      </w:r>
    </w:p>
    <w:p>
      <w:pPr>
        <w:spacing w:line="360" w:lineRule="auto"/>
        <w:ind w:firstLine="422" w:firstLineChars="200"/>
        <w:rPr>
          <w:rFonts w:ascii="宋体" w:hAnsi="宋体"/>
          <w:b/>
          <w:bCs/>
          <w:color w:val="auto"/>
          <w:u w:val="single"/>
        </w:rPr>
      </w:pPr>
      <w:r>
        <w:rPr>
          <w:rFonts w:hint="eastAsia" w:ascii="宋体" w:hAnsi="宋体"/>
          <w:b/>
          <w:bCs/>
          <w:color w:val="auto"/>
          <w:u w:val="single"/>
          <w:lang w:val="en-GB"/>
        </w:rPr>
        <w:t>（如有，请扼要叙述）</w:t>
      </w:r>
    </w:p>
    <w:p>
      <w:pPr>
        <w:pStyle w:val="13"/>
        <w:spacing w:line="360" w:lineRule="auto"/>
        <w:ind w:left="-120" w:leftChars="-57" w:firstLine="602" w:firstLineChars="250"/>
        <w:rPr>
          <w:rFonts w:hAnsi="宋体"/>
          <w:b/>
          <w:bCs/>
          <w:color w:val="auto"/>
          <w:sz w:val="24"/>
          <w:szCs w:val="24"/>
        </w:rPr>
      </w:pPr>
      <w:r>
        <w:rPr>
          <w:rFonts w:hint="eastAsia" w:ascii="仿宋_GB2312" w:hAnsi="仿宋" w:eastAsia="仿宋_GB2312" w:cs="仿宋"/>
          <w:b/>
          <w:bCs/>
          <w:color w:val="auto"/>
          <w:sz w:val="24"/>
          <w:szCs w:val="24"/>
        </w:rPr>
        <w:br w:type="page"/>
      </w:r>
      <w:r>
        <w:rPr>
          <w:rFonts w:hint="eastAsia" w:hAnsi="宋体" w:eastAsia="仿宋_GB2312"/>
          <w:b/>
          <w:bCs/>
          <w:color w:val="auto"/>
          <w:sz w:val="24"/>
          <w:szCs w:val="24"/>
          <w:lang w:val="en-US" w:eastAsia="zh-CN"/>
        </w:rPr>
        <w:t>5</w:t>
      </w:r>
      <w:r>
        <w:rPr>
          <w:rFonts w:hint="eastAsia" w:hAnsi="宋体"/>
          <w:b/>
          <w:bCs/>
          <w:color w:val="auto"/>
          <w:sz w:val="24"/>
          <w:szCs w:val="24"/>
        </w:rPr>
        <w:t>.2商务条款响应表</w:t>
      </w:r>
    </w:p>
    <w:p>
      <w:pPr>
        <w:spacing w:line="360" w:lineRule="auto"/>
        <w:jc w:val="center"/>
        <w:rPr>
          <w:rFonts w:ascii="黑体" w:hAnsi="仿宋" w:eastAsia="黑体" w:cs="仿宋"/>
          <w:bCs/>
          <w:color w:val="auto"/>
          <w:sz w:val="32"/>
          <w:szCs w:val="32"/>
        </w:rPr>
      </w:pPr>
      <w:r>
        <w:rPr>
          <w:rFonts w:hint="eastAsia" w:ascii="黑体" w:hAnsi="仿宋" w:eastAsia="黑体" w:cs="仿宋"/>
          <w:bCs/>
          <w:color w:val="auto"/>
          <w:sz w:val="32"/>
          <w:szCs w:val="32"/>
        </w:rPr>
        <w:t>商务条款响应表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序号</w:t>
            </w:r>
          </w:p>
        </w:tc>
        <w:tc>
          <w:tcPr>
            <w:tcW w:w="5945" w:type="dxa"/>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一般商务条款要求</w:t>
            </w:r>
          </w:p>
        </w:tc>
        <w:tc>
          <w:tcPr>
            <w:tcW w:w="1428" w:type="dxa"/>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是否响应</w:t>
            </w:r>
          </w:p>
        </w:tc>
        <w:tc>
          <w:tcPr>
            <w:tcW w:w="1255" w:type="dxa"/>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1</w:t>
            </w:r>
          </w:p>
        </w:tc>
        <w:tc>
          <w:tcPr>
            <w:tcW w:w="5945" w:type="dxa"/>
          </w:tcPr>
          <w:p>
            <w:pPr>
              <w:spacing w:line="360" w:lineRule="auto"/>
              <w:jc w:val="left"/>
              <w:rPr>
                <w:rFonts w:ascii="宋体" w:hAnsi="宋体"/>
                <w:color w:val="auto"/>
              </w:rPr>
            </w:pPr>
            <w:r>
              <w:rPr>
                <w:rFonts w:hint="eastAsia" w:ascii="宋体" w:hAnsi="宋体"/>
                <w:color w:val="auto"/>
              </w:rPr>
              <w:t>完全理解并接受合同条款的要求</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2</w:t>
            </w:r>
          </w:p>
        </w:tc>
        <w:tc>
          <w:tcPr>
            <w:tcW w:w="5945" w:type="dxa"/>
          </w:tcPr>
          <w:p>
            <w:pPr>
              <w:spacing w:line="360" w:lineRule="auto"/>
              <w:jc w:val="left"/>
              <w:rPr>
                <w:rFonts w:ascii="宋体" w:hAnsi="宋体"/>
                <w:color w:val="auto"/>
              </w:rPr>
            </w:pPr>
            <w:r>
              <w:rPr>
                <w:rFonts w:hint="eastAsia" w:ascii="宋体" w:hAnsi="宋体"/>
                <w:color w:val="auto"/>
              </w:rPr>
              <w:t>完全理解并接受对合格供应商、合格服务的要求</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3</w:t>
            </w:r>
          </w:p>
        </w:tc>
        <w:tc>
          <w:tcPr>
            <w:tcW w:w="5945" w:type="dxa"/>
          </w:tcPr>
          <w:p>
            <w:pPr>
              <w:spacing w:line="360" w:lineRule="auto"/>
              <w:jc w:val="left"/>
              <w:rPr>
                <w:rFonts w:ascii="宋体" w:hAnsi="宋体"/>
                <w:color w:val="auto"/>
              </w:rPr>
            </w:pPr>
            <w:r>
              <w:rPr>
                <w:rFonts w:hint="eastAsia" w:ascii="宋体" w:hAnsi="宋体"/>
                <w:color w:val="auto"/>
              </w:rPr>
              <w:t>完全理解并接受对供应商须知、规约要求和责任义务</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4</w:t>
            </w:r>
          </w:p>
        </w:tc>
        <w:tc>
          <w:tcPr>
            <w:tcW w:w="5945" w:type="dxa"/>
          </w:tcPr>
          <w:p>
            <w:pPr>
              <w:spacing w:line="360" w:lineRule="auto"/>
              <w:jc w:val="left"/>
              <w:rPr>
                <w:rFonts w:ascii="宋体" w:hAnsi="宋体"/>
                <w:color w:val="auto"/>
              </w:rPr>
            </w:pPr>
            <w:r>
              <w:rPr>
                <w:rFonts w:hint="eastAsia" w:ascii="宋体" w:hAnsi="宋体"/>
                <w:color w:val="auto"/>
              </w:rPr>
              <w:t>响应有效期：自响应截止起不少于90日</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5</w:t>
            </w:r>
          </w:p>
        </w:tc>
        <w:tc>
          <w:tcPr>
            <w:tcW w:w="5945" w:type="dxa"/>
          </w:tcPr>
          <w:p>
            <w:pPr>
              <w:spacing w:line="360" w:lineRule="auto"/>
              <w:jc w:val="left"/>
              <w:rPr>
                <w:rFonts w:ascii="宋体" w:hAnsi="宋体"/>
                <w:color w:val="auto"/>
              </w:rPr>
            </w:pPr>
            <w:r>
              <w:rPr>
                <w:rFonts w:hint="eastAsia" w:ascii="宋体" w:hAnsi="宋体"/>
                <w:color w:val="auto"/>
              </w:rPr>
              <w:t>报价内容涵盖报价要求之一切费用和伴随服务</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6</w:t>
            </w:r>
          </w:p>
        </w:tc>
        <w:tc>
          <w:tcPr>
            <w:tcW w:w="5945" w:type="dxa"/>
          </w:tcPr>
          <w:p>
            <w:pPr>
              <w:spacing w:line="360" w:lineRule="auto"/>
              <w:jc w:val="left"/>
              <w:rPr>
                <w:rFonts w:ascii="宋体" w:hAnsi="宋体"/>
                <w:color w:val="auto"/>
              </w:rPr>
            </w:pPr>
            <w:r>
              <w:rPr>
                <w:rFonts w:hint="eastAsia" w:ascii="宋体" w:hAnsi="宋体"/>
                <w:color w:val="auto"/>
              </w:rPr>
              <w:t>同意接受磋商文件要求的付款方式</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7</w:t>
            </w:r>
          </w:p>
        </w:tc>
        <w:tc>
          <w:tcPr>
            <w:tcW w:w="5945" w:type="dxa"/>
          </w:tcPr>
          <w:p>
            <w:pPr>
              <w:spacing w:line="360" w:lineRule="auto"/>
              <w:jc w:val="left"/>
              <w:rPr>
                <w:rFonts w:ascii="宋体" w:hAnsi="宋体"/>
                <w:color w:val="auto"/>
              </w:rPr>
            </w:pPr>
            <w:r>
              <w:rPr>
                <w:rFonts w:hint="eastAsia" w:ascii="宋体" w:hAnsi="宋体"/>
                <w:color w:val="auto"/>
              </w:rPr>
              <w:t>同意接受磋商文件要求的服务期</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8</w:t>
            </w:r>
          </w:p>
        </w:tc>
        <w:tc>
          <w:tcPr>
            <w:tcW w:w="5945" w:type="dxa"/>
          </w:tcPr>
          <w:p>
            <w:pPr>
              <w:spacing w:line="360" w:lineRule="auto"/>
              <w:jc w:val="left"/>
              <w:rPr>
                <w:rFonts w:ascii="宋体" w:hAnsi="宋体"/>
                <w:color w:val="auto"/>
              </w:rPr>
            </w:pPr>
            <w:r>
              <w:rPr>
                <w:rFonts w:hint="eastAsia" w:ascii="宋体" w:hAnsi="宋体"/>
                <w:color w:val="auto"/>
              </w:rPr>
              <w:t>同意接受磋商文件要求的售后服务的各项要求</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9</w:t>
            </w:r>
          </w:p>
        </w:tc>
        <w:tc>
          <w:tcPr>
            <w:tcW w:w="5945" w:type="dxa"/>
          </w:tcPr>
          <w:p>
            <w:pPr>
              <w:spacing w:line="360" w:lineRule="auto"/>
              <w:jc w:val="left"/>
              <w:rPr>
                <w:rFonts w:ascii="宋体" w:hAnsi="宋体"/>
                <w:color w:val="auto"/>
              </w:rPr>
            </w:pPr>
            <w:r>
              <w:rPr>
                <w:rFonts w:hint="eastAsia" w:ascii="宋体" w:hAnsi="宋体"/>
                <w:color w:val="auto"/>
              </w:rPr>
              <w:t>同意接受合同范本所列的各项条款</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10</w:t>
            </w:r>
          </w:p>
        </w:tc>
        <w:tc>
          <w:tcPr>
            <w:tcW w:w="5945" w:type="dxa"/>
          </w:tcPr>
          <w:p>
            <w:pPr>
              <w:spacing w:line="360" w:lineRule="auto"/>
              <w:jc w:val="left"/>
              <w:rPr>
                <w:rFonts w:ascii="宋体" w:hAnsi="宋体"/>
                <w:color w:val="auto"/>
              </w:rPr>
            </w:pPr>
            <w:r>
              <w:rPr>
                <w:rFonts w:hint="eastAsia" w:ascii="宋体" w:hAnsi="宋体"/>
                <w:color w:val="auto"/>
              </w:rPr>
              <w:t>同意按照本项目要求缴付各项款项</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11</w:t>
            </w:r>
          </w:p>
        </w:tc>
        <w:tc>
          <w:tcPr>
            <w:tcW w:w="5945" w:type="dxa"/>
          </w:tcPr>
          <w:p>
            <w:pPr>
              <w:spacing w:line="360" w:lineRule="auto"/>
              <w:jc w:val="left"/>
              <w:rPr>
                <w:rFonts w:ascii="宋体" w:hAnsi="宋体"/>
                <w:color w:val="auto"/>
              </w:rPr>
            </w:pPr>
            <w:r>
              <w:rPr>
                <w:rFonts w:hint="eastAsia" w:ascii="宋体" w:hAnsi="宋体"/>
                <w:color w:val="auto"/>
              </w:rPr>
              <w:t>同意采购方以各种方式对我方提供的响应文件内容的真实性、有效性进行审查、验证</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12</w:t>
            </w:r>
          </w:p>
        </w:tc>
        <w:tc>
          <w:tcPr>
            <w:tcW w:w="5945" w:type="dxa"/>
          </w:tcPr>
          <w:p>
            <w:pPr>
              <w:spacing w:line="360" w:lineRule="auto"/>
              <w:jc w:val="left"/>
              <w:rPr>
                <w:rFonts w:ascii="宋体" w:hAnsi="宋体"/>
                <w:color w:val="auto"/>
              </w:rPr>
            </w:pPr>
            <w:r>
              <w:rPr>
                <w:rFonts w:hint="eastAsia" w:ascii="宋体" w:hAnsi="宋体"/>
                <w:color w:val="auto"/>
              </w:rPr>
              <w:t>其他商务条款偏离说明：</w:t>
            </w:r>
          </w:p>
        </w:tc>
        <w:tc>
          <w:tcPr>
            <w:tcW w:w="1428" w:type="dxa"/>
          </w:tcPr>
          <w:p>
            <w:pPr>
              <w:spacing w:line="360" w:lineRule="auto"/>
              <w:jc w:val="center"/>
              <w:rPr>
                <w:rFonts w:ascii="宋体" w:hAnsi="宋体"/>
                <w:color w:val="auto"/>
              </w:rPr>
            </w:pPr>
          </w:p>
        </w:tc>
        <w:tc>
          <w:tcPr>
            <w:tcW w:w="1255" w:type="dxa"/>
          </w:tcPr>
          <w:p>
            <w:pPr>
              <w:spacing w:line="360" w:lineRule="auto"/>
              <w:jc w:val="center"/>
              <w:rPr>
                <w:rFonts w:ascii="宋体" w:hAnsi="宋体"/>
                <w:color w:val="auto"/>
              </w:rPr>
            </w:pPr>
          </w:p>
        </w:tc>
      </w:tr>
    </w:tbl>
    <w:p>
      <w:pPr>
        <w:spacing w:line="360" w:lineRule="auto"/>
        <w:ind w:firstLine="422" w:firstLineChars="200"/>
        <w:jc w:val="left"/>
        <w:rPr>
          <w:rFonts w:ascii="宋体" w:hAnsi="宋体"/>
          <w:b/>
          <w:bCs/>
          <w:color w:val="auto"/>
          <w:u w:val="single"/>
        </w:rPr>
      </w:pPr>
      <w:r>
        <w:rPr>
          <w:rFonts w:hint="eastAsia" w:ascii="宋体" w:hAnsi="宋体"/>
          <w:b/>
          <w:bCs/>
          <w:color w:val="auto"/>
          <w:u w:val="single"/>
        </w:rPr>
        <w:t>注：对于上述要求，如响应供应商完全响应，则在“是否响应”栏打“√”，空白或打“Х”视偏离，请在“偏离说明”栏</w:t>
      </w:r>
      <w:r>
        <w:rPr>
          <w:rFonts w:hint="eastAsia" w:ascii="宋体" w:hAnsi="宋体"/>
          <w:b/>
          <w:bCs/>
          <w:color w:val="auto"/>
          <w:u w:val="single"/>
          <w:lang w:val="en-GB"/>
        </w:rPr>
        <w:t>扼要叙述。</w:t>
      </w:r>
    </w:p>
    <w:p>
      <w:pPr>
        <w:spacing w:line="360" w:lineRule="auto"/>
        <w:ind w:firstLine="482" w:firstLineChars="200"/>
        <w:jc w:val="left"/>
        <w:rPr>
          <w:rFonts w:ascii="宋体" w:hAnsi="宋体"/>
          <w:b/>
          <w:bCs/>
          <w:color w:val="auto"/>
          <w:sz w:val="24"/>
        </w:rPr>
      </w:pPr>
    </w:p>
    <w:p>
      <w:pPr>
        <w:spacing w:line="360" w:lineRule="auto"/>
        <w:ind w:firstLine="482" w:firstLineChars="200"/>
        <w:jc w:val="left"/>
        <w:rPr>
          <w:rFonts w:ascii="宋体" w:hAnsi="宋体"/>
          <w:b/>
          <w:bCs/>
          <w:color w:val="auto"/>
          <w:sz w:val="24"/>
        </w:rPr>
      </w:pPr>
    </w:p>
    <w:p>
      <w:pPr>
        <w:spacing w:line="360" w:lineRule="auto"/>
        <w:ind w:firstLine="482" w:firstLineChars="200"/>
        <w:jc w:val="left"/>
        <w:rPr>
          <w:rFonts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.3其他</w:t>
      </w:r>
    </w:p>
    <w:p>
      <w:pPr>
        <w:spacing w:line="360" w:lineRule="auto"/>
        <w:ind w:firstLine="482" w:firstLineChars="200"/>
        <w:jc w:val="left"/>
        <w:rPr>
          <w:rFonts w:ascii="宋体" w:cs="Times New Roman"/>
          <w:b/>
          <w:bCs/>
          <w:color w:val="auto"/>
          <w:sz w:val="24"/>
        </w:rPr>
      </w:pPr>
    </w:p>
    <w:p>
      <w:pPr>
        <w:spacing w:line="360" w:lineRule="auto"/>
        <w:ind w:firstLine="482" w:firstLineChars="200"/>
        <w:jc w:val="left"/>
        <w:rPr>
          <w:rFonts w:ascii="宋体" w:cs="Times New Roman"/>
          <w:b/>
          <w:bCs/>
          <w:color w:val="auto"/>
          <w:sz w:val="24"/>
        </w:rPr>
      </w:pPr>
    </w:p>
    <w:p>
      <w:pPr>
        <w:spacing w:line="360" w:lineRule="auto"/>
        <w:ind w:firstLine="482" w:firstLineChars="200"/>
        <w:rPr>
          <w:rFonts w:ascii="宋体" w:hAnsi="宋体"/>
          <w:b/>
          <w:bCs/>
          <w:color w:val="auto"/>
          <w:sz w:val="24"/>
        </w:rPr>
      </w:pPr>
    </w:p>
    <w:p>
      <w:pPr>
        <w:spacing w:line="360" w:lineRule="auto"/>
        <w:rPr>
          <w:rFonts w:ascii="宋体" w:hAnsi="宋体"/>
          <w:b/>
          <w:bCs/>
          <w:color w:val="auto"/>
          <w:sz w:val="24"/>
        </w:rPr>
      </w:pPr>
    </w:p>
    <w:p>
      <w:pPr>
        <w:rPr>
          <w:rFonts w:ascii="黑体" w:hAnsi="黑体" w:eastAsia="黑体" w:cs="黑体"/>
          <w:b/>
          <w:bCs/>
          <w:color w:val="auto"/>
          <w:sz w:val="32"/>
          <w:szCs w:val="32"/>
        </w:rPr>
      </w:pPr>
      <w:bookmarkStart w:id="503" w:name="_Toc278794818"/>
      <w:bookmarkStart w:id="504" w:name="_Toc13723"/>
      <w:bookmarkStart w:id="505" w:name="_Toc27025"/>
      <w:r>
        <w:rPr>
          <w:rFonts w:hint="eastAsia" w:ascii="黑体" w:hAnsi="黑体" w:eastAsia="黑体" w:cs="黑体"/>
          <w:b/>
          <w:bCs/>
          <w:color w:val="auto"/>
          <w:sz w:val="32"/>
          <w:szCs w:val="32"/>
        </w:rPr>
        <w:br w:type="page"/>
      </w:r>
    </w:p>
    <w:p>
      <w:pPr>
        <w:pStyle w:val="5"/>
        <w:keepNext w:val="0"/>
        <w:keepLines w:val="0"/>
        <w:jc w:val="center"/>
        <w:rPr>
          <w:rFonts w:ascii="黑体" w:hAnsi="黑体" w:cs="黑体"/>
          <w:bCs/>
          <w:color w:val="auto"/>
          <w:szCs w:val="32"/>
        </w:rPr>
      </w:pPr>
      <w:bookmarkStart w:id="506" w:name="_Toc31841"/>
      <w:bookmarkStart w:id="507" w:name="_Toc31778"/>
      <w:r>
        <w:rPr>
          <w:rFonts w:hint="eastAsia" w:ascii="黑体" w:hAnsi="黑体" w:cs="黑体"/>
          <w:bCs/>
          <w:color w:val="auto"/>
          <w:szCs w:val="32"/>
          <w:lang w:val="en-US" w:eastAsia="zh-CN"/>
        </w:rPr>
        <w:t>六</w:t>
      </w:r>
      <w:r>
        <w:rPr>
          <w:rFonts w:hint="eastAsia" w:ascii="黑体" w:hAnsi="黑体" w:cs="黑体"/>
          <w:bCs/>
          <w:color w:val="auto"/>
          <w:szCs w:val="32"/>
        </w:rPr>
        <w:t>、</w:t>
      </w:r>
      <w:bookmarkEnd w:id="503"/>
      <w:r>
        <w:rPr>
          <w:rFonts w:hint="eastAsia" w:ascii="黑体" w:hAnsi="黑体" w:cs="黑体"/>
          <w:bCs/>
          <w:color w:val="auto"/>
          <w:szCs w:val="32"/>
        </w:rPr>
        <w:t>供应商认为必要说明的其它内容</w:t>
      </w:r>
      <w:bookmarkEnd w:id="504"/>
      <w:bookmarkEnd w:id="505"/>
      <w:bookmarkEnd w:id="506"/>
      <w:bookmarkEnd w:id="507"/>
    </w:p>
    <w:p>
      <w:pPr>
        <w:pStyle w:val="31"/>
        <w:spacing w:before="0" w:after="0" w:line="360" w:lineRule="auto"/>
        <w:rPr>
          <w:rFonts w:ascii="宋体" w:hAnsi="宋体"/>
          <w:color w:val="auto"/>
          <w:sz w:val="21"/>
          <w:szCs w:val="21"/>
        </w:rPr>
      </w:pPr>
    </w:p>
    <w:p>
      <w:pPr>
        <w:spacing w:line="360" w:lineRule="atLeast"/>
        <w:jc w:val="center"/>
        <w:rPr>
          <w:rFonts w:ascii="仿宋_GB2312" w:hAnsi="仿宋" w:eastAsia="仿宋_GB2312" w:cs="仿宋"/>
          <w:color w:val="auto"/>
          <w:sz w:val="24"/>
        </w:rPr>
      </w:pPr>
      <w:r>
        <w:rPr>
          <w:rFonts w:hint="eastAsia" w:ascii="宋体" w:hAnsi="宋体"/>
          <w:color w:val="auto"/>
          <w:szCs w:val="21"/>
        </w:rPr>
        <w:br w:type="page"/>
      </w:r>
    </w:p>
    <w:p>
      <w:pPr>
        <w:pStyle w:val="5"/>
        <w:keepNext w:val="0"/>
        <w:keepLines w:val="0"/>
        <w:jc w:val="center"/>
        <w:rPr>
          <w:rFonts w:ascii="黑体" w:hAnsi="黑体" w:cs="黑体"/>
          <w:bCs/>
          <w:color w:val="auto"/>
          <w:szCs w:val="32"/>
        </w:rPr>
      </w:pPr>
      <w:bookmarkStart w:id="508" w:name="_Toc15979"/>
      <w:bookmarkStart w:id="509" w:name="_Toc13265"/>
      <w:bookmarkStart w:id="510" w:name="_Toc23873"/>
      <w:bookmarkStart w:id="511" w:name="_Toc6268"/>
      <w:r>
        <w:rPr>
          <w:rFonts w:hint="eastAsia" w:ascii="黑体" w:hAnsi="黑体" w:cs="黑体"/>
          <w:bCs/>
          <w:color w:val="auto"/>
          <w:szCs w:val="32"/>
          <w:lang w:val="en-US" w:eastAsia="zh-CN"/>
        </w:rPr>
        <w:t>七</w:t>
      </w:r>
      <w:r>
        <w:rPr>
          <w:rFonts w:hint="eastAsia" w:ascii="黑体" w:hAnsi="黑体" w:cs="黑体"/>
          <w:bCs/>
          <w:color w:val="auto"/>
          <w:szCs w:val="32"/>
        </w:rPr>
        <w:t>、承诺书</w:t>
      </w:r>
      <w:bookmarkEnd w:id="508"/>
      <w:bookmarkEnd w:id="509"/>
      <w:bookmarkEnd w:id="510"/>
      <w:bookmarkEnd w:id="511"/>
    </w:p>
    <w:p>
      <w:pPr>
        <w:pStyle w:val="13"/>
        <w:spacing w:line="360" w:lineRule="auto"/>
        <w:ind w:left="-120" w:leftChars="-57" w:firstLine="602" w:firstLineChars="250"/>
        <w:rPr>
          <w:rFonts w:hAnsi="宋体"/>
          <w:b/>
          <w:bCs/>
          <w:color w:val="auto"/>
          <w:sz w:val="24"/>
          <w:szCs w:val="24"/>
        </w:rPr>
      </w:pPr>
      <w:r>
        <w:rPr>
          <w:rFonts w:hint="eastAsia" w:hAnsi="宋体"/>
          <w:b/>
          <w:bCs/>
          <w:color w:val="auto"/>
          <w:sz w:val="24"/>
          <w:szCs w:val="24"/>
        </w:rPr>
        <w:t>8.1供应商拒绝政府采购领域商业贿赂承诺书（格式）</w:t>
      </w:r>
    </w:p>
    <w:p>
      <w:pPr>
        <w:pStyle w:val="13"/>
        <w:spacing w:line="360" w:lineRule="auto"/>
        <w:ind w:left="-120" w:leftChars="-57" w:firstLine="602" w:firstLineChars="250"/>
        <w:rPr>
          <w:rFonts w:ascii="仿宋_GB2312" w:hAnsi="仿宋" w:eastAsia="仿宋_GB2312" w:cs="仿宋"/>
          <w:b/>
          <w:bCs/>
          <w:color w:val="auto"/>
          <w:sz w:val="24"/>
          <w:szCs w:val="24"/>
        </w:rPr>
      </w:pPr>
    </w:p>
    <w:p>
      <w:pPr>
        <w:spacing w:line="360" w:lineRule="auto"/>
        <w:jc w:val="center"/>
        <w:rPr>
          <w:rFonts w:ascii="黑体" w:hAnsi="仿宋" w:eastAsia="黑体" w:cs="仿宋"/>
          <w:bCs/>
          <w:color w:val="auto"/>
          <w:sz w:val="32"/>
          <w:szCs w:val="32"/>
          <w:lang w:val="en-GB"/>
        </w:rPr>
      </w:pPr>
      <w:bookmarkStart w:id="512" w:name="_Toc15323"/>
      <w:bookmarkStart w:id="513" w:name="_Toc23819"/>
      <w:bookmarkStart w:id="514" w:name="_Toc20127"/>
      <w:r>
        <w:rPr>
          <w:rFonts w:hint="eastAsia" w:ascii="黑体" w:hAnsi="仿宋" w:eastAsia="黑体" w:cs="仿宋"/>
          <w:bCs/>
          <w:color w:val="auto"/>
          <w:sz w:val="32"/>
          <w:szCs w:val="32"/>
          <w:lang w:val="en-GB"/>
        </w:rPr>
        <w:t>陕西省政府采购供应商</w:t>
      </w:r>
      <w:bookmarkEnd w:id="512"/>
      <w:bookmarkEnd w:id="513"/>
      <w:bookmarkEnd w:id="514"/>
    </w:p>
    <w:p>
      <w:pPr>
        <w:spacing w:line="360" w:lineRule="auto"/>
        <w:jc w:val="center"/>
        <w:rPr>
          <w:rFonts w:ascii="黑体" w:hAnsi="仿宋" w:eastAsia="黑体" w:cs="仿宋"/>
          <w:bCs/>
          <w:color w:val="auto"/>
          <w:sz w:val="32"/>
          <w:szCs w:val="32"/>
          <w:lang w:val="en-GB"/>
        </w:rPr>
      </w:pPr>
      <w:bookmarkStart w:id="515" w:name="_Toc6239"/>
      <w:bookmarkStart w:id="516" w:name="_Toc17495"/>
      <w:bookmarkStart w:id="517" w:name="_Toc26965"/>
      <w:r>
        <w:rPr>
          <w:rFonts w:hint="eastAsia" w:ascii="黑体" w:hAnsi="仿宋" w:eastAsia="黑体" w:cs="仿宋"/>
          <w:bCs/>
          <w:color w:val="auto"/>
          <w:sz w:val="32"/>
          <w:szCs w:val="32"/>
          <w:lang w:val="en-GB"/>
        </w:rPr>
        <w:t>拒绝政府采购领域商业贿赂承诺书</w:t>
      </w:r>
      <w:bookmarkEnd w:id="515"/>
      <w:bookmarkEnd w:id="516"/>
      <w:bookmarkEnd w:id="517"/>
    </w:p>
    <w:p>
      <w:pPr>
        <w:spacing w:line="360" w:lineRule="auto"/>
        <w:ind w:firstLine="480" w:firstLineChars="200"/>
        <w:rPr>
          <w:rFonts w:ascii="宋体" w:hAnsi="宋体"/>
          <w:color w:val="auto"/>
          <w:sz w:val="24"/>
          <w:lang w:val="en-GB"/>
        </w:rPr>
      </w:pPr>
      <w:r>
        <w:rPr>
          <w:rFonts w:hint="eastAsia" w:ascii="宋体" w:hAnsi="宋体"/>
          <w:color w:val="auto"/>
          <w:sz w:val="24"/>
          <w:lang w:val="en-GB"/>
        </w:rPr>
        <w:t>为响应党中央、国务院关于治理政府采购领域商业贿赂行为的号召，我公司在此庄严承诺：</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1、在参与政府采购活动中遵纪守法、诚信经营、公平竞标。</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2、不向政府采购单位、采购代理机构和政府采购评审专家进行任何形式的商业贿赂以谋取交易机会。</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3、不向政府采购代理机构和采购单位提供虚假资质文件或采用虚假应标方式参与政府采购市场竞争并谋取成交。</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4、不采取“围标、陪标”等商业欺诈手段获得政府采购订单。</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5、不采取不正当手段诋毁、排挤其他响应单位。</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6、不在提供商品或（和）服务时“偷梁换柱、以次充好”损害采购单位的合法权益。</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color w:val="auto"/>
          <w:sz w:val="24"/>
          <w:lang w:val="en-GB"/>
        </w:rPr>
      </w:pPr>
      <w:r>
        <w:rPr>
          <w:rFonts w:hint="eastAsia" w:ascii="宋体" w:hAnsi="宋体"/>
          <w:color w:val="auto"/>
          <w:sz w:val="24"/>
          <w:lang w:val="en-GB"/>
        </w:rPr>
        <w:t>9、不发生其他有悖于政府采购公开、公平、公正和诚信原则的行为。</w:t>
      </w:r>
    </w:p>
    <w:p>
      <w:pPr>
        <w:spacing w:line="360" w:lineRule="auto"/>
        <w:ind w:firstLine="480" w:firstLineChars="200"/>
        <w:rPr>
          <w:rFonts w:ascii="宋体" w:hAnsi="宋体"/>
          <w:color w:val="auto"/>
          <w:sz w:val="24"/>
          <w:lang w:val="en-GB"/>
        </w:rPr>
      </w:pPr>
    </w:p>
    <w:p>
      <w:pPr>
        <w:spacing w:line="360" w:lineRule="auto"/>
        <w:ind w:firstLine="480" w:firstLineChars="200"/>
        <w:rPr>
          <w:rFonts w:ascii="宋体" w:hAnsi="宋体"/>
          <w:color w:val="auto"/>
          <w:sz w:val="24"/>
          <w:szCs w:val="28"/>
        </w:rPr>
      </w:pPr>
      <w:r>
        <w:rPr>
          <w:rFonts w:hint="eastAsia" w:ascii="宋体" w:hAnsi="宋体"/>
          <w:color w:val="auto"/>
          <w:sz w:val="24"/>
          <w:szCs w:val="28"/>
        </w:rPr>
        <w:t>承诺单位：（盖章）</w:t>
      </w:r>
    </w:p>
    <w:p>
      <w:pPr>
        <w:spacing w:line="360" w:lineRule="auto"/>
        <w:ind w:firstLine="360" w:firstLineChars="150"/>
        <w:rPr>
          <w:rFonts w:ascii="宋体" w:hAnsi="宋体"/>
          <w:color w:val="auto"/>
          <w:sz w:val="24"/>
          <w:szCs w:val="28"/>
        </w:rPr>
      </w:pPr>
    </w:p>
    <w:p>
      <w:pPr>
        <w:spacing w:line="360" w:lineRule="auto"/>
        <w:ind w:firstLine="480" w:firstLineChars="200"/>
        <w:rPr>
          <w:rFonts w:ascii="宋体" w:hAnsi="宋体"/>
          <w:color w:val="auto"/>
          <w:sz w:val="24"/>
          <w:szCs w:val="28"/>
        </w:rPr>
      </w:pPr>
      <w:r>
        <w:rPr>
          <w:rFonts w:hint="eastAsia" w:ascii="宋体" w:hAnsi="宋体"/>
          <w:color w:val="auto"/>
          <w:sz w:val="24"/>
          <w:szCs w:val="28"/>
        </w:rPr>
        <w:t>全权代表：（签字）</w:t>
      </w:r>
    </w:p>
    <w:p>
      <w:pPr>
        <w:spacing w:line="360" w:lineRule="auto"/>
        <w:ind w:firstLine="360" w:firstLineChars="150"/>
        <w:rPr>
          <w:rFonts w:ascii="宋体" w:hAnsi="宋体"/>
          <w:color w:val="auto"/>
          <w:sz w:val="24"/>
          <w:szCs w:val="28"/>
        </w:rPr>
      </w:pPr>
    </w:p>
    <w:p>
      <w:pPr>
        <w:spacing w:line="360" w:lineRule="auto"/>
        <w:jc w:val="left"/>
        <w:rPr>
          <w:rFonts w:ascii="宋体" w:hAnsi="宋体"/>
          <w:color w:val="auto"/>
          <w:sz w:val="24"/>
          <w:szCs w:val="28"/>
        </w:rPr>
      </w:pPr>
      <w:r>
        <w:rPr>
          <w:rFonts w:hint="eastAsia" w:ascii="宋体" w:hAnsi="宋体"/>
          <w:color w:val="auto"/>
          <w:sz w:val="24"/>
          <w:szCs w:val="28"/>
        </w:rPr>
        <w:t xml:space="preserve">       年   月  日</w:t>
      </w:r>
    </w:p>
    <w:p>
      <w:pPr>
        <w:spacing w:line="360" w:lineRule="auto"/>
        <w:jc w:val="left"/>
        <w:rPr>
          <w:rFonts w:ascii="宋体" w:hAnsi="宋体"/>
          <w:b/>
          <w:bCs/>
          <w:color w:val="auto"/>
          <w:sz w:val="24"/>
        </w:rPr>
      </w:pPr>
    </w:p>
    <w:p>
      <w:pPr>
        <w:spacing w:line="360" w:lineRule="auto"/>
        <w:jc w:val="left"/>
        <w:rPr>
          <w:rFonts w:ascii="宋体" w:hAnsi="宋体"/>
          <w:b/>
          <w:bCs/>
          <w:color w:val="auto"/>
          <w:sz w:val="24"/>
        </w:rPr>
      </w:pPr>
    </w:p>
    <w:p>
      <w:pPr>
        <w:spacing w:line="360" w:lineRule="auto"/>
        <w:jc w:val="left"/>
        <w:rPr>
          <w:rFonts w:ascii="仿宋_GB2312" w:hAnsi="仿宋" w:eastAsia="仿宋_GB2312" w:cs="仿宋"/>
          <w:b/>
          <w:bCs/>
          <w:color w:val="auto"/>
          <w:sz w:val="24"/>
        </w:rPr>
      </w:pPr>
    </w:p>
    <w:p>
      <w:pPr>
        <w:pStyle w:val="13"/>
        <w:spacing w:line="360" w:lineRule="auto"/>
        <w:ind w:left="-120" w:leftChars="-57" w:firstLine="602" w:firstLineChars="250"/>
        <w:rPr>
          <w:rFonts w:hAnsi="宋体"/>
          <w:b/>
          <w:bCs/>
          <w:color w:val="auto"/>
          <w:sz w:val="24"/>
          <w:szCs w:val="24"/>
        </w:rPr>
      </w:pPr>
      <w:r>
        <w:rPr>
          <w:rFonts w:hint="eastAsia" w:hAnsi="宋体"/>
          <w:b/>
          <w:bCs/>
          <w:color w:val="auto"/>
          <w:sz w:val="24"/>
          <w:szCs w:val="24"/>
        </w:rPr>
        <w:t>8.2其他承诺书</w:t>
      </w:r>
    </w:p>
    <w:p>
      <w:pPr>
        <w:pStyle w:val="13"/>
        <w:spacing w:line="360" w:lineRule="auto"/>
        <w:ind w:left="-120" w:leftChars="-57" w:firstLine="602" w:firstLineChars="250"/>
        <w:rPr>
          <w:rFonts w:hAnsi="宋体"/>
          <w:b/>
          <w:bCs/>
          <w:color w:val="auto"/>
          <w:sz w:val="24"/>
          <w:szCs w:val="24"/>
        </w:rPr>
      </w:pPr>
    </w:p>
    <w:p>
      <w:pPr>
        <w:spacing w:line="360" w:lineRule="auto"/>
        <w:jc w:val="center"/>
        <w:rPr>
          <w:rFonts w:ascii="黑体" w:hAnsi="仿宋" w:eastAsia="黑体" w:cs="仿宋"/>
          <w:bCs/>
          <w:color w:val="auto"/>
          <w:sz w:val="32"/>
          <w:szCs w:val="32"/>
          <w:lang w:val="en-GB"/>
        </w:rPr>
      </w:pPr>
      <w:bookmarkStart w:id="518" w:name="_Toc3302"/>
      <w:bookmarkStart w:id="519" w:name="_Toc15733"/>
      <w:bookmarkStart w:id="520" w:name="_Toc26079"/>
      <w:r>
        <w:rPr>
          <w:rFonts w:hint="eastAsia" w:ascii="黑体" w:hAnsi="仿宋" w:eastAsia="黑体" w:cs="仿宋"/>
          <w:bCs/>
          <w:color w:val="auto"/>
          <w:sz w:val="32"/>
          <w:szCs w:val="32"/>
          <w:lang w:val="en-GB"/>
        </w:rPr>
        <w:t>承诺书Ⅱ</w:t>
      </w:r>
      <w:bookmarkEnd w:id="518"/>
      <w:bookmarkEnd w:id="519"/>
      <w:bookmarkEnd w:id="520"/>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auto"/>
                <w:sz w:val="24"/>
              </w:rPr>
            </w:pPr>
            <w:r>
              <w:rPr>
                <w:rFonts w:hint="eastAsia" w:ascii="宋体" w:hAnsi="宋体"/>
                <w:color w:val="auto"/>
                <w:sz w:val="24"/>
              </w:rPr>
              <w:t>致：</w:t>
            </w:r>
            <w:r>
              <w:rPr>
                <w:rFonts w:hint="eastAsia" w:ascii="宋体" w:hAnsi="宋体"/>
                <w:b/>
                <w:bCs/>
                <w:color w:val="auto"/>
                <w:sz w:val="24"/>
              </w:rPr>
              <w:t>陕西中采招项目管理有限公司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auto"/>
                <w:sz w:val="24"/>
              </w:rPr>
            </w:pPr>
            <w:r>
              <w:rPr>
                <w:rFonts w:hint="eastAsia" w:ascii="宋体" w:hAnsi="宋体"/>
                <w:color w:val="auto"/>
                <w:sz w:val="24"/>
              </w:rPr>
              <w:t>作为参加贵公司组织的采购项目的供应商，本公司承诺：在参加本项目采购之前不存在被依法禁止经营行为、财产被接管或冻结的情况，如有隐瞒实情，愿承担一切责任及后果。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auto"/>
                <w:sz w:val="24"/>
              </w:rPr>
            </w:pPr>
            <w:r>
              <w:rPr>
                <w:rFonts w:hint="eastAsia" w:ascii="宋体" w:hAnsi="宋体"/>
                <w:color w:val="auto"/>
                <w:sz w:val="24"/>
              </w:rPr>
              <w:t>供应商</w:t>
            </w:r>
          </w:p>
        </w:tc>
        <w:tc>
          <w:tcPr>
            <w:tcW w:w="3420" w:type="dxa"/>
            <w:vAlign w:val="center"/>
          </w:tcPr>
          <w:p>
            <w:pPr>
              <w:spacing w:line="360" w:lineRule="atLeast"/>
              <w:jc w:val="center"/>
              <w:rPr>
                <w:rFonts w:ascii="宋体" w:hAnsi="宋体"/>
                <w:color w:val="auto"/>
                <w:sz w:val="24"/>
              </w:rPr>
            </w:pPr>
            <w:r>
              <w:rPr>
                <w:rFonts w:hint="eastAsia" w:ascii="宋体" w:hAnsi="宋体"/>
                <w:color w:val="auto"/>
                <w:sz w:val="24"/>
              </w:rPr>
              <w:t>法定代表人</w:t>
            </w:r>
          </w:p>
        </w:tc>
        <w:tc>
          <w:tcPr>
            <w:tcW w:w="2340" w:type="dxa"/>
            <w:vAlign w:val="center"/>
          </w:tcPr>
          <w:p>
            <w:pPr>
              <w:spacing w:line="360" w:lineRule="atLeast"/>
              <w:jc w:val="center"/>
              <w:rPr>
                <w:rFonts w:ascii="宋体" w:hAnsi="宋体"/>
                <w:color w:val="auto"/>
                <w:sz w:val="24"/>
              </w:rPr>
            </w:pPr>
            <w:r>
              <w:rPr>
                <w:rFonts w:hint="eastAsia" w:ascii="宋体" w:hAnsi="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auto"/>
                <w:sz w:val="24"/>
              </w:rPr>
            </w:pPr>
            <w:r>
              <w:rPr>
                <w:rFonts w:hint="eastAsia" w:ascii="宋体" w:hAnsi="宋体"/>
                <w:color w:val="auto"/>
                <w:sz w:val="24"/>
              </w:rPr>
              <w:t>（公章）</w:t>
            </w:r>
          </w:p>
        </w:tc>
        <w:tc>
          <w:tcPr>
            <w:tcW w:w="3420" w:type="dxa"/>
            <w:vAlign w:val="center"/>
          </w:tcPr>
          <w:p>
            <w:pPr>
              <w:spacing w:line="360" w:lineRule="atLeast"/>
              <w:jc w:val="center"/>
              <w:rPr>
                <w:rFonts w:ascii="宋体" w:hAnsi="宋体"/>
                <w:color w:val="auto"/>
                <w:sz w:val="24"/>
              </w:rPr>
            </w:pPr>
            <w:r>
              <w:rPr>
                <w:rFonts w:hint="eastAsia" w:ascii="宋体" w:hAnsi="宋体"/>
                <w:color w:val="auto"/>
                <w:sz w:val="24"/>
              </w:rPr>
              <w:t>（签字或盖章）</w:t>
            </w:r>
          </w:p>
        </w:tc>
        <w:tc>
          <w:tcPr>
            <w:tcW w:w="2340" w:type="dxa"/>
            <w:vAlign w:val="center"/>
          </w:tcPr>
          <w:p>
            <w:pPr>
              <w:spacing w:line="360" w:lineRule="atLeast"/>
              <w:ind w:firstLine="240" w:firstLineChars="100"/>
              <w:jc w:val="center"/>
              <w:rPr>
                <w:rFonts w:ascii="宋体" w:hAnsi="宋体"/>
                <w:color w:val="auto"/>
                <w:sz w:val="24"/>
              </w:rPr>
            </w:pPr>
            <w:r>
              <w:rPr>
                <w:rFonts w:hint="eastAsia" w:ascii="宋体" w:hAnsi="宋体"/>
                <w:color w:val="auto"/>
                <w:sz w:val="24"/>
              </w:rPr>
              <w:t>年  月  日</w:t>
            </w:r>
          </w:p>
        </w:tc>
      </w:tr>
    </w:tbl>
    <w:p>
      <w:pPr>
        <w:spacing w:line="360" w:lineRule="atLeast"/>
        <w:rPr>
          <w:rFonts w:ascii="仿宋_GB2312" w:hAnsi="仿宋" w:eastAsia="仿宋_GB2312" w:cs="仿宋"/>
          <w:b/>
          <w:color w:val="auto"/>
          <w:sz w:val="42"/>
          <w:szCs w:val="42"/>
        </w:rPr>
      </w:pPr>
    </w:p>
    <w:p>
      <w:pPr>
        <w:spacing w:line="360" w:lineRule="auto"/>
        <w:jc w:val="center"/>
        <w:rPr>
          <w:rFonts w:ascii="黑体" w:hAnsi="仿宋" w:eastAsia="黑体" w:cs="仿宋"/>
          <w:bCs/>
          <w:color w:val="auto"/>
          <w:sz w:val="32"/>
          <w:szCs w:val="32"/>
          <w:lang w:val="en-GB"/>
        </w:rPr>
      </w:pPr>
      <w:bookmarkStart w:id="521" w:name="_Toc1560"/>
      <w:bookmarkStart w:id="522" w:name="_Toc32058"/>
      <w:bookmarkStart w:id="523" w:name="_Toc28520"/>
      <w:r>
        <w:rPr>
          <w:rFonts w:hint="eastAsia" w:ascii="黑体" w:hAnsi="仿宋" w:eastAsia="黑体" w:cs="仿宋"/>
          <w:bCs/>
          <w:color w:val="auto"/>
          <w:sz w:val="32"/>
          <w:szCs w:val="32"/>
          <w:lang w:val="en-GB"/>
        </w:rPr>
        <w:t>承诺书Ⅲ</w:t>
      </w:r>
      <w:bookmarkEnd w:id="521"/>
      <w:bookmarkEnd w:id="522"/>
      <w:bookmarkEnd w:id="523"/>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auto"/>
                <w:sz w:val="24"/>
              </w:rPr>
            </w:pPr>
            <w:r>
              <w:rPr>
                <w:rFonts w:hint="eastAsia" w:ascii="宋体" w:hAnsi="宋体"/>
                <w:color w:val="auto"/>
                <w:sz w:val="24"/>
              </w:rPr>
              <w:t>致：</w:t>
            </w:r>
            <w:r>
              <w:rPr>
                <w:rFonts w:hint="eastAsia" w:ascii="宋体" w:hAnsi="宋体"/>
                <w:b/>
                <w:bCs/>
                <w:color w:val="auto"/>
                <w:sz w:val="24"/>
              </w:rPr>
              <w:t>陕西中采招项目管理有限公司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auto"/>
                <w:sz w:val="24"/>
              </w:rPr>
            </w:pPr>
            <w:r>
              <w:rPr>
                <w:rFonts w:hint="eastAsia" w:ascii="宋体" w:hAnsi="宋体"/>
                <w:color w:val="auto"/>
                <w:sz w:val="24"/>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auto"/>
                <w:sz w:val="24"/>
              </w:rPr>
            </w:pPr>
            <w:r>
              <w:rPr>
                <w:rFonts w:hint="eastAsia" w:ascii="宋体" w:hAnsi="宋体"/>
                <w:color w:val="auto"/>
                <w:sz w:val="24"/>
              </w:rPr>
              <w:t>供应商</w:t>
            </w:r>
          </w:p>
        </w:tc>
        <w:tc>
          <w:tcPr>
            <w:tcW w:w="3420" w:type="dxa"/>
            <w:vAlign w:val="center"/>
          </w:tcPr>
          <w:p>
            <w:pPr>
              <w:spacing w:line="360" w:lineRule="atLeast"/>
              <w:jc w:val="center"/>
              <w:rPr>
                <w:rFonts w:ascii="宋体" w:hAnsi="宋体"/>
                <w:color w:val="auto"/>
                <w:sz w:val="24"/>
              </w:rPr>
            </w:pPr>
            <w:r>
              <w:rPr>
                <w:rFonts w:hint="eastAsia" w:ascii="宋体" w:hAnsi="宋体"/>
                <w:color w:val="auto"/>
                <w:sz w:val="24"/>
              </w:rPr>
              <w:t>法定代表人</w:t>
            </w:r>
          </w:p>
        </w:tc>
        <w:tc>
          <w:tcPr>
            <w:tcW w:w="2340" w:type="dxa"/>
            <w:vAlign w:val="center"/>
          </w:tcPr>
          <w:p>
            <w:pPr>
              <w:spacing w:line="360" w:lineRule="atLeast"/>
              <w:jc w:val="center"/>
              <w:rPr>
                <w:rFonts w:ascii="宋体" w:hAnsi="宋体"/>
                <w:color w:val="auto"/>
                <w:sz w:val="24"/>
              </w:rPr>
            </w:pPr>
            <w:r>
              <w:rPr>
                <w:rFonts w:hint="eastAsia" w:ascii="宋体" w:hAnsi="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auto"/>
                <w:sz w:val="24"/>
              </w:rPr>
            </w:pPr>
            <w:r>
              <w:rPr>
                <w:rFonts w:hint="eastAsia" w:ascii="宋体" w:hAnsi="宋体"/>
                <w:color w:val="auto"/>
                <w:sz w:val="24"/>
              </w:rPr>
              <w:t>（公章）</w:t>
            </w:r>
          </w:p>
        </w:tc>
        <w:tc>
          <w:tcPr>
            <w:tcW w:w="3420" w:type="dxa"/>
            <w:vAlign w:val="center"/>
          </w:tcPr>
          <w:p>
            <w:pPr>
              <w:spacing w:line="360" w:lineRule="atLeast"/>
              <w:jc w:val="center"/>
              <w:rPr>
                <w:rFonts w:ascii="宋体" w:hAnsi="宋体"/>
                <w:color w:val="auto"/>
                <w:sz w:val="24"/>
              </w:rPr>
            </w:pPr>
            <w:r>
              <w:rPr>
                <w:rFonts w:hint="eastAsia" w:ascii="宋体" w:hAnsi="宋体"/>
                <w:color w:val="auto"/>
                <w:sz w:val="24"/>
              </w:rPr>
              <w:t>（签字或盖章）</w:t>
            </w:r>
          </w:p>
        </w:tc>
        <w:tc>
          <w:tcPr>
            <w:tcW w:w="2340" w:type="dxa"/>
            <w:vAlign w:val="center"/>
          </w:tcPr>
          <w:p>
            <w:pPr>
              <w:spacing w:line="360" w:lineRule="atLeast"/>
              <w:ind w:firstLine="240" w:firstLineChars="100"/>
              <w:jc w:val="center"/>
              <w:rPr>
                <w:rFonts w:ascii="宋体" w:hAnsi="宋体"/>
                <w:color w:val="auto"/>
                <w:sz w:val="24"/>
              </w:rPr>
            </w:pPr>
            <w:r>
              <w:rPr>
                <w:rFonts w:hint="eastAsia" w:ascii="宋体" w:hAnsi="宋体"/>
                <w:color w:val="auto"/>
                <w:sz w:val="24"/>
              </w:rPr>
              <w:t>年  月  日</w:t>
            </w:r>
          </w:p>
        </w:tc>
      </w:tr>
    </w:tbl>
    <w:p>
      <w:pPr>
        <w:spacing w:line="360" w:lineRule="auto"/>
        <w:rPr>
          <w:rFonts w:ascii="宋体" w:hAnsi="宋体"/>
          <w:b/>
          <w:bCs/>
          <w:color w:val="auto"/>
          <w:sz w:val="24"/>
        </w:rPr>
      </w:pPr>
    </w:p>
    <w:p>
      <w:pPr>
        <w:spacing w:line="360" w:lineRule="auto"/>
        <w:jc w:val="center"/>
        <w:outlineLvl w:val="0"/>
        <w:rPr>
          <w:rFonts w:ascii="黑体" w:hAnsi="仿宋" w:eastAsia="黑体" w:cs="仿宋"/>
          <w:b/>
          <w:color w:val="auto"/>
          <w:sz w:val="32"/>
          <w:szCs w:val="32"/>
          <w:lang w:val="en-GB"/>
        </w:rPr>
      </w:pPr>
      <w:bookmarkStart w:id="524" w:name="_Toc18110"/>
      <w:bookmarkStart w:id="525" w:name="_Toc31921"/>
      <w:r>
        <w:rPr>
          <w:rFonts w:hint="eastAsia" w:ascii="黑体" w:hAnsi="仿宋" w:eastAsia="黑体" w:cs="仿宋"/>
          <w:b/>
          <w:color w:val="auto"/>
          <w:sz w:val="32"/>
          <w:szCs w:val="32"/>
          <w:lang w:val="en-GB"/>
        </w:rPr>
        <w:t>封袋正面标识式样</w:t>
      </w:r>
      <w:bookmarkEnd w:id="524"/>
      <w:bookmarkEnd w:id="525"/>
    </w:p>
    <w:p>
      <w:pPr>
        <w:spacing w:line="360" w:lineRule="atLeast"/>
        <w:jc w:val="center"/>
        <w:rPr>
          <w:rFonts w:ascii="黑体" w:hAnsi="仿宋" w:eastAsia="黑体" w:cs="仿宋"/>
          <w:b/>
          <w:color w:val="auto"/>
          <w:sz w:val="24"/>
          <w:lang w:val="en-GB"/>
        </w:rPr>
      </w:pPr>
    </w:p>
    <w:p>
      <w:pPr>
        <w:pStyle w:val="22"/>
        <w:adjustRightInd w:val="0"/>
        <w:snapToGrid w:val="0"/>
        <w:spacing w:before="0" w:beforeAutospacing="0" w:after="0" w:afterAutospacing="0" w:line="360" w:lineRule="auto"/>
        <w:ind w:firstLine="481"/>
        <w:jc w:val="both"/>
        <w:rPr>
          <w:b/>
          <w:bCs/>
          <w:color w:val="auto"/>
          <w:kern w:val="2"/>
        </w:rPr>
      </w:pPr>
      <w:r>
        <w:rPr>
          <w:rFonts w:hint="eastAsia"/>
          <w:b/>
          <w:bCs/>
          <w:color w:val="auto"/>
          <w:kern w:val="2"/>
        </w:rPr>
        <w:t>格式A：响应文件封袋正面标识式样</w:t>
      </w:r>
    </w:p>
    <w:p>
      <w:pPr>
        <w:pStyle w:val="22"/>
        <w:adjustRightInd w:val="0"/>
        <w:snapToGrid w:val="0"/>
        <w:spacing w:before="0" w:beforeAutospacing="0" w:after="0" w:afterAutospacing="0" w:line="360" w:lineRule="auto"/>
        <w:ind w:left="479" w:leftChars="228" w:firstLine="65" w:firstLineChars="27"/>
        <w:jc w:val="both"/>
        <w:rPr>
          <w:rFonts w:hint="eastAsia" w:ascii="仿宋_GB2312" w:hAnsi="仿宋" w:eastAsia="仿宋_GB2312" w:cs="仿宋"/>
          <w:b/>
          <w:color w:val="auto"/>
        </w:rPr>
      </w:pPr>
      <w:r>
        <w:rPr>
          <w:rFonts w:ascii="仿宋_GB2312" w:hAnsi="仿宋" w:eastAsia="仿宋_GB2312" w:cs="仿宋"/>
          <w:b/>
          <w:color w:val="auto"/>
        </w:rPr>
        <w:pict>
          <v:rect id="_x0000_s1028" o:spid="_x0000_s1028" o:spt="1" style="height:249.45pt;width:448.05p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path/>
            <v:fill focussize="0,0"/>
            <v:stroke/>
            <v:imagedata o:title=""/>
            <o:lock v:ext="edit"/>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陕西中采招项目管理有限公司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项目编号：</w:t>
                  </w:r>
                  <w:r>
                    <w:rPr>
                      <w:rFonts w:hint="eastAsia" w:ascii="宋体" w:hAnsi="宋体"/>
                      <w:color w:val="000000"/>
                      <w:kern w:val="0"/>
                      <w:sz w:val="24"/>
                    </w:rPr>
                    <w:t>SXZCZ-2022-58</w:t>
                  </w:r>
                  <w:r>
                    <w:rPr>
                      <w:rFonts w:hint="eastAsia" w:ascii="宋体" w:hAnsi="宋体"/>
                      <w:sz w:val="28"/>
                      <w:szCs w:val="28"/>
                    </w:rPr>
                    <w:t xml:space="preserve">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r>
                    <w:rPr>
                      <w:rFonts w:hint="eastAsia" w:ascii="宋体" w:hAnsi="宋体"/>
                      <w:sz w:val="24"/>
                    </w:rPr>
                    <w:t>执法全过程系统运维及监督点位项目</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w:r>
    </w:p>
    <w:p>
      <w:pPr>
        <w:pStyle w:val="22"/>
        <w:adjustRightInd w:val="0"/>
        <w:snapToGrid w:val="0"/>
        <w:spacing w:before="0" w:beforeAutospacing="0" w:after="0" w:afterAutospacing="0" w:line="360" w:lineRule="auto"/>
        <w:ind w:left="479" w:leftChars="228" w:firstLine="65" w:firstLineChars="27"/>
        <w:jc w:val="both"/>
        <w:rPr>
          <w:b/>
          <w:bCs/>
          <w:color w:val="auto"/>
          <w:kern w:val="2"/>
        </w:rPr>
      </w:pPr>
      <w:r>
        <w:rPr>
          <w:rFonts w:hint="eastAsia"/>
          <w:b/>
          <w:bCs/>
          <w:color w:val="auto"/>
          <w:kern w:val="2"/>
        </w:rPr>
        <w:t>格式B：响应文件封袋正面标识式样</w:t>
      </w:r>
    </w:p>
    <w:p>
      <w:pPr>
        <w:spacing w:line="360" w:lineRule="auto"/>
        <w:ind w:firstLine="482" w:firstLineChars="200"/>
        <w:rPr>
          <w:rFonts w:ascii="仿宋_GB2312" w:hAnsi="仿宋" w:eastAsia="仿宋_GB2312" w:cs="仿宋"/>
          <w:b/>
          <w:color w:val="auto"/>
          <w:sz w:val="24"/>
        </w:rPr>
      </w:pPr>
      <w:r>
        <w:rPr>
          <w:rFonts w:ascii="仿宋_GB2312" w:hAnsi="仿宋" w:eastAsia="仿宋_GB2312" w:cs="仿宋"/>
          <w:b/>
          <w:color w:val="auto"/>
          <w:sz w:val="24"/>
        </w:rPr>
        <w:pict>
          <v:rect id="文本框 2" o:spid="_x0000_s1027" o:spt="1" style="height:248.75pt;width:447.4p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path/>
            <v:fill focussize="0,0"/>
            <v:stroke/>
            <v:imagedata o:title=""/>
            <o:lock v:ext="edit"/>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陕西中采招项目管理有限公司</w:t>
                  </w:r>
                </w:p>
                <w:p>
                  <w:pPr>
                    <w:widowControl/>
                    <w:tabs>
                      <w:tab w:val="left" w:pos="6300"/>
                    </w:tabs>
                    <w:snapToGrid w:val="0"/>
                    <w:spacing w:line="360" w:lineRule="auto"/>
                    <w:jc w:val="left"/>
                    <w:rPr>
                      <w:rFonts w:ascii="宋体" w:hAnsi="宋体"/>
                      <w:sz w:val="32"/>
                      <w:szCs w:val="32"/>
                    </w:rPr>
                  </w:pPr>
                  <w:r>
                    <w:rPr>
                      <w:rFonts w:hint="eastAsia" w:ascii="宋体" w:hAnsi="宋体"/>
                      <w:sz w:val="28"/>
                      <w:szCs w:val="28"/>
                    </w:rPr>
                    <w:t>项目编号：</w:t>
                  </w:r>
                  <w:r>
                    <w:rPr>
                      <w:rFonts w:hint="eastAsia" w:ascii="宋体" w:hAnsi="宋体"/>
                      <w:color w:val="000000"/>
                      <w:kern w:val="0"/>
                      <w:sz w:val="28"/>
                      <w:szCs w:val="28"/>
                    </w:rPr>
                    <w:t>SXZCZ-2022-58</w:t>
                  </w:r>
                  <w:r>
                    <w:rPr>
                      <w:rFonts w:hint="eastAsia" w:ascii="宋体" w:hAnsi="宋体"/>
                      <w:sz w:val="32"/>
                      <w:szCs w:val="32"/>
                    </w:rPr>
                    <w:t xml:space="preserve">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项目名称：执法全过程系统运维及监督点位项目</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w:r>
    </w:p>
    <w:p>
      <w:pPr>
        <w:pStyle w:val="11"/>
        <w:rPr>
          <w:color w:val="auto"/>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w:pict>
        <v:shape id="_x0000_s2050" o:spid="_x0000_s2050" o:spt="202" type="#_x0000_t202" style="position:absolute;left:0pt;margin-left:198.05pt;margin-top:0pt;height:23.35pt;width:88.05pt;mso-position-horizontal-relative:margin;z-index:251660288;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5NWcNcAAAAHAQAADwAAAAAAAAABACAAAAAiAAAAZHJzL2Rvd25yZXYueG1sUEsB&#10;AhQAFAAAAAgAh07iQLH6e0e9AQAAbwMAAA4AAAAAAAAAAQAgAAAAJgEAAGRycy9lMm9Eb2MueG1s&#10;UEsFBgAAAAAGAAYAWQEAAFUFAAAAAA==&#10;">
          <v:path/>
          <v:fill on="f" focussize="0,0"/>
          <v:stroke on="f" joinstyle="miter"/>
          <v:imagedata o:title=""/>
          <o:lock v:ext="edit"/>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75</w:t>
                </w:r>
                <w:r>
                  <w:rPr>
                    <w:sz w:val="18"/>
                  </w:rPr>
                  <w:fldChar w:fldCharType="end"/>
                </w:r>
                <w:r>
                  <w:rPr>
                    <w:rFonts w:hint="eastAsia"/>
                    <w:sz w:val="18"/>
                  </w:rPr>
                  <w:t xml:space="preserve"> 页</w:t>
                </w:r>
              </w:p>
            </w:txbxContent>
          </v:textbox>
        </v:shape>
      </w:pict>
    </w:r>
    <w:r>
      <w:rPr>
        <w:rFonts w:hint="eastAsia" w:ascii="黑体" w:hAnsi="黑体" w:eastAsia="黑体" w:cs="黑体"/>
      </w:rPr>
      <w:t>陕西中采招项目管理有限公司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w:pict>
        <v:shape id="_x0000_s2049" o:spid="_x0000_s2049" o:spt="202" type="#_x0000_t202" style="position:absolute;left:0pt;margin-top:0pt;height:144pt;width:78.35pt;mso-position-horizontal:center;mso-position-horizontal-relative:margin;z-index:251661312;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t5gyzTAAAABQEAAA8AAAAAAAAAAQAgAAAAIgAAAGRycy9kb3ducmV2&#10;LnhtbFBLAQIUABQAAAAIAIdO4kDOPPJ2yAEAAIkDAAAOAAAAAAAAAAEAIAAAACIBAABkcnMvZTJv&#10;RG9jLnhtbFBLBQYAAAAABgAGAFkBAABc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75</w:t>
                </w:r>
                <w:r>
                  <w:rPr>
                    <w:sz w:val="18"/>
                  </w:rPr>
                  <w:fldChar w:fldCharType="end"/>
                </w:r>
                <w:r>
                  <w:rPr>
                    <w:rFonts w:hint="eastAsia"/>
                    <w:sz w:val="18"/>
                  </w:rPr>
                  <w:t xml:space="preserve"> 页</w:t>
                </w:r>
              </w:p>
            </w:txbxContent>
          </v:textbox>
        </v:shape>
      </w:pict>
    </w:r>
    <w:r>
      <w:rPr>
        <w:rFonts w:hint="eastAsia" w:ascii="黑体" w:hAnsi="黑体" w:eastAsia="黑体" w:cs="黑体"/>
      </w:rPr>
      <w:t>陕西中采招项目管理有限公司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w:rPr>
        <w:rFonts w:hint="eastAsia" w:ascii="黑体" w:hAnsi="黑体" w:eastAsia="黑体" w:cs="黑体"/>
        <w:szCs w:val="18"/>
      </w:rPr>
      <w:t>执法全过程系统运维及监督点位项目</w:t>
    </w:r>
    <w:r>
      <w:rPr>
        <w:rFonts w:hint="eastAsia" w:ascii="黑体" w:hAnsi="黑体" w:eastAsia="黑体" w:cs="黑体"/>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95DA6"/>
    <w:multiLevelType w:val="singleLevel"/>
    <w:tmpl w:val="A8695DA6"/>
    <w:lvl w:ilvl="0" w:tentative="0">
      <w:start w:val="2"/>
      <w:numFmt w:val="chineseCounting"/>
      <w:suff w:val="space"/>
      <w:lvlText w:val="第%1部分"/>
      <w:lvlJc w:val="left"/>
      <w:rPr>
        <w:rFonts w:hint="eastAsia"/>
      </w:rPr>
    </w:lvl>
  </w:abstractNum>
  <w:abstractNum w:abstractNumId="1">
    <w:nsid w:val="C7AD9ADF"/>
    <w:multiLevelType w:val="singleLevel"/>
    <w:tmpl w:val="C7AD9ADF"/>
    <w:lvl w:ilvl="0" w:tentative="0">
      <w:start w:val="1"/>
      <w:numFmt w:val="decimal"/>
      <w:lvlText w:val="%1."/>
      <w:lvlJc w:val="left"/>
      <w:pPr>
        <w:tabs>
          <w:tab w:val="left" w:pos="312"/>
        </w:tabs>
      </w:pPr>
    </w:lvl>
  </w:abstractNum>
  <w:abstractNum w:abstractNumId="2">
    <w:nsid w:val="D3975CED"/>
    <w:multiLevelType w:val="singleLevel"/>
    <w:tmpl w:val="D3975CED"/>
    <w:lvl w:ilvl="0" w:tentative="0">
      <w:start w:val="2"/>
      <w:numFmt w:val="chineseCounting"/>
      <w:suff w:val="nothing"/>
      <w:lvlText w:val="%1、"/>
      <w:lvlJc w:val="left"/>
      <w:rPr>
        <w:rFonts w:hint="eastAsia"/>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424362C7"/>
    <w:multiLevelType w:val="singleLevel"/>
    <w:tmpl w:val="424362C7"/>
    <w:lvl w:ilvl="0" w:tentative="0">
      <w:start w:val="6"/>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FjMDI1ODQ0ZDhiNzM2MjNiNzZjYjEyODhmZTIwYzAifQ=="/>
  </w:docVars>
  <w:rsids>
    <w:rsidRoot w:val="170F5231"/>
    <w:rsid w:val="00164540"/>
    <w:rsid w:val="0029020E"/>
    <w:rsid w:val="0060727A"/>
    <w:rsid w:val="00821C14"/>
    <w:rsid w:val="00946E91"/>
    <w:rsid w:val="00A5550A"/>
    <w:rsid w:val="00B57B4A"/>
    <w:rsid w:val="00B7473D"/>
    <w:rsid w:val="00BB1112"/>
    <w:rsid w:val="01392227"/>
    <w:rsid w:val="01E36F83"/>
    <w:rsid w:val="024C78F9"/>
    <w:rsid w:val="028445EC"/>
    <w:rsid w:val="03534455"/>
    <w:rsid w:val="0375430C"/>
    <w:rsid w:val="03CE3EC1"/>
    <w:rsid w:val="03EE0A1C"/>
    <w:rsid w:val="04806F22"/>
    <w:rsid w:val="06861187"/>
    <w:rsid w:val="068D5C4C"/>
    <w:rsid w:val="071977CA"/>
    <w:rsid w:val="07743DDC"/>
    <w:rsid w:val="08285411"/>
    <w:rsid w:val="09660AAA"/>
    <w:rsid w:val="09AB18D7"/>
    <w:rsid w:val="09CE4698"/>
    <w:rsid w:val="0A3B3B14"/>
    <w:rsid w:val="0C3342E6"/>
    <w:rsid w:val="0C8C4370"/>
    <w:rsid w:val="0CA4781F"/>
    <w:rsid w:val="0DC3419C"/>
    <w:rsid w:val="0DEA2616"/>
    <w:rsid w:val="0E2D6EE3"/>
    <w:rsid w:val="0E5B539D"/>
    <w:rsid w:val="0EA35FE3"/>
    <w:rsid w:val="0F032819"/>
    <w:rsid w:val="0F272618"/>
    <w:rsid w:val="0F8C6A7D"/>
    <w:rsid w:val="0F9D3A55"/>
    <w:rsid w:val="0FA15454"/>
    <w:rsid w:val="0FE87B2E"/>
    <w:rsid w:val="100F64D3"/>
    <w:rsid w:val="119E5C63"/>
    <w:rsid w:val="11A445D7"/>
    <w:rsid w:val="11DC5CCF"/>
    <w:rsid w:val="11E233AD"/>
    <w:rsid w:val="11E76F04"/>
    <w:rsid w:val="127021BC"/>
    <w:rsid w:val="12C1730E"/>
    <w:rsid w:val="12FE6DF1"/>
    <w:rsid w:val="13705C7A"/>
    <w:rsid w:val="1408553C"/>
    <w:rsid w:val="140F22EF"/>
    <w:rsid w:val="156E6238"/>
    <w:rsid w:val="16CF452D"/>
    <w:rsid w:val="170F5231"/>
    <w:rsid w:val="18C654B9"/>
    <w:rsid w:val="1A0A54AD"/>
    <w:rsid w:val="1B942062"/>
    <w:rsid w:val="1BA4249C"/>
    <w:rsid w:val="1C532168"/>
    <w:rsid w:val="1CB81654"/>
    <w:rsid w:val="1E881677"/>
    <w:rsid w:val="1F2A7284"/>
    <w:rsid w:val="1FFD299A"/>
    <w:rsid w:val="20375807"/>
    <w:rsid w:val="21793E62"/>
    <w:rsid w:val="217D3465"/>
    <w:rsid w:val="22240D2E"/>
    <w:rsid w:val="227916F9"/>
    <w:rsid w:val="228826BC"/>
    <w:rsid w:val="22EE5862"/>
    <w:rsid w:val="23AF3EE9"/>
    <w:rsid w:val="241218F0"/>
    <w:rsid w:val="24D26BA3"/>
    <w:rsid w:val="260823CB"/>
    <w:rsid w:val="265D28C0"/>
    <w:rsid w:val="265F0C6A"/>
    <w:rsid w:val="267D04DC"/>
    <w:rsid w:val="26C45CE5"/>
    <w:rsid w:val="28820782"/>
    <w:rsid w:val="288F427A"/>
    <w:rsid w:val="28BE6FEB"/>
    <w:rsid w:val="28D42BF9"/>
    <w:rsid w:val="28F316C1"/>
    <w:rsid w:val="28FA4E70"/>
    <w:rsid w:val="291C346A"/>
    <w:rsid w:val="291E73BB"/>
    <w:rsid w:val="29260D2C"/>
    <w:rsid w:val="29CE5A60"/>
    <w:rsid w:val="2B5B79A3"/>
    <w:rsid w:val="2C7C38A1"/>
    <w:rsid w:val="2D213381"/>
    <w:rsid w:val="2DBE603D"/>
    <w:rsid w:val="2E3C7C90"/>
    <w:rsid w:val="2F576EFE"/>
    <w:rsid w:val="3011734D"/>
    <w:rsid w:val="31AD282D"/>
    <w:rsid w:val="320A1909"/>
    <w:rsid w:val="323B7BCC"/>
    <w:rsid w:val="344477C7"/>
    <w:rsid w:val="34624D8C"/>
    <w:rsid w:val="34854DFA"/>
    <w:rsid w:val="34F474AA"/>
    <w:rsid w:val="353E6D29"/>
    <w:rsid w:val="359E1D04"/>
    <w:rsid w:val="37207864"/>
    <w:rsid w:val="37F63E0A"/>
    <w:rsid w:val="3A1952FA"/>
    <w:rsid w:val="3A19684F"/>
    <w:rsid w:val="3A4E260F"/>
    <w:rsid w:val="3A5656CD"/>
    <w:rsid w:val="3A607983"/>
    <w:rsid w:val="3A95616C"/>
    <w:rsid w:val="3BC60E26"/>
    <w:rsid w:val="3C161516"/>
    <w:rsid w:val="3D064724"/>
    <w:rsid w:val="3E4D3884"/>
    <w:rsid w:val="3F250382"/>
    <w:rsid w:val="4096648B"/>
    <w:rsid w:val="41102C51"/>
    <w:rsid w:val="42C00539"/>
    <w:rsid w:val="447D6872"/>
    <w:rsid w:val="45014C2B"/>
    <w:rsid w:val="456654AD"/>
    <w:rsid w:val="45E12F90"/>
    <w:rsid w:val="45E26E4D"/>
    <w:rsid w:val="46415521"/>
    <w:rsid w:val="47AC1E96"/>
    <w:rsid w:val="49056028"/>
    <w:rsid w:val="49A83EA5"/>
    <w:rsid w:val="4ADA0045"/>
    <w:rsid w:val="4BA16051"/>
    <w:rsid w:val="4C963723"/>
    <w:rsid w:val="4DC24777"/>
    <w:rsid w:val="4DC85289"/>
    <w:rsid w:val="4DFF0278"/>
    <w:rsid w:val="4EDC589A"/>
    <w:rsid w:val="4F015476"/>
    <w:rsid w:val="4FAD0170"/>
    <w:rsid w:val="4FB915A4"/>
    <w:rsid w:val="5037643E"/>
    <w:rsid w:val="51981FA8"/>
    <w:rsid w:val="52894F27"/>
    <w:rsid w:val="52E27482"/>
    <w:rsid w:val="53355980"/>
    <w:rsid w:val="533E0AE0"/>
    <w:rsid w:val="544F298E"/>
    <w:rsid w:val="546B4EB8"/>
    <w:rsid w:val="55B57FCA"/>
    <w:rsid w:val="56AE003B"/>
    <w:rsid w:val="58585849"/>
    <w:rsid w:val="586A76A9"/>
    <w:rsid w:val="58AE00FF"/>
    <w:rsid w:val="58D63144"/>
    <w:rsid w:val="58F00A48"/>
    <w:rsid w:val="5A1C6502"/>
    <w:rsid w:val="5A2636E6"/>
    <w:rsid w:val="5A554CDC"/>
    <w:rsid w:val="5A791FD7"/>
    <w:rsid w:val="5C1D4723"/>
    <w:rsid w:val="5D436B77"/>
    <w:rsid w:val="5F7F7431"/>
    <w:rsid w:val="60A46F85"/>
    <w:rsid w:val="617A528A"/>
    <w:rsid w:val="617C2A61"/>
    <w:rsid w:val="63D454B4"/>
    <w:rsid w:val="65461FD1"/>
    <w:rsid w:val="667173B8"/>
    <w:rsid w:val="671244F9"/>
    <w:rsid w:val="67F82970"/>
    <w:rsid w:val="688370ED"/>
    <w:rsid w:val="6A855EEE"/>
    <w:rsid w:val="6AB8445C"/>
    <w:rsid w:val="6ADE2CC8"/>
    <w:rsid w:val="6AE94E76"/>
    <w:rsid w:val="6D2D6E53"/>
    <w:rsid w:val="6D582D10"/>
    <w:rsid w:val="6EFB6535"/>
    <w:rsid w:val="6FA1557F"/>
    <w:rsid w:val="6FBB308A"/>
    <w:rsid w:val="6FF4023B"/>
    <w:rsid w:val="6FFC691F"/>
    <w:rsid w:val="70737E30"/>
    <w:rsid w:val="70905CC7"/>
    <w:rsid w:val="70E02425"/>
    <w:rsid w:val="70F20B74"/>
    <w:rsid w:val="71CD3369"/>
    <w:rsid w:val="72A84721"/>
    <w:rsid w:val="73CE5F00"/>
    <w:rsid w:val="747807AC"/>
    <w:rsid w:val="757E0BB5"/>
    <w:rsid w:val="75D30C43"/>
    <w:rsid w:val="76554A32"/>
    <w:rsid w:val="76B851FC"/>
    <w:rsid w:val="795D3FA6"/>
    <w:rsid w:val="79DD7FF0"/>
    <w:rsid w:val="7A7A343F"/>
    <w:rsid w:val="7AFD7441"/>
    <w:rsid w:val="7C3839F4"/>
    <w:rsid w:val="7CD945F1"/>
    <w:rsid w:val="7DB0367D"/>
    <w:rsid w:val="7F2F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120" w:after="120" w:line="360" w:lineRule="auto"/>
      <w:jc w:val="center"/>
      <w:outlineLvl w:val="0"/>
    </w:pPr>
    <w:rPr>
      <w:kern w:val="44"/>
      <w:sz w:val="30"/>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7"/>
    <w:semiHidden/>
    <w:unhideWhenUsed/>
    <w:qFormat/>
    <w:uiPriority w:val="0"/>
    <w:pPr>
      <w:keepNext/>
      <w:keepLines/>
      <w:spacing w:before="260" w:after="260" w:line="412" w:lineRule="auto"/>
      <w:outlineLvl w:val="2"/>
    </w:pPr>
    <w:rPr>
      <w:b/>
      <w:sz w:val="32"/>
    </w:rPr>
  </w:style>
  <w:style w:type="paragraph" w:styleId="8">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Normal Indent"/>
    <w:basedOn w:val="1"/>
    <w:next w:val="1"/>
    <w:qFormat/>
    <w:uiPriority w:val="99"/>
    <w:pPr>
      <w:ind w:firstLine="200" w:firstLineChars="200"/>
    </w:pPr>
  </w:style>
  <w:style w:type="paragraph" w:styleId="9">
    <w:name w:val="annotation text"/>
    <w:basedOn w:val="1"/>
    <w:link w:val="44"/>
    <w:qFormat/>
    <w:uiPriority w:val="0"/>
    <w:pPr>
      <w:jc w:val="left"/>
    </w:pPr>
  </w:style>
  <w:style w:type="paragraph" w:styleId="10">
    <w:name w:val="Body Text 3"/>
    <w:basedOn w:val="1"/>
    <w:qFormat/>
    <w:uiPriority w:val="0"/>
    <w:pPr>
      <w:spacing w:after="120"/>
    </w:pPr>
    <w:rPr>
      <w:rFonts w:ascii="Times New Roman" w:hAnsi="Times New Roman"/>
      <w:sz w:val="16"/>
      <w:szCs w:val="16"/>
    </w:rPr>
  </w:style>
  <w:style w:type="paragraph" w:styleId="11">
    <w:name w:val="Body Text"/>
    <w:basedOn w:val="1"/>
    <w:next w:val="1"/>
    <w:qFormat/>
    <w:uiPriority w:val="99"/>
    <w:rPr>
      <w:rFonts w:cs="Times New Roman"/>
      <w:kern w:val="0"/>
    </w:rPr>
  </w:style>
  <w:style w:type="paragraph" w:styleId="12">
    <w:name w:val="toc 3"/>
    <w:basedOn w:val="1"/>
    <w:next w:val="1"/>
    <w:semiHidden/>
    <w:qFormat/>
    <w:uiPriority w:val="0"/>
    <w:pPr>
      <w:ind w:left="420"/>
      <w:jc w:val="left"/>
    </w:pPr>
    <w:rPr>
      <w:rFonts w:ascii="Times New Roman" w:hAnsi="Times New Roman" w:cs="Times New Roman"/>
      <w:i/>
      <w:iCs/>
      <w:sz w:val="20"/>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pPr>
      <w:autoSpaceDE w:val="0"/>
      <w:autoSpaceDN w:val="0"/>
      <w:adjustRightInd w:val="0"/>
      <w:textAlignment w:val="baseline"/>
    </w:pPr>
    <w:rPr>
      <w:rFonts w:ascii="宋体"/>
      <w:sz w:val="28"/>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index heading"/>
    <w:basedOn w:val="1"/>
    <w:next w:val="20"/>
    <w:qFormat/>
    <w:uiPriority w:val="0"/>
    <w:rPr>
      <w:rFonts w:ascii="Times New Roman" w:hAnsi="Times New Roman"/>
      <w:szCs w:val="20"/>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annotation subject"/>
    <w:basedOn w:val="9"/>
    <w:next w:val="9"/>
    <w:link w:val="45"/>
    <w:qFormat/>
    <w:uiPriority w:val="0"/>
    <w:rPr>
      <w:b/>
      <w:bCs/>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qFormat/>
    <w:uiPriority w:val="99"/>
    <w:rPr>
      <w:color w:val="333333"/>
      <w:u w:val="none"/>
    </w:rPr>
  </w:style>
  <w:style w:type="character" w:styleId="28">
    <w:name w:val="annotation reference"/>
    <w:basedOn w:val="26"/>
    <w:qFormat/>
    <w:uiPriority w:val="0"/>
    <w:rPr>
      <w:sz w:val="21"/>
      <w:szCs w:val="21"/>
    </w:rPr>
  </w:style>
  <w:style w:type="paragraph" w:customStyle="1" w:styleId="2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0">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31">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32">
    <w:name w:val="_Style 2"/>
    <w:basedOn w:val="1"/>
    <w:qFormat/>
    <w:uiPriority w:val="34"/>
    <w:pPr>
      <w:ind w:firstLine="420" w:firstLineChars="200"/>
    </w:pPr>
    <w:rPr>
      <w:szCs w:val="20"/>
    </w:rPr>
  </w:style>
  <w:style w:type="paragraph" w:styleId="33">
    <w:name w:val="List Paragraph"/>
    <w:basedOn w:val="1"/>
    <w:qFormat/>
    <w:uiPriority w:val="34"/>
    <w:pPr>
      <w:ind w:firstLine="420" w:firstLineChars="200"/>
    </w:pPr>
  </w:style>
  <w:style w:type="paragraph" w:customStyle="1" w:styleId="34">
    <w:name w:val="纯文本1"/>
    <w:basedOn w:val="1"/>
    <w:qFormat/>
    <w:uiPriority w:val="0"/>
    <w:rPr>
      <w:rFonts w:ascii="宋体" w:hAnsi="Courier New" w:cs="Times New Roman"/>
      <w:szCs w:val="22"/>
    </w:rPr>
  </w:style>
  <w:style w:type="paragraph" w:customStyle="1" w:styleId="35">
    <w:name w:val="正文缩进1"/>
    <w:basedOn w:val="1"/>
    <w:qFormat/>
    <w:uiPriority w:val="0"/>
    <w:pPr>
      <w:autoSpaceDE w:val="0"/>
      <w:autoSpaceDN w:val="0"/>
      <w:adjustRightInd w:val="0"/>
      <w:ind w:firstLine="420"/>
      <w:jc w:val="left"/>
    </w:pPr>
    <w:rPr>
      <w:rFonts w:ascii="宋体"/>
      <w:kern w:val="0"/>
      <w:sz w:val="24"/>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_Style 12"/>
    <w:basedOn w:val="1"/>
    <w:next w:val="33"/>
    <w:qFormat/>
    <w:uiPriority w:val="34"/>
    <w:pPr>
      <w:spacing w:line="360" w:lineRule="auto"/>
      <w:ind w:firstLine="420" w:firstLineChars="200"/>
    </w:pPr>
    <w:rPr>
      <w:rFonts w:ascii="Arial" w:hAnsi="Arial"/>
      <w:sz w:val="24"/>
      <w:szCs w:val="22"/>
    </w:rPr>
  </w:style>
  <w:style w:type="character" w:customStyle="1" w:styleId="39">
    <w:name w:val="标题 1 Char"/>
    <w:qFormat/>
    <w:locked/>
    <w:uiPriority w:val="99"/>
    <w:rPr>
      <w:rFonts w:ascii="Calibri" w:hAnsi="Calibri" w:cs="Calibri"/>
      <w:b/>
      <w:bCs/>
      <w:kern w:val="44"/>
      <w:sz w:val="44"/>
      <w:szCs w:val="44"/>
    </w:rPr>
  </w:style>
  <w:style w:type="paragraph" w:customStyle="1" w:styleId="40">
    <w:name w:val="Heading #2|1"/>
    <w:basedOn w:val="1"/>
    <w:qFormat/>
    <w:uiPriority w:val="0"/>
    <w:pPr>
      <w:spacing w:line="575" w:lineRule="exact"/>
      <w:ind w:firstLine="680"/>
      <w:outlineLvl w:val="1"/>
    </w:pPr>
    <w:rPr>
      <w:rFonts w:ascii="宋体" w:hAnsi="宋体"/>
      <w:b/>
      <w:bCs/>
      <w:sz w:val="30"/>
      <w:szCs w:val="30"/>
      <w:lang w:val="zh-TW" w:eastAsia="zh-TW" w:bidi="zh-TW"/>
    </w:rPr>
  </w:style>
  <w:style w:type="paragraph" w:customStyle="1" w:styleId="41">
    <w:name w:val="Body text|1"/>
    <w:basedOn w:val="1"/>
    <w:qFormat/>
    <w:uiPriority w:val="0"/>
    <w:pPr>
      <w:spacing w:line="403" w:lineRule="auto"/>
      <w:ind w:firstLine="400"/>
    </w:pPr>
    <w:rPr>
      <w:rFonts w:ascii="宋体" w:hAnsi="宋体"/>
      <w:sz w:val="30"/>
      <w:szCs w:val="30"/>
      <w:lang w:val="zh-TW" w:eastAsia="zh-TW" w:bidi="zh-TW"/>
    </w:rPr>
  </w:style>
  <w:style w:type="paragraph" w:customStyle="1" w:styleId="42">
    <w:name w:val="Table caption|1"/>
    <w:basedOn w:val="1"/>
    <w:qFormat/>
    <w:uiPriority w:val="0"/>
    <w:pPr>
      <w:spacing w:line="570" w:lineRule="exact"/>
      <w:ind w:firstLine="620"/>
    </w:pPr>
    <w:rPr>
      <w:rFonts w:ascii="宋体" w:hAnsi="宋体"/>
      <w:sz w:val="30"/>
      <w:szCs w:val="30"/>
      <w:lang w:val="zh-TW" w:eastAsia="zh-TW" w:bidi="zh-TW"/>
    </w:rPr>
  </w:style>
  <w:style w:type="paragraph" w:customStyle="1" w:styleId="43">
    <w:name w:val="Other|1"/>
    <w:basedOn w:val="1"/>
    <w:qFormat/>
    <w:uiPriority w:val="0"/>
    <w:pPr>
      <w:spacing w:line="403" w:lineRule="auto"/>
      <w:ind w:firstLine="400"/>
    </w:pPr>
    <w:rPr>
      <w:rFonts w:ascii="宋体" w:hAnsi="宋体"/>
      <w:sz w:val="30"/>
      <w:szCs w:val="30"/>
      <w:lang w:val="zh-TW" w:eastAsia="zh-TW" w:bidi="zh-TW"/>
    </w:rPr>
  </w:style>
  <w:style w:type="character" w:customStyle="1" w:styleId="44">
    <w:name w:val="批注文字 Char"/>
    <w:basedOn w:val="26"/>
    <w:link w:val="9"/>
    <w:qFormat/>
    <w:uiPriority w:val="0"/>
    <w:rPr>
      <w:rFonts w:ascii="Calibri" w:hAnsi="Calibri" w:cs="宋体"/>
      <w:kern w:val="2"/>
      <w:sz w:val="21"/>
      <w:szCs w:val="24"/>
    </w:rPr>
  </w:style>
  <w:style w:type="character" w:customStyle="1" w:styleId="45">
    <w:name w:val="批注主题 Char"/>
    <w:basedOn w:val="44"/>
    <w:link w:val="23"/>
    <w:qFormat/>
    <w:uiPriority w:val="0"/>
    <w:rPr>
      <w:rFonts w:ascii="Calibri" w:hAnsi="Calibri" w:cs="宋体"/>
      <w:b/>
      <w:bCs/>
      <w:kern w:val="2"/>
      <w:sz w:val="21"/>
      <w:szCs w:val="24"/>
    </w:rPr>
  </w:style>
  <w:style w:type="character" w:customStyle="1" w:styleId="46">
    <w:name w:val="批注框文本 Char"/>
    <w:basedOn w:val="26"/>
    <w:link w:val="15"/>
    <w:qFormat/>
    <w:uiPriority w:val="0"/>
    <w:rPr>
      <w:rFonts w:ascii="Calibri" w:hAnsi="Calibri" w:cs="宋体"/>
      <w:kern w:val="2"/>
      <w:sz w:val="18"/>
      <w:szCs w:val="18"/>
    </w:rPr>
  </w:style>
  <w:style w:type="paragraph" w:customStyle="1" w:styleId="47">
    <w:name w:val="p15"/>
    <w:basedOn w:val="1"/>
    <w:qFormat/>
    <w:uiPriority w:val="0"/>
    <w:pPr>
      <w:widowControl/>
      <w:spacing w:line="360" w:lineRule="auto"/>
      <w:jc w:val="left"/>
    </w:pPr>
    <w:rPr>
      <w:kern w:val="0"/>
      <w:sz w:val="24"/>
    </w:rPr>
  </w:style>
  <w:style w:type="paragraph" w:customStyle="1" w:styleId="48">
    <w:name w:val="2级标题"/>
    <w:basedOn w:val="5"/>
    <w:qFormat/>
    <w:uiPriority w:val="0"/>
    <w:rPr>
      <w:rFonts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37027</Words>
  <Characters>39595</Characters>
  <Lines>66</Lines>
  <Paragraphs>89</Paragraphs>
  <TotalTime>2</TotalTime>
  <ScaleCrop>false</ScaleCrop>
  <LinksUpToDate>false</LinksUpToDate>
  <CharactersWithSpaces>41352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2021-11-01T04:21:00Z</dcterms:created>
  <dc:creator>贾旭鸣</dc:creator>
  <cp:lastModifiedBy>WPS_1601626554</cp:lastModifiedBy>
  <cp:lastPrinted>2022-09-19T04:09:00Z</cp:lastPrinted>
  <dcterms:modified xsi:type="dcterms:W3CDTF">2022-09-22T08:12:39Z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62633192DD2543648BCCD104B13747C8</vt:lpwstr>
  </property>
</Properties>
</file>