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firstLine="723" w:firstLineChars="200"/>
        <w:rPr>
          <w:rFonts w:hint="eastAsia" w:ascii="仿宋" w:hAnsi="仿宋" w:eastAsia="仿宋" w:cs="仿宋"/>
          <w:b/>
          <w:color w:val="000000" w:themeColor="text1"/>
          <w:sz w:val="36"/>
          <w:szCs w:val="36"/>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文件编号:</w:t>
      </w:r>
      <w:r>
        <w:rPr>
          <w:rFonts w:hint="eastAsia" w:ascii="仿宋" w:hAnsi="仿宋" w:eastAsia="仿宋" w:cs="仿宋"/>
          <w:b/>
          <w:color w:val="000000" w:themeColor="text1"/>
          <w:sz w:val="36"/>
          <w:szCs w:val="36"/>
          <w:highlight w:val="none"/>
          <w:lang w:eastAsia="zh-CN"/>
          <w14:textFill>
            <w14:solidFill>
              <w14:schemeClr w14:val="tx1"/>
            </w14:solidFill>
          </w14:textFill>
        </w:rPr>
        <w:t>HZGH-2022-081</w:t>
      </w:r>
    </w:p>
    <w:p>
      <w:pPr>
        <w:pStyle w:val="10"/>
        <w:rPr>
          <w:rFonts w:hint="eastAsia"/>
          <w:highlight w:val="none"/>
        </w:rPr>
      </w:pPr>
    </w:p>
    <w:p>
      <w:pPr>
        <w:jc w:val="both"/>
        <w:rPr>
          <w:rFonts w:hint="eastAsia" w:ascii="仿宋" w:hAnsi="仿宋" w:eastAsia="仿宋" w:cs="仿宋"/>
          <w:b/>
          <w:color w:val="000000" w:themeColor="text1"/>
          <w:sz w:val="48"/>
          <w:szCs w:val="48"/>
          <w:highlight w:val="none"/>
          <w:u w:val="wavyHeavy" w:color="FF0000"/>
          <w14:textFill>
            <w14:solidFill>
              <w14:schemeClr w14:val="tx1"/>
            </w14:solidFill>
          </w14:textFill>
        </w:rPr>
      </w:pPr>
    </w:p>
    <w:p>
      <w:pPr>
        <w:jc w:val="center"/>
        <w:rPr>
          <w:rFonts w:hint="eastAsia"/>
          <w:sz w:val="22"/>
          <w:szCs w:val="28"/>
          <w:highlight w:val="none"/>
          <w:lang w:val="en-US" w:eastAsia="zh-CN"/>
        </w:rPr>
      </w:pPr>
      <w:r>
        <w:rPr>
          <w:rFonts w:hint="eastAsia" w:ascii="仿宋" w:hAnsi="仿宋" w:eastAsia="仿宋" w:cs="仿宋"/>
          <w:b/>
          <w:bCs/>
          <w:color w:val="000000" w:themeColor="text1"/>
          <w:spacing w:val="20"/>
          <w:kern w:val="0"/>
          <w:sz w:val="56"/>
          <w:szCs w:val="56"/>
          <w:highlight w:val="none"/>
          <w:lang w:val="en-US" w:eastAsia="zh-CN" w:bidi="ar-SA"/>
          <w14:textFill>
            <w14:solidFill>
              <w14:schemeClr w14:val="tx1"/>
            </w14:solidFill>
          </w14:textFill>
        </w:rPr>
        <w:t>DRG管理系统采购项目</w:t>
      </w:r>
    </w:p>
    <w:p>
      <w:pPr>
        <w:rPr>
          <w:rFonts w:hint="eastAsia"/>
          <w:highlight w:val="none"/>
        </w:rPr>
      </w:pPr>
    </w:p>
    <w:p>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p>
    <w:p>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r>
        <w:rPr>
          <w:rFonts w:hint="eastAsia" w:ascii="仿宋" w:hAnsi="仿宋" w:eastAsia="仿宋" w:cs="仿宋"/>
          <w:b/>
          <w:bCs/>
          <w:color w:val="000000" w:themeColor="text1"/>
          <w:spacing w:val="20"/>
          <w:kern w:val="0"/>
          <w:sz w:val="72"/>
          <w:szCs w:val="72"/>
          <w:highlight w:val="none"/>
          <w14:textFill>
            <w14:solidFill>
              <w14:schemeClr w14:val="tx1"/>
            </w14:solidFill>
          </w14:textFill>
        </w:rPr>
        <w:t>竞争性磋商文件</w:t>
      </w:r>
    </w:p>
    <w:p>
      <w:pPr>
        <w:rPr>
          <w:rFonts w:hint="eastAsia"/>
          <w:highlight w:val="none"/>
        </w:rPr>
      </w:pPr>
    </w:p>
    <w:p>
      <w:pPr>
        <w:ind w:firstLine="643" w:firstLineChars="200"/>
        <w:jc w:val="center"/>
        <w:outlineLvl w:val="0"/>
        <w:rPr>
          <w:rFonts w:hint="eastAsia" w:ascii="仿宋" w:hAnsi="仿宋" w:eastAsia="仿宋" w:cs="仿宋"/>
          <w:b/>
          <w:bCs/>
          <w:color w:val="000000" w:themeColor="text1"/>
          <w:kern w:val="0"/>
          <w:sz w:val="84"/>
          <w:szCs w:val="84"/>
          <w:highlight w:val="none"/>
          <w14:textFill>
            <w14:solidFill>
              <w14:schemeClr w14:val="tx1"/>
            </w14:solidFill>
          </w14:textFill>
        </w:rPr>
      </w:pPr>
      <w:r>
        <w:rPr>
          <w:rFonts w:hint="eastAsia" w:ascii="仿宋" w:hAnsi="仿宋" w:eastAsia="仿宋" w:cs="仿宋"/>
          <w:b/>
          <w:color w:val="000000" w:themeColor="text1"/>
          <w:sz w:val="32"/>
          <w:szCs w:val="32"/>
          <w:highlight w:val="none"/>
          <w:shd w:val="clear" w:color="auto" w:fill="FFFFFF"/>
          <w14:textFill>
            <w14:solidFill>
              <w14:schemeClr w14:val="tx1"/>
            </w14:solidFill>
          </w14:textFill>
        </w:rPr>
        <w:drawing>
          <wp:anchor distT="0" distB="0" distL="114300" distR="114300" simplePos="0" relativeHeight="251661312" behindDoc="1" locked="0" layoutInCell="1" allowOverlap="1">
            <wp:simplePos x="0" y="0"/>
            <wp:positionH relativeFrom="column">
              <wp:posOffset>2015490</wp:posOffset>
            </wp:positionH>
            <wp:positionV relativeFrom="paragraph">
              <wp:posOffset>45720</wp:posOffset>
            </wp:positionV>
            <wp:extent cx="1466215" cy="1390650"/>
            <wp:effectExtent l="0" t="0" r="635" b="0"/>
            <wp:wrapTight wrapText="bothSides">
              <wp:wrapPolygon>
                <wp:start x="0" y="0"/>
                <wp:lineTo x="0" y="21304"/>
                <wp:lineTo x="21329" y="21304"/>
                <wp:lineTo x="21329" y="0"/>
                <wp:lineTo x="0" y="0"/>
              </wp:wrapPolygon>
            </wp:wrapTight>
            <wp:docPr id="2"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53eb5700307075d23daf00df32f9f8"/>
                    <pic:cNvPicPr>
                      <a:picLocks noChangeAspect="1"/>
                    </pic:cNvPicPr>
                  </pic:nvPicPr>
                  <pic:blipFill>
                    <a:blip r:embed="rId24"/>
                    <a:stretch>
                      <a:fillRect/>
                    </a:stretch>
                  </pic:blipFill>
                  <pic:spPr>
                    <a:xfrm>
                      <a:off x="0" y="0"/>
                      <a:ext cx="1466215" cy="1390650"/>
                    </a:xfrm>
                    <a:prstGeom prst="rect">
                      <a:avLst/>
                    </a:prstGeom>
                    <a:noFill/>
                    <a:ln>
                      <a:noFill/>
                    </a:ln>
                  </pic:spPr>
                </pic:pic>
              </a:graphicData>
            </a:graphic>
          </wp:anchor>
        </w:drawing>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pStyle w:val="35"/>
        <w:rPr>
          <w:rFonts w:hint="eastAsia" w:ascii="仿宋" w:hAnsi="仿宋" w:eastAsia="仿宋" w:cs="仿宋"/>
          <w:b/>
          <w:color w:val="000000" w:themeColor="text1"/>
          <w:sz w:val="32"/>
          <w:szCs w:val="32"/>
          <w:highlight w:val="none"/>
          <w14:textFill>
            <w14:solidFill>
              <w14:schemeClr w14:val="tx1"/>
            </w14:solidFill>
          </w14:textFill>
        </w:rPr>
      </w:pPr>
    </w:p>
    <w:p>
      <w:pPr>
        <w:pStyle w:val="35"/>
        <w:rPr>
          <w:rFonts w:hint="eastAsia" w:ascii="仿宋" w:hAnsi="仿宋" w:eastAsia="仿宋" w:cs="仿宋"/>
          <w:b/>
          <w:color w:val="000000" w:themeColor="text1"/>
          <w:sz w:val="32"/>
          <w:szCs w:val="32"/>
          <w:highlight w:val="none"/>
          <w14:textFill>
            <w14:solidFill>
              <w14:schemeClr w14:val="tx1"/>
            </w14:solidFill>
          </w14:textFill>
        </w:rPr>
      </w:pPr>
    </w:p>
    <w:p>
      <w:pPr>
        <w:spacing w:line="560" w:lineRule="exact"/>
        <w:ind w:firstLine="1606" w:firstLineChars="5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Fonts w:hint="eastAsia" w:ascii="仿宋" w:hAnsi="仿宋" w:eastAsia="仿宋" w:cs="仿宋"/>
          <w:b/>
          <w:color w:val="000000" w:themeColor="text1"/>
          <w:sz w:val="32"/>
          <w:szCs w:val="32"/>
          <w:highlight w:val="none"/>
          <w14:textFill>
            <w14:solidFill>
              <w14:schemeClr w14:val="tx1"/>
            </w14:solidFill>
          </w14:textFill>
        </w:rPr>
        <w:t>人：</w:t>
      </w:r>
      <w:r>
        <w:rPr>
          <w:rFonts w:hint="eastAsia" w:ascii="仿宋" w:hAnsi="仿宋" w:eastAsia="仿宋" w:cs="仿宋"/>
          <w:b/>
          <w:color w:val="000000" w:themeColor="text1"/>
          <w:sz w:val="32"/>
          <w:szCs w:val="32"/>
          <w:highlight w:val="none"/>
          <w:lang w:eastAsia="zh-CN"/>
          <w14:textFill>
            <w14:solidFill>
              <w14:schemeClr w14:val="tx1"/>
            </w14:solidFill>
          </w14:textFill>
        </w:rPr>
        <w:t>陕西省第二人民医院</w:t>
      </w:r>
    </w:p>
    <w:p>
      <w:pPr>
        <w:spacing w:line="560" w:lineRule="exact"/>
        <w:ind w:firstLine="1606" w:firstLineChars="500"/>
        <w:jc w:val="both"/>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采购代理机构：华招广和项目管理有限公司</w:t>
      </w:r>
    </w:p>
    <w:p>
      <w:pPr>
        <w:spacing w:line="56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pPr>
        <w:spacing w:line="560" w:lineRule="exact"/>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仿宋" w:hAnsi="仿宋" w:eastAsia="仿宋" w:cs="仿宋"/>
          <w:b/>
          <w:bCs/>
          <w:color w:val="000000" w:themeColor="text1"/>
          <w:sz w:val="32"/>
          <w:szCs w:val="32"/>
          <w:highlight w:val="none"/>
          <w14:textFill>
            <w14:solidFill>
              <w14:schemeClr w14:val="tx1"/>
            </w14:solidFill>
          </w14:textFill>
        </w:rPr>
        <w:t>二零二</w:t>
      </w:r>
      <w:r>
        <w:rPr>
          <w:rFonts w:hint="eastAsia" w:ascii="仿宋" w:hAnsi="仿宋" w:eastAsia="仿宋" w:cs="仿宋"/>
          <w:b/>
          <w:bCs/>
          <w:color w:val="000000" w:themeColor="text1"/>
          <w:sz w:val="32"/>
          <w:szCs w:val="32"/>
          <w:highlight w:val="none"/>
          <w:lang w:eastAsia="zh-CN"/>
          <w14:textFill>
            <w14:solidFill>
              <w14:schemeClr w14:val="tx1"/>
            </w14:solidFill>
          </w14:textFill>
        </w:rPr>
        <w:t>二</w:t>
      </w:r>
      <w:r>
        <w:rPr>
          <w:rFonts w:hint="eastAsia" w:ascii="仿宋" w:hAnsi="仿宋" w:eastAsia="仿宋" w:cs="仿宋"/>
          <w:b/>
          <w:bCs/>
          <w:color w:val="000000" w:themeColor="text1"/>
          <w:sz w:val="32"/>
          <w:szCs w:val="32"/>
          <w:highlight w:val="none"/>
          <w14:textFill>
            <w14:solidFill>
              <w14:schemeClr w14:val="tx1"/>
            </w14:solidFill>
          </w14:textFill>
        </w:rPr>
        <w:t>年</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九月</w:t>
      </w:r>
    </w:p>
    <w:p>
      <w:pPr>
        <w:spacing w:line="560" w:lineRule="exact"/>
        <w:jc w:val="center"/>
        <w:rPr>
          <w:rFonts w:hint="eastAsia" w:ascii="仿宋" w:hAnsi="仿宋" w:eastAsia="仿宋" w:cs="仿宋"/>
          <w:b/>
          <w:color w:val="000000"/>
          <w:sz w:val="52"/>
          <w:szCs w:val="52"/>
          <w:highlight w:val="none"/>
          <w:u w:val="double"/>
        </w:rPr>
      </w:pPr>
      <w:r>
        <w:rPr>
          <w:rFonts w:hint="eastAsia" w:ascii="仿宋" w:hAnsi="仿宋" w:eastAsia="仿宋" w:cs="仿宋"/>
          <w:b/>
          <w:color w:val="000000"/>
          <w:sz w:val="48"/>
          <w:szCs w:val="48"/>
          <w:highlight w:val="none"/>
          <w:u w:val="double"/>
        </w:rPr>
        <w:t>特 别 提 示</w:t>
      </w:r>
    </w:p>
    <w:p>
      <w:pPr>
        <w:spacing w:line="640" w:lineRule="exact"/>
        <w:rPr>
          <w:rFonts w:hint="eastAsia" w:ascii="仿宋" w:hAnsi="仿宋" w:eastAsia="仿宋" w:cs="仿宋"/>
          <w:b/>
          <w:bCs/>
          <w:color w:val="000000"/>
          <w:sz w:val="24"/>
          <w:highlight w:val="none"/>
        </w:rPr>
      </w:pPr>
    </w:p>
    <w:p>
      <w:pPr>
        <w:spacing w:line="6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各供应商</w:t>
      </w:r>
      <w:r>
        <w:rPr>
          <w:rFonts w:hint="eastAsia" w:ascii="仿宋" w:hAnsi="仿宋" w:eastAsia="仿宋" w:cs="仿宋"/>
          <w:color w:val="000000"/>
          <w:sz w:val="24"/>
          <w:highlight w:val="none"/>
        </w:rPr>
        <w:t>：在此我们特别善意地提醒您注意！</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1、请您仔细地阅读竞争性磋商文件并正确理解竞争性磋商文件中各项具体要求。</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2、请您严格按照竞争性磋商文件载明的竞争性磋商响应文件格式要求编制竞争性磋商响应文件。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3、请您按照竞争性磋商文件要求密封竞争性磋商响应文件。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4、请您明确标记竞争性磋商响应文件的正本、副本。</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5、请于购买竞争性磋商文件后按照规定及时递交磋商保证金。</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6、如在竞争性磋商响应文件递交截止时间前放弃本次投标，请以书面形式发出弃标函。</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w:t>
      </w:r>
      <w:r>
        <w:rPr>
          <w:rFonts w:hint="eastAsia" w:ascii="仿宋" w:hAnsi="仿宋" w:eastAsia="仿宋" w:cs="仿宋"/>
          <w:color w:val="auto"/>
          <w:sz w:val="24"/>
          <w:highlight w:val="none"/>
        </w:rPr>
        <w:t>请您于</w:t>
      </w:r>
      <w:r>
        <w:rPr>
          <w:rFonts w:hint="eastAsia" w:ascii="仿宋" w:hAnsi="仿宋" w:eastAsia="仿宋" w:cs="仿宋"/>
          <w:b/>
          <w:bCs/>
          <w:color w:val="auto"/>
          <w:sz w:val="24"/>
          <w:highlight w:val="none"/>
          <w:lang w:eastAsia="zh-CN"/>
        </w:rPr>
        <w:t>202</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eastAsia="zh-CN"/>
        </w:rPr>
        <w:t>年</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20</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lang w:val="en-US" w:eastAsia="zh-CN"/>
        </w:rPr>
        <w:t>14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0:00</w:t>
      </w:r>
      <w:r>
        <w:rPr>
          <w:rFonts w:hint="eastAsia" w:ascii="仿宋" w:hAnsi="仿宋" w:eastAsia="仿宋" w:cs="仿宋"/>
          <w:color w:val="auto"/>
          <w:sz w:val="24"/>
          <w:highlight w:val="none"/>
        </w:rPr>
        <w:t>，</w:t>
      </w:r>
      <w:r>
        <w:rPr>
          <w:rFonts w:hint="eastAsia" w:ascii="仿宋" w:hAnsi="仿宋" w:eastAsia="仿宋" w:cs="仿宋"/>
          <w:color w:val="000000"/>
          <w:sz w:val="24"/>
          <w:highlight w:val="none"/>
        </w:rPr>
        <w:t>准时到华招广和项目管理有限公司会议室（西安市朱雀大街南段1号汇成天玺C座18层</w:t>
      </w:r>
      <w:r>
        <w:rPr>
          <w:rFonts w:hint="eastAsia" w:ascii="仿宋" w:hAnsi="仿宋" w:eastAsia="仿宋" w:cs="仿宋"/>
          <w:color w:val="000000"/>
          <w:sz w:val="24"/>
          <w:highlight w:val="none"/>
          <w:lang w:eastAsia="zh-CN"/>
        </w:rPr>
        <w:t>1818</w:t>
      </w:r>
      <w:r>
        <w:rPr>
          <w:rFonts w:hint="eastAsia" w:ascii="仿宋" w:hAnsi="仿宋" w:eastAsia="仿宋" w:cs="仿宋"/>
          <w:color w:val="000000"/>
          <w:sz w:val="24"/>
          <w:highlight w:val="none"/>
        </w:rPr>
        <w:t>室）递交竞争性磋商响应文件并参加竞争性磋商会议，避免迟误。</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8、请您到达竞争性磋商会议地点后及时到签到处签字登记。</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9、请您按照《陕西省财政厅关于政府采购供应商注册登记有关事项的通知》中的要求，通过陕西省政府采购网（http://www.ccgp-shaanxi.gov.cn/）注册登记加入陕西省政府采购供应商库，并接受财政部门的监督管理。</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只需拟派1人参与本项目招标会议，须注册西安市“一码通”且为绿码，现场测量体温不得超过37℃，参与招标会议的人员均需佩戴口罩。</w:t>
      </w:r>
    </w:p>
    <w:p>
      <w:pPr>
        <w:spacing w:line="640" w:lineRule="exact"/>
        <w:ind w:firstLine="480" w:firstLineChars="200"/>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谨记上述提示，将有助您顺利地参加投标。若有什么需要帮助，请您与我们的工作人员联系，我们将竭诚为您服务。</w:t>
      </w:r>
    </w:p>
    <w:p>
      <w:pPr>
        <w:spacing w:line="640" w:lineRule="exact"/>
        <w:rPr>
          <w:rFonts w:hint="eastAsia" w:ascii="仿宋" w:hAnsi="仿宋" w:eastAsia="仿宋" w:cs="仿宋"/>
          <w:b/>
          <w:color w:val="000000" w:themeColor="text1"/>
          <w:sz w:val="52"/>
          <w:szCs w:val="52"/>
          <w:highlight w:val="none"/>
          <w14:textFill>
            <w14:solidFill>
              <w14:schemeClr w14:val="tx1"/>
            </w14:solidFill>
          </w14:textFill>
        </w:rPr>
        <w:sectPr>
          <w:footerReference r:id="rId9" w:type="first"/>
          <w:footerReference r:id="rId8" w:type="default"/>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p>
    <w:p>
      <w:pPr>
        <w:spacing w:line="480" w:lineRule="exact"/>
        <w:jc w:val="center"/>
        <w:rPr>
          <w:rFonts w:hint="eastAsia" w:ascii="仿宋" w:hAnsi="仿宋" w:eastAsia="仿宋" w:cs="仿宋"/>
          <w:color w:val="000000" w:themeColor="text1"/>
          <w:sz w:val="48"/>
          <w:szCs w:val="48"/>
          <w:highlight w:val="none"/>
          <w:lang w:val="zh-CN"/>
          <w14:textFill>
            <w14:solidFill>
              <w14:schemeClr w14:val="tx1"/>
            </w14:solidFill>
          </w14:textFill>
        </w:rPr>
      </w:pPr>
      <w:r>
        <w:rPr>
          <w:rFonts w:hint="eastAsia" w:ascii="仿宋" w:hAnsi="仿宋" w:eastAsia="仿宋" w:cs="仿宋"/>
          <w:color w:val="000000" w:themeColor="text1"/>
          <w:sz w:val="48"/>
          <w:szCs w:val="48"/>
          <w:highlight w:val="none"/>
          <w:lang w:val="zh-CN"/>
          <w14:textFill>
            <w14:solidFill>
              <w14:schemeClr w14:val="tx1"/>
            </w14:solidFill>
          </w14:textFill>
        </w:rPr>
        <w:t>目  录</w:t>
      </w:r>
    </w:p>
    <w:p>
      <w:pPr>
        <w:rPr>
          <w:rFonts w:hint="eastAsia" w:ascii="仿宋" w:hAnsi="仿宋" w:eastAsia="仿宋" w:cs="仿宋"/>
          <w:color w:val="000000" w:themeColor="text1"/>
          <w:highlight w:val="none"/>
          <w:lang w:val="zh-CN"/>
          <w14:textFill>
            <w14:solidFill>
              <w14:schemeClr w14:val="tx1"/>
            </w14:solidFill>
          </w14:textFill>
        </w:rPr>
      </w:pP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_Toc20848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52"/>
          <w:highlight w:val="none"/>
        </w:rPr>
        <w:t>第一章 竞争性磋商邀请书</w:t>
      </w:r>
      <w:r>
        <w:rPr>
          <w:sz w:val="22"/>
          <w:szCs w:val="28"/>
          <w:highlight w:val="none"/>
        </w:rPr>
        <w:tab/>
      </w:r>
      <w:r>
        <w:rPr>
          <w:sz w:val="22"/>
          <w:szCs w:val="28"/>
          <w:highlight w:val="none"/>
        </w:rPr>
        <w:fldChar w:fldCharType="begin"/>
      </w:r>
      <w:r>
        <w:rPr>
          <w:sz w:val="22"/>
          <w:szCs w:val="28"/>
          <w:highlight w:val="none"/>
        </w:rPr>
        <w:instrText xml:space="preserve"> PAGEREF _Toc20848 \h </w:instrText>
      </w:r>
      <w:r>
        <w:rPr>
          <w:sz w:val="22"/>
          <w:szCs w:val="28"/>
          <w:highlight w:val="none"/>
        </w:rPr>
        <w:fldChar w:fldCharType="separate"/>
      </w:r>
      <w:r>
        <w:rPr>
          <w:sz w:val="22"/>
          <w:szCs w:val="28"/>
          <w:highlight w:val="none"/>
        </w:rPr>
        <w:t>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第二章 供应商须知</w:t>
      </w:r>
      <w:r>
        <w:rPr>
          <w:sz w:val="22"/>
          <w:szCs w:val="28"/>
          <w:highlight w:val="none"/>
        </w:rPr>
        <w:tab/>
      </w:r>
      <w:r>
        <w:rPr>
          <w:sz w:val="22"/>
          <w:szCs w:val="28"/>
          <w:highlight w:val="none"/>
        </w:rPr>
        <w:fldChar w:fldCharType="begin"/>
      </w:r>
      <w:r>
        <w:rPr>
          <w:sz w:val="22"/>
          <w:szCs w:val="28"/>
          <w:highlight w:val="none"/>
        </w:rPr>
        <w:instrText xml:space="preserve"> PAGEREF _Toc19749 \h </w:instrText>
      </w:r>
      <w:r>
        <w:rPr>
          <w:sz w:val="22"/>
          <w:szCs w:val="28"/>
          <w:highlight w:val="none"/>
        </w:rPr>
        <w:fldChar w:fldCharType="separate"/>
      </w:r>
      <w:r>
        <w:rPr>
          <w:sz w:val="22"/>
          <w:szCs w:val="28"/>
          <w:highlight w:val="none"/>
        </w:rPr>
        <w:t>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_Toc1739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一、供应商须知前附表</w:t>
      </w:r>
      <w:r>
        <w:rPr>
          <w:sz w:val="22"/>
          <w:szCs w:val="28"/>
          <w:highlight w:val="none"/>
        </w:rPr>
        <w:tab/>
      </w:r>
      <w:r>
        <w:rPr>
          <w:sz w:val="22"/>
          <w:szCs w:val="28"/>
          <w:highlight w:val="none"/>
        </w:rPr>
        <w:fldChar w:fldCharType="begin"/>
      </w:r>
      <w:r>
        <w:rPr>
          <w:sz w:val="22"/>
          <w:szCs w:val="28"/>
          <w:highlight w:val="none"/>
        </w:rPr>
        <w:instrText xml:space="preserve"> PAGEREF _Toc1739 \h </w:instrText>
      </w:r>
      <w:r>
        <w:rPr>
          <w:sz w:val="22"/>
          <w:szCs w:val="28"/>
          <w:highlight w:val="none"/>
        </w:rPr>
        <w:fldChar w:fldCharType="separate"/>
      </w:r>
      <w:r>
        <w:rPr>
          <w:sz w:val="22"/>
          <w:szCs w:val="28"/>
          <w:highlight w:val="none"/>
        </w:rPr>
        <w:t>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_Toc12152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二、项目说明</w:t>
      </w:r>
      <w:r>
        <w:rPr>
          <w:sz w:val="22"/>
          <w:szCs w:val="28"/>
          <w:highlight w:val="none"/>
        </w:rPr>
        <w:tab/>
      </w:r>
      <w:r>
        <w:rPr>
          <w:sz w:val="22"/>
          <w:szCs w:val="28"/>
          <w:highlight w:val="none"/>
        </w:rPr>
        <w:fldChar w:fldCharType="begin"/>
      </w:r>
      <w:r>
        <w:rPr>
          <w:sz w:val="22"/>
          <w:szCs w:val="28"/>
          <w:highlight w:val="none"/>
        </w:rPr>
        <w:instrText xml:space="preserve"> PAGEREF _Toc12152 \h </w:instrText>
      </w:r>
      <w:r>
        <w:rPr>
          <w:sz w:val="22"/>
          <w:szCs w:val="28"/>
          <w:highlight w:val="none"/>
        </w:rPr>
        <w:fldChar w:fldCharType="separate"/>
      </w:r>
      <w:r>
        <w:rPr>
          <w:sz w:val="22"/>
          <w:szCs w:val="28"/>
          <w:highlight w:val="none"/>
        </w:rPr>
        <w:t>12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_Toc24776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三、竞争性磋商文件</w:t>
      </w:r>
      <w:r>
        <w:rPr>
          <w:sz w:val="22"/>
          <w:szCs w:val="28"/>
          <w:highlight w:val="none"/>
        </w:rPr>
        <w:tab/>
      </w:r>
      <w:r>
        <w:rPr>
          <w:sz w:val="22"/>
          <w:szCs w:val="28"/>
          <w:highlight w:val="none"/>
        </w:rPr>
        <w:fldChar w:fldCharType="begin"/>
      </w:r>
      <w:r>
        <w:rPr>
          <w:sz w:val="22"/>
          <w:szCs w:val="28"/>
          <w:highlight w:val="none"/>
        </w:rPr>
        <w:instrText xml:space="preserve"> PAGEREF _Toc24776 \h </w:instrText>
      </w:r>
      <w:r>
        <w:rPr>
          <w:sz w:val="22"/>
          <w:szCs w:val="28"/>
          <w:highlight w:val="none"/>
        </w:rPr>
        <w:fldChar w:fldCharType="separate"/>
      </w:r>
      <w:r>
        <w:rPr>
          <w:sz w:val="22"/>
          <w:szCs w:val="28"/>
          <w:highlight w:val="none"/>
        </w:rPr>
        <w:t>12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_Toc1600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四、竞争性磋商响应文件</w:t>
      </w:r>
      <w:r>
        <w:rPr>
          <w:sz w:val="22"/>
          <w:szCs w:val="28"/>
          <w:highlight w:val="none"/>
        </w:rPr>
        <w:tab/>
      </w:r>
      <w:r>
        <w:rPr>
          <w:sz w:val="22"/>
          <w:szCs w:val="28"/>
          <w:highlight w:val="none"/>
        </w:rPr>
        <w:fldChar w:fldCharType="begin"/>
      </w:r>
      <w:r>
        <w:rPr>
          <w:sz w:val="22"/>
          <w:szCs w:val="28"/>
          <w:highlight w:val="none"/>
        </w:rPr>
        <w:instrText xml:space="preserve"> PAGEREF _Toc1600 \h </w:instrText>
      </w:r>
      <w:r>
        <w:rPr>
          <w:sz w:val="22"/>
          <w:szCs w:val="28"/>
          <w:highlight w:val="none"/>
        </w:rPr>
        <w:fldChar w:fldCharType="separate"/>
      </w:r>
      <w:r>
        <w:rPr>
          <w:sz w:val="22"/>
          <w:szCs w:val="28"/>
          <w:highlight w:val="none"/>
        </w:rPr>
        <w:t>13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color w:val="000000" w:themeColor="text1"/>
          <w:sz w:val="22"/>
          <w:szCs w:val="28"/>
          <w:highlight w:val="none"/>
          <w14:textFill>
            <w14:solidFill>
              <w14:schemeClr w14:val="tx1"/>
            </w14:solidFill>
          </w14:textFill>
        </w:rPr>
        <w:instrText xml:space="preserve"> HYPERLINK \l _Toc27461 </w:instrText>
      </w:r>
      <w:r>
        <w:rPr>
          <w:rFonts w:hint="eastAsia" w:ascii="仿宋" w:hAnsi="仿宋" w:eastAsia="仿宋" w:cs="仿宋"/>
          <w:color w:val="000000" w:themeColor="text1"/>
          <w:sz w:val="22"/>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t>五、磋商担保</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_Toc5793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lang w:val="en-US" w:eastAsia="zh-CN"/>
        </w:rPr>
        <w:t>六</w:t>
      </w:r>
      <w:r>
        <w:rPr>
          <w:rFonts w:hint="eastAsia" w:ascii="仿宋" w:hAnsi="仿宋" w:eastAsia="仿宋" w:cs="仿宋"/>
          <w:kern w:val="0"/>
          <w:sz w:val="22"/>
          <w:szCs w:val="32"/>
          <w:highlight w:val="none"/>
        </w:rPr>
        <w:t>、磋商响应</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_Toc23636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32"/>
          <w:highlight w:val="none"/>
          <w:lang w:val="en-US" w:eastAsia="zh-CN"/>
        </w:rPr>
        <w:t>七</w:t>
      </w:r>
      <w:r>
        <w:rPr>
          <w:rFonts w:hint="eastAsia" w:ascii="仿宋" w:hAnsi="仿宋" w:eastAsia="仿宋" w:cs="仿宋"/>
          <w:bCs/>
          <w:sz w:val="22"/>
          <w:szCs w:val="32"/>
          <w:highlight w:val="none"/>
        </w:rPr>
        <w:t>、磋商、评审及定标</w:t>
      </w:r>
      <w:r>
        <w:rPr>
          <w:sz w:val="22"/>
          <w:szCs w:val="28"/>
          <w:highlight w:val="none"/>
        </w:rPr>
        <w:tab/>
      </w:r>
      <w:r>
        <w:rPr>
          <w:sz w:val="22"/>
          <w:szCs w:val="28"/>
          <w:highlight w:val="none"/>
        </w:rPr>
        <w:fldChar w:fldCharType="begin"/>
      </w:r>
      <w:r>
        <w:rPr>
          <w:sz w:val="22"/>
          <w:szCs w:val="28"/>
          <w:highlight w:val="none"/>
        </w:rPr>
        <w:instrText xml:space="preserve"> PAGEREF _Toc23636 \h </w:instrText>
      </w:r>
      <w:r>
        <w:rPr>
          <w:sz w:val="22"/>
          <w:szCs w:val="28"/>
          <w:highlight w:val="none"/>
        </w:rPr>
        <w:fldChar w:fldCharType="separate"/>
      </w:r>
      <w:r>
        <w:rPr>
          <w:sz w:val="22"/>
          <w:szCs w:val="28"/>
          <w:highlight w:val="none"/>
        </w:rPr>
        <w:t>21</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_Toc28361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八</w:t>
      </w:r>
      <w:r>
        <w:rPr>
          <w:rFonts w:hint="eastAsia" w:ascii="仿宋" w:hAnsi="仿宋" w:eastAsia="仿宋" w:cs="仿宋"/>
          <w:sz w:val="22"/>
          <w:szCs w:val="32"/>
          <w:highlight w:val="none"/>
        </w:rPr>
        <w:t>、合同</w:t>
      </w:r>
      <w:r>
        <w:rPr>
          <w:sz w:val="22"/>
          <w:szCs w:val="28"/>
          <w:highlight w:val="none"/>
        </w:rPr>
        <w:tab/>
      </w:r>
      <w:r>
        <w:rPr>
          <w:sz w:val="22"/>
          <w:szCs w:val="28"/>
          <w:highlight w:val="none"/>
        </w:rPr>
        <w:fldChar w:fldCharType="begin"/>
      </w:r>
      <w:r>
        <w:rPr>
          <w:sz w:val="22"/>
          <w:szCs w:val="28"/>
          <w:highlight w:val="none"/>
        </w:rPr>
        <w:instrText xml:space="preserve"> PAGEREF _Toc28361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_Toc24945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九</w:t>
      </w:r>
      <w:r>
        <w:rPr>
          <w:rFonts w:hint="eastAsia" w:ascii="仿宋" w:hAnsi="仿宋" w:eastAsia="仿宋" w:cs="仿宋"/>
          <w:sz w:val="22"/>
          <w:szCs w:val="32"/>
          <w:highlight w:val="none"/>
        </w:rPr>
        <w:t>、合同的履约验收</w:t>
      </w:r>
      <w:r>
        <w:rPr>
          <w:sz w:val="22"/>
          <w:szCs w:val="28"/>
          <w:highlight w:val="none"/>
        </w:rPr>
        <w:tab/>
      </w:r>
      <w:r>
        <w:rPr>
          <w:sz w:val="22"/>
          <w:szCs w:val="28"/>
          <w:highlight w:val="none"/>
        </w:rPr>
        <w:fldChar w:fldCharType="begin"/>
      </w:r>
      <w:r>
        <w:rPr>
          <w:sz w:val="22"/>
          <w:szCs w:val="28"/>
          <w:highlight w:val="none"/>
        </w:rPr>
        <w:instrText xml:space="preserve"> PAGEREF _Toc24945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_Toc19792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十</w:t>
      </w:r>
      <w:r>
        <w:rPr>
          <w:rFonts w:hint="eastAsia" w:ascii="仿宋" w:hAnsi="仿宋" w:eastAsia="仿宋" w:cs="仿宋"/>
          <w:sz w:val="22"/>
          <w:szCs w:val="32"/>
          <w:highlight w:val="none"/>
        </w:rPr>
        <w:t>、招标服务费</w:t>
      </w:r>
      <w:r>
        <w:rPr>
          <w:sz w:val="22"/>
          <w:szCs w:val="28"/>
          <w:highlight w:val="none"/>
        </w:rPr>
        <w:tab/>
      </w:r>
      <w:r>
        <w:rPr>
          <w:sz w:val="22"/>
          <w:szCs w:val="28"/>
          <w:highlight w:val="none"/>
        </w:rPr>
        <w:fldChar w:fldCharType="begin"/>
      </w:r>
      <w:r>
        <w:rPr>
          <w:sz w:val="22"/>
          <w:szCs w:val="28"/>
          <w:highlight w:val="none"/>
        </w:rPr>
        <w:instrText xml:space="preserve"> PAGEREF _Toc19792 \h </w:instrText>
      </w:r>
      <w:r>
        <w:rPr>
          <w:sz w:val="22"/>
          <w:szCs w:val="28"/>
          <w:highlight w:val="none"/>
        </w:rPr>
        <w:fldChar w:fldCharType="separate"/>
      </w:r>
      <w:r>
        <w:rPr>
          <w:sz w:val="22"/>
          <w:szCs w:val="28"/>
          <w:highlight w:val="none"/>
        </w:rPr>
        <w:t>36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_Toc14425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一</w:t>
      </w:r>
      <w:r>
        <w:rPr>
          <w:rFonts w:hint="eastAsia" w:ascii="仿宋" w:hAnsi="仿宋" w:eastAsia="仿宋" w:cs="仿宋"/>
          <w:sz w:val="22"/>
          <w:szCs w:val="32"/>
          <w:highlight w:val="none"/>
        </w:rPr>
        <w:t>、重新组织采购活动</w:t>
      </w:r>
      <w:r>
        <w:rPr>
          <w:sz w:val="22"/>
          <w:szCs w:val="28"/>
          <w:highlight w:val="none"/>
        </w:rPr>
        <w:tab/>
      </w:r>
      <w:r>
        <w:rPr>
          <w:sz w:val="22"/>
          <w:szCs w:val="28"/>
          <w:highlight w:val="none"/>
        </w:rPr>
        <w:fldChar w:fldCharType="begin"/>
      </w:r>
      <w:r>
        <w:rPr>
          <w:sz w:val="22"/>
          <w:szCs w:val="28"/>
          <w:highlight w:val="none"/>
        </w:rPr>
        <w:instrText xml:space="preserve"> PAGEREF _Toc14425 \h </w:instrText>
      </w:r>
      <w:r>
        <w:rPr>
          <w:sz w:val="22"/>
          <w:szCs w:val="28"/>
          <w:highlight w:val="none"/>
        </w:rPr>
        <w:fldChar w:fldCharType="separate"/>
      </w:r>
      <w:r>
        <w:rPr>
          <w:sz w:val="22"/>
          <w:szCs w:val="28"/>
          <w:highlight w:val="none"/>
        </w:rPr>
        <w:t>36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rFonts w:hint="eastAsia" w:ascii="仿宋" w:hAnsi="仿宋" w:eastAsia="仿宋" w:cs="仿宋"/>
          <w:color w:val="000000" w:themeColor="text1"/>
          <w:sz w:val="22"/>
          <w:szCs w:val="28"/>
          <w:highlight w:val="none"/>
          <w:lang w:val="en-US" w:eastAsia="zh-CN"/>
          <w14:textFill>
            <w14:solidFill>
              <w14:schemeClr w14:val="tx1"/>
            </w14:solidFill>
          </w14:textFill>
        </w:rPr>
      </w:pPr>
      <w:r>
        <w:rPr>
          <w:rFonts w:hint="eastAsia" w:ascii="仿宋" w:hAnsi="仿宋" w:eastAsia="仿宋" w:cs="仿宋"/>
          <w:color w:val="000000" w:themeColor="text1"/>
          <w:sz w:val="22"/>
          <w:szCs w:val="28"/>
          <w:highlight w:val="none"/>
          <w:lang w:val="en-US" w:eastAsia="zh-CN"/>
          <w14:textFill>
            <w14:solidFill>
              <w14:schemeClr w14:val="tx1"/>
            </w14:solidFill>
          </w14:textFill>
        </w:rPr>
        <w:t>十二、特殊情形的处理</w:t>
      </w:r>
      <w:r>
        <w:rPr>
          <w:sz w:val="22"/>
          <w:szCs w:val="28"/>
          <w:highlight w:val="none"/>
        </w:rPr>
        <w:tab/>
      </w:r>
      <w:r>
        <w:rPr>
          <w:sz w:val="22"/>
          <w:szCs w:val="28"/>
          <w:highlight w:val="none"/>
        </w:rPr>
        <w:fldChar w:fldCharType="begin"/>
      </w:r>
      <w:r>
        <w:rPr>
          <w:sz w:val="22"/>
          <w:szCs w:val="28"/>
          <w:highlight w:val="none"/>
        </w:rPr>
        <w:instrText xml:space="preserve"> PAGEREF _Toc14425 \h </w:instrText>
      </w:r>
      <w:r>
        <w:rPr>
          <w:sz w:val="22"/>
          <w:szCs w:val="28"/>
          <w:highlight w:val="none"/>
        </w:rPr>
        <w:fldChar w:fldCharType="separate"/>
      </w:r>
      <w:r>
        <w:rPr>
          <w:sz w:val="22"/>
          <w:szCs w:val="28"/>
          <w:highlight w:val="none"/>
        </w:rPr>
        <w:t>36</w:t>
      </w:r>
      <w:r>
        <w:rPr>
          <w:sz w:val="22"/>
          <w:szCs w:val="28"/>
          <w:highlight w:val="none"/>
        </w:rPr>
        <w:fldChar w:fldCharType="end"/>
      </w:r>
    </w:p>
    <w:p>
      <w:pPr>
        <w:pStyle w:val="19"/>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_Toc15549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三</w:t>
      </w:r>
      <w:r>
        <w:rPr>
          <w:rFonts w:hint="eastAsia" w:ascii="仿宋" w:hAnsi="仿宋" w:eastAsia="仿宋" w:cs="仿宋"/>
          <w:sz w:val="22"/>
          <w:szCs w:val="32"/>
          <w:highlight w:val="none"/>
        </w:rPr>
        <w:t>、询问、质疑与投诉</w:t>
      </w:r>
      <w:r>
        <w:rPr>
          <w:sz w:val="22"/>
          <w:szCs w:val="28"/>
          <w:highlight w:val="none"/>
        </w:rPr>
        <w:tab/>
      </w:r>
      <w:r>
        <w:rPr>
          <w:sz w:val="22"/>
          <w:szCs w:val="28"/>
          <w:highlight w:val="none"/>
        </w:rPr>
        <w:fldChar w:fldCharType="begin"/>
      </w:r>
      <w:r>
        <w:rPr>
          <w:sz w:val="22"/>
          <w:szCs w:val="28"/>
          <w:highlight w:val="none"/>
        </w:rPr>
        <w:instrText xml:space="preserve"> PAGEREF _Toc15549 \h </w:instrText>
      </w:r>
      <w:r>
        <w:rPr>
          <w:sz w:val="22"/>
          <w:szCs w:val="28"/>
          <w:highlight w:val="none"/>
        </w:rPr>
        <w:fldChar w:fldCharType="separate"/>
      </w:r>
      <w:r>
        <w:rPr>
          <w:sz w:val="22"/>
          <w:szCs w:val="28"/>
          <w:highlight w:val="none"/>
        </w:rPr>
        <w:t>36</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9"/>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_Toc19464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四</w:t>
      </w:r>
      <w:r>
        <w:rPr>
          <w:rFonts w:hint="eastAsia" w:ascii="仿宋" w:hAnsi="仿宋" w:eastAsia="仿宋" w:cs="仿宋"/>
          <w:sz w:val="22"/>
          <w:szCs w:val="32"/>
          <w:highlight w:val="none"/>
        </w:rPr>
        <w:t>、拒绝商业贿赂</w:t>
      </w:r>
      <w:r>
        <w:rPr>
          <w:sz w:val="22"/>
          <w:szCs w:val="28"/>
          <w:highlight w:val="none"/>
        </w:rPr>
        <w:tab/>
      </w:r>
      <w:r>
        <w:rPr>
          <w:sz w:val="22"/>
          <w:szCs w:val="28"/>
          <w:highlight w:val="none"/>
        </w:rPr>
        <w:fldChar w:fldCharType="begin"/>
      </w:r>
      <w:r>
        <w:rPr>
          <w:sz w:val="22"/>
          <w:szCs w:val="28"/>
          <w:highlight w:val="none"/>
        </w:rPr>
        <w:instrText xml:space="preserve"> PAGEREF _Toc19464 \h </w:instrText>
      </w:r>
      <w:r>
        <w:rPr>
          <w:sz w:val="22"/>
          <w:szCs w:val="28"/>
          <w:highlight w:val="none"/>
        </w:rPr>
        <w:fldChar w:fldCharType="separate"/>
      </w:r>
      <w:r>
        <w:rPr>
          <w:sz w:val="22"/>
          <w:szCs w:val="28"/>
          <w:highlight w:val="none"/>
        </w:rPr>
        <w:t>38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_Toc20324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第三章  服务内容及要求</w:t>
      </w:r>
      <w:r>
        <w:rPr>
          <w:sz w:val="22"/>
          <w:szCs w:val="28"/>
          <w:highlight w:val="none"/>
        </w:rPr>
        <w:tab/>
      </w:r>
      <w:r>
        <w:rPr>
          <w:sz w:val="22"/>
          <w:szCs w:val="28"/>
          <w:highlight w:val="none"/>
        </w:rPr>
        <w:fldChar w:fldCharType="begin"/>
      </w:r>
      <w:r>
        <w:rPr>
          <w:sz w:val="22"/>
          <w:szCs w:val="28"/>
          <w:highlight w:val="none"/>
        </w:rPr>
        <w:instrText xml:space="preserve"> PAGEREF _Toc20324 \h </w:instrText>
      </w:r>
      <w:r>
        <w:rPr>
          <w:sz w:val="22"/>
          <w:szCs w:val="28"/>
          <w:highlight w:val="none"/>
        </w:rPr>
        <w:fldChar w:fldCharType="separate"/>
      </w:r>
      <w:r>
        <w:rPr>
          <w:sz w:val="22"/>
          <w:szCs w:val="28"/>
          <w:highlight w:val="none"/>
        </w:rPr>
        <w:t>39</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_Toc21581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第四章  商务要求</w:t>
      </w:r>
      <w:r>
        <w:rPr>
          <w:sz w:val="22"/>
          <w:szCs w:val="28"/>
          <w:highlight w:val="none"/>
        </w:rPr>
        <w:tab/>
      </w:r>
      <w:r>
        <w:rPr>
          <w:sz w:val="22"/>
          <w:szCs w:val="28"/>
          <w:highlight w:val="none"/>
        </w:rPr>
        <w:fldChar w:fldCharType="begin"/>
      </w:r>
      <w:r>
        <w:rPr>
          <w:sz w:val="22"/>
          <w:szCs w:val="28"/>
          <w:highlight w:val="none"/>
        </w:rPr>
        <w:instrText xml:space="preserve"> PAGEREF _Toc21581 \h </w:instrText>
      </w:r>
      <w:r>
        <w:rPr>
          <w:sz w:val="22"/>
          <w:szCs w:val="28"/>
          <w:highlight w:val="none"/>
        </w:rPr>
        <w:fldChar w:fldCharType="separate"/>
      </w:r>
      <w:r>
        <w:rPr>
          <w:sz w:val="22"/>
          <w:szCs w:val="28"/>
          <w:highlight w:val="none"/>
        </w:rPr>
        <w:t>50</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_Toc2890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第五章  合同条款</w:t>
      </w:r>
      <w:r>
        <w:rPr>
          <w:sz w:val="22"/>
          <w:szCs w:val="28"/>
          <w:highlight w:val="none"/>
        </w:rPr>
        <w:tab/>
      </w:r>
      <w:r>
        <w:rPr>
          <w:sz w:val="22"/>
          <w:szCs w:val="28"/>
          <w:highlight w:val="none"/>
        </w:rPr>
        <w:fldChar w:fldCharType="begin"/>
      </w:r>
      <w:r>
        <w:rPr>
          <w:sz w:val="22"/>
          <w:szCs w:val="28"/>
          <w:highlight w:val="none"/>
        </w:rPr>
        <w:instrText xml:space="preserve"> PAGEREF _Toc2890 \h </w:instrText>
      </w:r>
      <w:r>
        <w:rPr>
          <w:sz w:val="22"/>
          <w:szCs w:val="28"/>
          <w:highlight w:val="none"/>
        </w:rPr>
        <w:fldChar w:fldCharType="separate"/>
      </w:r>
      <w:r>
        <w:rPr>
          <w:sz w:val="22"/>
          <w:szCs w:val="28"/>
          <w:highlight w:val="none"/>
        </w:rPr>
        <w:t>51</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_Toc32022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第六章  竞争性磋商响应文件格式</w:t>
      </w:r>
      <w:r>
        <w:rPr>
          <w:sz w:val="22"/>
          <w:szCs w:val="28"/>
          <w:highlight w:val="none"/>
        </w:rPr>
        <w:tab/>
      </w:r>
      <w:r>
        <w:rPr>
          <w:sz w:val="22"/>
          <w:szCs w:val="28"/>
          <w:highlight w:val="none"/>
        </w:rPr>
        <w:fldChar w:fldCharType="begin"/>
      </w:r>
      <w:r>
        <w:rPr>
          <w:sz w:val="22"/>
          <w:szCs w:val="28"/>
          <w:highlight w:val="none"/>
        </w:rPr>
        <w:instrText xml:space="preserve"> PAGEREF _Toc32022 \h </w:instrText>
      </w:r>
      <w:r>
        <w:rPr>
          <w:sz w:val="22"/>
          <w:szCs w:val="28"/>
          <w:highlight w:val="none"/>
        </w:rPr>
        <w:fldChar w:fldCharType="separate"/>
      </w:r>
      <w:r>
        <w:rPr>
          <w:sz w:val="22"/>
          <w:szCs w:val="28"/>
          <w:highlight w:val="none"/>
        </w:rPr>
        <w:t>57</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000000" w:themeColor="text1"/>
          <w:sz w:val="24"/>
          <w:highlight w:val="none"/>
          <w14:textFill>
            <w14:solidFill>
              <w14:schemeClr w14:val="tx1"/>
            </w14:solidFill>
          </w14:textFill>
        </w:rPr>
        <w:sectPr>
          <w:footerReference r:id="rId10" w:type="default"/>
          <w:pgSz w:w="11906" w:h="16838"/>
          <w:pgMar w:top="1418" w:right="1418" w:bottom="1418" w:left="1418" w:header="720" w:footer="720" w:gutter="0"/>
          <w:pgBorders>
            <w:top w:val="none" w:sz="0" w:space="0"/>
            <w:left w:val="none" w:sz="0" w:space="0"/>
            <w:bottom w:val="none" w:sz="0" w:space="0"/>
            <w:right w:val="none" w:sz="0" w:space="0"/>
          </w:pgBorders>
          <w:pgNumType w:start="1"/>
          <w:cols w:space="720" w:num="1"/>
          <w:docGrid w:linePitch="312" w:charSpace="0"/>
        </w:sectPr>
      </w:pP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spacing w:line="480" w:lineRule="exact"/>
        <w:jc w:val="center"/>
        <w:outlineLvl w:val="0"/>
        <w:rPr>
          <w:rFonts w:hint="eastAsia" w:ascii="仿宋" w:hAnsi="仿宋" w:eastAsia="仿宋" w:cs="仿宋"/>
          <w:b/>
          <w:bCs/>
          <w:color w:val="000000" w:themeColor="text1"/>
          <w:sz w:val="48"/>
          <w:szCs w:val="48"/>
          <w:highlight w:val="none"/>
          <w14:textFill>
            <w14:solidFill>
              <w14:schemeClr w14:val="tx1"/>
            </w14:solidFill>
          </w14:textFill>
        </w:rPr>
      </w:pPr>
      <w:bookmarkStart w:id="0" w:name="_Toc20848"/>
      <w:r>
        <w:rPr>
          <w:rFonts w:hint="eastAsia" w:ascii="仿宋" w:hAnsi="仿宋" w:eastAsia="仿宋" w:cs="仿宋"/>
          <w:b/>
          <w:bCs/>
          <w:color w:val="000000" w:themeColor="text1"/>
          <w:sz w:val="48"/>
          <w:szCs w:val="48"/>
          <w:highlight w:val="none"/>
          <w14:textFill>
            <w14:solidFill>
              <w14:schemeClr w14:val="tx1"/>
            </w14:solidFill>
          </w14:textFill>
        </w:rPr>
        <w:t>第一章 竞争性磋商邀请书</w:t>
      </w:r>
      <w:bookmarkEnd w:id="0"/>
    </w:p>
    <w:p>
      <w:pPr>
        <w:widowControl/>
        <w:spacing w:line="460" w:lineRule="exact"/>
        <w:ind w:right="-197" w:rightChars="-94"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项目概况</w:t>
      </w:r>
      <w:r>
        <w:rPr>
          <w:rFonts w:hint="eastAsia" w:ascii="仿宋" w:hAnsi="仿宋" w:eastAsia="仿宋" w:cs="仿宋"/>
          <w:color w:val="000000" w:themeColor="text1"/>
          <w:sz w:val="24"/>
          <w:highlight w:val="none"/>
          <w14:textFill>
            <w14:solidFill>
              <w14:schemeClr w14:val="tx1"/>
            </w14:solidFill>
          </w14:textFill>
        </w:rPr>
        <w:t xml:space="preserve">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DRG管理系统采购项目</w:t>
      </w:r>
      <w:r>
        <w:rPr>
          <w:rFonts w:hint="eastAsia" w:ascii="仿宋" w:hAnsi="仿宋" w:eastAsia="仿宋" w:cs="仿宋"/>
          <w:color w:val="000000" w:themeColor="text1"/>
          <w:sz w:val="24"/>
          <w:highlight w:val="none"/>
          <w14:textFill>
            <w14:solidFill>
              <w14:schemeClr w14:val="tx1"/>
            </w14:solidFill>
          </w14:textFill>
        </w:rPr>
        <w:t xml:space="preserve">的潜在供应商应在西安市朱雀大街南段1号汇成天玺C座18层1812室获取采购文件，并于 </w:t>
      </w:r>
      <w:r>
        <w:rPr>
          <w:rFonts w:hint="eastAsia" w:ascii="仿宋" w:hAnsi="仿宋" w:eastAsia="仿宋" w:cs="仿宋"/>
          <w:color w:val="000000" w:themeColor="text1"/>
          <w:sz w:val="24"/>
          <w:highlight w:val="none"/>
          <w14:textFill>
            <w14:solidFill>
              <w14:schemeClr w14:val="tx1"/>
            </w14:solidFill>
          </w14:textFill>
        </w:rPr>
        <w:t>2022年</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日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w:t>
      </w:r>
      <w:r>
        <w:rPr>
          <w:rFonts w:hint="eastAsia" w:ascii="仿宋" w:hAnsi="仿宋" w:eastAsia="仿宋" w:cs="仿宋"/>
          <w:color w:val="000000" w:themeColor="text1"/>
          <w:sz w:val="24"/>
          <w:highlight w:val="none"/>
          <w14:textFill>
            <w14:solidFill>
              <w14:schemeClr w14:val="tx1"/>
            </w14:solidFill>
          </w14:textFill>
        </w:rPr>
        <w:t xml:space="preserve">（北京时间）前提交响应文件。 </w:t>
      </w:r>
    </w:p>
    <w:p>
      <w:pPr>
        <w:widowControl/>
        <w:spacing w:line="460" w:lineRule="exact"/>
        <w:ind w:right="-197" w:rightChars="-94"/>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一、项目基本情况</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color w:val="000000" w:themeColor="text1"/>
          <w:sz w:val="24"/>
          <w:highlight w:val="none"/>
          <w:lang w:eastAsia="zh-CN"/>
          <w14:textFill>
            <w14:solidFill>
              <w14:schemeClr w14:val="tx1"/>
            </w14:solidFill>
          </w14:textFill>
        </w:rPr>
        <w:t>HZGH-2022-081</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lang w:eastAsia="zh-CN"/>
          <w14:textFill>
            <w14:solidFill>
              <w14:schemeClr w14:val="tx1"/>
            </w14:solidFill>
          </w14:textFill>
        </w:rPr>
        <w:t>DRG管理系统采购项目</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采购方式：竞争性磋商</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预算金额：</w:t>
      </w:r>
      <w:r>
        <w:rPr>
          <w:rFonts w:hint="eastAsia" w:ascii="仿宋" w:hAnsi="仿宋" w:eastAsia="仿宋" w:cs="仿宋"/>
          <w:color w:val="000000" w:themeColor="text1"/>
          <w:sz w:val="24"/>
          <w:highlight w:val="none"/>
          <w:lang w:eastAsia="zh-CN"/>
          <w14:textFill>
            <w14:solidFill>
              <w14:schemeClr w14:val="tx1"/>
            </w14:solidFill>
          </w14:textFill>
        </w:rPr>
        <w:t>650000.00</w:t>
      </w:r>
      <w:r>
        <w:rPr>
          <w:rFonts w:hint="eastAsia" w:ascii="仿宋" w:hAnsi="仿宋" w:eastAsia="仿宋" w:cs="仿宋"/>
          <w:color w:val="000000" w:themeColor="text1"/>
          <w:sz w:val="24"/>
          <w:highlight w:val="none"/>
          <w14:textFill>
            <w14:solidFill>
              <w14:schemeClr w14:val="tx1"/>
            </w14:solidFill>
          </w14:textFill>
        </w:rPr>
        <w:t>元</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采购需求：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DRG管理系统采购项目</w:t>
      </w:r>
      <w:r>
        <w:rPr>
          <w:rFonts w:hint="eastAsia" w:ascii="仿宋" w:hAnsi="仿宋" w:eastAsia="仿宋" w:cs="仿宋"/>
          <w:color w:val="000000" w:themeColor="text1"/>
          <w:sz w:val="24"/>
          <w:highlight w:val="none"/>
          <w14:textFill>
            <w14:solidFill>
              <w14:schemeClr w14:val="tx1"/>
            </w14:solidFill>
          </w14:textFill>
        </w:rPr>
        <w:t>):</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合同包预算金额：</w:t>
      </w:r>
      <w:r>
        <w:rPr>
          <w:rFonts w:hint="eastAsia" w:ascii="仿宋" w:hAnsi="仿宋" w:eastAsia="仿宋" w:cs="仿宋"/>
          <w:color w:val="000000" w:themeColor="text1"/>
          <w:sz w:val="24"/>
          <w:highlight w:val="none"/>
          <w:lang w:eastAsia="zh-CN"/>
          <w14:textFill>
            <w14:solidFill>
              <w14:schemeClr w14:val="tx1"/>
            </w14:solidFill>
          </w14:textFill>
        </w:rPr>
        <w:t>650000.00</w:t>
      </w:r>
      <w:r>
        <w:rPr>
          <w:rFonts w:hint="eastAsia" w:ascii="仿宋" w:hAnsi="仿宋" w:eastAsia="仿宋" w:cs="仿宋"/>
          <w:color w:val="000000" w:themeColor="text1"/>
          <w:sz w:val="24"/>
          <w:highlight w:val="none"/>
          <w14:textFill>
            <w14:solidFill>
              <w14:schemeClr w14:val="tx1"/>
            </w14:solidFill>
          </w14:textFill>
        </w:rPr>
        <w:t>元</w:t>
      </w:r>
    </w:p>
    <w:tbl>
      <w:tblPr>
        <w:tblStyle w:val="22"/>
        <w:tblW w:w="518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19"/>
        <w:gridCol w:w="1105"/>
        <w:gridCol w:w="1669"/>
        <w:gridCol w:w="934"/>
        <w:gridCol w:w="2349"/>
        <w:gridCol w:w="1256"/>
        <w:gridCol w:w="14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3" w:hRule="atLeast"/>
          <w:tblHeader/>
          <w:jc w:val="center"/>
        </w:trPr>
        <w:tc>
          <w:tcPr>
            <w:tcW w:w="473"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品目号</w:t>
            </w:r>
          </w:p>
        </w:tc>
        <w:tc>
          <w:tcPr>
            <w:tcW w:w="56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品目名称</w:t>
            </w:r>
          </w:p>
        </w:tc>
        <w:tc>
          <w:tcPr>
            <w:tcW w:w="85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采购标的</w:t>
            </w:r>
          </w:p>
        </w:tc>
        <w:tc>
          <w:tcPr>
            <w:tcW w:w="48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数量</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（单位）</w:t>
            </w:r>
          </w:p>
        </w:tc>
        <w:tc>
          <w:tcPr>
            <w:tcW w:w="120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技术规格、参数及</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要求</w:t>
            </w:r>
          </w:p>
        </w:tc>
        <w:tc>
          <w:tcPr>
            <w:tcW w:w="646"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品目预算</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(元)</w:t>
            </w:r>
          </w:p>
        </w:tc>
        <w:tc>
          <w:tcPr>
            <w:tcW w:w="764"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01" w:hRule="atLeast"/>
          <w:jc w:val="center"/>
        </w:trPr>
        <w:tc>
          <w:tcPr>
            <w:tcW w:w="473"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p>
        </w:tc>
        <w:tc>
          <w:tcPr>
            <w:tcW w:w="56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行业应用</w:t>
            </w:r>
          </w:p>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软件</w:t>
            </w:r>
          </w:p>
        </w:tc>
        <w:tc>
          <w:tcPr>
            <w:tcW w:w="85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DRG管理系统</w:t>
            </w:r>
          </w:p>
        </w:tc>
        <w:tc>
          <w:tcPr>
            <w:tcW w:w="48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1(项)</w:t>
            </w:r>
          </w:p>
        </w:tc>
        <w:tc>
          <w:tcPr>
            <w:tcW w:w="120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详见采购文件</w:t>
            </w:r>
          </w:p>
        </w:tc>
        <w:tc>
          <w:tcPr>
            <w:tcW w:w="646"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650000.00</w:t>
            </w:r>
          </w:p>
        </w:tc>
        <w:tc>
          <w:tcPr>
            <w:tcW w:w="764"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650000.00</w:t>
            </w:r>
          </w:p>
        </w:tc>
      </w:tr>
    </w:tbl>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本合同包不接受联合体投标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合同履行期限：无 </w:t>
      </w:r>
    </w:p>
    <w:p>
      <w:pPr>
        <w:widowControl/>
        <w:spacing w:line="460" w:lineRule="exact"/>
        <w:ind w:right="-197" w:rightChars="-94"/>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二、申请人的资格要求：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1.满足《中华人民共和国政府釆购法》第二十二条规定;</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2.落实政府采购政策需满足的资格要求：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DRG管理系统采购项目</w:t>
      </w:r>
      <w:r>
        <w:rPr>
          <w:rFonts w:hint="eastAsia" w:ascii="仿宋" w:hAnsi="仿宋" w:eastAsia="仿宋" w:cs="仿宋"/>
          <w:color w:val="000000" w:themeColor="text1"/>
          <w:sz w:val="24"/>
          <w:highlight w:val="none"/>
          <w14:textFill>
            <w14:solidFill>
              <w14:schemeClr w14:val="tx1"/>
            </w14:solidFill>
          </w14:textFill>
        </w:rPr>
        <w:t>)落实政府采购政策需满足的资格要求如下: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（4）、财政部司法部关于政府采购支持监狱企业发展有关问题的通知--财库〔2014〕68号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（5）、《国务院办公厅关于建立政府强制采购节能产品制度的通知》--国办发〔2007〕51号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（13）、其他需要落实的政府采购政策。</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3.本项目的特定资格要求：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DRG管理系统采购项目</w:t>
      </w:r>
      <w:r>
        <w:rPr>
          <w:rFonts w:hint="eastAsia" w:ascii="仿宋" w:hAnsi="仿宋" w:eastAsia="仿宋" w:cs="仿宋"/>
          <w:color w:val="000000" w:themeColor="text1"/>
          <w:sz w:val="24"/>
          <w:highlight w:val="none"/>
          <w14:textFill>
            <w14:solidFill>
              <w14:schemeClr w14:val="tx1"/>
            </w14:solidFill>
          </w14:textFill>
        </w:rPr>
        <w:t>)特定资格要求如下: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0"/>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p>
      <w:pPr>
        <w:widowControl/>
        <w:spacing w:line="460" w:lineRule="exact"/>
        <w:ind w:right="-197" w:rightChars="-94"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三、获取采购文件</w:t>
      </w:r>
    </w:p>
    <w:p>
      <w:pPr>
        <w:widowControl/>
        <w:spacing w:line="460" w:lineRule="exact"/>
        <w:ind w:left="239" w:leftChars="114"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时间：</w:t>
      </w:r>
      <w:r>
        <w:rPr>
          <w:rFonts w:hint="eastAsia" w:ascii="仿宋" w:hAnsi="仿宋" w:eastAsia="仿宋" w:cs="仿宋"/>
          <w:color w:val="000000" w:themeColor="text1"/>
          <w:sz w:val="24"/>
          <w:highlight w:val="none"/>
          <w14:textFill>
            <w14:solidFill>
              <w14:schemeClr w14:val="tx1"/>
            </w14:solidFill>
          </w14:textFill>
        </w:rPr>
        <w:t>2022年</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日至2022年</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14</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14:textFill>
            <w14:solidFill>
              <w14:schemeClr w14:val="tx1"/>
            </w14:solidFill>
          </w14:textFill>
        </w:rPr>
        <w:t>，每天上午09:00:00至12:00:00，下午14:00:00至17:00:00（北京时间,法定节假日除外）</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地点：西安市朱雀大街南段1号汇成天玺C座18层1812室</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方式：现场获取</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售价：</w:t>
      </w:r>
      <w:r>
        <w:rPr>
          <w:rFonts w:hint="eastAsia" w:ascii="仿宋" w:hAnsi="仿宋" w:eastAsia="仿宋" w:cs="仿宋"/>
          <w:color w:val="000000" w:themeColor="text1"/>
          <w:sz w:val="24"/>
          <w:highlight w:val="none"/>
          <w:lang w:val="en-US" w:eastAsia="zh-CN"/>
          <w14:textFill>
            <w14:solidFill>
              <w14:schemeClr w14:val="tx1"/>
            </w14:solidFill>
          </w14:textFill>
        </w:rPr>
        <w:t>500元</w:t>
      </w:r>
      <w:r>
        <w:rPr>
          <w:rFonts w:hint="eastAsia" w:ascii="仿宋" w:hAnsi="仿宋" w:eastAsia="仿宋" w:cs="仿宋"/>
          <w:color w:val="000000" w:themeColor="text1"/>
          <w:sz w:val="24"/>
          <w:highlight w:val="none"/>
          <w14:textFill>
            <w14:solidFill>
              <w14:schemeClr w14:val="tx1"/>
            </w14:solidFill>
          </w14:textFill>
        </w:rPr>
        <w:t xml:space="preserve"> </w:t>
      </w:r>
    </w:p>
    <w:p>
      <w:pPr>
        <w:widowControl/>
        <w:spacing w:line="460" w:lineRule="exact"/>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四、响应文件提交</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截止时间： </w:t>
      </w:r>
      <w:r>
        <w:rPr>
          <w:rFonts w:hint="eastAsia" w:ascii="仿宋" w:hAnsi="仿宋" w:eastAsia="仿宋" w:cs="仿宋"/>
          <w:color w:val="000000" w:themeColor="text1"/>
          <w:sz w:val="24"/>
          <w:highlight w:val="none"/>
          <w14:textFill>
            <w14:solidFill>
              <w14:schemeClr w14:val="tx1"/>
            </w14:solidFill>
          </w14:textFill>
        </w:rPr>
        <w:t>2022年</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月2</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日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0分00秒 （北京时间）</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地点：西安市朱雀大街南段1号汇成天玺C座18层1818室 </w:t>
      </w:r>
    </w:p>
    <w:p>
      <w:pPr>
        <w:widowControl/>
        <w:spacing w:line="460" w:lineRule="exact"/>
        <w:ind w:right="-197" w:rightChars="-94" w:firstLine="241" w:firstLineChars="1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五、开启</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时间： </w:t>
      </w:r>
      <w:r>
        <w:rPr>
          <w:rFonts w:hint="eastAsia" w:ascii="仿宋" w:hAnsi="仿宋" w:eastAsia="仿宋" w:cs="仿宋"/>
          <w:color w:val="000000" w:themeColor="text1"/>
          <w:sz w:val="24"/>
          <w:highlight w:val="none"/>
          <w14:textFill>
            <w14:solidFill>
              <w14:schemeClr w14:val="tx1"/>
            </w14:solidFill>
          </w14:textFill>
        </w:rPr>
        <w:t>2022年</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月2</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日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0分00秒 （北京时间）</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地点：西安市朱雀大街南段1号汇成天玺C座18层1818室</w:t>
      </w:r>
    </w:p>
    <w:p>
      <w:pPr>
        <w:widowControl/>
        <w:spacing w:line="460" w:lineRule="exact"/>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六、公告期限</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自本公告发布之日起3个工作日。</w:t>
      </w:r>
    </w:p>
    <w:p>
      <w:pPr>
        <w:widowControl/>
        <w:spacing w:line="460" w:lineRule="exact"/>
        <w:ind w:right="-197" w:rightChars="-94" w:firstLine="241" w:firstLineChars="1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七、其他补充事宜</w:t>
      </w:r>
    </w:p>
    <w:p>
      <w:pPr>
        <w:widowControl/>
        <w:spacing w:line="460" w:lineRule="exact"/>
        <w:ind w:right="-197" w:rightChars="-94"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注：获取竞争性磋商文件时（9：00—12：00，14：00--17：00（节假日除外））请携带有效的单位介绍信及被介绍人身份证复印件，加盖供应商公章（鲜章）,可自带 U 盘拷贝电子文件（本项目仅支持现场报名获取，谢绝邮寄）。</w:t>
      </w:r>
    </w:p>
    <w:p>
      <w:pPr>
        <w:widowControl/>
        <w:spacing w:line="460" w:lineRule="exact"/>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八、凡对本次采购提出询问，请按以下方式联系。</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1.釆购人信息</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陕西省第二人民医院</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eastAsia="zh-CN"/>
          <w14:textFill>
            <w14:solidFill>
              <w14:schemeClr w14:val="tx1"/>
            </w14:solidFill>
          </w14:textFill>
        </w:rPr>
        <w:t>尚勤路3号</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eastAsia="zh-CN"/>
          <w14:textFill>
            <w14:solidFill>
              <w14:schemeClr w14:val="tx1"/>
            </w14:solidFill>
          </w14:textFill>
        </w:rPr>
        <w:t>029-87421038</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2.釆购代理机构信息</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名称：华招广和项目管理有限公司</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地址：西安市朱雀大街南段1号汇成天玺C座18层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联系方式：029-87592321</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3.项目联系方式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w:t>
      </w:r>
      <w:r>
        <w:rPr>
          <w:rFonts w:hint="eastAsia" w:ascii="仿宋" w:hAnsi="仿宋" w:eastAsia="仿宋" w:cs="仿宋"/>
          <w:color w:val="000000" w:themeColor="text1"/>
          <w:sz w:val="24"/>
          <w:highlight w:val="none"/>
          <w:lang w:eastAsia="zh-CN"/>
          <w14:textFill>
            <w14:solidFill>
              <w14:schemeClr w14:val="tx1"/>
            </w14:solidFill>
          </w14:textFill>
        </w:rPr>
        <w:t>党工</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电话：029-87592321</w:t>
      </w:r>
    </w:p>
    <w:p>
      <w:pPr>
        <w:widowControl/>
        <w:spacing w:line="460" w:lineRule="exact"/>
        <w:ind w:right="-197" w:rightChars="-94"/>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84455</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5.25pt;margin-top:6.65pt;height:57.95pt;width:468.7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ctY/tgAAAAJAQAA&#10;DwAAAAAAAAABACAAAAAiAAAAZHJzL2Rvd25yZXYueG1sUEsBAhQAFAAAAAgAh07iQNmWpKQZAgAA&#10;XAQAAA4AAAAAAAAAAQAgAAAAJwEAAGRycy9lMm9Eb2MueG1sUEsFBgAAAAAGAAYAWQEAALIFAAAA&#10;AA==&#10;">
                <v:fill on="t" focussize="0,0"/>
                <v:stroke color="#000000" joinstyle="miter"/>
                <v:imagedata o:title=""/>
                <o:lock v:ext="edit" aspectratio="f"/>
                <v:textbox style="mso-fit-shape-to-text:t;">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pStyle w:val="3"/>
        <w:spacing w:before="0" w:after="0" w:line="240" w:lineRule="auto"/>
        <w:jc w:val="center"/>
        <w:rPr>
          <w:rFonts w:hint="eastAsia" w:ascii="仿宋" w:hAnsi="仿宋" w:eastAsia="仿宋" w:cs="仿宋"/>
          <w:color w:val="000000" w:themeColor="text1"/>
          <w:highlight w:val="none"/>
          <w14:textFill>
            <w14:solidFill>
              <w14:schemeClr w14:val="tx1"/>
            </w14:solidFill>
          </w14:textFill>
        </w:rPr>
      </w:pPr>
      <w:bookmarkStart w:id="1" w:name="_Toc19749"/>
      <w:r>
        <w:rPr>
          <w:rFonts w:hint="eastAsia" w:ascii="仿宋" w:hAnsi="仿宋" w:eastAsia="仿宋" w:cs="仿宋"/>
          <w:color w:val="000000" w:themeColor="text1"/>
          <w:highlight w:val="none"/>
          <w14:textFill>
            <w14:solidFill>
              <w14:schemeClr w14:val="tx1"/>
            </w14:solidFill>
          </w14:textFill>
        </w:rPr>
        <w:t>第二章 供应商须知</w:t>
      </w:r>
      <w:bookmarkEnd w:id="1"/>
    </w:p>
    <w:p>
      <w:pPr>
        <w:pStyle w:val="4"/>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2" w:name="_Toc1739"/>
      <w:r>
        <w:rPr>
          <w:rFonts w:hint="eastAsia" w:ascii="仿宋" w:hAnsi="仿宋" w:eastAsia="仿宋" w:cs="仿宋"/>
          <w:color w:val="000000" w:themeColor="text1"/>
          <w:sz w:val="28"/>
          <w:szCs w:val="28"/>
          <w:highlight w:val="none"/>
          <w14:textFill>
            <w14:solidFill>
              <w14:schemeClr w14:val="tx1"/>
            </w14:solidFill>
          </w14:textFill>
        </w:rPr>
        <w:t>一、供应商须知前附表</w:t>
      </w:r>
      <w:bookmarkEnd w:id="2"/>
    </w:p>
    <w:tbl>
      <w:tblPr>
        <w:tblStyle w:val="22"/>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492"/>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1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6764"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陕西省第二人民医院</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联系地址：尚勤路3号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联系电话：</w:t>
            </w:r>
            <w:r>
              <w:rPr>
                <w:rFonts w:hint="eastAsia" w:ascii="仿宋" w:hAnsi="仿宋" w:eastAsia="仿宋" w:cs="仿宋"/>
                <w:i w:val="0"/>
                <w:iCs w:val="0"/>
                <w:caps w:val="0"/>
                <w:color w:val="000000" w:themeColor="text1"/>
                <w:spacing w:val="0"/>
                <w:sz w:val="24"/>
                <w:szCs w:val="24"/>
                <w:highlight w:val="none"/>
                <w:shd w:val="clear" w:fill="FFFFFF"/>
                <w:lang w:val="en-US" w:eastAsia="zh-CN"/>
                <w14:textFill>
                  <w14:solidFill>
                    <w14:schemeClr w14:val="tx1"/>
                  </w14:solidFill>
                </w14:textFill>
              </w:rPr>
              <w:t>029-87421038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采购代理机构</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名称：华招广和项目管理有限公司</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地址：西安市朱雀大街南段1号汇成天玺C座18层</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党工</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DRG管理系统采购项目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HZGH-2022-081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项目性质</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项目预算</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项目用途</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DRG管理系统采购项目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采购内容和要求</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DRG管理系统采购项目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供应商资格要求</w:t>
            </w:r>
          </w:p>
        </w:tc>
        <w:tc>
          <w:tcPr>
            <w:tcW w:w="6764" w:type="dxa"/>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0"/>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服务期限、地点</w:t>
            </w:r>
          </w:p>
        </w:tc>
        <w:tc>
          <w:tcPr>
            <w:tcW w:w="6764" w:type="dxa"/>
          </w:tcPr>
          <w:p>
            <w:pPr>
              <w:pStyle w:val="39"/>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1、服务期限：自合同签订之日起60天内服务完毕。</w:t>
            </w:r>
          </w:p>
          <w:p>
            <w:pPr>
              <w:pStyle w:val="39"/>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2、服务地点：甲方指定地点。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竞争性磋商文件发售</w:t>
            </w:r>
          </w:p>
        </w:tc>
        <w:tc>
          <w:tcPr>
            <w:tcW w:w="6764" w:type="dxa"/>
          </w:tcPr>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上午9:00-12:00，下午2:00-5:00时止（节假日除外）。</w:t>
            </w:r>
          </w:p>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联合体磋商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现场勘查、标前答疑会</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不统一组织。供应商认为有必要可自行勘查，并承担所有费用及风险。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供应商对竞争性磋商文件提出质疑的时间</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构成竞争性磋商文件的其他文件</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磋商响应文件截止时间及磋商时间和地点</w:t>
            </w:r>
          </w:p>
        </w:tc>
        <w:tc>
          <w:tcPr>
            <w:tcW w:w="6764" w:type="dxa"/>
          </w:tcPr>
          <w:p>
            <w:pPr>
              <w:pStyle w:val="41"/>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pStyle w:val="41"/>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3、磋商地点：华招广和项目管理有限公司会议室（西安市朱雀大街南段1号汇成天玺C座18层</w:t>
            </w:r>
            <w:r>
              <w:rPr>
                <w:rFonts w:hint="eastAsia" w:ascii="仿宋" w:hAnsi="仿宋" w:eastAsia="仿宋" w:cs="仿宋"/>
                <w:color w:val="auto"/>
                <w:sz w:val="24"/>
                <w:szCs w:val="24"/>
                <w:highlight w:val="none"/>
                <w:lang w:val="en-US" w:eastAsia="zh-CN"/>
              </w:rPr>
              <w:t>1818</w:t>
            </w:r>
            <w:r>
              <w:rPr>
                <w:rFonts w:hint="eastAsia" w:ascii="仿宋" w:hAnsi="仿宋" w:eastAsia="仿宋" w:cs="仿宋"/>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磋商响应有效期</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自提交磋商响应文件截止之日起90个日历日。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磋商担保</w:t>
            </w:r>
          </w:p>
        </w:tc>
        <w:tc>
          <w:tcPr>
            <w:tcW w:w="6764" w:type="dxa"/>
          </w:tcPr>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1、磋商保证金：</w:t>
            </w:r>
            <w:r>
              <w:rPr>
                <w:rFonts w:hint="eastAsia" w:ascii="仿宋" w:hAnsi="仿宋" w:eastAsia="仿宋" w:cs="仿宋"/>
                <w:b/>
                <w:bCs w:val="0"/>
                <w:sz w:val="24"/>
                <w:highlight w:val="none"/>
              </w:rPr>
              <w:t>人民币</w:t>
            </w:r>
            <w:r>
              <w:rPr>
                <w:rFonts w:hint="eastAsia" w:ascii="仿宋" w:hAnsi="仿宋" w:eastAsia="仿宋" w:cs="仿宋"/>
                <w:b/>
                <w:bCs w:val="0"/>
                <w:sz w:val="24"/>
                <w:highlight w:val="none"/>
                <w:lang w:val="en-US" w:eastAsia="zh-CN"/>
              </w:rPr>
              <w:t>壹万叁仟元</w:t>
            </w:r>
            <w:r>
              <w:rPr>
                <w:rFonts w:hint="eastAsia" w:ascii="仿宋" w:hAnsi="仿宋" w:eastAsia="仿宋" w:cs="仿宋"/>
                <w:b/>
                <w:bCs w:val="0"/>
                <w:sz w:val="24"/>
                <w:highlight w:val="none"/>
              </w:rPr>
              <w:t>整</w:t>
            </w:r>
            <w:r>
              <w:rPr>
                <w:rFonts w:hint="eastAsia" w:ascii="仿宋" w:hAnsi="仿宋" w:eastAsia="仿宋" w:cs="仿宋"/>
                <w:b w:val="0"/>
                <w:bCs/>
                <w:sz w:val="24"/>
                <w:highlight w:val="none"/>
              </w:rPr>
              <w:t>。</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2、磋商保证金交纳方式：供应商可自主选择以银行网银转账、支票、汇票、本票、保函等非现金形式交纳或提交磋商保证金。</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3、请供应商按规定时间</w:t>
            </w: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rPr>
              <w:t>202</w:t>
            </w: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年</w:t>
            </w:r>
            <w:r>
              <w:rPr>
                <w:rFonts w:hint="eastAsia" w:ascii="仿宋" w:hAnsi="仿宋" w:eastAsia="仿宋" w:cs="仿宋"/>
                <w:b w:val="0"/>
                <w:bCs/>
                <w:color w:val="auto"/>
                <w:sz w:val="24"/>
                <w:highlight w:val="none"/>
                <w:lang w:val="en-US" w:eastAsia="zh-CN"/>
              </w:rPr>
              <w:t>9</w:t>
            </w:r>
            <w:r>
              <w:rPr>
                <w:rFonts w:hint="eastAsia" w:ascii="仿宋" w:hAnsi="仿宋" w:eastAsia="仿宋" w:cs="仿宋"/>
                <w:b w:val="0"/>
                <w:bCs/>
                <w:color w:val="auto"/>
                <w:sz w:val="24"/>
                <w:highlight w:val="none"/>
              </w:rPr>
              <w:t>月</w:t>
            </w:r>
            <w:r>
              <w:rPr>
                <w:rFonts w:hint="eastAsia" w:ascii="仿宋" w:hAnsi="仿宋" w:eastAsia="仿宋" w:cs="仿宋"/>
                <w:b w:val="0"/>
                <w:bCs/>
                <w:color w:val="auto"/>
                <w:sz w:val="24"/>
                <w:highlight w:val="none"/>
                <w:lang w:val="en-US" w:eastAsia="zh-CN"/>
              </w:rPr>
              <w:t>20</w:t>
            </w:r>
            <w:r>
              <w:rPr>
                <w:rFonts w:hint="eastAsia" w:ascii="仿宋" w:hAnsi="仿宋" w:eastAsia="仿宋" w:cs="仿宋"/>
                <w:b w:val="0"/>
                <w:bCs/>
                <w:color w:val="auto"/>
                <w:sz w:val="24"/>
                <w:highlight w:val="none"/>
              </w:rPr>
              <w:t>日</w:t>
            </w:r>
            <w:r>
              <w:rPr>
                <w:rFonts w:hint="eastAsia" w:ascii="仿宋" w:hAnsi="仿宋" w:eastAsia="仿宋" w:cs="仿宋"/>
                <w:b w:val="0"/>
                <w:bCs/>
                <w:color w:val="auto"/>
                <w:sz w:val="24"/>
                <w:highlight w:val="none"/>
                <w:lang w:val="en-US" w:eastAsia="zh-CN"/>
              </w:rPr>
              <w:t>下午14</w:t>
            </w: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0前</w:t>
            </w:r>
            <w:r>
              <w:rPr>
                <w:rFonts w:hint="eastAsia" w:ascii="仿宋" w:hAnsi="仿宋" w:eastAsia="仿宋" w:cs="仿宋"/>
                <w:b w:val="0"/>
                <w:bCs/>
                <w:color w:val="auto"/>
                <w:sz w:val="24"/>
                <w:highlight w:val="none"/>
              </w:rPr>
              <w:t>）</w:t>
            </w:r>
            <w:r>
              <w:rPr>
                <w:rFonts w:hint="eastAsia" w:ascii="仿宋" w:hAnsi="仿宋" w:eastAsia="仿宋" w:cs="仿宋"/>
                <w:b w:val="0"/>
                <w:bCs/>
                <w:sz w:val="24"/>
                <w:highlight w:val="none"/>
              </w:rPr>
              <w:t xml:space="preserve">和方式提交保证金，避免银行退票等原因出现保证金未按时到账等情况影响正常投标。请务必在转账时在摘要处注明：项目编号，同时请次日电话查询是否到账：029-87592322。 </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4、供应商未按照竞争性磋商文件要求提交保证金的，磋商响应文件无效。磋商保证金提交以到账时间为准。</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b/>
                <w:color w:val="auto"/>
                <w:sz w:val="24"/>
                <w:highlight w:val="none"/>
              </w:rPr>
            </w:pPr>
            <w:r>
              <w:rPr>
                <w:rFonts w:hint="eastAsia" w:ascii="仿宋" w:hAnsi="仿宋" w:eastAsia="仿宋" w:cs="仿宋"/>
                <w:b/>
                <w:bCs w:val="0"/>
                <w:sz w:val="24"/>
                <w:highlight w:val="none"/>
              </w:rPr>
              <w:t>备注：以保函形式提交</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保证金的，</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汇款账户</w:t>
            </w:r>
          </w:p>
        </w:tc>
        <w:tc>
          <w:tcPr>
            <w:tcW w:w="6764" w:type="dxa"/>
          </w:tcPr>
          <w:p>
            <w:pPr>
              <w:pStyle w:val="39"/>
              <w:spacing w:line="560" w:lineRule="exact"/>
              <w:ind w:firstLine="0" w:firstLineChars="0"/>
              <w:rPr>
                <w:rFonts w:hint="eastAsia" w:ascii="仿宋" w:hAnsi="仿宋" w:eastAsia="仿宋" w:cs="仿宋"/>
                <w:b/>
                <w:bCs/>
                <w:color w:val="auto"/>
                <w:kern w:val="2"/>
                <w:sz w:val="24"/>
                <w:szCs w:val="24"/>
                <w:highlight w:val="none"/>
                <w:lang w:eastAsia="zh-CN"/>
              </w:rPr>
            </w:pPr>
            <w:r>
              <w:rPr>
                <w:rFonts w:hint="eastAsia" w:ascii="仿宋" w:hAnsi="仿宋" w:eastAsia="仿宋" w:cs="仿宋"/>
                <w:b/>
                <w:bCs/>
                <w:color w:val="auto"/>
                <w:kern w:val="2"/>
                <w:sz w:val="24"/>
                <w:szCs w:val="24"/>
                <w:highlight w:val="none"/>
              </w:rPr>
              <w:t>中国建设银行：招标服务费（交纳账户）</w:t>
            </w:r>
          </w:p>
          <w:p>
            <w:pPr>
              <w:pStyle w:val="39"/>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名称：华招广和项目管理有限公司</w:t>
            </w:r>
          </w:p>
          <w:p>
            <w:pPr>
              <w:pStyle w:val="39"/>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开户行：中国建设银行股份有限公司西安金泰假日花城支行</w:t>
            </w:r>
          </w:p>
          <w:p>
            <w:pPr>
              <w:pStyle w:val="39"/>
              <w:spacing w:line="560" w:lineRule="exact"/>
              <w:ind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帐号：6105 0186 5800 0000 0059</w:t>
            </w:r>
          </w:p>
          <w:p>
            <w:pPr>
              <w:pStyle w:val="39"/>
              <w:spacing w:line="560" w:lineRule="exact"/>
              <w:ind w:firstLine="0" w:firstLineChars="0"/>
              <w:rPr>
                <w:rFonts w:hint="eastAsia" w:ascii="楷体" w:hAnsi="楷体" w:eastAsia="楷体" w:cs="楷体"/>
                <w:sz w:val="24"/>
                <w:szCs w:val="24"/>
                <w:highlight w:val="none"/>
                <w:lang w:val="en-US" w:eastAsia="zh-CN"/>
              </w:rPr>
            </w:pPr>
          </w:p>
          <w:p>
            <w:pPr>
              <w:pStyle w:val="39"/>
              <w:spacing w:line="56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中信</w:t>
            </w:r>
            <w:r>
              <w:rPr>
                <w:rFonts w:hint="eastAsia" w:ascii="仿宋" w:hAnsi="仿宋" w:eastAsia="仿宋" w:cs="仿宋"/>
                <w:sz w:val="24"/>
                <w:szCs w:val="24"/>
                <w:highlight w:val="none"/>
              </w:rPr>
              <w:t>银行：</w:t>
            </w:r>
            <w:r>
              <w:rPr>
                <w:rFonts w:hint="eastAsia" w:ascii="仿宋" w:hAnsi="仿宋" w:eastAsia="仿宋" w:cs="仿宋"/>
                <w:b/>
                <w:bCs/>
                <w:sz w:val="24"/>
                <w:szCs w:val="24"/>
                <w:highlight w:val="none"/>
              </w:rPr>
              <w:t>磋商保证金</w:t>
            </w:r>
            <w:r>
              <w:rPr>
                <w:rFonts w:hint="eastAsia" w:ascii="仿宋" w:hAnsi="仿宋" w:eastAsia="仿宋" w:cs="仿宋"/>
                <w:sz w:val="24"/>
                <w:szCs w:val="24"/>
                <w:highlight w:val="none"/>
              </w:rPr>
              <w:t>（交纳专户）</w:t>
            </w:r>
          </w:p>
          <w:p>
            <w:pPr>
              <w:pStyle w:val="39"/>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账号：8111701011900609835</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开户行：中信银行西安朱雀南路支行</w:t>
            </w:r>
          </w:p>
          <w:p>
            <w:pPr>
              <w:pStyle w:val="39"/>
              <w:keepNext w:val="0"/>
              <w:keepLines w:val="0"/>
              <w:pageBreakBefore w:val="0"/>
              <w:kinsoku/>
              <w:wordWrap/>
              <w:overflowPunct/>
              <w:topLinePunct w:val="0"/>
              <w:autoSpaceDE/>
              <w:autoSpaceDN/>
              <w:bidi w:val="0"/>
              <w:adjustRightInd/>
              <w:spacing w:line="640" w:lineRule="exact"/>
              <w:ind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sz w:val="24"/>
                <w:szCs w:val="24"/>
                <w:highlight w:val="none"/>
              </w:rPr>
              <w:t>注:标书费、招标服务费可以采用转账、现金形式交纳；保证金仅限于通过对公账户以转账形式交纳。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备选磋商方案</w:t>
            </w: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和报价</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盖章签字</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竞争性磋商响应文件数量、装订</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auto"/>
                <w:sz w:val="24"/>
                <w:highlight w:val="none"/>
                <w:lang w:eastAsia="zh-CN"/>
              </w:rPr>
              <w:t>用</w:t>
            </w:r>
            <w:r>
              <w:rPr>
                <w:rFonts w:hint="eastAsia" w:ascii="仿宋" w:hAnsi="仿宋" w:eastAsia="仿宋" w:cs="仿宋"/>
                <w:color w:val="auto"/>
                <w:sz w:val="24"/>
                <w:highlight w:val="none"/>
              </w:rPr>
              <w:t>U盘或移动硬盘</w:t>
            </w:r>
            <w:r>
              <w:rPr>
                <w:rFonts w:hint="eastAsia" w:ascii="仿宋" w:hAnsi="仿宋" w:eastAsia="仿宋" w:cs="仿宋"/>
                <w:color w:val="auto"/>
                <w:sz w:val="24"/>
                <w:highlight w:val="none"/>
                <w:lang w:eastAsia="zh-CN"/>
              </w:rPr>
              <w:t>拷贝</w:t>
            </w:r>
            <w:r>
              <w:rPr>
                <w:rFonts w:hint="eastAsia" w:ascii="仿宋" w:hAnsi="仿宋" w:eastAsia="仿宋" w:cs="仿宋"/>
                <w:color w:val="auto"/>
                <w:sz w:val="24"/>
                <w:highlight w:val="none"/>
              </w:rPr>
              <w:t>），电子版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文件正本的word版本及PDF版本（PDF文件为完整签字、盖章的正本扫描件）。纸质磋商响应文件均须A4纸打印（提倡双面打印），分别各自装订成册并编制目录和页码。电子版放置磋商响应文件正本标袋内。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w:t>
            </w:r>
          </w:p>
        </w:tc>
        <w:tc>
          <w:tcPr>
            <w:tcW w:w="6764" w:type="dxa"/>
            <w:vAlign w:val="center"/>
          </w:tcPr>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本项目为交钥匙项目。</w:t>
            </w:r>
            <w:r>
              <w:rPr>
                <w:rFonts w:hint="eastAsia" w:ascii="仿宋" w:hAnsi="仿宋" w:eastAsia="仿宋" w:cs="仿宋"/>
                <w:color w:val="auto"/>
                <w:sz w:val="24"/>
                <w:szCs w:val="24"/>
                <w:highlight w:val="none"/>
              </w:rPr>
              <w:t>磋商报价=服务费+保险费+人员费+其他相关伴随费用。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评标办法及标准</w:t>
            </w:r>
          </w:p>
        </w:tc>
        <w:tc>
          <w:tcPr>
            <w:tcW w:w="6764" w:type="dxa"/>
            <w:vAlign w:val="center"/>
          </w:tcPr>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详见竞争性磋商文件第二章。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其它事项</w:t>
            </w:r>
          </w:p>
        </w:tc>
        <w:tc>
          <w:tcPr>
            <w:tcW w:w="6764" w:type="dxa"/>
            <w:vAlign w:val="center"/>
          </w:tcPr>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次采购、磋商报价、评审和合同授予均以项目为单位，供应商必须就一个完整项目进行响应。成交供应商与采购人在成交通知书发出30天内签订合同，不及时签订视为自动放弃。非经采购人同意，本项目不允许成交后另行转包或者分包。成交人无正当理由不得放弃成交资格。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val="en-US" w:eastAsia="zh-CN"/>
              </w:rPr>
              <w:t>27</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eastAsia="zh-CN"/>
              </w:rPr>
              <w:t>本项目是否专门面向中小企业</w:t>
            </w:r>
          </w:p>
        </w:tc>
        <w:tc>
          <w:tcPr>
            <w:tcW w:w="6764" w:type="dxa"/>
            <w:vAlign w:val="center"/>
          </w:tcPr>
          <w:p>
            <w:pPr>
              <w:pStyle w:val="41"/>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000000"/>
                <w:kern w:val="2"/>
                <w:sz w:val="24"/>
                <w:szCs w:val="24"/>
                <w:highlight w:val="none"/>
                <w:lang w:eastAsia="zh-CN"/>
              </w:rPr>
              <w:t>□是</w:t>
            </w:r>
            <w:r>
              <w:rPr>
                <w:rFonts w:hint="eastAsia" w:ascii="仿宋" w:hAnsi="仿宋" w:eastAsia="仿宋" w:cs="仿宋"/>
                <w:color w:val="000000"/>
                <w:kern w:val="2"/>
                <w:sz w:val="24"/>
                <w:szCs w:val="24"/>
                <w:highlight w:val="none"/>
                <w:lang w:val="en-US" w:eastAsia="zh-CN"/>
              </w:rPr>
              <w:t xml:space="preserve">   </w:t>
            </w:r>
            <w:r>
              <w:rPr>
                <w:rFonts w:hint="eastAsia" w:ascii="仿宋" w:hAnsi="仿宋" w:eastAsia="仿宋" w:cs="仿宋"/>
                <w:color w:val="000000"/>
                <w:kern w:val="2"/>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本项目所属行业</w:t>
            </w:r>
          </w:p>
        </w:tc>
        <w:tc>
          <w:tcPr>
            <w:tcW w:w="6764" w:type="dxa"/>
            <w:vAlign w:val="center"/>
          </w:tcPr>
          <w:p>
            <w:pPr>
              <w:pStyle w:val="41"/>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rPr>
            </w:pPr>
            <w:r>
              <w:rPr>
                <w:rFonts w:hint="default" w:ascii="仿宋" w:hAnsi="仿宋" w:eastAsia="仿宋" w:cs="仿宋"/>
                <w:color w:val="auto"/>
                <w:kern w:val="2"/>
                <w:sz w:val="24"/>
                <w:szCs w:val="24"/>
                <w:highlight w:val="none"/>
                <w:lang w:val="en-US"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w:t>
            </w:r>
          </w:p>
        </w:tc>
        <w:tc>
          <w:tcPr>
            <w:tcW w:w="2492" w:type="dxa"/>
            <w:vAlign w:val="center"/>
          </w:tcPr>
          <w:p>
            <w:pPr>
              <w:spacing w:line="5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演示</w:t>
            </w:r>
          </w:p>
        </w:tc>
        <w:tc>
          <w:tcPr>
            <w:tcW w:w="6764" w:type="dxa"/>
            <w:vAlign w:val="center"/>
          </w:tcPr>
          <w:p>
            <w:pPr>
              <w:adjustRightInd w:val="0"/>
              <w:snapToGrid w:val="0"/>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1、演示内容：详见第三章采购内容及技术要求和评分标准演示部分。</w:t>
            </w:r>
          </w:p>
          <w:p>
            <w:pPr>
              <w:adjustRightInd w:val="0"/>
              <w:snapToGrid w:val="0"/>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2、演示要求：不超过10分钟。</w:t>
            </w:r>
          </w:p>
          <w:p>
            <w:pPr>
              <w:adjustRightInd w:val="0"/>
              <w:snapToGrid w:val="0"/>
              <w:spacing w:line="560" w:lineRule="exact"/>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3、演示时须携带的器材：自行携带</w:t>
            </w:r>
          </w:p>
        </w:tc>
      </w:tr>
    </w:tbl>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bookmarkStart w:id="3" w:name="_Toc12152"/>
      <w:r>
        <w:rPr>
          <w:rFonts w:hint="eastAsia" w:ascii="仿宋" w:hAnsi="仿宋" w:eastAsia="仿宋" w:cs="仿宋"/>
          <w:color w:val="000000" w:themeColor="text1"/>
          <w:kern w:val="0"/>
          <w:sz w:val="28"/>
          <w:szCs w:val="28"/>
          <w:highlight w:val="none"/>
          <w14:textFill>
            <w14:solidFill>
              <w14:schemeClr w14:val="tx1"/>
            </w14:solidFill>
          </w14:textFill>
        </w:rPr>
        <w:t>二、项目说明</w:t>
      </w:r>
      <w:bookmarkEnd w:id="3"/>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1、本项目说明详见供应商须知前附表。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2、本项目按照《中华人民共和国政府采购法》等有关法律、行政法规和部门规章，通过竞争性磋商方式择优选定成交供应商。</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4" w:name="_Toc458848967"/>
      <w:bookmarkStart w:id="5" w:name="_Toc458848734"/>
      <w:bookmarkStart w:id="6" w:name="_Toc24776"/>
      <w:bookmarkStart w:id="7" w:name="_Toc458848819"/>
      <w:r>
        <w:rPr>
          <w:rFonts w:hint="eastAsia" w:ascii="仿宋" w:hAnsi="仿宋" w:eastAsia="仿宋" w:cs="仿宋"/>
          <w:color w:val="000000" w:themeColor="text1"/>
          <w:kern w:val="0"/>
          <w:sz w:val="28"/>
          <w:szCs w:val="28"/>
          <w:highlight w:val="none"/>
          <w14:textFill>
            <w14:solidFill>
              <w14:schemeClr w14:val="tx1"/>
            </w14:solidFill>
          </w14:textFill>
        </w:rPr>
        <w:t>三、竞争性磋商文件</w:t>
      </w:r>
      <w:bookmarkEnd w:id="4"/>
      <w:bookmarkEnd w:id="5"/>
      <w:bookmarkEnd w:id="6"/>
      <w:bookmarkEnd w:id="7"/>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1、竞争性磋商文件购买：供应商须经过正常渠道购买竞争性磋商文件，且供应商名称与登记领取竞争性磋商文件的单位名称一致，否则将作为无效响应处理。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2、竞争性磋商文件由竞争性磋商文件目录前五章组成。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3、供应商应详细阅读和充分理解竞争性磋商文件所有的事项、格式、条款和规范要求等，在竞争性磋商响应文件中对竞争性磋商文件的各方面都做出实质性的响应，按照竞争性磋商文件的要求提交全部资料。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4、竞争性磋商文件的澄清或修改：</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5、供应商若对磋商文件有任何疑问，可以以书面形式向采购代理机构提出询问。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6、供应商认为竞争性磋商文件使自己的权益受到损害的，在收到竞争性磋商文件之日起七个工作日内，以书面形式向采购代理机构提出质疑，逾期提出的无效，因此带来的一切不利后果由供应商自负。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8、供应商必须从采购代理机构购买竞争性磋商文件，供应商自行转让或复制竞争性磋商文件视为无效。竞争性磋商文件售后不退，仅作为本次采购使用。</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9、如发现竞争性磋商文件内容与现行法律法规不相符的情况，以现行法律法规为准。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10、现场勘查、标前答疑会：见须知前附表。</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8" w:name="_Toc458848968"/>
      <w:bookmarkStart w:id="9" w:name="_Toc458848735"/>
      <w:bookmarkStart w:id="10" w:name="_Toc458848820"/>
      <w:bookmarkStart w:id="11" w:name="_Toc1600"/>
      <w:r>
        <w:rPr>
          <w:rFonts w:hint="eastAsia" w:ascii="仿宋" w:hAnsi="仿宋" w:eastAsia="仿宋" w:cs="仿宋"/>
          <w:color w:val="000000" w:themeColor="text1"/>
          <w:kern w:val="0"/>
          <w:sz w:val="28"/>
          <w:szCs w:val="28"/>
          <w:highlight w:val="none"/>
          <w14:textFill>
            <w14:solidFill>
              <w14:schemeClr w14:val="tx1"/>
            </w14:solidFill>
          </w14:textFill>
        </w:rPr>
        <w:t>四、竞争性磋商响应文件</w:t>
      </w:r>
      <w:bookmarkEnd w:id="8"/>
      <w:bookmarkEnd w:id="9"/>
      <w:bookmarkEnd w:id="10"/>
      <w:bookmarkEnd w:id="1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b w:val="0"/>
          <w:bCs/>
          <w:i w:val="0"/>
          <w:iCs w:val="0"/>
          <w:caps w:val="0"/>
          <w:color w:val="000000"/>
          <w:spacing w:val="0"/>
          <w:sz w:val="24"/>
          <w:szCs w:val="24"/>
          <w:highlight w:val="none"/>
          <w:shd w:val="clear" w:color="auto"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2、合格供应商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依照《中华人民共和国公司法》合法注册的法人或其他组织、符合《中华人民共和国政府采购法》</w:t>
      </w:r>
      <w:bookmarkStart w:id="12" w:name="OLE_LINK8"/>
      <w:r>
        <w:rPr>
          <w:rFonts w:hint="eastAsia" w:ascii="仿宋" w:hAnsi="仿宋" w:eastAsia="仿宋" w:cs="仿宋"/>
          <w:color w:val="000000" w:themeColor="text1"/>
          <w:sz w:val="24"/>
          <w:highlight w:val="none"/>
          <w14:textFill>
            <w14:solidFill>
              <w14:schemeClr w14:val="tx1"/>
            </w14:solidFill>
          </w14:textFill>
        </w:rPr>
        <w:t>及其实施条例等有关法律法规的规定</w:t>
      </w:r>
      <w:bookmarkEnd w:id="12"/>
      <w:r>
        <w:rPr>
          <w:rFonts w:hint="eastAsia" w:ascii="仿宋" w:hAnsi="仿宋" w:eastAsia="仿宋" w:cs="仿宋"/>
          <w:color w:val="000000" w:themeColor="text1"/>
          <w:sz w:val="24"/>
          <w:highlight w:val="none"/>
          <w14:textFill>
            <w14:solidFill>
              <w14:schemeClr w14:val="tx1"/>
            </w14:solidFill>
          </w14:textFill>
        </w:rPr>
        <w:t>并满足本项目资格条件。不符合上述规定的供应商，磋商响应无效。</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3、供应商信用信息：</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3-1、采购人或采购代理机构将于本项目磋商截止日在‘信用中国’网站、‘中国政府采购网’网站等渠道对供应商进行信用记录查询，</w:t>
      </w:r>
      <w:r>
        <w:rPr>
          <w:rFonts w:hint="eastAsia" w:ascii="仿宋" w:hAnsi="仿宋" w:eastAsia="仿宋" w:cs="仿宋"/>
          <w:color w:val="000000" w:themeColor="text1"/>
          <w:sz w:val="24"/>
          <w:highlight w:val="none"/>
          <w:lang w:eastAsia="zh-CN"/>
          <w14:textFill>
            <w14:solidFill>
              <w14:schemeClr w14:val="tx1"/>
            </w14:solidFill>
          </w14:textFill>
        </w:rPr>
        <w:t>查询的信用记录将进行打印存档，</w:t>
      </w:r>
      <w:r>
        <w:rPr>
          <w:rFonts w:hint="eastAsia" w:ascii="仿宋" w:hAnsi="仿宋" w:eastAsia="仿宋" w:cs="仿宋"/>
          <w:color w:val="000000" w:themeColor="text1"/>
          <w:sz w:val="24"/>
          <w:highlight w:val="none"/>
          <w14:textFill>
            <w14:solidFill>
              <w14:schemeClr w14:val="tx1"/>
            </w14:solidFill>
          </w14:textFill>
        </w:rPr>
        <w:t>凡被列入失信被执行人、重大税收违法案件当事人名单、政府采购严重违法失信行为记录名单的，视为存在不良信用记录，参与本项目的将被拒绝。</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3-2、特别说明：</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（1）供应商如在成交通知书发出前出现违法失信行为，采购人仍有权利提请评审委员会取消其成交资格；</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（2）供应商在磋商响应文件中已出具的信用查询结果并不能取代采购人或采购代理机构在评审前进行复查。</w:t>
      </w:r>
    </w:p>
    <w:p>
      <w:pPr>
        <w:pageBreakBefore w:val="0"/>
        <w:widowControl/>
        <w:shd w:val="clear" w:color="auto" w:fill="FFFFFF"/>
        <w:kinsoku/>
        <w:wordWrap/>
        <w:topLinePunct w:val="0"/>
        <w:autoSpaceDE/>
        <w:autoSpaceDN/>
        <w:bidi w:val="0"/>
        <w:spacing w:line="64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4、竞争性磋商响应文件的组成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4-1、竞争性磋商函（格式）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4-2、磋商报价一览表（格式）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2019年1月1日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同类</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4-8</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技术部分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4-9、质量保证（格式）</w:t>
      </w:r>
    </w:p>
    <w:p>
      <w:pPr>
        <w:pageBreakBefore w:val="0"/>
        <w:kinsoku/>
        <w:wordWrap/>
        <w:topLinePunct w:val="0"/>
        <w:autoSpaceDE/>
        <w:autoSpaceDN/>
        <w:bidi w:val="0"/>
        <w:spacing w:line="640" w:lineRule="exact"/>
        <w:ind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4-10、售后服务及培训计划</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磋商文件要求的其他资料及供应商认为需要提供的文件和资料。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5、竞争性磋商响应文件编写说明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5-1、竞争性磋商响应文件格式：竞争性磋商响应文件应当按照竞争性磋商文件给定的格式和要求编制，格式之外的可自行编写。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如有遗漏，将作为无效磋商响应处理。副本可以是正本的复印件。如果正本与副本不一致，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5-3、除供应商对错误处需修改外，全套竞争性磋商响应文件应无涂改或行间插字或增删。如有修改，修改处应加盖供应商公章及法定代表人或被授权人签字（或盖章）确认。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5-4、竞争性磋商响应文件的正本和副本均需打印或用不褪色、不变质的墨水书写。因字迹潦草或表达不清所引起的后果由供应商自行负责。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5-5、竞争性磋商响应文件电子版内容须与竞争性磋商响应文件纸质版正本中的内容一致。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6、磋商文件的装订及密封</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000000" w:themeColor="text1"/>
          <w:sz w:val="24"/>
          <w:highlight w:val="none"/>
          <w:lang w:eastAsia="zh-CN"/>
          <w14:textFill>
            <w14:solidFill>
              <w14:schemeClr w14:val="tx1"/>
            </w14:solidFill>
          </w14:textFill>
        </w:rPr>
        <w:t>用</w:t>
      </w:r>
      <w:r>
        <w:rPr>
          <w:rFonts w:hint="eastAsia" w:ascii="仿宋" w:hAnsi="仿宋" w:eastAsia="仿宋" w:cs="仿宋"/>
          <w:color w:val="000000" w:themeColor="text1"/>
          <w:sz w:val="24"/>
          <w:highlight w:val="none"/>
          <w14:textFill>
            <w14:solidFill>
              <w14:schemeClr w14:val="tx1"/>
            </w14:solidFill>
          </w14:textFill>
        </w:rPr>
        <w:t>U盘或移动硬盘</w:t>
      </w:r>
      <w:r>
        <w:rPr>
          <w:rFonts w:hint="eastAsia" w:ascii="仿宋" w:hAnsi="仿宋" w:eastAsia="仿宋" w:cs="仿宋"/>
          <w:color w:val="000000" w:themeColor="text1"/>
          <w:sz w:val="24"/>
          <w:highlight w:val="none"/>
          <w:lang w:eastAsia="zh-CN"/>
          <w14:textFill>
            <w14:solidFill>
              <w14:schemeClr w14:val="tx1"/>
            </w14:solidFill>
          </w14:textFill>
        </w:rPr>
        <w:t>拷贝</w:t>
      </w:r>
      <w:r>
        <w:rPr>
          <w:rFonts w:hint="eastAsia" w:ascii="仿宋" w:hAnsi="仿宋" w:eastAsia="仿宋" w:cs="仿宋"/>
          <w:color w:val="000000" w:themeColor="text1"/>
          <w:sz w:val="24"/>
          <w:highlight w:val="none"/>
          <w14:textFill>
            <w14:solidFill>
              <w14:schemeClr w14:val="tx1"/>
            </w14:solidFill>
          </w14:textFill>
        </w:rPr>
        <w:t>），电子版</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文件提供</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文件正本的word版本及PDF版本（PDF文件为完整签字、盖章的正本扫描件）。纸质磋商响应文件均须A4纸打印（提倡双面打印），分别各自装订成册并编制目录和页码。电子版放置磋商响应文件正本标袋内。</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7、竞争性磋商响应文件的计量单位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竞争性磋商响应文件中所使用的计量单位，除有特殊要求外，均采用国家法定计量单位。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8、磋商报价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8-1、</w:t>
      </w:r>
      <w:r>
        <w:rPr>
          <w:rFonts w:hint="eastAsia" w:ascii="仿宋" w:hAnsi="仿宋" w:eastAsia="仿宋" w:cs="仿宋"/>
          <w:color w:val="000000" w:themeColor="text1"/>
          <w:sz w:val="24"/>
          <w:highlight w:val="none"/>
          <w:lang w:val="en-US" w:eastAsia="zh-CN"/>
          <w14:textFill>
            <w14:solidFill>
              <w14:schemeClr w14:val="tx1"/>
            </w14:solidFill>
          </w14:textFill>
        </w:rPr>
        <w:t>本项目为交钥匙项目。</w:t>
      </w:r>
      <w:r>
        <w:rPr>
          <w:rFonts w:hint="eastAsia" w:ascii="仿宋" w:hAnsi="仿宋" w:eastAsia="仿宋" w:cs="仿宋"/>
          <w:color w:val="000000" w:themeColor="text1"/>
          <w:sz w:val="24"/>
          <w:highlight w:val="none"/>
          <w14:textFill>
            <w14:solidFill>
              <w14:schemeClr w14:val="tx1"/>
            </w14:solidFill>
          </w14:textFill>
        </w:rPr>
        <w:t>磋商报价=服务费+保险费+人员费+其他相关伴随费用</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8-2、供应商所报的磋商价在合同执行过程中是固定不变的，不得以任何理由予以变更。任何包含价格调整要求的磋商，将被认为是非响应性磋商而予以拒绝。</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8-3、</w:t>
      </w:r>
      <w:r>
        <w:rPr>
          <w:rFonts w:hint="eastAsia" w:ascii="仿宋" w:hAnsi="仿宋" w:eastAsia="仿宋" w:cs="仿宋"/>
          <w:color w:val="000000" w:themeColor="text1"/>
          <w:sz w:val="24"/>
          <w:highlight w:val="none"/>
          <w14:textFill>
            <w14:solidFill>
              <w14:schemeClr w14:val="tx1"/>
            </w14:solidFill>
          </w14:textFill>
        </w:rPr>
        <w:t>不接受超过</w:t>
      </w:r>
      <w:r>
        <w:rPr>
          <w:rFonts w:hint="eastAsia" w:ascii="仿宋" w:hAnsi="仿宋" w:eastAsia="仿宋" w:cs="仿宋"/>
          <w:color w:val="000000" w:themeColor="text1"/>
          <w:sz w:val="24"/>
          <w:highlight w:val="none"/>
          <w:lang w:eastAsia="zh-CN"/>
          <w14:textFill>
            <w14:solidFill>
              <w14:schemeClr w14:val="tx1"/>
            </w14:solidFill>
          </w14:textFill>
        </w:rPr>
        <w:t>竞争性磋商文件</w:t>
      </w:r>
      <w:r>
        <w:rPr>
          <w:rFonts w:hint="eastAsia" w:ascii="仿宋" w:hAnsi="仿宋" w:eastAsia="仿宋" w:cs="仿宋"/>
          <w:color w:val="000000" w:themeColor="text1"/>
          <w:sz w:val="24"/>
          <w:highlight w:val="none"/>
          <w14:textFill>
            <w14:solidFill>
              <w14:schemeClr w14:val="tx1"/>
            </w14:solidFill>
          </w14:textFill>
        </w:rPr>
        <w:t>中规定的预算金额或者最高限价的报价、可变动性报价、赠送及“零”报价，否则视为无效投标。</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9、各供应商须对以下内容做出承诺：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9-1、供应商不得以他人名义磋商和串通磋商。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9-2、必须根据竞争性磋商文件要求进行服务；</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9-3、非经采购人同意，不得将本项目内容进行分包实施，一经发现，立即取消其成交资格，并承担由此引起的一切经济损失；经采购人同意，成交人可以依法采取分包方式履行合同。</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9-4、接受采购人委托的相关单位对服务内容、质量、进度、实施方案、价款支付与结算等的监督和管理。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9-5、供应商应保证在本项目使用的任何服务的任何一部分，不会产生因第三方提出的侵犯其专利权、商标权、著作权或其它知识产权而引起的法律和经济纠纷，由此引起的纠纷，由供应商承担所有相关责任；</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9-7、供应商不能以“赠送”、“赠予”等任何名义提供货物和服务规避竞争性磋商文件的约束。否则，将作为无效响应文件处理。供应商的行为将作为以不正当手段排挤其他供应商认定。</w:t>
      </w:r>
    </w:p>
    <w:p>
      <w:pPr>
        <w:pStyle w:val="4"/>
        <w:pageBreakBefore w:val="0"/>
        <w:kinsoku/>
        <w:overflowPunct/>
        <w:autoSpaceDE/>
        <w:autoSpaceDN/>
        <w:bidi w:val="0"/>
        <w:adjustRightInd/>
        <w:snapToGrid/>
        <w:spacing w:before="0" w:after="0" w:line="560" w:lineRule="exact"/>
        <w:textAlignment w:val="auto"/>
        <w:rPr>
          <w:rFonts w:hint="eastAsia" w:ascii="仿宋" w:hAnsi="仿宋" w:eastAsia="仿宋" w:cs="仿宋"/>
          <w:color w:val="auto"/>
          <w:kern w:val="0"/>
          <w:sz w:val="28"/>
          <w:szCs w:val="28"/>
          <w:highlight w:val="none"/>
        </w:rPr>
      </w:pPr>
      <w:bookmarkStart w:id="13" w:name="_Toc458848969"/>
      <w:bookmarkStart w:id="14" w:name="_Toc3854"/>
      <w:bookmarkStart w:id="15" w:name="_Toc458848821"/>
      <w:bookmarkStart w:id="16" w:name="_Toc458848736"/>
      <w:bookmarkStart w:id="17" w:name="_Toc14492"/>
      <w:bookmarkStart w:id="18" w:name="_Toc458848822"/>
      <w:bookmarkStart w:id="19" w:name="_Toc458848970"/>
      <w:bookmarkStart w:id="20" w:name="_Toc5793"/>
      <w:bookmarkStart w:id="21" w:name="_Toc458848737"/>
      <w:r>
        <w:rPr>
          <w:rFonts w:hint="eastAsia" w:ascii="仿宋" w:hAnsi="仿宋" w:eastAsia="仿宋" w:cs="仿宋"/>
          <w:color w:val="auto"/>
          <w:kern w:val="0"/>
          <w:sz w:val="28"/>
          <w:szCs w:val="28"/>
          <w:highlight w:val="none"/>
        </w:rPr>
        <w:t>五、磋商担保</w:t>
      </w:r>
      <w:bookmarkEnd w:id="13"/>
      <w:bookmarkEnd w:id="14"/>
      <w:bookmarkEnd w:id="15"/>
      <w:bookmarkEnd w:id="16"/>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1、担保方式：见供应商须知前附表。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2、磋商担保递交截止时间：见供应商须知前附表。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3、供应商参加磋商时，必须以竞争性磋商文件规定的方式提交磋商担保，并作为其磋商响应的一部分。磋商现场不办理担保收取事宜。若</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未在磋商担保递交截止时间收到足额磋商保证金或有效磋商担保函的，或未在磋商响应文件中附磋商担保凭证的，其磋商响应文件无效。</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4、退还磋商保证金：</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（1）在</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截止时间前撤回已提交</w:t>
      </w:r>
      <w:r>
        <w:rPr>
          <w:rFonts w:hint="eastAsia" w:ascii="仿宋" w:hAnsi="仿宋" w:eastAsia="仿宋" w:cs="仿宋"/>
          <w:b/>
          <w:bCs/>
          <w:color w:val="auto"/>
          <w:sz w:val="24"/>
          <w:highlight w:val="none"/>
          <w:u w:val="single"/>
          <w:lang w:val="en-US" w:eastAsia="zh-CN"/>
        </w:rPr>
        <w:t>磋商响应</w:t>
      </w:r>
      <w:r>
        <w:rPr>
          <w:rFonts w:hint="eastAsia" w:ascii="仿宋" w:hAnsi="仿宋" w:eastAsia="仿宋" w:cs="仿宋"/>
          <w:b/>
          <w:bCs/>
          <w:color w:val="auto"/>
          <w:sz w:val="24"/>
          <w:highlight w:val="none"/>
          <w:u w:val="single"/>
        </w:rPr>
        <w:t>文件的</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保证金，将在采购代理机构收到</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书面撤回通知之日起5个工作日内退还（无息）。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（2）所有未</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通知书发出后5个工作日内退还（无息）。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（3）</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保证金，将在签订合同后5个工作日内执合同予以退还（无息）。（</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人须携带合同原件、合同复印件（加盖单位鲜章）各一份，同时将合同扫描件发送至hzghxmglyxgs@163.com邮箱），但因</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人自身原因导致无法及时退还的除外。</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w:t>
      </w:r>
      <w:r>
        <w:rPr>
          <w:rFonts w:hint="eastAsia" w:ascii="仿宋" w:hAnsi="仿宋" w:eastAsia="仿宋" w:cs="仿宋"/>
          <w:b/>
          <w:bCs/>
          <w:color w:val="auto"/>
          <w:sz w:val="24"/>
          <w:highlight w:val="none"/>
          <w:u w:val="single"/>
          <w:lang w:val="en-US" w:eastAsia="zh-CN"/>
        </w:rPr>
        <w:t>4</w:t>
      </w:r>
      <w:r>
        <w:rPr>
          <w:rFonts w:hint="eastAsia" w:ascii="仿宋" w:hAnsi="仿宋" w:eastAsia="仿宋" w:cs="仿宋"/>
          <w:b/>
          <w:bCs/>
          <w:color w:val="auto"/>
          <w:sz w:val="24"/>
          <w:highlight w:val="none"/>
          <w:u w:val="single"/>
        </w:rPr>
        <w:t>）若招标终止，采购代理机构将在发布招标终止公告后5个工作日内退还</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保证金（无息）。</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5、如磋商发生下列情况之一时，磋商保证金将不予退还，提供担保函的供应商将由专业担保机构先行偿付采购人损失：</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u w:val="single"/>
        </w:rPr>
        <w:t>供应商提供虚假资质谋取成交的；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u w:val="single"/>
        </w:rPr>
        <w:t>供应商有围标、串标现象，经查证属实的；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5-3、</w:t>
      </w:r>
      <w:r>
        <w:rPr>
          <w:rFonts w:hint="eastAsia" w:ascii="仿宋" w:hAnsi="仿宋" w:eastAsia="仿宋" w:cs="仿宋"/>
          <w:color w:val="auto"/>
          <w:sz w:val="24"/>
          <w:highlight w:val="none"/>
          <w:u w:val="single"/>
        </w:rPr>
        <w:t>供应商在竞争性磋商文件规定的磋商响应有效期内撤回磋商响应文件的；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5-4、</w:t>
      </w:r>
      <w:r>
        <w:rPr>
          <w:rFonts w:hint="eastAsia" w:ascii="仿宋" w:hAnsi="仿宋" w:eastAsia="仿宋" w:cs="仿宋"/>
          <w:color w:val="auto"/>
          <w:sz w:val="24"/>
          <w:highlight w:val="none"/>
          <w:u w:val="single"/>
        </w:rPr>
        <w:t>供应商自行放弃磋商资格而未在磋商会议前一天以书面形式告知采购代理机构的；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5-5、</w:t>
      </w:r>
      <w:r>
        <w:rPr>
          <w:rFonts w:hint="eastAsia" w:ascii="仿宋" w:hAnsi="仿宋" w:eastAsia="仿宋" w:cs="仿宋"/>
          <w:color w:val="auto"/>
          <w:sz w:val="24"/>
          <w:highlight w:val="none"/>
          <w:u w:val="single"/>
        </w:rPr>
        <w:t>供应商自行放弃成交资格的；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5-6、</w:t>
      </w:r>
      <w:r>
        <w:rPr>
          <w:rFonts w:hint="eastAsia" w:ascii="仿宋" w:hAnsi="仿宋" w:eastAsia="仿宋" w:cs="仿宋"/>
          <w:color w:val="auto"/>
          <w:sz w:val="24"/>
          <w:highlight w:val="none"/>
          <w:u w:val="single"/>
        </w:rPr>
        <w:t>成交供应商不在规定的时效内领取《成交通知书》的；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5-7、</w:t>
      </w:r>
      <w:r>
        <w:rPr>
          <w:rFonts w:hint="eastAsia" w:ascii="仿宋" w:hAnsi="仿宋" w:eastAsia="仿宋" w:cs="仿宋"/>
          <w:color w:val="auto"/>
          <w:sz w:val="24"/>
          <w:highlight w:val="none"/>
          <w:u w:val="single"/>
        </w:rPr>
        <w:t>成交供应商不按规定支付招标服务费的；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auto"/>
          <w:sz w:val="24"/>
          <w:highlight w:val="none"/>
        </w:rPr>
        <w:t>5-8、</w:t>
      </w:r>
      <w:r>
        <w:rPr>
          <w:rFonts w:hint="eastAsia" w:ascii="仿宋" w:hAnsi="仿宋" w:eastAsia="仿宋" w:cs="仿宋"/>
          <w:color w:val="auto"/>
          <w:sz w:val="24"/>
          <w:highlight w:val="none"/>
          <w:u w:val="single"/>
        </w:rPr>
        <w:t>成交供应商因自身原因未能在规定期限内与采购人签订合同的；</w:t>
      </w:r>
      <w:bookmarkEnd w:id="17"/>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kern w:val="0"/>
          <w:sz w:val="28"/>
          <w:szCs w:val="28"/>
          <w:highlight w:val="none"/>
          <w14:textFill>
            <w14:solidFill>
              <w14:schemeClr w14:val="tx1"/>
            </w14:solidFill>
          </w14:textFill>
        </w:rPr>
        <w:t>、磋商响应</w:t>
      </w:r>
      <w:bookmarkEnd w:id="18"/>
      <w:bookmarkEnd w:id="19"/>
      <w:bookmarkEnd w:id="20"/>
      <w:bookmarkEnd w:id="2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竞争性磋商响应</w:t>
      </w:r>
      <w:r>
        <w:rPr>
          <w:rFonts w:hint="eastAsia" w:ascii="仿宋" w:hAnsi="仿宋" w:eastAsia="仿宋" w:cs="仿宋"/>
          <w:color w:val="000000" w:themeColor="text1"/>
          <w:sz w:val="24"/>
          <w:highlight w:val="none"/>
          <w14:textFill>
            <w14:solidFill>
              <w14:schemeClr w14:val="tx1"/>
            </w14:solidFill>
          </w14:textFill>
        </w:rPr>
        <w:t>文件、必备资质文件的递交：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1-1、供应商应按规定的时间、地点，于磋商截止时间前递交竞争性磋商响应文件、必备资质文件；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1-2、逾</w:t>
      </w:r>
      <w:r>
        <w:rPr>
          <w:rFonts w:hint="eastAsia" w:ascii="仿宋" w:hAnsi="仿宋" w:eastAsia="仿宋" w:cs="仿宋"/>
          <w:color w:val="000000" w:themeColor="text1"/>
          <w:sz w:val="24"/>
          <w:highlight w:val="none"/>
          <w14:textFill>
            <w14:solidFill>
              <w14:schemeClr w14:val="tx1"/>
            </w14:solidFill>
          </w14:textFill>
        </w:rPr>
        <w:t>期送达或者未按照竞争性磋商文件要求密封的竞争性磋商响应文件，将被拒收</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、供应商在规定的磋商截止时间后递交磋商响应文件、必备资质文件，将被拒收。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、本次磋商不接受邮寄的磋商响应文件、必备资质文件。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响应文件的补充、修改与撤回：</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2-2、供应商提出修改要求的，须在磋商响应截止时间前密封送到采购代理机构，并在封面上加注“修改”字样。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包含纸质及电子版）退还供应商，供应商签字确认领取。</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2-4、磋商截止时间之后，供应商不得补充、修改竞争性磋商响应文件；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2-5、在磋商截止时间至磋商响应有效期满之前，供应商不得撤回其竞争性磋商响应文件，否则其磋商保证金将不予退还。提供磋商担保的供应商将由专业担保机构先行偿付采购人损失。</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、竞争性磋商响应有效期：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3-1、自磋商之日起算90个日历日。竞争性磋商响应有效期短于竞争性磋商文件规定的磋商响应有效期，按无效竞争性磋商响应处理。成交单位的竞争性磋商有效期延长至合同执行完毕。</w:t>
      </w:r>
    </w:p>
    <w:p>
      <w:pPr>
        <w:pStyle w:val="39"/>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-2、在原有有效期结束前，采购代理机构可要求供应商延长竞争性磋商响应有效期。拒绝延长有效期的供应商有权收回磋商保证金，但不得参与该项目后续采购活动。同意延长有效期的供应商应相应延长磋商担保的有效期，但不得修改竞争性磋商响应文件的实质性内容。</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w:t>
      </w:r>
      <w:r>
        <w:rPr>
          <w:rFonts w:hint="eastAsia" w:ascii="仿宋" w:hAnsi="仿宋" w:eastAsia="仿宋" w:cs="仿宋"/>
          <w:color w:val="000000" w:themeColor="text1"/>
          <w:kern w:val="2"/>
          <w:sz w:val="24"/>
          <w:szCs w:val="24"/>
          <w:highlight w:val="none"/>
          <w14:textFill>
            <w14:solidFill>
              <w14:schemeClr w14:val="tx1"/>
            </w14:solidFill>
          </w14:textFill>
        </w:rPr>
        <w:t>有下列情形之一的，属于恶意串通，对其依照《中华人民共和国政府采购法》</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第七十七条第一款的规定追究法律责任，响应无效：</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4-1、供应商直接或者间接从采购人或采购代理机构处获得其他供应商的相关情况并修改其磋商响应文件；</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4-2、供应商按照采购人或采购代理机构的授意撤换、修改磋商响应文件；</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4-3、供应商之间协商报价、技术方案等磋商响应文件的实质性内容；</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4-4、属于同一集团、协会、商会等组织成员的供应商按照该组织要求协同参加政府采购活动；</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4-5、供应商之间事先约定由某一特定供应商成交；</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4-6、供应商之间商定部分供应商放弃参加政府采购活动或放弃成交；</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4-7、供应商相互之间，为谋求特定供应商成交或排斥其他供应商的其他串通行为。</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    5、有下列情形之一的，视为供应商串通磋商，其响应无效：</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5-1、不同供应商的磋商响应文件由同一单位或者个人编制；</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5-2、不同供应商委托同一单位或者个人办理磋商事宜；</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5-3、不同供应商的磋商响应文件载明的项目管理成员或者联系人为同一人；</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5-4、不同供应商的磋商响应文件异常一致或者磋商报价呈现规律性差异；</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5-5、不同供应商的磋商响应文件相互混装；</w:t>
      </w:r>
    </w:p>
    <w:p>
      <w:pPr>
        <w:pStyle w:val="39"/>
        <w:spacing w:line="560" w:lineRule="exact"/>
        <w:ind w:firstLine="48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kern w:val="2"/>
          <w:sz w:val="24"/>
          <w:szCs w:val="24"/>
          <w:highlight w:val="none"/>
        </w:rPr>
        <w:t>5-6、不同供应商的磋商保证金从同一单位或者个人的账户转出。</w:t>
      </w:r>
    </w:p>
    <w:p>
      <w:pPr>
        <w:pStyle w:val="39"/>
        <w:pageBreakBefore w:val="0"/>
        <w:kinsoku/>
        <w:wordWrap/>
        <w:topLinePunct w:val="0"/>
        <w:autoSpaceDE/>
        <w:autoSpaceDN/>
        <w:bidi w:val="0"/>
        <w:spacing w:line="640" w:lineRule="exact"/>
        <w:ind w:firstLine="0" w:firstLineChars="0"/>
        <w:textAlignment w:val="auto"/>
        <w:outlineLvl w:val="1"/>
        <w:rPr>
          <w:rFonts w:hint="eastAsia" w:ascii="仿宋" w:hAnsi="仿宋" w:eastAsia="仿宋" w:cs="仿宋"/>
          <w:b/>
          <w:bCs/>
          <w:color w:val="000000" w:themeColor="text1"/>
          <w:szCs w:val="28"/>
          <w:highlight w:val="none"/>
          <w14:textFill>
            <w14:solidFill>
              <w14:schemeClr w14:val="tx1"/>
            </w14:solidFill>
          </w14:textFill>
        </w:rPr>
      </w:pPr>
      <w:bookmarkStart w:id="22" w:name="_Toc458848823"/>
      <w:bookmarkStart w:id="23" w:name="_Toc458848738"/>
      <w:bookmarkStart w:id="24" w:name="_Toc10685"/>
      <w:bookmarkStart w:id="25" w:name="_Toc23636"/>
      <w:r>
        <w:rPr>
          <w:rFonts w:hint="eastAsia" w:ascii="仿宋" w:hAnsi="仿宋" w:eastAsia="仿宋" w:cs="仿宋"/>
          <w:b/>
          <w:bCs/>
          <w:color w:val="000000" w:themeColor="text1"/>
          <w:szCs w:val="28"/>
          <w:highlight w:val="none"/>
          <w:lang w:val="en-US" w:eastAsia="zh-CN"/>
          <w14:textFill>
            <w14:solidFill>
              <w14:schemeClr w14:val="tx1"/>
            </w14:solidFill>
          </w14:textFill>
        </w:rPr>
        <w:t>七</w:t>
      </w:r>
      <w:r>
        <w:rPr>
          <w:rFonts w:hint="eastAsia" w:ascii="仿宋" w:hAnsi="仿宋" w:eastAsia="仿宋" w:cs="仿宋"/>
          <w:b/>
          <w:bCs/>
          <w:color w:val="000000" w:themeColor="text1"/>
          <w:szCs w:val="28"/>
          <w:highlight w:val="none"/>
          <w14:textFill>
            <w14:solidFill>
              <w14:schemeClr w14:val="tx1"/>
            </w14:solidFill>
          </w14:textFill>
        </w:rPr>
        <w:t>、磋商、评审及定标</w:t>
      </w:r>
      <w:bookmarkEnd w:id="22"/>
      <w:bookmarkEnd w:id="23"/>
      <w:bookmarkEnd w:id="24"/>
      <w:bookmarkEnd w:id="25"/>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1-1、采购代理机构按竞争性磋商文件规定的时间、地点组织磋商。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1-2、所有参会人员应签名报到，以证明其出席。供应商未参加磋商的，视同认可磋商结果。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1-3、磋商会议由采购代理机构主持。主持人宣读磋商会议开始，并宣读会场纪律，宣布参加会议的供应商名单。</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、供应商的法定代表人或被授权人与监标人当众共同查验竞争性磋商响应文件的密封情况，签字确认并宣读检查结果</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、主持人宣布磋商会议结束，所有供应商离场。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、采购代理机构对磋商过程进行摄像、文字记录，并存档备查。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、供应商代表对磋商过程有疑义的，以及认为采购人、采购代理机构相关工作人员有需要回避的情形的，应当场提出询问或回避申请。</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2、评审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bookmarkStart w:id="26" w:name="OLE_LINK4"/>
      <w:bookmarkStart w:id="27" w:name="OLE_LINK14"/>
      <w:r>
        <w:rPr>
          <w:rFonts w:hint="eastAsia" w:ascii="仿宋" w:hAnsi="仿宋" w:eastAsia="仿宋" w:cs="仿宋"/>
          <w:color w:val="000000" w:themeColor="text1"/>
          <w:sz w:val="24"/>
          <w:highlight w:val="none"/>
          <w14:textFill>
            <w14:solidFill>
              <w14:schemeClr w14:val="tx1"/>
            </w14:solidFill>
          </w14:textFill>
        </w:rPr>
        <w:t>采购代理机构根据《中华人民共和国政府采购法》及其实施条例、《政府采购竞争性磋商采购方式管理暂行办法》的通知（财库【2014】214号）等规定，依法组建磋商小组。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（2）采购人可派代表进入磋商小组，并向采购代理机构出具授权函。</w:t>
      </w:r>
      <w:bookmarkEnd w:id="26"/>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（3）磋商小组应推荐一名评审专家担任评审组长，并由评审组长牵头组织该项目评审工作，采购人授权的评审专家，不得担任评审组长。</w:t>
      </w:r>
    </w:p>
    <w:bookmarkEnd w:id="27"/>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（4）磋商小组成员应当遵守并履行下列职责义务：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a、遵纪守法，客观、公正、认真负责地履行职责，根据磋商文件规定的评审程序、评审方法和评审标准审查磋商响应文件；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b、资格审查、符合性审查、评价磋商响应文件是否符合磋商文件的商务、技术等实质性要求；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c、要求供应商对磋商响应文件有关事项作出澄清或者说明；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d、对磋商响应文件进行比较和评价；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e、推荐成交候选单位名单，对磋商意见承担个人责任；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f、拟定磋商结果；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g、对磋商过程及各供应商的商业机密予以保密；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h、向财政部门报告在评审过程中发现的供应商的违法违规行为；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i、配合采购人、采购代理机构答复各供应商提出的质疑；</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j、配合各部门的投诉处理和监督检查工作。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2-2、在政府采购活动中，采购人员及相关人员（包括评审委员会）与供应商有下列利害关系之一的，应当回避：</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（1）参加采购活动前3年内与供应商存在劳动关系；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（2）参加采购活动前3年内担任供应商的董事、监事；</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（3）参加采购活动前3年内是供应商的控股股东或者实际控制人；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（4）与供应商的法定代表人或者负责人有夫妻、直系血亲、三代以内旁系血亲或者近姻亲关系；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（5）与供应商有其他可能影响政府采购活动公平、公正进行的关系。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、磋商原则：坚持公平、公正、科学、择优原则，禁止不正当竞争。</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、评审办法：本次磋商采用综合评分法（详见本节评分标准）。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、磋商工作程序</w:t>
      </w:r>
      <w:r>
        <w:rPr>
          <w:rFonts w:hint="eastAsia" w:ascii="仿宋" w:hAnsi="仿宋" w:eastAsia="仿宋" w:cs="仿宋"/>
          <w:color w:val="000000" w:themeColor="text1"/>
          <w:sz w:val="24"/>
          <w:highlight w:val="none"/>
          <w14:textFill>
            <w14:solidFill>
              <w14:schemeClr w14:val="tx1"/>
            </w14:solidFill>
          </w14:textFill>
        </w:rPr>
        <w:t>:资格性审查、符合性审查、澄清、评价、推荐成交候选人的工作程序进行评审。</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-1、资格性审查</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磋商会议结束后，</w:t>
      </w:r>
      <w:r>
        <w:rPr>
          <w:rFonts w:hint="eastAsia" w:ascii="仿宋" w:hAnsi="仿宋" w:eastAsia="仿宋" w:cs="仿宋"/>
          <w:b/>
          <w:color w:val="000000" w:themeColor="text1"/>
          <w:sz w:val="24"/>
          <w:highlight w:val="none"/>
          <w:lang w:eastAsia="zh-CN"/>
          <w14:textFill>
            <w14:solidFill>
              <w14:schemeClr w14:val="tx1"/>
            </w14:solidFill>
          </w14:textFill>
        </w:rPr>
        <w:t>由采购人</w:t>
      </w:r>
      <w:r>
        <w:rPr>
          <w:rFonts w:hint="eastAsia" w:ascii="仿宋" w:hAnsi="仿宋" w:eastAsia="仿宋" w:cs="仿宋"/>
          <w:b/>
          <w:color w:val="000000" w:themeColor="text1"/>
          <w:sz w:val="24"/>
          <w:highlight w:val="none"/>
          <w14:textFill>
            <w14:solidFill>
              <w14:schemeClr w14:val="tx1"/>
            </w14:solidFill>
          </w14:textFill>
        </w:rPr>
        <w:t>依法对供应商的资格进行审查，缺项或一项不符合要求即</w:t>
      </w:r>
      <w:r>
        <w:rPr>
          <w:rFonts w:hint="eastAsia" w:ascii="仿宋" w:hAnsi="仿宋" w:eastAsia="仿宋" w:cs="仿宋"/>
          <w:b/>
          <w:color w:val="000000" w:themeColor="text1"/>
          <w:sz w:val="24"/>
          <w:highlight w:val="none"/>
          <w:lang w:eastAsia="zh-CN"/>
          <w14:textFill>
            <w14:solidFill>
              <w14:schemeClr w14:val="tx1"/>
            </w14:solidFill>
          </w14:textFill>
        </w:rPr>
        <w:t>不合格，不合格的供应商其响应无效。资格证明文件须装订在每份</w:t>
      </w:r>
      <w:r>
        <w:rPr>
          <w:rFonts w:hint="eastAsia" w:ascii="仿宋" w:hAnsi="仿宋" w:eastAsia="仿宋" w:cs="仿宋"/>
          <w:b/>
          <w:color w:val="000000" w:themeColor="text1"/>
          <w:sz w:val="24"/>
          <w:highlight w:val="none"/>
          <w:lang w:val="en-US" w:eastAsia="zh-CN"/>
          <w14:textFill>
            <w14:solidFill>
              <w14:schemeClr w14:val="tx1"/>
            </w14:solidFill>
          </w14:textFill>
        </w:rPr>
        <w:t>响应</w:t>
      </w:r>
      <w:bookmarkStart w:id="95" w:name="_GoBack"/>
      <w:bookmarkEnd w:id="95"/>
      <w:r>
        <w:rPr>
          <w:rFonts w:hint="eastAsia" w:ascii="仿宋" w:hAnsi="仿宋" w:eastAsia="仿宋" w:cs="仿宋"/>
          <w:b/>
          <w:color w:val="000000" w:themeColor="text1"/>
          <w:sz w:val="24"/>
          <w:highlight w:val="none"/>
          <w:lang w:eastAsia="zh-CN"/>
          <w14:textFill>
            <w14:solidFill>
              <w14:schemeClr w14:val="tx1"/>
            </w14:solidFill>
          </w14:textFill>
        </w:rPr>
        <w:t>文件中。资格审查以</w:t>
      </w:r>
      <w:r>
        <w:rPr>
          <w:rFonts w:hint="eastAsia" w:ascii="仿宋" w:hAnsi="仿宋" w:eastAsia="仿宋" w:cs="仿宋"/>
          <w:b/>
          <w:color w:val="000000" w:themeColor="text1"/>
          <w:sz w:val="24"/>
          <w:highlight w:val="none"/>
          <w:lang w:val="en-US" w:eastAsia="zh-CN"/>
          <w14:textFill>
            <w14:solidFill>
              <w14:schemeClr w14:val="tx1"/>
            </w14:solidFill>
          </w14:textFill>
        </w:rPr>
        <w:t>响应</w:t>
      </w:r>
      <w:r>
        <w:rPr>
          <w:rFonts w:hint="eastAsia" w:ascii="仿宋" w:hAnsi="仿宋" w:eastAsia="仿宋" w:cs="仿宋"/>
          <w:b/>
          <w:color w:val="000000" w:themeColor="text1"/>
          <w:sz w:val="24"/>
          <w:highlight w:val="none"/>
          <w:lang w:eastAsia="zh-CN"/>
          <w14:textFill>
            <w14:solidFill>
              <w14:schemeClr w14:val="tx1"/>
            </w14:solidFill>
          </w14:textFill>
        </w:rPr>
        <w:t>文件“正本”为准</w:t>
      </w:r>
      <w:r>
        <w:rPr>
          <w:rFonts w:hint="eastAsia" w:ascii="仿宋" w:hAnsi="仿宋" w:eastAsia="仿宋" w:cs="仿宋"/>
          <w:b/>
          <w:color w:val="000000" w:themeColor="text1"/>
          <w:sz w:val="24"/>
          <w:highlight w:val="none"/>
          <w14:textFill>
            <w14:solidFill>
              <w14:schemeClr w14:val="tx1"/>
            </w14:solidFill>
          </w14:textFill>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-2、磋商响应文件符合性审查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依据磋商文件的规定，对资格合格者磋商响应文件的有效性、完整性和对磋商文件的响应程度进行审查，以确定是否对磋商文件的实质性内容做出响应，包含但不限于以下内容，未通过审查的按无效响应处理：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（1）供应商名称与登记领取磋商文件的单位名称不一致；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）磋商响应文件未按照磋商文件的要求盖章签字；</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）磋商响应文件不符合磋商文件要求的数量；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）针对同一项目提交两份或多份内容不同的磋商响应文件，未书面声明哪一份是有效的或出现选择性报价的；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）磋商报价（每轮）超过采购预算； </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）磋商有效期不符合磋商文件的要求；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）对磋商文件商务要求未作出明确且实质性响应；</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-3、竞争性磋商响应文件的澄清：</w:t>
      </w:r>
    </w:p>
    <w:p>
      <w:pPr>
        <w:pageBreakBefore w:val="0"/>
        <w:kinsoku/>
        <w:wordWrap/>
        <w:overflowPunct w:val="0"/>
        <w:topLinePunct w:val="0"/>
        <w:autoSpaceDE/>
        <w:autoSpaceDN/>
        <w:bidi w:val="0"/>
        <w:adjustRightInd w:val="0"/>
        <w:snapToGrid w:val="0"/>
        <w:spacing w:line="640" w:lineRule="exact"/>
        <w:ind w:firstLine="360" w:firstLineChars="15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（2）书写错误的评审标准：</w:t>
      </w:r>
    </w:p>
    <w:p>
      <w:pPr>
        <w:pageBreakBefore w:val="0"/>
        <w:kinsoku/>
        <w:wordWrap/>
        <w:overflowPunct w:val="0"/>
        <w:topLinePunct w:val="0"/>
        <w:autoSpaceDE/>
        <w:autoSpaceDN/>
        <w:bidi w:val="0"/>
        <w:adjustRightInd w:val="0"/>
        <w:snapToGrid w:val="0"/>
        <w:spacing w:line="640" w:lineRule="exact"/>
        <w:ind w:firstLine="720" w:firstLineChars="3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磋商小组在评审过程中，发现竞争性磋商响应文件出现下列情况之一者，按以下原则修正：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a、磋商响应文件有关内容与“磋商报价一览表”不一致的，以“磋商报价一览表”为准；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b、大写金额与小写金额不一致的，以大写金额为准；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c、单价金额小数点或者百分比有明显错位的，以“磋商报价一览表”的总价为准，并修改单价；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d、总价金额与按单价汇总金额不一致的，以单价乘以数量的计算结果为准；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e、磋商响应文件图表与文字不符时，以文字为准；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f、磋商响应文件正本与副本不符时，以正本为准；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g、对不同文字文本磋商响应文件的解释发生异议的，以中文文本为准；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h、多处内容交叉不符时，以磋商小组评审结果为准。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注：按上述方法修正的内容（其中，同时出现上述a至d两种以上不一致的，按上述规定的顺序修正），经供应商确认后产生约束力，供应商不确认的，其磋商响应无效。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-4、评议：</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（1）磋商小组评审竞争性磋商响应文件响应性及符合性只根据竞争性磋商响应文件本身的内容，而不寻求其他外部证据。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（2）磋商小组所有成员应当集中与单一供应商分别进行磋商，并给予所有参加磋商的供应商平等的磋商机会。</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（3）在磋商过程中，磋商小组可以根据磋商文件和磋商情况实质性变动采购需求中的技术、服务要求以及合同草案条款，但不得变动磋商文件中的其他内容。实质性变动的内容，须经采购人代表确认。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（4）磋商结束后，磋商小组应当要求所有实质性响应的供应商在规定时间内提交最后报价。</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审采取逐项分步评审方式，每一步评审不符合者，不进入下一步评审。经磋商确定最终采购需求和提交最后报价后，由磋商小组采用综合评分法对提交最后报价的供应商的响应文件和最后报价进行综合评分。</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（6）其他需说明的情况：</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a、对于竞争性磋商响应文件中不构成实质性偏差的小的不正规、不一致或不规则，采购人可以接受，但这种接受不能损害或影响任何供应商的相对排序；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b、最低报价不是成交的唯一条件；</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c、如果磋商响应实质上没有响应竞争性磋商文件的要求，其磋商响应将被拒绝，供应商不得通过修正或撤消不合要求的偏离或保留从而使其磋商响应成为实质上响应的磋商响应。</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d、无论磋商的结果如何，磋商期间一切费用自理。</w:t>
      </w:r>
    </w:p>
    <w:p>
      <w:pPr>
        <w:spacing w:line="480" w:lineRule="exact"/>
        <w:ind w:firstLine="600" w:firstLineChars="24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 xml:space="preserve">、评分标准 </w:t>
      </w:r>
    </w:p>
    <w:tbl>
      <w:tblPr>
        <w:tblStyle w:val="2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843"/>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磋商报价得分=（磋商基准价/最终磋商报价）×价格权值×100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（因落实政府采购政策进行价格调整的，以调整后的价格计算评标基准价和磋商报价，详见2-7-1至2-7-3）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w:t>
            </w:r>
          </w:p>
          <w:p>
            <w:pPr>
              <w:shd w:val="clear" w:color="auto" w:fill="auto"/>
              <w:spacing w:line="5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响应</w:t>
            </w:r>
          </w:p>
        </w:tc>
        <w:tc>
          <w:tcPr>
            <w:tcW w:w="843" w:type="dxa"/>
            <w:noWrap w:val="0"/>
            <w:vAlign w:val="center"/>
          </w:tcPr>
          <w:p>
            <w:pPr>
              <w:shd w:val="clear" w:color="auto" w:fill="auto"/>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55</w:t>
            </w:r>
            <w:r>
              <w:rPr>
                <w:rFonts w:hint="eastAsia" w:ascii="仿宋" w:hAnsi="仿宋" w:eastAsia="仿宋" w:cs="仿宋"/>
                <w:color w:val="auto"/>
                <w:kern w:val="0"/>
                <w:sz w:val="24"/>
                <w:szCs w:val="24"/>
                <w:highlight w:val="none"/>
              </w:rPr>
              <w:t>分</w:t>
            </w:r>
          </w:p>
        </w:tc>
        <w:tc>
          <w:tcPr>
            <w:tcW w:w="7554" w:type="dxa"/>
            <w:noWrap w:val="0"/>
            <w:vAlign w:val="top"/>
          </w:tcPr>
          <w:p>
            <w:pPr>
              <w:widowControl/>
              <w:numPr>
                <w:ilvl w:val="0"/>
                <w:numId w:val="2"/>
              </w:numPr>
              <w:shd w:val="clear" w:color="auto" w:fill="auto"/>
              <w:spacing w:line="5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所投产品的技术参数和性能要求完全满足</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分；标注“★”的参数为重要技术参数，如有一项负偏离，扣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，其余参数每负偏离一项扣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分，扣完为止；</w:t>
            </w:r>
          </w:p>
          <w:p>
            <w:pPr>
              <w:widowControl/>
              <w:numPr>
                <w:ilvl w:val="0"/>
                <w:numId w:val="0"/>
              </w:numPr>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2、产品有详细的使用说明介绍，技术指标满足</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rPr>
              <w:t>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 w:val="24"/>
                <w:szCs w:val="24"/>
                <w:highlight w:val="none"/>
                <w:lang w:val="en-US" w:eastAsia="zh-CN"/>
              </w:rPr>
              <w:t>每提供一项证明材料得1分，最多得4分</w:t>
            </w:r>
            <w:r>
              <w:rPr>
                <w:rFonts w:hint="eastAsia" w:ascii="仿宋" w:hAnsi="仿宋" w:eastAsia="仿宋" w:cs="仿宋"/>
                <w:color w:val="auto"/>
                <w:sz w:val="24"/>
                <w:szCs w:val="24"/>
                <w:highlight w:val="none"/>
              </w:rPr>
              <w:t>；</w:t>
            </w:r>
          </w:p>
          <w:p>
            <w:pPr>
              <w:widowControl/>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针对</w:t>
            </w:r>
            <w:r>
              <w:rPr>
                <w:rFonts w:hint="eastAsia" w:ascii="仿宋" w:hAnsi="仿宋" w:eastAsia="仿宋" w:cs="仿宋"/>
                <w:color w:val="auto"/>
                <w:sz w:val="24"/>
                <w:szCs w:val="24"/>
                <w:highlight w:val="none"/>
              </w:rPr>
              <w:t>技术方案总体设计、DRG数据处理、应用、接口方案等</w:t>
            </w:r>
            <w:r>
              <w:rPr>
                <w:rFonts w:hint="eastAsia" w:ascii="仿宋" w:hAnsi="仿宋" w:eastAsia="仿宋" w:cs="仿宋"/>
                <w:color w:val="auto"/>
                <w:sz w:val="24"/>
                <w:szCs w:val="24"/>
                <w:highlight w:val="none"/>
                <w:lang w:val="en-US" w:eastAsia="zh-CN"/>
              </w:rPr>
              <w:t>进行详细阐述</w:t>
            </w:r>
            <w:r>
              <w:rPr>
                <w:rFonts w:hint="eastAsia" w:ascii="仿宋" w:hAnsi="仿宋" w:eastAsia="仿宋" w:cs="仿宋"/>
                <w:color w:val="auto"/>
                <w:sz w:val="24"/>
                <w:szCs w:val="24"/>
                <w:highlight w:val="none"/>
              </w:rPr>
              <w:t>，详细阐述系统的体系架构、实现思路和非功能性设计、安全设计。</w:t>
            </w:r>
            <w:r>
              <w:rPr>
                <w:rFonts w:hint="eastAsia" w:ascii="仿宋" w:hAnsi="仿宋" w:eastAsia="仿宋" w:cs="仿宋"/>
                <w:color w:val="auto"/>
                <w:sz w:val="24"/>
                <w:szCs w:val="24"/>
                <w:highlight w:val="none"/>
                <w:lang w:val="en-US" w:eastAsia="zh-CN"/>
              </w:rPr>
              <w:t>全面计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较为全面计（2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一般计[1-2]分，未提供不得分；</w:t>
            </w:r>
          </w:p>
          <w:p>
            <w:pPr>
              <w:widowControl/>
              <w:shd w:val="clear" w:color="auto" w:fill="auto"/>
              <w:spacing w:line="5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方案对项目建设思路、功能模块，原则、特点的理解情况，方案在确保阶段性任务实现的同时，是否统筹考虑了总体目标的实现；功能点是否合理，是否充分考虑采购人实际使用需求，是否符合本项目对当前和未来发展的要求。</w:t>
            </w:r>
            <w:r>
              <w:rPr>
                <w:rFonts w:hint="eastAsia" w:ascii="仿宋" w:hAnsi="仿宋" w:eastAsia="仿宋" w:cs="仿宋"/>
                <w:color w:val="auto"/>
                <w:sz w:val="24"/>
                <w:szCs w:val="24"/>
                <w:highlight w:val="none"/>
                <w:lang w:val="en-US" w:eastAsia="zh-CN"/>
              </w:rPr>
              <w:t>全面计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较为全面计（2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一般计[1-2]分，未提供不得分</w:t>
            </w:r>
            <w:r>
              <w:rPr>
                <w:rFonts w:hint="eastAsia" w:ascii="仿宋" w:hAnsi="仿宋" w:eastAsia="仿宋" w:cs="仿宋"/>
                <w:color w:val="auto"/>
                <w:sz w:val="24"/>
                <w:szCs w:val="24"/>
                <w:highlight w:val="none"/>
                <w:lang w:eastAsia="zh-CN"/>
              </w:rPr>
              <w:t>；</w:t>
            </w:r>
          </w:p>
          <w:p>
            <w:pPr>
              <w:widowControl/>
              <w:shd w:val="clear" w:color="auto" w:fill="auto"/>
              <w:spacing w:line="5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根据竞争性磋商文件中的参数要求，是否有完整的实施方案，涵盖系统需求分析、测试、配合医保局管理端调试、验收、进度安排等，其项目管理制度及管理方案是否具有科学性、合理性和可执行性。全面计（4-8]分，较为全面计（2-4]分，一般计[1-2]分，未提供不得分；</w:t>
            </w:r>
          </w:p>
          <w:p>
            <w:pPr>
              <w:widowControl/>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项目组织实施计划完整可行，资金等保障措施可靠，能够保证按期供货，具有明确的项目组织机构</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，评标委员会从以下方面进行比较后赋分。（</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p>
            <w:pPr>
              <w:widowControl/>
              <w:shd w:val="clear" w:color="auto" w:fill="auto"/>
              <w:spacing w:line="5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（1）、备货、供货进度及保证措施</w:t>
            </w:r>
            <w:r>
              <w:rPr>
                <w:rFonts w:hint="eastAsia" w:ascii="仿宋" w:hAnsi="仿宋" w:eastAsia="仿宋" w:cs="仿宋"/>
                <w:color w:val="auto"/>
                <w:sz w:val="24"/>
                <w:szCs w:val="24"/>
                <w:highlight w:val="none"/>
                <w:lang w:val="en-US" w:eastAsia="zh-CN"/>
              </w:rPr>
              <w:t>详细完整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eastAsia="zh-CN"/>
              </w:rPr>
              <w:t>；</w:t>
            </w:r>
          </w:p>
          <w:p>
            <w:pPr>
              <w:widowControl/>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（2）、拟投入本项目的</w:t>
            </w:r>
            <w:r>
              <w:rPr>
                <w:rFonts w:hint="eastAsia" w:ascii="仿宋" w:hAnsi="仿宋" w:eastAsia="仿宋" w:cs="仿宋"/>
                <w:color w:val="auto"/>
                <w:sz w:val="24"/>
                <w:szCs w:val="24"/>
                <w:highlight w:val="none"/>
                <w:lang w:eastAsia="zh-CN"/>
              </w:rPr>
              <w:t>技术、管理</w:t>
            </w:r>
            <w:r>
              <w:rPr>
                <w:rFonts w:hint="eastAsia" w:ascii="仿宋" w:hAnsi="仿宋" w:eastAsia="仿宋" w:cs="仿宋"/>
                <w:color w:val="auto"/>
                <w:sz w:val="24"/>
                <w:szCs w:val="24"/>
                <w:highlight w:val="none"/>
              </w:rPr>
              <w:t>人员安排及责任制度</w:t>
            </w:r>
            <w:r>
              <w:rPr>
                <w:rFonts w:hint="eastAsia" w:ascii="仿宋" w:hAnsi="仿宋" w:eastAsia="仿宋" w:cs="仿宋"/>
                <w:color w:val="auto"/>
                <w:sz w:val="24"/>
                <w:szCs w:val="24"/>
                <w:highlight w:val="none"/>
                <w:lang w:eastAsia="zh-CN"/>
              </w:rPr>
              <w:t>合理全面，</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eastAsia="zh-CN"/>
              </w:rPr>
              <w:t>；</w:t>
            </w:r>
          </w:p>
          <w:p>
            <w:pPr>
              <w:widowControl/>
              <w:shd w:val="clear" w:color="auto" w:fill="auto"/>
              <w:spacing w:line="5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（3）、安装、检测、调试措施</w:t>
            </w:r>
            <w:r>
              <w:rPr>
                <w:rFonts w:hint="eastAsia" w:ascii="仿宋" w:hAnsi="仿宋" w:eastAsia="仿宋" w:cs="仿宋"/>
                <w:color w:val="auto"/>
                <w:sz w:val="24"/>
                <w:szCs w:val="24"/>
                <w:highlight w:val="none"/>
                <w:lang w:val="en-US" w:eastAsia="zh-CN"/>
              </w:rPr>
              <w:t>完整详细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w:t>
            </w:r>
          </w:p>
          <w:p>
            <w:pPr>
              <w:shd w:val="clear" w:color="auto" w:fill="auto"/>
              <w:spacing w:line="560" w:lineRule="exact"/>
              <w:ind w:right="-95" w:right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保证</w:t>
            </w:r>
          </w:p>
        </w:tc>
        <w:tc>
          <w:tcPr>
            <w:tcW w:w="843" w:type="dxa"/>
            <w:noWrap w:val="0"/>
            <w:vAlign w:val="center"/>
          </w:tcPr>
          <w:p>
            <w:pPr>
              <w:shd w:val="clear" w:color="auto" w:fill="auto"/>
              <w:spacing w:line="560" w:lineRule="exact"/>
              <w:ind w:right="-95" w:rightChars="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tc>
        <w:tc>
          <w:tcPr>
            <w:tcW w:w="7554" w:type="dxa"/>
            <w:noWrap w:val="0"/>
            <w:vAlign w:val="center"/>
          </w:tcPr>
          <w:p>
            <w:pPr>
              <w:pStyle w:val="56"/>
              <w:shd w:val="clear" w:color="auto" w:fill="auto"/>
              <w:spacing w:line="560" w:lineRule="exact"/>
              <w:ind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所投产品制造厂家有可靠、完善的管理制度；有足够的设计、工艺、加工、检验能力；所投产品符合国际、国内相关标准，有具体可行的质量保证承诺，保证使用单位能熟练操作维护和正常使用，需提供相应的证明文件</w:t>
            </w:r>
            <w:r>
              <w:rPr>
                <w:rFonts w:hint="eastAsia" w:ascii="仿宋" w:hAnsi="仿宋" w:eastAsia="仿宋" w:cs="仿宋"/>
                <w:color w:val="auto"/>
                <w:sz w:val="24"/>
                <w:szCs w:val="24"/>
                <w:highlight w:val="none"/>
                <w:lang w:val="en-US" w:eastAsia="zh-CN"/>
              </w:rPr>
              <w:t>.全面（2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一般[1-2]分，未提供不得分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以合同</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形式提供</w:t>
            </w:r>
            <w:r>
              <w:rPr>
                <w:rFonts w:hint="eastAsia" w:ascii="仿宋" w:hAnsi="仿宋" w:eastAsia="仿宋" w:cs="仿宋"/>
                <w:color w:val="auto"/>
                <w:sz w:val="24"/>
                <w:szCs w:val="24"/>
                <w:highlight w:val="none"/>
                <w:lang w:val="en-US" w:eastAsia="zh-CN"/>
              </w:rPr>
              <w:t>2019年1月1日至今同类</w:t>
            </w:r>
            <w:r>
              <w:rPr>
                <w:rFonts w:hint="eastAsia" w:ascii="仿宋" w:hAnsi="仿宋" w:eastAsia="仿宋" w:cs="仿宋"/>
                <w:color w:val="auto"/>
                <w:sz w:val="24"/>
                <w:szCs w:val="24"/>
                <w:highlight w:val="none"/>
              </w:rPr>
              <w:t>项目业绩，每份计</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分，计满</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分为止</w:t>
            </w:r>
            <w:r>
              <w:rPr>
                <w:rFonts w:hint="eastAsia" w:ascii="仿宋" w:hAnsi="仿宋" w:eastAsia="仿宋" w:cs="仿宋"/>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需提供采购合同（含首页、服务内容、签字盖章页）复印件，否则业绩不予认可。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shd w:val="clear" w:color="auto" w:fill="auto"/>
              <w:spacing w:line="5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售后服务</w:t>
            </w:r>
            <w:r>
              <w:rPr>
                <w:rFonts w:hint="eastAsia" w:ascii="仿宋" w:hAnsi="仿宋" w:eastAsia="仿宋" w:cs="仿宋"/>
                <w:color w:val="auto"/>
                <w:kern w:val="0"/>
                <w:sz w:val="24"/>
                <w:szCs w:val="24"/>
                <w:highlight w:val="none"/>
                <w:lang w:val="en-US" w:eastAsia="zh-CN"/>
              </w:rPr>
              <w:t>及培训计划</w:t>
            </w:r>
          </w:p>
        </w:tc>
        <w:tc>
          <w:tcPr>
            <w:tcW w:w="843" w:type="dxa"/>
            <w:noWrap w:val="0"/>
            <w:vAlign w:val="center"/>
          </w:tcPr>
          <w:p>
            <w:pPr>
              <w:shd w:val="clear" w:color="auto" w:fill="auto"/>
              <w:spacing w:line="5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rPr>
              <w:t>分</w:t>
            </w:r>
          </w:p>
        </w:tc>
        <w:tc>
          <w:tcPr>
            <w:tcW w:w="7554" w:type="dxa"/>
            <w:noWrap w:val="0"/>
            <w:vAlign w:val="center"/>
          </w:tcPr>
          <w:p>
            <w:pPr>
              <w:shd w:val="clear" w:color="auto" w:fill="auto"/>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培训计划：包括培训内容、时间、地点、人次，系统计算机管理人员培训，重点培训为软件的安装、维护、调试、配置及使用技能；业务人员培训，重点对相应应用的操作、使用。</w:t>
            </w:r>
            <w:r>
              <w:rPr>
                <w:rFonts w:hint="eastAsia" w:ascii="仿宋" w:hAnsi="仿宋" w:eastAsia="仿宋" w:cs="仿宋"/>
                <w:color w:val="auto"/>
                <w:sz w:val="24"/>
                <w:szCs w:val="24"/>
                <w:highlight w:val="none"/>
                <w:lang w:val="en-US" w:eastAsia="zh-CN"/>
              </w:rPr>
              <w:t>全面（2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一般[1-2]分，未提供不得分</w:t>
            </w:r>
            <w:r>
              <w:rPr>
                <w:rFonts w:hint="eastAsia" w:ascii="仿宋" w:hAnsi="仿宋" w:eastAsia="仿宋" w:cs="仿宋"/>
                <w:color w:val="auto"/>
                <w:sz w:val="24"/>
                <w:szCs w:val="24"/>
                <w:highlight w:val="none"/>
                <w:lang w:eastAsia="zh-CN"/>
              </w:rPr>
              <w:t>；</w:t>
            </w:r>
          </w:p>
          <w:p>
            <w:pPr>
              <w:shd w:val="clear" w:color="auto" w:fill="auto"/>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2、项目保障：包括应急预案，项目配备现场技术人员数量及技术实力（包括本公司工作年限、职务）。全面（2-4]分，一般[1-2]分，未提供不得分；</w:t>
            </w:r>
          </w:p>
          <w:p>
            <w:pPr>
              <w:shd w:val="clear" w:color="auto" w:fill="auto"/>
              <w:spacing w:line="560" w:lineRule="exact"/>
              <w:rPr>
                <w:rFonts w:hint="eastAsia"/>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提供的售后服务方案、售后服务承诺、保障措施、</w:t>
            </w:r>
            <w:r>
              <w:rPr>
                <w:rFonts w:hint="eastAsia" w:ascii="仿宋" w:hAnsi="仿宋" w:eastAsia="仿宋" w:cs="仿宋"/>
                <w:color w:val="auto"/>
                <w:sz w:val="24"/>
                <w:szCs w:val="24"/>
                <w:highlight w:val="none"/>
                <w:lang w:eastAsia="zh-CN"/>
              </w:rPr>
              <w:t>驻场人员情况、</w:t>
            </w:r>
            <w:r>
              <w:rPr>
                <w:rFonts w:hint="eastAsia" w:ascii="仿宋" w:hAnsi="仿宋" w:eastAsia="仿宋" w:cs="仿宋"/>
                <w:color w:val="auto"/>
                <w:sz w:val="24"/>
                <w:szCs w:val="24"/>
                <w:highlight w:val="none"/>
              </w:rPr>
              <w:t>故障排除速度及维护期内外的后续技术支持和维护能力</w:t>
            </w:r>
            <w:r>
              <w:rPr>
                <w:rFonts w:hint="eastAsia" w:ascii="仿宋" w:hAnsi="仿宋" w:eastAsia="仿宋" w:cs="仿宋"/>
                <w:color w:val="auto"/>
                <w:sz w:val="24"/>
                <w:szCs w:val="24"/>
                <w:highlight w:val="none"/>
                <w:lang w:val="en-US" w:eastAsia="zh-CN"/>
              </w:rPr>
              <w:t>等。全面（2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演示</w:t>
            </w:r>
          </w:p>
        </w:tc>
        <w:tc>
          <w:tcPr>
            <w:tcW w:w="843"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10分</w:t>
            </w:r>
          </w:p>
        </w:tc>
        <w:tc>
          <w:tcPr>
            <w:tcW w:w="7554" w:type="dxa"/>
            <w:noWrap w:val="0"/>
            <w:vAlign w:val="center"/>
          </w:tcPr>
          <w:p>
            <w:pPr>
              <w:shd w:val="clear" w:color="auto" w:fill="auto"/>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对医保付费信息全院分析中，可查看全院总体点数、预测结算金额、原项目支付总额、预测盈亏金额、预测盈亏比、支付人数结构、费用占比、病例付费类型等，并对医院整体盈亏趋势，以及单个病例的结算情况可展示分析。0-2分</w:t>
            </w:r>
          </w:p>
          <w:p>
            <w:pPr>
              <w:shd w:val="clear" w:color="auto" w:fill="auto"/>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盈亏分析中，①可以科室、医生、病组、病例为分析维度，对医保付费信息进行统计分析，并按费用和效率指标赋予标签。各维度可下钻至对应分析维度查看各病组费用结构情况，详情结构、病例均费用最高的项目排名、病例详情等数据；②对全院、科室、诊疗组、病组等多纬度可进行支付盈亏分析，包含按人群类型的盈亏金额、盈亏比、盈亏趋势分析，以及病例类型占比情况、各类型病组的结算差异情况等。0-2分</w:t>
            </w:r>
          </w:p>
          <w:p>
            <w:pPr>
              <w:shd w:val="clear" w:color="auto" w:fill="auto"/>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详细的病例列表数据中，可以查看病例详情；①支持查看该患者的历史信息查看；②可以多种结算类型的切换查看（特别的，包括床日结算和中医结算）；③模拟主诊主手，支持上下自由移动主诊/次诊、主手/次手。0-2分</w:t>
            </w:r>
          </w:p>
          <w:p>
            <w:pPr>
              <w:shd w:val="clear" w:color="auto" w:fill="auto"/>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医生对比分析：展示医生病例数、结余、费用极高极低病例占比等DRG相关指标数据对比，支持下钻，支持快捷筛选，包括超支医生、结余医生、环比结余减少、费用极高极低病例占比高于全院平均等；支持年/季/月时间区间、病例范围筛选；支持模糊搜索，列表表头支持自定义，包含表头字段是否显示设置和排序设置，支持数据下载。0-2分</w:t>
            </w:r>
          </w:p>
          <w:p>
            <w:pPr>
              <w:shd w:val="clear" w:color="auto" w:fill="auto"/>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医疗组对比分析：展示医疗组病例数、结余、CMI、各病例类型占比等DRG相关指标数据对比，支持下钻，支持快捷筛选，包括超支医疗组、结余医疗组、环比结余减少等；支持年/季/月时间区间、病例范围筛选；支持模糊搜索，列表表头支持自定义，包含表头字段是否显示和排序的设置，支持数据下载。0-2分</w:t>
            </w:r>
          </w:p>
          <w:p>
            <w:pPr>
              <w:shd w:val="clear" w:color="auto" w:fill="auto"/>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注：不接受ppt演示,不演示的，需要写出放弃说明，评委依据演示内容情况赋分。演示时间不超过10分钟。</w:t>
            </w:r>
          </w:p>
        </w:tc>
      </w:tr>
    </w:tbl>
    <w:p>
      <w:pPr>
        <w:widowControl/>
        <w:autoSpaceDE w:val="0"/>
        <w:autoSpaceDN w:val="0"/>
        <w:spacing w:line="56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注：1）评委打分超过得分界限或未按本方法赋分时，该评委的打分按废票处理。</w:t>
      </w:r>
    </w:p>
    <w:p>
      <w:pPr>
        <w:widowControl/>
        <w:autoSpaceDE w:val="0"/>
        <w:autoSpaceDN w:val="0"/>
        <w:spacing w:line="560" w:lineRule="exact"/>
        <w:ind w:firstLine="480" w:firstLineChars="200"/>
        <w:textAlignment w:val="bottom"/>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2）各种计算数字均保 留两位小数，第三位“四舍五入”。</w:t>
      </w:r>
    </w:p>
    <w:p>
      <w:pPr>
        <w:spacing w:line="560" w:lineRule="exact"/>
        <w:ind w:firstLine="48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3）特殊情况处理：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a、若出现综合得分相同的，最后磋商报价得分高者为第一成交候选供应商，若综合评分和最后磋商报价的得分均相同的，</w:t>
      </w:r>
      <w:r>
        <w:rPr>
          <w:rFonts w:hint="eastAsia" w:ascii="仿宋" w:hAnsi="仿宋" w:eastAsia="仿宋" w:cs="仿宋"/>
          <w:color w:val="000000" w:themeColor="text1"/>
          <w:sz w:val="24"/>
          <w:highlight w:val="none"/>
          <w:lang w:val="en-US" w:eastAsia="zh-CN"/>
          <w14:textFill>
            <w14:solidFill>
              <w14:schemeClr w14:val="tx1"/>
            </w14:solidFill>
          </w14:textFill>
        </w:rPr>
        <w:t>技术部分</w:t>
      </w:r>
      <w:r>
        <w:rPr>
          <w:rFonts w:hint="eastAsia" w:ascii="仿宋" w:hAnsi="仿宋" w:eastAsia="仿宋" w:cs="仿宋"/>
          <w:color w:val="000000" w:themeColor="text1"/>
          <w:sz w:val="24"/>
          <w:highlight w:val="none"/>
          <w14:textFill>
            <w14:solidFill>
              <w14:schemeClr w14:val="tx1"/>
            </w14:solidFill>
          </w14:textFill>
        </w:rPr>
        <w:t>得分高者为第一成交候选供应商，若上述两项得分相同，则由全体磋商小组成员无记名投票，得票高者为第一成交候选供应商。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b、当供应商某评分项出现未报、漏报或零报价时，该分项得零分，并不参与磋商报价分的计算。</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c、评议过程中，若出现本评分方法以外的特殊情况时，将暂停评审，待磋商小组商榷后再进行复会。</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7</w:t>
      </w:r>
      <w:r>
        <w:rPr>
          <w:rFonts w:hint="eastAsia" w:ascii="仿宋" w:hAnsi="仿宋" w:eastAsia="仿宋" w:cs="仿宋"/>
          <w:b/>
          <w:color w:val="000000" w:themeColor="text1"/>
          <w:sz w:val="24"/>
          <w:highlight w:val="none"/>
          <w14:textFill>
            <w14:solidFill>
              <w14:schemeClr w14:val="tx1"/>
            </w14:solidFill>
          </w14:textFill>
        </w:rPr>
        <w:t>、政府采购政策评分标准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-1、小微企业的价格评分标准</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（1）根据《政府采购促进中小企业发展管理办法》（财库【</w:t>
      </w:r>
      <w:r>
        <w:rPr>
          <w:rFonts w:hint="eastAsia" w:ascii="仿宋" w:hAnsi="仿宋" w:eastAsia="仿宋" w:cs="仿宋"/>
          <w:color w:val="000000" w:themeColor="text1"/>
          <w:sz w:val="24"/>
          <w:highlight w:val="none"/>
          <w:lang w:val="en-US" w:eastAsia="zh-CN"/>
          <w14:textFill>
            <w14:solidFill>
              <w14:schemeClr w14:val="tx1"/>
            </w14:solidFill>
          </w14:textFill>
        </w:rPr>
        <w:t>2020</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lang w:eastAsia="zh-CN"/>
          <w14:textFill>
            <w14:solidFill>
              <w14:schemeClr w14:val="tx1"/>
            </w14:solidFill>
          </w14:textFill>
        </w:rPr>
        <w:t>号）的办法及</w:t>
      </w:r>
      <w:bookmarkStart w:id="28" w:name="_Toc14639"/>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关于进一步加大政府采购支持中小企业力度的通知</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（财库</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2022</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19号）</w:t>
      </w:r>
      <w:bookmarkEnd w:id="28"/>
      <w:r>
        <w:rPr>
          <w:rFonts w:hint="eastAsia" w:ascii="仿宋" w:hAnsi="仿宋" w:eastAsia="仿宋" w:cs="仿宋"/>
          <w:color w:val="000000" w:themeColor="text1"/>
          <w:sz w:val="24"/>
          <w:highlight w:val="none"/>
          <w:lang w:val="en-US" w:eastAsia="zh-CN"/>
          <w14:textFill>
            <w14:solidFill>
              <w14:schemeClr w14:val="tx1"/>
            </w14:solidFill>
          </w14:textFill>
        </w:rPr>
        <w:t>的通知，对于非专门面向中小企业的项目，</w:t>
      </w:r>
      <w:r>
        <w:rPr>
          <w:rFonts w:hint="eastAsia" w:ascii="仿宋" w:hAnsi="仿宋" w:eastAsia="仿宋" w:cs="仿宋"/>
          <w:color w:val="000000" w:themeColor="text1"/>
          <w:sz w:val="24"/>
          <w:highlight w:val="none"/>
          <w:lang w:eastAsia="zh-CN"/>
          <w14:textFill>
            <w14:solidFill>
              <w14:schemeClr w14:val="tx1"/>
            </w14:solidFill>
          </w14:textFill>
        </w:rPr>
        <w:t>对小型和微型企业产品的价格给予</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lang w:eastAsia="zh-CN"/>
          <w14:textFill>
            <w14:solidFill>
              <w14:schemeClr w14:val="tx1"/>
            </w14:solidFill>
          </w14:textFill>
        </w:rPr>
        <w:t>%的扣除，用扣除后的价格参与评审，其评审价=磋商报价*（1-</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lang w:eastAsia="zh-CN"/>
          <w14:textFill>
            <w14:solidFill>
              <w14:schemeClr w14:val="tx1"/>
            </w14:solidFill>
          </w14:textFill>
        </w:rPr>
        <w:t>%）。</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（2）联合体共同参加非专门面向中小企业的政府采购活动，联合协议中约定，小型和微型企业的协议合同金额占到联合体协议合同金额的30%以上的，可给予联合体</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%的价格扣除，用扣除后的价格参与评审，其评审价=磋商报价*（1-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小微企业按</w:t>
      </w:r>
      <w:r>
        <w:rPr>
          <w:rFonts w:hint="eastAsia" w:ascii="仿宋" w:hAnsi="仿宋" w:eastAsia="仿宋" w:cs="仿宋"/>
          <w:color w:val="000000" w:themeColor="text1"/>
          <w:sz w:val="24"/>
          <w:highlight w:val="none"/>
          <w:lang w:eastAsia="zh-CN"/>
          <w14:textFill>
            <w14:solidFill>
              <w14:schemeClr w14:val="tx1"/>
            </w14:solidFill>
          </w14:textFill>
        </w:rPr>
        <w:t>《政府采购促进中小企业发展管理办法》的通知—财库</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w:t>
      </w:r>
      <w:r>
        <w:rPr>
          <w:rFonts w:hint="eastAsia" w:ascii="仿宋" w:hAnsi="仿宋" w:eastAsia="仿宋" w:cs="仿宋"/>
          <w:color w:val="000000" w:themeColor="text1"/>
          <w:sz w:val="24"/>
          <w:highlight w:val="none"/>
          <w:lang w:val="en-US" w:eastAsia="zh-CN"/>
          <w14:textFill>
            <w14:solidFill>
              <w14:schemeClr w14:val="tx1"/>
            </w14:solidFill>
          </w14:textFill>
        </w:rPr>
        <w:t>20]46</w:t>
      </w:r>
      <w:r>
        <w:rPr>
          <w:rFonts w:hint="eastAsia" w:ascii="仿宋" w:hAnsi="仿宋" w:eastAsia="仿宋" w:cs="仿宋"/>
          <w:color w:val="000000" w:themeColor="text1"/>
          <w:sz w:val="24"/>
          <w:highlight w:val="none"/>
          <w:lang w:eastAsia="zh-CN"/>
          <w14:textFill>
            <w14:solidFill>
              <w14:schemeClr w14:val="tx1"/>
            </w14:solidFill>
          </w14:textFill>
        </w:rPr>
        <w:t>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-2、监狱企业的价格评分标准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（1）在政府采购活动中，监狱企业视同小型、微型企业，享受预留份额、评审中价格扣除等政府采购促进中小企业发展的政府采购政策。对监狱企业产品的价格给予</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%的扣除，用扣除后的价格参与评审，其评审价=磋商报价*（1-</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（2）监狱企业属于小型、微型企业的，不重复享受政策。 </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-3、残疾人福利性单位的价格评分标准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（1）在政府采购活动中，残疾人福利性单位视同小型、微型企业，享受预留份额、评审中价格扣除等政府采购促进中小企业发展的政府采购政策。对残疾人福利性单位产品的价格给予</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%的扣除，用扣除后的价格参与评审，其评标价=</w:t>
      </w:r>
      <w:r>
        <w:rPr>
          <w:rFonts w:hint="eastAsia" w:ascii="仿宋" w:hAnsi="仿宋" w:eastAsia="仿宋" w:cs="仿宋"/>
          <w:color w:val="000000" w:themeColor="text1"/>
          <w:sz w:val="24"/>
          <w:highlight w:val="none"/>
          <w:lang w:val="en-US"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报价*（1-</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（2）残疾人福利性单位属于小型、微型企业的，不重复享受政策。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（3）符合条件的残疾人福利性单位在参加政府采购活动时，应当提供本通知规定的《残疾人福利性单位声明函》，并对声明的真实性负责，未提供的不视为残疾人福利性单位。 </w:t>
      </w:r>
    </w:p>
    <w:p>
      <w:pPr>
        <w:spacing w:line="560" w:lineRule="exact"/>
        <w:ind w:firstLine="597" w:firstLineChars="24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（1）根据《财政部、国家发展改革委、生态环境部、市场监管总局&lt;关于调整优化节能产品、环境标志产品政府采购执行机制&gt;的通知》的</w:t>
      </w:r>
      <w:r>
        <w:rPr>
          <w:rFonts w:hint="eastAsia" w:ascii="仿宋" w:hAnsi="仿宋" w:eastAsia="仿宋" w:cs="仿宋"/>
          <w:color w:val="000000" w:themeColor="text1"/>
          <w:sz w:val="24"/>
          <w:highlight w:val="none"/>
          <w14:textFill>
            <w14:solidFill>
              <w14:schemeClr w14:val="tx1"/>
            </w14:solidFill>
          </w14:textFill>
        </w:rPr>
        <w:t>有关规定</w:t>
      </w:r>
      <w:r>
        <w:rPr>
          <w:rFonts w:hint="eastAsia" w:ascii="仿宋" w:hAnsi="仿宋" w:eastAsia="仿宋" w:cs="仿宋"/>
          <w:bCs/>
          <w:color w:val="000000" w:themeColor="text1"/>
          <w:sz w:val="24"/>
          <w:highlight w:val="none"/>
          <w14:textFill>
            <w14:solidFill>
              <w14:schemeClr w14:val="tx1"/>
            </w14:solidFill>
          </w14:textFill>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eastAsia="zh-CN"/>
          <w14:textFill>
            <w14:solidFill>
              <w14:schemeClr w14:val="tx1"/>
            </w14:solidFill>
          </w14:textFill>
        </w:rPr>
        <w:t>供应商</w:t>
      </w:r>
      <w:r>
        <w:rPr>
          <w:rFonts w:hint="eastAsia" w:ascii="仿宋" w:hAnsi="仿宋" w:eastAsia="仿宋" w:cs="仿宋"/>
          <w:bCs/>
          <w:color w:val="000000" w:themeColor="text1"/>
          <w:sz w:val="24"/>
          <w:highlight w:val="none"/>
          <w14:textFill>
            <w14:solidFill>
              <w14:schemeClr w14:val="tx1"/>
            </w14:solidFill>
          </w14:textFill>
        </w:rPr>
        <w:t>在</w:t>
      </w:r>
      <w:r>
        <w:rPr>
          <w:rFonts w:hint="eastAsia" w:ascii="仿宋" w:hAnsi="仿宋" w:eastAsia="仿宋" w:cs="仿宋"/>
          <w:bCs/>
          <w:color w:val="000000" w:themeColor="text1"/>
          <w:sz w:val="24"/>
          <w:highlight w:val="none"/>
          <w:lang w:eastAsia="zh-CN"/>
          <w14:textFill>
            <w14:solidFill>
              <w14:schemeClr w14:val="tx1"/>
            </w14:solidFill>
          </w14:textFill>
        </w:rPr>
        <w:t>竞争性磋商响应</w:t>
      </w:r>
      <w:r>
        <w:rPr>
          <w:rFonts w:hint="eastAsia" w:ascii="仿宋" w:hAnsi="仿宋" w:eastAsia="仿宋" w:cs="仿宋"/>
          <w:bCs/>
          <w:color w:val="000000" w:themeColor="text1"/>
          <w:sz w:val="24"/>
          <w:highlight w:val="none"/>
          <w14:textFill>
            <w14:solidFill>
              <w14:schemeClr w14:val="tx1"/>
            </w14:solidFill>
          </w14:textFill>
        </w:rPr>
        <w:t>文件中对所投产品为节能、环境标志产品清单中的产品，在</w:t>
      </w:r>
      <w:r>
        <w:rPr>
          <w:rFonts w:hint="eastAsia" w:ascii="仿宋" w:hAnsi="仿宋" w:eastAsia="仿宋" w:cs="仿宋"/>
          <w:bCs/>
          <w:color w:val="000000" w:themeColor="text1"/>
          <w:sz w:val="24"/>
          <w:highlight w:val="none"/>
          <w:lang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（4）若节能、环境标志品目清单内的产品仅是构成投标产品的部件、组件或零件 </w:t>
      </w:r>
    </w:p>
    <w:p>
      <w:pPr>
        <w:autoSpaceDE w:val="0"/>
        <w:autoSpaceDN w:val="0"/>
        <w:adjustRightInd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（5）节能、环境标志产品部分计分只对属于品目清单内的非强制类产品进行计分， </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强制类产品不给予计分。 </w:t>
      </w:r>
    </w:p>
    <w:p>
      <w:pPr>
        <w:spacing w:line="560" w:lineRule="exact"/>
        <w:ind w:firstLine="482" w:firstLineChars="20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14:textFill>
            <w14:solidFill>
              <w14:schemeClr w14:val="tx1"/>
            </w14:solidFill>
          </w14:textFill>
        </w:rPr>
        <w:t>、</w:t>
      </w:r>
      <w:bookmarkStart w:id="29" w:name="_Toc14886425"/>
      <w:bookmarkStart w:id="30" w:name="_Toc22138"/>
      <w:r>
        <w:rPr>
          <w:rFonts w:hint="eastAsia" w:ascii="仿宋" w:hAnsi="仿宋" w:eastAsia="仿宋" w:cs="仿宋"/>
          <w:b/>
          <w:bCs/>
          <w:color w:val="000000" w:themeColor="text1"/>
          <w:sz w:val="24"/>
          <w:highlight w:val="none"/>
          <w:lang w:val="zh-CN"/>
          <w14:textFill>
            <w14:solidFill>
              <w14:schemeClr w14:val="tx1"/>
            </w14:solidFill>
          </w14:textFill>
        </w:rPr>
        <w:t>信用担保</w:t>
      </w:r>
      <w:bookmarkEnd w:id="29"/>
      <w:bookmarkEnd w:id="30"/>
      <w:r>
        <w:rPr>
          <w:rFonts w:hint="eastAsia" w:ascii="仿宋" w:hAnsi="仿宋" w:eastAsia="仿宋" w:cs="仿宋"/>
          <w:b/>
          <w:bCs/>
          <w:color w:val="000000" w:themeColor="text1"/>
          <w:sz w:val="24"/>
          <w:highlight w:val="none"/>
          <w:lang w:val="zh-CN"/>
          <w14:textFill>
            <w14:solidFill>
              <w14:schemeClr w14:val="tx1"/>
            </w14:solidFill>
          </w14:textFill>
        </w:rPr>
        <w:t>及融资</w:t>
      </w:r>
    </w:p>
    <w:p>
      <w:pPr>
        <w:adjustRightInd w:val="0"/>
        <w:snapToGrid w:val="0"/>
        <w:spacing w:line="560" w:lineRule="exact"/>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auto"/>
          <w:sz w:val="24"/>
          <w:szCs w:val="24"/>
          <w:highlight w:val="none"/>
          <w:lang w:val="zh-CN"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3、定标</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3-1、定标程序</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依据磋商文件的要求，对供应商进行认真评审。经过评审、澄清、磋商、最后报价等程序后，从响应文件满足磋商文件全部实质性要求的供应商中，按照评审得分由高到低顺序的顺序推荐3名以上成交候选供应商，并编写评审报告。</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服务方案得分高的成为成交供应商。确定结果后，采购人向采购代理机构出具《成交复函》。采购人逾期未确定成交供应商且不提出异议的，视为确定评审报告推荐的排名第一的供应商为成交供应商。</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（4）采购代理机构接到采购人的《成交复函》后，在2个工作日内，将成交结果在</w:t>
      </w:r>
      <w:r>
        <w:rPr>
          <w:rFonts w:hint="eastAsia" w:ascii="仿宋" w:hAnsi="仿宋" w:eastAsia="仿宋" w:cs="仿宋"/>
          <w:color w:val="000000" w:themeColor="text1"/>
          <w:sz w:val="24"/>
          <w:highlight w:val="none"/>
          <w:lang w:val="en-US" w:eastAsia="zh-CN"/>
          <w14:textFill>
            <w14:solidFill>
              <w14:schemeClr w14:val="tx1"/>
            </w14:solidFill>
          </w14:textFill>
        </w:rPr>
        <w:t>陕西省</w:t>
      </w:r>
      <w:r>
        <w:rPr>
          <w:rFonts w:hint="eastAsia" w:ascii="仿宋" w:hAnsi="仿宋" w:eastAsia="仿宋" w:cs="仿宋"/>
          <w:color w:val="000000" w:themeColor="text1"/>
          <w:sz w:val="24"/>
          <w:highlight w:val="none"/>
          <w:lang w:eastAsia="zh-CN"/>
          <w14:textFill>
            <w14:solidFill>
              <w14:schemeClr w14:val="tx1"/>
            </w14:solidFill>
          </w14:textFill>
        </w:rPr>
        <w:t>政府采购</w:t>
      </w:r>
      <w:r>
        <w:rPr>
          <w:rFonts w:hint="eastAsia" w:ascii="仿宋" w:hAnsi="仿宋" w:eastAsia="仿宋" w:cs="仿宋"/>
          <w:color w:val="000000" w:themeColor="text1"/>
          <w:sz w:val="24"/>
          <w:highlight w:val="none"/>
          <w14:textFill>
            <w14:solidFill>
              <w14:schemeClr w14:val="tx1"/>
            </w14:solidFill>
          </w14:textFill>
        </w:rPr>
        <w:t>网上发布公告。公告发布1个工作日，其他供应商若有异议，按《政府采购法》第52条执行。</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3-2、成交供应商确定后，采购人和采购代理机构对未成交原因不作任何解释，竞争性磋商响应文件不予退还（含纸质及电子版文件）。</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4、磋商无效的情形：</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4-1、未按照磋商文件的规定提交磋商保证金的；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、磋商响应文件未按磋商文件要求签署、盖章的；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、不具备磋商文件中规定的资格要求的；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、报价超过磋商文件中规定的预算金额或者最高限价的；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、磋商响应文件含有采购人不能接受的附加条件的；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、提供虚假材料谋取成交的；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、采取不正当手段诋毁、排挤其他供应商的；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、法律、法规和磋商文件规定的其他无效情形。</w:t>
      </w:r>
    </w:p>
    <w:p>
      <w:pPr>
        <w:adjustRightInd w:val="0"/>
        <w:snapToGrid w:val="0"/>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5、成交通知书</w:t>
      </w:r>
    </w:p>
    <w:p>
      <w:pPr>
        <w:pageBreakBefore w:val="0"/>
        <w:tabs>
          <w:tab w:val="left" w:pos="2700"/>
        </w:tabs>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成交通知书将在成交公告发布的同时由采购代理机构向成交人发出，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5-2、成交通知书发出后，采购人不得违法改变成交结果，成交人无正当理由不得弃成交。</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1" w:name="_Toc28361"/>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、合同</w:t>
      </w:r>
      <w:bookmarkEnd w:id="31"/>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供应商在收到成交通知书后三十（30）个日历日内，应按竞争性磋商文件的要求与采购人签订合同。成交供应商因自身原因不按规定与采购人签订合同，则采购人将废除授标，磋商保证金不予退还。给采购人造成损失超过磋商保证金额的，还应当对超过部分予以赔偿，并依法承担相应法律责任。</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采购活动。</w:t>
      </w:r>
    </w:p>
    <w:p>
      <w:pPr>
        <w:adjustRightInd w:val="0"/>
        <w:snapToGrid w:val="0"/>
        <w:spacing w:line="5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3、成交通知书将是合同的重要组成部分。竞争性磋商文件、成交供应商的竞争性磋商响应文件及评议过程中有关的澄清文件均作为合同附件。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成交后，成交人应按照合同约定履行义务，完成磋商项目的服务，经采购人同意，成交人可以依法采取分包方式履行合同。接受分包的供应商应当具备相应的资格条件，并不得再次分包。分包履行的，成交人就采购项目和分包项目向采购人负责，分包供应商就分包项目承担责任。中小企业根据《政府采购促进中小企业发展管理办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财库[2020]46号）规定的政策获取政府采购合同后，小型、微型企业不得分包或转包给大型、中型企业，中型企业不得分包或转包给大型企业。</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5、所签订的合同不得对磋商文件确定的事项和成交人磋商响应文件作实质性修改。</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6、采购人需追加与合同标的相同的货物、工程或服务的，在不改变合同其他条款的前提下，可以与供应商协商签订补充合同，但所有补充合同的采购金额不得超过原合同采购金额的百分之十。</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2" w:name="_Toc493074178"/>
      <w:bookmarkStart w:id="33" w:name="_Toc24945"/>
      <w:bookmarkStart w:id="34" w:name="_Toc494556650"/>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、合同的履约验收</w:t>
      </w:r>
      <w:bookmarkEnd w:id="32"/>
      <w:bookmarkEnd w:id="33"/>
      <w:bookmarkEnd w:id="34"/>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采购人应按照政府采购合同约定的技术、服务、安全标准组织对供应商每一项技术、服务、安全标准的履约情况进行验收，并出具验收书。</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5" w:name="_Toc19792"/>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、招标服务费</w:t>
      </w:r>
      <w:bookmarkEnd w:id="35"/>
    </w:p>
    <w:p>
      <w:pPr>
        <w:tabs>
          <w:tab w:val="left" w:pos="2700"/>
        </w:tabs>
        <w:spacing w:line="560" w:lineRule="exact"/>
        <w:ind w:firstLine="480" w:firstLineChars="200"/>
        <w:rPr>
          <w:rFonts w:hint="eastAsia" w:ascii="仿宋" w:hAnsi="仿宋" w:eastAsia="仿宋" w:cs="仿宋"/>
          <w:sz w:val="24"/>
          <w:highlight w:val="none"/>
        </w:rPr>
      </w:pPr>
      <w:bookmarkStart w:id="36" w:name="_Toc458848826"/>
      <w:bookmarkStart w:id="37" w:name="_Toc458848741"/>
      <w:bookmarkStart w:id="38" w:name="_Toc458848974"/>
      <w:r>
        <w:rPr>
          <w:rFonts w:hint="eastAsia" w:ascii="仿宋" w:hAnsi="仿宋" w:eastAsia="仿宋" w:cs="仿宋"/>
          <w:sz w:val="24"/>
          <w:highlight w:val="none"/>
        </w:rPr>
        <w:t>1、</w:t>
      </w:r>
      <w:r>
        <w:rPr>
          <w:rFonts w:hint="eastAsia" w:ascii="仿宋" w:hAnsi="仿宋" w:eastAsia="仿宋" w:cs="仿宋"/>
          <w:sz w:val="24"/>
          <w:highlight w:val="none"/>
          <w:lang w:val="en-US" w:eastAsia="zh-CN"/>
        </w:rPr>
        <w:t>成交供应商</w:t>
      </w:r>
      <w:r>
        <w:rPr>
          <w:rFonts w:hint="eastAsia" w:ascii="仿宋" w:hAnsi="仿宋" w:eastAsia="仿宋" w:cs="仿宋"/>
          <w:sz w:val="24"/>
          <w:highlight w:val="none"/>
        </w:rPr>
        <w:t>在领取中标通知书时，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2、招标服务费应采用转账、现金形式交纳。</w:t>
      </w:r>
    </w:p>
    <w:p>
      <w:pPr>
        <w:tabs>
          <w:tab w:val="left" w:pos="2700"/>
        </w:tabs>
        <w:spacing w:line="560" w:lineRule="exact"/>
        <w:ind w:firstLine="480" w:firstLineChars="200"/>
        <w:rPr>
          <w:rFonts w:hint="eastAsia"/>
          <w:highlight w:val="none"/>
        </w:rPr>
      </w:pPr>
      <w:r>
        <w:rPr>
          <w:rFonts w:hint="eastAsia" w:ascii="仿宋" w:hAnsi="仿宋" w:eastAsia="仿宋" w:cs="仿宋"/>
          <w:sz w:val="24"/>
          <w:highlight w:val="none"/>
        </w:rPr>
        <w:t>3、成交供应商如未按上述第1条规定办理，采购代理机构将没收其磋商保证金。提供</w:t>
      </w:r>
      <w:r>
        <w:rPr>
          <w:rFonts w:hint="eastAsia" w:ascii="仿宋" w:hAnsi="仿宋" w:eastAsia="仿宋" w:cs="仿宋"/>
          <w:sz w:val="24"/>
          <w:highlight w:val="none"/>
          <w:lang w:eastAsia="zh-CN"/>
        </w:rPr>
        <w:t>磋商</w:t>
      </w:r>
      <w:r>
        <w:rPr>
          <w:rFonts w:hint="eastAsia" w:ascii="仿宋" w:hAnsi="仿宋" w:eastAsia="仿宋" w:cs="仿宋"/>
          <w:sz w:val="24"/>
          <w:highlight w:val="none"/>
        </w:rPr>
        <w:t>担保的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将由专业担保机构先行偿付采购代理机构损失。</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9" w:name="_Toc14425"/>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w:t>
      </w:r>
      <w:bookmarkEnd w:id="36"/>
      <w:bookmarkEnd w:id="37"/>
      <w:bookmarkEnd w:id="38"/>
      <w:r>
        <w:rPr>
          <w:rFonts w:hint="eastAsia" w:ascii="仿宋" w:hAnsi="仿宋" w:eastAsia="仿宋" w:cs="仿宋"/>
          <w:color w:val="000000" w:themeColor="text1"/>
          <w:sz w:val="28"/>
          <w:szCs w:val="28"/>
          <w:highlight w:val="none"/>
          <w14:textFill>
            <w14:solidFill>
              <w14:schemeClr w14:val="tx1"/>
            </w14:solidFill>
          </w14:textFill>
        </w:rPr>
        <w:t>重新组织采购活动</w:t>
      </w:r>
      <w:bookmarkEnd w:id="39"/>
    </w:p>
    <w:p>
      <w:pPr>
        <w:spacing w:line="560" w:lineRule="exact"/>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如果发生下列情况之一的，采购人或采购代理机构将按《政府采购竞争性磋商采购方式管理暂行办法》等有关规定重新组织采购：</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（1）、因情况变化，不再符合规定的竞争性磋商采购方式适用情形的；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（3）、磋商小组三分之二以上的专家认定所有磋商报价存在价格不实的现象；</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bookmarkStart w:id="40" w:name="_Toc458848975"/>
      <w:bookmarkStart w:id="41" w:name="_Toc458848827"/>
      <w:bookmarkStart w:id="42" w:name="_Toc458848742"/>
      <w:r>
        <w:rPr>
          <w:rFonts w:hint="eastAsia" w:ascii="仿宋" w:hAnsi="仿宋" w:eastAsia="仿宋" w:cs="仿宋"/>
          <w:color w:val="000000" w:themeColor="text1"/>
          <w:sz w:val="24"/>
          <w:highlight w:val="none"/>
          <w14:textFill>
            <w14:solidFill>
              <w14:schemeClr w14:val="tx1"/>
            </w14:solidFill>
          </w14:textFill>
        </w:rPr>
        <w:t>（4）、除《政府采购竞争性磋商采购方式管理暂行办法》（财库〔2014〕214号）第二十一条第三款及《财政部关于政府采购竞争性磋商采购方式管理暂行办法有关问题的补充通知》（财库〔2015〕124号）规定的情形外，在采购过程中符合要求的供应商或者报价未超过采购预算的供应商不足三家的。</w:t>
      </w:r>
    </w:p>
    <w:p>
      <w:pPr>
        <w:pStyle w:val="4"/>
        <w:pageBreakBefore w:val="0"/>
        <w:wordWrap/>
        <w:topLinePunct w:val="0"/>
        <w:bidi w:val="0"/>
        <w:spacing w:before="0" w:after="0" w:line="560" w:lineRule="exact"/>
        <w:rPr>
          <w:rFonts w:hint="eastAsia" w:ascii="仿宋" w:hAnsi="仿宋" w:eastAsia="仿宋" w:cs="仿宋"/>
          <w:b/>
          <w:bCs/>
          <w:sz w:val="28"/>
          <w:szCs w:val="28"/>
          <w:highlight w:val="none"/>
          <w:lang w:val="en-US" w:eastAsia="zh-CN"/>
        </w:rPr>
      </w:pPr>
      <w:bookmarkStart w:id="43" w:name="_Toc4301"/>
      <w:bookmarkStart w:id="44" w:name="_Toc15549"/>
      <w:r>
        <w:rPr>
          <w:rFonts w:hint="eastAsia" w:ascii="仿宋" w:hAnsi="仿宋" w:eastAsia="仿宋" w:cs="仿宋"/>
          <w:b/>
          <w:bCs/>
          <w:sz w:val="28"/>
          <w:szCs w:val="28"/>
          <w:highlight w:val="none"/>
          <w:lang w:val="en-US" w:eastAsia="zh-CN"/>
        </w:rPr>
        <w:t>十二、特殊情形的处理</w:t>
      </w:r>
      <w:bookmarkEnd w:id="43"/>
    </w:p>
    <w:p>
      <w:pPr>
        <w:pageBreakBefore w:val="0"/>
        <w:wordWrap/>
        <w:topLinePunct w:val="0"/>
        <w:bidi w:val="0"/>
        <w:spacing w:line="560" w:lineRule="exact"/>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根据陕西省财政厅关于政府采购信息公告有关事项的通知（陕财办采资〔2018〕26号），参加采购活动或符合采购需求的供应商只有一家，经评审专家审核认为采购文件没有倾向性、歧视性条款，采购人不改变采购需求，拟采用单一来源方式采购的，可以现场自行决定采用，不再进行公示。</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w:t>
      </w:r>
      <w:bookmarkEnd w:id="40"/>
      <w:bookmarkEnd w:id="41"/>
      <w:bookmarkEnd w:id="42"/>
      <w:r>
        <w:rPr>
          <w:rFonts w:hint="eastAsia" w:ascii="仿宋" w:hAnsi="仿宋" w:eastAsia="仿宋" w:cs="仿宋"/>
          <w:color w:val="000000" w:themeColor="text1"/>
          <w:sz w:val="28"/>
          <w:szCs w:val="28"/>
          <w:highlight w:val="none"/>
          <w14:textFill>
            <w14:solidFill>
              <w14:schemeClr w14:val="tx1"/>
            </w14:solidFill>
          </w14:textFill>
        </w:rPr>
        <w:t>询问、质疑与投诉</w:t>
      </w:r>
      <w:bookmarkEnd w:id="44"/>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45" w:name="_Toc458848828"/>
      <w:bookmarkStart w:id="46" w:name="_Toc458848743"/>
      <w:bookmarkStart w:id="47" w:name="_Toc458848976"/>
      <w:r>
        <w:rPr>
          <w:rFonts w:hint="eastAsia" w:ascii="仿宋" w:hAnsi="仿宋" w:eastAsia="仿宋" w:cs="仿宋"/>
          <w:color w:val="000000" w:themeColor="text1"/>
          <w:sz w:val="24"/>
          <w:highlight w:val="none"/>
          <w14:textFill>
            <w14:solidFill>
              <w14:schemeClr w14:val="tx1"/>
            </w14:solidFill>
          </w14:textFill>
        </w:rPr>
        <w:t>1、询问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供应商对政府采购活动事项有疑问的，可以向采购人、采购代理机构提出询问。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2-1、供应商认为磋商文件、磋商过程和成交结果使自己的权益受到损害的，可以采购人、采购代理机构提出质疑，具体时限为：</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（一）对可以质疑的采购文件提出质疑的，为收到采购文件之日起七个工作日内；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（二）对采购过程提出质疑的，为各采购程序环节结束之日起七个工作日内；</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（三）对成交结果提出质疑的，为成交结果公告期限届满之日起七个工作日内。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2-2、供应商须在法定质疑期内一次性提出针对同一采购程序环节的质疑。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2-3、供应商必须按照财政部发布的《政府采购供应商质疑函范本》及其制作说明提出质疑。详见“中国政府采购网（www.ccgp.gov.cn）”下载专区。</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2-6、供应商应在法定期限内以书面形式提出质疑，联系人： </w:t>
      </w:r>
      <w:r>
        <w:rPr>
          <w:rFonts w:hint="eastAsia" w:ascii="仿宋" w:hAnsi="仿宋" w:eastAsia="仿宋" w:cs="仿宋"/>
          <w:color w:val="000000" w:themeColor="text1"/>
          <w:sz w:val="24"/>
          <w:highlight w:val="none"/>
          <w:lang w:eastAsia="zh-CN"/>
          <w14:textFill>
            <w14:solidFill>
              <w14:schemeClr w14:val="tx1"/>
            </w14:solidFill>
          </w14:textFill>
        </w:rPr>
        <w:t>党工</w:t>
      </w:r>
      <w:r>
        <w:rPr>
          <w:rFonts w:hint="eastAsia" w:ascii="仿宋" w:hAnsi="仿宋" w:eastAsia="仿宋" w:cs="仿宋"/>
          <w:color w:val="000000" w:themeColor="text1"/>
          <w:sz w:val="24"/>
          <w:highlight w:val="none"/>
          <w14:textFill>
            <w14:solidFill>
              <w14:schemeClr w14:val="tx1"/>
            </w14:solidFill>
          </w14:textFill>
        </w:rPr>
        <w:t>，联系方式：029-87592321，地址：华招广和项目管理有限公司（西安市朱雀大街南段1号汇成天玺C座18层1812室）。</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w:t>
      </w:r>
    </w:p>
    <w:p>
      <w:pPr>
        <w:pStyle w:val="39"/>
        <w:spacing w:line="560" w:lineRule="exact"/>
        <w:ind w:firstLine="480"/>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3-1、质疑供应商对采购人、采购代理机构的答复不满意或者采购人、采购代理机构未在规定的时间内作出答复的，可按《政府采购法》第55条</w:t>
      </w:r>
      <w:r>
        <w:rPr>
          <w:rFonts w:hint="eastAsia" w:ascii="仿宋" w:hAnsi="仿宋" w:eastAsia="仿宋" w:cs="仿宋"/>
          <w:color w:val="000000" w:themeColor="text1"/>
          <w:kern w:val="2"/>
          <w:sz w:val="24"/>
          <w:szCs w:val="20"/>
          <w:highlight w:val="none"/>
          <w14:textFill>
            <w14:solidFill>
              <w14:schemeClr w14:val="tx1"/>
            </w14:solidFill>
          </w14:textFill>
        </w:rPr>
        <w:t>和《政府采购质疑和投诉办法》（财政部令第94号）第17条等有关规定执行。</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3-2、本项目质疑供应商对采购人、采购代理机构的答复不满意或者采购人、采购代理机构未在规定时间内作出答复的，可在15个工作日内向</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陕西省财政厅政府采购管理处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提起投诉。</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8" w:name="_Toc1946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、拒绝商业贿赂</w:t>
      </w:r>
      <w:bookmarkEnd w:id="45"/>
      <w:bookmarkEnd w:id="46"/>
      <w:bookmarkEnd w:id="47"/>
      <w:bookmarkEnd w:id="48"/>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1、遵照陕西省财政厅的规定，采购人、采购代理机构、供应商和评审专家在磋商活动中，都要签订相应的《拒绝政府采购领域商业贿赂承诺书》，并对违反承诺的行为承担全部责任。</w:t>
      </w:r>
    </w:p>
    <w:p>
      <w:pPr>
        <w:spacing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2、供应商必须填写一份《拒绝政府采购领域商业贿赂承诺书》并附在磋商响应文件中，同时应保证磋商响应文件正、副本中一致。</w:t>
      </w:r>
    </w:p>
    <w:p>
      <w:pPr>
        <w:pStyle w:val="3"/>
        <w:spacing w:before="0" w:after="0" w:line="360" w:lineRule="auto"/>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bookmarkStart w:id="49" w:name="_Toc20324"/>
      <w:r>
        <w:rPr>
          <w:rFonts w:hint="eastAsia" w:ascii="仿宋" w:hAnsi="仿宋" w:eastAsia="仿宋" w:cs="仿宋"/>
          <w:color w:val="000000" w:themeColor="text1"/>
          <w:kern w:val="0"/>
          <w:highlight w:val="none"/>
          <w14:textFill>
            <w14:solidFill>
              <w14:schemeClr w14:val="tx1"/>
            </w14:solidFill>
          </w14:textFill>
        </w:rPr>
        <w:t>第三章  服务内容及要求</w:t>
      </w:r>
      <w:bookmarkEnd w:id="49"/>
    </w:p>
    <w:p>
      <w:pPr>
        <w:pStyle w:val="12"/>
        <w:tabs>
          <w:tab w:val="left" w:pos="4900"/>
        </w:tabs>
        <w:ind w:left="0" w:leftChars="0" w:firstLine="0" w:firstLineChars="0"/>
        <w:jc w:val="center"/>
        <w:rPr>
          <w:rFonts w:hint="eastAsia" w:ascii="仿宋" w:hAnsi="仿宋" w:eastAsia="仿宋" w:cs="仿宋"/>
          <w:b/>
          <w:sz w:val="28"/>
          <w:szCs w:val="24"/>
          <w:highlight w:val="none"/>
        </w:rPr>
      </w:pPr>
      <w:r>
        <w:rPr>
          <w:rFonts w:hint="eastAsia" w:ascii="仿宋" w:hAnsi="仿宋" w:eastAsia="仿宋" w:cs="仿宋"/>
          <w:b/>
          <w:bCs/>
          <w:sz w:val="28"/>
          <w:szCs w:val="28"/>
          <w:highlight w:val="none"/>
        </w:rPr>
        <w:t>DRG</w:t>
      </w:r>
      <w:r>
        <w:rPr>
          <w:rFonts w:hint="eastAsia" w:ascii="仿宋" w:hAnsi="仿宋" w:eastAsia="仿宋" w:cs="仿宋"/>
          <w:b/>
          <w:sz w:val="28"/>
          <w:szCs w:val="24"/>
          <w:highlight w:val="none"/>
        </w:rPr>
        <w:t>系统功能参数</w:t>
      </w:r>
    </w:p>
    <w:tbl>
      <w:tblPr>
        <w:tblStyle w:val="22"/>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11"/>
        <w:gridCol w:w="130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noWrap w:val="0"/>
            <w:vAlign w:val="center"/>
          </w:tcPr>
          <w:p>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类别</w:t>
            </w:r>
          </w:p>
        </w:tc>
        <w:tc>
          <w:tcPr>
            <w:tcW w:w="1311" w:type="dxa"/>
            <w:noWrap w:val="0"/>
            <w:vAlign w:val="center"/>
          </w:tcPr>
          <w:p>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功能模块</w:t>
            </w:r>
          </w:p>
        </w:tc>
        <w:tc>
          <w:tcPr>
            <w:tcW w:w="1305" w:type="dxa"/>
            <w:noWrap w:val="0"/>
            <w:vAlign w:val="center"/>
          </w:tcPr>
          <w:p>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功能要求</w:t>
            </w:r>
          </w:p>
        </w:tc>
        <w:tc>
          <w:tcPr>
            <w:tcW w:w="6834" w:type="dxa"/>
            <w:noWrap w:val="0"/>
            <w:vAlign w:val="center"/>
          </w:tcPr>
          <w:p>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09"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DRG运营分析</w:t>
            </w:r>
          </w:p>
        </w:tc>
        <w:tc>
          <w:tcPr>
            <w:tcW w:w="1311"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医生助手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在院DRG分组监测）</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DRG分组预测与预警</w:t>
            </w:r>
          </w:p>
        </w:tc>
        <w:tc>
          <w:tcPr>
            <w:tcW w:w="6834" w:type="dxa"/>
            <w:noWrap w:val="0"/>
            <w:vAlign w:val="center"/>
          </w:tcPr>
          <w:p>
            <w:pPr>
              <w:pStyle w:val="43"/>
              <w:numPr>
                <w:ilvl w:val="0"/>
                <w:numId w:val="0"/>
              </w:num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支持实时查看DRG预测分组(支持医生端、医保科查看DRG数据分析)</w:t>
            </w:r>
          </w:p>
          <w:p>
            <w:pPr>
              <w:spacing w:line="480" w:lineRule="auto"/>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对医保付费信息全院分析中，可查看括全院总体点数、预测结算金额、原项目支付总额、预测盈亏金额、预测盈亏比、支付人数结构、费用占比、病例付费类型等，并对医院整体盈亏趋势，以及单个病例的结算情况可展示分析。</w:t>
            </w:r>
            <w:r>
              <w:rPr>
                <w:rFonts w:hint="eastAsia" w:ascii="仿宋" w:hAnsi="仿宋" w:eastAsia="仿宋" w:cs="仿宋"/>
                <w:b/>
                <w:bCs w:val="0"/>
                <w:color w:val="auto"/>
                <w:sz w:val="24"/>
                <w:szCs w:val="24"/>
                <w:highlight w:val="none"/>
                <w:lang w:val="en-US" w:eastAsia="zh-CN"/>
              </w:rPr>
              <w:t>（需现场演示）</w:t>
            </w:r>
          </w:p>
          <w:p>
            <w:pPr>
              <w:spacing w:line="480" w:lineRule="auto"/>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盈亏分析中，①可以科室、医生、病组、病例为分析维度，对医保付费信息进行统计分析，并按费用和效率指标赋予标签。各维度可下钻至对应分析维度查看各病组费用结构情况，详情结构、病例均费用最高的项目排名、病例详情等数据；②对全院、科室、诊疗组、病组等多纬度可进行支付盈亏分析，包含按人群类型的盈亏金额、盈亏比、盈亏趋势分析，以及病例类型占比情况、各类型病组的结算差异情况等。</w:t>
            </w:r>
            <w:r>
              <w:rPr>
                <w:rFonts w:hint="eastAsia" w:ascii="仿宋" w:hAnsi="仿宋" w:eastAsia="仿宋" w:cs="仿宋"/>
                <w:b/>
                <w:bCs w:val="0"/>
                <w:color w:val="auto"/>
                <w:sz w:val="24"/>
                <w:szCs w:val="24"/>
                <w:highlight w:val="none"/>
                <w:lang w:val="en-US" w:eastAsia="zh-CN"/>
              </w:rPr>
              <w:t>（需现场演示）</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2.提供实时预警，包括费用预警、病历质</w:t>
            </w:r>
            <w:r>
              <w:rPr>
                <w:rFonts w:hint="eastAsia" w:ascii="仿宋" w:hAnsi="仿宋" w:eastAsia="仿宋" w:cs="仿宋"/>
                <w:color w:val="auto"/>
                <w:sz w:val="24"/>
                <w:szCs w:val="24"/>
                <w:highlight w:val="none"/>
              </w:rPr>
              <w:t>控预警、分解住院预警、不合理入院预警等，预警条件支持自定义</w:t>
            </w:r>
          </w:p>
          <w:p>
            <w:pPr>
              <w:pStyle w:val="43"/>
              <w:spacing w:line="360" w:lineRule="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支持查看费用明细</w:t>
            </w:r>
          </w:p>
          <w:p>
            <w:pPr>
              <w:pStyle w:val="43"/>
              <w:spacing w:line="360" w:lineRule="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支持15天再入院病历提示，再入院时间可自定义，可查看历次相关住院的DRG分组与诊断/手术信息</w:t>
            </w:r>
          </w:p>
          <w:p>
            <w:pPr>
              <w:pStyle w:val="43"/>
              <w:spacing w:line="360" w:lineRule="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支持对DRG分组任务、病案首页校验任务执行的日志进行查询。</w:t>
            </w:r>
          </w:p>
          <w:p>
            <w:pPr>
              <w:pStyle w:val="43"/>
              <w:spacing w:line="360" w:lineRule="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通过DRG组名和入组状态等条件进行查询。在查询结果列表中，展示已入组的DRG分组或未入组的原因，并可一键导出查询结果。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数据查询与导出</w:t>
            </w:r>
          </w:p>
        </w:tc>
        <w:tc>
          <w:tcPr>
            <w:tcW w:w="6834" w:type="dxa"/>
            <w:noWrap w:val="0"/>
            <w:vAlign w:val="center"/>
          </w:tcPr>
          <w:p>
            <w:pPr>
              <w:pStyle w:val="43"/>
              <w:spacing w:line="360" w:lineRule="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支持管理数据全字段查询与导出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事中监测分析</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在院监测</w:t>
            </w:r>
          </w:p>
        </w:tc>
        <w:tc>
          <w:tcPr>
            <w:tcW w:w="6834" w:type="dxa"/>
            <w:noWrap w:val="0"/>
            <w:vAlign w:val="center"/>
          </w:tcPr>
          <w:p>
            <w:pPr>
              <w:pStyle w:val="43"/>
              <w:spacing w:line="360" w:lineRule="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[病例范围：当前在院患者]</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支持查看在院病例的DRG预测分组</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color w:val="auto"/>
                <w:sz w:val="24"/>
                <w:szCs w:val="24"/>
                <w:highlight w:val="none"/>
              </w:rPr>
              <w:t>支持查看预警病例，包括费用预警、病历质控预警、不合理入院预警等，预警条件支持自定义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支持查看病例详情，包括诊断、手术、操作、费用明细等</w:t>
            </w:r>
            <w:r>
              <w:rPr>
                <w:rFonts w:hint="eastAsia" w:ascii="仿宋" w:hAnsi="仿宋" w:eastAsia="仿宋" w:cs="仿宋"/>
                <w:color w:val="auto"/>
                <w:sz w:val="24"/>
                <w:szCs w:val="24"/>
                <w:highlight w:val="none"/>
              </w:rPr>
              <w:br w:type="textWrapping"/>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支持筛选15天再入院病历，再入院时间可自定义，并可查看历次相关住院的DRG分组与诊断/手术信息</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支持按医保类型、病例类型等多种条件筛选，支持查看自费病例；支持按姓名、住院号等模糊搜索病例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列表表头支持自定义，包含表头字段是否显示和排序的设置</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支持按各科室、医疗组查看预警病例情况</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支持调整主诊断/主手术进行模拟分组</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按照患者所处的不同阶段、不同维度，建立目标分组数据与病例实时数据的对比分析，让医生在医疗过程完整规划的情况下，有节奏的控制费用。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提交前病例监测</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[病例范围：出院但未将病历提交病案室归档的病例]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支持查看病例的DRG预测分组。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支持查看预警病例，包括费用预警、病历质控预警、不合理入院预警等，预警条件支持自定义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支持查看病例详情，包括诊断、手术、操作、费用明细等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支持筛选15天再入院病历，再入院时间可自定义，并可查看历次相关住院的DRG分组与诊断/手术信息</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支持按医保类型、病例类型等多种条件筛选，支持查看自费病例；支持按姓名、住院号等模糊搜索病例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列表表头支持自定义，包含表头字段是否显示和排序的设置</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支持查看各科室、医疗组的预警病例情况</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支持调整主诊断/主手术并进行模拟分组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已提交病例分析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[病例范围：出院已提交病案归档，但未与医保局结算的病例]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支持对比查看编码前与编码后，病例的DRG分组数据及诊断手术信息，并可提供对比数据。</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支持查看病历详情，调整主诊断/主手术并进行模拟分组，可调整主诊断/主手术并进行模拟分组。系统可根据DRG分组文件变化及时进行医保规则更新，</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支持按出院时间、病例类型、住院天数等筛选；支持按姓名、住院号等模糊搜索病例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列表表头支持自定义，包含表头字段是否显示和排序的设置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restart"/>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DRG数据分析</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医院DRG整体情况</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展示筛选时间段内全院病历数、结余、入组率、CMI、病组数、未入组病例详情等DRG核心数据，且支持进行院领导、职能科室、科主任、医生端分层级可视化展示及查询。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全院超支结余分析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展示筛选时间段内的超支结余趋势、超支结余科室分布、病例类型分布、各病例类型占比趋势，支持下钻，进行盈亏分析：从医院、科室、医师、病组维度对比市医保DRG付费后医疗机构的盈亏情况，预测新型付费方式实行后对医院经营所带来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全院费用构成分析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展示筛选时间段内各费用类型的金额及占比、药占比与耗占比趋势，支持按病例类型选择统计范围。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全院资源使用效率分析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展示筛选时间段内次均费用与平均住院日趋势，支持与往年同期比较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全院病组构成分析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展示筛选时间段内各RW区间病组分布及科室分布情况，RW区间支持自定义调整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全院病历质量分析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展示筛选时间段内影响分组的问题病例数以及权重变化趋势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科室综合分析</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科室对比分析</w:t>
            </w:r>
          </w:p>
        </w:tc>
        <w:tc>
          <w:tcPr>
            <w:tcW w:w="6834" w:type="dxa"/>
            <w:noWrap w:val="0"/>
            <w:vAlign w:val="center"/>
          </w:tcPr>
          <w:p>
            <w:pPr>
              <w:spacing w:line="48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color w:val="auto"/>
                <w:sz w:val="24"/>
                <w:szCs w:val="24"/>
                <w:highlight w:val="none"/>
              </w:rPr>
              <w:t>展示科室病例数、结余、CMI、各病例类型占比、15天再入院病例数等DRG相关指标数据对比，支持下钻，自动生成科室的分析报表</w:t>
            </w:r>
            <w:r>
              <w:rPr>
                <w:rFonts w:hint="eastAsia" w:ascii="仿宋" w:hAnsi="仿宋" w:eastAsia="仿宋" w:cs="仿宋"/>
                <w:color w:val="auto"/>
                <w:sz w:val="24"/>
                <w:szCs w:val="24"/>
                <w:highlight w:val="none"/>
              </w:rPr>
              <w:br w:type="textWrapping"/>
            </w:r>
            <w:r>
              <w:rPr>
                <w:rFonts w:hint="eastAsia" w:ascii="仿宋" w:hAnsi="仿宋" w:eastAsia="仿宋" w:cs="仿宋"/>
                <w:bCs/>
                <w:color w:val="auto"/>
                <w:sz w:val="24"/>
                <w:szCs w:val="24"/>
                <w:highlight w:val="none"/>
                <w:lang w:val="en-US" w:eastAsia="zh-CN"/>
              </w:rPr>
              <w:t>2.</w:t>
            </w:r>
            <w:r>
              <w:rPr>
                <w:rFonts w:hint="eastAsia" w:ascii="仿宋" w:hAnsi="仿宋" w:eastAsia="仿宋" w:cs="仿宋"/>
                <w:color w:val="auto"/>
                <w:sz w:val="24"/>
                <w:szCs w:val="24"/>
                <w:highlight w:val="none"/>
              </w:rPr>
              <w:t>支持快捷筛选，包括超支科室、结余科室、环比结余减少、药耗占比超过参考值等；支持年/季/月时间区间、病例范围筛选；支持模糊搜索科室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列表表头支持自定义，包含表头字段是否显示和排序的设置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支持数据下载</w:t>
            </w:r>
            <w:r>
              <w:rPr>
                <w:rFonts w:hint="eastAsia" w:ascii="仿宋" w:hAnsi="仿宋" w:eastAsia="仿宋" w:cs="仿宋"/>
                <w:color w:val="auto"/>
                <w:sz w:val="24"/>
                <w:szCs w:val="24"/>
                <w:highlight w:val="none"/>
                <w:lang w:eastAsia="zh-CN"/>
              </w:rPr>
              <w:t>。</w:t>
            </w:r>
          </w:p>
          <w:p>
            <w:pPr>
              <w:spacing w:line="480" w:lineRule="auto"/>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Cs/>
                <w:color w:val="auto"/>
                <w:sz w:val="24"/>
                <w:szCs w:val="24"/>
                <w:highlight w:val="none"/>
                <w:lang w:val="en-US" w:eastAsia="zh-CN"/>
              </w:rPr>
              <w:t>医生对比分析：展示医生病例数、结余、费用极高极低病例占比等DRG相关指标数据对比，支持下钻，支持快捷筛选，包括超支医生、结余医生、环比结余减少、费用极高极低病例占比高于全院平均等；支持年/季/月时间区间、病例范围筛选；支持模糊搜索，列表表头支持自定义，包含表头字段是否显示设置和排序设置，支持数据下载。</w:t>
            </w:r>
            <w:r>
              <w:rPr>
                <w:rFonts w:hint="eastAsia" w:ascii="仿宋" w:hAnsi="仿宋" w:eastAsia="仿宋" w:cs="仿宋"/>
                <w:b/>
                <w:bCs w:val="0"/>
                <w:color w:val="auto"/>
                <w:sz w:val="24"/>
                <w:szCs w:val="24"/>
                <w:highlight w:val="none"/>
                <w:lang w:val="en-US" w:eastAsia="zh-CN"/>
              </w:rPr>
              <w:t>（需现场演示）</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2）医疗组对比分析：展示医疗组病例数、结余、CMI、各病例类型占比等DRG相关指标数据对比，支持下钻，支持快捷筛选，包括超支医疗组、结余医疗组、环比结余减少等；支持年/季/月时间区间、病例范围筛选；支持模糊搜索，列表表头支持自定义，包含表头字段是否显示和排序的设置，支持数据下载。</w:t>
            </w:r>
            <w:r>
              <w:rPr>
                <w:rFonts w:hint="eastAsia" w:ascii="仿宋" w:hAnsi="仿宋" w:eastAsia="仿宋" w:cs="仿宋"/>
                <w:b/>
                <w:bCs w:val="0"/>
                <w:color w:val="auto"/>
                <w:sz w:val="24"/>
                <w:szCs w:val="24"/>
                <w:highlight w:val="none"/>
                <w:lang w:val="en-US" w:eastAsia="zh-CN"/>
              </w:rPr>
              <w:t>（需现场演示）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按费用产生科室分析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[根据患者在各临床开单科室产生的费用占比，将DRG结余按比例分摊统计分析]</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展示按出院科室与按费用产生科室结余对比</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支持查看产生费用分摊病例明细，及病例在各科室的费用情况，支持下载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支持按时间、科室、病例范围等筛选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科室主页（科室下钻分析）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[单科室下DRG运营数据统计分析]</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总览：所选科室在所选时间段内DRG核心数据，包含病例数、CMI、结余、药耗占比、病组构成、平均住院日等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超支结余分析：所选科室在所选时间段内超支结余/次均结余趋势、超支结余病组分布及趋势、超支结余病例分布及趋势、病例类型分布及趋势；支持下钻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费用构成分析：所选科室在所选时间段内各种费用类型的金额及占比，药耗占比趋势，支持按病例类型选择统计范围</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病组构成分析：通过矩阵象限，分析所选科室优势病组、劣势病组；支持数据对比与下钻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资源使用效率分析：所选科室所在时间段内平均住院日趋势、次均费用趋势，支持与参考值对比</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病历质量分析：所选科室在所选时间段内影响分组的问题病例数趋势及具体原因、权重变化趋势、结余变化趋势</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病组列表：同科室下不同病组DRG运营数据对比，支持下载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医疗组列表：同科室下不同医疗组DRG运营数据对比，支持下载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医生列表：同科室下不同医生DRG运营数据对比，支持下载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病例列表：所选科室所选时间段内所有病例数据，支持筛选、查看详情、下载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病组综合分析</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病组对比分析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展示病组病例数、结余、病组权重、时间消耗指数、费用消耗指数等医保DRG相关指标数据对比，支持下钻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支持快捷筛选，包括超支病组、结余病组、不同RW区间等；支持年/季/月时间区间、病例范围筛选；支持模糊搜索病组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列表表头支持自定义，包含表头字段是否显示和排序的设置</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支持数据下载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病组主页（病组下钻分析）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[单病组下DRG运营数据统计分析]</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总览：所选病组在所选时间段内DRG核心数据，包含病例数、RW、结余、药耗占比、病组构成、平均住院日等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超支结余分析：所选病组在所选时间段内超支结余/次均结余趋势、超支结余病例分布及趋势、病例类型分布及趋势；支持下钻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费用构成分析：所选病组在所选时间段内各种费用类型的金额、占比及超支影响率，药耗占比趋势，支持按病例类型选择统计范围</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资源使用效率分析：所选科室所在时间段内平均住院日趋势、次均费用趋势</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科室列表：同病组下不同科室DRG运营数据对比，支持下载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医疗组列表：同病组下不同医疗组DRG运营数据对比，支持下载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病例列表：所选病组所选时间段内所有病例数据，支持筛选、查看详情、下载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医疗组综合分析</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医疗组对比分析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展示医疗组病例数、结余、CMI、各病例类型占比等DRG相关指标数据对比，支持下钻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支持快捷筛选，包括超支医疗组、结余医疗组、环比结余减少等；支持年/季/月时间区间、病例范围筛选；支持模糊搜索医疗组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列表表头支持自定义，包含表头字段是否显示和排序的设置</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支持数据下载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医疗组主页（医疗组下钻分析）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[单医疗组下DRG运营数据统计分析]</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总览：所选医疗组在所选时间段内DRG核心数据，包含病例数、CMI、结余、药耗占比、病组构成、平均住院日等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超支结余分析：所选医疗组在所选时间段内超支结余/次均结余趋势、超支结余病组分布及趋势、超支结余病例分布及趋势、病例类型分布及趋势；支持下钻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费用构成分析：所选医疗组在所选时间段内各种费用类型的金额及占比，药耗占比趋势，支持按病例类型选择统计范围</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病组构成分析：通过矩阵象限，分析所选医疗组优势病组、劣势病组；支持数据对比与下钻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资源使用效率分析：所选医疗组所在时间段内平均住院日趋势、次均费用趋势</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病组列表：同医疗组下不同病组DRG运营数据对比，支持下载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医生列表：同医疗组下不同医生DRG运营数据对比，支持下载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病例列表：所选医疗组所选时间段内所有病例数据，支持筛选、查看详情、下载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医生综合分析</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医生对比分析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展示医生病例数、结余、费用极高极低病例占比等DRG相关指标数据对比，支持下钻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支持快捷筛选，包括超支医生、结余医生、环比结余减少、费用极高极低病例占比高于全院平均等；支持年/季/月时间区间、病例范围筛选；支持模糊搜索医生</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列表表头支持自定义，包含表头字段是否显示设置和排序设置</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支持数据下载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学科发展分析</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学科覆盖度分析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根据MDC维度，分析医院病组覆盖度、医院病例覆盖度，以此反映医院学科广度；支持下载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科室评价</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通过波士顿矩阵，分析在医保DRG下相对优势的科室、劣势的科室；支持指标组合维度切换、原点自定义；支持数据下钻与下载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病组评价</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通过波士顿矩阵，分析在医保DRG下医院的优势病组、劣势病组；支持指标组合维度切换、原点自定义；支持数据下钻与下载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病例综合查询</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病例数据查询与下载</w:t>
            </w:r>
          </w:p>
        </w:tc>
        <w:tc>
          <w:tcPr>
            <w:tcW w:w="6834" w:type="dxa"/>
            <w:noWrap w:val="0"/>
            <w:vAlign w:val="center"/>
          </w:tcPr>
          <w:p>
            <w:pPr>
              <w:numPr>
                <w:ilvl w:val="0"/>
                <w:numId w:val="0"/>
              </w:num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color w:val="auto"/>
                <w:sz w:val="24"/>
                <w:szCs w:val="24"/>
                <w:highlight w:val="none"/>
              </w:rPr>
              <w:t>展示病例明细数据，支持查看详情，包含DRG分组、诊断/手术、费用占比及明细等</w:t>
            </w:r>
            <w:r>
              <w:rPr>
                <w:rFonts w:hint="eastAsia" w:ascii="仿宋" w:hAnsi="仿宋" w:eastAsia="仿宋" w:cs="仿宋"/>
                <w:color w:val="auto"/>
                <w:sz w:val="24"/>
                <w:szCs w:val="24"/>
                <w:highlight w:val="none"/>
                <w:lang w:eastAsia="zh-CN"/>
              </w:rPr>
              <w:t>信息。</w:t>
            </w:r>
          </w:p>
          <w:p>
            <w:pPr>
              <w:numPr>
                <w:ilvl w:val="0"/>
                <w:numId w:val="0"/>
              </w:numPr>
              <w:spacing w:line="360" w:lineRule="auto"/>
              <w:jc w:val="both"/>
              <w:rPr>
                <w:rFonts w:hint="eastAsia" w:ascii="仿宋" w:hAnsi="仿宋" w:eastAsia="仿宋" w:cs="仿宋"/>
                <w:b/>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如： 在详细的病例列表数据中，可以查看病例详情；①支持查看该患者的历史信息查看；②可以多种结算类型的切换查看（特别的，包括床日结算和中医结算）；③模拟主诊主手，支持上下自由移动主诊/次诊、主手/次手。</w:t>
            </w:r>
            <w:r>
              <w:rPr>
                <w:rFonts w:hint="eastAsia" w:ascii="仿宋" w:hAnsi="仿宋" w:eastAsia="仿宋" w:cs="仿宋"/>
                <w:b/>
                <w:bCs w:val="0"/>
                <w:color w:val="auto"/>
                <w:sz w:val="24"/>
                <w:szCs w:val="24"/>
                <w:highlight w:val="none"/>
                <w:lang w:val="en-US" w:eastAsia="zh-CN"/>
              </w:rPr>
              <w:t>（需现场演示）</w:t>
            </w:r>
          </w:p>
          <w:p>
            <w:pPr>
              <w:numPr>
                <w:ilvl w:val="0"/>
                <w:numId w:val="0"/>
              </w:num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支持按病例类型、15天再入院病例、科室等条件组合筛选；支持按住院号/患者姓名等模糊搜索病例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支持数据下载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指标综合查询</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指标选择与下载</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展示所有DRG相关指标，支持自由选择指标组合、调整指标顺序生成报表</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支持保存指标报表模板，用于重复下载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指标导出支持自定义数据范围、时间范围、导出维度（全院/科室/病组等）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09"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医保结算管理</w:t>
            </w:r>
          </w:p>
        </w:tc>
        <w:tc>
          <w:tcPr>
            <w:tcW w:w="1311"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上报前清单/首页管理</w:t>
            </w:r>
          </w:p>
        </w:tc>
        <w:tc>
          <w:tcPr>
            <w:tcW w:w="1305"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风险病例审查</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支持按病例类型、质控异常、再入院等条件筛选风险病例</w:t>
            </w:r>
            <w:r>
              <w:rPr>
                <w:rFonts w:hint="eastAsia" w:ascii="仿宋" w:hAnsi="仿宋" w:eastAsia="仿宋" w:cs="仿宋"/>
                <w:color w:val="auto"/>
                <w:sz w:val="24"/>
                <w:szCs w:val="24"/>
                <w:highlight w:val="none"/>
              </w:rPr>
              <w:br w:type="textWrapping"/>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支持查看病例DRG分组、诊断/手术/操作、费用明细等数据，用于病例数据合规性审查</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支持数据下载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支持调整诊断、手术、操作进行模拟分组（根据医保文件变化及时进行分组规则更新）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结算清单质控</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根据“医疗保障基金结算清单填写规范-国家医疗保障局医保办发2021年34号文件”及病案首页规则质控医保结算清单，支持查看结算清单内容及质控问题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11"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结算导入管理</w:t>
            </w: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月度结算单导入</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用于导入医保局下发的月度实际结算单，导入后系统中将以实际数据做统计分析；支持导入异常数据的手动处理机制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0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费率管理</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设置医院级别费率、基础费率，支持区分按按医保种类分开录入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病案首页质控</w:t>
            </w:r>
          </w:p>
        </w:tc>
        <w:tc>
          <w:tcPr>
            <w:tcW w:w="1311" w:type="dxa"/>
            <w:vMerge w:val="restar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病案首页质控（</w:t>
            </w:r>
            <w:r>
              <w:rPr>
                <w:rFonts w:hint="eastAsia" w:ascii="仿宋" w:hAnsi="仿宋" w:eastAsia="仿宋" w:cs="仿宋"/>
                <w:color w:val="auto"/>
                <w:sz w:val="24"/>
                <w:szCs w:val="24"/>
                <w:highlight w:val="none"/>
                <w:lang w:eastAsia="zh-CN"/>
              </w:rPr>
              <w:t>非独立系统，</w:t>
            </w:r>
            <w:r>
              <w:rPr>
                <w:rFonts w:hint="eastAsia" w:ascii="仿宋" w:hAnsi="仿宋" w:eastAsia="仿宋" w:cs="仿宋"/>
                <w:color w:val="auto"/>
                <w:sz w:val="24"/>
                <w:szCs w:val="24"/>
                <w:highlight w:val="none"/>
              </w:rPr>
              <w:t>所有功能集成在整个系统中）</w:t>
            </w: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首页预分组</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★系统支持对病案首页同时进行CHS-DRG、</w:t>
            </w:r>
            <w:r>
              <w:rPr>
                <w:rFonts w:hint="eastAsia" w:ascii="仿宋" w:hAnsi="仿宋" w:eastAsia="仿宋" w:cs="仿宋"/>
                <w:strike w:val="0"/>
                <w:dstrike w:val="0"/>
                <w:color w:val="auto"/>
                <w:sz w:val="24"/>
                <w:szCs w:val="24"/>
                <w:highlight w:val="none"/>
              </w:rPr>
              <w:t>CN-DRG</w:t>
            </w:r>
            <w:r>
              <w:rPr>
                <w:rFonts w:hint="eastAsia" w:ascii="仿宋" w:hAnsi="仿宋" w:eastAsia="仿宋" w:cs="仿宋"/>
                <w:color w:val="auto"/>
                <w:sz w:val="24"/>
                <w:szCs w:val="24"/>
                <w:highlight w:val="none"/>
              </w:rPr>
              <w:t>预分组，且可一键切换查看。同时提供当前预分组的总费用/药耗标杆、更多组合、重点跟踪风险标签。其中：1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CHS-DRG分组器：使用</w:t>
            </w:r>
            <w:r>
              <w:rPr>
                <w:rFonts w:hint="eastAsia" w:ascii="仿宋" w:hAnsi="仿宋" w:eastAsia="仿宋" w:cs="仿宋"/>
                <w:color w:val="auto"/>
                <w:sz w:val="24"/>
                <w:szCs w:val="24"/>
                <w:highlight w:val="none"/>
                <w:lang w:eastAsia="zh-CN"/>
              </w:rPr>
              <w:t>本地版</w:t>
            </w:r>
            <w:r>
              <w:rPr>
                <w:rFonts w:hint="eastAsia" w:ascii="仿宋" w:hAnsi="仿宋" w:eastAsia="仿宋" w:cs="仿宋"/>
                <w:color w:val="auto"/>
                <w:sz w:val="24"/>
                <w:szCs w:val="24"/>
                <w:highlight w:val="none"/>
              </w:rPr>
              <w:t>CHS分组器，</w:t>
            </w:r>
            <w:r>
              <w:rPr>
                <w:rFonts w:hint="eastAsia" w:ascii="仿宋" w:hAnsi="仿宋" w:eastAsia="仿宋" w:cs="仿宋"/>
                <w:color w:val="auto"/>
                <w:sz w:val="24"/>
                <w:szCs w:val="24"/>
                <w:highlight w:val="none"/>
                <w:lang w:eastAsia="zh-CN"/>
              </w:rPr>
              <w:t>根据局端规则及时调整或升级，保证院端分组器和本地局端分组器一致率大于</w:t>
            </w: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标杆：提供本地标杆并支持由我院提供的数据标杆。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DRG入组结构</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★支持通过树状图及折线图，直观展示本院、各科室病案的入组结构及变化趋势。支持按院内科室、医疗付款方式、月份/文件批次筛选统计范围。支持CN、CHS两类风险统计报表切换。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问题分析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基于质控结果，统计分析全院、科室、编码员等维度的问题情况。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医保结算清单生成</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系统支持通过清单单独生成及基于病案数据结合生成方式进行医保结算清单生成，并支持选择当地地区特定模版进行生成及界面展示。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医生端实时质控</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可嵌入院内HIS/EMR系统的质控预警（需接口配合），支持实时查看单份病例的病历质控异常信息；根据（国卫办医发2016年24号文件-住院病案首页数据填写质量规范进行病案质控（根据文件变化及时进行质控规则更新），并将结果通过信息化手段实时反馈给临床医生，临床医生可以有针对性的修改，形成闭环管理。病案首页质控规则需要为中国病案委员会认证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提交归档前质控</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临床提交病历前查看病历质控问题，确保问题病例不出科。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病案端实时质控</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提供可嵌入院内病案编码系统的质控页面（需接口配合），支持实时查看单份病例的DRG预测分组信息，质控结果信息（含未入组原因），患者费用信息，支持编码端进行修改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上报前异常病历质控</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医保结算清单/病案首页质控人员在上报前集中查看异常病历情况，包括异常分类，质控结果信息，是否影响分组；同时可提供CN-DRG数据及首页质控查询，并可提取相关数据。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质控前后对比</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提供临床诊断与病案编码不一致提醒，包括质控前后分组变化、分值变化、诊断手术变化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质控结果统计</w:t>
            </w:r>
          </w:p>
        </w:tc>
        <w:tc>
          <w:tcPr>
            <w:tcW w:w="6834" w:type="dxa"/>
            <w:noWrap w:val="0"/>
            <w:vAlign w:val="center"/>
          </w:tcPr>
          <w:p>
            <w:pPr>
              <w:pStyle w:val="57"/>
              <w:tabs>
                <w:tab w:val="left" w:pos="422"/>
              </w:tabs>
              <w:autoSpaceDE/>
              <w:autoSpaceDN/>
              <w:spacing w:line="360" w:lineRule="auto"/>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支持按月查询质控问题病例，提供病案首页校验结果查询功能，可查看已经执行过病案首页校验的数据错误情况，支持院端、职能科室、临床科室、医生组、医生多个层级查看</w:t>
            </w:r>
            <w:r>
              <w:rPr>
                <w:rFonts w:hint="eastAsia" w:ascii="仿宋" w:hAnsi="仿宋" w:eastAsia="仿宋" w:cs="仿宋"/>
                <w:color w:val="auto"/>
                <w:sz w:val="24"/>
                <w:szCs w:val="24"/>
                <w:highlight w:val="none"/>
                <w:lang w:val="en-US"/>
              </w:rPr>
              <w:t>DRG数据分析（含电脑端及手机端），</w:t>
            </w:r>
            <w:r>
              <w:rPr>
                <w:rFonts w:hint="eastAsia" w:ascii="仿宋" w:hAnsi="仿宋" w:eastAsia="仿宋" w:cs="仿宋"/>
                <w:color w:val="auto"/>
                <w:sz w:val="24"/>
                <w:szCs w:val="24"/>
                <w:highlight w:val="none"/>
              </w:rPr>
              <w:t>支持以医生、科室、时间的维度进行查询。按问题类型过滤问题病例，支持按自定义表头下载；能从首页中抓取</w:t>
            </w:r>
            <w:r>
              <w:rPr>
                <w:rFonts w:hint="eastAsia" w:ascii="仿宋" w:hAnsi="仿宋" w:eastAsia="仿宋" w:cs="仿宋"/>
                <w:color w:val="auto"/>
                <w:sz w:val="24"/>
                <w:szCs w:val="24"/>
                <w:highlight w:val="none"/>
                <w:lang w:val="en-US"/>
              </w:rPr>
              <w:t>主要诊断选择正确率及主要编码选择正确率。</w:t>
            </w:r>
          </w:p>
          <w:p>
            <w:pPr>
              <w:pStyle w:val="57"/>
              <w:tabs>
                <w:tab w:val="left" w:pos="422"/>
              </w:tabs>
              <w:autoSpaceDE/>
              <w:autoSpaceDN/>
              <w:spacing w:line="360" w:lineRule="auto"/>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支持双首页诊断手术操作对比分析。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质控规则库</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支持医保上传接口规则、专家知识库质控规则、大数据机器学习质控规则、费用与诊断手术关联算法规则；定期维护更新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规则自定义增加</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提供规则自定义增加功能，包括定义规则分类、名称、逻辑公式、提示内容、提示场景等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709"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11" w:type="dxa"/>
            <w:vMerge w:val="continue"/>
            <w:noWrap w:val="0"/>
            <w:vAlign w:val="center"/>
          </w:tcPr>
          <w:p>
            <w:pPr>
              <w:spacing w:line="360" w:lineRule="auto"/>
              <w:jc w:val="both"/>
              <w:rPr>
                <w:rFonts w:hint="eastAsia" w:ascii="仿宋" w:hAnsi="仿宋" w:eastAsia="仿宋" w:cs="仿宋"/>
                <w:color w:val="auto"/>
                <w:sz w:val="24"/>
                <w:szCs w:val="24"/>
                <w:highlight w:val="none"/>
              </w:rPr>
            </w:pPr>
          </w:p>
        </w:tc>
        <w:tc>
          <w:tcPr>
            <w:tcW w:w="1305"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规则停用启用</w:t>
            </w:r>
          </w:p>
        </w:tc>
        <w:tc>
          <w:tcPr>
            <w:tcW w:w="6834" w:type="dxa"/>
            <w:noWrap w:val="0"/>
            <w:vAlign w:val="center"/>
          </w:tcPr>
          <w:p>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支持规则按大类进行停用/启用</w:t>
            </w:r>
            <w:r>
              <w:rPr>
                <w:rFonts w:hint="eastAsia" w:ascii="仿宋" w:hAnsi="仿宋" w:eastAsia="仿宋" w:cs="仿宋"/>
                <w:color w:val="auto"/>
                <w:sz w:val="24"/>
                <w:szCs w:val="24"/>
                <w:highlight w:val="none"/>
                <w:lang w:eastAsia="zh-CN"/>
              </w:rPr>
              <w:t>；</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支持在“质检结果”查看时，对应规则细则关闭，关闭后可在系统设置模块重新开启；</w:t>
            </w:r>
          </w:p>
          <w:p>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支持规则在不同系统模块启用/停用设置</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0" w:type="dxa"/>
            <w:gridSpan w:val="2"/>
            <w:vMerge w:val="restart"/>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系统设置</w:t>
            </w: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费用构成规则设置</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自定义设置费用类型，系统将根据该费用类型统计费用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20" w:type="dxa"/>
            <w:gridSpan w:val="2"/>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事中费用预警设置</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支持设置费用极高预警、费用极地预警、超支风险三类费用预警的规则与生效范围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20" w:type="dxa"/>
            <w:gridSpan w:val="2"/>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305"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医保审核规则设置</w:t>
            </w:r>
          </w:p>
        </w:tc>
        <w:tc>
          <w:tcPr>
            <w:tcW w:w="6834" w:type="dxa"/>
            <w:noWrap w:val="0"/>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支持不同地区医保对医院监管审核规则的设置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20" w:type="dxa"/>
            <w:gridSpan w:val="2"/>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培训要求</w:t>
            </w:r>
          </w:p>
        </w:tc>
        <w:tc>
          <w:tcPr>
            <w:tcW w:w="8139" w:type="dxa"/>
            <w:gridSpan w:val="2"/>
            <w:noWrap w:val="0"/>
            <w:vAlign w:val="center"/>
          </w:tcPr>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培训方式：免费现场培训与集中培训，制定培训计划。</w:t>
            </w:r>
          </w:p>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培训人员：系统管理员、管理人员、操作使用人员。</w:t>
            </w:r>
          </w:p>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培训内容：系统中涉及的相关技术内容；系统流程</w:t>
            </w:r>
            <w:r>
              <w:rPr>
                <w:rFonts w:hint="eastAsia" w:ascii="仿宋" w:hAnsi="仿宋" w:eastAsia="仿宋" w:cs="仿宋"/>
                <w:color w:val="auto"/>
                <w:sz w:val="24"/>
                <w:szCs w:val="24"/>
                <w:highlight w:val="none"/>
                <w:lang w:eastAsia="zh-CN"/>
              </w:rPr>
              <w:t>、相关政策、业务</w:t>
            </w:r>
            <w:r>
              <w:rPr>
                <w:rFonts w:hint="eastAsia" w:ascii="仿宋" w:hAnsi="仿宋" w:eastAsia="仿宋" w:cs="仿宋"/>
                <w:color w:val="auto"/>
                <w:sz w:val="24"/>
                <w:szCs w:val="24"/>
                <w:highlight w:val="none"/>
              </w:rPr>
              <w:t>和相关管理思想；系统的使用操作。</w:t>
            </w:r>
          </w:p>
          <w:p>
            <w:pPr>
              <w:spacing w:line="440" w:lineRule="exact"/>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现场培训：</w:t>
            </w:r>
            <w:r>
              <w:rPr>
                <w:rFonts w:hint="eastAsia" w:ascii="仿宋" w:hAnsi="仿宋" w:eastAsia="仿宋" w:cs="仿宋"/>
                <w:color w:val="auto"/>
                <w:sz w:val="24"/>
                <w:szCs w:val="24"/>
                <w:highlight w:val="none"/>
                <w:lang w:val="zh-CN"/>
              </w:rPr>
              <w:t>在</w:t>
            </w:r>
            <w:r>
              <w:rPr>
                <w:rFonts w:hint="eastAsia" w:ascii="仿宋" w:hAnsi="仿宋" w:eastAsia="仿宋" w:cs="仿宋"/>
                <w:color w:val="auto"/>
                <w:sz w:val="24"/>
                <w:szCs w:val="24"/>
                <w:highlight w:val="none"/>
              </w:rPr>
              <w:t>系统</w:t>
            </w:r>
            <w:r>
              <w:rPr>
                <w:rFonts w:hint="eastAsia" w:ascii="仿宋" w:hAnsi="仿宋" w:eastAsia="仿宋" w:cs="仿宋"/>
                <w:color w:val="auto"/>
                <w:sz w:val="24"/>
                <w:szCs w:val="24"/>
                <w:highlight w:val="none"/>
                <w:lang w:val="zh-CN"/>
              </w:rPr>
              <w:t>进行现场安装、调试时，</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安排工程技术、</w:t>
            </w:r>
            <w:r>
              <w:rPr>
                <w:rFonts w:hint="eastAsia" w:ascii="仿宋" w:hAnsi="仿宋" w:eastAsia="仿宋" w:cs="仿宋"/>
                <w:color w:val="auto"/>
                <w:sz w:val="24"/>
                <w:szCs w:val="24"/>
                <w:highlight w:val="none"/>
              </w:rPr>
              <w:t>系统管理、</w:t>
            </w:r>
            <w:r>
              <w:rPr>
                <w:rFonts w:hint="eastAsia" w:ascii="仿宋" w:hAnsi="仿宋" w:eastAsia="仿宋" w:cs="仿宋"/>
                <w:color w:val="auto"/>
                <w:sz w:val="24"/>
                <w:szCs w:val="24"/>
                <w:highlight w:val="none"/>
                <w:lang w:val="zh-CN"/>
              </w:rPr>
              <w:t>操作使用人员一同参与，乙方安排有经验的工程师免费给予甲方相关人员进行必要的培训。</w:t>
            </w:r>
          </w:p>
          <w:p>
            <w:pPr>
              <w:spacing w:line="440" w:lineRule="exact"/>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集中培训：对甲方的系统管理员、管理人员、操作使用人员，进行1至2天的集中培训，</w:t>
            </w:r>
            <w:r>
              <w:rPr>
                <w:rFonts w:hint="eastAsia" w:ascii="仿宋" w:hAnsi="仿宋" w:eastAsia="仿宋" w:cs="仿宋"/>
                <w:color w:val="auto"/>
                <w:sz w:val="24"/>
                <w:szCs w:val="24"/>
                <w:highlight w:val="none"/>
                <w:lang w:val="zh-CN"/>
              </w:rPr>
              <w:t>并提供中文版的培训材料。</w:t>
            </w:r>
          </w:p>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培训内容包括：了解</w:t>
            </w:r>
            <w:r>
              <w:rPr>
                <w:rFonts w:hint="eastAsia" w:ascii="仿宋" w:hAnsi="仿宋" w:eastAsia="仿宋" w:cs="仿宋"/>
                <w:color w:val="auto"/>
                <w:sz w:val="24"/>
                <w:szCs w:val="24"/>
                <w:highlight w:val="none"/>
              </w:rPr>
              <w:t>系统</w:t>
            </w:r>
            <w:r>
              <w:rPr>
                <w:rFonts w:hint="eastAsia" w:ascii="仿宋" w:hAnsi="仿宋" w:eastAsia="仿宋" w:cs="仿宋"/>
                <w:color w:val="auto"/>
                <w:sz w:val="24"/>
                <w:szCs w:val="24"/>
                <w:highlight w:val="none"/>
                <w:lang w:val="zh-CN"/>
              </w:rPr>
              <w:t>的原理、结构，能够较为熟练地操作；使用所有相关工具、仪器和仪表，测试设备的实际性能参数；掌握故障识别和定位；系统软件升级，能够重新配置系统或子系统，以恢复系统正常运行。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20" w:type="dxa"/>
            <w:gridSpan w:val="2"/>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售后服务</w:t>
            </w:r>
          </w:p>
        </w:tc>
        <w:tc>
          <w:tcPr>
            <w:tcW w:w="8139" w:type="dxa"/>
            <w:gridSpan w:val="2"/>
            <w:noWrap/>
            <w:vAlign w:val="center"/>
          </w:tcPr>
          <w:p>
            <w:pPr>
              <w:spacing w:line="440" w:lineRule="exact"/>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系统软件验收前和</w:t>
            </w:r>
            <w:r>
              <w:rPr>
                <w:rFonts w:hint="eastAsia" w:ascii="仿宋" w:hAnsi="仿宋" w:eastAsia="仿宋" w:cs="仿宋"/>
                <w:color w:val="auto"/>
                <w:sz w:val="24"/>
                <w:szCs w:val="24"/>
                <w:highlight w:val="none"/>
              </w:rPr>
              <w:t>质量保修期</w:t>
            </w:r>
            <w:r>
              <w:rPr>
                <w:rFonts w:hint="eastAsia" w:ascii="仿宋" w:hAnsi="仿宋" w:eastAsia="仿宋" w:cs="仿宋"/>
                <w:color w:val="auto"/>
                <w:sz w:val="24"/>
                <w:szCs w:val="24"/>
                <w:highlight w:val="none"/>
                <w:lang w:val="zh-CN"/>
              </w:rPr>
              <w:t>期内的任何时候，要求</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zh-CN"/>
              </w:rPr>
              <w:t>对软件功能作不违背合同总体要求的适当的修改，以满足</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运营管理的需要，而</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zh-CN"/>
              </w:rPr>
              <w:t>并不得籍此要求增加费用或延长服务期。</w:t>
            </w:r>
          </w:p>
          <w:p>
            <w:pPr>
              <w:spacing w:line="440" w:lineRule="exact"/>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在</w:t>
            </w:r>
            <w:r>
              <w:rPr>
                <w:rFonts w:hint="eastAsia" w:ascii="仿宋" w:hAnsi="仿宋" w:eastAsia="仿宋" w:cs="仿宋"/>
                <w:color w:val="auto"/>
                <w:sz w:val="24"/>
                <w:szCs w:val="24"/>
                <w:highlight w:val="none"/>
              </w:rPr>
              <w:t>系统使用周</w:t>
            </w:r>
            <w:r>
              <w:rPr>
                <w:rFonts w:hint="eastAsia" w:ascii="仿宋" w:hAnsi="仿宋" w:eastAsia="仿宋" w:cs="仿宋"/>
                <w:color w:val="auto"/>
                <w:sz w:val="24"/>
                <w:szCs w:val="24"/>
                <w:highlight w:val="none"/>
                <w:lang w:val="zh-CN"/>
              </w:rPr>
              <w:t>期内，如果由于技术的发展与进步而引起软件版本的变化，</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zh-CN"/>
              </w:rPr>
              <w:t>必须免费升级软件，并提出正式书面报告交</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批准认可。</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zh-CN"/>
              </w:rPr>
              <w:t>不得擅自变更</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已经认可的任何资料。</w:t>
            </w:r>
          </w:p>
          <w:p>
            <w:pPr>
              <w:spacing w:line="440" w:lineRule="exact"/>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质量保修期（含维保服务）三年，</w:t>
            </w:r>
            <w:r>
              <w:rPr>
                <w:rFonts w:hint="eastAsia" w:ascii="仿宋" w:hAnsi="仿宋" w:eastAsia="仿宋" w:cs="仿宋"/>
                <w:color w:val="auto"/>
                <w:sz w:val="24"/>
                <w:szCs w:val="24"/>
                <w:highlight w:val="none"/>
                <w:lang w:val="zh-CN"/>
              </w:rPr>
              <w:t>时间从最终验收合格之日起计算。</w:t>
            </w:r>
          </w:p>
          <w:p>
            <w:pPr>
              <w:spacing w:line="440" w:lineRule="exact"/>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zh-CN"/>
              </w:rPr>
              <w:t>应负责设立维修服务机构，处理所有维修和技术支持服务。该机构必须备有足够的技术力量，以满足</w:t>
            </w:r>
            <w:r>
              <w:rPr>
                <w:rFonts w:hint="eastAsia" w:ascii="仿宋" w:hAnsi="仿宋" w:eastAsia="仿宋" w:cs="仿宋"/>
                <w:color w:val="auto"/>
                <w:sz w:val="24"/>
                <w:szCs w:val="24"/>
                <w:highlight w:val="none"/>
              </w:rPr>
              <w:t>系统</w:t>
            </w:r>
            <w:r>
              <w:rPr>
                <w:rFonts w:hint="eastAsia" w:ascii="仿宋" w:hAnsi="仿宋" w:eastAsia="仿宋" w:cs="仿宋"/>
                <w:color w:val="auto"/>
                <w:sz w:val="24"/>
                <w:szCs w:val="24"/>
                <w:highlight w:val="none"/>
                <w:lang w:val="zh-CN"/>
              </w:rPr>
              <w:t>的维修需要。</w:t>
            </w:r>
          </w:p>
          <w:p>
            <w:pPr>
              <w:spacing w:line="440" w:lineRule="exact"/>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质量保修期内（含质量保修期的维保服务），系统因任何技术、质量</w:t>
            </w:r>
            <w:r>
              <w:rPr>
                <w:rFonts w:hint="eastAsia" w:ascii="仿宋" w:hAnsi="仿宋" w:eastAsia="仿宋" w:cs="仿宋"/>
                <w:color w:val="auto"/>
                <w:sz w:val="24"/>
                <w:szCs w:val="24"/>
                <w:highlight w:val="none"/>
                <w:lang w:val="zh-CN"/>
              </w:rPr>
              <w:t>问题而产生故障影响正常运转，以及</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无法处理的问题，</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zh-CN"/>
              </w:rPr>
              <w:t>均应免费提供售后服务、及时解决</w:t>
            </w:r>
            <w:r>
              <w:rPr>
                <w:rFonts w:hint="eastAsia" w:ascii="仿宋" w:hAnsi="仿宋" w:eastAsia="仿宋" w:cs="仿宋"/>
                <w:color w:val="auto"/>
                <w:sz w:val="24"/>
                <w:szCs w:val="24"/>
                <w:highlight w:val="none"/>
              </w:rPr>
              <w:t>系统</w:t>
            </w:r>
            <w:r>
              <w:rPr>
                <w:rFonts w:hint="eastAsia" w:ascii="仿宋" w:hAnsi="仿宋" w:eastAsia="仿宋" w:cs="仿宋"/>
                <w:color w:val="auto"/>
                <w:sz w:val="24"/>
                <w:szCs w:val="24"/>
                <w:highlight w:val="none"/>
                <w:lang w:val="zh-CN"/>
              </w:rPr>
              <w:t>存在的各种问题。</w:t>
            </w:r>
          </w:p>
          <w:p>
            <w:pPr>
              <w:spacing w:line="440" w:lineRule="exact"/>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在</w:t>
            </w:r>
            <w:r>
              <w:rPr>
                <w:rFonts w:hint="eastAsia" w:ascii="仿宋" w:hAnsi="仿宋" w:eastAsia="仿宋" w:cs="仿宋"/>
                <w:color w:val="auto"/>
                <w:sz w:val="24"/>
                <w:szCs w:val="24"/>
                <w:highlight w:val="none"/>
              </w:rPr>
              <w:t>质量保修期</w:t>
            </w:r>
            <w:r>
              <w:rPr>
                <w:rFonts w:hint="eastAsia" w:ascii="仿宋" w:hAnsi="仿宋" w:eastAsia="仿宋" w:cs="仿宋"/>
                <w:color w:val="auto"/>
                <w:sz w:val="24"/>
                <w:szCs w:val="24"/>
                <w:highlight w:val="none"/>
                <w:lang w:val="zh-CN"/>
              </w:rPr>
              <w:t>内，</w:t>
            </w:r>
            <w:r>
              <w:rPr>
                <w:rFonts w:hint="eastAsia" w:ascii="仿宋" w:hAnsi="仿宋" w:eastAsia="仿宋" w:cs="仿宋"/>
                <w:color w:val="auto"/>
                <w:sz w:val="24"/>
                <w:szCs w:val="24"/>
                <w:highlight w:val="none"/>
              </w:rPr>
              <w:t>乙方必须对系统</w:t>
            </w:r>
            <w:r>
              <w:rPr>
                <w:rFonts w:hint="eastAsia" w:ascii="仿宋" w:hAnsi="仿宋" w:eastAsia="仿宋" w:cs="仿宋"/>
                <w:color w:val="auto"/>
                <w:sz w:val="24"/>
                <w:szCs w:val="24"/>
                <w:highlight w:val="none"/>
                <w:lang w:val="zh-CN"/>
              </w:rPr>
              <w:t>做定期检查和维护。</w:t>
            </w:r>
          </w:p>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每年需</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每月、季、半年、年</w:t>
            </w:r>
            <w:r>
              <w:rPr>
                <w:rFonts w:hint="eastAsia" w:ascii="仿宋" w:hAnsi="仿宋" w:eastAsia="仿宋" w:cs="仿宋"/>
                <w:color w:val="auto"/>
                <w:sz w:val="24"/>
                <w:szCs w:val="24"/>
                <w:highlight w:val="none"/>
              </w:rPr>
              <w:t>数据分析服务，分析医院病案首页质控，病组结构，学科建设</w:t>
            </w:r>
            <w:r>
              <w:rPr>
                <w:rFonts w:hint="eastAsia" w:ascii="仿宋" w:hAnsi="仿宋" w:eastAsia="仿宋" w:cs="仿宋"/>
                <w:color w:val="auto"/>
                <w:sz w:val="24"/>
                <w:szCs w:val="24"/>
                <w:highlight w:val="none"/>
                <w:lang w:eastAsia="zh-CN"/>
              </w:rPr>
              <w:t>、医保盈亏、</w:t>
            </w:r>
            <w:r>
              <w:rPr>
                <w:rFonts w:hint="eastAsia" w:ascii="仿宋" w:hAnsi="仿宋" w:eastAsia="仿宋" w:cs="仿宋"/>
                <w:color w:val="auto"/>
                <w:sz w:val="24"/>
                <w:szCs w:val="24"/>
                <w:highlight w:val="none"/>
              </w:rPr>
              <w:t>费用成本分析等存在问题，并配合医保</w:t>
            </w:r>
            <w:r>
              <w:rPr>
                <w:rFonts w:hint="eastAsia" w:ascii="仿宋" w:hAnsi="仿宋" w:eastAsia="仿宋" w:cs="仿宋"/>
                <w:color w:val="auto"/>
                <w:sz w:val="24"/>
                <w:szCs w:val="24"/>
                <w:highlight w:val="none"/>
                <w:lang w:val="en-US" w:eastAsia="zh-CN"/>
              </w:rPr>
              <w:t>办、</w:t>
            </w:r>
            <w:r>
              <w:rPr>
                <w:rFonts w:hint="eastAsia" w:ascii="仿宋" w:hAnsi="仿宋" w:eastAsia="仿宋" w:cs="仿宋"/>
                <w:color w:val="auto"/>
                <w:sz w:val="24"/>
                <w:szCs w:val="24"/>
                <w:highlight w:val="none"/>
              </w:rPr>
              <w:t>医务科、质控科、信息科下沉至临床科室进行软件系统应用培训，包括但不限于编码培训、DRG数据分析及系统操作等，提供后续决策依据。</w:t>
            </w:r>
          </w:p>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提供双首页功能，满足国家三级公立医院绩效考核，医保结算清单的生成和上传。</w:t>
            </w:r>
          </w:p>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可提供对标医院数据以进行数据对比及分析。</w:t>
            </w:r>
          </w:p>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在</w:t>
            </w:r>
            <w:r>
              <w:rPr>
                <w:rFonts w:hint="eastAsia" w:ascii="仿宋" w:hAnsi="仿宋" w:eastAsia="仿宋" w:cs="仿宋"/>
                <w:color w:val="auto"/>
                <w:sz w:val="24"/>
                <w:szCs w:val="24"/>
                <w:highlight w:val="none"/>
              </w:rPr>
              <w:t>质量保修期</w:t>
            </w:r>
            <w:r>
              <w:rPr>
                <w:rFonts w:hint="eastAsia" w:ascii="仿宋" w:hAnsi="仿宋" w:eastAsia="仿宋" w:cs="仿宋"/>
                <w:color w:val="auto"/>
                <w:sz w:val="24"/>
                <w:szCs w:val="24"/>
                <w:highlight w:val="none"/>
                <w:lang w:val="zh-CN"/>
              </w:rPr>
              <w:t>结束前，</w:t>
            </w:r>
            <w:r>
              <w:rPr>
                <w:rFonts w:hint="eastAsia" w:ascii="仿宋" w:hAnsi="仿宋" w:eastAsia="仿宋" w:cs="仿宋"/>
                <w:color w:val="auto"/>
                <w:sz w:val="24"/>
                <w:szCs w:val="24"/>
                <w:highlight w:val="none"/>
              </w:rPr>
              <w:t>由乙方</w:t>
            </w:r>
            <w:r>
              <w:rPr>
                <w:rFonts w:hint="eastAsia" w:ascii="仿宋" w:hAnsi="仿宋" w:eastAsia="仿宋" w:cs="仿宋"/>
                <w:color w:val="auto"/>
                <w:sz w:val="24"/>
                <w:szCs w:val="24"/>
                <w:highlight w:val="none"/>
                <w:lang w:val="zh-CN"/>
              </w:rPr>
              <w:t>和</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进行一次全面检查，任何缺陷必须由</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zh-CN"/>
              </w:rPr>
              <w:t>负责</w:t>
            </w:r>
            <w:r>
              <w:rPr>
                <w:rFonts w:hint="eastAsia" w:ascii="仿宋" w:hAnsi="仿宋" w:eastAsia="仿宋" w:cs="仿宋"/>
                <w:color w:val="auto"/>
                <w:sz w:val="24"/>
                <w:szCs w:val="24"/>
                <w:highlight w:val="none"/>
              </w:rPr>
              <w:t>修复</w:t>
            </w:r>
            <w:r>
              <w:rPr>
                <w:rFonts w:hint="eastAsia" w:ascii="仿宋" w:hAnsi="仿宋" w:eastAsia="仿宋" w:cs="仿宋"/>
                <w:color w:val="auto"/>
                <w:sz w:val="24"/>
                <w:szCs w:val="24"/>
                <w:highlight w:val="none"/>
                <w:lang w:val="zh-CN"/>
              </w:rPr>
              <w:t>。</w:t>
            </w:r>
          </w:p>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zh-CN"/>
              </w:rPr>
              <w:t>所有</w:t>
            </w:r>
            <w:r>
              <w:rPr>
                <w:rFonts w:hint="eastAsia" w:ascii="仿宋" w:hAnsi="仿宋" w:eastAsia="仿宋" w:cs="仿宋"/>
                <w:color w:val="auto"/>
                <w:sz w:val="24"/>
                <w:szCs w:val="24"/>
                <w:highlight w:val="none"/>
              </w:rPr>
              <w:t>售后</w:t>
            </w:r>
            <w:r>
              <w:rPr>
                <w:rFonts w:hint="eastAsia" w:ascii="仿宋" w:hAnsi="仿宋" w:eastAsia="仿宋" w:cs="仿宋"/>
                <w:color w:val="auto"/>
                <w:sz w:val="24"/>
                <w:szCs w:val="24"/>
                <w:highlight w:val="none"/>
                <w:lang w:val="zh-CN"/>
              </w:rPr>
              <w:t>服务必须是</w:t>
            </w:r>
            <w:r>
              <w:rPr>
                <w:rFonts w:hint="eastAsia" w:ascii="仿宋" w:hAnsi="仿宋" w:eastAsia="仿宋" w:cs="仿宋"/>
                <w:color w:val="auto"/>
                <w:sz w:val="24"/>
                <w:szCs w:val="24"/>
                <w:highlight w:val="none"/>
              </w:rPr>
              <w:t>日历天（含法定节假日）</w:t>
            </w:r>
            <w:r>
              <w:rPr>
                <w:rFonts w:hint="eastAsia" w:ascii="仿宋" w:hAnsi="仿宋" w:eastAsia="仿宋" w:cs="仿宋"/>
                <w:color w:val="auto"/>
                <w:sz w:val="24"/>
                <w:szCs w:val="24"/>
                <w:highlight w:val="none"/>
                <w:lang w:val="zh-CN"/>
              </w:rPr>
              <w:t>24小时“随传响应”，即在接到</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通知后</w:t>
            </w:r>
            <w:r>
              <w:rPr>
                <w:rFonts w:hint="eastAsia" w:ascii="仿宋" w:hAnsi="仿宋" w:eastAsia="仿宋" w:cs="仿宋"/>
                <w:color w:val="auto"/>
                <w:sz w:val="24"/>
                <w:szCs w:val="24"/>
                <w:highlight w:val="none"/>
              </w:rPr>
              <w:t>2小时内确定服务方案</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需要现场服务的4</w:t>
            </w:r>
            <w:r>
              <w:rPr>
                <w:rFonts w:hint="eastAsia" w:ascii="仿宋" w:hAnsi="仿宋" w:eastAsia="仿宋" w:cs="仿宋"/>
                <w:color w:val="auto"/>
                <w:sz w:val="24"/>
                <w:szCs w:val="24"/>
                <w:highlight w:val="none"/>
                <w:lang w:val="zh-CN"/>
              </w:rPr>
              <w:t>小时内提供现场服务，并必须连续进行，直至系统完全恢复正常为止。</w:t>
            </w:r>
            <w:r>
              <w:rPr>
                <w:rFonts w:hint="eastAsia" w:ascii="仿宋" w:hAnsi="仿宋" w:eastAsia="仿宋" w:cs="仿宋"/>
                <w:color w:val="auto"/>
                <w:sz w:val="24"/>
                <w:szCs w:val="24"/>
                <w:highlight w:val="none"/>
              </w:rPr>
              <w:t xml:space="preserve">重大问题处理时限不超过24小时，若48小时内不能修复，必须采取应急措施，提供应急使用方案。 </w:t>
            </w:r>
          </w:p>
          <w:p>
            <w:pPr>
              <w:spacing w:line="44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项目正式验收前乙方</w:t>
            </w:r>
            <w:r>
              <w:rPr>
                <w:rFonts w:hint="eastAsia" w:ascii="仿宋" w:hAnsi="仿宋" w:eastAsia="仿宋" w:cs="仿宋"/>
                <w:color w:val="auto"/>
                <w:sz w:val="24"/>
                <w:szCs w:val="24"/>
                <w:highlight w:val="none"/>
                <w:lang w:val="en-US" w:eastAsia="zh-CN"/>
              </w:rPr>
              <w:t>DRG系统及智能审核系统分别</w:t>
            </w:r>
            <w:r>
              <w:rPr>
                <w:rFonts w:hint="eastAsia" w:ascii="仿宋" w:hAnsi="仿宋" w:eastAsia="仿宋" w:cs="仿宋"/>
                <w:color w:val="auto"/>
                <w:sz w:val="24"/>
                <w:szCs w:val="24"/>
                <w:highlight w:val="none"/>
                <w:lang w:eastAsia="zh-CN"/>
              </w:rPr>
              <w:t>需提供至少</w:t>
            </w:r>
            <w:r>
              <w:rPr>
                <w:rFonts w:hint="eastAsia" w:ascii="仿宋" w:hAnsi="仿宋" w:eastAsia="仿宋" w:cs="仿宋"/>
                <w:color w:val="auto"/>
                <w:sz w:val="24"/>
                <w:szCs w:val="24"/>
                <w:highlight w:val="none"/>
                <w:lang w:val="en-US" w:eastAsia="zh-CN"/>
              </w:rPr>
              <w:t>1名工程师驻场服务；同时</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zh-CN"/>
              </w:rPr>
              <w:t>应提供固定的技术支持联系渠道（地址、电话、</w:t>
            </w:r>
            <w:r>
              <w:rPr>
                <w:rFonts w:hint="eastAsia" w:ascii="仿宋" w:hAnsi="仿宋" w:eastAsia="仿宋" w:cs="仿宋"/>
                <w:color w:val="auto"/>
                <w:sz w:val="24"/>
                <w:szCs w:val="24"/>
                <w:highlight w:val="none"/>
              </w:rPr>
              <w:t>微信</w:t>
            </w:r>
            <w:r>
              <w:rPr>
                <w:rFonts w:hint="eastAsia" w:ascii="仿宋" w:hAnsi="仿宋" w:eastAsia="仿宋" w:cs="仿宋"/>
                <w:color w:val="auto"/>
                <w:sz w:val="24"/>
                <w:szCs w:val="24"/>
                <w:highlight w:val="none"/>
                <w:lang w:val="zh-CN"/>
              </w:rPr>
              <w:t>），如有变化应及时书面通知</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ins w:id="0" w:author="小靖" w:date="2022-07-22T15:23:00Z"/>
        </w:trPr>
        <w:tc>
          <w:tcPr>
            <w:tcW w:w="2020" w:type="dxa"/>
            <w:gridSpan w:val="2"/>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8139" w:type="dxa"/>
            <w:gridSpan w:val="2"/>
            <w:noWrap/>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病案首页质控知识库院内本地化部署。</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系统</w:t>
            </w:r>
            <w:r>
              <w:rPr>
                <w:rFonts w:hint="eastAsia" w:ascii="仿宋" w:hAnsi="仿宋" w:eastAsia="仿宋" w:cs="仿宋"/>
                <w:color w:val="auto"/>
                <w:sz w:val="24"/>
                <w:szCs w:val="24"/>
                <w:highlight w:val="none"/>
                <w:lang w:eastAsia="zh-CN"/>
              </w:rPr>
              <w:t>根据中省市相关部门最新政策及乙方软件最新版本同步</w:t>
            </w:r>
            <w:r>
              <w:rPr>
                <w:rFonts w:hint="eastAsia" w:ascii="仿宋" w:hAnsi="仿宋" w:eastAsia="仿宋" w:cs="仿宋"/>
                <w:color w:val="auto"/>
                <w:sz w:val="24"/>
                <w:szCs w:val="24"/>
                <w:highlight w:val="none"/>
              </w:rPr>
              <w:t>保持更新（每年2次以上）。</w:t>
            </w:r>
          </w:p>
          <w:p>
            <w:pPr>
              <w:spacing w:line="360" w:lineRule="auto"/>
              <w:jc w:val="left"/>
              <w:rPr>
                <w:ins w:id="1" w:author="小靖" w:date="2022-07-22T15:23:00Z"/>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DRGs院内管理系统的分组器保持与区域端同步更新。</w:t>
            </w:r>
          </w:p>
        </w:tc>
      </w:tr>
    </w:tbl>
    <w:p>
      <w:pPr>
        <w:spacing w:line="480" w:lineRule="auto"/>
        <w:ind w:firstLine="480" w:firstLineChars="200"/>
        <w:outlineLvl w:val="1"/>
        <w:rPr>
          <w:rFonts w:hint="eastAsia" w:ascii="仿宋" w:hAnsi="仿宋" w:eastAsia="仿宋" w:cs="仿宋"/>
          <w:sz w:val="24"/>
          <w:szCs w:val="24"/>
          <w:highlight w:val="none"/>
          <w:lang w:val="en-US" w:eastAsia="zh-CN"/>
        </w:rPr>
      </w:pPr>
    </w:p>
    <w:p>
      <w:pPr>
        <w:keepNext/>
        <w:keepLines/>
        <w:pageBreakBefore w:val="0"/>
        <w:widowControl w:val="0"/>
        <w:kinsoku/>
        <w:wordWrap/>
        <w:overflowPunct/>
        <w:topLinePunct w:val="0"/>
        <w:autoSpaceDE/>
        <w:autoSpaceDN/>
        <w:bidi w:val="0"/>
        <w:adjustRightInd/>
        <w:snapToGrid/>
        <w:spacing w:before="0" w:after="0" w:line="560" w:lineRule="exact"/>
        <w:ind w:firstLine="420" w:firstLineChars="200"/>
        <w:jc w:val="both"/>
        <w:textAlignment w:val="auto"/>
        <w:outlineLvl w:val="9"/>
        <w:rPr>
          <w:rFonts w:hint="eastAsia" w:ascii="仿宋" w:hAnsi="仿宋" w:eastAsia="仿宋" w:cs="仿宋"/>
          <w:color w:val="000000" w:themeColor="text1"/>
          <w:kern w:val="0"/>
          <w:highlight w:val="none"/>
          <w14:textFill>
            <w14:solidFill>
              <w14:schemeClr w14:val="tx1"/>
            </w14:solidFill>
          </w14:textFill>
        </w:rPr>
      </w:pPr>
    </w:p>
    <w:p>
      <w:pPr>
        <w:pStyle w:val="12"/>
        <w:rPr>
          <w:rFonts w:hint="eastAsia"/>
          <w:highlight w:val="none"/>
        </w:rPr>
      </w:pPr>
    </w:p>
    <w:p>
      <w:pPr>
        <w:rPr>
          <w:rFonts w:hint="eastAsia" w:ascii="仿宋" w:hAnsi="仿宋" w:eastAsia="仿宋" w:cs="仿宋"/>
          <w:color w:val="000000" w:themeColor="text1"/>
          <w:kern w:val="0"/>
          <w:highlight w:val="none"/>
          <w14:textFill>
            <w14:solidFill>
              <w14:schemeClr w14:val="tx1"/>
            </w14:solidFill>
          </w14:textFill>
        </w:rPr>
      </w:pPr>
      <w:bookmarkStart w:id="50" w:name="_Toc21581"/>
      <w:r>
        <w:rPr>
          <w:rFonts w:hint="eastAsia" w:ascii="仿宋" w:hAnsi="仿宋" w:eastAsia="仿宋" w:cs="仿宋"/>
          <w:color w:val="000000" w:themeColor="text1"/>
          <w:kern w:val="0"/>
          <w:highlight w:val="none"/>
          <w14:textFill>
            <w14:solidFill>
              <w14:schemeClr w14:val="tx1"/>
            </w14:solidFill>
          </w14:textFill>
        </w:rPr>
        <w:br w:type="page"/>
      </w:r>
    </w:p>
    <w:p>
      <w:pPr>
        <w:pStyle w:val="3"/>
        <w:spacing w:before="0" w:after="0"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第四章   商务要求</w:t>
      </w:r>
      <w:bookmarkEnd w:id="50"/>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一、服务期限及地点：</w:t>
      </w:r>
      <w:bookmarkStart w:id="51" w:name="_Toc167712839"/>
      <w:bookmarkStart w:id="52" w:name="_Toc167715234"/>
      <w:bookmarkStart w:id="53" w:name="_Toc167714037"/>
    </w:p>
    <w:bookmarkEnd w:id="51"/>
    <w:bookmarkEnd w:id="52"/>
    <w:bookmarkEnd w:id="53"/>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自合同签订之日起60天内服务完毕</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2、交付地点：甲方指定地点。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val="en-US" w:eastAsia="zh-CN"/>
          <w14:textFill>
            <w14:solidFill>
              <w14:schemeClr w14:val="tx1"/>
            </w14:solidFill>
          </w14:textFill>
        </w:rPr>
      </w:pPr>
      <w:bookmarkStart w:id="54" w:name="_Toc167714041"/>
      <w:bookmarkStart w:id="55" w:name="_Toc167715238"/>
      <w:bookmarkStart w:id="56" w:name="_Toc167712843"/>
      <w:r>
        <w:rPr>
          <w:rFonts w:hint="eastAsia" w:ascii="仿宋" w:hAnsi="仿宋" w:eastAsia="仿宋" w:cs="仿宋"/>
          <w:b w:val="0"/>
          <w:bCs/>
          <w:color w:val="000000" w:themeColor="text1"/>
          <w:sz w:val="24"/>
          <w:highlight w:val="none"/>
          <w:lang w:val="en-US" w:eastAsia="zh-CN"/>
          <w14:textFill>
            <w14:solidFill>
              <w14:schemeClr w14:val="tx1"/>
            </w14:solidFill>
          </w14:textFill>
        </w:rPr>
        <w:t>合同签订后支付合同总金额的40%，剩余价款在项目验收合格无争议后一次性付清。</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、质量保证：</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eastAsia="zh-CN"/>
          <w14:textFill>
            <w14:solidFill>
              <w14:schemeClr w14:val="tx1"/>
            </w14:solidFill>
          </w14:textFill>
        </w:rPr>
        <w:t>成交</w:t>
      </w:r>
      <w:r>
        <w:rPr>
          <w:rFonts w:hint="eastAsia" w:ascii="仿宋" w:hAnsi="仿宋" w:eastAsia="仿宋" w:cs="仿宋"/>
          <w:color w:val="000000" w:themeColor="text1"/>
          <w:kern w:val="0"/>
          <w:sz w:val="24"/>
          <w:highlight w:val="none"/>
          <w14:textFill>
            <w14:solidFill>
              <w14:schemeClr w14:val="tx1"/>
            </w14:solidFill>
          </w14:textFill>
        </w:rPr>
        <w:t>单位所提供的项目成果必须经采购人审核验收，符合采购人要求，并达到技术指标先进、质量可靠、配置合理，满足</w:t>
      </w:r>
      <w:r>
        <w:rPr>
          <w:rFonts w:hint="eastAsia" w:ascii="仿宋" w:hAnsi="仿宋" w:eastAsia="仿宋" w:cs="仿宋"/>
          <w:color w:val="000000" w:themeColor="text1"/>
          <w:kern w:val="0"/>
          <w:sz w:val="24"/>
          <w:highlight w:val="none"/>
          <w:lang w:eastAsia="zh-CN"/>
          <w14:textFill>
            <w14:solidFill>
              <w14:schemeClr w14:val="tx1"/>
            </w14:solidFill>
          </w14:textFill>
        </w:rPr>
        <w:t>采购</w:t>
      </w:r>
      <w:r>
        <w:rPr>
          <w:rFonts w:hint="eastAsia" w:ascii="仿宋" w:hAnsi="仿宋" w:eastAsia="仿宋" w:cs="仿宋"/>
          <w:color w:val="000000" w:themeColor="text1"/>
          <w:kern w:val="0"/>
          <w:sz w:val="24"/>
          <w:highlight w:val="none"/>
          <w14:textFill>
            <w14:solidFill>
              <w14:schemeClr w14:val="tx1"/>
            </w14:solidFill>
          </w14:textFill>
        </w:rPr>
        <w:t>文件要求。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2、服务的质量必须符合国家标准和有关规范，确保服务达到最佳使用要求。</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四、</w:t>
      </w:r>
      <w:r>
        <w:rPr>
          <w:rFonts w:hint="eastAsia" w:ascii="仿宋" w:hAnsi="仿宋" w:eastAsia="仿宋" w:cs="仿宋"/>
          <w:b/>
          <w:color w:val="000000" w:themeColor="text1"/>
          <w:sz w:val="24"/>
          <w:highlight w:val="none"/>
          <w14:textFill>
            <w14:solidFill>
              <w14:schemeClr w14:val="tx1"/>
            </w14:solidFill>
          </w14:textFill>
        </w:rPr>
        <w:t>合同实施：</w:t>
      </w:r>
      <w:bookmarkStart w:id="57" w:name="_Toc167715264"/>
      <w:bookmarkStart w:id="58" w:name="_Toc167714067"/>
      <w:bookmarkStart w:id="59" w:name="_Toc167712869"/>
    </w:p>
    <w:bookmarkEnd w:id="57"/>
    <w:bookmarkEnd w:id="58"/>
    <w:bookmarkEnd w:id="59"/>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成交单位应在合同签订后七（7）个日历日内安排人员（项目组成人员简历表所列）与使用单位就</w:t>
      </w:r>
      <w:r>
        <w:rPr>
          <w:rFonts w:hint="eastAsia" w:ascii="仿宋" w:hAnsi="仿宋" w:eastAsia="仿宋" w:cs="仿宋"/>
          <w:color w:val="000000" w:themeColor="text1"/>
          <w:sz w:val="24"/>
          <w:highlight w:val="none"/>
          <w:lang w:val="en-US" w:eastAsia="zh-CN"/>
          <w14:textFill>
            <w14:solidFill>
              <w14:schemeClr w14:val="tx1"/>
            </w14:solidFill>
          </w14:textFill>
        </w:rPr>
        <w:t>项目实施</w:t>
      </w:r>
      <w:r>
        <w:rPr>
          <w:rFonts w:hint="eastAsia" w:ascii="仿宋" w:hAnsi="仿宋" w:eastAsia="仿宋" w:cs="仿宋"/>
          <w:color w:val="000000" w:themeColor="text1"/>
          <w:sz w:val="24"/>
          <w:highlight w:val="none"/>
          <w14:textFill>
            <w14:solidFill>
              <w14:schemeClr w14:val="tx1"/>
            </w14:solidFill>
          </w14:textFill>
        </w:rPr>
        <w:t>等工作进行安排、部署。</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2、若未能在项目周期内完成合同规定的义务，由此对采购人造成的延误和一切损失，由成交单位承担和赔偿。</w:t>
      </w:r>
      <w:bookmarkEnd w:id="54"/>
      <w:bookmarkEnd w:id="55"/>
      <w:bookmarkEnd w:id="56"/>
    </w:p>
    <w:p>
      <w:pPr>
        <w:spacing w:line="56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highlight w:val="none"/>
          <w14:textFill>
            <w14:solidFill>
              <w14:schemeClr w14:val="tx1"/>
            </w14:solidFill>
          </w14:textFill>
        </w:rPr>
        <w:t>、违约责任</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1、按</w:t>
      </w:r>
      <w:r>
        <w:rPr>
          <w:rFonts w:hint="eastAsia" w:ascii="仿宋" w:hAnsi="仿宋" w:eastAsia="仿宋" w:cs="仿宋"/>
          <w:color w:val="000000" w:themeColor="text1"/>
          <w:sz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z w:val="24"/>
          <w:highlight w:val="none"/>
          <w14:textFill>
            <w14:solidFill>
              <w14:schemeClr w14:val="tx1"/>
            </w14:solidFill>
          </w14:textFill>
        </w:rPr>
        <w:t>中的相关条款执行。</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2、按合同要求提供服务或服务质量不能满足技术要求，采购人有权终止合同，并对供</w:t>
      </w:r>
    </w:p>
    <w:p>
      <w:pPr>
        <w:spacing w:line="560" w:lineRule="exact"/>
        <w:jc w:val="lef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594995</wp:posOffset>
                </wp:positionV>
                <wp:extent cx="5487670" cy="493395"/>
                <wp:effectExtent l="4445" t="5080" r="13335" b="15875"/>
                <wp:wrapSquare wrapText="bothSides"/>
                <wp:docPr id="14" name="文本框 14"/>
                <wp:cNvGraphicFramePr/>
                <a:graphic xmlns:a="http://schemas.openxmlformats.org/drawingml/2006/main">
                  <a:graphicData uri="http://schemas.microsoft.com/office/word/2010/wordprocessingShape">
                    <wps:wsp>
                      <wps:cNvSpPr txBox="1"/>
                      <wps:spPr>
                        <a:xfrm>
                          <a:off x="1273175" y="2276475"/>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4.05pt;margin-top:46.85pt;height:38.85pt;width:432.1pt;mso-wrap-distance-bottom:0pt;mso-wrap-distance-left:9pt;mso-wrap-distance-right:9pt;mso-wrap-distance-top:0pt;z-index:251660288;mso-width-relative:page;mso-height-relative:page;" fillcolor="#FFFFFF" filled="t" stroked="t" coordsize="21600,21600" o:gfxdata="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wh9FNgAAAAIAQAADwAAAAAAAAABACAAAAAiAAAAZHJzL2Rvd25yZXYu&#10;eG1sUEsBAhQAFAAAAAgAh07iQHKFR+Q0AgAAegQAAA4AAAAAAAAAAQAgAAAAJwEAAGRycy9lMm9E&#10;b2MueG1sUEsFBgAAAAAGAAYAWQEAAM0FAAAAAA==&#10;">
                <v:fill on="t" focussize="0,0"/>
                <v:stroke color="#000000" joinstyle="miter"/>
                <v:imagedata o:title=""/>
                <o:lock v:ext="edit" aspectratio="f"/>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方违约行为进行追究，同时按《政府采购法》的有关规定进行处罚。</w:t>
      </w:r>
      <w:r>
        <w:rPr>
          <w:rFonts w:hint="eastAsia" w:ascii="仿宋" w:hAnsi="仿宋" w:eastAsia="仿宋" w:cs="仿宋"/>
          <w:color w:val="000000" w:themeColor="text1"/>
          <w:kern w:val="0"/>
          <w:highlight w:val="none"/>
          <w14:textFill>
            <w14:solidFill>
              <w14:schemeClr w14:val="tx1"/>
            </w14:solidFill>
          </w14:textFill>
        </w:rPr>
        <w:br w:type="page"/>
      </w:r>
    </w:p>
    <w:p>
      <w:pPr>
        <w:spacing w:line="560" w:lineRule="exact"/>
        <w:jc w:val="center"/>
        <w:rPr>
          <w:rFonts w:hint="eastAsia" w:ascii="仿宋" w:hAnsi="仿宋" w:eastAsia="仿宋" w:cs="仿宋"/>
          <w:color w:val="000000" w:themeColor="text1"/>
          <w:kern w:val="0"/>
          <w:highlight w:val="none"/>
          <w:lang w:eastAsia="zh-CN"/>
          <w14:textFill>
            <w14:solidFill>
              <w14:schemeClr w14:val="tx1"/>
            </w14:solidFill>
          </w14:textFill>
        </w:rPr>
      </w:pPr>
      <w:bookmarkStart w:id="60" w:name="_Toc2890"/>
      <w:r>
        <w:rPr>
          <w:rStyle w:val="55"/>
          <w:rFonts w:hint="eastAsia" w:ascii="仿宋" w:hAnsi="仿宋" w:eastAsia="仿宋" w:cs="仿宋"/>
          <w:color w:val="000000" w:themeColor="text1"/>
          <w:highlight w:val="none"/>
          <w14:textFill>
            <w14:solidFill>
              <w14:schemeClr w14:val="tx1"/>
            </w14:solidFill>
          </w14:textFill>
        </w:rPr>
        <w:t>第五章  合同条款</w:t>
      </w:r>
      <w:bookmarkEnd w:id="60"/>
      <w:r>
        <w:rPr>
          <w:rStyle w:val="55"/>
          <w:rFonts w:hint="eastAsia" w:ascii="仿宋" w:hAnsi="仿宋" w:eastAsia="仿宋" w:cs="仿宋"/>
          <w:color w:val="000000" w:themeColor="text1"/>
          <w:highlight w:val="none"/>
          <w:lang w:eastAsia="zh-CN"/>
          <w14:textFill>
            <w14:solidFill>
              <w14:schemeClr w14:val="tx1"/>
            </w14:solidFill>
          </w14:textFill>
        </w:rPr>
        <w:t>（</w:t>
      </w:r>
      <w:r>
        <w:rPr>
          <w:rStyle w:val="55"/>
          <w:rFonts w:hint="eastAsia" w:ascii="仿宋" w:hAnsi="仿宋" w:eastAsia="仿宋" w:cs="仿宋"/>
          <w:color w:val="000000" w:themeColor="text1"/>
          <w:highlight w:val="none"/>
          <w:lang w:val="en-US" w:eastAsia="zh-CN"/>
          <w14:textFill>
            <w14:solidFill>
              <w14:schemeClr w14:val="tx1"/>
            </w14:solidFill>
          </w14:textFill>
        </w:rPr>
        <w:t>参考格式</w:t>
      </w:r>
      <w:r>
        <w:rPr>
          <w:rStyle w:val="55"/>
          <w:rFonts w:hint="eastAsia" w:ascii="仿宋" w:hAnsi="仿宋" w:eastAsia="仿宋" w:cs="仿宋"/>
          <w:color w:val="000000" w:themeColor="text1"/>
          <w:highlight w:val="none"/>
          <w:lang w:eastAsia="zh-CN"/>
          <w14:textFill>
            <w14:solidFill>
              <w14:schemeClr w14:val="tx1"/>
            </w14:solidFill>
          </w14:textFill>
        </w:rPr>
        <w:t>）</w:t>
      </w:r>
    </w:p>
    <w:p>
      <w:pPr>
        <w:ind w:firstLine="5520" w:firstLineChars="2300"/>
        <w:jc w:val="both"/>
        <w:rPr>
          <w:rFonts w:hint="eastAsia" w:ascii="仿宋" w:hAnsi="仿宋" w:eastAsia="仿宋" w:cs="仿宋"/>
          <w:b w:val="0"/>
          <w:bCs/>
          <w:color w:val="000000" w:themeColor="text1"/>
          <w:sz w:val="24"/>
          <w:szCs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一、合同格式</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DRG管理系统采购项目</w:t>
      </w:r>
      <w:r>
        <w:rPr>
          <w:rFonts w:hint="eastAsia" w:ascii="仿宋" w:hAnsi="仿宋" w:eastAsia="仿宋" w:cs="仿宋"/>
          <w:color w:val="000000" w:themeColor="text1"/>
          <w:sz w:val="24"/>
          <w:highlight w:val="none"/>
          <w14:textFill>
            <w14:solidFill>
              <w14:schemeClr w14:val="tx1"/>
            </w14:solidFill>
          </w14:textFill>
        </w:rPr>
        <w:t>(文件编号</w:t>
      </w:r>
      <w:r>
        <w:rPr>
          <w:rFonts w:hint="eastAsia" w:ascii="仿宋" w:hAnsi="仿宋" w:eastAsia="仿宋" w:cs="仿宋"/>
          <w:color w:val="000000" w:themeColor="text1"/>
          <w:sz w:val="24"/>
          <w:highlight w:val="none"/>
          <w:lang w:eastAsia="zh-CN"/>
          <w14:textFill>
            <w14:solidFill>
              <w14:schemeClr w14:val="tx1"/>
            </w14:solidFill>
          </w14:textFill>
        </w:rPr>
        <w:t>：HZGH-2022-081</w:t>
      </w:r>
      <w:r>
        <w:rPr>
          <w:rFonts w:hint="eastAsia" w:ascii="仿宋" w:hAnsi="仿宋" w:eastAsia="仿宋" w:cs="仿宋"/>
          <w:color w:val="000000" w:themeColor="text1"/>
          <w:sz w:val="24"/>
          <w:highlight w:val="none"/>
          <w14:textFill>
            <w14:solidFill>
              <w14:schemeClr w14:val="tx1"/>
            </w14:solidFill>
          </w14:textFill>
        </w:rPr>
        <w:t>)，在</w:t>
      </w:r>
      <w:r>
        <w:rPr>
          <w:rFonts w:hint="eastAsia" w:ascii="仿宋" w:hAnsi="仿宋" w:eastAsia="仿宋" w:cs="仿宋"/>
          <w:color w:val="000000" w:themeColor="text1"/>
          <w:sz w:val="24"/>
          <w:highlight w:val="none"/>
          <w:lang w:eastAsia="zh-CN"/>
          <w14:textFill>
            <w14:solidFill>
              <w14:schemeClr w14:val="tx1"/>
            </w14:solidFill>
          </w14:textFill>
        </w:rPr>
        <w:t>陕西省财政厅政府采购管理处</w:t>
      </w:r>
      <w:r>
        <w:rPr>
          <w:rFonts w:hint="eastAsia" w:ascii="仿宋" w:hAnsi="仿宋" w:eastAsia="仿宋" w:cs="仿宋"/>
          <w:color w:val="000000" w:themeColor="text1"/>
          <w:sz w:val="24"/>
          <w:highlight w:val="none"/>
          <w14:textFill>
            <w14:solidFill>
              <w14:schemeClr w14:val="tx1"/>
            </w14:solidFill>
          </w14:textFill>
        </w:rPr>
        <w:t>的监督管理下，由华招广和项目管理有限公司组织竞争性磋商。</w:t>
      </w:r>
      <w:r>
        <w:rPr>
          <w:rFonts w:hint="eastAsia" w:ascii="仿宋" w:hAnsi="仿宋" w:eastAsia="仿宋" w:cs="仿宋"/>
          <w:color w:val="000000" w:themeColor="text1"/>
          <w:sz w:val="24"/>
          <w:highlight w:val="none"/>
          <w:lang w:eastAsia="zh-CN"/>
          <w14:textFill>
            <w14:solidFill>
              <w14:schemeClr w14:val="tx1"/>
            </w14:solidFill>
          </w14:textFill>
        </w:rPr>
        <w:t>陕西省第二人民医院</w:t>
      </w:r>
      <w:r>
        <w:rPr>
          <w:rFonts w:hint="eastAsia" w:ascii="仿宋" w:hAnsi="仿宋" w:eastAsia="仿宋" w:cs="仿宋"/>
          <w:color w:val="000000" w:themeColor="text1"/>
          <w:sz w:val="24"/>
          <w:highlight w:val="none"/>
          <w14:textFill>
            <w14:solidFill>
              <w14:schemeClr w14:val="tx1"/>
            </w14:solidFill>
          </w14:textFill>
        </w:rPr>
        <w:t>(以下简称“甲方”)确定 (成交单位名称) （以下简称“乙方”）为成交单位。</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依据《中华人民共和国</w:t>
      </w:r>
      <w:r>
        <w:rPr>
          <w:rFonts w:hint="eastAsia" w:ascii="仿宋" w:hAnsi="仿宋" w:eastAsia="仿宋" w:cs="仿宋"/>
          <w:color w:val="000000" w:themeColor="text1"/>
          <w:sz w:val="24"/>
          <w:highlight w:val="none"/>
          <w:lang w:val="en-US" w:eastAsia="zh-CN"/>
          <w14:textFill>
            <w14:solidFill>
              <w14:schemeClr w14:val="tx1"/>
            </w14:solidFill>
          </w14:textFill>
        </w:rPr>
        <w:t>民法典</w:t>
      </w:r>
      <w:r>
        <w:rPr>
          <w:rFonts w:hint="eastAsia" w:ascii="仿宋" w:hAnsi="仿宋" w:eastAsia="仿宋" w:cs="仿宋"/>
          <w:color w:val="000000" w:themeColor="text1"/>
          <w:sz w:val="24"/>
          <w:highlight w:val="none"/>
          <w14:textFill>
            <w14:solidFill>
              <w14:schemeClr w14:val="tx1"/>
            </w14:solidFill>
          </w14:textFill>
        </w:rPr>
        <w:t>》和《中华人民共和国政府采购法》《中华人民共和国政府采购法实施条例》，甲方通过竞争性磋商采购（服务名称） ，并接受了乙方以价格(成交金额大写)(以下简称“合同价”)提供的服务。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bookmarkStart w:id="61" w:name="_Toc188808831"/>
      <w:bookmarkStart w:id="62" w:name="_Toc194663916"/>
      <w:bookmarkStart w:id="63" w:name="_Toc193187095"/>
      <w:bookmarkStart w:id="64" w:name="_Toc193126879"/>
      <w:r>
        <w:rPr>
          <w:rFonts w:hint="eastAsia" w:ascii="仿宋" w:hAnsi="仿宋" w:eastAsia="仿宋" w:cs="仿宋"/>
          <w:color w:val="000000" w:themeColor="text1"/>
          <w:sz w:val="24"/>
          <w:highlight w:val="none"/>
          <w14:textFill>
            <w14:solidFill>
              <w14:schemeClr w14:val="tx1"/>
            </w14:solidFill>
          </w14:textFill>
        </w:rPr>
        <w:t>本合同在此声明如下：</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1、本合同中的词语和术语的含义与合同条款中定义的相同。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2、下述文件是本合同的一部分，并与本合同一起阅读和解释：</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1）合同条款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2）合同条款附件</w:t>
      </w:r>
    </w:p>
    <w:p>
      <w:pPr>
        <w:spacing w:line="560" w:lineRule="exact"/>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附件1—</w:t>
      </w:r>
      <w:r>
        <w:rPr>
          <w:rFonts w:hint="eastAsia" w:ascii="仿宋" w:hAnsi="仿宋" w:eastAsia="仿宋" w:cs="仿宋"/>
          <w:color w:val="000000" w:themeColor="text1"/>
          <w:sz w:val="24"/>
          <w:highlight w:val="none"/>
          <w:lang w:val="en-US" w:eastAsia="zh-CN"/>
          <w14:textFill>
            <w14:solidFill>
              <w14:schemeClr w14:val="tx1"/>
            </w14:solidFill>
          </w14:textFill>
        </w:rPr>
        <w:t>技术部分</w:t>
      </w:r>
    </w:p>
    <w:p>
      <w:pPr>
        <w:spacing w:line="560" w:lineRule="exact"/>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附件2—</w:t>
      </w:r>
      <w:r>
        <w:rPr>
          <w:rFonts w:hint="eastAsia" w:ascii="仿宋" w:hAnsi="仿宋" w:eastAsia="仿宋" w:cs="仿宋"/>
          <w:color w:val="000000" w:themeColor="text1"/>
          <w:sz w:val="24"/>
          <w:highlight w:val="none"/>
          <w:lang w:val="en-US" w:eastAsia="zh-CN"/>
          <w14:textFill>
            <w14:solidFill>
              <w14:schemeClr w14:val="tx1"/>
            </w14:solidFill>
          </w14:textFill>
        </w:rPr>
        <w:t>售后服务及培训计划</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w:t>
      </w:r>
    </w:p>
    <w:p>
      <w:pPr>
        <w:spacing w:line="560" w:lineRule="exact"/>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3、考虑到甲方将按照本合同向乙方支付款项，乙方在此保证全部按照合同的规定向甲方提</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供服务，并修补缺陷。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4、考虑到乙方提供的服务并修补缺陷，甲方在此保证按照合同规定的时间和方式向乙方支付合同价或其他按合同规定应支付的金额。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合同签订后支付合同总金额的40%，剩余价款在项目验收合格无争议后一次性付清。</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6、服务期限：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80" w:firstLineChars="200"/>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服务地点：</w:t>
      </w:r>
      <w:r>
        <w:rPr>
          <w:rFonts w:hint="eastAsia" w:ascii="仿宋" w:hAnsi="仿宋" w:eastAsia="仿宋" w:cs="仿宋"/>
          <w:color w:val="000000" w:themeColor="text1"/>
          <w:sz w:val="24"/>
          <w:highlight w:val="none"/>
          <w:lang w:val="en-US" w:eastAsia="zh-CN"/>
          <w14:textFill>
            <w14:solidFill>
              <w14:schemeClr w14:val="tx1"/>
            </w14:solidFill>
          </w14:textFill>
        </w:rPr>
        <w:t>甲方指定地点。</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本合同一式</w:t>
      </w:r>
      <w:r>
        <w:rPr>
          <w:rFonts w:hint="eastAsia" w:ascii="仿宋" w:hAnsi="仿宋" w:eastAsia="仿宋" w:cs="仿宋"/>
          <w:color w:val="000000" w:themeColor="text1"/>
          <w:sz w:val="24"/>
          <w:highlight w:val="none"/>
          <w:lang w:eastAsia="zh-CN"/>
          <w14:textFill>
            <w14:solidFill>
              <w14:schemeClr w14:val="tx1"/>
            </w14:solidFill>
          </w14:textFill>
        </w:rPr>
        <w:t>伍</w:t>
      </w:r>
      <w:r>
        <w:rPr>
          <w:rFonts w:hint="eastAsia" w:ascii="仿宋" w:hAnsi="仿宋" w:eastAsia="仿宋" w:cs="仿宋"/>
          <w:color w:val="000000" w:themeColor="text1"/>
          <w:sz w:val="24"/>
          <w:highlight w:val="none"/>
          <w14:textFill>
            <w14:solidFill>
              <w14:schemeClr w14:val="tx1"/>
            </w14:solidFill>
          </w14:textFill>
        </w:rPr>
        <w:t>份，其中，甲方贰份，乙方贰份，</w:t>
      </w:r>
      <w:r>
        <w:rPr>
          <w:rFonts w:hint="eastAsia" w:ascii="仿宋" w:hAnsi="仿宋" w:eastAsia="仿宋" w:cs="仿宋"/>
          <w:color w:val="000000" w:themeColor="text1"/>
          <w:sz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highlight w:val="none"/>
          <w14:textFill>
            <w14:solidFill>
              <w14:schemeClr w14:val="tx1"/>
            </w14:solidFill>
          </w14:textFill>
        </w:rPr>
        <w:t>备案壹份。</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8、本合同由买卖双方共同签字盖章之日起生效。</w:t>
      </w:r>
    </w:p>
    <w:tbl>
      <w:tblPr>
        <w:tblStyle w:val="22"/>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甲方名称：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tc>
        <w:tc>
          <w:tcPr>
            <w:tcW w:w="3936"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乙方名称：</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邮    编：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电    话：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传    真：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帐    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tc>
      </w:tr>
      <w:bookmarkEnd w:id="61"/>
      <w:bookmarkEnd w:id="62"/>
      <w:bookmarkEnd w:id="63"/>
      <w:bookmarkEnd w:id="64"/>
    </w:tbl>
    <w:p>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p>
    <w:p>
      <w:pPr>
        <w:spacing w:line="480" w:lineRule="exact"/>
        <w:ind w:firstLine="480" w:firstLineChars="200"/>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                                 </w:t>
      </w:r>
    </w:p>
    <w:p>
      <w:pPr>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p>
    <w:p>
      <w:pPr>
        <w:bidi w:val="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二、合同条款</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第一条 本着平等互惠、互相支持、共同发展的原则，就甲方针对本项目的事宜， 经甲乙双方友好协商， 共同签署本合同，以资共同遵守。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第二条 服务定义：根据甲方需要，乙方为甲方提供该项目的服务等业务。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第四条 服务期限，从    年  月  日起至    年  月   日。</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第五条 服务费用：人民币       元，合计人民币       元。</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条 甲方的权利</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1、甲方有权享有乙方按照上述约定提供的服务。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4、除本合同约定的服务费用外，乙方不得向甲方及其甲方人员收取其他任何费用，如甲方发现乙方有此类行为，甲方有权要求乙方清退所收费用，退还利息并支付违约金；</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5、对乙方相关服务资料的所有权、使用权的约定：归甲方所有。乙方不得以任何借口留存，否则承担由此产生的一切法律和经济责任。未经甲方允许，任何单位和个人不得转让和使用本项目的相关内容。</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条 甲方的义务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1、在服务实施过程中，甲方应为乙方提供必要的工作便利与指导，配合乙方履行职责。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2、甲方不得将本合同的内容向甲乙双方以外的、与签订和履行本合同无关的任何第三方透露，不得泄露乙方的商业秘密（包括本合同及其附件和合同签订前的各项方案）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第九条 任何一方违反或擅自变更本合同的约定，应当承担由此给对方造成的经济损失和相关责任。</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条甲方违约责任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1、由于甲方的原因或因不可抗力的自然因素影响，则服务周期顺延。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2、对于乙方提供的资料以及属于乙方的内容，甲方有义务保密，不得向第三方提供或用于本合同以外的项目，否则乙方有权要求甲方按本合同项目款总额的20%赔偿损失。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九</w:t>
      </w:r>
      <w:r>
        <w:rPr>
          <w:rFonts w:hint="eastAsia" w:ascii="仿宋" w:hAnsi="仿宋" w:eastAsia="仿宋" w:cs="仿宋"/>
          <w:color w:val="000000" w:themeColor="text1"/>
          <w:sz w:val="24"/>
          <w:highlight w:val="none"/>
          <w14:textFill>
            <w14:solidFill>
              <w14:schemeClr w14:val="tx1"/>
            </w14:solidFill>
          </w14:textFill>
        </w:rPr>
        <w:t>条乙方违约责任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1、合同签订后，如乙方擅自中途停止或解除合同，乙方应向甲方双倍返还定金。没有约定定金的，乙方向甲方赔偿服务价款。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2、在甲方提供了必要的工作、生活条件，并且保证了项目款按时到位，乙方未能按合同规定的日期提供服务时，应向甲方赔偿拖期损失费，每天的拖期损失费按合同约定的项目总价款。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3、因天气、交通、政府行为、甲方提供的资料不准确等客观原因造成的服务周期拖期，乙方不承担赔偿责任。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7、在合同期内和合同终止后，乙方应负责所有资料的保密，非经甲方书面认可，不得向任何人以任何方式提供任何资料。严格按甲方要求程序传递各种资料，否则甲方有权单方解除合同，并追回所付项目款。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8、乙方若擅自转包或分包本合同标的，甲方有权解除合同，并可要求乙方偿付预算30%的违约金，同时追究其法律责任。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14:textFill>
            <w14:solidFill>
              <w14:schemeClr w14:val="tx1"/>
            </w14:solidFill>
          </w14:textFill>
        </w:rPr>
        <w:t xml:space="preserve">条 因执行本合同发生的一切争议，双方应首先友好协商解决。经协商不能解决，应向甲方所在地人民法院提起诉讼。在诉讼期间，除必须在诉讼过程中进行解决的问题外，合同其余部分应继续履行。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 xml:space="preserve">条 甲、乙双方有一方有正当理由要求变更本合同，须提前一个月以书面形式通知对方并协商解决，双方应签署变更合同。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 xml:space="preserve">条 本合同期满双方不再续约或者因一方违约导致本合同无法履行，则本合同终止。但合同的终止不得损害第三方的利益，双方应为此做出合理安排。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条 未经对方同意，甲乙任何一方不得将本合同部分或全部权利和义务转让给第三方。</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条 本合同中涉及的所有“通知”、“同意”、“确认” 等事项均应以书面形式做出，并作为依据。</w:t>
      </w:r>
    </w:p>
    <w:p>
      <w:pPr>
        <w:spacing w:line="560" w:lineRule="exact"/>
        <w:ind w:firstLine="240" w:firstLineChars="100"/>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 xml:space="preserve">条 本合同有关附件及补充合同是本合同不可分割的组成部分，与本合同具有同等法律效力；本合同未尽事宜，双方另行协商并签署补充合同，作为本合同的附件，具有同等法律效力。 </w:t>
      </w:r>
    </w:p>
    <w:p>
      <w:pPr>
        <w:rPr>
          <w:rFonts w:hint="eastAsia" w:ascii="仿宋" w:hAnsi="仿宋" w:eastAsia="仿宋" w:cs="仿宋"/>
          <w:highlight w:val="none"/>
        </w:rPr>
      </w:pPr>
      <w:bookmarkStart w:id="65" w:name="_Toc32022"/>
      <w:r>
        <w:rPr>
          <w:rFonts w:hint="eastAsia" w:ascii="仿宋" w:hAnsi="仿宋" w:eastAsia="仿宋" w:cs="仿宋"/>
          <w:highlight w:val="none"/>
        </w:rPr>
        <w:br w:type="page"/>
      </w:r>
    </w:p>
    <w:p>
      <w:pPr>
        <w:pStyle w:val="3"/>
        <w:bidi w:val="0"/>
        <w:jc w:val="center"/>
        <w:rPr>
          <w:rFonts w:hint="eastAsia" w:ascii="仿宋" w:hAnsi="仿宋" w:eastAsia="仿宋" w:cs="仿宋"/>
          <w:highlight w:val="none"/>
        </w:rPr>
      </w:pPr>
      <w:r>
        <w:rPr>
          <w:rFonts w:hint="eastAsia" w:ascii="仿宋" w:hAnsi="仿宋" w:eastAsia="仿宋" w:cs="仿宋"/>
          <w:highlight w:val="none"/>
        </w:rPr>
        <w:t>第六章  竞争性磋商响应文件格式</w:t>
      </w:r>
      <w:bookmarkEnd w:id="65"/>
    </w:p>
    <w:p>
      <w:pPr>
        <w:spacing w:line="5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竞争性磋商响应文件编制说明</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1、竞争性磋商响应文件应当按照竞争性磋商文件给定的格式和要求编制，格式之外的可自行编写。</w:t>
      </w:r>
    </w:p>
    <w:p>
      <w:pPr>
        <w:spacing w:line="56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3、纸质竞争性磋商响应文件均须A4纸打印（提倡双面打印），分别各自装订成册并编制目录和页码。</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4、竞争性磋商响应文件正本中的法人授权书须为原件，其它资质证明文件为复印件加盖供应商公章（鲜章）。副本可以是正本的复印件。</w:t>
      </w: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highlight w:val="none"/>
          <w14:textFill>
            <w14:solidFill>
              <w14:schemeClr w14:val="tx1"/>
            </w14:solidFill>
          </w14:textFill>
        </w:rPr>
      </w:pPr>
    </w:p>
    <w:p>
      <w:pPr>
        <w:spacing w:line="560" w:lineRule="exact"/>
        <w:jc w:val="both"/>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right="140"/>
        <w:rPr>
          <w:rFonts w:hint="eastAsia" w:ascii="仿宋" w:hAnsi="仿宋" w:eastAsia="仿宋" w:cs="仿宋"/>
          <w:color w:val="000000" w:themeColor="text1"/>
          <w:sz w:val="36"/>
          <w:szCs w:val="36"/>
          <w:highlight w:val="none"/>
          <w14:textFill>
            <w14:solidFill>
              <w14:schemeClr w14:val="tx1"/>
            </w14:solidFill>
          </w14:textFill>
        </w:rPr>
      </w:pPr>
    </w:p>
    <w:p>
      <w:pPr>
        <w:rPr>
          <w:rFonts w:hint="eastAsia" w:ascii="仿宋" w:hAnsi="仿宋" w:eastAsia="仿宋" w:cs="仿宋"/>
          <w:b/>
          <w:color w:val="000000" w:themeColor="text1"/>
          <w:sz w:val="20"/>
          <w:szCs w:val="20"/>
          <w:highlight w:val="none"/>
          <w:u w:val="wavyHeavy" w:color="FF0000"/>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文件编号: </w:t>
      </w:r>
      <w:r>
        <w:rPr>
          <w:rFonts w:hint="eastAsia" w:ascii="仿宋" w:hAnsi="仿宋" w:eastAsia="仿宋" w:cs="仿宋"/>
          <w:b/>
          <w:color w:val="000000" w:themeColor="text1"/>
          <w:sz w:val="36"/>
          <w:szCs w:val="36"/>
          <w:highlight w:val="none"/>
          <w:lang w:eastAsia="zh-CN"/>
          <w14:textFill>
            <w14:solidFill>
              <w14:schemeClr w14:val="tx1"/>
            </w14:solidFill>
          </w14:textFill>
        </w:rPr>
        <w:t>HZGH-2022-081</w:t>
      </w: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pStyle w:val="10"/>
        <w:spacing w:line="360" w:lineRule="auto"/>
        <w:jc w:val="cente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t>DRG管理系统采购项目</w:t>
      </w: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 xml:space="preserve"> </w:t>
      </w:r>
      <w:r>
        <w:rPr>
          <w:rFonts w:hint="eastAsia" w:ascii="仿宋" w:hAnsi="仿宋" w:eastAsia="仿宋" w:cs="仿宋"/>
          <w:b/>
          <w:color w:val="000000" w:themeColor="text1"/>
          <w:sz w:val="52"/>
          <w:szCs w:val="52"/>
          <w:highlight w:val="none"/>
          <w14:textFill>
            <w14:solidFill>
              <w14:schemeClr w14:val="tx1"/>
            </w14:solidFill>
          </w14:textFill>
        </w:rPr>
        <w:t>竞争性磋商响应文件</w:t>
      </w: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pStyle w:val="10"/>
        <w:rPr>
          <w:rFonts w:hint="eastAsia"/>
          <w:highlight w:val="none"/>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687" w:firstLineChars="600"/>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   应   商：</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采购代理机构：</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color w:val="000000" w:themeColor="text1"/>
          <w:sz w:val="13"/>
          <w:szCs w:val="13"/>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时        间：</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3697" w:firstLineChars="837"/>
        <w:textAlignment w:val="auto"/>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ind w:firstLine="3697" w:firstLineChars="837"/>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  录</w:t>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1.竞争性磋商函（格式）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2.磋商报价一览表（格式）</w:t>
      </w:r>
    </w:p>
    <w:p>
      <w:pPr>
        <w:spacing w:line="480" w:lineRule="auto"/>
        <w:ind w:firstLine="2551" w:firstLineChars="1063"/>
        <w:jc w:val="both"/>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分项报价表（格式自拟）</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2019年1月1日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同类</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技术部分</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9.质量保证（格式）</w:t>
      </w:r>
    </w:p>
    <w:p>
      <w:pPr>
        <w:spacing w:line="480" w:lineRule="auto"/>
        <w:ind w:firstLine="2551" w:firstLineChars="1063"/>
        <w:jc w:val="both"/>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售后</w:t>
      </w:r>
      <w:r>
        <w:rPr>
          <w:rFonts w:hint="eastAsia" w:ascii="仿宋" w:hAnsi="仿宋" w:eastAsia="仿宋" w:cs="仿宋"/>
          <w:color w:val="000000" w:themeColor="text1"/>
          <w:sz w:val="24"/>
          <w:highlight w:val="none"/>
          <w14:textFill>
            <w14:solidFill>
              <w14:schemeClr w14:val="tx1"/>
            </w14:solidFill>
          </w14:textFill>
        </w:rPr>
        <w:t>服务</w:t>
      </w:r>
      <w:r>
        <w:rPr>
          <w:rFonts w:hint="eastAsia" w:ascii="仿宋" w:hAnsi="仿宋" w:eastAsia="仿宋" w:cs="仿宋"/>
          <w:color w:val="000000" w:themeColor="text1"/>
          <w:sz w:val="24"/>
          <w:highlight w:val="none"/>
          <w:lang w:val="en-US" w:eastAsia="zh-CN"/>
          <w14:textFill>
            <w14:solidFill>
              <w14:schemeClr w14:val="tx1"/>
            </w14:solidFill>
          </w14:textFill>
        </w:rPr>
        <w:t>及培训计划</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.供应商认为有必要说明的事宜（若有）</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.供应商拒绝政府采购领域商业贿赂承诺书（格式）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.《中小企业声明函》（格式）</w:t>
      </w:r>
    </w:p>
    <w:p>
      <w:pPr>
        <w:spacing w:line="480" w:lineRule="auto"/>
        <w:ind w:firstLine="2551" w:firstLineChars="1063"/>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lang w:val="en-US" w:eastAsia="zh-CN"/>
          <w14:textFill>
            <w14:solidFill>
              <w14:schemeClr w14:val="tx1"/>
            </w14:solidFill>
          </w14:textFill>
        </w:rPr>
        <w:t>4</w:t>
      </w:r>
      <w:r>
        <w:rPr>
          <w:rFonts w:hint="eastAsia" w:ascii="仿宋" w:hAnsi="仿宋" w:eastAsia="仿宋" w:cs="仿宋"/>
          <w:bCs/>
          <w:color w:val="000000" w:themeColor="text1"/>
          <w:sz w:val="24"/>
          <w:highlight w:val="none"/>
          <w14:textFill>
            <w14:solidFill>
              <w14:schemeClr w14:val="tx1"/>
            </w14:solidFill>
          </w14:textFill>
        </w:rPr>
        <w:t>.《残疾人福利性单位声明函》</w:t>
      </w:r>
      <w:r>
        <w:rPr>
          <w:rFonts w:hint="eastAsia" w:ascii="仿宋" w:hAnsi="仿宋" w:eastAsia="仿宋" w:cs="仿宋"/>
          <w:color w:val="000000" w:themeColor="text1"/>
          <w:sz w:val="24"/>
          <w:highlight w:val="none"/>
          <w14:textFill>
            <w14:solidFill>
              <w14:schemeClr w14:val="tx1"/>
            </w14:solidFill>
          </w14:textFill>
        </w:rPr>
        <w:t>（格式，若有）</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15.《监狱、戒毒企业声明函》（格式，若有）</w:t>
      </w:r>
    </w:p>
    <w:p>
      <w:pPr>
        <w:spacing w:line="600" w:lineRule="exact"/>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6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1.竞争性磋商函</w:t>
      </w:r>
      <w:r>
        <w:rPr>
          <w:rFonts w:hint="eastAsia" w:ascii="仿宋" w:hAnsi="仿宋" w:eastAsia="仿宋" w:cs="仿宋"/>
          <w:bCs/>
          <w:color w:val="000000" w:themeColor="text1"/>
          <w:sz w:val="22"/>
          <w:szCs w:val="22"/>
          <w:highlight w:val="none"/>
          <w14:textFill>
            <w14:solidFill>
              <w14:schemeClr w14:val="tx1"/>
            </w14:solidFill>
          </w14:textFill>
        </w:rPr>
        <w:t>（格式）</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致：华招广和项目管理有限公司</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根据贵单位</w:t>
      </w:r>
      <w:r>
        <w:rPr>
          <w:rFonts w:hint="eastAsia" w:ascii="仿宋" w:hAnsi="仿宋" w:eastAsia="仿宋" w:cs="仿宋"/>
          <w:color w:val="000000" w:themeColor="text1"/>
          <w:sz w:val="24"/>
          <w:highlight w:val="none"/>
          <w:u w:val="single"/>
          <w14:textFill>
            <w14:solidFill>
              <w14:schemeClr w14:val="tx1"/>
            </w14:solidFill>
          </w14:textFill>
        </w:rPr>
        <w:t xml:space="preserve">         （采购项目名称）    </w:t>
      </w:r>
      <w:r>
        <w:rPr>
          <w:rFonts w:hint="eastAsia" w:ascii="仿宋" w:hAnsi="仿宋" w:eastAsia="仿宋" w:cs="仿宋"/>
          <w:color w:val="000000" w:themeColor="text1"/>
          <w:sz w:val="24"/>
          <w:highlight w:val="none"/>
          <w14:textFill>
            <w14:solidFill>
              <w14:schemeClr w14:val="tx1"/>
            </w14:solidFill>
          </w14:textFill>
        </w:rPr>
        <w:t>项目</w:t>
      </w:r>
      <w:r>
        <w:rPr>
          <w:rFonts w:hint="eastAsia" w:ascii="仿宋" w:hAnsi="仿宋" w:eastAsia="仿宋" w:cs="仿宋"/>
          <w:color w:val="000000" w:themeColor="text1"/>
          <w:sz w:val="24"/>
          <w:highlight w:val="none"/>
          <w:u w:val="single"/>
          <w14:textFill>
            <w14:solidFill>
              <w14:schemeClr w14:val="tx1"/>
            </w14:solidFill>
          </w14:textFill>
        </w:rPr>
        <w:t>（项目编号）</w:t>
      </w:r>
      <w:r>
        <w:rPr>
          <w:rFonts w:hint="eastAsia" w:ascii="仿宋" w:hAnsi="仿宋" w:eastAsia="仿宋" w:cs="仿宋"/>
          <w:color w:val="000000" w:themeColor="text1"/>
          <w:sz w:val="24"/>
          <w:highlight w:val="none"/>
          <w14:textFill>
            <w14:solidFill>
              <w14:schemeClr w14:val="tx1"/>
            </w14:solidFill>
          </w14:textFill>
        </w:rPr>
        <w:t>的磋商公告，我方代表</w:t>
      </w:r>
      <w:r>
        <w:rPr>
          <w:rFonts w:hint="eastAsia" w:ascii="仿宋" w:hAnsi="仿宋" w:eastAsia="仿宋" w:cs="仿宋"/>
          <w:color w:val="000000" w:themeColor="text1"/>
          <w:sz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highlight w:val="none"/>
          <w14:textFill>
            <w14:solidFill>
              <w14:schemeClr w14:val="tx1"/>
            </w14:solidFill>
          </w14:textFill>
        </w:rPr>
        <w:t>经正式授权并代表</w:t>
      </w:r>
      <w:r>
        <w:rPr>
          <w:rFonts w:hint="eastAsia" w:ascii="仿宋" w:hAnsi="仿宋" w:eastAsia="仿宋" w:cs="仿宋"/>
          <w:color w:val="000000" w:themeColor="text1"/>
          <w:sz w:val="24"/>
          <w:highlight w:val="none"/>
          <w:u w:val="single"/>
          <w14:textFill>
            <w14:solidFill>
              <w14:schemeClr w14:val="tx1"/>
            </w14:solidFill>
          </w14:textFill>
        </w:rPr>
        <w:t xml:space="preserve">     （供应商名称）     </w:t>
      </w:r>
      <w:r>
        <w:rPr>
          <w:rFonts w:hint="eastAsia" w:ascii="仿宋" w:hAnsi="仿宋" w:eastAsia="仿宋" w:cs="仿宋"/>
          <w:color w:val="000000" w:themeColor="text1"/>
          <w:sz w:val="24"/>
          <w:highlight w:val="none"/>
          <w14:textFill>
            <w14:solidFill>
              <w14:schemeClr w14:val="tx1"/>
            </w14:solidFill>
          </w14:textFill>
        </w:rPr>
        <w:t>就该项目进行磋商。</w:t>
      </w:r>
    </w:p>
    <w:p>
      <w:pPr>
        <w:keepNext w:val="0"/>
        <w:keepLines w:val="0"/>
        <w:pageBreakBefore w:val="0"/>
        <w:widowControl w:val="0"/>
        <w:kinsoku/>
        <w:wordWrap/>
        <w:overflowPunct/>
        <w:topLinePunct w:val="0"/>
        <w:bidi w:val="0"/>
        <w:snapToGrid/>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在此，我方郑重声明以下诸点，并负法律责任：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1、我方提交的竞争性磋商响应文件正本一份，副本叁份，电子文件一份。</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2、我方所附磋商报价表中应提交和交付的货物/服务磋商总价为人民币：</w:t>
      </w:r>
      <w:r>
        <w:rPr>
          <w:rFonts w:hint="eastAsia" w:ascii="仿宋" w:hAnsi="仿宋" w:eastAsia="仿宋" w:cs="仿宋"/>
          <w:color w:val="000000" w:themeColor="text1"/>
          <w:sz w:val="24"/>
          <w:highlight w:val="none"/>
          <w:u w:val="single"/>
          <w14:textFill>
            <w14:solidFill>
              <w14:schemeClr w14:val="tx1"/>
            </w14:solidFill>
          </w14:textFill>
        </w:rPr>
        <w:t>（同时用汉字大写和数字表示的磋商总价）</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3、我方已详细审阅全部竞争性磋商文件，完全理解并同意放弃对这方面有不明及误解质疑的权力。</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4、我方完全理解并同意竞争性磋商</w:t>
      </w:r>
      <w:r>
        <w:rPr>
          <w:rFonts w:hint="eastAsia" w:ascii="仿宋" w:hAnsi="仿宋" w:eastAsia="仿宋" w:cs="仿宋"/>
          <w:color w:val="000000" w:themeColor="text1"/>
          <w:sz w:val="24"/>
          <w:highlight w:val="none"/>
          <w:lang w:eastAsia="zh-CN"/>
          <w14:textFill>
            <w14:solidFill>
              <w14:schemeClr w14:val="tx1"/>
            </w14:solidFill>
          </w14:textFill>
        </w:rPr>
        <w:t>文件</w:t>
      </w:r>
      <w:r>
        <w:rPr>
          <w:rFonts w:hint="eastAsia" w:ascii="仿宋" w:hAnsi="仿宋" w:eastAsia="仿宋" w:cs="仿宋"/>
          <w:color w:val="000000" w:themeColor="text1"/>
          <w:sz w:val="24"/>
          <w:highlight w:val="none"/>
          <w14:textFill>
            <w14:solidFill>
              <w14:schemeClr w14:val="tx1"/>
            </w14:solidFill>
          </w14:textFill>
        </w:rPr>
        <w:t>中拒绝投标的条款。</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5、我方同意按照要求提供磋商有关的一切数据或资料。</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6、我方将按竞争性磋商文件的规定履行合同责任和义务。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7、我方完全理解最低报价不是成交的唯一条件，采购人权选择质优价廉的货物/服务。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8、我方同意按竞争性磋商文件规定，遵守贵方有关采购的各项规定。</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9、若我方被选为成交供应商，我方保证按有关规定向贵方支付招标服务费。</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10、磋商响应有效期为自提交磋商响应文件的截止之日起90个日历日。</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11、所有关于本项目的函电，请按下列地址联系：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 细 地 址：</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政 编 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电       话：</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传       真：</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子 邮 件：</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开 户 银 行：</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帐       号：</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rPr>
          <w:rFonts w:hint="eastAsia" w:ascii="仿宋" w:hAnsi="仿宋" w:eastAsia="仿宋" w:cs="仿宋"/>
          <w:color w:val="000000" w:themeColor="text1"/>
          <w:sz w:val="24"/>
          <w:highlight w:val="none"/>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640" w:lineRule="exact"/>
        <w:ind w:firstLine="3360" w:firstLineChars="14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授权</w:t>
      </w:r>
      <w:r>
        <w:rPr>
          <w:rFonts w:hint="eastAsia" w:ascii="仿宋" w:hAnsi="仿宋" w:eastAsia="仿宋" w:cs="仿宋"/>
          <w:color w:val="000000" w:themeColor="text1"/>
          <w:sz w:val="24"/>
          <w:highlight w:val="none"/>
          <w:lang w:val="zh-CN"/>
          <w14:textFill>
            <w14:solidFill>
              <w14:schemeClr w14:val="tx1"/>
            </w14:solidFill>
          </w14:textFill>
        </w:rPr>
        <w:t>代表签名：</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3960" w:firstLineChars="165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联系电话/手机：</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8"/>
          <w:szCs w:val="28"/>
          <w:highlight w:val="none"/>
          <w14:textFill>
            <w14:solidFill>
              <w14:schemeClr w14:val="tx1"/>
            </w14:solidFill>
          </w14:textFill>
        </w:rPr>
        <w:sectPr>
          <w:headerReference r:id="rId12" w:type="first"/>
          <w:footerReference r:id="rId14" w:type="first"/>
          <w:headerReference r:id="rId11" w:type="default"/>
          <w:footerReference r:id="rId13" w:type="default"/>
          <w:pgSz w:w="11907" w:h="16840"/>
          <w:pgMar w:top="1418" w:right="1287" w:bottom="936" w:left="1259" w:header="907" w:footer="654" w:gutter="0"/>
          <w:pgBorders>
            <w:top w:val="none" w:sz="0" w:space="0"/>
            <w:left w:val="none" w:sz="0" w:space="0"/>
            <w:bottom w:val="none" w:sz="0" w:space="0"/>
            <w:right w:val="none" w:sz="0" w:space="0"/>
          </w:pgBorders>
          <w:cols w:space="720" w:num="1"/>
          <w:titlePg/>
          <w:docGrid w:linePitch="312" w:charSpace="0"/>
        </w:sectPr>
      </w:pPr>
    </w:p>
    <w:p>
      <w:pPr>
        <w:pStyle w:val="39"/>
        <w:ind w:firstLine="562"/>
        <w:rPr>
          <w:rFonts w:hint="eastAsia" w:ascii="仿宋" w:hAnsi="仿宋" w:eastAsia="仿宋" w:cs="仿宋"/>
          <w:b/>
          <w:color w:val="000000" w:themeColor="text1"/>
          <w:highlight w:val="none"/>
          <w14:textFill>
            <w14:solidFill>
              <w14:schemeClr w14:val="tx1"/>
            </w14:solidFill>
          </w14:textFill>
        </w:rPr>
      </w:pPr>
      <w:bookmarkStart w:id="66" w:name="_Toc193126882"/>
      <w:bookmarkStart w:id="67" w:name="_Toc188808834"/>
      <w:bookmarkStart w:id="68" w:name="_Toc194663919"/>
      <w:bookmarkStart w:id="69" w:name="_Toc193187098"/>
      <w:r>
        <w:rPr>
          <w:rFonts w:hint="eastAsia" w:ascii="仿宋" w:hAnsi="仿宋" w:eastAsia="仿宋" w:cs="仿宋"/>
          <w:b/>
          <w:color w:val="000000" w:themeColor="text1"/>
          <w:highlight w:val="none"/>
          <w14:textFill>
            <w14:solidFill>
              <w14:schemeClr w14:val="tx1"/>
            </w14:solidFill>
          </w14:textFill>
        </w:rPr>
        <w:t>2.磋商报价一览表</w:t>
      </w:r>
      <w:bookmarkEnd w:id="66"/>
      <w:bookmarkEnd w:id="67"/>
      <w:bookmarkEnd w:id="68"/>
      <w:bookmarkEnd w:id="69"/>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ind w:firstLine="723" w:firstLineChars="200"/>
        <w:jc w:val="center"/>
        <w:rPr>
          <w:rFonts w:hint="eastAsia" w:ascii="仿宋" w:hAnsi="仿宋" w:eastAsia="仿宋" w:cs="仿宋"/>
          <w:b/>
          <w:bCs/>
          <w:color w:val="000000" w:themeColor="text1"/>
          <w:sz w:val="36"/>
          <w:szCs w:val="21"/>
          <w:highlight w:val="none"/>
          <w14:textFill>
            <w14:solidFill>
              <w14:schemeClr w14:val="tx1"/>
            </w14:solidFill>
          </w14:textFill>
        </w:rPr>
      </w:pP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供应商名称：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tbl>
      <w:tblPr>
        <w:tblStyle w:val="22"/>
        <w:tblW w:w="141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2"/>
        <w:gridCol w:w="5135"/>
        <w:gridCol w:w="6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822" w:type="dxa"/>
            <w:vAlign w:val="center"/>
          </w:tcPr>
          <w:p>
            <w:pPr>
              <w:spacing w:line="480" w:lineRule="exact"/>
              <w:ind w:right="143" w:rightChars="68" w:firstLine="118" w:firstLineChars="49"/>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项目编号</w:t>
            </w:r>
          </w:p>
        </w:tc>
        <w:tc>
          <w:tcPr>
            <w:tcW w:w="5135" w:type="dxa"/>
            <w:vAlign w:val="center"/>
          </w:tcPr>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磋商报价（人民币:元）</w:t>
            </w:r>
          </w:p>
        </w:tc>
        <w:tc>
          <w:tcPr>
            <w:tcW w:w="6186" w:type="dxa"/>
            <w:tcMar>
              <w:top w:w="57" w:type="dxa"/>
              <w:left w:w="28" w:type="dxa"/>
              <w:bottom w:w="57" w:type="dxa"/>
              <w:right w:w="28" w:type="dxa"/>
            </w:tcMar>
            <w:vAlign w:val="center"/>
          </w:tcPr>
          <w:p>
            <w:pPr>
              <w:spacing w:line="48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服务期限</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天</w:t>
            </w:r>
            <w:r>
              <w:rPr>
                <w:rFonts w:hint="eastAsia" w:ascii="仿宋" w:hAnsi="仿宋" w:eastAsia="仿宋" w:cs="仿宋"/>
                <w:b/>
                <w:color w:val="000000" w:themeColor="text1"/>
                <w:sz w:val="24"/>
                <w:highlight w:val="non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2822" w:type="dxa"/>
            <w:vMerge w:val="restart"/>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5135" w:type="dxa"/>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6186" w:type="dxa"/>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2822" w:type="dxa"/>
            <w:vMerge w:val="continue"/>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321" w:type="dxa"/>
            <w:gridSpan w:val="2"/>
            <w:vAlign w:val="top"/>
          </w:tcPr>
          <w:p>
            <w:pPr>
              <w:spacing w:line="480" w:lineRule="exact"/>
              <w:ind w:left="210" w:leftChars="1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（大写）                                </w:t>
            </w:r>
          </w:p>
        </w:tc>
      </w:tr>
    </w:tbl>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（全称、签章）                            电话：</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法定代表人或被授权人：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（盖章或签字）        </w:t>
      </w:r>
    </w:p>
    <w:p>
      <w:pPr>
        <w:keepNext w:val="0"/>
        <w:keepLines w:val="0"/>
        <w:pageBreakBefore w:val="0"/>
        <w:widowControl w:val="0"/>
        <w:kinsoku/>
        <w:wordWrap/>
        <w:overflowPunct/>
        <w:topLinePunct w:val="0"/>
        <w:autoSpaceDE/>
        <w:autoSpaceDN/>
        <w:bidi w:val="0"/>
        <w:adjustRightInd/>
        <w:snapToGrid/>
        <w:spacing w:after="100" w:afterAutospacing="1" w:line="640" w:lineRule="exact"/>
        <w:jc w:val="left"/>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pStyle w:val="10"/>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highlight w:val="none"/>
        </w:rPr>
      </w:pP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p>
    <w:p>
      <w:pPr>
        <w:numPr>
          <w:ilvl w:val="0"/>
          <w:numId w:val="1"/>
        </w:numPr>
        <w:spacing w:after="100" w:afterAutospacing="1" w:line="480" w:lineRule="auto"/>
        <w:ind w:left="0" w:leftChars="0" w:firstLine="0" w:firstLineChars="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分项报价表</w:t>
      </w:r>
    </w:p>
    <w:p>
      <w:pPr>
        <w:spacing w:line="440" w:lineRule="exact"/>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格式自拟</w:t>
      </w:r>
    </w:p>
    <w:p>
      <w:pPr>
        <w:spacing w:line="440" w:lineRule="exact"/>
        <w:rPr>
          <w:rFonts w:hint="eastAsia" w:ascii="仿宋" w:hAnsi="仿宋" w:eastAsia="仿宋" w:cs="仿宋"/>
          <w:color w:val="auto"/>
          <w:sz w:val="24"/>
          <w:highlight w:val="none"/>
        </w:rPr>
      </w:pPr>
    </w:p>
    <w:p>
      <w:pPr>
        <w:pStyle w:val="10"/>
        <w:rPr>
          <w:rFonts w:hint="eastAsia" w:ascii="仿宋" w:hAnsi="仿宋" w:eastAsia="仿宋" w:cs="仿宋"/>
          <w:sz w:val="24"/>
          <w:szCs w:val="24"/>
          <w:highlight w:val="none"/>
          <w:lang w:val="en-US" w:eastAsia="zh-CN"/>
        </w:rPr>
        <w:sectPr>
          <w:headerReference r:id="rId16" w:type="first"/>
          <w:headerReference r:id="rId15" w:type="default"/>
          <w:footerReference r:id="rId17" w:type="default"/>
          <w:pgSz w:w="16840" w:h="11907" w:orient="landscape"/>
          <w:pgMar w:top="1259" w:right="1418" w:bottom="1287" w:left="936" w:header="851" w:footer="1021"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4"/>
          <w:highlight w:val="none"/>
        </w:rPr>
        <w:t xml:space="preserve">       </w:t>
      </w:r>
    </w:p>
    <w:p>
      <w:pPr>
        <w:pStyle w:val="39"/>
        <w:ind w:firstLine="562"/>
        <w:rPr>
          <w:rFonts w:hint="eastAsia" w:ascii="仿宋" w:hAnsi="仿宋" w:eastAsia="仿宋" w:cs="仿宋"/>
          <w:b/>
          <w:color w:val="000000" w:themeColor="text1"/>
          <w:szCs w:val="28"/>
          <w:highlight w:val="none"/>
          <w14:textFill>
            <w14:solidFill>
              <w14:schemeClr w14:val="tx1"/>
            </w14:solidFill>
          </w14:textFill>
        </w:rPr>
      </w:pPr>
      <w:bookmarkStart w:id="70" w:name="_Toc188808839"/>
      <w:bookmarkStart w:id="71" w:name="_Toc48995851"/>
      <w:bookmarkStart w:id="72" w:name="_Toc47418731"/>
      <w:bookmarkStart w:id="73" w:name="_Toc13908"/>
      <w:bookmarkStart w:id="74" w:name="_Toc193126888"/>
      <w:bookmarkStart w:id="75" w:name="_Toc237"/>
      <w:bookmarkStart w:id="76" w:name="_Toc47261690"/>
      <w:bookmarkStart w:id="77" w:name="_Toc49019497"/>
      <w:bookmarkStart w:id="78" w:name="_Toc48791235"/>
      <w:bookmarkStart w:id="79" w:name="_Toc47261885"/>
      <w:bookmarkStart w:id="80" w:name="_Toc194663925"/>
      <w:bookmarkStart w:id="81" w:name="_Toc49019236"/>
      <w:bookmarkStart w:id="82" w:name="_Toc47262069"/>
      <w:bookmarkStart w:id="83" w:name="_Toc47418938"/>
      <w:bookmarkStart w:id="84" w:name="_Toc193187104"/>
      <w:bookmarkStart w:id="85" w:name="_Toc458617477"/>
      <w:bookmarkStart w:id="86" w:name="_Toc47418255"/>
      <w:r>
        <w:rPr>
          <w:rFonts w:hint="eastAsia" w:ascii="仿宋" w:hAnsi="仿宋" w:eastAsia="仿宋" w:cs="仿宋"/>
          <w:b/>
          <w:color w:val="000000" w:themeColor="text1"/>
          <w:szCs w:val="28"/>
          <w:highlight w:val="none"/>
          <w:lang w:val="en-US" w:eastAsia="zh-CN"/>
          <w14:textFill>
            <w14:solidFill>
              <w14:schemeClr w14:val="tx1"/>
            </w14:solidFill>
          </w14:textFill>
        </w:rPr>
        <w:t>4</w:t>
      </w:r>
      <w:r>
        <w:rPr>
          <w:rFonts w:hint="eastAsia" w:ascii="仿宋" w:hAnsi="仿宋" w:eastAsia="仿宋" w:cs="仿宋"/>
          <w:b/>
          <w:color w:val="000000" w:themeColor="text1"/>
          <w:szCs w:val="28"/>
          <w:highlight w:val="none"/>
          <w14:textFill>
            <w14:solidFill>
              <w14:schemeClr w14:val="tx1"/>
            </w14:solidFill>
          </w14:textFill>
        </w:rPr>
        <w:t>、商务条款响应偏离表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2"/>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54"/>
        <w:gridCol w:w="2829"/>
        <w:gridCol w:w="1394"/>
        <w:gridCol w:w="13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275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磋商文件商务要求</w:t>
            </w:r>
          </w:p>
        </w:tc>
        <w:tc>
          <w:tcPr>
            <w:tcW w:w="282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磋商响应文件商务响应</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440" w:lineRule="exact"/>
        <w:rPr>
          <w:rFonts w:hint="eastAsia" w:ascii="仿宋" w:hAnsi="仿宋" w:eastAsia="仿宋" w:cs="仿宋"/>
          <w:b/>
          <w:bCs/>
          <w:color w:val="000000" w:themeColor="text1"/>
          <w:sz w:val="24"/>
          <w:highlight w:val="none"/>
          <w:lang w:val="zh-CN" w:eastAsia="zh-CN"/>
          <w14:textFill>
            <w14:solidFill>
              <w14:schemeClr w14:val="tx1"/>
            </w14:solidFill>
          </w14:textFill>
        </w:rPr>
      </w:pPr>
    </w:p>
    <w:p>
      <w:pPr>
        <w:spacing w:line="440" w:lineRule="exact"/>
        <w:rPr>
          <w:rFonts w:hint="eastAsia" w:ascii="仿宋" w:hAnsi="仿宋" w:eastAsia="仿宋" w:cs="仿宋"/>
          <w:sz w:val="24"/>
          <w:highlight w:val="none"/>
          <w:lang w:val="zh-CN"/>
        </w:rPr>
      </w:pPr>
      <w:r>
        <w:rPr>
          <w:rFonts w:hint="eastAsia" w:ascii="仿宋" w:hAnsi="仿宋" w:eastAsia="仿宋" w:cs="仿宋"/>
          <w:b/>
          <w:bCs/>
          <w:color w:val="auto"/>
          <w:sz w:val="22"/>
          <w:szCs w:val="22"/>
          <w:highlight w:val="none"/>
          <w:lang w:eastAsia="zh-CN"/>
        </w:rPr>
        <w:t>注：本表按照磋商文件第四章《</w:t>
      </w:r>
      <w:r>
        <w:rPr>
          <w:rFonts w:hint="eastAsia" w:ascii="仿宋" w:hAnsi="仿宋" w:eastAsia="仿宋" w:cs="仿宋"/>
          <w:b/>
          <w:bCs/>
          <w:color w:val="auto"/>
          <w:sz w:val="22"/>
          <w:szCs w:val="22"/>
          <w:highlight w:val="none"/>
          <w:lang w:val="en-US" w:eastAsia="zh-CN"/>
        </w:rPr>
        <w:t>商务要求</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逐条响应，否则按无效投标处理。</w:t>
      </w:r>
      <w:r>
        <w:rPr>
          <w:rFonts w:hint="eastAsia" w:ascii="仿宋" w:hAnsi="仿宋" w:eastAsia="仿宋" w:cs="仿宋"/>
          <w:b/>
          <w:bCs/>
          <w:color w:val="auto"/>
          <w:sz w:val="22"/>
          <w:szCs w:val="22"/>
          <w:highlight w:val="none"/>
          <w:u w:val="none"/>
          <w:lang w:val="en-US" w:eastAsia="zh-CN"/>
        </w:rPr>
        <w:t>偏离情况填写：优于、等于或者低于，偏离说明对偏离情况做出详细说明。</w:t>
      </w:r>
    </w:p>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sectPr>
          <w:headerReference r:id="rId19" w:type="first"/>
          <w:footerReference r:id="rId21" w:type="first"/>
          <w:headerReference r:id="rId18" w:type="default"/>
          <w:footerReference r:id="rId20"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pPr>
    </w:p>
    <w:p>
      <w:pPr>
        <w:pStyle w:val="39"/>
        <w:ind w:firstLine="562"/>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lang w:val="en-US" w:eastAsia="zh-CN"/>
          <w14:textFill>
            <w14:solidFill>
              <w14:schemeClr w14:val="tx1"/>
            </w14:solidFill>
          </w14:textFill>
        </w:rPr>
        <w:t>5</w:t>
      </w:r>
      <w:r>
        <w:rPr>
          <w:rFonts w:hint="eastAsia" w:ascii="仿宋" w:hAnsi="仿宋" w:eastAsia="仿宋" w:cs="仿宋"/>
          <w:b/>
          <w:color w:val="000000" w:themeColor="text1"/>
          <w:szCs w:val="28"/>
          <w:highlight w:val="none"/>
          <w14:textFill>
            <w14:solidFill>
              <w14:schemeClr w14:val="tx1"/>
            </w14:solidFill>
          </w14:textFill>
        </w:rPr>
        <w:t>、服务条款响应偏离表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240" w:lineRule="exact"/>
        <w:ind w:left="210" w:leftChars="100"/>
        <w:rPr>
          <w:rFonts w:hint="eastAsia" w:ascii="仿宋" w:hAnsi="仿宋" w:eastAsia="仿宋" w:cs="仿宋"/>
          <w:b/>
          <w:bCs/>
          <w:color w:val="000000" w:themeColor="text1"/>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2"/>
        <w:tblW w:w="958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16"/>
        <w:gridCol w:w="2300"/>
        <w:gridCol w:w="2767"/>
        <w:gridCol w:w="1314"/>
        <w:gridCol w:w="12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1116"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服务内容</w:t>
            </w:r>
          </w:p>
        </w:tc>
        <w:tc>
          <w:tcPr>
            <w:tcW w:w="2300"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磋商文件服务要求</w:t>
            </w:r>
          </w:p>
        </w:tc>
        <w:tc>
          <w:tcPr>
            <w:tcW w:w="2767"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磋商响应文件服务响应</w:t>
            </w:r>
          </w:p>
        </w:tc>
        <w:tc>
          <w:tcPr>
            <w:tcW w:w="131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29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240" w:lineRule="auto"/>
        <w:ind w:left="210" w:leftChars="100"/>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注：本表请按项目的实际技术要求，逐条对应磋商文件第三章《</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服务内容及要求</w:t>
      </w: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认真填写，偏离情况填写：优于、等于或低于，偏离说明对偏离情况做出详细说明。</w:t>
      </w:r>
    </w:p>
    <w:p>
      <w:pPr>
        <w:spacing w:line="440" w:lineRule="exact"/>
        <w:rPr>
          <w:rFonts w:hint="eastAsia" w:ascii="仿宋" w:hAnsi="仿宋" w:eastAsia="仿宋" w:cs="仿宋"/>
          <w:color w:val="000000" w:themeColor="text1"/>
          <w:sz w:val="24"/>
          <w:highlight w:val="none"/>
          <w:lang w:val="zh-CN"/>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pStyle w:val="39"/>
        <w:ind w:firstLineChars="7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14:textFill>
            <w14:solidFill>
              <w14:schemeClr w14:val="tx1"/>
            </w14:solidFill>
          </w14:textFill>
        </w:rPr>
        <w:br w:type="page"/>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ascii="仿宋" w:hAnsi="仿宋" w:eastAsia="仿宋" w:cs="仿宋"/>
          <w:b/>
          <w:color w:val="000000" w:themeColor="text1"/>
          <w:kern w:val="0"/>
          <w:sz w:val="28"/>
          <w:szCs w:val="22"/>
          <w:highlight w:val="none"/>
          <w:lang w:val="en-US" w:eastAsia="zh-CN"/>
          <w14:textFill>
            <w14:solidFill>
              <w14:schemeClr w14:val="tx1"/>
            </w14:solidFill>
          </w14:textFill>
        </w:rPr>
        <w:t>6</w:t>
      </w:r>
      <w:r>
        <w:rPr>
          <w:rFonts w:hint="eastAsia" w:ascii="仿宋" w:hAnsi="仿宋" w:eastAsia="仿宋" w:cs="仿宋"/>
          <w:b/>
          <w:color w:val="000000" w:themeColor="text1"/>
          <w:szCs w:val="28"/>
          <w:highlight w:val="none"/>
          <w14:textFill>
            <w14:solidFill>
              <w14:schemeClr w14:val="tx1"/>
            </w14:solidFill>
          </w14:textFill>
        </w:rPr>
        <w:t>.资格证明文件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bookmarkStart w:id="87" w:name="_Toc188808842"/>
      <w:bookmarkStart w:id="88" w:name="_Toc193126891"/>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（2）、特定资格条件：</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1、法定代表人或负责人参与磋商时需提供法定代表人或负责人资格证明书（附法定代表人或负责人身份证复印件）；（法定代表人或负责人须提供身份证原件，身份证原件可由本人持有）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2、被授权人参与磋商时需提供法定代表人或负责人授权委托书（附法定代表人或负责人及被授权人身份证复印件）；（被授权人须提供身份证原件，身份证原件可由本人持有）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、单位负责人为同一人或者存在直接控股、管理关系的不同供应商，不得参加同一合同项下的政府采购活动；（提供书面承诺函，格式自拟加盖供应商公章）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b/>
          <w:color w:val="000000" w:themeColor="text1"/>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法定代表人资格证明书</w:t>
      </w:r>
    </w:p>
    <w:tbl>
      <w:tblPr>
        <w:tblStyle w:val="22"/>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   限</w:t>
            </w:r>
          </w:p>
        </w:tc>
        <w:tc>
          <w:tcPr>
            <w:tcW w:w="8538" w:type="dxa"/>
            <w:gridSpan w:val="4"/>
            <w:vAlign w:val="center"/>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有效期</w:t>
            </w:r>
          </w:p>
        </w:tc>
        <w:tc>
          <w:tcPr>
            <w:tcW w:w="8538" w:type="dxa"/>
            <w:gridSpan w:val="4"/>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w:t>
            </w:r>
          </w:p>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信息</w:t>
            </w: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工商登记机关</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网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表人</w:t>
            </w: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    名</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    务</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联系电话</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传    真</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center"/>
              <w:rPr>
                <w:rFonts w:hint="eastAsia" w:ascii="仿宋" w:hAnsi="仿宋" w:eastAsia="仿宋" w:cs="仿宋"/>
                <w:color w:val="000000" w:themeColor="text1"/>
                <w:spacing w:val="-4"/>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r>
    </w:tbl>
    <w:p>
      <w:pPr>
        <w:pStyle w:val="39"/>
        <w:ind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（供应商单位公章）   日 期：</w:t>
      </w:r>
    </w:p>
    <w:p>
      <w:pPr>
        <w:rPr>
          <w:rFonts w:hint="eastAsia" w:ascii="仿宋" w:hAnsi="仿宋" w:eastAsia="仿宋" w:cs="仿宋"/>
          <w:color w:val="000000" w:themeColor="text1"/>
          <w:kern w:val="0"/>
          <w:sz w:val="24"/>
          <w:highlight w:val="none"/>
          <w:u w:val="none"/>
          <w14:textFill>
            <w14:solidFill>
              <w14:schemeClr w14:val="tx1"/>
            </w14:solidFill>
          </w14:textFill>
        </w:rPr>
      </w:pPr>
    </w:p>
    <w:p>
      <w:pPr>
        <w:ind w:firstLine="723" w:firstLineChars="300"/>
        <w:rPr>
          <w:rFonts w:hint="eastAsia" w:ascii="仿宋" w:hAnsi="仿宋" w:eastAsia="仿宋" w:cs="仿宋"/>
          <w:b/>
          <w:bCs/>
          <w:color w:val="000000" w:themeColor="text1"/>
          <w:kern w:val="0"/>
          <w:sz w:val="24"/>
          <w:highlight w:val="none"/>
          <w:u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（法定代表人直接投标，只须提供法定代表人证明书及身份证原件）</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法定代表人授权委托书</w:t>
      </w:r>
    </w:p>
    <w:tbl>
      <w:tblPr>
        <w:tblStyle w:val="2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权项</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目与</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内容</w:t>
            </w: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7138"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7138" w:type="dxa"/>
            <w:gridSpan w:val="5"/>
          </w:tcPr>
          <w:p>
            <w:pPr>
              <w:tabs>
                <w:tab w:val="right" w:leader="dot" w:pos="9022"/>
              </w:tabs>
              <w:autoSpaceDE w:val="0"/>
              <w:autoSpaceDN w:val="0"/>
              <w:adjustRightInd w:val="0"/>
              <w:spacing w:line="500" w:lineRule="exact"/>
              <w:ind w:firstLine="1200" w:firstLineChars="500"/>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授权范围</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法律责任</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授权期限</w:t>
            </w:r>
          </w:p>
        </w:tc>
        <w:tc>
          <w:tcPr>
            <w:tcW w:w="7138" w:type="dxa"/>
            <w:gridSpan w:val="5"/>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本授权书自提交磋商响应文件的截止之日起90个日历日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企业信息</w:t>
            </w: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8493" w:type="dxa"/>
            <w:gridSpan w:val="6"/>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5296"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c>
          <w:tcPr>
            <w:tcW w:w="5296" w:type="dxa"/>
            <w:gridSpan w:val="3"/>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被授权人签字或盖章：</w:t>
            </w:r>
          </w:p>
        </w:tc>
      </w:tr>
    </w:tbl>
    <w:p>
      <w:pPr>
        <w:autoSpaceDE w:val="0"/>
        <w:autoSpaceDN w:val="0"/>
        <w:adjustRightInd w:val="0"/>
        <w:snapToGrid w:val="0"/>
        <w:spacing w:line="48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供应商名称：</w:t>
      </w:r>
      <w:r>
        <w:rPr>
          <w:rFonts w:hint="eastAsia" w:ascii="仿宋" w:hAnsi="仿宋" w:eastAsia="仿宋" w:cs="仿宋"/>
          <w:bCs/>
          <w:caps/>
          <w:color w:val="000000" w:themeColor="text1"/>
          <w:sz w:val="24"/>
          <w:highlight w:val="none"/>
          <w:u w:val="single"/>
          <w14:textFill>
            <w14:solidFill>
              <w14:schemeClr w14:val="tx1"/>
            </w14:solidFill>
          </w14:textFill>
        </w:rPr>
        <w:t xml:space="preserve">             </w:t>
      </w:r>
      <w:r>
        <w:rPr>
          <w:rFonts w:hint="eastAsia" w:ascii="仿宋" w:hAnsi="仿宋" w:eastAsia="仿宋" w:cs="仿宋"/>
          <w:bCs/>
          <w:caps/>
          <w:color w:val="000000" w:themeColor="text1"/>
          <w:sz w:val="24"/>
          <w:highlight w:val="none"/>
          <w14:textFill>
            <w14:solidFill>
              <w14:schemeClr w14:val="tx1"/>
            </w14:solidFill>
          </w14:textFill>
        </w:rPr>
        <w:t xml:space="preserve">（供应商单位公章）     日 期：  </w:t>
      </w:r>
    </w:p>
    <w:p>
      <w:pPr>
        <w:pStyle w:val="39"/>
        <w:ind w:firstLine="0" w:firstLineChars="0"/>
        <w:rPr>
          <w:rFonts w:hint="eastAsia" w:ascii="仿宋" w:hAnsi="仿宋" w:eastAsia="仿宋" w:cs="仿宋"/>
          <w:color w:val="000000" w:themeColor="text1"/>
          <w:kern w:val="0"/>
          <w:sz w:val="24"/>
          <w:highlight w:val="none"/>
          <w:u w:val="none"/>
          <w14:textFill>
            <w14:solidFill>
              <w14:schemeClr w14:val="tx1"/>
            </w14:solidFill>
          </w14:textFill>
        </w:rPr>
      </w:pPr>
    </w:p>
    <w:p>
      <w:pPr>
        <w:pStyle w:val="39"/>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被授权人投标时</w:t>
      </w:r>
      <w:r>
        <w:rPr>
          <w:rFonts w:hint="eastAsia" w:ascii="仿宋" w:hAnsi="仿宋" w:eastAsia="仿宋" w:cs="仿宋"/>
          <w:b/>
          <w:bCs/>
          <w:color w:val="000000" w:themeColor="text1"/>
          <w:kern w:val="0"/>
          <w:sz w:val="24"/>
          <w:highlight w:val="none"/>
          <w:u w:val="none"/>
          <w14:textFill>
            <w14:solidFill>
              <w14:schemeClr w14:val="tx1"/>
            </w14:solidFill>
          </w14:textFill>
        </w:rPr>
        <w:t>，须提供</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法定代表人授权委托书</w:t>
      </w:r>
      <w:r>
        <w:rPr>
          <w:rFonts w:hint="eastAsia" w:ascii="仿宋" w:hAnsi="仿宋" w:eastAsia="仿宋" w:cs="仿宋"/>
          <w:b/>
          <w:bCs/>
          <w:color w:val="000000" w:themeColor="text1"/>
          <w:kern w:val="0"/>
          <w:sz w:val="24"/>
          <w:highlight w:val="none"/>
          <w:u w:val="none"/>
          <w14:textFill>
            <w14:solidFill>
              <w14:schemeClr w14:val="tx1"/>
            </w14:solidFill>
          </w14:textFill>
        </w:rPr>
        <w:t>及</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被授权人身份证</w:t>
      </w:r>
      <w:r>
        <w:rPr>
          <w:rFonts w:hint="eastAsia" w:ascii="仿宋" w:hAnsi="仿宋" w:eastAsia="仿宋" w:cs="仿宋"/>
          <w:b/>
          <w:bCs/>
          <w:color w:val="000000" w:themeColor="text1"/>
          <w:kern w:val="0"/>
          <w:sz w:val="24"/>
          <w:highlight w:val="none"/>
          <w:u w:val="none"/>
          <w14:textFill>
            <w14:solidFill>
              <w14:schemeClr w14:val="tx1"/>
            </w14:solidFill>
          </w14:textFill>
        </w:rPr>
        <w:t>原件）</w:t>
      </w:r>
    </w:p>
    <w:p>
      <w:pPr>
        <w:pStyle w:val="39"/>
        <w:ind w:firstLine="562"/>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7</w:t>
      </w:r>
      <w:r>
        <w:rPr>
          <w:rFonts w:hint="eastAsia" w:ascii="仿宋" w:hAnsi="仿宋" w:eastAsia="仿宋" w:cs="仿宋"/>
          <w:b/>
          <w:color w:val="000000" w:themeColor="text1"/>
          <w:highlight w:val="none"/>
          <w:lang w:eastAsia="zh-CN"/>
          <w14:textFill>
            <w14:solidFill>
              <w14:schemeClr w14:val="tx1"/>
            </w14:solidFill>
          </w14:textFill>
        </w:rPr>
        <w:t>、2019年1月1日</w:t>
      </w:r>
      <w:r>
        <w:rPr>
          <w:rFonts w:hint="eastAsia" w:ascii="仿宋" w:hAnsi="仿宋" w:eastAsia="仿宋" w:cs="仿宋"/>
          <w:b/>
          <w:color w:val="000000" w:themeColor="text1"/>
          <w:highlight w:val="none"/>
          <w14:textFill>
            <w14:solidFill>
              <w14:schemeClr w14:val="tx1"/>
            </w14:solidFill>
          </w14:textFill>
        </w:rPr>
        <w:t>至今</w:t>
      </w:r>
      <w:r>
        <w:rPr>
          <w:rFonts w:hint="eastAsia" w:ascii="仿宋" w:hAnsi="仿宋" w:eastAsia="仿宋" w:cs="仿宋"/>
          <w:b/>
          <w:color w:val="000000" w:themeColor="text1"/>
          <w:highlight w:val="none"/>
          <w:lang w:val="en-US" w:eastAsia="zh-CN"/>
          <w14:textFill>
            <w14:solidFill>
              <w14:schemeClr w14:val="tx1"/>
            </w14:solidFill>
          </w14:textFill>
        </w:rPr>
        <w:t>同类</w:t>
      </w:r>
      <w:r>
        <w:rPr>
          <w:rFonts w:hint="eastAsia" w:ascii="仿宋" w:hAnsi="仿宋" w:eastAsia="仿宋" w:cs="仿宋"/>
          <w:b/>
          <w:color w:val="000000" w:themeColor="text1"/>
          <w:highlight w:val="none"/>
          <w14:textFill>
            <w14:solidFill>
              <w14:schemeClr w14:val="tx1"/>
            </w14:solidFill>
          </w14:textFill>
        </w:rPr>
        <w:t>项目业绩（提供合同复印件加盖公章）</w:t>
      </w: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8</w:t>
      </w: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技术部分</w:t>
      </w:r>
    </w:p>
    <w:p>
      <w:pPr>
        <w:pStyle w:val="39"/>
        <w:ind w:firstLine="480"/>
        <w:rPr>
          <w:rFonts w:hint="eastAsia" w:ascii="仿宋" w:hAnsi="仿宋" w:eastAsia="仿宋" w:cs="仿宋"/>
          <w:b/>
          <w:color w:val="000000" w:themeColor="text1"/>
          <w:sz w:val="24"/>
          <w:szCs w:val="24"/>
          <w:highlight w:val="none"/>
          <w14:textFill>
            <w14:solidFill>
              <w14:schemeClr w14:val="tx1"/>
            </w14:solidFill>
          </w14:textFill>
        </w:rPr>
      </w:pPr>
      <w:bookmarkStart w:id="89" w:name="_Toc408785221"/>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39"/>
        <w:ind w:firstLine="482"/>
        <w:rPr>
          <w:rFonts w:hint="eastAsia" w:ascii="仿宋" w:hAnsi="仿宋" w:eastAsia="仿宋" w:cs="仿宋"/>
          <w:b/>
          <w:color w:val="000000" w:themeColor="text1"/>
          <w:sz w:val="24"/>
          <w:szCs w:val="24"/>
          <w:highlight w:val="none"/>
          <w14:textFill>
            <w14:solidFill>
              <w14:schemeClr w14:val="tx1"/>
            </w14:solidFill>
          </w14:textFill>
        </w:rPr>
      </w:pPr>
    </w:p>
    <w:bookmarkEnd w:id="89"/>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bidi w:val="0"/>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9、质量保证（格式）</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bookmarkStart w:id="90" w:name="_Toc188808855"/>
      <w:bookmarkStart w:id="91" w:name="_Toc193126905"/>
      <w:bookmarkStart w:id="92" w:name="_Toc193187111"/>
      <w:bookmarkStart w:id="93" w:name="_Toc194663942"/>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default" w:ascii="仿宋" w:hAnsi="仿宋" w:eastAsia="仿宋" w:cs="仿宋"/>
          <w:b/>
          <w:color w:val="000000" w:themeColor="text1"/>
          <w:kern w:val="0"/>
          <w:sz w:val="28"/>
          <w:szCs w:val="22"/>
          <w:highlight w:val="none"/>
          <w:lang w:val="en-US" w:eastAsia="zh-CN" w:bidi="ar-SA"/>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10.售后服务及培训计划</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11</w:t>
      </w:r>
      <w:r>
        <w:rPr>
          <w:rFonts w:hint="eastAsia" w:ascii="仿宋" w:hAnsi="仿宋" w:eastAsia="仿宋" w:cs="仿宋"/>
          <w:b/>
          <w:color w:val="000000" w:themeColor="text1"/>
          <w:highlight w:val="none"/>
          <w14:textFill>
            <w14:solidFill>
              <w14:schemeClr w14:val="tx1"/>
            </w14:solidFill>
          </w14:textFill>
        </w:rPr>
        <w:t>.供应商认为有必要说明的事宜</w:t>
      </w: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br w:type="page"/>
      </w:r>
    </w:p>
    <w:p>
      <w:pPr>
        <w:pStyle w:val="39"/>
        <w:ind w:firstLineChars="71"/>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1</w:t>
      </w:r>
      <w:r>
        <w:rPr>
          <w:rFonts w:hint="eastAsia" w:ascii="仿宋" w:hAnsi="仿宋" w:eastAsia="仿宋" w:cs="仿宋"/>
          <w:b/>
          <w:color w:val="000000" w:themeColor="text1"/>
          <w:szCs w:val="28"/>
          <w:highlight w:val="none"/>
          <w:lang w:val="en-US" w:eastAsia="zh-CN"/>
          <w14:textFill>
            <w14:solidFill>
              <w14:schemeClr w14:val="tx1"/>
            </w14:solidFill>
          </w14:textFill>
        </w:rPr>
        <w:t>2</w:t>
      </w:r>
      <w:r>
        <w:rPr>
          <w:rFonts w:hint="eastAsia" w:ascii="仿宋" w:hAnsi="仿宋" w:eastAsia="仿宋" w:cs="仿宋"/>
          <w:b/>
          <w:color w:val="000000" w:themeColor="text1"/>
          <w:szCs w:val="28"/>
          <w:highlight w:val="none"/>
          <w14:textFill>
            <w14:solidFill>
              <w14:schemeClr w14:val="tx1"/>
            </w14:solidFill>
          </w14:textFill>
        </w:rPr>
        <w:t>.</w:t>
      </w:r>
      <w:r>
        <w:rPr>
          <w:rFonts w:hint="eastAsia" w:ascii="仿宋" w:hAnsi="仿宋" w:eastAsia="仿宋" w:cs="仿宋"/>
          <w:b/>
          <w:color w:val="000000" w:themeColor="text1"/>
          <w:szCs w:val="28"/>
          <w:highlight w:val="none"/>
          <w:lang w:eastAsia="zh-CN"/>
          <w14:textFill>
            <w14:solidFill>
              <w14:schemeClr w14:val="tx1"/>
            </w14:solidFill>
          </w14:textFill>
        </w:rPr>
        <w:t>供应商</w:t>
      </w:r>
      <w:r>
        <w:rPr>
          <w:rFonts w:hint="eastAsia" w:ascii="仿宋" w:hAnsi="仿宋" w:eastAsia="仿宋" w:cs="仿宋"/>
          <w:b/>
          <w:color w:val="000000" w:themeColor="text1"/>
          <w:szCs w:val="28"/>
          <w:highlight w:val="none"/>
          <w14:textFill>
            <w14:solidFill>
              <w14:schemeClr w14:val="tx1"/>
            </w14:solidFill>
          </w14:textFill>
        </w:rPr>
        <w:t>承诺书</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w:t>
      </w:r>
      <w:r>
        <w:rPr>
          <w:rFonts w:hint="eastAsia" w:ascii="仿宋" w:hAnsi="仿宋" w:eastAsia="仿宋" w:cs="仿宋"/>
          <w:b w:val="0"/>
          <w:bCs/>
          <w:color w:val="000000" w:themeColor="text1"/>
          <w:sz w:val="24"/>
          <w:szCs w:val="24"/>
          <w:highlight w:val="none"/>
          <w14:textFill>
            <w14:solidFill>
              <w14:schemeClr w14:val="tx1"/>
            </w14:solidFill>
          </w14:textFill>
        </w:rPr>
        <w:t> </w:t>
      </w:r>
    </w:p>
    <w:p>
      <w:pPr>
        <w:widowControl/>
        <w:spacing w:line="480" w:lineRule="exact"/>
        <w:jc w:val="left"/>
        <w:rPr>
          <w:rFonts w:hint="eastAsia" w:ascii="仿宋" w:hAnsi="仿宋" w:eastAsia="仿宋" w:cs="仿宋"/>
          <w:b/>
          <w:color w:val="000000" w:themeColor="text1"/>
          <w:kern w:val="0"/>
          <w:highlight w:val="none"/>
          <w14:textFill>
            <w14:solidFill>
              <w14:schemeClr w14:val="tx1"/>
            </w14:solidFill>
          </w14:textFill>
        </w:rPr>
      </w:pP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陕西省政府采购供应商</w:t>
      </w: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拒绝政府采购领域商业贿赂承诺书Ⅰ</w:t>
      </w:r>
    </w:p>
    <w:p>
      <w:pPr>
        <w:widowControl/>
        <w:spacing w:line="40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为响应党中央、国务院关于治理政府采购领域商业贿赂行为的号召</w:t>
      </w:r>
      <w:r>
        <w:rPr>
          <w:rFonts w:hint="eastAsia" w:ascii="仿宋" w:hAnsi="仿宋" w:eastAsia="仿宋" w:cs="仿宋"/>
          <w:color w:val="000000" w:themeColor="text1"/>
          <w:kern w:val="0"/>
          <w:sz w:val="24"/>
          <w:highlight w:val="none"/>
          <w14:textFill>
            <w14:solidFill>
              <w14:schemeClr w14:val="tx1"/>
            </w14:solidFill>
          </w14:textFill>
        </w:rPr>
        <w:t xml:space="preserve">，我单位作为     </w:t>
      </w:r>
      <w:r>
        <w:rPr>
          <w:rFonts w:hint="eastAsia" w:ascii="仿宋" w:hAnsi="仿宋" w:eastAsia="仿宋" w:cs="仿宋"/>
          <w:color w:val="000000" w:themeColor="text1"/>
          <w:kern w:val="0"/>
          <w:sz w:val="24"/>
          <w:highlight w:val="none"/>
          <w:u w:val="single"/>
          <w14:textFill>
            <w14:solidFill>
              <w14:schemeClr w14:val="tx1"/>
            </w14:solidFill>
          </w14:textFill>
        </w:rPr>
        <w:t xml:space="preserve">（项目名称）         </w:t>
      </w:r>
      <w:r>
        <w:rPr>
          <w:rFonts w:hint="eastAsia" w:ascii="仿宋" w:hAnsi="仿宋" w:eastAsia="仿宋" w:cs="仿宋"/>
          <w:color w:val="000000" w:themeColor="text1"/>
          <w:kern w:val="0"/>
          <w:sz w:val="24"/>
          <w:highlight w:val="none"/>
          <w14:textFill>
            <w14:solidFill>
              <w14:schemeClr w14:val="tx1"/>
            </w14:solidFill>
          </w14:textFill>
        </w:rPr>
        <w:t xml:space="preserve"> 的供应商，</w:t>
      </w:r>
      <w:r>
        <w:rPr>
          <w:rFonts w:hint="eastAsia" w:ascii="仿宋" w:hAnsi="仿宋" w:eastAsia="仿宋" w:cs="仿宋"/>
          <w:color w:val="000000" w:themeColor="text1"/>
          <w:sz w:val="24"/>
          <w:highlight w:val="none"/>
          <w14:textFill>
            <w14:solidFill>
              <w14:schemeClr w14:val="tx1"/>
            </w14:solidFill>
          </w14:textFill>
        </w:rPr>
        <w:t xml:space="preserve">在此庄严承诺：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1、在参与政府采购活动中遵纪守法、诚信经营、公平竞标。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2、不向采购人、采购代理机构和政府采购评审专家进行任何形式的商业贿赂以谋取交易机会。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3、不向政府采购采购代理机构和采购人提供虚假资质文件或采用虚假应标方式参与政府采购市场竞争并谋取成交。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4、不采取“围标、陪标”等商业欺诈手段获得政府采购定单。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5、不采取不正当手段低毁、排挤其他供应商。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6、不在提供商品和服务时“偷梁换柱、以次充好”损害采购人的合法权益。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7、不与采购人、采购代理机构政府采购评审专家或其它供应商恶意串通，进行质疑和投诉，维护政府采购市场秩序。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8、尊重和接受政府采购监督管理部门的监督和政府采购代理机构采购要求，承担因违约行为给采购人造成的损失。 </w:t>
      </w:r>
    </w:p>
    <w:p>
      <w:pPr>
        <w:widowControl/>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9、不发生其他有悖于政府采购公开、公平、公正和诚信原则的行为。 </w:t>
      </w: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承诺单位：</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（盖章） </w:t>
      </w:r>
    </w:p>
    <w:p>
      <w:pPr>
        <w:widowControl/>
        <w:spacing w:line="48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全权代表：</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（签字）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　　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    编：</w:t>
      </w:r>
      <w:r>
        <w:rPr>
          <w:rFonts w:hint="eastAsia" w:ascii="仿宋" w:hAnsi="仿宋" w:eastAsia="仿宋" w:cs="仿宋"/>
          <w:color w:val="000000" w:themeColor="text1"/>
          <w:kern w:val="0"/>
          <w:sz w:val="24"/>
          <w:highlight w:val="none"/>
          <w:u w:val="single"/>
          <w14:textFill>
            <w14:solidFill>
              <w14:schemeClr w14:val="tx1"/>
            </w14:solidFill>
          </w14:textFill>
        </w:rPr>
        <w:t>　　                     　　</w:t>
      </w:r>
    </w:p>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　　话：</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，本公司承诺：在参加本项目</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，本公司郑重申告并承诺：近三年受到有关行政主管部门的行政处理、不良行为记录为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，本公司郑重申告：近三年因</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问题的不法行为记录为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本公司承诺：本次</w:t>
            </w:r>
            <w:r>
              <w:rPr>
                <w:rFonts w:hint="eastAsia" w:ascii="仿宋" w:hAnsi="仿宋" w:eastAsia="仿宋" w:cs="仿宋"/>
                <w:color w:val="000000" w:themeColor="text1"/>
                <w:sz w:val="24"/>
                <w:highlight w:val="none"/>
                <w:lang w:val="en-US" w:eastAsia="zh-CN"/>
                <w14:textFill>
                  <w14:solidFill>
                    <w14:schemeClr w14:val="tx1"/>
                  </w14:solidFill>
                </w14:textFill>
              </w:rPr>
              <w:t>所投服务符合相关行业标准</w:t>
            </w:r>
            <w:r>
              <w:rPr>
                <w:rFonts w:hint="eastAsia" w:ascii="仿宋" w:hAnsi="仿宋" w:eastAsia="仿宋" w:cs="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uto"/>
        <w:ind w:right="480"/>
        <w:rPr>
          <w:rFonts w:hint="eastAsia" w:ascii="仿宋" w:hAnsi="仿宋" w:eastAsia="仿宋" w:cs="仿宋"/>
          <w:color w:val="000000" w:themeColor="text1"/>
          <w:sz w:val="24"/>
          <w:szCs w:val="28"/>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w:t>
      </w:r>
      <w:r>
        <w:rPr>
          <w:rFonts w:hint="eastAsia" w:ascii="仿宋" w:hAnsi="仿宋" w:eastAsia="仿宋" w:cs="仿宋"/>
          <w:b/>
          <w:color w:val="000000" w:themeColor="text1"/>
          <w:sz w:val="36"/>
          <w:szCs w:val="36"/>
          <w:highlight w:val="none"/>
          <w14:textFill>
            <w14:solidFill>
              <w14:schemeClr w14:val="tx1"/>
            </w14:solidFill>
          </w14:textFill>
        </w:rPr>
        <w:fldChar w:fldCharType="begin"/>
      </w:r>
      <w:r>
        <w:rPr>
          <w:rFonts w:hint="eastAsia" w:ascii="仿宋" w:hAnsi="仿宋" w:eastAsia="仿宋" w:cs="仿宋"/>
          <w:b/>
          <w:color w:val="000000" w:themeColor="text1"/>
          <w:sz w:val="36"/>
          <w:szCs w:val="36"/>
          <w:highlight w:val="none"/>
          <w14:textFill>
            <w14:solidFill>
              <w14:schemeClr w14:val="tx1"/>
            </w14:solidFill>
          </w14:textFill>
        </w:rPr>
        <w:instrText xml:space="preserve"> = 5 \* ROMAN </w:instrText>
      </w:r>
      <w:r>
        <w:rPr>
          <w:rFonts w:hint="eastAsia" w:ascii="仿宋" w:hAnsi="仿宋" w:eastAsia="仿宋" w:cs="仿宋"/>
          <w:b/>
          <w:color w:val="000000" w:themeColor="text1"/>
          <w:sz w:val="36"/>
          <w:szCs w:val="36"/>
          <w:highlight w:val="none"/>
          <w14:textFill>
            <w14:solidFill>
              <w14:schemeClr w14:val="tx1"/>
            </w14:solidFill>
          </w14:textFill>
        </w:rPr>
        <w:fldChar w:fldCharType="separate"/>
      </w:r>
      <w:r>
        <w:rPr>
          <w:rFonts w:hint="eastAsia" w:ascii="仿宋" w:hAnsi="仿宋" w:eastAsia="仿宋" w:cs="仿宋"/>
          <w:b/>
          <w:color w:val="000000" w:themeColor="text1"/>
          <w:sz w:val="36"/>
          <w:szCs w:val="36"/>
          <w:highlight w:val="none"/>
          <w14:textFill>
            <w14:solidFill>
              <w14:schemeClr w14:val="tx1"/>
            </w14:solidFill>
          </w14:textFill>
        </w:rPr>
        <w:t>V</w:t>
      </w:r>
      <w:r>
        <w:rPr>
          <w:rFonts w:hint="eastAsia" w:ascii="仿宋" w:hAnsi="仿宋" w:eastAsia="仿宋" w:cs="仿宋"/>
          <w:b/>
          <w:color w:val="000000" w:themeColor="text1"/>
          <w:sz w:val="36"/>
          <w:szCs w:val="36"/>
          <w:highlight w:val="none"/>
          <w14:textFill>
            <w14:solidFill>
              <w14:schemeClr w14:val="tx1"/>
            </w14:solidFill>
          </w14:textFill>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，本公司承诺：参加本次</w:t>
            </w:r>
            <w:r>
              <w:rPr>
                <w:rFonts w:hint="eastAsia" w:ascii="仿宋" w:hAnsi="仿宋" w:eastAsia="仿宋" w:cs="仿宋"/>
                <w:color w:val="000000" w:themeColor="text1"/>
                <w:sz w:val="24"/>
                <w:highlight w:val="none"/>
                <w:lang w:eastAsia="zh-CN"/>
                <w14:textFill>
                  <w14:solidFill>
                    <w14:schemeClr w14:val="tx1"/>
                  </w14:solidFill>
                </w14:textFill>
              </w:rPr>
              <w:t>磋商活动</w:t>
            </w:r>
            <w:r>
              <w:rPr>
                <w:rFonts w:hint="eastAsia" w:ascii="仿宋" w:hAnsi="仿宋" w:eastAsia="仿宋" w:cs="仿宋"/>
                <w:color w:val="000000" w:themeColor="text1"/>
                <w:sz w:val="24"/>
                <w:highlight w:val="none"/>
                <w14:textFill>
                  <w14:solidFill>
                    <w14:schemeClr w14:val="tx1"/>
                  </w14:solidFill>
                </w14:textFill>
              </w:rPr>
              <w:t>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500" w:lineRule="exact"/>
        <w:rPr>
          <w:rFonts w:hint="eastAsia" w:ascii="仿宋" w:hAnsi="仿宋" w:eastAsia="仿宋" w:cs="仿宋"/>
          <w:b/>
          <w:bCs/>
          <w:color w:val="000000" w:themeColor="text1"/>
          <w:sz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u w:val="none"/>
          <w14:textFill>
            <w14:solidFill>
              <w14:schemeClr w14:val="tx1"/>
            </w14:solidFill>
          </w14:textFill>
        </w:rPr>
      </w:pPr>
      <w:r>
        <w:rPr>
          <w:rFonts w:hint="eastAsia" w:ascii="仿宋" w:hAnsi="仿宋" w:eastAsia="仿宋" w:cs="仿宋"/>
          <w:b/>
          <w:color w:val="000000" w:themeColor="text1"/>
          <w:sz w:val="32"/>
          <w:szCs w:val="32"/>
          <w:highlight w:val="none"/>
          <w:u w:val="none"/>
          <w14:textFill>
            <w14:solidFill>
              <w14:schemeClr w14:val="tx1"/>
            </w14:solidFill>
          </w14:textFill>
        </w:rPr>
        <w:t>承诺书Ⅵ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w:t>
            </w:r>
            <w:r>
              <w:rPr>
                <w:rFonts w:hint="eastAsia" w:ascii="仿宋" w:hAnsi="仿宋" w:eastAsia="仿宋" w:cs="仿宋"/>
                <w:color w:val="000000" w:themeColor="text1"/>
                <w:sz w:val="24"/>
                <w:highlight w:val="none"/>
                <w:lang w:eastAsia="zh-CN"/>
                <w14:textFill>
                  <w14:solidFill>
                    <w14:schemeClr w14:val="tx1"/>
                  </w14:solidFill>
                </w14:textFill>
              </w:rPr>
              <w:t>我单位法人代表及主要负责人所在的公司在近三年内没有违法违规行为，</w:t>
            </w:r>
            <w:r>
              <w:rPr>
                <w:rFonts w:hint="eastAsia" w:ascii="仿宋" w:hAnsi="仿宋" w:eastAsia="仿宋" w:cs="仿宋"/>
                <w:color w:val="000000" w:themeColor="text1"/>
                <w:sz w:val="24"/>
                <w:highlight w:val="none"/>
                <w14:textFill>
                  <w14:solidFill>
                    <w14:schemeClr w14:val="tx1"/>
                  </w14:solidFill>
                </w14:textFill>
              </w:rPr>
              <w:t>如有</w:t>
            </w:r>
            <w:r>
              <w:rPr>
                <w:rFonts w:hint="eastAsia" w:ascii="仿宋" w:hAnsi="仿宋" w:eastAsia="仿宋" w:cs="仿宋"/>
                <w:color w:val="000000" w:themeColor="text1"/>
                <w:sz w:val="24"/>
                <w:highlight w:val="none"/>
                <w:lang w:eastAsia="zh-CN"/>
                <w14:textFill>
                  <w14:solidFill>
                    <w14:schemeClr w14:val="tx1"/>
                  </w14:solidFill>
                </w14:textFill>
              </w:rPr>
              <w:t>，我单位自愿放弃本次项目的磋商。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pStyle w:val="39"/>
        <w:ind w:firstLine="174" w:firstLineChars="62"/>
        <w:rPr>
          <w:rFonts w:hint="eastAsia" w:ascii="仿宋" w:hAnsi="仿宋" w:eastAsia="仿宋" w:cs="仿宋"/>
          <w:b/>
          <w:bCs/>
          <w:color w:val="000000" w:themeColor="text1"/>
          <w:szCs w:val="28"/>
          <w:highlight w:val="none"/>
          <w:lang w:eastAsia="zh-CN"/>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3</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中小</w:t>
      </w:r>
      <w:r>
        <w:rPr>
          <w:rFonts w:hint="eastAsia" w:ascii="仿宋" w:hAnsi="仿宋" w:eastAsia="仿宋" w:cs="仿宋"/>
          <w:b/>
          <w:bCs/>
          <w:color w:val="000000" w:themeColor="text1"/>
          <w:szCs w:val="28"/>
          <w:highlight w:val="none"/>
          <w14:textFill>
            <w14:solidFill>
              <w14:schemeClr w14:val="tx1"/>
            </w14:solidFill>
          </w14:textFill>
        </w:rPr>
        <w:t>企业声明函》</w:t>
      </w:r>
      <w:bookmarkStart w:id="94" w:name="OLE_LINK19"/>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p>
    <w:bookmarkEnd w:id="94"/>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中小企业声明函（服务）</w:t>
      </w:r>
    </w:p>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致：华招广和项目管理有限公司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本公司郑重声明，根据《政府采购促进中小企业发展管理办法》（财库﹝2020﹞46号）的规定，本公司参加</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（单位名称）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采购活动，工程的施工单位全部为符合政策要求的中小企业（或者：服务全部由符合政策要求的中小企业承接）。相关企业的具体情况如下：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w:t>
      </w:r>
      <w:r>
        <w:rPr>
          <w:rFonts w:hint="eastAsia" w:ascii="仿宋" w:hAnsi="仿宋" w:eastAsia="仿宋" w:cs="仿宋"/>
          <w:i w:val="0"/>
          <w:iCs w:val="0"/>
          <w:color w:val="000000" w:themeColor="text1"/>
          <w:kern w:val="0"/>
          <w:sz w:val="24"/>
          <w:szCs w:val="24"/>
          <w:highlight w:val="none"/>
          <w:vertAlign w:val="superscript"/>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日 期：</w:t>
      </w: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r>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从业人员、营业收入、资产总额填报上一年度数据，无上一年度数据的新成立企业可不填报。</w:t>
      </w:r>
    </w:p>
    <w:p>
      <w:pPr>
        <w:pStyle w:val="39"/>
        <w:ind w:firstLine="149"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4</w:t>
      </w:r>
      <w:r>
        <w:rPr>
          <w:rFonts w:hint="eastAsia" w:ascii="仿宋" w:hAnsi="仿宋" w:eastAsia="仿宋" w:cs="仿宋"/>
          <w:b/>
          <w:bCs/>
          <w:color w:val="000000" w:themeColor="text1"/>
          <w:szCs w:val="28"/>
          <w:highlight w:val="none"/>
          <w14:textFill>
            <w14:solidFill>
              <w14:schemeClr w14:val="tx1"/>
            </w14:solidFill>
          </w14:textFill>
        </w:rPr>
        <w:t>.《残疾人福利性单位声明函》</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pacing w:val="6"/>
          <w:sz w:val="24"/>
          <w:szCs w:val="24"/>
          <w:highlight w:val="none"/>
          <w14:textFill>
            <w14:solidFill>
              <w14:schemeClr w14:val="tx1"/>
            </w14:solidFill>
          </w14:textFill>
        </w:rPr>
        <w:t>残疾人福利性单位声明函</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（非</w:t>
      </w:r>
      <w:r>
        <w:rPr>
          <w:rFonts w:hint="eastAsia" w:ascii="仿宋" w:hAnsi="仿宋" w:eastAsia="仿宋" w:cs="仿宋"/>
          <w:b/>
          <w:color w:val="000000" w:themeColor="text1"/>
          <w:spacing w:val="6"/>
          <w:sz w:val="18"/>
          <w:szCs w:val="18"/>
          <w:highlight w:val="none"/>
          <w14:textFill>
            <w14:solidFill>
              <w14:schemeClr w14:val="tx1"/>
            </w14:solidFill>
          </w14:textFill>
        </w:rPr>
        <w:t>残疾人福利企业</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不</w:t>
      </w:r>
      <w:r>
        <w:rPr>
          <w:rFonts w:hint="eastAsia" w:ascii="仿宋" w:hAnsi="仿宋" w:eastAsia="仿宋" w:cs="仿宋"/>
          <w:b/>
          <w:color w:val="000000" w:themeColor="text1"/>
          <w:spacing w:val="6"/>
          <w:sz w:val="18"/>
          <w:szCs w:val="18"/>
          <w:highlight w:val="none"/>
          <w14:textFill>
            <w14:solidFill>
              <w14:schemeClr w14:val="tx1"/>
            </w14:solidFill>
          </w14:textFill>
        </w:rPr>
        <w:t>填写</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w:t>
      </w:r>
    </w:p>
    <w:p>
      <w:pPr>
        <w:spacing w:line="588" w:lineRule="exact"/>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highlight w:val="none"/>
          <w14:textFill>
            <w14:solidFill>
              <w14:schemeClr w14:val="tx1"/>
            </w14:solidFill>
          </w14:textFill>
        </w:rPr>
        <w:t>〔2017〕 141</w:t>
      </w:r>
      <w:r>
        <w:rPr>
          <w:rFonts w:hint="eastAsia" w:ascii="仿宋" w:hAnsi="仿宋" w:eastAsia="仿宋" w:cs="仿宋"/>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日  期：</w:t>
      </w: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w:t>
      </w:r>
      <w:r>
        <w:rPr>
          <w:rFonts w:hint="eastAsia" w:ascii="仿宋" w:hAnsi="仿宋" w:eastAsia="仿宋" w:cs="仿宋"/>
          <w:b/>
          <w:kern w:val="0"/>
          <w:sz w:val="21"/>
          <w:szCs w:val="20"/>
          <w:highlight w:val="none"/>
          <w:lang w:val="en-US" w:eastAsia="zh-CN"/>
        </w:rPr>
        <w:t>供应商</w:t>
      </w:r>
      <w:r>
        <w:rPr>
          <w:rFonts w:hint="eastAsia" w:ascii="仿宋" w:hAnsi="仿宋" w:eastAsia="仿宋" w:cs="仿宋"/>
          <w:b/>
          <w:kern w:val="0"/>
          <w:sz w:val="21"/>
          <w:szCs w:val="20"/>
          <w:highlight w:val="none"/>
          <w:lang w:val="zh-CN"/>
        </w:rPr>
        <w:t>提供的《残疾人福利性单位声明函》必须真实有效，如果被举报经查实出具虚假声明函的，将被取消投标资格，并按有关规定予以处理。</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pStyle w:val="39"/>
        <w:pageBreakBefore w:val="0"/>
        <w:bidi w:val="0"/>
        <w:spacing w:line="560" w:lineRule="exact"/>
        <w:ind w:left="0" w:leftChars="0" w:firstLine="0" w:firstLineChars="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Cs w:val="28"/>
          <w:highlight w:val="none"/>
          <w:lang w:val="en-US" w:eastAsia="zh-CN"/>
          <w14:textFill>
            <w14:solidFill>
              <w14:schemeClr w14:val="tx1"/>
            </w14:solidFill>
          </w14:textFill>
        </w:rPr>
        <w:t>15.</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监狱、戒毒企业</w:t>
      </w:r>
      <w:r>
        <w:rPr>
          <w:rFonts w:hint="eastAsia" w:ascii="仿宋" w:hAnsi="仿宋" w:eastAsia="仿宋" w:cs="仿宋"/>
          <w:b/>
          <w:bCs/>
          <w:color w:val="000000" w:themeColor="text1"/>
          <w:szCs w:val="28"/>
          <w:highlight w:val="none"/>
          <w14:textFill>
            <w14:solidFill>
              <w14:schemeClr w14:val="tx1"/>
            </w14:solidFill>
          </w14:textFill>
        </w:rPr>
        <w:t>声明函》</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color w:val="000000" w:themeColor="text1"/>
          <w:kern w:val="0"/>
          <w:sz w:val="28"/>
          <w:szCs w:val="28"/>
          <w:highlight w:val="none"/>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000000" w:themeColor="text1"/>
          <w:spacing w:val="6"/>
          <w:sz w:val="21"/>
          <w:szCs w:val="21"/>
          <w:highlight w:val="none"/>
          <w:u w:val="double"/>
          <w:lang w:val="zh-CN"/>
          <w14:textFill>
            <w14:solidFill>
              <w14:schemeClr w14:val="tx1"/>
            </w14:solidFill>
          </w14:textFill>
        </w:rPr>
      </w:pPr>
      <w:r>
        <w:rPr>
          <w:rFonts w:hint="eastAsia" w:ascii="仿宋" w:hAnsi="仿宋" w:eastAsia="仿宋" w:cs="仿宋"/>
          <w:b/>
          <w:color w:val="000000" w:themeColor="text1"/>
          <w:kern w:val="0"/>
          <w:sz w:val="28"/>
          <w:szCs w:val="28"/>
          <w:highlight w:val="none"/>
          <w:lang w:val="zh-CN"/>
          <w14:textFill>
            <w14:solidFill>
              <w14:schemeClr w14:val="tx1"/>
            </w14:solidFill>
          </w14:textFill>
        </w:rPr>
        <w:t>监狱、戒毒企业声明函</w:t>
      </w:r>
      <w:r>
        <w:rPr>
          <w:rFonts w:hint="eastAsia" w:ascii="仿宋" w:hAnsi="仿宋" w:eastAsia="仿宋" w:cs="仿宋"/>
          <w:b/>
          <w:strike w:val="0"/>
          <w:dstrike w:val="0"/>
          <w:color w:val="000000" w:themeColor="text1"/>
          <w:spacing w:val="6"/>
          <w:sz w:val="18"/>
          <w:szCs w:val="18"/>
          <w:highlight w:val="none"/>
          <w:u w:val="none"/>
          <w:lang w:val="zh-CN"/>
          <w14:textFill>
            <w14:solidFill>
              <w14:schemeClr w14:val="tx1"/>
            </w14:solidFill>
          </w14:textFill>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444" w:firstLineChars="200"/>
        <w:textAlignment w:val="auto"/>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w:t>
      </w:r>
      <w:r>
        <w:rPr>
          <w:rFonts w:hint="eastAsia" w:ascii="仿宋" w:hAnsi="仿宋" w:eastAsia="仿宋" w:cs="仿宋"/>
          <w:color w:val="000000" w:themeColor="text1"/>
          <w:spacing w:val="-4"/>
          <w:kern w:val="0"/>
          <w:sz w:val="24"/>
          <w:highlight w:val="none"/>
          <w14:textFill>
            <w14:solidFill>
              <w14:schemeClr w14:val="tx1"/>
            </w14:solidFill>
          </w14:textFill>
        </w:rPr>
        <w:t>财政部 司法部 关于政府采购支持监狱企业发展有关问题的通知</w:t>
      </w:r>
      <w:r>
        <w:rPr>
          <w:rFonts w:hint="eastAsia" w:ascii="仿宋" w:hAnsi="仿宋" w:eastAsia="仿宋" w:cs="仿宋"/>
          <w:color w:val="000000" w:themeColor="text1"/>
          <w:sz w:val="24"/>
          <w:highlight w:val="none"/>
          <w14:textFill>
            <w14:solidFill>
              <w14:schemeClr w14:val="tx1"/>
            </w14:solidFill>
          </w14:textFill>
        </w:rPr>
        <w:t>》（财库〔2014〕68号）的规定，本单位为符合条件的监狱、戒毒企业，且本单位参加的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全称（公章）：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备注：供应商提供的《</w:t>
      </w:r>
      <w:r>
        <w:rPr>
          <w:rFonts w:hint="eastAsia" w:ascii="仿宋" w:hAnsi="仿宋" w:eastAsia="仿宋" w:cs="仿宋"/>
          <w:b/>
          <w:bCs w:val="0"/>
          <w:color w:val="000000" w:themeColor="text1"/>
          <w:sz w:val="21"/>
          <w:szCs w:val="20"/>
          <w:highlight w:val="none"/>
          <w14:textFill>
            <w14:solidFill>
              <w14:schemeClr w14:val="tx1"/>
            </w14:solidFill>
          </w14:textFill>
        </w:rPr>
        <w:t>监狱、戒毒企业</w:t>
      </w: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声明函》必须真实有效，供应商</w:t>
      </w:r>
      <w:r>
        <w:rPr>
          <w:rFonts w:hint="eastAsia" w:ascii="仿宋" w:hAnsi="仿宋" w:eastAsia="仿宋" w:cs="仿宋"/>
          <w:b/>
          <w:bCs w:val="0"/>
          <w:color w:val="000000" w:themeColor="text1"/>
          <w:sz w:val="21"/>
          <w:szCs w:val="20"/>
          <w:highlight w:val="none"/>
          <w14:textFill>
            <w14:solidFill>
              <w14:schemeClr w14:val="tx1"/>
            </w14:solidFill>
          </w14:textFill>
        </w:rPr>
        <w:t>应当提供由省级以上监狱管理局、戒毒管理局(含新疆生产建设兵团)出具的属于监狱企业的证明文件。</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39"/>
        <w:spacing w:line="560" w:lineRule="exact"/>
        <w:ind w:firstLine="0" w:firstLineChars="0"/>
        <w:jc w:val="both"/>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rPr>
          <w:rFonts w:hint="eastAsia" w:ascii="仿宋" w:hAnsi="仿宋" w:eastAsia="仿宋" w:cs="仿宋"/>
          <w:color w:val="000000" w:themeColor="text1"/>
          <w:highlight w:val="none"/>
          <w14:textFill>
            <w14:solidFill>
              <w14:schemeClr w14:val="tx1"/>
            </w14:solidFill>
          </w14:textFill>
        </w:rPr>
      </w:pPr>
    </w:p>
    <w:p>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竞争性磋商响应</w:t>
      </w:r>
      <w:r>
        <w:rPr>
          <w:rFonts w:hint="eastAsia" w:ascii="仿宋" w:hAnsi="仿宋" w:eastAsia="仿宋" w:cs="仿宋"/>
          <w:b/>
          <w:color w:val="000000" w:themeColor="text1"/>
          <w:sz w:val="24"/>
          <w:highlight w:val="none"/>
          <w14:textFill>
            <w14:solidFill>
              <w14:schemeClr w14:val="tx1"/>
            </w14:solidFill>
          </w14:textFill>
        </w:rPr>
        <w:t>文件封袋正面标识式样</w:t>
      </w: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157480</wp:posOffset>
                </wp:positionV>
                <wp:extent cx="5678805" cy="7706360"/>
                <wp:effectExtent l="5080" t="4445" r="12065" b="23495"/>
                <wp:wrapNone/>
                <wp:docPr id="5" name="文本框 5"/>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0"/>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rPr>
                                <w:rFonts w:hint="eastAsia" w:ascii="仿宋" w:hAnsi="仿宋" w:eastAsia="仿宋" w:cs="仿宋"/>
                                <w:color w:val="auto"/>
                              </w:rPr>
                            </w:pPr>
                          </w:p>
                          <w:p>
                            <w:pPr>
                              <w:pStyle w:val="10"/>
                              <w:rPr>
                                <w:rFonts w:hint="eastAsia"/>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0"/>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1.35pt;margin-top:12.4pt;height:606.8pt;width:447.15pt;z-index:251666432;mso-width-relative:page;mso-height-relative:page;" fillcolor="#FFFFFF" filled="t" stroked="t" coordsize="21600,21600" o:gfxdata="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QcYB2QAAAAoBAAAPAAAAAAAAAAEA&#10;IAAAACIAAABkcnMvZG93bnJldi54bWxQSwECFAAUAAAACACHTuJA/Kc8Zg4CAAA3BAAADgAAAAAA&#10;AAABACAAAAAoAQAAZHJzL2Uyb0RvYy54bWxQSwUGAAAAAAYABgBZAQAAqAU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0"/>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p>
                    <w:p>
                      <w:pPr>
                        <w:rPr>
                          <w:rFonts w:hint="eastAsia" w:ascii="仿宋" w:hAnsi="仿宋" w:eastAsia="仿宋" w:cs="仿宋"/>
                          <w:color w:val="auto"/>
                        </w:rPr>
                      </w:pPr>
                    </w:p>
                    <w:p>
                      <w:pPr>
                        <w:pStyle w:val="10"/>
                        <w:rPr>
                          <w:rFonts w:hint="eastAsia"/>
                        </w:rPr>
                      </w:pPr>
                    </w:p>
                    <w:p>
                      <w:pPr>
                        <w:pStyle w:val="10"/>
                        <w:jc w:val="center"/>
                        <w:rPr>
                          <w:rFonts w:hint="eastAsia" w:ascii="仿宋" w:hAnsi="仿宋" w:eastAsia="仿宋" w:cs="仿宋"/>
                          <w:color w:val="auto"/>
                        </w:rPr>
                      </w:pPr>
                    </w:p>
                    <w:p>
                      <w:pPr>
                        <w:pStyle w:val="10"/>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0"/>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jc w:val="center"/>
        <w:rPr>
          <w:rFonts w:hint="eastAsia" w:ascii="仿宋" w:hAnsi="仿宋" w:eastAsia="仿宋" w:cs="仿宋"/>
          <w:b/>
          <w:bCs/>
          <w:color w:val="000000" w:themeColor="text1"/>
          <w:kern w:val="0"/>
          <w:sz w:val="28"/>
          <w:szCs w:val="28"/>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w:t>
      </w:r>
    </w:p>
    <w:p>
      <w:pPr>
        <w:pStyle w:val="1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560" w:lineRule="exact"/>
        <w:rPr>
          <w:rFonts w:hint="eastAsia" w:ascii="仿宋" w:hAnsi="仿宋" w:eastAsia="仿宋" w:cs="仿宋"/>
          <w:b/>
          <w:color w:val="000000" w:themeColor="text1"/>
          <w:sz w:val="44"/>
          <w:szCs w:val="44"/>
          <w:highlight w:val="none"/>
          <w14:textFill>
            <w14:solidFill>
              <w14:schemeClr w14:val="tx1"/>
            </w14:solidFill>
          </w14:textFill>
        </w:rPr>
      </w:pPr>
    </w:p>
    <w:p>
      <w:pPr>
        <w:pStyle w:val="1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资质证明材料正面标识式样</w:t>
      </w: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158115</wp:posOffset>
                </wp:positionH>
                <wp:positionV relativeFrom="paragraph">
                  <wp:posOffset>196215</wp:posOffset>
                </wp:positionV>
                <wp:extent cx="5299075" cy="7872095"/>
                <wp:effectExtent l="5080" t="4445" r="10795" b="10160"/>
                <wp:wrapNone/>
                <wp:docPr id="4" name="文本框 4"/>
                <wp:cNvGraphicFramePr/>
                <a:graphic xmlns:a="http://schemas.openxmlformats.org/drawingml/2006/main">
                  <a:graphicData uri="http://schemas.microsoft.com/office/word/2010/wordprocessingShape">
                    <wps:wsp>
                      <wps:cNvSpPr txBox="1"/>
                      <wps:spPr>
                        <a:xfrm>
                          <a:off x="0" y="0"/>
                          <a:ext cx="5299075" cy="7872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wps:txbx>
                      <wps:bodyPr upright="1"/>
                    </wps:wsp>
                  </a:graphicData>
                </a:graphic>
              </wp:anchor>
            </w:drawing>
          </mc:Choice>
          <mc:Fallback>
            <w:pict>
              <v:shape id="_x0000_s1026" o:spid="_x0000_s1026" o:spt="202" type="#_x0000_t202" style="position:absolute;left:0pt;margin-left:12.45pt;margin-top:15.45pt;height:619.85pt;width:417.25pt;z-index:251667456;mso-width-relative:page;mso-height-relative:page;" fillcolor="#FFFFFF" filled="t" stroked="t" coordsize="21600,21600" o:gfxdata="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PDbKtkAAAAKAQAADwAAAAAAAAABACAA&#10;AAAiAAAAZHJzL2Rvd25yZXYueG1sUEsBAhQAFAAAAAgAh07iQDrfFPEMAgAANwQAAA4AAAAAAAAA&#10;AQAgAAAAKAEAAGRycy9lMm9Eb2MueG1sUEsFBgAAAAAGAAYAWQEAAKYFAAAAAA==&#10;">
                <v:fill on="t" focussize="0,0"/>
                <v:stroke color="#000000" joinstyle="miter"/>
                <v:imagedata o:title=""/>
                <o:lock v:ext="edit"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10"/>
                        <w:rPr>
                          <w:rFonts w:hint="eastAsia" w:ascii="仿宋" w:hAnsi="仿宋" w:eastAsia="仿宋" w:cs="仿宋"/>
                          <w:color w:val="auto"/>
                        </w:rPr>
                      </w:pPr>
                    </w:p>
                    <w:p>
                      <w:pPr>
                        <w:rPr>
                          <w:rFonts w:hint="eastAsia" w:ascii="仿宋" w:hAnsi="仿宋" w:eastAsia="仿宋" w:cs="仿宋"/>
                        </w:rPr>
                      </w:pPr>
                    </w:p>
                    <w:p>
                      <w:pPr>
                        <w:pStyle w:val="10"/>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mc:Fallback>
        </mc:AlternateContent>
      </w:r>
    </w:p>
    <w:p>
      <w:pP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br w:type="page"/>
      </w:r>
    </w:p>
    <w:bookmarkEnd w:id="87"/>
    <w:bookmarkEnd w:id="88"/>
    <w:bookmarkEnd w:id="90"/>
    <w:bookmarkEnd w:id="91"/>
    <w:bookmarkEnd w:id="92"/>
    <w:bookmarkEnd w:id="93"/>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lang w:val="zh-CN"/>
          <w14:textFill>
            <w14:solidFill>
              <w14:schemeClr w14:val="tx1"/>
            </w14:solidFill>
          </w14:textFill>
        </w:rPr>
        <w:t>为政府采购</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我们更专心</w:t>
      </w:r>
    </w:p>
    <w:p>
      <w:pPr>
        <w:rPr>
          <w:rFonts w:hint="eastAsia" w:ascii="仿宋" w:hAnsi="仿宋" w:eastAsia="仿宋" w:cs="仿宋"/>
          <w:i/>
          <w:iCs/>
          <w:color w:val="000000" w:themeColor="text1"/>
          <w:sz w:val="28"/>
          <w:szCs w:val="22"/>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u w:val="singl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做政府采购  我们更用心</w:t>
      </w: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sz w:val="40"/>
          <w:szCs w:val="40"/>
          <w:highlight w:val="none"/>
          <w:lang w:val="zh-CN"/>
          <w14:textFill>
            <w14:solidFill>
              <w14:schemeClr w14:val="tx1"/>
            </w14:solidFill>
          </w14:textFill>
        </w:rPr>
      </w:pPr>
      <w:r>
        <w:rPr>
          <w:rFonts w:hint="eastAsia" w:ascii="仿宋" w:hAnsi="仿宋" w:eastAsia="仿宋" w:cs="仿宋"/>
          <w:color w:val="000000" w:themeColor="text1"/>
          <w:sz w:val="40"/>
          <w:szCs w:val="40"/>
          <w:highlight w:val="none"/>
          <w:lang w:val="zh-CN"/>
          <w14:textFill>
            <w14:solidFill>
              <w14:schemeClr w14:val="tx1"/>
            </w14:solidFill>
          </w14:textFill>
        </w:rPr>
        <w:t>华招广和项目管理有限公司</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zh-CN"/>
          <w14:textFill>
            <w14:solidFill>
              <w14:schemeClr w14:val="tx1"/>
            </w14:solidFill>
          </w14:textFill>
        </w:rPr>
        <w:t>地</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lang w:val="zh-CN"/>
          <w14:textFill>
            <w14:solidFill>
              <w14:schemeClr w14:val="tx1"/>
            </w14:solidFill>
          </w14:textFill>
        </w:rPr>
        <w:t>址：</w:t>
      </w:r>
      <w:r>
        <w:rPr>
          <w:rFonts w:hint="eastAsia" w:ascii="仿宋" w:hAnsi="仿宋" w:eastAsia="仿宋" w:cs="仿宋"/>
          <w:bCs/>
          <w:color w:val="000000" w:themeColor="text1"/>
          <w:sz w:val="24"/>
          <w:highlight w:val="none"/>
          <w14:textFill>
            <w14:solidFill>
              <w14:schemeClr w14:val="tx1"/>
            </w14:solidFill>
          </w14:textFill>
        </w:rPr>
        <w:t>西安市朱雀大街南段1号汇成天玺C座18层</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编：710000</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电    话：029-87592321</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电子邮箱：hzghxmglyxgs@163.com</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pStyle w:val="16"/>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sectPr>
      <w:footerReference r:id="rId22"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rPr>
      <w:t>第</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PAGE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17</w:t>
    </w:r>
    <w:r>
      <w:rPr>
        <w:rFonts w:hint="eastAsia" w:ascii="楷体" w:hAnsi="楷体" w:eastAsia="楷体" w:cs="楷体"/>
        <w:b/>
        <w:sz w:val="18"/>
        <w:szCs w:val="18"/>
      </w:rPr>
      <w:fldChar w:fldCharType="end"/>
    </w:r>
    <w:r>
      <w:rPr>
        <w:rFonts w:hint="eastAsia" w:ascii="楷体" w:hAnsi="楷体" w:eastAsia="楷体" w:cs="楷体"/>
        <w:b/>
        <w:sz w:val="18"/>
        <w:szCs w:val="18"/>
      </w:rPr>
      <w:t>页 共</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NUMPAGES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62</w:t>
    </w:r>
    <w:r>
      <w:rPr>
        <w:rFonts w:hint="eastAsia" w:ascii="楷体" w:hAnsi="楷体" w:eastAsia="楷体" w:cs="楷体"/>
        <w:b/>
        <w:sz w:val="18"/>
        <w:szCs w:val="18"/>
      </w:rPr>
      <w:fldChar w:fldCharType="end"/>
    </w:r>
    <w:r>
      <w:rPr>
        <w:rFonts w:hint="eastAsia" w:ascii="楷体" w:hAnsi="楷体" w:eastAsia="楷体" w:cs="楷体"/>
        <w:b/>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103" w:firstLineChars="49"/>
      <w:rPr>
        <w:b/>
        <w:szCs w:val="21"/>
      </w:rPr>
    </w:pPr>
    <w:r>
      <w:rPr>
        <w:rFonts w:hint="eastAsia"/>
        <w:b/>
        <w:szCs w:val="21"/>
      </w:rPr>
      <w:t>--------------</w:t>
    </w:r>
    <w:r>
      <w:rPr>
        <w:rFonts w:hint="eastAsia"/>
        <w:b/>
      </w:rPr>
      <w:t>-</w:t>
    </w:r>
    <w:r>
      <w:rPr>
        <w:rFonts w:hint="eastAsia"/>
        <w:b/>
        <w:szCs w:val="21"/>
      </w:rPr>
      <w:t>--------------------------------------------------</w:t>
    </w:r>
    <w:r>
      <w:rPr>
        <w:szCs w:val="21"/>
      </w:rPr>
      <w:fldChar w:fldCharType="begin"/>
    </w:r>
    <w:r>
      <w:rPr>
        <w:rStyle w:val="26"/>
        <w:szCs w:val="21"/>
      </w:rPr>
      <w:instrText xml:space="preserve"> PAGE </w:instrText>
    </w:r>
    <w:r>
      <w:rPr>
        <w:szCs w:val="21"/>
      </w:rPr>
      <w:fldChar w:fldCharType="separate"/>
    </w:r>
    <w:r>
      <w:rPr>
        <w:rStyle w:val="26"/>
        <w:szCs w:val="21"/>
      </w:rPr>
      <w:t>41</w:t>
    </w:r>
    <w:r>
      <w:rPr>
        <w:szCs w:val="21"/>
      </w:rPr>
      <w:fldChar w:fldCharType="end"/>
    </w:r>
    <w:r>
      <w:rPr>
        <w:rStyle w:val="26"/>
        <w:rFonts w:hint="eastAsia"/>
        <w:szCs w:val="21"/>
      </w:rPr>
      <w:t xml:space="preserve"> </w:t>
    </w:r>
    <w:r>
      <w:rPr>
        <w:rFonts w:hint="eastAsia"/>
        <w:b/>
        <w:szCs w:val="21"/>
      </w:rPr>
      <w:t>---------------------------------------------------------</w:t>
    </w:r>
  </w:p>
  <w:p>
    <w:pPr>
      <w:spacing w:line="280" w:lineRule="exact"/>
      <w:jc w:val="center"/>
      <w:rPr>
        <w:b/>
        <w:szCs w:val="21"/>
      </w:rPr>
    </w:pPr>
    <w:r>
      <w:rPr>
        <w:rFonts w:hint="eastAsia"/>
        <w:b/>
        <w:szCs w:val="21"/>
      </w:rPr>
      <w:t>华招广和项目管理有限公司  SHAANXI SHANGDE TENDERING CO，LTD</w:t>
    </w:r>
  </w:p>
  <w:p>
    <w:pPr>
      <w:spacing w:line="280" w:lineRule="exact"/>
      <w:jc w:val="center"/>
      <w:rPr>
        <w:rStyle w:val="26"/>
        <w:b/>
        <w:szCs w:val="21"/>
      </w:rPr>
    </w:pPr>
    <w:r>
      <w:rPr>
        <w:rFonts w:hint="eastAsia"/>
        <w:b/>
      </w:rPr>
      <w:t>地 址：西安市南二环西段华融国际A座25层D区   电 话：029-85350801/2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238125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wps:txbx>
                    <wps:bodyPr wrap="none" lIns="0" tIns="0" rIns="0" bIns="0">
                      <a:spAutoFit/>
                    </wps:bodyPr>
                  </wps:wsp>
                </a:graphicData>
              </a:graphic>
            </wp:anchor>
          </w:drawing>
        </mc:Choice>
        <mc:Fallback>
          <w:pict>
            <v:shape id="_x0000_s1026" o:spid="_x0000_s1026" o:spt="202" type="#_x0000_t202" style="position:absolute;left:0pt;margin-top:18.75pt;height:144pt;width:144pt;mso-position-horizontal:center;mso-position-horizontal-relative:margin;mso-wrap-style:none;z-index:251664384;mso-width-relative:page;mso-height-relative:page;" filled="f" stroked="f" coordsize="21600,21600" o:gfxdata="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zf/F1wAAAAcBAAAPAAAAAAAAAAEAIAAAACIAAABkcnMv&#10;ZG93bnJldi54bWxQSwECFAAUAAAACACHTuJA3cXsccsBAACZAwAADgAAAAAAAAABACAAAAAmAQAA&#10;ZHJzL2Uyb0RvYy54bWxQSwUGAAAAAAYABgBZAQAAYwUAAAAA&#10;">
              <v:fill on="f" focussize="0,0"/>
              <v:stroke on="f" weight="1.25pt"/>
              <v:imagedata o:title=""/>
              <o:lock v:ext="edit" aspectratio="f"/>
              <v:textbox inset="0mm,0mm,0mm,0mm" style="mso-fit-shape-to-text:t;">
                <w:txbxContent>
                  <w:p>
                    <w:pPr>
                      <w:pStyle w:val="16"/>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v:textbox>
            </v:shape>
          </w:pict>
        </mc:Fallback>
      </mc:AlternateContent>
    </w:r>
    <w:r>
      <w:rPr>
        <w:rFonts w:hint="eastAsia" w:ascii="仿宋" w:hAnsi="仿宋" w:eastAsia="仿宋" w:cs="仿宋"/>
        <w:b/>
        <w:sz w:val="18"/>
        <w:szCs w:val="18"/>
        <w:u w:val="single"/>
      </w:rPr>
      <w:t>华招广和项目管理有限公司        西安市朱雀大街南段1号汇成天玺C座18层          电话：029-87592321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spacing w:line="280" w:lineRule="exact"/>
      <w:rPr>
        <w:rFonts w:ascii="宋体" w:hAnsi="宋体"/>
        <w:b/>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2468880</wp:posOffset>
              </wp:positionH>
              <wp:positionV relativeFrom="paragraph">
                <wp:posOffset>36830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4.4pt;margin-top:2.9pt;height:144pt;width:144pt;mso-position-horizontal-relative:margin;mso-wrap-style:none;z-index:251661312;mso-width-relative:page;mso-height-relative:page;" filled="f" stroked="f" coordsize="21600,21600" o:gfxdata="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qxN7ZAAAACQEAAA8AAAAAAAAAAQAgAAAAIgAAAGRy&#10;cy9kb3ducmV2LnhtbFBLAQIUABQAAAAIAIdO4kApKqhpywEAAJkDAAAOAAAAAAAAAAEAIAAAACgB&#10;AABkcnMvZTJvRG9jLnhtbFBLBQYAAAAABgAGAFkBAABlBQAAAAA=&#10;">
              <v:fill on="f" focussize="0,0"/>
              <v:stroke on="f" weight="1.25pt"/>
              <v:imagedata o:title=""/>
              <o:lock v:ext="edit" aspectratio="f"/>
              <v:textbox inset="0mm,0mm,0mm,0mm" style="mso-fit-shape-to-text:t;">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posOffset>2486025</wp:posOffset>
              </wp:positionH>
              <wp:positionV relativeFrom="paragraph">
                <wp:posOffset>28575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75pt;margin-top:2.25pt;height:144pt;width:144pt;mso-position-horizontal-relative:margin;mso-wrap-style:none;z-index:251662336;mso-width-relative:page;mso-height-relative:page;" filled="f" stroked="f" coordsize="21600,21600" o:gfxdata="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&#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Q3Ot2gAAAAkBAAAPAAAAAAAAAAEAIAAAACIAAABk&#10;cnMvZG93bnJldi54bWxQSwECFAAUAAAACACHTuJAfwe2bcsBAACZAwAADgAAAAAAAAABACAAAAAp&#10;AQAAZHJzL2Uyb0RvYy54bWxQSwUGAAAAAAYABgBZAQAAZgU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90" w:firstLineChars="50"/>
      <w:rPr>
        <w:rStyle w:val="26"/>
      </w:rPr>
    </w:pPr>
    <w:r>
      <w:rPr>
        <w:rStyle w:val="26"/>
        <w:rFonts w:hint="eastAsia"/>
      </w:rPr>
      <w:t xml:space="preserve">  </w:t>
    </w: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hint="eastAsia" w:ascii="仿宋" w:hAnsi="仿宋" w:eastAsia="仿宋" w:cs="仿宋"/>
        <w:b/>
        <w:sz w:val="18"/>
        <w:szCs w:val="18"/>
      </w:rPr>
    </w:pPr>
    <w:r>
      <w:rPr>
        <w:rFonts w:hint="eastAsia" w:ascii="仿宋" w:hAnsi="仿宋" w:eastAsia="仿宋" w:cs="仿宋"/>
        <w:sz w:val="18"/>
      </w:rPr>
      <mc:AlternateContent>
        <mc:Choice Requires="wps">
          <w:drawing>
            <wp:anchor distT="0" distB="0" distL="114300" distR="114300" simplePos="0" relativeHeight="251663360" behindDoc="0" locked="0" layoutInCell="1" allowOverlap="1">
              <wp:simplePos x="0" y="0"/>
              <wp:positionH relativeFrom="margin">
                <wp:posOffset>4151630</wp:posOffset>
              </wp:positionH>
              <wp:positionV relativeFrom="paragraph">
                <wp:posOffset>48260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326.9pt;margin-top:3.8pt;height:144pt;width:144pt;mso-position-horizontal-relative:margin;mso-wrap-style:none;z-index:251663360;mso-width-relative:page;mso-height-relative:page;" filled="f" stroked="f" coordsize="21600,21600" o:gfxdata="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UyCo2QAAAAkBAAAPAAAAAAAAAAEAIAAAACIAAABk&#10;cnMvZG93bnJldi54bWxQSwECFAAUAAAACACHTuJAJDON3MwBAACZAwAADgAAAAAAAAABACAAAAAo&#10;AQAAZHJzL2Uyb0RvYy54bWxQSwUGAAAAAAYABgBZAQAAZgUAAAAA&#10;">
              <v:fill on="f" focussize="0,0"/>
              <v:stroke on="f" weight="1.25pt"/>
              <v:imagedata o:title=""/>
              <o:lock v:ext="edit" aspectratio="f"/>
              <v:textbox inset="0mm,0mm,0mm,0mm" style="mso-fit-shape-to-text:t;">
                <w:txbxContent>
                  <w:p>
                    <w:pPr>
                      <w:pStyle w:val="16"/>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5408" behindDoc="0" locked="0" layoutInCell="1" allowOverlap="1">
              <wp:simplePos x="0" y="0"/>
              <wp:positionH relativeFrom="margin">
                <wp:posOffset>2484755</wp:posOffset>
              </wp:positionH>
              <wp:positionV relativeFrom="paragraph">
                <wp:posOffset>198755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65pt;margin-top:15.65pt;height:144pt;width:144pt;mso-position-horizontal-relative:margin;mso-wrap-style:none;z-index:251665408;mso-width-relative:page;mso-height-relative:page;" filled="f" stroked="f" coordsize="21600,21600" o:gfxdata="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6nxK1wAAAAoBAAAPAAAAAAAAAAEAIAAAACIAAABkcnMv&#10;ZG93bnJldi54bWxQSwECFAAUAAAACACHTuJA012KZcsBAACZAwAADgAAAAAAAAABACAAAAAmAQAA&#10;ZHJzL2Uyb0RvYy54bWxQSwUGAAAAAAYABgBZAQAAYwUAAAAA&#10;">
              <v:fill on="f" focussize="0,0"/>
              <v:stroke on="f" weight="1.25pt"/>
              <v:imagedata o:title=""/>
              <o:lock v:ext="edit" aspectratio="f"/>
              <v:textbox inset="0mm,0mm,0mm,0mm" style="mso-fit-shape-to-text:t;">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r>
      <w:rPr>
        <w:rFonts w:hint="eastAsia" w:ascii="楷体" w:hAnsi="楷体" w:eastAsia="楷体" w:cs="楷体"/>
        <w:b/>
        <w:sz w:val="18"/>
        <w:szCs w:val="18"/>
        <w:u w:val="single"/>
      </w:rPr>
      <w:t>华招广和项目管理有限公司        西安市朱雀大街南段1号汇成天玺C座18层          电话：029-87592321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楷体" w:hAnsi="楷体" w:eastAsia="楷体" w:cs="楷体"/>
        <w:b/>
        <w:sz w:val="18"/>
        <w:szCs w:val="18"/>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仿宋" w:hAnsi="仿宋" w:eastAsia="仿宋" w:cs="仿宋"/>
        <w:b/>
        <w:u w:val="single"/>
        <w:lang w:val="en-US" w:eastAsia="zh-CN"/>
      </w:rPr>
      <w:t>DRG管理系统采购项目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r>
      <w:rPr>
        <w:rFonts w:hint="eastAsia" w:ascii="仿宋" w:hAnsi="仿宋" w:eastAsia="仿宋" w:cs="仿宋"/>
        <w:b/>
        <w:u w:val="single"/>
        <w:lang w:val="en-US" w:eastAsia="zh-CN"/>
      </w:rPr>
      <w:t>DRG管理系统采购项目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ascii="楷体" w:hAnsi="楷体" w:eastAsia="楷体" w:cs="楷体"/>
        <w:b/>
        <w:u w:val="single"/>
        <w:shd w:val="pct10" w:color="auto" w:fill="FFFFFF"/>
      </w:rPr>
    </w:pPr>
    <w:r>
      <w:rPr>
        <w:rFonts w:hint="eastAsia" w:ascii="仿宋" w:hAnsi="仿宋" w:eastAsia="仿宋" w:cs="仿宋"/>
        <w:b/>
        <w:u w:val="single"/>
        <w:lang w:val="en-US" w:eastAsia="zh-CN"/>
      </w:rPr>
      <w:t>DRG管理系统采购项目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Cs w:val="21"/>
        <w:shd w:val="pct10" w:color="auto" w:fill="FFFFFF"/>
      </w:rPr>
    </w:pPr>
    <w:r>
      <w:rPr>
        <w:rFonts w:hint="eastAsia" w:ascii="宋体" w:hAnsi="宋体"/>
        <w:b/>
        <w:lang w:eastAsia="zh-CN"/>
      </w:rPr>
      <w:t>陕西省第二人民医院关于武功县设施农业用地上图入库第二阶段采购项目</w:t>
    </w:r>
    <w:r>
      <w:rPr>
        <w:rFonts w:hint="eastAsia" w:ascii="宋体" w:hAnsi="宋体"/>
        <w:b/>
      </w:rPr>
      <w:t xml:space="preserve">                  文件编号: GDZB-2017-0000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仿宋" w:hAnsi="仿宋" w:eastAsia="仿宋" w:cs="仿宋"/>
        <w:b/>
        <w:u w:val="single"/>
        <w:lang w:val="en-US" w:eastAsia="zh-CN"/>
      </w:rPr>
      <w:t>DRG管理系统采购项目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b/>
        <w:sz w:val="21"/>
        <w:szCs w:val="21"/>
        <w:shd w:val="pct10" w:color="auto" w:fill="FFFFFF"/>
      </w:rPr>
    </w:pPr>
    <w:r>
      <w:rPr>
        <w:rFonts w:hint="eastAsia" w:ascii="宋体" w:hAnsi="宋体"/>
        <w:b/>
        <w:sz w:val="21"/>
        <w:szCs w:val="21"/>
        <w:shd w:val="pct10" w:color="auto" w:fill="FFFFFF"/>
      </w:rPr>
      <w:t>西安市经开区高陵区重大项目测量评估公司入围项目              文件编号:SDZB2017-2361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C707A"/>
    <w:multiLevelType w:val="singleLevel"/>
    <w:tmpl w:val="B21C707A"/>
    <w:lvl w:ilvl="0" w:tentative="0">
      <w:start w:val="1"/>
      <w:numFmt w:val="decimal"/>
      <w:suff w:val="nothing"/>
      <w:lvlText w:val="%1、"/>
      <w:lvlJc w:val="left"/>
    </w:lvl>
  </w:abstractNum>
  <w:abstractNum w:abstractNumId="1">
    <w:nsid w:val="1734BF6A"/>
    <w:multiLevelType w:val="singleLevel"/>
    <w:tmpl w:val="1734BF6A"/>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靖">
    <w15:presenceInfo w15:providerId="WPS Office" w15:userId="2359451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TVlYjc4MTYxOWE0MmI4MTYyZmE4NjhhODg0NWUifQ=="/>
  </w:docVars>
  <w:rsids>
    <w:rsidRoot w:val="5CA52231"/>
    <w:rsid w:val="00295C4C"/>
    <w:rsid w:val="00314C9C"/>
    <w:rsid w:val="004006FE"/>
    <w:rsid w:val="004E284B"/>
    <w:rsid w:val="00574C91"/>
    <w:rsid w:val="00605C8A"/>
    <w:rsid w:val="00716A3F"/>
    <w:rsid w:val="00755DF0"/>
    <w:rsid w:val="0099218B"/>
    <w:rsid w:val="00AE2E12"/>
    <w:rsid w:val="00C56673"/>
    <w:rsid w:val="016D4D4A"/>
    <w:rsid w:val="018848B9"/>
    <w:rsid w:val="01AF53D2"/>
    <w:rsid w:val="01E01AFA"/>
    <w:rsid w:val="026F22F1"/>
    <w:rsid w:val="02A117CD"/>
    <w:rsid w:val="02AA1D26"/>
    <w:rsid w:val="02D33E38"/>
    <w:rsid w:val="030C1D6D"/>
    <w:rsid w:val="031261B3"/>
    <w:rsid w:val="037759E0"/>
    <w:rsid w:val="03AC6219"/>
    <w:rsid w:val="04083177"/>
    <w:rsid w:val="046907DC"/>
    <w:rsid w:val="046B31A0"/>
    <w:rsid w:val="04740EAB"/>
    <w:rsid w:val="047B1417"/>
    <w:rsid w:val="05175953"/>
    <w:rsid w:val="053A59EC"/>
    <w:rsid w:val="05485F66"/>
    <w:rsid w:val="065027ED"/>
    <w:rsid w:val="06707460"/>
    <w:rsid w:val="067F0181"/>
    <w:rsid w:val="06AC3D9C"/>
    <w:rsid w:val="06E36671"/>
    <w:rsid w:val="06FD58FA"/>
    <w:rsid w:val="0708446E"/>
    <w:rsid w:val="071E7D6B"/>
    <w:rsid w:val="07826662"/>
    <w:rsid w:val="07F208D7"/>
    <w:rsid w:val="07FA3B8F"/>
    <w:rsid w:val="089F1C5C"/>
    <w:rsid w:val="08CC0577"/>
    <w:rsid w:val="094B7E72"/>
    <w:rsid w:val="09783466"/>
    <w:rsid w:val="09C126F0"/>
    <w:rsid w:val="09F0034F"/>
    <w:rsid w:val="0A40182F"/>
    <w:rsid w:val="0A441C29"/>
    <w:rsid w:val="0A462C8E"/>
    <w:rsid w:val="0A47098D"/>
    <w:rsid w:val="0A782F46"/>
    <w:rsid w:val="0AC611DC"/>
    <w:rsid w:val="0AE35538"/>
    <w:rsid w:val="0B337DC1"/>
    <w:rsid w:val="0B5F7256"/>
    <w:rsid w:val="0B7432FA"/>
    <w:rsid w:val="0BCE259C"/>
    <w:rsid w:val="0C04209F"/>
    <w:rsid w:val="0C654222"/>
    <w:rsid w:val="0C993304"/>
    <w:rsid w:val="0CA26AF9"/>
    <w:rsid w:val="0CAD7162"/>
    <w:rsid w:val="0D035E0E"/>
    <w:rsid w:val="0D046532"/>
    <w:rsid w:val="0D1B42EE"/>
    <w:rsid w:val="0D2378B7"/>
    <w:rsid w:val="0DC74ACF"/>
    <w:rsid w:val="0E2F54AF"/>
    <w:rsid w:val="0E3B0A63"/>
    <w:rsid w:val="0E535B99"/>
    <w:rsid w:val="0E9852F9"/>
    <w:rsid w:val="0E9D2DA8"/>
    <w:rsid w:val="0EB9746D"/>
    <w:rsid w:val="0EF84A2E"/>
    <w:rsid w:val="0F160CF9"/>
    <w:rsid w:val="0F1E7653"/>
    <w:rsid w:val="0FE65E5D"/>
    <w:rsid w:val="114206D0"/>
    <w:rsid w:val="11C25421"/>
    <w:rsid w:val="12D77F2E"/>
    <w:rsid w:val="12E85D14"/>
    <w:rsid w:val="13134FCF"/>
    <w:rsid w:val="13532ADC"/>
    <w:rsid w:val="1359299C"/>
    <w:rsid w:val="138A771E"/>
    <w:rsid w:val="13C705E7"/>
    <w:rsid w:val="13D50BD8"/>
    <w:rsid w:val="142F3033"/>
    <w:rsid w:val="145D5190"/>
    <w:rsid w:val="14685C58"/>
    <w:rsid w:val="147C3400"/>
    <w:rsid w:val="14E622ED"/>
    <w:rsid w:val="14FE0622"/>
    <w:rsid w:val="150154C3"/>
    <w:rsid w:val="150729CC"/>
    <w:rsid w:val="150F0169"/>
    <w:rsid w:val="153B4ABB"/>
    <w:rsid w:val="1545594D"/>
    <w:rsid w:val="159E5B20"/>
    <w:rsid w:val="15E52C78"/>
    <w:rsid w:val="15EF74ED"/>
    <w:rsid w:val="163352B2"/>
    <w:rsid w:val="163B5862"/>
    <w:rsid w:val="16666A8E"/>
    <w:rsid w:val="166925C4"/>
    <w:rsid w:val="167960C4"/>
    <w:rsid w:val="16A10FD1"/>
    <w:rsid w:val="188341B0"/>
    <w:rsid w:val="19521B57"/>
    <w:rsid w:val="1958524A"/>
    <w:rsid w:val="196873D3"/>
    <w:rsid w:val="19764F21"/>
    <w:rsid w:val="197D4F2E"/>
    <w:rsid w:val="19925274"/>
    <w:rsid w:val="19A3119E"/>
    <w:rsid w:val="1A083E62"/>
    <w:rsid w:val="1B2E333A"/>
    <w:rsid w:val="1B5D5967"/>
    <w:rsid w:val="1B762CE2"/>
    <w:rsid w:val="1B800E24"/>
    <w:rsid w:val="1B8018F0"/>
    <w:rsid w:val="1B8B6FB4"/>
    <w:rsid w:val="1C2C6107"/>
    <w:rsid w:val="1C3F3B57"/>
    <w:rsid w:val="1C704310"/>
    <w:rsid w:val="1C8A0D7E"/>
    <w:rsid w:val="1C9F1DD3"/>
    <w:rsid w:val="1CBD2782"/>
    <w:rsid w:val="1CC058E0"/>
    <w:rsid w:val="1CE9176D"/>
    <w:rsid w:val="1CEF3C8D"/>
    <w:rsid w:val="1DAD3A24"/>
    <w:rsid w:val="1DAE3C1B"/>
    <w:rsid w:val="1DBF1167"/>
    <w:rsid w:val="1DFA6949"/>
    <w:rsid w:val="1E0D2086"/>
    <w:rsid w:val="1E685343"/>
    <w:rsid w:val="1EC5245F"/>
    <w:rsid w:val="1EE018EF"/>
    <w:rsid w:val="1EF86EC7"/>
    <w:rsid w:val="1F193AD6"/>
    <w:rsid w:val="2090323C"/>
    <w:rsid w:val="20D13F45"/>
    <w:rsid w:val="20F52DBB"/>
    <w:rsid w:val="210851CD"/>
    <w:rsid w:val="218403EA"/>
    <w:rsid w:val="2188475F"/>
    <w:rsid w:val="219D3ACF"/>
    <w:rsid w:val="224729DE"/>
    <w:rsid w:val="228D72CD"/>
    <w:rsid w:val="22AA45D0"/>
    <w:rsid w:val="22FB4A29"/>
    <w:rsid w:val="23214339"/>
    <w:rsid w:val="233B6B95"/>
    <w:rsid w:val="234C60E3"/>
    <w:rsid w:val="23667A8F"/>
    <w:rsid w:val="237972CB"/>
    <w:rsid w:val="238460C9"/>
    <w:rsid w:val="2387409E"/>
    <w:rsid w:val="23952DBD"/>
    <w:rsid w:val="23BD364C"/>
    <w:rsid w:val="23BD5C15"/>
    <w:rsid w:val="243F7A48"/>
    <w:rsid w:val="2498323C"/>
    <w:rsid w:val="24AD6618"/>
    <w:rsid w:val="24D24F1B"/>
    <w:rsid w:val="24EB35BF"/>
    <w:rsid w:val="25255D5C"/>
    <w:rsid w:val="253668B6"/>
    <w:rsid w:val="253C5361"/>
    <w:rsid w:val="254B7584"/>
    <w:rsid w:val="25D62632"/>
    <w:rsid w:val="2609650F"/>
    <w:rsid w:val="261C10D2"/>
    <w:rsid w:val="26695200"/>
    <w:rsid w:val="26B00013"/>
    <w:rsid w:val="26B741BD"/>
    <w:rsid w:val="26D23436"/>
    <w:rsid w:val="26E01831"/>
    <w:rsid w:val="270200AF"/>
    <w:rsid w:val="27222C9B"/>
    <w:rsid w:val="27323271"/>
    <w:rsid w:val="27840543"/>
    <w:rsid w:val="281A1E64"/>
    <w:rsid w:val="282B61D0"/>
    <w:rsid w:val="283930FA"/>
    <w:rsid w:val="284A0F2F"/>
    <w:rsid w:val="285F3C13"/>
    <w:rsid w:val="2884639A"/>
    <w:rsid w:val="289C18BC"/>
    <w:rsid w:val="28D322DB"/>
    <w:rsid w:val="28EB2A8B"/>
    <w:rsid w:val="294962CA"/>
    <w:rsid w:val="296F5970"/>
    <w:rsid w:val="29C075C6"/>
    <w:rsid w:val="29C673A2"/>
    <w:rsid w:val="29F41216"/>
    <w:rsid w:val="29F51CDA"/>
    <w:rsid w:val="2A2031AC"/>
    <w:rsid w:val="2A4C49A4"/>
    <w:rsid w:val="2A51745D"/>
    <w:rsid w:val="2B6927F8"/>
    <w:rsid w:val="2BB9108D"/>
    <w:rsid w:val="2BCD3D86"/>
    <w:rsid w:val="2C4B7EAE"/>
    <w:rsid w:val="2E55254F"/>
    <w:rsid w:val="2E76670C"/>
    <w:rsid w:val="2E98219C"/>
    <w:rsid w:val="2EBA2A9C"/>
    <w:rsid w:val="2EC30FD3"/>
    <w:rsid w:val="2F3D365B"/>
    <w:rsid w:val="2FFD6A02"/>
    <w:rsid w:val="3042089F"/>
    <w:rsid w:val="307D1B7F"/>
    <w:rsid w:val="308121AA"/>
    <w:rsid w:val="30882EF9"/>
    <w:rsid w:val="30CF184C"/>
    <w:rsid w:val="30D6704C"/>
    <w:rsid w:val="30E42811"/>
    <w:rsid w:val="312D5C40"/>
    <w:rsid w:val="3179279B"/>
    <w:rsid w:val="318F07B1"/>
    <w:rsid w:val="321A765E"/>
    <w:rsid w:val="322F33E6"/>
    <w:rsid w:val="324A6E8E"/>
    <w:rsid w:val="324C4540"/>
    <w:rsid w:val="325F636A"/>
    <w:rsid w:val="3285675A"/>
    <w:rsid w:val="32BE30D4"/>
    <w:rsid w:val="3306189B"/>
    <w:rsid w:val="33441EEA"/>
    <w:rsid w:val="33C8035F"/>
    <w:rsid w:val="34285437"/>
    <w:rsid w:val="34B67359"/>
    <w:rsid w:val="34BD6422"/>
    <w:rsid w:val="35474D1B"/>
    <w:rsid w:val="35635AE6"/>
    <w:rsid w:val="35FC0885"/>
    <w:rsid w:val="36607BFC"/>
    <w:rsid w:val="36647515"/>
    <w:rsid w:val="366B68D7"/>
    <w:rsid w:val="36754531"/>
    <w:rsid w:val="36960592"/>
    <w:rsid w:val="36A6383E"/>
    <w:rsid w:val="36C86E67"/>
    <w:rsid w:val="36CF2484"/>
    <w:rsid w:val="36D45F5B"/>
    <w:rsid w:val="36E765D4"/>
    <w:rsid w:val="36E81B47"/>
    <w:rsid w:val="37015A67"/>
    <w:rsid w:val="37696A12"/>
    <w:rsid w:val="37D672E5"/>
    <w:rsid w:val="37D82BA9"/>
    <w:rsid w:val="37E902B6"/>
    <w:rsid w:val="385B7D01"/>
    <w:rsid w:val="39565AB7"/>
    <w:rsid w:val="3A0C2363"/>
    <w:rsid w:val="3A612FFC"/>
    <w:rsid w:val="3A991BBE"/>
    <w:rsid w:val="3AAA1667"/>
    <w:rsid w:val="3AAD0891"/>
    <w:rsid w:val="3B0648C2"/>
    <w:rsid w:val="3B2A69F2"/>
    <w:rsid w:val="3BF0451E"/>
    <w:rsid w:val="3C0C0C6E"/>
    <w:rsid w:val="3C3245BA"/>
    <w:rsid w:val="3CF66938"/>
    <w:rsid w:val="3CFA113A"/>
    <w:rsid w:val="3D474C33"/>
    <w:rsid w:val="3D5F716B"/>
    <w:rsid w:val="3DAA35EA"/>
    <w:rsid w:val="3DAB59FE"/>
    <w:rsid w:val="3DBB3A26"/>
    <w:rsid w:val="3E072A46"/>
    <w:rsid w:val="3E1168FA"/>
    <w:rsid w:val="3E3D638D"/>
    <w:rsid w:val="3E59316B"/>
    <w:rsid w:val="3E7A5E78"/>
    <w:rsid w:val="3E8F35BB"/>
    <w:rsid w:val="3EA96557"/>
    <w:rsid w:val="3EB218A7"/>
    <w:rsid w:val="3EE06A33"/>
    <w:rsid w:val="3EFA6BAE"/>
    <w:rsid w:val="3F370BCB"/>
    <w:rsid w:val="3F7A43AD"/>
    <w:rsid w:val="3F8E5C59"/>
    <w:rsid w:val="3FF543F2"/>
    <w:rsid w:val="40287CFB"/>
    <w:rsid w:val="40642868"/>
    <w:rsid w:val="407C02A4"/>
    <w:rsid w:val="40AF73C0"/>
    <w:rsid w:val="41F07ECA"/>
    <w:rsid w:val="420B00B0"/>
    <w:rsid w:val="425D4330"/>
    <w:rsid w:val="427101FB"/>
    <w:rsid w:val="427136EC"/>
    <w:rsid w:val="42B36D52"/>
    <w:rsid w:val="43211C22"/>
    <w:rsid w:val="4360708A"/>
    <w:rsid w:val="43BB7949"/>
    <w:rsid w:val="44AC070C"/>
    <w:rsid w:val="44AC45F6"/>
    <w:rsid w:val="44C0719C"/>
    <w:rsid w:val="44DB0AFB"/>
    <w:rsid w:val="45283340"/>
    <w:rsid w:val="45612478"/>
    <w:rsid w:val="45BF1A3F"/>
    <w:rsid w:val="45D4091B"/>
    <w:rsid w:val="45E00128"/>
    <w:rsid w:val="45FC0156"/>
    <w:rsid w:val="46322C1D"/>
    <w:rsid w:val="46D2182F"/>
    <w:rsid w:val="47174AD8"/>
    <w:rsid w:val="474536FB"/>
    <w:rsid w:val="47876441"/>
    <w:rsid w:val="478B389E"/>
    <w:rsid w:val="48962D4B"/>
    <w:rsid w:val="48C107A7"/>
    <w:rsid w:val="48F3112A"/>
    <w:rsid w:val="493004E9"/>
    <w:rsid w:val="49350D52"/>
    <w:rsid w:val="49D768C0"/>
    <w:rsid w:val="49EB3140"/>
    <w:rsid w:val="49FE675C"/>
    <w:rsid w:val="4A03006A"/>
    <w:rsid w:val="4AA519CD"/>
    <w:rsid w:val="4AF10388"/>
    <w:rsid w:val="4AF94070"/>
    <w:rsid w:val="4AFB5E63"/>
    <w:rsid w:val="4B286EE8"/>
    <w:rsid w:val="4B7727C5"/>
    <w:rsid w:val="4B965FB0"/>
    <w:rsid w:val="4C256914"/>
    <w:rsid w:val="4C5A1013"/>
    <w:rsid w:val="4C96549F"/>
    <w:rsid w:val="4CAD74C4"/>
    <w:rsid w:val="4CC674CA"/>
    <w:rsid w:val="4CCA0DF3"/>
    <w:rsid w:val="4D3944DB"/>
    <w:rsid w:val="4D3D1756"/>
    <w:rsid w:val="4D49565B"/>
    <w:rsid w:val="4E0C743C"/>
    <w:rsid w:val="4E93715A"/>
    <w:rsid w:val="4E9F6F1B"/>
    <w:rsid w:val="4EC14B14"/>
    <w:rsid w:val="4F141B05"/>
    <w:rsid w:val="4F1B0161"/>
    <w:rsid w:val="4F7810D0"/>
    <w:rsid w:val="4F8A7B60"/>
    <w:rsid w:val="4FC245D7"/>
    <w:rsid w:val="4FDE5127"/>
    <w:rsid w:val="50357D7D"/>
    <w:rsid w:val="50CC1400"/>
    <w:rsid w:val="50FA6915"/>
    <w:rsid w:val="514345C9"/>
    <w:rsid w:val="518270C9"/>
    <w:rsid w:val="519266B2"/>
    <w:rsid w:val="519C1B26"/>
    <w:rsid w:val="51E27AE8"/>
    <w:rsid w:val="51F43A67"/>
    <w:rsid w:val="52242BD3"/>
    <w:rsid w:val="52560272"/>
    <w:rsid w:val="527821A3"/>
    <w:rsid w:val="527A4BCD"/>
    <w:rsid w:val="527E492B"/>
    <w:rsid w:val="52BD596D"/>
    <w:rsid w:val="52DE7D41"/>
    <w:rsid w:val="53195734"/>
    <w:rsid w:val="531D2DA5"/>
    <w:rsid w:val="535A5075"/>
    <w:rsid w:val="53774E9B"/>
    <w:rsid w:val="53B94DB8"/>
    <w:rsid w:val="54075DCC"/>
    <w:rsid w:val="5447089E"/>
    <w:rsid w:val="548D5DC1"/>
    <w:rsid w:val="54A14884"/>
    <w:rsid w:val="54BA1808"/>
    <w:rsid w:val="54EB6E03"/>
    <w:rsid w:val="54FD69B2"/>
    <w:rsid w:val="550601C8"/>
    <w:rsid w:val="55132319"/>
    <w:rsid w:val="55146E5E"/>
    <w:rsid w:val="552C7BAF"/>
    <w:rsid w:val="553B5415"/>
    <w:rsid w:val="553C5232"/>
    <w:rsid w:val="554372DB"/>
    <w:rsid w:val="554B2CF1"/>
    <w:rsid w:val="55C43442"/>
    <w:rsid w:val="569B3AE2"/>
    <w:rsid w:val="57E15B41"/>
    <w:rsid w:val="5812279B"/>
    <w:rsid w:val="585554B6"/>
    <w:rsid w:val="58862037"/>
    <w:rsid w:val="58AF1A95"/>
    <w:rsid w:val="58E805C8"/>
    <w:rsid w:val="58F61C6D"/>
    <w:rsid w:val="59047ECD"/>
    <w:rsid w:val="592D49A0"/>
    <w:rsid w:val="59416802"/>
    <w:rsid w:val="59AC7E01"/>
    <w:rsid w:val="5A2F12C4"/>
    <w:rsid w:val="5A351EEE"/>
    <w:rsid w:val="5A521346"/>
    <w:rsid w:val="5B191112"/>
    <w:rsid w:val="5B8155F3"/>
    <w:rsid w:val="5BA31738"/>
    <w:rsid w:val="5BA6792C"/>
    <w:rsid w:val="5BD25514"/>
    <w:rsid w:val="5BF13950"/>
    <w:rsid w:val="5C0974B2"/>
    <w:rsid w:val="5C186F88"/>
    <w:rsid w:val="5C73777D"/>
    <w:rsid w:val="5C7B185A"/>
    <w:rsid w:val="5C922CA1"/>
    <w:rsid w:val="5CA52231"/>
    <w:rsid w:val="5CAA3CE0"/>
    <w:rsid w:val="5CB315BE"/>
    <w:rsid w:val="5CD05EC4"/>
    <w:rsid w:val="5CEE67CC"/>
    <w:rsid w:val="5D9C44BA"/>
    <w:rsid w:val="5DD3719E"/>
    <w:rsid w:val="5DEC5D6F"/>
    <w:rsid w:val="5DF32237"/>
    <w:rsid w:val="5E1B365D"/>
    <w:rsid w:val="5E245395"/>
    <w:rsid w:val="5E370EEC"/>
    <w:rsid w:val="5E68355E"/>
    <w:rsid w:val="5E693E0B"/>
    <w:rsid w:val="5EF51B46"/>
    <w:rsid w:val="5F716DD1"/>
    <w:rsid w:val="5F9A1C0C"/>
    <w:rsid w:val="60EF7936"/>
    <w:rsid w:val="615D15B4"/>
    <w:rsid w:val="617C53D9"/>
    <w:rsid w:val="619C3FB1"/>
    <w:rsid w:val="61B77CE2"/>
    <w:rsid w:val="61BE4845"/>
    <w:rsid w:val="62014DE8"/>
    <w:rsid w:val="62434373"/>
    <w:rsid w:val="62954FBF"/>
    <w:rsid w:val="629B7F14"/>
    <w:rsid w:val="63245663"/>
    <w:rsid w:val="63420DA4"/>
    <w:rsid w:val="637D74E4"/>
    <w:rsid w:val="63DD2A68"/>
    <w:rsid w:val="64166B12"/>
    <w:rsid w:val="64392515"/>
    <w:rsid w:val="64725A90"/>
    <w:rsid w:val="64EC4D35"/>
    <w:rsid w:val="651265B7"/>
    <w:rsid w:val="6517248E"/>
    <w:rsid w:val="653918E3"/>
    <w:rsid w:val="653D1756"/>
    <w:rsid w:val="657C1F97"/>
    <w:rsid w:val="65EE67B8"/>
    <w:rsid w:val="660B62FC"/>
    <w:rsid w:val="66E43193"/>
    <w:rsid w:val="67267CB5"/>
    <w:rsid w:val="67341171"/>
    <w:rsid w:val="674F3DFC"/>
    <w:rsid w:val="676C5425"/>
    <w:rsid w:val="677775CA"/>
    <w:rsid w:val="681F1432"/>
    <w:rsid w:val="68227E19"/>
    <w:rsid w:val="682526C4"/>
    <w:rsid w:val="68384664"/>
    <w:rsid w:val="683E40AC"/>
    <w:rsid w:val="686925AE"/>
    <w:rsid w:val="6894063F"/>
    <w:rsid w:val="68AA0374"/>
    <w:rsid w:val="690C3C0F"/>
    <w:rsid w:val="698915CD"/>
    <w:rsid w:val="69C87321"/>
    <w:rsid w:val="69E7087D"/>
    <w:rsid w:val="69F92CBD"/>
    <w:rsid w:val="6A1A76FF"/>
    <w:rsid w:val="6A6804B7"/>
    <w:rsid w:val="6A8F6A6C"/>
    <w:rsid w:val="6A9D515D"/>
    <w:rsid w:val="6AA03474"/>
    <w:rsid w:val="6AEE00B8"/>
    <w:rsid w:val="6B3468AC"/>
    <w:rsid w:val="6B587443"/>
    <w:rsid w:val="6B6B0DB4"/>
    <w:rsid w:val="6B894DA7"/>
    <w:rsid w:val="6B8B20B8"/>
    <w:rsid w:val="6B8B218D"/>
    <w:rsid w:val="6C3D0FAE"/>
    <w:rsid w:val="6C8E0AE9"/>
    <w:rsid w:val="6D165605"/>
    <w:rsid w:val="6D226F33"/>
    <w:rsid w:val="6DB31991"/>
    <w:rsid w:val="6DCE340F"/>
    <w:rsid w:val="6E8F55C7"/>
    <w:rsid w:val="6E910FE5"/>
    <w:rsid w:val="6E9B76DB"/>
    <w:rsid w:val="6EFE55DA"/>
    <w:rsid w:val="6F5A0AAF"/>
    <w:rsid w:val="6F8932E6"/>
    <w:rsid w:val="701D3C4D"/>
    <w:rsid w:val="70200256"/>
    <w:rsid w:val="70501F38"/>
    <w:rsid w:val="705B5D23"/>
    <w:rsid w:val="70865CFA"/>
    <w:rsid w:val="70981F36"/>
    <w:rsid w:val="70E919C6"/>
    <w:rsid w:val="71427881"/>
    <w:rsid w:val="725A52FD"/>
    <w:rsid w:val="729E0707"/>
    <w:rsid w:val="72D33A44"/>
    <w:rsid w:val="736A2FD2"/>
    <w:rsid w:val="73B26F4B"/>
    <w:rsid w:val="73DF1469"/>
    <w:rsid w:val="74B17D02"/>
    <w:rsid w:val="74E06AEF"/>
    <w:rsid w:val="75384BC5"/>
    <w:rsid w:val="75661286"/>
    <w:rsid w:val="75B46528"/>
    <w:rsid w:val="75D648AF"/>
    <w:rsid w:val="75ED55FA"/>
    <w:rsid w:val="75FB2DFF"/>
    <w:rsid w:val="764B713D"/>
    <w:rsid w:val="76895E06"/>
    <w:rsid w:val="77312EA9"/>
    <w:rsid w:val="77371E97"/>
    <w:rsid w:val="778C38DC"/>
    <w:rsid w:val="77B455D4"/>
    <w:rsid w:val="77B6365C"/>
    <w:rsid w:val="77C117B8"/>
    <w:rsid w:val="77D63E3F"/>
    <w:rsid w:val="7815335E"/>
    <w:rsid w:val="78361EBF"/>
    <w:rsid w:val="784349DE"/>
    <w:rsid w:val="78867CF8"/>
    <w:rsid w:val="79083935"/>
    <w:rsid w:val="790C3251"/>
    <w:rsid w:val="793547C6"/>
    <w:rsid w:val="79616F10"/>
    <w:rsid w:val="799500C0"/>
    <w:rsid w:val="7A476702"/>
    <w:rsid w:val="7A5113F9"/>
    <w:rsid w:val="7A537FDD"/>
    <w:rsid w:val="7AD216C8"/>
    <w:rsid w:val="7B005BEC"/>
    <w:rsid w:val="7C15026F"/>
    <w:rsid w:val="7C5E091E"/>
    <w:rsid w:val="7D0D1638"/>
    <w:rsid w:val="7D144297"/>
    <w:rsid w:val="7D163F2E"/>
    <w:rsid w:val="7D43638A"/>
    <w:rsid w:val="7D636A70"/>
    <w:rsid w:val="7D891CD5"/>
    <w:rsid w:val="7DC35135"/>
    <w:rsid w:val="7E190276"/>
    <w:rsid w:val="7E532D12"/>
    <w:rsid w:val="7EA41B0D"/>
    <w:rsid w:val="7EAA41D5"/>
    <w:rsid w:val="7EB03176"/>
    <w:rsid w:val="7EC87E8B"/>
    <w:rsid w:val="7F0F6FFB"/>
    <w:rsid w:val="7F23573B"/>
    <w:rsid w:val="7F3E27FD"/>
    <w:rsid w:val="7F543DBA"/>
    <w:rsid w:val="7FAF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6">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7">
    <w:name w:val="Note Heading"/>
    <w:basedOn w:val="1"/>
    <w:next w:val="1"/>
    <w:qFormat/>
    <w:uiPriority w:val="0"/>
    <w:pPr>
      <w:jc w:val="center"/>
    </w:p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link w:val="51"/>
    <w:qFormat/>
    <w:uiPriority w:val="0"/>
    <w:pPr>
      <w:jc w:val="left"/>
    </w:pPr>
  </w:style>
  <w:style w:type="paragraph" w:styleId="10">
    <w:name w:val="Body Text"/>
    <w:basedOn w:val="1"/>
    <w:next w:val="1"/>
    <w:unhideWhenUsed/>
    <w:qFormat/>
    <w:uiPriority w:val="99"/>
    <w:pPr>
      <w:spacing w:after="120"/>
    </w:pPr>
    <w:rPr>
      <w:rFonts w:eastAsia="Times New Roman"/>
    </w:rPr>
  </w:style>
  <w:style w:type="paragraph" w:styleId="11">
    <w:name w:val="Body Text Indent"/>
    <w:basedOn w:val="1"/>
    <w:next w:val="12"/>
    <w:qFormat/>
    <w:uiPriority w:val="0"/>
    <w:pPr>
      <w:spacing w:after="120" w:afterLines="0"/>
      <w:ind w:left="420" w:leftChars="200"/>
    </w:pPr>
  </w:style>
  <w:style w:type="paragraph" w:styleId="12">
    <w:name w:val="Body Text First Indent 2"/>
    <w:basedOn w:val="11"/>
    <w:qFormat/>
    <w:uiPriority w:val="99"/>
    <w:pPr>
      <w:ind w:firstLine="420" w:firstLineChars="200"/>
    </w:pPr>
    <w:rPr>
      <w:szCs w:val="21"/>
    </w:rPr>
  </w:style>
  <w:style w:type="paragraph" w:styleId="13">
    <w:name w:val="Block Text"/>
    <w:basedOn w:val="1"/>
    <w:qFormat/>
    <w:uiPriority w:val="99"/>
    <w:pPr>
      <w:spacing w:after="120" w:line="240" w:lineRule="auto"/>
      <w:ind w:left="1440" w:leftChars="700" w:right="1440" w:rightChars="700"/>
    </w:pPr>
    <w:rPr>
      <w:rFonts w:ascii="Calibri" w:hAnsi="Calibri"/>
      <w:szCs w:val="22"/>
    </w:rPr>
  </w:style>
  <w:style w:type="paragraph" w:styleId="14">
    <w:name w:val="Plain Text"/>
    <w:basedOn w:val="1"/>
    <w:qFormat/>
    <w:uiPriority w:val="0"/>
    <w:rPr>
      <w:rFonts w:ascii="宋体" w:hAnsi="Courier New"/>
      <w:szCs w:val="20"/>
    </w:rPr>
  </w:style>
  <w:style w:type="paragraph" w:styleId="15">
    <w:name w:val="Balloon Text"/>
    <w:basedOn w:val="1"/>
    <w:link w:val="53"/>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next w:val="1"/>
    <w:qFormat/>
    <w:uiPriority w:val="0"/>
    <w:pPr>
      <w:spacing w:beforeAutospacing="1" w:afterAutospacing="1"/>
      <w:jc w:val="left"/>
    </w:pPr>
    <w:rPr>
      <w:kern w:val="0"/>
      <w:sz w:val="24"/>
    </w:rPr>
  </w:style>
  <w:style w:type="paragraph" w:styleId="21">
    <w:name w:val="annotation subject"/>
    <w:basedOn w:val="9"/>
    <w:next w:val="9"/>
    <w:link w:val="52"/>
    <w:qFormat/>
    <w:uiPriority w:val="0"/>
    <w:rPr>
      <w:b/>
      <w:bCs/>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style>
  <w:style w:type="character" w:styleId="29">
    <w:name w:val="HTML Definition"/>
    <w:basedOn w:val="24"/>
    <w:qFormat/>
    <w:uiPriority w:val="0"/>
    <w:rPr>
      <w:i/>
      <w:iCs/>
    </w:rPr>
  </w:style>
  <w:style w:type="character" w:styleId="30">
    <w:name w:val="Hyperlink"/>
    <w:basedOn w:val="24"/>
    <w:qFormat/>
    <w:uiPriority w:val="0"/>
    <w:rPr>
      <w:color w:val="0000FF"/>
      <w:u w:val="none"/>
    </w:rPr>
  </w:style>
  <w:style w:type="character" w:styleId="31">
    <w:name w:val="HTML Code"/>
    <w:basedOn w:val="24"/>
    <w:qFormat/>
    <w:uiPriority w:val="0"/>
    <w:rPr>
      <w:rFonts w:ascii="Consolas" w:hAnsi="Consolas" w:eastAsia="Consolas" w:cs="Consolas"/>
      <w:color w:val="C7254E"/>
      <w:sz w:val="21"/>
      <w:szCs w:val="21"/>
      <w:shd w:val="clear" w:fill="F9F2F4"/>
    </w:rPr>
  </w:style>
  <w:style w:type="character" w:styleId="32">
    <w:name w:val="annotation reference"/>
    <w:basedOn w:val="24"/>
    <w:qFormat/>
    <w:uiPriority w:val="0"/>
    <w:rPr>
      <w:sz w:val="21"/>
      <w:szCs w:val="21"/>
    </w:rPr>
  </w:style>
  <w:style w:type="character" w:styleId="33">
    <w:name w:val="HTML Keyboard"/>
    <w:basedOn w:val="24"/>
    <w:qFormat/>
    <w:uiPriority w:val="0"/>
    <w:rPr>
      <w:rFonts w:hint="default" w:ascii="Consolas" w:hAnsi="Consolas" w:eastAsia="Consolas" w:cs="Consolas"/>
      <w:color w:val="FFFFFF"/>
      <w:sz w:val="21"/>
      <w:szCs w:val="21"/>
      <w:shd w:val="clear" w:fill="333333"/>
    </w:rPr>
  </w:style>
  <w:style w:type="character" w:styleId="34">
    <w:name w:val="HTML Sample"/>
    <w:basedOn w:val="24"/>
    <w:qFormat/>
    <w:uiPriority w:val="0"/>
    <w:rPr>
      <w:rFonts w:hint="default" w:ascii="Consolas" w:hAnsi="Consolas" w:eastAsia="Consolas" w:cs="Consolas"/>
      <w:sz w:val="21"/>
      <w:szCs w:val="21"/>
    </w:rPr>
  </w:style>
  <w:style w:type="paragraph" w:customStyle="1" w:styleId="35">
    <w:name w:val="No Spacing1"/>
    <w:qFormat/>
    <w:uiPriority w:val="0"/>
    <w:rPr>
      <w:rFonts w:ascii="Calibri" w:hAnsi="Calibri" w:eastAsia="宋体" w:cs="Calibri"/>
      <w:sz w:val="22"/>
      <w:szCs w:val="22"/>
      <w:lang w:val="en-US" w:eastAsia="zh-CN" w:bidi="ar-SA"/>
    </w:rPr>
  </w:style>
  <w:style w:type="paragraph" w:customStyle="1" w:styleId="36">
    <w:name w:val="Normal Indent1"/>
    <w:basedOn w:val="1"/>
    <w:qFormat/>
    <w:uiPriority w:val="0"/>
    <w:pPr>
      <w:ind w:firstLine="420"/>
    </w:pPr>
    <w:rPr>
      <w:sz w:val="21"/>
    </w:rPr>
  </w:style>
  <w:style w:type="paragraph" w:customStyle="1" w:styleId="37">
    <w:name w:val="正文缩进1"/>
    <w:basedOn w:val="1"/>
    <w:qFormat/>
    <w:uiPriority w:val="0"/>
    <w:pPr>
      <w:autoSpaceDE w:val="0"/>
      <w:autoSpaceDN w:val="0"/>
      <w:adjustRightInd w:val="0"/>
      <w:ind w:firstLine="420"/>
      <w:jc w:val="left"/>
    </w:pPr>
    <w:rPr>
      <w:rFonts w:ascii="宋体"/>
      <w:kern w:val="0"/>
      <w:sz w:val="24"/>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0">
    <w:name w:val="title1"/>
    <w:basedOn w:val="1"/>
    <w:qFormat/>
    <w:uiPriority w:val="0"/>
    <w:pPr>
      <w:spacing w:before="150" w:line="450" w:lineRule="atLeast"/>
      <w:jc w:val="left"/>
    </w:pPr>
    <w:rPr>
      <w:b/>
      <w:kern w:val="0"/>
      <w:sz w:val="24"/>
    </w:rPr>
  </w:style>
  <w:style w:type="paragraph" w:customStyle="1" w:styleId="41">
    <w:name w:val="p15"/>
    <w:basedOn w:val="1"/>
    <w:qFormat/>
    <w:uiPriority w:val="99"/>
    <w:pPr>
      <w:widowControl/>
    </w:pPr>
    <w:rPr>
      <w:kern w:val="0"/>
      <w:szCs w:val="21"/>
    </w:rPr>
  </w:style>
  <w:style w:type="character" w:customStyle="1" w:styleId="42">
    <w:name w:val="font21"/>
    <w:basedOn w:val="24"/>
    <w:qFormat/>
    <w:uiPriority w:val="99"/>
    <w:rPr>
      <w:rFonts w:ascii="宋体" w:hAnsi="宋体" w:eastAsia="宋体"/>
      <w:color w:val="000000"/>
      <w:sz w:val="20"/>
      <w:u w:val="none"/>
    </w:rPr>
  </w:style>
  <w:style w:type="paragraph" w:customStyle="1" w:styleId="43">
    <w:name w:val="List Paragraph"/>
    <w:basedOn w:val="1"/>
    <w:qFormat/>
    <w:uiPriority w:val="34"/>
    <w:pPr>
      <w:ind w:firstLine="420" w:firstLineChars="200"/>
    </w:pPr>
    <w:rPr>
      <w:rFonts w:ascii="Calibri" w:hAnsi="Calibri"/>
      <w:szCs w:val="22"/>
    </w:rPr>
  </w:style>
  <w:style w:type="paragraph" w:customStyle="1" w:styleId="44">
    <w:name w:val="title11"/>
    <w:basedOn w:val="1"/>
    <w:qFormat/>
    <w:uiPriority w:val="0"/>
    <w:pPr>
      <w:spacing w:before="100"/>
      <w:jc w:val="left"/>
    </w:pPr>
    <w:rPr>
      <w:b/>
      <w:kern w:val="0"/>
      <w:sz w:val="15"/>
      <w:szCs w:val="15"/>
    </w:rPr>
  </w:style>
  <w:style w:type="paragraph" w:customStyle="1" w:styleId="45">
    <w:name w:val="title13"/>
    <w:basedOn w:val="1"/>
    <w:qFormat/>
    <w:uiPriority w:val="0"/>
    <w:pPr>
      <w:spacing w:before="100"/>
      <w:jc w:val="left"/>
    </w:pPr>
    <w:rPr>
      <w:b/>
      <w:kern w:val="0"/>
      <w:sz w:val="15"/>
      <w:szCs w:val="15"/>
    </w:rPr>
  </w:style>
  <w:style w:type="character" w:customStyle="1" w:styleId="46">
    <w:name w:val="phone"/>
    <w:basedOn w:val="24"/>
    <w:qFormat/>
    <w:uiPriority w:val="0"/>
    <w:rPr>
      <w:color w:val="FF8833"/>
      <w:sz w:val="12"/>
      <w:szCs w:val="12"/>
    </w:rPr>
  </w:style>
  <w:style w:type="character" w:customStyle="1" w:styleId="47">
    <w:name w:val="number"/>
    <w:basedOn w:val="24"/>
    <w:qFormat/>
    <w:uiPriority w:val="0"/>
    <w:rPr>
      <w:color w:val="FF8833"/>
      <w:sz w:val="12"/>
      <w:szCs w:val="12"/>
    </w:rPr>
  </w:style>
  <w:style w:type="character" w:customStyle="1" w:styleId="48">
    <w:name w:val="stclosebtn"/>
    <w:basedOn w:val="24"/>
    <w:qFormat/>
    <w:uiPriority w:val="0"/>
  </w:style>
  <w:style w:type="character" w:customStyle="1" w:styleId="49">
    <w:name w:val="proollist"/>
    <w:basedOn w:val="24"/>
    <w:qFormat/>
    <w:uiPriority w:val="0"/>
  </w:style>
  <w:style w:type="character" w:customStyle="1" w:styleId="50">
    <w:name w:val="beforeinfotext"/>
    <w:basedOn w:val="24"/>
    <w:qFormat/>
    <w:uiPriority w:val="0"/>
    <w:rPr>
      <w:color w:val="666666"/>
    </w:rPr>
  </w:style>
  <w:style w:type="character" w:customStyle="1" w:styleId="51">
    <w:name w:val="批注文字 Char"/>
    <w:basedOn w:val="24"/>
    <w:link w:val="9"/>
    <w:qFormat/>
    <w:uiPriority w:val="0"/>
    <w:rPr>
      <w:kern w:val="2"/>
      <w:sz w:val="21"/>
      <w:szCs w:val="24"/>
    </w:rPr>
  </w:style>
  <w:style w:type="character" w:customStyle="1" w:styleId="52">
    <w:name w:val="批注主题 Char"/>
    <w:basedOn w:val="51"/>
    <w:link w:val="21"/>
    <w:qFormat/>
    <w:uiPriority w:val="0"/>
    <w:rPr>
      <w:b/>
      <w:bCs/>
      <w:kern w:val="2"/>
      <w:sz w:val="21"/>
      <w:szCs w:val="24"/>
    </w:rPr>
  </w:style>
  <w:style w:type="character" w:customStyle="1" w:styleId="53">
    <w:name w:val="批注框文本 Char"/>
    <w:basedOn w:val="24"/>
    <w:link w:val="15"/>
    <w:qFormat/>
    <w:uiPriority w:val="0"/>
    <w:rPr>
      <w:kern w:val="2"/>
      <w:sz w:val="18"/>
      <w:szCs w:val="18"/>
    </w:rPr>
  </w:style>
  <w:style w:type="paragraph" w:customStyle="1" w:styleId="54">
    <w:name w:val="正文首行缩进两字符"/>
    <w:basedOn w:val="1"/>
    <w:qFormat/>
    <w:uiPriority w:val="0"/>
    <w:pPr>
      <w:spacing w:line="360" w:lineRule="auto"/>
      <w:ind w:firstLine="200" w:firstLineChars="200"/>
    </w:pPr>
    <w:rPr>
      <w:rFonts w:ascii="Times New Roman" w:hAnsi="Times New Roman"/>
    </w:rPr>
  </w:style>
  <w:style w:type="character" w:customStyle="1" w:styleId="55">
    <w:name w:val="标题 1 Char"/>
    <w:link w:val="3"/>
    <w:qFormat/>
    <w:uiPriority w:val="99"/>
    <w:rPr>
      <w:b/>
      <w:bCs/>
      <w:kern w:val="44"/>
      <w:sz w:val="44"/>
      <w:szCs w:val="44"/>
    </w:rPr>
  </w:style>
  <w:style w:type="paragraph" w:customStyle="1" w:styleId="56">
    <w:name w:val="正文 New"/>
    <w:qFormat/>
    <w:uiPriority w:val="99"/>
    <w:pPr>
      <w:widowControl w:val="0"/>
      <w:jc w:val="both"/>
    </w:pPr>
    <w:rPr>
      <w:rFonts w:ascii="Calibri" w:hAnsi="Calibri" w:eastAsiaTheme="minorEastAsia" w:cstheme="minorBidi"/>
      <w:sz w:val="21"/>
      <w:szCs w:val="22"/>
      <w:lang w:val="en-US" w:eastAsia="zh-CN" w:bidi="ar-SA"/>
    </w:rPr>
  </w:style>
  <w:style w:type="paragraph" w:customStyle="1" w:styleId="57">
    <w:name w:val="Table Paragraph"/>
    <w:basedOn w:val="1"/>
    <w:qFormat/>
    <w:uiPriority w:val="1"/>
    <w:pPr>
      <w:adjustRightInd/>
    </w:pPr>
    <w:rPr>
      <w:rFonts w:ascii="宋体" w:hAnsi="宋体" w:cs="宋体"/>
      <w:sz w:val="22"/>
      <w:szCs w:val="22"/>
      <w:lang w:val="zh-CN" w:bidi="zh-CN"/>
    </w:rPr>
  </w:style>
  <w:style w:type="table" w:customStyle="1" w:styleId="5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59">
    <w:name w:val="hover25"/>
    <w:basedOn w:val="24"/>
    <w:qFormat/>
    <w:uiPriority w:val="0"/>
    <w:rPr>
      <w:color w:val="167AE0"/>
    </w:rPr>
  </w:style>
  <w:style w:type="character" w:customStyle="1" w:styleId="60">
    <w:name w:val="nth-of-type(5)"/>
    <w:basedOn w:val="24"/>
    <w:qFormat/>
    <w:uiPriority w:val="0"/>
  </w:style>
  <w:style w:type="character" w:customStyle="1" w:styleId="61">
    <w:name w:val="nth-child(2)"/>
    <w:basedOn w:val="24"/>
    <w:qFormat/>
    <w:uiPriority w:val="0"/>
  </w:style>
  <w:style w:type="character" w:customStyle="1" w:styleId="62">
    <w:name w:val="layui-this"/>
    <w:basedOn w:val="24"/>
    <w:qFormat/>
    <w:uiPriority w:val="0"/>
    <w:rPr>
      <w:bdr w:val="single" w:color="EEEEEE" w:sz="6" w:space="0"/>
      <w:shd w:val="clear" w:fill="FFFFFF"/>
    </w:rPr>
  </w:style>
  <w:style w:type="character" w:customStyle="1" w:styleId="63">
    <w:name w:val="first-child"/>
    <w:basedOn w:val="24"/>
    <w:qFormat/>
    <w:uiPriority w:val="0"/>
  </w:style>
  <w:style w:type="character" w:customStyle="1" w:styleId="64">
    <w:name w:val="first-child1"/>
    <w:basedOn w:val="24"/>
    <w:qFormat/>
    <w:uiPriority w:val="0"/>
  </w:style>
  <w:style w:type="character" w:customStyle="1" w:styleId="65">
    <w:name w:val="first-child2"/>
    <w:basedOn w:val="24"/>
    <w:qFormat/>
    <w:uiPriority w:val="0"/>
  </w:style>
  <w:style w:type="character" w:customStyle="1" w:styleId="66">
    <w:name w:val="first-child3"/>
    <w:basedOn w:val="24"/>
    <w:qFormat/>
    <w:uiPriority w:val="0"/>
  </w:style>
  <w:style w:type="character" w:customStyle="1" w:styleId="67">
    <w:name w:val="nth-of-type(8)"/>
    <w:basedOn w:val="24"/>
    <w:qFormat/>
    <w:uiPriority w:val="0"/>
  </w:style>
  <w:style w:type="character" w:customStyle="1" w:styleId="68">
    <w:name w:val="layui-laypage-curr"/>
    <w:basedOn w:val="24"/>
    <w:qFormat/>
    <w:uiPriority w:val="0"/>
  </w:style>
  <w:style w:type="character" w:customStyle="1" w:styleId="69">
    <w:name w:val="nth-of-type(7)"/>
    <w:basedOn w:val="24"/>
    <w:qFormat/>
    <w:uiPriority w:val="0"/>
  </w:style>
  <w:style w:type="character" w:customStyle="1" w:styleId="70">
    <w:name w:val="nth-of-type(7)1"/>
    <w:basedOn w:val="24"/>
    <w:qFormat/>
    <w:uiPriority w:val="0"/>
  </w:style>
  <w:style w:type="character" w:customStyle="1" w:styleId="71">
    <w:name w:val="nth-of-type(7)2"/>
    <w:basedOn w:val="24"/>
    <w:qFormat/>
    <w:uiPriority w:val="0"/>
  </w:style>
  <w:style w:type="character" w:customStyle="1" w:styleId="72">
    <w:name w:val="nth-of-type(6)"/>
    <w:basedOn w:val="24"/>
    <w:qFormat/>
    <w:uiPriority w:val="0"/>
  </w:style>
  <w:style w:type="character" w:customStyle="1" w:styleId="73">
    <w:name w:val="lineshow"/>
    <w:basedOn w:val="24"/>
    <w:qFormat/>
    <w:uiPriority w:val="0"/>
  </w:style>
  <w:style w:type="character" w:customStyle="1" w:styleId="74">
    <w:name w:val="lineshow1"/>
    <w:basedOn w:val="24"/>
    <w:qFormat/>
    <w:uiPriority w:val="0"/>
  </w:style>
  <w:style w:type="character" w:customStyle="1" w:styleId="75">
    <w:name w:val="nth-of-type(9)"/>
    <w:basedOn w:val="24"/>
    <w:qFormat/>
    <w:uiPriority w:val="0"/>
  </w:style>
  <w:style w:type="character" w:customStyle="1" w:styleId="76">
    <w:name w:val="nth-of-type(3)"/>
    <w:basedOn w:val="24"/>
    <w:qFormat/>
    <w:uiPriority w:val="0"/>
  </w:style>
  <w:style w:type="character" w:customStyle="1" w:styleId="77">
    <w:name w:val="nth-of-type(4)"/>
    <w:basedOn w:val="24"/>
    <w:qFormat/>
    <w:uiPriority w:val="0"/>
  </w:style>
  <w:style w:type="character" w:customStyle="1" w:styleId="78">
    <w:name w:val="nth-of-type(1)"/>
    <w:basedOn w:val="24"/>
    <w:qFormat/>
    <w:uiPriority w:val="0"/>
  </w:style>
  <w:style w:type="character" w:customStyle="1" w:styleId="79">
    <w:name w:val="nth-of-type(1)1"/>
    <w:basedOn w:val="24"/>
    <w:qFormat/>
    <w:uiPriority w:val="0"/>
  </w:style>
  <w:style w:type="character" w:customStyle="1" w:styleId="80">
    <w:name w:val="nth-of-type(1)2"/>
    <w:basedOn w:val="24"/>
    <w:qFormat/>
    <w:uiPriority w:val="0"/>
  </w:style>
  <w:style w:type="character" w:customStyle="1" w:styleId="81">
    <w:name w:val="nth-of-type(1)3"/>
    <w:basedOn w:val="24"/>
    <w:qFormat/>
    <w:uiPriority w:val="0"/>
  </w:style>
  <w:style w:type="character" w:customStyle="1" w:styleId="82">
    <w:name w:val="nth-of-type(1)4"/>
    <w:basedOn w:val="24"/>
    <w:qFormat/>
    <w:uiPriority w:val="0"/>
  </w:style>
  <w:style w:type="character" w:customStyle="1" w:styleId="83">
    <w:name w:val="nth-of-type(1)5"/>
    <w:basedOn w:val="24"/>
    <w:qFormat/>
    <w:uiPriority w:val="0"/>
  </w:style>
  <w:style w:type="character" w:customStyle="1" w:styleId="84">
    <w:name w:val="nth-of-type(1)6"/>
    <w:basedOn w:val="24"/>
    <w:qFormat/>
    <w:uiPriority w:val="0"/>
  </w:style>
  <w:style w:type="character" w:customStyle="1" w:styleId="85">
    <w:name w:val="nth-of-type(1)7"/>
    <w:basedOn w:val="24"/>
    <w:qFormat/>
    <w:uiPriority w:val="0"/>
    <w:rPr>
      <w:rFonts w:ascii="SourceHanSansCN-Regular" w:hAnsi="SourceHanSansCN-Regular" w:eastAsia="SourceHanSansCN-Regular" w:cs="SourceHanSansCN-Regular"/>
      <w:color w:val="FB560A"/>
      <w:sz w:val="21"/>
      <w:szCs w:val="21"/>
    </w:rPr>
  </w:style>
  <w:style w:type="character" w:customStyle="1" w:styleId="86">
    <w:name w:val="nth-of-type(1)8"/>
    <w:basedOn w:val="24"/>
    <w:qFormat/>
    <w:uiPriority w:val="0"/>
  </w:style>
  <w:style w:type="character" w:customStyle="1" w:styleId="87">
    <w:name w:val="nth-of-type(1)9"/>
    <w:basedOn w:val="24"/>
    <w:qFormat/>
    <w:uiPriority w:val="0"/>
  </w:style>
  <w:style w:type="character" w:customStyle="1" w:styleId="88">
    <w:name w:val="nth-of-type(1)10"/>
    <w:basedOn w:val="24"/>
    <w:qFormat/>
    <w:uiPriority w:val="0"/>
  </w:style>
  <w:style w:type="character" w:customStyle="1" w:styleId="89">
    <w:name w:val="nth-of-type(1)11"/>
    <w:basedOn w:val="24"/>
    <w:qFormat/>
    <w:uiPriority w:val="0"/>
  </w:style>
  <w:style w:type="character" w:customStyle="1" w:styleId="90">
    <w:name w:val="nth-of-type(1)12"/>
    <w:basedOn w:val="24"/>
    <w:qFormat/>
    <w:uiPriority w:val="0"/>
  </w:style>
  <w:style w:type="character" w:customStyle="1" w:styleId="91">
    <w:name w:val="nth-of-type(1)13"/>
    <w:basedOn w:val="24"/>
    <w:qFormat/>
    <w:uiPriority w:val="0"/>
  </w:style>
  <w:style w:type="character" w:customStyle="1" w:styleId="92">
    <w:name w:val="nth-of-type(1)14"/>
    <w:basedOn w:val="24"/>
    <w:qFormat/>
    <w:uiPriority w:val="0"/>
  </w:style>
  <w:style w:type="character" w:customStyle="1" w:styleId="93">
    <w:name w:val="nth-of-type(1)15"/>
    <w:basedOn w:val="24"/>
    <w:qFormat/>
    <w:uiPriority w:val="0"/>
    <w:rPr>
      <w:color w:val="0082DF"/>
    </w:rPr>
  </w:style>
  <w:style w:type="character" w:customStyle="1" w:styleId="94">
    <w:name w:val="nth-of-type(1)16"/>
    <w:basedOn w:val="24"/>
    <w:qFormat/>
    <w:uiPriority w:val="0"/>
  </w:style>
  <w:style w:type="character" w:customStyle="1" w:styleId="95">
    <w:name w:val="nth-of-type(1)17"/>
    <w:basedOn w:val="24"/>
    <w:qFormat/>
    <w:uiPriority w:val="0"/>
    <w:rPr>
      <w:sz w:val="21"/>
      <w:szCs w:val="21"/>
    </w:rPr>
  </w:style>
  <w:style w:type="character" w:customStyle="1" w:styleId="96">
    <w:name w:val="last-child1"/>
    <w:basedOn w:val="24"/>
    <w:qFormat/>
    <w:uiPriority w:val="0"/>
    <w:rPr>
      <w:color w:val="FFFFFF"/>
    </w:rPr>
  </w:style>
  <w:style w:type="character" w:customStyle="1" w:styleId="97">
    <w:name w:val="last-child2"/>
    <w:basedOn w:val="24"/>
    <w:qFormat/>
    <w:uiPriority w:val="0"/>
  </w:style>
  <w:style w:type="character" w:customStyle="1" w:styleId="98">
    <w:name w:val="last-child3"/>
    <w:basedOn w:val="24"/>
    <w:qFormat/>
    <w:uiPriority w:val="0"/>
  </w:style>
  <w:style w:type="character" w:customStyle="1" w:styleId="99">
    <w:name w:val="nth-of-type(2)"/>
    <w:basedOn w:val="24"/>
    <w:qFormat/>
    <w:uiPriority w:val="0"/>
  </w:style>
  <w:style w:type="character" w:customStyle="1" w:styleId="100">
    <w:name w:val="nth-of-type(2)1"/>
    <w:basedOn w:val="24"/>
    <w:qFormat/>
    <w:uiPriority w:val="0"/>
  </w:style>
  <w:style w:type="character" w:customStyle="1" w:styleId="101">
    <w:name w:val="nth-of-type(2)2"/>
    <w:basedOn w:val="24"/>
    <w:qFormat/>
    <w:uiPriority w:val="0"/>
  </w:style>
  <w:style w:type="character" w:customStyle="1" w:styleId="102">
    <w:name w:val="nth-of-type(2)3"/>
    <w:basedOn w:val="24"/>
    <w:qFormat/>
    <w:uiPriority w:val="0"/>
  </w:style>
  <w:style w:type="character" w:customStyle="1" w:styleId="103">
    <w:name w:val="nth-of-type(2)4"/>
    <w:basedOn w:val="24"/>
    <w:qFormat/>
    <w:uiPriority w:val="0"/>
  </w:style>
  <w:style w:type="character" w:customStyle="1" w:styleId="104">
    <w:name w:val="nth-of-type(2)5"/>
    <w:basedOn w:val="24"/>
    <w:qFormat/>
    <w:uiPriority w:val="0"/>
  </w:style>
  <w:style w:type="character" w:customStyle="1" w:styleId="105">
    <w:name w:val="nth-of-type(2)6"/>
    <w:basedOn w:val="24"/>
    <w:qFormat/>
    <w:uiPriority w:val="0"/>
  </w:style>
  <w:style w:type="character" w:customStyle="1" w:styleId="106">
    <w:name w:val="nth-of-type(2)7"/>
    <w:basedOn w:val="24"/>
    <w:qFormat/>
    <w:uiPriority w:val="0"/>
  </w:style>
  <w:style w:type="character" w:customStyle="1" w:styleId="107">
    <w:name w:val="nth-of-type(2)8"/>
    <w:basedOn w:val="24"/>
    <w:qFormat/>
    <w:uiPriority w:val="0"/>
  </w:style>
  <w:style w:type="character" w:customStyle="1" w:styleId="108">
    <w:name w:val="nth-of-type(2)9"/>
    <w:basedOn w:val="24"/>
    <w:qFormat/>
    <w:uiPriority w:val="0"/>
  </w:style>
  <w:style w:type="character" w:customStyle="1" w:styleId="109">
    <w:name w:val="nth-of-type(2)10"/>
    <w:basedOn w:val="24"/>
    <w:qFormat/>
    <w:uiPriority w:val="0"/>
  </w:style>
  <w:style w:type="character" w:customStyle="1" w:styleId="110">
    <w:name w:val="nth-of-type(2)11"/>
    <w:basedOn w:val="24"/>
    <w:qFormat/>
    <w:uiPriority w:val="0"/>
  </w:style>
  <w:style w:type="character" w:customStyle="1" w:styleId="111">
    <w:name w:val="nth-of-type(2)12"/>
    <w:basedOn w:val="24"/>
    <w:qFormat/>
    <w:uiPriority w:val="0"/>
  </w:style>
  <w:style w:type="character" w:customStyle="1" w:styleId="112">
    <w:name w:val="nth-of-type(2)13"/>
    <w:basedOn w:val="24"/>
    <w:qFormat/>
    <w:uiPriority w:val="0"/>
    <w:rPr>
      <w:sz w:val="21"/>
      <w:szCs w:val="21"/>
    </w:rPr>
  </w:style>
  <w:style w:type="character" w:customStyle="1" w:styleId="113">
    <w:name w:val="nth-child(1)"/>
    <w:basedOn w:val="24"/>
    <w:qFormat/>
    <w:uiPriority w:val="0"/>
  </w:style>
  <w:style w:type="character" w:customStyle="1" w:styleId="114">
    <w:name w:val="nth-of-type(10)"/>
    <w:basedOn w:val="24"/>
    <w:qFormat/>
    <w:uiPriority w:val="0"/>
  </w:style>
  <w:style w:type="character" w:customStyle="1" w:styleId="115">
    <w:name w:val="nth-child(3)"/>
    <w:basedOn w:val="24"/>
    <w:qFormat/>
    <w:uiPriority w:val="0"/>
  </w:style>
  <w:style w:type="character" w:customStyle="1" w:styleId="116">
    <w:name w:val="titleshow"/>
    <w:basedOn w:val="24"/>
    <w:qFormat/>
    <w:uiPriority w:val="0"/>
    <w:rPr>
      <w:color w:val="3E464C"/>
    </w:rPr>
  </w:style>
  <w:style w:type="character" w:customStyle="1" w:styleId="117">
    <w:name w:val="before2"/>
    <w:basedOn w:val="24"/>
    <w:qFormat/>
    <w:uiPriority w:val="0"/>
    <w:rPr>
      <w:shd w:val="clear" w:fill="C20E0C"/>
    </w:rPr>
  </w:style>
  <w:style w:type="character" w:customStyle="1" w:styleId="118">
    <w:name w:val="nth-of-type(6)1"/>
    <w:basedOn w:val="24"/>
    <w:qFormat/>
    <w:uiPriority w:val="0"/>
  </w:style>
  <w:style w:type="character" w:customStyle="1" w:styleId="119">
    <w:name w:val="nth-of-type(6)2"/>
    <w:basedOn w:val="24"/>
    <w:qFormat/>
    <w:uiPriority w:val="0"/>
    <w:rPr>
      <w:color w:val="0082DF"/>
    </w:rPr>
  </w:style>
  <w:style w:type="character" w:customStyle="1" w:styleId="120">
    <w:name w:val="nth-of-type(6)3"/>
    <w:basedOn w:val="24"/>
    <w:qFormat/>
    <w:uiPriority w:val="0"/>
  </w:style>
  <w:style w:type="character" w:customStyle="1" w:styleId="121">
    <w:name w:val="nth-of-type(6)4"/>
    <w:basedOn w:val="24"/>
    <w:qFormat/>
    <w:uiPriority w:val="0"/>
  </w:style>
  <w:style w:type="character" w:customStyle="1" w:styleId="122">
    <w:name w:val="nth-of-type(6)5"/>
    <w:basedOn w:val="24"/>
    <w:qFormat/>
    <w:uiPriority w:val="0"/>
  </w:style>
  <w:style w:type="character" w:customStyle="1" w:styleId="123">
    <w:name w:val="nth-of-type(3)1"/>
    <w:basedOn w:val="24"/>
    <w:qFormat/>
    <w:uiPriority w:val="0"/>
  </w:style>
  <w:style w:type="character" w:customStyle="1" w:styleId="124">
    <w:name w:val="nth-of-type(3)2"/>
    <w:basedOn w:val="24"/>
    <w:qFormat/>
    <w:uiPriority w:val="0"/>
  </w:style>
  <w:style w:type="character" w:customStyle="1" w:styleId="125">
    <w:name w:val="nth-of-type(3)3"/>
    <w:basedOn w:val="24"/>
    <w:qFormat/>
    <w:uiPriority w:val="0"/>
  </w:style>
  <w:style w:type="character" w:customStyle="1" w:styleId="126">
    <w:name w:val="nth-of-type(3)4"/>
    <w:basedOn w:val="24"/>
    <w:qFormat/>
    <w:uiPriority w:val="0"/>
  </w:style>
  <w:style w:type="character" w:customStyle="1" w:styleId="127">
    <w:name w:val="nth-of-type(3)5"/>
    <w:basedOn w:val="24"/>
    <w:qFormat/>
    <w:uiPriority w:val="0"/>
  </w:style>
  <w:style w:type="character" w:customStyle="1" w:styleId="128">
    <w:name w:val="nth-of-type(3)6"/>
    <w:basedOn w:val="24"/>
    <w:qFormat/>
    <w:uiPriority w:val="0"/>
  </w:style>
  <w:style w:type="character" w:customStyle="1" w:styleId="129">
    <w:name w:val="nth-of-type(3)7"/>
    <w:basedOn w:val="24"/>
    <w:qFormat/>
    <w:uiPriority w:val="0"/>
    <w:rPr>
      <w:sz w:val="21"/>
      <w:szCs w:val="21"/>
    </w:rPr>
  </w:style>
  <w:style w:type="character" w:customStyle="1" w:styleId="130">
    <w:name w:val="nth-of-type(4)1"/>
    <w:basedOn w:val="24"/>
    <w:qFormat/>
    <w:uiPriority w:val="0"/>
  </w:style>
  <w:style w:type="character" w:customStyle="1" w:styleId="131">
    <w:name w:val="nth-of-type(4)2"/>
    <w:basedOn w:val="24"/>
    <w:qFormat/>
    <w:uiPriority w:val="0"/>
  </w:style>
  <w:style w:type="character" w:customStyle="1" w:styleId="132">
    <w:name w:val="nth-of-type(4)3"/>
    <w:basedOn w:val="24"/>
    <w:qFormat/>
    <w:uiPriority w:val="0"/>
  </w:style>
  <w:style w:type="character" w:customStyle="1" w:styleId="133">
    <w:name w:val="nth-of-type(4)4"/>
    <w:basedOn w:val="24"/>
    <w:qFormat/>
    <w:uiPriority w:val="0"/>
  </w:style>
  <w:style w:type="character" w:customStyle="1" w:styleId="134">
    <w:name w:val="nth-of-type(4)5"/>
    <w:basedOn w:val="24"/>
    <w:qFormat/>
    <w:uiPriority w:val="0"/>
  </w:style>
  <w:style w:type="character" w:customStyle="1" w:styleId="135">
    <w:name w:val="nth-of-type(4)6"/>
    <w:basedOn w:val="24"/>
    <w:qFormat/>
    <w:uiPriority w:val="0"/>
  </w:style>
  <w:style w:type="character" w:customStyle="1" w:styleId="136">
    <w:name w:val="nth-of-type(4)7"/>
    <w:basedOn w:val="24"/>
    <w:qFormat/>
    <w:uiPriority w:val="0"/>
  </w:style>
  <w:style w:type="character" w:customStyle="1" w:styleId="137">
    <w:name w:val="nth-of-type(4)8"/>
    <w:basedOn w:val="24"/>
    <w:qFormat/>
    <w:uiPriority w:val="0"/>
    <w:rPr>
      <w:sz w:val="21"/>
      <w:szCs w:val="21"/>
    </w:rPr>
  </w:style>
  <w:style w:type="character" w:customStyle="1" w:styleId="138">
    <w:name w:val="layui-this4"/>
    <w:basedOn w:val="24"/>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38509</Words>
  <Characters>40224</Characters>
  <Lines>289</Lines>
  <Paragraphs>81</Paragraphs>
  <TotalTime>9</TotalTime>
  <ScaleCrop>false</ScaleCrop>
  <LinksUpToDate>false</LinksUpToDate>
  <CharactersWithSpaces>42913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2020-12-10T01:31:00Z</dcterms:created>
  <dc:creator>Administrator</dc:creator>
  <cp:lastModifiedBy>QinL109</cp:lastModifiedBy>
  <cp:lastPrinted>2022-05-10T07:51:00Z</cp:lastPrinted>
  <dcterms:modified xsi:type="dcterms:W3CDTF">2022-09-06T07:18:13Z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D2D16B882E4A40DF96511E49F7A19AF6</vt:lpwstr>
  </property>
</Properties>
</file>