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5670"/>
        </w:tabs>
        <w:autoSpaceDE w:val="0"/>
        <w:autoSpaceDN w:val="0"/>
        <w:adjustRightInd w:val="0"/>
        <w:spacing w:line="360" w:lineRule="auto"/>
        <w:jc w:val="both"/>
        <w:rPr>
          <w:rFonts w:hint="eastAsia" w:ascii="仿宋" w:hAnsi="仿宋" w:eastAsia="仿宋" w:cs="仿宋"/>
          <w:b/>
          <w:bCs/>
          <w:sz w:val="30"/>
          <w:szCs w:val="30"/>
          <w:lang w:val="zh-CN"/>
        </w:rPr>
      </w:pPr>
      <w:bookmarkStart w:id="625" w:name="_GoBack"/>
      <w:bookmarkEnd w:id="625"/>
      <w:bookmarkStart w:id="0" w:name="_Toc475451542"/>
      <w:bookmarkStart w:id="1" w:name="_Toc475451789"/>
      <w:r>
        <w:rPr>
          <w:rFonts w:hint="eastAsia" w:ascii="仿宋" w:hAnsi="仿宋" w:eastAsia="仿宋" w:cs="仿宋"/>
          <w:b/>
          <w:bCs/>
          <w:sz w:val="30"/>
          <w:szCs w:val="30"/>
          <w:lang w:val="zh-CN"/>
        </w:rPr>
        <w:pict>
          <v:shape id="_x0000_i1025" o:spt="75" alt="扫描0010" type="#_x0000_t75" style="height:613.55pt;width:433.9pt;" filled="f" o:preferrelative="t" stroked="f" coordsize="21600,21600">
            <v:path/>
            <v:fill on="f" focussize="0,0"/>
            <v:stroke on="f"/>
            <v:imagedata r:id="rId15" o:title="扫描0010"/>
            <o:lock v:ext="edit" aspectratio="t"/>
            <w10:wrap type="none"/>
            <w10:anchorlock/>
          </v:shape>
        </w:pict>
      </w:r>
    </w:p>
    <w:p>
      <w:pPr>
        <w:tabs>
          <w:tab w:val="left" w:pos="5670"/>
        </w:tabs>
        <w:autoSpaceDE w:val="0"/>
        <w:autoSpaceDN w:val="0"/>
        <w:adjustRightInd w:val="0"/>
        <w:spacing w:line="360" w:lineRule="auto"/>
        <w:ind w:firstLine="300"/>
        <w:rPr>
          <w:rFonts w:hint="eastAsia" w:ascii="仿宋" w:hAnsi="仿宋" w:eastAsia="仿宋" w:cs="仿宋"/>
          <w:b/>
          <w:bCs/>
          <w:sz w:val="30"/>
          <w:szCs w:val="30"/>
          <w:lang w:val="zh-CN"/>
        </w:rPr>
      </w:pPr>
    </w:p>
    <w:p>
      <w:pPr>
        <w:tabs>
          <w:tab w:val="left" w:pos="5670"/>
        </w:tabs>
        <w:autoSpaceDE w:val="0"/>
        <w:autoSpaceDN w:val="0"/>
        <w:adjustRightInd w:val="0"/>
        <w:spacing w:line="360" w:lineRule="auto"/>
        <w:rPr>
          <w:rFonts w:hint="eastAsia" w:ascii="仿宋" w:hAnsi="仿宋" w:eastAsia="仿宋" w:cs="仿宋"/>
          <w:b/>
          <w:bCs/>
          <w:sz w:val="30"/>
          <w:szCs w:val="30"/>
          <w:lang w:val="zh-CN"/>
        </w:rPr>
      </w:pPr>
    </w:p>
    <w:p>
      <w:pPr>
        <w:tabs>
          <w:tab w:val="left" w:pos="5670"/>
        </w:tabs>
        <w:autoSpaceDE w:val="0"/>
        <w:autoSpaceDN w:val="0"/>
        <w:adjustRightInd w:val="0"/>
        <w:spacing w:line="360" w:lineRule="auto"/>
        <w:ind w:firstLine="300"/>
        <w:rPr>
          <w:rFonts w:ascii="仿宋" w:hAnsi="仿宋" w:eastAsia="仿宋" w:cs="仿宋"/>
          <w:b/>
          <w:bCs/>
          <w:sz w:val="30"/>
          <w:szCs w:val="30"/>
          <w:lang w:val="zh-CN"/>
        </w:rPr>
      </w:pPr>
      <w:r>
        <w:rPr>
          <w:rFonts w:hint="eastAsia" w:ascii="仿宋" w:hAnsi="仿宋" w:eastAsia="仿宋" w:cs="仿宋"/>
          <w:b/>
          <w:bCs/>
          <w:sz w:val="30"/>
          <w:szCs w:val="30"/>
          <w:lang w:val="zh-CN"/>
        </w:rPr>
        <w:t>政府采购项目</w:t>
      </w:r>
      <w:bookmarkEnd w:id="0"/>
      <w:bookmarkEnd w:id="1"/>
    </w:p>
    <w:p>
      <w:pPr>
        <w:tabs>
          <w:tab w:val="left" w:pos="5670"/>
        </w:tabs>
        <w:autoSpaceDE w:val="0"/>
        <w:autoSpaceDN w:val="0"/>
        <w:adjustRightInd w:val="0"/>
        <w:spacing w:line="360" w:lineRule="auto"/>
        <w:ind w:firstLine="300"/>
        <w:rPr>
          <w:rFonts w:ascii="仿宋" w:hAnsi="仿宋" w:eastAsia="仿宋" w:cs="仿宋"/>
          <w:b/>
          <w:bCs/>
          <w:sz w:val="30"/>
          <w:szCs w:val="30"/>
        </w:rPr>
      </w:pPr>
      <w:r>
        <w:rPr>
          <w:rFonts w:hint="eastAsia" w:ascii="仿宋" w:hAnsi="仿宋" w:eastAsia="仿宋" w:cs="仿宋"/>
          <w:b/>
          <w:bCs/>
          <w:sz w:val="30"/>
          <w:szCs w:val="30"/>
          <w:lang w:val="zh-CN"/>
        </w:rPr>
        <w:t>计划编号：ZCSP-省本级-2022-0</w:t>
      </w:r>
      <w:r>
        <w:rPr>
          <w:rFonts w:hint="eastAsia" w:ascii="仿宋" w:hAnsi="仿宋" w:eastAsia="仿宋" w:cs="仿宋"/>
          <w:b/>
          <w:bCs/>
          <w:sz w:val="30"/>
          <w:szCs w:val="30"/>
        </w:rPr>
        <w:t>4544</w:t>
      </w:r>
    </w:p>
    <w:p>
      <w:pPr>
        <w:tabs>
          <w:tab w:val="left" w:pos="5670"/>
        </w:tabs>
        <w:autoSpaceDE w:val="0"/>
        <w:autoSpaceDN w:val="0"/>
        <w:adjustRightInd w:val="0"/>
        <w:spacing w:line="360" w:lineRule="auto"/>
        <w:ind w:firstLine="300"/>
        <w:rPr>
          <w:rFonts w:ascii="仿宋" w:hAnsi="仿宋" w:eastAsia="仿宋" w:cs="仿宋"/>
          <w:b/>
          <w:bCs/>
          <w:sz w:val="30"/>
          <w:szCs w:val="30"/>
        </w:rPr>
      </w:pPr>
      <w:r>
        <w:rPr>
          <w:rFonts w:hint="eastAsia" w:ascii="仿宋" w:hAnsi="仿宋" w:eastAsia="仿宋" w:cs="仿宋"/>
          <w:b/>
          <w:bCs/>
          <w:sz w:val="30"/>
          <w:szCs w:val="30"/>
          <w:lang w:val="zh-CN"/>
        </w:rPr>
        <w:t>项目编号：DX2022-</w:t>
      </w:r>
      <w:r>
        <w:rPr>
          <w:rFonts w:hint="eastAsia" w:ascii="仿宋" w:hAnsi="仿宋" w:eastAsia="仿宋" w:cs="仿宋"/>
          <w:b/>
          <w:bCs/>
          <w:sz w:val="30"/>
          <w:szCs w:val="30"/>
        </w:rPr>
        <w:t>210</w:t>
      </w:r>
    </w:p>
    <w:p>
      <w:pPr>
        <w:tabs>
          <w:tab w:val="left" w:pos="5670"/>
        </w:tabs>
        <w:autoSpaceDE w:val="0"/>
        <w:autoSpaceDN w:val="0"/>
        <w:adjustRightInd w:val="0"/>
        <w:spacing w:line="360" w:lineRule="auto"/>
        <w:ind w:firstLine="300"/>
        <w:rPr>
          <w:rFonts w:ascii="仿宋" w:hAnsi="仿宋" w:eastAsia="仿宋" w:cs="仿宋"/>
          <w:b/>
          <w:sz w:val="32"/>
          <w:szCs w:val="32"/>
        </w:rPr>
      </w:pPr>
    </w:p>
    <w:p>
      <w:pPr>
        <w:tabs>
          <w:tab w:val="left" w:pos="5670"/>
        </w:tabs>
        <w:autoSpaceDE w:val="0"/>
        <w:autoSpaceDN w:val="0"/>
        <w:adjustRightInd w:val="0"/>
        <w:spacing w:line="360" w:lineRule="auto"/>
        <w:jc w:val="center"/>
        <w:rPr>
          <w:rFonts w:ascii="仿宋" w:hAnsi="仿宋" w:eastAsia="仿宋" w:cs="仿宋"/>
          <w:b/>
          <w:bCs/>
          <w:sz w:val="44"/>
          <w:szCs w:val="44"/>
          <w:lang w:val="zh-CN"/>
        </w:rPr>
      </w:pPr>
    </w:p>
    <w:p>
      <w:pPr>
        <w:tabs>
          <w:tab w:val="left" w:pos="5670"/>
        </w:tabs>
        <w:autoSpaceDE w:val="0"/>
        <w:autoSpaceDN w:val="0"/>
        <w:adjustRightInd w:val="0"/>
        <w:spacing w:line="360" w:lineRule="auto"/>
        <w:jc w:val="center"/>
        <w:rPr>
          <w:rFonts w:ascii="仿宋" w:hAnsi="仿宋" w:eastAsia="仿宋" w:cs="仿宋"/>
          <w:b/>
          <w:bCs/>
          <w:sz w:val="44"/>
          <w:szCs w:val="44"/>
        </w:rPr>
      </w:pPr>
    </w:p>
    <w:p>
      <w:pPr>
        <w:tabs>
          <w:tab w:val="left" w:pos="5670"/>
        </w:tabs>
        <w:autoSpaceDE w:val="0"/>
        <w:autoSpaceDN w:val="0"/>
        <w:adjustRightInd w:val="0"/>
        <w:spacing w:line="360" w:lineRule="auto"/>
        <w:jc w:val="center"/>
        <w:rPr>
          <w:rFonts w:ascii="仿宋" w:hAnsi="仿宋" w:eastAsia="仿宋" w:cs="仿宋"/>
          <w:b/>
          <w:bCs/>
          <w:sz w:val="40"/>
          <w:szCs w:val="36"/>
        </w:rPr>
      </w:pPr>
      <w:r>
        <w:rPr>
          <w:rFonts w:hint="eastAsia" w:ascii="仿宋" w:hAnsi="仿宋" w:eastAsia="仿宋" w:cs="仿宋"/>
          <w:b/>
          <w:bCs/>
          <w:sz w:val="40"/>
          <w:szCs w:val="36"/>
          <w:lang w:val="zh-CN"/>
        </w:rPr>
        <w:t>陕西中医药大学附属医院</w:t>
      </w:r>
      <w:r>
        <w:rPr>
          <w:rFonts w:hint="eastAsia" w:ascii="仿宋" w:hAnsi="仿宋" w:eastAsia="仿宋" w:cs="仿宋"/>
          <w:b/>
          <w:bCs/>
          <w:sz w:val="40"/>
          <w:szCs w:val="36"/>
        </w:rPr>
        <w:t>集成平台与数据</w:t>
      </w:r>
    </w:p>
    <w:p>
      <w:pPr>
        <w:tabs>
          <w:tab w:val="left" w:pos="5670"/>
        </w:tabs>
        <w:autoSpaceDE w:val="0"/>
        <w:autoSpaceDN w:val="0"/>
        <w:adjustRightInd w:val="0"/>
        <w:spacing w:line="360" w:lineRule="auto"/>
        <w:jc w:val="center"/>
        <w:rPr>
          <w:rFonts w:ascii="仿宋" w:hAnsi="仿宋" w:eastAsia="仿宋" w:cs="仿宋"/>
          <w:b/>
          <w:bCs/>
          <w:sz w:val="40"/>
          <w:szCs w:val="36"/>
          <w:lang w:val="zh-CN"/>
        </w:rPr>
      </w:pPr>
      <w:r>
        <w:rPr>
          <w:rFonts w:hint="eastAsia" w:ascii="仿宋" w:hAnsi="仿宋" w:eastAsia="仿宋" w:cs="仿宋"/>
          <w:b/>
          <w:bCs/>
          <w:sz w:val="40"/>
          <w:szCs w:val="36"/>
        </w:rPr>
        <w:t>中心建设项目</w:t>
      </w:r>
    </w:p>
    <w:p>
      <w:pPr>
        <w:rPr>
          <w:rFonts w:ascii="仿宋" w:hAnsi="仿宋" w:eastAsia="仿宋" w:cs="仿宋"/>
          <w:lang w:val="zh-CN"/>
        </w:rPr>
      </w:pPr>
    </w:p>
    <w:p>
      <w:pPr>
        <w:rPr>
          <w:rFonts w:ascii="仿宋" w:hAnsi="仿宋" w:eastAsia="仿宋" w:cs="仿宋"/>
          <w:lang w:val="zh-CN"/>
        </w:rPr>
      </w:pPr>
    </w:p>
    <w:p>
      <w:pPr>
        <w:rPr>
          <w:rFonts w:ascii="仿宋" w:hAnsi="仿宋" w:eastAsia="仿宋" w:cs="仿宋"/>
          <w:lang w:val="zh-CN"/>
        </w:rPr>
      </w:pPr>
    </w:p>
    <w:p>
      <w:pPr>
        <w:rPr>
          <w:rFonts w:ascii="仿宋" w:hAnsi="仿宋" w:eastAsia="仿宋" w:cs="仿宋"/>
          <w:lang w:val="zh-CN"/>
        </w:rPr>
      </w:pPr>
    </w:p>
    <w:p>
      <w:pPr>
        <w:tabs>
          <w:tab w:val="left" w:pos="5670"/>
        </w:tabs>
        <w:autoSpaceDE w:val="0"/>
        <w:autoSpaceDN w:val="0"/>
        <w:adjustRightInd w:val="0"/>
        <w:spacing w:line="360" w:lineRule="auto"/>
        <w:jc w:val="center"/>
        <w:rPr>
          <w:rFonts w:ascii="仿宋" w:hAnsi="仿宋" w:eastAsia="仿宋" w:cs="仿宋"/>
          <w:sz w:val="44"/>
          <w:szCs w:val="44"/>
        </w:rPr>
      </w:pPr>
      <w:r>
        <w:rPr>
          <w:rFonts w:hint="eastAsia" w:ascii="仿宋" w:hAnsi="仿宋" w:eastAsia="仿宋" w:cs="仿宋"/>
          <w:b/>
          <w:bCs/>
          <w:sz w:val="44"/>
          <w:szCs w:val="44"/>
        </w:rPr>
        <w:t>招</w:t>
      </w:r>
      <w:r>
        <w:rPr>
          <w:rFonts w:hint="eastAsia" w:ascii="仿宋" w:hAnsi="仿宋" w:eastAsia="仿宋" w:cs="仿宋"/>
          <w:b/>
          <w:bCs/>
          <w:sz w:val="44"/>
          <w:szCs w:val="44"/>
          <w:lang w:val="zh-CN"/>
        </w:rPr>
        <w:t>标文件</w:t>
      </w:r>
    </w:p>
    <w:p>
      <w:pPr>
        <w:tabs>
          <w:tab w:val="left" w:pos="5670"/>
        </w:tabs>
        <w:autoSpaceDE w:val="0"/>
        <w:autoSpaceDN w:val="0"/>
        <w:adjustRightInd w:val="0"/>
        <w:spacing w:line="360" w:lineRule="auto"/>
        <w:rPr>
          <w:rFonts w:ascii="仿宋" w:hAnsi="仿宋" w:eastAsia="仿宋" w:cs="仿宋"/>
          <w:b/>
          <w:bCs/>
          <w:sz w:val="32"/>
          <w:szCs w:val="32"/>
          <w:lang w:val="zh-CN"/>
        </w:rPr>
      </w:pPr>
    </w:p>
    <w:p>
      <w:pPr>
        <w:tabs>
          <w:tab w:val="left" w:pos="5670"/>
        </w:tabs>
        <w:autoSpaceDE w:val="0"/>
        <w:autoSpaceDN w:val="0"/>
        <w:adjustRightInd w:val="0"/>
        <w:spacing w:line="360" w:lineRule="auto"/>
        <w:jc w:val="center"/>
        <w:rPr>
          <w:rFonts w:ascii="仿宋" w:hAnsi="仿宋" w:eastAsia="仿宋" w:cs="仿宋"/>
          <w:b/>
          <w:bCs/>
          <w:sz w:val="32"/>
          <w:szCs w:val="32"/>
          <w:lang w:val="zh-CN"/>
        </w:rPr>
      </w:pPr>
    </w:p>
    <w:p>
      <w:pPr>
        <w:rPr>
          <w:rFonts w:ascii="仿宋" w:hAnsi="仿宋" w:eastAsia="仿宋" w:cs="仿宋"/>
          <w:lang w:val="zh-CN"/>
        </w:rPr>
      </w:pPr>
    </w:p>
    <w:p>
      <w:pPr>
        <w:tabs>
          <w:tab w:val="left" w:pos="5670"/>
        </w:tabs>
        <w:autoSpaceDE w:val="0"/>
        <w:autoSpaceDN w:val="0"/>
        <w:adjustRightInd w:val="0"/>
        <w:spacing w:line="360" w:lineRule="auto"/>
        <w:rPr>
          <w:rFonts w:ascii="仿宋" w:hAnsi="仿宋" w:eastAsia="仿宋" w:cs="仿宋"/>
          <w:b/>
          <w:bCs/>
          <w:sz w:val="32"/>
          <w:szCs w:val="32"/>
          <w:lang w:val="zh-CN"/>
        </w:rPr>
      </w:pPr>
    </w:p>
    <w:p>
      <w:pPr>
        <w:pStyle w:val="25"/>
        <w:ind w:firstLine="321"/>
        <w:rPr>
          <w:rFonts w:ascii="仿宋" w:hAnsi="仿宋" w:eastAsia="仿宋" w:cs="仿宋"/>
          <w:b/>
          <w:bCs/>
          <w:sz w:val="32"/>
          <w:szCs w:val="32"/>
          <w:lang w:val="zh-CN"/>
        </w:rPr>
      </w:pPr>
    </w:p>
    <w:p>
      <w:pPr>
        <w:autoSpaceDE w:val="0"/>
        <w:autoSpaceDN w:val="0"/>
        <w:adjustRightInd w:val="0"/>
        <w:snapToGrid w:val="0"/>
        <w:spacing w:line="360" w:lineRule="auto"/>
        <w:ind w:firstLine="1687" w:firstLineChars="525"/>
        <w:rPr>
          <w:rFonts w:ascii="仿宋" w:hAnsi="仿宋" w:eastAsia="仿宋" w:cs="仿宋"/>
          <w:b/>
          <w:bCs/>
          <w:sz w:val="32"/>
          <w:szCs w:val="32"/>
          <w:lang w:val="zh-CN"/>
        </w:rPr>
      </w:pPr>
      <w:r>
        <w:rPr>
          <w:rFonts w:hint="eastAsia" w:ascii="仿宋" w:hAnsi="仿宋" w:eastAsia="仿宋" w:cs="仿宋"/>
          <w:b/>
          <w:bCs/>
          <w:sz w:val="32"/>
          <w:szCs w:val="32"/>
          <w:lang w:val="zh-CN"/>
        </w:rPr>
        <w:t>采购人：陕西中医药大学附属医院</w:t>
      </w:r>
    </w:p>
    <w:p>
      <w:pPr>
        <w:autoSpaceDE w:val="0"/>
        <w:autoSpaceDN w:val="0"/>
        <w:adjustRightInd w:val="0"/>
        <w:snapToGrid w:val="0"/>
        <w:spacing w:line="360" w:lineRule="auto"/>
        <w:ind w:firstLine="1687" w:firstLineChars="525"/>
        <w:rPr>
          <w:rFonts w:ascii="仿宋" w:hAnsi="仿宋" w:eastAsia="仿宋" w:cs="仿宋"/>
          <w:b/>
          <w:bCs/>
          <w:sz w:val="32"/>
          <w:szCs w:val="32"/>
          <w:lang w:val="zh-CN"/>
        </w:rPr>
      </w:pPr>
      <w:r>
        <w:rPr>
          <w:rFonts w:hint="eastAsia" w:ascii="仿宋" w:hAnsi="仿宋" w:eastAsia="仿宋" w:cs="仿宋"/>
          <w:b/>
          <w:bCs/>
          <w:sz w:val="32"/>
          <w:szCs w:val="32"/>
          <w:lang w:val="zh-CN"/>
        </w:rPr>
        <w:t>采购代理机构：陕西笃信招标有限公司</w:t>
      </w:r>
    </w:p>
    <w:p>
      <w:pPr>
        <w:autoSpaceDE w:val="0"/>
        <w:autoSpaceDN w:val="0"/>
        <w:adjustRightInd w:val="0"/>
        <w:snapToGrid w:val="0"/>
        <w:spacing w:line="360" w:lineRule="auto"/>
        <w:jc w:val="center"/>
        <w:rPr>
          <w:rFonts w:ascii="仿宋" w:hAnsi="仿宋" w:eastAsia="仿宋" w:cs="仿宋"/>
          <w:b/>
          <w:bCs/>
          <w:sz w:val="32"/>
          <w:szCs w:val="32"/>
        </w:rPr>
      </w:pPr>
    </w:p>
    <w:p>
      <w:pPr>
        <w:tabs>
          <w:tab w:val="left" w:pos="5460"/>
        </w:tabs>
        <w:autoSpaceDE w:val="0"/>
        <w:autoSpaceDN w:val="0"/>
        <w:adjustRightInd w:val="0"/>
        <w:spacing w:line="360" w:lineRule="auto"/>
        <w:jc w:val="center"/>
        <w:rPr>
          <w:rFonts w:ascii="仿宋" w:hAnsi="仿宋" w:eastAsia="仿宋" w:cs="仿宋"/>
          <w:b/>
          <w:bCs/>
          <w:sz w:val="32"/>
          <w:szCs w:val="32"/>
        </w:rPr>
      </w:pPr>
      <w:r>
        <w:rPr>
          <w:rFonts w:hint="eastAsia" w:ascii="仿宋" w:hAnsi="仿宋" w:eastAsia="仿宋" w:cs="仿宋"/>
          <w:b/>
          <w:bCs/>
          <w:sz w:val="32"/>
          <w:szCs w:val="32"/>
        </w:rPr>
        <w:t>二零二二年</w:t>
      </w:r>
      <w:r>
        <w:rPr>
          <w:rFonts w:hint="eastAsia" w:ascii="仿宋" w:hAnsi="仿宋" w:eastAsia="仿宋" w:cs="仿宋"/>
          <w:b/>
          <w:bCs/>
          <w:sz w:val="32"/>
          <w:szCs w:val="32"/>
          <w:lang w:eastAsia="zh-CN"/>
        </w:rPr>
        <w:t>九</w:t>
      </w:r>
      <w:r>
        <w:rPr>
          <w:rFonts w:hint="eastAsia" w:ascii="仿宋" w:hAnsi="仿宋" w:eastAsia="仿宋" w:cs="仿宋"/>
          <w:b/>
          <w:bCs/>
          <w:sz w:val="32"/>
          <w:szCs w:val="32"/>
        </w:rPr>
        <w:t>月</w:t>
      </w:r>
    </w:p>
    <w:p>
      <w:pPr>
        <w:pStyle w:val="19"/>
        <w:pageBreakBefore/>
        <w:tabs>
          <w:tab w:val="right" w:leader="dot" w:pos="8504"/>
          <w:tab w:val="clear" w:pos="9060"/>
        </w:tabs>
        <w:jc w:val="center"/>
        <w:rPr>
          <w:rFonts w:ascii="仿宋" w:hAnsi="仿宋" w:eastAsia="仿宋" w:cs="仿宋"/>
          <w:b/>
          <w:bCs/>
          <w:sz w:val="32"/>
          <w:szCs w:val="32"/>
        </w:rPr>
      </w:pPr>
      <w:bookmarkStart w:id="2" w:name="_Toc20047"/>
      <w:bookmarkStart w:id="3" w:name="_Toc6076"/>
      <w:bookmarkStart w:id="4" w:name="_Toc475451543"/>
      <w:r>
        <w:rPr>
          <w:rFonts w:hint="eastAsia" w:ascii="仿宋" w:hAnsi="仿宋" w:eastAsia="仿宋" w:cs="仿宋"/>
          <w:b/>
          <w:bCs/>
          <w:sz w:val="32"/>
          <w:szCs w:val="32"/>
        </w:rPr>
        <w:t>目  录</w:t>
      </w:r>
    </w:p>
    <w:p>
      <w:pPr>
        <w:pStyle w:val="19"/>
        <w:tabs>
          <w:tab w:val="right" w:leader="dot" w:pos="8300"/>
          <w:tab w:val="clear" w:pos="9060"/>
        </w:tabs>
        <w:rPr>
          <w:rFonts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TOC \o "1-2" \h \u </w:instrText>
      </w:r>
      <w:r>
        <w:rPr>
          <w:rFonts w:hint="eastAsia" w:ascii="仿宋" w:hAnsi="仿宋" w:eastAsia="仿宋" w:cs="仿宋"/>
          <w:szCs w:val="21"/>
        </w:rPr>
        <w:fldChar w:fldCharType="separate"/>
      </w:r>
      <w:r>
        <w:fldChar w:fldCharType="begin"/>
      </w:r>
      <w:r>
        <w:instrText xml:space="preserve"> HYPERLINK \l "_Toc5978" </w:instrText>
      </w:r>
      <w:r>
        <w:fldChar w:fldCharType="separate"/>
      </w:r>
      <w:r>
        <w:rPr>
          <w:rFonts w:hint="eastAsia" w:ascii="仿宋" w:hAnsi="仿宋" w:eastAsia="仿宋" w:cs="仿宋"/>
          <w:szCs w:val="32"/>
          <w:lang w:val="zh-CN"/>
        </w:rPr>
        <w:t>第一部分  招标公告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_Toc5978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pPr>
        <w:pStyle w:val="19"/>
        <w:tabs>
          <w:tab w:val="right" w:leader="dot" w:pos="8300"/>
          <w:tab w:val="clear" w:pos="9060"/>
        </w:tabs>
        <w:rPr>
          <w:rFonts w:ascii="仿宋" w:hAnsi="仿宋" w:eastAsia="仿宋" w:cs="仿宋"/>
        </w:rPr>
      </w:pPr>
      <w:r>
        <w:fldChar w:fldCharType="begin"/>
      </w:r>
      <w:r>
        <w:instrText xml:space="preserve"> HYPERLINK \l "_Toc15866" </w:instrText>
      </w:r>
      <w:r>
        <w:fldChar w:fldCharType="separate"/>
      </w:r>
      <w:r>
        <w:rPr>
          <w:rFonts w:hint="eastAsia" w:ascii="仿宋" w:hAnsi="仿宋" w:eastAsia="仿宋" w:cs="仿宋"/>
          <w:szCs w:val="32"/>
          <w:lang w:val="zh-CN"/>
        </w:rPr>
        <w:t>第二部分供应商须知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_Toc15866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"_Toc9487" </w:instrText>
      </w:r>
      <w:r>
        <w:fldChar w:fldCharType="separate"/>
      </w:r>
      <w:r>
        <w:rPr>
          <w:rFonts w:hint="eastAsia" w:ascii="仿宋" w:hAnsi="仿宋" w:eastAsia="仿宋" w:cs="仿宋"/>
          <w:bCs/>
          <w:szCs w:val="24"/>
          <w:lang w:val="zh-CN"/>
        </w:rPr>
        <w:t>一、总则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_Toc9487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"_Toc22752" </w:instrText>
      </w:r>
      <w:r>
        <w:fldChar w:fldCharType="separate"/>
      </w:r>
      <w:r>
        <w:rPr>
          <w:rFonts w:hint="eastAsia" w:ascii="仿宋" w:hAnsi="仿宋" w:eastAsia="仿宋" w:cs="仿宋"/>
          <w:bCs/>
          <w:szCs w:val="24"/>
          <w:lang w:val="zh-CN"/>
        </w:rPr>
        <w:t>二、招标文件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_Toc22752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"_Toc21616" </w:instrText>
      </w:r>
      <w:r>
        <w:fldChar w:fldCharType="separate"/>
      </w:r>
      <w:r>
        <w:rPr>
          <w:rFonts w:hint="eastAsia" w:ascii="仿宋" w:hAnsi="仿宋" w:eastAsia="仿宋" w:cs="仿宋"/>
          <w:szCs w:val="24"/>
          <w:lang w:val="zh-CN"/>
        </w:rPr>
        <w:t>三、投标要求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_Toc21616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"_Toc26150" </w:instrText>
      </w:r>
      <w:r>
        <w:fldChar w:fldCharType="separate"/>
      </w:r>
      <w:r>
        <w:rPr>
          <w:rFonts w:hint="eastAsia" w:ascii="仿宋" w:hAnsi="仿宋" w:eastAsia="仿宋" w:cs="仿宋"/>
          <w:szCs w:val="24"/>
          <w:lang w:val="zh-CN"/>
        </w:rPr>
        <w:t>四、开标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_Toc26150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"_Toc1924" </w:instrText>
      </w:r>
      <w:r>
        <w:fldChar w:fldCharType="separate"/>
      </w:r>
      <w:r>
        <w:rPr>
          <w:rFonts w:hint="eastAsia" w:ascii="仿宋" w:hAnsi="仿宋" w:eastAsia="仿宋" w:cs="仿宋"/>
          <w:szCs w:val="24"/>
          <w:lang w:val="zh-CN"/>
        </w:rPr>
        <w:t>五、评标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_Toc1924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"_Toc13530" </w:instrText>
      </w:r>
      <w:r>
        <w:fldChar w:fldCharType="separate"/>
      </w:r>
      <w:r>
        <w:rPr>
          <w:rFonts w:hint="eastAsia" w:ascii="仿宋" w:hAnsi="仿宋" w:eastAsia="仿宋" w:cs="仿宋"/>
          <w:szCs w:val="24"/>
          <w:lang w:val="zh-CN"/>
        </w:rPr>
        <w:t>六、评标程序及评标办法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_Toc13530 \h </w:instrText>
      </w:r>
      <w:r>
        <w:rPr>
          <w:rFonts w:hint="eastAsia" w:ascii="仿宋" w:hAnsi="仿宋" w:eastAsia="仿宋" w:cs="仿宋"/>
        </w:rPr>
        <w:fldChar w:fldCharType="separate"/>
      </w:r>
      <w:r>
        <w:rPr>
          <w:rFonts w:hint="eastAsia" w:ascii="仿宋" w:hAnsi="仿宋" w:eastAsia="仿宋" w:cs="仿宋"/>
        </w:rPr>
        <w:t>20</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"_Toc31164" </w:instrText>
      </w:r>
      <w:r>
        <w:fldChar w:fldCharType="separate"/>
      </w:r>
      <w:r>
        <w:rPr>
          <w:rFonts w:hint="eastAsia" w:ascii="仿宋" w:hAnsi="仿宋" w:eastAsia="仿宋" w:cs="仿宋"/>
          <w:szCs w:val="24"/>
          <w:lang w:val="zh-CN"/>
        </w:rPr>
        <w:t>七、确定中标供应商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_Toc31164 \h </w:instrText>
      </w:r>
      <w:r>
        <w:rPr>
          <w:rFonts w:hint="eastAsia" w:ascii="仿宋" w:hAnsi="仿宋" w:eastAsia="仿宋" w:cs="仿宋"/>
        </w:rPr>
        <w:fldChar w:fldCharType="separate"/>
      </w:r>
      <w:r>
        <w:rPr>
          <w:rFonts w:hint="eastAsia" w:ascii="仿宋" w:hAnsi="仿宋" w:eastAsia="仿宋" w:cs="仿宋"/>
        </w:rPr>
        <w:t>28</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"_Toc215" </w:instrText>
      </w:r>
      <w:r>
        <w:fldChar w:fldCharType="separate"/>
      </w:r>
      <w:r>
        <w:rPr>
          <w:rFonts w:hint="eastAsia" w:ascii="仿宋" w:hAnsi="仿宋" w:eastAsia="仿宋" w:cs="仿宋"/>
          <w:szCs w:val="24"/>
          <w:lang w:val="zh-CN"/>
        </w:rPr>
        <w:t>八、合同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_Toc215 \h </w:instrText>
      </w:r>
      <w:r>
        <w:rPr>
          <w:rFonts w:hint="eastAsia" w:ascii="仿宋" w:hAnsi="仿宋" w:eastAsia="仿宋" w:cs="仿宋"/>
        </w:rPr>
        <w:fldChar w:fldCharType="separate"/>
      </w:r>
      <w:r>
        <w:rPr>
          <w:rFonts w:hint="eastAsia" w:ascii="仿宋" w:hAnsi="仿宋" w:eastAsia="仿宋" w:cs="仿宋"/>
        </w:rPr>
        <w:t>29</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"_Toc29935" </w:instrText>
      </w:r>
      <w:r>
        <w:fldChar w:fldCharType="separate"/>
      </w:r>
      <w:r>
        <w:rPr>
          <w:rFonts w:hint="eastAsia" w:ascii="仿宋" w:hAnsi="仿宋" w:eastAsia="仿宋" w:cs="仿宋"/>
          <w:szCs w:val="24"/>
          <w:lang w:val="zh-CN"/>
        </w:rPr>
        <w:t>九、中标服务费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_Toc29935 \h </w:instrText>
      </w:r>
      <w:r>
        <w:rPr>
          <w:rFonts w:hint="eastAsia" w:ascii="仿宋" w:hAnsi="仿宋" w:eastAsia="仿宋" w:cs="仿宋"/>
        </w:rPr>
        <w:fldChar w:fldCharType="separate"/>
      </w:r>
      <w:r>
        <w:rPr>
          <w:rFonts w:hint="eastAsia" w:ascii="仿宋" w:hAnsi="仿宋" w:eastAsia="仿宋" w:cs="仿宋"/>
        </w:rPr>
        <w:t>29</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"_Toc7265" </w:instrText>
      </w:r>
      <w:r>
        <w:fldChar w:fldCharType="separate"/>
      </w:r>
      <w:r>
        <w:rPr>
          <w:rFonts w:hint="eastAsia" w:ascii="仿宋" w:hAnsi="仿宋" w:eastAsia="仿宋" w:cs="仿宋"/>
          <w:szCs w:val="24"/>
          <w:lang w:val="zh-CN"/>
        </w:rPr>
        <w:t>十、废标或者采购方式的变更</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_Toc7265 \h </w:instrText>
      </w:r>
      <w:r>
        <w:rPr>
          <w:rFonts w:hint="eastAsia" w:ascii="仿宋" w:hAnsi="仿宋" w:eastAsia="仿宋" w:cs="仿宋"/>
        </w:rPr>
        <w:fldChar w:fldCharType="separate"/>
      </w:r>
      <w:r>
        <w:rPr>
          <w:rFonts w:hint="eastAsia" w:ascii="仿宋" w:hAnsi="仿宋" w:eastAsia="仿宋" w:cs="仿宋"/>
        </w:rPr>
        <w:t>30</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"_Toc31501" </w:instrText>
      </w:r>
      <w:r>
        <w:fldChar w:fldCharType="separate"/>
      </w:r>
      <w:r>
        <w:rPr>
          <w:rFonts w:hint="eastAsia" w:ascii="仿宋" w:hAnsi="仿宋" w:eastAsia="仿宋" w:cs="仿宋"/>
          <w:szCs w:val="24"/>
          <w:lang w:val="zh-CN"/>
        </w:rPr>
        <w:t>十一、需要落实的政府采购政策</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_Toc31501 \h </w:instrText>
      </w:r>
      <w:r>
        <w:rPr>
          <w:rFonts w:hint="eastAsia" w:ascii="仿宋" w:hAnsi="仿宋" w:eastAsia="仿宋" w:cs="仿宋"/>
        </w:rPr>
        <w:fldChar w:fldCharType="separate"/>
      </w:r>
      <w:r>
        <w:rPr>
          <w:rFonts w:hint="eastAsia" w:ascii="仿宋" w:hAnsi="仿宋" w:eastAsia="仿宋" w:cs="仿宋"/>
        </w:rPr>
        <w:t>30</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"_Toc32629" </w:instrText>
      </w:r>
      <w:r>
        <w:fldChar w:fldCharType="separate"/>
      </w:r>
      <w:r>
        <w:rPr>
          <w:rFonts w:hint="eastAsia" w:ascii="仿宋" w:hAnsi="仿宋" w:eastAsia="仿宋" w:cs="仿宋"/>
          <w:szCs w:val="24"/>
          <w:lang w:val="zh-CN"/>
        </w:rPr>
        <w:t>十二、质疑与投诉</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_Toc32629 \h </w:instrText>
      </w:r>
      <w:r>
        <w:rPr>
          <w:rFonts w:hint="eastAsia" w:ascii="仿宋" w:hAnsi="仿宋" w:eastAsia="仿宋" w:cs="仿宋"/>
        </w:rPr>
        <w:fldChar w:fldCharType="separate"/>
      </w:r>
      <w:r>
        <w:rPr>
          <w:rFonts w:hint="eastAsia" w:ascii="仿宋" w:hAnsi="仿宋" w:eastAsia="仿宋" w:cs="仿宋"/>
        </w:rPr>
        <w:t>33</w:t>
      </w:r>
      <w:r>
        <w:rPr>
          <w:rFonts w:hint="eastAsia" w:ascii="仿宋" w:hAnsi="仿宋" w:eastAsia="仿宋" w:cs="仿宋"/>
        </w:rPr>
        <w:fldChar w:fldCharType="end"/>
      </w:r>
      <w:r>
        <w:rPr>
          <w:rFonts w:hint="eastAsia" w:ascii="仿宋" w:hAnsi="仿宋" w:eastAsia="仿宋" w:cs="仿宋"/>
        </w:rPr>
        <w:fldChar w:fldCharType="end"/>
      </w:r>
    </w:p>
    <w:p>
      <w:pPr>
        <w:pStyle w:val="19"/>
        <w:tabs>
          <w:tab w:val="right" w:leader="dot" w:pos="8300"/>
          <w:tab w:val="clear" w:pos="9060"/>
        </w:tabs>
        <w:rPr>
          <w:rFonts w:ascii="仿宋" w:hAnsi="仿宋" w:eastAsia="仿宋" w:cs="仿宋"/>
        </w:rPr>
      </w:pPr>
      <w:r>
        <w:fldChar w:fldCharType="begin"/>
      </w:r>
      <w:r>
        <w:instrText xml:space="preserve"> HYPERLINK \l "_Toc29349" </w:instrText>
      </w:r>
      <w:r>
        <w:fldChar w:fldCharType="separate"/>
      </w:r>
      <w:r>
        <w:rPr>
          <w:rFonts w:hint="eastAsia" w:ascii="仿宋" w:hAnsi="仿宋" w:eastAsia="仿宋" w:cs="仿宋"/>
          <w:szCs w:val="32"/>
          <w:lang w:val="zh-CN"/>
        </w:rPr>
        <w:t>第三部分 招标内容及要求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_Toc29349 \h </w:instrText>
      </w:r>
      <w:r>
        <w:rPr>
          <w:rFonts w:hint="eastAsia" w:ascii="仿宋" w:hAnsi="仿宋" w:eastAsia="仿宋" w:cs="仿宋"/>
        </w:rPr>
        <w:fldChar w:fldCharType="separate"/>
      </w:r>
      <w:r>
        <w:rPr>
          <w:rFonts w:hint="eastAsia" w:ascii="仿宋" w:hAnsi="仿宋" w:eastAsia="仿宋" w:cs="仿宋"/>
        </w:rPr>
        <w:t>35</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"_Toc13000" </w:instrText>
      </w:r>
      <w:r>
        <w:fldChar w:fldCharType="separate"/>
      </w:r>
      <w:r>
        <w:rPr>
          <w:rFonts w:hint="eastAsia" w:ascii="仿宋" w:hAnsi="仿宋" w:eastAsia="仿宋" w:cs="仿宋"/>
          <w:szCs w:val="24"/>
        </w:rPr>
        <w:t>一、项目概述</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_Toc13000 \h </w:instrText>
      </w:r>
      <w:r>
        <w:rPr>
          <w:rFonts w:hint="eastAsia" w:ascii="仿宋" w:hAnsi="仿宋" w:eastAsia="仿宋" w:cs="仿宋"/>
        </w:rPr>
        <w:fldChar w:fldCharType="separate"/>
      </w:r>
      <w:r>
        <w:rPr>
          <w:rFonts w:hint="eastAsia" w:ascii="仿宋" w:hAnsi="仿宋" w:eastAsia="仿宋" w:cs="仿宋"/>
        </w:rPr>
        <w:t>35</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"_Toc5242" </w:instrText>
      </w:r>
      <w:r>
        <w:fldChar w:fldCharType="separate"/>
      </w:r>
      <w:r>
        <w:rPr>
          <w:rFonts w:hint="eastAsia" w:ascii="仿宋" w:hAnsi="仿宋" w:eastAsia="仿宋" w:cs="仿宋"/>
          <w:szCs w:val="24"/>
        </w:rPr>
        <w:t>二、总体要求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_Toc5242 \h </w:instrText>
      </w:r>
      <w:r>
        <w:rPr>
          <w:rFonts w:hint="eastAsia" w:ascii="仿宋" w:hAnsi="仿宋" w:eastAsia="仿宋" w:cs="仿宋"/>
        </w:rPr>
        <w:fldChar w:fldCharType="separate"/>
      </w:r>
      <w:r>
        <w:rPr>
          <w:rFonts w:hint="eastAsia" w:ascii="仿宋" w:hAnsi="仿宋" w:eastAsia="仿宋" w:cs="仿宋"/>
        </w:rPr>
        <w:t>40</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"_Toc31622" </w:instrText>
      </w:r>
      <w:r>
        <w:fldChar w:fldCharType="separate"/>
      </w:r>
      <w:r>
        <w:rPr>
          <w:rFonts w:hint="eastAsia" w:ascii="仿宋" w:hAnsi="仿宋" w:eastAsia="仿宋" w:cs="仿宋"/>
          <w:bCs/>
          <w:szCs w:val="24"/>
        </w:rPr>
        <w:t>（二） 采购清单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_Toc31622 \h </w:instrText>
      </w:r>
      <w:r>
        <w:rPr>
          <w:rFonts w:hint="eastAsia" w:ascii="仿宋" w:hAnsi="仿宋" w:eastAsia="仿宋" w:cs="仿宋"/>
        </w:rPr>
        <w:fldChar w:fldCharType="separate"/>
      </w:r>
      <w:r>
        <w:rPr>
          <w:rFonts w:hint="eastAsia" w:ascii="仿宋" w:hAnsi="仿宋" w:eastAsia="仿宋" w:cs="仿宋"/>
        </w:rPr>
        <w:t>41</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"_Toc2729" </w:instrText>
      </w:r>
      <w:r>
        <w:fldChar w:fldCharType="separate"/>
      </w:r>
      <w:r>
        <w:rPr>
          <w:rFonts w:hint="eastAsia" w:ascii="仿宋" w:hAnsi="仿宋" w:eastAsia="仿宋" w:cs="仿宋"/>
          <w:szCs w:val="24"/>
        </w:rPr>
        <w:t>三、技术规格和功能要求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_Toc2729 \h </w:instrText>
      </w:r>
      <w:r>
        <w:rPr>
          <w:rFonts w:hint="eastAsia" w:ascii="仿宋" w:hAnsi="仿宋" w:eastAsia="仿宋" w:cs="仿宋"/>
        </w:rPr>
        <w:fldChar w:fldCharType="separate"/>
      </w:r>
      <w:r>
        <w:rPr>
          <w:rFonts w:hint="eastAsia" w:ascii="仿宋" w:hAnsi="仿宋" w:eastAsia="仿宋" w:cs="仿宋"/>
        </w:rPr>
        <w:t>43</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"_Toc5719" </w:instrText>
      </w:r>
      <w:r>
        <w:fldChar w:fldCharType="separate"/>
      </w:r>
      <w:r>
        <w:rPr>
          <w:rFonts w:hint="eastAsia" w:ascii="仿宋" w:hAnsi="仿宋" w:eastAsia="仿宋" w:cs="仿宋"/>
          <w:szCs w:val="24"/>
        </w:rPr>
        <w:t>(二）集成平台建设要求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_Toc5719 \h </w:instrText>
      </w:r>
      <w:r>
        <w:rPr>
          <w:rFonts w:hint="eastAsia" w:ascii="仿宋" w:hAnsi="仿宋" w:eastAsia="仿宋" w:cs="仿宋"/>
        </w:rPr>
        <w:fldChar w:fldCharType="separate"/>
      </w:r>
      <w:r>
        <w:rPr>
          <w:rFonts w:hint="eastAsia" w:ascii="仿宋" w:hAnsi="仿宋" w:eastAsia="仿宋" w:cs="仿宋"/>
        </w:rPr>
        <w:t>49</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"_Toc813" </w:instrText>
      </w:r>
      <w:r>
        <w:fldChar w:fldCharType="separate"/>
      </w:r>
      <w:r>
        <w:rPr>
          <w:rFonts w:hint="eastAsia" w:ascii="仿宋" w:hAnsi="仿宋" w:eastAsia="仿宋" w:cs="仿宋"/>
          <w:szCs w:val="24"/>
        </w:rPr>
        <w:t>（三）数据中心建设要求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_Toc813 \h </w:instrText>
      </w:r>
      <w:r>
        <w:rPr>
          <w:rFonts w:hint="eastAsia" w:ascii="仿宋" w:hAnsi="仿宋" w:eastAsia="仿宋" w:cs="仿宋"/>
        </w:rPr>
        <w:fldChar w:fldCharType="separate"/>
      </w:r>
      <w:r>
        <w:rPr>
          <w:rFonts w:hint="eastAsia" w:ascii="仿宋" w:hAnsi="仿宋" w:eastAsia="仿宋" w:cs="仿宋"/>
        </w:rPr>
        <w:t>54</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"_Toc30240" </w:instrText>
      </w:r>
      <w:r>
        <w:fldChar w:fldCharType="separate"/>
      </w:r>
      <w:r>
        <w:rPr>
          <w:rFonts w:hint="eastAsia" w:ascii="仿宋" w:hAnsi="仿宋" w:eastAsia="仿宋" w:cs="仿宋"/>
          <w:szCs w:val="24"/>
        </w:rPr>
        <w:t>（四）数据中心应用建设要求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_Toc30240 \h </w:instrText>
      </w:r>
      <w:r>
        <w:rPr>
          <w:rFonts w:hint="eastAsia" w:ascii="仿宋" w:hAnsi="仿宋" w:eastAsia="仿宋" w:cs="仿宋"/>
        </w:rPr>
        <w:fldChar w:fldCharType="separate"/>
      </w:r>
      <w:r>
        <w:rPr>
          <w:rFonts w:hint="eastAsia" w:ascii="仿宋" w:hAnsi="仿宋" w:eastAsia="仿宋" w:cs="仿宋"/>
        </w:rPr>
        <w:t>60</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"_Toc12526" </w:instrText>
      </w:r>
      <w:r>
        <w:fldChar w:fldCharType="separate"/>
      </w:r>
      <w:r>
        <w:rPr>
          <w:rFonts w:hint="eastAsia" w:ascii="仿宋" w:hAnsi="仿宋" w:eastAsia="仿宋" w:cs="仿宋"/>
          <w:bCs/>
          <w:szCs w:val="24"/>
        </w:rPr>
        <w:t>四、非功能性建设要求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_Toc12526 \h </w:instrText>
      </w:r>
      <w:r>
        <w:rPr>
          <w:rFonts w:hint="eastAsia" w:ascii="仿宋" w:hAnsi="仿宋" w:eastAsia="仿宋" w:cs="仿宋"/>
        </w:rPr>
        <w:fldChar w:fldCharType="separate"/>
      </w:r>
      <w:r>
        <w:rPr>
          <w:rFonts w:hint="eastAsia" w:ascii="仿宋" w:hAnsi="仿宋" w:eastAsia="仿宋" w:cs="仿宋"/>
        </w:rPr>
        <w:t>70</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"_Toc25285" </w:instrText>
      </w:r>
      <w:r>
        <w:fldChar w:fldCharType="separate"/>
      </w:r>
      <w:r>
        <w:rPr>
          <w:rFonts w:hint="eastAsia" w:ascii="仿宋" w:hAnsi="仿宋" w:eastAsia="仿宋" w:cs="仿宋"/>
          <w:szCs w:val="24"/>
        </w:rPr>
        <w:t>五、项目管理要求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_Toc25285 \h </w:instrText>
      </w:r>
      <w:r>
        <w:rPr>
          <w:rFonts w:hint="eastAsia" w:ascii="仿宋" w:hAnsi="仿宋" w:eastAsia="仿宋" w:cs="仿宋"/>
        </w:rPr>
        <w:fldChar w:fldCharType="separate"/>
      </w:r>
      <w:r>
        <w:rPr>
          <w:rFonts w:hint="eastAsia" w:ascii="仿宋" w:hAnsi="仿宋" w:eastAsia="仿宋" w:cs="仿宋"/>
        </w:rPr>
        <w:t>71</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"_Toc3825" </w:instrText>
      </w:r>
      <w:r>
        <w:fldChar w:fldCharType="separate"/>
      </w:r>
      <w:r>
        <w:rPr>
          <w:rFonts w:hint="eastAsia" w:ascii="仿宋" w:hAnsi="仿宋" w:eastAsia="仿宋" w:cs="仿宋"/>
          <w:szCs w:val="24"/>
        </w:rPr>
        <w:t>六、培训要求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_Toc3825 \h </w:instrText>
      </w:r>
      <w:r>
        <w:rPr>
          <w:rFonts w:hint="eastAsia" w:ascii="仿宋" w:hAnsi="仿宋" w:eastAsia="仿宋" w:cs="仿宋"/>
        </w:rPr>
        <w:fldChar w:fldCharType="separate"/>
      </w:r>
      <w:r>
        <w:rPr>
          <w:rFonts w:hint="eastAsia" w:ascii="仿宋" w:hAnsi="仿宋" w:eastAsia="仿宋" w:cs="仿宋"/>
        </w:rPr>
        <w:t>72</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"_Toc19461" </w:instrText>
      </w:r>
      <w:r>
        <w:fldChar w:fldCharType="separate"/>
      </w:r>
      <w:r>
        <w:rPr>
          <w:rFonts w:hint="eastAsia" w:ascii="仿宋" w:hAnsi="仿宋" w:eastAsia="仿宋" w:cs="仿宋"/>
          <w:szCs w:val="24"/>
        </w:rPr>
        <w:t>七、验收要求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_Toc19461 \h </w:instrText>
      </w:r>
      <w:r>
        <w:rPr>
          <w:rFonts w:hint="eastAsia" w:ascii="仿宋" w:hAnsi="仿宋" w:eastAsia="仿宋" w:cs="仿宋"/>
        </w:rPr>
        <w:fldChar w:fldCharType="separate"/>
      </w:r>
      <w:r>
        <w:rPr>
          <w:rFonts w:hint="eastAsia" w:ascii="仿宋" w:hAnsi="仿宋" w:eastAsia="仿宋" w:cs="仿宋"/>
        </w:rPr>
        <w:t>73</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"_Toc31723" </w:instrText>
      </w:r>
      <w:r>
        <w:fldChar w:fldCharType="separate"/>
      </w:r>
      <w:r>
        <w:rPr>
          <w:rFonts w:hint="eastAsia" w:ascii="仿宋" w:hAnsi="仿宋" w:eastAsia="仿宋" w:cs="仿宋"/>
          <w:szCs w:val="24"/>
        </w:rPr>
        <w:t>八、支持服务要求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_Toc31723 \h </w:instrText>
      </w:r>
      <w:r>
        <w:rPr>
          <w:rFonts w:hint="eastAsia" w:ascii="仿宋" w:hAnsi="仿宋" w:eastAsia="仿宋" w:cs="仿宋"/>
        </w:rPr>
        <w:fldChar w:fldCharType="separate"/>
      </w:r>
      <w:r>
        <w:rPr>
          <w:rFonts w:hint="eastAsia" w:ascii="仿宋" w:hAnsi="仿宋" w:eastAsia="仿宋" w:cs="仿宋"/>
        </w:rPr>
        <w:t>73</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"_Toc29446" </w:instrText>
      </w:r>
      <w:r>
        <w:fldChar w:fldCharType="separate"/>
      </w:r>
      <w:r>
        <w:rPr>
          <w:rFonts w:hint="eastAsia" w:ascii="仿宋" w:hAnsi="仿宋" w:eastAsia="仿宋" w:cs="仿宋"/>
          <w:szCs w:val="24"/>
        </w:rPr>
        <w:t>九、售后服务要求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_Toc29446 \h </w:instrText>
      </w:r>
      <w:r>
        <w:rPr>
          <w:rFonts w:hint="eastAsia" w:ascii="仿宋" w:hAnsi="仿宋" w:eastAsia="仿宋" w:cs="仿宋"/>
        </w:rPr>
        <w:fldChar w:fldCharType="separate"/>
      </w:r>
      <w:r>
        <w:rPr>
          <w:rFonts w:hint="eastAsia" w:ascii="仿宋" w:hAnsi="仿宋" w:eastAsia="仿宋" w:cs="仿宋"/>
        </w:rPr>
        <w:t>75</w:t>
      </w:r>
      <w:r>
        <w:rPr>
          <w:rFonts w:hint="eastAsia" w:ascii="仿宋" w:hAnsi="仿宋" w:eastAsia="仿宋" w:cs="仿宋"/>
        </w:rPr>
        <w:fldChar w:fldCharType="end"/>
      </w:r>
      <w:r>
        <w:rPr>
          <w:rFonts w:hint="eastAsia" w:ascii="仿宋" w:hAnsi="仿宋" w:eastAsia="仿宋" w:cs="仿宋"/>
        </w:rPr>
        <w:fldChar w:fldCharType="end"/>
      </w:r>
    </w:p>
    <w:p>
      <w:pPr>
        <w:pStyle w:val="19"/>
        <w:tabs>
          <w:tab w:val="right" w:leader="dot" w:pos="8300"/>
          <w:tab w:val="clear" w:pos="9060"/>
        </w:tabs>
        <w:rPr>
          <w:rFonts w:ascii="仿宋" w:hAnsi="仿宋" w:eastAsia="仿宋" w:cs="仿宋"/>
        </w:rPr>
      </w:pPr>
      <w:r>
        <w:fldChar w:fldCharType="begin"/>
      </w:r>
      <w:r>
        <w:instrText xml:space="preserve"> HYPERLINK \l "_Toc1216" </w:instrText>
      </w:r>
      <w:r>
        <w:fldChar w:fldCharType="separate"/>
      </w:r>
      <w:r>
        <w:rPr>
          <w:rFonts w:hint="eastAsia" w:ascii="仿宋" w:hAnsi="仿宋" w:eastAsia="仿宋" w:cs="仿宋"/>
          <w:szCs w:val="32"/>
          <w:lang w:val="zh-CN"/>
        </w:rPr>
        <w:t>第四部分  合同条款及格式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_Toc1216 \h </w:instrText>
      </w:r>
      <w:r>
        <w:rPr>
          <w:rFonts w:hint="eastAsia" w:ascii="仿宋" w:hAnsi="仿宋" w:eastAsia="仿宋" w:cs="仿宋"/>
        </w:rPr>
        <w:fldChar w:fldCharType="separate"/>
      </w:r>
      <w:r>
        <w:rPr>
          <w:rFonts w:hint="eastAsia" w:ascii="仿宋" w:hAnsi="仿宋" w:eastAsia="仿宋" w:cs="仿宋"/>
        </w:rPr>
        <w:t>76</w:t>
      </w:r>
      <w:r>
        <w:rPr>
          <w:rFonts w:hint="eastAsia" w:ascii="仿宋" w:hAnsi="仿宋" w:eastAsia="仿宋" w:cs="仿宋"/>
        </w:rPr>
        <w:fldChar w:fldCharType="end"/>
      </w:r>
      <w:r>
        <w:rPr>
          <w:rFonts w:hint="eastAsia" w:ascii="仿宋" w:hAnsi="仿宋" w:eastAsia="仿宋" w:cs="仿宋"/>
        </w:rPr>
        <w:fldChar w:fldCharType="end"/>
      </w:r>
    </w:p>
    <w:p>
      <w:pPr>
        <w:pStyle w:val="19"/>
        <w:tabs>
          <w:tab w:val="right" w:leader="dot" w:pos="8300"/>
          <w:tab w:val="clear" w:pos="9060"/>
        </w:tabs>
        <w:rPr>
          <w:rFonts w:ascii="仿宋" w:hAnsi="仿宋" w:eastAsia="仿宋" w:cs="仿宋"/>
        </w:rPr>
      </w:pPr>
      <w:r>
        <w:fldChar w:fldCharType="begin"/>
      </w:r>
      <w:r>
        <w:instrText xml:space="preserve"> HYPERLINK \l "_Toc2078" </w:instrText>
      </w:r>
      <w:r>
        <w:fldChar w:fldCharType="separate"/>
      </w:r>
      <w:r>
        <w:rPr>
          <w:rFonts w:hint="eastAsia" w:ascii="仿宋" w:hAnsi="仿宋" w:eastAsia="仿宋" w:cs="仿宋"/>
          <w:bCs/>
          <w:szCs w:val="32"/>
          <w:lang w:val="zh-CN"/>
        </w:rPr>
        <w:t>第五部分</w:t>
      </w:r>
      <w:r>
        <w:rPr>
          <w:rFonts w:hint="eastAsia" w:ascii="仿宋" w:hAnsi="仿宋" w:eastAsia="仿宋" w:cs="仿宋"/>
          <w:bCs/>
          <w:szCs w:val="32"/>
        </w:rPr>
        <w:t>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_Toc2078 \h </w:instrText>
      </w:r>
      <w:r>
        <w:rPr>
          <w:rFonts w:hint="eastAsia" w:ascii="仿宋" w:hAnsi="仿宋" w:eastAsia="仿宋" w:cs="仿宋"/>
        </w:rPr>
        <w:fldChar w:fldCharType="separate"/>
      </w:r>
      <w:r>
        <w:rPr>
          <w:rFonts w:hint="eastAsia" w:ascii="仿宋" w:hAnsi="仿宋" w:eastAsia="仿宋" w:cs="仿宋"/>
        </w:rPr>
        <w:t>84</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"_Toc15182" </w:instrText>
      </w:r>
      <w:r>
        <w:fldChar w:fldCharType="separate"/>
      </w:r>
      <w:r>
        <w:rPr>
          <w:rFonts w:hint="eastAsia" w:ascii="仿宋" w:hAnsi="仿宋" w:eastAsia="仿宋" w:cs="仿宋"/>
          <w:bCs/>
          <w:szCs w:val="15"/>
          <w:lang w:val="zh-CN"/>
        </w:rPr>
        <w:t>一、投标函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_Toc15182 \h </w:instrText>
      </w:r>
      <w:r>
        <w:rPr>
          <w:rFonts w:hint="eastAsia" w:ascii="仿宋" w:hAnsi="仿宋" w:eastAsia="仿宋" w:cs="仿宋"/>
        </w:rPr>
        <w:fldChar w:fldCharType="separate"/>
      </w:r>
      <w:r>
        <w:rPr>
          <w:rFonts w:hint="eastAsia" w:ascii="仿宋" w:hAnsi="仿宋" w:eastAsia="仿宋" w:cs="仿宋"/>
        </w:rPr>
        <w:t>86</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"_Toc29972" </w:instrText>
      </w:r>
      <w:r>
        <w:fldChar w:fldCharType="separate"/>
      </w:r>
      <w:r>
        <w:rPr>
          <w:rFonts w:hint="eastAsia" w:ascii="仿宋" w:hAnsi="仿宋" w:eastAsia="仿宋" w:cs="仿宋"/>
          <w:bCs/>
          <w:szCs w:val="15"/>
          <w:lang w:val="zh-CN"/>
        </w:rPr>
        <w:t>二、开标一览表（唱标报告）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_Toc29972 \h </w:instrText>
      </w:r>
      <w:r>
        <w:rPr>
          <w:rFonts w:hint="eastAsia" w:ascii="仿宋" w:hAnsi="仿宋" w:eastAsia="仿宋" w:cs="仿宋"/>
        </w:rPr>
        <w:fldChar w:fldCharType="separate"/>
      </w:r>
      <w:r>
        <w:rPr>
          <w:rFonts w:hint="eastAsia" w:ascii="仿宋" w:hAnsi="仿宋" w:eastAsia="仿宋" w:cs="仿宋"/>
        </w:rPr>
        <w:t>88</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"_Toc27700" </w:instrText>
      </w:r>
      <w:r>
        <w:fldChar w:fldCharType="separate"/>
      </w:r>
      <w:r>
        <w:rPr>
          <w:rFonts w:hint="eastAsia" w:ascii="仿宋" w:hAnsi="仿宋" w:eastAsia="仿宋" w:cs="仿宋"/>
          <w:bCs/>
          <w:szCs w:val="15"/>
          <w:lang w:val="zh-CN"/>
        </w:rPr>
        <w:t>三、分项报价表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_Toc27700 \h </w:instrText>
      </w:r>
      <w:r>
        <w:rPr>
          <w:rFonts w:hint="eastAsia" w:ascii="仿宋" w:hAnsi="仿宋" w:eastAsia="仿宋" w:cs="仿宋"/>
        </w:rPr>
        <w:fldChar w:fldCharType="separate"/>
      </w:r>
      <w:r>
        <w:rPr>
          <w:rFonts w:hint="eastAsia" w:ascii="仿宋" w:hAnsi="仿宋" w:eastAsia="仿宋" w:cs="仿宋"/>
        </w:rPr>
        <w:t>89</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"_Toc32303" </w:instrText>
      </w:r>
      <w:r>
        <w:fldChar w:fldCharType="separate"/>
      </w:r>
      <w:r>
        <w:rPr>
          <w:rFonts w:hint="eastAsia" w:ascii="仿宋" w:hAnsi="仿宋" w:eastAsia="仿宋" w:cs="仿宋"/>
          <w:bCs/>
          <w:szCs w:val="15"/>
          <w:lang w:val="zh-CN"/>
        </w:rPr>
        <w:t>四、供应商资格证明文件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_Toc32303 \h </w:instrText>
      </w:r>
      <w:r>
        <w:rPr>
          <w:rFonts w:hint="eastAsia" w:ascii="仿宋" w:hAnsi="仿宋" w:eastAsia="仿宋" w:cs="仿宋"/>
        </w:rPr>
        <w:fldChar w:fldCharType="separate"/>
      </w:r>
      <w:r>
        <w:rPr>
          <w:rFonts w:hint="eastAsia" w:ascii="仿宋" w:hAnsi="仿宋" w:eastAsia="仿宋" w:cs="仿宋"/>
        </w:rPr>
        <w:t>90</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"_Toc29723" </w:instrText>
      </w:r>
      <w:r>
        <w:fldChar w:fldCharType="separate"/>
      </w:r>
      <w:r>
        <w:rPr>
          <w:rFonts w:hint="eastAsia" w:ascii="仿宋" w:hAnsi="仿宋" w:eastAsia="仿宋" w:cs="仿宋"/>
          <w:bCs/>
          <w:szCs w:val="15"/>
          <w:lang w:val="zh-CN"/>
        </w:rPr>
        <w:t>五、（</w:t>
      </w:r>
      <w:r>
        <w:rPr>
          <w:rFonts w:hint="eastAsia" w:ascii="仿宋" w:hAnsi="仿宋" w:eastAsia="仿宋" w:cs="仿宋"/>
          <w:bCs/>
          <w:szCs w:val="15"/>
        </w:rPr>
        <w:t>商务）</w:t>
      </w:r>
      <w:r>
        <w:rPr>
          <w:rFonts w:hint="eastAsia" w:ascii="仿宋" w:hAnsi="仿宋" w:eastAsia="仿宋" w:cs="仿宋"/>
          <w:bCs/>
          <w:szCs w:val="15"/>
          <w:lang w:val="zh-CN"/>
        </w:rPr>
        <w:t>合同主要条款偏离表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_Toc29723 \h </w:instrText>
      </w:r>
      <w:r>
        <w:rPr>
          <w:rFonts w:hint="eastAsia" w:ascii="仿宋" w:hAnsi="仿宋" w:eastAsia="仿宋" w:cs="仿宋"/>
        </w:rPr>
        <w:fldChar w:fldCharType="separate"/>
      </w:r>
      <w:r>
        <w:rPr>
          <w:rFonts w:hint="eastAsia" w:ascii="仿宋" w:hAnsi="仿宋" w:eastAsia="仿宋" w:cs="仿宋"/>
        </w:rPr>
        <w:t>104</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"_Toc6384" </w:instrText>
      </w:r>
      <w:r>
        <w:fldChar w:fldCharType="separate"/>
      </w:r>
      <w:r>
        <w:rPr>
          <w:rFonts w:hint="eastAsia" w:ascii="仿宋" w:hAnsi="仿宋" w:eastAsia="仿宋" w:cs="仿宋"/>
          <w:bCs/>
          <w:szCs w:val="15"/>
          <w:lang w:val="zh-CN"/>
        </w:rPr>
        <w:t>六、企业实力</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_Toc6384 \h </w:instrText>
      </w:r>
      <w:r>
        <w:rPr>
          <w:rFonts w:hint="eastAsia" w:ascii="仿宋" w:hAnsi="仿宋" w:eastAsia="仿宋" w:cs="仿宋"/>
        </w:rPr>
        <w:fldChar w:fldCharType="separate"/>
      </w:r>
      <w:r>
        <w:rPr>
          <w:rFonts w:hint="eastAsia" w:ascii="仿宋" w:hAnsi="仿宋" w:eastAsia="仿宋" w:cs="仿宋"/>
        </w:rPr>
        <w:t>105</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"_Toc14357" </w:instrText>
      </w:r>
      <w:r>
        <w:fldChar w:fldCharType="separate"/>
      </w:r>
      <w:r>
        <w:rPr>
          <w:rFonts w:hint="eastAsia" w:ascii="仿宋" w:hAnsi="仿宋" w:eastAsia="仿宋" w:cs="仿宋"/>
          <w:bCs/>
          <w:szCs w:val="15"/>
          <w:lang w:val="zh-CN"/>
        </w:rPr>
        <w:t>七、软件成熟度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_Toc14357 \h </w:instrText>
      </w:r>
      <w:r>
        <w:rPr>
          <w:rFonts w:hint="eastAsia" w:ascii="仿宋" w:hAnsi="仿宋" w:eastAsia="仿宋" w:cs="仿宋"/>
        </w:rPr>
        <w:fldChar w:fldCharType="separate"/>
      </w:r>
      <w:r>
        <w:rPr>
          <w:rFonts w:hint="eastAsia" w:ascii="仿宋" w:hAnsi="仿宋" w:eastAsia="仿宋" w:cs="仿宋"/>
        </w:rPr>
        <w:t>106</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"_Toc3437" </w:instrText>
      </w:r>
      <w:r>
        <w:fldChar w:fldCharType="separate"/>
      </w:r>
      <w:r>
        <w:rPr>
          <w:rFonts w:hint="eastAsia" w:ascii="仿宋" w:hAnsi="仿宋" w:eastAsia="仿宋" w:cs="仿宋"/>
          <w:bCs/>
          <w:szCs w:val="15"/>
          <w:lang w:val="zh-CN"/>
        </w:rPr>
        <w:t>八、同类业绩评价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_Toc3437 \h </w:instrText>
      </w:r>
      <w:r>
        <w:rPr>
          <w:rFonts w:hint="eastAsia" w:ascii="仿宋" w:hAnsi="仿宋" w:eastAsia="仿宋" w:cs="仿宋"/>
        </w:rPr>
        <w:fldChar w:fldCharType="separate"/>
      </w:r>
      <w:r>
        <w:rPr>
          <w:rFonts w:hint="eastAsia" w:ascii="仿宋" w:hAnsi="仿宋" w:eastAsia="仿宋" w:cs="仿宋"/>
        </w:rPr>
        <w:t>107</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"_Toc8704" </w:instrText>
      </w:r>
      <w:r>
        <w:fldChar w:fldCharType="separate"/>
      </w:r>
      <w:r>
        <w:rPr>
          <w:rFonts w:hint="eastAsia" w:ascii="仿宋" w:hAnsi="仿宋" w:eastAsia="仿宋" w:cs="仿宋"/>
          <w:bCs/>
          <w:szCs w:val="15"/>
          <w:lang w:val="zh-CN"/>
        </w:rPr>
        <w:t>九、 团队人员评价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_Toc8704 \h </w:instrText>
      </w:r>
      <w:r>
        <w:rPr>
          <w:rFonts w:hint="eastAsia" w:ascii="仿宋" w:hAnsi="仿宋" w:eastAsia="仿宋" w:cs="仿宋"/>
        </w:rPr>
        <w:fldChar w:fldCharType="separate"/>
      </w:r>
      <w:r>
        <w:rPr>
          <w:rFonts w:hint="eastAsia" w:ascii="仿宋" w:hAnsi="仿宋" w:eastAsia="仿宋" w:cs="仿宋"/>
        </w:rPr>
        <w:t>108</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"_Toc24481" </w:instrText>
      </w:r>
      <w:r>
        <w:fldChar w:fldCharType="separate"/>
      </w:r>
      <w:r>
        <w:rPr>
          <w:rFonts w:hint="eastAsia" w:ascii="仿宋" w:hAnsi="仿宋" w:eastAsia="仿宋" w:cs="仿宋"/>
          <w:bCs/>
          <w:szCs w:val="15"/>
          <w:lang w:val="zh-CN"/>
        </w:rPr>
        <w:t>十、总体技术方案评价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_Toc24481 \h </w:instrText>
      </w:r>
      <w:r>
        <w:rPr>
          <w:rFonts w:hint="eastAsia" w:ascii="仿宋" w:hAnsi="仿宋" w:eastAsia="仿宋" w:cs="仿宋"/>
        </w:rPr>
        <w:fldChar w:fldCharType="separate"/>
      </w:r>
      <w:r>
        <w:rPr>
          <w:rFonts w:hint="eastAsia" w:ascii="仿宋" w:hAnsi="仿宋" w:eastAsia="仿宋" w:cs="仿宋"/>
        </w:rPr>
        <w:t>110</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"_Toc18718" </w:instrText>
      </w:r>
      <w:r>
        <w:fldChar w:fldCharType="separate"/>
      </w:r>
      <w:r>
        <w:rPr>
          <w:rFonts w:hint="eastAsia" w:ascii="仿宋" w:hAnsi="仿宋" w:eastAsia="仿宋" w:cs="仿宋"/>
          <w:bCs/>
          <w:szCs w:val="15"/>
          <w:lang w:val="zh-CN"/>
        </w:rPr>
        <w:t>十一．项目实施方案评价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_Toc18718 \h </w:instrText>
      </w:r>
      <w:r>
        <w:rPr>
          <w:rFonts w:hint="eastAsia" w:ascii="仿宋" w:hAnsi="仿宋" w:eastAsia="仿宋" w:cs="仿宋"/>
        </w:rPr>
        <w:fldChar w:fldCharType="separate"/>
      </w:r>
      <w:r>
        <w:rPr>
          <w:rFonts w:hint="eastAsia" w:ascii="仿宋" w:hAnsi="仿宋" w:eastAsia="仿宋" w:cs="仿宋"/>
        </w:rPr>
        <w:t>110</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"_Toc10293" </w:instrText>
      </w:r>
      <w:r>
        <w:fldChar w:fldCharType="separate"/>
      </w:r>
      <w:r>
        <w:rPr>
          <w:rFonts w:hint="eastAsia" w:ascii="仿宋" w:hAnsi="仿宋" w:eastAsia="仿宋" w:cs="仿宋"/>
          <w:bCs/>
          <w:szCs w:val="15"/>
          <w:lang w:val="zh-CN"/>
        </w:rPr>
        <w:t>十二、售后服务方案评价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_Toc10293 \h </w:instrText>
      </w:r>
      <w:r>
        <w:rPr>
          <w:rFonts w:hint="eastAsia" w:ascii="仿宋" w:hAnsi="仿宋" w:eastAsia="仿宋" w:cs="仿宋"/>
        </w:rPr>
        <w:fldChar w:fldCharType="separate"/>
      </w:r>
      <w:r>
        <w:rPr>
          <w:rFonts w:hint="eastAsia" w:ascii="仿宋" w:hAnsi="仿宋" w:eastAsia="仿宋" w:cs="仿宋"/>
        </w:rPr>
        <w:t>110</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"_Toc28728" </w:instrText>
      </w:r>
      <w:r>
        <w:fldChar w:fldCharType="separate"/>
      </w:r>
      <w:r>
        <w:rPr>
          <w:rFonts w:hint="eastAsia" w:ascii="仿宋" w:hAnsi="仿宋" w:eastAsia="仿宋" w:cs="仿宋"/>
          <w:bCs/>
          <w:szCs w:val="15"/>
          <w:lang w:val="zh-CN"/>
        </w:rPr>
        <w:t>十三、投标响应评价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_Toc28728 \h </w:instrText>
      </w:r>
      <w:r>
        <w:rPr>
          <w:rFonts w:hint="eastAsia" w:ascii="仿宋" w:hAnsi="仿宋" w:eastAsia="仿宋" w:cs="仿宋"/>
        </w:rPr>
        <w:fldChar w:fldCharType="separate"/>
      </w:r>
      <w:r>
        <w:rPr>
          <w:rFonts w:hint="eastAsia" w:ascii="仿宋" w:hAnsi="仿宋" w:eastAsia="仿宋" w:cs="仿宋"/>
        </w:rPr>
        <w:t>110</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"_Toc135" </w:instrText>
      </w:r>
      <w:r>
        <w:fldChar w:fldCharType="separate"/>
      </w:r>
      <w:r>
        <w:rPr>
          <w:rFonts w:hint="eastAsia" w:ascii="仿宋" w:hAnsi="仿宋" w:eastAsia="仿宋" w:cs="仿宋"/>
          <w:bCs/>
          <w:szCs w:val="15"/>
          <w:lang w:val="zh-CN"/>
        </w:rPr>
        <w:t>十四、医疗交互标准符合度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_Toc135 \h </w:instrText>
      </w:r>
      <w:r>
        <w:rPr>
          <w:rFonts w:hint="eastAsia" w:ascii="仿宋" w:hAnsi="仿宋" w:eastAsia="仿宋" w:cs="仿宋"/>
        </w:rPr>
        <w:fldChar w:fldCharType="separate"/>
      </w:r>
      <w:r>
        <w:rPr>
          <w:rFonts w:hint="eastAsia" w:ascii="仿宋" w:hAnsi="仿宋" w:eastAsia="仿宋" w:cs="仿宋"/>
        </w:rPr>
        <w:t>110</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"_Toc3588" </w:instrText>
      </w:r>
      <w:r>
        <w:fldChar w:fldCharType="separate"/>
      </w:r>
      <w:r>
        <w:rPr>
          <w:rFonts w:hint="eastAsia" w:ascii="仿宋" w:hAnsi="仿宋" w:eastAsia="仿宋" w:cs="仿宋"/>
          <w:bCs/>
          <w:szCs w:val="15"/>
          <w:lang w:val="zh-CN"/>
        </w:rPr>
        <w:t>十五、产品技术能力</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_Toc3588 \h </w:instrText>
      </w:r>
      <w:r>
        <w:rPr>
          <w:rFonts w:hint="eastAsia" w:ascii="仿宋" w:hAnsi="仿宋" w:eastAsia="仿宋" w:cs="仿宋"/>
        </w:rPr>
        <w:fldChar w:fldCharType="separate"/>
      </w:r>
      <w:r>
        <w:rPr>
          <w:rFonts w:hint="eastAsia" w:ascii="仿宋" w:hAnsi="仿宋" w:eastAsia="仿宋" w:cs="仿宋"/>
        </w:rPr>
        <w:t>110</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"_Toc1022" </w:instrText>
      </w:r>
      <w:r>
        <w:fldChar w:fldCharType="separate"/>
      </w:r>
      <w:r>
        <w:rPr>
          <w:rFonts w:hint="eastAsia" w:ascii="仿宋" w:hAnsi="仿宋" w:eastAsia="仿宋" w:cs="仿宋"/>
          <w:bCs/>
          <w:szCs w:val="15"/>
          <w:lang w:val="zh-CN"/>
        </w:rPr>
        <w:t>十六、供应商企业关系关联承诺书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_Toc1022 \h </w:instrText>
      </w:r>
      <w:r>
        <w:rPr>
          <w:rFonts w:hint="eastAsia" w:ascii="仿宋" w:hAnsi="仿宋" w:eastAsia="仿宋" w:cs="仿宋"/>
        </w:rPr>
        <w:fldChar w:fldCharType="separate"/>
      </w:r>
      <w:r>
        <w:rPr>
          <w:rFonts w:hint="eastAsia" w:ascii="仿宋" w:hAnsi="仿宋" w:eastAsia="仿宋" w:cs="仿宋"/>
        </w:rPr>
        <w:t>111</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"_Toc31151" </w:instrText>
      </w:r>
      <w:r>
        <w:fldChar w:fldCharType="separate"/>
      </w:r>
      <w:r>
        <w:rPr>
          <w:rFonts w:hint="eastAsia" w:ascii="仿宋" w:hAnsi="仿宋" w:eastAsia="仿宋" w:cs="仿宋"/>
          <w:bCs/>
          <w:szCs w:val="15"/>
          <w:lang w:val="zh-CN"/>
        </w:rPr>
        <w:t>十七、供应商廉洁自律承诺书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_Toc31151 \h </w:instrText>
      </w:r>
      <w:r>
        <w:rPr>
          <w:rFonts w:hint="eastAsia" w:ascii="仿宋" w:hAnsi="仿宋" w:eastAsia="仿宋" w:cs="仿宋"/>
        </w:rPr>
        <w:fldChar w:fldCharType="separate"/>
      </w:r>
      <w:r>
        <w:rPr>
          <w:rFonts w:hint="eastAsia" w:ascii="仿宋" w:hAnsi="仿宋" w:eastAsia="仿宋" w:cs="仿宋"/>
        </w:rPr>
        <w:t>112</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300"/>
          <w:tab w:val="clear" w:pos="9060"/>
        </w:tabs>
        <w:rPr>
          <w:rFonts w:ascii="仿宋" w:hAnsi="仿宋" w:eastAsia="仿宋" w:cs="仿宋"/>
        </w:rPr>
      </w:pPr>
      <w:r>
        <w:fldChar w:fldCharType="begin"/>
      </w:r>
      <w:r>
        <w:instrText xml:space="preserve"> HYPERLINK \l "_Toc14573" </w:instrText>
      </w:r>
      <w:r>
        <w:fldChar w:fldCharType="separate"/>
      </w:r>
      <w:r>
        <w:rPr>
          <w:rFonts w:hint="eastAsia" w:ascii="仿宋" w:hAnsi="仿宋" w:eastAsia="仿宋" w:cs="仿宋"/>
          <w:bCs/>
          <w:szCs w:val="15"/>
          <w:lang w:val="zh-CN"/>
        </w:rPr>
        <w:t>十八、供应商认为有必要补充说明的事项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_Toc14573 \h </w:instrText>
      </w:r>
      <w:r>
        <w:rPr>
          <w:rFonts w:hint="eastAsia" w:ascii="仿宋" w:hAnsi="仿宋" w:eastAsia="仿宋" w:cs="仿宋"/>
        </w:rPr>
        <w:fldChar w:fldCharType="separate"/>
      </w:r>
      <w:r>
        <w:rPr>
          <w:rFonts w:hint="eastAsia" w:ascii="仿宋" w:hAnsi="仿宋" w:eastAsia="仿宋" w:cs="仿宋"/>
        </w:rPr>
        <w:t>113</w:t>
      </w:r>
      <w:r>
        <w:rPr>
          <w:rFonts w:hint="eastAsia" w:ascii="仿宋" w:hAnsi="仿宋" w:eastAsia="仿宋" w:cs="仿宋"/>
        </w:rPr>
        <w:fldChar w:fldCharType="end"/>
      </w:r>
      <w:r>
        <w:rPr>
          <w:rFonts w:hint="eastAsia" w:ascii="仿宋" w:hAnsi="仿宋" w:eastAsia="仿宋" w:cs="仿宋"/>
        </w:rPr>
        <w:fldChar w:fldCharType="end"/>
      </w:r>
    </w:p>
    <w:p>
      <w:pPr>
        <w:spacing w:line="360" w:lineRule="auto"/>
        <w:rPr>
          <w:rFonts w:ascii="仿宋" w:hAnsi="仿宋" w:eastAsia="仿宋" w:cs="仿宋"/>
        </w:rPr>
      </w:pPr>
      <w:r>
        <w:rPr>
          <w:rFonts w:hint="eastAsia" w:ascii="仿宋" w:hAnsi="仿宋" w:eastAsia="仿宋" w:cs="仿宋"/>
          <w:szCs w:val="21"/>
        </w:rPr>
        <w:fldChar w:fldCharType="end"/>
      </w:r>
    </w:p>
    <w:p>
      <w:pPr>
        <w:pageBreakBefore/>
        <w:spacing w:line="360" w:lineRule="auto"/>
        <w:jc w:val="center"/>
        <w:outlineLvl w:val="0"/>
        <w:rPr>
          <w:rStyle w:val="44"/>
          <w:rFonts w:ascii="仿宋" w:hAnsi="仿宋" w:eastAsia="仿宋" w:cs="仿宋"/>
          <w:lang w:val="zh-CN"/>
        </w:rPr>
      </w:pPr>
      <w:bookmarkStart w:id="5" w:name="_Toc21487"/>
      <w:bookmarkStart w:id="6" w:name="_Toc5978"/>
      <w:bookmarkStart w:id="7" w:name="_Toc21796"/>
      <w:bookmarkStart w:id="8" w:name="_Toc25835"/>
      <w:bookmarkStart w:id="9" w:name="_Toc20135"/>
      <w:bookmarkStart w:id="10" w:name="_Toc174"/>
      <w:r>
        <w:rPr>
          <w:rFonts w:hint="eastAsia" w:ascii="仿宋" w:hAnsi="仿宋" w:eastAsia="仿宋" w:cs="仿宋"/>
          <w:b/>
          <w:sz w:val="32"/>
          <w:szCs w:val="32"/>
          <w:lang w:val="zh-CN"/>
        </w:rPr>
        <w:t>第一部分  招标公告</w:t>
      </w:r>
      <w:bookmarkEnd w:id="2"/>
      <w:bookmarkEnd w:id="3"/>
      <w:bookmarkEnd w:id="4"/>
      <w:bookmarkEnd w:id="5"/>
      <w:bookmarkEnd w:id="6"/>
      <w:bookmarkEnd w:id="7"/>
      <w:bookmarkEnd w:id="8"/>
      <w:bookmarkEnd w:id="9"/>
      <w:bookmarkEnd w:id="10"/>
    </w:p>
    <w:p>
      <w:pPr>
        <w:spacing w:line="360" w:lineRule="auto"/>
        <w:ind w:firstLine="480" w:firstLineChars="200"/>
        <w:rPr>
          <w:rFonts w:ascii="仿宋" w:hAnsi="仿宋" w:eastAsia="仿宋" w:cs="仿宋"/>
          <w:sz w:val="24"/>
          <w:szCs w:val="24"/>
        </w:rPr>
      </w:pPr>
      <w:bookmarkStart w:id="11" w:name="_Toc28355"/>
      <w:bookmarkStart w:id="12" w:name="_Toc24495"/>
      <w:bookmarkStart w:id="13" w:name="_Toc21248"/>
      <w:bookmarkStart w:id="14" w:name="_Toc14010"/>
      <w:bookmarkStart w:id="15" w:name="_Toc16458"/>
      <w:bookmarkStart w:id="16" w:name="_Toc26996"/>
      <w:bookmarkStart w:id="17" w:name="_Toc28539"/>
      <w:bookmarkStart w:id="18" w:name="_Toc786"/>
      <w:bookmarkStart w:id="19" w:name="_Toc475451544"/>
      <w:r>
        <w:rPr>
          <w:rFonts w:hint="eastAsia" w:ascii="仿宋" w:hAnsi="仿宋" w:eastAsia="仿宋" w:cs="仿宋"/>
          <w:sz w:val="24"/>
          <w:szCs w:val="24"/>
        </w:rPr>
        <w:t>项目概况</w:t>
      </w:r>
    </w:p>
    <w:p>
      <w:pPr>
        <w:spacing w:line="360" w:lineRule="auto"/>
        <w:ind w:firstLine="480" w:firstLineChars="200"/>
        <w:rPr>
          <w:rFonts w:ascii="仿宋" w:hAnsi="仿宋" w:eastAsia="仿宋" w:cs="仿宋"/>
          <w:sz w:val="24"/>
          <w:szCs w:val="24"/>
        </w:rPr>
      </w:pPr>
      <w:r>
        <w:rPr>
          <w:rFonts w:hint="eastAsia" w:ascii="仿宋" w:hAnsi="仿宋" w:eastAsia="仿宋" w:cs="仿宋"/>
          <w:bCs/>
          <w:sz w:val="24"/>
          <w:szCs w:val="24"/>
          <w:shd w:val="clear" w:color="auto" w:fill="FFFFFF"/>
        </w:rPr>
        <w:t>陕西中医药大学附属医院</w:t>
      </w:r>
      <w:r>
        <w:rPr>
          <w:rFonts w:hint="eastAsia" w:ascii="仿宋" w:hAnsi="仿宋" w:eastAsia="仿宋" w:cs="仿宋"/>
          <w:sz w:val="24"/>
          <w:szCs w:val="24"/>
        </w:rPr>
        <w:t>集成平台与数据中心建设项目潜在的供应商应在西安经济技术开发区凤城十一路与文景路十字文景商务广场B座8层获取招标文件，并于2022年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29</w:t>
      </w:r>
      <w:r>
        <w:rPr>
          <w:rFonts w:hint="eastAsia" w:ascii="仿宋" w:hAnsi="仿宋" w:eastAsia="仿宋" w:cs="仿宋"/>
          <w:sz w:val="24"/>
          <w:szCs w:val="24"/>
        </w:rPr>
        <w:t>日 09:30:00（北京时间）前递交投标文件。</w:t>
      </w:r>
    </w:p>
    <w:p>
      <w:pPr>
        <w:spacing w:line="360" w:lineRule="auto"/>
        <w:ind w:firstLine="482" w:firstLineChars="200"/>
        <w:rPr>
          <w:rFonts w:ascii="仿宋" w:hAnsi="仿宋" w:eastAsia="仿宋" w:cs="仿宋"/>
          <w:sz w:val="24"/>
          <w:szCs w:val="24"/>
        </w:rPr>
      </w:pPr>
      <w:r>
        <w:rPr>
          <w:rFonts w:hint="eastAsia" w:ascii="仿宋" w:hAnsi="仿宋" w:eastAsia="仿宋" w:cs="仿宋"/>
          <w:b/>
          <w:bCs/>
          <w:sz w:val="24"/>
          <w:szCs w:val="24"/>
        </w:rPr>
        <w:t>一、项目基本情况</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项目编号：DX2022-210</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bCs/>
          <w:sz w:val="24"/>
          <w:szCs w:val="24"/>
          <w:shd w:val="clear" w:color="auto" w:fill="FFFFFF"/>
        </w:rPr>
        <w:t>陕西中医药大学附属医院</w:t>
      </w:r>
      <w:r>
        <w:rPr>
          <w:rFonts w:hint="eastAsia" w:ascii="仿宋" w:hAnsi="仿宋" w:eastAsia="仿宋" w:cs="仿宋"/>
          <w:sz w:val="24"/>
          <w:szCs w:val="24"/>
        </w:rPr>
        <w:t>集成平台与数据中心建设项目</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采购方式：公开招标</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预算金额：11,000,000.00元</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采购需求：</w:t>
      </w:r>
    </w:p>
    <w:tbl>
      <w:tblPr>
        <w:tblStyle w:val="27"/>
        <w:tblW w:w="9750" w:type="dxa"/>
        <w:tblInd w:w="-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1841"/>
        <w:gridCol w:w="2506"/>
        <w:gridCol w:w="1585"/>
        <w:gridCol w:w="1332"/>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pPr>
              <w:widowControl/>
              <w:wordWrap w:val="0"/>
              <w:spacing w:line="360" w:lineRule="atLeast"/>
              <w:jc w:val="center"/>
              <w:textAlignment w:val="center"/>
              <w:rPr>
                <w:rFonts w:ascii="仿宋" w:hAnsi="仿宋" w:eastAsia="仿宋" w:cs="仿宋"/>
                <w:b/>
                <w:bCs/>
                <w:color w:val="333333"/>
                <w:kern w:val="0"/>
                <w:sz w:val="24"/>
                <w:szCs w:val="24"/>
              </w:rPr>
            </w:pPr>
            <w:r>
              <w:rPr>
                <w:rFonts w:hint="eastAsia" w:ascii="仿宋" w:hAnsi="仿宋" w:eastAsia="仿宋" w:cs="仿宋"/>
                <w:b/>
                <w:bCs/>
                <w:color w:val="333333"/>
                <w:kern w:val="0"/>
                <w:sz w:val="24"/>
                <w:szCs w:val="24"/>
              </w:rPr>
              <w:t>品目号</w:t>
            </w:r>
          </w:p>
        </w:tc>
        <w:tc>
          <w:tcPr>
            <w:tcW w:w="1841" w:type="dxa"/>
            <w:vAlign w:val="center"/>
          </w:tcPr>
          <w:p>
            <w:pPr>
              <w:widowControl/>
              <w:wordWrap w:val="0"/>
              <w:spacing w:line="360" w:lineRule="atLeast"/>
              <w:jc w:val="center"/>
              <w:textAlignment w:val="center"/>
              <w:rPr>
                <w:rFonts w:ascii="仿宋" w:hAnsi="仿宋" w:eastAsia="仿宋" w:cs="仿宋"/>
                <w:b/>
                <w:bCs/>
                <w:color w:val="333333"/>
                <w:kern w:val="0"/>
                <w:sz w:val="24"/>
                <w:szCs w:val="24"/>
              </w:rPr>
            </w:pPr>
            <w:r>
              <w:rPr>
                <w:rFonts w:hint="eastAsia" w:ascii="仿宋" w:hAnsi="仿宋" w:eastAsia="仿宋" w:cs="仿宋"/>
                <w:b/>
                <w:bCs/>
                <w:color w:val="333333"/>
                <w:kern w:val="0"/>
                <w:sz w:val="24"/>
                <w:szCs w:val="24"/>
              </w:rPr>
              <w:t>品目名称</w:t>
            </w:r>
          </w:p>
        </w:tc>
        <w:tc>
          <w:tcPr>
            <w:tcW w:w="2506" w:type="dxa"/>
            <w:vAlign w:val="center"/>
          </w:tcPr>
          <w:p>
            <w:pPr>
              <w:widowControl/>
              <w:wordWrap w:val="0"/>
              <w:spacing w:line="360" w:lineRule="atLeast"/>
              <w:jc w:val="center"/>
              <w:textAlignment w:val="center"/>
              <w:rPr>
                <w:rFonts w:ascii="仿宋" w:hAnsi="仿宋" w:eastAsia="仿宋" w:cs="仿宋"/>
                <w:b/>
                <w:bCs/>
                <w:sz w:val="24"/>
                <w:szCs w:val="24"/>
              </w:rPr>
            </w:pPr>
            <w:r>
              <w:rPr>
                <w:rFonts w:hint="eastAsia" w:ascii="仿宋" w:hAnsi="仿宋" w:eastAsia="仿宋" w:cs="仿宋"/>
                <w:b/>
                <w:bCs/>
                <w:color w:val="333333"/>
                <w:kern w:val="0"/>
                <w:sz w:val="24"/>
                <w:szCs w:val="24"/>
              </w:rPr>
              <w:t>技术规格、参数及要求</w:t>
            </w:r>
          </w:p>
        </w:tc>
        <w:tc>
          <w:tcPr>
            <w:tcW w:w="1585" w:type="dxa"/>
            <w:vAlign w:val="center"/>
          </w:tcPr>
          <w:p>
            <w:pPr>
              <w:widowControl/>
              <w:wordWrap w:val="0"/>
              <w:spacing w:line="360" w:lineRule="atLeast"/>
              <w:jc w:val="center"/>
              <w:textAlignment w:val="center"/>
              <w:rPr>
                <w:rFonts w:ascii="仿宋" w:hAnsi="仿宋" w:eastAsia="仿宋" w:cs="仿宋"/>
                <w:b/>
                <w:bCs/>
                <w:sz w:val="24"/>
                <w:szCs w:val="24"/>
              </w:rPr>
            </w:pPr>
            <w:r>
              <w:rPr>
                <w:rFonts w:hint="eastAsia" w:ascii="仿宋" w:hAnsi="仿宋" w:eastAsia="仿宋" w:cs="仿宋"/>
                <w:b/>
                <w:bCs/>
                <w:color w:val="333333"/>
                <w:kern w:val="0"/>
                <w:sz w:val="24"/>
                <w:szCs w:val="24"/>
              </w:rPr>
              <w:t>预算金额（元）</w:t>
            </w:r>
          </w:p>
        </w:tc>
        <w:tc>
          <w:tcPr>
            <w:tcW w:w="1332" w:type="dxa"/>
            <w:vAlign w:val="center"/>
          </w:tcPr>
          <w:p>
            <w:pPr>
              <w:widowControl/>
              <w:wordWrap w:val="0"/>
              <w:spacing w:line="360" w:lineRule="atLeast"/>
              <w:jc w:val="center"/>
              <w:textAlignment w:val="center"/>
              <w:rPr>
                <w:rFonts w:ascii="仿宋" w:hAnsi="仿宋" w:eastAsia="仿宋" w:cs="仿宋"/>
                <w:b/>
                <w:bCs/>
                <w:sz w:val="24"/>
                <w:szCs w:val="24"/>
              </w:rPr>
            </w:pPr>
            <w:r>
              <w:rPr>
                <w:rFonts w:hint="eastAsia" w:ascii="仿宋" w:hAnsi="仿宋" w:eastAsia="仿宋" w:cs="仿宋"/>
                <w:b/>
                <w:bCs/>
                <w:color w:val="333333"/>
                <w:kern w:val="0"/>
                <w:sz w:val="24"/>
                <w:szCs w:val="24"/>
              </w:rPr>
              <w:t>是否接受联合体</w:t>
            </w:r>
          </w:p>
        </w:tc>
        <w:tc>
          <w:tcPr>
            <w:tcW w:w="1532" w:type="dxa"/>
            <w:vAlign w:val="center"/>
          </w:tcPr>
          <w:p>
            <w:pPr>
              <w:widowControl/>
              <w:wordWrap w:val="0"/>
              <w:spacing w:line="360" w:lineRule="atLeast"/>
              <w:jc w:val="center"/>
              <w:textAlignment w:val="center"/>
              <w:rPr>
                <w:rFonts w:ascii="仿宋" w:hAnsi="仿宋" w:eastAsia="仿宋" w:cs="仿宋"/>
                <w:b/>
                <w:bCs/>
                <w:sz w:val="24"/>
                <w:szCs w:val="24"/>
              </w:rPr>
            </w:pPr>
            <w:r>
              <w:rPr>
                <w:rFonts w:hint="eastAsia" w:ascii="仿宋" w:hAnsi="仿宋" w:eastAsia="仿宋" w:cs="仿宋"/>
                <w:b/>
                <w:bCs/>
                <w:color w:val="333333"/>
                <w:kern w:val="0"/>
                <w:sz w:val="24"/>
                <w:szCs w:val="24"/>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954" w:type="dxa"/>
            <w:vAlign w:val="center"/>
          </w:tcPr>
          <w:p>
            <w:pPr>
              <w:widowControl/>
              <w:wordWrap w:val="0"/>
              <w:spacing w:line="360" w:lineRule="atLeast"/>
              <w:jc w:val="center"/>
              <w:textAlignment w:val="center"/>
              <w:rPr>
                <w:rFonts w:ascii="仿宋" w:hAnsi="仿宋" w:eastAsia="仿宋" w:cs="仿宋"/>
                <w:sz w:val="24"/>
                <w:szCs w:val="24"/>
              </w:rPr>
            </w:pPr>
            <w:r>
              <w:rPr>
                <w:rFonts w:hint="eastAsia" w:ascii="仿宋" w:hAnsi="仿宋" w:eastAsia="仿宋" w:cs="仿宋"/>
                <w:color w:val="333333"/>
                <w:kern w:val="0"/>
                <w:sz w:val="24"/>
                <w:szCs w:val="24"/>
              </w:rPr>
              <w:t>1</w:t>
            </w:r>
          </w:p>
        </w:tc>
        <w:tc>
          <w:tcPr>
            <w:tcW w:w="1841" w:type="dxa"/>
            <w:vAlign w:val="center"/>
          </w:tcPr>
          <w:p>
            <w:pPr>
              <w:widowControl/>
              <w:wordWrap w:val="0"/>
              <w:spacing w:line="360" w:lineRule="atLeast"/>
              <w:jc w:val="center"/>
              <w:textAlignment w:val="center"/>
              <w:rPr>
                <w:rFonts w:ascii="仿宋" w:hAnsi="仿宋" w:eastAsia="仿宋" w:cs="仿宋"/>
                <w:sz w:val="24"/>
                <w:szCs w:val="24"/>
              </w:rPr>
            </w:pPr>
            <w:r>
              <w:rPr>
                <w:rFonts w:hint="eastAsia" w:ascii="仿宋" w:hAnsi="仿宋" w:eastAsia="仿宋" w:cs="仿宋"/>
                <w:bCs/>
                <w:sz w:val="24"/>
                <w:szCs w:val="24"/>
                <w:shd w:val="clear" w:color="auto" w:fill="FFFFFF"/>
              </w:rPr>
              <w:t>陕西中医药大学附属医院</w:t>
            </w:r>
            <w:r>
              <w:rPr>
                <w:rFonts w:hint="eastAsia" w:ascii="仿宋" w:hAnsi="仿宋" w:eastAsia="仿宋" w:cs="仿宋"/>
                <w:sz w:val="24"/>
                <w:szCs w:val="24"/>
              </w:rPr>
              <w:t>集成平台与数据中心建设项目</w:t>
            </w:r>
          </w:p>
        </w:tc>
        <w:tc>
          <w:tcPr>
            <w:tcW w:w="2506" w:type="dxa"/>
            <w:vAlign w:val="center"/>
          </w:tcPr>
          <w:p>
            <w:pPr>
              <w:widowControl/>
              <w:wordWrap w:val="0"/>
              <w:spacing w:line="360" w:lineRule="atLeast"/>
              <w:jc w:val="center"/>
              <w:textAlignment w:val="center"/>
              <w:rPr>
                <w:rFonts w:ascii="仿宋" w:hAnsi="仿宋" w:eastAsia="仿宋" w:cs="仿宋"/>
                <w:sz w:val="24"/>
                <w:szCs w:val="24"/>
              </w:rPr>
            </w:pPr>
            <w:r>
              <w:rPr>
                <w:rFonts w:hint="eastAsia" w:ascii="仿宋" w:hAnsi="仿宋" w:eastAsia="仿宋" w:cs="仿宋"/>
                <w:sz w:val="24"/>
                <w:szCs w:val="24"/>
              </w:rPr>
              <w:t>具体详见招标文件</w:t>
            </w:r>
          </w:p>
        </w:tc>
        <w:tc>
          <w:tcPr>
            <w:tcW w:w="1585" w:type="dxa"/>
            <w:vAlign w:val="center"/>
          </w:tcPr>
          <w:p>
            <w:pPr>
              <w:widowControl/>
              <w:wordWrap w:val="0"/>
              <w:spacing w:line="360" w:lineRule="atLeast"/>
              <w:jc w:val="center"/>
              <w:textAlignment w:val="center"/>
              <w:rPr>
                <w:rFonts w:ascii="仿宋" w:hAnsi="仿宋" w:eastAsia="仿宋" w:cs="仿宋"/>
                <w:color w:val="333333"/>
                <w:kern w:val="0"/>
                <w:sz w:val="24"/>
                <w:szCs w:val="24"/>
              </w:rPr>
            </w:pPr>
            <w:r>
              <w:rPr>
                <w:rFonts w:hint="eastAsia" w:ascii="仿宋" w:hAnsi="仿宋" w:eastAsia="仿宋" w:cs="仿宋"/>
                <w:sz w:val="24"/>
                <w:szCs w:val="24"/>
              </w:rPr>
              <w:t>11000000.00</w:t>
            </w:r>
          </w:p>
        </w:tc>
        <w:tc>
          <w:tcPr>
            <w:tcW w:w="1332" w:type="dxa"/>
            <w:vAlign w:val="center"/>
          </w:tcPr>
          <w:p>
            <w:pPr>
              <w:widowControl/>
              <w:wordWrap w:val="0"/>
              <w:spacing w:line="360" w:lineRule="atLeast"/>
              <w:jc w:val="center"/>
              <w:textAlignment w:val="center"/>
              <w:rPr>
                <w:rFonts w:ascii="仿宋" w:hAnsi="仿宋" w:eastAsia="仿宋" w:cs="仿宋"/>
                <w:sz w:val="24"/>
                <w:szCs w:val="24"/>
              </w:rPr>
            </w:pPr>
            <w:r>
              <w:rPr>
                <w:rFonts w:hint="eastAsia" w:ascii="仿宋" w:hAnsi="仿宋" w:eastAsia="仿宋" w:cs="仿宋"/>
                <w:color w:val="333333"/>
                <w:kern w:val="0"/>
                <w:sz w:val="24"/>
                <w:szCs w:val="24"/>
              </w:rPr>
              <w:t>否</w:t>
            </w:r>
          </w:p>
        </w:tc>
        <w:tc>
          <w:tcPr>
            <w:tcW w:w="1532" w:type="dxa"/>
            <w:vAlign w:val="center"/>
          </w:tcPr>
          <w:p>
            <w:pPr>
              <w:widowControl/>
              <w:wordWrap w:val="0"/>
              <w:spacing w:line="360" w:lineRule="atLeast"/>
              <w:jc w:val="center"/>
              <w:textAlignment w:val="center"/>
              <w:rPr>
                <w:rFonts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合同签订后10个月内完成整体项目建设。</w:t>
            </w:r>
          </w:p>
          <w:p>
            <w:pPr>
              <w:widowControl/>
              <w:wordWrap w:val="0"/>
              <w:spacing w:line="360" w:lineRule="atLeast"/>
              <w:jc w:val="center"/>
              <w:textAlignment w:val="center"/>
              <w:rPr>
                <w:rFonts w:ascii="仿宋" w:hAnsi="仿宋" w:eastAsia="仿宋" w:cs="仿宋"/>
                <w:sz w:val="24"/>
                <w:szCs w:val="24"/>
              </w:rPr>
            </w:pPr>
          </w:p>
        </w:tc>
      </w:tr>
    </w:tbl>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二、申请人的资格要求：</w:t>
      </w:r>
    </w:p>
    <w:p>
      <w:pPr>
        <w:pStyle w:val="23"/>
        <w:spacing w:before="0" w:beforeAutospacing="0" w:after="0" w:afterAutospacing="0" w:line="360" w:lineRule="auto"/>
        <w:ind w:firstLine="480" w:firstLineChars="200"/>
        <w:jc w:val="both"/>
        <w:textAlignment w:val="baseline"/>
        <w:rPr>
          <w:rFonts w:ascii="仿宋" w:hAnsi="仿宋" w:eastAsia="仿宋" w:cs="仿宋"/>
          <w:color w:val="333333"/>
          <w:shd w:val="clear" w:color="auto" w:fill="FFFFFF"/>
        </w:rPr>
      </w:pPr>
      <w:r>
        <w:rPr>
          <w:rFonts w:hint="eastAsia" w:ascii="仿宋" w:hAnsi="仿宋" w:eastAsia="仿宋" w:cs="仿宋"/>
          <w:color w:val="333333"/>
          <w:shd w:val="clear" w:color="auto" w:fill="FFFFFF"/>
        </w:rPr>
        <w:t>1.满足《中华人民共和国政府釆购法》第二十二条规定;</w:t>
      </w:r>
    </w:p>
    <w:p>
      <w:pPr>
        <w:pStyle w:val="23"/>
        <w:spacing w:before="0" w:beforeAutospacing="0" w:after="0" w:afterAutospacing="0" w:line="360" w:lineRule="auto"/>
        <w:ind w:firstLine="480" w:firstLineChars="200"/>
        <w:jc w:val="both"/>
        <w:textAlignment w:val="baseline"/>
        <w:rPr>
          <w:rFonts w:ascii="仿宋" w:hAnsi="仿宋" w:eastAsia="仿宋" w:cs="仿宋"/>
          <w:b/>
          <w:bCs/>
          <w:color w:val="333333"/>
          <w:sz w:val="24"/>
          <w:szCs w:val="24"/>
          <w:shd w:val="clear" w:color="auto" w:fill="FFFFFF"/>
        </w:rPr>
      </w:pPr>
      <w:r>
        <w:rPr>
          <w:rFonts w:hint="eastAsia" w:ascii="仿宋" w:hAnsi="仿宋" w:eastAsia="仿宋" w:cs="仿宋"/>
          <w:color w:val="333333"/>
          <w:shd w:val="clear" w:color="auto" w:fill="FFFFFF"/>
        </w:rPr>
        <w:t>2.落实政府采购政策需满足的资格要求：</w:t>
      </w:r>
      <w:r>
        <w:rPr>
          <w:rFonts w:hint="eastAsia" w:ascii="仿宋" w:hAnsi="仿宋" w:eastAsia="仿宋" w:cs="仿宋"/>
          <w:b/>
          <w:bCs/>
          <w:color w:val="333333"/>
          <w:sz w:val="24"/>
          <w:szCs w:val="24"/>
          <w:shd w:val="clear" w:color="auto" w:fill="FFFFFF"/>
        </w:rPr>
        <w:t>本项目非专门面向中小企业采购</w:t>
      </w:r>
    </w:p>
    <w:p>
      <w:pPr>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3.本项目的特定资格要求：</w:t>
      </w:r>
    </w:p>
    <w:p>
      <w:pPr>
        <w:pStyle w:val="23"/>
        <w:spacing w:before="0" w:beforeAutospacing="0" w:after="0" w:afterAutospacing="0" w:line="360" w:lineRule="auto"/>
        <w:ind w:firstLine="480" w:firstLineChars="200"/>
        <w:jc w:val="both"/>
        <w:textAlignment w:val="baseline"/>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合同包1(集成平台与数据中心建设项目)特定资格要求如下:</w:t>
      </w:r>
    </w:p>
    <w:p>
      <w:pPr>
        <w:pStyle w:val="23"/>
        <w:spacing w:before="0" w:beforeAutospacing="0" w:after="0" w:afterAutospacing="0" w:line="360" w:lineRule="auto"/>
        <w:ind w:firstLine="480" w:firstLineChars="200"/>
        <w:jc w:val="both"/>
        <w:textAlignment w:val="baseline"/>
        <w:rPr>
          <w:rFonts w:hint="eastAsia" w:ascii="仿宋" w:hAnsi="仿宋" w:eastAsia="仿宋" w:cs="仿宋"/>
          <w:color w:val="333333"/>
          <w:shd w:val="clear" w:color="auto" w:fill="FFFFFF"/>
          <w:lang w:eastAsia="zh-CN"/>
        </w:rPr>
      </w:pPr>
      <w:r>
        <w:rPr>
          <w:rFonts w:hint="eastAsia" w:ascii="仿宋" w:hAnsi="仿宋" w:eastAsia="仿宋" w:cs="仿宋"/>
          <w:color w:val="333333"/>
          <w:shd w:val="clear" w:color="auto" w:fill="FFFFFF"/>
        </w:rPr>
        <w:t>1、法定代表人授权书及被授权人身份证，并且提供有效的劳动合同或开标截止前六个月内任意一个月养老保险缴纳证明（法人参加只需提供法定代表人身份证明）；</w:t>
      </w:r>
    </w:p>
    <w:p>
      <w:pPr>
        <w:pStyle w:val="23"/>
        <w:spacing w:before="0" w:beforeAutospacing="0" w:after="0" w:afterAutospacing="0" w:line="360" w:lineRule="auto"/>
        <w:ind w:firstLine="480" w:firstLineChars="200"/>
        <w:jc w:val="both"/>
        <w:textAlignment w:val="baseline"/>
        <w:rPr>
          <w:rFonts w:hint="eastAsia" w:ascii="仿宋" w:hAnsi="仿宋" w:eastAsia="仿宋" w:cs="仿宋"/>
          <w:b/>
          <w:bCs/>
          <w:sz w:val="24"/>
          <w:szCs w:val="24"/>
        </w:rPr>
      </w:pPr>
      <w:r>
        <w:rPr>
          <w:rFonts w:hint="eastAsia" w:ascii="仿宋" w:hAnsi="仿宋" w:eastAsia="仿宋" w:cs="仿宋"/>
          <w:color w:val="333333"/>
          <w:shd w:val="clear" w:color="auto" w:fill="FFFFFF"/>
        </w:rPr>
        <w:t> 2、符合《财政部关于在政府采购活动中查询及使用信用记录有关问题的通知》（财库【2016】125号）文件中信用查询的要求（此项由采购人与采购代理单位在开标时查询，以现场查询为准）；</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三、 获取招标文件</w:t>
      </w:r>
    </w:p>
    <w:p>
      <w:pPr>
        <w:pStyle w:val="23"/>
        <w:spacing w:before="0" w:beforeAutospacing="0" w:after="0" w:afterAutospacing="0" w:line="360" w:lineRule="auto"/>
        <w:ind w:firstLine="480" w:firstLineChars="200"/>
        <w:jc w:val="both"/>
        <w:textAlignment w:val="baseline"/>
        <w:rPr>
          <w:rFonts w:ascii="仿宋" w:hAnsi="仿宋" w:eastAsia="仿宋" w:cs="仿宋"/>
          <w:color w:val="333333"/>
          <w:highlight w:val="none"/>
          <w:shd w:val="clear" w:color="auto" w:fill="FFFFFF"/>
        </w:rPr>
      </w:pPr>
      <w:r>
        <w:rPr>
          <w:rFonts w:hint="eastAsia" w:ascii="仿宋" w:hAnsi="仿宋" w:eastAsia="仿宋" w:cs="仿宋"/>
          <w:color w:val="333333"/>
          <w:highlight w:val="none"/>
          <w:shd w:val="clear" w:color="auto" w:fill="FFFFFF"/>
        </w:rPr>
        <w:t>时间：2022年8月</w:t>
      </w:r>
      <w:r>
        <w:rPr>
          <w:rFonts w:hint="eastAsia" w:ascii="仿宋" w:hAnsi="仿宋" w:eastAsia="仿宋" w:cs="仿宋"/>
          <w:color w:val="333333"/>
          <w:highlight w:val="none"/>
          <w:shd w:val="clear" w:color="auto" w:fill="FFFFFF"/>
          <w:lang w:val="en-US" w:eastAsia="zh-CN"/>
        </w:rPr>
        <w:t>29</w:t>
      </w:r>
      <w:r>
        <w:rPr>
          <w:rFonts w:hint="eastAsia" w:ascii="仿宋" w:hAnsi="仿宋" w:eastAsia="仿宋" w:cs="仿宋"/>
          <w:color w:val="333333"/>
          <w:highlight w:val="none"/>
          <w:shd w:val="clear" w:color="auto" w:fill="FFFFFF"/>
        </w:rPr>
        <w:t>日至2022年</w:t>
      </w:r>
      <w:r>
        <w:rPr>
          <w:rFonts w:hint="eastAsia" w:ascii="仿宋" w:hAnsi="仿宋" w:eastAsia="仿宋" w:cs="仿宋"/>
          <w:color w:val="333333"/>
          <w:highlight w:val="none"/>
          <w:shd w:val="clear" w:color="auto" w:fill="FFFFFF"/>
          <w:lang w:val="en-US" w:eastAsia="zh-CN"/>
        </w:rPr>
        <w:t>9</w:t>
      </w:r>
      <w:r>
        <w:rPr>
          <w:rFonts w:hint="eastAsia" w:ascii="仿宋" w:hAnsi="仿宋" w:eastAsia="仿宋" w:cs="仿宋"/>
          <w:color w:val="333333"/>
          <w:highlight w:val="none"/>
          <w:shd w:val="clear" w:color="auto" w:fill="FFFFFF"/>
        </w:rPr>
        <w:t>月</w:t>
      </w:r>
      <w:r>
        <w:rPr>
          <w:rFonts w:hint="eastAsia" w:ascii="仿宋" w:hAnsi="仿宋" w:eastAsia="仿宋" w:cs="仿宋"/>
          <w:color w:val="333333"/>
          <w:highlight w:val="none"/>
          <w:shd w:val="clear" w:color="auto" w:fill="FFFFFF"/>
          <w:lang w:val="en-US" w:eastAsia="zh-CN"/>
        </w:rPr>
        <w:t>2</w:t>
      </w:r>
      <w:r>
        <w:rPr>
          <w:rFonts w:hint="eastAsia" w:ascii="仿宋" w:hAnsi="仿宋" w:eastAsia="仿宋" w:cs="仿宋"/>
          <w:color w:val="333333"/>
          <w:highlight w:val="none"/>
          <w:shd w:val="clear" w:color="auto" w:fill="FFFFFF"/>
        </w:rPr>
        <w:t>日，每天上午09:00:至12:00:00，下午14:00:00至17:00:00（北京时间,法定节假日除外）</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地点：西安经济技术开发区凤城十一路与文景路十字文景商务广场B座8层</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方式：现场获取</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售价： </w:t>
      </w:r>
      <w:r>
        <w:rPr>
          <w:rFonts w:hint="eastAsia" w:ascii="仿宋" w:hAnsi="仿宋" w:eastAsia="仿宋" w:cs="仿宋"/>
          <w:sz w:val="24"/>
          <w:szCs w:val="24"/>
          <w:highlight w:val="none"/>
          <w:lang w:val="en-US" w:eastAsia="zh-CN"/>
        </w:rPr>
        <w:t>500元</w:t>
      </w:r>
    </w:p>
    <w:p>
      <w:pPr>
        <w:spacing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四、提交投标文件截止时间、开标时间和地点</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截止时间：截止时间：2022年</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29</w:t>
      </w:r>
      <w:r>
        <w:rPr>
          <w:rFonts w:hint="eastAsia" w:ascii="仿宋" w:hAnsi="仿宋" w:eastAsia="仿宋" w:cs="仿宋"/>
          <w:sz w:val="24"/>
          <w:szCs w:val="24"/>
          <w:highlight w:val="none"/>
        </w:rPr>
        <w:t>日09:30:00（北京时间）</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highlight w:val="none"/>
        </w:rPr>
        <w:t>地点：西安经济技术开发区凤城十一路与文景路十字文景商务广场B座8</w:t>
      </w:r>
      <w:r>
        <w:rPr>
          <w:rFonts w:hint="eastAsia" w:ascii="仿宋" w:hAnsi="仿宋" w:eastAsia="仿宋" w:cs="仿宋"/>
          <w:sz w:val="24"/>
          <w:szCs w:val="24"/>
        </w:rPr>
        <w:t>层开标室</w:t>
      </w:r>
    </w:p>
    <w:p>
      <w:pPr>
        <w:spacing w:line="360" w:lineRule="auto"/>
        <w:ind w:firstLine="482" w:firstLineChars="200"/>
        <w:rPr>
          <w:rFonts w:ascii="仿宋" w:hAnsi="仿宋" w:eastAsia="仿宋" w:cs="仿宋"/>
          <w:sz w:val="24"/>
          <w:szCs w:val="24"/>
        </w:rPr>
      </w:pPr>
      <w:r>
        <w:rPr>
          <w:rFonts w:hint="eastAsia" w:ascii="仿宋" w:hAnsi="仿宋" w:eastAsia="仿宋" w:cs="仿宋"/>
          <w:b/>
          <w:bCs/>
          <w:sz w:val="24"/>
          <w:szCs w:val="24"/>
        </w:rPr>
        <w:t>五、公告期限</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自本公告发布之日起5个工作日。</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六、其他补充事宜：</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1、领取招标文件时请携带单位介绍信原件、经办人身份证原件及复印件（以上资料加盖单位鲜章）。</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2、请各供应商获取招标文件后，按照陕西省财政厅《关于政府采购供应商注册登记有关事项的通知》要求，通过陕西省政府采购网注册登记加入陕西省政府采购供应商库。</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3、执行的其他政府采购政策：</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（1）《政府采购促进中小企业发展管理办法》财库〔2020〕46号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（2）《财政部 司法部关于政府采购支持监狱企业发展有关问题的通知》财库[2014]68号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（3）《财政部 发展改革委 生态环境部 市场监管总局关于调整优化节能产品、环境标志产品政府采购执行机制的通知》（财库〔2019〕9号）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（4）《财政部 国家发展改革委关于印发〈节能产品政府采购实施意见〉的通知》（财库[2004]185号）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（5）《财政部环保总局关于环境标志产品政府采购实施的意见》财库[2006]90号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（6）《三部门联合发布关于促进残疾人就业政府采购政策的通知》（财库[2017]141号）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（7）《陕西省中小企业政府采购信用融资办法》（陕财办采〔2018〕23号）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（8）《国务院办公厅关于建立政府强制采购节能产品制度的通知》（国办发〔2007〕51号）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（9）《财政部 国务院扶贫办关于运用政府采购政策支持脱贫攻坚的通知》（财库〔2019〕27号）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4、投标文件中凡是需要法定代表人盖章之处，非法人单位的负责人均参照执行。</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5、分支机构参与投标时，投标文件中应附法人出具的授权书。法人只能授权一家分支机构参与投标，且不能与分支机构同时参与投标。分支机构须提供自己的资格要求证明文件。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供应商如不参与项目投标，需在递交文件截止时间前一日以书面形式告知项目联系人（邮箱号：2059407584@qq.com),否则采购代理机构将向财政局反映，供应商一年内累计出现三次该情形，将被监管部门记录为失信被执行人。</w:t>
      </w:r>
    </w:p>
    <w:p>
      <w:pPr>
        <w:spacing w:line="360" w:lineRule="auto"/>
        <w:ind w:firstLine="241" w:firstLineChars="100"/>
        <w:rPr>
          <w:rFonts w:ascii="仿宋" w:hAnsi="仿宋" w:eastAsia="仿宋" w:cs="仿宋"/>
          <w:sz w:val="24"/>
          <w:szCs w:val="24"/>
        </w:rPr>
      </w:pPr>
      <w:r>
        <w:rPr>
          <w:rFonts w:hint="eastAsia" w:ascii="仿宋" w:hAnsi="仿宋" w:eastAsia="仿宋" w:cs="仿宋"/>
          <w:b/>
          <w:bCs/>
          <w:sz w:val="24"/>
          <w:szCs w:val="24"/>
        </w:rPr>
        <w:t>七、对本次采购提出询问，请按以下方式联系</w:t>
      </w:r>
      <w:r>
        <w:rPr>
          <w:rFonts w:hint="eastAsia" w:ascii="仿宋" w:hAnsi="仿宋" w:eastAsia="仿宋" w:cs="仿宋"/>
          <w:sz w:val="24"/>
          <w:szCs w:val="24"/>
        </w:rPr>
        <w:t>。</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1、采购人名称：陕西中医药大学附属医院</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地址：咸阳市渭阳西路副2号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shd w:val="clear" w:color="auto" w:fill="FFFFFF"/>
        </w:rPr>
        <w:t>马老师</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联系电话：</w:t>
      </w:r>
      <w:r>
        <w:rPr>
          <w:rFonts w:hint="eastAsia" w:ascii="仿宋" w:hAnsi="仿宋" w:eastAsia="仿宋" w:cs="仿宋"/>
          <w:sz w:val="24"/>
          <w:szCs w:val="24"/>
          <w:shd w:val="clear" w:color="auto" w:fill="FFFFFF"/>
        </w:rPr>
        <w:t>029-33320910</w:t>
      </w:r>
    </w:p>
    <w:p>
      <w:pPr>
        <w:spacing w:line="360" w:lineRule="auto"/>
        <w:ind w:firstLine="480" w:firstLineChars="200"/>
        <w:rPr>
          <w:rFonts w:ascii="仿宋" w:hAnsi="仿宋" w:eastAsia="仿宋" w:cs="仿宋"/>
        </w:rPr>
      </w:pPr>
      <w:r>
        <w:rPr>
          <w:rFonts w:hint="eastAsia" w:ascii="仿宋" w:hAnsi="仿宋" w:eastAsia="仿宋" w:cs="仿宋"/>
          <w:sz w:val="24"/>
          <w:szCs w:val="24"/>
        </w:rPr>
        <w:t>2、釆购代理机构信息</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名称：陕西笃信招标有限公司</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地址：西安经济技术开发区凤城十一路与文景路十字文景商务广场B座8层</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联系方式：029-86253389</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3、项目联系方式</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项目联系人：李纪旋、张亚娜</w:t>
      </w:r>
    </w:p>
    <w:p>
      <w:pPr>
        <w:spacing w:line="360" w:lineRule="auto"/>
        <w:ind w:firstLine="480" w:firstLineChars="200"/>
        <w:rPr>
          <w:rFonts w:ascii="仿宋" w:hAnsi="仿宋" w:eastAsia="仿宋" w:cs="仿宋"/>
          <w:sz w:val="24"/>
          <w:szCs w:val="24"/>
          <w:lang w:val="zh-CN"/>
        </w:rPr>
        <w:sectPr>
          <w:headerReference r:id="rId3" w:type="default"/>
          <w:footerReference r:id="rId4" w:type="default"/>
          <w:pgSz w:w="11906" w:h="16838"/>
          <w:pgMar w:top="1440" w:right="1803" w:bottom="1440" w:left="1803" w:header="851" w:footer="992" w:gutter="0"/>
          <w:cols w:space="0" w:num="1"/>
          <w:rtlGutter w:val="0"/>
          <w:docGrid w:type="lines" w:linePitch="312" w:charSpace="0"/>
        </w:sectPr>
      </w:pPr>
      <w:r>
        <w:rPr>
          <w:rFonts w:hint="eastAsia" w:ascii="仿宋" w:hAnsi="仿宋" w:eastAsia="仿宋" w:cs="仿宋"/>
          <w:sz w:val="24"/>
          <w:szCs w:val="24"/>
        </w:rPr>
        <w:t>电话：029-86253389</w:t>
      </w:r>
    </w:p>
    <w:p>
      <w:pPr>
        <w:pStyle w:val="3"/>
        <w:spacing w:line="360" w:lineRule="auto"/>
        <w:rPr>
          <w:rFonts w:ascii="仿宋" w:hAnsi="仿宋" w:eastAsia="仿宋" w:cs="仿宋"/>
          <w:szCs w:val="44"/>
          <w:lang w:val="zh-CN"/>
        </w:rPr>
      </w:pPr>
      <w:bookmarkStart w:id="20" w:name="_Toc15866"/>
      <w:r>
        <w:rPr>
          <w:rFonts w:hint="eastAsia" w:ascii="仿宋" w:hAnsi="仿宋" w:eastAsia="仿宋" w:cs="仿宋"/>
          <w:sz w:val="32"/>
          <w:szCs w:val="32"/>
          <w:lang w:val="zh-CN"/>
        </w:rPr>
        <w:t>第二部分供应商须知</w:t>
      </w:r>
      <w:bookmarkEnd w:id="11"/>
      <w:bookmarkEnd w:id="12"/>
      <w:bookmarkEnd w:id="13"/>
      <w:bookmarkEnd w:id="14"/>
      <w:bookmarkEnd w:id="15"/>
      <w:bookmarkEnd w:id="16"/>
      <w:bookmarkEnd w:id="17"/>
      <w:bookmarkEnd w:id="18"/>
      <w:bookmarkEnd w:id="20"/>
    </w:p>
    <w:p>
      <w:pPr>
        <w:jc w:val="center"/>
        <w:rPr>
          <w:rFonts w:ascii="仿宋" w:hAnsi="仿宋" w:eastAsia="仿宋" w:cs="仿宋"/>
          <w:b/>
          <w:bCs/>
          <w:sz w:val="36"/>
          <w:szCs w:val="36"/>
          <w:lang w:val="zh-CN"/>
        </w:rPr>
      </w:pPr>
      <w:bookmarkStart w:id="21" w:name="_Toc11232"/>
      <w:r>
        <w:rPr>
          <w:rFonts w:hint="eastAsia" w:ascii="仿宋" w:hAnsi="仿宋" w:eastAsia="仿宋" w:cs="仿宋"/>
          <w:b/>
          <w:bCs/>
          <w:sz w:val="32"/>
          <w:szCs w:val="32"/>
          <w:lang w:val="zh-CN"/>
        </w:rPr>
        <w:t>供应商须知前附表</w:t>
      </w:r>
      <w:bookmarkEnd w:id="21"/>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957"/>
        <w:gridCol w:w="5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04" w:type="dxa"/>
            <w:noWrap/>
            <w:vAlign w:val="center"/>
          </w:tcPr>
          <w:p>
            <w:pPr>
              <w:spacing w:line="360" w:lineRule="auto"/>
              <w:jc w:val="center"/>
              <w:rPr>
                <w:rFonts w:ascii="仿宋" w:hAnsi="仿宋" w:eastAsia="仿宋" w:cs="仿宋"/>
                <w:sz w:val="24"/>
                <w:szCs w:val="24"/>
              </w:rPr>
            </w:pPr>
            <w:bookmarkStart w:id="22" w:name="_Toc26858"/>
            <w:bookmarkStart w:id="23" w:name="_Toc8779"/>
            <w:r>
              <w:rPr>
                <w:rFonts w:hint="eastAsia" w:ascii="仿宋" w:hAnsi="仿宋" w:eastAsia="仿宋" w:cs="仿宋"/>
                <w:sz w:val="24"/>
                <w:szCs w:val="24"/>
              </w:rPr>
              <w:t>条款</w:t>
            </w:r>
          </w:p>
        </w:tc>
        <w:tc>
          <w:tcPr>
            <w:tcW w:w="1957"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条款名称</w:t>
            </w:r>
          </w:p>
        </w:tc>
        <w:tc>
          <w:tcPr>
            <w:tcW w:w="550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804"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1957"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采购人</w:t>
            </w:r>
          </w:p>
        </w:tc>
        <w:tc>
          <w:tcPr>
            <w:tcW w:w="5505" w:type="dxa"/>
            <w:noWrap/>
            <w:vAlign w:val="center"/>
          </w:tcPr>
          <w:p>
            <w:pPr>
              <w:pStyle w:val="23"/>
              <w:spacing w:before="0" w:beforeAutospacing="0" w:after="0" w:afterAutospacing="0" w:line="360" w:lineRule="auto"/>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名称：陕西中医药大学附属医院</w:t>
            </w:r>
          </w:p>
          <w:p>
            <w:pPr>
              <w:spacing w:line="360" w:lineRule="auto"/>
              <w:rPr>
                <w:rFonts w:ascii="仿宋" w:hAnsi="仿宋" w:eastAsia="仿宋" w:cs="仿宋"/>
                <w:sz w:val="24"/>
                <w:szCs w:val="24"/>
              </w:rPr>
            </w:pPr>
            <w:r>
              <w:rPr>
                <w:rFonts w:hint="eastAsia" w:ascii="仿宋" w:hAnsi="仿宋" w:eastAsia="仿宋" w:cs="仿宋"/>
                <w:sz w:val="24"/>
                <w:szCs w:val="24"/>
                <w:shd w:val="clear" w:color="auto" w:fill="FFFFFF"/>
              </w:rPr>
              <w:t>地址：陕西省咸阳市渭阳西路副2号</w:t>
            </w:r>
          </w:p>
          <w:p>
            <w:pPr>
              <w:spacing w:line="360" w:lineRule="auto"/>
              <w:rPr>
                <w:rFonts w:ascii="仿宋" w:hAnsi="仿宋" w:eastAsia="仿宋" w:cs="仿宋"/>
                <w:sz w:val="24"/>
                <w:szCs w:val="24"/>
              </w:rPr>
            </w:pPr>
            <w:r>
              <w:rPr>
                <w:rFonts w:hint="eastAsia" w:ascii="仿宋" w:hAnsi="仿宋" w:eastAsia="仿宋" w:cs="仿宋"/>
                <w:sz w:val="24"/>
                <w:szCs w:val="24"/>
              </w:rPr>
              <w:t>联系人：马老师</w:t>
            </w:r>
          </w:p>
          <w:p>
            <w:pPr>
              <w:spacing w:line="360" w:lineRule="auto"/>
              <w:jc w:val="left"/>
              <w:rPr>
                <w:rFonts w:ascii="仿宋" w:hAnsi="仿宋" w:eastAsia="仿宋" w:cs="仿宋"/>
                <w:sz w:val="24"/>
                <w:szCs w:val="24"/>
              </w:rPr>
            </w:pPr>
            <w:r>
              <w:rPr>
                <w:rFonts w:hint="eastAsia" w:ascii="仿宋" w:hAnsi="仿宋" w:eastAsia="仿宋" w:cs="仿宋"/>
                <w:sz w:val="24"/>
                <w:szCs w:val="24"/>
              </w:rPr>
              <w:t>联系电话：029-33320910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804"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2</w:t>
            </w:r>
          </w:p>
        </w:tc>
        <w:tc>
          <w:tcPr>
            <w:tcW w:w="1957"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采购代理机构</w:t>
            </w:r>
          </w:p>
        </w:tc>
        <w:tc>
          <w:tcPr>
            <w:tcW w:w="5505" w:type="dxa"/>
            <w:noWrap/>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名称：陕西笃信招标有限公司</w:t>
            </w:r>
          </w:p>
          <w:p>
            <w:pPr>
              <w:spacing w:line="360" w:lineRule="auto"/>
              <w:jc w:val="left"/>
              <w:rPr>
                <w:rFonts w:ascii="仿宋" w:hAnsi="仿宋" w:eastAsia="仿宋" w:cs="仿宋"/>
                <w:sz w:val="24"/>
                <w:szCs w:val="24"/>
              </w:rPr>
            </w:pPr>
            <w:r>
              <w:rPr>
                <w:rFonts w:hint="eastAsia" w:ascii="仿宋" w:hAnsi="仿宋" w:eastAsia="仿宋" w:cs="仿宋"/>
                <w:sz w:val="24"/>
                <w:szCs w:val="24"/>
              </w:rPr>
              <w:t>地址：西安经济技术开发区凤城十一路与文景路十字文景商务广场B座8层</w:t>
            </w:r>
          </w:p>
          <w:p>
            <w:pPr>
              <w:spacing w:line="360" w:lineRule="auto"/>
              <w:jc w:val="left"/>
              <w:rPr>
                <w:rFonts w:ascii="仿宋" w:hAnsi="仿宋" w:eastAsia="仿宋" w:cs="仿宋"/>
                <w:sz w:val="24"/>
                <w:szCs w:val="24"/>
              </w:rPr>
            </w:pPr>
            <w:r>
              <w:rPr>
                <w:rFonts w:hint="eastAsia" w:ascii="仿宋" w:hAnsi="仿宋" w:eastAsia="仿宋" w:cs="仿宋"/>
                <w:sz w:val="24"/>
                <w:szCs w:val="24"/>
              </w:rPr>
              <w:t>联系人：李纪旋、张亚娜</w:t>
            </w:r>
          </w:p>
          <w:p>
            <w:pPr>
              <w:spacing w:line="360" w:lineRule="auto"/>
              <w:jc w:val="left"/>
              <w:rPr>
                <w:rFonts w:ascii="仿宋" w:hAnsi="仿宋" w:eastAsia="仿宋" w:cs="仿宋"/>
                <w:sz w:val="24"/>
                <w:szCs w:val="24"/>
              </w:rPr>
            </w:pPr>
            <w:r>
              <w:rPr>
                <w:rFonts w:hint="eastAsia" w:ascii="仿宋" w:hAnsi="仿宋" w:eastAsia="仿宋" w:cs="仿宋"/>
                <w:sz w:val="24"/>
                <w:szCs w:val="24"/>
              </w:rPr>
              <w:t>联系电话：029-86253389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04"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1957"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项目名称</w:t>
            </w:r>
          </w:p>
        </w:tc>
        <w:tc>
          <w:tcPr>
            <w:tcW w:w="5505" w:type="dxa"/>
            <w:noWrap/>
            <w:vAlign w:val="center"/>
          </w:tcPr>
          <w:p>
            <w:pPr>
              <w:spacing w:line="360" w:lineRule="auto"/>
              <w:rPr>
                <w:rFonts w:ascii="仿宋" w:hAnsi="仿宋" w:eastAsia="仿宋" w:cs="仿宋"/>
                <w:sz w:val="24"/>
                <w:szCs w:val="24"/>
              </w:rPr>
            </w:pPr>
            <w:r>
              <w:rPr>
                <w:rFonts w:hint="eastAsia" w:ascii="仿宋" w:hAnsi="仿宋" w:eastAsia="仿宋" w:cs="仿宋"/>
                <w:bCs/>
                <w:sz w:val="24"/>
                <w:szCs w:val="24"/>
                <w:shd w:val="clear" w:color="auto" w:fill="FFFFFF"/>
              </w:rPr>
              <w:t>陕西中医药大学附属医院</w:t>
            </w:r>
            <w:r>
              <w:rPr>
                <w:rFonts w:hint="eastAsia" w:ascii="仿宋" w:hAnsi="仿宋" w:eastAsia="仿宋" w:cs="仿宋"/>
                <w:sz w:val="24"/>
                <w:szCs w:val="24"/>
              </w:rPr>
              <w:t>集成平台与数据中心建设项目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04"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1957" w:type="dxa"/>
            <w:noWrap/>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招标文件发售时间</w:t>
            </w:r>
          </w:p>
        </w:tc>
        <w:tc>
          <w:tcPr>
            <w:tcW w:w="5505" w:type="dxa"/>
            <w:noWrap/>
            <w:vAlign w:val="center"/>
          </w:tcPr>
          <w:p>
            <w:pPr>
              <w:spacing w:line="360" w:lineRule="auto"/>
              <w:jc w:val="left"/>
              <w:rPr>
                <w:rFonts w:ascii="仿宋" w:hAnsi="仿宋" w:eastAsia="仿宋" w:cs="仿宋"/>
                <w:color w:val="C00000"/>
                <w:sz w:val="24"/>
                <w:szCs w:val="24"/>
                <w:highlight w:val="none"/>
              </w:rPr>
            </w:pPr>
            <w:r>
              <w:rPr>
                <w:rFonts w:hint="eastAsia" w:ascii="仿宋" w:hAnsi="仿宋" w:eastAsia="仿宋" w:cs="仿宋"/>
                <w:sz w:val="24"/>
                <w:szCs w:val="24"/>
                <w:highlight w:val="none"/>
              </w:rPr>
              <w:t>2022年8月</w:t>
            </w:r>
            <w:r>
              <w:rPr>
                <w:rFonts w:hint="eastAsia" w:ascii="仿宋" w:hAnsi="仿宋" w:eastAsia="仿宋" w:cs="仿宋"/>
                <w:sz w:val="24"/>
                <w:szCs w:val="24"/>
                <w:highlight w:val="none"/>
                <w:lang w:val="en-US" w:eastAsia="zh-CN"/>
              </w:rPr>
              <w:t>29</w:t>
            </w:r>
            <w:r>
              <w:rPr>
                <w:rFonts w:hint="eastAsia" w:ascii="仿宋" w:hAnsi="仿宋" w:eastAsia="仿宋" w:cs="仿宋"/>
                <w:sz w:val="24"/>
                <w:szCs w:val="24"/>
                <w:highlight w:val="none"/>
              </w:rPr>
              <w:t>日至2022年</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日（工作时间：09:00-12:00、14:00-17:00，节假日除外）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04"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5</w:t>
            </w:r>
          </w:p>
        </w:tc>
        <w:tc>
          <w:tcPr>
            <w:tcW w:w="1957"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资金来源</w:t>
            </w:r>
          </w:p>
        </w:tc>
        <w:tc>
          <w:tcPr>
            <w:tcW w:w="5505" w:type="dxa"/>
            <w:noWrap/>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财政性资金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04"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6</w:t>
            </w:r>
          </w:p>
        </w:tc>
        <w:tc>
          <w:tcPr>
            <w:tcW w:w="1957"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采购预算</w:t>
            </w:r>
          </w:p>
        </w:tc>
        <w:tc>
          <w:tcPr>
            <w:tcW w:w="5505" w:type="dxa"/>
            <w:noWrap/>
            <w:vAlign w:val="center"/>
          </w:tcPr>
          <w:p>
            <w:pPr>
              <w:spacing w:line="360" w:lineRule="auto"/>
              <w:jc w:val="left"/>
              <w:rPr>
                <w:rFonts w:ascii="仿宋" w:hAnsi="仿宋" w:eastAsia="仿宋" w:cs="仿宋"/>
              </w:rPr>
            </w:pPr>
            <w:r>
              <w:rPr>
                <w:rFonts w:hint="eastAsia" w:ascii="仿宋" w:hAnsi="仿宋" w:eastAsia="仿宋" w:cs="仿宋"/>
                <w:sz w:val="24"/>
                <w:szCs w:val="24"/>
              </w:rPr>
              <w:t>人民币11000000.00元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04"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7</w:t>
            </w:r>
          </w:p>
        </w:tc>
        <w:tc>
          <w:tcPr>
            <w:tcW w:w="1957" w:type="dxa"/>
            <w:noWrap/>
            <w:vAlign w:val="center"/>
          </w:tcPr>
          <w:p>
            <w:pPr>
              <w:spacing w:line="360" w:lineRule="auto"/>
              <w:jc w:val="center"/>
              <w:rPr>
                <w:rFonts w:ascii="仿宋" w:hAnsi="仿宋" w:eastAsia="仿宋" w:cs="仿宋"/>
                <w:sz w:val="24"/>
                <w:szCs w:val="24"/>
                <w:highlight w:val="none"/>
              </w:rPr>
            </w:pPr>
            <w:r>
              <w:rPr>
                <w:rFonts w:hint="eastAsia"/>
                <w:highlight w:val="none"/>
              </w:rPr>
              <w:t>实施周期</w:t>
            </w:r>
          </w:p>
        </w:tc>
        <w:tc>
          <w:tcPr>
            <w:tcW w:w="5505" w:type="dxa"/>
            <w:noWrap/>
            <w:vAlign w:val="center"/>
          </w:tcPr>
          <w:p>
            <w:pPr>
              <w:snapToGrid w:val="0"/>
              <w:spacing w:line="360" w:lineRule="auto"/>
              <w:jc w:val="left"/>
              <w:rPr>
                <w:rFonts w:ascii="仿宋" w:hAnsi="仿宋" w:eastAsia="仿宋" w:cs="仿宋"/>
                <w:sz w:val="24"/>
                <w:szCs w:val="24"/>
                <w:highlight w:val="none"/>
              </w:rPr>
            </w:pPr>
            <w:r>
              <w:rPr>
                <w:rFonts w:hint="eastAsia" w:ascii="仿宋" w:hAnsi="仿宋" w:eastAsia="仿宋" w:cs="仿宋"/>
                <w:bCs/>
                <w:sz w:val="24"/>
                <w:szCs w:val="24"/>
                <w:highlight w:val="none"/>
                <w:shd w:val="clear" w:color="auto" w:fill="FFFFFF"/>
              </w:rPr>
              <w:t>合同签订后10个月内完成整体项目建设。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04"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8</w:t>
            </w:r>
          </w:p>
        </w:tc>
        <w:tc>
          <w:tcPr>
            <w:tcW w:w="1957" w:type="dxa"/>
            <w:noWrap/>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质保期</w:t>
            </w:r>
          </w:p>
        </w:tc>
        <w:tc>
          <w:tcPr>
            <w:tcW w:w="5505" w:type="dxa"/>
            <w:noWrap/>
            <w:vAlign w:val="center"/>
          </w:tcPr>
          <w:p>
            <w:pPr>
              <w:snapToGrid w:val="0"/>
              <w:spacing w:line="360" w:lineRule="auto"/>
              <w:jc w:val="left"/>
              <w:rPr>
                <w:rFonts w:ascii="仿宋" w:hAnsi="仿宋" w:eastAsia="仿宋" w:cs="仿宋"/>
                <w:bCs/>
                <w:sz w:val="24"/>
                <w:szCs w:val="24"/>
                <w:highlight w:val="none"/>
                <w:shd w:val="clear" w:color="auto" w:fill="FFFFFF"/>
              </w:rPr>
            </w:pPr>
            <w:r>
              <w:rPr>
                <w:rFonts w:hint="eastAsia" w:ascii="仿宋" w:hAnsi="仿宋" w:eastAsia="仿宋" w:cs="仿宋"/>
                <w:color w:val="000000"/>
                <w:sz w:val="24"/>
                <w:szCs w:val="24"/>
                <w:highlight w:val="none"/>
              </w:rPr>
              <w:t>质保期3年（自验收合格之日起算）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04"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9</w:t>
            </w:r>
          </w:p>
        </w:tc>
        <w:tc>
          <w:tcPr>
            <w:tcW w:w="1957"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项目实施地点</w:t>
            </w:r>
          </w:p>
        </w:tc>
        <w:tc>
          <w:tcPr>
            <w:tcW w:w="5505" w:type="dxa"/>
            <w:noWrap/>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按照甲方要求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04"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10</w:t>
            </w:r>
          </w:p>
        </w:tc>
        <w:tc>
          <w:tcPr>
            <w:tcW w:w="1957" w:type="dxa"/>
            <w:noWrap/>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投标文件递交</w:t>
            </w:r>
          </w:p>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截止时间</w:t>
            </w:r>
          </w:p>
        </w:tc>
        <w:tc>
          <w:tcPr>
            <w:tcW w:w="5505" w:type="dxa"/>
            <w:noWrap/>
            <w:vAlign w:val="center"/>
          </w:tcPr>
          <w:p>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2022年</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29</w:t>
            </w:r>
            <w:r>
              <w:rPr>
                <w:rFonts w:hint="eastAsia" w:ascii="仿宋" w:hAnsi="仿宋" w:eastAsia="仿宋" w:cs="仿宋"/>
                <w:sz w:val="24"/>
                <w:szCs w:val="24"/>
                <w:highlight w:val="none"/>
              </w:rPr>
              <w:t>日09:30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04"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11</w:t>
            </w:r>
          </w:p>
        </w:tc>
        <w:tc>
          <w:tcPr>
            <w:tcW w:w="1957"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递交投标文件地点</w:t>
            </w:r>
          </w:p>
        </w:tc>
        <w:tc>
          <w:tcPr>
            <w:tcW w:w="5505" w:type="dxa"/>
            <w:noWrap/>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西安经济技术开发区凤城十一路与文景路十字文景商务广场B座8层开标室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04"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12</w:t>
            </w:r>
          </w:p>
        </w:tc>
        <w:tc>
          <w:tcPr>
            <w:tcW w:w="1957"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供应商资格要求</w:t>
            </w:r>
          </w:p>
        </w:tc>
        <w:tc>
          <w:tcPr>
            <w:tcW w:w="5505" w:type="dxa"/>
            <w:noWrap/>
            <w:vAlign w:val="center"/>
          </w:tcPr>
          <w:p>
            <w:pPr>
              <w:snapToGrid w:val="0"/>
              <w:spacing w:line="360" w:lineRule="auto"/>
              <w:rPr>
                <w:rFonts w:ascii="仿宋" w:hAnsi="仿宋" w:eastAsia="仿宋" w:cs="仿宋"/>
                <w:b/>
                <w:sz w:val="24"/>
                <w:szCs w:val="24"/>
              </w:rPr>
            </w:pPr>
            <w:r>
              <w:rPr>
                <w:rFonts w:hint="eastAsia" w:ascii="仿宋" w:hAnsi="仿宋" w:eastAsia="仿宋" w:cs="仿宋"/>
                <w:b/>
                <w:sz w:val="24"/>
                <w:szCs w:val="24"/>
              </w:rPr>
              <w:t>资质要求同招标公告。</w:t>
            </w:r>
          </w:p>
          <w:p>
            <w:pPr>
              <w:spacing w:line="360" w:lineRule="auto"/>
              <w:jc w:val="left"/>
              <w:rPr>
                <w:rFonts w:ascii="仿宋" w:hAnsi="仿宋" w:eastAsia="仿宋" w:cs="仿宋"/>
                <w:sz w:val="24"/>
                <w:szCs w:val="24"/>
              </w:rPr>
            </w:pPr>
            <w:r>
              <w:rPr>
                <w:rFonts w:hint="eastAsia" w:ascii="仿宋" w:hAnsi="仿宋" w:eastAsia="仿宋" w:cs="仿宋"/>
                <w:bCs/>
                <w:sz w:val="24"/>
                <w:szCs w:val="24"/>
              </w:rPr>
              <w:t>必备资质中</w:t>
            </w:r>
            <w:r>
              <w:rPr>
                <w:rFonts w:hint="eastAsia" w:ascii="仿宋" w:hAnsi="仿宋" w:eastAsia="仿宋" w:cs="仿宋"/>
                <w:bCs/>
                <w:sz w:val="24"/>
                <w:szCs w:val="24"/>
                <w:lang w:val="zh-CN"/>
              </w:rPr>
              <w:t>缺一项或某项达不到要求，按无效文件处理。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04"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13</w:t>
            </w:r>
          </w:p>
        </w:tc>
        <w:tc>
          <w:tcPr>
            <w:tcW w:w="1957"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投标保证金</w:t>
            </w:r>
          </w:p>
        </w:tc>
        <w:tc>
          <w:tcPr>
            <w:tcW w:w="5505" w:type="dxa"/>
            <w:noWrap/>
            <w:vAlign w:val="center"/>
          </w:tcPr>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在投标截止前到账。</w:t>
            </w:r>
          </w:p>
          <w:p>
            <w:pPr>
              <w:spacing w:line="360" w:lineRule="auto"/>
              <w:rPr>
                <w:rFonts w:eastAsia="仿宋"/>
              </w:rPr>
            </w:pPr>
            <w:r>
              <w:rPr>
                <w:rFonts w:hint="eastAsia" w:ascii="仿宋" w:hAnsi="仿宋" w:eastAsia="仿宋" w:cs="仿宋"/>
                <w:sz w:val="24"/>
                <w:szCs w:val="24"/>
              </w:rPr>
              <w:t>投标保证金的金额：人民币壹拾万元整（</w:t>
            </w:r>
            <w:r>
              <w:rPr>
                <w:rFonts w:hint="eastAsia" w:ascii="宋体" w:hAnsi="宋体" w:cs="宋体"/>
                <w:sz w:val="24"/>
                <w:szCs w:val="24"/>
              </w:rPr>
              <w:t>￥10</w:t>
            </w:r>
            <w:r>
              <w:rPr>
                <w:rFonts w:hint="eastAsia" w:ascii="仿宋" w:hAnsi="仿宋" w:eastAsia="仿宋" w:cs="仿宋"/>
                <w:sz w:val="24"/>
                <w:szCs w:val="24"/>
              </w:rPr>
              <w:t>0000.00元）</w:t>
            </w:r>
          </w:p>
          <w:p>
            <w:pPr>
              <w:spacing w:line="360" w:lineRule="auto"/>
              <w:jc w:val="left"/>
              <w:rPr>
                <w:rFonts w:ascii="仿宋" w:hAnsi="仿宋" w:eastAsia="仿宋" w:cs="仿宋"/>
                <w:sz w:val="24"/>
                <w:szCs w:val="24"/>
              </w:rPr>
            </w:pPr>
            <w:r>
              <w:rPr>
                <w:rFonts w:hint="eastAsia" w:ascii="仿宋" w:hAnsi="仿宋" w:eastAsia="仿宋" w:cs="仿宋"/>
                <w:sz w:val="24"/>
                <w:szCs w:val="24"/>
              </w:rPr>
              <w:t>开户名称：</w:t>
            </w:r>
            <w:r>
              <w:rPr>
                <w:rFonts w:hint="eastAsia" w:ascii="仿宋" w:hAnsi="仿宋" w:eastAsia="仿宋" w:cs="仿宋"/>
                <w:kern w:val="0"/>
                <w:sz w:val="24"/>
                <w:szCs w:val="24"/>
              </w:rPr>
              <w:t>陕西笃信招标有限公司</w:t>
            </w:r>
          </w:p>
          <w:p>
            <w:pPr>
              <w:spacing w:line="360" w:lineRule="auto"/>
              <w:jc w:val="left"/>
              <w:rPr>
                <w:rFonts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kern w:val="0"/>
                <w:sz w:val="24"/>
                <w:szCs w:val="24"/>
              </w:rPr>
              <w:t>中国建设银行股份有限公司西安劳动北路支行</w:t>
            </w:r>
          </w:p>
          <w:p>
            <w:pPr>
              <w:tabs>
                <w:tab w:val="left" w:pos="9030"/>
              </w:tabs>
              <w:snapToGrid w:val="0"/>
              <w:spacing w:line="360" w:lineRule="auto"/>
              <w:ind w:right="-65"/>
              <w:rPr>
                <w:rFonts w:ascii="仿宋" w:hAnsi="仿宋" w:eastAsia="仿宋" w:cs="仿宋"/>
                <w:sz w:val="24"/>
                <w:szCs w:val="24"/>
              </w:rPr>
            </w:pPr>
            <w:r>
              <w:rPr>
                <w:rFonts w:hint="eastAsia" w:ascii="仿宋" w:hAnsi="仿宋" w:eastAsia="仿宋" w:cs="仿宋"/>
                <w:sz w:val="24"/>
                <w:szCs w:val="24"/>
              </w:rPr>
              <w:t>账 号：</w:t>
            </w:r>
            <w:r>
              <w:rPr>
                <w:rFonts w:hint="eastAsia" w:ascii="仿宋" w:hAnsi="仿宋" w:eastAsia="仿宋" w:cs="仿宋"/>
                <w:kern w:val="0"/>
                <w:sz w:val="24"/>
                <w:szCs w:val="24"/>
              </w:rPr>
              <w:t>61050174390000000193</w:t>
            </w:r>
          </w:p>
          <w:p>
            <w:pPr>
              <w:spacing w:line="360" w:lineRule="auto"/>
              <w:jc w:val="left"/>
              <w:rPr>
                <w:rFonts w:ascii="仿宋" w:hAnsi="仿宋" w:eastAsia="仿宋" w:cs="仿宋"/>
                <w:bCs/>
                <w:sz w:val="24"/>
                <w:szCs w:val="24"/>
              </w:rPr>
            </w:pPr>
            <w:r>
              <w:rPr>
                <w:rFonts w:hint="eastAsia" w:ascii="仿宋" w:hAnsi="仿宋" w:eastAsia="仿宋" w:cs="仿宋"/>
                <w:sz w:val="24"/>
                <w:szCs w:val="24"/>
              </w:rPr>
              <w:t>投标保证金缴纳后将投标保证金缴纳凭证附在响应文件中。投标保证金缴纳凭证作为投标保证金缴纳的唯一证据，否则投标按无效响应处理。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804"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14</w:t>
            </w:r>
          </w:p>
        </w:tc>
        <w:tc>
          <w:tcPr>
            <w:tcW w:w="1957"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投标文件份数</w:t>
            </w:r>
          </w:p>
        </w:tc>
        <w:tc>
          <w:tcPr>
            <w:tcW w:w="5505" w:type="dxa"/>
            <w:noWrap/>
            <w:vAlign w:val="center"/>
          </w:tcPr>
          <w:p>
            <w:pPr>
              <w:spacing w:line="360" w:lineRule="auto"/>
              <w:jc w:val="left"/>
              <w:rPr>
                <w:rFonts w:ascii="仿宋" w:hAnsi="仿宋" w:eastAsia="仿宋" w:cs="仿宋"/>
                <w:bCs/>
                <w:sz w:val="24"/>
                <w:szCs w:val="24"/>
              </w:rPr>
            </w:pPr>
            <w:r>
              <w:rPr>
                <w:rFonts w:hint="eastAsia" w:ascii="仿宋" w:hAnsi="仿宋" w:eastAsia="仿宋" w:cs="仿宋"/>
                <w:bCs/>
                <w:sz w:val="24"/>
                <w:szCs w:val="24"/>
              </w:rPr>
              <w:t>正本1份，副本3份，电子版1份（PDF和word文档格式，正版U盘存储，如因U盘问题导致文件无法打开，责任自负）</w:t>
            </w:r>
          </w:p>
          <w:p>
            <w:pPr>
              <w:spacing w:line="360" w:lineRule="auto"/>
              <w:jc w:val="left"/>
              <w:rPr>
                <w:rFonts w:ascii="仿宋" w:hAnsi="仿宋" w:eastAsia="仿宋" w:cs="仿宋"/>
                <w:bCs/>
                <w:sz w:val="24"/>
                <w:szCs w:val="24"/>
              </w:rPr>
            </w:pPr>
            <w:r>
              <w:rPr>
                <w:rFonts w:hint="eastAsia" w:ascii="仿宋" w:hAnsi="仿宋" w:eastAsia="仿宋" w:cs="仿宋"/>
                <w:bCs/>
                <w:sz w:val="24"/>
                <w:szCs w:val="24"/>
              </w:rPr>
              <w:t>注：</w:t>
            </w:r>
          </w:p>
          <w:p>
            <w:pPr>
              <w:spacing w:line="360" w:lineRule="auto"/>
              <w:jc w:val="left"/>
              <w:rPr>
                <w:rFonts w:ascii="仿宋" w:hAnsi="仿宋" w:eastAsia="仿宋" w:cs="仿宋"/>
                <w:bCs/>
                <w:sz w:val="24"/>
                <w:szCs w:val="24"/>
              </w:rPr>
            </w:pPr>
            <w:r>
              <w:rPr>
                <w:rFonts w:hint="eastAsia" w:ascii="仿宋" w:hAnsi="仿宋" w:eastAsia="仿宋" w:cs="仿宋"/>
                <w:bCs/>
                <w:sz w:val="24"/>
                <w:szCs w:val="24"/>
              </w:rPr>
              <w:t>1.招标文件中“第五部分四、供应商资格证明文件”单独胶装成册1本，与投标文件正本一同密封。</w:t>
            </w:r>
          </w:p>
          <w:p>
            <w:pPr>
              <w:spacing w:line="360" w:lineRule="auto"/>
              <w:jc w:val="left"/>
              <w:rPr>
                <w:rFonts w:ascii="仿宋" w:hAnsi="仿宋" w:eastAsia="仿宋" w:cs="仿宋"/>
                <w:bCs/>
                <w:sz w:val="24"/>
                <w:szCs w:val="24"/>
              </w:rPr>
            </w:pPr>
            <w:r>
              <w:rPr>
                <w:rFonts w:hint="eastAsia" w:ascii="仿宋" w:hAnsi="仿宋" w:eastAsia="仿宋" w:cs="仿宋"/>
                <w:bCs/>
                <w:sz w:val="24"/>
                <w:szCs w:val="24"/>
              </w:rPr>
              <w:t>2.单独胶装的供应商资格证明文件与投标文件正本中资格不一致时，以投标文件正本为准。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7" w:hRule="atLeast"/>
          <w:jc w:val="center"/>
        </w:trPr>
        <w:tc>
          <w:tcPr>
            <w:tcW w:w="804"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15</w:t>
            </w:r>
          </w:p>
        </w:tc>
        <w:tc>
          <w:tcPr>
            <w:tcW w:w="1957"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供应商对招标文件提出质疑的截止时间</w:t>
            </w:r>
          </w:p>
        </w:tc>
        <w:tc>
          <w:tcPr>
            <w:tcW w:w="5505" w:type="dxa"/>
            <w:noWrap/>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lang w:val="zh-CN"/>
              </w:rPr>
              <w:t>供应商在招标文件、开标过程、中标结果使自己的权益受到损害的</w:t>
            </w:r>
            <w:r>
              <w:rPr>
                <w:rFonts w:hint="eastAsia" w:ascii="仿宋" w:hAnsi="仿宋" w:eastAsia="仿宋" w:cs="仿宋"/>
                <w:sz w:val="24"/>
                <w:szCs w:val="24"/>
              </w:rPr>
              <w:t>，</w:t>
            </w:r>
            <w:r>
              <w:rPr>
                <w:rFonts w:hint="eastAsia" w:ascii="仿宋" w:hAnsi="仿宋" w:eastAsia="仿宋" w:cs="仿宋"/>
                <w:sz w:val="24"/>
                <w:szCs w:val="24"/>
                <w:lang w:val="zh-CN"/>
              </w:rPr>
              <w:t>可以在知道或者应知其权益受到损害之日起七个工作日内</w:t>
            </w:r>
            <w:r>
              <w:rPr>
                <w:rFonts w:hint="eastAsia" w:ascii="仿宋" w:hAnsi="仿宋" w:eastAsia="仿宋" w:cs="仿宋"/>
                <w:sz w:val="24"/>
                <w:szCs w:val="24"/>
              </w:rPr>
              <w:t>，</w:t>
            </w:r>
            <w:r>
              <w:rPr>
                <w:rFonts w:hint="eastAsia" w:ascii="仿宋" w:hAnsi="仿宋" w:eastAsia="仿宋" w:cs="仿宋"/>
                <w:sz w:val="24"/>
                <w:szCs w:val="24"/>
                <w:lang w:val="zh-CN"/>
              </w:rPr>
              <w:t>以书面形式向采购代理机构提出</w:t>
            </w:r>
            <w:r>
              <w:rPr>
                <w:rFonts w:hint="eastAsia" w:ascii="仿宋" w:hAnsi="仿宋" w:eastAsia="仿宋" w:cs="仿宋"/>
                <w:sz w:val="24"/>
                <w:szCs w:val="24"/>
              </w:rPr>
              <w:t>（同时须将此书面文件电子版一份发送至采购代理机构电子邮箱，电子邮件：2059407584@qq.com），</w:t>
            </w:r>
            <w:r>
              <w:rPr>
                <w:rFonts w:hint="eastAsia" w:ascii="仿宋" w:hAnsi="仿宋" w:eastAsia="仿宋" w:cs="仿宋"/>
                <w:sz w:val="24"/>
                <w:szCs w:val="24"/>
                <w:lang w:val="zh-CN"/>
              </w:rPr>
              <w:t>采购代理机构将予以答复</w:t>
            </w:r>
            <w:r>
              <w:rPr>
                <w:rFonts w:hint="eastAsia" w:ascii="仿宋" w:hAnsi="仿宋" w:eastAsia="仿宋" w:cs="仿宋"/>
                <w:sz w:val="24"/>
                <w:szCs w:val="24"/>
              </w:rPr>
              <w:t>，</w:t>
            </w:r>
            <w:r>
              <w:rPr>
                <w:rFonts w:hint="eastAsia" w:ascii="仿宋" w:hAnsi="仿宋" w:eastAsia="仿宋" w:cs="仿宋"/>
                <w:sz w:val="24"/>
                <w:szCs w:val="24"/>
                <w:lang w:val="zh-CN"/>
              </w:rPr>
              <w:t>以书面形式发给所有购买招标文件的供应商</w:t>
            </w:r>
            <w:r>
              <w:rPr>
                <w:rFonts w:hint="eastAsia" w:ascii="仿宋" w:hAnsi="仿宋" w:eastAsia="仿宋" w:cs="仿宋"/>
                <w:sz w:val="24"/>
                <w:szCs w:val="24"/>
              </w:rPr>
              <w:t>，</w:t>
            </w:r>
            <w:r>
              <w:rPr>
                <w:rFonts w:hint="eastAsia" w:ascii="仿宋" w:hAnsi="仿宋" w:eastAsia="仿宋" w:cs="仿宋"/>
                <w:sz w:val="24"/>
                <w:szCs w:val="24"/>
                <w:lang w:val="zh-CN"/>
              </w:rPr>
              <w:t>但不指明问题的来源。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04"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16</w:t>
            </w:r>
          </w:p>
        </w:tc>
        <w:tc>
          <w:tcPr>
            <w:tcW w:w="1957"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供应商确认收到澄清或者修改的时间</w:t>
            </w:r>
          </w:p>
        </w:tc>
        <w:tc>
          <w:tcPr>
            <w:tcW w:w="5505" w:type="dxa"/>
            <w:noWrap/>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在收到相应澄清或答疑文件后24小时内。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04"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17</w:t>
            </w:r>
          </w:p>
        </w:tc>
        <w:tc>
          <w:tcPr>
            <w:tcW w:w="1957"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投标有效期</w:t>
            </w:r>
          </w:p>
        </w:tc>
        <w:tc>
          <w:tcPr>
            <w:tcW w:w="5505" w:type="dxa"/>
            <w:noWrap/>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不少于90日历天（自开标之日起）。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04"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18</w:t>
            </w:r>
          </w:p>
        </w:tc>
        <w:tc>
          <w:tcPr>
            <w:tcW w:w="1957"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是否接受</w:t>
            </w:r>
          </w:p>
          <w:p>
            <w:pPr>
              <w:spacing w:line="360" w:lineRule="auto"/>
              <w:jc w:val="center"/>
              <w:rPr>
                <w:rFonts w:ascii="仿宋" w:hAnsi="仿宋" w:eastAsia="仿宋" w:cs="仿宋"/>
                <w:sz w:val="24"/>
                <w:szCs w:val="24"/>
              </w:rPr>
            </w:pPr>
            <w:r>
              <w:rPr>
                <w:rFonts w:hint="eastAsia" w:ascii="仿宋" w:hAnsi="仿宋" w:eastAsia="仿宋" w:cs="仿宋"/>
                <w:sz w:val="24"/>
                <w:szCs w:val="24"/>
              </w:rPr>
              <w:t>联合体投标</w:t>
            </w:r>
          </w:p>
        </w:tc>
        <w:tc>
          <w:tcPr>
            <w:tcW w:w="5505" w:type="dxa"/>
            <w:noWrap/>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04"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19</w:t>
            </w:r>
          </w:p>
        </w:tc>
        <w:tc>
          <w:tcPr>
            <w:tcW w:w="1957"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答疑会</w:t>
            </w:r>
          </w:p>
        </w:tc>
        <w:tc>
          <w:tcPr>
            <w:tcW w:w="5505" w:type="dxa"/>
            <w:noWrap/>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804"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20</w:t>
            </w:r>
          </w:p>
        </w:tc>
        <w:tc>
          <w:tcPr>
            <w:tcW w:w="1957"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投标文件装订要求</w:t>
            </w:r>
          </w:p>
        </w:tc>
        <w:tc>
          <w:tcPr>
            <w:tcW w:w="5505" w:type="dxa"/>
            <w:noWrap/>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投标文件建议双面打印，应牢固装订成册，不可插页抽页。牢固装订成册是指用适当的办法,书脊涂有胶粘剂以保证投标文件不至于散开或用简单办法不能将任何一页在没有任何损坏的情况下取出或插入。各种用活页夹、文件夹、塑料方便式书脊（插入式或穿孔式）装订均不认为是牢固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804"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21</w:t>
            </w:r>
          </w:p>
        </w:tc>
        <w:tc>
          <w:tcPr>
            <w:tcW w:w="1957"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投标文件的签署要求</w:t>
            </w:r>
          </w:p>
        </w:tc>
        <w:tc>
          <w:tcPr>
            <w:tcW w:w="5505" w:type="dxa"/>
            <w:noWrap/>
            <w:vAlign w:val="center"/>
          </w:tcPr>
          <w:p>
            <w:pPr>
              <w:spacing w:line="360" w:lineRule="auto"/>
              <w:rPr>
                <w:rFonts w:ascii="仿宋" w:hAnsi="仿宋" w:eastAsia="仿宋" w:cs="仿宋"/>
                <w:bCs/>
                <w:sz w:val="24"/>
                <w:szCs w:val="24"/>
              </w:rPr>
            </w:pPr>
            <w:r>
              <w:rPr>
                <w:rFonts w:hint="eastAsia" w:ascii="仿宋" w:hAnsi="仿宋" w:eastAsia="仿宋" w:cs="仿宋"/>
                <w:sz w:val="24"/>
                <w:szCs w:val="24"/>
                <w:lang w:val="zh-CN"/>
              </w:rPr>
              <w:t>投标文件应加盖供应商红色公章</w:t>
            </w:r>
            <w:r>
              <w:rPr>
                <w:rFonts w:hint="eastAsia" w:ascii="仿宋" w:hAnsi="仿宋" w:eastAsia="仿宋" w:cs="仿宋"/>
                <w:bCs/>
                <w:sz w:val="24"/>
                <w:szCs w:val="24"/>
              </w:rPr>
              <w:t>并按照招标文件要求由法定代表人（或授权代表人）签字。</w:t>
            </w:r>
          </w:p>
          <w:p>
            <w:pPr>
              <w:spacing w:line="360" w:lineRule="auto"/>
              <w:rPr>
                <w:rFonts w:ascii="仿宋" w:hAnsi="仿宋" w:eastAsia="仿宋" w:cs="仿宋"/>
                <w:sz w:val="24"/>
                <w:szCs w:val="24"/>
              </w:rPr>
            </w:pPr>
            <w:r>
              <w:rPr>
                <w:rFonts w:hint="eastAsia" w:ascii="仿宋" w:hAnsi="仿宋" w:eastAsia="仿宋" w:cs="仿宋"/>
                <w:bCs/>
                <w:sz w:val="24"/>
                <w:szCs w:val="24"/>
              </w:rPr>
              <w:t>注：副本可以为正本的复印件。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jc w:val="center"/>
        </w:trPr>
        <w:tc>
          <w:tcPr>
            <w:tcW w:w="804"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22</w:t>
            </w:r>
          </w:p>
        </w:tc>
        <w:tc>
          <w:tcPr>
            <w:tcW w:w="1957"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投标文件密封</w:t>
            </w:r>
          </w:p>
        </w:tc>
        <w:tc>
          <w:tcPr>
            <w:tcW w:w="5505" w:type="dxa"/>
            <w:noWrap/>
            <w:vAlign w:val="center"/>
          </w:tcPr>
          <w:p>
            <w:pPr>
              <w:tabs>
                <w:tab w:val="left" w:pos="9030"/>
              </w:tabs>
              <w:snapToGrid w:val="0"/>
              <w:spacing w:line="360" w:lineRule="auto"/>
              <w:ind w:right="-65"/>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1</w:t>
            </w:r>
            <w:r>
              <w:rPr>
                <w:rFonts w:hint="eastAsia" w:ascii="仿宋" w:hAnsi="仿宋" w:eastAsia="仿宋" w:cs="仿宋"/>
                <w:sz w:val="24"/>
                <w:szCs w:val="24"/>
                <w:lang w:val="zh-CN"/>
              </w:rPr>
              <w:t>）供应商应将投标文件分为</w:t>
            </w:r>
            <w:r>
              <w:rPr>
                <w:rFonts w:hint="eastAsia" w:ascii="仿宋" w:hAnsi="仿宋" w:eastAsia="仿宋" w:cs="仿宋"/>
                <w:sz w:val="24"/>
                <w:szCs w:val="24"/>
              </w:rPr>
              <w:t>3个包装袋。</w:t>
            </w:r>
            <w:r>
              <w:rPr>
                <w:rFonts w:hint="eastAsia" w:ascii="仿宋" w:hAnsi="仿宋" w:eastAsia="仿宋" w:cs="仿宋"/>
                <w:sz w:val="24"/>
                <w:szCs w:val="24"/>
                <w:lang w:val="zh-CN"/>
              </w:rPr>
              <w:t>正本单独密封、所有副本密封，投标文件电子版单独密封且在外层包装上标明字样。</w:t>
            </w:r>
          </w:p>
          <w:p>
            <w:pPr>
              <w:tabs>
                <w:tab w:val="left" w:pos="9030"/>
              </w:tabs>
              <w:snapToGrid w:val="0"/>
              <w:spacing w:line="360" w:lineRule="auto"/>
              <w:ind w:right="-65"/>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外层包装应加封条密封，在封线处加盖公章（骑缝章），标明项目编号、项目名称</w:t>
            </w:r>
            <w:r>
              <w:rPr>
                <w:rFonts w:hint="eastAsia" w:ascii="仿宋" w:hAnsi="仿宋" w:eastAsia="仿宋" w:cs="仿宋"/>
                <w:sz w:val="24"/>
                <w:szCs w:val="24"/>
              </w:rPr>
              <w:t>及标段名称</w:t>
            </w:r>
            <w:r>
              <w:rPr>
                <w:rFonts w:hint="eastAsia" w:ascii="仿宋" w:hAnsi="仿宋" w:eastAsia="仿宋" w:cs="仿宋"/>
                <w:sz w:val="24"/>
                <w:szCs w:val="24"/>
                <w:lang w:val="zh-CN"/>
              </w:rPr>
              <w:t>，供应商全称（公章）、在</w:t>
            </w:r>
            <w:r>
              <w:rPr>
                <w:rFonts w:hint="eastAsia" w:ascii="仿宋" w:hAnsi="仿宋" w:eastAsia="仿宋" w:cs="仿宋"/>
                <w:sz w:val="24"/>
                <w:szCs w:val="24"/>
              </w:rPr>
              <w:t>XXXX年XX月XX日XX：XX前不得启封</w:t>
            </w:r>
            <w:r>
              <w:rPr>
                <w:rFonts w:hint="eastAsia" w:ascii="仿宋" w:hAnsi="仿宋" w:eastAsia="仿宋" w:cs="仿宋"/>
                <w:sz w:val="24"/>
                <w:szCs w:val="24"/>
                <w:lang w:val="zh-CN"/>
              </w:rPr>
              <w:t>等内容。</w:t>
            </w:r>
          </w:p>
          <w:p>
            <w:pPr>
              <w:tabs>
                <w:tab w:val="left" w:pos="9030"/>
              </w:tabs>
              <w:snapToGrid w:val="0"/>
              <w:spacing w:line="360" w:lineRule="auto"/>
              <w:rPr>
                <w:rFonts w:ascii="仿宋" w:hAnsi="仿宋" w:eastAsia="仿宋" w:cs="仿宋"/>
                <w:sz w:val="24"/>
                <w:szCs w:val="24"/>
              </w:rPr>
            </w:pPr>
            <w:r>
              <w:rPr>
                <w:rFonts w:hint="eastAsia" w:ascii="仿宋" w:hAnsi="仿宋" w:eastAsia="仿宋" w:cs="仿宋"/>
                <w:b/>
                <w:bCs/>
                <w:sz w:val="24"/>
                <w:szCs w:val="24"/>
              </w:rPr>
              <w:t>注：如果投标文件未按要求密封和加写标记，采购代理机构将不予接受。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04"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23</w:t>
            </w:r>
          </w:p>
        </w:tc>
        <w:tc>
          <w:tcPr>
            <w:tcW w:w="1957"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中标公告公示媒体</w:t>
            </w:r>
          </w:p>
        </w:tc>
        <w:tc>
          <w:tcPr>
            <w:tcW w:w="5505" w:type="dxa"/>
            <w:noWrap/>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jc w:val="center"/>
        </w:trPr>
        <w:tc>
          <w:tcPr>
            <w:tcW w:w="804"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24</w:t>
            </w:r>
          </w:p>
        </w:tc>
        <w:tc>
          <w:tcPr>
            <w:tcW w:w="1957"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中标服务费</w:t>
            </w:r>
          </w:p>
        </w:tc>
        <w:tc>
          <w:tcPr>
            <w:tcW w:w="5505" w:type="dxa"/>
            <w:noWrap/>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采购代理服务费依据《国家计委关于印发招标代理服务收费管理暂行办法的通知》（计价格【2002】1980号）和国家发改委办公厅颁发的《关于招标代理服务收费有关问题的通知》（发改办价格【2003】857号）文件规定标准下浮30%收取。</w:t>
            </w:r>
          </w:p>
        </w:tc>
      </w:tr>
    </w:tbl>
    <w:p>
      <w:pPr>
        <w:pageBreakBefore/>
        <w:spacing w:line="360" w:lineRule="auto"/>
        <w:ind w:firstLine="482" w:firstLineChars="200"/>
        <w:outlineLvl w:val="1"/>
        <w:rPr>
          <w:rFonts w:ascii="仿宋" w:hAnsi="仿宋" w:eastAsia="仿宋" w:cs="仿宋"/>
          <w:b/>
          <w:bCs/>
          <w:sz w:val="24"/>
          <w:szCs w:val="24"/>
          <w:lang w:val="zh-CN"/>
        </w:rPr>
      </w:pPr>
      <w:bookmarkStart w:id="24" w:name="_Toc9487"/>
      <w:bookmarkStart w:id="25" w:name="_Toc4994"/>
      <w:bookmarkStart w:id="26" w:name="_Toc31912"/>
      <w:bookmarkStart w:id="27" w:name="_Toc24650"/>
      <w:bookmarkStart w:id="28" w:name="_Toc32757"/>
      <w:bookmarkStart w:id="29" w:name="_Toc17277"/>
      <w:bookmarkStart w:id="30" w:name="_Toc15159"/>
      <w:r>
        <w:rPr>
          <w:rFonts w:hint="eastAsia" w:ascii="仿宋" w:hAnsi="仿宋" w:eastAsia="仿宋" w:cs="仿宋"/>
          <w:b/>
          <w:bCs/>
          <w:sz w:val="24"/>
          <w:szCs w:val="24"/>
          <w:lang w:val="zh-CN"/>
        </w:rPr>
        <w:t>一、总则</w:t>
      </w:r>
      <w:bookmarkEnd w:id="22"/>
      <w:bookmarkEnd w:id="23"/>
      <w:bookmarkEnd w:id="24"/>
      <w:bookmarkEnd w:id="25"/>
      <w:bookmarkEnd w:id="26"/>
      <w:bookmarkEnd w:id="27"/>
      <w:bookmarkEnd w:id="28"/>
      <w:bookmarkEnd w:id="29"/>
      <w:bookmarkEnd w:id="30"/>
    </w:p>
    <w:p>
      <w:pPr>
        <w:spacing w:line="360" w:lineRule="auto"/>
        <w:ind w:firstLine="482" w:firstLineChars="200"/>
        <w:outlineLvl w:val="2"/>
        <w:rPr>
          <w:rFonts w:ascii="仿宋" w:hAnsi="仿宋" w:eastAsia="仿宋" w:cs="仿宋"/>
          <w:sz w:val="24"/>
          <w:szCs w:val="24"/>
          <w:lang w:val="zh-CN"/>
        </w:rPr>
      </w:pPr>
      <w:bookmarkStart w:id="31" w:name="_Toc7648"/>
      <w:bookmarkStart w:id="32" w:name="_Toc6337"/>
      <w:bookmarkStart w:id="33" w:name="_Toc29110"/>
      <w:bookmarkStart w:id="34" w:name="_Toc346"/>
      <w:bookmarkStart w:id="35" w:name="_Toc14386"/>
      <w:bookmarkStart w:id="36" w:name="_Toc19812"/>
      <w:bookmarkStart w:id="37" w:name="_Toc8357"/>
      <w:bookmarkStart w:id="38" w:name="_Toc6093"/>
      <w:bookmarkStart w:id="39" w:name="_Toc8124"/>
      <w:r>
        <w:rPr>
          <w:rFonts w:hint="eastAsia" w:ascii="仿宋" w:hAnsi="仿宋" w:eastAsia="仿宋" w:cs="仿宋"/>
          <w:b/>
          <w:bCs/>
          <w:sz w:val="24"/>
          <w:szCs w:val="24"/>
          <w:lang w:val="zh-CN"/>
        </w:rPr>
        <w:t>（一）适用范围</w:t>
      </w:r>
      <w:bookmarkEnd w:id="31"/>
      <w:bookmarkEnd w:id="32"/>
      <w:bookmarkEnd w:id="33"/>
      <w:bookmarkEnd w:id="34"/>
      <w:bookmarkEnd w:id="35"/>
      <w:bookmarkEnd w:id="36"/>
      <w:bookmarkEnd w:id="37"/>
      <w:bookmarkEnd w:id="38"/>
      <w:bookmarkEnd w:id="39"/>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1、本招标文件仅适用于本次招标所述的</w:t>
      </w:r>
      <w:r>
        <w:rPr>
          <w:rFonts w:hint="eastAsia" w:ascii="仿宋" w:hAnsi="仿宋" w:eastAsia="仿宋" w:cs="仿宋"/>
          <w:bCs/>
          <w:sz w:val="24"/>
          <w:szCs w:val="24"/>
          <w:shd w:val="clear" w:color="auto" w:fill="FFFFFF"/>
        </w:rPr>
        <w:t>陕西中医药大学附属医院</w:t>
      </w:r>
      <w:r>
        <w:rPr>
          <w:rFonts w:hint="eastAsia" w:ascii="仿宋" w:hAnsi="仿宋" w:eastAsia="仿宋" w:cs="仿宋"/>
          <w:sz w:val="24"/>
          <w:szCs w:val="24"/>
        </w:rPr>
        <w:t>集成平台与数据中心建设项目。</w:t>
      </w:r>
    </w:p>
    <w:bookmarkEnd w:id="19"/>
    <w:p>
      <w:pPr>
        <w:spacing w:line="360" w:lineRule="auto"/>
        <w:ind w:firstLine="482" w:firstLineChars="200"/>
        <w:outlineLvl w:val="2"/>
        <w:rPr>
          <w:rFonts w:ascii="仿宋" w:hAnsi="仿宋" w:eastAsia="仿宋" w:cs="仿宋"/>
          <w:sz w:val="24"/>
          <w:szCs w:val="24"/>
          <w:lang w:val="zh-CN"/>
        </w:rPr>
      </w:pPr>
      <w:bookmarkStart w:id="40" w:name="_Toc25233"/>
      <w:bookmarkStart w:id="41" w:name="_Toc11334"/>
      <w:bookmarkStart w:id="42" w:name="_Toc29314"/>
      <w:bookmarkStart w:id="43" w:name="_Toc28813"/>
      <w:bookmarkStart w:id="44" w:name="_Toc97"/>
      <w:bookmarkStart w:id="45" w:name="_Toc16802"/>
      <w:bookmarkStart w:id="46" w:name="_Toc23118"/>
      <w:bookmarkStart w:id="47" w:name="_Toc26769"/>
      <w:bookmarkStart w:id="48" w:name="_Toc5174"/>
      <w:r>
        <w:rPr>
          <w:rFonts w:hint="eastAsia" w:ascii="仿宋" w:hAnsi="仿宋" w:eastAsia="仿宋" w:cs="仿宋"/>
          <w:b/>
          <w:bCs/>
          <w:sz w:val="24"/>
          <w:szCs w:val="24"/>
          <w:lang w:val="zh-CN"/>
        </w:rPr>
        <w:t>（二）名词解释</w:t>
      </w:r>
      <w:bookmarkEnd w:id="40"/>
      <w:bookmarkEnd w:id="41"/>
      <w:bookmarkEnd w:id="42"/>
      <w:bookmarkEnd w:id="43"/>
      <w:bookmarkEnd w:id="44"/>
      <w:bookmarkEnd w:id="45"/>
      <w:bookmarkEnd w:id="46"/>
      <w:bookmarkEnd w:id="47"/>
      <w:bookmarkEnd w:id="48"/>
    </w:p>
    <w:p>
      <w:pPr>
        <w:autoSpaceDE w:val="0"/>
        <w:autoSpaceDN w:val="0"/>
        <w:adjustRightInd w:val="0"/>
        <w:spacing w:line="360" w:lineRule="auto"/>
        <w:ind w:firstLine="480" w:firstLineChars="200"/>
        <w:rPr>
          <w:rFonts w:ascii="仿宋" w:hAnsi="仿宋" w:eastAsia="仿宋" w:cs="仿宋"/>
          <w:sz w:val="24"/>
          <w:szCs w:val="24"/>
          <w:lang w:val="zh-CN"/>
        </w:rPr>
      </w:pPr>
      <w:bookmarkStart w:id="49" w:name="_Toc18136"/>
      <w:bookmarkStart w:id="50" w:name="_Toc30999"/>
      <w:bookmarkStart w:id="51" w:name="_Toc24956"/>
      <w:bookmarkStart w:id="52" w:name="_Toc2076"/>
      <w:bookmarkStart w:id="53" w:name="_Toc5691"/>
      <w:bookmarkStart w:id="54" w:name="_Toc7846"/>
      <w:bookmarkStart w:id="55" w:name="_Toc2044"/>
      <w:bookmarkStart w:id="56" w:name="_Toc13475"/>
      <w:r>
        <w:rPr>
          <w:rFonts w:hint="eastAsia" w:ascii="仿宋" w:hAnsi="仿宋" w:eastAsia="仿宋" w:cs="仿宋"/>
          <w:sz w:val="24"/>
          <w:szCs w:val="24"/>
        </w:rPr>
        <w:t>1、</w:t>
      </w:r>
      <w:r>
        <w:rPr>
          <w:rFonts w:hint="eastAsia" w:ascii="仿宋" w:hAnsi="仿宋" w:eastAsia="仿宋" w:cs="仿宋"/>
          <w:sz w:val="24"/>
          <w:szCs w:val="24"/>
          <w:lang w:val="zh-CN"/>
        </w:rPr>
        <w:t>采 购 人：陕西中医药大学附属医院</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2、监督机构：</w:t>
      </w:r>
      <w:r>
        <w:rPr>
          <w:rFonts w:hint="eastAsia" w:ascii="仿宋" w:hAnsi="仿宋" w:eastAsia="仿宋" w:cs="仿宋"/>
          <w:sz w:val="24"/>
          <w:szCs w:val="24"/>
        </w:rPr>
        <w:t>陕西省财政厅</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采购代理机构：陕西笃信招标有限公司</w:t>
      </w:r>
    </w:p>
    <w:p>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4、</w:t>
      </w:r>
      <w:r>
        <w:rPr>
          <w:rFonts w:hint="eastAsia" w:ascii="仿宋" w:hAnsi="仿宋" w:eastAsia="仿宋" w:cs="仿宋"/>
          <w:sz w:val="24"/>
          <w:szCs w:val="24"/>
          <w:lang w:val="zh-CN"/>
        </w:rPr>
        <w:t>供应商：响应招标、参加投标竞争的法人、其他组织或者自然人。</w:t>
      </w:r>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5、</w:t>
      </w:r>
      <w:r>
        <w:rPr>
          <w:rFonts w:hint="eastAsia" w:ascii="仿宋" w:hAnsi="仿宋" w:eastAsia="仿宋" w:cs="仿宋"/>
          <w:sz w:val="24"/>
          <w:szCs w:val="24"/>
          <w:lang w:val="zh-CN"/>
        </w:rPr>
        <w:t>招标文件：含澄清、修改内容的书面资料和招标文件格式的统称。</w:t>
      </w:r>
    </w:p>
    <w:p>
      <w:pPr>
        <w:autoSpaceDE w:val="0"/>
        <w:autoSpaceDN w:val="0"/>
        <w:adjustRightInd w:val="0"/>
        <w:snapToGrid w:val="0"/>
        <w:spacing w:line="360" w:lineRule="auto"/>
        <w:ind w:firstLine="482" w:firstLineChars="200"/>
        <w:outlineLvl w:val="1"/>
        <w:rPr>
          <w:rFonts w:ascii="仿宋" w:hAnsi="仿宋" w:eastAsia="仿宋" w:cs="仿宋"/>
          <w:b/>
          <w:bCs/>
          <w:sz w:val="24"/>
          <w:szCs w:val="24"/>
          <w:lang w:val="zh-CN"/>
        </w:rPr>
      </w:pPr>
      <w:bookmarkStart w:id="57" w:name="_Toc22752"/>
      <w:r>
        <w:rPr>
          <w:rFonts w:hint="eastAsia" w:ascii="仿宋" w:hAnsi="仿宋" w:eastAsia="仿宋" w:cs="仿宋"/>
          <w:b/>
          <w:bCs/>
          <w:sz w:val="24"/>
          <w:szCs w:val="24"/>
          <w:lang w:val="zh-CN"/>
        </w:rPr>
        <w:t>二、招标文件</w:t>
      </w:r>
      <w:bookmarkEnd w:id="49"/>
      <w:bookmarkEnd w:id="50"/>
      <w:bookmarkEnd w:id="51"/>
      <w:bookmarkEnd w:id="52"/>
      <w:bookmarkEnd w:id="53"/>
      <w:bookmarkEnd w:id="54"/>
      <w:bookmarkEnd w:id="55"/>
      <w:bookmarkEnd w:id="56"/>
      <w:bookmarkEnd w:id="57"/>
    </w:p>
    <w:p>
      <w:pPr>
        <w:autoSpaceDE w:val="0"/>
        <w:autoSpaceDN w:val="0"/>
        <w:adjustRightInd w:val="0"/>
        <w:snapToGrid w:val="0"/>
        <w:spacing w:line="360" w:lineRule="auto"/>
        <w:ind w:firstLine="482" w:firstLineChars="200"/>
        <w:outlineLvl w:val="2"/>
        <w:rPr>
          <w:rFonts w:ascii="仿宋" w:hAnsi="仿宋" w:eastAsia="仿宋" w:cs="仿宋"/>
          <w:b/>
          <w:sz w:val="24"/>
          <w:szCs w:val="24"/>
          <w:lang w:val="zh-CN"/>
        </w:rPr>
      </w:pPr>
      <w:bookmarkStart w:id="58" w:name="_Toc24239"/>
      <w:bookmarkStart w:id="59" w:name="_Toc22798"/>
      <w:bookmarkStart w:id="60" w:name="_Toc1837"/>
      <w:bookmarkStart w:id="61" w:name="_Toc12476"/>
      <w:bookmarkStart w:id="62" w:name="_Toc236"/>
      <w:bookmarkStart w:id="63" w:name="_Toc27613"/>
      <w:bookmarkStart w:id="64" w:name="_Toc16573"/>
      <w:bookmarkStart w:id="65" w:name="_Toc13189"/>
      <w:bookmarkStart w:id="66" w:name="_Toc7194"/>
      <w:r>
        <w:rPr>
          <w:rFonts w:hint="eastAsia" w:ascii="仿宋" w:hAnsi="仿宋" w:eastAsia="仿宋" w:cs="仿宋"/>
          <w:b/>
          <w:sz w:val="24"/>
          <w:szCs w:val="24"/>
          <w:lang w:val="zh-CN"/>
        </w:rPr>
        <w:t>（一）招标文件</w:t>
      </w:r>
      <w:bookmarkEnd w:id="58"/>
      <w:bookmarkEnd w:id="59"/>
      <w:bookmarkEnd w:id="60"/>
      <w:r>
        <w:rPr>
          <w:rFonts w:hint="eastAsia" w:ascii="仿宋" w:hAnsi="仿宋" w:eastAsia="仿宋" w:cs="仿宋"/>
          <w:b/>
          <w:sz w:val="24"/>
          <w:szCs w:val="24"/>
          <w:lang w:val="zh-CN"/>
        </w:rPr>
        <w:t>的组成</w:t>
      </w:r>
      <w:bookmarkEnd w:id="61"/>
      <w:bookmarkEnd w:id="62"/>
      <w:bookmarkEnd w:id="63"/>
      <w:bookmarkEnd w:id="64"/>
      <w:bookmarkEnd w:id="65"/>
      <w:bookmarkEnd w:id="66"/>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招标文件以中文编制，招标文件包括</w:t>
      </w:r>
      <w:r>
        <w:rPr>
          <w:rFonts w:hint="eastAsia" w:ascii="仿宋" w:hAnsi="仿宋" w:eastAsia="仿宋" w:cs="仿宋"/>
          <w:sz w:val="24"/>
          <w:szCs w:val="24"/>
        </w:rPr>
        <w:t>五</w:t>
      </w:r>
      <w:r>
        <w:rPr>
          <w:rFonts w:hint="eastAsia" w:ascii="仿宋" w:hAnsi="仿宋" w:eastAsia="仿宋" w:cs="仿宋"/>
          <w:sz w:val="24"/>
          <w:szCs w:val="24"/>
          <w:lang w:val="zh-CN"/>
        </w:rPr>
        <w:t>部分，各供应商应根据招标文件中的所有内容及要求提交全部资料。</w:t>
      </w:r>
    </w:p>
    <w:p>
      <w:pPr>
        <w:autoSpaceDE w:val="0"/>
        <w:autoSpaceDN w:val="0"/>
        <w:adjustRightInd w:val="0"/>
        <w:snapToGrid w:val="0"/>
        <w:spacing w:line="360" w:lineRule="auto"/>
        <w:ind w:firstLine="570"/>
        <w:rPr>
          <w:rFonts w:ascii="仿宋" w:hAnsi="仿宋" w:eastAsia="仿宋" w:cs="仿宋"/>
          <w:sz w:val="24"/>
          <w:szCs w:val="24"/>
          <w:lang w:val="zh-CN"/>
        </w:rPr>
      </w:pPr>
      <w:r>
        <w:rPr>
          <w:rFonts w:hint="eastAsia" w:ascii="仿宋" w:hAnsi="仿宋" w:eastAsia="仿宋" w:cs="仿宋"/>
          <w:sz w:val="24"/>
          <w:szCs w:val="24"/>
          <w:lang w:val="zh-CN"/>
        </w:rPr>
        <w:t>招标文件是根据本项目的特点和需求编制，包括以下内容：</w:t>
      </w:r>
    </w:p>
    <w:p>
      <w:pPr>
        <w:autoSpaceDE w:val="0"/>
        <w:autoSpaceDN w:val="0"/>
        <w:adjustRightInd w:val="0"/>
        <w:snapToGrid w:val="0"/>
        <w:spacing w:line="360" w:lineRule="auto"/>
        <w:ind w:firstLine="57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1）</w:t>
      </w:r>
      <w:r>
        <w:rPr>
          <w:rFonts w:hint="eastAsia" w:ascii="仿宋" w:hAnsi="仿宋" w:eastAsia="仿宋" w:cs="仿宋"/>
          <w:sz w:val="24"/>
          <w:szCs w:val="24"/>
          <w:lang w:val="zh-CN"/>
        </w:rPr>
        <w:t>招标公告</w:t>
      </w:r>
    </w:p>
    <w:p>
      <w:pPr>
        <w:autoSpaceDE w:val="0"/>
        <w:autoSpaceDN w:val="0"/>
        <w:adjustRightInd w:val="0"/>
        <w:snapToGrid w:val="0"/>
        <w:spacing w:line="360" w:lineRule="auto"/>
        <w:ind w:firstLine="57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供应商须知</w:t>
      </w:r>
    </w:p>
    <w:p>
      <w:pPr>
        <w:autoSpaceDE w:val="0"/>
        <w:autoSpaceDN w:val="0"/>
        <w:adjustRightInd w:val="0"/>
        <w:snapToGrid w:val="0"/>
        <w:spacing w:line="360" w:lineRule="auto"/>
        <w:ind w:firstLine="570"/>
        <w:rPr>
          <w:rFonts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招标内容及要求</w:t>
      </w:r>
    </w:p>
    <w:p>
      <w:pPr>
        <w:autoSpaceDE w:val="0"/>
        <w:autoSpaceDN w:val="0"/>
        <w:adjustRightInd w:val="0"/>
        <w:snapToGrid w:val="0"/>
        <w:spacing w:line="360" w:lineRule="auto"/>
        <w:ind w:firstLine="570"/>
        <w:rPr>
          <w:rFonts w:ascii="仿宋" w:hAnsi="仿宋" w:eastAsia="仿宋" w:cs="仿宋"/>
          <w:sz w:val="24"/>
          <w:szCs w:val="24"/>
          <w:lang w:val="zh-CN"/>
        </w:rPr>
      </w:pPr>
      <w:r>
        <w:rPr>
          <w:rFonts w:hint="eastAsia" w:ascii="仿宋" w:hAnsi="仿宋" w:eastAsia="仿宋" w:cs="仿宋"/>
          <w:sz w:val="24"/>
          <w:szCs w:val="24"/>
        </w:rPr>
        <w:t>（4）</w:t>
      </w:r>
      <w:r>
        <w:rPr>
          <w:rFonts w:hint="eastAsia" w:ascii="仿宋" w:hAnsi="仿宋" w:eastAsia="仿宋" w:cs="仿宋"/>
          <w:sz w:val="24"/>
          <w:szCs w:val="24"/>
          <w:lang w:val="zh-CN"/>
        </w:rPr>
        <w:t>合同主要条款及格式</w:t>
      </w:r>
    </w:p>
    <w:p>
      <w:pPr>
        <w:autoSpaceDE w:val="0"/>
        <w:autoSpaceDN w:val="0"/>
        <w:adjustRightInd w:val="0"/>
        <w:snapToGrid w:val="0"/>
        <w:spacing w:line="360" w:lineRule="auto"/>
        <w:ind w:firstLine="570"/>
        <w:rPr>
          <w:rFonts w:ascii="仿宋" w:hAnsi="仿宋" w:eastAsia="仿宋" w:cs="仿宋"/>
          <w:sz w:val="24"/>
          <w:szCs w:val="24"/>
        </w:rPr>
      </w:pPr>
      <w:r>
        <w:rPr>
          <w:rFonts w:hint="eastAsia" w:ascii="仿宋" w:hAnsi="仿宋" w:eastAsia="仿宋" w:cs="仿宋"/>
          <w:sz w:val="24"/>
          <w:szCs w:val="24"/>
        </w:rPr>
        <w:t>（5）投标文件格式</w:t>
      </w:r>
    </w:p>
    <w:p>
      <w:pPr>
        <w:autoSpaceDE w:val="0"/>
        <w:autoSpaceDN w:val="0"/>
        <w:adjustRightInd w:val="0"/>
        <w:snapToGrid w:val="0"/>
        <w:spacing w:line="360" w:lineRule="auto"/>
        <w:ind w:firstLine="482" w:firstLineChars="200"/>
        <w:outlineLvl w:val="2"/>
        <w:rPr>
          <w:rFonts w:ascii="仿宋" w:hAnsi="仿宋" w:eastAsia="仿宋" w:cs="仿宋"/>
          <w:sz w:val="24"/>
          <w:szCs w:val="24"/>
          <w:lang w:val="zh-CN"/>
        </w:rPr>
      </w:pPr>
      <w:bookmarkStart w:id="67" w:name="_Toc15799"/>
      <w:bookmarkStart w:id="68" w:name="_Toc14375"/>
      <w:bookmarkStart w:id="69" w:name="_Toc1308"/>
      <w:bookmarkStart w:id="70" w:name="_Toc16787"/>
      <w:bookmarkStart w:id="71" w:name="_Toc257"/>
      <w:bookmarkStart w:id="72" w:name="_Toc21971"/>
      <w:bookmarkStart w:id="73" w:name="_Toc6742"/>
      <w:bookmarkStart w:id="74" w:name="_Toc6936"/>
      <w:bookmarkStart w:id="75" w:name="_Toc26386"/>
      <w:r>
        <w:rPr>
          <w:rFonts w:hint="eastAsia" w:ascii="仿宋" w:hAnsi="仿宋" w:eastAsia="仿宋" w:cs="仿宋"/>
          <w:b/>
          <w:bCs/>
          <w:sz w:val="24"/>
          <w:szCs w:val="24"/>
        </w:rPr>
        <w:t>（二）</w:t>
      </w:r>
      <w:r>
        <w:rPr>
          <w:rFonts w:hint="eastAsia" w:ascii="仿宋" w:hAnsi="仿宋" w:eastAsia="仿宋" w:cs="仿宋"/>
          <w:b/>
          <w:bCs/>
          <w:sz w:val="24"/>
          <w:szCs w:val="24"/>
          <w:lang w:val="zh-CN"/>
        </w:rPr>
        <w:t>招标文件的修改或澄清</w:t>
      </w:r>
      <w:bookmarkEnd w:id="67"/>
      <w:bookmarkEnd w:id="68"/>
      <w:bookmarkEnd w:id="69"/>
      <w:bookmarkEnd w:id="70"/>
      <w:bookmarkEnd w:id="71"/>
      <w:bookmarkEnd w:id="72"/>
      <w:bookmarkEnd w:id="73"/>
      <w:bookmarkEnd w:id="74"/>
      <w:bookmarkEnd w:id="75"/>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如果招标文件进行必要的澄清或者修改，将在发布招标公告的财政部门指定媒体上由采购代理机构发布更正公告，并以书面形式通知所有购买招标文件的单位。澄清或者修改的内容可能影响投标文件编制的，不足</w:t>
      </w:r>
      <w:r>
        <w:rPr>
          <w:rFonts w:hint="eastAsia" w:ascii="仿宋" w:hAnsi="仿宋" w:eastAsia="仿宋" w:cs="仿宋"/>
          <w:sz w:val="24"/>
          <w:szCs w:val="24"/>
        </w:rPr>
        <w:t>15日</w:t>
      </w:r>
      <w:r>
        <w:rPr>
          <w:rFonts w:hint="eastAsia" w:ascii="仿宋" w:hAnsi="仿宋" w:eastAsia="仿宋" w:cs="仿宋"/>
          <w:sz w:val="24"/>
          <w:szCs w:val="24"/>
          <w:lang w:val="zh-CN"/>
        </w:rPr>
        <w:t>的，采购代理机构将顺延提交投标文件的截止时间。澄清或者修改的内容为招标文件的组成部分。</w:t>
      </w:r>
    </w:p>
    <w:p>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供应商在收到澄清或修改文件后，应在一个工作日内以书面形式（加盖公章）向采购代理机构予以确认。</w:t>
      </w:r>
    </w:p>
    <w:p>
      <w:pPr>
        <w:autoSpaceDE w:val="0"/>
        <w:autoSpaceDN w:val="0"/>
        <w:adjustRightInd w:val="0"/>
        <w:snapToGrid w:val="0"/>
        <w:spacing w:line="360" w:lineRule="auto"/>
        <w:ind w:firstLine="482" w:firstLineChars="200"/>
        <w:outlineLvl w:val="2"/>
        <w:rPr>
          <w:rFonts w:ascii="仿宋" w:hAnsi="仿宋" w:eastAsia="仿宋" w:cs="仿宋"/>
          <w:sz w:val="24"/>
          <w:szCs w:val="24"/>
          <w:lang w:val="zh-CN"/>
        </w:rPr>
      </w:pPr>
      <w:bookmarkStart w:id="76" w:name="_Toc12617"/>
      <w:bookmarkStart w:id="77" w:name="_Toc31779"/>
      <w:bookmarkStart w:id="78" w:name="_Toc24184"/>
      <w:bookmarkStart w:id="79" w:name="_Toc12729"/>
      <w:bookmarkStart w:id="80" w:name="_Toc26034"/>
      <w:bookmarkStart w:id="81" w:name="_Toc17894"/>
      <w:bookmarkStart w:id="82" w:name="_Toc18646"/>
      <w:bookmarkStart w:id="83" w:name="_Toc1550"/>
      <w:bookmarkStart w:id="84" w:name="_Toc2929"/>
      <w:r>
        <w:rPr>
          <w:rFonts w:hint="eastAsia" w:ascii="仿宋" w:hAnsi="仿宋" w:eastAsia="仿宋" w:cs="仿宋"/>
          <w:b/>
          <w:bCs/>
          <w:sz w:val="24"/>
          <w:szCs w:val="24"/>
        </w:rPr>
        <w:t>（三）</w:t>
      </w:r>
      <w:r>
        <w:rPr>
          <w:rFonts w:hint="eastAsia" w:ascii="仿宋" w:hAnsi="仿宋" w:eastAsia="仿宋" w:cs="仿宋"/>
          <w:b/>
          <w:bCs/>
          <w:sz w:val="24"/>
          <w:szCs w:val="24"/>
          <w:lang w:val="zh-CN"/>
        </w:rPr>
        <w:t>招标文件的询问、质疑及答复</w:t>
      </w:r>
      <w:bookmarkEnd w:id="76"/>
      <w:bookmarkEnd w:id="77"/>
      <w:bookmarkEnd w:id="78"/>
      <w:bookmarkEnd w:id="79"/>
      <w:bookmarkEnd w:id="80"/>
      <w:bookmarkEnd w:id="81"/>
      <w:bookmarkEnd w:id="82"/>
      <w:bookmarkEnd w:id="83"/>
      <w:bookmarkEnd w:id="84"/>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供应商应仔细阅读和检查招标文件的全部内容。如发现缺页或附件不全，应及时向采购代理机构提出，以便补齐。</w:t>
      </w:r>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供应商认为招标文件、招标过程、中标或者成交结果使自己的权益受到损害的，可以在知道或者应知其权益受到损害之日起7个工作日内，以书面形式向采购人、采购代理机构提出质疑，在此之后提出的询问和质疑均为无效，采购代理机构不予受理。</w:t>
      </w:r>
    </w:p>
    <w:p>
      <w:pPr>
        <w:pStyle w:val="23"/>
        <w:spacing w:before="0" w:beforeAutospacing="0" w:after="0" w:afterAutospacing="0" w:line="360" w:lineRule="auto"/>
        <w:ind w:firstLine="480" w:firstLineChars="200"/>
        <w:jc w:val="both"/>
        <w:rPr>
          <w:rFonts w:ascii="仿宋" w:hAnsi="仿宋" w:eastAsia="仿宋" w:cs="仿宋"/>
          <w:lang w:val="zh-CN"/>
        </w:rPr>
      </w:pPr>
      <w:r>
        <w:rPr>
          <w:rFonts w:hint="eastAsia" w:ascii="仿宋" w:hAnsi="仿宋" w:eastAsia="仿宋" w:cs="仿宋"/>
        </w:rPr>
        <w:t>3、</w:t>
      </w:r>
      <w:r>
        <w:rPr>
          <w:rFonts w:hint="eastAsia" w:ascii="仿宋" w:hAnsi="仿宋" w:eastAsia="仿宋" w:cs="仿宋"/>
          <w:lang w:val="zh-CN"/>
        </w:rPr>
        <w:t>供应商提出质疑应当有明确的请求和必要的证明材料。</w:t>
      </w:r>
    </w:p>
    <w:p>
      <w:pPr>
        <w:pStyle w:val="23"/>
        <w:spacing w:before="0" w:beforeAutospacing="0" w:after="0" w:afterAutospacing="0" w:line="360" w:lineRule="auto"/>
        <w:ind w:firstLine="480" w:firstLineChars="200"/>
        <w:jc w:val="both"/>
        <w:rPr>
          <w:rFonts w:ascii="仿宋" w:hAnsi="仿宋" w:eastAsia="仿宋" w:cs="仿宋"/>
          <w:lang w:val="zh-CN"/>
        </w:rPr>
      </w:pPr>
      <w:r>
        <w:rPr>
          <w:rFonts w:hint="eastAsia" w:ascii="仿宋" w:hAnsi="仿宋" w:eastAsia="仿宋" w:cs="仿宋"/>
        </w:rPr>
        <w:t>4、</w:t>
      </w:r>
      <w:r>
        <w:rPr>
          <w:rFonts w:hint="eastAsia" w:ascii="仿宋" w:hAnsi="仿宋" w:eastAsia="仿宋" w:cs="仿宋"/>
          <w:lang w:val="zh-CN"/>
        </w:rPr>
        <w:t>对于在规定时间内收到的供应商依法提出的询问或者质疑，采购代理机构将按程序在三个工作日内答复询问，七个工作日内答复质疑。</w:t>
      </w:r>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5、</w:t>
      </w:r>
      <w:r>
        <w:rPr>
          <w:rFonts w:hint="eastAsia" w:ascii="仿宋" w:hAnsi="仿宋" w:eastAsia="仿宋" w:cs="仿宋"/>
          <w:sz w:val="24"/>
          <w:szCs w:val="24"/>
          <w:lang w:val="zh-CN"/>
        </w:rPr>
        <w:t>供应商在收到答复后，应在两个工作日内以书面形式（加盖公章）向采购代理机构予以确认。</w:t>
      </w:r>
    </w:p>
    <w:p>
      <w:pPr>
        <w:autoSpaceDE w:val="0"/>
        <w:autoSpaceDN w:val="0"/>
        <w:adjustRightInd w:val="0"/>
        <w:snapToGrid w:val="0"/>
        <w:spacing w:line="360" w:lineRule="auto"/>
        <w:ind w:firstLine="482" w:firstLineChars="200"/>
        <w:outlineLvl w:val="2"/>
        <w:rPr>
          <w:rFonts w:ascii="仿宋" w:hAnsi="仿宋" w:eastAsia="仿宋" w:cs="仿宋"/>
          <w:sz w:val="24"/>
          <w:szCs w:val="24"/>
          <w:lang w:val="zh-CN"/>
        </w:rPr>
      </w:pPr>
      <w:bookmarkStart w:id="85" w:name="_Toc27651"/>
      <w:bookmarkStart w:id="86" w:name="_Toc30411"/>
      <w:bookmarkStart w:id="87" w:name="_Toc5426"/>
      <w:bookmarkStart w:id="88" w:name="_Toc30701"/>
      <w:bookmarkStart w:id="89" w:name="_Toc28965"/>
      <w:bookmarkStart w:id="90" w:name="_Toc17969"/>
      <w:bookmarkStart w:id="91" w:name="_Toc16614"/>
      <w:bookmarkStart w:id="92" w:name="_Toc16954"/>
      <w:bookmarkStart w:id="93" w:name="_Toc18525"/>
      <w:r>
        <w:rPr>
          <w:rFonts w:hint="eastAsia" w:ascii="仿宋" w:hAnsi="仿宋" w:eastAsia="仿宋" w:cs="仿宋"/>
          <w:b/>
          <w:bCs/>
          <w:sz w:val="24"/>
          <w:szCs w:val="24"/>
          <w:lang w:val="zh-CN"/>
        </w:rPr>
        <w:t>（四）招标文件的解释权</w:t>
      </w:r>
      <w:bookmarkEnd w:id="85"/>
      <w:bookmarkEnd w:id="86"/>
      <w:bookmarkEnd w:id="87"/>
      <w:bookmarkEnd w:id="88"/>
      <w:bookmarkEnd w:id="89"/>
      <w:bookmarkEnd w:id="90"/>
      <w:bookmarkEnd w:id="91"/>
      <w:bookmarkEnd w:id="92"/>
      <w:bookmarkEnd w:id="93"/>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供应商必须从采购代理机构</w:t>
      </w:r>
      <w:r>
        <w:rPr>
          <w:rFonts w:hint="eastAsia" w:ascii="仿宋" w:hAnsi="仿宋" w:eastAsia="仿宋" w:cs="仿宋"/>
          <w:sz w:val="24"/>
          <w:szCs w:val="24"/>
        </w:rPr>
        <w:t>获取</w:t>
      </w:r>
      <w:r>
        <w:rPr>
          <w:rFonts w:hint="eastAsia" w:ascii="仿宋" w:hAnsi="仿宋" w:eastAsia="仿宋" w:cs="仿宋"/>
          <w:sz w:val="24"/>
          <w:szCs w:val="24"/>
          <w:lang w:val="zh-CN"/>
        </w:rPr>
        <w:t>招标文件，供应商自行转让或复制招标文件视为无效。</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zh-CN"/>
        </w:rPr>
        <w:t>招标文件的解释权归采购代理机构。</w:t>
      </w:r>
    </w:p>
    <w:p>
      <w:pPr>
        <w:autoSpaceDE w:val="0"/>
        <w:autoSpaceDN w:val="0"/>
        <w:adjustRightInd w:val="0"/>
        <w:snapToGrid w:val="0"/>
        <w:spacing w:line="360" w:lineRule="auto"/>
        <w:ind w:firstLine="482" w:firstLineChars="200"/>
        <w:outlineLvl w:val="1"/>
        <w:rPr>
          <w:rFonts w:ascii="仿宋" w:hAnsi="仿宋" w:eastAsia="仿宋" w:cs="仿宋"/>
          <w:b/>
          <w:sz w:val="24"/>
          <w:szCs w:val="24"/>
          <w:lang w:val="zh-CN"/>
        </w:rPr>
      </w:pPr>
      <w:bookmarkStart w:id="94" w:name="_Toc895"/>
      <w:bookmarkStart w:id="95" w:name="_Toc21616"/>
      <w:bookmarkStart w:id="96" w:name="_Toc12572"/>
      <w:bookmarkStart w:id="97" w:name="_Toc14706"/>
      <w:bookmarkStart w:id="98" w:name="_Toc5590"/>
      <w:bookmarkStart w:id="99" w:name="_Toc16073"/>
      <w:bookmarkStart w:id="100" w:name="_Toc8593"/>
      <w:bookmarkStart w:id="101" w:name="_Toc25911"/>
      <w:bookmarkStart w:id="102" w:name="_Toc18715"/>
      <w:r>
        <w:rPr>
          <w:rFonts w:hint="eastAsia" w:ascii="仿宋" w:hAnsi="仿宋" w:eastAsia="仿宋" w:cs="仿宋"/>
          <w:b/>
          <w:sz w:val="24"/>
          <w:szCs w:val="24"/>
          <w:lang w:val="zh-CN"/>
        </w:rPr>
        <w:t>三、投标要求</w:t>
      </w:r>
      <w:bookmarkEnd w:id="94"/>
      <w:bookmarkEnd w:id="95"/>
      <w:bookmarkEnd w:id="96"/>
      <w:bookmarkEnd w:id="97"/>
      <w:bookmarkEnd w:id="98"/>
      <w:bookmarkEnd w:id="99"/>
      <w:bookmarkEnd w:id="100"/>
      <w:bookmarkEnd w:id="101"/>
      <w:bookmarkEnd w:id="102"/>
    </w:p>
    <w:p>
      <w:pPr>
        <w:snapToGrid w:val="0"/>
        <w:spacing w:line="360" w:lineRule="auto"/>
        <w:ind w:firstLine="482" w:firstLineChars="200"/>
        <w:outlineLvl w:val="2"/>
        <w:rPr>
          <w:rFonts w:ascii="仿宋" w:hAnsi="仿宋" w:eastAsia="仿宋" w:cs="仿宋"/>
          <w:sz w:val="24"/>
          <w:szCs w:val="24"/>
        </w:rPr>
      </w:pPr>
      <w:bookmarkStart w:id="103" w:name="_Toc4313"/>
      <w:bookmarkStart w:id="104" w:name="_Toc26583"/>
      <w:bookmarkStart w:id="105" w:name="_Toc29863"/>
      <w:bookmarkStart w:id="106" w:name="_Toc9714"/>
      <w:bookmarkStart w:id="107" w:name="_Toc95"/>
      <w:bookmarkStart w:id="108" w:name="_Toc7693"/>
      <w:bookmarkStart w:id="109" w:name="_Toc6311"/>
      <w:bookmarkStart w:id="110" w:name="_Toc11999"/>
      <w:bookmarkStart w:id="111" w:name="_Toc9226"/>
      <w:r>
        <w:rPr>
          <w:rFonts w:hint="eastAsia" w:ascii="仿宋" w:hAnsi="仿宋" w:eastAsia="仿宋" w:cs="仿宋"/>
          <w:b/>
          <w:bCs/>
          <w:sz w:val="24"/>
          <w:szCs w:val="24"/>
        </w:rPr>
        <w:t>（一）投标内容</w:t>
      </w:r>
      <w:bookmarkEnd w:id="103"/>
      <w:bookmarkEnd w:id="104"/>
      <w:bookmarkEnd w:id="105"/>
      <w:bookmarkEnd w:id="106"/>
      <w:bookmarkEnd w:id="107"/>
      <w:bookmarkEnd w:id="108"/>
      <w:bookmarkEnd w:id="109"/>
      <w:bookmarkEnd w:id="110"/>
      <w:bookmarkEnd w:id="111"/>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本次招标内容为</w:t>
      </w:r>
      <w:r>
        <w:rPr>
          <w:rFonts w:hint="eastAsia" w:ascii="仿宋" w:hAnsi="仿宋" w:eastAsia="仿宋" w:cs="仿宋"/>
          <w:bCs/>
          <w:sz w:val="24"/>
          <w:szCs w:val="24"/>
          <w:shd w:val="clear" w:color="auto" w:fill="FFFFFF"/>
        </w:rPr>
        <w:t>陕西中医药大学附属医院</w:t>
      </w:r>
      <w:r>
        <w:rPr>
          <w:rFonts w:hint="eastAsia" w:ascii="仿宋" w:hAnsi="仿宋" w:eastAsia="仿宋" w:cs="仿宋"/>
          <w:sz w:val="24"/>
          <w:szCs w:val="24"/>
        </w:rPr>
        <w:t>集成平台与数据中心建设项目，</w:t>
      </w:r>
      <w:r>
        <w:rPr>
          <w:rFonts w:hint="eastAsia" w:ascii="仿宋" w:hAnsi="仿宋" w:eastAsia="仿宋" w:cs="仿宋"/>
          <w:bCs/>
          <w:sz w:val="24"/>
          <w:szCs w:val="24"/>
        </w:rPr>
        <w:t>各供应商</w:t>
      </w:r>
      <w:r>
        <w:rPr>
          <w:rFonts w:hint="eastAsia" w:ascii="仿宋" w:hAnsi="仿宋" w:eastAsia="仿宋" w:cs="仿宋"/>
          <w:sz w:val="24"/>
          <w:szCs w:val="24"/>
        </w:rPr>
        <w:t>应仔细阅读招标文件中的所有事项、格式、条款和要求，对招标文件的全部</w:t>
      </w:r>
      <w:r>
        <w:rPr>
          <w:rFonts w:hint="eastAsia" w:ascii="仿宋" w:hAnsi="仿宋" w:eastAsia="仿宋" w:cs="仿宋"/>
          <w:bCs/>
          <w:sz w:val="24"/>
          <w:szCs w:val="24"/>
        </w:rPr>
        <w:t>内容及要求做出实质性响应，提交相应资料。不得在其中选项投标或将其中内容再行分解，否则投标无效。</w:t>
      </w:r>
    </w:p>
    <w:p>
      <w:pPr>
        <w:snapToGrid w:val="0"/>
        <w:spacing w:line="360" w:lineRule="auto"/>
        <w:ind w:firstLine="482" w:firstLineChars="200"/>
        <w:outlineLvl w:val="2"/>
        <w:rPr>
          <w:rFonts w:ascii="仿宋" w:hAnsi="仿宋" w:eastAsia="仿宋" w:cs="仿宋"/>
          <w:b/>
          <w:bCs/>
          <w:sz w:val="24"/>
          <w:szCs w:val="24"/>
          <w:lang w:val="zh-CN"/>
        </w:rPr>
      </w:pPr>
      <w:bookmarkStart w:id="112" w:name="_Toc15084"/>
      <w:bookmarkStart w:id="113" w:name="_Toc6567"/>
      <w:bookmarkStart w:id="114" w:name="_Toc27262"/>
      <w:bookmarkStart w:id="115" w:name="_Toc13972"/>
      <w:bookmarkStart w:id="116" w:name="_Toc7503"/>
      <w:bookmarkStart w:id="117" w:name="_Toc16292"/>
      <w:bookmarkStart w:id="118" w:name="_Toc12463"/>
      <w:bookmarkStart w:id="119" w:name="_Toc16899"/>
      <w:bookmarkStart w:id="120" w:name="_Toc10463"/>
      <w:r>
        <w:rPr>
          <w:rFonts w:hint="eastAsia" w:ascii="仿宋" w:hAnsi="仿宋" w:eastAsia="仿宋" w:cs="仿宋"/>
          <w:b/>
          <w:bCs/>
          <w:sz w:val="24"/>
          <w:szCs w:val="24"/>
        </w:rPr>
        <w:t>（二）</w:t>
      </w:r>
      <w:r>
        <w:rPr>
          <w:rFonts w:hint="eastAsia" w:ascii="仿宋" w:hAnsi="仿宋" w:eastAsia="仿宋" w:cs="仿宋"/>
          <w:b/>
          <w:bCs/>
          <w:sz w:val="24"/>
          <w:szCs w:val="24"/>
          <w:lang w:val="zh-CN"/>
        </w:rPr>
        <w:t>合格的供应商要求</w:t>
      </w:r>
      <w:bookmarkEnd w:id="112"/>
      <w:bookmarkEnd w:id="113"/>
      <w:bookmarkEnd w:id="114"/>
      <w:bookmarkEnd w:id="115"/>
      <w:bookmarkEnd w:id="116"/>
      <w:bookmarkEnd w:id="117"/>
      <w:bookmarkEnd w:id="118"/>
      <w:bookmarkEnd w:id="119"/>
      <w:bookmarkEnd w:id="120"/>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（1）基本资格条件：符合《中华人民共和国政府采购法》第二十二条的规定；</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1、提供统一社会信用代码的营业执照或其他组织经营的合法凭证或自然人的提供身份证明文件；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2、财务状况报告：提供具有财务审计资质单位出具的2021年度财务报告或开标前六个月内其基本账户银行出具的资信证明（附基本户证明资料）或财政部门认可的政府采购专业担保机构出具的担保函，以上形式的证明资料提供任何一种即可；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3、税收缴纳证明：提供已缴纳的 2022年1月1日以来至少一个月的纳税证明或完税证明（提供增值税、企业所得税至少一种），纳税证明或完税证明上应有代收机构或税务机关的公章或业务专用章。依法免税的供应商应提供相关文件证明；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4、社会保障资金缴纳证明：提供已缴存的 2022年1月1日以来至少一个月的社会保障资金缴存单据或社保机构开具的社会保险参保缴费情况证明。成立时间至提交投标文件截止时间不足一个月或依法不需要缴纳社会保障资金的供应商应提供相关文件证明；</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5、出具履行合同所必需的设备和专业技术能力的书面声明；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6、出具参加本次政府采购活动的书面声明； </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 xml:space="preserve">（2）特定资格条件：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zh-CN"/>
        </w:rPr>
        <w:t>法定代表人授权书及被授权人身份证，并且提供有效的劳动合同或开标截止前六个月内任意一个月养老保险缴纳证明（法人参加只需提供法定代表人身份证明）</w:t>
      </w:r>
      <w:r>
        <w:rPr>
          <w:rFonts w:hint="eastAsia" w:ascii="仿宋" w:hAnsi="仿宋" w:eastAsia="仿宋" w:cs="仿宋"/>
          <w:sz w:val="24"/>
          <w:szCs w:val="24"/>
        </w:rPr>
        <w:t>；</w:t>
      </w:r>
    </w:p>
    <w:p>
      <w:pPr>
        <w:spacing w:line="360" w:lineRule="auto"/>
        <w:ind w:firstLine="480" w:firstLineChars="200"/>
        <w:rPr>
          <w:rFonts w:ascii="仿宋" w:hAnsi="仿宋" w:eastAsia="仿宋" w:cs="仿宋"/>
          <w:b/>
          <w:bCs/>
          <w:sz w:val="24"/>
          <w:szCs w:val="24"/>
          <w:lang w:val="zh-CN"/>
        </w:rPr>
      </w:pPr>
      <w:r>
        <w:rPr>
          <w:rFonts w:hint="eastAsia" w:ascii="仿宋" w:hAnsi="仿宋" w:eastAsia="仿宋" w:cs="仿宋"/>
          <w:sz w:val="24"/>
          <w:szCs w:val="24"/>
        </w:rPr>
        <w:t xml:space="preserve"> 2、符合《财政部关于在政府采购活动中查询及使用信用记录有关问题的通知》（财库【2016】125号）文件中信用查询的要求（此项由采购人与采购代理单位在开标时查询，以现场查询为准）；</w:t>
      </w:r>
    </w:p>
    <w:p>
      <w:pPr>
        <w:autoSpaceDE w:val="0"/>
        <w:autoSpaceDN w:val="0"/>
        <w:adjustRightInd w:val="0"/>
        <w:spacing w:line="360" w:lineRule="auto"/>
        <w:ind w:firstLine="482" w:firstLineChars="200"/>
        <w:outlineLvl w:val="2"/>
        <w:rPr>
          <w:rFonts w:ascii="仿宋" w:hAnsi="仿宋" w:eastAsia="仿宋" w:cs="仿宋"/>
          <w:b/>
          <w:bCs/>
          <w:sz w:val="24"/>
          <w:szCs w:val="24"/>
        </w:rPr>
      </w:pPr>
      <w:bookmarkStart w:id="121" w:name="_Toc3918"/>
      <w:bookmarkStart w:id="122" w:name="_Toc15273"/>
      <w:bookmarkStart w:id="123" w:name="_Toc20800"/>
      <w:bookmarkStart w:id="124" w:name="_Toc22506"/>
      <w:bookmarkStart w:id="125" w:name="_Toc12028"/>
      <w:bookmarkStart w:id="126" w:name="_Toc11454"/>
      <w:bookmarkStart w:id="127" w:name="_Toc28737"/>
      <w:bookmarkStart w:id="128" w:name="_Toc15017"/>
      <w:bookmarkStart w:id="129" w:name="_Toc31732"/>
      <w:r>
        <w:rPr>
          <w:rFonts w:hint="eastAsia" w:ascii="仿宋" w:hAnsi="仿宋" w:eastAsia="仿宋" w:cs="仿宋"/>
          <w:b/>
          <w:bCs/>
          <w:sz w:val="24"/>
          <w:szCs w:val="24"/>
        </w:rPr>
        <w:t>（三）</w:t>
      </w:r>
      <w:r>
        <w:rPr>
          <w:rFonts w:hint="eastAsia" w:ascii="仿宋" w:hAnsi="仿宋" w:eastAsia="仿宋" w:cs="仿宋"/>
          <w:b/>
          <w:bCs/>
          <w:sz w:val="24"/>
          <w:szCs w:val="24"/>
          <w:lang w:val="zh-CN"/>
        </w:rPr>
        <w:t>限制投标要求</w:t>
      </w:r>
      <w:bookmarkEnd w:id="121"/>
      <w:bookmarkEnd w:id="122"/>
      <w:bookmarkEnd w:id="123"/>
      <w:bookmarkEnd w:id="124"/>
      <w:bookmarkEnd w:id="125"/>
      <w:bookmarkEnd w:id="126"/>
      <w:bookmarkEnd w:id="127"/>
      <w:bookmarkEnd w:id="128"/>
      <w:bookmarkEnd w:id="129"/>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供应商单位负责人为同一人或者存在直接控股、管理关系的不同供应商，不得参加同一项目或同一标段的政府采购活动。</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除单一来源采购项目外，为采购项目提供过整体设计、规范编制或者项目管理、监理、检测等服务的供应商，不得再参加同一项目的其他采购活动。</w:t>
      </w:r>
    </w:p>
    <w:p>
      <w:pPr>
        <w:autoSpaceDE w:val="0"/>
        <w:autoSpaceDN w:val="0"/>
        <w:adjustRightIn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rPr>
        <w:t>3、</w:t>
      </w:r>
      <w:r>
        <w:rPr>
          <w:rFonts w:hint="eastAsia" w:ascii="仿宋" w:hAnsi="仿宋" w:eastAsia="仿宋" w:cs="仿宋"/>
          <w:bCs/>
          <w:sz w:val="24"/>
          <w:szCs w:val="24"/>
          <w:lang w:val="zh-CN"/>
        </w:rPr>
        <w:t>对列入失信被执行人、重大税收违法失信主体名单、政府采购严重违法失信行为记录名单及其他不符合《中华人民共和国政府采购法》第二十二条规定条件的供应商，采购代理机构将拒绝其参与政府采购活动。</w:t>
      </w:r>
    </w:p>
    <w:p>
      <w:pPr>
        <w:autoSpaceDE w:val="0"/>
        <w:autoSpaceDN w:val="0"/>
        <w:adjustRightInd w:val="0"/>
        <w:spacing w:line="360" w:lineRule="auto"/>
        <w:ind w:firstLine="482" w:firstLineChars="200"/>
        <w:rPr>
          <w:rFonts w:ascii="仿宋" w:hAnsi="仿宋" w:eastAsia="仿宋" w:cs="仿宋"/>
          <w:bCs/>
          <w:sz w:val="24"/>
          <w:szCs w:val="24"/>
        </w:rPr>
      </w:pPr>
      <w:r>
        <w:rPr>
          <w:rFonts w:hint="eastAsia" w:ascii="仿宋" w:hAnsi="仿宋" w:eastAsia="仿宋" w:cs="仿宋"/>
          <w:b/>
          <w:sz w:val="24"/>
          <w:szCs w:val="24"/>
        </w:rPr>
        <w:t>4、</w:t>
      </w:r>
      <w:r>
        <w:rPr>
          <w:rFonts w:hint="eastAsia" w:ascii="仿宋" w:hAnsi="仿宋" w:eastAsia="仿宋" w:cs="仿宋"/>
          <w:b/>
          <w:sz w:val="24"/>
          <w:szCs w:val="24"/>
          <w:lang w:val="zh-CN"/>
        </w:rPr>
        <w:t>本次招标项目不接受联合体招标</w:t>
      </w:r>
      <w:r>
        <w:rPr>
          <w:rFonts w:hint="eastAsia" w:ascii="仿宋" w:hAnsi="仿宋" w:eastAsia="仿宋" w:cs="仿宋"/>
          <w:bCs/>
          <w:sz w:val="24"/>
          <w:szCs w:val="24"/>
          <w:lang w:val="zh-CN"/>
        </w:rPr>
        <w:t>。</w:t>
      </w:r>
    </w:p>
    <w:p>
      <w:pPr>
        <w:tabs>
          <w:tab w:val="left" w:pos="9030"/>
        </w:tabs>
        <w:snapToGrid w:val="0"/>
        <w:spacing w:line="360" w:lineRule="auto"/>
        <w:ind w:right="-65" w:firstLine="482" w:firstLineChars="200"/>
        <w:outlineLvl w:val="2"/>
        <w:rPr>
          <w:rFonts w:ascii="仿宋" w:hAnsi="仿宋" w:eastAsia="仿宋" w:cs="仿宋"/>
          <w:b/>
          <w:bCs/>
          <w:sz w:val="24"/>
          <w:szCs w:val="24"/>
          <w:lang w:val="zh-CN"/>
        </w:rPr>
      </w:pPr>
      <w:bookmarkStart w:id="130" w:name="_Toc29714"/>
      <w:bookmarkStart w:id="131" w:name="_Toc1281"/>
      <w:bookmarkStart w:id="132" w:name="_Toc9223"/>
      <w:bookmarkStart w:id="133" w:name="_Toc9097"/>
      <w:bookmarkStart w:id="134" w:name="_Toc22410"/>
      <w:bookmarkStart w:id="135" w:name="_Toc12838"/>
      <w:bookmarkStart w:id="136" w:name="_Toc25794"/>
      <w:bookmarkStart w:id="137" w:name="_Toc13491"/>
      <w:bookmarkStart w:id="138" w:name="_Toc2643"/>
      <w:r>
        <w:rPr>
          <w:rFonts w:hint="eastAsia" w:ascii="仿宋" w:hAnsi="仿宋" w:eastAsia="仿宋" w:cs="仿宋"/>
          <w:b/>
          <w:bCs/>
          <w:sz w:val="24"/>
          <w:szCs w:val="24"/>
        </w:rPr>
        <w:t>（四）</w:t>
      </w:r>
      <w:r>
        <w:rPr>
          <w:rFonts w:hint="eastAsia" w:ascii="仿宋" w:hAnsi="仿宋" w:eastAsia="仿宋" w:cs="仿宋"/>
          <w:b/>
          <w:bCs/>
          <w:sz w:val="24"/>
          <w:szCs w:val="24"/>
          <w:lang w:val="zh-CN"/>
        </w:rPr>
        <w:t>投标文件有效期</w:t>
      </w:r>
      <w:bookmarkEnd w:id="130"/>
      <w:bookmarkEnd w:id="131"/>
      <w:bookmarkEnd w:id="132"/>
      <w:bookmarkEnd w:id="133"/>
      <w:bookmarkEnd w:id="134"/>
      <w:bookmarkEnd w:id="135"/>
      <w:bookmarkEnd w:id="136"/>
      <w:bookmarkEnd w:id="137"/>
      <w:bookmarkEnd w:id="138"/>
    </w:p>
    <w:p>
      <w:pPr>
        <w:tabs>
          <w:tab w:val="left" w:pos="9030"/>
        </w:tabs>
        <w:snapToGrid w:val="0"/>
        <w:spacing w:line="360" w:lineRule="auto"/>
        <w:ind w:right="-65" w:firstLine="480" w:firstLineChars="200"/>
        <w:rPr>
          <w:rFonts w:ascii="仿宋" w:hAnsi="仿宋" w:eastAsia="仿宋" w:cs="仿宋"/>
          <w:bCs/>
          <w:sz w:val="24"/>
          <w:szCs w:val="24"/>
          <w:lang w:val="zh-CN"/>
        </w:rPr>
      </w:pPr>
      <w:r>
        <w:rPr>
          <w:rFonts w:hint="eastAsia" w:ascii="仿宋" w:hAnsi="仿宋" w:eastAsia="仿宋" w:cs="仿宋"/>
          <w:sz w:val="24"/>
          <w:szCs w:val="24"/>
          <w:lang w:val="zh-CN"/>
        </w:rPr>
        <w:t>投标文件有效期为自开标之日起90个日历日，在有效期内投标文件对供应商具有法律约束力，以保证采购人完成评标、定标以及合同签订事项。中标供应商的投标文件有效期自动延长至合同执行完毕。</w:t>
      </w:r>
    </w:p>
    <w:p>
      <w:pPr>
        <w:autoSpaceDE w:val="0"/>
        <w:autoSpaceDN w:val="0"/>
        <w:adjustRightInd w:val="0"/>
        <w:snapToGrid w:val="0"/>
        <w:spacing w:line="360" w:lineRule="auto"/>
        <w:ind w:firstLine="482" w:firstLineChars="200"/>
        <w:outlineLvl w:val="2"/>
        <w:rPr>
          <w:rFonts w:ascii="仿宋" w:hAnsi="仿宋" w:eastAsia="仿宋" w:cs="仿宋"/>
          <w:b/>
          <w:sz w:val="24"/>
          <w:szCs w:val="24"/>
          <w:lang w:val="zh-CN"/>
        </w:rPr>
      </w:pPr>
      <w:bookmarkStart w:id="139" w:name="_Toc8253"/>
      <w:bookmarkStart w:id="140" w:name="_Toc10986"/>
      <w:bookmarkStart w:id="141" w:name="_Toc19443"/>
      <w:bookmarkStart w:id="142" w:name="_Toc10948"/>
      <w:bookmarkStart w:id="143" w:name="_Toc21738"/>
      <w:bookmarkStart w:id="144" w:name="_Toc15898"/>
      <w:bookmarkStart w:id="145" w:name="_Toc13087"/>
      <w:bookmarkStart w:id="146" w:name="_Toc32370"/>
      <w:bookmarkStart w:id="147" w:name="_Toc9574"/>
      <w:r>
        <w:rPr>
          <w:rFonts w:hint="eastAsia" w:ascii="仿宋" w:hAnsi="仿宋" w:eastAsia="仿宋" w:cs="仿宋"/>
          <w:b/>
          <w:sz w:val="24"/>
          <w:szCs w:val="24"/>
          <w:lang w:val="zh-CN"/>
        </w:rPr>
        <w:t>（五）投标文件的编写要求</w:t>
      </w:r>
      <w:bookmarkEnd w:id="139"/>
      <w:bookmarkEnd w:id="140"/>
      <w:bookmarkEnd w:id="141"/>
      <w:bookmarkEnd w:id="142"/>
      <w:bookmarkEnd w:id="143"/>
      <w:bookmarkEnd w:id="144"/>
      <w:bookmarkEnd w:id="145"/>
      <w:bookmarkEnd w:id="146"/>
      <w:bookmarkEnd w:id="147"/>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未从采购代理机构处直接购买招标文件的供应商，谢绝报价。投标文件必须根据采购代理机构发售的投标文件格式编写，各供应商对招标文件做出实质性响应。具体内容包括：</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对投标函中内容的响应；</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开标一览表（报价表）和</w:t>
      </w:r>
      <w:r>
        <w:rPr>
          <w:rFonts w:hint="eastAsia" w:ascii="仿宋" w:hAnsi="仿宋" w:eastAsia="仿宋" w:cs="仿宋"/>
          <w:kern w:val="0"/>
          <w:sz w:val="24"/>
          <w:szCs w:val="24"/>
        </w:rPr>
        <w:t>分项报价表</w:t>
      </w:r>
      <w:r>
        <w:rPr>
          <w:rFonts w:hint="eastAsia" w:ascii="仿宋" w:hAnsi="仿宋" w:eastAsia="仿宋" w:cs="仿宋"/>
          <w:sz w:val="24"/>
          <w:szCs w:val="24"/>
          <w:lang w:val="zh-CN"/>
        </w:rPr>
        <w:t>。</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供应商须出具的合格供应商要求文件，证明参加供应商是响应本项目招标的合格供应商。</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（4）</w:t>
      </w:r>
      <w:r>
        <w:rPr>
          <w:rFonts w:hint="eastAsia" w:ascii="仿宋" w:hAnsi="仿宋" w:eastAsia="仿宋" w:cs="仿宋"/>
          <w:sz w:val="24"/>
          <w:szCs w:val="24"/>
          <w:lang w:val="zh-CN"/>
        </w:rPr>
        <w:t>供应商为本次招标活动编制的实施方案，具有履行合同所必须的人员和专业技术能力，配备了相应的商务和技术人员，项目在组织实施、服务承诺等方面具体做法和保障措施。</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（5）</w:t>
      </w:r>
      <w:r>
        <w:rPr>
          <w:rFonts w:hint="eastAsia" w:ascii="仿宋" w:hAnsi="仿宋" w:eastAsia="仿宋" w:cs="仿宋"/>
          <w:sz w:val="24"/>
          <w:szCs w:val="24"/>
          <w:lang w:val="zh-CN"/>
        </w:rPr>
        <w:t>供应商提供相应业绩，证明其供应经验及能力，以及为招标活动提供的合理化建议。</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（6）</w:t>
      </w:r>
      <w:r>
        <w:rPr>
          <w:rFonts w:hint="eastAsia" w:ascii="仿宋" w:hAnsi="仿宋" w:eastAsia="仿宋" w:cs="仿宋"/>
          <w:sz w:val="24"/>
          <w:szCs w:val="24"/>
          <w:lang w:val="zh-CN"/>
        </w:rPr>
        <w:t>供应商根据招标文件载明采购活动的实际情况，拟在中标后将中标项目非主体、非关键性工作交由他人完成的，应当在投标文件中注明，并提供交由完成企业的营业执照、相应资质等内容，且其允许的资质范围包含本项目招标的内容。</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投标文件的编写:</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sz w:val="24"/>
          <w:szCs w:val="24"/>
        </w:rPr>
        <w:t>（1）</w:t>
      </w:r>
      <w:r>
        <w:rPr>
          <w:rFonts w:hint="eastAsia" w:ascii="仿宋" w:hAnsi="仿宋" w:eastAsia="仿宋" w:cs="仿宋"/>
          <w:sz w:val="24"/>
          <w:szCs w:val="24"/>
          <w:lang w:val="zh-CN"/>
        </w:rPr>
        <w:t>供应商需按招标文件的“第五部分”编写投标文件，</w:t>
      </w:r>
      <w:r>
        <w:rPr>
          <w:rFonts w:hint="eastAsia" w:ascii="仿宋" w:hAnsi="仿宋" w:eastAsia="仿宋" w:cs="仿宋"/>
          <w:bCs/>
          <w:sz w:val="24"/>
          <w:szCs w:val="24"/>
        </w:rPr>
        <w:t>如有必要，可以增加附页，作为投标文件的组成部分。</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（2）投标文件编写说明:</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①供应商提交的投标文件以及供应商与采购代理机构就有关投标的所有来往通知、函件和文件均应使用简体中文。</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②除技术性能另有规定外，投标文件所使用的度量衡单位，均须采用国家法定计量单位。</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③供应商应仔细阅读招标文件，充分理解招标文件的要求。凡与招标文件的规定有重大不符合的投标文件，投标被拒绝。</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④凡没有按投标文件格式和内容编写、投标文件组成不全的供应商，投标被拒绝。</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⑤供应商必须对招标文件的所有规定和要求作出实质性响应，否则投标被拒绝。</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⑥供应商应仔细阅读招标文件的所有内容，按招标文件的要求提供投标文件，并保证所提供的全部资料的真实性，否则投标被拒绝。</w:t>
      </w:r>
    </w:p>
    <w:p>
      <w:pPr>
        <w:autoSpaceDE w:val="0"/>
        <w:autoSpaceDN w:val="0"/>
        <w:adjustRightInd w:val="0"/>
        <w:snapToGrid w:val="0"/>
        <w:spacing w:line="360" w:lineRule="auto"/>
        <w:ind w:firstLine="482" w:firstLineChars="200"/>
        <w:outlineLvl w:val="2"/>
        <w:rPr>
          <w:rFonts w:ascii="仿宋" w:hAnsi="仿宋" w:eastAsia="仿宋" w:cs="仿宋"/>
          <w:b/>
          <w:sz w:val="24"/>
          <w:szCs w:val="24"/>
          <w:lang w:val="zh-CN"/>
        </w:rPr>
      </w:pPr>
      <w:bookmarkStart w:id="148" w:name="_Toc1681"/>
      <w:bookmarkStart w:id="149" w:name="_Toc20008"/>
      <w:bookmarkStart w:id="150" w:name="_Toc841"/>
      <w:bookmarkStart w:id="151" w:name="_Toc2115"/>
      <w:bookmarkStart w:id="152" w:name="_Toc1222"/>
      <w:bookmarkStart w:id="153" w:name="_Toc30294"/>
      <w:bookmarkStart w:id="154" w:name="_Toc14561"/>
      <w:bookmarkStart w:id="155" w:name="_Toc26915"/>
      <w:bookmarkStart w:id="156" w:name="_Toc11902"/>
      <w:r>
        <w:rPr>
          <w:rFonts w:hint="eastAsia" w:ascii="仿宋" w:hAnsi="仿宋" w:eastAsia="仿宋" w:cs="仿宋"/>
          <w:b/>
          <w:sz w:val="24"/>
          <w:szCs w:val="24"/>
          <w:lang w:val="zh-CN"/>
        </w:rPr>
        <w:t>（六）投标报价要求</w:t>
      </w:r>
      <w:bookmarkEnd w:id="148"/>
      <w:bookmarkEnd w:id="149"/>
      <w:bookmarkEnd w:id="150"/>
      <w:bookmarkEnd w:id="151"/>
      <w:bookmarkEnd w:id="152"/>
      <w:bookmarkEnd w:id="153"/>
      <w:bookmarkEnd w:id="154"/>
      <w:bookmarkEnd w:id="155"/>
      <w:bookmarkEnd w:id="156"/>
    </w:p>
    <w:p>
      <w:pPr>
        <w:tabs>
          <w:tab w:val="left" w:pos="9030"/>
        </w:tabs>
        <w:snapToGrid w:val="0"/>
        <w:spacing w:line="360" w:lineRule="auto"/>
        <w:ind w:right="-65" w:firstLine="480" w:firstLineChars="200"/>
        <w:rPr>
          <w:rFonts w:ascii="仿宋" w:hAnsi="仿宋" w:eastAsia="仿宋" w:cs="仿宋"/>
          <w:sz w:val="24"/>
          <w:szCs w:val="24"/>
        </w:rPr>
      </w:pPr>
      <w:bookmarkStart w:id="157" w:name="_Toc10555"/>
      <w:r>
        <w:rPr>
          <w:rFonts w:hint="eastAsia" w:ascii="仿宋" w:hAnsi="仿宋" w:eastAsia="仿宋" w:cs="仿宋"/>
          <w:sz w:val="24"/>
          <w:szCs w:val="24"/>
        </w:rPr>
        <w:t>1、供应商应在投标文件中的投标报价一览表上标明投标总报价</w:t>
      </w:r>
      <w:r>
        <w:rPr>
          <w:rFonts w:hint="eastAsia" w:ascii="仿宋" w:hAnsi="仿宋" w:eastAsia="仿宋" w:cs="仿宋"/>
          <w:sz w:val="24"/>
          <w:szCs w:val="24"/>
          <w:lang w:val="zh-CN"/>
        </w:rPr>
        <w:t>，</w:t>
      </w:r>
      <w:r>
        <w:rPr>
          <w:rFonts w:hint="eastAsia" w:ascii="仿宋" w:hAnsi="仿宋" w:eastAsia="仿宋" w:cs="仿宋"/>
          <w:sz w:val="24"/>
          <w:szCs w:val="24"/>
        </w:rPr>
        <w:t>实施周期</w:t>
      </w:r>
      <w:r>
        <w:rPr>
          <w:rFonts w:hint="eastAsia" w:ascii="仿宋" w:hAnsi="仿宋" w:eastAsia="仿宋" w:cs="仿宋"/>
          <w:sz w:val="24"/>
          <w:szCs w:val="24"/>
          <w:lang w:val="zh-CN"/>
        </w:rPr>
        <w:t>等，投标总报价</w:t>
      </w:r>
      <w:r>
        <w:rPr>
          <w:rFonts w:hint="eastAsia" w:ascii="仿宋" w:hAnsi="仿宋" w:eastAsia="仿宋" w:cs="仿宋"/>
          <w:sz w:val="24"/>
          <w:szCs w:val="24"/>
        </w:rPr>
        <w:t>只能提交唯一报价，任何有选择的报价采购代理机构将不予接受，其投标文件视为无效文件。</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2、投标总价包括但不限于货物费、包装、生产、运输、装卸、安装调试费、检测验收费、保险、验收、税金等一切费用。</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凡因供应商对招标文件阅读不深、理解不透、误解、疏漏、或因市场行情了解不清造成的后果和风险均由供应商自行负责。</w:t>
      </w:r>
    </w:p>
    <w:p>
      <w:pPr>
        <w:tabs>
          <w:tab w:val="left" w:pos="9030"/>
        </w:tabs>
        <w:snapToGrid w:val="0"/>
        <w:spacing w:line="360" w:lineRule="auto"/>
        <w:ind w:right="-65" w:firstLine="480" w:firstLineChars="200"/>
        <w:rPr>
          <w:rFonts w:ascii="仿宋" w:hAnsi="仿宋" w:eastAsia="仿宋" w:cs="仿宋"/>
          <w:sz w:val="24"/>
          <w:szCs w:val="24"/>
          <w:highlight w:val="yellow"/>
          <w:lang w:val="zh-CN"/>
        </w:rPr>
      </w:pPr>
      <w:r>
        <w:rPr>
          <w:rFonts w:hint="eastAsia" w:ascii="仿宋" w:hAnsi="仿宋" w:eastAsia="仿宋" w:cs="仿宋"/>
          <w:sz w:val="24"/>
          <w:szCs w:val="24"/>
          <w:highlight w:val="yellow"/>
        </w:rPr>
        <w:t>4、</w:t>
      </w:r>
      <w:r>
        <w:rPr>
          <w:rFonts w:hint="eastAsia" w:ascii="仿宋" w:hAnsi="仿宋" w:eastAsia="仿宋" w:cs="仿宋"/>
          <w:sz w:val="24"/>
          <w:szCs w:val="24"/>
          <w:highlight w:val="yellow"/>
          <w:lang w:val="zh-CN"/>
        </w:rPr>
        <w:t>供应商不得以低于成本的报价参与投标。当评标委员会认为，某供应商的报价或者部分分项报价存在明显不合理的低于成本的报价，有可能影响服务质量和不能诚信履约的，可要求该供应商在规定期限内，提供必要的书面文件予以解释和说明并附带相关证明材料；否则，评标委员会认定该供应商以低于成本价竞价，其投标文件作无效文件处理。</w:t>
      </w:r>
    </w:p>
    <w:p>
      <w:pPr>
        <w:pStyle w:val="88"/>
        <w:ind w:firstLine="48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zh-CN"/>
        </w:rPr>
        <w:t>最低报价不是中标的唯一依据，投标过程中所产生的一切费用由供应商自行承担。</w:t>
      </w:r>
    </w:p>
    <w:bookmarkEnd w:id="157"/>
    <w:p>
      <w:pPr>
        <w:autoSpaceDE w:val="0"/>
        <w:autoSpaceDN w:val="0"/>
        <w:adjustRightInd w:val="0"/>
        <w:snapToGrid w:val="0"/>
        <w:spacing w:line="360" w:lineRule="auto"/>
        <w:ind w:firstLine="482" w:firstLineChars="200"/>
        <w:outlineLvl w:val="2"/>
        <w:rPr>
          <w:rFonts w:hint="eastAsia" w:ascii="仿宋" w:hAnsi="仿宋" w:eastAsia="仿宋" w:cs="仿宋"/>
          <w:b/>
          <w:sz w:val="24"/>
          <w:szCs w:val="24"/>
          <w:lang w:val="zh-CN"/>
        </w:rPr>
      </w:pPr>
      <w:bookmarkStart w:id="158" w:name="_Toc25485"/>
      <w:bookmarkStart w:id="159" w:name="_Toc29615"/>
      <w:bookmarkStart w:id="160" w:name="_Toc31895"/>
      <w:bookmarkStart w:id="161" w:name="_Toc30102"/>
      <w:bookmarkStart w:id="162" w:name="_Toc30010"/>
      <w:bookmarkStart w:id="163" w:name="_Toc26728"/>
      <w:bookmarkStart w:id="164" w:name="_Toc1393"/>
      <w:bookmarkStart w:id="165" w:name="_Toc1841"/>
      <w:bookmarkStart w:id="166" w:name="_Toc21181"/>
      <w:bookmarkStart w:id="167" w:name="_Toc10101"/>
      <w:bookmarkStart w:id="168" w:name="_Toc15088"/>
      <w:bookmarkStart w:id="169" w:name="_Toc9238"/>
      <w:bookmarkStart w:id="170" w:name="_Toc22665"/>
      <w:bookmarkStart w:id="171" w:name="_Toc10701"/>
      <w:bookmarkStart w:id="172" w:name="_Toc11741"/>
      <w:bookmarkStart w:id="173" w:name="_Toc3341"/>
      <w:bookmarkStart w:id="174" w:name="_Toc26261"/>
      <w:bookmarkStart w:id="175" w:name="_Toc1086"/>
      <w:bookmarkStart w:id="176" w:name="_Toc24197"/>
      <w:bookmarkStart w:id="177" w:name="_Toc18340"/>
      <w:bookmarkStart w:id="178" w:name="_Toc14485"/>
      <w:bookmarkStart w:id="179" w:name="_Toc1719"/>
      <w:r>
        <w:rPr>
          <w:rFonts w:hint="eastAsia" w:ascii="仿宋" w:hAnsi="仿宋" w:eastAsia="仿宋" w:cs="仿宋"/>
          <w:b/>
          <w:sz w:val="24"/>
          <w:szCs w:val="24"/>
          <w:lang w:val="zh-CN"/>
        </w:rPr>
        <w:t>（七）投标保证金</w:t>
      </w:r>
      <w:bookmarkEnd w:id="158"/>
      <w:bookmarkEnd w:id="159"/>
      <w:bookmarkEnd w:id="160"/>
      <w:bookmarkEnd w:id="161"/>
      <w:bookmarkEnd w:id="162"/>
      <w:bookmarkEnd w:id="163"/>
      <w:bookmarkEnd w:id="164"/>
      <w:bookmarkEnd w:id="165"/>
      <w:bookmarkEnd w:id="166"/>
      <w:bookmarkEnd w:id="167"/>
      <w:bookmarkEnd w:id="168"/>
      <w:bookmarkEnd w:id="169"/>
      <w:bookmarkEnd w:id="170"/>
    </w:p>
    <w:p>
      <w:pPr>
        <w:tabs>
          <w:tab w:val="left" w:pos="9030"/>
        </w:tabs>
        <w:snapToGrid w:val="0"/>
        <w:spacing w:line="360" w:lineRule="auto"/>
        <w:ind w:right="-65" w:firstLine="480" w:firstLineChars="200"/>
        <w:rPr>
          <w:rFonts w:hint="eastAsia" w:ascii="仿宋" w:hAnsi="仿宋" w:eastAsia="仿宋" w:cs="仿宋"/>
          <w:sz w:val="24"/>
          <w:szCs w:val="24"/>
        </w:rPr>
      </w:pPr>
      <w:r>
        <w:rPr>
          <w:rFonts w:hint="eastAsia" w:ascii="仿宋" w:hAnsi="仿宋" w:eastAsia="仿宋" w:cs="仿宋"/>
          <w:sz w:val="24"/>
          <w:szCs w:val="24"/>
        </w:rPr>
        <w:t>1、为了确保投标活动顺利进行，各</w:t>
      </w:r>
      <w:r>
        <w:rPr>
          <w:rFonts w:hint="eastAsia" w:ascii="仿宋" w:hAnsi="仿宋" w:eastAsia="仿宋" w:cs="仿宋"/>
          <w:sz w:val="24"/>
          <w:szCs w:val="24"/>
          <w:lang w:eastAsia="zh-CN"/>
        </w:rPr>
        <w:t>供应商</w:t>
      </w:r>
      <w:r>
        <w:rPr>
          <w:rFonts w:hint="eastAsia" w:ascii="仿宋" w:hAnsi="仿宋" w:eastAsia="仿宋" w:cs="仿宋"/>
          <w:sz w:val="24"/>
          <w:szCs w:val="24"/>
        </w:rPr>
        <w:t>须向代理机构递交投标保证金，投标保证金应当以支票、汇票、本票或者担保机构出具的保函等非现金方式提交。以电汇、转账等形式缴纳保证金应从</w:t>
      </w:r>
      <w:r>
        <w:rPr>
          <w:rFonts w:hint="eastAsia" w:ascii="仿宋" w:hAnsi="仿宋" w:eastAsia="仿宋" w:cs="仿宋"/>
          <w:sz w:val="24"/>
          <w:szCs w:val="24"/>
          <w:lang w:eastAsia="zh-CN"/>
        </w:rPr>
        <w:t>供应商</w:t>
      </w:r>
      <w:r>
        <w:rPr>
          <w:rFonts w:hint="eastAsia" w:ascii="仿宋" w:hAnsi="仿宋" w:eastAsia="仿宋" w:cs="仿宋"/>
          <w:sz w:val="24"/>
          <w:szCs w:val="24"/>
        </w:rPr>
        <w:t>账户转出，必须写明项目编号、项目名称（简称）也可和投标保证金字样，便于财务部查询登记，</w:t>
      </w:r>
      <w:r>
        <w:rPr>
          <w:rFonts w:hint="eastAsia" w:ascii="仿宋" w:hAnsi="仿宋" w:eastAsia="仿宋" w:cs="仿宋"/>
          <w:sz w:val="24"/>
          <w:szCs w:val="24"/>
          <w:lang w:val="zh-CN"/>
        </w:rPr>
        <w:t>须在投标截止一个工作日前到账。</w:t>
      </w:r>
      <w:r>
        <w:rPr>
          <w:rFonts w:hint="eastAsia" w:ascii="仿宋" w:hAnsi="仿宋" w:eastAsia="仿宋" w:cs="仿宋"/>
          <w:sz w:val="24"/>
          <w:szCs w:val="24"/>
        </w:rPr>
        <w:t>凡投标文件中未附保证金缴纳凭证（复印件加盖公章）的</w:t>
      </w:r>
      <w:r>
        <w:rPr>
          <w:rFonts w:hint="eastAsia" w:ascii="仿宋" w:hAnsi="仿宋" w:eastAsia="仿宋" w:cs="仿宋"/>
          <w:sz w:val="24"/>
          <w:szCs w:val="24"/>
          <w:lang w:eastAsia="zh-CN"/>
        </w:rPr>
        <w:t>供应商</w:t>
      </w:r>
      <w:r>
        <w:rPr>
          <w:rFonts w:hint="eastAsia" w:ascii="仿宋" w:hAnsi="仿宋" w:eastAsia="仿宋" w:cs="仿宋"/>
          <w:sz w:val="24"/>
          <w:szCs w:val="24"/>
        </w:rPr>
        <w:t>，视为非响应性投标，其投标无效。</w:t>
      </w:r>
    </w:p>
    <w:p>
      <w:pPr>
        <w:tabs>
          <w:tab w:val="left" w:pos="9030"/>
        </w:tabs>
        <w:snapToGrid w:val="0"/>
        <w:spacing w:line="360" w:lineRule="auto"/>
        <w:ind w:right="-65" w:firstLine="480" w:firstLineChars="200"/>
        <w:rPr>
          <w:rFonts w:hint="eastAsia" w:ascii="仿宋" w:hAnsi="仿宋" w:eastAsia="仿宋" w:cs="仿宋"/>
          <w:sz w:val="24"/>
          <w:szCs w:val="24"/>
          <w:highlight w:val="yellow"/>
        </w:rPr>
      </w:pPr>
      <w:r>
        <w:rPr>
          <w:rFonts w:hint="eastAsia" w:ascii="仿宋" w:hAnsi="仿宋" w:eastAsia="仿宋" w:cs="仿宋"/>
          <w:sz w:val="24"/>
          <w:szCs w:val="24"/>
        </w:rPr>
        <w:t>保证金：</w:t>
      </w:r>
      <w:r>
        <w:rPr>
          <w:rFonts w:hint="eastAsia" w:ascii="仿宋" w:hAnsi="仿宋" w:eastAsia="仿宋" w:cs="仿宋"/>
          <w:sz w:val="24"/>
          <w:szCs w:val="24"/>
          <w:highlight w:val="none"/>
        </w:rPr>
        <w:t>人民币</w:t>
      </w:r>
      <w:r>
        <w:rPr>
          <w:rFonts w:hint="eastAsia" w:ascii="仿宋" w:hAnsi="仿宋" w:eastAsia="仿宋" w:cs="仿宋"/>
          <w:sz w:val="24"/>
          <w:szCs w:val="24"/>
          <w:highlight w:val="none"/>
          <w:lang w:eastAsia="zh-CN"/>
        </w:rPr>
        <w:t>壹拾万元</w:t>
      </w:r>
      <w:r>
        <w:rPr>
          <w:rFonts w:hint="eastAsia" w:ascii="仿宋" w:hAnsi="仿宋" w:eastAsia="仿宋" w:cs="仿宋"/>
          <w:sz w:val="24"/>
          <w:szCs w:val="24"/>
          <w:highlight w:val="none"/>
        </w:rPr>
        <w:t>整（￥</w:t>
      </w:r>
      <w:r>
        <w:rPr>
          <w:rFonts w:hint="eastAsia" w:ascii="仿宋" w:hAnsi="仿宋" w:eastAsia="仿宋" w:cs="仿宋"/>
          <w:sz w:val="24"/>
          <w:szCs w:val="24"/>
          <w:highlight w:val="none"/>
          <w:lang w:val="en-US" w:eastAsia="zh-CN"/>
        </w:rPr>
        <w:t>100000.00</w:t>
      </w:r>
      <w:r>
        <w:rPr>
          <w:rFonts w:hint="eastAsia" w:ascii="仿宋" w:hAnsi="仿宋" w:eastAsia="仿宋" w:cs="仿宋"/>
          <w:sz w:val="24"/>
          <w:szCs w:val="24"/>
          <w:highlight w:val="none"/>
        </w:rPr>
        <w:t>元）</w:t>
      </w:r>
    </w:p>
    <w:p>
      <w:pPr>
        <w:tabs>
          <w:tab w:val="left" w:pos="9030"/>
        </w:tabs>
        <w:snapToGrid w:val="0"/>
        <w:spacing w:line="360" w:lineRule="auto"/>
        <w:ind w:right="-65" w:firstLine="480" w:firstLineChars="200"/>
        <w:rPr>
          <w:rFonts w:hint="eastAsia" w:ascii="仿宋" w:hAnsi="仿宋" w:eastAsia="仿宋" w:cs="仿宋"/>
          <w:sz w:val="24"/>
          <w:szCs w:val="24"/>
        </w:rPr>
      </w:pPr>
      <w:r>
        <w:rPr>
          <w:rFonts w:hint="eastAsia" w:ascii="仿宋" w:hAnsi="仿宋" w:eastAsia="仿宋" w:cs="仿宋"/>
          <w:sz w:val="24"/>
          <w:szCs w:val="24"/>
        </w:rPr>
        <w:t>保证金缴纳信息</w:t>
      </w:r>
    </w:p>
    <w:p>
      <w:pPr>
        <w:keepNext w:val="0"/>
        <w:keepLines w:val="0"/>
        <w:tabs>
          <w:tab w:val="left" w:pos="9030"/>
        </w:tabs>
        <w:kinsoku/>
        <w:wordWrap/>
        <w:overflowPunct/>
        <w:topLinePunct w:val="0"/>
        <w:bidi w:val="0"/>
        <w:snapToGrid w:val="0"/>
        <w:spacing w:line="360" w:lineRule="auto"/>
        <w:ind w:right="-65"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收取保证金单位名称：陕西</w:t>
      </w:r>
      <w:r>
        <w:rPr>
          <w:rFonts w:hint="eastAsia" w:ascii="仿宋" w:hAnsi="仿宋" w:eastAsia="仿宋" w:cs="仿宋"/>
          <w:sz w:val="24"/>
          <w:szCs w:val="24"/>
          <w:lang w:eastAsia="zh-CN"/>
        </w:rPr>
        <w:t>笃信</w:t>
      </w:r>
      <w:r>
        <w:rPr>
          <w:rFonts w:hint="eastAsia" w:ascii="仿宋" w:hAnsi="仿宋" w:eastAsia="仿宋" w:cs="仿宋"/>
          <w:sz w:val="24"/>
          <w:szCs w:val="24"/>
        </w:rPr>
        <w:t>招标有限公司</w:t>
      </w:r>
    </w:p>
    <w:p>
      <w:pPr>
        <w:keepNext w:val="0"/>
        <w:keepLines w:val="0"/>
        <w:tabs>
          <w:tab w:val="left" w:pos="9030"/>
        </w:tabs>
        <w:kinsoku/>
        <w:wordWrap/>
        <w:overflowPunct/>
        <w:topLinePunct w:val="0"/>
        <w:bidi w:val="0"/>
        <w:snapToGrid w:val="0"/>
        <w:spacing w:line="360" w:lineRule="auto"/>
        <w:ind w:right="-65"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lang w:eastAsia="zh-CN"/>
        </w:rPr>
        <w:t>中国建设银行股份有限公司西安劳动北路支行</w:t>
      </w:r>
    </w:p>
    <w:p>
      <w:pPr>
        <w:keepNext w:val="0"/>
        <w:keepLines w:val="0"/>
        <w:tabs>
          <w:tab w:val="left" w:pos="9030"/>
        </w:tabs>
        <w:kinsoku/>
        <w:wordWrap/>
        <w:overflowPunct/>
        <w:topLinePunct w:val="0"/>
        <w:bidi w:val="0"/>
        <w:snapToGrid w:val="0"/>
        <w:spacing w:line="360" w:lineRule="auto"/>
        <w:ind w:right="-65"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账   号：</w:t>
      </w:r>
      <w:r>
        <w:rPr>
          <w:rFonts w:hint="eastAsia" w:ascii="仿宋" w:hAnsi="仿宋" w:eastAsia="仿宋" w:cs="仿宋"/>
          <w:sz w:val="24"/>
          <w:szCs w:val="24"/>
          <w:lang w:val="en-US" w:eastAsia="zh-CN"/>
        </w:rPr>
        <w:t>61050174390000000193</w:t>
      </w:r>
    </w:p>
    <w:p>
      <w:pPr>
        <w:tabs>
          <w:tab w:val="left" w:pos="9030"/>
        </w:tabs>
        <w:snapToGrid w:val="0"/>
        <w:spacing w:line="360" w:lineRule="auto"/>
        <w:ind w:right="-65"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rPr>
        <w:t>联 系 人：</w:t>
      </w:r>
      <w:r>
        <w:rPr>
          <w:rFonts w:hint="eastAsia" w:ascii="仿宋" w:hAnsi="仿宋" w:eastAsia="仿宋" w:cs="仿宋"/>
          <w:sz w:val="24"/>
          <w:szCs w:val="24"/>
          <w:lang w:val="en-US" w:eastAsia="zh-CN"/>
        </w:rPr>
        <w:t>王雪婷</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未中标供应商的投标保证金，在中标通知书发出之日起五日内退还；中标供应商的投标保证金在合同签订之日五日内退还（</w:t>
      </w:r>
      <w:r>
        <w:rPr>
          <w:rFonts w:hint="eastAsia" w:ascii="仿宋" w:hAnsi="仿宋" w:eastAsia="仿宋" w:cs="仿宋"/>
          <w:b/>
          <w:bCs/>
          <w:sz w:val="24"/>
          <w:szCs w:val="24"/>
          <w:lang w:val="zh-CN"/>
        </w:rPr>
        <w:t>需提供与采购人签订的合同复印件</w:t>
      </w:r>
      <w:r>
        <w:rPr>
          <w:rFonts w:hint="eastAsia" w:ascii="仿宋" w:hAnsi="仿宋" w:eastAsia="仿宋" w:cs="仿宋"/>
          <w:sz w:val="24"/>
          <w:szCs w:val="24"/>
          <w:lang w:val="zh-CN"/>
        </w:rPr>
        <w:t>）。由供应商自身原因导致未及时退还的，由供应商自行负责。</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下列情况发生，保证金将不予退还：</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供应商在提交投标文件截止时间后撤回投标文件的；</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供应商在投标文件中提供虚假材料的；</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3）</w:t>
      </w:r>
      <w:r>
        <w:rPr>
          <w:rFonts w:hint="eastAsia" w:ascii="仿宋" w:hAnsi="仿宋" w:eastAsia="仿宋" w:cs="仿宋"/>
          <w:sz w:val="24"/>
          <w:szCs w:val="24"/>
          <w:lang w:val="zh-CN"/>
        </w:rPr>
        <w:t>除因不可抗力或招标文件认可的情形以外，中标供应商不与采购人签订合同的；</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lang w:val="zh-CN"/>
        </w:rPr>
        <w:t>相互串通投标或者与采购人串通投标的，向采购人或者评标委员会成员行贿谋取中标的，以他人名义投标或者以其他方式弄虚作假骗取中标的；</w:t>
      </w:r>
    </w:p>
    <w:p>
      <w:pPr>
        <w:tabs>
          <w:tab w:val="left" w:pos="9030"/>
        </w:tabs>
        <w:snapToGrid w:val="0"/>
        <w:spacing w:line="360" w:lineRule="auto"/>
        <w:ind w:right="-65" w:firstLine="480" w:firstLineChars="200"/>
        <w:rPr>
          <w:rFonts w:hint="eastAsia" w:ascii="仿宋" w:hAnsi="仿宋" w:eastAsia="仿宋" w:cs="仿宋"/>
          <w:b/>
          <w:sz w:val="24"/>
          <w:szCs w:val="24"/>
          <w:lang w:val="zh-CN"/>
        </w:rPr>
      </w:pPr>
      <w:r>
        <w:rPr>
          <w:rFonts w:hint="eastAsia" w:ascii="仿宋" w:hAnsi="仿宋" w:eastAsia="仿宋" w:cs="仿宋"/>
          <w:sz w:val="24"/>
          <w:szCs w:val="24"/>
        </w:rPr>
        <w:t>（5）</w:t>
      </w:r>
      <w:r>
        <w:rPr>
          <w:rFonts w:hint="eastAsia" w:ascii="仿宋" w:hAnsi="仿宋" w:eastAsia="仿宋" w:cs="仿宋"/>
          <w:sz w:val="24"/>
          <w:szCs w:val="24"/>
          <w:lang w:val="zh-CN"/>
        </w:rPr>
        <w:t>中标供应商未能按规定交纳代理服务费的。</w:t>
      </w:r>
    </w:p>
    <w:p>
      <w:pPr>
        <w:autoSpaceDE w:val="0"/>
        <w:autoSpaceDN w:val="0"/>
        <w:adjustRightInd w:val="0"/>
        <w:snapToGrid w:val="0"/>
        <w:spacing w:line="360" w:lineRule="auto"/>
        <w:ind w:firstLine="482" w:firstLineChars="200"/>
        <w:outlineLvl w:val="2"/>
        <w:rPr>
          <w:rFonts w:ascii="仿宋" w:hAnsi="仿宋" w:eastAsia="仿宋" w:cs="仿宋"/>
          <w:b/>
          <w:sz w:val="24"/>
          <w:szCs w:val="24"/>
          <w:lang w:val="zh-CN"/>
        </w:rPr>
      </w:pPr>
      <w:r>
        <w:rPr>
          <w:rFonts w:hint="eastAsia" w:ascii="仿宋" w:hAnsi="仿宋" w:eastAsia="仿宋" w:cs="仿宋"/>
          <w:b/>
          <w:sz w:val="24"/>
          <w:szCs w:val="24"/>
          <w:lang w:val="zh-CN"/>
        </w:rPr>
        <w:t>（八）投标文件的式样和签署</w:t>
      </w:r>
      <w:bookmarkEnd w:id="171"/>
      <w:bookmarkEnd w:id="172"/>
      <w:bookmarkEnd w:id="173"/>
      <w:bookmarkEnd w:id="174"/>
      <w:bookmarkEnd w:id="175"/>
      <w:bookmarkEnd w:id="176"/>
      <w:bookmarkEnd w:id="177"/>
      <w:bookmarkEnd w:id="178"/>
      <w:bookmarkEnd w:id="179"/>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供应商应按照招标文件格式，准备正本一份、副本三份和投标文件电子版一份（提供与纸质投标文件一致的PDF格式和</w:t>
      </w:r>
      <w:r>
        <w:rPr>
          <w:rFonts w:hint="eastAsia" w:ascii="仿宋" w:hAnsi="仿宋" w:eastAsia="仿宋" w:cs="仿宋"/>
          <w:sz w:val="24"/>
          <w:szCs w:val="24"/>
        </w:rPr>
        <w:t>word格式</w:t>
      </w:r>
      <w:r>
        <w:rPr>
          <w:rFonts w:hint="eastAsia" w:ascii="仿宋" w:hAnsi="仿宋" w:eastAsia="仿宋" w:cs="仿宋"/>
          <w:sz w:val="24"/>
          <w:szCs w:val="24"/>
          <w:lang w:val="zh-CN"/>
        </w:rPr>
        <w:t>，U盘存储），投标文件的封面上应清楚地标记“正本”、“副本”、“电子版”字样。招标文件中“第五部分 四、供应商资格证明文件”单独胶装成册1本，与投标文件正本一同密封。</w:t>
      </w:r>
    </w:p>
    <w:p>
      <w:pPr>
        <w:tabs>
          <w:tab w:val="left" w:pos="9030"/>
        </w:tabs>
        <w:snapToGrid w:val="0"/>
        <w:spacing w:line="360" w:lineRule="auto"/>
        <w:ind w:right="-65" w:firstLine="480" w:firstLineChars="200"/>
        <w:rPr>
          <w:rFonts w:ascii="仿宋" w:hAnsi="仿宋" w:eastAsia="仿宋" w:cs="仿宋"/>
          <w:spacing w:val="-6"/>
          <w:sz w:val="24"/>
          <w:szCs w:val="24"/>
        </w:rPr>
      </w:pPr>
      <w:r>
        <w:rPr>
          <w:rFonts w:hint="eastAsia" w:ascii="仿宋" w:hAnsi="仿宋" w:eastAsia="仿宋" w:cs="仿宋"/>
          <w:sz w:val="24"/>
          <w:szCs w:val="24"/>
        </w:rPr>
        <w:t>2、投标文件的正本和所有的副本建议双面打印印并用不褪色蓝（黑）墨水（汁）书写，统一装订、标码，在每一页的正下方清楚标明页码等字样。</w:t>
      </w:r>
      <w:r>
        <w:rPr>
          <w:rFonts w:hint="eastAsia" w:ascii="仿宋" w:hAnsi="仿宋" w:eastAsia="仿宋" w:cs="仿宋"/>
          <w:spacing w:val="-6"/>
          <w:sz w:val="24"/>
          <w:szCs w:val="24"/>
        </w:rPr>
        <w:t>因字迹不清、表达不准或不按给定的投标文件格式编制的投标文件，所引起的不利后果由供应商自负。</w:t>
      </w:r>
    </w:p>
    <w:p>
      <w:pPr>
        <w:tabs>
          <w:tab w:val="left" w:pos="9030"/>
        </w:tabs>
        <w:snapToGrid w:val="0"/>
        <w:spacing w:line="360" w:lineRule="auto"/>
        <w:ind w:right="-65" w:firstLine="480" w:firstLineChars="200"/>
        <w:rPr>
          <w:rFonts w:ascii="仿宋" w:hAnsi="仿宋" w:eastAsia="仿宋" w:cs="仿宋"/>
          <w:bCs/>
          <w:sz w:val="24"/>
          <w:szCs w:val="24"/>
        </w:rPr>
      </w:pPr>
      <w:r>
        <w:rPr>
          <w:rFonts w:hint="eastAsia" w:ascii="仿宋" w:hAnsi="仿宋" w:eastAsia="仿宋" w:cs="仿宋"/>
          <w:sz w:val="24"/>
          <w:szCs w:val="24"/>
        </w:rPr>
        <w:t>3、</w:t>
      </w:r>
      <w:r>
        <w:rPr>
          <w:rFonts w:hint="eastAsia" w:ascii="仿宋" w:hAnsi="仿宋" w:eastAsia="仿宋" w:cs="仿宋"/>
          <w:bCs/>
          <w:sz w:val="24"/>
          <w:szCs w:val="24"/>
        </w:rPr>
        <w:t>投标文件必须加盖供应商公章并按照招标文件要求由法定代表人（或授权代表人）签字。若未按照要求签署的，按无效文件处理。</w:t>
      </w:r>
    </w:p>
    <w:p>
      <w:pPr>
        <w:tabs>
          <w:tab w:val="left" w:pos="9030"/>
        </w:tabs>
        <w:snapToGrid w:val="0"/>
        <w:spacing w:line="360" w:lineRule="auto"/>
        <w:ind w:right="-65" w:firstLine="480" w:firstLineChars="200"/>
        <w:rPr>
          <w:rFonts w:ascii="仿宋" w:hAnsi="仿宋" w:eastAsia="仿宋" w:cs="仿宋"/>
          <w:sz w:val="24"/>
          <w:szCs w:val="24"/>
        </w:rPr>
      </w:pPr>
      <w:r>
        <w:rPr>
          <w:rFonts w:hint="eastAsia" w:ascii="仿宋" w:hAnsi="仿宋" w:eastAsia="仿宋" w:cs="仿宋"/>
          <w:sz w:val="24"/>
          <w:szCs w:val="24"/>
        </w:rPr>
        <w:t>4、投标文件的打印应清楚工整，统一采用A4纸编制（如部分附表需要用其他规格的复印纸编写，则应按A4复印纸折叠）。</w:t>
      </w:r>
    </w:p>
    <w:p>
      <w:pPr>
        <w:tabs>
          <w:tab w:val="left" w:pos="9030"/>
        </w:tabs>
        <w:snapToGrid w:val="0"/>
        <w:spacing w:line="360" w:lineRule="auto"/>
        <w:ind w:right="-65" w:firstLine="480" w:firstLineChars="2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pacing w:val="2"/>
          <w:sz w:val="24"/>
          <w:szCs w:val="24"/>
          <w:lang w:val="zh-CN"/>
        </w:rPr>
        <w:t>除供应商对错处做必要修改外，投标文件不得行间插字、涂改和增删，如有修改错漏处，必须由供应商法定代表人或其授权人代表签字并加盖供应商公章。</w:t>
      </w:r>
    </w:p>
    <w:p>
      <w:pPr>
        <w:tabs>
          <w:tab w:val="left" w:pos="9030"/>
        </w:tabs>
        <w:snapToGrid w:val="0"/>
        <w:spacing w:line="360" w:lineRule="auto"/>
        <w:ind w:right="-65" w:firstLine="480" w:firstLineChars="200"/>
        <w:rPr>
          <w:rFonts w:ascii="仿宋" w:hAnsi="仿宋" w:eastAsia="仿宋" w:cs="仿宋"/>
          <w:sz w:val="24"/>
          <w:szCs w:val="24"/>
        </w:rPr>
      </w:pPr>
      <w:r>
        <w:rPr>
          <w:rFonts w:hint="eastAsia" w:ascii="仿宋" w:hAnsi="仿宋" w:eastAsia="仿宋" w:cs="仿宋"/>
          <w:sz w:val="24"/>
          <w:szCs w:val="24"/>
        </w:rPr>
        <w:t>6、投标文件应牢固装订成册，不可插页抽页。牢固装订成册是指用适当的办法,书脊涂有胶粘剂以保证投标文件不至于散开或用简单办法不能将任何一页在没有任何损坏的情况下取出或插入。各种用活页夹、文件夹、塑料方便式书脊（插入式或穿孔式）装订均不认为是牢固装订。</w:t>
      </w:r>
    </w:p>
    <w:p>
      <w:pPr>
        <w:autoSpaceDE w:val="0"/>
        <w:autoSpaceDN w:val="0"/>
        <w:adjustRightInd w:val="0"/>
        <w:snapToGrid w:val="0"/>
        <w:spacing w:line="360" w:lineRule="auto"/>
        <w:ind w:firstLine="482" w:firstLineChars="200"/>
        <w:outlineLvl w:val="2"/>
        <w:rPr>
          <w:rFonts w:ascii="仿宋" w:hAnsi="仿宋" w:eastAsia="仿宋" w:cs="仿宋"/>
          <w:b/>
          <w:sz w:val="24"/>
          <w:szCs w:val="24"/>
          <w:lang w:val="zh-CN"/>
        </w:rPr>
      </w:pPr>
      <w:bookmarkStart w:id="180" w:name="_Toc5650"/>
      <w:bookmarkStart w:id="181" w:name="_Toc19200"/>
      <w:bookmarkStart w:id="182" w:name="_Toc22503"/>
      <w:bookmarkStart w:id="183" w:name="_Toc32210"/>
      <w:bookmarkStart w:id="184" w:name="_Toc1531"/>
      <w:bookmarkStart w:id="185" w:name="_Toc12544"/>
      <w:bookmarkStart w:id="186" w:name="_Toc7086"/>
      <w:bookmarkStart w:id="187" w:name="_Toc14013"/>
      <w:bookmarkStart w:id="188" w:name="_Toc12685"/>
      <w:r>
        <w:rPr>
          <w:rFonts w:hint="eastAsia" w:ascii="仿宋" w:hAnsi="仿宋" w:eastAsia="仿宋" w:cs="仿宋"/>
          <w:b/>
          <w:sz w:val="24"/>
          <w:szCs w:val="24"/>
          <w:lang w:val="zh-CN"/>
        </w:rPr>
        <w:t>（九）投标文件的密封和提交</w:t>
      </w:r>
      <w:bookmarkEnd w:id="180"/>
      <w:bookmarkEnd w:id="181"/>
      <w:bookmarkEnd w:id="182"/>
      <w:bookmarkEnd w:id="183"/>
      <w:bookmarkEnd w:id="184"/>
      <w:bookmarkEnd w:id="185"/>
      <w:bookmarkEnd w:id="186"/>
      <w:bookmarkEnd w:id="187"/>
      <w:bookmarkEnd w:id="188"/>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投标文件密封</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供应商应将投标文件分为</w:t>
      </w:r>
      <w:r>
        <w:rPr>
          <w:rFonts w:hint="eastAsia" w:ascii="仿宋" w:hAnsi="仿宋" w:eastAsia="仿宋" w:cs="仿宋"/>
          <w:sz w:val="24"/>
          <w:szCs w:val="24"/>
        </w:rPr>
        <w:t>3个包装袋。</w:t>
      </w:r>
      <w:r>
        <w:rPr>
          <w:rFonts w:hint="eastAsia" w:ascii="仿宋" w:hAnsi="仿宋" w:eastAsia="仿宋" w:cs="仿宋"/>
          <w:sz w:val="24"/>
          <w:szCs w:val="24"/>
          <w:lang w:val="zh-CN"/>
        </w:rPr>
        <w:t>正本单独密封、所有副本密封，投标文件电子版单独密封且在外层包装上标明字样。</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外层包装应加封条密封，在封线处加盖公章（骑缝章），标明项目编号、项目名称，供应商全称（公章）、在</w:t>
      </w:r>
      <w:r>
        <w:rPr>
          <w:rFonts w:hint="eastAsia" w:ascii="仿宋" w:hAnsi="仿宋" w:eastAsia="仿宋" w:cs="仿宋"/>
          <w:sz w:val="24"/>
          <w:szCs w:val="24"/>
        </w:rPr>
        <w:t>XXXX年XX月XX日XX：XX前不得启封</w:t>
      </w:r>
      <w:r>
        <w:rPr>
          <w:rFonts w:hint="eastAsia" w:ascii="仿宋" w:hAnsi="仿宋" w:eastAsia="仿宋" w:cs="仿宋"/>
          <w:sz w:val="24"/>
          <w:szCs w:val="24"/>
          <w:lang w:val="zh-CN"/>
        </w:rPr>
        <w:t>等内容。</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投标文件的递交</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供应商应在招标文件要求提交投标文件的截止时间前将投标文件密封送达投标地点，递交并办理签收手续，采购代理机构在收到投标文件后记载投标文件送达时间及密封情况，签收保存，并向供应商出具签收回执。</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对于要求提供合格供应商必备资格文件和业绩原件等相关资料的采购项目，供应商应将其内容与投标文件一起递交，并标明所提供资料原件的明细表（若文件未要求原件可不提供）。</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在招标文件要求提交投标文件的截止时间之后送达的投标文件和相关资料原件，为无效文件，采购代理机构拒绝接收。</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（4）</w:t>
      </w:r>
      <w:r>
        <w:rPr>
          <w:rFonts w:hint="eastAsia" w:ascii="仿宋" w:hAnsi="仿宋" w:eastAsia="仿宋" w:cs="仿宋"/>
          <w:sz w:val="24"/>
          <w:szCs w:val="24"/>
          <w:lang w:val="zh-CN"/>
        </w:rPr>
        <w:t>采购代理机构在招标文件规定的投标文件递交截止时间前，只负责投标文件和其相关资料原件的接收、登记和组织工作，对其投标文件和相关资料原件的有效性不负任何责任。</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5）</w:t>
      </w:r>
      <w:r>
        <w:rPr>
          <w:rFonts w:hint="eastAsia" w:ascii="仿宋" w:hAnsi="仿宋" w:eastAsia="仿宋" w:cs="仿宋"/>
          <w:sz w:val="24"/>
          <w:szCs w:val="24"/>
          <w:lang w:val="zh-CN"/>
        </w:rPr>
        <w:t>投标文件递送后，在投标截止期前，供应商可以补充、修改或撤回其投标文件，并书面通知采购代理机构。补充、修改的内容应按招标文件的要求签署、盖章，密封后，作为投标文件的组成部分。</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6）</w:t>
      </w:r>
      <w:r>
        <w:rPr>
          <w:rFonts w:hint="eastAsia" w:ascii="仿宋" w:hAnsi="仿宋" w:eastAsia="仿宋" w:cs="仿宋"/>
          <w:sz w:val="24"/>
          <w:szCs w:val="24"/>
          <w:lang w:val="zh-CN"/>
        </w:rPr>
        <w:t>投标截止时间后，供应商不得对其投标文件做任何修改。</w:t>
      </w:r>
    </w:p>
    <w:p>
      <w:pPr>
        <w:autoSpaceDE w:val="0"/>
        <w:autoSpaceDN w:val="0"/>
        <w:adjustRightInd w:val="0"/>
        <w:snapToGrid w:val="0"/>
        <w:spacing w:line="360" w:lineRule="auto"/>
        <w:ind w:firstLine="482" w:firstLineChars="200"/>
        <w:outlineLvl w:val="1"/>
        <w:rPr>
          <w:rFonts w:ascii="仿宋" w:hAnsi="仿宋" w:eastAsia="仿宋" w:cs="仿宋"/>
          <w:b/>
          <w:sz w:val="24"/>
          <w:szCs w:val="24"/>
          <w:lang w:val="zh-CN"/>
        </w:rPr>
      </w:pPr>
      <w:bookmarkStart w:id="189" w:name="_Toc26150"/>
      <w:bookmarkStart w:id="190" w:name="_Toc23613"/>
      <w:bookmarkStart w:id="191" w:name="_Toc21515"/>
      <w:bookmarkStart w:id="192" w:name="_Toc8737"/>
      <w:bookmarkStart w:id="193" w:name="_Toc14306"/>
      <w:bookmarkStart w:id="194" w:name="_Toc17873"/>
      <w:bookmarkStart w:id="195" w:name="_Toc3457"/>
      <w:bookmarkStart w:id="196" w:name="_Toc27743"/>
      <w:bookmarkStart w:id="197" w:name="_Toc25855"/>
      <w:r>
        <w:rPr>
          <w:rFonts w:hint="eastAsia" w:ascii="仿宋" w:hAnsi="仿宋" w:eastAsia="仿宋" w:cs="仿宋"/>
          <w:b/>
          <w:sz w:val="24"/>
          <w:szCs w:val="24"/>
          <w:lang w:val="zh-CN"/>
        </w:rPr>
        <w:t>四、开标</w:t>
      </w:r>
      <w:bookmarkEnd w:id="189"/>
      <w:bookmarkEnd w:id="190"/>
      <w:bookmarkEnd w:id="191"/>
      <w:bookmarkEnd w:id="192"/>
      <w:bookmarkEnd w:id="193"/>
      <w:bookmarkEnd w:id="194"/>
      <w:bookmarkEnd w:id="195"/>
      <w:bookmarkEnd w:id="196"/>
      <w:bookmarkEnd w:id="197"/>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（一）采购代理机构在规定的时间和地点组织公开开标并对开标、评标现场活动进行全程录音录像。</w:t>
      </w:r>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（二）开标由采购代理机构主持，采购人、供应商和有关方面代表参加，签名报到以证明其出席。</w:t>
      </w:r>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（三）开标截止时间后供应商不足三家的，不进行开标。</w:t>
      </w:r>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（四）开标时，由供应商或者其推选的代表检查投标文件的密封情况，以确认各供应商的投标文件密封情况是否与递交时一致，没有被提前启封等异常情况。</w:t>
      </w:r>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五）对投标文件的密封确认无误后，由采购代理机构工作人员当众拆封投标文件，以公开唱标的形式宣布供应商名称、投标价格以及采购代理机构认为合适的其他内容，无异议后，由供应商法定代表人（或被授权代表人）和监标人签字确认。</w:t>
      </w:r>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（六）在开标时没有拆封和宣读的投标文件将原封退回给供应商。</w:t>
      </w:r>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（七）以邮寄方式递交投标文件的为无效投标，不予启封。</w:t>
      </w:r>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（八）供应商未参加开标的，视同认可开标结果。</w:t>
      </w:r>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（九）开标过程由采购代理机构指定专人记录，参加开标的各供应商代表和相关工作人员签字确认后随采购文件一并存档。</w:t>
      </w:r>
    </w:p>
    <w:p>
      <w:pPr>
        <w:autoSpaceDE w:val="0"/>
        <w:autoSpaceDN w:val="0"/>
        <w:adjustRightInd w:val="0"/>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lang w:val="zh-CN"/>
        </w:rPr>
        <w:t>（十）供应商代表对开标过程和开标记录有疑义，以及认为采购人、采购代理机构相关工作人员有需要回避的情形的，应当场提出询问或者回避申请。采购代理</w:t>
      </w:r>
      <w:r>
        <w:rPr>
          <w:rFonts w:hint="eastAsia" w:ascii="仿宋" w:hAnsi="仿宋" w:eastAsia="仿宋" w:cs="仿宋"/>
          <w:sz w:val="24"/>
          <w:szCs w:val="24"/>
          <w:highlight w:val="none"/>
          <w:lang w:val="zh-CN"/>
        </w:rPr>
        <w:t>机构对供应商代表提出的询问或者回避申请应当及时处理。</w:t>
      </w:r>
    </w:p>
    <w:p>
      <w:pPr>
        <w:autoSpaceDE w:val="0"/>
        <w:autoSpaceDN w:val="0"/>
        <w:adjustRightInd w:val="0"/>
        <w:snapToGrid w:val="0"/>
        <w:spacing w:line="360" w:lineRule="auto"/>
        <w:ind w:firstLine="482" w:firstLineChars="200"/>
        <w:outlineLvl w:val="1"/>
        <w:rPr>
          <w:rFonts w:ascii="仿宋" w:hAnsi="仿宋" w:eastAsia="仿宋" w:cs="仿宋"/>
          <w:b/>
          <w:sz w:val="24"/>
          <w:szCs w:val="24"/>
          <w:highlight w:val="none"/>
          <w:lang w:val="zh-CN"/>
        </w:rPr>
      </w:pPr>
      <w:bookmarkStart w:id="198" w:name="_Toc1924"/>
      <w:bookmarkStart w:id="199" w:name="_Toc16283"/>
      <w:bookmarkStart w:id="200" w:name="_Toc11023"/>
      <w:bookmarkStart w:id="201" w:name="_Toc3139"/>
      <w:bookmarkStart w:id="202" w:name="_Toc11628"/>
      <w:bookmarkStart w:id="203" w:name="_Toc13967"/>
      <w:bookmarkStart w:id="204" w:name="_Toc8012"/>
      <w:bookmarkStart w:id="205" w:name="_Toc22028"/>
      <w:bookmarkStart w:id="206" w:name="_Toc21519"/>
      <w:r>
        <w:rPr>
          <w:rFonts w:hint="eastAsia" w:ascii="仿宋" w:hAnsi="仿宋" w:eastAsia="仿宋" w:cs="仿宋"/>
          <w:b/>
          <w:sz w:val="24"/>
          <w:szCs w:val="24"/>
          <w:highlight w:val="none"/>
          <w:lang w:val="zh-CN"/>
        </w:rPr>
        <w:t>五、评标</w:t>
      </w:r>
      <w:bookmarkEnd w:id="198"/>
      <w:bookmarkEnd w:id="199"/>
      <w:bookmarkEnd w:id="200"/>
      <w:bookmarkEnd w:id="201"/>
      <w:bookmarkEnd w:id="202"/>
      <w:bookmarkEnd w:id="203"/>
      <w:bookmarkEnd w:id="204"/>
      <w:bookmarkEnd w:id="205"/>
      <w:bookmarkEnd w:id="206"/>
    </w:p>
    <w:p>
      <w:pPr>
        <w:tabs>
          <w:tab w:val="left" w:pos="9030"/>
        </w:tabs>
        <w:snapToGrid w:val="0"/>
        <w:spacing w:line="360" w:lineRule="auto"/>
        <w:ind w:right="-65"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rPr>
        <w:t>（一）</w:t>
      </w:r>
      <w:r>
        <w:rPr>
          <w:rFonts w:hint="eastAsia" w:ascii="仿宋" w:hAnsi="仿宋" w:eastAsia="仿宋" w:cs="仿宋"/>
          <w:sz w:val="24"/>
          <w:szCs w:val="24"/>
          <w:highlight w:val="none"/>
          <w:lang w:val="zh-CN"/>
        </w:rPr>
        <w:t>按照《中华人民共和国政府采购法》、《中华人民共和国政府采购法实施条例》和《政府采购货物和服务招标投标管理办法》</w:t>
      </w:r>
      <w:r>
        <w:rPr>
          <w:rFonts w:hint="eastAsia" w:ascii="仿宋" w:hAnsi="仿宋" w:eastAsia="仿宋" w:cs="仿宋"/>
          <w:sz w:val="24"/>
          <w:szCs w:val="24"/>
          <w:highlight w:val="none"/>
        </w:rPr>
        <w:t>87号令</w:t>
      </w:r>
      <w:r>
        <w:rPr>
          <w:rFonts w:hint="eastAsia" w:ascii="仿宋" w:hAnsi="仿宋" w:eastAsia="仿宋" w:cs="仿宋"/>
          <w:sz w:val="24"/>
          <w:szCs w:val="24"/>
          <w:highlight w:val="none"/>
          <w:lang w:val="zh-CN"/>
        </w:rPr>
        <w:t>的规定，依法组建评标委员会。</w:t>
      </w:r>
    </w:p>
    <w:p>
      <w:pPr>
        <w:tabs>
          <w:tab w:val="left" w:pos="9030"/>
        </w:tabs>
        <w:snapToGrid w:val="0"/>
        <w:spacing w:line="360" w:lineRule="auto"/>
        <w:ind w:right="-65"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rPr>
        <w:t>（二）</w:t>
      </w:r>
      <w:r>
        <w:rPr>
          <w:rFonts w:hint="eastAsia" w:ascii="仿宋" w:hAnsi="仿宋" w:eastAsia="仿宋" w:cs="仿宋"/>
          <w:sz w:val="24"/>
          <w:szCs w:val="24"/>
          <w:highlight w:val="none"/>
          <w:lang w:val="zh-CN"/>
        </w:rPr>
        <w:t>评标委员会的组成</w:t>
      </w:r>
    </w:p>
    <w:p>
      <w:pPr>
        <w:tabs>
          <w:tab w:val="left" w:pos="9030"/>
        </w:tabs>
        <w:snapToGrid w:val="0"/>
        <w:spacing w:line="360" w:lineRule="auto"/>
        <w:ind w:right="-65"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本项目评标委员会为</w:t>
      </w:r>
      <w:r>
        <w:rPr>
          <w:rFonts w:hint="eastAsia" w:ascii="仿宋" w:hAnsi="仿宋" w:eastAsia="仿宋" w:cs="仿宋"/>
          <w:sz w:val="24"/>
          <w:szCs w:val="24"/>
          <w:highlight w:val="none"/>
        </w:rPr>
        <w:t>7人或以上单数，</w:t>
      </w:r>
      <w:r>
        <w:rPr>
          <w:rFonts w:hint="eastAsia" w:ascii="仿宋" w:hAnsi="仿宋" w:eastAsia="仿宋" w:cs="仿宋"/>
          <w:sz w:val="24"/>
          <w:szCs w:val="24"/>
          <w:highlight w:val="none"/>
          <w:lang w:val="zh-CN"/>
        </w:rPr>
        <w:t>评审专家在省级以上财政部门设立的政府采购评审专家库中随机抽取，其中评审专家不得少于成员总数的三分之二，评标委员会成员与供应商有利害关系的应当回避。</w:t>
      </w:r>
    </w:p>
    <w:p>
      <w:pPr>
        <w:tabs>
          <w:tab w:val="left" w:pos="9030"/>
        </w:tabs>
        <w:snapToGrid w:val="0"/>
        <w:spacing w:line="360" w:lineRule="auto"/>
        <w:ind w:right="-65"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rPr>
        <w:t>（三）</w:t>
      </w:r>
      <w:r>
        <w:rPr>
          <w:rFonts w:hint="eastAsia" w:ascii="仿宋" w:hAnsi="仿宋" w:eastAsia="仿宋" w:cs="仿宋"/>
          <w:sz w:val="24"/>
          <w:szCs w:val="24"/>
          <w:highlight w:val="none"/>
          <w:lang w:val="zh-CN"/>
        </w:rPr>
        <w:t>评标委员会的职责</w:t>
      </w:r>
    </w:p>
    <w:p>
      <w:pPr>
        <w:tabs>
          <w:tab w:val="left" w:pos="9030"/>
        </w:tabs>
        <w:snapToGrid w:val="0"/>
        <w:spacing w:line="360" w:lineRule="auto"/>
        <w:ind w:right="-65"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rPr>
        <w:t>审查、评价投标文件是否符合招标文件的商务、技术等实质性要求；</w:t>
      </w:r>
    </w:p>
    <w:p>
      <w:pPr>
        <w:tabs>
          <w:tab w:val="left" w:pos="9030"/>
        </w:tabs>
        <w:snapToGrid w:val="0"/>
        <w:spacing w:line="360" w:lineRule="auto"/>
        <w:ind w:right="-65"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zh-CN"/>
        </w:rPr>
        <w:t>要求供应商对投标文件有关事项作出澄清或者说明；</w:t>
      </w:r>
    </w:p>
    <w:p>
      <w:pPr>
        <w:tabs>
          <w:tab w:val="left" w:pos="9030"/>
        </w:tabs>
        <w:snapToGrid w:val="0"/>
        <w:spacing w:line="360" w:lineRule="auto"/>
        <w:ind w:right="-65"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zh-CN"/>
        </w:rPr>
        <w:t>对投标文件进行比较和评价；</w:t>
      </w:r>
    </w:p>
    <w:p>
      <w:pPr>
        <w:tabs>
          <w:tab w:val="left" w:pos="9030"/>
        </w:tabs>
        <w:snapToGrid w:val="0"/>
        <w:spacing w:line="360" w:lineRule="auto"/>
        <w:ind w:right="-65"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zh-CN"/>
        </w:rPr>
        <w:t>确定中标候选人名单，以及根据采购人委托直接确定中标供应商；</w:t>
      </w:r>
    </w:p>
    <w:p>
      <w:pPr>
        <w:tabs>
          <w:tab w:val="left" w:pos="9030"/>
        </w:tabs>
        <w:snapToGrid w:val="0"/>
        <w:spacing w:line="360" w:lineRule="auto"/>
        <w:ind w:right="-65"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zh-CN"/>
        </w:rPr>
        <w:t>向采购人、采购代理机构或者有关部门报告评标中发现的违法行为；</w:t>
      </w:r>
    </w:p>
    <w:p>
      <w:pPr>
        <w:tabs>
          <w:tab w:val="left" w:pos="9030"/>
        </w:tabs>
        <w:snapToGrid w:val="0"/>
        <w:spacing w:line="360" w:lineRule="auto"/>
        <w:ind w:right="-65"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rPr>
        <w:t>6、</w:t>
      </w:r>
      <w:r>
        <w:rPr>
          <w:rFonts w:hint="eastAsia" w:ascii="仿宋" w:hAnsi="仿宋" w:eastAsia="仿宋" w:cs="仿宋"/>
          <w:sz w:val="24"/>
          <w:szCs w:val="24"/>
          <w:highlight w:val="none"/>
          <w:lang w:val="zh-CN"/>
        </w:rPr>
        <w:t>配合采购代理机构答复供应商提出的质疑；</w:t>
      </w:r>
    </w:p>
    <w:p>
      <w:pPr>
        <w:tabs>
          <w:tab w:val="left" w:pos="9030"/>
        </w:tabs>
        <w:snapToGrid w:val="0"/>
        <w:spacing w:line="360" w:lineRule="auto"/>
        <w:ind w:right="-65"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rPr>
        <w:t>7、</w:t>
      </w:r>
      <w:r>
        <w:rPr>
          <w:rFonts w:hint="eastAsia" w:ascii="仿宋" w:hAnsi="仿宋" w:eastAsia="仿宋" w:cs="仿宋"/>
          <w:sz w:val="24"/>
          <w:szCs w:val="24"/>
          <w:highlight w:val="none"/>
          <w:lang w:val="zh-CN"/>
        </w:rPr>
        <w:t>配合财政部门的投诉处理工作。</w:t>
      </w:r>
    </w:p>
    <w:p>
      <w:pPr>
        <w:tabs>
          <w:tab w:val="left" w:pos="9030"/>
        </w:tabs>
        <w:snapToGrid w:val="0"/>
        <w:spacing w:line="360" w:lineRule="auto"/>
        <w:ind w:right="-65"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w:t>
      </w:r>
      <w:r>
        <w:rPr>
          <w:rFonts w:hint="eastAsia" w:ascii="仿宋" w:hAnsi="仿宋" w:eastAsia="仿宋" w:cs="仿宋"/>
          <w:sz w:val="24"/>
          <w:szCs w:val="24"/>
          <w:highlight w:val="none"/>
          <w:lang w:val="zh-CN"/>
        </w:rPr>
        <w:t>评标委员会有权对整个招标过程中出现的一切问题，</w:t>
      </w:r>
      <w:r>
        <w:rPr>
          <w:rFonts w:hint="eastAsia" w:ascii="仿宋" w:hAnsi="仿宋" w:eastAsia="仿宋" w:cs="仿宋"/>
          <w:sz w:val="24"/>
          <w:szCs w:val="24"/>
          <w:highlight w:val="none"/>
        </w:rPr>
        <w:t>根据《中华人民共和国政府采购法》、《中华人民共和国政府采购实施条例》和《政府采购货物和服务招标投标管理办法》的精神，本着公开、公平、公正的原则，进行处理。</w:t>
      </w:r>
    </w:p>
    <w:p>
      <w:pPr>
        <w:tabs>
          <w:tab w:val="left" w:pos="9030"/>
        </w:tabs>
        <w:snapToGrid w:val="0"/>
        <w:spacing w:line="360" w:lineRule="auto"/>
        <w:ind w:right="-65"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（五）公开开标后，直到向中标供应商授予合同为止，凡与审查、澄清、评价和比较投标的有关资料及授标意见等内容，评标委员会成员均不得向供应商及与评标无关的其他人透露。</w:t>
      </w:r>
    </w:p>
    <w:p>
      <w:pPr>
        <w:autoSpaceDE w:val="0"/>
        <w:autoSpaceDN w:val="0"/>
        <w:adjustRightInd w:val="0"/>
        <w:snapToGrid w:val="0"/>
        <w:spacing w:line="360" w:lineRule="auto"/>
        <w:ind w:firstLine="482" w:firstLineChars="200"/>
        <w:outlineLvl w:val="1"/>
        <w:rPr>
          <w:rFonts w:ascii="仿宋" w:hAnsi="仿宋" w:eastAsia="仿宋" w:cs="仿宋"/>
          <w:b/>
          <w:sz w:val="24"/>
          <w:szCs w:val="24"/>
          <w:highlight w:val="none"/>
          <w:lang w:val="zh-CN"/>
        </w:rPr>
      </w:pPr>
      <w:bookmarkStart w:id="207" w:name="_Toc13836"/>
      <w:bookmarkStart w:id="208" w:name="_Toc18147"/>
      <w:bookmarkStart w:id="209" w:name="_Toc25890"/>
      <w:bookmarkStart w:id="210" w:name="_Toc28415"/>
      <w:bookmarkStart w:id="211" w:name="_Toc6520"/>
      <w:bookmarkStart w:id="212" w:name="_Toc14292"/>
      <w:bookmarkStart w:id="213" w:name="_Toc14620"/>
      <w:bookmarkStart w:id="214" w:name="_Toc25493"/>
      <w:bookmarkStart w:id="215" w:name="_Toc13530"/>
      <w:r>
        <w:rPr>
          <w:rFonts w:hint="eastAsia" w:ascii="仿宋" w:hAnsi="仿宋" w:eastAsia="仿宋" w:cs="仿宋"/>
          <w:b/>
          <w:sz w:val="24"/>
          <w:szCs w:val="24"/>
          <w:highlight w:val="none"/>
          <w:lang w:val="zh-CN"/>
        </w:rPr>
        <w:t>六、</w:t>
      </w:r>
      <w:bookmarkStart w:id="216" w:name="_Toc495671240"/>
      <w:r>
        <w:rPr>
          <w:rFonts w:hint="eastAsia" w:ascii="仿宋" w:hAnsi="仿宋" w:eastAsia="仿宋" w:cs="仿宋"/>
          <w:b/>
          <w:sz w:val="24"/>
          <w:szCs w:val="24"/>
          <w:highlight w:val="none"/>
          <w:lang w:val="zh-CN"/>
        </w:rPr>
        <w:t>评标程序及评标办法</w:t>
      </w:r>
      <w:bookmarkEnd w:id="207"/>
      <w:bookmarkEnd w:id="208"/>
      <w:bookmarkEnd w:id="209"/>
      <w:bookmarkEnd w:id="210"/>
      <w:bookmarkEnd w:id="211"/>
      <w:bookmarkEnd w:id="212"/>
      <w:bookmarkEnd w:id="213"/>
      <w:bookmarkEnd w:id="214"/>
      <w:bookmarkEnd w:id="215"/>
      <w:bookmarkEnd w:id="216"/>
    </w:p>
    <w:p>
      <w:pPr>
        <w:tabs>
          <w:tab w:val="left" w:pos="9030"/>
        </w:tabs>
        <w:snapToGrid w:val="0"/>
        <w:spacing w:line="360" w:lineRule="auto"/>
        <w:ind w:right="-65"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按照投标文件初审、澄清有关问题、比较与评价、推荐中标候选供应商名单的工作程序进行评标。</w:t>
      </w:r>
    </w:p>
    <w:p>
      <w:pPr>
        <w:tabs>
          <w:tab w:val="left" w:pos="9030"/>
        </w:tabs>
        <w:snapToGrid w:val="0"/>
        <w:spacing w:line="360" w:lineRule="auto"/>
        <w:ind w:right="-65" w:firstLine="480" w:firstLineChars="200"/>
        <w:outlineLvl w:val="2"/>
        <w:rPr>
          <w:rFonts w:ascii="仿宋" w:hAnsi="仿宋" w:eastAsia="仿宋" w:cs="仿宋"/>
          <w:sz w:val="24"/>
          <w:szCs w:val="24"/>
          <w:highlight w:val="none"/>
        </w:rPr>
      </w:pPr>
      <w:bookmarkStart w:id="217" w:name="_Toc21585"/>
      <w:bookmarkStart w:id="218" w:name="_Toc19538"/>
      <w:bookmarkStart w:id="219" w:name="_Toc14549"/>
      <w:bookmarkStart w:id="220" w:name="_Toc12600"/>
      <w:bookmarkStart w:id="221" w:name="_Toc26"/>
      <w:bookmarkStart w:id="222" w:name="_Toc1543"/>
      <w:bookmarkStart w:id="223" w:name="_Toc19431"/>
      <w:bookmarkStart w:id="224" w:name="_Toc14882"/>
      <w:bookmarkStart w:id="225" w:name="_Toc12552"/>
      <w:r>
        <w:rPr>
          <w:rFonts w:hint="eastAsia" w:ascii="仿宋" w:hAnsi="仿宋" w:eastAsia="仿宋" w:cs="仿宋"/>
          <w:sz w:val="24"/>
          <w:szCs w:val="24"/>
          <w:highlight w:val="none"/>
        </w:rPr>
        <w:t>（一）投标文件初审</w:t>
      </w:r>
      <w:bookmarkEnd w:id="217"/>
      <w:bookmarkEnd w:id="218"/>
      <w:bookmarkEnd w:id="219"/>
      <w:bookmarkEnd w:id="220"/>
      <w:bookmarkEnd w:id="221"/>
      <w:bookmarkEnd w:id="222"/>
      <w:bookmarkEnd w:id="223"/>
      <w:bookmarkEnd w:id="224"/>
      <w:bookmarkEnd w:id="225"/>
    </w:p>
    <w:p>
      <w:pPr>
        <w:tabs>
          <w:tab w:val="left" w:pos="9030"/>
        </w:tabs>
        <w:snapToGrid w:val="0"/>
        <w:spacing w:line="360" w:lineRule="auto"/>
        <w:ind w:right="-65"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初审分为资格性检查和符合性检查。分别按照以下内容对投标文件进行检查，一项不合格即按照无效投标处理。</w:t>
      </w:r>
    </w:p>
    <w:p>
      <w:pPr>
        <w:tabs>
          <w:tab w:val="left" w:pos="9030"/>
        </w:tabs>
        <w:snapToGrid w:val="0"/>
        <w:spacing w:line="360" w:lineRule="auto"/>
        <w:ind w:right="-65" w:firstLine="480" w:firstLineChars="200"/>
        <w:outlineLvl w:val="2"/>
        <w:rPr>
          <w:rFonts w:ascii="仿宋" w:hAnsi="仿宋" w:eastAsia="仿宋" w:cs="仿宋"/>
          <w:sz w:val="24"/>
          <w:szCs w:val="24"/>
          <w:highlight w:val="none"/>
        </w:rPr>
      </w:pPr>
      <w:bookmarkStart w:id="226" w:name="_Toc11994"/>
      <w:bookmarkStart w:id="227" w:name="_Toc16065"/>
      <w:bookmarkStart w:id="228" w:name="_Toc2042"/>
      <w:bookmarkStart w:id="229" w:name="_Toc2630"/>
      <w:r>
        <w:rPr>
          <w:rFonts w:hint="eastAsia" w:ascii="仿宋" w:hAnsi="仿宋" w:eastAsia="仿宋" w:cs="仿宋"/>
          <w:sz w:val="24"/>
          <w:szCs w:val="24"/>
          <w:highlight w:val="none"/>
        </w:rPr>
        <w:t>（二）投标文件初审</w:t>
      </w:r>
      <w:bookmarkEnd w:id="226"/>
      <w:bookmarkEnd w:id="227"/>
      <w:bookmarkEnd w:id="228"/>
      <w:bookmarkEnd w:id="229"/>
    </w:p>
    <w:p>
      <w:pPr>
        <w:tabs>
          <w:tab w:val="left" w:pos="9030"/>
        </w:tabs>
        <w:snapToGrid w:val="0"/>
        <w:spacing w:line="360" w:lineRule="auto"/>
        <w:ind w:right="-65"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初审分为资格性检查和符合性检查。分别按照以下内容对投标文件进行检查，一项不合格即按照无效投标处理。</w:t>
      </w:r>
    </w:p>
    <w:p>
      <w:pPr>
        <w:tabs>
          <w:tab w:val="left" w:pos="9030"/>
        </w:tabs>
        <w:snapToGrid w:val="0"/>
        <w:spacing w:line="360" w:lineRule="auto"/>
        <w:ind w:right="-65" w:firstLine="482" w:firstLineChars="200"/>
        <w:rPr>
          <w:rFonts w:ascii="仿宋" w:hAnsi="仿宋" w:eastAsia="仿宋" w:cs="仿宋"/>
          <w:sz w:val="24"/>
          <w:szCs w:val="24"/>
          <w:highlight w:val="none"/>
        </w:rPr>
      </w:pPr>
      <w:r>
        <w:rPr>
          <w:rFonts w:hint="eastAsia" w:ascii="仿宋" w:hAnsi="仿宋" w:eastAsia="仿宋" w:cs="仿宋"/>
          <w:b/>
          <w:bCs/>
          <w:sz w:val="24"/>
          <w:szCs w:val="24"/>
          <w:highlight w:val="none"/>
        </w:rPr>
        <w:t>1、投标文件的资格性审查：依据法律法规和招标文件的规定，采购代理机构对投标文件中的资格证明文件等进行审查，审查内容为公告中所列的供应商资格条件。</w:t>
      </w:r>
    </w:p>
    <w:tbl>
      <w:tblPr>
        <w:tblStyle w:val="27"/>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2188"/>
        <w:gridCol w:w="5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76" w:type="dxa"/>
            <w:noWrap/>
            <w:vAlign w:val="center"/>
          </w:tcPr>
          <w:p>
            <w:pPr>
              <w:tabs>
                <w:tab w:val="left" w:pos="9030"/>
              </w:tabs>
              <w:snapToGrid w:val="0"/>
              <w:spacing w:line="360" w:lineRule="auto"/>
              <w:ind w:right="-65"/>
              <w:jc w:val="center"/>
              <w:rPr>
                <w:rFonts w:ascii="仿宋" w:hAnsi="仿宋" w:eastAsia="仿宋" w:cs="仿宋"/>
                <w:sz w:val="22"/>
                <w:szCs w:val="22"/>
                <w:highlight w:val="none"/>
              </w:rPr>
            </w:pPr>
            <w:r>
              <w:rPr>
                <w:rFonts w:hint="eastAsia" w:ascii="仿宋" w:hAnsi="仿宋" w:eastAsia="仿宋" w:cs="仿宋"/>
                <w:sz w:val="22"/>
                <w:szCs w:val="22"/>
                <w:highlight w:val="none"/>
              </w:rPr>
              <w:t>序号</w:t>
            </w:r>
          </w:p>
        </w:tc>
        <w:tc>
          <w:tcPr>
            <w:tcW w:w="2188" w:type="dxa"/>
            <w:noWrap/>
            <w:vAlign w:val="center"/>
          </w:tcPr>
          <w:p>
            <w:pPr>
              <w:tabs>
                <w:tab w:val="left" w:pos="9030"/>
              </w:tabs>
              <w:snapToGrid w:val="0"/>
              <w:spacing w:line="360" w:lineRule="auto"/>
              <w:ind w:right="-65"/>
              <w:jc w:val="center"/>
              <w:rPr>
                <w:rFonts w:ascii="仿宋" w:hAnsi="仿宋" w:eastAsia="仿宋" w:cs="仿宋"/>
                <w:sz w:val="22"/>
                <w:szCs w:val="22"/>
                <w:highlight w:val="none"/>
              </w:rPr>
            </w:pPr>
            <w:r>
              <w:rPr>
                <w:rFonts w:hint="eastAsia" w:ascii="仿宋" w:hAnsi="仿宋" w:eastAsia="仿宋" w:cs="仿宋"/>
                <w:sz w:val="22"/>
                <w:szCs w:val="22"/>
                <w:highlight w:val="none"/>
              </w:rPr>
              <w:t>资格审查项</w:t>
            </w:r>
          </w:p>
        </w:tc>
        <w:tc>
          <w:tcPr>
            <w:tcW w:w="5555" w:type="dxa"/>
            <w:noWrap/>
            <w:vAlign w:val="center"/>
          </w:tcPr>
          <w:p>
            <w:pPr>
              <w:tabs>
                <w:tab w:val="left" w:pos="9030"/>
              </w:tabs>
              <w:snapToGrid w:val="0"/>
              <w:spacing w:line="360" w:lineRule="auto"/>
              <w:ind w:right="-65"/>
              <w:jc w:val="center"/>
              <w:rPr>
                <w:rFonts w:ascii="仿宋" w:hAnsi="仿宋" w:eastAsia="仿宋" w:cs="仿宋"/>
                <w:sz w:val="22"/>
                <w:szCs w:val="22"/>
                <w:highlight w:val="none"/>
              </w:rPr>
            </w:pPr>
            <w:r>
              <w:rPr>
                <w:rFonts w:hint="eastAsia" w:ascii="仿宋" w:hAnsi="仿宋" w:eastAsia="仿宋" w:cs="仿宋"/>
                <w:sz w:val="22"/>
                <w:szCs w:val="22"/>
                <w:highlight w:val="none"/>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576" w:type="dxa"/>
            <w:noWrap/>
            <w:vAlign w:val="center"/>
          </w:tcPr>
          <w:p>
            <w:pPr>
              <w:tabs>
                <w:tab w:val="left" w:pos="9030"/>
              </w:tabs>
              <w:snapToGrid w:val="0"/>
              <w:spacing w:line="360" w:lineRule="auto"/>
              <w:ind w:right="-65"/>
              <w:jc w:val="center"/>
              <w:rPr>
                <w:rFonts w:ascii="仿宋" w:hAnsi="仿宋" w:eastAsia="仿宋" w:cs="仿宋"/>
                <w:sz w:val="22"/>
                <w:szCs w:val="22"/>
                <w:highlight w:val="none"/>
              </w:rPr>
            </w:pPr>
            <w:r>
              <w:rPr>
                <w:rFonts w:hint="eastAsia" w:ascii="仿宋" w:hAnsi="仿宋" w:eastAsia="仿宋" w:cs="仿宋"/>
                <w:sz w:val="22"/>
                <w:szCs w:val="22"/>
                <w:highlight w:val="none"/>
              </w:rPr>
              <w:t>1</w:t>
            </w:r>
          </w:p>
        </w:tc>
        <w:tc>
          <w:tcPr>
            <w:tcW w:w="2188" w:type="dxa"/>
            <w:noWrap/>
            <w:vAlign w:val="center"/>
          </w:tcPr>
          <w:p>
            <w:pPr>
              <w:spacing w:before="313" w:line="360" w:lineRule="auto"/>
              <w:ind w:right="112"/>
              <w:jc w:val="center"/>
              <w:rPr>
                <w:rFonts w:ascii="仿宋" w:hAnsi="仿宋" w:eastAsia="仿宋" w:cs="仿宋"/>
                <w:sz w:val="22"/>
                <w:szCs w:val="22"/>
                <w:highlight w:val="none"/>
              </w:rPr>
            </w:pPr>
            <w:r>
              <w:rPr>
                <w:rFonts w:hint="eastAsia" w:ascii="仿宋" w:hAnsi="仿宋" w:eastAsia="仿宋" w:cs="仿宋"/>
                <w:spacing w:val="19"/>
                <w:sz w:val="22"/>
                <w:szCs w:val="22"/>
                <w:highlight w:val="none"/>
              </w:rPr>
              <w:t>营业执照等主</w:t>
            </w:r>
            <w:r>
              <w:rPr>
                <w:rFonts w:hint="eastAsia" w:ascii="仿宋" w:hAnsi="仿宋" w:eastAsia="仿宋" w:cs="仿宋"/>
                <w:spacing w:val="20"/>
                <w:sz w:val="22"/>
                <w:szCs w:val="22"/>
                <w:highlight w:val="none"/>
              </w:rPr>
              <w:t>体资格证明文</w:t>
            </w:r>
            <w:r>
              <w:rPr>
                <w:rFonts w:hint="eastAsia" w:ascii="仿宋" w:hAnsi="仿宋" w:eastAsia="仿宋" w:cs="仿宋"/>
                <w:sz w:val="22"/>
                <w:szCs w:val="22"/>
                <w:highlight w:val="none"/>
              </w:rPr>
              <w:t>件</w:t>
            </w:r>
          </w:p>
        </w:tc>
        <w:tc>
          <w:tcPr>
            <w:tcW w:w="5555" w:type="dxa"/>
            <w:noWrap/>
            <w:vAlign w:val="center"/>
          </w:tcPr>
          <w:p>
            <w:pPr>
              <w:tabs>
                <w:tab w:val="left" w:pos="9030"/>
              </w:tabs>
              <w:snapToGrid w:val="0"/>
              <w:spacing w:line="360" w:lineRule="auto"/>
              <w:ind w:right="-65"/>
              <w:jc w:val="left"/>
              <w:rPr>
                <w:rFonts w:ascii="仿宋" w:hAnsi="仿宋" w:eastAsia="仿宋" w:cs="仿宋"/>
                <w:sz w:val="22"/>
                <w:szCs w:val="22"/>
                <w:highlight w:val="none"/>
              </w:rPr>
            </w:pPr>
            <w:r>
              <w:rPr>
                <w:rFonts w:hint="eastAsia" w:ascii="仿宋" w:hAnsi="仿宋" w:eastAsia="仿宋" w:cs="仿宋"/>
                <w:sz w:val="22"/>
                <w:szCs w:val="22"/>
                <w:highlight w:val="none"/>
              </w:rPr>
              <w:t>提供统一社会信用代码的营业执照或其他组织经营的合法凭证或自然人的提供身份证明文件。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576" w:type="dxa"/>
            <w:noWrap/>
            <w:vAlign w:val="center"/>
          </w:tcPr>
          <w:p>
            <w:pPr>
              <w:tabs>
                <w:tab w:val="left" w:pos="9030"/>
              </w:tabs>
              <w:snapToGrid w:val="0"/>
              <w:spacing w:line="360" w:lineRule="auto"/>
              <w:ind w:right="-65"/>
              <w:jc w:val="center"/>
              <w:rPr>
                <w:rFonts w:ascii="仿宋" w:hAnsi="仿宋" w:eastAsia="仿宋" w:cs="仿宋"/>
                <w:sz w:val="22"/>
                <w:szCs w:val="22"/>
                <w:highlight w:val="none"/>
              </w:rPr>
            </w:pPr>
            <w:r>
              <w:rPr>
                <w:rFonts w:hint="eastAsia" w:ascii="仿宋" w:hAnsi="仿宋" w:eastAsia="仿宋" w:cs="仿宋"/>
                <w:sz w:val="22"/>
                <w:szCs w:val="22"/>
                <w:highlight w:val="none"/>
              </w:rPr>
              <w:t>2</w:t>
            </w:r>
          </w:p>
        </w:tc>
        <w:tc>
          <w:tcPr>
            <w:tcW w:w="2188" w:type="dxa"/>
            <w:noWrap/>
            <w:vAlign w:val="center"/>
          </w:tcPr>
          <w:p>
            <w:pPr>
              <w:spacing w:before="78" w:line="360" w:lineRule="auto"/>
              <w:jc w:val="center"/>
              <w:rPr>
                <w:rFonts w:ascii="仿宋" w:hAnsi="仿宋" w:eastAsia="仿宋" w:cs="仿宋"/>
                <w:sz w:val="22"/>
                <w:szCs w:val="22"/>
                <w:highlight w:val="none"/>
              </w:rPr>
            </w:pPr>
            <w:r>
              <w:rPr>
                <w:rFonts w:hint="eastAsia" w:ascii="仿宋" w:hAnsi="仿宋" w:eastAsia="仿宋" w:cs="仿宋"/>
                <w:spacing w:val="-1"/>
                <w:sz w:val="22"/>
                <w:szCs w:val="22"/>
                <w:highlight w:val="none"/>
              </w:rPr>
              <w:t>财务状况报告</w:t>
            </w:r>
          </w:p>
        </w:tc>
        <w:tc>
          <w:tcPr>
            <w:tcW w:w="5555" w:type="dxa"/>
            <w:noWrap/>
            <w:vAlign w:val="center"/>
          </w:tcPr>
          <w:p>
            <w:pPr>
              <w:tabs>
                <w:tab w:val="left" w:pos="9030"/>
              </w:tabs>
              <w:snapToGrid w:val="0"/>
              <w:spacing w:line="360" w:lineRule="auto"/>
              <w:ind w:right="-65"/>
              <w:jc w:val="left"/>
              <w:rPr>
                <w:rFonts w:ascii="仿宋" w:hAnsi="仿宋" w:eastAsia="仿宋" w:cs="仿宋"/>
                <w:sz w:val="22"/>
                <w:szCs w:val="22"/>
                <w:highlight w:val="none"/>
              </w:rPr>
            </w:pPr>
            <w:r>
              <w:rPr>
                <w:rFonts w:hint="eastAsia" w:ascii="仿宋" w:hAnsi="仿宋" w:eastAsia="仿宋" w:cs="仿宋"/>
                <w:sz w:val="22"/>
                <w:szCs w:val="22"/>
                <w:highlight w:val="none"/>
              </w:rPr>
              <w:t>提供具有财务审计资质单位出具的2021年度财务报告或开标前六个月内其基本账户银行出具的资信证明（附基本户证明资料）或财政部门认可的政府采购专业担保机构出具的担保函，以上形式的证明资料提供任何一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576" w:type="dxa"/>
            <w:noWrap/>
            <w:vAlign w:val="center"/>
          </w:tcPr>
          <w:p>
            <w:pPr>
              <w:tabs>
                <w:tab w:val="left" w:pos="9030"/>
              </w:tabs>
              <w:snapToGrid w:val="0"/>
              <w:spacing w:line="360" w:lineRule="auto"/>
              <w:ind w:right="-65"/>
              <w:jc w:val="center"/>
              <w:rPr>
                <w:rFonts w:ascii="仿宋" w:hAnsi="仿宋" w:eastAsia="仿宋" w:cs="仿宋"/>
                <w:sz w:val="22"/>
                <w:szCs w:val="22"/>
              </w:rPr>
            </w:pPr>
            <w:r>
              <w:rPr>
                <w:rFonts w:hint="eastAsia" w:ascii="仿宋" w:hAnsi="仿宋" w:eastAsia="仿宋" w:cs="仿宋"/>
                <w:sz w:val="22"/>
                <w:szCs w:val="22"/>
              </w:rPr>
              <w:t>3</w:t>
            </w:r>
          </w:p>
        </w:tc>
        <w:tc>
          <w:tcPr>
            <w:tcW w:w="2188" w:type="dxa"/>
            <w:noWrap/>
            <w:vAlign w:val="center"/>
          </w:tcPr>
          <w:p>
            <w:pPr>
              <w:spacing w:before="78" w:line="360" w:lineRule="auto"/>
              <w:jc w:val="center"/>
              <w:rPr>
                <w:rFonts w:ascii="仿宋" w:hAnsi="仿宋" w:eastAsia="仿宋" w:cs="仿宋"/>
                <w:sz w:val="22"/>
                <w:szCs w:val="22"/>
              </w:rPr>
            </w:pPr>
            <w:r>
              <w:rPr>
                <w:rFonts w:hint="eastAsia" w:ascii="仿宋" w:hAnsi="仿宋" w:eastAsia="仿宋" w:cs="仿宋"/>
                <w:spacing w:val="-1"/>
                <w:sz w:val="22"/>
                <w:szCs w:val="22"/>
              </w:rPr>
              <w:t>税收缴纳证明</w:t>
            </w:r>
          </w:p>
        </w:tc>
        <w:tc>
          <w:tcPr>
            <w:tcW w:w="5555" w:type="dxa"/>
            <w:noWrap/>
            <w:vAlign w:val="center"/>
          </w:tcPr>
          <w:p>
            <w:pPr>
              <w:tabs>
                <w:tab w:val="left" w:pos="9030"/>
              </w:tabs>
              <w:snapToGrid w:val="0"/>
              <w:spacing w:line="360" w:lineRule="auto"/>
              <w:ind w:right="-65"/>
              <w:jc w:val="left"/>
              <w:rPr>
                <w:rFonts w:ascii="仿宋" w:hAnsi="仿宋" w:eastAsia="仿宋" w:cs="仿宋"/>
                <w:sz w:val="22"/>
                <w:szCs w:val="22"/>
              </w:rPr>
            </w:pPr>
            <w:r>
              <w:rPr>
                <w:rFonts w:hint="eastAsia" w:ascii="仿宋" w:hAnsi="仿宋" w:eastAsia="仿宋" w:cs="仿宋"/>
                <w:sz w:val="22"/>
                <w:szCs w:val="22"/>
              </w:rPr>
              <w:t>提供已缴纳的 2022年1月1日以来至少一个月的纳税证明或完税证明（提供增值税、企业所得税至少一种），纳税证明或完税证明上应有代收机构或税务机关的公章或业务专用章。依法免税的供应商应提供相关文件证明。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576" w:type="dxa"/>
            <w:noWrap/>
            <w:vAlign w:val="center"/>
          </w:tcPr>
          <w:p>
            <w:pPr>
              <w:tabs>
                <w:tab w:val="left" w:pos="9030"/>
              </w:tabs>
              <w:snapToGrid w:val="0"/>
              <w:spacing w:line="360" w:lineRule="auto"/>
              <w:ind w:right="-65"/>
              <w:jc w:val="center"/>
              <w:rPr>
                <w:rFonts w:ascii="仿宋" w:hAnsi="仿宋" w:eastAsia="仿宋" w:cs="仿宋"/>
                <w:sz w:val="22"/>
                <w:szCs w:val="22"/>
              </w:rPr>
            </w:pPr>
            <w:r>
              <w:rPr>
                <w:rFonts w:hint="eastAsia" w:ascii="仿宋" w:hAnsi="仿宋" w:eastAsia="仿宋" w:cs="仿宋"/>
                <w:sz w:val="22"/>
                <w:szCs w:val="22"/>
              </w:rPr>
              <w:t>4</w:t>
            </w:r>
          </w:p>
        </w:tc>
        <w:tc>
          <w:tcPr>
            <w:tcW w:w="2188" w:type="dxa"/>
            <w:noWrap/>
            <w:vAlign w:val="center"/>
          </w:tcPr>
          <w:p>
            <w:pPr>
              <w:spacing w:before="78" w:line="360" w:lineRule="auto"/>
              <w:jc w:val="center"/>
              <w:rPr>
                <w:rFonts w:ascii="仿宋" w:hAnsi="仿宋" w:eastAsia="仿宋" w:cs="仿宋"/>
                <w:sz w:val="22"/>
                <w:szCs w:val="22"/>
              </w:rPr>
            </w:pPr>
            <w:r>
              <w:rPr>
                <w:rFonts w:hint="eastAsia" w:ascii="仿宋" w:hAnsi="仿宋" w:eastAsia="仿宋" w:cs="仿宋"/>
                <w:spacing w:val="-1"/>
                <w:sz w:val="22"/>
                <w:szCs w:val="22"/>
              </w:rPr>
              <w:t>社保缴纳证明</w:t>
            </w:r>
          </w:p>
        </w:tc>
        <w:tc>
          <w:tcPr>
            <w:tcW w:w="5555" w:type="dxa"/>
            <w:noWrap/>
            <w:vAlign w:val="center"/>
          </w:tcPr>
          <w:p>
            <w:pPr>
              <w:spacing w:line="360" w:lineRule="auto"/>
              <w:jc w:val="left"/>
              <w:rPr>
                <w:rFonts w:ascii="仿宋" w:hAnsi="仿宋" w:eastAsia="仿宋" w:cs="仿宋"/>
                <w:sz w:val="22"/>
                <w:szCs w:val="22"/>
              </w:rPr>
            </w:pPr>
            <w:r>
              <w:rPr>
                <w:rFonts w:hint="eastAsia" w:ascii="仿宋" w:hAnsi="仿宋" w:eastAsia="仿宋" w:cs="仿宋"/>
                <w:sz w:val="22"/>
                <w:szCs w:val="22"/>
              </w:rPr>
              <w:t>提供已缴存的 2022年1月1日以来至少一个月的社会保障资金缴存单据或社保机构开具的社会保险参保缴费情况证明。成立时间至提交投标文件截止时间不足一个月或依法不需要缴纳社会保障资金的供应商应提供相关文件证明；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76" w:type="dxa"/>
            <w:noWrap/>
            <w:vAlign w:val="center"/>
          </w:tcPr>
          <w:p>
            <w:pPr>
              <w:tabs>
                <w:tab w:val="left" w:pos="9030"/>
              </w:tabs>
              <w:snapToGrid w:val="0"/>
              <w:spacing w:line="360" w:lineRule="auto"/>
              <w:ind w:right="-65"/>
              <w:jc w:val="center"/>
              <w:rPr>
                <w:rFonts w:ascii="仿宋" w:hAnsi="仿宋" w:eastAsia="仿宋" w:cs="仿宋"/>
                <w:sz w:val="22"/>
                <w:szCs w:val="22"/>
              </w:rPr>
            </w:pPr>
            <w:r>
              <w:rPr>
                <w:rFonts w:hint="eastAsia" w:ascii="仿宋" w:hAnsi="仿宋" w:eastAsia="仿宋" w:cs="仿宋"/>
                <w:sz w:val="22"/>
                <w:szCs w:val="22"/>
              </w:rPr>
              <w:t>5</w:t>
            </w:r>
          </w:p>
        </w:tc>
        <w:tc>
          <w:tcPr>
            <w:tcW w:w="2188" w:type="dxa"/>
            <w:noWrap/>
            <w:vAlign w:val="center"/>
          </w:tcPr>
          <w:p>
            <w:pPr>
              <w:spacing w:before="78" w:line="360" w:lineRule="auto"/>
              <w:jc w:val="center"/>
              <w:rPr>
                <w:rFonts w:ascii="仿宋" w:hAnsi="仿宋" w:eastAsia="仿宋" w:cs="仿宋"/>
                <w:spacing w:val="-1"/>
                <w:sz w:val="22"/>
                <w:szCs w:val="22"/>
              </w:rPr>
            </w:pPr>
            <w:r>
              <w:rPr>
                <w:rFonts w:hint="eastAsia" w:ascii="仿宋" w:hAnsi="仿宋" w:eastAsia="仿宋" w:cs="仿宋"/>
                <w:spacing w:val="-1"/>
                <w:sz w:val="22"/>
                <w:szCs w:val="22"/>
              </w:rPr>
              <w:t>书面声明</w:t>
            </w:r>
          </w:p>
        </w:tc>
        <w:tc>
          <w:tcPr>
            <w:tcW w:w="5555" w:type="dxa"/>
            <w:noWrap/>
            <w:vAlign w:val="center"/>
          </w:tcPr>
          <w:p>
            <w:pPr>
              <w:spacing w:line="360" w:lineRule="auto"/>
              <w:rPr>
                <w:rFonts w:ascii="仿宋" w:hAnsi="仿宋" w:eastAsia="仿宋" w:cs="仿宋"/>
                <w:sz w:val="22"/>
                <w:szCs w:val="22"/>
              </w:rPr>
            </w:pPr>
            <w:r>
              <w:rPr>
                <w:rFonts w:hint="eastAsia" w:ascii="仿宋" w:hAnsi="仿宋" w:eastAsia="仿宋" w:cs="仿宋"/>
                <w:sz w:val="22"/>
                <w:szCs w:val="22"/>
              </w:rPr>
              <w:t xml:space="preserve">1.出具履行合同所必需的设备和专业技术能力的书面声明； </w:t>
            </w:r>
          </w:p>
          <w:p>
            <w:pPr>
              <w:spacing w:line="360" w:lineRule="auto"/>
              <w:rPr>
                <w:rFonts w:ascii="仿宋" w:hAnsi="仿宋" w:eastAsia="仿宋" w:cs="仿宋"/>
                <w:sz w:val="22"/>
                <w:szCs w:val="22"/>
              </w:rPr>
            </w:pPr>
            <w:r>
              <w:rPr>
                <w:rFonts w:hint="eastAsia" w:ascii="仿宋" w:hAnsi="仿宋" w:eastAsia="仿宋" w:cs="仿宋"/>
                <w:sz w:val="22"/>
                <w:szCs w:val="22"/>
              </w:rPr>
              <w:t xml:space="preserve">2.出具参加本次政府采购活动的书面声明；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576" w:type="dxa"/>
            <w:noWrap/>
            <w:vAlign w:val="center"/>
          </w:tcPr>
          <w:p>
            <w:pPr>
              <w:tabs>
                <w:tab w:val="left" w:pos="9030"/>
              </w:tabs>
              <w:snapToGrid w:val="0"/>
              <w:spacing w:line="360" w:lineRule="auto"/>
              <w:ind w:right="-65"/>
              <w:jc w:val="center"/>
              <w:rPr>
                <w:rFonts w:ascii="仿宋" w:hAnsi="仿宋" w:eastAsia="仿宋" w:cs="仿宋"/>
                <w:sz w:val="22"/>
                <w:szCs w:val="22"/>
              </w:rPr>
            </w:pPr>
            <w:r>
              <w:rPr>
                <w:rFonts w:hint="eastAsia" w:ascii="仿宋" w:hAnsi="仿宋" w:eastAsia="仿宋" w:cs="仿宋"/>
                <w:sz w:val="22"/>
                <w:szCs w:val="22"/>
              </w:rPr>
              <w:t>6</w:t>
            </w:r>
          </w:p>
        </w:tc>
        <w:tc>
          <w:tcPr>
            <w:tcW w:w="2188" w:type="dxa"/>
            <w:noWrap/>
            <w:vAlign w:val="center"/>
          </w:tcPr>
          <w:p>
            <w:pPr>
              <w:spacing w:before="78" w:line="360" w:lineRule="auto"/>
              <w:jc w:val="center"/>
              <w:rPr>
                <w:rFonts w:ascii="仿宋" w:hAnsi="仿宋" w:eastAsia="仿宋" w:cs="仿宋"/>
                <w:sz w:val="22"/>
                <w:szCs w:val="22"/>
              </w:rPr>
            </w:pPr>
            <w:r>
              <w:rPr>
                <w:rFonts w:hint="eastAsia" w:ascii="仿宋" w:hAnsi="仿宋" w:eastAsia="仿宋" w:cs="仿宋"/>
                <w:spacing w:val="-2"/>
                <w:sz w:val="22"/>
                <w:szCs w:val="22"/>
              </w:rPr>
              <w:t>信用记录</w:t>
            </w:r>
          </w:p>
        </w:tc>
        <w:tc>
          <w:tcPr>
            <w:tcW w:w="5555" w:type="dxa"/>
            <w:noWrap/>
            <w:vAlign w:val="center"/>
          </w:tcPr>
          <w:p>
            <w:pPr>
              <w:tabs>
                <w:tab w:val="left" w:pos="9030"/>
              </w:tabs>
              <w:snapToGrid w:val="0"/>
              <w:spacing w:line="360" w:lineRule="auto"/>
              <w:ind w:right="-65"/>
              <w:jc w:val="left"/>
              <w:rPr>
                <w:rFonts w:ascii="仿宋" w:hAnsi="仿宋" w:eastAsia="仿宋" w:cs="仿宋"/>
                <w:sz w:val="22"/>
                <w:szCs w:val="22"/>
              </w:rPr>
            </w:pPr>
            <w:r>
              <w:rPr>
                <w:rFonts w:hint="eastAsia" w:ascii="仿宋" w:hAnsi="仿宋" w:eastAsia="仿宋" w:cs="仿宋"/>
                <w:sz w:val="22"/>
                <w:szCs w:val="22"/>
              </w:rPr>
              <w:t>经查询，供应商未被列 入“信用中国”网站记录的“失信被执行人”或“重大税收违法失信主体”名单； 不处于“中国政府采购网”记录的“政府采购严重违法失信行为记录名单 ”中的禁止参加政府采购活动期间。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576" w:type="dxa"/>
            <w:noWrap/>
            <w:vAlign w:val="center"/>
          </w:tcPr>
          <w:p>
            <w:pPr>
              <w:tabs>
                <w:tab w:val="left" w:pos="9030"/>
              </w:tabs>
              <w:snapToGrid w:val="0"/>
              <w:spacing w:line="360" w:lineRule="auto"/>
              <w:ind w:right="-65"/>
              <w:jc w:val="center"/>
              <w:rPr>
                <w:rFonts w:ascii="仿宋" w:hAnsi="仿宋" w:eastAsia="仿宋" w:cs="仿宋"/>
                <w:sz w:val="22"/>
                <w:szCs w:val="22"/>
              </w:rPr>
            </w:pPr>
            <w:r>
              <w:rPr>
                <w:rFonts w:hint="eastAsia" w:ascii="仿宋" w:hAnsi="仿宋" w:eastAsia="仿宋" w:cs="仿宋"/>
                <w:sz w:val="22"/>
                <w:szCs w:val="22"/>
              </w:rPr>
              <w:t>7</w:t>
            </w:r>
          </w:p>
        </w:tc>
        <w:tc>
          <w:tcPr>
            <w:tcW w:w="2188" w:type="dxa"/>
            <w:noWrap/>
            <w:vAlign w:val="center"/>
          </w:tcPr>
          <w:p>
            <w:pPr>
              <w:spacing w:before="78" w:line="360" w:lineRule="auto"/>
              <w:jc w:val="center"/>
              <w:rPr>
                <w:rFonts w:ascii="仿宋" w:hAnsi="仿宋" w:eastAsia="仿宋" w:cs="仿宋"/>
                <w:spacing w:val="-2"/>
                <w:sz w:val="22"/>
                <w:szCs w:val="22"/>
              </w:rPr>
            </w:pPr>
            <w:r>
              <w:rPr>
                <w:rFonts w:hint="eastAsia" w:ascii="仿宋" w:hAnsi="仿宋" w:eastAsia="仿宋" w:cs="仿宋"/>
                <w:spacing w:val="19"/>
                <w:sz w:val="22"/>
                <w:szCs w:val="22"/>
              </w:rPr>
              <w:t>法定代表人授</w:t>
            </w:r>
            <w:r>
              <w:rPr>
                <w:rFonts w:hint="eastAsia" w:ascii="仿宋" w:hAnsi="仿宋" w:eastAsia="仿宋" w:cs="仿宋"/>
                <w:spacing w:val="-2"/>
                <w:sz w:val="22"/>
                <w:szCs w:val="22"/>
              </w:rPr>
              <w:t>权委托书</w:t>
            </w:r>
          </w:p>
        </w:tc>
        <w:tc>
          <w:tcPr>
            <w:tcW w:w="5555" w:type="dxa"/>
            <w:noWrap/>
            <w:vAlign w:val="center"/>
          </w:tcPr>
          <w:p>
            <w:pPr>
              <w:spacing w:line="360" w:lineRule="auto"/>
              <w:rPr>
                <w:rFonts w:ascii="仿宋" w:hAnsi="仿宋" w:eastAsia="仿宋" w:cs="仿宋"/>
                <w:spacing w:val="-19"/>
                <w:sz w:val="22"/>
                <w:szCs w:val="22"/>
              </w:rPr>
            </w:pPr>
            <w:r>
              <w:rPr>
                <w:rFonts w:hint="eastAsia" w:ascii="仿宋" w:hAnsi="仿宋" w:eastAsia="仿宋" w:cs="仿宋"/>
                <w:spacing w:val="-5"/>
                <w:sz w:val="22"/>
                <w:szCs w:val="22"/>
              </w:rPr>
              <w:t>法定代表人参加投标的，须提供法定代表人身份证明；法定代表人授权他人参加投标的，应提供法定代表人授权书及被授权人身份证，并且提供有效的劳动合同或开标截止前六个月内任意一个月养老保险缴纳证明。</w:t>
            </w:r>
          </w:p>
        </w:tc>
      </w:tr>
    </w:tbl>
    <w:p>
      <w:pPr>
        <w:tabs>
          <w:tab w:val="left" w:pos="9030"/>
        </w:tabs>
        <w:snapToGrid w:val="0"/>
        <w:spacing w:line="360" w:lineRule="auto"/>
        <w:ind w:right="-65" w:firstLine="482" w:firstLineChars="200"/>
        <w:rPr>
          <w:rFonts w:ascii="仿宋" w:hAnsi="仿宋" w:eastAsia="仿宋" w:cs="仿宋"/>
          <w:b/>
          <w:bCs/>
          <w:sz w:val="24"/>
          <w:szCs w:val="24"/>
        </w:rPr>
      </w:pPr>
      <w:r>
        <w:rPr>
          <w:rFonts w:hint="eastAsia" w:ascii="仿宋" w:hAnsi="仿宋" w:eastAsia="仿宋" w:cs="仿宋"/>
          <w:b/>
          <w:bCs/>
          <w:sz w:val="24"/>
          <w:szCs w:val="24"/>
          <w:lang w:val="zh-CN"/>
        </w:rPr>
        <w:t>说明：资格审查结束后，资格审查人员对审查结果进行签字确认，若供应商资格审查未通过，注明未通过原因并告知其供应商，资格审查不合格的供应商，不得进入下一评标环节。</w:t>
      </w:r>
    </w:p>
    <w:p>
      <w:pPr>
        <w:tabs>
          <w:tab w:val="left" w:pos="9030"/>
        </w:tabs>
        <w:snapToGrid w:val="0"/>
        <w:spacing w:line="360" w:lineRule="auto"/>
        <w:ind w:right="-65" w:firstLine="480" w:firstLineChars="200"/>
        <w:rPr>
          <w:rFonts w:ascii="仿宋" w:hAnsi="仿宋" w:eastAsia="仿宋" w:cs="仿宋"/>
          <w:sz w:val="24"/>
          <w:szCs w:val="24"/>
        </w:rPr>
      </w:pPr>
      <w:r>
        <w:rPr>
          <w:rFonts w:hint="eastAsia" w:ascii="仿宋" w:hAnsi="仿宋" w:eastAsia="仿宋" w:cs="仿宋"/>
          <w:sz w:val="24"/>
          <w:szCs w:val="24"/>
        </w:rPr>
        <w:t>2、投标文件符合性审查：依据招标文件的规定，评标委员会从投标文件的有效性、完整性和对招标文件的响应程度进行审查，以确定是否对招标文件的实质性内容作出响应。</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677"/>
        <w:gridCol w:w="5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573" w:type="dxa"/>
            <w:noWrap/>
            <w:vAlign w:val="center"/>
          </w:tcPr>
          <w:p>
            <w:pPr>
              <w:tabs>
                <w:tab w:val="left" w:pos="9030"/>
              </w:tabs>
              <w:snapToGrid w:val="0"/>
              <w:spacing w:line="360" w:lineRule="auto"/>
              <w:ind w:right="-65"/>
              <w:jc w:val="center"/>
              <w:rPr>
                <w:rFonts w:ascii="仿宋" w:hAnsi="仿宋" w:eastAsia="仿宋" w:cs="仿宋"/>
                <w:sz w:val="22"/>
                <w:szCs w:val="22"/>
              </w:rPr>
            </w:pPr>
            <w:r>
              <w:rPr>
                <w:rFonts w:hint="eastAsia" w:ascii="仿宋" w:hAnsi="仿宋" w:eastAsia="仿宋" w:cs="仿宋"/>
                <w:sz w:val="22"/>
                <w:szCs w:val="22"/>
              </w:rPr>
              <w:t>序号</w:t>
            </w:r>
          </w:p>
        </w:tc>
        <w:tc>
          <w:tcPr>
            <w:tcW w:w="2677" w:type="dxa"/>
            <w:noWrap/>
            <w:vAlign w:val="center"/>
          </w:tcPr>
          <w:p>
            <w:pPr>
              <w:tabs>
                <w:tab w:val="left" w:pos="9030"/>
              </w:tabs>
              <w:snapToGrid w:val="0"/>
              <w:spacing w:line="360" w:lineRule="auto"/>
              <w:ind w:right="-65"/>
              <w:jc w:val="center"/>
              <w:rPr>
                <w:rFonts w:ascii="仿宋" w:hAnsi="仿宋" w:eastAsia="仿宋" w:cs="仿宋"/>
                <w:sz w:val="22"/>
                <w:szCs w:val="22"/>
              </w:rPr>
            </w:pPr>
            <w:r>
              <w:rPr>
                <w:rFonts w:hint="eastAsia" w:ascii="仿宋" w:hAnsi="仿宋" w:eastAsia="仿宋" w:cs="仿宋"/>
                <w:spacing w:val="-1"/>
                <w:sz w:val="22"/>
                <w:szCs w:val="22"/>
              </w:rPr>
              <w:t>符合性审查项</w:t>
            </w:r>
          </w:p>
        </w:tc>
        <w:tc>
          <w:tcPr>
            <w:tcW w:w="5048" w:type="dxa"/>
            <w:noWrap/>
            <w:vAlign w:val="center"/>
          </w:tcPr>
          <w:p>
            <w:pPr>
              <w:tabs>
                <w:tab w:val="left" w:pos="9030"/>
              </w:tabs>
              <w:snapToGrid w:val="0"/>
              <w:spacing w:line="360" w:lineRule="auto"/>
              <w:ind w:right="-65"/>
              <w:jc w:val="center"/>
              <w:rPr>
                <w:rFonts w:ascii="仿宋" w:hAnsi="仿宋" w:eastAsia="仿宋" w:cs="仿宋"/>
                <w:sz w:val="22"/>
                <w:szCs w:val="22"/>
              </w:rPr>
            </w:pPr>
            <w:r>
              <w:rPr>
                <w:rFonts w:hint="eastAsia" w:ascii="仿宋" w:hAnsi="仿宋" w:eastAsia="仿宋" w:cs="仿宋"/>
                <w:sz w:val="22"/>
                <w:szCs w:val="22"/>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573" w:type="dxa"/>
            <w:noWrap/>
            <w:vAlign w:val="center"/>
          </w:tcPr>
          <w:p>
            <w:pPr>
              <w:tabs>
                <w:tab w:val="left" w:pos="9030"/>
              </w:tabs>
              <w:snapToGrid w:val="0"/>
              <w:spacing w:line="360" w:lineRule="auto"/>
              <w:ind w:right="-65"/>
              <w:jc w:val="center"/>
              <w:rPr>
                <w:rFonts w:ascii="仿宋" w:hAnsi="仿宋" w:eastAsia="仿宋" w:cs="仿宋"/>
                <w:sz w:val="22"/>
                <w:szCs w:val="22"/>
              </w:rPr>
            </w:pPr>
            <w:r>
              <w:rPr>
                <w:rFonts w:hint="eastAsia" w:ascii="仿宋" w:hAnsi="仿宋" w:eastAsia="仿宋" w:cs="仿宋"/>
                <w:sz w:val="22"/>
                <w:szCs w:val="22"/>
              </w:rPr>
              <w:t>1</w:t>
            </w:r>
          </w:p>
        </w:tc>
        <w:tc>
          <w:tcPr>
            <w:tcW w:w="2677" w:type="dxa"/>
            <w:noWrap/>
            <w:vAlign w:val="center"/>
          </w:tcPr>
          <w:p>
            <w:pPr>
              <w:spacing w:before="313" w:line="360" w:lineRule="auto"/>
              <w:ind w:right="112"/>
              <w:jc w:val="center"/>
              <w:rPr>
                <w:rFonts w:ascii="仿宋" w:hAnsi="仿宋" w:eastAsia="仿宋" w:cs="仿宋"/>
                <w:sz w:val="22"/>
                <w:szCs w:val="22"/>
              </w:rPr>
            </w:pPr>
            <w:r>
              <w:rPr>
                <w:rFonts w:hint="eastAsia" w:ascii="仿宋" w:hAnsi="仿宋" w:eastAsia="仿宋" w:cs="仿宋"/>
                <w:spacing w:val="1"/>
                <w:sz w:val="22"/>
                <w:szCs w:val="22"/>
              </w:rPr>
              <w:t>投标文件语言及有效</w:t>
            </w:r>
            <w:r>
              <w:rPr>
                <w:rFonts w:hint="eastAsia" w:ascii="仿宋" w:hAnsi="仿宋" w:eastAsia="仿宋" w:cs="仿宋"/>
                <w:sz w:val="22"/>
                <w:szCs w:val="22"/>
              </w:rPr>
              <w:t>期</w:t>
            </w:r>
          </w:p>
        </w:tc>
        <w:tc>
          <w:tcPr>
            <w:tcW w:w="5048" w:type="dxa"/>
            <w:noWrap/>
            <w:vAlign w:val="center"/>
          </w:tcPr>
          <w:p>
            <w:pPr>
              <w:tabs>
                <w:tab w:val="left" w:pos="9030"/>
              </w:tabs>
              <w:snapToGrid w:val="0"/>
              <w:spacing w:line="360" w:lineRule="auto"/>
              <w:ind w:right="-65"/>
              <w:jc w:val="left"/>
              <w:rPr>
                <w:rFonts w:ascii="仿宋" w:hAnsi="仿宋" w:eastAsia="仿宋" w:cs="仿宋"/>
                <w:sz w:val="22"/>
                <w:szCs w:val="22"/>
              </w:rPr>
            </w:pPr>
            <w:r>
              <w:rPr>
                <w:rFonts w:hint="eastAsia" w:ascii="仿宋" w:hAnsi="仿宋" w:eastAsia="仿宋" w:cs="仿宋"/>
                <w:spacing w:val="1"/>
                <w:sz w:val="22"/>
                <w:szCs w:val="22"/>
              </w:rPr>
              <w:t>投标文件语言及有效期符合招标文件</w:t>
            </w:r>
            <w:r>
              <w:rPr>
                <w:rFonts w:hint="eastAsia" w:ascii="仿宋" w:hAnsi="仿宋" w:eastAsia="仿宋" w:cs="仿宋"/>
                <w:spacing w:val="-11"/>
                <w:sz w:val="22"/>
                <w:szCs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573" w:type="dxa"/>
            <w:noWrap/>
            <w:vAlign w:val="center"/>
          </w:tcPr>
          <w:p>
            <w:pPr>
              <w:tabs>
                <w:tab w:val="left" w:pos="9030"/>
              </w:tabs>
              <w:snapToGrid w:val="0"/>
              <w:spacing w:line="360" w:lineRule="auto"/>
              <w:ind w:right="-65"/>
              <w:jc w:val="center"/>
              <w:rPr>
                <w:rFonts w:ascii="仿宋" w:hAnsi="仿宋" w:eastAsia="仿宋" w:cs="仿宋"/>
                <w:sz w:val="22"/>
                <w:szCs w:val="22"/>
              </w:rPr>
            </w:pPr>
            <w:r>
              <w:rPr>
                <w:rFonts w:hint="eastAsia" w:ascii="仿宋" w:hAnsi="仿宋" w:eastAsia="仿宋" w:cs="仿宋"/>
                <w:sz w:val="22"/>
                <w:szCs w:val="22"/>
              </w:rPr>
              <w:t>2</w:t>
            </w:r>
          </w:p>
        </w:tc>
        <w:tc>
          <w:tcPr>
            <w:tcW w:w="2677" w:type="dxa"/>
            <w:noWrap/>
            <w:vAlign w:val="center"/>
          </w:tcPr>
          <w:p>
            <w:pPr>
              <w:spacing w:before="78" w:line="360" w:lineRule="auto"/>
              <w:jc w:val="center"/>
              <w:rPr>
                <w:rFonts w:ascii="仿宋" w:hAnsi="仿宋" w:eastAsia="仿宋" w:cs="仿宋"/>
                <w:sz w:val="22"/>
                <w:szCs w:val="22"/>
              </w:rPr>
            </w:pPr>
            <w:r>
              <w:rPr>
                <w:rFonts w:hint="eastAsia" w:ascii="仿宋" w:hAnsi="仿宋" w:eastAsia="仿宋" w:cs="仿宋"/>
                <w:spacing w:val="1"/>
                <w:sz w:val="22"/>
                <w:szCs w:val="22"/>
              </w:rPr>
              <w:t>投标文件的投标函以</w:t>
            </w:r>
            <w:r>
              <w:rPr>
                <w:rFonts w:hint="eastAsia" w:ascii="仿宋" w:hAnsi="仿宋" w:eastAsia="仿宋" w:cs="仿宋"/>
                <w:sz w:val="22"/>
                <w:szCs w:val="22"/>
              </w:rPr>
              <w:t>及法定代表人授权委</w:t>
            </w:r>
            <w:r>
              <w:rPr>
                <w:rFonts w:hint="eastAsia" w:ascii="仿宋" w:hAnsi="仿宋" w:eastAsia="仿宋" w:cs="仿宋"/>
                <w:spacing w:val="-4"/>
                <w:sz w:val="22"/>
                <w:szCs w:val="22"/>
              </w:rPr>
              <w:t>托书</w:t>
            </w:r>
          </w:p>
        </w:tc>
        <w:tc>
          <w:tcPr>
            <w:tcW w:w="5048" w:type="dxa"/>
            <w:noWrap/>
            <w:vAlign w:val="center"/>
          </w:tcPr>
          <w:p>
            <w:pPr>
              <w:tabs>
                <w:tab w:val="left" w:pos="9030"/>
              </w:tabs>
              <w:snapToGrid w:val="0"/>
              <w:spacing w:line="360" w:lineRule="auto"/>
              <w:ind w:right="-65"/>
              <w:jc w:val="left"/>
              <w:rPr>
                <w:rFonts w:ascii="仿宋" w:hAnsi="仿宋" w:eastAsia="仿宋" w:cs="仿宋"/>
                <w:sz w:val="22"/>
                <w:szCs w:val="22"/>
              </w:rPr>
            </w:pPr>
            <w:r>
              <w:rPr>
                <w:rFonts w:hint="eastAsia" w:ascii="仿宋" w:hAnsi="仿宋" w:eastAsia="仿宋" w:cs="仿宋"/>
                <w:spacing w:val="-10"/>
                <w:sz w:val="22"/>
                <w:szCs w:val="22"/>
              </w:rPr>
              <w:t>二处均无遗漏，且所投项目名称、标</w:t>
            </w:r>
            <w:r>
              <w:rPr>
                <w:rFonts w:hint="eastAsia" w:ascii="仿宋" w:hAnsi="仿宋" w:eastAsia="仿宋" w:cs="仿宋"/>
                <w:spacing w:val="1"/>
                <w:sz w:val="22"/>
                <w:szCs w:val="22"/>
              </w:rPr>
              <w:t>段应与实际参与项目一致。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573" w:type="dxa"/>
            <w:noWrap/>
            <w:vAlign w:val="center"/>
          </w:tcPr>
          <w:p>
            <w:pPr>
              <w:tabs>
                <w:tab w:val="left" w:pos="9030"/>
              </w:tabs>
              <w:snapToGrid w:val="0"/>
              <w:spacing w:line="360" w:lineRule="auto"/>
              <w:ind w:right="-65"/>
              <w:jc w:val="center"/>
              <w:rPr>
                <w:rFonts w:ascii="仿宋" w:hAnsi="仿宋" w:eastAsia="仿宋" w:cs="仿宋"/>
                <w:sz w:val="22"/>
                <w:szCs w:val="22"/>
              </w:rPr>
            </w:pPr>
            <w:r>
              <w:rPr>
                <w:rFonts w:hint="eastAsia" w:ascii="仿宋" w:hAnsi="仿宋" w:eastAsia="仿宋" w:cs="仿宋"/>
                <w:sz w:val="22"/>
                <w:szCs w:val="22"/>
              </w:rPr>
              <w:t>3</w:t>
            </w:r>
          </w:p>
        </w:tc>
        <w:tc>
          <w:tcPr>
            <w:tcW w:w="2677" w:type="dxa"/>
            <w:noWrap/>
            <w:vAlign w:val="center"/>
          </w:tcPr>
          <w:p>
            <w:pPr>
              <w:spacing w:before="78" w:line="360" w:lineRule="auto"/>
              <w:jc w:val="center"/>
              <w:rPr>
                <w:rFonts w:ascii="仿宋" w:hAnsi="仿宋" w:eastAsia="仿宋" w:cs="仿宋"/>
                <w:sz w:val="22"/>
                <w:szCs w:val="22"/>
              </w:rPr>
            </w:pPr>
            <w:r>
              <w:rPr>
                <w:rFonts w:hint="eastAsia" w:ascii="仿宋" w:hAnsi="仿宋" w:eastAsia="仿宋" w:cs="仿宋"/>
                <w:sz w:val="22"/>
                <w:szCs w:val="22"/>
              </w:rPr>
              <w:t>开标一览表</w:t>
            </w:r>
          </w:p>
        </w:tc>
        <w:tc>
          <w:tcPr>
            <w:tcW w:w="5048" w:type="dxa"/>
            <w:noWrap/>
            <w:vAlign w:val="center"/>
          </w:tcPr>
          <w:p>
            <w:pPr>
              <w:tabs>
                <w:tab w:val="left" w:pos="9030"/>
              </w:tabs>
              <w:snapToGrid w:val="0"/>
              <w:spacing w:line="360" w:lineRule="auto"/>
              <w:ind w:right="-65"/>
              <w:jc w:val="left"/>
              <w:rPr>
                <w:rFonts w:ascii="仿宋" w:hAnsi="仿宋" w:eastAsia="仿宋" w:cs="仿宋"/>
                <w:sz w:val="22"/>
                <w:szCs w:val="22"/>
              </w:rPr>
            </w:pPr>
            <w:r>
              <w:rPr>
                <w:rFonts w:hint="eastAsia" w:ascii="仿宋" w:hAnsi="仿宋" w:eastAsia="仿宋" w:cs="仿宋"/>
                <w:sz w:val="22"/>
                <w:szCs w:val="22"/>
              </w:rPr>
              <w:t>（1）报价符合唯一性要求：</w:t>
            </w:r>
          </w:p>
          <w:p>
            <w:pPr>
              <w:tabs>
                <w:tab w:val="left" w:pos="9030"/>
              </w:tabs>
              <w:snapToGrid w:val="0"/>
              <w:spacing w:line="360" w:lineRule="auto"/>
              <w:ind w:right="-65"/>
              <w:jc w:val="left"/>
              <w:rPr>
                <w:rFonts w:ascii="仿宋" w:hAnsi="仿宋" w:eastAsia="仿宋" w:cs="仿宋"/>
                <w:sz w:val="22"/>
                <w:szCs w:val="22"/>
              </w:rPr>
            </w:pPr>
            <w:r>
              <w:rPr>
                <w:rFonts w:hint="eastAsia" w:ascii="仿宋" w:hAnsi="仿宋" w:eastAsia="仿宋" w:cs="仿宋"/>
                <w:sz w:val="22"/>
                <w:szCs w:val="22"/>
              </w:rPr>
              <w:t>（2）报价表填写符合要求；</w:t>
            </w:r>
          </w:p>
          <w:p>
            <w:pPr>
              <w:tabs>
                <w:tab w:val="left" w:pos="9030"/>
              </w:tabs>
              <w:snapToGrid w:val="0"/>
              <w:spacing w:line="360" w:lineRule="auto"/>
              <w:ind w:right="-65"/>
              <w:jc w:val="left"/>
              <w:rPr>
                <w:rFonts w:ascii="仿宋" w:hAnsi="仿宋" w:eastAsia="仿宋" w:cs="仿宋"/>
                <w:sz w:val="22"/>
                <w:szCs w:val="22"/>
              </w:rPr>
            </w:pPr>
            <w:r>
              <w:rPr>
                <w:rFonts w:hint="eastAsia" w:ascii="仿宋" w:hAnsi="仿宋" w:eastAsia="仿宋" w:cs="仿宋"/>
                <w:sz w:val="22"/>
                <w:szCs w:val="22"/>
              </w:rPr>
              <w:t>（3）计量单位、报价货币均符合招标文件要求；</w:t>
            </w:r>
          </w:p>
          <w:p>
            <w:pPr>
              <w:tabs>
                <w:tab w:val="left" w:pos="9030"/>
              </w:tabs>
              <w:snapToGrid w:val="0"/>
              <w:spacing w:line="360" w:lineRule="auto"/>
              <w:ind w:right="-65"/>
              <w:jc w:val="left"/>
              <w:rPr>
                <w:rFonts w:ascii="仿宋" w:hAnsi="仿宋" w:eastAsia="仿宋" w:cs="仿宋"/>
                <w:sz w:val="22"/>
                <w:szCs w:val="22"/>
              </w:rPr>
            </w:pPr>
            <w:r>
              <w:rPr>
                <w:rFonts w:hint="eastAsia" w:ascii="仿宋" w:hAnsi="仿宋" w:eastAsia="仿宋" w:cs="仿宋"/>
                <w:sz w:val="22"/>
                <w:szCs w:val="22"/>
              </w:rPr>
              <w:t>（4）未超出采购预算或招标文件规定的最高限价。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573" w:type="dxa"/>
            <w:noWrap/>
            <w:vAlign w:val="center"/>
          </w:tcPr>
          <w:p>
            <w:pPr>
              <w:tabs>
                <w:tab w:val="left" w:pos="9030"/>
              </w:tabs>
              <w:snapToGrid w:val="0"/>
              <w:spacing w:line="360" w:lineRule="auto"/>
              <w:ind w:right="-65"/>
              <w:jc w:val="center"/>
              <w:rPr>
                <w:rFonts w:ascii="仿宋" w:hAnsi="仿宋" w:eastAsia="仿宋" w:cs="仿宋"/>
                <w:sz w:val="22"/>
                <w:szCs w:val="22"/>
              </w:rPr>
            </w:pPr>
            <w:r>
              <w:rPr>
                <w:rFonts w:hint="eastAsia" w:ascii="仿宋" w:hAnsi="仿宋" w:eastAsia="仿宋" w:cs="仿宋"/>
                <w:sz w:val="22"/>
                <w:szCs w:val="22"/>
              </w:rPr>
              <w:t>4</w:t>
            </w:r>
          </w:p>
        </w:tc>
        <w:tc>
          <w:tcPr>
            <w:tcW w:w="2677" w:type="dxa"/>
            <w:noWrap/>
            <w:vAlign w:val="center"/>
          </w:tcPr>
          <w:p>
            <w:pPr>
              <w:spacing w:before="78" w:line="360" w:lineRule="auto"/>
              <w:jc w:val="center"/>
              <w:rPr>
                <w:rFonts w:ascii="仿宋" w:hAnsi="仿宋" w:eastAsia="仿宋" w:cs="仿宋"/>
                <w:sz w:val="22"/>
                <w:szCs w:val="22"/>
              </w:rPr>
            </w:pPr>
            <w:r>
              <w:rPr>
                <w:rFonts w:hint="eastAsia" w:ascii="仿宋" w:hAnsi="仿宋" w:eastAsia="仿宋" w:cs="仿宋"/>
                <w:sz w:val="22"/>
                <w:szCs w:val="22"/>
              </w:rPr>
              <w:t>供应商承诺书</w:t>
            </w:r>
          </w:p>
        </w:tc>
        <w:tc>
          <w:tcPr>
            <w:tcW w:w="5048" w:type="dxa"/>
            <w:noWrap/>
            <w:vAlign w:val="center"/>
          </w:tcPr>
          <w:p>
            <w:pPr>
              <w:spacing w:line="360" w:lineRule="auto"/>
              <w:jc w:val="left"/>
              <w:rPr>
                <w:rFonts w:ascii="仿宋" w:hAnsi="仿宋" w:eastAsia="仿宋" w:cs="仿宋"/>
                <w:sz w:val="22"/>
                <w:szCs w:val="22"/>
              </w:rPr>
            </w:pPr>
            <w:r>
              <w:rPr>
                <w:rFonts w:hint="eastAsia" w:ascii="仿宋" w:hAnsi="仿宋" w:eastAsia="仿宋" w:cs="仿宋"/>
                <w:sz w:val="22"/>
                <w:szCs w:val="22"/>
              </w:rPr>
              <w:t>完全理解并接受《</w:t>
            </w:r>
            <w:r>
              <w:rPr>
                <w:rFonts w:hint="eastAsia" w:ascii="仿宋" w:hAnsi="仿宋" w:eastAsia="仿宋" w:cs="仿宋"/>
                <w:sz w:val="22"/>
                <w:szCs w:val="22"/>
                <w:lang w:val="zh-CN"/>
              </w:rPr>
              <w:t>供应商企业关系关联承诺书</w:t>
            </w:r>
            <w:r>
              <w:rPr>
                <w:rFonts w:hint="eastAsia" w:ascii="仿宋" w:hAnsi="仿宋" w:eastAsia="仿宋" w:cs="仿宋"/>
                <w:sz w:val="22"/>
                <w:szCs w:val="22"/>
              </w:rPr>
              <w:t>》、《</w:t>
            </w:r>
            <w:r>
              <w:rPr>
                <w:rFonts w:hint="eastAsia" w:ascii="仿宋" w:hAnsi="仿宋" w:eastAsia="仿宋" w:cs="仿宋"/>
                <w:sz w:val="22"/>
                <w:szCs w:val="22"/>
                <w:lang w:val="zh-CN"/>
              </w:rPr>
              <w:t>供应商廉洁自律承诺书</w:t>
            </w:r>
            <w:r>
              <w:rPr>
                <w:rFonts w:hint="eastAsia" w:ascii="仿宋" w:hAnsi="仿宋" w:eastAsia="仿宋" w:cs="仿宋"/>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573" w:type="dxa"/>
            <w:noWrap/>
            <w:vAlign w:val="center"/>
          </w:tcPr>
          <w:p>
            <w:pPr>
              <w:tabs>
                <w:tab w:val="left" w:pos="9030"/>
              </w:tabs>
              <w:snapToGrid w:val="0"/>
              <w:spacing w:line="360" w:lineRule="auto"/>
              <w:ind w:right="-65"/>
              <w:jc w:val="center"/>
              <w:rPr>
                <w:rFonts w:ascii="仿宋" w:hAnsi="仿宋" w:eastAsia="仿宋" w:cs="仿宋"/>
                <w:sz w:val="22"/>
                <w:szCs w:val="22"/>
              </w:rPr>
            </w:pPr>
            <w:r>
              <w:rPr>
                <w:rFonts w:hint="eastAsia" w:ascii="仿宋" w:hAnsi="仿宋" w:eastAsia="仿宋" w:cs="仿宋"/>
                <w:sz w:val="22"/>
                <w:szCs w:val="22"/>
              </w:rPr>
              <w:t>5</w:t>
            </w:r>
          </w:p>
        </w:tc>
        <w:tc>
          <w:tcPr>
            <w:tcW w:w="2677" w:type="dxa"/>
            <w:noWrap/>
            <w:vAlign w:val="center"/>
          </w:tcPr>
          <w:p>
            <w:pPr>
              <w:spacing w:before="78" w:line="360" w:lineRule="auto"/>
              <w:jc w:val="center"/>
              <w:rPr>
                <w:rFonts w:ascii="仿宋" w:hAnsi="仿宋" w:eastAsia="仿宋" w:cs="仿宋"/>
                <w:spacing w:val="-1"/>
                <w:sz w:val="22"/>
                <w:szCs w:val="22"/>
              </w:rPr>
            </w:pPr>
            <w:r>
              <w:rPr>
                <w:rFonts w:hint="eastAsia" w:ascii="仿宋" w:hAnsi="仿宋" w:eastAsia="仿宋" w:cs="仿宋"/>
                <w:spacing w:val="-1"/>
                <w:sz w:val="22"/>
                <w:szCs w:val="22"/>
              </w:rPr>
              <w:t>无其他招标文件或法</w:t>
            </w:r>
          </w:p>
          <w:p>
            <w:pPr>
              <w:spacing w:before="78" w:line="360" w:lineRule="auto"/>
              <w:jc w:val="center"/>
              <w:rPr>
                <w:rFonts w:ascii="仿宋" w:hAnsi="仿宋" w:eastAsia="仿宋" w:cs="仿宋"/>
                <w:spacing w:val="-1"/>
                <w:sz w:val="22"/>
                <w:szCs w:val="22"/>
              </w:rPr>
            </w:pPr>
            <w:r>
              <w:rPr>
                <w:rFonts w:hint="eastAsia" w:ascii="仿宋" w:hAnsi="仿宋" w:eastAsia="仿宋" w:cs="仿宋"/>
                <w:spacing w:val="-1"/>
                <w:sz w:val="22"/>
                <w:szCs w:val="22"/>
              </w:rPr>
              <w:t>规明确规定响应无效</w:t>
            </w:r>
          </w:p>
          <w:p>
            <w:pPr>
              <w:spacing w:before="78" w:line="360" w:lineRule="auto"/>
              <w:jc w:val="center"/>
              <w:rPr>
                <w:rFonts w:ascii="仿宋" w:hAnsi="仿宋" w:eastAsia="仿宋" w:cs="仿宋"/>
                <w:spacing w:val="-1"/>
                <w:sz w:val="22"/>
                <w:szCs w:val="22"/>
              </w:rPr>
            </w:pPr>
            <w:r>
              <w:rPr>
                <w:rFonts w:hint="eastAsia" w:ascii="仿宋" w:hAnsi="仿宋" w:eastAsia="仿宋" w:cs="仿宋"/>
                <w:spacing w:val="-1"/>
                <w:sz w:val="22"/>
                <w:szCs w:val="22"/>
              </w:rPr>
              <w:t>的事项</w:t>
            </w:r>
          </w:p>
        </w:tc>
        <w:tc>
          <w:tcPr>
            <w:tcW w:w="5048" w:type="dxa"/>
            <w:noWrap/>
            <w:vAlign w:val="center"/>
          </w:tcPr>
          <w:p>
            <w:pPr>
              <w:spacing w:line="360" w:lineRule="auto"/>
              <w:rPr>
                <w:rFonts w:ascii="仿宋" w:hAnsi="仿宋" w:eastAsia="仿宋" w:cs="仿宋"/>
                <w:sz w:val="22"/>
                <w:szCs w:val="22"/>
              </w:rPr>
            </w:pPr>
            <w:r>
              <w:rPr>
                <w:rFonts w:hint="eastAsia" w:ascii="仿宋" w:hAnsi="仿宋" w:eastAsia="仿宋" w:cs="仿宋"/>
                <w:sz w:val="22"/>
                <w:szCs w:val="22"/>
              </w:rPr>
              <w:t xml:space="preserve">没有不符合招标文件规定的被视为无效响应的其他条款。 </w:t>
            </w:r>
          </w:p>
        </w:tc>
      </w:tr>
    </w:tbl>
    <w:p>
      <w:pPr>
        <w:tabs>
          <w:tab w:val="left" w:pos="9030"/>
        </w:tabs>
        <w:snapToGrid w:val="0"/>
        <w:spacing w:line="360" w:lineRule="auto"/>
        <w:ind w:right="-65" w:firstLine="482" w:firstLineChars="200"/>
        <w:rPr>
          <w:rFonts w:ascii="仿宋" w:hAnsi="仿宋" w:eastAsia="仿宋" w:cs="仿宋"/>
          <w:b/>
          <w:bCs/>
          <w:sz w:val="24"/>
          <w:szCs w:val="24"/>
        </w:rPr>
      </w:pPr>
      <w:r>
        <w:rPr>
          <w:rFonts w:hint="eastAsia" w:ascii="仿宋" w:hAnsi="仿宋" w:eastAsia="仿宋" w:cs="仿宋"/>
          <w:b/>
          <w:bCs/>
          <w:sz w:val="24"/>
          <w:szCs w:val="24"/>
        </w:rPr>
        <w:t>说明：符合性审查结束后，评标委员会当对审查结果进行签字确认。若供应商符合性审查未通过，注明未通过原因并告知其供应商，符合性审查不合格的供应商，不得进入下一评标环节。</w:t>
      </w:r>
    </w:p>
    <w:p>
      <w:pPr>
        <w:autoSpaceDE w:val="0"/>
        <w:autoSpaceDN w:val="0"/>
        <w:adjustRightInd w:val="0"/>
        <w:snapToGrid w:val="0"/>
        <w:spacing w:line="360" w:lineRule="auto"/>
        <w:ind w:firstLine="627"/>
        <w:rPr>
          <w:rFonts w:ascii="仿宋" w:hAnsi="仿宋" w:eastAsia="仿宋" w:cs="仿宋"/>
          <w:sz w:val="24"/>
          <w:szCs w:val="24"/>
        </w:rPr>
      </w:pPr>
      <w:r>
        <w:rPr>
          <w:rFonts w:hint="eastAsia" w:ascii="仿宋" w:hAnsi="仿宋" w:eastAsia="仿宋" w:cs="仿宋"/>
          <w:sz w:val="24"/>
          <w:szCs w:val="24"/>
        </w:rPr>
        <w:t>3、供应商存在下列情况之一的，投标无效：</w:t>
      </w:r>
    </w:p>
    <w:p>
      <w:pPr>
        <w:autoSpaceDE w:val="0"/>
        <w:autoSpaceDN w:val="0"/>
        <w:adjustRightInd w:val="0"/>
        <w:snapToGrid w:val="0"/>
        <w:spacing w:line="360" w:lineRule="auto"/>
        <w:ind w:firstLine="627"/>
        <w:rPr>
          <w:rFonts w:ascii="仿宋" w:hAnsi="仿宋" w:eastAsia="仿宋" w:cs="仿宋"/>
          <w:sz w:val="24"/>
          <w:szCs w:val="24"/>
        </w:rPr>
      </w:pPr>
      <w:r>
        <w:rPr>
          <w:rFonts w:hint="eastAsia" w:ascii="仿宋" w:hAnsi="仿宋" w:eastAsia="仿宋" w:cs="仿宋"/>
          <w:sz w:val="24"/>
          <w:szCs w:val="24"/>
        </w:rPr>
        <w:t>（1）供应商没有经过正常渠道获取招标文件或供应商的名称与登记领取招标文件单位的名称不符；</w:t>
      </w:r>
    </w:p>
    <w:p>
      <w:pPr>
        <w:autoSpaceDE w:val="0"/>
        <w:autoSpaceDN w:val="0"/>
        <w:adjustRightInd w:val="0"/>
        <w:snapToGrid w:val="0"/>
        <w:spacing w:line="360" w:lineRule="auto"/>
        <w:ind w:firstLine="627"/>
        <w:rPr>
          <w:rFonts w:ascii="仿宋" w:hAnsi="仿宋" w:eastAsia="仿宋" w:cs="仿宋"/>
          <w:sz w:val="24"/>
          <w:szCs w:val="24"/>
        </w:rPr>
      </w:pPr>
      <w:r>
        <w:rPr>
          <w:rFonts w:hint="eastAsia" w:ascii="仿宋" w:hAnsi="仿宋" w:eastAsia="仿宋" w:cs="仿宋"/>
          <w:sz w:val="24"/>
          <w:szCs w:val="24"/>
        </w:rPr>
        <w:t>（2）不具备招标文件中规定的资格要求的或提供的资格要求文件不符合招标文件要求的；</w:t>
      </w:r>
    </w:p>
    <w:p>
      <w:pPr>
        <w:autoSpaceDE w:val="0"/>
        <w:autoSpaceDN w:val="0"/>
        <w:adjustRightInd w:val="0"/>
        <w:snapToGrid w:val="0"/>
        <w:spacing w:line="360" w:lineRule="auto"/>
        <w:ind w:firstLine="627"/>
        <w:rPr>
          <w:rFonts w:ascii="仿宋" w:hAnsi="仿宋" w:eastAsia="仿宋" w:cs="仿宋"/>
          <w:sz w:val="24"/>
          <w:szCs w:val="24"/>
        </w:rPr>
      </w:pPr>
      <w:r>
        <w:rPr>
          <w:rFonts w:hint="eastAsia" w:ascii="仿宋" w:hAnsi="仿宋" w:eastAsia="仿宋" w:cs="仿宋"/>
          <w:sz w:val="24"/>
          <w:szCs w:val="24"/>
        </w:rPr>
        <w:t>（3）投标文件投标有效期不符合招标文件要求的；</w:t>
      </w:r>
    </w:p>
    <w:p>
      <w:pPr>
        <w:autoSpaceDE w:val="0"/>
        <w:autoSpaceDN w:val="0"/>
        <w:adjustRightInd w:val="0"/>
        <w:snapToGrid w:val="0"/>
        <w:spacing w:line="360" w:lineRule="auto"/>
        <w:ind w:firstLine="627"/>
        <w:rPr>
          <w:rFonts w:ascii="仿宋" w:hAnsi="仿宋" w:eastAsia="仿宋" w:cs="仿宋"/>
          <w:sz w:val="24"/>
          <w:szCs w:val="24"/>
        </w:rPr>
      </w:pPr>
      <w:r>
        <w:rPr>
          <w:rFonts w:hint="eastAsia" w:ascii="仿宋" w:hAnsi="仿宋" w:eastAsia="仿宋" w:cs="仿宋"/>
          <w:sz w:val="24"/>
          <w:szCs w:val="24"/>
        </w:rPr>
        <w:t>（4）投标文件递交份数不符合招标文件要求的；</w:t>
      </w:r>
    </w:p>
    <w:p>
      <w:pPr>
        <w:autoSpaceDE w:val="0"/>
        <w:autoSpaceDN w:val="0"/>
        <w:adjustRightInd w:val="0"/>
        <w:snapToGrid w:val="0"/>
        <w:spacing w:line="360" w:lineRule="auto"/>
        <w:ind w:firstLine="627"/>
        <w:rPr>
          <w:rFonts w:ascii="仿宋" w:hAnsi="仿宋" w:eastAsia="仿宋" w:cs="仿宋"/>
          <w:sz w:val="24"/>
          <w:szCs w:val="24"/>
        </w:rPr>
      </w:pPr>
      <w:r>
        <w:rPr>
          <w:rFonts w:hint="eastAsia" w:ascii="仿宋" w:hAnsi="仿宋" w:eastAsia="仿宋" w:cs="仿宋"/>
          <w:sz w:val="24"/>
          <w:szCs w:val="24"/>
        </w:rPr>
        <w:t>（5）投标文件含有采购人不能接受的附加条件的;</w:t>
      </w:r>
    </w:p>
    <w:p>
      <w:pPr>
        <w:autoSpaceDE w:val="0"/>
        <w:autoSpaceDN w:val="0"/>
        <w:adjustRightInd w:val="0"/>
        <w:snapToGrid w:val="0"/>
        <w:spacing w:line="360" w:lineRule="auto"/>
        <w:ind w:firstLine="627"/>
        <w:rPr>
          <w:rFonts w:ascii="仿宋" w:hAnsi="仿宋" w:eastAsia="仿宋" w:cs="仿宋"/>
          <w:sz w:val="24"/>
          <w:szCs w:val="24"/>
        </w:rPr>
      </w:pPr>
      <w:r>
        <w:rPr>
          <w:rFonts w:hint="eastAsia" w:ascii="仿宋" w:hAnsi="仿宋" w:eastAsia="仿宋" w:cs="仿宋"/>
          <w:sz w:val="24"/>
          <w:szCs w:val="24"/>
        </w:rPr>
        <w:t>（6）供应商串通投标的，出现以下情形之一的：①不同供应商的投标文件由同一单位或者个人编制；②不同供应商委托同一单位或者个人办理投标事宜；③不同供应商的投标文件载明的项目管理成员或者联系人员为同一人；④不同供应商的投标文件异常一致或者投标报价呈规律性差异；⑤不同供应商的投标文件相互混装；</w:t>
      </w:r>
    </w:p>
    <w:p>
      <w:pPr>
        <w:autoSpaceDE w:val="0"/>
        <w:autoSpaceDN w:val="0"/>
        <w:adjustRightInd w:val="0"/>
        <w:snapToGrid w:val="0"/>
        <w:spacing w:line="360" w:lineRule="auto"/>
        <w:ind w:firstLine="627"/>
        <w:rPr>
          <w:rFonts w:hint="eastAsia" w:ascii="仿宋" w:hAnsi="仿宋" w:eastAsia="仿宋" w:cs="仿宋"/>
          <w:sz w:val="24"/>
          <w:szCs w:val="24"/>
        </w:rPr>
      </w:pPr>
      <w:r>
        <w:rPr>
          <w:rFonts w:hint="eastAsia" w:ascii="仿宋" w:hAnsi="仿宋" w:eastAsia="仿宋" w:cs="仿宋"/>
          <w:sz w:val="24"/>
          <w:szCs w:val="24"/>
        </w:rPr>
        <w:t>（7）供应商出现多份报价，出现选择性报价的；</w:t>
      </w:r>
    </w:p>
    <w:p>
      <w:pPr>
        <w:autoSpaceDE w:val="0"/>
        <w:autoSpaceDN w:val="0"/>
        <w:adjustRightInd w:val="0"/>
        <w:snapToGrid w:val="0"/>
        <w:spacing w:line="360" w:lineRule="auto"/>
        <w:ind w:firstLine="627"/>
        <w:rPr>
          <w:rFonts w:hint="eastAsia" w:ascii="仿宋" w:hAnsi="仿宋" w:eastAsia="仿宋" w:cs="仿宋"/>
          <w:sz w:val="24"/>
          <w:szCs w:val="24"/>
        </w:rPr>
      </w:pPr>
      <w:r>
        <w:rPr>
          <w:rFonts w:hint="eastAsia" w:ascii="仿宋" w:hAnsi="仿宋" w:eastAsia="仿宋" w:cs="仿宋"/>
          <w:sz w:val="24"/>
          <w:szCs w:val="24"/>
        </w:rPr>
        <w:t>（8）投标报价与市场价偏离较大，低于成本，形成不正当竞争；</w:t>
      </w:r>
    </w:p>
    <w:p>
      <w:pPr>
        <w:autoSpaceDE w:val="0"/>
        <w:autoSpaceDN w:val="0"/>
        <w:adjustRightInd w:val="0"/>
        <w:snapToGrid w:val="0"/>
        <w:spacing w:line="360" w:lineRule="auto"/>
        <w:ind w:firstLine="627"/>
        <w:rPr>
          <w:rFonts w:hint="eastAsia" w:ascii="仿宋" w:hAnsi="仿宋" w:eastAsia="仿宋" w:cs="仿宋"/>
          <w:sz w:val="24"/>
          <w:szCs w:val="24"/>
        </w:rPr>
      </w:pPr>
      <w:r>
        <w:rPr>
          <w:rFonts w:hint="eastAsia" w:ascii="仿宋" w:hAnsi="仿宋" w:eastAsia="仿宋" w:cs="仿宋"/>
          <w:sz w:val="24"/>
          <w:szCs w:val="24"/>
        </w:rPr>
        <w:t>（9）提供虚假证明，开具虚假资质，出现虚假应答，除按无效标处理外，还进行相应的处罚；</w:t>
      </w:r>
    </w:p>
    <w:p>
      <w:pPr>
        <w:autoSpaceDE w:val="0"/>
        <w:autoSpaceDN w:val="0"/>
        <w:adjustRightInd w:val="0"/>
        <w:snapToGrid w:val="0"/>
        <w:spacing w:line="360" w:lineRule="auto"/>
        <w:ind w:firstLine="627"/>
        <w:rPr>
          <w:rFonts w:hint="eastAsia" w:ascii="仿宋" w:hAnsi="仿宋" w:eastAsia="仿宋" w:cs="仿宋"/>
          <w:sz w:val="24"/>
          <w:szCs w:val="24"/>
        </w:rPr>
      </w:pPr>
      <w:r>
        <w:rPr>
          <w:rFonts w:hint="eastAsia" w:ascii="仿宋" w:hAnsi="仿宋" w:eastAsia="仿宋" w:cs="仿宋"/>
          <w:sz w:val="24"/>
          <w:szCs w:val="24"/>
        </w:rPr>
        <w:t>（10）报价超过招标文件中规定的预算金额或者最高限价的；</w:t>
      </w:r>
    </w:p>
    <w:p>
      <w:pPr>
        <w:autoSpaceDE w:val="0"/>
        <w:autoSpaceDN w:val="0"/>
        <w:adjustRightInd w:val="0"/>
        <w:snapToGrid w:val="0"/>
        <w:spacing w:line="360" w:lineRule="auto"/>
        <w:ind w:firstLine="627"/>
        <w:rPr>
          <w:rFonts w:hint="eastAsia" w:ascii="仿宋" w:hAnsi="仿宋" w:eastAsia="仿宋" w:cs="仿宋"/>
          <w:sz w:val="24"/>
          <w:szCs w:val="24"/>
          <w:lang w:eastAsia="zh-CN"/>
        </w:rPr>
      </w:pPr>
      <w:r>
        <w:rPr>
          <w:rFonts w:hint="eastAsia" w:ascii="仿宋" w:hAnsi="仿宋" w:eastAsia="仿宋" w:cs="仿宋"/>
          <w:sz w:val="24"/>
          <w:szCs w:val="24"/>
        </w:rPr>
        <w:t>（11）提交的电子版文件无效或不完整的</w:t>
      </w:r>
      <w:r>
        <w:rPr>
          <w:rFonts w:hint="eastAsia" w:ascii="仿宋" w:hAnsi="仿宋" w:eastAsia="仿宋" w:cs="仿宋"/>
          <w:sz w:val="24"/>
          <w:szCs w:val="24"/>
          <w:lang w:eastAsia="zh-CN"/>
        </w:rPr>
        <w:t>；</w:t>
      </w:r>
    </w:p>
    <w:p>
      <w:pPr>
        <w:autoSpaceDE w:val="0"/>
        <w:autoSpaceDN w:val="0"/>
        <w:adjustRightInd w:val="0"/>
        <w:snapToGrid w:val="0"/>
        <w:spacing w:line="360" w:lineRule="auto"/>
        <w:ind w:firstLine="627"/>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12</w:t>
      </w:r>
      <w:r>
        <w:rPr>
          <w:rFonts w:hint="eastAsia" w:ascii="仿宋" w:hAnsi="仿宋" w:eastAsia="仿宋" w:cs="仿宋"/>
          <w:sz w:val="24"/>
          <w:szCs w:val="24"/>
        </w:rPr>
        <w:t>）</w:t>
      </w:r>
      <w:r>
        <w:rPr>
          <w:rFonts w:hint="eastAsia" w:ascii="仿宋" w:hAnsi="仿宋" w:eastAsia="仿宋" w:cs="仿宋"/>
          <w:sz w:val="24"/>
          <w:szCs w:val="24"/>
          <w:lang w:val="zh-CN"/>
        </w:rPr>
        <w:t>未按照招标文件的规定提交投标保证金的。</w:t>
      </w:r>
    </w:p>
    <w:p>
      <w:pPr>
        <w:autoSpaceDE w:val="0"/>
        <w:autoSpaceDN w:val="0"/>
        <w:adjustRightInd w:val="0"/>
        <w:snapToGrid w:val="0"/>
        <w:spacing w:line="360" w:lineRule="auto"/>
        <w:ind w:firstLine="627"/>
        <w:outlineLvl w:val="2"/>
        <w:rPr>
          <w:rFonts w:ascii="仿宋" w:hAnsi="仿宋" w:eastAsia="仿宋" w:cs="仿宋"/>
          <w:sz w:val="24"/>
          <w:szCs w:val="24"/>
          <w:lang w:val="zh-CN"/>
        </w:rPr>
      </w:pPr>
      <w:bookmarkStart w:id="230" w:name="_Toc27332"/>
      <w:bookmarkStart w:id="231" w:name="_Toc876"/>
      <w:bookmarkStart w:id="232" w:name="_Toc13137"/>
      <w:bookmarkStart w:id="233" w:name="_Toc4608"/>
      <w:bookmarkStart w:id="234" w:name="_Toc8286"/>
      <w:r>
        <w:rPr>
          <w:rFonts w:hint="eastAsia" w:ascii="仿宋" w:hAnsi="仿宋" w:eastAsia="仿宋" w:cs="仿宋"/>
          <w:sz w:val="24"/>
          <w:szCs w:val="24"/>
          <w:lang w:val="zh-CN"/>
        </w:rPr>
        <w:t>（</w:t>
      </w:r>
      <w:r>
        <w:rPr>
          <w:rFonts w:hint="eastAsia" w:ascii="仿宋" w:hAnsi="仿宋" w:eastAsia="仿宋" w:cs="仿宋"/>
          <w:sz w:val="24"/>
          <w:szCs w:val="24"/>
        </w:rPr>
        <w:t>三</w:t>
      </w:r>
      <w:r>
        <w:rPr>
          <w:rFonts w:hint="eastAsia" w:ascii="仿宋" w:hAnsi="仿宋" w:eastAsia="仿宋" w:cs="仿宋"/>
          <w:sz w:val="24"/>
          <w:szCs w:val="24"/>
          <w:lang w:val="zh-CN"/>
        </w:rPr>
        <w:t>）投标文件的澄清、说明或者补正</w:t>
      </w:r>
      <w:bookmarkEnd w:id="230"/>
      <w:bookmarkEnd w:id="231"/>
      <w:bookmarkEnd w:id="232"/>
      <w:bookmarkEnd w:id="233"/>
      <w:bookmarkEnd w:id="234"/>
    </w:p>
    <w:p>
      <w:pPr>
        <w:autoSpaceDE w:val="0"/>
        <w:autoSpaceDN w:val="0"/>
        <w:adjustRightInd w:val="0"/>
        <w:snapToGrid w:val="0"/>
        <w:spacing w:line="360" w:lineRule="auto"/>
        <w:ind w:firstLine="627"/>
        <w:rPr>
          <w:rFonts w:ascii="仿宋" w:hAnsi="仿宋" w:eastAsia="仿宋" w:cs="仿宋"/>
          <w:sz w:val="24"/>
          <w:szCs w:val="24"/>
          <w:lang w:val="zh-CN"/>
        </w:rPr>
      </w:pPr>
      <w:r>
        <w:rPr>
          <w:rFonts w:hint="eastAsia" w:ascii="仿宋" w:hAnsi="仿宋" w:eastAsia="仿宋" w:cs="仿宋"/>
          <w:sz w:val="24"/>
          <w:szCs w:val="24"/>
          <w:lang w:val="zh-CN"/>
        </w:rPr>
        <w:t>1、对于投标文件中含义不明确、同类问题表述不一致或者有明显文字和计算错误的内容，评标委员会应当以书面形式要求供应商作出必要的澄清、说明或者补正。供应商的澄清、说明或者补正应当采用书面形式，并加盖供应商公章或者由法定代表人或其授权的代表签字。供应商的澄清、说明或者补正不得超出投标文件的范围或者改变投标文件的实质性内容。</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2、报价出现前后不一致的，按照下列规定修正：</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1）</w:t>
      </w:r>
      <w:r>
        <w:rPr>
          <w:rFonts w:hint="eastAsia" w:ascii="仿宋" w:hAnsi="仿宋" w:eastAsia="仿宋" w:cs="仿宋"/>
          <w:sz w:val="24"/>
          <w:szCs w:val="24"/>
          <w:lang w:val="zh-CN"/>
        </w:rPr>
        <w:t>投标文件中开标一览表（报价表）内容与投标文件中相应内容不一致的，以开标一览表（报价表）为准；</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大写金额和小写金额不一致的，以大写金额为准；</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3）</w:t>
      </w:r>
      <w:r>
        <w:rPr>
          <w:rFonts w:hint="eastAsia" w:ascii="仿宋" w:hAnsi="仿宋" w:eastAsia="仿宋" w:cs="仿宋"/>
          <w:sz w:val="24"/>
          <w:szCs w:val="24"/>
          <w:lang w:val="zh-CN"/>
        </w:rPr>
        <w:t>单价金额小数点或者百分比有明显错位的，以开标一览表的总价为准，并修改单价；</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4）</w:t>
      </w:r>
      <w:r>
        <w:rPr>
          <w:rFonts w:hint="eastAsia" w:ascii="仿宋" w:hAnsi="仿宋" w:eastAsia="仿宋" w:cs="仿宋"/>
          <w:sz w:val="24"/>
          <w:szCs w:val="24"/>
          <w:lang w:val="zh-CN"/>
        </w:rPr>
        <w:t>总价金额与按单价汇总金额不一致的，以单价金额计算结果为准。</w:t>
      </w:r>
    </w:p>
    <w:p>
      <w:pPr>
        <w:autoSpaceDE w:val="0"/>
        <w:autoSpaceDN w:val="0"/>
        <w:adjustRightInd w:val="0"/>
        <w:snapToGrid w:val="0"/>
        <w:spacing w:line="360" w:lineRule="auto"/>
        <w:ind w:firstLine="627"/>
        <w:rPr>
          <w:rFonts w:ascii="仿宋" w:hAnsi="仿宋" w:eastAsia="仿宋" w:cs="仿宋"/>
          <w:b/>
          <w:bCs/>
          <w:sz w:val="24"/>
          <w:szCs w:val="24"/>
          <w:lang w:val="zh-CN"/>
        </w:rPr>
      </w:pPr>
      <w:r>
        <w:rPr>
          <w:rFonts w:hint="eastAsia" w:ascii="仿宋" w:hAnsi="仿宋" w:eastAsia="仿宋" w:cs="仿宋"/>
          <w:b/>
          <w:bCs/>
          <w:sz w:val="24"/>
          <w:szCs w:val="24"/>
          <w:lang w:val="zh-CN"/>
        </w:rPr>
        <w:t>同时出现两种以上不一致的，按照前款规定的顺序修正。修正后的报价经供应商书面确认后产生约束力，供应商不确认的，其投标无效。</w:t>
      </w:r>
    </w:p>
    <w:p>
      <w:pPr>
        <w:autoSpaceDE w:val="0"/>
        <w:autoSpaceDN w:val="0"/>
        <w:adjustRightInd w:val="0"/>
        <w:snapToGrid w:val="0"/>
        <w:spacing w:line="360" w:lineRule="auto"/>
        <w:ind w:firstLine="627"/>
        <w:outlineLvl w:val="2"/>
        <w:rPr>
          <w:rFonts w:ascii="仿宋" w:hAnsi="仿宋" w:eastAsia="仿宋" w:cs="仿宋"/>
          <w:sz w:val="24"/>
          <w:szCs w:val="24"/>
          <w:lang w:val="zh-CN"/>
        </w:rPr>
      </w:pPr>
      <w:bookmarkStart w:id="235" w:name="_Toc1611"/>
      <w:bookmarkStart w:id="236" w:name="_Toc20653"/>
      <w:bookmarkStart w:id="237" w:name="_Toc17700"/>
      <w:bookmarkStart w:id="238" w:name="_Toc23493"/>
      <w:bookmarkStart w:id="239" w:name="_Toc5204"/>
      <w:bookmarkStart w:id="240" w:name="_Toc17503"/>
      <w:bookmarkStart w:id="241" w:name="_Toc31002"/>
      <w:bookmarkStart w:id="242" w:name="_Toc2488"/>
      <w:bookmarkStart w:id="243" w:name="_Toc1537"/>
      <w:r>
        <w:rPr>
          <w:rFonts w:hint="eastAsia" w:ascii="仿宋" w:hAnsi="仿宋" w:eastAsia="仿宋" w:cs="仿宋"/>
          <w:sz w:val="24"/>
          <w:szCs w:val="24"/>
          <w:lang w:val="zh-CN"/>
        </w:rPr>
        <w:t>（</w:t>
      </w:r>
      <w:r>
        <w:rPr>
          <w:rFonts w:hint="eastAsia" w:ascii="仿宋" w:hAnsi="仿宋" w:eastAsia="仿宋" w:cs="仿宋"/>
          <w:sz w:val="24"/>
          <w:szCs w:val="24"/>
        </w:rPr>
        <w:t>四</w:t>
      </w:r>
      <w:r>
        <w:rPr>
          <w:rFonts w:hint="eastAsia" w:ascii="仿宋" w:hAnsi="仿宋" w:eastAsia="仿宋" w:cs="仿宋"/>
          <w:sz w:val="24"/>
          <w:szCs w:val="24"/>
          <w:lang w:val="zh-CN"/>
        </w:rPr>
        <w:t>）比较与评价</w:t>
      </w:r>
      <w:bookmarkEnd w:id="235"/>
      <w:bookmarkEnd w:id="236"/>
      <w:bookmarkEnd w:id="237"/>
      <w:bookmarkEnd w:id="238"/>
      <w:bookmarkEnd w:id="239"/>
      <w:bookmarkEnd w:id="240"/>
      <w:bookmarkEnd w:id="241"/>
      <w:bookmarkEnd w:id="242"/>
      <w:bookmarkEnd w:id="243"/>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按照招标文件规定的评标方法和标准，对资格性审查和符合性审查合格的文件进行评审，综合比较和评价。</w:t>
      </w:r>
    </w:p>
    <w:p>
      <w:pPr>
        <w:numPr>
          <w:ilvl w:val="0"/>
          <w:numId w:val="1"/>
        </w:num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评标方法:综合评分法，指投标文件满足招标文件全部实质性要求，且按照评审因素的量化指标评审得分最高的供应商为中标候选人的评标方法。</w:t>
      </w:r>
    </w:p>
    <w:p>
      <w:pPr>
        <w:tabs>
          <w:tab w:val="left" w:pos="9030"/>
        </w:tabs>
        <w:snapToGrid w:val="0"/>
        <w:spacing w:line="360" w:lineRule="auto"/>
        <w:ind w:right="-65" w:firstLine="480" w:firstLineChars="200"/>
        <w:rPr>
          <w:rFonts w:ascii="仿宋" w:hAnsi="仿宋" w:eastAsia="仿宋" w:cs="仿宋"/>
          <w:lang w:val="zh-CN"/>
        </w:rPr>
      </w:pPr>
      <w:r>
        <w:rPr>
          <w:rFonts w:hint="eastAsia" w:ascii="仿宋" w:hAnsi="仿宋" w:eastAsia="仿宋" w:cs="仿宋"/>
          <w:sz w:val="24"/>
          <w:szCs w:val="24"/>
          <w:lang w:val="zh-CN"/>
        </w:rPr>
        <w:t>2、评标因素及权重分解表（总计100分）</w:t>
      </w:r>
    </w:p>
    <w:tbl>
      <w:tblPr>
        <w:tblStyle w:val="27"/>
        <w:tblpPr w:leftFromText="180" w:rightFromText="180" w:vertAnchor="text" w:horzAnchor="page" w:tblpX="1435" w:tblpY="302"/>
        <w:tblOverlap w:val="never"/>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87"/>
        <w:gridCol w:w="1032"/>
        <w:gridCol w:w="5659"/>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trPr>
        <w:tc>
          <w:tcPr>
            <w:tcW w:w="1187" w:type="dxa"/>
            <w:vAlign w:val="center"/>
          </w:tcPr>
          <w:p>
            <w:pPr>
              <w:pStyle w:val="103"/>
              <w:spacing w:line="240" w:lineRule="auto"/>
              <w:jc w:val="center"/>
              <w:rPr>
                <w:rFonts w:ascii="仿宋" w:hAnsi="仿宋" w:eastAsia="仿宋" w:cs="仿宋"/>
                <w:szCs w:val="24"/>
              </w:rPr>
            </w:pPr>
            <w:r>
              <w:rPr>
                <w:rFonts w:hint="eastAsia" w:ascii="仿宋" w:hAnsi="仿宋" w:eastAsia="仿宋" w:cs="仿宋"/>
                <w:szCs w:val="24"/>
              </w:rPr>
              <w:t>项目</w:t>
            </w:r>
          </w:p>
        </w:tc>
        <w:tc>
          <w:tcPr>
            <w:tcW w:w="1032" w:type="dxa"/>
            <w:vAlign w:val="center"/>
          </w:tcPr>
          <w:p>
            <w:pPr>
              <w:pStyle w:val="103"/>
              <w:spacing w:line="240" w:lineRule="auto"/>
              <w:jc w:val="center"/>
              <w:rPr>
                <w:rFonts w:ascii="仿宋" w:hAnsi="仿宋" w:eastAsia="仿宋" w:cs="仿宋"/>
                <w:szCs w:val="24"/>
              </w:rPr>
            </w:pPr>
            <w:r>
              <w:rPr>
                <w:rFonts w:hint="eastAsia" w:ascii="仿宋" w:hAnsi="仿宋" w:eastAsia="仿宋" w:cs="仿宋"/>
                <w:szCs w:val="24"/>
              </w:rPr>
              <w:t>评审因素</w:t>
            </w:r>
          </w:p>
        </w:tc>
        <w:tc>
          <w:tcPr>
            <w:tcW w:w="5659" w:type="dxa"/>
            <w:vAlign w:val="center"/>
          </w:tcPr>
          <w:p>
            <w:pPr>
              <w:pStyle w:val="103"/>
              <w:spacing w:line="240" w:lineRule="auto"/>
              <w:jc w:val="center"/>
              <w:rPr>
                <w:rFonts w:ascii="仿宋" w:hAnsi="仿宋" w:eastAsia="仿宋" w:cs="仿宋"/>
                <w:szCs w:val="24"/>
              </w:rPr>
            </w:pPr>
            <w:r>
              <w:rPr>
                <w:rFonts w:hint="eastAsia" w:ascii="仿宋" w:hAnsi="仿宋" w:eastAsia="仿宋" w:cs="仿宋"/>
                <w:szCs w:val="24"/>
              </w:rPr>
              <w:t>评审细则</w:t>
            </w:r>
          </w:p>
        </w:tc>
        <w:tc>
          <w:tcPr>
            <w:tcW w:w="645" w:type="dxa"/>
            <w:vAlign w:val="center"/>
          </w:tcPr>
          <w:p>
            <w:pPr>
              <w:pStyle w:val="103"/>
              <w:spacing w:line="240" w:lineRule="auto"/>
              <w:rPr>
                <w:rFonts w:ascii="仿宋" w:hAnsi="仿宋" w:eastAsia="仿宋" w:cs="仿宋"/>
                <w:szCs w:val="24"/>
              </w:rPr>
            </w:pPr>
            <w:r>
              <w:rPr>
                <w:rFonts w:hint="eastAsia" w:ascii="仿宋" w:hAnsi="仿宋" w:eastAsia="仿宋" w:cs="仿宋"/>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trPr>
        <w:tc>
          <w:tcPr>
            <w:tcW w:w="1187" w:type="dxa"/>
            <w:vAlign w:val="center"/>
          </w:tcPr>
          <w:p>
            <w:pPr>
              <w:pStyle w:val="103"/>
              <w:spacing w:line="360" w:lineRule="auto"/>
              <w:rPr>
                <w:rFonts w:ascii="仿宋" w:hAnsi="仿宋" w:eastAsia="仿宋" w:cs="仿宋"/>
                <w:szCs w:val="24"/>
              </w:rPr>
            </w:pPr>
            <w:r>
              <w:rPr>
                <w:rFonts w:hint="eastAsia" w:ascii="仿宋" w:hAnsi="仿宋" w:eastAsia="仿宋" w:cs="仿宋"/>
                <w:szCs w:val="24"/>
              </w:rPr>
              <w:t>报价部分（15分）</w:t>
            </w:r>
          </w:p>
        </w:tc>
        <w:tc>
          <w:tcPr>
            <w:tcW w:w="1032" w:type="dxa"/>
            <w:vAlign w:val="center"/>
          </w:tcPr>
          <w:p>
            <w:pPr>
              <w:pStyle w:val="103"/>
              <w:spacing w:line="360" w:lineRule="auto"/>
              <w:jc w:val="center"/>
              <w:rPr>
                <w:rFonts w:ascii="仿宋" w:hAnsi="仿宋" w:eastAsia="仿宋" w:cs="仿宋"/>
                <w:szCs w:val="24"/>
                <w:highlight w:val="none"/>
              </w:rPr>
            </w:pPr>
            <w:r>
              <w:rPr>
                <w:rFonts w:hint="eastAsia" w:ascii="仿宋" w:hAnsi="仿宋" w:eastAsia="仿宋" w:cs="仿宋"/>
                <w:szCs w:val="24"/>
                <w:highlight w:val="none"/>
              </w:rPr>
              <w:t>投标报价</w:t>
            </w:r>
          </w:p>
        </w:tc>
        <w:tc>
          <w:tcPr>
            <w:tcW w:w="5659" w:type="dxa"/>
            <w:vAlign w:val="center"/>
          </w:tcPr>
          <w:p>
            <w:pPr>
              <w:pStyle w:val="103"/>
              <w:spacing w:line="360" w:lineRule="auto"/>
              <w:rPr>
                <w:rFonts w:hint="eastAsia" w:ascii="仿宋" w:hAnsi="仿宋" w:eastAsia="仿宋" w:cs="仿宋"/>
                <w:szCs w:val="24"/>
                <w:highlight w:val="none"/>
              </w:rPr>
            </w:pPr>
            <w:r>
              <w:rPr>
                <w:rFonts w:hint="eastAsia" w:ascii="仿宋" w:hAnsi="仿宋" w:eastAsia="仿宋" w:cs="仿宋"/>
                <w:szCs w:val="24"/>
                <w:highlight w:val="none"/>
              </w:rPr>
              <w:t>以经评委会一致认定满足招标文件要求且价格最低的评标价为评标基准价，其价格得分计15分。其他</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的价格得分统一按公式计算：报价得分＝评标基准价÷评标价×15</w:t>
            </w:r>
          </w:p>
          <w:p>
            <w:pPr>
              <w:pStyle w:val="103"/>
              <w:spacing w:line="360" w:lineRule="auto"/>
              <w:rPr>
                <w:rFonts w:hint="eastAsia" w:ascii="仿宋" w:hAnsi="仿宋" w:eastAsia="仿宋" w:cs="仿宋"/>
                <w:szCs w:val="24"/>
                <w:highlight w:val="none"/>
              </w:rPr>
            </w:pPr>
            <w:r>
              <w:rPr>
                <w:rFonts w:hint="eastAsia" w:ascii="仿宋" w:hAnsi="仿宋" w:eastAsia="仿宋" w:cs="仿宋"/>
                <w:color w:val="auto"/>
                <w:sz w:val="24"/>
                <w:szCs w:val="24"/>
                <w:highlight w:val="none"/>
              </w:rPr>
              <w:t>符合招标文件规定的小微企业、监狱企业、</w:t>
            </w:r>
            <w:r>
              <w:rPr>
                <w:rFonts w:hint="eastAsia" w:ascii="仿宋" w:hAnsi="仿宋" w:eastAsia="仿宋" w:cs="仿宋"/>
                <w:color w:val="auto"/>
                <w:sz w:val="24"/>
                <w:szCs w:val="24"/>
                <w:highlight w:val="none"/>
                <w:lang w:val="zh-CN"/>
              </w:rPr>
              <w:t>残疾人福利性单位</w:t>
            </w:r>
            <w:r>
              <w:rPr>
                <w:rFonts w:hint="eastAsia" w:ascii="仿宋" w:hAnsi="仿宋" w:eastAsia="仿宋" w:cs="仿宋"/>
                <w:color w:val="auto"/>
                <w:sz w:val="24"/>
                <w:szCs w:val="24"/>
                <w:highlight w:val="none"/>
              </w:rPr>
              <w:t>优惠条件的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，价格给予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%的扣除，用扣除后的价格参与评审。</w:t>
            </w:r>
          </w:p>
        </w:tc>
        <w:tc>
          <w:tcPr>
            <w:tcW w:w="645" w:type="dxa"/>
            <w:vAlign w:val="center"/>
          </w:tcPr>
          <w:p>
            <w:pPr>
              <w:pStyle w:val="103"/>
              <w:spacing w:line="360" w:lineRule="auto"/>
              <w:jc w:val="center"/>
              <w:rPr>
                <w:rFonts w:ascii="仿宋" w:hAnsi="仿宋" w:eastAsia="仿宋" w:cs="仿宋"/>
                <w:szCs w:val="24"/>
              </w:rPr>
            </w:pPr>
            <w:r>
              <w:rPr>
                <w:rFonts w:hint="eastAsia" w:ascii="仿宋" w:hAnsi="仿宋" w:eastAsia="仿宋" w:cs="仿宋"/>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trPr>
        <w:tc>
          <w:tcPr>
            <w:tcW w:w="1187" w:type="dxa"/>
            <w:vMerge w:val="restart"/>
            <w:vAlign w:val="center"/>
          </w:tcPr>
          <w:p>
            <w:pPr>
              <w:pStyle w:val="103"/>
              <w:spacing w:line="360" w:lineRule="auto"/>
              <w:rPr>
                <w:rFonts w:ascii="仿宋" w:hAnsi="仿宋" w:eastAsia="仿宋" w:cs="仿宋"/>
                <w:szCs w:val="24"/>
              </w:rPr>
            </w:pPr>
            <w:r>
              <w:rPr>
                <w:rFonts w:hint="eastAsia" w:ascii="仿宋" w:hAnsi="仿宋" w:eastAsia="仿宋" w:cs="仿宋"/>
                <w:szCs w:val="24"/>
              </w:rPr>
              <w:t>商务部分（2</w:t>
            </w:r>
            <w:r>
              <w:rPr>
                <w:rFonts w:hint="eastAsia" w:ascii="仿宋" w:hAnsi="仿宋" w:eastAsia="仿宋" w:cs="仿宋"/>
                <w:szCs w:val="24"/>
                <w:lang w:val="en-US" w:eastAsia="zh-CN"/>
              </w:rPr>
              <w:t>6</w:t>
            </w:r>
            <w:r>
              <w:rPr>
                <w:rFonts w:hint="eastAsia" w:ascii="仿宋" w:hAnsi="仿宋" w:eastAsia="仿宋" w:cs="仿宋"/>
                <w:szCs w:val="24"/>
              </w:rPr>
              <w:t>分）</w:t>
            </w:r>
          </w:p>
        </w:tc>
        <w:tc>
          <w:tcPr>
            <w:tcW w:w="1032" w:type="dxa"/>
            <w:vAlign w:val="center"/>
          </w:tcPr>
          <w:p>
            <w:pPr>
              <w:pStyle w:val="103"/>
              <w:spacing w:line="360" w:lineRule="auto"/>
              <w:jc w:val="center"/>
              <w:rPr>
                <w:rFonts w:ascii="仿宋" w:hAnsi="仿宋" w:eastAsia="仿宋" w:cs="仿宋"/>
                <w:szCs w:val="24"/>
              </w:rPr>
            </w:pPr>
            <w:r>
              <w:rPr>
                <w:rFonts w:hint="eastAsia" w:ascii="仿宋" w:hAnsi="仿宋" w:eastAsia="仿宋" w:cs="仿宋"/>
                <w:szCs w:val="24"/>
              </w:rPr>
              <w:t>企业实力</w:t>
            </w:r>
          </w:p>
        </w:tc>
        <w:tc>
          <w:tcPr>
            <w:tcW w:w="5659" w:type="dxa"/>
            <w:vAlign w:val="center"/>
          </w:tcPr>
          <w:p>
            <w:pPr>
              <w:snapToGrid w:val="0"/>
              <w:spacing w:line="360" w:lineRule="auto"/>
              <w:rPr>
                <w:rFonts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需具备有效期内以下企业证书：</w:t>
            </w:r>
          </w:p>
          <w:p>
            <w:pPr>
              <w:snapToGrid w:val="0"/>
              <w:spacing w:line="360" w:lineRule="auto"/>
              <w:rPr>
                <w:rFonts w:ascii="仿宋" w:hAnsi="仿宋" w:eastAsia="仿宋" w:cs="仿宋"/>
                <w:sz w:val="24"/>
                <w:szCs w:val="24"/>
              </w:rPr>
            </w:pPr>
            <w:r>
              <w:rPr>
                <w:rFonts w:hint="eastAsia" w:ascii="仿宋" w:hAnsi="仿宋" w:eastAsia="仿宋" w:cs="仿宋"/>
                <w:sz w:val="24"/>
                <w:szCs w:val="24"/>
              </w:rPr>
              <w:t>（1）ISO9001质量管理体系认证证书；</w:t>
            </w:r>
          </w:p>
          <w:p>
            <w:pPr>
              <w:snapToGrid w:val="0"/>
              <w:spacing w:line="360" w:lineRule="auto"/>
              <w:rPr>
                <w:rFonts w:ascii="仿宋" w:hAnsi="仿宋" w:eastAsia="仿宋" w:cs="仿宋"/>
                <w:sz w:val="24"/>
                <w:szCs w:val="24"/>
              </w:rPr>
            </w:pPr>
            <w:r>
              <w:rPr>
                <w:rFonts w:hint="eastAsia" w:ascii="仿宋" w:hAnsi="仿宋" w:eastAsia="仿宋" w:cs="仿宋"/>
                <w:sz w:val="24"/>
                <w:szCs w:val="24"/>
              </w:rPr>
              <w:t>（2）ISO27001信息安全管理体系认证证书；</w:t>
            </w:r>
          </w:p>
          <w:p>
            <w:pPr>
              <w:snapToGrid w:val="0"/>
              <w:spacing w:line="360" w:lineRule="auto"/>
              <w:rPr>
                <w:rFonts w:ascii="仿宋" w:hAnsi="仿宋" w:eastAsia="仿宋" w:cs="仿宋"/>
                <w:sz w:val="24"/>
                <w:szCs w:val="24"/>
              </w:rPr>
            </w:pPr>
            <w:r>
              <w:rPr>
                <w:rFonts w:hint="eastAsia" w:ascii="仿宋" w:hAnsi="仿宋" w:eastAsia="仿宋" w:cs="仿宋"/>
                <w:sz w:val="24"/>
                <w:szCs w:val="24"/>
              </w:rPr>
              <w:t>（3）ISO20000信息技术服务管理体系认证证书；</w:t>
            </w:r>
          </w:p>
          <w:p>
            <w:pPr>
              <w:pStyle w:val="103"/>
              <w:spacing w:line="360" w:lineRule="auto"/>
              <w:rPr>
                <w:rFonts w:ascii="仿宋" w:hAnsi="仿宋" w:eastAsia="仿宋" w:cs="仿宋"/>
                <w:szCs w:val="24"/>
              </w:rPr>
            </w:pPr>
            <w:r>
              <w:rPr>
                <w:rFonts w:hint="eastAsia" w:ascii="仿宋" w:hAnsi="仿宋" w:eastAsia="仿宋" w:cs="仿宋"/>
                <w:bCs/>
                <w:kern w:val="0"/>
                <w:szCs w:val="24"/>
              </w:rPr>
              <w:t>（4）</w:t>
            </w:r>
            <w:r>
              <w:rPr>
                <w:rFonts w:hint="eastAsia" w:ascii="仿宋" w:hAnsi="仿宋" w:eastAsia="仿宋" w:cs="仿宋"/>
                <w:szCs w:val="24"/>
              </w:rPr>
              <w:t>CMMI软件成熟度认证证书；（五级得1分，三级得0.5分）</w:t>
            </w:r>
          </w:p>
          <w:p>
            <w:pPr>
              <w:snapToGrid w:val="0"/>
              <w:spacing w:line="360" w:lineRule="auto"/>
              <w:rPr>
                <w:rFonts w:ascii="仿宋" w:hAnsi="仿宋" w:eastAsia="仿宋" w:cs="仿宋"/>
                <w:sz w:val="24"/>
                <w:szCs w:val="24"/>
              </w:rPr>
            </w:pPr>
            <w:r>
              <w:rPr>
                <w:rFonts w:hint="eastAsia" w:ascii="仿宋" w:hAnsi="仿宋" w:eastAsia="仿宋" w:cs="仿宋"/>
                <w:sz w:val="24"/>
                <w:szCs w:val="24"/>
              </w:rPr>
              <w:t>（5）ITSS信息技术服务运行维护标准符合性证书；</w:t>
            </w:r>
          </w:p>
          <w:p>
            <w:pPr>
              <w:snapToGrid w:val="0"/>
              <w:spacing w:line="360" w:lineRule="auto"/>
              <w:rPr>
                <w:rFonts w:ascii="仿宋" w:hAnsi="仿宋" w:eastAsia="仿宋" w:cs="仿宋"/>
                <w:sz w:val="24"/>
                <w:szCs w:val="24"/>
              </w:rPr>
            </w:pPr>
            <w:r>
              <w:rPr>
                <w:rFonts w:hint="eastAsia" w:ascii="仿宋" w:hAnsi="仿宋" w:eastAsia="仿宋" w:cs="仿宋"/>
                <w:sz w:val="24"/>
                <w:szCs w:val="24"/>
              </w:rPr>
              <w:t>每提供一项得1分，满分5分。</w:t>
            </w:r>
          </w:p>
          <w:p>
            <w:pPr>
              <w:pStyle w:val="103"/>
              <w:spacing w:line="360" w:lineRule="auto"/>
              <w:rPr>
                <w:rFonts w:ascii="仿宋" w:hAnsi="仿宋" w:eastAsia="仿宋" w:cs="仿宋"/>
                <w:szCs w:val="24"/>
              </w:rPr>
            </w:pPr>
            <w:r>
              <w:rPr>
                <w:rFonts w:hint="eastAsia" w:ascii="仿宋" w:hAnsi="仿宋" w:eastAsia="仿宋" w:cs="仿宋"/>
                <w:szCs w:val="24"/>
              </w:rPr>
              <w:t>注：提供上述证书复印件加盖公章</w:t>
            </w:r>
          </w:p>
        </w:tc>
        <w:tc>
          <w:tcPr>
            <w:tcW w:w="645" w:type="dxa"/>
            <w:vAlign w:val="center"/>
          </w:tcPr>
          <w:p>
            <w:pPr>
              <w:pStyle w:val="103"/>
              <w:spacing w:line="360" w:lineRule="auto"/>
              <w:jc w:val="center"/>
              <w:rPr>
                <w:rFonts w:ascii="仿宋" w:hAnsi="仿宋" w:eastAsia="仿宋" w:cs="仿宋"/>
                <w:szCs w:val="24"/>
              </w:rPr>
            </w:pPr>
            <w:r>
              <w:rPr>
                <w:rFonts w:hint="eastAsia" w:ascii="仿宋" w:hAnsi="仿宋" w:eastAsia="仿宋" w:cs="仿宋"/>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trPr>
        <w:tc>
          <w:tcPr>
            <w:tcW w:w="1187" w:type="dxa"/>
            <w:vMerge w:val="continue"/>
            <w:vAlign w:val="center"/>
          </w:tcPr>
          <w:p>
            <w:pPr>
              <w:pStyle w:val="103"/>
              <w:spacing w:line="360" w:lineRule="auto"/>
              <w:rPr>
                <w:rFonts w:ascii="仿宋" w:hAnsi="仿宋" w:eastAsia="仿宋" w:cs="仿宋"/>
                <w:szCs w:val="24"/>
              </w:rPr>
            </w:pPr>
          </w:p>
        </w:tc>
        <w:tc>
          <w:tcPr>
            <w:tcW w:w="1032" w:type="dxa"/>
            <w:vAlign w:val="center"/>
          </w:tcPr>
          <w:p>
            <w:pPr>
              <w:pStyle w:val="103"/>
              <w:spacing w:line="360" w:lineRule="auto"/>
              <w:jc w:val="center"/>
              <w:rPr>
                <w:rFonts w:ascii="仿宋" w:hAnsi="仿宋" w:eastAsia="仿宋" w:cs="仿宋"/>
                <w:szCs w:val="24"/>
              </w:rPr>
            </w:pPr>
            <w:r>
              <w:rPr>
                <w:rFonts w:hint="eastAsia" w:ascii="仿宋" w:hAnsi="仿宋" w:eastAsia="仿宋" w:cs="仿宋"/>
                <w:szCs w:val="24"/>
              </w:rPr>
              <w:t>软件成熟度</w:t>
            </w:r>
          </w:p>
        </w:tc>
        <w:tc>
          <w:tcPr>
            <w:tcW w:w="5659"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需具备以下与采购需求相关的软件著作权证书：</w:t>
            </w:r>
          </w:p>
          <w:p>
            <w:pPr>
              <w:pStyle w:val="42"/>
              <w:numPr>
                <w:ilvl w:val="0"/>
                <w:numId w:val="2"/>
              </w:numPr>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主数据管理软件；</w:t>
            </w:r>
          </w:p>
          <w:p>
            <w:pPr>
              <w:pStyle w:val="42"/>
              <w:numPr>
                <w:ilvl w:val="0"/>
                <w:numId w:val="2"/>
              </w:numPr>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医院信息集成平台软件；</w:t>
            </w:r>
          </w:p>
          <w:p>
            <w:pPr>
              <w:pStyle w:val="42"/>
              <w:numPr>
                <w:ilvl w:val="0"/>
                <w:numId w:val="2"/>
              </w:numPr>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集成平台运行监控系统；</w:t>
            </w:r>
          </w:p>
          <w:p>
            <w:pPr>
              <w:pStyle w:val="42"/>
              <w:numPr>
                <w:ilvl w:val="0"/>
                <w:numId w:val="2"/>
              </w:numPr>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统一工作门户软件；</w:t>
            </w:r>
          </w:p>
          <w:p>
            <w:pPr>
              <w:pStyle w:val="42"/>
              <w:numPr>
                <w:ilvl w:val="0"/>
                <w:numId w:val="2"/>
              </w:numPr>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统一用户管理系统；</w:t>
            </w:r>
          </w:p>
          <w:p>
            <w:pPr>
              <w:pStyle w:val="42"/>
              <w:numPr>
                <w:ilvl w:val="0"/>
                <w:numId w:val="2"/>
              </w:numPr>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医院服务总线系统；</w:t>
            </w:r>
          </w:p>
          <w:p>
            <w:pPr>
              <w:pStyle w:val="42"/>
              <w:numPr>
                <w:ilvl w:val="0"/>
                <w:numId w:val="2"/>
              </w:numPr>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运营数据中心系统；</w:t>
            </w:r>
          </w:p>
          <w:p>
            <w:pPr>
              <w:pStyle w:val="42"/>
              <w:numPr>
                <w:ilvl w:val="0"/>
                <w:numId w:val="2"/>
              </w:numPr>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临床数据中心系统；</w:t>
            </w:r>
          </w:p>
          <w:p>
            <w:pPr>
              <w:pStyle w:val="42"/>
              <w:numPr>
                <w:ilvl w:val="0"/>
                <w:numId w:val="2"/>
              </w:numPr>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患者360视图软件；</w:t>
            </w:r>
          </w:p>
          <w:p>
            <w:pPr>
              <w:pStyle w:val="42"/>
              <w:numPr>
                <w:ilvl w:val="0"/>
                <w:numId w:val="2"/>
              </w:numPr>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院领导驾驶舱；</w:t>
            </w:r>
          </w:p>
          <w:p>
            <w:pPr>
              <w:pStyle w:val="103"/>
              <w:spacing w:line="360" w:lineRule="auto"/>
              <w:rPr>
                <w:rFonts w:ascii="仿宋" w:hAnsi="仿宋" w:eastAsia="仿宋" w:cs="仿宋"/>
                <w:szCs w:val="24"/>
              </w:rPr>
            </w:pPr>
            <w:r>
              <w:rPr>
                <w:rFonts w:hint="eastAsia" w:ascii="仿宋" w:hAnsi="仿宋" w:eastAsia="仿宋" w:cs="仿宋"/>
                <w:szCs w:val="24"/>
              </w:rPr>
              <w:t>包含以上内容（或相同含义）的软件著作权证书，第（1）类~第（10）类每一类得0.5分，满分5分；同一类别证书不重复得分。注：提供上述证书复印件加盖公章，</w:t>
            </w:r>
            <w:r>
              <w:rPr>
                <w:rFonts w:hint="eastAsia" w:ascii="仿宋" w:hAnsi="仿宋" w:eastAsia="仿宋" w:cs="仿宋"/>
                <w:szCs w:val="24"/>
                <w:lang w:eastAsia="zh-CN"/>
              </w:rPr>
              <w:t>供应商</w:t>
            </w:r>
            <w:r>
              <w:rPr>
                <w:rFonts w:hint="eastAsia" w:ascii="仿宋" w:hAnsi="仿宋" w:eastAsia="仿宋" w:cs="仿宋"/>
                <w:szCs w:val="24"/>
              </w:rPr>
              <w:t>必须为原始取得的知识产权，计算机软件著作权证书须在本招标文件发布之前取得。</w:t>
            </w:r>
          </w:p>
        </w:tc>
        <w:tc>
          <w:tcPr>
            <w:tcW w:w="645" w:type="dxa"/>
            <w:vAlign w:val="center"/>
          </w:tcPr>
          <w:p>
            <w:pPr>
              <w:pStyle w:val="103"/>
              <w:spacing w:line="360" w:lineRule="auto"/>
              <w:jc w:val="center"/>
              <w:rPr>
                <w:rFonts w:ascii="仿宋" w:hAnsi="仿宋" w:eastAsia="仿宋" w:cs="仿宋"/>
                <w:szCs w:val="24"/>
              </w:rPr>
            </w:pPr>
            <w:r>
              <w:rPr>
                <w:rFonts w:hint="eastAsia" w:ascii="仿宋" w:hAnsi="仿宋" w:eastAsia="仿宋" w:cs="仿宋"/>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trPr>
        <w:tc>
          <w:tcPr>
            <w:tcW w:w="1187" w:type="dxa"/>
            <w:vMerge w:val="continue"/>
            <w:vAlign w:val="center"/>
          </w:tcPr>
          <w:p>
            <w:pPr>
              <w:pStyle w:val="103"/>
              <w:spacing w:line="360" w:lineRule="auto"/>
              <w:rPr>
                <w:rFonts w:ascii="仿宋" w:hAnsi="仿宋" w:eastAsia="仿宋" w:cs="仿宋"/>
                <w:szCs w:val="24"/>
              </w:rPr>
            </w:pPr>
          </w:p>
        </w:tc>
        <w:tc>
          <w:tcPr>
            <w:tcW w:w="1032" w:type="dxa"/>
            <w:vAlign w:val="center"/>
          </w:tcPr>
          <w:p>
            <w:pPr>
              <w:pStyle w:val="103"/>
              <w:spacing w:line="360" w:lineRule="auto"/>
              <w:jc w:val="center"/>
              <w:rPr>
                <w:rFonts w:ascii="仿宋" w:hAnsi="仿宋" w:eastAsia="仿宋" w:cs="仿宋"/>
                <w:szCs w:val="24"/>
              </w:rPr>
            </w:pPr>
            <w:r>
              <w:rPr>
                <w:rFonts w:hint="eastAsia" w:ascii="仿宋" w:hAnsi="仿宋" w:eastAsia="仿宋" w:cs="仿宋"/>
                <w:szCs w:val="24"/>
              </w:rPr>
              <w:t>同类业绩评价</w:t>
            </w:r>
          </w:p>
        </w:tc>
        <w:tc>
          <w:tcPr>
            <w:tcW w:w="5659" w:type="dxa"/>
            <w:vAlign w:val="center"/>
          </w:tcPr>
          <w:p>
            <w:pPr>
              <w:pStyle w:val="103"/>
              <w:spacing w:line="360" w:lineRule="auto"/>
              <w:rPr>
                <w:rFonts w:ascii="仿宋" w:hAnsi="仿宋" w:eastAsia="仿宋" w:cs="仿宋"/>
                <w:color w:val="000000"/>
                <w:szCs w:val="24"/>
              </w:rPr>
            </w:pPr>
            <w:r>
              <w:rPr>
                <w:rFonts w:hint="eastAsia" w:ascii="仿宋" w:hAnsi="仿宋" w:eastAsia="仿宋" w:cs="仿宋"/>
                <w:color w:val="000000"/>
                <w:szCs w:val="24"/>
              </w:rPr>
              <w:t>（1）</w:t>
            </w:r>
            <w:r>
              <w:rPr>
                <w:rFonts w:hint="eastAsia" w:ascii="仿宋" w:hAnsi="仿宋" w:eastAsia="仿宋" w:cs="仿宋"/>
                <w:color w:val="000000"/>
                <w:szCs w:val="24"/>
                <w:lang w:eastAsia="zh-CN"/>
              </w:rPr>
              <w:t>供应商</w:t>
            </w:r>
            <w:r>
              <w:rPr>
                <w:rFonts w:hint="eastAsia" w:ascii="仿宋" w:hAnsi="仿宋" w:eastAsia="仿宋" w:cs="仿宋"/>
                <w:color w:val="000000"/>
                <w:szCs w:val="24"/>
              </w:rPr>
              <w:t>具有医院同类业绩中通过《医疗机构互联互通成熟度测评》四级甲等及以上的测评案例（合同必须包含集成平台产品或互联互通评审），每份得0.5分，最高得4分。</w:t>
            </w:r>
          </w:p>
          <w:p>
            <w:pPr>
              <w:pStyle w:val="103"/>
              <w:spacing w:line="360" w:lineRule="auto"/>
              <w:rPr>
                <w:rFonts w:ascii="仿宋" w:hAnsi="仿宋" w:eastAsia="仿宋" w:cs="仿宋"/>
                <w:color w:val="000000"/>
                <w:szCs w:val="24"/>
              </w:rPr>
            </w:pPr>
            <w:r>
              <w:rPr>
                <w:rFonts w:hint="eastAsia" w:ascii="仿宋" w:hAnsi="仿宋" w:eastAsia="仿宋" w:cs="仿宋"/>
                <w:color w:val="000000"/>
                <w:szCs w:val="24"/>
              </w:rPr>
              <w:t>（2）</w:t>
            </w:r>
            <w:r>
              <w:rPr>
                <w:rFonts w:hint="eastAsia" w:ascii="仿宋" w:hAnsi="仿宋" w:eastAsia="仿宋" w:cs="仿宋"/>
                <w:color w:val="000000"/>
                <w:szCs w:val="24"/>
                <w:lang w:eastAsia="zh-CN"/>
              </w:rPr>
              <w:t>供应商</w:t>
            </w:r>
            <w:r>
              <w:rPr>
                <w:rFonts w:hint="eastAsia" w:ascii="仿宋" w:hAnsi="仿宋" w:eastAsia="仿宋" w:cs="仿宋"/>
                <w:color w:val="000000"/>
                <w:szCs w:val="24"/>
              </w:rPr>
              <w:t>具有医院同类业绩中通过《医疗机构电子病历</w:t>
            </w:r>
            <w:r>
              <w:rPr>
                <w:rFonts w:hint="eastAsia" w:ascii="仿宋" w:hAnsi="仿宋" w:eastAsia="仿宋" w:cs="仿宋"/>
                <w:color w:val="000000"/>
                <w:kern w:val="0"/>
                <w:szCs w:val="24"/>
              </w:rPr>
              <w:t>系统应用水平功能分级评价</w:t>
            </w:r>
            <w:r>
              <w:rPr>
                <w:rFonts w:hint="eastAsia" w:ascii="仿宋" w:hAnsi="仿宋" w:eastAsia="仿宋" w:cs="仿宋"/>
                <w:color w:val="000000"/>
                <w:szCs w:val="24"/>
              </w:rPr>
              <w:t>》五级及以上的测评案例（合同必须包含集成平台及数据中心产品），每份得0.5分，最高得4分。</w:t>
            </w:r>
          </w:p>
          <w:p>
            <w:pPr>
              <w:pStyle w:val="103"/>
              <w:spacing w:line="360" w:lineRule="auto"/>
              <w:rPr>
                <w:rFonts w:ascii="仿宋" w:hAnsi="仿宋" w:eastAsia="仿宋" w:cs="仿宋"/>
                <w:szCs w:val="24"/>
              </w:rPr>
            </w:pPr>
            <w:r>
              <w:rPr>
                <w:rFonts w:hint="eastAsia" w:ascii="仿宋" w:hAnsi="仿宋" w:eastAsia="仿宋" w:cs="仿宋"/>
                <w:color w:val="000000"/>
                <w:szCs w:val="24"/>
              </w:rPr>
              <w:t>注：提供合同复印件及医院过级证明材料加盖公章。</w:t>
            </w:r>
          </w:p>
        </w:tc>
        <w:tc>
          <w:tcPr>
            <w:tcW w:w="645" w:type="dxa"/>
            <w:vAlign w:val="center"/>
          </w:tcPr>
          <w:p>
            <w:pPr>
              <w:pStyle w:val="103"/>
              <w:spacing w:line="360" w:lineRule="auto"/>
              <w:jc w:val="center"/>
              <w:rPr>
                <w:rFonts w:ascii="仿宋" w:hAnsi="仿宋" w:eastAsia="仿宋" w:cs="仿宋"/>
                <w:szCs w:val="24"/>
              </w:rPr>
            </w:pPr>
            <w:r>
              <w:rPr>
                <w:rFonts w:hint="eastAsia" w:ascii="仿宋" w:hAnsi="仿宋" w:eastAsia="仿宋" w:cs="仿宋"/>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trPr>
        <w:tc>
          <w:tcPr>
            <w:tcW w:w="1187" w:type="dxa"/>
            <w:vMerge w:val="continue"/>
            <w:vAlign w:val="center"/>
          </w:tcPr>
          <w:p>
            <w:pPr>
              <w:pStyle w:val="103"/>
              <w:spacing w:line="360" w:lineRule="auto"/>
              <w:rPr>
                <w:rFonts w:ascii="仿宋" w:hAnsi="仿宋" w:eastAsia="仿宋" w:cs="仿宋"/>
                <w:szCs w:val="24"/>
              </w:rPr>
            </w:pPr>
          </w:p>
        </w:tc>
        <w:tc>
          <w:tcPr>
            <w:tcW w:w="1032" w:type="dxa"/>
            <w:vAlign w:val="center"/>
          </w:tcPr>
          <w:p>
            <w:pPr>
              <w:pStyle w:val="103"/>
              <w:spacing w:line="360" w:lineRule="auto"/>
              <w:jc w:val="center"/>
              <w:rPr>
                <w:rFonts w:ascii="仿宋" w:hAnsi="仿宋" w:eastAsia="仿宋" w:cs="仿宋"/>
                <w:szCs w:val="24"/>
              </w:rPr>
            </w:pPr>
            <w:r>
              <w:rPr>
                <w:rFonts w:hint="eastAsia" w:ascii="仿宋" w:hAnsi="仿宋" w:eastAsia="仿宋" w:cs="仿宋"/>
                <w:szCs w:val="24"/>
              </w:rPr>
              <w:t>团队人员评价</w:t>
            </w:r>
          </w:p>
        </w:tc>
        <w:tc>
          <w:tcPr>
            <w:tcW w:w="5659" w:type="dxa"/>
            <w:vAlign w:val="center"/>
          </w:tcPr>
          <w:p>
            <w:pPr>
              <w:pStyle w:val="103"/>
              <w:spacing w:line="360" w:lineRule="auto"/>
              <w:rPr>
                <w:rFonts w:hint="eastAsia" w:ascii="仿宋" w:hAnsi="仿宋" w:eastAsia="仿宋" w:cs="仿宋"/>
                <w:szCs w:val="24"/>
                <w:lang w:val="en-US" w:eastAsia="zh-CN"/>
              </w:rPr>
            </w:pPr>
            <w:r>
              <w:rPr>
                <w:rFonts w:hint="eastAsia" w:ascii="仿宋" w:hAnsi="仿宋" w:eastAsia="仿宋" w:cs="仿宋"/>
                <w:szCs w:val="24"/>
                <w:lang w:val="en-US" w:eastAsia="zh-CN"/>
              </w:rPr>
              <w:t>（一）项目经理（5分）：</w:t>
            </w:r>
          </w:p>
          <w:p>
            <w:pPr>
              <w:pStyle w:val="103"/>
              <w:spacing w:line="360" w:lineRule="auto"/>
              <w:rPr>
                <w:rFonts w:hint="eastAsia" w:ascii="仿宋" w:hAnsi="仿宋" w:eastAsia="仿宋" w:cs="仿宋"/>
                <w:szCs w:val="24"/>
                <w:lang w:val="en-US" w:eastAsia="zh-CN"/>
              </w:rPr>
            </w:pPr>
            <w:r>
              <w:rPr>
                <w:rFonts w:hint="eastAsia" w:ascii="仿宋" w:hAnsi="仿宋" w:eastAsia="仿宋" w:cs="仿宋"/>
                <w:szCs w:val="24"/>
                <w:lang w:val="en-US" w:eastAsia="zh-CN"/>
              </w:rPr>
              <w:t>（1）具有信息系统类中级及以上职称证书，每提供1份中级职称得0.5分，每提供1份高级职称得1分，最高得3分。</w:t>
            </w:r>
          </w:p>
          <w:p>
            <w:pPr>
              <w:pStyle w:val="103"/>
              <w:spacing w:line="360" w:lineRule="auto"/>
              <w:rPr>
                <w:rFonts w:hint="eastAsia" w:ascii="仿宋" w:hAnsi="仿宋" w:eastAsia="仿宋" w:cs="仿宋"/>
                <w:szCs w:val="24"/>
                <w:lang w:val="en-US" w:eastAsia="zh-CN"/>
              </w:rPr>
            </w:pPr>
            <w:r>
              <w:rPr>
                <w:rFonts w:hint="eastAsia" w:ascii="仿宋" w:hAnsi="仿宋" w:eastAsia="仿宋" w:cs="仿宋"/>
                <w:szCs w:val="24"/>
                <w:lang w:val="en-US" w:eastAsia="zh-CN"/>
              </w:rPr>
              <w:t>（2）具备项目管理专业人士资格认证（PMP）证书，得1分，未提供不得分。</w:t>
            </w:r>
          </w:p>
          <w:p>
            <w:pPr>
              <w:pStyle w:val="103"/>
              <w:spacing w:line="360" w:lineRule="auto"/>
              <w:rPr>
                <w:rFonts w:hint="eastAsia" w:ascii="仿宋" w:hAnsi="仿宋" w:eastAsia="仿宋" w:cs="仿宋"/>
                <w:szCs w:val="24"/>
                <w:lang w:val="en-US" w:eastAsia="zh-CN"/>
              </w:rPr>
            </w:pPr>
            <w:r>
              <w:rPr>
                <w:rFonts w:hint="eastAsia" w:ascii="仿宋" w:hAnsi="仿宋" w:eastAsia="仿宋" w:cs="仿宋"/>
                <w:szCs w:val="24"/>
                <w:lang w:val="en-US" w:eastAsia="zh-CN"/>
              </w:rPr>
              <w:t>（3）具有集成平台或电子病历项目实施案例且帮助医院通过评测的经验（由医院提供证明材料），得1分，未提供不得分。</w:t>
            </w:r>
          </w:p>
          <w:p>
            <w:pPr>
              <w:pStyle w:val="103"/>
              <w:spacing w:line="360" w:lineRule="auto"/>
              <w:rPr>
                <w:rFonts w:hint="eastAsia" w:ascii="仿宋" w:hAnsi="仿宋" w:eastAsia="仿宋" w:cs="仿宋"/>
                <w:szCs w:val="24"/>
                <w:lang w:val="en-US" w:eastAsia="zh-CN"/>
              </w:rPr>
            </w:pPr>
            <w:r>
              <w:rPr>
                <w:rFonts w:hint="eastAsia" w:ascii="仿宋" w:hAnsi="仿宋" w:eastAsia="仿宋" w:cs="仿宋"/>
                <w:szCs w:val="24"/>
                <w:lang w:val="en-US" w:eastAsia="zh-CN"/>
              </w:rPr>
              <w:t>（二）项目组成员（项目经理除外）具备以下证书的，每提供一个证书得1分（同类证书不重复计分，同一人不重复计分），本小项最高得3分。</w:t>
            </w:r>
          </w:p>
          <w:p>
            <w:pPr>
              <w:pStyle w:val="103"/>
              <w:spacing w:line="360" w:lineRule="auto"/>
              <w:rPr>
                <w:rFonts w:hint="eastAsia" w:ascii="仿宋" w:hAnsi="仿宋" w:eastAsia="仿宋" w:cs="仿宋"/>
                <w:szCs w:val="24"/>
                <w:lang w:val="en-US" w:eastAsia="zh-CN"/>
              </w:rPr>
            </w:pPr>
            <w:r>
              <w:rPr>
                <w:rFonts w:hint="eastAsia" w:ascii="仿宋" w:hAnsi="仿宋" w:eastAsia="仿宋" w:cs="仿宋"/>
                <w:szCs w:val="24"/>
                <w:lang w:val="en-US" w:eastAsia="zh-CN"/>
              </w:rPr>
              <w:t>（1）数据库系统工程师</w:t>
            </w:r>
          </w:p>
          <w:p>
            <w:pPr>
              <w:pStyle w:val="103"/>
              <w:spacing w:line="360" w:lineRule="auto"/>
              <w:rPr>
                <w:rFonts w:hint="eastAsia" w:ascii="仿宋" w:hAnsi="仿宋" w:eastAsia="仿宋" w:cs="仿宋"/>
                <w:szCs w:val="24"/>
                <w:lang w:val="en-US" w:eastAsia="zh-CN"/>
              </w:rPr>
            </w:pPr>
            <w:r>
              <w:rPr>
                <w:rFonts w:hint="eastAsia" w:ascii="仿宋" w:hAnsi="仿宋" w:eastAsia="仿宋" w:cs="仿宋"/>
                <w:szCs w:val="24"/>
                <w:lang w:val="en-US" w:eastAsia="zh-CN"/>
              </w:rPr>
              <w:t>（2）软件评测师证书</w:t>
            </w:r>
          </w:p>
          <w:p>
            <w:pPr>
              <w:pStyle w:val="103"/>
              <w:spacing w:line="360" w:lineRule="auto"/>
              <w:rPr>
                <w:rFonts w:hint="eastAsia" w:ascii="仿宋" w:hAnsi="仿宋" w:eastAsia="仿宋" w:cs="仿宋"/>
                <w:szCs w:val="24"/>
                <w:lang w:val="en-US" w:eastAsia="zh-CN"/>
              </w:rPr>
            </w:pPr>
            <w:r>
              <w:rPr>
                <w:rFonts w:hint="eastAsia" w:ascii="仿宋" w:hAnsi="仿宋" w:eastAsia="仿宋" w:cs="仿宋"/>
                <w:szCs w:val="24"/>
                <w:lang w:val="en-US" w:eastAsia="zh-CN"/>
              </w:rPr>
              <w:t>（3）软件设计师</w:t>
            </w:r>
          </w:p>
          <w:p>
            <w:pPr>
              <w:pStyle w:val="103"/>
              <w:spacing w:line="360" w:lineRule="auto"/>
              <w:rPr>
                <w:rFonts w:hint="eastAsia" w:ascii="仿宋" w:hAnsi="仿宋" w:eastAsia="仿宋" w:cs="仿宋"/>
                <w:szCs w:val="24"/>
                <w:lang w:val="en-US" w:eastAsia="zh-CN"/>
              </w:rPr>
            </w:pPr>
            <w:r>
              <w:rPr>
                <w:rFonts w:hint="eastAsia" w:ascii="仿宋" w:hAnsi="仿宋" w:eastAsia="仿宋" w:cs="仿宋"/>
                <w:szCs w:val="24"/>
                <w:lang w:val="en-US" w:eastAsia="zh-CN"/>
              </w:rPr>
              <w:t>（4）高级系统架构设计师证书</w:t>
            </w:r>
          </w:p>
          <w:p>
            <w:pPr>
              <w:pStyle w:val="103"/>
              <w:spacing w:line="360" w:lineRule="auto"/>
              <w:rPr>
                <w:rFonts w:hint="eastAsia" w:ascii="仿宋" w:hAnsi="仿宋" w:eastAsia="仿宋" w:cs="仿宋"/>
                <w:szCs w:val="24"/>
                <w:lang w:val="en-US" w:eastAsia="zh-CN"/>
              </w:rPr>
            </w:pPr>
            <w:r>
              <w:rPr>
                <w:rFonts w:hint="eastAsia" w:ascii="仿宋" w:hAnsi="仿宋" w:eastAsia="仿宋" w:cs="仿宋"/>
                <w:szCs w:val="24"/>
                <w:lang w:val="en-US" w:eastAsia="zh-CN"/>
              </w:rPr>
              <w:t>（5）高级软件工程师证书</w:t>
            </w:r>
          </w:p>
          <w:p>
            <w:pPr>
              <w:pStyle w:val="103"/>
              <w:spacing w:line="360" w:lineRule="auto"/>
              <w:rPr>
                <w:rFonts w:hint="eastAsia" w:ascii="仿宋" w:hAnsi="仿宋" w:eastAsia="仿宋" w:cs="仿宋"/>
                <w:szCs w:val="24"/>
                <w:lang w:val="en-US" w:eastAsia="zh-CN"/>
              </w:rPr>
            </w:pPr>
            <w:r>
              <w:rPr>
                <w:rFonts w:hint="eastAsia" w:ascii="仿宋" w:hAnsi="仿宋" w:eastAsia="仿宋" w:cs="仿宋"/>
                <w:szCs w:val="24"/>
                <w:lang w:val="en-US" w:eastAsia="zh-CN"/>
              </w:rPr>
              <w:t>注：提供相关证书及在供应商单位2022年内为其缴纳的连续三个月社保证明文件复印件加盖公章。</w:t>
            </w:r>
          </w:p>
        </w:tc>
        <w:tc>
          <w:tcPr>
            <w:tcW w:w="645" w:type="dxa"/>
            <w:vAlign w:val="center"/>
          </w:tcPr>
          <w:p>
            <w:pPr>
              <w:pStyle w:val="103"/>
              <w:spacing w:line="360" w:lineRule="auto"/>
              <w:jc w:val="center"/>
              <w:rPr>
                <w:rFonts w:ascii="仿宋" w:hAnsi="仿宋" w:eastAsia="仿宋" w:cs="仿宋"/>
                <w:szCs w:val="24"/>
              </w:rPr>
            </w:pPr>
            <w:r>
              <w:rPr>
                <w:rFonts w:hint="eastAsia" w:ascii="仿宋" w:hAnsi="仿宋" w:eastAsia="仿宋" w:cs="仿宋"/>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trPr>
        <w:tc>
          <w:tcPr>
            <w:tcW w:w="1187" w:type="dxa"/>
            <w:vMerge w:val="restart"/>
            <w:vAlign w:val="center"/>
          </w:tcPr>
          <w:p>
            <w:pPr>
              <w:pStyle w:val="103"/>
              <w:spacing w:line="360" w:lineRule="auto"/>
              <w:rPr>
                <w:rFonts w:ascii="仿宋" w:hAnsi="仿宋" w:eastAsia="仿宋" w:cs="仿宋"/>
                <w:szCs w:val="24"/>
              </w:rPr>
            </w:pPr>
            <w:r>
              <w:rPr>
                <w:rFonts w:hint="eastAsia" w:ascii="仿宋" w:hAnsi="仿宋" w:eastAsia="仿宋" w:cs="仿宋"/>
                <w:szCs w:val="24"/>
              </w:rPr>
              <w:t>技术部分（</w:t>
            </w:r>
            <w:r>
              <w:rPr>
                <w:rFonts w:hint="eastAsia" w:ascii="仿宋" w:hAnsi="仿宋" w:eastAsia="仿宋" w:cs="仿宋"/>
                <w:szCs w:val="24"/>
                <w:lang w:val="en-US" w:eastAsia="zh-CN"/>
              </w:rPr>
              <w:t>59</w:t>
            </w:r>
            <w:r>
              <w:rPr>
                <w:rFonts w:hint="eastAsia" w:ascii="仿宋" w:hAnsi="仿宋" w:eastAsia="仿宋" w:cs="仿宋"/>
                <w:szCs w:val="24"/>
              </w:rPr>
              <w:t>分）</w:t>
            </w:r>
          </w:p>
        </w:tc>
        <w:tc>
          <w:tcPr>
            <w:tcW w:w="1032" w:type="dxa"/>
            <w:vAlign w:val="center"/>
          </w:tcPr>
          <w:p>
            <w:pPr>
              <w:pStyle w:val="103"/>
              <w:spacing w:line="360" w:lineRule="auto"/>
              <w:jc w:val="center"/>
              <w:rPr>
                <w:rFonts w:ascii="仿宋" w:hAnsi="仿宋" w:eastAsia="仿宋" w:cs="仿宋"/>
                <w:szCs w:val="24"/>
              </w:rPr>
            </w:pPr>
            <w:r>
              <w:rPr>
                <w:rFonts w:hint="eastAsia" w:ascii="仿宋" w:hAnsi="仿宋" w:eastAsia="仿宋" w:cs="仿宋"/>
                <w:szCs w:val="24"/>
              </w:rPr>
              <w:t>总体技术方案评价</w:t>
            </w:r>
          </w:p>
        </w:tc>
        <w:tc>
          <w:tcPr>
            <w:tcW w:w="5659" w:type="dxa"/>
            <w:vAlign w:val="center"/>
          </w:tcPr>
          <w:p>
            <w:pPr>
              <w:pStyle w:val="103"/>
              <w:spacing w:line="360" w:lineRule="auto"/>
              <w:rPr>
                <w:rFonts w:ascii="仿宋" w:hAnsi="仿宋" w:eastAsia="仿宋" w:cs="仿宋"/>
                <w:szCs w:val="24"/>
              </w:rPr>
            </w:pPr>
            <w:r>
              <w:rPr>
                <w:rFonts w:hint="eastAsia" w:ascii="仿宋" w:hAnsi="仿宋" w:eastAsia="仿宋" w:cs="仿宋"/>
                <w:szCs w:val="24"/>
              </w:rPr>
              <w:t>根据对本项目理解、总体设计、建设方案等，详细阐述系统的体系架构、功能模块、实现思路和关键技术，对项目建设思路、原则、特点、技术要求的理解情况，方案在确保阶段性任务实现的同时统筹考虑了总体目标的实现。</w:t>
            </w:r>
          </w:p>
          <w:p>
            <w:pPr>
              <w:pStyle w:val="103"/>
              <w:spacing w:line="360" w:lineRule="auto"/>
              <w:rPr>
                <w:rFonts w:ascii="仿宋" w:hAnsi="仿宋" w:eastAsia="仿宋" w:cs="仿宋"/>
                <w:szCs w:val="24"/>
              </w:rPr>
            </w:pPr>
            <w:r>
              <w:rPr>
                <w:rFonts w:hint="eastAsia" w:ascii="仿宋" w:hAnsi="仿宋" w:eastAsia="仿宋" w:cs="仿宋"/>
                <w:szCs w:val="24"/>
              </w:rPr>
              <w:t>优：对总体设计理解描述充分，分析科学合理得6-8分；</w:t>
            </w:r>
          </w:p>
          <w:p>
            <w:pPr>
              <w:pStyle w:val="103"/>
              <w:spacing w:line="360" w:lineRule="auto"/>
              <w:rPr>
                <w:rFonts w:ascii="仿宋" w:hAnsi="仿宋" w:eastAsia="仿宋" w:cs="仿宋"/>
                <w:szCs w:val="24"/>
              </w:rPr>
            </w:pPr>
            <w:r>
              <w:rPr>
                <w:rFonts w:hint="eastAsia" w:ascii="仿宋" w:hAnsi="仿宋" w:eastAsia="仿宋" w:cs="仿宋"/>
                <w:szCs w:val="24"/>
              </w:rPr>
              <w:t>良：对总体设计理解描述较充分，分析架构较合理得4-6分；</w:t>
            </w:r>
          </w:p>
          <w:p>
            <w:pPr>
              <w:pStyle w:val="103"/>
              <w:spacing w:line="360" w:lineRule="auto"/>
              <w:rPr>
                <w:rFonts w:ascii="仿宋" w:hAnsi="仿宋" w:eastAsia="仿宋" w:cs="仿宋"/>
                <w:szCs w:val="24"/>
              </w:rPr>
            </w:pPr>
            <w:r>
              <w:rPr>
                <w:rFonts w:hint="eastAsia" w:ascii="仿宋" w:hAnsi="仿宋" w:eastAsia="仿宋" w:cs="仿宋"/>
                <w:szCs w:val="24"/>
              </w:rPr>
              <w:t>一般：对总体设计理解描述一般，分析架构一般得2-4分；</w:t>
            </w:r>
          </w:p>
          <w:p>
            <w:pPr>
              <w:pStyle w:val="103"/>
              <w:spacing w:line="360" w:lineRule="auto"/>
              <w:rPr>
                <w:rFonts w:ascii="仿宋" w:hAnsi="仿宋" w:eastAsia="仿宋" w:cs="仿宋"/>
                <w:szCs w:val="24"/>
              </w:rPr>
            </w:pPr>
            <w:r>
              <w:rPr>
                <w:rFonts w:hint="eastAsia" w:ascii="仿宋" w:hAnsi="仿宋" w:eastAsia="仿宋" w:cs="仿宋"/>
                <w:szCs w:val="24"/>
              </w:rPr>
              <w:t>差：对总体设计理解描述较差，分析架构较差得0-2分。</w:t>
            </w:r>
          </w:p>
        </w:tc>
        <w:tc>
          <w:tcPr>
            <w:tcW w:w="645" w:type="dxa"/>
            <w:vAlign w:val="center"/>
          </w:tcPr>
          <w:p>
            <w:pPr>
              <w:pStyle w:val="103"/>
              <w:spacing w:line="360" w:lineRule="auto"/>
              <w:jc w:val="center"/>
              <w:rPr>
                <w:rFonts w:ascii="仿宋" w:hAnsi="仿宋" w:eastAsia="仿宋" w:cs="仿宋"/>
                <w:szCs w:val="24"/>
              </w:rPr>
            </w:pPr>
            <w:r>
              <w:rPr>
                <w:rFonts w:hint="eastAsia" w:ascii="仿宋" w:hAnsi="仿宋" w:eastAsia="仿宋" w:cs="仿宋"/>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trPr>
        <w:tc>
          <w:tcPr>
            <w:tcW w:w="1187" w:type="dxa"/>
            <w:vMerge w:val="continue"/>
            <w:vAlign w:val="center"/>
          </w:tcPr>
          <w:p>
            <w:pPr>
              <w:pStyle w:val="103"/>
              <w:spacing w:line="360" w:lineRule="auto"/>
              <w:rPr>
                <w:rFonts w:ascii="仿宋" w:hAnsi="仿宋" w:eastAsia="仿宋" w:cs="仿宋"/>
                <w:szCs w:val="24"/>
              </w:rPr>
            </w:pPr>
          </w:p>
        </w:tc>
        <w:tc>
          <w:tcPr>
            <w:tcW w:w="1032" w:type="dxa"/>
            <w:vAlign w:val="center"/>
          </w:tcPr>
          <w:p>
            <w:pPr>
              <w:pStyle w:val="103"/>
              <w:spacing w:line="360" w:lineRule="auto"/>
              <w:jc w:val="center"/>
              <w:rPr>
                <w:rFonts w:ascii="仿宋" w:hAnsi="仿宋" w:eastAsia="仿宋" w:cs="仿宋"/>
                <w:b/>
                <w:color w:val="FF0000"/>
                <w:szCs w:val="24"/>
              </w:rPr>
            </w:pPr>
            <w:r>
              <w:rPr>
                <w:rFonts w:hint="eastAsia" w:ascii="仿宋" w:hAnsi="仿宋" w:eastAsia="仿宋" w:cs="仿宋"/>
                <w:szCs w:val="24"/>
              </w:rPr>
              <w:t>项目实施方案评价</w:t>
            </w:r>
          </w:p>
        </w:tc>
        <w:tc>
          <w:tcPr>
            <w:tcW w:w="5659" w:type="dxa"/>
            <w:vAlign w:val="center"/>
          </w:tcPr>
          <w:p>
            <w:pPr>
              <w:pStyle w:val="103"/>
              <w:spacing w:line="360" w:lineRule="auto"/>
              <w:rPr>
                <w:rFonts w:ascii="仿宋" w:hAnsi="仿宋" w:eastAsia="仿宋" w:cs="仿宋"/>
                <w:szCs w:val="24"/>
              </w:rPr>
            </w:pPr>
            <w:r>
              <w:rPr>
                <w:rFonts w:hint="eastAsia" w:ascii="仿宋" w:hAnsi="仿宋" w:eastAsia="仿宋" w:cs="仿宋"/>
                <w:szCs w:val="24"/>
              </w:rPr>
              <w:t>项目实施方案应完整、合理、切合实际，其中包含完善可行的工程实施步骤或流程、各阶段实施任务、项目质量管理、风险管理、验收方案等内容。</w:t>
            </w:r>
          </w:p>
          <w:p>
            <w:pPr>
              <w:pStyle w:val="103"/>
              <w:spacing w:line="360" w:lineRule="auto"/>
              <w:rPr>
                <w:rFonts w:ascii="仿宋" w:hAnsi="仿宋" w:eastAsia="仿宋" w:cs="仿宋"/>
                <w:szCs w:val="24"/>
              </w:rPr>
            </w:pPr>
            <w:r>
              <w:rPr>
                <w:rFonts w:hint="eastAsia" w:ascii="仿宋" w:hAnsi="仿宋" w:eastAsia="仿宋" w:cs="仿宋"/>
                <w:szCs w:val="24"/>
              </w:rPr>
              <w:t>优：实施方案满足上述要求且详细的得5-6分；</w:t>
            </w:r>
          </w:p>
          <w:p>
            <w:pPr>
              <w:pStyle w:val="103"/>
              <w:spacing w:line="360" w:lineRule="auto"/>
              <w:rPr>
                <w:rFonts w:ascii="仿宋" w:hAnsi="仿宋" w:eastAsia="仿宋" w:cs="仿宋"/>
                <w:szCs w:val="24"/>
              </w:rPr>
            </w:pPr>
            <w:r>
              <w:rPr>
                <w:rFonts w:hint="eastAsia" w:ascii="仿宋" w:hAnsi="仿宋" w:eastAsia="仿宋" w:cs="仿宋"/>
                <w:szCs w:val="24"/>
              </w:rPr>
              <w:t>良：实施方案满足上述要求且较为详细的得3-5分；</w:t>
            </w:r>
          </w:p>
          <w:p>
            <w:pPr>
              <w:pStyle w:val="103"/>
              <w:spacing w:line="360" w:lineRule="auto"/>
              <w:rPr>
                <w:rFonts w:ascii="仿宋" w:hAnsi="仿宋" w:eastAsia="仿宋" w:cs="仿宋"/>
                <w:szCs w:val="24"/>
              </w:rPr>
            </w:pPr>
            <w:r>
              <w:rPr>
                <w:rFonts w:hint="eastAsia" w:ascii="仿宋" w:hAnsi="仿宋" w:eastAsia="仿宋" w:cs="仿宋"/>
                <w:szCs w:val="24"/>
              </w:rPr>
              <w:t>一般：实施方案部分满足上述要求且安排一般的得1-3分；</w:t>
            </w:r>
          </w:p>
          <w:p>
            <w:pPr>
              <w:pStyle w:val="103"/>
              <w:spacing w:line="360" w:lineRule="auto"/>
              <w:rPr>
                <w:rFonts w:ascii="仿宋" w:hAnsi="仿宋" w:eastAsia="仿宋" w:cs="仿宋"/>
                <w:szCs w:val="24"/>
              </w:rPr>
            </w:pPr>
            <w:r>
              <w:rPr>
                <w:rFonts w:hint="eastAsia" w:ascii="仿宋" w:hAnsi="仿宋" w:eastAsia="仿宋" w:cs="仿宋"/>
                <w:szCs w:val="24"/>
              </w:rPr>
              <w:t>差：实施方案无法满足上述要求且安排较差的得0-1分。</w:t>
            </w:r>
          </w:p>
        </w:tc>
        <w:tc>
          <w:tcPr>
            <w:tcW w:w="645" w:type="dxa"/>
            <w:vAlign w:val="center"/>
          </w:tcPr>
          <w:p>
            <w:pPr>
              <w:pStyle w:val="103"/>
              <w:spacing w:line="360" w:lineRule="auto"/>
              <w:jc w:val="center"/>
              <w:rPr>
                <w:rFonts w:ascii="仿宋" w:hAnsi="仿宋" w:eastAsia="仿宋" w:cs="仿宋"/>
                <w:szCs w:val="24"/>
              </w:rPr>
            </w:pPr>
            <w:r>
              <w:rPr>
                <w:rFonts w:hint="eastAsia" w:ascii="仿宋" w:hAnsi="仿宋" w:eastAsia="仿宋" w:cs="仿宋"/>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trPr>
        <w:tc>
          <w:tcPr>
            <w:tcW w:w="1187" w:type="dxa"/>
            <w:vMerge w:val="continue"/>
            <w:vAlign w:val="center"/>
          </w:tcPr>
          <w:p>
            <w:pPr>
              <w:pStyle w:val="103"/>
              <w:spacing w:line="360" w:lineRule="auto"/>
              <w:rPr>
                <w:rFonts w:ascii="仿宋" w:hAnsi="仿宋" w:eastAsia="仿宋" w:cs="仿宋"/>
                <w:szCs w:val="24"/>
              </w:rPr>
            </w:pPr>
          </w:p>
        </w:tc>
        <w:tc>
          <w:tcPr>
            <w:tcW w:w="1032" w:type="dxa"/>
            <w:vAlign w:val="center"/>
          </w:tcPr>
          <w:p>
            <w:pPr>
              <w:pStyle w:val="103"/>
              <w:spacing w:line="360" w:lineRule="auto"/>
              <w:jc w:val="center"/>
              <w:rPr>
                <w:rFonts w:ascii="仿宋" w:hAnsi="仿宋" w:eastAsia="仿宋" w:cs="仿宋"/>
                <w:szCs w:val="24"/>
              </w:rPr>
            </w:pPr>
            <w:r>
              <w:rPr>
                <w:rFonts w:hint="eastAsia" w:ascii="仿宋" w:hAnsi="仿宋" w:eastAsia="仿宋" w:cs="仿宋"/>
                <w:szCs w:val="24"/>
              </w:rPr>
              <w:t>售后服务方案评价</w:t>
            </w:r>
          </w:p>
        </w:tc>
        <w:tc>
          <w:tcPr>
            <w:tcW w:w="5659" w:type="dxa"/>
            <w:vAlign w:val="center"/>
          </w:tcPr>
          <w:p>
            <w:pPr>
              <w:pStyle w:val="103"/>
              <w:spacing w:line="360" w:lineRule="auto"/>
              <w:rPr>
                <w:rFonts w:ascii="仿宋" w:hAnsi="仿宋" w:eastAsia="仿宋" w:cs="仿宋"/>
                <w:szCs w:val="24"/>
              </w:rPr>
            </w:pPr>
            <w:r>
              <w:rPr>
                <w:rFonts w:hint="eastAsia" w:ascii="仿宋" w:hAnsi="仿宋" w:eastAsia="仿宋" w:cs="仿宋"/>
                <w:szCs w:val="24"/>
              </w:rPr>
              <w:t>项目售后服务方案应完整、合理、切合实际，其中包含售后响应时间、售后服务内容、服务管理体系、应急预案、培训内容等进行综合评价。</w:t>
            </w:r>
          </w:p>
          <w:p>
            <w:pPr>
              <w:pStyle w:val="103"/>
              <w:spacing w:line="360" w:lineRule="auto"/>
              <w:rPr>
                <w:rFonts w:ascii="仿宋" w:hAnsi="仿宋" w:eastAsia="仿宋" w:cs="仿宋"/>
                <w:szCs w:val="24"/>
              </w:rPr>
            </w:pPr>
            <w:r>
              <w:rPr>
                <w:rFonts w:hint="eastAsia" w:ascii="仿宋" w:hAnsi="仿宋" w:eastAsia="仿宋" w:cs="仿宋"/>
                <w:szCs w:val="24"/>
              </w:rPr>
              <w:t>优：售后方案满足上述要求且详细的得4-5分；</w:t>
            </w:r>
          </w:p>
          <w:p>
            <w:pPr>
              <w:pStyle w:val="103"/>
              <w:spacing w:line="360" w:lineRule="auto"/>
              <w:rPr>
                <w:rFonts w:ascii="仿宋" w:hAnsi="仿宋" w:eastAsia="仿宋" w:cs="仿宋"/>
                <w:szCs w:val="24"/>
              </w:rPr>
            </w:pPr>
            <w:r>
              <w:rPr>
                <w:rFonts w:hint="eastAsia" w:ascii="仿宋" w:hAnsi="仿宋" w:eastAsia="仿宋" w:cs="仿宋"/>
                <w:szCs w:val="24"/>
              </w:rPr>
              <w:t>良：售后方案满足上述要求且较为详细的得2-4分；</w:t>
            </w:r>
          </w:p>
          <w:p>
            <w:pPr>
              <w:pStyle w:val="103"/>
              <w:spacing w:line="360" w:lineRule="auto"/>
              <w:rPr>
                <w:rFonts w:ascii="仿宋" w:hAnsi="仿宋" w:eastAsia="仿宋" w:cs="仿宋"/>
                <w:szCs w:val="24"/>
              </w:rPr>
            </w:pPr>
            <w:r>
              <w:rPr>
                <w:rFonts w:hint="eastAsia" w:ascii="仿宋" w:hAnsi="仿宋" w:eastAsia="仿宋" w:cs="仿宋"/>
                <w:szCs w:val="24"/>
              </w:rPr>
              <w:t>一般：售后方案部分满足上述要求且安排一般的得1-2分；</w:t>
            </w:r>
          </w:p>
          <w:p>
            <w:pPr>
              <w:pStyle w:val="103"/>
              <w:spacing w:line="360" w:lineRule="auto"/>
              <w:rPr>
                <w:rFonts w:ascii="仿宋" w:hAnsi="仿宋" w:eastAsia="仿宋" w:cs="仿宋"/>
                <w:szCs w:val="24"/>
              </w:rPr>
            </w:pPr>
            <w:r>
              <w:rPr>
                <w:rFonts w:hint="eastAsia" w:ascii="仿宋" w:hAnsi="仿宋" w:eastAsia="仿宋" w:cs="仿宋"/>
                <w:szCs w:val="24"/>
              </w:rPr>
              <w:t>差：售后方案无法满足上述要求且安排较差的得0-1分。</w:t>
            </w:r>
          </w:p>
        </w:tc>
        <w:tc>
          <w:tcPr>
            <w:tcW w:w="645" w:type="dxa"/>
            <w:vAlign w:val="center"/>
          </w:tcPr>
          <w:p>
            <w:pPr>
              <w:pStyle w:val="103"/>
              <w:spacing w:line="360" w:lineRule="auto"/>
              <w:jc w:val="center"/>
              <w:rPr>
                <w:rFonts w:ascii="仿宋" w:hAnsi="仿宋" w:eastAsia="仿宋" w:cs="仿宋"/>
                <w:szCs w:val="24"/>
              </w:rPr>
            </w:pPr>
            <w:r>
              <w:rPr>
                <w:rFonts w:hint="eastAsia" w:ascii="仿宋" w:hAnsi="仿宋" w:eastAsia="仿宋" w:cs="仿宋"/>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trPr>
        <w:tc>
          <w:tcPr>
            <w:tcW w:w="1187" w:type="dxa"/>
            <w:vMerge w:val="continue"/>
            <w:vAlign w:val="center"/>
          </w:tcPr>
          <w:p>
            <w:pPr>
              <w:pStyle w:val="103"/>
              <w:spacing w:line="360" w:lineRule="auto"/>
              <w:rPr>
                <w:rFonts w:ascii="仿宋" w:hAnsi="仿宋" w:eastAsia="仿宋" w:cs="仿宋"/>
                <w:szCs w:val="24"/>
              </w:rPr>
            </w:pPr>
          </w:p>
        </w:tc>
        <w:tc>
          <w:tcPr>
            <w:tcW w:w="1032" w:type="dxa"/>
            <w:vAlign w:val="center"/>
          </w:tcPr>
          <w:p>
            <w:pPr>
              <w:pStyle w:val="103"/>
              <w:spacing w:line="360" w:lineRule="auto"/>
              <w:jc w:val="center"/>
              <w:rPr>
                <w:rFonts w:ascii="仿宋" w:hAnsi="仿宋" w:eastAsia="仿宋" w:cs="仿宋"/>
                <w:szCs w:val="24"/>
              </w:rPr>
            </w:pPr>
            <w:r>
              <w:rPr>
                <w:rFonts w:hint="eastAsia" w:ascii="仿宋" w:hAnsi="仿宋" w:eastAsia="仿宋" w:cs="仿宋"/>
                <w:bCs/>
                <w:szCs w:val="24"/>
              </w:rPr>
              <w:t>投标响应评价</w:t>
            </w:r>
          </w:p>
        </w:tc>
        <w:tc>
          <w:tcPr>
            <w:tcW w:w="5659" w:type="dxa"/>
            <w:vAlign w:val="center"/>
          </w:tcPr>
          <w:p>
            <w:pPr>
              <w:spacing w:line="360" w:lineRule="auto"/>
              <w:jc w:val="left"/>
              <w:rPr>
                <w:rFonts w:ascii="仿宋" w:hAnsi="仿宋" w:eastAsia="仿宋" w:cs="仿宋"/>
                <w:color w:val="000000"/>
                <w:kern w:val="0"/>
                <w:sz w:val="24"/>
                <w:szCs w:val="24"/>
              </w:rPr>
            </w:pPr>
            <w:r>
              <w:rPr>
                <w:rFonts w:hint="eastAsia" w:ascii="仿宋" w:hAnsi="仿宋" w:eastAsia="仿宋" w:cs="仿宋"/>
                <w:caps/>
                <w:color w:val="000000"/>
                <w:sz w:val="24"/>
                <w:szCs w:val="24"/>
              </w:rPr>
              <w:t>投标</w:t>
            </w:r>
            <w:r>
              <w:rPr>
                <w:rFonts w:hint="eastAsia" w:ascii="仿宋" w:hAnsi="仿宋" w:eastAsia="仿宋" w:cs="仿宋"/>
                <w:color w:val="000000"/>
                <w:kern w:val="0"/>
                <w:sz w:val="24"/>
                <w:szCs w:val="24"/>
              </w:rPr>
              <w:t>响应</w:t>
            </w:r>
            <w:r>
              <w:rPr>
                <w:rFonts w:hint="eastAsia" w:ascii="仿宋" w:hAnsi="仿宋" w:eastAsia="仿宋" w:cs="仿宋"/>
                <w:caps/>
                <w:color w:val="000000"/>
                <w:sz w:val="24"/>
                <w:szCs w:val="24"/>
              </w:rPr>
              <w:t>完全满足或优于</w:t>
            </w:r>
            <w:r>
              <w:rPr>
                <w:rFonts w:hint="eastAsia" w:ascii="仿宋" w:hAnsi="仿宋" w:eastAsia="仿宋" w:cs="仿宋"/>
                <w:color w:val="000000"/>
                <w:kern w:val="0"/>
                <w:sz w:val="24"/>
                <w:szCs w:val="24"/>
              </w:rPr>
              <w:t>招标文件“</w:t>
            </w:r>
            <w:r>
              <w:rPr>
                <w:rFonts w:hint="eastAsia" w:ascii="仿宋" w:hAnsi="仿宋" w:eastAsia="仿宋" w:cs="仿宋"/>
                <w:kern w:val="0"/>
                <w:sz w:val="24"/>
                <w:szCs w:val="24"/>
              </w:rPr>
              <w:t>技术规格和功能要求</w:t>
            </w:r>
            <w:r>
              <w:rPr>
                <w:rFonts w:hint="eastAsia" w:ascii="仿宋" w:hAnsi="仿宋" w:eastAsia="仿宋" w:cs="仿宋"/>
                <w:color w:val="000000"/>
                <w:kern w:val="0"/>
                <w:sz w:val="24"/>
                <w:szCs w:val="24"/>
              </w:rPr>
              <w:t>”得满分20分</w:t>
            </w:r>
          </w:p>
          <w:p>
            <w:pPr>
              <w:spacing w:line="360" w:lineRule="auto"/>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（1）投标响应与招标文件“技术规格和功能要求”的任意一条“★”条款存在负偏离，在20分基础上扣减2分/条，扣到0分为止。</w:t>
            </w:r>
          </w:p>
          <w:p>
            <w:pPr>
              <w:spacing w:line="360" w:lineRule="auto"/>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（2）投标响应与招标文件“技术规格和功能要求”的一般条款（非标注“★”条款）存在负偏离，在20分基础上扣减1分/条，扣到0分为止。                                                     </w:t>
            </w:r>
          </w:p>
          <w:p>
            <w:pPr>
              <w:pStyle w:val="103"/>
              <w:spacing w:line="360" w:lineRule="auto"/>
              <w:rPr>
                <w:rFonts w:ascii="仿宋" w:hAnsi="仿宋" w:eastAsia="仿宋" w:cs="仿宋"/>
                <w:szCs w:val="24"/>
              </w:rPr>
            </w:pPr>
            <w:r>
              <w:rPr>
                <w:rFonts w:hint="eastAsia" w:ascii="仿宋" w:hAnsi="仿宋" w:eastAsia="仿宋" w:cs="仿宋"/>
                <w:color w:val="000000"/>
                <w:kern w:val="0"/>
                <w:szCs w:val="24"/>
              </w:rPr>
              <w:t>注：本项评分将结合</w:t>
            </w:r>
            <w:r>
              <w:rPr>
                <w:rFonts w:hint="eastAsia" w:ascii="仿宋" w:hAnsi="仿宋" w:eastAsia="仿宋" w:cs="仿宋"/>
                <w:color w:val="000000"/>
                <w:kern w:val="0"/>
                <w:szCs w:val="24"/>
                <w:lang w:eastAsia="zh-CN"/>
              </w:rPr>
              <w:t>供应商</w:t>
            </w:r>
            <w:r>
              <w:rPr>
                <w:rFonts w:hint="eastAsia" w:ascii="仿宋" w:hAnsi="仿宋" w:eastAsia="仿宋" w:cs="仿宋"/>
                <w:color w:val="000000"/>
                <w:kern w:val="0"/>
                <w:szCs w:val="24"/>
              </w:rPr>
              <w:t>提供的产品资料、“★”条款佐证材料及技术响应表进行打分。</w:t>
            </w:r>
          </w:p>
        </w:tc>
        <w:tc>
          <w:tcPr>
            <w:tcW w:w="645" w:type="dxa"/>
            <w:vAlign w:val="center"/>
          </w:tcPr>
          <w:p>
            <w:pPr>
              <w:pStyle w:val="103"/>
              <w:spacing w:line="360" w:lineRule="auto"/>
              <w:jc w:val="center"/>
              <w:rPr>
                <w:rFonts w:ascii="仿宋" w:hAnsi="仿宋" w:eastAsia="仿宋" w:cs="仿宋"/>
                <w:szCs w:val="24"/>
              </w:rPr>
            </w:pPr>
            <w:r>
              <w:rPr>
                <w:rFonts w:hint="eastAsia" w:ascii="仿宋" w:hAnsi="仿宋" w:eastAsia="仿宋" w:cs="仿宋"/>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trPr>
        <w:tc>
          <w:tcPr>
            <w:tcW w:w="1187" w:type="dxa"/>
            <w:vMerge w:val="continue"/>
            <w:vAlign w:val="center"/>
          </w:tcPr>
          <w:p>
            <w:pPr>
              <w:pStyle w:val="103"/>
              <w:spacing w:line="360" w:lineRule="auto"/>
              <w:rPr>
                <w:rFonts w:ascii="仿宋" w:hAnsi="仿宋" w:eastAsia="仿宋" w:cs="仿宋"/>
                <w:szCs w:val="24"/>
              </w:rPr>
            </w:pPr>
          </w:p>
        </w:tc>
        <w:tc>
          <w:tcPr>
            <w:tcW w:w="1032" w:type="dxa"/>
            <w:vAlign w:val="center"/>
          </w:tcPr>
          <w:p>
            <w:pPr>
              <w:pStyle w:val="103"/>
              <w:spacing w:line="360" w:lineRule="auto"/>
              <w:jc w:val="center"/>
              <w:rPr>
                <w:rFonts w:ascii="仿宋" w:hAnsi="仿宋" w:eastAsia="仿宋" w:cs="仿宋"/>
                <w:szCs w:val="24"/>
              </w:rPr>
            </w:pPr>
            <w:r>
              <w:rPr>
                <w:rFonts w:hint="eastAsia" w:ascii="仿宋" w:hAnsi="仿宋" w:eastAsia="仿宋" w:cs="仿宋"/>
                <w:szCs w:val="24"/>
              </w:rPr>
              <w:t>医疗交互标准符合度</w:t>
            </w:r>
          </w:p>
        </w:tc>
        <w:tc>
          <w:tcPr>
            <w:tcW w:w="5659"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kern w:val="0"/>
                <w:sz w:val="24"/>
                <w:szCs w:val="24"/>
              </w:rPr>
              <w:t>须遵循HL7标准</w:t>
            </w:r>
            <w:r>
              <w:rPr>
                <w:rFonts w:hint="eastAsia" w:ascii="仿宋" w:hAnsi="仿宋" w:eastAsia="仿宋" w:cs="仿宋"/>
                <w:sz w:val="24"/>
                <w:szCs w:val="24"/>
              </w:rPr>
              <w:t>，支持快速医疗互操作性资源（FHIR）标准,提供通过FHIR最新版本 “R4”的测试场景：院内检验报告、院外检验报告、电子病历生成和读取、电子病历共享交换。</w:t>
            </w:r>
          </w:p>
          <w:p>
            <w:pPr>
              <w:spacing w:line="360" w:lineRule="auto"/>
              <w:rPr>
                <w:rFonts w:ascii="仿宋" w:hAnsi="仿宋" w:eastAsia="仿宋" w:cs="仿宋"/>
                <w:sz w:val="24"/>
                <w:szCs w:val="24"/>
              </w:rPr>
            </w:pPr>
            <w:r>
              <w:rPr>
                <w:rFonts w:hint="eastAsia" w:ascii="仿宋" w:hAnsi="仿宋" w:eastAsia="仿宋" w:cs="仿宋"/>
                <w:sz w:val="24"/>
                <w:szCs w:val="24"/>
              </w:rPr>
              <w:t>以上场景每通过一个得3分，满分12分。</w:t>
            </w:r>
          </w:p>
          <w:p>
            <w:pPr>
              <w:pStyle w:val="103"/>
              <w:spacing w:line="360" w:lineRule="auto"/>
              <w:rPr>
                <w:rFonts w:ascii="仿宋" w:hAnsi="仿宋" w:eastAsia="仿宋" w:cs="仿宋"/>
                <w:szCs w:val="24"/>
              </w:rPr>
            </w:pPr>
            <w:r>
              <w:rPr>
                <w:rFonts w:hint="eastAsia" w:ascii="仿宋" w:hAnsi="仿宋" w:eastAsia="仿宋" w:cs="仿宋"/>
                <w:szCs w:val="24"/>
              </w:rPr>
              <w:t>注：提供FHIR Connectathon测试通过证书复印件加盖公章，未提供或提供内容和FHIR版本不符合要求不得分。</w:t>
            </w:r>
          </w:p>
        </w:tc>
        <w:tc>
          <w:tcPr>
            <w:tcW w:w="645" w:type="dxa"/>
            <w:vAlign w:val="center"/>
          </w:tcPr>
          <w:p>
            <w:pPr>
              <w:pStyle w:val="103"/>
              <w:spacing w:line="360" w:lineRule="auto"/>
              <w:jc w:val="center"/>
              <w:rPr>
                <w:rFonts w:ascii="仿宋" w:hAnsi="仿宋" w:eastAsia="仿宋" w:cs="仿宋"/>
                <w:szCs w:val="24"/>
              </w:rPr>
            </w:pPr>
            <w:r>
              <w:rPr>
                <w:rFonts w:hint="eastAsia" w:ascii="仿宋" w:hAnsi="仿宋" w:eastAsia="仿宋" w:cs="仿宋"/>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34" w:hRule="atLeast"/>
        </w:trPr>
        <w:tc>
          <w:tcPr>
            <w:tcW w:w="1187" w:type="dxa"/>
            <w:vMerge w:val="continue"/>
            <w:vAlign w:val="center"/>
          </w:tcPr>
          <w:p>
            <w:pPr>
              <w:pStyle w:val="103"/>
              <w:spacing w:line="360" w:lineRule="auto"/>
              <w:rPr>
                <w:rFonts w:ascii="仿宋" w:hAnsi="仿宋" w:eastAsia="仿宋" w:cs="仿宋"/>
                <w:szCs w:val="24"/>
              </w:rPr>
            </w:pPr>
          </w:p>
        </w:tc>
        <w:tc>
          <w:tcPr>
            <w:tcW w:w="1032" w:type="dxa"/>
            <w:vAlign w:val="center"/>
          </w:tcPr>
          <w:p>
            <w:pPr>
              <w:pStyle w:val="103"/>
              <w:spacing w:line="360" w:lineRule="auto"/>
              <w:jc w:val="center"/>
              <w:rPr>
                <w:rFonts w:ascii="仿宋" w:hAnsi="仿宋" w:eastAsia="仿宋" w:cs="仿宋"/>
                <w:szCs w:val="24"/>
              </w:rPr>
            </w:pPr>
            <w:r>
              <w:rPr>
                <w:rFonts w:hint="eastAsia" w:ascii="仿宋" w:hAnsi="仿宋" w:eastAsia="仿宋" w:cs="仿宋"/>
                <w:szCs w:val="24"/>
              </w:rPr>
              <w:t>产品技术能力</w:t>
            </w:r>
          </w:p>
        </w:tc>
        <w:tc>
          <w:tcPr>
            <w:tcW w:w="5659"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rPr>
              <w:t>供应商所投集成平台产品具有参照《医院信息互联互通标准化成熟度测评方案》最新版进行测试的软件产品测试证书及产品标准符合性测试报告，其中数据集标准化情况、共享文档标准化情况、互联互通交互服务情况、平台功能符合互联互通四级甲等或以上要求，完全符合四甲要求得2分，符合五乙要求的加1分，符合五甲要求的加2分，满分4分。</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rPr>
              <w:t>供应商所投信息集成平台具有国家认可第三方检测机构（如CMA、CNAS）出具的检验检测报告且测试结论为稳定运行的得2分，其他不得分。</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rPr>
              <w:t>供应商所投信息集成平台产品具有符合《WS/T 501-2016电子病历与医院信息平台标准符合性测试规范》的产品标准符合性测试报告，且数据资源、互操作性、技术架构均达到A级认证得</w:t>
            </w:r>
            <w:r>
              <w:rPr>
                <w:rFonts w:hint="eastAsia" w:ascii="仿宋" w:hAnsi="仿宋" w:eastAsia="仿宋" w:cs="仿宋"/>
                <w:sz w:val="24"/>
                <w:szCs w:val="24"/>
                <w:lang w:val="en-US" w:eastAsia="zh-CN"/>
              </w:rPr>
              <w:t>2</w:t>
            </w:r>
            <w:r>
              <w:rPr>
                <w:rFonts w:hint="eastAsia" w:ascii="仿宋" w:hAnsi="仿宋" w:eastAsia="仿宋" w:cs="仿宋"/>
                <w:sz w:val="24"/>
                <w:szCs w:val="24"/>
              </w:rPr>
              <w:t>分，其他不得分。</w:t>
            </w:r>
          </w:p>
          <w:p>
            <w:pPr>
              <w:spacing w:line="360" w:lineRule="auto"/>
              <w:rPr>
                <w:rFonts w:ascii="仿宋" w:hAnsi="仿宋" w:eastAsia="仿宋" w:cs="仿宋"/>
                <w:b/>
                <w:bCs/>
                <w:color w:val="000000"/>
                <w:kern w:val="0"/>
                <w:sz w:val="24"/>
                <w:szCs w:val="24"/>
              </w:rPr>
            </w:pPr>
            <w:r>
              <w:rPr>
                <w:rFonts w:hint="eastAsia" w:ascii="仿宋" w:hAnsi="仿宋" w:eastAsia="仿宋" w:cs="仿宋"/>
                <w:sz w:val="24"/>
                <w:szCs w:val="24"/>
              </w:rPr>
              <w:t>注：</w:t>
            </w:r>
            <w:r>
              <w:rPr>
                <w:rFonts w:hint="eastAsia" w:ascii="仿宋" w:hAnsi="仿宋" w:eastAsia="仿宋" w:cs="仿宋"/>
                <w:sz w:val="24"/>
                <w:szCs w:val="24"/>
                <w:lang w:val="en-US" w:eastAsia="zh-CN"/>
              </w:rPr>
              <w:t>以上（1）、（2）、（3）项要求</w:t>
            </w:r>
            <w:r>
              <w:rPr>
                <w:rFonts w:hint="eastAsia" w:ascii="仿宋" w:hAnsi="仿宋" w:eastAsia="仿宋" w:cs="仿宋"/>
                <w:sz w:val="24"/>
                <w:szCs w:val="24"/>
              </w:rPr>
              <w:t>提供国家认可的第三方检测机构出具的检测报告及测试证书复印件加盖公章，例如CMA或CNAS等机构证书</w:t>
            </w:r>
            <w:r>
              <w:rPr>
                <w:rFonts w:hint="eastAsia" w:ascii="仿宋" w:hAnsi="仿宋" w:eastAsia="仿宋" w:cs="仿宋"/>
                <w:sz w:val="24"/>
                <w:szCs w:val="24"/>
                <w:lang w:eastAsia="zh-CN"/>
              </w:rPr>
              <w:t>。</w:t>
            </w:r>
          </w:p>
        </w:tc>
        <w:tc>
          <w:tcPr>
            <w:tcW w:w="645" w:type="dxa"/>
            <w:vAlign w:val="center"/>
          </w:tcPr>
          <w:p>
            <w:pPr>
              <w:pStyle w:val="103"/>
              <w:spacing w:line="360" w:lineRule="auto"/>
              <w:jc w:val="center"/>
              <w:rPr>
                <w:rFonts w:hint="eastAsia" w:ascii="仿宋" w:hAnsi="仿宋" w:eastAsia="仿宋" w:cs="仿宋"/>
                <w:szCs w:val="24"/>
                <w:lang w:eastAsia="zh-CN"/>
              </w:rPr>
            </w:pPr>
            <w:r>
              <w:rPr>
                <w:rFonts w:hint="eastAsia" w:ascii="仿宋" w:hAnsi="仿宋" w:eastAsia="仿宋" w:cs="仿宋"/>
                <w:szCs w:val="24"/>
                <w:lang w:val="en-US" w:eastAsia="zh-CN"/>
              </w:rPr>
              <w:t>8</w:t>
            </w:r>
          </w:p>
        </w:tc>
      </w:tr>
    </w:tbl>
    <w:p>
      <w:pPr>
        <w:tabs>
          <w:tab w:val="left" w:pos="9030"/>
        </w:tabs>
        <w:snapToGrid w:val="0"/>
        <w:spacing w:line="360" w:lineRule="auto"/>
        <w:ind w:right="-65"/>
        <w:rPr>
          <w:rFonts w:ascii="仿宋" w:hAnsi="仿宋" w:eastAsia="仿宋" w:cs="仿宋"/>
          <w:sz w:val="24"/>
          <w:szCs w:val="24"/>
          <w:lang w:val="zh-CN"/>
        </w:rPr>
      </w:pPr>
      <w:r>
        <w:rPr>
          <w:rFonts w:hint="eastAsia" w:ascii="仿宋" w:hAnsi="仿宋" w:eastAsia="仿宋" w:cs="仿宋"/>
          <w:sz w:val="24"/>
          <w:szCs w:val="24"/>
          <w:lang w:val="zh-CN"/>
        </w:rPr>
        <w:t>3、其他事项说明</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（1）因落实政府采购政策进行价格调整的，以调整后的价格计算评标基准价和投标报价。</w:t>
      </w:r>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（2）评标时，评标委员会根据以上内容进行综合比较，自主打分，分数四舍五入保留两位小数，独立对每个供应商的投标文件进行评价，并汇总每个供应商的得分。</w:t>
      </w:r>
    </w:p>
    <w:p>
      <w:pPr>
        <w:tabs>
          <w:tab w:val="left" w:pos="9030"/>
        </w:tabs>
        <w:snapToGrid w:val="0"/>
        <w:spacing w:line="360" w:lineRule="auto"/>
        <w:ind w:right="-65" w:firstLine="480" w:firstLineChars="200"/>
        <w:outlineLvl w:val="2"/>
        <w:rPr>
          <w:rFonts w:ascii="仿宋" w:hAnsi="仿宋" w:eastAsia="仿宋" w:cs="仿宋"/>
          <w:sz w:val="24"/>
          <w:szCs w:val="24"/>
          <w:lang w:val="zh-CN"/>
        </w:rPr>
      </w:pPr>
      <w:bookmarkStart w:id="244" w:name="_Toc10499"/>
      <w:bookmarkStart w:id="245" w:name="_Toc30211"/>
      <w:bookmarkStart w:id="246" w:name="_Toc768"/>
      <w:bookmarkStart w:id="247" w:name="_Toc3128"/>
      <w:bookmarkStart w:id="248" w:name="_Toc9209"/>
      <w:bookmarkStart w:id="249" w:name="_Toc6371"/>
      <w:bookmarkStart w:id="250" w:name="_Toc22005"/>
      <w:bookmarkStart w:id="251" w:name="_Toc17060"/>
      <w:bookmarkStart w:id="252" w:name="_Toc16649"/>
      <w:r>
        <w:rPr>
          <w:rFonts w:hint="eastAsia" w:ascii="仿宋" w:hAnsi="仿宋" w:eastAsia="仿宋" w:cs="仿宋"/>
          <w:sz w:val="24"/>
          <w:szCs w:val="24"/>
          <w:lang w:val="zh-CN"/>
        </w:rPr>
        <w:t>（</w:t>
      </w:r>
      <w:r>
        <w:rPr>
          <w:rFonts w:hint="eastAsia" w:ascii="仿宋" w:hAnsi="仿宋" w:eastAsia="仿宋" w:cs="仿宋"/>
          <w:sz w:val="24"/>
          <w:szCs w:val="24"/>
        </w:rPr>
        <w:t>五</w:t>
      </w:r>
      <w:r>
        <w:rPr>
          <w:rFonts w:hint="eastAsia" w:ascii="仿宋" w:hAnsi="仿宋" w:eastAsia="仿宋" w:cs="仿宋"/>
          <w:sz w:val="24"/>
          <w:szCs w:val="24"/>
          <w:lang w:val="zh-CN"/>
        </w:rPr>
        <w:t>）推荐中标候选人名单</w:t>
      </w:r>
      <w:bookmarkEnd w:id="244"/>
      <w:bookmarkEnd w:id="245"/>
      <w:bookmarkEnd w:id="246"/>
      <w:bookmarkEnd w:id="247"/>
      <w:bookmarkEnd w:id="248"/>
      <w:bookmarkEnd w:id="249"/>
      <w:bookmarkEnd w:id="250"/>
      <w:bookmarkEnd w:id="251"/>
      <w:bookmarkEnd w:id="252"/>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评标结果按评审后得分由高到低顺序排列，推荐三名以上中标候选人。投标文件满足招标文件全部实质性要求，且按照评审因素的量化指标评审得分。按照排序推荐入围候选人。</w:t>
      </w:r>
    </w:p>
    <w:p>
      <w:pPr>
        <w:autoSpaceDE w:val="0"/>
        <w:autoSpaceDN w:val="0"/>
        <w:adjustRightInd w:val="0"/>
        <w:snapToGrid w:val="0"/>
        <w:spacing w:line="360" w:lineRule="auto"/>
        <w:ind w:firstLine="482" w:firstLineChars="200"/>
        <w:outlineLvl w:val="1"/>
        <w:rPr>
          <w:rFonts w:ascii="仿宋" w:hAnsi="仿宋" w:eastAsia="仿宋" w:cs="仿宋"/>
          <w:b/>
          <w:sz w:val="24"/>
          <w:szCs w:val="24"/>
          <w:lang w:val="zh-CN"/>
        </w:rPr>
      </w:pPr>
      <w:bookmarkStart w:id="253" w:name="_Toc18208"/>
      <w:bookmarkStart w:id="254" w:name="_Toc13328"/>
      <w:bookmarkStart w:id="255" w:name="_Toc18731"/>
      <w:bookmarkStart w:id="256" w:name="_Toc16371"/>
      <w:bookmarkStart w:id="257" w:name="_Toc11442"/>
      <w:bookmarkStart w:id="258" w:name="_Toc7227"/>
      <w:bookmarkStart w:id="259" w:name="_Toc22251"/>
      <w:bookmarkStart w:id="260" w:name="_Toc2662"/>
      <w:bookmarkStart w:id="261" w:name="_Toc31164"/>
      <w:r>
        <w:rPr>
          <w:rFonts w:hint="eastAsia" w:ascii="仿宋" w:hAnsi="仿宋" w:eastAsia="仿宋" w:cs="仿宋"/>
          <w:b/>
          <w:sz w:val="24"/>
          <w:szCs w:val="24"/>
          <w:lang w:val="zh-CN"/>
        </w:rPr>
        <w:t>七、确定</w:t>
      </w:r>
      <w:bookmarkEnd w:id="253"/>
      <w:bookmarkEnd w:id="254"/>
      <w:bookmarkEnd w:id="255"/>
      <w:bookmarkEnd w:id="256"/>
      <w:bookmarkEnd w:id="257"/>
      <w:bookmarkEnd w:id="258"/>
      <w:bookmarkEnd w:id="259"/>
      <w:bookmarkEnd w:id="260"/>
      <w:r>
        <w:rPr>
          <w:rFonts w:hint="eastAsia" w:ascii="仿宋" w:hAnsi="仿宋" w:eastAsia="仿宋" w:cs="仿宋"/>
          <w:b/>
          <w:sz w:val="24"/>
          <w:szCs w:val="24"/>
          <w:lang w:val="zh-CN"/>
        </w:rPr>
        <w:t>中标供应商</w:t>
      </w:r>
      <w:bookmarkEnd w:id="261"/>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（一）采购代理机构应当在评标结束后2个工作日内将评标报告送采购人。</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二）采购人应当自收到评标报告之日起5个工作日内，在评标报告确定的中标候选人名单中按顺序确定中标供应商，复函采购代理机构。采购人在收到评标报告5个工作日内未按评标报告推荐的中标候选人顺序确定中标供应商，又不能说明合法理由的，视同按评标报告推荐的顺序确定排名第一的中标候选人为中标供应商。</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（三）采购代理机构当自中标供应商确定之日起2个工作日内，在省级以上财政部门指定的媒体上公告中标结果，公告期限为1个工作日，并向中标供应商发“中标通知书”。</w:t>
      </w:r>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四）供应商对中标公告有异议的，按照《中华人民共和国政府采购法》第五十二条之规定执行。提出质疑的供应商应当有明确的请求和必要的证明材料，应保证提出的质疑内容及相应证明材料的真实性及来源的合法性，并承担相应的法律责任。</w:t>
      </w:r>
    </w:p>
    <w:p>
      <w:pPr>
        <w:autoSpaceDE w:val="0"/>
        <w:autoSpaceDN w:val="0"/>
        <w:adjustRightInd w:val="0"/>
        <w:snapToGrid w:val="0"/>
        <w:spacing w:line="360" w:lineRule="auto"/>
        <w:ind w:firstLine="482" w:firstLineChars="200"/>
        <w:outlineLvl w:val="1"/>
        <w:rPr>
          <w:rFonts w:ascii="仿宋" w:hAnsi="仿宋" w:eastAsia="仿宋" w:cs="仿宋"/>
          <w:b/>
          <w:sz w:val="24"/>
          <w:szCs w:val="24"/>
          <w:lang w:val="zh-CN"/>
        </w:rPr>
      </w:pPr>
      <w:bookmarkStart w:id="262" w:name="_Toc215"/>
      <w:bookmarkStart w:id="263" w:name="_Toc10140"/>
      <w:bookmarkStart w:id="264" w:name="_Toc27317"/>
      <w:bookmarkStart w:id="265" w:name="_Toc21655"/>
      <w:bookmarkStart w:id="266" w:name="_Toc204"/>
      <w:bookmarkStart w:id="267" w:name="_Toc8695"/>
      <w:bookmarkStart w:id="268" w:name="_Toc15275"/>
      <w:bookmarkStart w:id="269" w:name="_Toc19938"/>
      <w:bookmarkStart w:id="270" w:name="_Toc26684"/>
      <w:r>
        <w:rPr>
          <w:rFonts w:hint="eastAsia" w:ascii="仿宋" w:hAnsi="仿宋" w:eastAsia="仿宋" w:cs="仿宋"/>
          <w:b/>
          <w:sz w:val="24"/>
          <w:szCs w:val="24"/>
          <w:lang w:val="zh-CN"/>
        </w:rPr>
        <w:t>八、合同</w:t>
      </w:r>
      <w:bookmarkEnd w:id="262"/>
      <w:bookmarkEnd w:id="263"/>
      <w:bookmarkEnd w:id="264"/>
      <w:bookmarkEnd w:id="265"/>
      <w:bookmarkEnd w:id="266"/>
      <w:bookmarkEnd w:id="267"/>
      <w:bookmarkEnd w:id="268"/>
      <w:bookmarkEnd w:id="269"/>
      <w:bookmarkEnd w:id="270"/>
    </w:p>
    <w:p>
      <w:pPr>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（一）采购人在自中标通知书发出之日起三十日内，按照招标文件和中标供应商投标文件的约定，采购人与中标供应商洽谈合同条款，并签订合同。招标文件及中标供应商的投标文件均作为合同的组成部分。</w:t>
      </w:r>
    </w:p>
    <w:p>
      <w:pPr>
        <w:tabs>
          <w:tab w:val="left" w:pos="0"/>
        </w:tabs>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二）定标后，中标供应商无正当理由拖延或拒签合同，监督机构有权取消其中标资格，并按评标结果顺序重新确定中标供应商。同时报请监督机构通报，取消其进入政府采购市场的资格，按规定予以处罚，并没收其投标保证金。</w:t>
      </w:r>
    </w:p>
    <w:p>
      <w:pPr>
        <w:tabs>
          <w:tab w:val="left" w:pos="0"/>
        </w:tabs>
        <w:autoSpaceDE w:val="0"/>
        <w:autoSpaceDN w:val="0"/>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（三）政府采购合同的履行、违约责任和解决争议的方法等适用《中华人民共和国</w:t>
      </w:r>
      <w:r>
        <w:rPr>
          <w:rFonts w:hint="eastAsia" w:ascii="仿宋" w:hAnsi="仿宋" w:eastAsia="仿宋" w:cs="仿宋"/>
          <w:sz w:val="24"/>
          <w:szCs w:val="24"/>
        </w:rPr>
        <w:t>民法典</w:t>
      </w:r>
      <w:r>
        <w:rPr>
          <w:rFonts w:hint="eastAsia" w:ascii="仿宋" w:hAnsi="仿宋" w:eastAsia="仿宋" w:cs="仿宋"/>
          <w:sz w:val="24"/>
          <w:szCs w:val="24"/>
          <w:lang w:val="zh-CN"/>
        </w:rPr>
        <w:t>》，采购人按照政府采购合同规定的技术、服务、安全标准组织对供应商履约情况进行验收，并出具验收书。</w:t>
      </w:r>
    </w:p>
    <w:p>
      <w:pPr>
        <w:autoSpaceDE w:val="0"/>
        <w:autoSpaceDN w:val="0"/>
        <w:adjustRightInd w:val="0"/>
        <w:snapToGrid w:val="0"/>
        <w:spacing w:line="360" w:lineRule="auto"/>
        <w:ind w:firstLine="482" w:firstLineChars="200"/>
        <w:outlineLvl w:val="1"/>
        <w:rPr>
          <w:rFonts w:ascii="仿宋" w:hAnsi="仿宋" w:eastAsia="仿宋" w:cs="仿宋"/>
          <w:b/>
          <w:sz w:val="24"/>
          <w:szCs w:val="24"/>
          <w:lang w:val="zh-CN"/>
        </w:rPr>
      </w:pPr>
      <w:bookmarkStart w:id="271" w:name="_Toc5984"/>
      <w:bookmarkStart w:id="272" w:name="_Toc29935"/>
      <w:bookmarkStart w:id="273" w:name="_Toc12445"/>
      <w:bookmarkStart w:id="274" w:name="_Toc22015"/>
      <w:bookmarkStart w:id="275" w:name="_Toc28649"/>
      <w:bookmarkStart w:id="276" w:name="_Toc27949"/>
      <w:bookmarkStart w:id="277" w:name="_Toc15593"/>
      <w:bookmarkStart w:id="278" w:name="_Toc21976"/>
      <w:bookmarkStart w:id="279" w:name="_Toc14348"/>
      <w:r>
        <w:rPr>
          <w:rFonts w:hint="eastAsia" w:ascii="仿宋" w:hAnsi="仿宋" w:eastAsia="仿宋" w:cs="仿宋"/>
          <w:b/>
          <w:sz w:val="24"/>
          <w:szCs w:val="24"/>
          <w:lang w:val="zh-CN"/>
        </w:rPr>
        <w:t>九、中标服务费</w:t>
      </w:r>
      <w:bookmarkEnd w:id="271"/>
      <w:bookmarkEnd w:id="272"/>
      <w:bookmarkEnd w:id="273"/>
      <w:bookmarkEnd w:id="274"/>
      <w:bookmarkEnd w:id="275"/>
      <w:bookmarkEnd w:id="276"/>
      <w:bookmarkEnd w:id="277"/>
      <w:bookmarkEnd w:id="278"/>
      <w:bookmarkEnd w:id="279"/>
    </w:p>
    <w:p>
      <w:pPr>
        <w:tabs>
          <w:tab w:val="left" w:pos="0"/>
        </w:tabs>
        <w:autoSpaceDE w:val="0"/>
        <w:autoSpaceDN w:val="0"/>
        <w:adjustRightInd w:val="0"/>
        <w:snapToGrid w:val="0"/>
        <w:spacing w:line="360" w:lineRule="auto"/>
        <w:ind w:firstLine="480" w:firstLineChars="200"/>
        <w:rPr>
          <w:rFonts w:ascii="仿宋" w:hAnsi="仿宋" w:eastAsia="仿宋" w:cs="仿宋"/>
          <w:sz w:val="24"/>
          <w:szCs w:val="24"/>
          <w:lang w:val="zh-CN"/>
        </w:rPr>
      </w:pPr>
      <w:bookmarkStart w:id="280" w:name="_Toc29526"/>
      <w:bookmarkStart w:id="281" w:name="_Toc495671245"/>
      <w:r>
        <w:rPr>
          <w:rFonts w:hint="eastAsia" w:ascii="仿宋" w:hAnsi="仿宋" w:eastAsia="仿宋" w:cs="仿宋"/>
          <w:sz w:val="24"/>
          <w:szCs w:val="24"/>
          <w:lang w:val="zh-CN"/>
        </w:rPr>
        <w:t>（一）</w:t>
      </w:r>
      <w:r>
        <w:rPr>
          <w:rFonts w:hint="eastAsia" w:ascii="仿宋" w:hAnsi="仿宋" w:eastAsia="仿宋" w:cs="仿宋"/>
          <w:sz w:val="24"/>
          <w:szCs w:val="24"/>
        </w:rPr>
        <w:t>本项目招标代理服务费由中标供应商在中标结果公示期满后三个工作日内按照标准支付给招标代理机构。</w:t>
      </w:r>
    </w:p>
    <w:p>
      <w:pPr>
        <w:autoSpaceDE w:val="0"/>
        <w:autoSpaceDN w:val="0"/>
        <w:adjustRightIn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lang w:val="zh-CN"/>
        </w:rPr>
        <w:t>（二）</w:t>
      </w:r>
      <w:r>
        <w:rPr>
          <w:rFonts w:hint="eastAsia" w:ascii="仿宋" w:hAnsi="仿宋" w:eastAsia="仿宋" w:cs="仿宋"/>
          <w:sz w:val="24"/>
          <w:szCs w:val="24"/>
        </w:rPr>
        <w:t>采购代理服务费依据《国家计委关于印发招标代理服务收费管理暂行办法的通知》（计价格【2002】1980号）和国家发改委办公厅颁发的《关于招标代理服务收费有关问题的通</w:t>
      </w:r>
      <w:r>
        <w:rPr>
          <w:rFonts w:hint="eastAsia" w:ascii="仿宋" w:hAnsi="仿宋" w:eastAsia="仿宋" w:cs="仿宋"/>
          <w:sz w:val="24"/>
          <w:szCs w:val="24"/>
          <w:highlight w:val="none"/>
        </w:rPr>
        <w:t>知》（发改办价格【2003】857号）文件规定标准下浮30%收取。</w:t>
      </w:r>
    </w:p>
    <w:p>
      <w:pPr>
        <w:autoSpaceDE w:val="0"/>
        <w:autoSpaceDN w:val="0"/>
        <w:adjustRightInd w:val="0"/>
        <w:spacing w:line="360" w:lineRule="auto"/>
        <w:ind w:firstLine="645"/>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单位：万元</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448" w:type="dxa"/>
            <w:noWrap/>
          </w:tcPr>
          <w:p>
            <w:pPr>
              <w:spacing w:line="360" w:lineRule="auto"/>
              <w:ind w:firstLine="960" w:firstLineChars="400"/>
              <w:rPr>
                <w:rFonts w:ascii="仿宋" w:hAnsi="仿宋" w:eastAsia="仿宋" w:cs="仿宋"/>
                <w:b/>
                <w:sz w:val="24"/>
                <w:szCs w:val="24"/>
                <w:highlight w:val="none"/>
              </w:rPr>
            </w:pPr>
            <w:r>
              <w:rPr>
                <w:rFonts w:ascii="仿宋" w:hAnsi="仿宋" w:eastAsia="仿宋" w:cs="仿宋"/>
                <w:sz w:val="24"/>
                <w:szCs w:val="24"/>
                <w:highlight w:val="none"/>
              </w:rPr>
              <w:pict>
                <v:shape id="直接连接符 1" o:spid="_x0000_s2050" o:spt="32" type="#_x0000_t32" style="position:absolute;left:0pt;margin-left:-3pt;margin-top:2.5pt;height:43.4pt;width:116.8pt;z-index:251659264;mso-width-relative:page;mso-height-relative:page;" filled="f" coordsize="21600,21600" o:gfxdata="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UwLrf1wAAAAcBAAAPAAAAAAAAAAEAIAAAACIAAABkcnMvZG93bnJldi54&#10;bWxQSwECFAAUAAAACACHTuJAwO7RLvsBAADrAwAADgAAAAAAAAABACAAAAAmAQAAZHJzL2Uyb0Rv&#10;Yy54bWxQSwUGAAAAAAYABgBZAQAAkwUAAAAA&#10;">
                  <v:path arrowok="t"/>
                  <v:fill on="f" focussize="0,0"/>
                  <v:stroke/>
                  <v:imagedata o:title=""/>
                  <o:lock v:ext="edit"/>
                </v:shape>
              </w:pict>
            </w:r>
            <w:r>
              <w:rPr>
                <w:rFonts w:hint="eastAsia" w:ascii="仿宋" w:hAnsi="仿宋" w:eastAsia="仿宋" w:cs="仿宋"/>
                <w:b/>
                <w:sz w:val="24"/>
                <w:szCs w:val="24"/>
                <w:highlight w:val="none"/>
              </w:rPr>
              <w:t>采购类型</w:t>
            </w:r>
          </w:p>
          <w:p>
            <w:pPr>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t>中标金额</w:t>
            </w:r>
          </w:p>
        </w:tc>
        <w:tc>
          <w:tcPr>
            <w:tcW w:w="1980" w:type="dxa"/>
            <w:noWrap/>
            <w:vAlign w:val="center"/>
          </w:tcPr>
          <w:p>
            <w:pPr>
              <w:spacing w:line="360" w:lineRule="auto"/>
              <w:jc w:val="center"/>
              <w:rPr>
                <w:rFonts w:ascii="仿宋" w:hAnsi="仿宋" w:eastAsia="仿宋" w:cs="仿宋"/>
                <w:b/>
                <w:sz w:val="24"/>
                <w:szCs w:val="24"/>
                <w:highlight w:val="none"/>
              </w:rPr>
            </w:pPr>
            <w:r>
              <w:rPr>
                <w:rFonts w:hint="eastAsia" w:ascii="仿宋" w:hAnsi="仿宋" w:eastAsia="仿宋" w:cs="仿宋"/>
                <w:b/>
                <w:sz w:val="24"/>
                <w:szCs w:val="24"/>
                <w:highlight w:val="none"/>
              </w:rPr>
              <w:t>货物招标</w:t>
            </w:r>
          </w:p>
        </w:tc>
        <w:tc>
          <w:tcPr>
            <w:tcW w:w="1980" w:type="dxa"/>
            <w:noWrap/>
            <w:vAlign w:val="center"/>
          </w:tcPr>
          <w:p>
            <w:pPr>
              <w:spacing w:line="360" w:lineRule="auto"/>
              <w:jc w:val="center"/>
              <w:rPr>
                <w:rFonts w:ascii="仿宋" w:hAnsi="仿宋" w:eastAsia="仿宋" w:cs="仿宋"/>
                <w:b/>
                <w:sz w:val="24"/>
                <w:szCs w:val="24"/>
                <w:highlight w:val="none"/>
              </w:rPr>
            </w:pPr>
            <w:r>
              <w:rPr>
                <w:rFonts w:hint="eastAsia" w:ascii="仿宋" w:hAnsi="仿宋" w:eastAsia="仿宋" w:cs="仿宋"/>
                <w:b/>
                <w:sz w:val="24"/>
                <w:szCs w:val="24"/>
                <w:highlight w:val="none"/>
              </w:rPr>
              <w:t>服务招标</w:t>
            </w:r>
          </w:p>
        </w:tc>
        <w:tc>
          <w:tcPr>
            <w:tcW w:w="1980" w:type="dxa"/>
            <w:noWrap/>
            <w:vAlign w:val="center"/>
          </w:tcPr>
          <w:p>
            <w:pPr>
              <w:spacing w:line="360" w:lineRule="auto"/>
              <w:jc w:val="center"/>
              <w:rPr>
                <w:rFonts w:ascii="仿宋" w:hAnsi="仿宋" w:eastAsia="仿宋" w:cs="仿宋"/>
                <w:b/>
                <w:sz w:val="24"/>
                <w:szCs w:val="24"/>
                <w:highlight w:val="none"/>
              </w:rPr>
            </w:pPr>
            <w:r>
              <w:rPr>
                <w:rFonts w:hint="eastAsia" w:ascii="仿宋" w:hAnsi="仿宋" w:eastAsia="仿宋" w:cs="仿宋"/>
                <w:b/>
                <w:sz w:val="24"/>
                <w:szCs w:val="24"/>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100以下</w:t>
            </w:r>
          </w:p>
        </w:tc>
        <w:tc>
          <w:tcPr>
            <w:tcW w:w="1980" w:type="dxa"/>
            <w:noWrap/>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1.5%</w:t>
            </w:r>
          </w:p>
        </w:tc>
        <w:tc>
          <w:tcPr>
            <w:tcW w:w="1980" w:type="dxa"/>
            <w:noWrap/>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1.5%</w:t>
            </w:r>
          </w:p>
        </w:tc>
        <w:tc>
          <w:tcPr>
            <w:tcW w:w="1980" w:type="dxa"/>
            <w:noWrap/>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100-500</w:t>
            </w:r>
          </w:p>
        </w:tc>
        <w:tc>
          <w:tcPr>
            <w:tcW w:w="1980" w:type="dxa"/>
            <w:noWrap/>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1.1%</w:t>
            </w:r>
          </w:p>
        </w:tc>
        <w:tc>
          <w:tcPr>
            <w:tcW w:w="1980" w:type="dxa"/>
            <w:noWrap/>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0.8%</w:t>
            </w:r>
          </w:p>
        </w:tc>
        <w:tc>
          <w:tcPr>
            <w:tcW w:w="1980" w:type="dxa"/>
            <w:noWrap/>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500-1000</w:t>
            </w:r>
          </w:p>
        </w:tc>
        <w:tc>
          <w:tcPr>
            <w:tcW w:w="1980" w:type="dxa"/>
            <w:noWrap/>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0.8%</w:t>
            </w:r>
          </w:p>
        </w:tc>
        <w:tc>
          <w:tcPr>
            <w:tcW w:w="1980" w:type="dxa"/>
            <w:noWrap/>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0.45%</w:t>
            </w:r>
          </w:p>
        </w:tc>
        <w:tc>
          <w:tcPr>
            <w:tcW w:w="1980" w:type="dxa"/>
            <w:noWrap/>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1000-5000</w:t>
            </w:r>
          </w:p>
        </w:tc>
        <w:tc>
          <w:tcPr>
            <w:tcW w:w="1980" w:type="dxa"/>
            <w:noWrap/>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0.5%</w:t>
            </w:r>
          </w:p>
        </w:tc>
        <w:tc>
          <w:tcPr>
            <w:tcW w:w="1980" w:type="dxa"/>
            <w:noWrap/>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0.25%</w:t>
            </w:r>
          </w:p>
        </w:tc>
        <w:tc>
          <w:tcPr>
            <w:tcW w:w="1980" w:type="dxa"/>
            <w:noWrap/>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5000-10000</w:t>
            </w:r>
          </w:p>
        </w:tc>
        <w:tc>
          <w:tcPr>
            <w:tcW w:w="1980" w:type="dxa"/>
            <w:noWrap/>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0.25%</w:t>
            </w:r>
          </w:p>
        </w:tc>
        <w:tc>
          <w:tcPr>
            <w:tcW w:w="1980" w:type="dxa"/>
            <w:noWrap/>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0.1%</w:t>
            </w:r>
          </w:p>
        </w:tc>
        <w:tc>
          <w:tcPr>
            <w:tcW w:w="1980" w:type="dxa"/>
            <w:noWrap/>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10000-100000</w:t>
            </w:r>
          </w:p>
        </w:tc>
        <w:tc>
          <w:tcPr>
            <w:tcW w:w="1980" w:type="dxa"/>
            <w:noWrap/>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0.05%</w:t>
            </w:r>
          </w:p>
        </w:tc>
        <w:tc>
          <w:tcPr>
            <w:tcW w:w="1980" w:type="dxa"/>
            <w:noWrap/>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0.05%</w:t>
            </w:r>
          </w:p>
        </w:tc>
        <w:tc>
          <w:tcPr>
            <w:tcW w:w="1980" w:type="dxa"/>
            <w:noWrap/>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1000000以上</w:t>
            </w:r>
          </w:p>
        </w:tc>
        <w:tc>
          <w:tcPr>
            <w:tcW w:w="1980" w:type="dxa"/>
            <w:noWrap/>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0.01%</w:t>
            </w:r>
          </w:p>
        </w:tc>
        <w:tc>
          <w:tcPr>
            <w:tcW w:w="1980" w:type="dxa"/>
            <w:noWrap/>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0.01%</w:t>
            </w:r>
          </w:p>
        </w:tc>
        <w:tc>
          <w:tcPr>
            <w:tcW w:w="1980" w:type="dxa"/>
            <w:noWrap/>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0.01%</w:t>
            </w:r>
          </w:p>
        </w:tc>
      </w:tr>
    </w:tbl>
    <w:p>
      <w:pPr>
        <w:tabs>
          <w:tab w:val="left" w:pos="0"/>
        </w:tabs>
        <w:autoSpaceDE w:val="0"/>
        <w:autoSpaceDN w:val="0"/>
        <w:adjustRightInd w:val="0"/>
        <w:snapToGrid w:val="0"/>
        <w:spacing w:line="360" w:lineRule="auto"/>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（三）中标供应商服务费交纳信息：</w:t>
      </w:r>
    </w:p>
    <w:p>
      <w:pPr>
        <w:autoSpaceDE w:val="0"/>
        <w:autoSpaceDN w:val="0"/>
        <w:adjustRightInd w:val="0"/>
        <w:spacing w:line="360" w:lineRule="auto"/>
        <w:ind w:firstLine="645"/>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采购代理机构开户名称：陕西笃信招标有限公司</w:t>
      </w:r>
    </w:p>
    <w:p>
      <w:pPr>
        <w:autoSpaceDE w:val="0"/>
        <w:autoSpaceDN w:val="0"/>
        <w:adjustRightInd w:val="0"/>
        <w:spacing w:line="360" w:lineRule="auto"/>
        <w:ind w:firstLine="645"/>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开户银行：中国建设银行股份有限公司西安劳动北路支行</w:t>
      </w:r>
    </w:p>
    <w:p>
      <w:pPr>
        <w:autoSpaceDE w:val="0"/>
        <w:autoSpaceDN w:val="0"/>
        <w:adjustRightInd w:val="0"/>
        <w:spacing w:line="360" w:lineRule="auto"/>
        <w:ind w:firstLine="645"/>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账   号：61050174390000000193</w:t>
      </w:r>
    </w:p>
    <w:p>
      <w:pPr>
        <w:autoSpaceDE w:val="0"/>
        <w:autoSpaceDN w:val="0"/>
        <w:adjustRightInd w:val="0"/>
        <w:spacing w:line="360" w:lineRule="auto"/>
        <w:ind w:firstLine="482" w:firstLineChars="200"/>
        <w:jc w:val="left"/>
        <w:outlineLvl w:val="1"/>
        <w:rPr>
          <w:rFonts w:ascii="仿宋" w:hAnsi="仿宋" w:eastAsia="仿宋" w:cs="仿宋"/>
          <w:b/>
          <w:sz w:val="24"/>
          <w:szCs w:val="24"/>
          <w:highlight w:val="none"/>
          <w:lang w:val="zh-CN"/>
        </w:rPr>
      </w:pPr>
      <w:bookmarkStart w:id="282" w:name="_Toc11240"/>
      <w:bookmarkStart w:id="283" w:name="_Toc2882"/>
      <w:bookmarkStart w:id="284" w:name="_Toc7265"/>
      <w:bookmarkStart w:id="285" w:name="_Toc22638"/>
      <w:bookmarkStart w:id="286" w:name="_Toc18347"/>
      <w:bookmarkStart w:id="287" w:name="_Toc30031"/>
      <w:bookmarkStart w:id="288" w:name="_Toc19614"/>
      <w:bookmarkStart w:id="289" w:name="_Toc750"/>
      <w:r>
        <w:rPr>
          <w:rFonts w:hint="eastAsia" w:ascii="仿宋" w:hAnsi="仿宋" w:eastAsia="仿宋" w:cs="仿宋"/>
          <w:b/>
          <w:sz w:val="24"/>
          <w:szCs w:val="24"/>
          <w:highlight w:val="none"/>
          <w:lang w:val="zh-CN"/>
        </w:rPr>
        <w:t>十、废标或者采购方式的变更</w:t>
      </w:r>
      <w:bookmarkEnd w:id="280"/>
      <w:bookmarkEnd w:id="281"/>
      <w:bookmarkEnd w:id="282"/>
      <w:bookmarkEnd w:id="283"/>
      <w:bookmarkEnd w:id="284"/>
      <w:bookmarkEnd w:id="285"/>
      <w:bookmarkEnd w:id="286"/>
      <w:bookmarkEnd w:id="287"/>
      <w:bookmarkEnd w:id="288"/>
      <w:bookmarkEnd w:id="289"/>
    </w:p>
    <w:p>
      <w:pPr>
        <w:autoSpaceDE w:val="0"/>
        <w:autoSpaceDN w:val="0"/>
        <w:adjustRightInd w:val="0"/>
        <w:spacing w:line="360" w:lineRule="auto"/>
        <w:ind w:firstLine="645"/>
        <w:outlineLvl w:val="2"/>
        <w:rPr>
          <w:rFonts w:ascii="仿宋" w:hAnsi="仿宋" w:eastAsia="仿宋" w:cs="仿宋"/>
          <w:sz w:val="24"/>
          <w:szCs w:val="24"/>
          <w:highlight w:val="none"/>
          <w:lang w:val="zh-CN"/>
        </w:rPr>
      </w:pPr>
      <w:bookmarkStart w:id="290" w:name="_Toc7901"/>
      <w:bookmarkStart w:id="291" w:name="_Toc3534"/>
      <w:bookmarkStart w:id="292" w:name="_Toc12765"/>
      <w:bookmarkStart w:id="293" w:name="_Toc5288"/>
      <w:bookmarkStart w:id="294" w:name="_Toc19552"/>
      <w:bookmarkStart w:id="295" w:name="_Toc15850"/>
      <w:r>
        <w:rPr>
          <w:rFonts w:hint="eastAsia" w:ascii="仿宋" w:hAnsi="仿宋" w:eastAsia="仿宋" w:cs="仿宋"/>
          <w:sz w:val="24"/>
          <w:szCs w:val="24"/>
          <w:highlight w:val="none"/>
          <w:lang w:val="zh-CN"/>
        </w:rPr>
        <w:t>（一）废标</w:t>
      </w:r>
      <w:bookmarkEnd w:id="290"/>
      <w:bookmarkEnd w:id="291"/>
      <w:bookmarkEnd w:id="292"/>
      <w:bookmarkEnd w:id="293"/>
      <w:bookmarkEnd w:id="294"/>
      <w:bookmarkEnd w:id="295"/>
    </w:p>
    <w:p>
      <w:pPr>
        <w:autoSpaceDE w:val="0"/>
        <w:autoSpaceDN w:val="0"/>
        <w:adjustRightInd w:val="0"/>
        <w:spacing w:line="360" w:lineRule="auto"/>
        <w:ind w:firstLine="645"/>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在招标过程中，提交投标文件或者通过资格审查或符合性审查的供应商只有1家时，按废标处理，重新开展采购活动。</w:t>
      </w:r>
    </w:p>
    <w:p>
      <w:pPr>
        <w:autoSpaceDE w:val="0"/>
        <w:autoSpaceDN w:val="0"/>
        <w:adjustRightInd w:val="0"/>
        <w:spacing w:line="360" w:lineRule="auto"/>
        <w:ind w:firstLine="645"/>
        <w:outlineLvl w:val="2"/>
        <w:rPr>
          <w:rFonts w:ascii="仿宋" w:hAnsi="仿宋" w:eastAsia="仿宋" w:cs="仿宋"/>
          <w:sz w:val="24"/>
          <w:szCs w:val="24"/>
          <w:highlight w:val="none"/>
          <w:lang w:val="zh-CN"/>
        </w:rPr>
      </w:pPr>
      <w:bookmarkStart w:id="296" w:name="_Toc9798"/>
      <w:bookmarkStart w:id="297" w:name="_Toc897"/>
      <w:bookmarkStart w:id="298" w:name="_Toc2017"/>
      <w:bookmarkStart w:id="299" w:name="_Toc4528"/>
      <w:bookmarkStart w:id="300" w:name="_Toc25928"/>
      <w:bookmarkStart w:id="301" w:name="_Toc18780"/>
      <w:r>
        <w:rPr>
          <w:rFonts w:hint="eastAsia" w:ascii="仿宋" w:hAnsi="仿宋" w:eastAsia="仿宋" w:cs="仿宋"/>
          <w:sz w:val="24"/>
          <w:szCs w:val="24"/>
          <w:highlight w:val="none"/>
          <w:lang w:val="zh-CN"/>
        </w:rPr>
        <w:t>（二）采购方式的变更</w:t>
      </w:r>
      <w:bookmarkEnd w:id="296"/>
      <w:bookmarkEnd w:id="297"/>
      <w:bookmarkEnd w:id="298"/>
      <w:bookmarkEnd w:id="299"/>
      <w:bookmarkEnd w:id="300"/>
      <w:bookmarkEnd w:id="301"/>
    </w:p>
    <w:p>
      <w:pPr>
        <w:autoSpaceDE w:val="0"/>
        <w:autoSpaceDN w:val="0"/>
        <w:adjustRightInd w:val="0"/>
        <w:spacing w:line="360" w:lineRule="auto"/>
        <w:ind w:firstLine="645"/>
        <w:rPr>
          <w:rFonts w:ascii="仿宋" w:hAnsi="仿宋" w:eastAsia="仿宋" w:cs="仿宋"/>
          <w:sz w:val="24"/>
          <w:szCs w:val="24"/>
          <w:lang w:val="zh-CN"/>
        </w:rPr>
      </w:pPr>
      <w:r>
        <w:rPr>
          <w:rFonts w:hint="eastAsia" w:ascii="仿宋" w:hAnsi="仿宋" w:eastAsia="仿宋" w:cs="仿宋"/>
          <w:sz w:val="24"/>
          <w:szCs w:val="24"/>
          <w:highlight w:val="none"/>
          <w:lang w:val="zh-CN"/>
        </w:rPr>
        <w:t>根据《政府采购货物和服务招标投标管理办法》第四十三条，公开招标的</w:t>
      </w:r>
      <w:r>
        <w:rPr>
          <w:rFonts w:hint="eastAsia" w:ascii="仿宋" w:hAnsi="仿宋" w:eastAsia="仿宋" w:cs="仿宋"/>
          <w:sz w:val="24"/>
          <w:szCs w:val="24"/>
          <w:lang w:val="zh-CN"/>
        </w:rPr>
        <w:t>货物、服务类项目，投标截止后供应商不足三家或者通过资格审查或符合性审查的供应商不足三家的，除采购任务取消情形外，按照以下方式处理：</w:t>
      </w:r>
    </w:p>
    <w:p>
      <w:pPr>
        <w:autoSpaceDE w:val="0"/>
        <w:autoSpaceDN w:val="0"/>
        <w:adjustRightInd w:val="0"/>
        <w:spacing w:line="360" w:lineRule="auto"/>
        <w:ind w:firstLine="645"/>
        <w:rPr>
          <w:rFonts w:ascii="仿宋" w:hAnsi="仿宋" w:eastAsia="仿宋" w:cs="仿宋"/>
          <w:sz w:val="24"/>
          <w:szCs w:val="24"/>
          <w:lang w:val="zh-CN"/>
        </w:rPr>
      </w:pPr>
      <w:r>
        <w:rPr>
          <w:rFonts w:hint="eastAsia" w:ascii="仿宋" w:hAnsi="仿宋" w:eastAsia="仿宋" w:cs="仿宋"/>
          <w:sz w:val="24"/>
          <w:szCs w:val="24"/>
          <w:lang w:val="zh-CN"/>
        </w:rPr>
        <w:t>1.招标文件存在不合理条款或者招标程序不符合规定的，采购人、采购代理机构改正后依法重新招标；</w:t>
      </w:r>
    </w:p>
    <w:p>
      <w:pPr>
        <w:autoSpaceDE w:val="0"/>
        <w:autoSpaceDN w:val="0"/>
        <w:adjustRightInd w:val="0"/>
        <w:spacing w:line="360" w:lineRule="auto"/>
        <w:ind w:firstLine="645"/>
        <w:rPr>
          <w:rFonts w:ascii="仿宋" w:hAnsi="仿宋" w:eastAsia="仿宋" w:cs="仿宋"/>
          <w:sz w:val="24"/>
          <w:szCs w:val="24"/>
          <w:lang w:val="zh-CN"/>
        </w:rPr>
      </w:pPr>
      <w:r>
        <w:rPr>
          <w:rFonts w:hint="eastAsia" w:ascii="仿宋" w:hAnsi="仿宋" w:eastAsia="仿宋" w:cs="仿宋"/>
          <w:sz w:val="24"/>
          <w:szCs w:val="24"/>
          <w:lang w:val="zh-CN"/>
        </w:rPr>
        <w:t>2.招标文件没有不合理条款、招标程序符合规定，需要采用其他采购方式采购的，采购人应当依法报财政部门批准：</w:t>
      </w:r>
    </w:p>
    <w:p>
      <w:pPr>
        <w:autoSpaceDE w:val="0"/>
        <w:autoSpaceDN w:val="0"/>
        <w:adjustRightInd w:val="0"/>
        <w:spacing w:line="360" w:lineRule="auto"/>
        <w:ind w:firstLine="645"/>
        <w:rPr>
          <w:rFonts w:ascii="仿宋" w:hAnsi="仿宋" w:eastAsia="仿宋" w:cs="仿宋"/>
          <w:sz w:val="24"/>
          <w:szCs w:val="24"/>
          <w:lang w:val="zh-CN"/>
        </w:rPr>
      </w:pPr>
      <w:r>
        <w:rPr>
          <w:rFonts w:hint="eastAsia" w:ascii="仿宋" w:hAnsi="仿宋" w:eastAsia="仿宋" w:cs="仿宋"/>
          <w:sz w:val="24"/>
          <w:szCs w:val="24"/>
          <w:lang w:val="zh-CN"/>
        </w:rPr>
        <w:t>①在招标过程中，提交投标文件或者通过资格审查或符合性审查的供应商只有2家时，根据2013年第74号部长令--《政府采购非招标采购方式管理办法》第二十七条和陕西省财政厅陕财办采资（2016）53号文件第七条的规定，经采购人书面请示政府采购管理机构同意后，可以现场转为竞争性谈判继续采购。</w:t>
      </w:r>
    </w:p>
    <w:p>
      <w:pPr>
        <w:autoSpaceDE w:val="0"/>
        <w:autoSpaceDN w:val="0"/>
        <w:adjustRightInd w:val="0"/>
        <w:spacing w:line="360" w:lineRule="auto"/>
        <w:ind w:firstLine="645"/>
        <w:rPr>
          <w:rFonts w:ascii="仿宋" w:hAnsi="仿宋" w:eastAsia="仿宋" w:cs="仿宋"/>
          <w:sz w:val="24"/>
          <w:szCs w:val="24"/>
          <w:lang w:val="zh-CN"/>
        </w:rPr>
      </w:pPr>
      <w:r>
        <w:rPr>
          <w:rFonts w:hint="eastAsia" w:ascii="仿宋" w:hAnsi="仿宋" w:eastAsia="仿宋" w:cs="仿宋"/>
          <w:sz w:val="24"/>
          <w:szCs w:val="24"/>
          <w:lang w:val="zh-CN"/>
        </w:rPr>
        <w:t>②如果转为竞争性谈判方式，则原招标文件转为竞争性谈判文件，原供应商即为报价人，原投标文件报价作为竞争性谈判的第一次报价，评审方法按照竞争性谈判的评审原则，在质量和服务均能满足招标文件实质性要求的基础上，按照最后报价由低到高的顺序，确定成交候选人。</w:t>
      </w:r>
    </w:p>
    <w:p>
      <w:pPr>
        <w:autoSpaceDE w:val="0"/>
        <w:autoSpaceDN w:val="0"/>
        <w:adjustRightInd w:val="0"/>
        <w:snapToGrid w:val="0"/>
        <w:spacing w:line="360" w:lineRule="auto"/>
        <w:ind w:firstLine="627"/>
        <w:outlineLvl w:val="1"/>
        <w:rPr>
          <w:rFonts w:ascii="仿宋" w:hAnsi="仿宋" w:eastAsia="仿宋" w:cs="仿宋"/>
          <w:b/>
          <w:sz w:val="24"/>
          <w:szCs w:val="24"/>
          <w:lang w:val="zh-CN"/>
        </w:rPr>
      </w:pPr>
      <w:bookmarkStart w:id="302" w:name="_Toc12871"/>
      <w:bookmarkStart w:id="303" w:name="_Toc22403"/>
      <w:bookmarkStart w:id="304" w:name="_Toc206"/>
      <w:bookmarkStart w:id="305" w:name="_Toc5755"/>
      <w:bookmarkStart w:id="306" w:name="_Toc31501"/>
      <w:bookmarkStart w:id="307" w:name="_Toc19640"/>
      <w:bookmarkStart w:id="308" w:name="_Toc495671239"/>
      <w:bookmarkStart w:id="309" w:name="_Toc29960"/>
      <w:bookmarkStart w:id="310" w:name="_Toc16329"/>
      <w:bookmarkStart w:id="311" w:name="_Toc21416"/>
      <w:bookmarkStart w:id="312" w:name="_Toc10487"/>
      <w:bookmarkStart w:id="313" w:name="_Toc23714"/>
      <w:bookmarkStart w:id="314" w:name="_Toc475451545"/>
      <w:bookmarkStart w:id="315" w:name="_Toc19653"/>
      <w:bookmarkStart w:id="316" w:name="_Toc12818"/>
      <w:bookmarkStart w:id="317" w:name="_Toc92"/>
      <w:bookmarkStart w:id="318" w:name="_Toc2506"/>
      <w:r>
        <w:rPr>
          <w:rFonts w:hint="eastAsia" w:ascii="仿宋" w:hAnsi="仿宋" w:eastAsia="仿宋" w:cs="仿宋"/>
          <w:b/>
          <w:sz w:val="24"/>
          <w:szCs w:val="24"/>
          <w:lang w:val="zh-CN"/>
        </w:rPr>
        <w:t>十一、需要落实的政府采购政策</w:t>
      </w:r>
      <w:bookmarkEnd w:id="302"/>
      <w:bookmarkEnd w:id="303"/>
      <w:bookmarkEnd w:id="304"/>
      <w:bookmarkEnd w:id="305"/>
      <w:bookmarkEnd w:id="306"/>
      <w:bookmarkEnd w:id="307"/>
      <w:bookmarkEnd w:id="308"/>
      <w:bookmarkEnd w:id="309"/>
      <w:bookmarkEnd w:id="310"/>
      <w:bookmarkEnd w:id="311"/>
    </w:p>
    <w:p>
      <w:pPr>
        <w:snapToGrid w:val="0"/>
        <w:spacing w:line="360" w:lineRule="auto"/>
        <w:ind w:firstLine="480" w:firstLineChars="200"/>
        <w:rPr>
          <w:rFonts w:ascii="仿宋" w:hAnsi="仿宋" w:eastAsia="仿宋" w:cs="仿宋"/>
          <w:sz w:val="24"/>
          <w:szCs w:val="24"/>
        </w:rPr>
      </w:pPr>
      <w:bookmarkStart w:id="319" w:name="_Toc5903"/>
      <w:bookmarkStart w:id="320" w:name="_Toc19879"/>
      <w:bookmarkStart w:id="321" w:name="_Toc19661"/>
      <w:bookmarkStart w:id="322" w:name="_Toc13861"/>
      <w:bookmarkStart w:id="323" w:name="_Toc26022"/>
      <w:bookmarkStart w:id="324" w:name="_Toc6204"/>
      <w:bookmarkStart w:id="325" w:name="_Toc31691"/>
      <w:r>
        <w:rPr>
          <w:rFonts w:hint="eastAsia" w:ascii="仿宋" w:hAnsi="仿宋" w:eastAsia="仿宋" w:cs="仿宋"/>
          <w:sz w:val="24"/>
          <w:szCs w:val="24"/>
        </w:rPr>
        <w:t>（一）落实促进支持中小企业、监狱企业、残疾人福利性单位发展、脱贫攻坚工作的政策(如为专门面向中小企业的采购项目（或采购包），不执行1、2、3条款。)</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1、《政府采购促进中小企业发展管理办法》（财库〔2020〕46号）及《关于进一步加大政府采购支持中小企业力度的通知》（财库〔2022〕19号）</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在政府采购活动中，供应商提供的货物、工程或者服务符合下列情形的，享受《办法》规定的中小企业扶持政策:</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(1)在货物采购项目中，货物由中小企业制造，即货物由中小企业生产且使用该中小企业商号或者注册商标；</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(2)在工程采购项目中，工程由中小企业承建，即工程施工单位为中小企业；</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(3)在服务采购项目中，服务由中小企业承接，即提供服务的人员为中小企业依照《中华人民共和国劳动民法典》订立劳动合同的从业人员。</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在货物采购项目中，供应商提供的货物既有中小企业制造货物，也有大型企业制造货物的，不享受《办法》规定的中小企业扶持政策。</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以联合体形式参加政府采购活动，联合体各方均为中小企业的，联合体视同中小企业。其中，联合体各方均为小微企业的，联合体视同小微企业。</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依据《办法》规定享受扶持政策获得政府采购合同的，小微企业不得将合同分包给大中型企业，中型企业不得将合同分包给大型企业。</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根据《政府采购促进中小企业发展管理办法》的通知（财库〔2020〕46号）规定，参加政府采购活动的中小企业应当提供《中小企业声明函》。供应商提供的《中小企业声明函》原件必须真实，否则，按照有关规定予以处理。</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根据《政府采购促进中小企业发展管理办法》及《西安市财政局关于进一步加大政府采购支持中小企业力度的通知》市财函〔2022〕867号的相关规定，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2、《财政部 司法部关于政府采购支持监狱企业发展有关问题的通知》（财库〔2014〕68号）</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监狱企业参加政府采购活动时，应当提供由省级以上监狱管理局、戒毒管理局（含新疆生产建设兵团）出具的属于监狱企业的证明文件。在政府采购活动中，监狱企业视同小型、微型企业。</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3、《三部门联合发布关于促进残疾人就业政府采购政策的通知》（财库〔2017〕141号）；</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符合条件的残疾人福利性单位在参加政府采购活动时，应当提供本通知规定的《残疾人福利性单位声明函》，并对声明的真实性负责。在政府采购活动中，残疾人福利性单位视同小型、微型企业，享受预留份额。</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（二）落实优先采购节能、环保产品的政策</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2、《财政部 司法部关于政府采购支持监狱企业发展有关问题的通知》（财库〔2014〕68号）</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监狱企业参加政府采购活动时，应当提供由省级以上监狱管理局、戒毒管理局（含新疆生产建设兵团）出具的属于监狱企业的证明文件。在政府采购活动中，监狱企业视同小型、微型企业。</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3、《三部门联合发布关于促进残疾人就业政府采购政策的通知》（财库〔2017〕141号）；</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符合条件的残疾人福利性单位在参加政府采购活动时，应当提供本通知规定的《残疾人福利性单位声明函》，并对声明的真实性负责。在政府采购活动中，残疾人福利性单位视同小型、微型企业，享受预留份额。</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所有投标产品进入“节能产品政府采购品目清单”的，应提供相关证书复印件，相关证书的颁发机构应来自《参与实施政府采购节能产品认证机构名录》。</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所有投标产品进入“环境标志产品政府采购品目清单”的，应提供相关证书复印件，相关证书的颁发机构应来自《参与实施政府采购环境标志产品认证机构名录》。</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（三）政府采购信用融资政策</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为了支持和促进中小企业发展，进一步发挥政府采购政策功能作用，有效缓解中小企业融资难、融资贵问题，根据陕西省财政厅关于印发《陕西省中小企业政府采购信用融资办法》陕财办采〔2018〕23号以及依据《陕西省财政厅关于加快推进我省中小企业政府采购信用融资工作的通知》（陕财办采[2020]15号）。规定，中小型企业供应商有融资需求的，可以自由按照财政部门的规定，在“陕西政府采购信用融资平台（含各市分平台）”查询并按信用融资办法的相关程序申请办理。</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（四）陕西省中小企业政府采购信用担保政策</w:t>
      </w:r>
    </w:p>
    <w:p>
      <w:pPr>
        <w:snapToGrid w:val="0"/>
        <w:spacing w:line="360" w:lineRule="auto"/>
        <w:ind w:firstLine="480" w:firstLineChars="200"/>
        <w:rPr>
          <w:rFonts w:ascii="仿宋" w:hAnsi="仿宋" w:eastAsia="仿宋" w:cs="仿宋"/>
        </w:rPr>
      </w:pPr>
      <w:r>
        <w:rPr>
          <w:rFonts w:hint="eastAsia" w:ascii="仿宋" w:hAnsi="仿宋" w:eastAsia="仿宋" w:cs="仿宋"/>
          <w:sz w:val="24"/>
          <w:szCs w:val="24"/>
        </w:rPr>
        <w:t>如属于政府采购信用担保范围内，中小型企业供应商可以自由按照财政部门的规定，采用履约担保和融资担保。</w:t>
      </w:r>
    </w:p>
    <w:p>
      <w:pPr>
        <w:autoSpaceDE w:val="0"/>
        <w:autoSpaceDN w:val="0"/>
        <w:adjustRightInd w:val="0"/>
        <w:snapToGrid w:val="0"/>
        <w:spacing w:line="360" w:lineRule="auto"/>
        <w:ind w:firstLine="482" w:firstLineChars="200"/>
        <w:outlineLvl w:val="1"/>
        <w:rPr>
          <w:rFonts w:ascii="仿宋" w:hAnsi="仿宋" w:eastAsia="仿宋" w:cs="仿宋"/>
          <w:b/>
          <w:sz w:val="24"/>
          <w:szCs w:val="24"/>
          <w:lang w:val="zh-CN"/>
        </w:rPr>
      </w:pPr>
      <w:bookmarkStart w:id="326" w:name="_Toc32629"/>
      <w:bookmarkStart w:id="327" w:name="_Toc3946"/>
      <w:bookmarkStart w:id="328" w:name="_Toc6895"/>
      <w:r>
        <w:rPr>
          <w:rFonts w:hint="eastAsia" w:ascii="仿宋" w:hAnsi="仿宋" w:eastAsia="仿宋" w:cs="仿宋"/>
          <w:b/>
          <w:sz w:val="24"/>
          <w:szCs w:val="24"/>
          <w:lang w:val="zh-CN"/>
        </w:rPr>
        <w:t>十二、质疑与投诉</w:t>
      </w:r>
      <w:bookmarkEnd w:id="319"/>
      <w:bookmarkEnd w:id="320"/>
      <w:bookmarkEnd w:id="321"/>
      <w:bookmarkEnd w:id="322"/>
      <w:bookmarkEnd w:id="323"/>
      <w:bookmarkEnd w:id="324"/>
      <w:bookmarkEnd w:id="325"/>
      <w:bookmarkEnd w:id="326"/>
      <w:bookmarkEnd w:id="327"/>
      <w:bookmarkEnd w:id="328"/>
    </w:p>
    <w:p>
      <w:pPr>
        <w:autoSpaceDE w:val="0"/>
        <w:autoSpaceDN w:val="0"/>
        <w:adjustRightInd w:val="0"/>
        <w:snapToGrid w:val="0"/>
        <w:spacing w:line="360" w:lineRule="auto"/>
        <w:ind w:firstLine="480" w:firstLineChars="200"/>
        <w:outlineLvl w:val="2"/>
        <w:rPr>
          <w:rFonts w:ascii="仿宋" w:hAnsi="仿宋" w:eastAsia="仿宋" w:cs="仿宋"/>
          <w:bCs/>
          <w:sz w:val="24"/>
          <w:szCs w:val="24"/>
          <w:lang w:val="zh-CN"/>
        </w:rPr>
      </w:pPr>
      <w:bookmarkStart w:id="329" w:name="_Toc2942"/>
      <w:bookmarkStart w:id="330" w:name="_Toc23643"/>
      <w:bookmarkStart w:id="331" w:name="_Toc31018"/>
      <w:bookmarkStart w:id="332" w:name="_Toc6521"/>
      <w:bookmarkStart w:id="333" w:name="_Toc8990"/>
      <w:bookmarkStart w:id="334" w:name="_Toc5806"/>
      <w:bookmarkStart w:id="335" w:name="_Toc6295"/>
      <w:r>
        <w:rPr>
          <w:rFonts w:hint="eastAsia" w:ascii="仿宋" w:hAnsi="仿宋" w:eastAsia="仿宋" w:cs="仿宋"/>
          <w:bCs/>
          <w:sz w:val="24"/>
          <w:szCs w:val="24"/>
          <w:lang w:val="zh-CN"/>
        </w:rPr>
        <w:t>（一）质疑</w:t>
      </w:r>
      <w:bookmarkEnd w:id="329"/>
      <w:bookmarkEnd w:id="330"/>
      <w:bookmarkEnd w:id="331"/>
      <w:bookmarkEnd w:id="332"/>
      <w:bookmarkEnd w:id="333"/>
      <w:bookmarkEnd w:id="334"/>
      <w:bookmarkEnd w:id="335"/>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1、供应商认为招标文件、招标过程或中标结果使自身的合法权益受到损害，可以在法定期限内，以书面形式向采购代理机构或采购人提出质疑。</w:t>
      </w:r>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（1）提出质疑应当提交质疑函和必要的证明材料，质疑函应当包括以下主要内容：</w:t>
      </w:r>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 xml:space="preserve">①供应商的姓名或者名称、地址、邮编、联系人及联系电话；②质疑项目的名称、编号；③具体、明确的质疑事项和与质疑事项相关的请求；④事实依据；⑤必要的法律依据；⑥提出质疑的日期。 </w:t>
      </w:r>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（2）质疑函应当由法定代表人签字并加盖公章，公章不得以合同章或其他印章代替。</w:t>
      </w:r>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（3）质疑人可以委托代理人办理质疑事项，代理人办理质疑事项时，除提交质疑函外，还应当提交法人授权委托书及代理人的有效身份证明，授权委托书应当载明委托代理的具体权限和事项。</w:t>
      </w:r>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（4）有下列情形之一的，属于无效质疑：</w:t>
      </w:r>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①质疑人不是参与本次政府采购项目的供应商或潜在供应商；</w:t>
      </w:r>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②质疑人与质疑事项不存在利害关系的；</w:t>
      </w:r>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③未在法定期限内提出质疑的；</w:t>
      </w:r>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④质疑未以书面形式提出，或质疑函主要内容构成不完整的；</w:t>
      </w:r>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⑤质疑函没有合法有效的签字、盖章或授权的；</w:t>
      </w:r>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⑥以非法手段取得证据、材料的；</w:t>
      </w:r>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⑦质疑答复后，同一质疑人就同一事项再次提出质疑的；</w:t>
      </w:r>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⑧不符合法律、法规、规章和政府采购监管机构规定的其他条件的。</w:t>
      </w:r>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2、符合要求的质疑，采购代理机构将予以受理并答复，具体联系方式如下：</w:t>
      </w:r>
    </w:p>
    <w:p>
      <w:pPr>
        <w:autoSpaceDE w:val="0"/>
        <w:autoSpaceDN w:val="0"/>
        <w:adjustRightInd w:val="0"/>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lang w:val="zh-CN"/>
        </w:rPr>
        <w:t>联系人：李纪旋、</w:t>
      </w:r>
      <w:r>
        <w:rPr>
          <w:rFonts w:hint="eastAsia" w:ascii="仿宋" w:hAnsi="仿宋" w:eastAsia="仿宋" w:cs="仿宋"/>
          <w:bCs/>
          <w:sz w:val="24"/>
          <w:szCs w:val="24"/>
        </w:rPr>
        <w:t>张亚娜</w:t>
      </w:r>
    </w:p>
    <w:p>
      <w:pPr>
        <w:autoSpaceDE w:val="0"/>
        <w:autoSpaceDN w:val="0"/>
        <w:adjustRightInd w:val="0"/>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lang w:val="zh-CN"/>
        </w:rPr>
        <w:t>联系电话</w:t>
      </w:r>
      <w:r>
        <w:rPr>
          <w:rFonts w:hint="eastAsia" w:ascii="仿宋" w:hAnsi="仿宋" w:eastAsia="仿宋" w:cs="仿宋"/>
          <w:bCs/>
          <w:sz w:val="24"/>
          <w:szCs w:val="24"/>
        </w:rPr>
        <w:t>：029-86253389、17782840194</w:t>
      </w:r>
    </w:p>
    <w:p>
      <w:pPr>
        <w:autoSpaceDE w:val="0"/>
        <w:autoSpaceDN w:val="0"/>
        <w:adjustRightInd w:val="0"/>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邮箱：2059407584@qq.com</w:t>
      </w:r>
    </w:p>
    <w:p>
      <w:pPr>
        <w:autoSpaceDE w:val="0"/>
        <w:autoSpaceDN w:val="0"/>
        <w:adjustRightInd w:val="0"/>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lang w:val="zh-CN"/>
        </w:rPr>
        <w:t>地址</w:t>
      </w:r>
      <w:r>
        <w:rPr>
          <w:rFonts w:hint="eastAsia" w:ascii="仿宋" w:hAnsi="仿宋" w:eastAsia="仿宋" w:cs="仿宋"/>
          <w:bCs/>
          <w:sz w:val="24"/>
          <w:szCs w:val="24"/>
        </w:rPr>
        <w:t>：</w:t>
      </w:r>
      <w:r>
        <w:rPr>
          <w:rFonts w:hint="eastAsia" w:ascii="仿宋" w:hAnsi="仿宋" w:eastAsia="仿宋" w:cs="仿宋"/>
          <w:bCs/>
          <w:sz w:val="24"/>
          <w:szCs w:val="24"/>
          <w:lang w:val="zh-CN"/>
        </w:rPr>
        <w:t>西安市经济技术开发区凤城十一路与文景路十字文景商务广场</w:t>
      </w:r>
      <w:r>
        <w:rPr>
          <w:rFonts w:hint="eastAsia" w:ascii="仿宋" w:hAnsi="仿宋" w:eastAsia="仿宋" w:cs="仿宋"/>
          <w:bCs/>
          <w:sz w:val="24"/>
          <w:szCs w:val="24"/>
        </w:rPr>
        <w:t>B</w:t>
      </w:r>
      <w:r>
        <w:rPr>
          <w:rFonts w:hint="eastAsia" w:ascii="仿宋" w:hAnsi="仿宋" w:eastAsia="仿宋" w:cs="仿宋"/>
          <w:bCs/>
          <w:sz w:val="24"/>
          <w:szCs w:val="24"/>
          <w:lang w:val="zh-CN"/>
        </w:rPr>
        <w:t>座</w:t>
      </w:r>
      <w:r>
        <w:rPr>
          <w:rFonts w:hint="eastAsia" w:ascii="仿宋" w:hAnsi="仿宋" w:eastAsia="仿宋" w:cs="仿宋"/>
          <w:bCs/>
          <w:sz w:val="24"/>
          <w:szCs w:val="24"/>
        </w:rPr>
        <w:t>8</w:t>
      </w:r>
      <w:r>
        <w:rPr>
          <w:rFonts w:hint="eastAsia" w:ascii="仿宋" w:hAnsi="仿宋" w:eastAsia="仿宋" w:cs="仿宋"/>
          <w:bCs/>
          <w:sz w:val="24"/>
          <w:szCs w:val="24"/>
          <w:lang w:val="zh-CN"/>
        </w:rPr>
        <w:t>层陕西笃信招标有限公司</w:t>
      </w:r>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采购代理机构或采购人将在收到书面质疑后7个工作日内做出答复，并以书面形式通知质疑人和其他有关供应商。</w:t>
      </w:r>
    </w:p>
    <w:p>
      <w:pPr>
        <w:autoSpaceDE w:val="0"/>
        <w:autoSpaceDN w:val="0"/>
        <w:adjustRightInd w:val="0"/>
        <w:snapToGrid w:val="0"/>
        <w:spacing w:line="360" w:lineRule="auto"/>
        <w:ind w:firstLine="480" w:firstLineChars="200"/>
        <w:outlineLvl w:val="2"/>
        <w:rPr>
          <w:rFonts w:ascii="仿宋" w:hAnsi="仿宋" w:eastAsia="仿宋" w:cs="仿宋"/>
          <w:bCs/>
          <w:sz w:val="24"/>
          <w:szCs w:val="24"/>
          <w:lang w:val="zh-CN"/>
        </w:rPr>
      </w:pPr>
      <w:bookmarkStart w:id="336" w:name="_Toc11431"/>
      <w:bookmarkStart w:id="337" w:name="_Toc17782"/>
      <w:bookmarkStart w:id="338" w:name="_Toc26510"/>
      <w:bookmarkStart w:id="339" w:name="_Toc5958"/>
      <w:bookmarkStart w:id="340" w:name="_Toc18625"/>
      <w:bookmarkStart w:id="341" w:name="_Toc27095"/>
      <w:bookmarkStart w:id="342" w:name="_Toc32713"/>
      <w:r>
        <w:rPr>
          <w:rFonts w:hint="eastAsia" w:ascii="仿宋" w:hAnsi="仿宋" w:eastAsia="仿宋" w:cs="仿宋"/>
          <w:bCs/>
          <w:sz w:val="24"/>
          <w:szCs w:val="24"/>
          <w:lang w:val="zh-CN"/>
        </w:rPr>
        <w:t>（二）投诉</w:t>
      </w:r>
      <w:bookmarkEnd w:id="336"/>
      <w:bookmarkEnd w:id="337"/>
      <w:bookmarkEnd w:id="338"/>
      <w:bookmarkEnd w:id="339"/>
      <w:bookmarkEnd w:id="340"/>
      <w:bookmarkEnd w:id="341"/>
      <w:bookmarkEnd w:id="342"/>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bCs/>
          <w:sz w:val="24"/>
          <w:szCs w:val="24"/>
          <w:lang w:val="zh-CN"/>
        </w:rPr>
        <w:t>1、质疑人对采购代理机构或采购人的答复不满意，以及采购代理机构或采购人未在规定时间内做出答复的，可以在答复期满后15个工作日内向政府采购监管机构提出投诉。</w:t>
      </w:r>
    </w:p>
    <w:p>
      <w:pPr>
        <w:autoSpaceDE w:val="0"/>
        <w:autoSpaceDN w:val="0"/>
        <w:adjustRightInd w:val="0"/>
        <w:snapToGrid w:val="0"/>
        <w:spacing w:line="360" w:lineRule="auto"/>
        <w:ind w:firstLine="480" w:firstLineChars="200"/>
        <w:rPr>
          <w:rFonts w:ascii="仿宋" w:hAnsi="仿宋" w:eastAsia="仿宋" w:cs="仿宋"/>
          <w:lang w:val="zh-CN"/>
        </w:rPr>
      </w:pPr>
      <w:r>
        <w:rPr>
          <w:rFonts w:hint="eastAsia" w:ascii="仿宋" w:hAnsi="仿宋" w:eastAsia="仿宋" w:cs="仿宋"/>
          <w:bCs/>
          <w:sz w:val="24"/>
          <w:szCs w:val="24"/>
          <w:lang w:val="zh-CN"/>
        </w:rPr>
        <w:t>2、投诉的事项不得超出已质疑事项的范围。</w:t>
      </w:r>
    </w:p>
    <w:p>
      <w:pPr>
        <w:autoSpaceDE w:val="0"/>
        <w:autoSpaceDN w:val="0"/>
        <w:adjustRightInd w:val="0"/>
        <w:snapToGrid w:val="0"/>
        <w:spacing w:line="360" w:lineRule="auto"/>
        <w:ind w:firstLine="420" w:firstLineChars="200"/>
        <w:rPr>
          <w:rFonts w:ascii="仿宋" w:hAnsi="仿宋" w:eastAsia="仿宋" w:cs="仿宋"/>
          <w:lang w:val="zh-CN"/>
        </w:rPr>
      </w:pPr>
    </w:p>
    <w:p>
      <w:pPr>
        <w:pStyle w:val="3"/>
        <w:keepNext w:val="0"/>
        <w:pageBreakBefore/>
        <w:rPr>
          <w:rFonts w:ascii="仿宋" w:hAnsi="仿宋" w:eastAsia="仿宋" w:cs="仿宋"/>
          <w:sz w:val="32"/>
          <w:szCs w:val="32"/>
          <w:highlight w:val="yellow"/>
        </w:rPr>
        <w:sectPr>
          <w:headerReference r:id="rId5" w:type="default"/>
          <w:footerReference r:id="rId6" w:type="default"/>
          <w:pgSz w:w="11906" w:h="16838"/>
          <w:pgMar w:top="1440" w:right="1803" w:bottom="1440" w:left="1803" w:header="851" w:footer="992" w:gutter="0"/>
          <w:cols w:space="0" w:num="1"/>
          <w:rtlGutter w:val="0"/>
          <w:docGrid w:type="lines" w:linePitch="312" w:charSpace="0"/>
        </w:sectPr>
      </w:pPr>
    </w:p>
    <w:p>
      <w:pPr>
        <w:pageBreakBefore/>
        <w:adjustRightInd w:val="0"/>
        <w:snapToGrid w:val="0"/>
        <w:spacing w:line="360" w:lineRule="auto"/>
        <w:jc w:val="center"/>
        <w:outlineLvl w:val="0"/>
        <w:rPr>
          <w:rFonts w:ascii="仿宋" w:hAnsi="仿宋" w:eastAsia="仿宋" w:cs="仿宋"/>
          <w:b/>
          <w:sz w:val="32"/>
          <w:szCs w:val="32"/>
          <w:lang w:val="zh-CN"/>
        </w:rPr>
      </w:pPr>
      <w:bookmarkStart w:id="343" w:name="_Toc29349"/>
      <w:r>
        <w:rPr>
          <w:rFonts w:hint="eastAsia" w:ascii="仿宋" w:hAnsi="仿宋" w:eastAsia="仿宋" w:cs="仿宋"/>
          <w:b/>
          <w:sz w:val="32"/>
          <w:szCs w:val="32"/>
          <w:lang w:val="zh-CN"/>
        </w:rPr>
        <w:t xml:space="preserve">第三部分 </w:t>
      </w:r>
      <w:bookmarkStart w:id="344" w:name="_Toc4051"/>
      <w:bookmarkStart w:id="345" w:name="_Toc4818"/>
      <w:r>
        <w:rPr>
          <w:rFonts w:hint="eastAsia" w:ascii="仿宋" w:hAnsi="仿宋" w:eastAsia="仿宋" w:cs="仿宋"/>
          <w:b/>
          <w:sz w:val="32"/>
          <w:szCs w:val="32"/>
          <w:lang w:val="zh-CN"/>
        </w:rPr>
        <w:t>招标内容及要求</w:t>
      </w:r>
      <w:bookmarkEnd w:id="312"/>
      <w:bookmarkEnd w:id="313"/>
      <w:bookmarkEnd w:id="314"/>
      <w:bookmarkEnd w:id="315"/>
      <w:bookmarkEnd w:id="316"/>
      <w:bookmarkEnd w:id="317"/>
      <w:bookmarkEnd w:id="318"/>
      <w:bookmarkEnd w:id="343"/>
      <w:bookmarkEnd w:id="344"/>
      <w:bookmarkEnd w:id="345"/>
    </w:p>
    <w:p>
      <w:pPr>
        <w:pStyle w:val="4"/>
        <w:ind w:firstLine="482" w:firstLineChars="200"/>
        <w:jc w:val="left"/>
        <w:rPr>
          <w:rFonts w:ascii="仿宋" w:hAnsi="仿宋" w:eastAsia="仿宋" w:cs="仿宋"/>
          <w:sz w:val="24"/>
          <w:szCs w:val="24"/>
        </w:rPr>
      </w:pPr>
      <w:bookmarkStart w:id="346" w:name="_Toc8639"/>
      <w:bookmarkStart w:id="347" w:name="_Toc13000"/>
      <w:r>
        <w:rPr>
          <w:rFonts w:hint="eastAsia" w:ascii="仿宋" w:hAnsi="仿宋" w:eastAsia="仿宋" w:cs="仿宋"/>
          <w:sz w:val="24"/>
          <w:szCs w:val="24"/>
          <w:lang w:eastAsia="zh-CN"/>
        </w:rPr>
        <w:t>一、</w:t>
      </w:r>
      <w:r>
        <w:rPr>
          <w:rFonts w:hint="eastAsia" w:ascii="仿宋" w:hAnsi="仿宋" w:eastAsia="仿宋" w:cs="仿宋"/>
          <w:sz w:val="24"/>
          <w:szCs w:val="24"/>
        </w:rPr>
        <w:t>项目概述</w:t>
      </w:r>
      <w:bookmarkEnd w:id="346"/>
      <w:bookmarkEnd w:id="347"/>
    </w:p>
    <w:p>
      <w:pPr>
        <w:pStyle w:val="5"/>
        <w:keepLines/>
        <w:spacing w:line="360" w:lineRule="auto"/>
        <w:ind w:firstLine="482" w:firstLineChars="200"/>
        <w:rPr>
          <w:rFonts w:ascii="仿宋" w:hAnsi="仿宋" w:eastAsia="仿宋" w:cs="仿宋"/>
          <w:sz w:val="24"/>
          <w:szCs w:val="24"/>
        </w:rPr>
      </w:pPr>
      <w:bookmarkStart w:id="348" w:name="_Toc18432"/>
      <w:r>
        <w:rPr>
          <w:rFonts w:hint="eastAsia" w:ascii="仿宋" w:hAnsi="仿宋" w:eastAsia="仿宋" w:cs="仿宋"/>
          <w:sz w:val="24"/>
          <w:szCs w:val="24"/>
        </w:rPr>
        <w:t>（一）项目背景</w:t>
      </w:r>
      <w:bookmarkEnd w:id="348"/>
    </w:p>
    <w:p>
      <w:pPr>
        <w:spacing w:line="360" w:lineRule="auto"/>
        <w:ind w:firstLine="480"/>
        <w:rPr>
          <w:rFonts w:ascii="仿宋" w:hAnsi="仿宋" w:eastAsia="仿宋" w:cs="仿宋"/>
          <w:sz w:val="24"/>
          <w:szCs w:val="24"/>
          <w:lang w:eastAsia="ja-JP"/>
        </w:rPr>
      </w:pPr>
      <w:bookmarkStart w:id="349" w:name="_Toc21112"/>
      <w:r>
        <w:rPr>
          <w:rFonts w:hint="eastAsia" w:ascii="仿宋" w:hAnsi="仿宋" w:eastAsia="仿宋" w:cs="仿宋"/>
          <w:sz w:val="24"/>
          <w:szCs w:val="24"/>
        </w:rPr>
        <w:t>我院信息系统从2005年至今逐步建设，已建成上线了门急诊挂号系统、门急诊划价收费系统、药库管理系统、门诊药房管理系统、住院药房管理系统、药品会计管理系统、住院记帐管理系统、住院医生工作站系统、护士工作站系统、入/出/转管理系统、病案管理系统、物资管理系统、统计查询分析系统、病历质控管理系统、临床路径系统、移动支付系统、院感管理系统、LIS系统、PACS系统等，系统平稳运行15余年，</w:t>
      </w:r>
      <w:r>
        <w:rPr>
          <w:rFonts w:hint="eastAsia" w:ascii="仿宋" w:hAnsi="仿宋" w:eastAsia="仿宋" w:cs="仿宋"/>
          <w:sz w:val="24"/>
          <w:szCs w:val="24"/>
          <w:lang w:eastAsia="ja-JP"/>
        </w:rPr>
        <w:t>已经形成了覆盖全院各个角落的有线网络架构，信息系统也涵盖了医院内医疗的各个方面，基本符合医院的实际流程。</w:t>
      </w:r>
    </w:p>
    <w:p>
      <w:pPr>
        <w:spacing w:line="360" w:lineRule="auto"/>
        <w:ind w:firstLine="480"/>
        <w:rPr>
          <w:rFonts w:ascii="仿宋" w:hAnsi="仿宋" w:eastAsia="仿宋" w:cs="仿宋"/>
          <w:sz w:val="24"/>
          <w:szCs w:val="24"/>
        </w:rPr>
      </w:pPr>
      <w:r>
        <w:rPr>
          <w:rFonts w:hint="eastAsia" w:ascii="仿宋" w:hAnsi="仿宋" w:eastAsia="仿宋" w:cs="仿宋"/>
          <w:sz w:val="24"/>
          <w:szCs w:val="24"/>
          <w:lang w:eastAsia="ja-JP"/>
        </w:rPr>
        <w:t>但随着三级医院等级评审要求不断提升</w:t>
      </w:r>
      <w:r>
        <w:rPr>
          <w:rFonts w:hint="eastAsia" w:ascii="仿宋" w:hAnsi="仿宋" w:eastAsia="仿宋" w:cs="仿宋"/>
          <w:sz w:val="24"/>
          <w:szCs w:val="24"/>
        </w:rPr>
        <w:t>，国家陆续发文指导智慧医院建设，各项评级内容也有所更新。我院现有的业务系统不能很好的支撑未来发展需要，拟在现有基础上持续拓宽信息化建设的深度与广度，存在以下主要问题：</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1、新技术层出不穷，信息化整体架构需重构</w:t>
      </w:r>
      <w:bookmarkEnd w:id="349"/>
    </w:p>
    <w:p>
      <w:pPr>
        <w:spacing w:line="360" w:lineRule="auto"/>
        <w:ind w:firstLine="480"/>
        <w:rPr>
          <w:rFonts w:ascii="仿宋" w:hAnsi="仿宋" w:eastAsia="仿宋" w:cs="仿宋"/>
          <w:sz w:val="24"/>
          <w:szCs w:val="24"/>
        </w:rPr>
      </w:pPr>
      <w:bookmarkStart w:id="350" w:name="_Toc983"/>
      <w:r>
        <w:rPr>
          <w:rFonts w:hint="eastAsia" w:ascii="仿宋" w:hAnsi="仿宋" w:eastAsia="仿宋" w:cs="仿宋"/>
          <w:sz w:val="24"/>
          <w:szCs w:val="24"/>
        </w:rPr>
        <w:t>多年来一直是以HIS为核心，系统间交互错综复杂，牵一发而动全身，核心系统主数据不统一，应用功能参差不齐。伴随着5G通信网络、AI技术、大数据、云计算等智能科技，新一代信息科技在数字医疗产业中的融合应用，数字医疗产业将形成“感知-连接-汇聚-融合-分析-决策”等功能联动的系统支撑体系，推动智能化、网络化、远程化、移动化等特征彰显的互联网医疗应用场景逐步升级成熟，加快规模化应用进程。然而在对标智慧医院相关评级要求中，我们发现，虽然医院以临床业务需求为导向，实现信息系统的构建，但从流程优化、标准符合度等层面而言，仍然存在较大的进步空间。针对存在系统缺失、功能缺失及流程优化的问题，进行补充和完善。</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2、缺失以医嘱为核心和驱动的临床信息化整合</w:t>
      </w:r>
      <w:bookmarkEnd w:id="350"/>
    </w:p>
    <w:p>
      <w:pPr>
        <w:spacing w:line="360" w:lineRule="auto"/>
        <w:ind w:firstLine="480"/>
        <w:rPr>
          <w:rFonts w:ascii="仿宋" w:hAnsi="仿宋" w:eastAsia="仿宋" w:cs="仿宋"/>
          <w:sz w:val="24"/>
          <w:szCs w:val="24"/>
        </w:rPr>
      </w:pPr>
      <w:bookmarkStart w:id="351" w:name="_Toc1356"/>
      <w:r>
        <w:rPr>
          <w:rFonts w:hint="eastAsia" w:ascii="仿宋" w:hAnsi="仿宋" w:eastAsia="仿宋" w:cs="仿宋"/>
          <w:sz w:val="24"/>
          <w:szCs w:val="24"/>
        </w:rPr>
        <w:t>目前我院临床医嘱处理，仍旧是以计费和出发点，未遵循临床工作流程和业务场景，系统操作上的割裂和数据之间通讯的割裂，在信息数据的互联互通互享上还存在较大差距，同时存在人财物、组织机构、诊断代码、手术操作等存在多套代码，给我院日常统计管理及报表准确性带来较大的困惑。</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3、政策无法及时响应</w:t>
      </w:r>
      <w:bookmarkEnd w:id="351"/>
    </w:p>
    <w:p>
      <w:pPr>
        <w:spacing w:line="360" w:lineRule="auto"/>
        <w:ind w:firstLine="480"/>
        <w:rPr>
          <w:rFonts w:ascii="仿宋" w:hAnsi="仿宋" w:eastAsia="仿宋" w:cs="仿宋"/>
          <w:sz w:val="24"/>
          <w:szCs w:val="24"/>
        </w:rPr>
      </w:pPr>
      <w:bookmarkStart w:id="352" w:name="_Toc31959"/>
      <w:r>
        <w:rPr>
          <w:rFonts w:hint="eastAsia" w:ascii="仿宋" w:hAnsi="仿宋" w:eastAsia="仿宋" w:cs="仿宋"/>
          <w:sz w:val="24"/>
          <w:szCs w:val="24"/>
        </w:rPr>
        <w:t>数据提取和上报工作繁多，接口费用层出不穷，对服务要求高，厂家无法及时响应。</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4、医院信息化建设面临政策驱动要求</w:t>
      </w:r>
      <w:bookmarkEnd w:id="352"/>
    </w:p>
    <w:p>
      <w:pPr>
        <w:spacing w:line="360" w:lineRule="auto"/>
        <w:ind w:firstLine="480"/>
        <w:rPr>
          <w:rFonts w:ascii="仿宋" w:hAnsi="仿宋" w:eastAsia="仿宋" w:cs="仿宋"/>
          <w:sz w:val="24"/>
          <w:szCs w:val="24"/>
          <w:shd w:val="clear" w:color="auto" w:fill="FFFFFF"/>
        </w:rPr>
      </w:pPr>
      <w:bookmarkStart w:id="353" w:name="_Toc17404"/>
      <w:r>
        <w:rPr>
          <w:rFonts w:hint="eastAsia" w:ascii="仿宋" w:hAnsi="仿宋" w:eastAsia="仿宋" w:cs="仿宋"/>
          <w:sz w:val="24"/>
          <w:szCs w:val="24"/>
        </w:rPr>
        <w:t>2018年8月《关于进一步推进以电子病历为核心的医疗机构信息化建设工作的通知》要求2020年 EMR分级评价和互联互通达到4级以上；2020年5月国家卫生健康委办公厅《关于进一步完善预约诊疗制度加强智慧医院建设的通知》 加强智慧医院建设；2020年12月，国家卫生健康委、国家中医药局联合印发《关于加强公立医院运营管理的指导意见》 依托医院信息平台联通业务和运营；2021年10月国家卫生健康委和国家中医药管理局制定的《公立医院高质量发展促进行动（2021-2025年）》印发，明确提出</w:t>
      </w:r>
      <w:r>
        <w:rPr>
          <w:rFonts w:hint="eastAsia" w:ascii="仿宋" w:hAnsi="仿宋" w:eastAsia="仿宋" w:cs="仿宋"/>
          <w:sz w:val="24"/>
          <w:szCs w:val="24"/>
          <w:shd w:val="clear" w:color="auto" w:fill="FFFFFF"/>
        </w:rPr>
        <w:t>到2022年，全国二级和三级公立医院电子病历应用水平平均级别分别达到3级和4级，智慧服务平均级别力争达到2级和3级，智慧管理平均级别力争达到1级和2级，能够支撑线上线下一体化的医疗服务新模式。到2025年，建成一批发挥示范引领作用的智慧医院，线上线下一体化医疗服务模式形成，医疗服务区域均衡性进一步增强。</w:t>
      </w:r>
      <w:r>
        <w:rPr>
          <w:rFonts w:hint="eastAsia" w:ascii="仿宋" w:hAnsi="仿宋" w:eastAsia="仿宋" w:cs="仿宋"/>
          <w:color w:val="0C0C0C" w:themeColor="text1" w:themeTint="F2"/>
          <w:sz w:val="24"/>
          <w:szCs w:val="24"/>
        </w:rPr>
        <w:t>2022年4月7日，陕西省人民政府办公厅关于印发《推动公立医院高质量发展实施方案的通知》。</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基于以上背景及要求，我院希望通过标准的符合程度进行详细测评，引导医院建标准化的数据资源和信息系统架构，并为实现与各级医疗机构的信息共享和互联互通打下扎实的基础。同时，充分利用医院的数据为医院建设数据中心，充分整合医院大数据，挖掘数据价值，提供智能、便捷的临床决策支持和运营决策支持，为医院的可持续发展提供信息化强有力的支撑。</w:t>
      </w:r>
    </w:p>
    <w:p>
      <w:pPr>
        <w:pStyle w:val="5"/>
        <w:spacing w:line="360" w:lineRule="auto"/>
        <w:rPr>
          <w:rFonts w:ascii="仿宋" w:hAnsi="仿宋" w:eastAsia="仿宋" w:cs="仿宋"/>
          <w:sz w:val="24"/>
          <w:szCs w:val="24"/>
        </w:rPr>
      </w:pPr>
      <w:r>
        <w:rPr>
          <w:rFonts w:hint="eastAsia" w:ascii="仿宋" w:hAnsi="仿宋" w:eastAsia="仿宋" w:cs="仿宋"/>
          <w:sz w:val="24"/>
          <w:szCs w:val="24"/>
        </w:rPr>
        <w:t>（二）建设目标</w:t>
      </w:r>
      <w:bookmarkEnd w:id="353"/>
    </w:p>
    <w:p>
      <w:pPr>
        <w:spacing w:line="360" w:lineRule="auto"/>
        <w:ind w:firstLine="480"/>
        <w:rPr>
          <w:rFonts w:ascii="仿宋" w:hAnsi="仿宋" w:eastAsia="仿宋" w:cs="仿宋"/>
          <w:sz w:val="24"/>
          <w:szCs w:val="24"/>
        </w:rPr>
      </w:pPr>
      <w:bookmarkStart w:id="354" w:name="_Toc6971"/>
      <w:r>
        <w:rPr>
          <w:rFonts w:hint="eastAsia" w:ascii="仿宋" w:hAnsi="仿宋" w:eastAsia="仿宋" w:cs="仿宋"/>
          <w:sz w:val="24"/>
          <w:szCs w:val="24"/>
        </w:rPr>
        <w:t>统一数据标准服务，“解绑“医院系统的接口，实现数据交互的可视，可管，可控。进行数据治理，建立医院数据中心，应用大数据技术，建设患者360视图、运营决策分析、院领导驾驶舱（PC端和移动端）等系统，反哺医院的诊疗和管理。</w:t>
      </w:r>
    </w:p>
    <w:p>
      <w:pPr>
        <w:pStyle w:val="5"/>
        <w:spacing w:line="360" w:lineRule="auto"/>
        <w:rPr>
          <w:rFonts w:ascii="仿宋" w:hAnsi="仿宋" w:eastAsia="仿宋" w:cs="仿宋"/>
          <w:sz w:val="24"/>
          <w:szCs w:val="24"/>
        </w:rPr>
      </w:pPr>
      <w:r>
        <w:rPr>
          <w:rFonts w:hint="eastAsia" w:ascii="仿宋" w:hAnsi="仿宋" w:eastAsia="仿宋" w:cs="仿宋"/>
          <w:sz w:val="24"/>
          <w:szCs w:val="24"/>
        </w:rPr>
        <w:t>（三）建设原则</w:t>
      </w:r>
      <w:bookmarkEnd w:id="354"/>
    </w:p>
    <w:p>
      <w:pPr>
        <w:spacing w:line="360" w:lineRule="auto"/>
        <w:ind w:firstLine="480"/>
        <w:rPr>
          <w:rFonts w:ascii="仿宋" w:hAnsi="仿宋" w:eastAsia="仿宋" w:cs="仿宋"/>
          <w:sz w:val="24"/>
          <w:szCs w:val="24"/>
        </w:rPr>
      </w:pPr>
      <w:r>
        <w:rPr>
          <w:rFonts w:hint="eastAsia" w:ascii="仿宋" w:hAnsi="仿宋" w:eastAsia="仿宋" w:cs="仿宋"/>
          <w:sz w:val="24"/>
          <w:szCs w:val="24"/>
        </w:rPr>
        <w:t>根据系统的建设目标和实际需求，坚持“需求为导向、应用促发展”的指导思想，遵循以下原则进行系统总体建设。</w:t>
      </w:r>
    </w:p>
    <w:p>
      <w:pPr>
        <w:spacing w:line="360" w:lineRule="auto"/>
        <w:ind w:firstLine="482"/>
        <w:rPr>
          <w:rFonts w:ascii="仿宋" w:hAnsi="仿宋" w:eastAsia="仿宋" w:cs="仿宋"/>
          <w:b/>
          <w:sz w:val="24"/>
          <w:szCs w:val="24"/>
        </w:rPr>
      </w:pPr>
      <w:r>
        <w:rPr>
          <w:rFonts w:hint="eastAsia" w:ascii="仿宋" w:hAnsi="仿宋" w:eastAsia="仿宋" w:cs="仿宋"/>
          <w:b/>
          <w:sz w:val="24"/>
          <w:szCs w:val="24"/>
        </w:rPr>
        <w:t>1、技术的先进性和成熟性</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采用代表当今信息化系统发展趋势的主流和成熟技术进行系统架构设计，选用先进的技术手段，实现快速实施，保证技术先进性和成熟性。</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2、标准性和开放性</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系统设计应充分考虑“标准和开放”的原则，要支持各种相应的软硬件接口，使之具有灵活性和延展性，具备与多种系统互联互通的特性，在结构上实现真正开放。在系统建设中应广泛采用遵循国际标准的系统和产品，易于向今后的先进技术实现迁移，充分保护用户的现有投资，其综合反映在可移植性、互操作性、系统独立性和集成性上。同时考虑到投资的长期效益，系统应具有开放性，能够实现与多种技术和软硬件平台有机的结合，保证完成本系统未来的发展需求。</w:t>
      </w:r>
    </w:p>
    <w:p>
      <w:pPr>
        <w:spacing w:line="360" w:lineRule="auto"/>
        <w:ind w:firstLine="482"/>
        <w:rPr>
          <w:rFonts w:ascii="仿宋" w:hAnsi="仿宋" w:eastAsia="仿宋" w:cs="仿宋"/>
          <w:b/>
          <w:sz w:val="24"/>
          <w:szCs w:val="24"/>
        </w:rPr>
      </w:pPr>
      <w:r>
        <w:rPr>
          <w:rFonts w:hint="eastAsia" w:ascii="仿宋" w:hAnsi="仿宋" w:eastAsia="仿宋" w:cs="仿宋"/>
          <w:b/>
          <w:sz w:val="24"/>
          <w:szCs w:val="24"/>
        </w:rPr>
        <w:t>3、可扩展性</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由于医疗卫生信息化建设和应用系统具有快速发展、高速膨胀的特点，这就要求系统的各个环节必须具有高扩展性。系统能够在数据、业务等多个层面上进行扩展。系统提供比硬件和网络的扩展性更高层次的扩展能力。</w:t>
      </w:r>
    </w:p>
    <w:p>
      <w:pPr>
        <w:spacing w:line="360" w:lineRule="auto"/>
        <w:ind w:firstLine="482"/>
        <w:rPr>
          <w:rFonts w:ascii="仿宋" w:hAnsi="仿宋" w:eastAsia="仿宋" w:cs="仿宋"/>
          <w:b/>
          <w:sz w:val="24"/>
          <w:szCs w:val="24"/>
        </w:rPr>
      </w:pPr>
      <w:r>
        <w:rPr>
          <w:rFonts w:hint="eastAsia" w:ascii="仿宋" w:hAnsi="仿宋" w:eastAsia="仿宋" w:cs="仿宋"/>
          <w:b/>
          <w:sz w:val="24"/>
          <w:szCs w:val="24"/>
        </w:rPr>
        <w:t>4、可适应性</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系统的另一个特点是应用需求经常变化，这就要求系统必须为应用提供一定程度的可适应性。应提供充分的变更与扩展能力，适用医疗机构、人员以及业务流程的调整，能够充分利用医疗管理和服务部门现有软、硬件和信息资源。可以用较低的成本实现技术更新换代，从而能够提高系统投资的综合性价比和长期稳定使用，保护已有的设备和技术投资。</w:t>
      </w:r>
    </w:p>
    <w:p>
      <w:pPr>
        <w:spacing w:line="360" w:lineRule="auto"/>
        <w:ind w:firstLine="482"/>
        <w:rPr>
          <w:rFonts w:ascii="仿宋" w:hAnsi="仿宋" w:eastAsia="仿宋" w:cs="仿宋"/>
          <w:b/>
          <w:sz w:val="24"/>
          <w:szCs w:val="24"/>
        </w:rPr>
      </w:pPr>
      <w:r>
        <w:rPr>
          <w:rFonts w:hint="eastAsia" w:ascii="仿宋" w:hAnsi="仿宋" w:eastAsia="仿宋" w:cs="仿宋"/>
          <w:b/>
          <w:sz w:val="24"/>
          <w:szCs w:val="24"/>
        </w:rPr>
        <w:t>5、高可用性和可靠性</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系统在稳定正常运行的同时还要提供较高的性能，从而能够高效率地处理各类关键事物。因此在系统设计之初就应该充分考虑如何保证系统的高可用性、可靠性和高效性。</w:t>
      </w:r>
    </w:p>
    <w:p>
      <w:pPr>
        <w:spacing w:line="360" w:lineRule="auto"/>
        <w:ind w:firstLine="482"/>
        <w:rPr>
          <w:rFonts w:ascii="仿宋" w:hAnsi="仿宋" w:eastAsia="仿宋" w:cs="仿宋"/>
          <w:b/>
          <w:sz w:val="24"/>
          <w:szCs w:val="24"/>
        </w:rPr>
      </w:pPr>
      <w:r>
        <w:rPr>
          <w:rFonts w:hint="eastAsia" w:ascii="仿宋" w:hAnsi="仿宋" w:eastAsia="仿宋" w:cs="仿宋"/>
          <w:b/>
          <w:sz w:val="24"/>
          <w:szCs w:val="24"/>
        </w:rPr>
        <w:t>6、安全性</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信息安全是医疗卫生信息化建设的前提，系统设计中首要考虑如何建立一个系统的安全性、保密性，而且这种考虑必须是整体的、全面的。系统必须要提供信息传输保密性、数据完整性、身份识别和认证、防抵赖性等安全保障措施。</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7、可管理性</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系统的可管理性技能提高软件的使用效率又能给系统管理人员带来方面。通过配置和日志的方式帮助管理员对系统故障进行诊断、排错和分析与规划，从而降低总体使用成本。</w:t>
      </w:r>
    </w:p>
    <w:p>
      <w:pPr>
        <w:pStyle w:val="5"/>
        <w:keepLines/>
        <w:spacing w:line="360" w:lineRule="auto"/>
        <w:ind w:firstLine="482" w:firstLineChars="200"/>
        <w:rPr>
          <w:rFonts w:ascii="仿宋" w:hAnsi="仿宋" w:eastAsia="仿宋" w:cs="仿宋"/>
          <w:sz w:val="24"/>
          <w:szCs w:val="24"/>
        </w:rPr>
      </w:pPr>
      <w:bookmarkStart w:id="355" w:name="_Toc11671"/>
      <w:r>
        <w:rPr>
          <w:rFonts w:hint="eastAsia" w:ascii="仿宋" w:hAnsi="仿宋" w:eastAsia="仿宋" w:cs="仿宋"/>
          <w:sz w:val="24"/>
          <w:szCs w:val="24"/>
        </w:rPr>
        <w:t>（四）建设依据</w:t>
      </w:r>
      <w:bookmarkEnd w:id="355"/>
    </w:p>
    <w:p>
      <w:pPr>
        <w:pStyle w:val="42"/>
        <w:spacing w:line="360" w:lineRule="auto"/>
        <w:ind w:left="567" w:firstLine="0" w:firstLineChars="0"/>
        <w:rPr>
          <w:rFonts w:ascii="仿宋" w:hAnsi="仿宋" w:eastAsia="仿宋" w:cs="仿宋"/>
          <w:sz w:val="24"/>
          <w:szCs w:val="24"/>
        </w:rPr>
      </w:pPr>
      <w:r>
        <w:rPr>
          <w:rFonts w:hint="eastAsia" w:ascii="仿宋" w:hAnsi="仿宋" w:eastAsia="仿宋" w:cs="仿宋"/>
          <w:sz w:val="24"/>
          <w:szCs w:val="24"/>
        </w:rPr>
        <w:t>1、政策法规</w:t>
      </w:r>
    </w:p>
    <w:p>
      <w:pPr>
        <w:spacing w:line="360" w:lineRule="auto"/>
        <w:ind w:firstLine="480"/>
        <w:rPr>
          <w:rFonts w:ascii="仿宋" w:hAnsi="仿宋" w:eastAsia="仿宋" w:cs="仿宋"/>
          <w:color w:val="0C0C0C" w:themeColor="text1" w:themeTint="F2"/>
          <w:sz w:val="24"/>
          <w:szCs w:val="24"/>
        </w:rPr>
      </w:pPr>
      <w:r>
        <w:rPr>
          <w:rFonts w:hint="eastAsia" w:ascii="仿宋" w:hAnsi="仿宋" w:eastAsia="仿宋" w:cs="仿宋"/>
          <w:color w:val="0C0C0C" w:themeColor="text1" w:themeTint="F2"/>
          <w:sz w:val="24"/>
          <w:szCs w:val="24"/>
        </w:rPr>
        <w:t>《推动公立医院高质量发展实施方案的通知》陕西省人民政府办公厅，2022年；</w:t>
      </w:r>
    </w:p>
    <w:p>
      <w:pPr>
        <w:spacing w:line="360" w:lineRule="auto"/>
        <w:ind w:firstLine="480"/>
        <w:rPr>
          <w:rFonts w:ascii="仿宋" w:hAnsi="仿宋" w:eastAsia="仿宋" w:cs="仿宋"/>
          <w:color w:val="0C0C0C" w:themeColor="text1" w:themeTint="F2"/>
          <w:sz w:val="24"/>
          <w:szCs w:val="24"/>
        </w:rPr>
      </w:pPr>
      <w:r>
        <w:rPr>
          <w:rFonts w:hint="eastAsia" w:ascii="仿宋" w:hAnsi="仿宋" w:eastAsia="仿宋" w:cs="仿宋"/>
          <w:color w:val="0C0C0C" w:themeColor="text1" w:themeTint="F2"/>
          <w:sz w:val="24"/>
          <w:szCs w:val="24"/>
        </w:rPr>
        <w:t>《深化医药卫生体制改革2021年重点工作任务的通知》陕西省人民政府，2021年；</w:t>
      </w:r>
    </w:p>
    <w:p>
      <w:pPr>
        <w:pStyle w:val="10"/>
        <w:spacing w:line="360" w:lineRule="auto"/>
        <w:ind w:firstLine="480"/>
        <w:rPr>
          <w:rFonts w:ascii="仿宋" w:hAnsi="仿宋" w:eastAsia="仿宋" w:cs="仿宋"/>
          <w:color w:val="000000" w:themeColor="text1"/>
          <w:szCs w:val="24"/>
        </w:rPr>
      </w:pPr>
      <w:r>
        <w:rPr>
          <w:rFonts w:hint="eastAsia" w:ascii="仿宋" w:hAnsi="仿宋" w:eastAsia="仿宋" w:cs="仿宋"/>
          <w:color w:val="000000" w:themeColor="text1"/>
          <w:szCs w:val="24"/>
        </w:rPr>
        <w:t>《关于进一步推进分级诊疗制度有关重点工作的通知》陕西省卫生健康委员会 陕西省中医药管理局；</w:t>
      </w:r>
    </w:p>
    <w:p>
      <w:pPr>
        <w:spacing w:line="360" w:lineRule="auto"/>
        <w:ind w:firstLine="480"/>
        <w:rPr>
          <w:rFonts w:ascii="仿宋" w:hAnsi="仿宋" w:eastAsia="仿宋" w:cs="仿宋"/>
          <w:sz w:val="24"/>
          <w:szCs w:val="24"/>
        </w:rPr>
      </w:pPr>
      <w:r>
        <w:rPr>
          <w:rFonts w:hint="eastAsia" w:ascii="仿宋" w:hAnsi="仿宋" w:eastAsia="仿宋" w:cs="仿宋"/>
          <w:color w:val="000000" w:themeColor="text1"/>
          <w:sz w:val="24"/>
          <w:szCs w:val="24"/>
        </w:rPr>
        <w:t>《围绕就诊“四少”目标办实事全面提升就医体验工作方案》；</w:t>
      </w:r>
    </w:p>
    <w:p>
      <w:pPr>
        <w:spacing w:line="360" w:lineRule="auto"/>
        <w:ind w:firstLine="480"/>
        <w:rPr>
          <w:rFonts w:ascii="仿宋" w:hAnsi="仿宋" w:eastAsia="仿宋" w:cs="仿宋"/>
          <w:color w:val="0C0C0C" w:themeColor="text1" w:themeTint="F2"/>
          <w:sz w:val="24"/>
          <w:szCs w:val="24"/>
        </w:rPr>
      </w:pPr>
      <w:r>
        <w:rPr>
          <w:rFonts w:hint="eastAsia" w:ascii="仿宋" w:hAnsi="仿宋" w:eastAsia="仿宋" w:cs="仿宋"/>
          <w:color w:val="0C0C0C" w:themeColor="text1" w:themeTint="F2"/>
          <w:sz w:val="24"/>
          <w:szCs w:val="24"/>
        </w:rPr>
        <w:t>《国务院办公厅关于推动公立医院高质量发展的意见》国办发〔2021〕18号；</w:t>
      </w:r>
    </w:p>
    <w:p>
      <w:pPr>
        <w:spacing w:line="360" w:lineRule="auto"/>
        <w:ind w:firstLine="480"/>
        <w:rPr>
          <w:rFonts w:ascii="仿宋" w:hAnsi="仿宋" w:eastAsia="仿宋" w:cs="仿宋"/>
          <w:color w:val="0C0C0C" w:themeColor="text1" w:themeTint="F2"/>
          <w:sz w:val="24"/>
          <w:szCs w:val="24"/>
        </w:rPr>
      </w:pPr>
      <w:r>
        <w:rPr>
          <w:rFonts w:hint="eastAsia" w:ascii="仿宋" w:hAnsi="仿宋" w:eastAsia="仿宋" w:cs="仿宋"/>
          <w:color w:val="0C0C0C" w:themeColor="text1" w:themeTint="F2"/>
          <w:sz w:val="24"/>
          <w:szCs w:val="24"/>
        </w:rPr>
        <w:t>《关于健康陕西行动的实施意见》，陕西省人民政府，2020年；</w:t>
      </w:r>
    </w:p>
    <w:p>
      <w:pPr>
        <w:pStyle w:val="10"/>
        <w:spacing w:line="360" w:lineRule="auto"/>
        <w:ind w:firstLine="480"/>
        <w:rPr>
          <w:rFonts w:ascii="仿宋" w:hAnsi="仿宋" w:eastAsia="仿宋" w:cs="仿宋"/>
          <w:szCs w:val="24"/>
        </w:rPr>
      </w:pPr>
      <w:r>
        <w:rPr>
          <w:rFonts w:hint="eastAsia" w:ascii="仿宋" w:hAnsi="仿宋" w:eastAsia="仿宋" w:cs="仿宋"/>
          <w:color w:val="000000" w:themeColor="text1"/>
          <w:szCs w:val="24"/>
        </w:rPr>
        <w:t>《关于加强信息化支撑新型冠状病毒感染的肺炎疫情防控工作的通知》，国家卫健委，2020年；</w:t>
      </w:r>
    </w:p>
    <w:p>
      <w:pPr>
        <w:spacing w:line="360" w:lineRule="auto"/>
        <w:ind w:firstLine="480"/>
        <w:rPr>
          <w:rFonts w:ascii="仿宋" w:hAnsi="仿宋" w:eastAsia="仿宋" w:cs="仿宋"/>
          <w:color w:val="0C0C0C" w:themeColor="text1" w:themeTint="F2"/>
          <w:sz w:val="24"/>
          <w:szCs w:val="24"/>
        </w:rPr>
      </w:pPr>
      <w:r>
        <w:rPr>
          <w:rFonts w:hint="eastAsia" w:ascii="仿宋" w:hAnsi="仿宋" w:eastAsia="仿宋" w:cs="仿宋"/>
          <w:color w:val="0C0C0C" w:themeColor="text1" w:themeTint="F2"/>
          <w:sz w:val="24"/>
          <w:szCs w:val="24"/>
        </w:rPr>
        <w:t>《促进和规范健康医疗大数据应用发展实施方案的通知》，2018年；</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《中共中央国务院关于深化医药卫生体制改革的意见》，</w:t>
      </w:r>
      <w:r>
        <w:rPr>
          <w:rFonts w:hint="eastAsia" w:ascii="仿宋" w:hAnsi="仿宋" w:eastAsia="仿宋" w:cs="仿宋"/>
          <w:color w:val="0C0C0C" w:themeColor="text1" w:themeTint="F2"/>
          <w:sz w:val="24"/>
          <w:szCs w:val="24"/>
        </w:rPr>
        <w:t>陕西省人民政府，</w:t>
      </w:r>
      <w:r>
        <w:rPr>
          <w:rFonts w:hint="eastAsia" w:ascii="仿宋" w:hAnsi="仿宋" w:eastAsia="仿宋" w:cs="仿宋"/>
          <w:sz w:val="24"/>
          <w:szCs w:val="24"/>
        </w:rPr>
        <w:t>2009年；</w:t>
      </w:r>
    </w:p>
    <w:p>
      <w:pPr>
        <w:spacing w:line="360" w:lineRule="auto"/>
        <w:ind w:firstLine="480"/>
        <w:rPr>
          <w:rFonts w:ascii="仿宋" w:hAnsi="仿宋" w:eastAsia="仿宋" w:cs="仿宋"/>
          <w:sz w:val="24"/>
          <w:szCs w:val="24"/>
        </w:rPr>
      </w:pPr>
      <w:r>
        <w:rPr>
          <w:rFonts w:hint="eastAsia" w:ascii="仿宋" w:hAnsi="仿宋" w:eastAsia="仿宋" w:cs="仿宋"/>
          <w:color w:val="0C0C0C" w:themeColor="text1" w:themeTint="F2"/>
          <w:sz w:val="24"/>
          <w:szCs w:val="24"/>
        </w:rPr>
        <w:t>《关于做好医疗机构合理用药考核工作的通知》国卫办医函〔2019〕903号；</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《国务院办公厅关于促进“互联网+医疗健康”发展的意见》，国办发〔2018〕26号）；</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《关于进一步推进以电子病历为核心的医疗机构信息化建设工作的通知》，卫健委医管局，2018年；</w:t>
      </w:r>
    </w:p>
    <w:p>
      <w:pPr>
        <w:spacing w:beforeLines="50" w:afterLines="50" w:line="360" w:lineRule="auto"/>
        <w:ind w:left="480"/>
        <w:rPr>
          <w:rFonts w:ascii="仿宋" w:hAnsi="仿宋" w:eastAsia="仿宋" w:cs="仿宋"/>
          <w:color w:val="0C0C0C" w:themeColor="text1" w:themeTint="F2"/>
          <w:sz w:val="24"/>
          <w:szCs w:val="24"/>
        </w:rPr>
      </w:pPr>
      <w:r>
        <w:rPr>
          <w:rFonts w:hint="eastAsia" w:ascii="仿宋" w:hAnsi="仿宋" w:eastAsia="仿宋" w:cs="仿宋"/>
          <w:color w:val="0C0C0C" w:themeColor="text1" w:themeTint="F2"/>
          <w:sz w:val="24"/>
          <w:szCs w:val="24"/>
        </w:rPr>
        <w:t>《中共中央国务院关于全面实施预算绩效管理的意见》 （2018年9月1日）</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《国务院办公厅关于印发深化医药卫生体制改革2018年下半年重点工作任务的通知》，国办发〔2018〕83号；</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《国务院办公厅关于印发深化医药卫生体制改革2017年重点工作任务的通知》，国办发〔2017〕37号；</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《国务院办公厅关于促进和规范健康医疗大数据应用发展的指导意见》，国办发〔2016〕47号。</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2、规范规划</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《国家健康医疗大数据标准、安全和服务管理办法（试行）》，国家卫健委，2018年；</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《电子病历应用管理规范（试行）》，国家卫计委，2017年；</w:t>
      </w:r>
    </w:p>
    <w:p>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中共中央、国务院《“健康中国2030”规划纲要》，2016年；</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（三） 标准规范</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《国家医疗健康信息医院信息互联互通标准化成熟度测评方案（2020年版）》，国家卫健委，2020年；</w:t>
      </w:r>
    </w:p>
    <w:p>
      <w:pPr>
        <w:numPr>
          <w:ilvl w:val="255"/>
          <w:numId w:val="0"/>
        </w:numPr>
        <w:spacing w:line="360" w:lineRule="auto"/>
        <w:ind w:firstLine="480"/>
        <w:rPr>
          <w:rFonts w:ascii="仿宋" w:hAnsi="仿宋" w:eastAsia="仿宋" w:cs="仿宋"/>
          <w:sz w:val="24"/>
          <w:szCs w:val="24"/>
        </w:rPr>
      </w:pPr>
      <w:r>
        <w:rPr>
          <w:rFonts w:hint="eastAsia" w:ascii="仿宋" w:hAnsi="仿宋" w:eastAsia="仿宋" w:cs="仿宋"/>
          <w:sz w:val="24"/>
          <w:szCs w:val="24"/>
        </w:rPr>
        <w:t>《三级医院评审标准（2020 年版）》；</w:t>
      </w:r>
    </w:p>
    <w:p>
      <w:pPr>
        <w:spacing w:line="360" w:lineRule="auto"/>
        <w:ind w:firstLine="480"/>
        <w:rPr>
          <w:rFonts w:ascii="仿宋" w:hAnsi="仿宋" w:eastAsia="仿宋" w:cs="仿宋"/>
          <w:color w:val="0C0C0C" w:themeColor="text1" w:themeTint="F2"/>
          <w:sz w:val="24"/>
          <w:szCs w:val="24"/>
        </w:rPr>
      </w:pPr>
      <w:r>
        <w:rPr>
          <w:rFonts w:hint="eastAsia" w:ascii="仿宋" w:hAnsi="仿宋" w:eastAsia="仿宋" w:cs="仿宋"/>
          <w:color w:val="0C0C0C" w:themeColor="text1" w:themeTint="F2"/>
          <w:sz w:val="24"/>
          <w:szCs w:val="24"/>
        </w:rPr>
        <w:t>《国务院办公厅关于加强三级公立医院绩效考核工作的意见》国办发〔2019〕4号；</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《电子病历系统功能应用水平分级评价方法及标准》，国家卫健委，2018年；</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《WS 599.2-2018 医院人财物运营管理基本数据集》，国家卫健委，2018年；</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《WST 598.1-2018 卫生统计指标》，国家卫健委，2018年；</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《全国医院信息化建设标准与规范（试行）》，国家卫健委，2018；</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《医院信息化建设应用技术指引》，国家卫计委，2017年；</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《智慧医疗评价指标体系总体框架和智慧医院评价指标》，国家卫计委，2016</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《医院信息平台应用功能指引》，国家卫计委，2016年；</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《WST 500.1-53-2016电子病历共享文档规范》，国家卫计委，2016年；</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《医院信息平台基本交互规范》，国家卫计委，2015年；</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《WS 445.1-17-2014电子病历基本数据集》，国家卫计委，2014年；</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《WS363.1-17 2011 卫生信息数据元目录》，国家卫生部，2011年；</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《WS364.1-17 2011 卫生信息数据元值域代码》，国家卫生部，2011年；</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《电子病历系统功能规范（试行）》，国家卫生部，2011年；</w:t>
      </w:r>
    </w:p>
    <w:p>
      <w:pPr>
        <w:pStyle w:val="4"/>
        <w:spacing w:line="360" w:lineRule="auto"/>
        <w:ind w:firstLine="482" w:firstLineChars="200"/>
        <w:jc w:val="left"/>
        <w:rPr>
          <w:rFonts w:ascii="仿宋" w:hAnsi="仿宋" w:eastAsia="仿宋" w:cs="仿宋"/>
          <w:sz w:val="24"/>
          <w:szCs w:val="24"/>
        </w:rPr>
      </w:pPr>
      <w:bookmarkStart w:id="356" w:name="_Toc5242"/>
      <w:bookmarkStart w:id="357" w:name="_Toc300"/>
      <w:r>
        <w:rPr>
          <w:rFonts w:hint="eastAsia" w:ascii="仿宋" w:hAnsi="仿宋" w:eastAsia="仿宋" w:cs="仿宋"/>
          <w:sz w:val="24"/>
          <w:szCs w:val="24"/>
          <w:lang w:val="en-US" w:eastAsia="zh-CN"/>
        </w:rPr>
        <w:t>二、</w:t>
      </w:r>
      <w:r>
        <w:rPr>
          <w:rFonts w:hint="eastAsia" w:ascii="仿宋" w:hAnsi="仿宋" w:eastAsia="仿宋" w:cs="仿宋"/>
          <w:sz w:val="24"/>
          <w:szCs w:val="24"/>
        </w:rPr>
        <w:t>总体要求</w:t>
      </w:r>
      <w:bookmarkEnd w:id="356"/>
      <w:bookmarkEnd w:id="357"/>
    </w:p>
    <w:p>
      <w:pPr>
        <w:pStyle w:val="5"/>
        <w:keepLines/>
        <w:spacing w:line="360" w:lineRule="auto"/>
        <w:ind w:firstLine="482" w:firstLineChars="200"/>
        <w:rPr>
          <w:rFonts w:ascii="仿宋" w:hAnsi="仿宋" w:eastAsia="仿宋" w:cs="仿宋"/>
          <w:sz w:val="24"/>
          <w:szCs w:val="24"/>
        </w:rPr>
      </w:pPr>
      <w:bookmarkStart w:id="358" w:name="_Toc11684"/>
      <w:r>
        <w:rPr>
          <w:rFonts w:hint="eastAsia" w:ascii="仿宋" w:hAnsi="仿宋" w:eastAsia="仿宋" w:cs="仿宋"/>
          <w:sz w:val="24"/>
          <w:szCs w:val="24"/>
        </w:rPr>
        <w:t>（一）总体技术要求</w:t>
      </w:r>
      <w:bookmarkEnd w:id="358"/>
    </w:p>
    <w:p>
      <w:pPr>
        <w:pStyle w:val="6"/>
        <w:spacing w:line="360" w:lineRule="auto"/>
        <w:ind w:firstLine="482" w:firstLineChars="200"/>
        <w:jc w:val="left"/>
        <w:rPr>
          <w:rFonts w:ascii="仿宋" w:hAnsi="仿宋" w:eastAsia="仿宋" w:cs="仿宋"/>
          <w:b/>
          <w:bCs/>
          <w:sz w:val="24"/>
          <w:szCs w:val="24"/>
        </w:rPr>
      </w:pPr>
      <w:bookmarkStart w:id="359" w:name="_Toc7429"/>
      <w:r>
        <w:rPr>
          <w:rFonts w:hint="eastAsia" w:ascii="仿宋" w:hAnsi="仿宋" w:eastAsia="仿宋" w:cs="仿宋"/>
          <w:b/>
          <w:bCs/>
          <w:sz w:val="24"/>
          <w:szCs w:val="24"/>
        </w:rPr>
        <w:t>1、集成平台技术要求</w:t>
      </w:r>
      <w:bookmarkEnd w:id="359"/>
    </w:p>
    <w:p>
      <w:pPr>
        <w:spacing w:before="120" w:after="120" w:line="360" w:lineRule="auto"/>
        <w:ind w:firstLine="480"/>
        <w:rPr>
          <w:rFonts w:ascii="仿宋" w:hAnsi="仿宋" w:eastAsia="仿宋" w:cs="仿宋"/>
          <w:bCs/>
          <w:sz w:val="24"/>
          <w:szCs w:val="24"/>
        </w:rPr>
      </w:pPr>
      <w:r>
        <w:rPr>
          <w:rFonts w:hint="eastAsia" w:ascii="仿宋" w:hAnsi="仿宋" w:eastAsia="仿宋" w:cs="仿宋"/>
          <w:bCs/>
          <w:sz w:val="24"/>
          <w:szCs w:val="24"/>
        </w:rPr>
        <w:t>集成平台需要具备以下功能及特征：</w:t>
      </w:r>
    </w:p>
    <w:p>
      <w:pPr>
        <w:pStyle w:val="42"/>
        <w:numPr>
          <w:ilvl w:val="0"/>
          <w:numId w:val="3"/>
        </w:numPr>
        <w:spacing w:line="360" w:lineRule="auto"/>
        <w:ind w:left="0" w:firstLine="480"/>
        <w:rPr>
          <w:rFonts w:ascii="仿宋" w:hAnsi="仿宋" w:eastAsia="仿宋" w:cs="仿宋"/>
          <w:bCs/>
          <w:sz w:val="24"/>
          <w:szCs w:val="24"/>
        </w:rPr>
      </w:pPr>
      <w:r>
        <w:rPr>
          <w:rFonts w:hint="eastAsia" w:ascii="仿宋" w:hAnsi="仿宋" w:eastAsia="仿宋" w:cs="仿宋"/>
          <w:bCs/>
          <w:sz w:val="24"/>
          <w:szCs w:val="24"/>
        </w:rPr>
        <w:t>通过预制的适配器能集成多种技术，如.NET、JAVA；</w:t>
      </w:r>
    </w:p>
    <w:p>
      <w:pPr>
        <w:pStyle w:val="42"/>
        <w:numPr>
          <w:ilvl w:val="0"/>
          <w:numId w:val="3"/>
        </w:numPr>
        <w:spacing w:line="360" w:lineRule="auto"/>
        <w:ind w:left="0" w:firstLine="480"/>
        <w:rPr>
          <w:rFonts w:ascii="仿宋" w:hAnsi="仿宋" w:eastAsia="仿宋" w:cs="仿宋"/>
          <w:bCs/>
          <w:sz w:val="24"/>
          <w:szCs w:val="24"/>
        </w:rPr>
      </w:pPr>
      <w:r>
        <w:rPr>
          <w:rFonts w:hint="eastAsia" w:ascii="仿宋" w:hAnsi="仿宋" w:eastAsia="仿宋" w:cs="仿宋"/>
          <w:bCs/>
          <w:sz w:val="24"/>
          <w:szCs w:val="24"/>
        </w:rPr>
        <w:t>支持开发定制化的适配器；</w:t>
      </w:r>
    </w:p>
    <w:p>
      <w:pPr>
        <w:pStyle w:val="42"/>
        <w:numPr>
          <w:ilvl w:val="0"/>
          <w:numId w:val="3"/>
        </w:numPr>
        <w:spacing w:line="360" w:lineRule="auto"/>
        <w:ind w:left="0" w:firstLine="480"/>
        <w:rPr>
          <w:rFonts w:ascii="仿宋" w:hAnsi="仿宋" w:eastAsia="仿宋" w:cs="仿宋"/>
          <w:bCs/>
          <w:sz w:val="24"/>
          <w:szCs w:val="24"/>
        </w:rPr>
      </w:pPr>
      <w:r>
        <w:rPr>
          <w:rFonts w:hint="eastAsia" w:ascii="仿宋" w:hAnsi="仿宋" w:eastAsia="仿宋" w:cs="仿宋"/>
          <w:bCs/>
          <w:sz w:val="24"/>
          <w:szCs w:val="24"/>
        </w:rPr>
        <w:t>能集成多种数据库，如SQL Server、ORACLE、DB2和SYBASE；</w:t>
      </w:r>
    </w:p>
    <w:p>
      <w:pPr>
        <w:pStyle w:val="42"/>
        <w:numPr>
          <w:ilvl w:val="0"/>
          <w:numId w:val="3"/>
        </w:numPr>
        <w:spacing w:line="360" w:lineRule="auto"/>
        <w:ind w:left="0" w:firstLine="480"/>
        <w:rPr>
          <w:rFonts w:ascii="仿宋" w:hAnsi="仿宋" w:eastAsia="仿宋" w:cs="仿宋"/>
          <w:bCs/>
          <w:sz w:val="24"/>
          <w:szCs w:val="24"/>
        </w:rPr>
      </w:pPr>
      <w:r>
        <w:rPr>
          <w:rFonts w:hint="eastAsia" w:ascii="仿宋" w:hAnsi="仿宋" w:eastAsia="仿宋" w:cs="仿宋"/>
          <w:bCs/>
          <w:sz w:val="24"/>
          <w:szCs w:val="24"/>
        </w:rPr>
        <w:t>支持多种应用标准，如XML、HL7；</w:t>
      </w:r>
    </w:p>
    <w:p>
      <w:pPr>
        <w:pStyle w:val="42"/>
        <w:numPr>
          <w:ilvl w:val="0"/>
          <w:numId w:val="3"/>
        </w:numPr>
        <w:spacing w:line="360" w:lineRule="auto"/>
        <w:ind w:left="0" w:firstLine="480"/>
        <w:rPr>
          <w:rFonts w:ascii="仿宋" w:hAnsi="仿宋" w:eastAsia="仿宋" w:cs="仿宋"/>
          <w:bCs/>
          <w:sz w:val="24"/>
          <w:szCs w:val="24"/>
        </w:rPr>
      </w:pPr>
      <w:r>
        <w:rPr>
          <w:rFonts w:hint="eastAsia" w:ascii="仿宋" w:hAnsi="仿宋" w:eastAsia="仿宋" w:cs="仿宋"/>
          <w:bCs/>
          <w:sz w:val="24"/>
          <w:szCs w:val="24"/>
        </w:rPr>
        <w:t>支持多种通讯协议，如TCP/IP；</w:t>
      </w:r>
    </w:p>
    <w:p>
      <w:pPr>
        <w:pStyle w:val="42"/>
        <w:numPr>
          <w:ilvl w:val="0"/>
          <w:numId w:val="3"/>
        </w:numPr>
        <w:spacing w:line="360" w:lineRule="auto"/>
        <w:ind w:left="0" w:firstLine="480"/>
        <w:rPr>
          <w:rFonts w:ascii="仿宋" w:hAnsi="仿宋" w:eastAsia="仿宋" w:cs="仿宋"/>
          <w:bCs/>
          <w:sz w:val="24"/>
          <w:szCs w:val="24"/>
        </w:rPr>
      </w:pPr>
      <w:r>
        <w:rPr>
          <w:rFonts w:hint="eastAsia" w:ascii="仿宋" w:hAnsi="仿宋" w:eastAsia="仿宋" w:cs="仿宋"/>
          <w:bCs/>
          <w:sz w:val="24"/>
          <w:szCs w:val="24"/>
        </w:rPr>
        <w:t>支持WEB SERVICES，以及复合应用软件开发；</w:t>
      </w:r>
    </w:p>
    <w:p>
      <w:pPr>
        <w:pStyle w:val="42"/>
        <w:numPr>
          <w:ilvl w:val="0"/>
          <w:numId w:val="3"/>
        </w:numPr>
        <w:spacing w:line="360" w:lineRule="auto"/>
        <w:ind w:left="0" w:firstLine="480"/>
        <w:rPr>
          <w:rFonts w:ascii="仿宋" w:hAnsi="仿宋" w:eastAsia="仿宋" w:cs="仿宋"/>
          <w:bCs/>
          <w:sz w:val="24"/>
          <w:szCs w:val="24"/>
        </w:rPr>
      </w:pPr>
      <w:r>
        <w:rPr>
          <w:rFonts w:hint="eastAsia" w:ascii="仿宋" w:hAnsi="仿宋" w:eastAsia="仿宋" w:cs="仿宋"/>
          <w:bCs/>
          <w:sz w:val="24"/>
          <w:szCs w:val="24"/>
        </w:rPr>
        <w:t>提供性能监视器功能，能对设定的关键指标进行监控；</w:t>
      </w:r>
    </w:p>
    <w:p>
      <w:pPr>
        <w:pStyle w:val="42"/>
        <w:numPr>
          <w:ilvl w:val="0"/>
          <w:numId w:val="3"/>
        </w:numPr>
        <w:spacing w:line="360" w:lineRule="auto"/>
        <w:ind w:left="0" w:firstLine="480"/>
        <w:rPr>
          <w:rFonts w:ascii="仿宋" w:hAnsi="仿宋" w:eastAsia="仿宋" w:cs="仿宋"/>
          <w:bCs/>
          <w:sz w:val="24"/>
          <w:szCs w:val="24"/>
        </w:rPr>
      </w:pPr>
      <w:r>
        <w:rPr>
          <w:rFonts w:hint="eastAsia" w:ascii="仿宋" w:hAnsi="仿宋" w:eastAsia="仿宋" w:cs="仿宋"/>
          <w:bCs/>
          <w:sz w:val="24"/>
          <w:szCs w:val="24"/>
        </w:rPr>
        <w:t>提供图形化工作流管理、过程管理和规则管理工具；</w:t>
      </w:r>
    </w:p>
    <w:p>
      <w:pPr>
        <w:pStyle w:val="6"/>
        <w:keepLines/>
        <w:spacing w:line="360" w:lineRule="auto"/>
        <w:ind w:firstLine="482" w:firstLineChars="200"/>
        <w:jc w:val="left"/>
        <w:rPr>
          <w:rFonts w:ascii="仿宋" w:hAnsi="仿宋" w:eastAsia="仿宋" w:cs="仿宋"/>
          <w:b/>
          <w:sz w:val="24"/>
          <w:szCs w:val="24"/>
        </w:rPr>
      </w:pPr>
      <w:bookmarkStart w:id="360" w:name="_Toc19336"/>
      <w:r>
        <w:rPr>
          <w:rFonts w:hint="eastAsia" w:ascii="仿宋" w:hAnsi="仿宋" w:eastAsia="仿宋" w:cs="仿宋"/>
          <w:b/>
          <w:sz w:val="24"/>
          <w:szCs w:val="24"/>
        </w:rPr>
        <w:t>2、全院数据中心技术要求</w:t>
      </w:r>
      <w:bookmarkEnd w:id="360"/>
    </w:p>
    <w:p>
      <w:pPr>
        <w:spacing w:line="360" w:lineRule="auto"/>
        <w:ind w:firstLine="480"/>
        <w:rPr>
          <w:rFonts w:ascii="仿宋" w:hAnsi="仿宋" w:eastAsia="仿宋" w:cs="仿宋"/>
          <w:sz w:val="24"/>
          <w:szCs w:val="24"/>
        </w:rPr>
      </w:pPr>
      <w:r>
        <w:rPr>
          <w:rFonts w:hint="eastAsia" w:ascii="仿宋" w:hAnsi="仿宋" w:eastAsia="仿宋" w:cs="仿宋"/>
          <w:sz w:val="24"/>
          <w:szCs w:val="24"/>
        </w:rPr>
        <w:t>建设全院大数据平台，综合构建医院主要业务系统（EMR、HIS、PACS、LIS等）、管理系统（HRP、查询系统等）、质控系统的数据模型，实现符合医疗行业标准、可扩展的临床数据中心与管理平台，建成后的全院数据资源中心须成为医院的核心IT平台之一。</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1）采用智能化的数据采集工具、数据交换平台等，将分散在不同业务系统、异构数据源中的临床数据，经抽取、清洗、转换及元素化后集中存入CDR中，CDR同时也为各医疗业务系统提供统一的资源库服务。整合好的医疗信息视图一方面可以支持针对全院医疗信息的分析利用工作，同时还可以直接参与到诊疗流程中去，以提高医院的诊疗技术水平，同时所有整合好的信息视图还可以信息服务的方式提供给医院未来将要建设的各类整合系统使用。</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要求数据访问模型分为概念层、映射层、存储层等三层，通过分层映射解除应用逻辑对存储的紧耦合。有映射层的灵活映射支持，数据层不仅可以跨越多种数据库平台(SQLServer、Oracle等)，而且可以支持不同的数据库模型(关系数据库，对象数据库，以及基于XML的层次型数据库等等)，主要用于实现所有现有业务系统中病例数据的自动汇总、自动采集到临床数据库中的一整套数据定义、编码、映射、抽取、转换、存储等全过程的数据集成。</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3）基于结构化的数据中心管理系统，主要包括数据元管理、数据集关系与模型管理、查询处理引擎管理，以及数据访问权限配置管理、数据安全与数据备份等管理。随着临床数据库中的数据不断积累，以面向服务(SOA)的形式开放基于海量数据的检索与分析服务，对临床数据的组织进行优化，以优化查询处理速度，包括数据快照、数据集汇总、重建索引等等。</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4）根据不同维度构建数据模型，能够实现从不同维度对数据进行应用。如：可从时间维度、病人视角、药品维度、病种维度等对同一个数据进行检索和分析，检索条件和角度可灵活组合。也可为某一特定的应用提供专用的主题，提供专业型的数据挖掘分析，提升访问效率。</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（5）灵活的数据报表生成，医院大数据平台能够灵活的对数据进行重组，利用界面展示工具快速产生相应的报表信息。</w:t>
      </w:r>
    </w:p>
    <w:p>
      <w:pPr>
        <w:pStyle w:val="6"/>
        <w:keepLines/>
        <w:spacing w:line="360" w:lineRule="auto"/>
        <w:ind w:firstLine="482" w:firstLineChars="200"/>
        <w:jc w:val="left"/>
        <w:rPr>
          <w:rFonts w:ascii="仿宋" w:hAnsi="仿宋" w:eastAsia="仿宋" w:cs="仿宋"/>
          <w:b/>
          <w:sz w:val="24"/>
          <w:szCs w:val="24"/>
        </w:rPr>
      </w:pPr>
      <w:bookmarkStart w:id="361" w:name="_Toc15880"/>
      <w:r>
        <w:rPr>
          <w:rFonts w:hint="eastAsia" w:ascii="仿宋" w:hAnsi="仿宋" w:eastAsia="仿宋" w:cs="仿宋"/>
          <w:b/>
          <w:sz w:val="24"/>
          <w:szCs w:val="24"/>
        </w:rPr>
        <w:t>3、总体建设要求</w:t>
      </w:r>
      <w:bookmarkEnd w:id="361"/>
    </w:p>
    <w:p>
      <w:pPr>
        <w:spacing w:line="360" w:lineRule="auto"/>
        <w:ind w:firstLine="480"/>
        <w:rPr>
          <w:rFonts w:ascii="仿宋" w:hAnsi="仿宋" w:eastAsia="仿宋" w:cs="仿宋"/>
          <w:sz w:val="24"/>
          <w:szCs w:val="24"/>
        </w:rPr>
      </w:pPr>
      <w:bookmarkStart w:id="362" w:name="_Toc4018"/>
      <w:r>
        <w:rPr>
          <w:rFonts w:hint="eastAsia" w:ascii="仿宋" w:hAnsi="仿宋" w:eastAsia="仿宋" w:cs="仿宋"/>
          <w:sz w:val="24"/>
          <w:szCs w:val="24"/>
          <w:lang w:eastAsia="zh-CN"/>
        </w:rPr>
        <w:t>供应商</w:t>
      </w:r>
      <w:r>
        <w:rPr>
          <w:rFonts w:hint="eastAsia" w:ascii="仿宋" w:hAnsi="仿宋" w:eastAsia="仿宋" w:cs="仿宋"/>
          <w:sz w:val="24"/>
          <w:szCs w:val="24"/>
        </w:rPr>
        <w:t>必须具有集成平台、数据中心系统自主知识产权，所投产品必须为最新版本，且必须不低于已通过互联互通四甲、电子病历5级案例应用功能，并且承诺在项目实施过程中无条件满足符合国、省的技术类标准和业务规范变化的需求修改，非增加子系统或功能类的个性化需求，</w:t>
      </w:r>
      <w:r>
        <w:rPr>
          <w:rFonts w:hint="eastAsia" w:ascii="仿宋" w:hAnsi="仿宋" w:eastAsia="仿宋" w:cs="仿宋"/>
          <w:sz w:val="24"/>
          <w:szCs w:val="24"/>
          <w:lang w:eastAsia="zh-CN"/>
        </w:rPr>
        <w:t>中标供应商</w:t>
      </w:r>
      <w:r>
        <w:rPr>
          <w:rFonts w:hint="eastAsia" w:ascii="仿宋" w:hAnsi="仿宋" w:eastAsia="仿宋" w:cs="仿宋"/>
          <w:sz w:val="24"/>
          <w:szCs w:val="24"/>
        </w:rPr>
        <w:t>须一并满足。</w:t>
      </w:r>
    </w:p>
    <w:p>
      <w:pPr>
        <w:pStyle w:val="6"/>
        <w:keepLines/>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4、系统接口要求</w:t>
      </w:r>
      <w:bookmarkEnd w:id="362"/>
    </w:p>
    <w:p>
      <w:pPr>
        <w:spacing w:line="360" w:lineRule="auto"/>
        <w:ind w:firstLine="480"/>
        <w:rPr>
          <w:rFonts w:ascii="仿宋" w:hAnsi="仿宋" w:eastAsia="仿宋" w:cs="仿宋"/>
          <w:sz w:val="24"/>
          <w:szCs w:val="24"/>
        </w:rPr>
      </w:pPr>
      <w:bookmarkStart w:id="363" w:name="_Toc22245"/>
      <w:r>
        <w:rPr>
          <w:rFonts w:hint="eastAsia" w:ascii="仿宋" w:hAnsi="仿宋" w:eastAsia="仿宋" w:cs="仿宋"/>
          <w:sz w:val="24"/>
          <w:szCs w:val="24"/>
        </w:rPr>
        <w:t>投标报价中需包含本次采购系统间、系统和平台、医保类、各级数据上报类以及质保期内政策性要求的接口修改和接口开发费用，并且中标厂商需无条件实现在项目实施过程中与我院利旧、保留的信息系统的接口开发、调试和上线工作。质保期内集成平台必须免费与所有系统对接，包括后续任何新建系统。</w:t>
      </w:r>
    </w:p>
    <w:p>
      <w:pPr>
        <w:pStyle w:val="4"/>
        <w:numPr>
          <w:ilvl w:val="0"/>
          <w:numId w:val="4"/>
        </w:numPr>
        <w:spacing w:line="360" w:lineRule="auto"/>
        <w:ind w:firstLine="482" w:firstLineChars="200"/>
        <w:jc w:val="left"/>
        <w:rPr>
          <w:rFonts w:ascii="仿宋" w:hAnsi="仿宋" w:eastAsia="仿宋" w:cs="仿宋"/>
          <w:bCs/>
          <w:sz w:val="24"/>
          <w:szCs w:val="24"/>
        </w:rPr>
      </w:pPr>
      <w:bookmarkStart w:id="364" w:name="_Toc31622"/>
      <w:r>
        <w:rPr>
          <w:rFonts w:hint="eastAsia" w:ascii="仿宋" w:hAnsi="仿宋" w:eastAsia="仿宋" w:cs="仿宋"/>
          <w:bCs/>
          <w:sz w:val="24"/>
          <w:szCs w:val="24"/>
        </w:rPr>
        <w:t>采购清单</w:t>
      </w:r>
      <w:bookmarkEnd w:id="363"/>
      <w:bookmarkEnd w:id="364"/>
    </w:p>
    <w:tbl>
      <w:tblPr>
        <w:tblStyle w:val="27"/>
        <w:tblW w:w="8560"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9"/>
        <w:gridCol w:w="1053"/>
        <w:gridCol w:w="3368"/>
        <w:gridCol w:w="1650"/>
        <w:gridCol w:w="16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839" w:type="dxa"/>
            <w:shd w:val="clear" w:color="auto" w:fill="BDD7EE"/>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序号</w:t>
            </w:r>
          </w:p>
        </w:tc>
        <w:tc>
          <w:tcPr>
            <w:tcW w:w="1053" w:type="dxa"/>
            <w:shd w:val="clear" w:color="auto" w:fill="BDD7EE"/>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分类　</w:t>
            </w:r>
          </w:p>
        </w:tc>
        <w:tc>
          <w:tcPr>
            <w:tcW w:w="3368" w:type="dxa"/>
            <w:shd w:val="clear" w:color="auto" w:fill="BDD7EE"/>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系统名称</w:t>
            </w:r>
          </w:p>
        </w:tc>
        <w:tc>
          <w:tcPr>
            <w:tcW w:w="1650" w:type="dxa"/>
            <w:shd w:val="clear" w:color="auto" w:fill="BDD7EE"/>
          </w:tcPr>
          <w:p>
            <w:pPr>
              <w:widowControl/>
              <w:jc w:val="center"/>
              <w:textAlignment w:val="center"/>
              <w:rPr>
                <w:rFonts w:ascii="仿宋" w:hAnsi="仿宋" w:eastAsia="仿宋" w:cs="仿宋"/>
                <w:b/>
                <w:bCs/>
                <w:color w:val="000000"/>
                <w:kern w:val="0"/>
                <w:szCs w:val="21"/>
              </w:rPr>
            </w:pPr>
            <w:r>
              <w:rPr>
                <w:rFonts w:hint="eastAsia" w:ascii="仿宋" w:hAnsi="仿宋" w:eastAsia="仿宋" w:cs="仿宋"/>
                <w:b/>
                <w:bCs/>
                <w:color w:val="000000"/>
                <w:kern w:val="0"/>
                <w:szCs w:val="21"/>
              </w:rPr>
              <w:t>数量</w:t>
            </w:r>
          </w:p>
        </w:tc>
        <w:tc>
          <w:tcPr>
            <w:tcW w:w="1650" w:type="dxa"/>
            <w:shd w:val="clear" w:color="auto" w:fill="BDD7EE"/>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建设要求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3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1053"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平台基础</w:t>
            </w:r>
          </w:p>
        </w:tc>
        <w:tc>
          <w:tcPr>
            <w:tcW w:w="3368" w:type="dxa"/>
            <w:shd w:val="clear" w:color="auto" w:fill="auto"/>
            <w:noWrap/>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单点登录SSO</w:t>
            </w:r>
          </w:p>
        </w:tc>
        <w:tc>
          <w:tcPr>
            <w:tcW w:w="1650" w:type="dxa"/>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1套</w:t>
            </w:r>
          </w:p>
        </w:tc>
        <w:tc>
          <w:tcPr>
            <w:tcW w:w="1650" w:type="dxa"/>
            <w:vMerge w:val="restart"/>
            <w:shd w:val="clear" w:color="auto" w:fill="auto"/>
            <w:vAlign w:val="center"/>
          </w:tcPr>
          <w:p>
            <w:pPr>
              <w:pStyle w:val="11"/>
              <w:rPr>
                <w:rFonts w:ascii="仿宋" w:hAnsi="仿宋" w:eastAsia="仿宋" w:cs="仿宋"/>
                <w:color w:val="000000"/>
                <w:szCs w:val="21"/>
                <w:lang w:val="en-US" w:eastAsia="zh-CN"/>
              </w:rPr>
            </w:pPr>
            <w:r>
              <w:rPr>
                <w:rFonts w:hint="eastAsia" w:ascii="仿宋" w:hAnsi="仿宋" w:eastAsia="仿宋" w:cs="仿宋"/>
                <w:color w:val="000000"/>
                <w:kern w:val="0"/>
                <w:szCs w:val="21"/>
                <w:lang w:val="en-US" w:eastAsia="zh-CN"/>
              </w:rPr>
              <w:t>按《国家医疗健康信息医院信息互联互通标准化成熟度测评方案（最新版）》四级甲等要求及《电子病历系统功能应用水平分级评价》最新版五级要求建设。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3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1053" w:type="dxa"/>
            <w:vMerge w:val="continue"/>
            <w:shd w:val="clear" w:color="auto" w:fill="auto"/>
            <w:vAlign w:val="center"/>
          </w:tcPr>
          <w:p>
            <w:pPr>
              <w:jc w:val="center"/>
              <w:rPr>
                <w:rFonts w:ascii="仿宋" w:hAnsi="仿宋" w:eastAsia="仿宋" w:cs="仿宋"/>
                <w:color w:val="000000"/>
                <w:szCs w:val="21"/>
              </w:rPr>
            </w:pPr>
          </w:p>
        </w:tc>
        <w:tc>
          <w:tcPr>
            <w:tcW w:w="3368" w:type="dxa"/>
            <w:shd w:val="clear" w:color="auto" w:fill="auto"/>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统一工作门户</w:t>
            </w:r>
          </w:p>
        </w:tc>
        <w:tc>
          <w:tcPr>
            <w:tcW w:w="1650" w:type="dxa"/>
          </w:tcPr>
          <w:p>
            <w:pPr>
              <w:jc w:val="center"/>
              <w:rPr>
                <w:rFonts w:ascii="仿宋" w:hAnsi="仿宋" w:eastAsia="仿宋" w:cs="仿宋"/>
                <w:color w:val="000000"/>
                <w:szCs w:val="21"/>
              </w:rPr>
            </w:pPr>
            <w:r>
              <w:rPr>
                <w:rFonts w:hint="eastAsia" w:ascii="仿宋" w:hAnsi="仿宋" w:eastAsia="仿宋" w:cs="仿宋"/>
                <w:color w:val="000000"/>
                <w:kern w:val="0"/>
                <w:szCs w:val="21"/>
              </w:rPr>
              <w:t>1套</w:t>
            </w:r>
          </w:p>
        </w:tc>
        <w:tc>
          <w:tcPr>
            <w:tcW w:w="1650" w:type="dxa"/>
            <w:vMerge w:val="continue"/>
            <w:shd w:val="clear" w:color="auto" w:fill="auto"/>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3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1053" w:type="dxa"/>
            <w:vMerge w:val="continue"/>
            <w:shd w:val="clear" w:color="auto" w:fill="auto"/>
            <w:vAlign w:val="center"/>
          </w:tcPr>
          <w:p>
            <w:pPr>
              <w:jc w:val="center"/>
              <w:rPr>
                <w:rFonts w:ascii="仿宋" w:hAnsi="仿宋" w:eastAsia="仿宋" w:cs="仿宋"/>
                <w:color w:val="000000"/>
                <w:szCs w:val="21"/>
              </w:rPr>
            </w:pPr>
          </w:p>
        </w:tc>
        <w:tc>
          <w:tcPr>
            <w:tcW w:w="3368" w:type="dxa"/>
            <w:shd w:val="clear" w:color="auto" w:fill="auto"/>
            <w:noWrap/>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主数据管理MDM</w:t>
            </w:r>
          </w:p>
        </w:tc>
        <w:tc>
          <w:tcPr>
            <w:tcW w:w="1650" w:type="dxa"/>
          </w:tcPr>
          <w:p>
            <w:pPr>
              <w:jc w:val="center"/>
              <w:rPr>
                <w:rFonts w:ascii="仿宋" w:hAnsi="仿宋" w:eastAsia="仿宋" w:cs="仿宋"/>
                <w:color w:val="000000"/>
                <w:szCs w:val="21"/>
              </w:rPr>
            </w:pPr>
            <w:r>
              <w:rPr>
                <w:rFonts w:hint="eastAsia" w:ascii="仿宋" w:hAnsi="仿宋" w:eastAsia="仿宋" w:cs="仿宋"/>
                <w:color w:val="000000"/>
                <w:kern w:val="0"/>
                <w:szCs w:val="21"/>
              </w:rPr>
              <w:t>1套</w:t>
            </w:r>
          </w:p>
        </w:tc>
        <w:tc>
          <w:tcPr>
            <w:tcW w:w="1650" w:type="dxa"/>
            <w:vMerge w:val="continue"/>
            <w:shd w:val="clear" w:color="auto" w:fill="auto"/>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83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1053" w:type="dxa"/>
            <w:vMerge w:val="continue"/>
            <w:shd w:val="clear" w:color="auto" w:fill="auto"/>
            <w:vAlign w:val="center"/>
          </w:tcPr>
          <w:p>
            <w:pPr>
              <w:jc w:val="center"/>
              <w:rPr>
                <w:rFonts w:ascii="仿宋" w:hAnsi="仿宋" w:eastAsia="仿宋" w:cs="仿宋"/>
                <w:color w:val="000000"/>
                <w:szCs w:val="21"/>
              </w:rPr>
            </w:pPr>
          </w:p>
        </w:tc>
        <w:tc>
          <w:tcPr>
            <w:tcW w:w="3368" w:type="dxa"/>
            <w:shd w:val="clear" w:color="auto" w:fill="auto"/>
            <w:noWrap/>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患者主索引管理EMPI</w:t>
            </w:r>
          </w:p>
        </w:tc>
        <w:tc>
          <w:tcPr>
            <w:tcW w:w="1650" w:type="dxa"/>
          </w:tcPr>
          <w:p>
            <w:pPr>
              <w:jc w:val="center"/>
              <w:rPr>
                <w:rFonts w:ascii="仿宋" w:hAnsi="仿宋" w:eastAsia="仿宋" w:cs="仿宋"/>
                <w:color w:val="000000"/>
                <w:szCs w:val="21"/>
              </w:rPr>
            </w:pPr>
            <w:r>
              <w:rPr>
                <w:rFonts w:hint="eastAsia" w:ascii="仿宋" w:hAnsi="仿宋" w:eastAsia="仿宋" w:cs="仿宋"/>
                <w:color w:val="000000"/>
                <w:kern w:val="0"/>
                <w:szCs w:val="21"/>
              </w:rPr>
              <w:t>1套</w:t>
            </w:r>
          </w:p>
        </w:tc>
        <w:tc>
          <w:tcPr>
            <w:tcW w:w="1650" w:type="dxa"/>
            <w:vMerge w:val="continue"/>
            <w:shd w:val="clear" w:color="auto" w:fill="auto"/>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 w:hRule="atLeast"/>
        </w:trPr>
        <w:tc>
          <w:tcPr>
            <w:tcW w:w="83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w:t>
            </w:r>
          </w:p>
        </w:tc>
        <w:tc>
          <w:tcPr>
            <w:tcW w:w="1053" w:type="dxa"/>
            <w:vMerge w:val="continue"/>
            <w:shd w:val="clear" w:color="auto" w:fill="auto"/>
            <w:vAlign w:val="center"/>
          </w:tcPr>
          <w:p>
            <w:pPr>
              <w:jc w:val="center"/>
              <w:rPr>
                <w:rFonts w:ascii="仿宋" w:hAnsi="仿宋" w:eastAsia="仿宋" w:cs="仿宋"/>
                <w:color w:val="000000"/>
                <w:szCs w:val="21"/>
              </w:rPr>
            </w:pPr>
          </w:p>
        </w:tc>
        <w:tc>
          <w:tcPr>
            <w:tcW w:w="3368" w:type="dxa"/>
            <w:shd w:val="clear" w:color="auto" w:fill="auto"/>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统一消息管理</w:t>
            </w:r>
          </w:p>
        </w:tc>
        <w:tc>
          <w:tcPr>
            <w:tcW w:w="1650" w:type="dxa"/>
          </w:tcPr>
          <w:p>
            <w:pPr>
              <w:jc w:val="center"/>
              <w:rPr>
                <w:rFonts w:ascii="仿宋" w:hAnsi="仿宋" w:eastAsia="仿宋" w:cs="仿宋"/>
                <w:color w:val="000000"/>
                <w:szCs w:val="21"/>
              </w:rPr>
            </w:pPr>
            <w:r>
              <w:rPr>
                <w:rFonts w:hint="eastAsia" w:ascii="仿宋" w:hAnsi="仿宋" w:eastAsia="仿宋" w:cs="仿宋"/>
                <w:color w:val="000000"/>
                <w:kern w:val="0"/>
                <w:szCs w:val="21"/>
              </w:rPr>
              <w:t>1套</w:t>
            </w:r>
          </w:p>
        </w:tc>
        <w:tc>
          <w:tcPr>
            <w:tcW w:w="1650" w:type="dxa"/>
            <w:vMerge w:val="continue"/>
            <w:shd w:val="clear" w:color="auto" w:fill="auto"/>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83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w:t>
            </w:r>
          </w:p>
        </w:tc>
        <w:tc>
          <w:tcPr>
            <w:tcW w:w="1053" w:type="dxa"/>
            <w:vMerge w:val="continue"/>
            <w:shd w:val="clear" w:color="auto" w:fill="auto"/>
            <w:vAlign w:val="center"/>
          </w:tcPr>
          <w:p>
            <w:pPr>
              <w:jc w:val="center"/>
              <w:rPr>
                <w:rFonts w:ascii="仿宋" w:hAnsi="仿宋" w:eastAsia="仿宋" w:cs="仿宋"/>
                <w:color w:val="000000"/>
                <w:szCs w:val="21"/>
              </w:rPr>
            </w:pPr>
          </w:p>
        </w:tc>
        <w:tc>
          <w:tcPr>
            <w:tcW w:w="3368" w:type="dxa"/>
            <w:shd w:val="clear" w:color="auto" w:fill="auto"/>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统一用户管理</w:t>
            </w:r>
          </w:p>
        </w:tc>
        <w:tc>
          <w:tcPr>
            <w:tcW w:w="1650" w:type="dxa"/>
          </w:tcPr>
          <w:p>
            <w:pPr>
              <w:jc w:val="center"/>
              <w:rPr>
                <w:rFonts w:ascii="仿宋" w:hAnsi="仿宋" w:eastAsia="仿宋" w:cs="仿宋"/>
                <w:color w:val="000000"/>
                <w:szCs w:val="21"/>
              </w:rPr>
            </w:pPr>
            <w:r>
              <w:rPr>
                <w:rFonts w:hint="eastAsia" w:ascii="仿宋" w:hAnsi="仿宋" w:eastAsia="仿宋" w:cs="仿宋"/>
                <w:color w:val="000000"/>
                <w:kern w:val="0"/>
                <w:szCs w:val="21"/>
              </w:rPr>
              <w:t>1套</w:t>
            </w:r>
          </w:p>
        </w:tc>
        <w:tc>
          <w:tcPr>
            <w:tcW w:w="1650" w:type="dxa"/>
            <w:vMerge w:val="continue"/>
            <w:shd w:val="clear" w:color="auto" w:fill="auto"/>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3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w:t>
            </w:r>
          </w:p>
        </w:tc>
        <w:tc>
          <w:tcPr>
            <w:tcW w:w="1053" w:type="dxa"/>
            <w:vMerge w:val="continue"/>
            <w:shd w:val="clear" w:color="auto" w:fill="auto"/>
            <w:vAlign w:val="center"/>
          </w:tcPr>
          <w:p>
            <w:pPr>
              <w:jc w:val="center"/>
              <w:rPr>
                <w:rFonts w:ascii="仿宋" w:hAnsi="仿宋" w:eastAsia="仿宋" w:cs="仿宋"/>
                <w:color w:val="000000"/>
                <w:szCs w:val="21"/>
              </w:rPr>
            </w:pPr>
          </w:p>
        </w:tc>
        <w:tc>
          <w:tcPr>
            <w:tcW w:w="3368" w:type="dxa"/>
            <w:shd w:val="clear" w:color="auto" w:fill="auto"/>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统一权限管理及授权服务</w:t>
            </w:r>
          </w:p>
        </w:tc>
        <w:tc>
          <w:tcPr>
            <w:tcW w:w="1650" w:type="dxa"/>
          </w:tcPr>
          <w:p>
            <w:pPr>
              <w:jc w:val="center"/>
              <w:rPr>
                <w:rFonts w:ascii="仿宋" w:hAnsi="仿宋" w:eastAsia="仿宋" w:cs="仿宋"/>
                <w:color w:val="000000"/>
                <w:szCs w:val="21"/>
              </w:rPr>
            </w:pPr>
            <w:r>
              <w:rPr>
                <w:rFonts w:hint="eastAsia" w:ascii="仿宋" w:hAnsi="仿宋" w:eastAsia="仿宋" w:cs="仿宋"/>
                <w:color w:val="000000"/>
                <w:kern w:val="0"/>
                <w:szCs w:val="21"/>
              </w:rPr>
              <w:t>1套</w:t>
            </w:r>
          </w:p>
        </w:tc>
        <w:tc>
          <w:tcPr>
            <w:tcW w:w="1650" w:type="dxa"/>
            <w:vMerge w:val="continue"/>
            <w:shd w:val="clear" w:color="auto" w:fill="auto"/>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3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w:t>
            </w:r>
          </w:p>
        </w:tc>
        <w:tc>
          <w:tcPr>
            <w:tcW w:w="1053"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集成平台</w:t>
            </w:r>
          </w:p>
        </w:tc>
        <w:tc>
          <w:tcPr>
            <w:tcW w:w="3368" w:type="dxa"/>
            <w:shd w:val="clear" w:color="auto" w:fill="auto"/>
            <w:noWrap/>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ESB服务总线实施</w:t>
            </w:r>
          </w:p>
        </w:tc>
        <w:tc>
          <w:tcPr>
            <w:tcW w:w="1650" w:type="dxa"/>
          </w:tcPr>
          <w:p>
            <w:pPr>
              <w:jc w:val="center"/>
              <w:rPr>
                <w:rFonts w:ascii="仿宋" w:hAnsi="仿宋" w:eastAsia="仿宋" w:cs="仿宋"/>
                <w:color w:val="000000"/>
                <w:szCs w:val="21"/>
              </w:rPr>
            </w:pPr>
            <w:r>
              <w:rPr>
                <w:rFonts w:hint="eastAsia" w:ascii="仿宋" w:hAnsi="仿宋" w:eastAsia="仿宋" w:cs="仿宋"/>
                <w:color w:val="000000"/>
                <w:kern w:val="0"/>
                <w:szCs w:val="21"/>
              </w:rPr>
              <w:t>1套</w:t>
            </w:r>
          </w:p>
        </w:tc>
        <w:tc>
          <w:tcPr>
            <w:tcW w:w="1650" w:type="dxa"/>
            <w:vMerge w:val="continue"/>
            <w:shd w:val="clear" w:color="auto" w:fill="auto"/>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3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w:t>
            </w:r>
          </w:p>
        </w:tc>
        <w:tc>
          <w:tcPr>
            <w:tcW w:w="1053" w:type="dxa"/>
            <w:vMerge w:val="continue"/>
            <w:shd w:val="clear" w:color="auto" w:fill="auto"/>
            <w:vAlign w:val="center"/>
          </w:tcPr>
          <w:p>
            <w:pPr>
              <w:jc w:val="center"/>
              <w:rPr>
                <w:rFonts w:ascii="仿宋" w:hAnsi="仿宋" w:eastAsia="仿宋" w:cs="仿宋"/>
                <w:color w:val="000000"/>
                <w:szCs w:val="21"/>
              </w:rPr>
            </w:pPr>
          </w:p>
        </w:tc>
        <w:tc>
          <w:tcPr>
            <w:tcW w:w="3368" w:type="dxa"/>
            <w:shd w:val="clear" w:color="auto" w:fill="auto"/>
            <w:noWrap/>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互联互通标准化服务</w:t>
            </w:r>
          </w:p>
        </w:tc>
        <w:tc>
          <w:tcPr>
            <w:tcW w:w="1650" w:type="dxa"/>
          </w:tcPr>
          <w:p>
            <w:pPr>
              <w:jc w:val="center"/>
              <w:rPr>
                <w:rFonts w:ascii="仿宋" w:hAnsi="仿宋" w:eastAsia="仿宋" w:cs="仿宋"/>
                <w:color w:val="000000"/>
                <w:szCs w:val="21"/>
              </w:rPr>
            </w:pPr>
            <w:r>
              <w:rPr>
                <w:rFonts w:hint="eastAsia" w:ascii="仿宋" w:hAnsi="仿宋" w:eastAsia="仿宋" w:cs="仿宋"/>
                <w:color w:val="000000"/>
                <w:kern w:val="0"/>
                <w:szCs w:val="21"/>
              </w:rPr>
              <w:t>1套</w:t>
            </w:r>
          </w:p>
        </w:tc>
        <w:tc>
          <w:tcPr>
            <w:tcW w:w="1650" w:type="dxa"/>
            <w:vMerge w:val="continue"/>
            <w:shd w:val="clear" w:color="auto" w:fill="auto"/>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3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1053" w:type="dxa"/>
            <w:vMerge w:val="continue"/>
            <w:shd w:val="clear" w:color="auto" w:fill="auto"/>
            <w:vAlign w:val="center"/>
          </w:tcPr>
          <w:p>
            <w:pPr>
              <w:jc w:val="center"/>
              <w:rPr>
                <w:rFonts w:ascii="仿宋" w:hAnsi="仿宋" w:eastAsia="仿宋" w:cs="仿宋"/>
                <w:color w:val="000000"/>
                <w:szCs w:val="21"/>
              </w:rPr>
            </w:pPr>
          </w:p>
        </w:tc>
        <w:tc>
          <w:tcPr>
            <w:tcW w:w="3368" w:type="dxa"/>
            <w:shd w:val="clear" w:color="auto" w:fill="auto"/>
            <w:noWrap/>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集成平台管理系统</w:t>
            </w:r>
          </w:p>
        </w:tc>
        <w:tc>
          <w:tcPr>
            <w:tcW w:w="1650" w:type="dxa"/>
          </w:tcPr>
          <w:p>
            <w:pPr>
              <w:jc w:val="center"/>
              <w:rPr>
                <w:rFonts w:ascii="仿宋" w:hAnsi="仿宋" w:eastAsia="仿宋" w:cs="仿宋"/>
                <w:color w:val="000000"/>
                <w:szCs w:val="21"/>
              </w:rPr>
            </w:pPr>
            <w:r>
              <w:rPr>
                <w:rFonts w:hint="eastAsia" w:ascii="仿宋" w:hAnsi="仿宋" w:eastAsia="仿宋" w:cs="仿宋"/>
                <w:color w:val="000000"/>
                <w:kern w:val="0"/>
                <w:szCs w:val="21"/>
              </w:rPr>
              <w:t>1套</w:t>
            </w:r>
          </w:p>
        </w:tc>
        <w:tc>
          <w:tcPr>
            <w:tcW w:w="1650" w:type="dxa"/>
            <w:vMerge w:val="continue"/>
            <w:shd w:val="clear" w:color="auto" w:fill="auto"/>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3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w:t>
            </w:r>
          </w:p>
        </w:tc>
        <w:tc>
          <w:tcPr>
            <w:tcW w:w="1053" w:type="dxa"/>
            <w:vMerge w:val="continue"/>
            <w:shd w:val="clear" w:color="auto" w:fill="auto"/>
            <w:vAlign w:val="center"/>
          </w:tcPr>
          <w:p>
            <w:pPr>
              <w:jc w:val="center"/>
              <w:rPr>
                <w:rFonts w:ascii="仿宋" w:hAnsi="仿宋" w:eastAsia="仿宋" w:cs="仿宋"/>
                <w:color w:val="000000"/>
                <w:szCs w:val="21"/>
              </w:rPr>
            </w:pPr>
          </w:p>
        </w:tc>
        <w:tc>
          <w:tcPr>
            <w:tcW w:w="3368" w:type="dxa"/>
            <w:shd w:val="clear" w:color="auto" w:fill="auto"/>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集成平台服务运行监控管理系统</w:t>
            </w:r>
          </w:p>
        </w:tc>
        <w:tc>
          <w:tcPr>
            <w:tcW w:w="1650" w:type="dxa"/>
          </w:tcPr>
          <w:p>
            <w:pPr>
              <w:jc w:val="center"/>
              <w:rPr>
                <w:rFonts w:ascii="仿宋" w:hAnsi="仿宋" w:eastAsia="仿宋" w:cs="仿宋"/>
                <w:color w:val="000000"/>
                <w:szCs w:val="21"/>
              </w:rPr>
            </w:pPr>
            <w:r>
              <w:rPr>
                <w:rFonts w:hint="eastAsia" w:ascii="仿宋" w:hAnsi="仿宋" w:eastAsia="仿宋" w:cs="仿宋"/>
                <w:color w:val="000000"/>
                <w:kern w:val="0"/>
                <w:szCs w:val="21"/>
              </w:rPr>
              <w:t>1套</w:t>
            </w:r>
          </w:p>
        </w:tc>
        <w:tc>
          <w:tcPr>
            <w:tcW w:w="1650" w:type="dxa"/>
            <w:vMerge w:val="continue"/>
            <w:shd w:val="clear" w:color="auto" w:fill="auto"/>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39" w:type="dxa"/>
            <w:shd w:val="clear" w:color="auto" w:fill="auto"/>
            <w:vAlign w:val="center"/>
          </w:tcPr>
          <w:p>
            <w:pPr>
              <w:widowControl/>
              <w:jc w:val="center"/>
              <w:textAlignment w:val="center"/>
              <w:rPr>
                <w:rFonts w:ascii="仿宋" w:hAnsi="仿宋" w:eastAsia="仿宋" w:cs="仿宋"/>
                <w:color w:val="000000"/>
                <w:szCs w:val="21"/>
              </w:rPr>
            </w:pPr>
            <w:bookmarkStart w:id="365" w:name="_Hlk103614937"/>
            <w:r>
              <w:rPr>
                <w:rFonts w:hint="eastAsia" w:ascii="仿宋" w:hAnsi="仿宋" w:eastAsia="仿宋" w:cs="仿宋"/>
                <w:color w:val="000000"/>
                <w:kern w:val="0"/>
                <w:szCs w:val="21"/>
              </w:rPr>
              <w:t>12</w:t>
            </w:r>
          </w:p>
        </w:tc>
        <w:tc>
          <w:tcPr>
            <w:tcW w:w="1053"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数据中心</w:t>
            </w:r>
          </w:p>
        </w:tc>
        <w:tc>
          <w:tcPr>
            <w:tcW w:w="3368" w:type="dxa"/>
            <w:shd w:val="clear" w:color="auto" w:fill="FFFFFF"/>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数据采集及源数据库（ODS）建设</w:t>
            </w:r>
          </w:p>
        </w:tc>
        <w:tc>
          <w:tcPr>
            <w:tcW w:w="1650" w:type="dxa"/>
          </w:tcPr>
          <w:p>
            <w:pPr>
              <w:jc w:val="center"/>
              <w:rPr>
                <w:rFonts w:ascii="仿宋" w:hAnsi="仿宋" w:eastAsia="仿宋" w:cs="仿宋"/>
                <w:color w:val="000000"/>
                <w:szCs w:val="21"/>
              </w:rPr>
            </w:pPr>
            <w:r>
              <w:rPr>
                <w:rFonts w:hint="eastAsia" w:ascii="仿宋" w:hAnsi="仿宋" w:eastAsia="仿宋" w:cs="仿宋"/>
                <w:color w:val="000000"/>
                <w:kern w:val="0"/>
                <w:szCs w:val="21"/>
              </w:rPr>
              <w:t>1套</w:t>
            </w:r>
          </w:p>
        </w:tc>
        <w:tc>
          <w:tcPr>
            <w:tcW w:w="1650" w:type="dxa"/>
            <w:vMerge w:val="continue"/>
            <w:shd w:val="clear" w:color="auto" w:fill="auto"/>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3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13</w:t>
            </w:r>
          </w:p>
        </w:tc>
        <w:tc>
          <w:tcPr>
            <w:tcW w:w="1053" w:type="dxa"/>
            <w:vMerge w:val="continue"/>
            <w:shd w:val="clear" w:color="auto" w:fill="auto"/>
            <w:vAlign w:val="center"/>
          </w:tcPr>
          <w:p>
            <w:pPr>
              <w:jc w:val="center"/>
              <w:rPr>
                <w:rFonts w:ascii="仿宋" w:hAnsi="仿宋" w:eastAsia="仿宋" w:cs="仿宋"/>
                <w:color w:val="000000"/>
                <w:szCs w:val="21"/>
              </w:rPr>
            </w:pPr>
          </w:p>
        </w:tc>
        <w:tc>
          <w:tcPr>
            <w:tcW w:w="3368" w:type="dxa"/>
            <w:shd w:val="clear" w:color="auto" w:fill="FFFFFF"/>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数据清洗及治理（ETL）建设</w:t>
            </w:r>
          </w:p>
        </w:tc>
        <w:tc>
          <w:tcPr>
            <w:tcW w:w="1650" w:type="dxa"/>
          </w:tcPr>
          <w:p>
            <w:pPr>
              <w:jc w:val="center"/>
              <w:rPr>
                <w:rFonts w:ascii="仿宋" w:hAnsi="仿宋" w:eastAsia="仿宋" w:cs="仿宋"/>
                <w:color w:val="000000"/>
                <w:szCs w:val="21"/>
              </w:rPr>
            </w:pPr>
            <w:r>
              <w:rPr>
                <w:rFonts w:hint="eastAsia" w:ascii="仿宋" w:hAnsi="仿宋" w:eastAsia="仿宋" w:cs="仿宋"/>
                <w:color w:val="000000"/>
                <w:kern w:val="0"/>
                <w:szCs w:val="21"/>
              </w:rPr>
              <w:t>1套</w:t>
            </w:r>
          </w:p>
        </w:tc>
        <w:tc>
          <w:tcPr>
            <w:tcW w:w="1650" w:type="dxa"/>
            <w:vMerge w:val="continue"/>
            <w:shd w:val="clear" w:color="auto" w:fill="auto"/>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3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14</w:t>
            </w:r>
          </w:p>
        </w:tc>
        <w:tc>
          <w:tcPr>
            <w:tcW w:w="1053" w:type="dxa"/>
            <w:vMerge w:val="continue"/>
            <w:shd w:val="clear" w:color="auto" w:fill="auto"/>
            <w:vAlign w:val="center"/>
          </w:tcPr>
          <w:p>
            <w:pPr>
              <w:jc w:val="center"/>
              <w:rPr>
                <w:rFonts w:ascii="仿宋" w:hAnsi="仿宋" w:eastAsia="仿宋" w:cs="仿宋"/>
                <w:color w:val="000000"/>
                <w:szCs w:val="21"/>
              </w:rPr>
            </w:pPr>
          </w:p>
        </w:tc>
        <w:tc>
          <w:tcPr>
            <w:tcW w:w="3368" w:type="dxa"/>
            <w:shd w:val="clear" w:color="auto" w:fill="FFFFFF"/>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临床大数据中心CDR</w:t>
            </w:r>
          </w:p>
        </w:tc>
        <w:tc>
          <w:tcPr>
            <w:tcW w:w="1650" w:type="dxa"/>
          </w:tcPr>
          <w:p>
            <w:pPr>
              <w:jc w:val="center"/>
              <w:rPr>
                <w:rFonts w:ascii="仿宋" w:hAnsi="仿宋" w:eastAsia="仿宋" w:cs="仿宋"/>
                <w:color w:val="000000"/>
                <w:szCs w:val="21"/>
              </w:rPr>
            </w:pPr>
            <w:r>
              <w:rPr>
                <w:rFonts w:hint="eastAsia" w:ascii="仿宋" w:hAnsi="仿宋" w:eastAsia="仿宋" w:cs="仿宋"/>
                <w:color w:val="000000"/>
                <w:kern w:val="0"/>
                <w:szCs w:val="21"/>
              </w:rPr>
              <w:t>1套</w:t>
            </w:r>
          </w:p>
        </w:tc>
        <w:tc>
          <w:tcPr>
            <w:tcW w:w="1650" w:type="dxa"/>
            <w:vMerge w:val="continue"/>
            <w:shd w:val="clear" w:color="auto" w:fill="auto"/>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3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w:t>
            </w:r>
          </w:p>
        </w:tc>
        <w:tc>
          <w:tcPr>
            <w:tcW w:w="1053" w:type="dxa"/>
            <w:vMerge w:val="continue"/>
            <w:shd w:val="clear" w:color="auto" w:fill="auto"/>
            <w:vAlign w:val="center"/>
          </w:tcPr>
          <w:p>
            <w:pPr>
              <w:jc w:val="center"/>
              <w:rPr>
                <w:rFonts w:ascii="仿宋" w:hAnsi="仿宋" w:eastAsia="仿宋" w:cs="仿宋"/>
                <w:color w:val="000000"/>
                <w:szCs w:val="21"/>
              </w:rPr>
            </w:pPr>
          </w:p>
        </w:tc>
        <w:tc>
          <w:tcPr>
            <w:tcW w:w="3368" w:type="dxa"/>
            <w:shd w:val="clear" w:color="auto" w:fill="FFFFFF"/>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运营大数据中心ODR</w:t>
            </w:r>
          </w:p>
        </w:tc>
        <w:tc>
          <w:tcPr>
            <w:tcW w:w="1650" w:type="dxa"/>
          </w:tcPr>
          <w:p>
            <w:pPr>
              <w:jc w:val="center"/>
              <w:rPr>
                <w:rFonts w:ascii="仿宋" w:hAnsi="仿宋" w:eastAsia="仿宋" w:cs="仿宋"/>
                <w:color w:val="000000"/>
                <w:szCs w:val="21"/>
              </w:rPr>
            </w:pPr>
            <w:r>
              <w:rPr>
                <w:rFonts w:hint="eastAsia" w:ascii="仿宋" w:hAnsi="仿宋" w:eastAsia="仿宋" w:cs="仿宋"/>
                <w:color w:val="000000"/>
                <w:kern w:val="0"/>
                <w:szCs w:val="21"/>
              </w:rPr>
              <w:t>1套</w:t>
            </w:r>
          </w:p>
        </w:tc>
        <w:tc>
          <w:tcPr>
            <w:tcW w:w="1650" w:type="dxa"/>
            <w:vMerge w:val="continue"/>
            <w:shd w:val="clear" w:color="auto" w:fill="auto"/>
            <w:vAlign w:val="center"/>
          </w:tcPr>
          <w:p>
            <w:pPr>
              <w:jc w:val="center"/>
              <w:rPr>
                <w:rFonts w:ascii="仿宋" w:hAnsi="仿宋" w:eastAsia="仿宋" w:cs="仿宋"/>
                <w:color w:val="000000"/>
                <w:szCs w:val="21"/>
              </w:rPr>
            </w:pPr>
          </w:p>
        </w:tc>
      </w:tr>
      <w:bookmarkEnd w:id="365"/>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3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16</w:t>
            </w:r>
          </w:p>
        </w:tc>
        <w:tc>
          <w:tcPr>
            <w:tcW w:w="1053"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数据中心应用</w:t>
            </w:r>
          </w:p>
        </w:tc>
        <w:tc>
          <w:tcPr>
            <w:tcW w:w="3368" w:type="dxa"/>
            <w:shd w:val="clear" w:color="auto" w:fill="auto"/>
            <w:noWrap/>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患者360全息视图系统</w:t>
            </w:r>
          </w:p>
        </w:tc>
        <w:tc>
          <w:tcPr>
            <w:tcW w:w="1650" w:type="dxa"/>
          </w:tcPr>
          <w:p>
            <w:pPr>
              <w:jc w:val="center"/>
              <w:rPr>
                <w:rFonts w:ascii="仿宋" w:hAnsi="仿宋" w:eastAsia="仿宋" w:cs="仿宋"/>
                <w:color w:val="000000"/>
                <w:szCs w:val="21"/>
              </w:rPr>
            </w:pPr>
            <w:r>
              <w:rPr>
                <w:rFonts w:hint="eastAsia" w:ascii="仿宋" w:hAnsi="仿宋" w:eastAsia="仿宋" w:cs="仿宋"/>
                <w:color w:val="000000"/>
                <w:kern w:val="0"/>
                <w:szCs w:val="21"/>
              </w:rPr>
              <w:t>1套</w:t>
            </w:r>
          </w:p>
        </w:tc>
        <w:tc>
          <w:tcPr>
            <w:tcW w:w="1650" w:type="dxa"/>
            <w:vMerge w:val="continue"/>
            <w:shd w:val="clear" w:color="auto" w:fill="auto"/>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3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17</w:t>
            </w:r>
          </w:p>
        </w:tc>
        <w:tc>
          <w:tcPr>
            <w:tcW w:w="1053" w:type="dxa"/>
            <w:vMerge w:val="continue"/>
            <w:shd w:val="clear" w:color="auto" w:fill="auto"/>
            <w:vAlign w:val="center"/>
          </w:tcPr>
          <w:p>
            <w:pPr>
              <w:jc w:val="center"/>
              <w:rPr>
                <w:rFonts w:ascii="仿宋" w:hAnsi="仿宋" w:eastAsia="仿宋" w:cs="仿宋"/>
                <w:color w:val="000000"/>
                <w:szCs w:val="21"/>
              </w:rPr>
            </w:pPr>
          </w:p>
        </w:tc>
        <w:tc>
          <w:tcPr>
            <w:tcW w:w="3368" w:type="dxa"/>
            <w:shd w:val="clear" w:color="auto" w:fill="auto"/>
            <w:noWrap/>
            <w:vAlign w:val="center"/>
          </w:tcPr>
          <w:p>
            <w:pPr>
              <w:widowControl/>
              <w:jc w:val="left"/>
              <w:textAlignment w:val="center"/>
              <w:rPr>
                <w:rFonts w:ascii="仿宋" w:hAnsi="仿宋" w:eastAsia="仿宋" w:cs="仿宋"/>
                <w:color w:val="000000"/>
                <w:szCs w:val="21"/>
              </w:rPr>
            </w:pPr>
            <w:r>
              <w:rPr>
                <w:rFonts w:hint="eastAsia" w:ascii="仿宋" w:hAnsi="仿宋" w:eastAsia="仿宋" w:cs="仿宋"/>
                <w:kern w:val="0"/>
                <w:szCs w:val="21"/>
              </w:rPr>
              <w:t>全院运营决策管理系统</w:t>
            </w:r>
          </w:p>
        </w:tc>
        <w:tc>
          <w:tcPr>
            <w:tcW w:w="1650" w:type="dxa"/>
          </w:tcPr>
          <w:p>
            <w:pPr>
              <w:jc w:val="center"/>
              <w:rPr>
                <w:rFonts w:ascii="仿宋" w:hAnsi="仿宋" w:eastAsia="仿宋" w:cs="仿宋"/>
                <w:color w:val="000000"/>
                <w:szCs w:val="21"/>
              </w:rPr>
            </w:pPr>
            <w:r>
              <w:rPr>
                <w:rFonts w:hint="eastAsia" w:ascii="仿宋" w:hAnsi="仿宋" w:eastAsia="仿宋" w:cs="仿宋"/>
                <w:color w:val="000000"/>
                <w:kern w:val="0"/>
                <w:szCs w:val="21"/>
              </w:rPr>
              <w:t>1套</w:t>
            </w:r>
          </w:p>
        </w:tc>
        <w:tc>
          <w:tcPr>
            <w:tcW w:w="1650" w:type="dxa"/>
            <w:vMerge w:val="continue"/>
            <w:shd w:val="clear" w:color="auto" w:fill="auto"/>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39"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18</w:t>
            </w:r>
          </w:p>
        </w:tc>
        <w:tc>
          <w:tcPr>
            <w:tcW w:w="1053" w:type="dxa"/>
            <w:vMerge w:val="continue"/>
            <w:shd w:val="clear" w:color="auto" w:fill="auto"/>
            <w:vAlign w:val="center"/>
          </w:tcPr>
          <w:p>
            <w:pPr>
              <w:jc w:val="center"/>
              <w:rPr>
                <w:rFonts w:ascii="仿宋" w:hAnsi="仿宋" w:eastAsia="仿宋" w:cs="仿宋"/>
                <w:color w:val="000000"/>
                <w:szCs w:val="21"/>
              </w:rPr>
            </w:pPr>
          </w:p>
        </w:tc>
        <w:tc>
          <w:tcPr>
            <w:tcW w:w="3368" w:type="dxa"/>
            <w:shd w:val="clear" w:color="auto" w:fill="auto"/>
            <w:noWrap/>
            <w:vAlign w:val="center"/>
          </w:tcPr>
          <w:p>
            <w:pPr>
              <w:widowControl/>
              <w:jc w:val="left"/>
              <w:textAlignment w:val="center"/>
              <w:rPr>
                <w:rFonts w:ascii="仿宋" w:hAnsi="仿宋" w:eastAsia="仿宋" w:cs="仿宋"/>
                <w:color w:val="000000"/>
                <w:szCs w:val="21"/>
              </w:rPr>
            </w:pPr>
            <w:r>
              <w:rPr>
                <w:rFonts w:hint="eastAsia" w:ascii="仿宋" w:hAnsi="仿宋" w:eastAsia="仿宋" w:cs="仿宋"/>
                <w:kern w:val="0"/>
                <w:szCs w:val="21"/>
              </w:rPr>
              <w:t>门急诊运营决策管理系统</w:t>
            </w:r>
          </w:p>
        </w:tc>
        <w:tc>
          <w:tcPr>
            <w:tcW w:w="1650" w:type="dxa"/>
          </w:tcPr>
          <w:p>
            <w:pPr>
              <w:jc w:val="center"/>
              <w:rPr>
                <w:rFonts w:ascii="仿宋" w:hAnsi="仿宋" w:eastAsia="仿宋" w:cs="仿宋"/>
                <w:color w:val="000000"/>
                <w:kern w:val="0"/>
                <w:szCs w:val="21"/>
              </w:rPr>
            </w:pPr>
            <w:r>
              <w:rPr>
                <w:rFonts w:hint="eastAsia" w:ascii="仿宋" w:hAnsi="仿宋" w:eastAsia="仿宋" w:cs="仿宋"/>
                <w:color w:val="000000"/>
                <w:kern w:val="0"/>
                <w:szCs w:val="21"/>
              </w:rPr>
              <w:t>1套</w:t>
            </w:r>
          </w:p>
        </w:tc>
        <w:tc>
          <w:tcPr>
            <w:tcW w:w="1650" w:type="dxa"/>
            <w:vMerge w:val="continue"/>
            <w:shd w:val="clear" w:color="auto" w:fill="auto"/>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39"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19</w:t>
            </w:r>
          </w:p>
        </w:tc>
        <w:tc>
          <w:tcPr>
            <w:tcW w:w="1053" w:type="dxa"/>
            <w:vMerge w:val="continue"/>
            <w:shd w:val="clear" w:color="auto" w:fill="auto"/>
            <w:vAlign w:val="center"/>
          </w:tcPr>
          <w:p>
            <w:pPr>
              <w:jc w:val="center"/>
              <w:rPr>
                <w:rFonts w:ascii="仿宋" w:hAnsi="仿宋" w:eastAsia="仿宋" w:cs="仿宋"/>
                <w:color w:val="000000"/>
                <w:szCs w:val="21"/>
              </w:rPr>
            </w:pPr>
          </w:p>
        </w:tc>
        <w:tc>
          <w:tcPr>
            <w:tcW w:w="3368" w:type="dxa"/>
            <w:shd w:val="clear" w:color="auto" w:fill="auto"/>
            <w:noWrap/>
            <w:vAlign w:val="center"/>
          </w:tcPr>
          <w:p>
            <w:pPr>
              <w:widowControl/>
              <w:jc w:val="left"/>
              <w:textAlignment w:val="center"/>
              <w:rPr>
                <w:rFonts w:ascii="仿宋" w:hAnsi="仿宋" w:eastAsia="仿宋" w:cs="仿宋"/>
                <w:color w:val="000000"/>
                <w:szCs w:val="21"/>
              </w:rPr>
            </w:pPr>
            <w:r>
              <w:rPr>
                <w:rFonts w:hint="eastAsia" w:ascii="仿宋" w:hAnsi="仿宋" w:eastAsia="仿宋" w:cs="仿宋"/>
                <w:kern w:val="0"/>
                <w:szCs w:val="21"/>
              </w:rPr>
              <w:t>住院运营决策管理系统</w:t>
            </w:r>
          </w:p>
        </w:tc>
        <w:tc>
          <w:tcPr>
            <w:tcW w:w="1650" w:type="dxa"/>
          </w:tcPr>
          <w:p>
            <w:pPr>
              <w:jc w:val="center"/>
              <w:rPr>
                <w:rFonts w:ascii="仿宋" w:hAnsi="仿宋" w:eastAsia="仿宋" w:cs="仿宋"/>
                <w:color w:val="000000"/>
                <w:kern w:val="0"/>
                <w:szCs w:val="21"/>
              </w:rPr>
            </w:pPr>
            <w:r>
              <w:rPr>
                <w:rFonts w:hint="eastAsia" w:ascii="仿宋" w:hAnsi="仿宋" w:eastAsia="仿宋" w:cs="仿宋"/>
                <w:color w:val="000000"/>
                <w:kern w:val="0"/>
                <w:szCs w:val="21"/>
              </w:rPr>
              <w:t>1套</w:t>
            </w:r>
          </w:p>
        </w:tc>
        <w:tc>
          <w:tcPr>
            <w:tcW w:w="1650" w:type="dxa"/>
            <w:vMerge w:val="continue"/>
            <w:shd w:val="clear" w:color="auto" w:fill="auto"/>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39"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20</w:t>
            </w:r>
          </w:p>
        </w:tc>
        <w:tc>
          <w:tcPr>
            <w:tcW w:w="1053" w:type="dxa"/>
            <w:vMerge w:val="continue"/>
            <w:shd w:val="clear" w:color="auto" w:fill="auto"/>
            <w:vAlign w:val="center"/>
          </w:tcPr>
          <w:p>
            <w:pPr>
              <w:jc w:val="center"/>
              <w:rPr>
                <w:rFonts w:ascii="仿宋" w:hAnsi="仿宋" w:eastAsia="仿宋" w:cs="仿宋"/>
                <w:color w:val="000000"/>
                <w:szCs w:val="21"/>
              </w:rPr>
            </w:pPr>
          </w:p>
        </w:tc>
        <w:tc>
          <w:tcPr>
            <w:tcW w:w="3368" w:type="dxa"/>
            <w:shd w:val="clear" w:color="auto" w:fill="auto"/>
            <w:noWrap/>
            <w:vAlign w:val="center"/>
          </w:tcPr>
          <w:p>
            <w:pPr>
              <w:widowControl/>
              <w:jc w:val="left"/>
              <w:textAlignment w:val="center"/>
              <w:rPr>
                <w:rFonts w:ascii="仿宋" w:hAnsi="仿宋" w:eastAsia="仿宋" w:cs="仿宋"/>
                <w:color w:val="000000"/>
                <w:szCs w:val="21"/>
              </w:rPr>
            </w:pPr>
            <w:r>
              <w:rPr>
                <w:rFonts w:hint="eastAsia" w:ascii="仿宋" w:hAnsi="仿宋" w:eastAsia="仿宋" w:cs="仿宋"/>
                <w:kern w:val="0"/>
                <w:szCs w:val="21"/>
              </w:rPr>
              <w:t>药品决策分析管理系统</w:t>
            </w:r>
          </w:p>
        </w:tc>
        <w:tc>
          <w:tcPr>
            <w:tcW w:w="1650" w:type="dxa"/>
          </w:tcPr>
          <w:p>
            <w:pPr>
              <w:jc w:val="center"/>
              <w:rPr>
                <w:rFonts w:ascii="仿宋" w:hAnsi="仿宋" w:eastAsia="仿宋" w:cs="仿宋"/>
                <w:color w:val="000000"/>
                <w:kern w:val="0"/>
                <w:szCs w:val="21"/>
              </w:rPr>
            </w:pPr>
            <w:r>
              <w:rPr>
                <w:rFonts w:hint="eastAsia" w:ascii="仿宋" w:hAnsi="仿宋" w:eastAsia="仿宋" w:cs="仿宋"/>
                <w:color w:val="000000"/>
                <w:kern w:val="0"/>
                <w:szCs w:val="21"/>
              </w:rPr>
              <w:t>1套</w:t>
            </w:r>
          </w:p>
        </w:tc>
        <w:tc>
          <w:tcPr>
            <w:tcW w:w="1650" w:type="dxa"/>
            <w:vMerge w:val="continue"/>
            <w:shd w:val="clear" w:color="auto" w:fill="auto"/>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39"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21</w:t>
            </w:r>
          </w:p>
        </w:tc>
        <w:tc>
          <w:tcPr>
            <w:tcW w:w="1053" w:type="dxa"/>
            <w:vMerge w:val="continue"/>
            <w:shd w:val="clear" w:color="auto" w:fill="auto"/>
            <w:vAlign w:val="center"/>
          </w:tcPr>
          <w:p>
            <w:pPr>
              <w:jc w:val="center"/>
              <w:rPr>
                <w:rFonts w:ascii="仿宋" w:hAnsi="仿宋" w:eastAsia="仿宋" w:cs="仿宋"/>
                <w:color w:val="000000"/>
                <w:szCs w:val="21"/>
              </w:rPr>
            </w:pPr>
          </w:p>
        </w:tc>
        <w:tc>
          <w:tcPr>
            <w:tcW w:w="3368" w:type="dxa"/>
            <w:shd w:val="clear" w:color="auto" w:fill="auto"/>
            <w:noWrap/>
            <w:vAlign w:val="center"/>
          </w:tcPr>
          <w:p>
            <w:pPr>
              <w:widowControl/>
              <w:jc w:val="left"/>
              <w:textAlignment w:val="center"/>
              <w:rPr>
                <w:rFonts w:ascii="仿宋" w:hAnsi="仿宋" w:eastAsia="仿宋" w:cs="仿宋"/>
                <w:color w:val="000000"/>
                <w:szCs w:val="21"/>
              </w:rPr>
            </w:pPr>
            <w:r>
              <w:rPr>
                <w:rFonts w:hint="eastAsia" w:ascii="仿宋" w:hAnsi="仿宋" w:eastAsia="仿宋" w:cs="仿宋"/>
                <w:kern w:val="0"/>
                <w:szCs w:val="21"/>
              </w:rPr>
              <w:t>耗材决策分析管理系统</w:t>
            </w:r>
          </w:p>
        </w:tc>
        <w:tc>
          <w:tcPr>
            <w:tcW w:w="1650" w:type="dxa"/>
          </w:tcPr>
          <w:p>
            <w:pPr>
              <w:jc w:val="center"/>
              <w:rPr>
                <w:rFonts w:ascii="仿宋" w:hAnsi="仿宋" w:eastAsia="仿宋" w:cs="仿宋"/>
                <w:color w:val="000000"/>
                <w:kern w:val="0"/>
                <w:szCs w:val="21"/>
              </w:rPr>
            </w:pPr>
            <w:r>
              <w:rPr>
                <w:rFonts w:hint="eastAsia" w:ascii="仿宋" w:hAnsi="仿宋" w:eastAsia="仿宋" w:cs="仿宋"/>
                <w:color w:val="000000"/>
                <w:kern w:val="0"/>
                <w:szCs w:val="21"/>
              </w:rPr>
              <w:t>1套</w:t>
            </w:r>
          </w:p>
        </w:tc>
        <w:tc>
          <w:tcPr>
            <w:tcW w:w="1650" w:type="dxa"/>
            <w:vMerge w:val="continue"/>
            <w:shd w:val="clear" w:color="auto" w:fill="auto"/>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39"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22</w:t>
            </w:r>
          </w:p>
        </w:tc>
        <w:tc>
          <w:tcPr>
            <w:tcW w:w="1053" w:type="dxa"/>
            <w:vMerge w:val="continue"/>
            <w:shd w:val="clear" w:color="auto" w:fill="auto"/>
            <w:vAlign w:val="center"/>
          </w:tcPr>
          <w:p>
            <w:pPr>
              <w:jc w:val="center"/>
              <w:rPr>
                <w:rFonts w:ascii="仿宋" w:hAnsi="仿宋" w:eastAsia="仿宋" w:cs="仿宋"/>
                <w:color w:val="000000"/>
                <w:szCs w:val="21"/>
              </w:rPr>
            </w:pPr>
          </w:p>
        </w:tc>
        <w:tc>
          <w:tcPr>
            <w:tcW w:w="3368" w:type="dxa"/>
            <w:shd w:val="clear" w:color="auto" w:fill="auto"/>
            <w:noWrap/>
            <w:vAlign w:val="center"/>
          </w:tcPr>
          <w:p>
            <w:pPr>
              <w:widowControl/>
              <w:jc w:val="left"/>
              <w:textAlignment w:val="center"/>
              <w:rPr>
                <w:rFonts w:ascii="仿宋" w:hAnsi="仿宋" w:eastAsia="仿宋" w:cs="仿宋"/>
                <w:color w:val="000000"/>
                <w:szCs w:val="21"/>
              </w:rPr>
            </w:pPr>
            <w:r>
              <w:rPr>
                <w:rFonts w:hint="eastAsia" w:ascii="仿宋" w:hAnsi="仿宋" w:eastAsia="仿宋" w:cs="仿宋"/>
                <w:kern w:val="0"/>
                <w:szCs w:val="21"/>
              </w:rPr>
              <w:t>手术决策分析管理系统</w:t>
            </w:r>
          </w:p>
        </w:tc>
        <w:tc>
          <w:tcPr>
            <w:tcW w:w="1650" w:type="dxa"/>
          </w:tcPr>
          <w:p>
            <w:pPr>
              <w:jc w:val="center"/>
              <w:rPr>
                <w:rFonts w:ascii="仿宋" w:hAnsi="仿宋" w:eastAsia="仿宋" w:cs="仿宋"/>
                <w:color w:val="000000"/>
                <w:kern w:val="0"/>
                <w:szCs w:val="21"/>
              </w:rPr>
            </w:pPr>
            <w:r>
              <w:rPr>
                <w:rFonts w:hint="eastAsia" w:ascii="仿宋" w:hAnsi="仿宋" w:eastAsia="仿宋" w:cs="仿宋"/>
                <w:color w:val="000000"/>
                <w:kern w:val="0"/>
                <w:szCs w:val="21"/>
              </w:rPr>
              <w:t>1套</w:t>
            </w:r>
          </w:p>
        </w:tc>
        <w:tc>
          <w:tcPr>
            <w:tcW w:w="1650" w:type="dxa"/>
            <w:vMerge w:val="continue"/>
            <w:shd w:val="clear" w:color="auto" w:fill="auto"/>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39"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23</w:t>
            </w:r>
          </w:p>
        </w:tc>
        <w:tc>
          <w:tcPr>
            <w:tcW w:w="1053" w:type="dxa"/>
            <w:vMerge w:val="continue"/>
            <w:shd w:val="clear" w:color="auto" w:fill="auto"/>
            <w:vAlign w:val="center"/>
          </w:tcPr>
          <w:p>
            <w:pPr>
              <w:jc w:val="center"/>
              <w:rPr>
                <w:rFonts w:ascii="仿宋" w:hAnsi="仿宋" w:eastAsia="仿宋" w:cs="仿宋"/>
                <w:color w:val="000000"/>
                <w:szCs w:val="21"/>
              </w:rPr>
            </w:pPr>
          </w:p>
        </w:tc>
        <w:tc>
          <w:tcPr>
            <w:tcW w:w="3368" w:type="dxa"/>
            <w:shd w:val="clear" w:color="auto" w:fill="auto"/>
            <w:noWrap/>
            <w:vAlign w:val="center"/>
          </w:tcPr>
          <w:p>
            <w:pPr>
              <w:widowControl/>
              <w:jc w:val="left"/>
              <w:textAlignment w:val="center"/>
              <w:rPr>
                <w:rFonts w:ascii="仿宋" w:hAnsi="仿宋" w:eastAsia="仿宋" w:cs="仿宋"/>
                <w:kern w:val="0"/>
                <w:szCs w:val="21"/>
              </w:rPr>
            </w:pPr>
            <w:r>
              <w:rPr>
                <w:rFonts w:hint="eastAsia" w:ascii="仿宋" w:hAnsi="仿宋" w:eastAsia="仿宋" w:cs="仿宋"/>
                <w:kern w:val="0"/>
                <w:szCs w:val="21"/>
              </w:rPr>
              <w:t>医保分析管理系统</w:t>
            </w:r>
          </w:p>
        </w:tc>
        <w:tc>
          <w:tcPr>
            <w:tcW w:w="1650" w:type="dxa"/>
          </w:tcPr>
          <w:p>
            <w:pPr>
              <w:jc w:val="center"/>
              <w:rPr>
                <w:rFonts w:ascii="仿宋" w:hAnsi="仿宋" w:eastAsia="仿宋" w:cs="仿宋"/>
                <w:color w:val="000000"/>
                <w:kern w:val="0"/>
                <w:szCs w:val="21"/>
              </w:rPr>
            </w:pPr>
            <w:r>
              <w:rPr>
                <w:rFonts w:hint="eastAsia" w:ascii="仿宋" w:hAnsi="仿宋" w:eastAsia="仿宋" w:cs="仿宋"/>
                <w:color w:val="000000"/>
                <w:kern w:val="0"/>
                <w:szCs w:val="21"/>
              </w:rPr>
              <w:t>1套</w:t>
            </w:r>
          </w:p>
        </w:tc>
        <w:tc>
          <w:tcPr>
            <w:tcW w:w="1650" w:type="dxa"/>
            <w:vMerge w:val="continue"/>
            <w:shd w:val="clear" w:color="auto" w:fill="auto"/>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39"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24</w:t>
            </w:r>
          </w:p>
        </w:tc>
        <w:tc>
          <w:tcPr>
            <w:tcW w:w="1053" w:type="dxa"/>
            <w:vMerge w:val="continue"/>
            <w:shd w:val="clear" w:color="auto" w:fill="auto"/>
            <w:vAlign w:val="center"/>
          </w:tcPr>
          <w:p>
            <w:pPr>
              <w:jc w:val="center"/>
              <w:rPr>
                <w:rFonts w:ascii="仿宋" w:hAnsi="仿宋" w:eastAsia="仿宋" w:cs="仿宋"/>
                <w:color w:val="000000"/>
                <w:szCs w:val="21"/>
              </w:rPr>
            </w:pPr>
          </w:p>
        </w:tc>
        <w:tc>
          <w:tcPr>
            <w:tcW w:w="3368" w:type="dxa"/>
            <w:shd w:val="clear" w:color="auto" w:fill="auto"/>
            <w:noWrap/>
            <w:vAlign w:val="center"/>
          </w:tcPr>
          <w:p>
            <w:pPr>
              <w:widowControl/>
              <w:jc w:val="left"/>
              <w:textAlignment w:val="center"/>
              <w:rPr>
                <w:rFonts w:ascii="仿宋" w:hAnsi="仿宋" w:eastAsia="仿宋" w:cs="仿宋"/>
                <w:kern w:val="0"/>
                <w:szCs w:val="21"/>
              </w:rPr>
            </w:pPr>
            <w:r>
              <w:rPr>
                <w:rFonts w:hint="eastAsia" w:ascii="仿宋" w:hAnsi="仿宋" w:eastAsia="仿宋" w:cs="仿宋"/>
                <w:kern w:val="0"/>
                <w:szCs w:val="21"/>
              </w:rPr>
              <w:t>医技分析管理系统</w:t>
            </w:r>
          </w:p>
        </w:tc>
        <w:tc>
          <w:tcPr>
            <w:tcW w:w="1650" w:type="dxa"/>
          </w:tcPr>
          <w:p>
            <w:pPr>
              <w:jc w:val="center"/>
              <w:rPr>
                <w:rFonts w:ascii="仿宋" w:hAnsi="仿宋" w:eastAsia="仿宋" w:cs="仿宋"/>
                <w:color w:val="000000"/>
                <w:kern w:val="0"/>
                <w:szCs w:val="21"/>
              </w:rPr>
            </w:pPr>
            <w:r>
              <w:rPr>
                <w:rFonts w:hint="eastAsia" w:ascii="仿宋" w:hAnsi="仿宋" w:eastAsia="仿宋" w:cs="仿宋"/>
                <w:color w:val="000000"/>
                <w:kern w:val="0"/>
                <w:szCs w:val="21"/>
              </w:rPr>
              <w:t>1套</w:t>
            </w:r>
          </w:p>
        </w:tc>
        <w:tc>
          <w:tcPr>
            <w:tcW w:w="1650" w:type="dxa"/>
            <w:vMerge w:val="continue"/>
            <w:shd w:val="clear" w:color="auto" w:fill="auto"/>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39"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25</w:t>
            </w:r>
          </w:p>
        </w:tc>
        <w:tc>
          <w:tcPr>
            <w:tcW w:w="1053" w:type="dxa"/>
            <w:vMerge w:val="continue"/>
            <w:shd w:val="clear" w:color="auto" w:fill="auto"/>
            <w:vAlign w:val="center"/>
          </w:tcPr>
          <w:p>
            <w:pPr>
              <w:jc w:val="center"/>
              <w:rPr>
                <w:rFonts w:ascii="仿宋" w:hAnsi="仿宋" w:eastAsia="仿宋" w:cs="仿宋"/>
                <w:color w:val="000000"/>
                <w:szCs w:val="21"/>
              </w:rPr>
            </w:pPr>
          </w:p>
        </w:tc>
        <w:tc>
          <w:tcPr>
            <w:tcW w:w="3368" w:type="dxa"/>
            <w:shd w:val="clear" w:color="auto" w:fill="auto"/>
            <w:noWrap/>
            <w:vAlign w:val="center"/>
          </w:tcPr>
          <w:p>
            <w:pPr>
              <w:widowControl/>
              <w:jc w:val="left"/>
              <w:textAlignment w:val="center"/>
              <w:rPr>
                <w:rFonts w:ascii="仿宋" w:hAnsi="仿宋" w:eastAsia="仿宋" w:cs="仿宋"/>
                <w:color w:val="000000"/>
                <w:kern w:val="0"/>
                <w:szCs w:val="21"/>
              </w:rPr>
            </w:pPr>
            <w:r>
              <w:rPr>
                <w:rFonts w:hint="eastAsia" w:ascii="仿宋" w:hAnsi="仿宋" w:eastAsia="仿宋" w:cs="仿宋"/>
                <w:kern w:val="0"/>
                <w:szCs w:val="21"/>
              </w:rPr>
              <w:t>医疗质量管理系统</w:t>
            </w:r>
          </w:p>
        </w:tc>
        <w:tc>
          <w:tcPr>
            <w:tcW w:w="1650" w:type="dxa"/>
          </w:tcPr>
          <w:p>
            <w:pPr>
              <w:jc w:val="center"/>
              <w:rPr>
                <w:rFonts w:ascii="仿宋" w:hAnsi="仿宋" w:eastAsia="仿宋" w:cs="仿宋"/>
                <w:color w:val="000000"/>
                <w:kern w:val="0"/>
                <w:szCs w:val="21"/>
              </w:rPr>
            </w:pPr>
            <w:r>
              <w:rPr>
                <w:rFonts w:hint="eastAsia" w:ascii="仿宋" w:hAnsi="仿宋" w:eastAsia="仿宋" w:cs="仿宋"/>
                <w:color w:val="000000"/>
                <w:kern w:val="0"/>
                <w:szCs w:val="21"/>
              </w:rPr>
              <w:t>1套</w:t>
            </w:r>
          </w:p>
        </w:tc>
        <w:tc>
          <w:tcPr>
            <w:tcW w:w="1650" w:type="dxa"/>
            <w:vMerge w:val="continue"/>
            <w:shd w:val="clear" w:color="auto" w:fill="auto"/>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3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26</w:t>
            </w:r>
          </w:p>
        </w:tc>
        <w:tc>
          <w:tcPr>
            <w:tcW w:w="1053" w:type="dxa"/>
            <w:vMerge w:val="continue"/>
            <w:shd w:val="clear" w:color="auto" w:fill="auto"/>
            <w:vAlign w:val="center"/>
          </w:tcPr>
          <w:p>
            <w:pPr>
              <w:jc w:val="center"/>
              <w:rPr>
                <w:rFonts w:ascii="仿宋" w:hAnsi="仿宋" w:eastAsia="仿宋" w:cs="仿宋"/>
                <w:color w:val="000000"/>
                <w:szCs w:val="21"/>
              </w:rPr>
            </w:pPr>
          </w:p>
        </w:tc>
        <w:tc>
          <w:tcPr>
            <w:tcW w:w="3368" w:type="dxa"/>
            <w:shd w:val="clear" w:color="auto" w:fill="auto"/>
            <w:noWrap/>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院领导驾驶舱</w:t>
            </w:r>
          </w:p>
        </w:tc>
        <w:tc>
          <w:tcPr>
            <w:tcW w:w="1650" w:type="dxa"/>
          </w:tcPr>
          <w:p>
            <w:pPr>
              <w:jc w:val="center"/>
              <w:rPr>
                <w:rFonts w:ascii="仿宋" w:hAnsi="仿宋" w:eastAsia="仿宋" w:cs="仿宋"/>
                <w:color w:val="000000"/>
                <w:szCs w:val="21"/>
              </w:rPr>
            </w:pPr>
            <w:r>
              <w:rPr>
                <w:rFonts w:hint="eastAsia" w:ascii="仿宋" w:hAnsi="仿宋" w:eastAsia="仿宋" w:cs="仿宋"/>
                <w:color w:val="000000"/>
                <w:kern w:val="0"/>
                <w:szCs w:val="21"/>
              </w:rPr>
              <w:t>1套</w:t>
            </w:r>
          </w:p>
        </w:tc>
        <w:tc>
          <w:tcPr>
            <w:tcW w:w="1650" w:type="dxa"/>
            <w:vMerge w:val="continue"/>
            <w:shd w:val="clear" w:color="auto" w:fill="auto"/>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3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27</w:t>
            </w:r>
          </w:p>
        </w:tc>
        <w:tc>
          <w:tcPr>
            <w:tcW w:w="1053" w:type="dxa"/>
            <w:vMerge w:val="continue"/>
            <w:shd w:val="clear" w:color="auto" w:fill="auto"/>
            <w:vAlign w:val="center"/>
          </w:tcPr>
          <w:p>
            <w:pPr>
              <w:jc w:val="center"/>
              <w:rPr>
                <w:rFonts w:ascii="仿宋" w:hAnsi="仿宋" w:eastAsia="仿宋" w:cs="仿宋"/>
                <w:color w:val="000000"/>
                <w:szCs w:val="21"/>
              </w:rPr>
            </w:pPr>
          </w:p>
        </w:tc>
        <w:tc>
          <w:tcPr>
            <w:tcW w:w="3368" w:type="dxa"/>
            <w:shd w:val="clear" w:color="auto" w:fill="FFFFFF"/>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院领导驾驶舱（移动端）</w:t>
            </w:r>
          </w:p>
        </w:tc>
        <w:tc>
          <w:tcPr>
            <w:tcW w:w="1650" w:type="dxa"/>
          </w:tcPr>
          <w:p>
            <w:pPr>
              <w:jc w:val="center"/>
              <w:rPr>
                <w:rFonts w:ascii="仿宋" w:hAnsi="仿宋" w:eastAsia="仿宋" w:cs="仿宋"/>
                <w:color w:val="000000"/>
                <w:szCs w:val="21"/>
              </w:rPr>
            </w:pPr>
            <w:r>
              <w:rPr>
                <w:rFonts w:hint="eastAsia" w:ascii="仿宋" w:hAnsi="仿宋" w:eastAsia="仿宋" w:cs="仿宋"/>
                <w:color w:val="000000"/>
                <w:kern w:val="0"/>
                <w:szCs w:val="21"/>
              </w:rPr>
              <w:t>1套</w:t>
            </w:r>
          </w:p>
        </w:tc>
        <w:tc>
          <w:tcPr>
            <w:tcW w:w="1650" w:type="dxa"/>
            <w:vMerge w:val="continue"/>
            <w:shd w:val="clear" w:color="auto" w:fill="auto"/>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39"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28</w:t>
            </w:r>
          </w:p>
        </w:tc>
        <w:tc>
          <w:tcPr>
            <w:tcW w:w="1053" w:type="dxa"/>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其他</w:t>
            </w:r>
          </w:p>
        </w:tc>
        <w:tc>
          <w:tcPr>
            <w:tcW w:w="3368" w:type="dxa"/>
            <w:shd w:val="clear" w:color="auto" w:fill="FFFFFF"/>
            <w:vAlign w:val="center"/>
          </w:tcPr>
          <w:p>
            <w:pPr>
              <w:widowControl/>
              <w:textAlignment w:val="center"/>
              <w:rPr>
                <w:rFonts w:ascii="仿宋" w:hAnsi="仿宋" w:eastAsia="仿宋" w:cs="仿宋"/>
                <w:color w:val="000000"/>
                <w:kern w:val="0"/>
                <w:szCs w:val="21"/>
              </w:rPr>
            </w:pPr>
            <w:r>
              <w:rPr>
                <w:rFonts w:hint="eastAsia" w:ascii="仿宋" w:hAnsi="仿宋" w:eastAsia="仿宋" w:cs="仿宋"/>
                <w:color w:val="000000"/>
                <w:kern w:val="0"/>
                <w:szCs w:val="21"/>
              </w:rPr>
              <w:t>系统总集成管理</w:t>
            </w:r>
          </w:p>
        </w:tc>
        <w:tc>
          <w:tcPr>
            <w:tcW w:w="1650" w:type="dxa"/>
          </w:tcPr>
          <w:p>
            <w:pPr>
              <w:jc w:val="center"/>
              <w:rPr>
                <w:rFonts w:ascii="仿宋" w:hAnsi="仿宋" w:eastAsia="仿宋" w:cs="仿宋"/>
                <w:color w:val="000000"/>
                <w:szCs w:val="21"/>
              </w:rPr>
            </w:pPr>
            <w:r>
              <w:rPr>
                <w:rFonts w:hint="eastAsia" w:ascii="仿宋" w:hAnsi="仿宋" w:eastAsia="仿宋" w:cs="仿宋"/>
                <w:color w:val="000000"/>
                <w:kern w:val="0"/>
                <w:szCs w:val="21"/>
              </w:rPr>
              <w:t>1项</w:t>
            </w:r>
          </w:p>
        </w:tc>
        <w:tc>
          <w:tcPr>
            <w:tcW w:w="1650" w:type="dxa"/>
            <w:vMerge w:val="continue"/>
            <w:shd w:val="clear" w:color="auto" w:fill="auto"/>
            <w:vAlign w:val="center"/>
          </w:tcPr>
          <w:p>
            <w:pPr>
              <w:jc w:val="center"/>
              <w:rPr>
                <w:rFonts w:ascii="仿宋" w:hAnsi="仿宋" w:eastAsia="仿宋" w:cs="仿宋"/>
                <w:color w:val="000000"/>
                <w:szCs w:val="21"/>
              </w:rPr>
            </w:pPr>
          </w:p>
        </w:tc>
      </w:tr>
    </w:tbl>
    <w:p>
      <w:pPr>
        <w:rPr>
          <w:rFonts w:ascii="仿宋" w:hAnsi="仿宋" w:eastAsia="仿宋" w:cs="仿宋"/>
          <w:b/>
          <w:bCs/>
          <w:sz w:val="24"/>
          <w:szCs w:val="24"/>
        </w:rPr>
      </w:pPr>
      <w:r>
        <w:rPr>
          <w:rFonts w:hint="eastAsia" w:ascii="仿宋" w:hAnsi="仿宋" w:eastAsia="仿宋" w:cs="仿宋"/>
          <w:b/>
          <w:bCs/>
          <w:sz w:val="24"/>
          <w:szCs w:val="24"/>
        </w:rPr>
        <w:t>注：软件许可不受多院区限制。</w:t>
      </w:r>
    </w:p>
    <w:p>
      <w:pPr>
        <w:rPr>
          <w:rFonts w:ascii="仿宋" w:hAnsi="仿宋" w:eastAsia="仿宋" w:cs="仿宋"/>
          <w:sz w:val="24"/>
          <w:szCs w:val="24"/>
        </w:rPr>
        <w:sectPr>
          <w:headerReference r:id="rId7" w:type="default"/>
          <w:pgSz w:w="11906" w:h="16838"/>
          <w:pgMar w:top="1440" w:right="1803" w:bottom="1440" w:left="1803" w:header="851" w:footer="992" w:gutter="0"/>
          <w:cols w:space="0" w:num="1"/>
          <w:rtlGutter w:val="0"/>
          <w:docGrid w:type="lines" w:linePitch="312" w:charSpace="0"/>
        </w:sectPr>
      </w:pPr>
    </w:p>
    <w:p>
      <w:pPr>
        <w:pStyle w:val="4"/>
        <w:spacing w:line="360" w:lineRule="auto"/>
        <w:ind w:firstLine="482" w:firstLineChars="200"/>
        <w:jc w:val="left"/>
        <w:rPr>
          <w:rFonts w:ascii="仿宋" w:hAnsi="仿宋" w:eastAsia="仿宋" w:cs="仿宋"/>
          <w:sz w:val="24"/>
          <w:szCs w:val="24"/>
        </w:rPr>
      </w:pPr>
      <w:bookmarkStart w:id="366" w:name="_Toc2729"/>
      <w:bookmarkStart w:id="367" w:name="_Toc26023"/>
      <w:r>
        <w:rPr>
          <w:rFonts w:hint="eastAsia" w:ascii="仿宋" w:hAnsi="仿宋" w:eastAsia="仿宋" w:cs="仿宋"/>
          <w:sz w:val="24"/>
          <w:szCs w:val="24"/>
          <w:lang w:eastAsia="zh-CN"/>
        </w:rPr>
        <w:t>三、</w:t>
      </w:r>
      <w:r>
        <w:rPr>
          <w:rFonts w:hint="eastAsia" w:ascii="仿宋" w:hAnsi="仿宋" w:eastAsia="仿宋" w:cs="仿宋"/>
          <w:sz w:val="24"/>
          <w:szCs w:val="24"/>
        </w:rPr>
        <w:t>技术规格和功能要求</w:t>
      </w:r>
      <w:bookmarkEnd w:id="366"/>
      <w:bookmarkEnd w:id="367"/>
    </w:p>
    <w:p>
      <w:pPr>
        <w:pStyle w:val="5"/>
        <w:keepLines/>
        <w:spacing w:line="360" w:lineRule="auto"/>
        <w:ind w:firstLine="482" w:firstLineChars="200"/>
        <w:rPr>
          <w:rFonts w:ascii="仿宋" w:hAnsi="仿宋" w:eastAsia="仿宋" w:cs="仿宋"/>
          <w:sz w:val="24"/>
          <w:szCs w:val="24"/>
        </w:rPr>
      </w:pPr>
      <w:bookmarkStart w:id="368" w:name="_Toc384"/>
      <w:r>
        <w:rPr>
          <w:rFonts w:hint="eastAsia" w:ascii="仿宋" w:hAnsi="仿宋" w:eastAsia="仿宋" w:cs="仿宋"/>
          <w:sz w:val="24"/>
          <w:szCs w:val="24"/>
        </w:rPr>
        <w:t>（一）平台基础建设要求</w:t>
      </w:r>
      <w:bookmarkEnd w:id="368"/>
    </w:p>
    <w:p>
      <w:pPr>
        <w:pStyle w:val="6"/>
        <w:spacing w:line="360" w:lineRule="auto"/>
        <w:ind w:firstLine="482" w:firstLineChars="200"/>
        <w:jc w:val="left"/>
        <w:rPr>
          <w:rFonts w:ascii="仿宋" w:hAnsi="仿宋" w:eastAsia="仿宋" w:cs="仿宋"/>
          <w:b/>
          <w:bCs/>
          <w:sz w:val="24"/>
          <w:szCs w:val="24"/>
        </w:rPr>
      </w:pPr>
      <w:bookmarkStart w:id="369" w:name="_Toc7889"/>
      <w:r>
        <w:rPr>
          <w:rFonts w:hint="eastAsia" w:ascii="仿宋" w:hAnsi="仿宋" w:eastAsia="仿宋" w:cs="仿宋"/>
          <w:b/>
          <w:bCs/>
          <w:sz w:val="24"/>
          <w:szCs w:val="24"/>
        </w:rPr>
        <w:t>1、单点登录SSO</w:t>
      </w:r>
      <w:bookmarkEnd w:id="369"/>
    </w:p>
    <w:p>
      <w:pPr>
        <w:spacing w:line="360" w:lineRule="auto"/>
        <w:ind w:firstLine="480"/>
        <w:rPr>
          <w:rFonts w:ascii="仿宋" w:hAnsi="仿宋" w:eastAsia="仿宋" w:cs="仿宋"/>
          <w:sz w:val="24"/>
          <w:szCs w:val="24"/>
          <w:lang w:eastAsia="zh-TW"/>
        </w:rPr>
      </w:pPr>
      <w:r>
        <w:rPr>
          <w:rFonts w:hint="eastAsia" w:ascii="仿宋" w:hAnsi="仿宋" w:eastAsia="仿宋" w:cs="仿宋"/>
          <w:sz w:val="24"/>
          <w:szCs w:val="24"/>
          <w:lang w:eastAsia="zh-TW"/>
        </w:rPr>
        <w:t>每个用户可以在单一点只需输入一次用户名和密码，就可以按系统设置的权限范围，访问所有被授权访问的系统，而无需二次输入用户名和密码。具体功能要求如下：</w:t>
      </w:r>
    </w:p>
    <w:p>
      <w:pPr>
        <w:pStyle w:val="42"/>
        <w:widowControl/>
        <w:numPr>
          <w:ilvl w:val="0"/>
          <w:numId w:val="5"/>
        </w:numPr>
        <w:spacing w:line="360" w:lineRule="auto"/>
        <w:ind w:left="0" w:firstLine="480"/>
        <w:contextualSpacing/>
        <w:rPr>
          <w:rFonts w:ascii="仿宋" w:hAnsi="仿宋" w:eastAsia="仿宋" w:cs="仿宋"/>
          <w:bCs/>
          <w:sz w:val="24"/>
          <w:szCs w:val="24"/>
        </w:rPr>
      </w:pPr>
      <w:bookmarkStart w:id="370" w:name="_Toc13624"/>
      <w:r>
        <w:rPr>
          <w:rFonts w:hint="eastAsia" w:ascii="仿宋" w:hAnsi="仿宋" w:eastAsia="仿宋" w:cs="仿宋"/>
          <w:bCs/>
          <w:sz w:val="24"/>
          <w:szCs w:val="24"/>
        </w:rPr>
        <w:t>统一身份与权限管理平台的实施之后，各应用系统不再独立管理用户信息和授权信息。</w:t>
      </w:r>
    </w:p>
    <w:p>
      <w:pPr>
        <w:pStyle w:val="42"/>
        <w:widowControl/>
        <w:numPr>
          <w:ilvl w:val="0"/>
          <w:numId w:val="5"/>
        </w:numPr>
        <w:spacing w:line="360" w:lineRule="auto"/>
        <w:ind w:left="0" w:firstLine="480"/>
        <w:contextualSpacing/>
        <w:rPr>
          <w:rFonts w:ascii="仿宋" w:hAnsi="仿宋" w:eastAsia="仿宋" w:cs="仿宋"/>
          <w:bCs/>
          <w:sz w:val="24"/>
          <w:szCs w:val="24"/>
        </w:rPr>
      </w:pPr>
      <w:r>
        <w:rPr>
          <w:rFonts w:hint="eastAsia" w:ascii="仿宋" w:hAnsi="仿宋" w:eastAsia="仿宋" w:cs="仿宋"/>
          <w:bCs/>
          <w:sz w:val="24"/>
          <w:szCs w:val="24"/>
        </w:rPr>
        <w:t>单点登录应支持多种登录方式：如CA电子签名登录（Ukey或电子签名App扫码）、账号密码、指纹、企业微信号、钉钉、验证码等登录方式。</w:t>
      </w:r>
    </w:p>
    <w:p>
      <w:pPr>
        <w:pStyle w:val="42"/>
        <w:widowControl/>
        <w:numPr>
          <w:ilvl w:val="0"/>
          <w:numId w:val="5"/>
        </w:numPr>
        <w:spacing w:line="360" w:lineRule="auto"/>
        <w:ind w:left="0" w:firstLine="480"/>
        <w:contextualSpacing/>
        <w:rPr>
          <w:rFonts w:ascii="仿宋" w:hAnsi="仿宋" w:eastAsia="仿宋" w:cs="仿宋"/>
          <w:bCs/>
          <w:sz w:val="24"/>
          <w:szCs w:val="24"/>
        </w:rPr>
      </w:pPr>
      <w:r>
        <w:rPr>
          <w:rFonts w:hint="eastAsia" w:ascii="仿宋" w:hAnsi="仿宋" w:eastAsia="仿宋" w:cs="仿宋"/>
          <w:bCs/>
          <w:sz w:val="24"/>
          <w:szCs w:val="24"/>
        </w:rPr>
        <w:t>单点登录应支持令牌指令的认证方式：即登录后生成一个token（令牌），该令牌在过期之前可被业务系统访问并调用，从而实现不需再次登录的目的。</w:t>
      </w:r>
    </w:p>
    <w:p>
      <w:pPr>
        <w:pStyle w:val="42"/>
        <w:widowControl/>
        <w:numPr>
          <w:ilvl w:val="0"/>
          <w:numId w:val="5"/>
        </w:numPr>
        <w:spacing w:line="360" w:lineRule="auto"/>
        <w:ind w:left="0" w:firstLine="480"/>
        <w:contextualSpacing/>
        <w:rPr>
          <w:rFonts w:ascii="仿宋" w:hAnsi="仿宋" w:eastAsia="仿宋" w:cs="仿宋"/>
          <w:bCs/>
          <w:sz w:val="24"/>
          <w:szCs w:val="24"/>
        </w:rPr>
      </w:pPr>
      <w:r>
        <w:rPr>
          <w:rFonts w:hint="eastAsia" w:ascii="仿宋" w:hAnsi="仿宋" w:eastAsia="仿宋" w:cs="仿宋"/>
          <w:bCs/>
          <w:sz w:val="24"/>
          <w:szCs w:val="24"/>
        </w:rPr>
        <w:t>对于B/S应用下的Form认证场景，系统应采用SSL加密协议，以避免密码探测，提供用户会话(Session)有效期管理。</w:t>
      </w:r>
    </w:p>
    <w:p>
      <w:pPr>
        <w:pStyle w:val="42"/>
        <w:widowControl/>
        <w:numPr>
          <w:ilvl w:val="0"/>
          <w:numId w:val="5"/>
        </w:numPr>
        <w:spacing w:line="360" w:lineRule="auto"/>
        <w:ind w:left="0" w:firstLine="480"/>
        <w:contextualSpacing/>
        <w:rPr>
          <w:rFonts w:ascii="仿宋" w:hAnsi="仿宋" w:eastAsia="仿宋" w:cs="仿宋"/>
          <w:bCs/>
          <w:sz w:val="24"/>
          <w:szCs w:val="24"/>
        </w:rPr>
      </w:pPr>
      <w:r>
        <w:rPr>
          <w:rFonts w:hint="eastAsia" w:ascii="仿宋" w:hAnsi="仿宋" w:eastAsia="仿宋" w:cs="仿宋"/>
          <w:bCs/>
          <w:sz w:val="24"/>
          <w:szCs w:val="24"/>
        </w:rPr>
        <w:t>基于用户会话认证的一个过程，用户只需一次性提供凭证，就可以访问所有相互信任的应用系统。</w:t>
      </w:r>
    </w:p>
    <w:p>
      <w:pPr>
        <w:pStyle w:val="42"/>
        <w:widowControl/>
        <w:numPr>
          <w:ilvl w:val="0"/>
          <w:numId w:val="5"/>
        </w:numPr>
        <w:spacing w:line="360" w:lineRule="auto"/>
        <w:ind w:left="0" w:firstLine="480"/>
        <w:contextualSpacing/>
        <w:rPr>
          <w:rFonts w:ascii="仿宋" w:hAnsi="仿宋" w:eastAsia="仿宋" w:cs="仿宋"/>
          <w:bCs/>
          <w:sz w:val="24"/>
          <w:szCs w:val="24"/>
        </w:rPr>
      </w:pPr>
      <w:r>
        <w:rPr>
          <w:rFonts w:hint="eastAsia" w:ascii="仿宋" w:hAnsi="仿宋" w:eastAsia="仿宋" w:cs="仿宋"/>
          <w:bCs/>
          <w:sz w:val="24"/>
          <w:szCs w:val="24"/>
        </w:rPr>
        <w:t>提供一站式单点登录，统一登录界面，通过用户的一次性鉴别登录，可获得所需访问的各应用系统的授权。</w:t>
      </w:r>
    </w:p>
    <w:p>
      <w:pPr>
        <w:pStyle w:val="42"/>
        <w:numPr>
          <w:ilvl w:val="0"/>
          <w:numId w:val="5"/>
        </w:numPr>
        <w:spacing w:line="360" w:lineRule="auto"/>
        <w:ind w:left="0" w:firstLine="480"/>
        <w:rPr>
          <w:rFonts w:ascii="仿宋" w:hAnsi="仿宋" w:eastAsia="仿宋" w:cs="仿宋"/>
          <w:bCs/>
          <w:sz w:val="24"/>
          <w:szCs w:val="24"/>
        </w:rPr>
      </w:pPr>
      <w:r>
        <w:rPr>
          <w:rFonts w:hint="eastAsia" w:ascii="仿宋" w:hAnsi="仿宋" w:eastAsia="仿宋" w:cs="仿宋"/>
          <w:bCs/>
          <w:sz w:val="24"/>
          <w:szCs w:val="24"/>
        </w:rPr>
        <w:t>支持“一次登录、随处访问”，提高用户的工作效率，减少操作时间，降低用户安全管理的复杂度，提高系统整体的安全性。</w:t>
      </w:r>
    </w:p>
    <w:p>
      <w:pPr>
        <w:pStyle w:val="42"/>
        <w:numPr>
          <w:ilvl w:val="0"/>
          <w:numId w:val="5"/>
        </w:numPr>
        <w:spacing w:line="360" w:lineRule="auto"/>
        <w:ind w:left="0" w:firstLine="480"/>
        <w:rPr>
          <w:rFonts w:ascii="仿宋" w:hAnsi="仿宋" w:eastAsia="仿宋" w:cs="仿宋"/>
          <w:bCs/>
          <w:sz w:val="24"/>
          <w:szCs w:val="24"/>
        </w:rPr>
      </w:pPr>
      <w:r>
        <w:rPr>
          <w:rFonts w:hint="eastAsia" w:ascii="仿宋" w:hAnsi="仿宋" w:eastAsia="仿宋" w:cs="仿宋"/>
          <w:bCs/>
          <w:sz w:val="24"/>
          <w:szCs w:val="24"/>
        </w:rPr>
        <w:t>单点登录支持集成C/S架构系统及B/S架构系统。</w:t>
      </w:r>
    </w:p>
    <w:p>
      <w:pPr>
        <w:pStyle w:val="42"/>
        <w:numPr>
          <w:ilvl w:val="0"/>
          <w:numId w:val="5"/>
        </w:numPr>
        <w:spacing w:line="360" w:lineRule="auto"/>
        <w:ind w:left="0" w:firstLine="480"/>
        <w:rPr>
          <w:rFonts w:ascii="仿宋" w:hAnsi="仿宋" w:eastAsia="仿宋" w:cs="仿宋"/>
          <w:bCs/>
          <w:sz w:val="24"/>
          <w:szCs w:val="24"/>
        </w:rPr>
      </w:pPr>
      <w:r>
        <w:rPr>
          <w:rFonts w:hint="eastAsia" w:ascii="仿宋" w:hAnsi="仿宋" w:eastAsia="仿宋" w:cs="仿宋"/>
          <w:bCs/>
          <w:sz w:val="24"/>
          <w:szCs w:val="24"/>
        </w:rPr>
        <w:t>支持浏览单点登录的登录日志列表，包括成功登录的状态、系统名称等内容。</w:t>
      </w:r>
    </w:p>
    <w:p>
      <w:pPr>
        <w:pStyle w:val="6"/>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2、统一工作门户</w:t>
      </w:r>
      <w:bookmarkEnd w:id="370"/>
    </w:p>
    <w:p>
      <w:pPr>
        <w:spacing w:line="360" w:lineRule="auto"/>
        <w:ind w:firstLine="480"/>
        <w:rPr>
          <w:rFonts w:ascii="仿宋" w:hAnsi="仿宋" w:eastAsia="仿宋" w:cs="仿宋"/>
          <w:sz w:val="24"/>
          <w:szCs w:val="24"/>
        </w:rPr>
      </w:pPr>
      <w:bookmarkStart w:id="371" w:name="_Hlk77083687"/>
      <w:r>
        <w:rPr>
          <w:rFonts w:hint="eastAsia" w:ascii="仿宋" w:hAnsi="仿宋" w:eastAsia="仿宋" w:cs="仿宋"/>
          <w:color w:val="000000"/>
          <w:kern w:val="0"/>
          <w:sz w:val="24"/>
          <w:szCs w:val="24"/>
        </w:rPr>
        <w:t>单点登录为门户和本项目应用子系统提供统一的身份标识鉴别服务，实现了一个界面展示所有系统的入口，并可以免登录直接进入业务系统中。具体功能</w:t>
      </w:r>
      <w:r>
        <w:rPr>
          <w:rFonts w:hint="eastAsia" w:ascii="仿宋" w:hAnsi="仿宋" w:eastAsia="仿宋" w:cs="仿宋"/>
          <w:color w:val="000000"/>
          <w:sz w:val="24"/>
          <w:szCs w:val="24"/>
          <w:lang w:val="zh-TW" w:bidi="zh-TW"/>
        </w:rPr>
        <w:t>要求</w:t>
      </w:r>
      <w:r>
        <w:rPr>
          <w:rFonts w:hint="eastAsia" w:ascii="仿宋" w:hAnsi="仿宋" w:eastAsia="仿宋" w:cs="仿宋"/>
          <w:color w:val="000000"/>
          <w:kern w:val="0"/>
          <w:sz w:val="24"/>
          <w:szCs w:val="24"/>
        </w:rPr>
        <w:t>如下：</w:t>
      </w:r>
    </w:p>
    <w:bookmarkEnd w:id="371"/>
    <w:p>
      <w:pPr>
        <w:pStyle w:val="42"/>
        <w:numPr>
          <w:ilvl w:val="0"/>
          <w:numId w:val="6"/>
        </w:numPr>
        <w:spacing w:line="360" w:lineRule="auto"/>
        <w:ind w:left="0" w:firstLine="480"/>
        <w:rPr>
          <w:rFonts w:ascii="仿宋" w:hAnsi="仿宋" w:eastAsia="仿宋" w:cs="仿宋"/>
          <w:bCs/>
          <w:sz w:val="24"/>
          <w:szCs w:val="24"/>
        </w:rPr>
      </w:pPr>
      <w:bookmarkStart w:id="372" w:name="_Toc5132"/>
      <w:r>
        <w:rPr>
          <w:rFonts w:hint="eastAsia" w:ascii="仿宋" w:hAnsi="仿宋" w:eastAsia="仿宋" w:cs="仿宋"/>
          <w:bCs/>
          <w:sz w:val="24"/>
          <w:szCs w:val="24"/>
        </w:rPr>
        <w:t>将医院相关系统都整合到统一的门户中，用户可以通过统一门户，查看平时重要的通知、日程、管理、报表等信息。</w:t>
      </w:r>
    </w:p>
    <w:p>
      <w:pPr>
        <w:pStyle w:val="42"/>
        <w:numPr>
          <w:ilvl w:val="0"/>
          <w:numId w:val="6"/>
        </w:numPr>
        <w:spacing w:line="360" w:lineRule="auto"/>
        <w:ind w:left="0" w:firstLine="480"/>
        <w:rPr>
          <w:rFonts w:ascii="仿宋" w:hAnsi="仿宋" w:eastAsia="仿宋" w:cs="仿宋"/>
          <w:bCs/>
          <w:sz w:val="24"/>
          <w:szCs w:val="24"/>
        </w:rPr>
      </w:pPr>
      <w:r>
        <w:rPr>
          <w:rFonts w:hint="eastAsia" w:ascii="仿宋" w:hAnsi="仿宋" w:eastAsia="仿宋" w:cs="仿宋"/>
          <w:bCs/>
          <w:sz w:val="24"/>
          <w:szCs w:val="24"/>
        </w:rPr>
        <w:t>同时可以无须再次输入用户名密码，直接登陆其他业务系统。</w:t>
      </w:r>
    </w:p>
    <w:p>
      <w:pPr>
        <w:pStyle w:val="42"/>
        <w:numPr>
          <w:ilvl w:val="0"/>
          <w:numId w:val="6"/>
        </w:numPr>
        <w:spacing w:line="360" w:lineRule="auto"/>
        <w:ind w:left="0" w:firstLine="480"/>
        <w:rPr>
          <w:rFonts w:ascii="仿宋" w:hAnsi="仿宋" w:eastAsia="仿宋" w:cs="仿宋"/>
          <w:bCs/>
          <w:sz w:val="24"/>
          <w:szCs w:val="24"/>
        </w:rPr>
      </w:pPr>
      <w:r>
        <w:rPr>
          <w:rFonts w:hint="eastAsia" w:ascii="仿宋" w:hAnsi="仿宋" w:eastAsia="仿宋" w:cs="仿宋"/>
          <w:bCs/>
          <w:sz w:val="24"/>
          <w:szCs w:val="24"/>
        </w:rPr>
        <w:t>统一门户针对每个角色的不同，为领导、医生、护士等不同角色定制不同的门户模版，使用户在门户中可以查看自己角色最关心的信息。</w:t>
      </w:r>
    </w:p>
    <w:p>
      <w:pPr>
        <w:pStyle w:val="42"/>
        <w:numPr>
          <w:ilvl w:val="0"/>
          <w:numId w:val="6"/>
        </w:numPr>
        <w:spacing w:line="360" w:lineRule="auto"/>
        <w:ind w:left="0" w:firstLine="480"/>
        <w:rPr>
          <w:rFonts w:ascii="仿宋" w:hAnsi="仿宋" w:eastAsia="仿宋" w:cs="仿宋"/>
          <w:bCs/>
          <w:sz w:val="24"/>
          <w:szCs w:val="24"/>
        </w:rPr>
      </w:pPr>
      <w:r>
        <w:rPr>
          <w:rFonts w:hint="eastAsia" w:ascii="仿宋" w:hAnsi="仿宋" w:eastAsia="仿宋" w:cs="仿宋"/>
          <w:bCs/>
          <w:sz w:val="24"/>
          <w:szCs w:val="24"/>
        </w:rPr>
        <w:t>如果一个用户拥有多个角色（比如即是领导，又是医生），他也可以在多个角色中进行切换，使其能更好的进行日常工作。</w:t>
      </w:r>
    </w:p>
    <w:p>
      <w:pPr>
        <w:pStyle w:val="42"/>
        <w:numPr>
          <w:ilvl w:val="0"/>
          <w:numId w:val="6"/>
        </w:numPr>
        <w:spacing w:line="360" w:lineRule="auto"/>
        <w:ind w:left="0" w:firstLine="480"/>
        <w:rPr>
          <w:rFonts w:ascii="仿宋" w:hAnsi="仿宋" w:eastAsia="仿宋" w:cs="仿宋"/>
          <w:sz w:val="24"/>
          <w:szCs w:val="24"/>
        </w:rPr>
      </w:pPr>
      <w:r>
        <w:rPr>
          <w:rFonts w:hint="eastAsia" w:ascii="仿宋" w:hAnsi="仿宋" w:eastAsia="仿宋" w:cs="仿宋"/>
          <w:bCs/>
          <w:sz w:val="24"/>
          <w:szCs w:val="24"/>
        </w:rPr>
        <w:t>提供应用系统接入规范，包括认证、消息和界面集成方案。</w:t>
      </w:r>
    </w:p>
    <w:p>
      <w:pPr>
        <w:pStyle w:val="6"/>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3、主数据管理MDM</w:t>
      </w:r>
      <w:bookmarkEnd w:id="372"/>
    </w:p>
    <w:p>
      <w:pPr>
        <w:spacing w:line="360" w:lineRule="auto"/>
        <w:ind w:firstLine="480"/>
        <w:rPr>
          <w:rFonts w:ascii="仿宋" w:hAnsi="仿宋" w:eastAsia="仿宋" w:cs="仿宋"/>
          <w:sz w:val="24"/>
          <w:szCs w:val="24"/>
        </w:rPr>
      </w:pPr>
      <w:r>
        <w:rPr>
          <w:rFonts w:hint="eastAsia" w:ascii="仿宋" w:hAnsi="仿宋" w:eastAsia="仿宋" w:cs="仿宋"/>
          <w:color w:val="000000"/>
          <w:kern w:val="0"/>
          <w:sz w:val="24"/>
          <w:szCs w:val="24"/>
        </w:rPr>
        <w:t>主数据管理（Master Data Management，MDM）旨在通过对基础数据的集中清理，以服务的方式把统一、完整、准确和具有权威性的基础数据分发给全院范围内需要使用这些数据的事务型应用和分析型应用，并作为临床数据中心的基础功能。具体功能</w:t>
      </w:r>
      <w:r>
        <w:rPr>
          <w:rFonts w:hint="eastAsia" w:ascii="仿宋" w:hAnsi="仿宋" w:eastAsia="仿宋" w:cs="仿宋"/>
          <w:color w:val="000000"/>
          <w:sz w:val="24"/>
          <w:szCs w:val="24"/>
          <w:lang w:val="zh-TW" w:bidi="zh-TW"/>
        </w:rPr>
        <w:t>要求</w:t>
      </w:r>
      <w:r>
        <w:rPr>
          <w:rFonts w:hint="eastAsia" w:ascii="仿宋" w:hAnsi="仿宋" w:eastAsia="仿宋" w:cs="仿宋"/>
          <w:color w:val="000000"/>
          <w:kern w:val="0"/>
          <w:sz w:val="24"/>
          <w:szCs w:val="24"/>
        </w:rPr>
        <w:t>如下：</w:t>
      </w:r>
    </w:p>
    <w:p>
      <w:pPr>
        <w:pStyle w:val="42"/>
        <w:numPr>
          <w:ilvl w:val="0"/>
          <w:numId w:val="7"/>
        </w:numPr>
        <w:spacing w:line="360" w:lineRule="auto"/>
        <w:ind w:left="0" w:firstLine="480"/>
        <w:rPr>
          <w:rFonts w:ascii="仿宋" w:hAnsi="仿宋" w:eastAsia="仿宋" w:cs="仿宋"/>
          <w:bCs/>
          <w:sz w:val="24"/>
          <w:szCs w:val="24"/>
        </w:rPr>
      </w:pPr>
      <w:bookmarkStart w:id="373" w:name="_Toc5346"/>
      <w:r>
        <w:rPr>
          <w:rFonts w:hint="eastAsia" w:ascii="仿宋" w:hAnsi="仿宋" w:eastAsia="仿宋" w:cs="仿宋"/>
          <w:sz w:val="24"/>
          <w:szCs w:val="24"/>
        </w:rPr>
        <w:t>★集中统一的管理全院的基础数据，通过对平台相关的各业务系统提供基础数据服务，实现基础数据的同步或匹配，以规范数+据的统计口径，提高数据质量；（需提供功能界面截图或官网截图佐证）</w:t>
      </w:r>
    </w:p>
    <w:p>
      <w:pPr>
        <w:pStyle w:val="42"/>
        <w:numPr>
          <w:ilvl w:val="0"/>
          <w:numId w:val="7"/>
        </w:numPr>
        <w:spacing w:line="360" w:lineRule="auto"/>
        <w:ind w:left="0" w:firstLine="480"/>
        <w:rPr>
          <w:rFonts w:ascii="仿宋" w:hAnsi="仿宋" w:eastAsia="仿宋" w:cs="仿宋"/>
          <w:bCs/>
          <w:sz w:val="24"/>
          <w:szCs w:val="24"/>
        </w:rPr>
      </w:pPr>
      <w:r>
        <w:rPr>
          <w:rFonts w:hint="eastAsia" w:ascii="仿宋" w:hAnsi="仿宋" w:eastAsia="仿宋" w:cs="仿宋"/>
          <w:sz w:val="24"/>
          <w:szCs w:val="24"/>
        </w:rPr>
        <w:t>统一的组织和人员管理：提供全院统一的人员数据管理功能，整合HIS、HRP等所有系统的人员信息，能够持有和管理所有人员数据，并使各个系统的人员和组织数据保持一致。能够随时跟踪人员所在。统一管理人员入职、调转、离职等信息。</w:t>
      </w:r>
    </w:p>
    <w:p>
      <w:pPr>
        <w:pStyle w:val="42"/>
        <w:numPr>
          <w:ilvl w:val="0"/>
          <w:numId w:val="7"/>
        </w:numPr>
        <w:spacing w:line="360" w:lineRule="auto"/>
        <w:ind w:left="0" w:firstLine="480"/>
        <w:rPr>
          <w:rFonts w:ascii="仿宋" w:hAnsi="仿宋" w:eastAsia="仿宋" w:cs="仿宋"/>
          <w:bCs/>
          <w:sz w:val="24"/>
          <w:szCs w:val="24"/>
        </w:rPr>
      </w:pPr>
      <w:r>
        <w:rPr>
          <w:rFonts w:hint="eastAsia" w:ascii="仿宋" w:hAnsi="仿宋" w:eastAsia="仿宋" w:cs="仿宋"/>
          <w:bCs/>
          <w:sz w:val="24"/>
          <w:szCs w:val="24"/>
        </w:rPr>
        <w:t>总体组织架构维护：组织机构类型，层级关系，组织机构全称，机构简称，机构英文名称，机构别名，简称首字母缩写，组织机构代码，邮编，单位地址，单位电话，单位传真，单位所在地，单位负责人等。</w:t>
      </w:r>
    </w:p>
    <w:p>
      <w:pPr>
        <w:pStyle w:val="42"/>
        <w:numPr>
          <w:ilvl w:val="0"/>
          <w:numId w:val="7"/>
        </w:numPr>
        <w:spacing w:line="360" w:lineRule="auto"/>
        <w:ind w:left="0" w:firstLine="480"/>
        <w:rPr>
          <w:rFonts w:ascii="仿宋" w:hAnsi="仿宋" w:eastAsia="仿宋" w:cs="仿宋"/>
          <w:bCs/>
          <w:sz w:val="24"/>
          <w:szCs w:val="24"/>
        </w:rPr>
      </w:pPr>
      <w:r>
        <w:rPr>
          <w:rFonts w:hint="eastAsia" w:ascii="仿宋" w:hAnsi="仿宋" w:eastAsia="仿宋" w:cs="仿宋"/>
          <w:bCs/>
          <w:sz w:val="24"/>
          <w:szCs w:val="24"/>
        </w:rPr>
        <w:t>部门级组织架构维护：支持从HIS系统同步各临床科室的服务单元及病区信息，并建立医院临床组织机构和HIS中各临床服务单元的对应管理。</w:t>
      </w:r>
    </w:p>
    <w:p>
      <w:pPr>
        <w:pStyle w:val="42"/>
        <w:numPr>
          <w:ilvl w:val="0"/>
          <w:numId w:val="7"/>
        </w:numPr>
        <w:spacing w:line="360" w:lineRule="auto"/>
        <w:ind w:left="0" w:firstLine="480"/>
        <w:rPr>
          <w:rFonts w:ascii="仿宋" w:hAnsi="仿宋" w:eastAsia="仿宋" w:cs="仿宋"/>
          <w:bCs/>
          <w:sz w:val="24"/>
          <w:szCs w:val="24"/>
        </w:rPr>
      </w:pPr>
      <w:r>
        <w:rPr>
          <w:rFonts w:hint="eastAsia" w:ascii="仿宋" w:hAnsi="仿宋" w:eastAsia="仿宋" w:cs="仿宋"/>
          <w:bCs/>
          <w:sz w:val="24"/>
          <w:szCs w:val="24"/>
        </w:rPr>
        <w:t>临床术语主数据管理：支持对ICD编码等临床术语进行统一管理。</w:t>
      </w:r>
    </w:p>
    <w:p>
      <w:pPr>
        <w:pStyle w:val="42"/>
        <w:numPr>
          <w:ilvl w:val="0"/>
          <w:numId w:val="7"/>
        </w:numPr>
        <w:spacing w:line="360" w:lineRule="auto"/>
        <w:ind w:left="0" w:firstLine="480"/>
        <w:rPr>
          <w:rFonts w:ascii="仿宋" w:hAnsi="仿宋" w:eastAsia="仿宋" w:cs="仿宋"/>
          <w:bCs/>
          <w:sz w:val="24"/>
          <w:szCs w:val="24"/>
        </w:rPr>
      </w:pPr>
      <w:r>
        <w:rPr>
          <w:rFonts w:hint="eastAsia" w:ascii="仿宋" w:hAnsi="仿宋" w:eastAsia="仿宋" w:cs="仿宋"/>
          <w:bCs/>
          <w:sz w:val="24"/>
          <w:szCs w:val="24"/>
        </w:rPr>
        <w:t>服务单元主数据管理：门诊服务单元、住院服务单元、护理服务单元。</w:t>
      </w:r>
    </w:p>
    <w:p>
      <w:pPr>
        <w:pStyle w:val="42"/>
        <w:numPr>
          <w:ilvl w:val="0"/>
          <w:numId w:val="7"/>
        </w:numPr>
        <w:spacing w:line="360" w:lineRule="auto"/>
        <w:ind w:left="0" w:firstLine="480"/>
        <w:rPr>
          <w:rFonts w:ascii="仿宋" w:hAnsi="仿宋" w:eastAsia="仿宋" w:cs="仿宋"/>
          <w:bCs/>
          <w:sz w:val="24"/>
          <w:szCs w:val="24"/>
        </w:rPr>
      </w:pPr>
      <w:r>
        <w:rPr>
          <w:rFonts w:hint="eastAsia" w:ascii="仿宋" w:hAnsi="仿宋" w:eastAsia="仿宋" w:cs="仿宋"/>
          <w:bCs/>
          <w:sz w:val="24"/>
          <w:szCs w:val="24"/>
        </w:rPr>
        <w:t>检验项目主数据管理：检验项目、标本类型。</w:t>
      </w:r>
    </w:p>
    <w:p>
      <w:pPr>
        <w:pStyle w:val="42"/>
        <w:numPr>
          <w:ilvl w:val="0"/>
          <w:numId w:val="7"/>
        </w:numPr>
        <w:spacing w:line="360" w:lineRule="auto"/>
        <w:ind w:left="0" w:firstLine="480"/>
        <w:rPr>
          <w:rFonts w:ascii="仿宋" w:hAnsi="仿宋" w:eastAsia="仿宋" w:cs="仿宋"/>
          <w:bCs/>
          <w:sz w:val="24"/>
          <w:szCs w:val="24"/>
        </w:rPr>
      </w:pPr>
      <w:r>
        <w:rPr>
          <w:rFonts w:hint="eastAsia" w:ascii="仿宋" w:hAnsi="仿宋" w:eastAsia="仿宋" w:cs="仿宋"/>
          <w:bCs/>
          <w:sz w:val="24"/>
          <w:szCs w:val="24"/>
        </w:rPr>
        <w:t>检查项目主数据管理：包括放射、超声、病理、内镜、心电等。</w:t>
      </w:r>
    </w:p>
    <w:p>
      <w:pPr>
        <w:pStyle w:val="42"/>
        <w:numPr>
          <w:ilvl w:val="0"/>
          <w:numId w:val="7"/>
        </w:numPr>
        <w:spacing w:line="360" w:lineRule="auto"/>
        <w:ind w:left="0" w:firstLine="480"/>
        <w:rPr>
          <w:rFonts w:ascii="仿宋" w:hAnsi="仿宋" w:eastAsia="仿宋" w:cs="仿宋"/>
          <w:bCs/>
          <w:sz w:val="24"/>
          <w:szCs w:val="24"/>
        </w:rPr>
      </w:pPr>
      <w:r>
        <w:rPr>
          <w:rFonts w:hint="eastAsia" w:ascii="仿宋" w:hAnsi="仿宋" w:eastAsia="仿宋" w:cs="仿宋"/>
          <w:bCs/>
          <w:sz w:val="24"/>
          <w:szCs w:val="24"/>
        </w:rPr>
        <w:t>收费项目主数据管理：对收费项目相关信息进行统一管理。基于HIS系统信息分析，整理出收费项目，主要包含：收费项目编码、名称、费用类别、国家标准代码、物资对应项目、是否打印知情同意书、是否需要预约等。收费项目信息，以HIS系统为初始化收费项目数据，注册到集成平台发布给各业务系统。</w:t>
      </w:r>
    </w:p>
    <w:p>
      <w:pPr>
        <w:pStyle w:val="42"/>
        <w:numPr>
          <w:ilvl w:val="0"/>
          <w:numId w:val="7"/>
        </w:numPr>
        <w:spacing w:line="360" w:lineRule="auto"/>
        <w:ind w:left="0" w:firstLine="480"/>
        <w:rPr>
          <w:rFonts w:ascii="仿宋" w:hAnsi="仿宋" w:eastAsia="仿宋" w:cs="仿宋"/>
          <w:bCs/>
          <w:sz w:val="24"/>
          <w:szCs w:val="24"/>
        </w:rPr>
      </w:pPr>
      <w:r>
        <w:rPr>
          <w:rFonts w:hint="eastAsia" w:ascii="仿宋" w:hAnsi="仿宋" w:eastAsia="仿宋" w:cs="仿宋"/>
          <w:bCs/>
          <w:sz w:val="24"/>
          <w:szCs w:val="24"/>
        </w:rPr>
        <w:t>医嘱项目主数据管理：定义医嘱项目基础数据。</w:t>
      </w:r>
    </w:p>
    <w:p>
      <w:pPr>
        <w:pStyle w:val="42"/>
        <w:numPr>
          <w:ilvl w:val="0"/>
          <w:numId w:val="7"/>
        </w:numPr>
        <w:spacing w:line="360" w:lineRule="auto"/>
        <w:ind w:left="0" w:firstLine="480"/>
        <w:rPr>
          <w:rFonts w:ascii="仿宋" w:hAnsi="仿宋" w:eastAsia="仿宋" w:cs="仿宋"/>
          <w:bCs/>
          <w:sz w:val="24"/>
          <w:szCs w:val="24"/>
        </w:rPr>
      </w:pPr>
      <w:r>
        <w:rPr>
          <w:rFonts w:hint="eastAsia" w:ascii="仿宋" w:hAnsi="仿宋" w:eastAsia="仿宋" w:cs="仿宋"/>
          <w:bCs/>
          <w:sz w:val="24"/>
          <w:szCs w:val="24"/>
        </w:rPr>
        <w:t>药品项目主数据管理：药品基本信息维护、抗生素基本信息、药理分类信息、药品通用信息、诊断院内码、手术院内码。</w:t>
      </w:r>
    </w:p>
    <w:p>
      <w:pPr>
        <w:pStyle w:val="42"/>
        <w:numPr>
          <w:ilvl w:val="0"/>
          <w:numId w:val="7"/>
        </w:numPr>
        <w:spacing w:line="360" w:lineRule="auto"/>
        <w:ind w:left="0" w:right="-50" w:rightChars="-24" w:firstLine="480"/>
        <w:rPr>
          <w:rFonts w:ascii="仿宋" w:hAnsi="仿宋" w:eastAsia="仿宋" w:cs="仿宋"/>
          <w:bCs/>
          <w:sz w:val="24"/>
          <w:szCs w:val="24"/>
        </w:rPr>
      </w:pPr>
      <w:r>
        <w:rPr>
          <w:rFonts w:hint="eastAsia" w:ascii="仿宋" w:hAnsi="仿宋" w:eastAsia="仿宋" w:cs="仿宋"/>
          <w:bCs/>
          <w:sz w:val="24"/>
          <w:szCs w:val="24"/>
        </w:rPr>
        <w:t>医疗资源主数据管理：支持编制和创建全院当前定义为医疗资源的基础数据，梳理医疗资源类别和归属层级并编码。包括诊间、诊间工位、床位、需要进行医疗效率和服务质量分析的医疗设备等。</w:t>
      </w:r>
    </w:p>
    <w:p>
      <w:pPr>
        <w:pStyle w:val="42"/>
        <w:numPr>
          <w:ilvl w:val="0"/>
          <w:numId w:val="7"/>
        </w:numPr>
        <w:spacing w:line="360" w:lineRule="auto"/>
        <w:ind w:left="0" w:right="-50" w:rightChars="-24" w:firstLine="480"/>
        <w:rPr>
          <w:rFonts w:ascii="仿宋" w:hAnsi="仿宋" w:eastAsia="仿宋" w:cs="仿宋"/>
          <w:bCs/>
          <w:sz w:val="24"/>
          <w:szCs w:val="24"/>
        </w:rPr>
      </w:pPr>
      <w:r>
        <w:rPr>
          <w:rFonts w:hint="eastAsia" w:ascii="仿宋" w:hAnsi="仿宋" w:eastAsia="仿宋" w:cs="仿宋"/>
          <w:bCs/>
          <w:sz w:val="24"/>
          <w:szCs w:val="24"/>
        </w:rPr>
        <w:t>耗材主数据管理：对耗材相关信息进行统一管理。集成平台实现耗材信息注册服务、同步耗材信息服务、收费与耗材对应注册服务、收费与耗材对应发布服务。</w:t>
      </w:r>
    </w:p>
    <w:p>
      <w:pPr>
        <w:pStyle w:val="42"/>
        <w:numPr>
          <w:ilvl w:val="0"/>
          <w:numId w:val="7"/>
        </w:numPr>
        <w:spacing w:line="360" w:lineRule="auto"/>
        <w:ind w:left="0" w:firstLine="480"/>
        <w:rPr>
          <w:rFonts w:ascii="仿宋" w:hAnsi="仿宋" w:eastAsia="仿宋" w:cs="仿宋"/>
          <w:bCs/>
          <w:sz w:val="24"/>
          <w:szCs w:val="24"/>
        </w:rPr>
      </w:pPr>
      <w:r>
        <w:rPr>
          <w:rFonts w:hint="eastAsia" w:ascii="仿宋" w:hAnsi="仿宋" w:eastAsia="仿宋" w:cs="仿宋"/>
          <w:bCs/>
          <w:sz w:val="24"/>
          <w:szCs w:val="24"/>
        </w:rPr>
        <w:t>手术院内码和手术ICD的对应关系。</w:t>
      </w:r>
    </w:p>
    <w:p>
      <w:pPr>
        <w:pStyle w:val="42"/>
        <w:numPr>
          <w:ilvl w:val="0"/>
          <w:numId w:val="7"/>
        </w:numPr>
        <w:spacing w:line="360" w:lineRule="auto"/>
        <w:ind w:left="0" w:firstLine="480"/>
        <w:rPr>
          <w:rFonts w:ascii="仿宋" w:hAnsi="仿宋" w:eastAsia="仿宋" w:cs="仿宋"/>
          <w:bCs/>
          <w:sz w:val="24"/>
          <w:szCs w:val="24"/>
        </w:rPr>
      </w:pPr>
      <w:r>
        <w:rPr>
          <w:rFonts w:hint="eastAsia" w:ascii="仿宋" w:hAnsi="仿宋" w:eastAsia="仿宋" w:cs="仿宋"/>
          <w:bCs/>
          <w:sz w:val="24"/>
          <w:szCs w:val="24"/>
        </w:rPr>
        <w:t>诊断院内码和诊断ICD的对应关系。</w:t>
      </w:r>
    </w:p>
    <w:p>
      <w:pPr>
        <w:pStyle w:val="42"/>
        <w:numPr>
          <w:ilvl w:val="0"/>
          <w:numId w:val="7"/>
        </w:numPr>
        <w:spacing w:line="360" w:lineRule="auto"/>
        <w:ind w:left="0" w:firstLine="480"/>
        <w:rPr>
          <w:rFonts w:ascii="仿宋" w:hAnsi="仿宋" w:eastAsia="仿宋" w:cs="仿宋"/>
          <w:bCs/>
          <w:sz w:val="24"/>
          <w:szCs w:val="24"/>
        </w:rPr>
      </w:pPr>
      <w:r>
        <w:rPr>
          <w:rFonts w:hint="eastAsia" w:ascii="仿宋" w:hAnsi="仿宋" w:eastAsia="仿宋" w:cs="仿宋"/>
          <w:bCs/>
          <w:sz w:val="24"/>
          <w:szCs w:val="24"/>
        </w:rPr>
        <w:t>国标包括但不限于以下：</w:t>
      </w:r>
      <w:bookmarkStart w:id="374" w:name="_Hlk88654811"/>
      <w:r>
        <w:rPr>
          <w:rFonts w:hint="eastAsia" w:ascii="仿宋" w:hAnsi="仿宋" w:eastAsia="仿宋" w:cs="仿宋"/>
          <w:bCs/>
          <w:sz w:val="24"/>
          <w:szCs w:val="24"/>
        </w:rPr>
        <w:t>全国组织机构代码编制规则（GB 11714-1997）、中华人民共和国行政区划代码(GB/T 2260-2007）、县级以下行政区划代码编制规则(GB/T 10114-2003）、经济类型分类与代码(GB/T 12402-2000)、《个人基本信息分类与代码 第1部分:人的性别代码》（GB/T 2261.1-2003）、</w:t>
      </w:r>
      <w:r>
        <w:rPr>
          <w:rFonts w:hint="eastAsia" w:ascii="仿宋" w:hAnsi="仿宋" w:eastAsia="仿宋" w:cs="仿宋"/>
          <w:sz w:val="24"/>
          <w:szCs w:val="24"/>
        </w:rPr>
        <w:t>《个人基本信息分类与代码 第2部分: 婚姻状况代码》（</w:t>
      </w:r>
      <w:r>
        <w:fldChar w:fldCharType="begin"/>
      </w:r>
      <w:r>
        <w:instrText xml:space="preserve"> HYPERLINK "http://www.csres.com/detail/63892.html" \t "_blank" </w:instrText>
      </w:r>
      <w:r>
        <w:fldChar w:fldCharType="separate"/>
      </w:r>
      <w:r>
        <w:rPr>
          <w:rFonts w:hint="eastAsia" w:ascii="仿宋" w:hAnsi="仿宋" w:eastAsia="仿宋" w:cs="仿宋"/>
          <w:sz w:val="24"/>
          <w:szCs w:val="24"/>
        </w:rPr>
        <w:t>GB/T 2261.2-2003</w:t>
      </w:r>
      <w:r>
        <w:rPr>
          <w:rFonts w:hint="eastAsia" w:ascii="仿宋" w:hAnsi="仿宋" w:eastAsia="仿宋" w:cs="仿宋"/>
          <w:sz w:val="24"/>
          <w:szCs w:val="24"/>
        </w:rPr>
        <w:fldChar w:fldCharType="end"/>
      </w:r>
      <w:r>
        <w:rPr>
          <w:rFonts w:hint="eastAsia" w:ascii="仿宋" w:hAnsi="仿宋" w:eastAsia="仿宋" w:cs="仿宋"/>
          <w:sz w:val="24"/>
          <w:szCs w:val="24"/>
        </w:rPr>
        <w:t>）</w:t>
      </w:r>
      <w:r>
        <w:rPr>
          <w:rFonts w:hint="eastAsia" w:ascii="仿宋" w:hAnsi="仿宋" w:eastAsia="仿宋" w:cs="仿宋"/>
          <w:bCs/>
          <w:sz w:val="24"/>
          <w:szCs w:val="24"/>
        </w:rPr>
        <w:t>、中国各民族名称的罗马字母拼写法和代码（GB 3304-1991）、</w:t>
      </w:r>
      <w:r>
        <w:rPr>
          <w:rFonts w:hint="eastAsia" w:ascii="仿宋" w:hAnsi="仿宋" w:eastAsia="仿宋" w:cs="仿宋"/>
          <w:sz w:val="24"/>
          <w:szCs w:val="24"/>
        </w:rPr>
        <w:t>《</w:t>
      </w:r>
      <w:r>
        <w:rPr>
          <w:rFonts w:hint="eastAsia" w:ascii="仿宋" w:hAnsi="仿宋" w:eastAsia="仿宋" w:cs="仿宋"/>
          <w:bCs/>
          <w:sz w:val="24"/>
          <w:szCs w:val="24"/>
        </w:rPr>
        <w:t>学历代码</w:t>
      </w:r>
      <w:r>
        <w:rPr>
          <w:rFonts w:hint="eastAsia" w:ascii="仿宋" w:hAnsi="仿宋" w:eastAsia="仿宋" w:cs="仿宋"/>
          <w:sz w:val="24"/>
          <w:szCs w:val="24"/>
        </w:rPr>
        <w:t>》</w:t>
      </w:r>
      <w:r>
        <w:rPr>
          <w:rFonts w:hint="eastAsia" w:ascii="仿宋" w:hAnsi="仿宋" w:eastAsia="仿宋" w:cs="仿宋"/>
          <w:bCs/>
          <w:sz w:val="24"/>
          <w:szCs w:val="24"/>
        </w:rPr>
        <w:t>（GB/T 4658-2006）、</w:t>
      </w:r>
      <w:r>
        <w:rPr>
          <w:rFonts w:hint="eastAsia" w:ascii="仿宋" w:hAnsi="仿宋" w:eastAsia="仿宋" w:cs="仿宋"/>
          <w:sz w:val="24"/>
          <w:szCs w:val="24"/>
        </w:rPr>
        <w:t>《中华人民共和国学位代码》</w:t>
      </w:r>
      <w:r>
        <w:rPr>
          <w:rFonts w:hint="eastAsia" w:ascii="仿宋" w:hAnsi="仿宋" w:eastAsia="仿宋" w:cs="仿宋"/>
          <w:bCs/>
          <w:sz w:val="24"/>
          <w:szCs w:val="24"/>
        </w:rPr>
        <w:t>(GB/T 6864-2003)、《高等学校本科、专科专业名称代码》(GB/T 16835-1997)、专业技术职务代码（GB/T 8561-2001）、疾病分类与代码（GB / T14396-2016）、中医病症分类与代码（GB/T15657-2021）</w:t>
      </w:r>
      <w:bookmarkEnd w:id="374"/>
      <w:r>
        <w:rPr>
          <w:rFonts w:hint="eastAsia" w:ascii="仿宋" w:hAnsi="仿宋" w:eastAsia="仿宋" w:cs="仿宋"/>
          <w:bCs/>
          <w:sz w:val="24"/>
          <w:szCs w:val="24"/>
        </w:rPr>
        <w:t>。</w:t>
      </w:r>
    </w:p>
    <w:p>
      <w:pPr>
        <w:pStyle w:val="42"/>
        <w:numPr>
          <w:ilvl w:val="0"/>
          <w:numId w:val="7"/>
        </w:numPr>
        <w:spacing w:line="360" w:lineRule="auto"/>
        <w:ind w:left="0" w:firstLine="480"/>
        <w:rPr>
          <w:rFonts w:ascii="仿宋" w:hAnsi="仿宋" w:eastAsia="仿宋" w:cs="仿宋"/>
          <w:sz w:val="24"/>
          <w:szCs w:val="24"/>
        </w:rPr>
      </w:pPr>
      <w:r>
        <w:rPr>
          <w:rFonts w:hint="eastAsia" w:ascii="仿宋" w:hAnsi="仿宋" w:eastAsia="仿宋" w:cs="仿宋"/>
          <w:bCs/>
          <w:sz w:val="24"/>
          <w:szCs w:val="24"/>
        </w:rPr>
        <w:t>行标包括但不限于以下：</w:t>
      </w:r>
      <w:bookmarkStart w:id="375" w:name="_Hlk88654825"/>
      <w:r>
        <w:rPr>
          <w:rFonts w:hint="eastAsia" w:ascii="仿宋" w:hAnsi="仿宋" w:eastAsia="仿宋" w:cs="仿宋"/>
          <w:bCs/>
          <w:sz w:val="24"/>
          <w:szCs w:val="24"/>
        </w:rPr>
        <w:t>卫生机构(组织)分类与代码（WS218-2002）、卫生信息数据集分类与编码规则（WS/T306-2009）、《国家基本医疗保险、工伤保险和生育保险药品目录》、《医疗器械分类规则》、《全国医疗服务价格项目规范》</w:t>
      </w:r>
      <w:bookmarkEnd w:id="375"/>
      <w:r>
        <w:rPr>
          <w:rFonts w:hint="eastAsia" w:ascii="仿宋" w:hAnsi="仿宋" w:eastAsia="仿宋" w:cs="仿宋"/>
          <w:bCs/>
          <w:sz w:val="24"/>
          <w:szCs w:val="24"/>
        </w:rPr>
        <w:t>。</w:t>
      </w:r>
    </w:p>
    <w:p>
      <w:pPr>
        <w:pStyle w:val="6"/>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4、患者主索引管理EMPI</w:t>
      </w:r>
      <w:bookmarkEnd w:id="373"/>
    </w:p>
    <w:p>
      <w:pPr>
        <w:spacing w:line="360" w:lineRule="auto"/>
        <w:ind w:firstLine="480"/>
        <w:rPr>
          <w:rFonts w:ascii="仿宋" w:hAnsi="仿宋" w:eastAsia="仿宋" w:cs="仿宋"/>
          <w:sz w:val="24"/>
          <w:szCs w:val="24"/>
        </w:rPr>
      </w:pPr>
      <w:bookmarkStart w:id="376" w:name="_Hlk75341209"/>
      <w:r>
        <w:rPr>
          <w:rFonts w:hint="eastAsia" w:ascii="仿宋" w:hAnsi="仿宋" w:eastAsia="仿宋" w:cs="仿宋"/>
          <w:sz w:val="24"/>
          <w:szCs w:val="24"/>
        </w:rPr>
        <w:t>患者主索引（EMPI）即利用患者身份信息建立患者主索引数据模型，包括患者的个人信息比如中文姓名，中文姓名拼音码，性别，出生日期，证件类别，证件号码，婚姻状况，住址以及联系电话、联系人信息等。主索引信息应解决不同系统间患者信息不一致的情况以及不同身份就诊不一致情况，为医疗服务信息系统提供一个独立、长久存在的患者信息库，保证患者信息一致性、准确性，用于患者基本信息索引的创建、搜索和维护，可对患者有效地进行管理。具体功能要求如下：</w:t>
      </w:r>
    </w:p>
    <w:tbl>
      <w:tblPr>
        <w:tblStyle w:val="27"/>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701"/>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413" w:type="dxa"/>
          </w:tcPr>
          <w:p>
            <w:pPr>
              <w:jc w:val="center"/>
              <w:rPr>
                <w:rFonts w:ascii="仿宋" w:hAnsi="仿宋" w:eastAsia="仿宋" w:cs="仿宋"/>
                <w:sz w:val="24"/>
                <w:szCs w:val="24"/>
              </w:rPr>
            </w:pPr>
            <w:r>
              <w:rPr>
                <w:rFonts w:hint="eastAsia" w:ascii="仿宋" w:hAnsi="仿宋" w:eastAsia="仿宋" w:cs="仿宋"/>
                <w:sz w:val="24"/>
                <w:szCs w:val="24"/>
              </w:rPr>
              <w:t>一级功能</w:t>
            </w:r>
          </w:p>
        </w:tc>
        <w:tc>
          <w:tcPr>
            <w:tcW w:w="1701" w:type="dxa"/>
          </w:tcPr>
          <w:p>
            <w:pPr>
              <w:jc w:val="center"/>
              <w:rPr>
                <w:rFonts w:ascii="仿宋" w:hAnsi="仿宋" w:eastAsia="仿宋" w:cs="仿宋"/>
                <w:sz w:val="24"/>
                <w:szCs w:val="24"/>
              </w:rPr>
            </w:pPr>
            <w:r>
              <w:rPr>
                <w:rFonts w:hint="eastAsia" w:ascii="仿宋" w:hAnsi="仿宋" w:eastAsia="仿宋" w:cs="仿宋"/>
                <w:sz w:val="24"/>
                <w:szCs w:val="24"/>
              </w:rPr>
              <w:t>二级功能</w:t>
            </w:r>
          </w:p>
        </w:tc>
        <w:tc>
          <w:tcPr>
            <w:tcW w:w="5528" w:type="dxa"/>
          </w:tcPr>
          <w:p>
            <w:pPr>
              <w:jc w:val="center"/>
              <w:rPr>
                <w:rFonts w:ascii="仿宋" w:hAnsi="仿宋" w:eastAsia="仿宋" w:cs="仿宋"/>
                <w:sz w:val="24"/>
                <w:szCs w:val="24"/>
              </w:rPr>
            </w:pPr>
            <w:r>
              <w:rPr>
                <w:rFonts w:hint="eastAsia" w:ascii="仿宋" w:hAnsi="仿宋" w:eastAsia="仿宋" w:cs="仿宋"/>
                <w:sz w:val="24"/>
                <w:szCs w:val="24"/>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1413" w:type="dxa"/>
            <w:vMerge w:val="restart"/>
          </w:tcPr>
          <w:p>
            <w:pPr>
              <w:rPr>
                <w:rFonts w:ascii="仿宋" w:hAnsi="仿宋" w:eastAsia="仿宋" w:cs="仿宋"/>
                <w:sz w:val="24"/>
                <w:szCs w:val="24"/>
              </w:rPr>
            </w:pPr>
            <w:r>
              <w:rPr>
                <w:rFonts w:hint="eastAsia" w:ascii="仿宋" w:hAnsi="仿宋" w:eastAsia="仿宋" w:cs="仿宋"/>
                <w:sz w:val="24"/>
                <w:szCs w:val="24"/>
              </w:rPr>
              <w:t>患者主索引管理</w:t>
            </w:r>
          </w:p>
        </w:tc>
        <w:tc>
          <w:tcPr>
            <w:tcW w:w="1701" w:type="dxa"/>
          </w:tcPr>
          <w:p>
            <w:pPr>
              <w:rPr>
                <w:rFonts w:ascii="仿宋" w:hAnsi="仿宋" w:eastAsia="仿宋" w:cs="仿宋"/>
                <w:sz w:val="24"/>
                <w:szCs w:val="24"/>
              </w:rPr>
            </w:pPr>
            <w:r>
              <w:rPr>
                <w:rFonts w:hint="eastAsia" w:ascii="仿宋" w:hAnsi="仿宋" w:eastAsia="仿宋" w:cs="仿宋"/>
                <w:sz w:val="24"/>
                <w:szCs w:val="24"/>
              </w:rPr>
              <w:t>患者注册管理</w:t>
            </w:r>
          </w:p>
        </w:tc>
        <w:tc>
          <w:tcPr>
            <w:tcW w:w="5528" w:type="dxa"/>
          </w:tcPr>
          <w:p>
            <w:pPr>
              <w:rPr>
                <w:rFonts w:ascii="仿宋" w:hAnsi="仿宋" w:eastAsia="仿宋" w:cs="仿宋"/>
                <w:sz w:val="24"/>
                <w:szCs w:val="24"/>
              </w:rPr>
            </w:pPr>
            <w:r>
              <w:rPr>
                <w:rFonts w:hint="eastAsia" w:ascii="仿宋" w:hAnsi="仿宋" w:eastAsia="仿宋" w:cs="仿宋"/>
                <w:sz w:val="24"/>
                <w:szCs w:val="24"/>
              </w:rPr>
              <w:t>支持将患者信息注册到患者主索引系统，患者主索引系统支持根据匹配算法计算并保存患者信息：支持确定性匹配及概率性匹配算法，符合IHE-PIX、IHE-PDQ集成规范；支持通过高效的匹配算法计算匹配度，支持对中文词汇的模糊搜索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413" w:type="dxa"/>
            <w:vMerge w:val="continue"/>
          </w:tcPr>
          <w:p>
            <w:pPr>
              <w:rPr>
                <w:rFonts w:ascii="仿宋" w:hAnsi="仿宋" w:eastAsia="仿宋" w:cs="仿宋"/>
                <w:sz w:val="24"/>
                <w:szCs w:val="24"/>
              </w:rPr>
            </w:pPr>
          </w:p>
        </w:tc>
        <w:tc>
          <w:tcPr>
            <w:tcW w:w="1701" w:type="dxa"/>
            <w:vMerge w:val="restart"/>
          </w:tcPr>
          <w:p>
            <w:pPr>
              <w:rPr>
                <w:rFonts w:ascii="仿宋" w:hAnsi="仿宋" w:eastAsia="仿宋" w:cs="仿宋"/>
                <w:sz w:val="24"/>
                <w:szCs w:val="24"/>
              </w:rPr>
            </w:pPr>
            <w:r>
              <w:rPr>
                <w:rFonts w:hint="eastAsia" w:ascii="仿宋" w:hAnsi="仿宋" w:eastAsia="仿宋" w:cs="仿宋"/>
                <w:sz w:val="24"/>
                <w:szCs w:val="24"/>
              </w:rPr>
              <w:t>患者拆分/合并/查询/索引重建</w:t>
            </w:r>
          </w:p>
        </w:tc>
        <w:tc>
          <w:tcPr>
            <w:tcW w:w="5528" w:type="dxa"/>
          </w:tcPr>
          <w:p>
            <w:pPr>
              <w:pStyle w:val="42"/>
              <w:numPr>
                <w:ilvl w:val="0"/>
                <w:numId w:val="8"/>
              </w:numPr>
              <w:ind w:left="0" w:firstLine="0" w:firstLineChars="0"/>
              <w:rPr>
                <w:rFonts w:ascii="仿宋" w:hAnsi="仿宋" w:eastAsia="仿宋" w:cs="仿宋"/>
                <w:sz w:val="24"/>
                <w:szCs w:val="24"/>
              </w:rPr>
            </w:pPr>
            <w:r>
              <w:rPr>
                <w:rFonts w:hint="eastAsia" w:ascii="仿宋" w:hAnsi="仿宋" w:eastAsia="仿宋" w:cs="仿宋"/>
                <w:sz w:val="24"/>
                <w:szCs w:val="24"/>
              </w:rPr>
              <w:t>支持对已合并患者信息进行拆分；</w:t>
            </w:r>
            <w:r>
              <w:rPr>
                <w:rFonts w:hint="eastAsia" w:ascii="仿宋" w:hAnsi="仿宋" w:eastAsia="仿宋" w:cs="仿宋"/>
                <w:bCs/>
                <w:sz w:val="24"/>
                <w:szCs w:val="24"/>
              </w:rPr>
              <w:t>即患者合并列表中，用户可以查看患者合并的所有记录，对于合并错误记录可点击拆分按钮进行患者拆分操作；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13" w:type="dxa"/>
            <w:vMerge w:val="continue"/>
          </w:tcPr>
          <w:p>
            <w:pPr>
              <w:rPr>
                <w:rFonts w:ascii="仿宋" w:hAnsi="仿宋" w:eastAsia="仿宋" w:cs="仿宋"/>
                <w:sz w:val="24"/>
                <w:szCs w:val="24"/>
              </w:rPr>
            </w:pPr>
          </w:p>
        </w:tc>
        <w:tc>
          <w:tcPr>
            <w:tcW w:w="1701" w:type="dxa"/>
            <w:vMerge w:val="continue"/>
          </w:tcPr>
          <w:p>
            <w:pPr>
              <w:rPr>
                <w:rFonts w:ascii="仿宋" w:hAnsi="仿宋" w:eastAsia="仿宋" w:cs="仿宋"/>
                <w:sz w:val="24"/>
                <w:szCs w:val="24"/>
              </w:rPr>
            </w:pPr>
          </w:p>
        </w:tc>
        <w:tc>
          <w:tcPr>
            <w:tcW w:w="5528" w:type="dxa"/>
          </w:tcPr>
          <w:p>
            <w:pPr>
              <w:rPr>
                <w:rFonts w:ascii="仿宋" w:hAnsi="仿宋" w:eastAsia="仿宋" w:cs="仿宋"/>
                <w:sz w:val="24"/>
                <w:szCs w:val="24"/>
              </w:rPr>
            </w:pPr>
            <w:r>
              <w:rPr>
                <w:rFonts w:hint="eastAsia" w:ascii="仿宋" w:hAnsi="仿宋" w:eastAsia="仿宋" w:cs="仿宋"/>
                <w:sz w:val="24"/>
                <w:szCs w:val="24"/>
              </w:rPr>
              <w:t>★支持对疑似相同患者提供前端操作界面，可以直观的查看信息差异情况，辅助操作人员进行患者信息合并，将合并记录更新到患者主索引；（需提供功能界面截图佐证）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413" w:type="dxa"/>
            <w:vMerge w:val="continue"/>
          </w:tcPr>
          <w:p>
            <w:pPr>
              <w:rPr>
                <w:rFonts w:ascii="仿宋" w:hAnsi="仿宋" w:eastAsia="仿宋" w:cs="仿宋"/>
                <w:sz w:val="24"/>
                <w:szCs w:val="24"/>
              </w:rPr>
            </w:pPr>
          </w:p>
        </w:tc>
        <w:tc>
          <w:tcPr>
            <w:tcW w:w="1701" w:type="dxa"/>
            <w:vMerge w:val="continue"/>
          </w:tcPr>
          <w:p>
            <w:pPr>
              <w:rPr>
                <w:rFonts w:ascii="仿宋" w:hAnsi="仿宋" w:eastAsia="仿宋" w:cs="仿宋"/>
                <w:sz w:val="24"/>
                <w:szCs w:val="24"/>
              </w:rPr>
            </w:pPr>
          </w:p>
        </w:tc>
        <w:tc>
          <w:tcPr>
            <w:tcW w:w="5528" w:type="dxa"/>
          </w:tcPr>
          <w:p>
            <w:pPr>
              <w:rPr>
                <w:rFonts w:ascii="仿宋" w:hAnsi="仿宋" w:eastAsia="仿宋" w:cs="仿宋"/>
                <w:sz w:val="24"/>
                <w:szCs w:val="24"/>
              </w:rPr>
            </w:pPr>
            <w:r>
              <w:rPr>
                <w:rFonts w:hint="eastAsia" w:ascii="仿宋" w:hAnsi="仿宋" w:eastAsia="仿宋" w:cs="仿宋"/>
                <w:sz w:val="24"/>
                <w:szCs w:val="24"/>
              </w:rPr>
              <w:t>支持根据患者信息相关的查询条件，经查询匹配后，返回符合条件的患者信息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413" w:type="dxa"/>
            <w:vMerge w:val="continue"/>
          </w:tcPr>
          <w:p>
            <w:pPr>
              <w:rPr>
                <w:rFonts w:ascii="仿宋" w:hAnsi="仿宋" w:eastAsia="仿宋" w:cs="仿宋"/>
                <w:sz w:val="24"/>
                <w:szCs w:val="24"/>
              </w:rPr>
            </w:pPr>
          </w:p>
        </w:tc>
        <w:tc>
          <w:tcPr>
            <w:tcW w:w="1701" w:type="dxa"/>
            <w:vMerge w:val="continue"/>
          </w:tcPr>
          <w:p>
            <w:pPr>
              <w:rPr>
                <w:rFonts w:ascii="仿宋" w:hAnsi="仿宋" w:eastAsia="仿宋" w:cs="仿宋"/>
                <w:sz w:val="24"/>
                <w:szCs w:val="24"/>
              </w:rPr>
            </w:pPr>
          </w:p>
        </w:tc>
        <w:tc>
          <w:tcPr>
            <w:tcW w:w="5528" w:type="dxa"/>
          </w:tcPr>
          <w:p>
            <w:pPr>
              <w:rPr>
                <w:rFonts w:ascii="仿宋" w:hAnsi="仿宋" w:eastAsia="仿宋" w:cs="仿宋"/>
                <w:sz w:val="24"/>
                <w:szCs w:val="24"/>
              </w:rPr>
            </w:pPr>
            <w:r>
              <w:rPr>
                <w:rFonts w:hint="eastAsia" w:ascii="仿宋" w:hAnsi="仿宋" w:eastAsia="仿宋" w:cs="仿宋"/>
                <w:sz w:val="24"/>
                <w:szCs w:val="24"/>
              </w:rPr>
              <w:t>★支持对院内各类信息系统中的患者信息进行索引合并，使历史记录可以进行关联，可自动或手动合并患者信息；对于合并记录支持日志查看，包括合并日志记录及对应的日志详情；（需提供功能界面截图佐证）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413" w:type="dxa"/>
            <w:vMerge w:val="continue"/>
          </w:tcPr>
          <w:p>
            <w:pPr>
              <w:rPr>
                <w:rFonts w:ascii="仿宋" w:hAnsi="仿宋" w:eastAsia="仿宋" w:cs="仿宋"/>
                <w:sz w:val="24"/>
                <w:szCs w:val="24"/>
              </w:rPr>
            </w:pPr>
          </w:p>
        </w:tc>
        <w:tc>
          <w:tcPr>
            <w:tcW w:w="1701" w:type="dxa"/>
            <w:vMerge w:val="continue"/>
          </w:tcPr>
          <w:p>
            <w:pPr>
              <w:rPr>
                <w:rFonts w:ascii="仿宋" w:hAnsi="仿宋" w:eastAsia="仿宋" w:cs="仿宋"/>
                <w:sz w:val="24"/>
                <w:szCs w:val="24"/>
              </w:rPr>
            </w:pPr>
          </w:p>
        </w:tc>
        <w:tc>
          <w:tcPr>
            <w:tcW w:w="5528" w:type="dxa"/>
          </w:tcPr>
          <w:p>
            <w:pPr>
              <w:rPr>
                <w:rFonts w:ascii="仿宋" w:hAnsi="仿宋" w:eastAsia="仿宋" w:cs="仿宋"/>
                <w:sz w:val="24"/>
                <w:szCs w:val="24"/>
              </w:rPr>
            </w:pPr>
            <w:r>
              <w:rPr>
                <w:rFonts w:hint="eastAsia" w:ascii="仿宋" w:hAnsi="仿宋" w:eastAsia="仿宋" w:cs="仿宋"/>
                <w:bCs/>
                <w:sz w:val="24"/>
                <w:szCs w:val="24"/>
              </w:rPr>
              <w:t>支持自动合并规则包括精确合并、模糊合并两种规则；并且为每个规则配置匹配的字段以及对应的匹配算法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413" w:type="dxa"/>
            <w:vMerge w:val="continue"/>
          </w:tcPr>
          <w:p>
            <w:pPr>
              <w:rPr>
                <w:rFonts w:ascii="仿宋" w:hAnsi="仿宋" w:eastAsia="仿宋" w:cs="仿宋"/>
                <w:sz w:val="24"/>
                <w:szCs w:val="24"/>
              </w:rPr>
            </w:pPr>
          </w:p>
        </w:tc>
        <w:tc>
          <w:tcPr>
            <w:tcW w:w="1701" w:type="dxa"/>
            <w:vMerge w:val="continue"/>
          </w:tcPr>
          <w:p>
            <w:pPr>
              <w:rPr>
                <w:rFonts w:ascii="仿宋" w:hAnsi="仿宋" w:eastAsia="仿宋" w:cs="仿宋"/>
                <w:sz w:val="24"/>
                <w:szCs w:val="24"/>
              </w:rPr>
            </w:pPr>
          </w:p>
        </w:tc>
        <w:tc>
          <w:tcPr>
            <w:tcW w:w="5528" w:type="dxa"/>
          </w:tcPr>
          <w:p>
            <w:pPr>
              <w:pStyle w:val="42"/>
              <w:ind w:firstLine="0" w:firstLineChars="0"/>
              <w:rPr>
                <w:rFonts w:ascii="仿宋" w:hAnsi="仿宋" w:eastAsia="仿宋" w:cs="仿宋"/>
                <w:bCs/>
                <w:sz w:val="24"/>
                <w:szCs w:val="24"/>
              </w:rPr>
            </w:pPr>
            <w:r>
              <w:rPr>
                <w:rFonts w:hint="eastAsia" w:ascii="仿宋" w:hAnsi="仿宋" w:eastAsia="仿宋" w:cs="仿宋"/>
                <w:bCs/>
                <w:sz w:val="24"/>
                <w:szCs w:val="24"/>
              </w:rPr>
              <w:t>支持自动合并的权重边界值设置，包括系统默认为同一个人的匹配度值设置；系统判断为疑似相同需要人为判断是否为同一个人的匹配度值设置；系统自动认为不是同一个人的匹配度值设置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413" w:type="dxa"/>
            <w:vMerge w:val="continue"/>
          </w:tcPr>
          <w:p>
            <w:pPr>
              <w:rPr>
                <w:rFonts w:ascii="仿宋" w:hAnsi="仿宋" w:eastAsia="仿宋" w:cs="仿宋"/>
                <w:sz w:val="24"/>
                <w:szCs w:val="24"/>
              </w:rPr>
            </w:pPr>
          </w:p>
        </w:tc>
        <w:tc>
          <w:tcPr>
            <w:tcW w:w="1701" w:type="dxa"/>
            <w:vMerge w:val="continue"/>
          </w:tcPr>
          <w:p>
            <w:pPr>
              <w:rPr>
                <w:rFonts w:ascii="仿宋" w:hAnsi="仿宋" w:eastAsia="仿宋" w:cs="仿宋"/>
                <w:sz w:val="24"/>
                <w:szCs w:val="24"/>
              </w:rPr>
            </w:pPr>
          </w:p>
        </w:tc>
        <w:tc>
          <w:tcPr>
            <w:tcW w:w="5528" w:type="dxa"/>
          </w:tcPr>
          <w:p>
            <w:pPr>
              <w:pStyle w:val="42"/>
              <w:ind w:firstLine="0" w:firstLineChars="0"/>
              <w:rPr>
                <w:rFonts w:ascii="仿宋" w:hAnsi="仿宋" w:eastAsia="仿宋" w:cs="仿宋"/>
                <w:bCs/>
                <w:sz w:val="24"/>
                <w:szCs w:val="24"/>
              </w:rPr>
            </w:pPr>
            <w:r>
              <w:rPr>
                <w:rFonts w:hint="eastAsia" w:ascii="仿宋" w:hAnsi="仿宋" w:eastAsia="仿宋" w:cs="仿宋"/>
                <w:bCs/>
                <w:sz w:val="24"/>
                <w:szCs w:val="24"/>
              </w:rPr>
              <w:t>支持当相似值没有达到自动合并区间，并且大于不合并最大值时进入人工合并队列。选择认为是相同的患者可进行“合并”操作，即可将两个患者进行合并。如果认为不是同一个患者可以进行“忽略”操作，即删除该疑似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413" w:type="dxa"/>
            <w:vMerge w:val="continue"/>
          </w:tcPr>
          <w:p>
            <w:pPr>
              <w:rPr>
                <w:rFonts w:ascii="仿宋" w:hAnsi="仿宋" w:eastAsia="仿宋" w:cs="仿宋"/>
                <w:sz w:val="24"/>
                <w:szCs w:val="24"/>
              </w:rPr>
            </w:pPr>
          </w:p>
        </w:tc>
        <w:tc>
          <w:tcPr>
            <w:tcW w:w="1701" w:type="dxa"/>
            <w:vMerge w:val="continue"/>
          </w:tcPr>
          <w:p>
            <w:pPr>
              <w:rPr>
                <w:rFonts w:ascii="仿宋" w:hAnsi="仿宋" w:eastAsia="仿宋" w:cs="仿宋"/>
                <w:sz w:val="24"/>
                <w:szCs w:val="24"/>
              </w:rPr>
            </w:pPr>
          </w:p>
        </w:tc>
        <w:tc>
          <w:tcPr>
            <w:tcW w:w="5528" w:type="dxa"/>
          </w:tcPr>
          <w:p>
            <w:pPr>
              <w:pStyle w:val="42"/>
              <w:ind w:firstLine="0" w:firstLineChars="0"/>
              <w:rPr>
                <w:rFonts w:ascii="仿宋" w:hAnsi="仿宋" w:eastAsia="仿宋" w:cs="仿宋"/>
                <w:bCs/>
                <w:sz w:val="24"/>
                <w:szCs w:val="24"/>
              </w:rPr>
            </w:pPr>
            <w:r>
              <w:rPr>
                <w:rFonts w:hint="eastAsia" w:ascii="仿宋" w:hAnsi="仿宋" w:eastAsia="仿宋" w:cs="仿宋"/>
                <w:bCs/>
                <w:sz w:val="24"/>
                <w:szCs w:val="24"/>
              </w:rPr>
              <w:t>支持患者合并日志查询功能，可以根据不同的查询条件进行检索，以列表形式展示患者合并日志记录相关信息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413" w:type="dxa"/>
          </w:tcPr>
          <w:p>
            <w:pPr>
              <w:rPr>
                <w:rFonts w:ascii="仿宋" w:hAnsi="仿宋" w:eastAsia="仿宋" w:cs="仿宋"/>
                <w:sz w:val="24"/>
                <w:szCs w:val="24"/>
              </w:rPr>
            </w:pPr>
            <w:r>
              <w:rPr>
                <w:rFonts w:hint="eastAsia" w:ascii="仿宋" w:hAnsi="仿宋" w:eastAsia="仿宋" w:cs="仿宋"/>
                <w:sz w:val="24"/>
                <w:szCs w:val="24"/>
              </w:rPr>
              <w:t>匹配规则管理</w:t>
            </w:r>
          </w:p>
        </w:tc>
        <w:tc>
          <w:tcPr>
            <w:tcW w:w="1701" w:type="dxa"/>
          </w:tcPr>
          <w:p>
            <w:pPr>
              <w:rPr>
                <w:rFonts w:ascii="仿宋" w:hAnsi="仿宋" w:eastAsia="仿宋" w:cs="仿宋"/>
                <w:sz w:val="24"/>
                <w:szCs w:val="24"/>
              </w:rPr>
            </w:pPr>
            <w:r>
              <w:rPr>
                <w:rFonts w:hint="eastAsia" w:ascii="仿宋" w:hAnsi="仿宋" w:eastAsia="仿宋" w:cs="仿宋"/>
                <w:sz w:val="24"/>
                <w:szCs w:val="24"/>
              </w:rPr>
              <w:t>匹配规则管理</w:t>
            </w:r>
          </w:p>
        </w:tc>
        <w:tc>
          <w:tcPr>
            <w:tcW w:w="5528" w:type="dxa"/>
          </w:tcPr>
          <w:p>
            <w:pPr>
              <w:rPr>
                <w:rFonts w:ascii="仿宋" w:hAnsi="仿宋" w:eastAsia="仿宋" w:cs="仿宋"/>
                <w:sz w:val="24"/>
                <w:szCs w:val="24"/>
              </w:rPr>
            </w:pPr>
            <w:r>
              <w:rPr>
                <w:rFonts w:hint="eastAsia" w:ascii="仿宋" w:hAnsi="仿宋" w:eastAsia="仿宋" w:cs="仿宋"/>
                <w:sz w:val="24"/>
                <w:szCs w:val="24"/>
              </w:rPr>
              <w:t>支持为医院提供患者匹配的标准与规范，根据设定的相同匹配规则对注册信息进行合并；支持为医院提供患者匹配的标准与规范，根据设定的相似匹配规则对注册信息建立相似关系。</w:t>
            </w:r>
          </w:p>
        </w:tc>
      </w:tr>
      <w:bookmarkEnd w:id="376"/>
    </w:tbl>
    <w:p>
      <w:pPr>
        <w:pStyle w:val="6"/>
        <w:spacing w:line="360" w:lineRule="auto"/>
        <w:ind w:firstLine="482" w:firstLineChars="200"/>
        <w:jc w:val="left"/>
        <w:rPr>
          <w:rFonts w:ascii="仿宋" w:hAnsi="仿宋" w:eastAsia="仿宋" w:cs="仿宋"/>
          <w:b/>
          <w:bCs/>
          <w:sz w:val="24"/>
          <w:szCs w:val="24"/>
        </w:rPr>
      </w:pPr>
      <w:bookmarkStart w:id="377" w:name="_Toc28700"/>
      <w:r>
        <w:rPr>
          <w:rFonts w:hint="eastAsia" w:ascii="仿宋" w:hAnsi="仿宋" w:eastAsia="仿宋" w:cs="仿宋"/>
          <w:b/>
          <w:bCs/>
          <w:sz w:val="24"/>
          <w:szCs w:val="24"/>
        </w:rPr>
        <w:t>5、统一消息管理</w:t>
      </w:r>
      <w:bookmarkEnd w:id="377"/>
    </w:p>
    <w:p>
      <w:pPr>
        <w:spacing w:line="360" w:lineRule="auto"/>
        <w:ind w:firstLine="480"/>
        <w:rPr>
          <w:rFonts w:ascii="仿宋" w:hAnsi="仿宋" w:eastAsia="仿宋" w:cs="仿宋"/>
          <w:sz w:val="24"/>
          <w:szCs w:val="24"/>
        </w:rPr>
      </w:pPr>
      <w:r>
        <w:rPr>
          <w:rFonts w:hint="eastAsia" w:ascii="仿宋" w:hAnsi="仿宋" w:eastAsia="仿宋" w:cs="仿宋"/>
          <w:sz w:val="24"/>
          <w:szCs w:val="24"/>
          <w:lang w:eastAsia="zh-TW"/>
        </w:rPr>
        <w:t>统一消息提供多通道、多级别消息接口对接各业务、管理系统的提示、告警信息，并及时提示相关用户或科室，实现消息的统一归口、统一发送，显著的提高了信息的实时送达率。</w:t>
      </w:r>
      <w:r>
        <w:rPr>
          <w:rFonts w:hint="eastAsia" w:ascii="仿宋" w:hAnsi="仿宋" w:eastAsia="仿宋" w:cs="仿宋"/>
          <w:sz w:val="24"/>
          <w:szCs w:val="24"/>
        </w:rPr>
        <w:t>具体功能要求如下：</w:t>
      </w:r>
    </w:p>
    <w:p>
      <w:pPr>
        <w:pStyle w:val="42"/>
        <w:numPr>
          <w:ilvl w:val="0"/>
          <w:numId w:val="9"/>
        </w:numPr>
        <w:spacing w:line="360" w:lineRule="auto"/>
        <w:ind w:left="0" w:firstLine="480"/>
        <w:rPr>
          <w:rFonts w:ascii="仿宋" w:hAnsi="仿宋" w:eastAsia="仿宋" w:cs="仿宋"/>
          <w:sz w:val="24"/>
          <w:szCs w:val="24"/>
        </w:rPr>
      </w:pPr>
      <w:bookmarkStart w:id="378" w:name="_Toc25646"/>
      <w:r>
        <w:rPr>
          <w:rFonts w:hint="eastAsia" w:ascii="仿宋" w:hAnsi="仿宋" w:eastAsia="仿宋" w:cs="仿宋"/>
          <w:sz w:val="24"/>
          <w:szCs w:val="24"/>
        </w:rPr>
        <w:t>支持平台管理人员配置消息发送渠道，管理接入消息平台的系统；</w:t>
      </w:r>
    </w:p>
    <w:p>
      <w:pPr>
        <w:pStyle w:val="42"/>
        <w:numPr>
          <w:ilvl w:val="0"/>
          <w:numId w:val="9"/>
        </w:numPr>
        <w:spacing w:line="360" w:lineRule="auto"/>
        <w:ind w:left="0" w:firstLine="480"/>
        <w:rPr>
          <w:rFonts w:ascii="仿宋" w:hAnsi="仿宋" w:eastAsia="仿宋" w:cs="仿宋"/>
          <w:sz w:val="24"/>
          <w:szCs w:val="24"/>
        </w:rPr>
      </w:pPr>
      <w:r>
        <w:rPr>
          <w:rFonts w:hint="eastAsia" w:ascii="仿宋" w:hAnsi="仿宋" w:eastAsia="仿宋" w:cs="仿宋"/>
          <w:sz w:val="24"/>
          <w:szCs w:val="24"/>
        </w:rPr>
        <w:t>支持消息类型的基础配置和账号配置；</w:t>
      </w:r>
    </w:p>
    <w:p>
      <w:pPr>
        <w:pStyle w:val="42"/>
        <w:numPr>
          <w:ilvl w:val="0"/>
          <w:numId w:val="9"/>
        </w:numPr>
        <w:spacing w:line="360" w:lineRule="auto"/>
        <w:ind w:left="0" w:firstLine="480"/>
        <w:rPr>
          <w:rFonts w:ascii="仿宋" w:hAnsi="仿宋" w:eastAsia="仿宋" w:cs="仿宋"/>
          <w:sz w:val="24"/>
          <w:szCs w:val="24"/>
        </w:rPr>
      </w:pPr>
      <w:r>
        <w:rPr>
          <w:rFonts w:hint="eastAsia" w:ascii="仿宋" w:hAnsi="仿宋" w:eastAsia="仿宋" w:cs="仿宋"/>
          <w:sz w:val="24"/>
          <w:szCs w:val="24"/>
        </w:rPr>
        <w:t>支持消息的IP白名单配置、消息内容长度配置等；</w:t>
      </w:r>
    </w:p>
    <w:p>
      <w:pPr>
        <w:pStyle w:val="42"/>
        <w:numPr>
          <w:ilvl w:val="0"/>
          <w:numId w:val="9"/>
        </w:numPr>
        <w:spacing w:line="360" w:lineRule="auto"/>
        <w:ind w:left="0" w:firstLine="480"/>
        <w:rPr>
          <w:rFonts w:ascii="仿宋" w:hAnsi="仿宋" w:eastAsia="仿宋" w:cs="仿宋"/>
          <w:sz w:val="24"/>
          <w:szCs w:val="24"/>
        </w:rPr>
      </w:pPr>
      <w:r>
        <w:rPr>
          <w:rFonts w:hint="eastAsia" w:ascii="仿宋" w:hAnsi="仿宋" w:eastAsia="仿宋" w:cs="仿宋"/>
          <w:sz w:val="24"/>
          <w:szCs w:val="24"/>
        </w:rPr>
        <w:t>支持配置预定义的消息模板，包括模板类型、模板头、模板内容、模板尾等；同时可以进行编辑和删除操作；</w:t>
      </w:r>
    </w:p>
    <w:p>
      <w:pPr>
        <w:pStyle w:val="42"/>
        <w:numPr>
          <w:ilvl w:val="0"/>
          <w:numId w:val="9"/>
        </w:numPr>
        <w:spacing w:line="360" w:lineRule="auto"/>
        <w:ind w:left="0" w:firstLine="480"/>
        <w:rPr>
          <w:rFonts w:ascii="仿宋" w:hAnsi="仿宋" w:eastAsia="仿宋" w:cs="仿宋"/>
          <w:sz w:val="24"/>
          <w:szCs w:val="24"/>
        </w:rPr>
      </w:pPr>
      <w:r>
        <w:rPr>
          <w:rFonts w:hint="eastAsia" w:ascii="仿宋" w:hAnsi="仿宋" w:eastAsia="仿宋" w:cs="仿宋"/>
          <w:sz w:val="24"/>
          <w:szCs w:val="24"/>
        </w:rPr>
        <w:t>支持为第三方配置账户信息以及使用规则，包括账号、密码、名称、说明等；对于第三方所申请的账号支持审核功能，包括联系方式、账号、密码、账号名称信息；同时，配置可以进行启用、禁用、编辑、删除等操作；</w:t>
      </w:r>
    </w:p>
    <w:p>
      <w:pPr>
        <w:pStyle w:val="42"/>
        <w:numPr>
          <w:ilvl w:val="0"/>
          <w:numId w:val="9"/>
        </w:numPr>
        <w:spacing w:line="360" w:lineRule="auto"/>
        <w:ind w:left="0" w:firstLine="480"/>
        <w:rPr>
          <w:rFonts w:ascii="仿宋" w:hAnsi="仿宋" w:eastAsia="仿宋" w:cs="仿宋"/>
          <w:sz w:val="24"/>
          <w:szCs w:val="24"/>
        </w:rPr>
      </w:pPr>
      <w:r>
        <w:rPr>
          <w:rFonts w:hint="eastAsia" w:ascii="仿宋" w:hAnsi="仿宋" w:eastAsia="仿宋" w:cs="仿宋"/>
          <w:sz w:val="24"/>
          <w:szCs w:val="24"/>
        </w:rPr>
        <w:t>支持第三方账号分配；</w:t>
      </w:r>
    </w:p>
    <w:p>
      <w:pPr>
        <w:pStyle w:val="42"/>
        <w:numPr>
          <w:ilvl w:val="0"/>
          <w:numId w:val="9"/>
        </w:numPr>
        <w:spacing w:line="360" w:lineRule="auto"/>
        <w:ind w:left="0" w:firstLine="480"/>
        <w:rPr>
          <w:rFonts w:ascii="仿宋" w:hAnsi="仿宋" w:eastAsia="仿宋" w:cs="仿宋"/>
          <w:sz w:val="24"/>
          <w:szCs w:val="24"/>
        </w:rPr>
      </w:pPr>
      <w:r>
        <w:rPr>
          <w:rFonts w:hint="eastAsia" w:ascii="仿宋" w:hAnsi="仿宋" w:eastAsia="仿宋" w:cs="仿宋"/>
          <w:sz w:val="24"/>
          <w:szCs w:val="24"/>
        </w:rPr>
        <w:t>支持消息内容过滤，支持设置敏感过滤信息列表，对消息内容监控，当有非法信息时，拒绝发送；</w:t>
      </w:r>
    </w:p>
    <w:p>
      <w:pPr>
        <w:pStyle w:val="42"/>
        <w:numPr>
          <w:ilvl w:val="0"/>
          <w:numId w:val="9"/>
        </w:numPr>
        <w:spacing w:line="360" w:lineRule="auto"/>
        <w:ind w:left="0" w:firstLine="480"/>
        <w:rPr>
          <w:rFonts w:ascii="仿宋" w:hAnsi="仿宋" w:eastAsia="仿宋" w:cs="仿宋"/>
          <w:sz w:val="24"/>
          <w:szCs w:val="24"/>
        </w:rPr>
      </w:pPr>
      <w:r>
        <w:rPr>
          <w:rFonts w:hint="eastAsia" w:ascii="仿宋" w:hAnsi="仿宋" w:eastAsia="仿宋" w:cs="仿宋"/>
          <w:sz w:val="24"/>
          <w:szCs w:val="24"/>
        </w:rPr>
        <w:t>支持消息发送接口服务；</w:t>
      </w:r>
    </w:p>
    <w:p>
      <w:pPr>
        <w:pStyle w:val="42"/>
        <w:numPr>
          <w:ilvl w:val="0"/>
          <w:numId w:val="9"/>
        </w:numPr>
        <w:spacing w:line="360" w:lineRule="auto"/>
        <w:ind w:left="0" w:firstLine="480"/>
        <w:rPr>
          <w:rFonts w:ascii="仿宋" w:hAnsi="仿宋" w:eastAsia="仿宋" w:cs="仿宋"/>
          <w:sz w:val="24"/>
          <w:szCs w:val="24"/>
        </w:rPr>
      </w:pPr>
      <w:r>
        <w:rPr>
          <w:rFonts w:hint="eastAsia" w:ascii="仿宋" w:hAnsi="仿宋" w:eastAsia="仿宋" w:cs="仿宋"/>
          <w:sz w:val="24"/>
          <w:szCs w:val="24"/>
        </w:rPr>
        <w:t>支持消息执行情况查看，消息发送后可以在平台上直观地看到发送情况，发送使用的类型、渠道、详细信息等；</w:t>
      </w:r>
    </w:p>
    <w:p>
      <w:pPr>
        <w:pStyle w:val="42"/>
        <w:numPr>
          <w:ilvl w:val="0"/>
          <w:numId w:val="9"/>
        </w:numPr>
        <w:spacing w:line="360" w:lineRule="auto"/>
        <w:ind w:left="0" w:firstLine="480"/>
        <w:rPr>
          <w:rFonts w:ascii="仿宋" w:hAnsi="仿宋" w:eastAsia="仿宋" w:cs="仿宋"/>
          <w:sz w:val="24"/>
          <w:szCs w:val="24"/>
        </w:rPr>
      </w:pPr>
      <w:r>
        <w:rPr>
          <w:rFonts w:hint="eastAsia" w:ascii="仿宋" w:hAnsi="仿宋" w:eastAsia="仿宋" w:cs="仿宋"/>
          <w:sz w:val="24"/>
          <w:szCs w:val="24"/>
        </w:rPr>
        <w:t>★支持消息查阅，包括消息发送主机、发送系统、发送人、发送结果、日期等消息内容。并支持消息统计，可以按照即时消息统计、即时消息发送状况统计，并可以根据年份进行统计查询；（需提供功能界面截图佐证）</w:t>
      </w:r>
    </w:p>
    <w:p>
      <w:pPr>
        <w:pStyle w:val="42"/>
        <w:numPr>
          <w:ilvl w:val="0"/>
          <w:numId w:val="9"/>
        </w:numPr>
        <w:spacing w:line="360" w:lineRule="auto"/>
        <w:ind w:left="0" w:firstLine="480"/>
        <w:rPr>
          <w:rFonts w:ascii="仿宋" w:hAnsi="仿宋" w:eastAsia="仿宋" w:cs="仿宋"/>
          <w:sz w:val="24"/>
          <w:szCs w:val="24"/>
        </w:rPr>
      </w:pPr>
      <w:r>
        <w:rPr>
          <w:rFonts w:hint="eastAsia" w:ascii="仿宋" w:hAnsi="仿宋" w:eastAsia="仿宋" w:cs="仿宋"/>
          <w:sz w:val="24"/>
          <w:szCs w:val="24"/>
        </w:rPr>
        <w:t>支持短信平台管理。短信服务商管理，职工手机号码管理，短信发送状态查询和多维度统计；</w:t>
      </w:r>
    </w:p>
    <w:p>
      <w:pPr>
        <w:pStyle w:val="42"/>
        <w:numPr>
          <w:ilvl w:val="0"/>
          <w:numId w:val="9"/>
        </w:numPr>
        <w:spacing w:line="360" w:lineRule="auto"/>
        <w:ind w:left="0" w:firstLine="480"/>
        <w:rPr>
          <w:rFonts w:ascii="仿宋" w:hAnsi="仿宋" w:eastAsia="仿宋" w:cs="仿宋"/>
          <w:sz w:val="24"/>
          <w:szCs w:val="24"/>
        </w:rPr>
      </w:pPr>
      <w:r>
        <w:rPr>
          <w:rFonts w:hint="eastAsia" w:ascii="仿宋" w:hAnsi="仿宋" w:eastAsia="仿宋" w:cs="仿宋"/>
          <w:sz w:val="24"/>
          <w:szCs w:val="24"/>
        </w:rPr>
        <w:t>支持即时消息管理：</w:t>
      </w:r>
    </w:p>
    <w:p>
      <w:pPr>
        <w:pStyle w:val="42"/>
        <w:spacing w:line="360" w:lineRule="auto"/>
        <w:ind w:right="-50" w:rightChars="-24" w:firstLine="480"/>
        <w:rPr>
          <w:rFonts w:ascii="仿宋" w:hAnsi="仿宋" w:eastAsia="仿宋" w:cs="仿宋"/>
          <w:sz w:val="24"/>
          <w:szCs w:val="24"/>
        </w:rPr>
      </w:pPr>
      <w:r>
        <w:rPr>
          <w:rFonts w:hint="eastAsia" w:ascii="仿宋" w:hAnsi="仿宋" w:eastAsia="仿宋" w:cs="仿宋"/>
          <w:sz w:val="24"/>
          <w:szCs w:val="24"/>
        </w:rPr>
        <w:t>消息接收提醒：职工登录统一工作平台后，界面处于打开状态下，若有新即时消息，则有新消息提醒；</w:t>
      </w:r>
    </w:p>
    <w:p>
      <w:pPr>
        <w:pStyle w:val="42"/>
        <w:spacing w:line="360" w:lineRule="auto"/>
        <w:ind w:right="-50" w:rightChars="-24" w:firstLine="480"/>
        <w:rPr>
          <w:rFonts w:ascii="仿宋" w:hAnsi="仿宋" w:eastAsia="仿宋" w:cs="仿宋"/>
          <w:sz w:val="24"/>
          <w:szCs w:val="24"/>
        </w:rPr>
      </w:pPr>
      <w:r>
        <w:rPr>
          <w:rFonts w:hint="eastAsia" w:ascii="仿宋" w:hAnsi="仿宋" w:eastAsia="仿宋" w:cs="仿宋"/>
          <w:sz w:val="24"/>
          <w:szCs w:val="24"/>
        </w:rPr>
        <w:t>查看、查询接收消息：按时间，发送系统，发送人，拒绝发送，发送成功，失败情况，接收人进行数据查询和统计。</w:t>
      </w:r>
    </w:p>
    <w:p>
      <w:pPr>
        <w:pStyle w:val="6"/>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6、统一用户管理</w:t>
      </w:r>
      <w:bookmarkEnd w:id="378"/>
    </w:p>
    <w:p>
      <w:pPr>
        <w:spacing w:line="360" w:lineRule="auto"/>
        <w:ind w:firstLine="480"/>
        <w:rPr>
          <w:rFonts w:ascii="仿宋" w:hAnsi="仿宋" w:eastAsia="仿宋" w:cs="仿宋"/>
          <w:sz w:val="24"/>
          <w:szCs w:val="24"/>
        </w:rPr>
      </w:pPr>
      <w:bookmarkStart w:id="379" w:name="_Toc23017"/>
      <w:r>
        <w:rPr>
          <w:rFonts w:hint="eastAsia" w:ascii="仿宋" w:hAnsi="仿宋" w:eastAsia="仿宋" w:cs="仿宋"/>
          <w:color w:val="000000"/>
          <w:kern w:val="0"/>
          <w:sz w:val="24"/>
          <w:szCs w:val="24"/>
        </w:rPr>
        <w:t>统一用户管理服务是按照基于角色的访问控制模型，建立的一套为各信息系统应用实现权限管理的平台，与信息系统应用成为一种松耦合的工作模式，减少设计、实现上的重复，为各类信息系统应用集成提供基础。具体功能</w:t>
      </w:r>
      <w:r>
        <w:rPr>
          <w:rFonts w:hint="eastAsia" w:ascii="仿宋" w:hAnsi="仿宋" w:eastAsia="仿宋" w:cs="仿宋"/>
          <w:color w:val="000000"/>
          <w:sz w:val="24"/>
          <w:szCs w:val="24"/>
          <w:lang w:val="zh-TW" w:bidi="zh-TW"/>
        </w:rPr>
        <w:t>要求</w:t>
      </w:r>
      <w:r>
        <w:rPr>
          <w:rFonts w:hint="eastAsia" w:ascii="仿宋" w:hAnsi="仿宋" w:eastAsia="仿宋" w:cs="仿宋"/>
          <w:color w:val="000000"/>
          <w:kern w:val="0"/>
          <w:sz w:val="24"/>
          <w:szCs w:val="24"/>
        </w:rPr>
        <w:t>如下：</w:t>
      </w:r>
    </w:p>
    <w:p>
      <w:pPr>
        <w:pStyle w:val="42"/>
        <w:widowControl/>
        <w:numPr>
          <w:ilvl w:val="0"/>
          <w:numId w:val="10"/>
        </w:numPr>
        <w:spacing w:line="360" w:lineRule="auto"/>
        <w:ind w:left="0" w:firstLine="480"/>
        <w:contextualSpacing/>
        <w:rPr>
          <w:rFonts w:ascii="仿宋" w:hAnsi="仿宋" w:eastAsia="仿宋" w:cs="仿宋"/>
          <w:bCs/>
          <w:sz w:val="24"/>
          <w:szCs w:val="24"/>
        </w:rPr>
      </w:pPr>
      <w:r>
        <w:rPr>
          <w:rFonts w:hint="eastAsia" w:ascii="仿宋" w:hAnsi="仿宋" w:eastAsia="仿宋" w:cs="仿宋"/>
          <w:bCs/>
          <w:sz w:val="24"/>
          <w:szCs w:val="24"/>
        </w:rPr>
        <w:t>为医院各应用系统提供统一的、高可靠性和安全的用户管理服务，它集中存放以前分散在各应用系统的用户信息和组织机构信息。</w:t>
      </w:r>
    </w:p>
    <w:p>
      <w:pPr>
        <w:pStyle w:val="42"/>
        <w:widowControl/>
        <w:numPr>
          <w:ilvl w:val="0"/>
          <w:numId w:val="10"/>
        </w:numPr>
        <w:spacing w:line="360" w:lineRule="auto"/>
        <w:ind w:left="0" w:firstLine="480"/>
        <w:contextualSpacing/>
        <w:rPr>
          <w:rFonts w:ascii="仿宋" w:hAnsi="仿宋" w:eastAsia="仿宋" w:cs="仿宋"/>
          <w:bCs/>
          <w:sz w:val="24"/>
          <w:szCs w:val="24"/>
        </w:rPr>
      </w:pPr>
      <w:r>
        <w:rPr>
          <w:rFonts w:hint="eastAsia" w:ascii="仿宋" w:hAnsi="仿宋" w:eastAsia="仿宋" w:cs="仿宋"/>
          <w:bCs/>
          <w:sz w:val="24"/>
          <w:szCs w:val="24"/>
        </w:rPr>
        <w:t>按照管理流程，实现信息在各系统之间的流转和同步，并为各系统提供人员创建、调动、注销和密码同步等功能。</w:t>
      </w:r>
    </w:p>
    <w:p>
      <w:pPr>
        <w:pStyle w:val="42"/>
        <w:widowControl/>
        <w:numPr>
          <w:ilvl w:val="0"/>
          <w:numId w:val="10"/>
        </w:numPr>
        <w:spacing w:line="360" w:lineRule="auto"/>
        <w:ind w:left="0" w:firstLine="480"/>
        <w:contextualSpacing/>
        <w:rPr>
          <w:rFonts w:ascii="仿宋" w:hAnsi="仿宋" w:eastAsia="仿宋" w:cs="仿宋"/>
          <w:bCs/>
          <w:sz w:val="24"/>
          <w:szCs w:val="24"/>
        </w:rPr>
      </w:pPr>
      <w:r>
        <w:rPr>
          <w:rFonts w:hint="eastAsia" w:ascii="仿宋" w:hAnsi="仿宋" w:eastAsia="仿宋" w:cs="仿宋"/>
          <w:bCs/>
          <w:sz w:val="24"/>
          <w:szCs w:val="24"/>
        </w:rPr>
        <w:t>实现完善的用户信息管理功能，能实现各系统用户帐号的对应关系管理，并集中存放分散在各系统的人员信息。</w:t>
      </w:r>
    </w:p>
    <w:p>
      <w:pPr>
        <w:pStyle w:val="42"/>
        <w:widowControl/>
        <w:numPr>
          <w:ilvl w:val="0"/>
          <w:numId w:val="10"/>
        </w:numPr>
        <w:spacing w:line="360" w:lineRule="auto"/>
        <w:ind w:left="0" w:firstLine="480"/>
        <w:contextualSpacing/>
        <w:rPr>
          <w:rFonts w:ascii="仿宋" w:hAnsi="仿宋" w:eastAsia="仿宋" w:cs="仿宋"/>
          <w:bCs/>
          <w:sz w:val="24"/>
          <w:szCs w:val="24"/>
        </w:rPr>
      </w:pPr>
      <w:r>
        <w:rPr>
          <w:rFonts w:hint="eastAsia" w:ascii="仿宋" w:hAnsi="仿宋" w:eastAsia="仿宋" w:cs="仿宋"/>
          <w:bCs/>
          <w:sz w:val="24"/>
          <w:szCs w:val="24"/>
        </w:rPr>
        <w:t>提供用户创建和注销的功能，并对接各系统接口，自动创建或注销各系统用户帐号。</w:t>
      </w:r>
    </w:p>
    <w:p>
      <w:pPr>
        <w:pStyle w:val="42"/>
        <w:widowControl/>
        <w:numPr>
          <w:ilvl w:val="0"/>
          <w:numId w:val="10"/>
        </w:numPr>
        <w:spacing w:line="360" w:lineRule="auto"/>
        <w:ind w:left="0" w:firstLine="480"/>
        <w:contextualSpacing/>
        <w:rPr>
          <w:rFonts w:ascii="仿宋" w:hAnsi="仿宋" w:eastAsia="仿宋" w:cs="仿宋"/>
          <w:bCs/>
          <w:sz w:val="24"/>
          <w:szCs w:val="24"/>
        </w:rPr>
      </w:pPr>
      <w:r>
        <w:rPr>
          <w:rFonts w:hint="eastAsia" w:ascii="仿宋" w:hAnsi="仿宋" w:eastAsia="仿宋" w:cs="仿宋"/>
          <w:bCs/>
          <w:sz w:val="24"/>
          <w:szCs w:val="24"/>
        </w:rPr>
        <w:t>用户信息修改，提供修改用户信息的界面和访问接口，保证修改后的用户信息在各系统中保持一致。</w:t>
      </w:r>
    </w:p>
    <w:p>
      <w:pPr>
        <w:pStyle w:val="42"/>
        <w:widowControl/>
        <w:numPr>
          <w:ilvl w:val="0"/>
          <w:numId w:val="10"/>
        </w:numPr>
        <w:spacing w:line="360" w:lineRule="auto"/>
        <w:ind w:left="0" w:firstLine="480"/>
        <w:contextualSpacing/>
        <w:rPr>
          <w:rFonts w:ascii="仿宋" w:hAnsi="仿宋" w:eastAsia="仿宋" w:cs="仿宋"/>
          <w:bCs/>
          <w:sz w:val="24"/>
          <w:szCs w:val="24"/>
        </w:rPr>
      </w:pPr>
      <w:r>
        <w:rPr>
          <w:rFonts w:hint="eastAsia" w:ascii="仿宋" w:hAnsi="仿宋" w:eastAsia="仿宋" w:cs="仿宋"/>
          <w:bCs/>
          <w:sz w:val="24"/>
          <w:szCs w:val="24"/>
        </w:rPr>
        <w:t>用户管理系统应具备高性能和可靠性，系统应能通过增加对等的人员管理服务器来均衡负载，以提升性能和可靠性，并增强数据安全性。</w:t>
      </w:r>
    </w:p>
    <w:p>
      <w:pPr>
        <w:pStyle w:val="42"/>
        <w:widowControl/>
        <w:numPr>
          <w:ilvl w:val="0"/>
          <w:numId w:val="10"/>
        </w:numPr>
        <w:spacing w:line="360" w:lineRule="auto"/>
        <w:ind w:left="0" w:firstLine="480"/>
        <w:contextualSpacing/>
        <w:rPr>
          <w:rFonts w:ascii="仿宋" w:hAnsi="仿宋" w:eastAsia="仿宋" w:cs="仿宋"/>
          <w:bCs/>
          <w:sz w:val="24"/>
          <w:szCs w:val="24"/>
        </w:rPr>
      </w:pPr>
      <w:bookmarkStart w:id="380" w:name="_Hlk16697230"/>
      <w:r>
        <w:rPr>
          <w:rFonts w:hint="eastAsia" w:ascii="仿宋" w:hAnsi="仿宋" w:eastAsia="仿宋" w:cs="仿宋"/>
          <w:bCs/>
          <w:sz w:val="24"/>
          <w:szCs w:val="24"/>
        </w:rPr>
        <w:t>系统应能通过权限设置和委托，实现分级管理功能，以方便管理部门（如医务处、护理部和人事处等）或各临床科室管理各自的用户信息。</w:t>
      </w:r>
      <w:bookmarkEnd w:id="380"/>
    </w:p>
    <w:p>
      <w:pPr>
        <w:pStyle w:val="42"/>
        <w:widowControl/>
        <w:numPr>
          <w:ilvl w:val="0"/>
          <w:numId w:val="10"/>
        </w:numPr>
        <w:spacing w:line="360" w:lineRule="auto"/>
        <w:ind w:left="0" w:firstLine="480"/>
        <w:contextualSpacing/>
        <w:rPr>
          <w:rFonts w:ascii="仿宋" w:hAnsi="仿宋" w:eastAsia="仿宋" w:cs="仿宋"/>
          <w:bCs/>
          <w:sz w:val="24"/>
          <w:szCs w:val="24"/>
        </w:rPr>
      </w:pPr>
      <w:r>
        <w:rPr>
          <w:rFonts w:hint="eastAsia" w:ascii="仿宋" w:hAnsi="仿宋" w:eastAsia="仿宋" w:cs="仿宋"/>
          <w:bCs/>
          <w:sz w:val="24"/>
          <w:szCs w:val="24"/>
        </w:rPr>
        <w:t>系统应提供完善的日志处理功能，对所有重要操作都应记录日志，并提供灵活的查询界面和接口。日志不能随意删除和修改。</w:t>
      </w:r>
    </w:p>
    <w:p>
      <w:pPr>
        <w:pStyle w:val="42"/>
        <w:widowControl/>
        <w:numPr>
          <w:ilvl w:val="0"/>
          <w:numId w:val="10"/>
        </w:numPr>
        <w:spacing w:line="360" w:lineRule="auto"/>
        <w:ind w:left="0" w:firstLine="480"/>
        <w:contextualSpacing/>
        <w:rPr>
          <w:rFonts w:ascii="仿宋" w:hAnsi="仿宋" w:eastAsia="仿宋" w:cs="仿宋"/>
          <w:bCs/>
          <w:sz w:val="24"/>
          <w:szCs w:val="24"/>
        </w:rPr>
      </w:pPr>
      <w:bookmarkStart w:id="381" w:name="_Hlk16697756"/>
      <w:r>
        <w:rPr>
          <w:rFonts w:hint="eastAsia" w:ascii="仿宋" w:hAnsi="仿宋" w:eastAsia="仿宋" w:cs="仿宋"/>
          <w:bCs/>
          <w:sz w:val="24"/>
          <w:szCs w:val="24"/>
        </w:rPr>
        <w:t>系统应提供完善的错误、警告、性能日志和事件，管理员并能通过Windows 事件查看器和性能检测器查看，并能和系统管理和监控系统集成，以实现集中的监控和告警</w:t>
      </w:r>
      <w:bookmarkEnd w:id="381"/>
      <w:r>
        <w:rPr>
          <w:rFonts w:hint="eastAsia" w:ascii="仿宋" w:hAnsi="仿宋" w:eastAsia="仿宋" w:cs="仿宋"/>
          <w:bCs/>
          <w:sz w:val="24"/>
          <w:szCs w:val="24"/>
        </w:rPr>
        <w:t>。</w:t>
      </w:r>
    </w:p>
    <w:p>
      <w:pPr>
        <w:pStyle w:val="42"/>
        <w:widowControl/>
        <w:numPr>
          <w:ilvl w:val="0"/>
          <w:numId w:val="10"/>
        </w:numPr>
        <w:spacing w:line="360" w:lineRule="auto"/>
        <w:ind w:left="0" w:firstLine="480"/>
        <w:contextualSpacing/>
        <w:rPr>
          <w:rFonts w:ascii="仿宋" w:hAnsi="仿宋" w:eastAsia="仿宋" w:cs="仿宋"/>
          <w:sz w:val="24"/>
          <w:szCs w:val="24"/>
        </w:rPr>
      </w:pPr>
      <w:r>
        <w:rPr>
          <w:rFonts w:hint="eastAsia" w:ascii="仿宋" w:hAnsi="仿宋" w:eastAsia="仿宋" w:cs="仿宋"/>
          <w:bCs/>
          <w:sz w:val="24"/>
          <w:szCs w:val="24"/>
        </w:rPr>
        <w:t>系统应提供完善的日志处理功能，对所有重要操作都应记录日志，并提供灵活的查询界面和接口。日志不能随意删除和修改。</w:t>
      </w:r>
    </w:p>
    <w:p>
      <w:pPr>
        <w:pStyle w:val="42"/>
        <w:widowControl/>
        <w:numPr>
          <w:ilvl w:val="0"/>
          <w:numId w:val="10"/>
        </w:numPr>
        <w:spacing w:line="360" w:lineRule="auto"/>
        <w:ind w:left="0" w:right="-50" w:rightChars="-24" w:firstLine="480"/>
        <w:contextualSpacing/>
        <w:rPr>
          <w:rFonts w:ascii="仿宋" w:hAnsi="仿宋" w:eastAsia="仿宋" w:cs="仿宋"/>
          <w:bCs/>
          <w:sz w:val="24"/>
          <w:szCs w:val="24"/>
        </w:rPr>
      </w:pPr>
      <w:r>
        <w:rPr>
          <w:rFonts w:hint="eastAsia" w:ascii="仿宋" w:hAnsi="仿宋" w:eastAsia="仿宋" w:cs="仿宋"/>
          <w:bCs/>
          <w:sz w:val="24"/>
          <w:szCs w:val="24"/>
        </w:rPr>
        <w:t>提供通过配置页面设置科室的查看权限和角色的查看权限的功能。</w:t>
      </w:r>
    </w:p>
    <w:p>
      <w:pPr>
        <w:pStyle w:val="42"/>
        <w:widowControl/>
        <w:numPr>
          <w:ilvl w:val="0"/>
          <w:numId w:val="10"/>
        </w:numPr>
        <w:spacing w:line="360" w:lineRule="auto"/>
        <w:ind w:left="0" w:right="-50" w:rightChars="-24" w:firstLine="480"/>
        <w:contextualSpacing/>
        <w:rPr>
          <w:rFonts w:ascii="仿宋" w:hAnsi="仿宋" w:eastAsia="仿宋" w:cs="仿宋"/>
          <w:bCs/>
          <w:sz w:val="24"/>
          <w:szCs w:val="24"/>
        </w:rPr>
      </w:pPr>
      <w:r>
        <w:rPr>
          <w:rFonts w:hint="eastAsia" w:ascii="仿宋" w:hAnsi="仿宋" w:eastAsia="仿宋" w:cs="仿宋"/>
          <w:bCs/>
          <w:sz w:val="24"/>
          <w:szCs w:val="24"/>
        </w:rPr>
        <w:t>配置完成后应可在统一门户里浏览到效果。</w:t>
      </w:r>
    </w:p>
    <w:p>
      <w:pPr>
        <w:pStyle w:val="42"/>
        <w:widowControl/>
        <w:numPr>
          <w:ilvl w:val="0"/>
          <w:numId w:val="10"/>
        </w:numPr>
        <w:spacing w:line="360" w:lineRule="auto"/>
        <w:ind w:left="0" w:right="-50" w:rightChars="-24" w:firstLine="480"/>
        <w:contextualSpacing/>
        <w:rPr>
          <w:rFonts w:ascii="仿宋" w:hAnsi="仿宋" w:eastAsia="仿宋" w:cs="仿宋"/>
          <w:bCs/>
          <w:sz w:val="24"/>
          <w:szCs w:val="24"/>
        </w:rPr>
      </w:pPr>
      <w:r>
        <w:rPr>
          <w:rFonts w:hint="eastAsia" w:ascii="仿宋" w:hAnsi="仿宋" w:eastAsia="仿宋" w:cs="仿宋"/>
          <w:bCs/>
          <w:sz w:val="24"/>
          <w:szCs w:val="24"/>
        </w:rPr>
        <w:t>可根据不同的信息系统形式进行不同的功能、数据组合，支持URL定向集成、客户端调用集成、门户嵌套集成等多种集成方式，并根据不同岗位、职务配置工作门户界面</w:t>
      </w:r>
    </w:p>
    <w:p>
      <w:pPr>
        <w:pStyle w:val="6"/>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7、统一权限管理及授权服务</w:t>
      </w:r>
      <w:bookmarkEnd w:id="379"/>
    </w:p>
    <w:p>
      <w:pPr>
        <w:pStyle w:val="42"/>
        <w:widowControl/>
        <w:numPr>
          <w:ilvl w:val="0"/>
          <w:numId w:val="11"/>
        </w:numPr>
        <w:spacing w:line="360" w:lineRule="auto"/>
        <w:ind w:left="0" w:firstLine="480"/>
        <w:contextualSpacing/>
        <w:rPr>
          <w:rFonts w:ascii="仿宋" w:hAnsi="仿宋" w:eastAsia="仿宋" w:cs="仿宋"/>
          <w:bCs/>
          <w:sz w:val="24"/>
          <w:szCs w:val="24"/>
        </w:rPr>
      </w:pPr>
      <w:bookmarkStart w:id="382" w:name="_Toc6481"/>
      <w:r>
        <w:rPr>
          <w:rFonts w:hint="eastAsia" w:ascii="仿宋" w:hAnsi="仿宋" w:eastAsia="仿宋" w:cs="仿宋"/>
          <w:bCs/>
          <w:sz w:val="24"/>
          <w:szCs w:val="24"/>
        </w:rPr>
        <w:t>按照基于角色的访问控制模型，与信息系统应用成为一种松耦合的工作模式，为各类信息系统应用集成提供基础。</w:t>
      </w:r>
    </w:p>
    <w:p>
      <w:pPr>
        <w:pStyle w:val="42"/>
        <w:widowControl/>
        <w:numPr>
          <w:ilvl w:val="0"/>
          <w:numId w:val="11"/>
        </w:numPr>
        <w:spacing w:line="360" w:lineRule="auto"/>
        <w:ind w:left="0" w:firstLine="480"/>
        <w:contextualSpacing/>
        <w:rPr>
          <w:rFonts w:ascii="仿宋" w:hAnsi="仿宋" w:eastAsia="仿宋" w:cs="仿宋"/>
          <w:bCs/>
          <w:sz w:val="24"/>
          <w:szCs w:val="24"/>
        </w:rPr>
      </w:pPr>
      <w:r>
        <w:rPr>
          <w:rFonts w:hint="eastAsia" w:ascii="仿宋" w:hAnsi="仿宋" w:eastAsia="仿宋" w:cs="仿宋"/>
          <w:bCs/>
          <w:sz w:val="24"/>
          <w:szCs w:val="24"/>
        </w:rPr>
        <w:t>授权管理系统应采用基于角色的访问控制，用户所能访问的权限就由该用户所拥有的所有角色的功能集合的并集决定。</w:t>
      </w:r>
    </w:p>
    <w:p>
      <w:pPr>
        <w:pStyle w:val="42"/>
        <w:widowControl/>
        <w:numPr>
          <w:ilvl w:val="0"/>
          <w:numId w:val="11"/>
        </w:numPr>
        <w:spacing w:line="360" w:lineRule="auto"/>
        <w:ind w:left="0" w:firstLine="480"/>
        <w:contextualSpacing/>
        <w:rPr>
          <w:rFonts w:ascii="仿宋" w:hAnsi="仿宋" w:eastAsia="仿宋" w:cs="仿宋"/>
          <w:bCs/>
          <w:sz w:val="24"/>
          <w:szCs w:val="24"/>
        </w:rPr>
      </w:pPr>
      <w:r>
        <w:rPr>
          <w:rFonts w:hint="eastAsia" w:ascii="仿宋" w:hAnsi="仿宋" w:eastAsia="仿宋" w:cs="仿宋"/>
          <w:bCs/>
          <w:sz w:val="24"/>
          <w:szCs w:val="24"/>
        </w:rPr>
        <w:t>系统应能通过权限设置，实现权限管理功能，以方便管理部门（如医务处、护理部和人事处等）或各业务系统的权限范围。</w:t>
      </w:r>
    </w:p>
    <w:p>
      <w:pPr>
        <w:pStyle w:val="42"/>
        <w:widowControl/>
        <w:numPr>
          <w:ilvl w:val="0"/>
          <w:numId w:val="11"/>
        </w:numPr>
        <w:spacing w:line="360" w:lineRule="auto"/>
        <w:ind w:left="0" w:firstLine="480"/>
        <w:contextualSpacing/>
        <w:rPr>
          <w:rFonts w:ascii="仿宋" w:hAnsi="仿宋" w:eastAsia="仿宋" w:cs="仿宋"/>
          <w:bCs/>
          <w:sz w:val="24"/>
          <w:szCs w:val="24"/>
        </w:rPr>
      </w:pPr>
      <w:r>
        <w:rPr>
          <w:rFonts w:hint="eastAsia" w:ascii="仿宋" w:hAnsi="仿宋" w:eastAsia="仿宋" w:cs="仿宋"/>
          <w:bCs/>
          <w:sz w:val="24"/>
          <w:szCs w:val="24"/>
        </w:rPr>
        <w:t>提供通过配置页面设置科室的查看权限和角色的查看权限的功能。</w:t>
      </w:r>
    </w:p>
    <w:p>
      <w:pPr>
        <w:pStyle w:val="42"/>
        <w:widowControl/>
        <w:numPr>
          <w:ilvl w:val="0"/>
          <w:numId w:val="11"/>
        </w:numPr>
        <w:spacing w:line="360" w:lineRule="auto"/>
        <w:ind w:left="0" w:firstLine="480"/>
        <w:contextualSpacing/>
        <w:rPr>
          <w:rFonts w:ascii="仿宋" w:hAnsi="仿宋" w:eastAsia="仿宋" w:cs="仿宋"/>
          <w:bCs/>
          <w:sz w:val="24"/>
          <w:szCs w:val="24"/>
        </w:rPr>
      </w:pPr>
      <w:r>
        <w:rPr>
          <w:rFonts w:hint="eastAsia" w:ascii="仿宋" w:hAnsi="仿宋" w:eastAsia="仿宋" w:cs="仿宋"/>
          <w:bCs/>
          <w:sz w:val="24"/>
          <w:szCs w:val="24"/>
        </w:rPr>
        <w:t>配置完成后应可在统一门户里浏览到效果。</w:t>
      </w:r>
    </w:p>
    <w:p>
      <w:pPr>
        <w:pStyle w:val="42"/>
        <w:widowControl/>
        <w:numPr>
          <w:ilvl w:val="0"/>
          <w:numId w:val="11"/>
        </w:numPr>
        <w:spacing w:line="360" w:lineRule="auto"/>
        <w:ind w:left="0" w:firstLine="480"/>
        <w:contextualSpacing/>
        <w:rPr>
          <w:rFonts w:ascii="仿宋" w:hAnsi="仿宋" w:eastAsia="仿宋" w:cs="仿宋"/>
          <w:bCs/>
          <w:sz w:val="24"/>
          <w:szCs w:val="24"/>
        </w:rPr>
      </w:pPr>
      <w:r>
        <w:rPr>
          <w:rFonts w:hint="eastAsia" w:ascii="仿宋" w:hAnsi="仿宋" w:eastAsia="仿宋" w:cs="仿宋"/>
          <w:bCs/>
          <w:sz w:val="24"/>
          <w:szCs w:val="24"/>
        </w:rPr>
        <w:t>可根据不同的信息系统形式进行不同的功能、数据组合，支持URL定向集成、客户端调用集成、门户嵌套集成等多种集成方式，并根据不同岗位、职务配置工作门户界面</w:t>
      </w:r>
    </w:p>
    <w:p>
      <w:pPr>
        <w:pStyle w:val="4"/>
        <w:spacing w:line="360" w:lineRule="auto"/>
        <w:ind w:firstLine="482" w:firstLineChars="200"/>
        <w:jc w:val="left"/>
        <w:rPr>
          <w:rFonts w:ascii="仿宋" w:hAnsi="仿宋" w:eastAsia="仿宋" w:cs="仿宋"/>
          <w:sz w:val="24"/>
          <w:szCs w:val="24"/>
        </w:rPr>
      </w:pPr>
      <w:bookmarkStart w:id="383" w:name="_Toc5719"/>
      <w:r>
        <w:rPr>
          <w:rFonts w:hint="eastAsia" w:ascii="仿宋" w:hAnsi="仿宋" w:eastAsia="仿宋" w:cs="仿宋"/>
          <w:sz w:val="24"/>
          <w:szCs w:val="24"/>
          <w:lang w:val="en-US" w:eastAsia="zh-CN"/>
        </w:rPr>
        <w:t>(二）</w:t>
      </w:r>
      <w:r>
        <w:rPr>
          <w:rFonts w:hint="eastAsia" w:ascii="仿宋" w:hAnsi="仿宋" w:eastAsia="仿宋" w:cs="仿宋"/>
          <w:sz w:val="24"/>
          <w:szCs w:val="24"/>
        </w:rPr>
        <w:t>集成平台建设要求</w:t>
      </w:r>
      <w:bookmarkEnd w:id="382"/>
      <w:bookmarkEnd w:id="383"/>
    </w:p>
    <w:p>
      <w:pPr>
        <w:pStyle w:val="5"/>
        <w:keepLines/>
        <w:spacing w:line="360" w:lineRule="auto"/>
        <w:ind w:firstLine="482" w:firstLineChars="200"/>
        <w:rPr>
          <w:rFonts w:ascii="仿宋" w:hAnsi="仿宋" w:eastAsia="仿宋" w:cs="仿宋"/>
          <w:sz w:val="24"/>
          <w:szCs w:val="24"/>
        </w:rPr>
      </w:pPr>
      <w:bookmarkStart w:id="384" w:name="_Toc22815"/>
      <w:r>
        <w:rPr>
          <w:rFonts w:hint="eastAsia" w:ascii="仿宋" w:hAnsi="仿宋" w:eastAsia="仿宋" w:cs="仿宋"/>
          <w:sz w:val="24"/>
          <w:szCs w:val="24"/>
        </w:rPr>
        <w:t>1、ESB服务总线实施</w:t>
      </w:r>
      <w:bookmarkEnd w:id="384"/>
    </w:p>
    <w:p>
      <w:pPr>
        <w:spacing w:line="360" w:lineRule="auto"/>
        <w:ind w:firstLine="480"/>
        <w:rPr>
          <w:rFonts w:ascii="仿宋" w:hAnsi="仿宋" w:eastAsia="仿宋" w:cs="仿宋"/>
          <w:sz w:val="24"/>
          <w:szCs w:val="24"/>
        </w:rPr>
      </w:pPr>
      <w:bookmarkStart w:id="385" w:name="_Toc9826"/>
      <w:r>
        <w:rPr>
          <w:rFonts w:hint="eastAsia" w:ascii="仿宋" w:hAnsi="仿宋" w:eastAsia="仿宋" w:cs="仿宋"/>
          <w:color w:val="000000"/>
          <w:kern w:val="0"/>
          <w:sz w:val="24"/>
          <w:szCs w:val="24"/>
        </w:rPr>
        <w:t>部署并构建ESB容灾与冗余机制，实现数据交互服务为集成平台实现打下基础。具体功能</w:t>
      </w:r>
      <w:r>
        <w:rPr>
          <w:rFonts w:hint="eastAsia" w:ascii="仿宋" w:hAnsi="仿宋" w:eastAsia="仿宋" w:cs="仿宋"/>
          <w:color w:val="000000"/>
          <w:sz w:val="24"/>
          <w:szCs w:val="24"/>
          <w:lang w:val="zh-TW" w:bidi="zh-TW"/>
        </w:rPr>
        <w:t>要求</w:t>
      </w:r>
      <w:r>
        <w:rPr>
          <w:rFonts w:hint="eastAsia" w:ascii="仿宋" w:hAnsi="仿宋" w:eastAsia="仿宋" w:cs="仿宋"/>
          <w:color w:val="000000"/>
          <w:kern w:val="0"/>
          <w:sz w:val="24"/>
          <w:szCs w:val="24"/>
        </w:rPr>
        <w:t>如下：</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信息集成平台满足HL7等标准，参照IHE(Integrating the Healthcare Enterprise)技术框架和体系结构，采用SOA和信息集成技术将各种医疗信息（影像、文字、视频、检验数据等）进行松耦合集成，通过互联互通的方式实现临床工作模式与工作流程的优化。</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采用企业级服务总线（ESB）技术，通过松耦合模式，将业务逻辑和应用逻辑、数据逻辑分离。服务总线遵循SOA设计原则和技术标准，支持数据的自动采集、传输、标准化转换、存储、共享，提供可靠的数据或消息传输，支持标准消息中间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基于主流成熟的企业服务总线服务产品，支持按服务分组，相互组之间不会受影响。</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 ★</w:t>
      </w:r>
      <w:r>
        <w:rPr>
          <w:rFonts w:hint="eastAsia" w:ascii="仿宋" w:hAnsi="仿宋" w:eastAsia="仿宋" w:cs="仿宋"/>
          <w:sz w:val="24"/>
          <w:szCs w:val="24"/>
        </w:rPr>
        <w:tab/>
      </w:r>
      <w:r>
        <w:rPr>
          <w:rFonts w:hint="eastAsia" w:ascii="仿宋" w:hAnsi="仿宋" w:eastAsia="仿宋" w:cs="仿宋"/>
          <w:sz w:val="24"/>
          <w:szCs w:val="24"/>
        </w:rPr>
        <w:t>支持多种数据通信模式，包括同步、异步等。（需提供功能界面截图佐证）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支持最新Web Services标准，包括但不限于SOAP 1.1/1.2、WSDL 1.1、MTOM/XOP、WS-I Basic Profile 1.1等，支持Web Services自有的安全性WS-Security和寻址功能WS-Addressing，实现Web Services同步和异步调用。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rPr>
        <w:tab/>
      </w:r>
      <w:r>
        <w:rPr>
          <w:rFonts w:hint="eastAsia" w:ascii="仿宋" w:hAnsi="仿宋" w:eastAsia="仿宋" w:cs="仿宋"/>
          <w:sz w:val="24"/>
          <w:szCs w:val="24"/>
        </w:rPr>
        <w:t>支持灵活开放的协议，包括但不限于JSON、MLLP、HTTP/HTTPS、JMS、FTP/File、Socket、SMTP、SOAP/HTTP、SOAP/JMS。</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rPr>
        <w:tab/>
      </w:r>
      <w:r>
        <w:rPr>
          <w:rFonts w:hint="eastAsia" w:ascii="仿宋" w:hAnsi="仿宋" w:eastAsia="仿宋" w:cs="仿宋"/>
          <w:sz w:val="24"/>
          <w:szCs w:val="24"/>
        </w:rPr>
        <w:t>支持集群功能，队列管理器之间能够共享负载，实现自动负载均衡。</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rPr>
        <w:tab/>
      </w:r>
      <w:r>
        <w:rPr>
          <w:rFonts w:hint="eastAsia" w:ascii="仿宋" w:hAnsi="仿宋" w:eastAsia="仿宋" w:cs="仿宋"/>
          <w:sz w:val="24"/>
          <w:szCs w:val="24"/>
        </w:rPr>
        <w:t>支持标准接入规范，基于统一描述、发现和集成标准，进行关键业务活动服务注册，方便第三方供应商基于该统一架构进行平台接入。</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rPr>
        <w:tab/>
      </w:r>
      <w:r>
        <w:rPr>
          <w:rFonts w:hint="eastAsia" w:ascii="仿宋" w:hAnsi="仿宋" w:eastAsia="仿宋" w:cs="仿宋"/>
          <w:sz w:val="24"/>
          <w:szCs w:val="24"/>
        </w:rPr>
        <w:t>支持ESB事件驱动模型构建，支持业务规则引擎场景设置和自定义应用场景。</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(10)需要内置医疗行业HL7适配器，提供明确产品说明支持HL7标准；患者主索引（EMPI）匹配算法应符合IHE-PIX、IHE-PDQ集成规范，提供符合HL7标准的对外服务接口。</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(11)具有较高的并发处理性能，包括Web Service/http调用等。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(12)系统采用多层架构的体系结构，应充分考虑到系统今后纵向和横向的平滑扩展能力。企业服务总线服务需要支持3个及以上故障转移架构能力。</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 ★支持界面化配置管理企业服务总线内服务创建配置以及相关订阅方权限分配，并能跟踪每一次调用记录，同时能够通过配置界面干预服务重发功能，院</w:t>
      </w:r>
      <w:r>
        <w:rPr>
          <w:rFonts w:hint="eastAsia" w:ascii="仿宋" w:hAnsi="仿宋" w:eastAsia="仿宋" w:cs="仿宋"/>
          <w:kern w:val="0"/>
          <w:sz w:val="24"/>
          <w:szCs w:val="24"/>
          <w:lang w:val="zh-TW" w:bidi="zh-TW"/>
        </w:rPr>
        <w:t>方可以通过简单的系统配置操作完成后期新增服务的发布订阅配罝。</w:t>
      </w:r>
      <w:r>
        <w:rPr>
          <w:rFonts w:hint="eastAsia" w:ascii="仿宋" w:hAnsi="仿宋" w:eastAsia="仿宋" w:cs="仿宋"/>
          <w:sz w:val="24"/>
          <w:szCs w:val="24"/>
        </w:rPr>
        <w:t>（需提供功能界面截图佐证）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(14)参考互联互通服务接入标准，采用统一接入方式，简化接入开发工作，简化第三方接入开发量。</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(15)至少包括如下类型的接口定义和使用规范：病人基本信息、检查电子申请、检验电子申请、手术电子申请、输血电子申请、费用确认、危急值确认、主数据（包括员工、科室、病区、检验项目、检查项目、收费项目、医嘱项目、药品、诊断ICD、手术ICD、耗材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(16)系统需要高度的安全性和可靠性保证，可以对外来访问WebService客户端进行用户认证和访问权限的控制，并支持HTTPS（SSL加密传输）。</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(17)系统配置易用性需要考虑，院方可以通过简单的系统配置操作完成后期新增服务的发布订阅配置。</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(18)集成互联互通标准服务，实现互联互通评审的所有审查点，包括但不限于日志查询，重发跟踪，日常服务调用统计等功能</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(19)提供账号维护、服务维护、订阅信息管理、配置管理、日志查询、统计分析、性能监控等功能。</w:t>
      </w:r>
    </w:p>
    <w:p>
      <w:pPr>
        <w:pStyle w:val="5"/>
        <w:keepLines/>
        <w:spacing w:line="360" w:lineRule="auto"/>
        <w:ind w:firstLine="482" w:firstLineChars="200"/>
        <w:rPr>
          <w:rFonts w:ascii="仿宋" w:hAnsi="仿宋" w:eastAsia="仿宋" w:cs="仿宋"/>
          <w:sz w:val="24"/>
          <w:szCs w:val="24"/>
        </w:rPr>
      </w:pPr>
      <w:r>
        <w:rPr>
          <w:rFonts w:hint="eastAsia" w:ascii="仿宋" w:hAnsi="仿宋" w:eastAsia="仿宋" w:cs="仿宋"/>
          <w:sz w:val="24"/>
          <w:szCs w:val="24"/>
        </w:rPr>
        <w:t>2、互联互通标准化服务</w:t>
      </w:r>
      <w:bookmarkEnd w:id="385"/>
    </w:p>
    <w:p>
      <w:pPr>
        <w:spacing w:line="360" w:lineRule="auto"/>
        <w:ind w:firstLine="480"/>
        <w:rPr>
          <w:rFonts w:ascii="仿宋" w:hAnsi="仿宋" w:eastAsia="仿宋" w:cs="仿宋"/>
          <w:sz w:val="24"/>
          <w:szCs w:val="24"/>
        </w:rPr>
      </w:pPr>
      <w:bookmarkStart w:id="386" w:name="_Toc29762"/>
      <w:r>
        <w:rPr>
          <w:rFonts w:hint="eastAsia" w:ascii="仿宋" w:hAnsi="仿宋" w:eastAsia="仿宋" w:cs="仿宋"/>
          <w:sz w:val="24"/>
          <w:szCs w:val="24"/>
        </w:rPr>
        <w:t>基于互联互通标准化等政策定义的规范，提前开展各类接口的规范定义，包括但不限于门诊、住院、医嘱、检验、检查、体检及物资涉及的标准服务的定义。符合互联互通≥46个标准化服务要求，并做出相应的扩展。</w:t>
      </w:r>
    </w:p>
    <w:p>
      <w:pPr>
        <w:pStyle w:val="5"/>
        <w:keepLines/>
        <w:spacing w:line="360" w:lineRule="auto"/>
        <w:ind w:firstLine="482" w:firstLineChars="200"/>
        <w:rPr>
          <w:rFonts w:ascii="仿宋" w:hAnsi="仿宋" w:eastAsia="仿宋" w:cs="仿宋"/>
          <w:sz w:val="24"/>
          <w:szCs w:val="24"/>
        </w:rPr>
      </w:pPr>
      <w:r>
        <w:rPr>
          <w:rFonts w:hint="eastAsia" w:ascii="仿宋" w:hAnsi="仿宋" w:eastAsia="仿宋" w:cs="仿宋"/>
          <w:sz w:val="24"/>
          <w:szCs w:val="24"/>
        </w:rPr>
        <w:t>3、集成平台管理系统</w:t>
      </w:r>
      <w:bookmarkEnd w:id="386"/>
    </w:p>
    <w:p>
      <w:pPr>
        <w:spacing w:line="360" w:lineRule="auto"/>
        <w:ind w:firstLine="480"/>
        <w:rPr>
          <w:rFonts w:ascii="仿宋" w:hAnsi="仿宋" w:eastAsia="仿宋" w:cs="仿宋"/>
          <w:sz w:val="24"/>
          <w:szCs w:val="24"/>
        </w:rPr>
      </w:pPr>
      <w:r>
        <w:rPr>
          <w:rFonts w:hint="eastAsia" w:ascii="仿宋" w:hAnsi="仿宋" w:eastAsia="仿宋" w:cs="仿宋"/>
          <w:bCs/>
          <w:sz w:val="24"/>
          <w:szCs w:val="24"/>
        </w:rPr>
        <w:t>集成平台管理是为了实现医院服务的集中式管理，不仅仅是平台的服务，还包括医院各类系统的服务，如HIS系统、CIS临床信息系统、LIS、RIS、PACS等，通过服务管理平台实现集中式管理及监控，对提高医院信息化管理效率及水平的服务进行统一管理。</w:t>
      </w:r>
      <w:r>
        <w:rPr>
          <w:rFonts w:hint="eastAsia" w:ascii="仿宋" w:hAnsi="仿宋" w:eastAsia="仿宋" w:cs="仿宋"/>
          <w:bCs/>
          <w:kern w:val="0"/>
          <w:sz w:val="24"/>
          <w:szCs w:val="24"/>
        </w:rPr>
        <w:t>具体</w:t>
      </w:r>
      <w:r>
        <w:rPr>
          <w:rFonts w:hint="eastAsia" w:ascii="仿宋" w:hAnsi="仿宋" w:eastAsia="仿宋" w:cs="仿宋"/>
          <w:sz w:val="24"/>
          <w:szCs w:val="24"/>
        </w:rPr>
        <w:t>功能要求如下：</w:t>
      </w:r>
    </w:p>
    <w:p>
      <w:pPr>
        <w:rPr>
          <w:rFonts w:ascii="仿宋" w:hAnsi="仿宋" w:eastAsia="仿宋" w:cs="仿宋"/>
          <w:sz w:val="24"/>
          <w:szCs w:val="24"/>
        </w:rPr>
      </w:pPr>
      <w:r>
        <w:rPr>
          <w:rFonts w:hint="eastAsia" w:ascii="仿宋" w:hAnsi="仿宋" w:eastAsia="仿宋" w:cs="仿宋"/>
          <w:sz w:val="24"/>
          <w:szCs w:val="24"/>
        </w:rPr>
        <w:br w:type="page"/>
      </w:r>
    </w:p>
    <w:tbl>
      <w:tblPr>
        <w:tblStyle w:val="27"/>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696" w:type="dxa"/>
          </w:tcPr>
          <w:p>
            <w:pPr>
              <w:pStyle w:val="104"/>
              <w:widowControl w:val="0"/>
              <w:wordWrap/>
              <w:spacing w:line="360" w:lineRule="auto"/>
              <w:jc w:val="center"/>
              <w:rPr>
                <w:rFonts w:ascii="仿宋" w:hAnsi="仿宋" w:eastAsia="仿宋" w:cs="仿宋"/>
                <w:kern w:val="0"/>
                <w:szCs w:val="24"/>
                <w:lang w:val="zh-TW" w:eastAsia="zh-TW" w:bidi="zh-TW"/>
              </w:rPr>
            </w:pPr>
            <w:r>
              <w:rPr>
                <w:rFonts w:hint="eastAsia" w:ascii="仿宋" w:hAnsi="仿宋" w:eastAsia="仿宋" w:cs="仿宋"/>
                <w:kern w:val="0"/>
                <w:szCs w:val="24"/>
                <w:lang w:val="zh-TW" w:bidi="zh-TW"/>
              </w:rPr>
              <w:t>功能点</w:t>
            </w:r>
          </w:p>
        </w:tc>
        <w:tc>
          <w:tcPr>
            <w:tcW w:w="7230" w:type="dxa"/>
          </w:tcPr>
          <w:p>
            <w:pPr>
              <w:pStyle w:val="104"/>
              <w:widowControl w:val="0"/>
              <w:wordWrap/>
              <w:spacing w:line="360" w:lineRule="auto"/>
              <w:jc w:val="center"/>
              <w:rPr>
                <w:rFonts w:ascii="仿宋" w:hAnsi="仿宋" w:eastAsia="仿宋" w:cs="仿宋"/>
                <w:kern w:val="0"/>
                <w:szCs w:val="24"/>
                <w:lang w:val="zh-TW" w:bidi="zh-TW"/>
              </w:rPr>
            </w:pPr>
            <w:r>
              <w:rPr>
                <w:rFonts w:hint="eastAsia" w:ascii="仿宋" w:hAnsi="仿宋" w:eastAsia="仿宋" w:cs="仿宋"/>
                <w:kern w:val="0"/>
                <w:szCs w:val="24"/>
                <w:lang w:val="zh-TW" w:bidi="zh-TW"/>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696" w:type="dxa"/>
          </w:tcPr>
          <w:p>
            <w:pPr>
              <w:pStyle w:val="104"/>
              <w:widowControl w:val="0"/>
              <w:wordWrap/>
              <w:spacing w:line="360" w:lineRule="auto"/>
              <w:jc w:val="both"/>
              <w:rPr>
                <w:rFonts w:ascii="仿宋" w:hAnsi="仿宋" w:eastAsia="仿宋" w:cs="仿宋"/>
                <w:kern w:val="0"/>
                <w:szCs w:val="24"/>
                <w:lang w:val="zh-TW" w:eastAsia="zh-TW" w:bidi="zh-TW"/>
              </w:rPr>
            </w:pPr>
            <w:r>
              <w:rPr>
                <w:rFonts w:hint="eastAsia" w:ascii="仿宋" w:hAnsi="仿宋" w:eastAsia="仿宋" w:cs="仿宋"/>
                <w:kern w:val="0"/>
                <w:szCs w:val="24"/>
                <w:lang w:val="zh-TW" w:eastAsia="zh-TW" w:bidi="zh-TW"/>
              </w:rPr>
              <w:t>平台架构展示</w:t>
            </w:r>
          </w:p>
        </w:tc>
        <w:tc>
          <w:tcPr>
            <w:tcW w:w="7230" w:type="dxa"/>
          </w:tcPr>
          <w:p>
            <w:pPr>
              <w:pStyle w:val="104"/>
              <w:widowControl w:val="0"/>
              <w:wordWrap/>
              <w:spacing w:line="360" w:lineRule="auto"/>
              <w:jc w:val="both"/>
              <w:rPr>
                <w:rFonts w:ascii="仿宋" w:hAnsi="仿宋" w:eastAsia="仿宋" w:cs="仿宋"/>
                <w:kern w:val="0"/>
                <w:szCs w:val="24"/>
                <w:lang w:val="zh-TW" w:bidi="zh-TW"/>
              </w:rPr>
            </w:pPr>
            <w:r>
              <w:rPr>
                <w:rFonts w:hint="eastAsia" w:ascii="仿宋" w:hAnsi="仿宋" w:eastAsia="仿宋" w:cs="仿宋"/>
                <w:kern w:val="0"/>
                <w:szCs w:val="24"/>
                <w:lang w:val="zh-TW" w:bidi="zh-TW"/>
              </w:rPr>
              <w:t>直观、友好的图形用户界面，展现平台系统架构及服务结构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96" w:type="dxa"/>
          </w:tcPr>
          <w:p>
            <w:pPr>
              <w:pStyle w:val="104"/>
              <w:widowControl w:val="0"/>
              <w:wordWrap/>
              <w:spacing w:line="360" w:lineRule="auto"/>
              <w:jc w:val="both"/>
              <w:rPr>
                <w:rFonts w:ascii="仿宋" w:hAnsi="仿宋" w:eastAsia="仿宋" w:cs="仿宋"/>
                <w:kern w:val="0"/>
                <w:szCs w:val="24"/>
                <w:lang w:val="zh-TW" w:eastAsia="zh-TW" w:bidi="zh-TW"/>
              </w:rPr>
            </w:pPr>
            <w:r>
              <w:rPr>
                <w:rFonts w:hint="eastAsia" w:ascii="仿宋" w:hAnsi="仿宋" w:eastAsia="仿宋" w:cs="仿宋"/>
                <w:kern w:val="0"/>
                <w:szCs w:val="24"/>
                <w:lang w:val="zh-TW" w:eastAsia="zh-TW" w:bidi="zh-TW"/>
              </w:rPr>
              <w:t>服务</w:t>
            </w:r>
            <w:r>
              <w:rPr>
                <w:rFonts w:hint="eastAsia" w:ascii="仿宋" w:hAnsi="仿宋" w:eastAsia="仿宋" w:cs="仿宋"/>
                <w:kern w:val="0"/>
                <w:szCs w:val="24"/>
                <w:lang w:val="zh-TW" w:bidi="zh-TW"/>
              </w:rPr>
              <w:t>内容</w:t>
            </w:r>
            <w:r>
              <w:rPr>
                <w:rFonts w:hint="eastAsia" w:ascii="仿宋" w:hAnsi="仿宋" w:eastAsia="仿宋" w:cs="仿宋"/>
                <w:kern w:val="0"/>
                <w:szCs w:val="24"/>
                <w:lang w:val="zh-TW" w:eastAsia="zh-TW" w:bidi="zh-TW"/>
              </w:rPr>
              <w:t>展示</w:t>
            </w:r>
          </w:p>
        </w:tc>
        <w:tc>
          <w:tcPr>
            <w:tcW w:w="7230" w:type="dxa"/>
          </w:tcPr>
          <w:p>
            <w:pPr>
              <w:pStyle w:val="104"/>
              <w:widowControl w:val="0"/>
              <w:wordWrap/>
              <w:spacing w:line="360" w:lineRule="auto"/>
              <w:jc w:val="both"/>
              <w:rPr>
                <w:rFonts w:ascii="仿宋" w:hAnsi="仿宋" w:eastAsia="仿宋" w:cs="仿宋"/>
                <w:kern w:val="0"/>
                <w:szCs w:val="24"/>
                <w:lang w:val="zh-TW" w:bidi="zh-TW"/>
              </w:rPr>
            </w:pPr>
            <w:r>
              <w:rPr>
                <w:rFonts w:hint="eastAsia" w:ascii="仿宋" w:hAnsi="仿宋" w:eastAsia="仿宋" w:cs="仿宋"/>
                <w:kern w:val="0"/>
                <w:szCs w:val="24"/>
                <w:lang w:val="zh-TW" w:bidi="zh-TW"/>
              </w:rPr>
              <w:t>监控界面可实时展现当前系统接入数量、当前服务接入数量、当天服务调用的情况等，接入服务、接入系统、服务调用等统计信息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96" w:type="dxa"/>
          </w:tcPr>
          <w:p>
            <w:pPr>
              <w:pStyle w:val="104"/>
              <w:widowControl w:val="0"/>
              <w:wordWrap/>
              <w:spacing w:line="360" w:lineRule="auto"/>
              <w:jc w:val="both"/>
              <w:rPr>
                <w:rFonts w:ascii="仿宋" w:hAnsi="仿宋" w:eastAsia="仿宋" w:cs="仿宋"/>
                <w:kern w:val="0"/>
                <w:szCs w:val="24"/>
                <w:lang w:val="zh-TW" w:bidi="zh-TW"/>
              </w:rPr>
            </w:pPr>
            <w:r>
              <w:rPr>
                <w:rFonts w:hint="eastAsia" w:ascii="仿宋" w:hAnsi="仿宋" w:eastAsia="仿宋" w:cs="仿宋"/>
                <w:kern w:val="0"/>
                <w:szCs w:val="24"/>
                <w:lang w:val="zh-TW" w:eastAsia="zh-TW" w:bidi="zh-TW"/>
              </w:rPr>
              <w:t>服务</w:t>
            </w:r>
            <w:r>
              <w:rPr>
                <w:rFonts w:hint="eastAsia" w:ascii="仿宋" w:hAnsi="仿宋" w:eastAsia="仿宋" w:cs="仿宋"/>
                <w:kern w:val="0"/>
                <w:szCs w:val="24"/>
                <w:lang w:val="zh-TW" w:bidi="zh-TW"/>
              </w:rPr>
              <w:t>详情监控</w:t>
            </w:r>
          </w:p>
        </w:tc>
        <w:tc>
          <w:tcPr>
            <w:tcW w:w="7230" w:type="dxa"/>
          </w:tcPr>
          <w:p>
            <w:pPr>
              <w:pStyle w:val="104"/>
              <w:widowControl w:val="0"/>
              <w:wordWrap/>
              <w:spacing w:line="360" w:lineRule="auto"/>
              <w:jc w:val="both"/>
              <w:rPr>
                <w:rFonts w:ascii="仿宋" w:hAnsi="仿宋" w:eastAsia="仿宋" w:cs="仿宋"/>
                <w:kern w:val="0"/>
                <w:szCs w:val="24"/>
                <w:lang w:val="zh-TW" w:bidi="zh-TW"/>
              </w:rPr>
            </w:pPr>
            <w:r>
              <w:rPr>
                <w:rFonts w:hint="eastAsia" w:ascii="仿宋" w:hAnsi="仿宋" w:eastAsia="仿宋" w:cs="仿宋"/>
                <w:kern w:val="0"/>
                <w:szCs w:val="24"/>
                <w:lang w:val="zh-TW" w:bidi="zh-TW"/>
              </w:rPr>
              <w:t>服务详情页可展现当前服务的所有信息，至少包括以下信息：服务详情信息、子服务列表、服务最后一次请求详情、服务异常和警告等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696" w:type="dxa"/>
          </w:tcPr>
          <w:p>
            <w:pPr>
              <w:pStyle w:val="104"/>
              <w:widowControl w:val="0"/>
              <w:wordWrap/>
              <w:spacing w:line="360" w:lineRule="auto"/>
              <w:jc w:val="both"/>
              <w:rPr>
                <w:rFonts w:ascii="仿宋" w:hAnsi="仿宋" w:eastAsia="仿宋" w:cs="仿宋"/>
                <w:kern w:val="0"/>
                <w:szCs w:val="24"/>
                <w:lang w:val="zh-TW" w:bidi="zh-TW"/>
              </w:rPr>
            </w:pPr>
            <w:r>
              <w:rPr>
                <w:rFonts w:hint="eastAsia" w:ascii="仿宋" w:hAnsi="仿宋" w:eastAsia="仿宋" w:cs="仿宋"/>
                <w:kern w:val="0"/>
                <w:szCs w:val="24"/>
                <w:lang w:val="zh-TW" w:bidi="zh-TW"/>
              </w:rPr>
              <w:t>服务管理</w:t>
            </w:r>
          </w:p>
        </w:tc>
        <w:tc>
          <w:tcPr>
            <w:tcW w:w="7230" w:type="dxa"/>
          </w:tcPr>
          <w:p>
            <w:pPr>
              <w:pStyle w:val="104"/>
              <w:widowControl w:val="0"/>
              <w:wordWrap/>
              <w:spacing w:line="360" w:lineRule="auto"/>
              <w:jc w:val="both"/>
              <w:rPr>
                <w:rFonts w:ascii="仿宋" w:hAnsi="仿宋" w:eastAsia="仿宋" w:cs="仿宋"/>
                <w:kern w:val="0"/>
                <w:szCs w:val="24"/>
                <w:lang w:val="zh-TW" w:bidi="zh-TW"/>
              </w:rPr>
            </w:pPr>
            <w:r>
              <w:rPr>
                <w:rFonts w:hint="eastAsia" w:ascii="仿宋" w:hAnsi="仿宋" w:eastAsia="仿宋" w:cs="仿宋"/>
                <w:kern w:val="0"/>
                <w:szCs w:val="24"/>
                <w:lang w:val="zh-TW" w:bidi="zh-TW"/>
              </w:rPr>
              <w:t>支持界面化管理企业服务总线内服务的增删改，创建配罝以及相关订阅方权限分配，系统配置易用性强。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696" w:type="dxa"/>
          </w:tcPr>
          <w:p>
            <w:pPr>
              <w:pStyle w:val="104"/>
              <w:widowControl w:val="0"/>
              <w:wordWrap/>
              <w:spacing w:line="360" w:lineRule="auto"/>
              <w:jc w:val="both"/>
              <w:rPr>
                <w:rFonts w:ascii="仿宋" w:hAnsi="仿宋" w:eastAsia="仿宋" w:cs="仿宋"/>
                <w:kern w:val="0"/>
                <w:szCs w:val="24"/>
                <w:lang w:val="zh-TW" w:bidi="zh-TW"/>
              </w:rPr>
            </w:pPr>
            <w:r>
              <w:rPr>
                <w:rFonts w:hint="eastAsia" w:ascii="仿宋" w:hAnsi="仿宋" w:eastAsia="仿宋" w:cs="仿宋"/>
                <w:kern w:val="0"/>
                <w:szCs w:val="24"/>
                <w:lang w:val="zh-TW" w:bidi="zh-TW"/>
              </w:rPr>
              <w:t>日志调阅</w:t>
            </w:r>
          </w:p>
        </w:tc>
        <w:tc>
          <w:tcPr>
            <w:tcW w:w="7230" w:type="dxa"/>
          </w:tcPr>
          <w:p>
            <w:pPr>
              <w:pStyle w:val="104"/>
              <w:widowControl w:val="0"/>
              <w:wordWrap/>
              <w:spacing w:line="360" w:lineRule="auto"/>
              <w:jc w:val="both"/>
              <w:rPr>
                <w:rFonts w:ascii="仿宋" w:hAnsi="仿宋" w:eastAsia="仿宋" w:cs="仿宋"/>
                <w:kern w:val="0"/>
                <w:szCs w:val="24"/>
                <w:lang w:bidi="zh-TW"/>
              </w:rPr>
            </w:pPr>
            <w:r>
              <w:rPr>
                <w:rFonts w:hint="eastAsia" w:ascii="仿宋" w:hAnsi="仿宋" w:eastAsia="仿宋" w:cs="仿宋"/>
                <w:kern w:val="0"/>
                <w:szCs w:val="24"/>
                <w:lang w:val="zh-TW" w:bidi="zh-TW"/>
              </w:rPr>
              <w:t>能跟踪每一次调用记录，并根据筛选条件查看日志的主要内容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96" w:type="dxa"/>
          </w:tcPr>
          <w:p>
            <w:pPr>
              <w:pStyle w:val="104"/>
              <w:widowControl w:val="0"/>
              <w:wordWrap/>
              <w:spacing w:line="360" w:lineRule="auto"/>
              <w:jc w:val="both"/>
              <w:rPr>
                <w:rFonts w:ascii="仿宋" w:hAnsi="仿宋" w:eastAsia="仿宋" w:cs="仿宋"/>
                <w:kern w:val="0"/>
                <w:szCs w:val="24"/>
                <w:lang w:val="zh-TW" w:bidi="zh-TW"/>
              </w:rPr>
            </w:pPr>
            <w:r>
              <w:rPr>
                <w:rFonts w:hint="eastAsia" w:ascii="仿宋" w:hAnsi="仿宋" w:eastAsia="仿宋" w:cs="仿宋"/>
                <w:kern w:val="0"/>
                <w:szCs w:val="24"/>
                <w:lang w:val="zh-TW" w:bidi="zh-TW"/>
              </w:rPr>
              <w:t>服务测试</w:t>
            </w:r>
          </w:p>
        </w:tc>
        <w:tc>
          <w:tcPr>
            <w:tcW w:w="7230" w:type="dxa"/>
          </w:tcPr>
          <w:p>
            <w:pPr>
              <w:pStyle w:val="104"/>
              <w:widowControl w:val="0"/>
              <w:wordWrap/>
              <w:spacing w:line="360" w:lineRule="auto"/>
              <w:jc w:val="both"/>
              <w:rPr>
                <w:rFonts w:ascii="仿宋" w:hAnsi="仿宋" w:eastAsia="仿宋" w:cs="仿宋"/>
                <w:kern w:val="0"/>
                <w:szCs w:val="24"/>
                <w:lang w:val="zh-TW" w:bidi="zh-TW"/>
              </w:rPr>
            </w:pPr>
            <w:r>
              <w:rPr>
                <w:rFonts w:hint="eastAsia" w:ascii="仿宋" w:hAnsi="仿宋" w:eastAsia="仿宋" w:cs="仿宋"/>
                <w:kern w:val="0"/>
                <w:szCs w:val="24"/>
                <w:lang w:val="zh-TW" w:bidi="zh-TW"/>
              </w:rPr>
              <w:t>系统要求提供模拟测试环境，新增加或修改的配罝，需在测试环境测试通过后，才能发布到工程环境使用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96" w:type="dxa"/>
          </w:tcPr>
          <w:p>
            <w:pPr>
              <w:pStyle w:val="104"/>
              <w:widowControl w:val="0"/>
              <w:wordWrap/>
              <w:spacing w:line="360" w:lineRule="auto"/>
              <w:jc w:val="both"/>
              <w:rPr>
                <w:rFonts w:ascii="仿宋" w:hAnsi="仿宋" w:eastAsia="仿宋" w:cs="仿宋"/>
                <w:kern w:val="0"/>
                <w:szCs w:val="24"/>
                <w:lang w:val="zh-TW" w:bidi="zh-TW"/>
              </w:rPr>
            </w:pPr>
            <w:r>
              <w:rPr>
                <w:rFonts w:hint="eastAsia" w:ascii="仿宋" w:hAnsi="仿宋" w:eastAsia="仿宋" w:cs="仿宋"/>
                <w:kern w:val="0"/>
                <w:szCs w:val="24"/>
                <w:lang w:val="zh-TW" w:bidi="zh-TW"/>
              </w:rPr>
              <w:t>用户界面</w:t>
            </w:r>
          </w:p>
        </w:tc>
        <w:tc>
          <w:tcPr>
            <w:tcW w:w="7230" w:type="dxa"/>
          </w:tcPr>
          <w:p>
            <w:pPr>
              <w:pStyle w:val="104"/>
              <w:widowControl w:val="0"/>
              <w:wordWrap/>
              <w:spacing w:line="360" w:lineRule="auto"/>
              <w:jc w:val="both"/>
              <w:rPr>
                <w:rFonts w:ascii="仿宋" w:hAnsi="仿宋" w:eastAsia="仿宋" w:cs="仿宋"/>
                <w:kern w:val="0"/>
                <w:szCs w:val="24"/>
                <w:lang w:val="zh-TW" w:bidi="zh-TW"/>
              </w:rPr>
            </w:pPr>
            <w:r>
              <w:rPr>
                <w:rFonts w:hint="eastAsia" w:ascii="仿宋" w:hAnsi="仿宋" w:eastAsia="仿宋" w:cs="仿宋"/>
                <w:kern w:val="0"/>
                <w:szCs w:val="24"/>
                <w:lang w:bidi="zh-TW"/>
              </w:rPr>
              <w:t>支持</w:t>
            </w:r>
            <w:r>
              <w:rPr>
                <w:rFonts w:hint="eastAsia" w:ascii="仿宋" w:hAnsi="仿宋" w:eastAsia="仿宋" w:cs="仿宋"/>
                <w:kern w:val="0"/>
                <w:szCs w:val="24"/>
              </w:rPr>
              <w:t>在同一个界面中完成流程开发、服务监控等工作，并能显示异常错误队列；支持拖拉式图形化路由设计，并支持路由间的衔接和串联；支持提供全局视图显示整个流程完整流通线路，用户能直观查看包含多终端，多路由的完整消息处理流程，在一个视图页面上能看到整体业务流程图；提供便捷的图形化数据映射配置界面，并能支持通过代码编写进行数据映射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96" w:type="dxa"/>
          </w:tcPr>
          <w:p>
            <w:pPr>
              <w:pStyle w:val="104"/>
              <w:widowControl w:val="0"/>
              <w:wordWrap/>
              <w:spacing w:line="360" w:lineRule="auto"/>
              <w:jc w:val="both"/>
              <w:rPr>
                <w:rFonts w:ascii="仿宋" w:hAnsi="仿宋" w:eastAsia="仿宋" w:cs="仿宋"/>
                <w:kern w:val="0"/>
                <w:szCs w:val="24"/>
                <w:lang w:val="zh-TW" w:bidi="zh-TW"/>
              </w:rPr>
            </w:pPr>
            <w:r>
              <w:rPr>
                <w:rFonts w:hint="eastAsia" w:ascii="仿宋" w:hAnsi="仿宋" w:eastAsia="仿宋" w:cs="仿宋"/>
                <w:kern w:val="0"/>
                <w:szCs w:val="24"/>
                <w:lang w:bidi="zh-TW"/>
              </w:rPr>
              <w:t>★</w:t>
            </w:r>
            <w:r>
              <w:rPr>
                <w:rFonts w:hint="eastAsia" w:ascii="仿宋" w:hAnsi="仿宋" w:eastAsia="仿宋" w:cs="仿宋"/>
                <w:kern w:val="0"/>
                <w:szCs w:val="24"/>
                <w:lang w:val="zh-TW" w:bidi="zh-TW"/>
              </w:rPr>
              <w:t>日志审计</w:t>
            </w:r>
          </w:p>
        </w:tc>
        <w:tc>
          <w:tcPr>
            <w:tcW w:w="7230" w:type="dxa"/>
          </w:tcPr>
          <w:p>
            <w:pPr>
              <w:pStyle w:val="104"/>
              <w:widowControl w:val="0"/>
              <w:wordWrap/>
              <w:spacing w:line="360" w:lineRule="auto"/>
              <w:jc w:val="both"/>
              <w:rPr>
                <w:rFonts w:ascii="仿宋" w:hAnsi="仿宋" w:eastAsia="仿宋" w:cs="仿宋"/>
                <w:kern w:val="0"/>
                <w:szCs w:val="24"/>
                <w:lang w:bidi="zh-TW"/>
              </w:rPr>
            </w:pPr>
            <w:r>
              <w:rPr>
                <w:rFonts w:hint="eastAsia" w:ascii="仿宋" w:hAnsi="仿宋" w:eastAsia="仿宋" w:cs="仿宋"/>
                <w:kern w:val="0"/>
                <w:szCs w:val="24"/>
                <w:lang w:val="zh-TW" w:bidi="zh-TW"/>
              </w:rPr>
              <w:t>平台能够记录服务交互的输入、输出数据报文信息。实现互联互通评审的所有审查点，包括但不限于日志查询，转发重发跟踪，日常服务调用统计等功能。</w:t>
            </w:r>
            <w:r>
              <w:rPr>
                <w:rFonts w:hint="eastAsia" w:ascii="仿宋" w:hAnsi="仿宋" w:eastAsia="仿宋" w:cs="仿宋"/>
                <w:kern w:val="0"/>
                <w:szCs w:val="24"/>
              </w:rPr>
              <w:t>（需提供功能界面截图佐证）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96" w:type="dxa"/>
          </w:tcPr>
          <w:p>
            <w:pPr>
              <w:pStyle w:val="104"/>
              <w:widowControl w:val="0"/>
              <w:wordWrap/>
              <w:spacing w:line="360" w:lineRule="auto"/>
              <w:jc w:val="both"/>
              <w:rPr>
                <w:rFonts w:ascii="仿宋" w:hAnsi="仿宋" w:eastAsia="仿宋" w:cs="仿宋"/>
                <w:kern w:val="0"/>
                <w:szCs w:val="24"/>
                <w:lang w:bidi="zh-TW"/>
              </w:rPr>
            </w:pPr>
            <w:r>
              <w:rPr>
                <w:rFonts w:hint="eastAsia" w:ascii="仿宋" w:hAnsi="仿宋" w:eastAsia="仿宋" w:cs="仿宋"/>
                <w:kern w:val="0"/>
                <w:szCs w:val="24"/>
                <w:lang w:bidi="zh-TW"/>
              </w:rPr>
              <w:t>标准管理</w:t>
            </w:r>
          </w:p>
        </w:tc>
        <w:tc>
          <w:tcPr>
            <w:tcW w:w="7230" w:type="dxa"/>
          </w:tcPr>
          <w:p>
            <w:pPr>
              <w:pStyle w:val="104"/>
              <w:widowControl w:val="0"/>
              <w:wordWrap/>
              <w:spacing w:line="360" w:lineRule="auto"/>
              <w:jc w:val="both"/>
              <w:rPr>
                <w:rFonts w:ascii="仿宋" w:hAnsi="仿宋" w:eastAsia="仿宋" w:cs="仿宋"/>
                <w:kern w:val="0"/>
                <w:szCs w:val="24"/>
                <w:lang w:eastAsia="zh-TW" w:bidi="zh-TW"/>
              </w:rPr>
            </w:pPr>
            <w:r>
              <w:rPr>
                <w:rFonts w:hint="eastAsia" w:ascii="仿宋" w:hAnsi="仿宋" w:eastAsia="仿宋" w:cs="仿宋"/>
                <w:kern w:val="0"/>
                <w:szCs w:val="24"/>
                <w:lang w:val="zh-TW" w:eastAsia="zh-TW" w:bidi="zh-TW"/>
              </w:rPr>
              <w:t>支持国际标准和</w:t>
            </w:r>
            <w:r>
              <w:rPr>
                <w:rFonts w:hint="eastAsia" w:ascii="仿宋" w:hAnsi="仿宋" w:eastAsia="仿宋" w:cs="仿宋"/>
                <w:kern w:val="0"/>
                <w:szCs w:val="24"/>
                <w:lang w:val="zh-TW" w:bidi="zh-TW"/>
              </w:rPr>
              <w:t>中国</w:t>
            </w:r>
            <w:r>
              <w:rPr>
                <w:rFonts w:hint="eastAsia" w:ascii="仿宋" w:hAnsi="仿宋" w:eastAsia="仿宋" w:cs="仿宋"/>
                <w:kern w:val="0"/>
                <w:szCs w:val="24"/>
                <w:lang w:val="zh-TW" w:eastAsia="zh-TW" w:bidi="zh-TW"/>
              </w:rPr>
              <w:t>医疗数据标准</w:t>
            </w:r>
            <w:r>
              <w:rPr>
                <w:rFonts w:hint="eastAsia" w:ascii="仿宋" w:hAnsi="仿宋" w:eastAsia="仿宋" w:cs="仿宋"/>
                <w:kern w:val="0"/>
                <w:szCs w:val="24"/>
                <w:lang w:eastAsia="zh-TW" w:bidi="en-US"/>
              </w:rPr>
              <w:t>HL7 (Health Level Seven) v2.x</w:t>
            </w:r>
            <w:r>
              <w:rPr>
                <w:rFonts w:hint="eastAsia" w:ascii="仿宋" w:hAnsi="仿宋" w:eastAsia="仿宋" w:cs="仿宋"/>
                <w:kern w:val="0"/>
                <w:szCs w:val="24"/>
                <w:lang w:val="zh-TW" w:eastAsia="zh-TW" w:bidi="en-US"/>
              </w:rPr>
              <w:t>、</w:t>
            </w:r>
            <w:r>
              <w:rPr>
                <w:rFonts w:hint="eastAsia" w:ascii="仿宋" w:hAnsi="仿宋" w:eastAsia="仿宋" w:cs="仿宋"/>
                <w:kern w:val="0"/>
                <w:szCs w:val="24"/>
                <w:lang w:eastAsia="zh-TW" w:bidi="en-US"/>
              </w:rPr>
              <w:t>v3.</w:t>
            </w:r>
            <w:r>
              <w:rPr>
                <w:rFonts w:hint="eastAsia" w:ascii="仿宋" w:hAnsi="仿宋" w:eastAsia="仿宋" w:cs="仿宋"/>
                <w:kern w:val="0"/>
                <w:szCs w:val="24"/>
                <w:lang w:eastAsia="zh-TW" w:bidi="zh-TW"/>
              </w:rPr>
              <w:t>0</w:t>
            </w:r>
            <w:r>
              <w:rPr>
                <w:rFonts w:hint="eastAsia" w:ascii="仿宋" w:hAnsi="仿宋" w:eastAsia="仿宋" w:cs="仿宋"/>
                <w:kern w:val="0"/>
                <w:szCs w:val="24"/>
                <w:lang w:val="zh-TW" w:eastAsia="zh-TW" w:bidi="zh-TW"/>
              </w:rPr>
              <w:t>等</w:t>
            </w:r>
            <w:r>
              <w:rPr>
                <w:rFonts w:hint="eastAsia" w:ascii="仿宋" w:hAnsi="仿宋" w:eastAsia="仿宋" w:cs="仿宋"/>
                <w:kern w:val="0"/>
                <w:szCs w:val="24"/>
                <w:lang w:val="zh-TW" w:bidi="zh-TW"/>
              </w:rPr>
              <w:t>版本</w:t>
            </w:r>
            <w:r>
              <w:rPr>
                <w:rFonts w:hint="eastAsia" w:ascii="仿宋" w:hAnsi="仿宋" w:eastAsia="仿宋" w:cs="仿宋"/>
                <w:kern w:val="0"/>
                <w:szCs w:val="24"/>
                <w:lang w:val="zh-TW" w:eastAsia="zh-TW" w:bidi="zh-TW"/>
              </w:rPr>
              <w:t>和</w:t>
            </w:r>
            <w:r>
              <w:rPr>
                <w:rFonts w:hint="eastAsia" w:ascii="仿宋" w:hAnsi="仿宋" w:eastAsia="仿宋" w:cs="仿宋"/>
                <w:kern w:val="0"/>
                <w:szCs w:val="24"/>
                <w:lang w:eastAsia="zh-TW" w:bidi="en-US"/>
              </w:rPr>
              <w:t>DICOM</w:t>
            </w:r>
            <w:r>
              <w:rPr>
                <w:rFonts w:hint="eastAsia" w:ascii="仿宋" w:hAnsi="仿宋" w:eastAsia="仿宋" w:cs="仿宋"/>
                <w:kern w:val="0"/>
                <w:szCs w:val="24"/>
                <w:lang w:val="zh-TW" w:eastAsia="zh-TW" w:bidi="zh-TW"/>
              </w:rPr>
              <w:t>标准。</w:t>
            </w:r>
          </w:p>
          <w:p>
            <w:pPr>
              <w:pStyle w:val="104"/>
              <w:widowControl w:val="0"/>
              <w:wordWrap/>
              <w:spacing w:line="360" w:lineRule="auto"/>
              <w:jc w:val="both"/>
              <w:rPr>
                <w:rFonts w:ascii="仿宋" w:hAnsi="仿宋" w:eastAsia="仿宋" w:cs="仿宋"/>
                <w:kern w:val="0"/>
                <w:szCs w:val="24"/>
                <w:lang w:bidi="zh-TW"/>
              </w:rPr>
            </w:pPr>
            <w:r>
              <w:rPr>
                <w:rFonts w:hint="eastAsia" w:ascii="仿宋" w:hAnsi="仿宋" w:eastAsia="仿宋" w:cs="仿宋"/>
                <w:kern w:val="0"/>
                <w:szCs w:val="24"/>
                <w:lang w:val="zh-TW" w:eastAsia="zh-TW" w:bidi="zh-TW"/>
              </w:rPr>
              <w:t>支持</w:t>
            </w:r>
            <w:r>
              <w:rPr>
                <w:rFonts w:hint="eastAsia" w:ascii="仿宋" w:hAnsi="仿宋" w:eastAsia="仿宋" w:cs="仿宋"/>
                <w:kern w:val="0"/>
                <w:szCs w:val="24"/>
                <w:lang w:eastAsia="zh-TW" w:bidi="en-US"/>
              </w:rPr>
              <w:t>Minimal Lower Layer Protocol (MLLP)</w:t>
            </w:r>
            <w:r>
              <w:rPr>
                <w:rFonts w:hint="eastAsia" w:ascii="仿宋" w:hAnsi="仿宋" w:eastAsia="仿宋" w:cs="仿宋"/>
                <w:kern w:val="0"/>
                <w:szCs w:val="24"/>
                <w:lang w:val="zh-TW" w:eastAsia="zh-TW" w:bidi="zh-TW"/>
              </w:rPr>
              <w:t>传输协议</w:t>
            </w:r>
            <w:r>
              <w:rPr>
                <w:rFonts w:hint="eastAsia" w:ascii="仿宋" w:hAnsi="仿宋" w:eastAsia="仿宋" w:cs="仿宋"/>
                <w:kern w:val="0"/>
                <w:szCs w:val="24"/>
                <w:lang w:eastAsia="zh-TW" w:bidi="zh-TW"/>
              </w:rPr>
              <w:t>，</w:t>
            </w:r>
            <w:r>
              <w:rPr>
                <w:rFonts w:hint="eastAsia" w:ascii="仿宋" w:hAnsi="仿宋" w:eastAsia="仿宋" w:cs="仿宋"/>
                <w:kern w:val="0"/>
                <w:szCs w:val="24"/>
                <w:lang w:val="zh-TW" w:eastAsia="zh-TW" w:bidi="zh-TW"/>
              </w:rPr>
              <w:t>连接各类医疗设备。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96" w:type="dxa"/>
          </w:tcPr>
          <w:p>
            <w:pPr>
              <w:pStyle w:val="104"/>
              <w:widowControl w:val="0"/>
              <w:wordWrap/>
              <w:spacing w:line="360" w:lineRule="auto"/>
              <w:jc w:val="both"/>
              <w:rPr>
                <w:rFonts w:ascii="仿宋" w:hAnsi="仿宋" w:eastAsia="仿宋" w:cs="仿宋"/>
                <w:kern w:val="0"/>
                <w:szCs w:val="24"/>
                <w:lang w:bidi="zh-TW"/>
              </w:rPr>
            </w:pPr>
            <w:r>
              <w:rPr>
                <w:rFonts w:hint="eastAsia" w:ascii="仿宋" w:hAnsi="仿宋" w:eastAsia="仿宋" w:cs="仿宋"/>
                <w:kern w:val="0"/>
                <w:szCs w:val="24"/>
                <w:lang w:bidi="zh-TW"/>
              </w:rPr>
              <w:t>消息管理</w:t>
            </w:r>
          </w:p>
        </w:tc>
        <w:tc>
          <w:tcPr>
            <w:tcW w:w="7230" w:type="dxa"/>
          </w:tcPr>
          <w:p>
            <w:pPr>
              <w:pStyle w:val="104"/>
              <w:widowControl w:val="0"/>
              <w:wordWrap/>
              <w:spacing w:line="360" w:lineRule="auto"/>
              <w:jc w:val="both"/>
              <w:rPr>
                <w:rFonts w:ascii="仿宋" w:hAnsi="仿宋" w:eastAsia="仿宋" w:cs="仿宋"/>
                <w:kern w:val="0"/>
                <w:szCs w:val="24"/>
                <w:lang w:val="zh-TW" w:bidi="zh-TW"/>
              </w:rPr>
            </w:pPr>
            <w:r>
              <w:rPr>
                <w:rFonts w:hint="eastAsia" w:ascii="仿宋" w:hAnsi="仿宋" w:eastAsia="仿宋" w:cs="仿宋"/>
                <w:kern w:val="0"/>
                <w:szCs w:val="24"/>
                <w:lang w:bidi="en-US"/>
              </w:rPr>
              <w:t>支持多种数据通信模式，包括同步、异步、点对点、发布/订阅等。</w:t>
            </w:r>
            <w:r>
              <w:rPr>
                <w:rFonts w:hint="eastAsia" w:ascii="仿宋" w:hAnsi="仿宋" w:eastAsia="仿宋" w:cs="仿宋"/>
                <w:kern w:val="0"/>
                <w:szCs w:val="24"/>
                <w:lang w:val="zh-TW" w:bidi="zh-TW"/>
              </w:rPr>
              <w:t>支持灵活开放的协议，包括但不限于</w:t>
            </w:r>
            <w:r>
              <w:rPr>
                <w:rFonts w:hint="eastAsia" w:ascii="仿宋" w:hAnsi="仿宋" w:eastAsia="仿宋" w:cs="仿宋"/>
                <w:kern w:val="0"/>
                <w:szCs w:val="24"/>
              </w:rPr>
              <w:t>TCP/IP、SOAP Web、REST Web、Kafka、</w:t>
            </w:r>
            <w:r>
              <w:rPr>
                <w:rFonts w:hint="eastAsia" w:ascii="仿宋" w:hAnsi="仿宋" w:eastAsia="仿宋" w:cs="仿宋"/>
                <w:kern w:val="0"/>
                <w:szCs w:val="24"/>
                <w:lang w:bidi="en-US"/>
              </w:rPr>
              <w:t>JSON、MLLP、HTTP/HTTPS、FTP/File、Socket、SMTP、SOAP/HTTP、S0AP/JMS等,</w:t>
            </w:r>
            <w:r>
              <w:rPr>
                <w:rFonts w:hint="eastAsia" w:ascii="仿宋" w:hAnsi="仿宋" w:eastAsia="仿宋" w:cs="仿宋"/>
                <w:kern w:val="0"/>
                <w:szCs w:val="24"/>
                <w:lang w:val="zh-TW" w:bidi="zh-TW"/>
              </w:rPr>
              <w:t>具备协议相互的转换能力。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96" w:type="dxa"/>
          </w:tcPr>
          <w:p>
            <w:pPr>
              <w:pStyle w:val="104"/>
              <w:widowControl w:val="0"/>
              <w:wordWrap/>
              <w:spacing w:line="360" w:lineRule="auto"/>
              <w:jc w:val="both"/>
              <w:rPr>
                <w:rFonts w:ascii="仿宋" w:hAnsi="仿宋" w:eastAsia="仿宋" w:cs="仿宋"/>
                <w:kern w:val="0"/>
                <w:szCs w:val="24"/>
                <w:lang w:bidi="zh-TW"/>
              </w:rPr>
            </w:pPr>
            <w:r>
              <w:rPr>
                <w:rFonts w:hint="eastAsia" w:ascii="仿宋" w:hAnsi="仿宋" w:eastAsia="仿宋" w:cs="仿宋"/>
                <w:kern w:val="0"/>
                <w:szCs w:val="24"/>
                <w:lang w:bidi="zh-TW"/>
              </w:rPr>
              <w:t>运维管理</w:t>
            </w:r>
          </w:p>
        </w:tc>
        <w:tc>
          <w:tcPr>
            <w:tcW w:w="7230" w:type="dxa"/>
          </w:tcPr>
          <w:p>
            <w:pPr>
              <w:pStyle w:val="104"/>
              <w:widowControl w:val="0"/>
              <w:wordWrap/>
              <w:spacing w:line="360" w:lineRule="auto"/>
              <w:jc w:val="both"/>
              <w:rPr>
                <w:rFonts w:ascii="仿宋" w:hAnsi="仿宋" w:eastAsia="仿宋" w:cs="仿宋"/>
                <w:kern w:val="0"/>
                <w:szCs w:val="24"/>
                <w:lang w:val="zh-TW" w:bidi="zh-TW"/>
              </w:rPr>
            </w:pPr>
            <w:r>
              <w:rPr>
                <w:rFonts w:hint="eastAsia" w:ascii="仿宋" w:hAnsi="仿宋" w:eastAsia="仿宋" w:cs="仿宋"/>
                <w:kern w:val="0"/>
                <w:szCs w:val="24"/>
              </w:rPr>
              <w:t>支持在线查看系统状态信息、进行性能监控，可以进行数据管理，允许访问日志、进行故障诊断；在发生异常情况时或消息堆积时可发送通知和提醒 ，消息堆积警告和警报阙值可配置；支持在线服务自助式调试Web界面，调试界面支持单元测试及集成测试；提供可开放的集成平台管理、设置、监控的API，支持第三方的应用开发；支持H5技术，支持PC端和移动端设备查看引擎运行状态，界面自适应调整分辨率；支持选择性关闭路由中消息追踪功能，减少不必要排错消息存储，节省磁盘空间。</w:t>
            </w:r>
          </w:p>
        </w:tc>
      </w:tr>
    </w:tbl>
    <w:p>
      <w:pPr>
        <w:pStyle w:val="5"/>
        <w:spacing w:line="360" w:lineRule="auto"/>
        <w:rPr>
          <w:rFonts w:ascii="仿宋" w:hAnsi="仿宋" w:eastAsia="仿宋" w:cs="仿宋"/>
          <w:sz w:val="24"/>
          <w:szCs w:val="24"/>
        </w:rPr>
      </w:pPr>
      <w:bookmarkStart w:id="387" w:name="_Toc23895"/>
      <w:r>
        <w:rPr>
          <w:rFonts w:hint="eastAsia" w:ascii="仿宋" w:hAnsi="仿宋" w:eastAsia="仿宋" w:cs="仿宋"/>
          <w:sz w:val="24"/>
          <w:szCs w:val="24"/>
        </w:rPr>
        <w:t>4、集成平台服务运行监控管理系统</w:t>
      </w:r>
      <w:bookmarkEnd w:id="387"/>
    </w:p>
    <w:p>
      <w:pPr>
        <w:spacing w:line="360" w:lineRule="auto"/>
        <w:ind w:firstLine="480" w:firstLineChars="200"/>
        <w:rPr>
          <w:rFonts w:ascii="仿宋" w:hAnsi="仿宋" w:eastAsia="仿宋" w:cs="仿宋"/>
          <w:sz w:val="24"/>
          <w:szCs w:val="24"/>
        </w:rPr>
      </w:pPr>
      <w:r>
        <w:rPr>
          <w:rFonts w:hint="eastAsia" w:ascii="仿宋" w:hAnsi="仿宋" w:eastAsia="仿宋" w:cs="仿宋"/>
          <w:color w:val="000000"/>
          <w:kern w:val="0"/>
          <w:sz w:val="24"/>
          <w:szCs w:val="24"/>
        </w:rPr>
        <w:t>为集成平台实现自动化的监控服务，自动处理调用失败、超时等常见错误，并自动发送相应的预警信息到相关的管理人员处，</w:t>
      </w:r>
      <w:r>
        <w:rPr>
          <w:rFonts w:hint="eastAsia" w:ascii="仿宋" w:hAnsi="仿宋" w:eastAsia="仿宋" w:cs="仿宋"/>
          <w:bCs/>
          <w:sz w:val="24"/>
          <w:szCs w:val="24"/>
        </w:rPr>
        <w:t>运行监控平台以图表的形式提供有效的服务器及网络负载监控、数据库情况监控、服务调用</w:t>
      </w:r>
      <w:r>
        <w:rPr>
          <w:rFonts w:hint="eastAsia" w:ascii="仿宋" w:hAnsi="仿宋" w:eastAsia="仿宋" w:cs="仿宋"/>
          <w:sz w:val="24"/>
          <w:szCs w:val="24"/>
          <w:lang w:val="zh-TW" w:bidi="zh-TW"/>
        </w:rPr>
        <w:t>监控等，以了解整个信息集成平台的运行状况，包含但不限于平台所有服务数据、消息路由情况、性能数据、相关服务器和组件运行情况等，协助管理员</w:t>
      </w:r>
      <w:r>
        <w:rPr>
          <w:rFonts w:hint="eastAsia" w:ascii="仿宋" w:hAnsi="仿宋" w:eastAsia="仿宋" w:cs="仿宋"/>
          <w:sz w:val="24"/>
          <w:szCs w:val="24"/>
        </w:rPr>
        <w:t>及时发现问题并采取干预措施以及</w:t>
      </w:r>
      <w:r>
        <w:rPr>
          <w:rFonts w:hint="eastAsia" w:ascii="仿宋" w:hAnsi="仿宋" w:eastAsia="仿宋" w:cs="仿宋"/>
          <w:sz w:val="24"/>
          <w:szCs w:val="24"/>
          <w:lang w:val="zh-TW" w:bidi="zh-TW"/>
        </w:rPr>
        <w:t>对平台进行优化和扩展</w:t>
      </w:r>
      <w:r>
        <w:rPr>
          <w:rFonts w:hint="eastAsia" w:ascii="仿宋" w:hAnsi="仿宋" w:eastAsia="仿宋" w:cs="仿宋"/>
          <w:sz w:val="24"/>
          <w:szCs w:val="24"/>
        </w:rPr>
        <w:t>。具体功能要求如下：</w:t>
      </w:r>
    </w:p>
    <w:tbl>
      <w:tblPr>
        <w:tblStyle w:val="27"/>
        <w:tblW w:w="8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980"/>
        <w:gridCol w:w="5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14" w:type="dxa"/>
            <w:gridSpan w:val="2"/>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功能列表</w:t>
            </w:r>
          </w:p>
        </w:tc>
        <w:tc>
          <w:tcPr>
            <w:tcW w:w="5249" w:type="dxa"/>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restart"/>
          </w:tcPr>
          <w:p>
            <w:pPr>
              <w:jc w:val="left"/>
              <w:rPr>
                <w:rFonts w:ascii="仿宋" w:hAnsi="仿宋" w:eastAsia="仿宋" w:cs="仿宋"/>
                <w:kern w:val="0"/>
                <w:sz w:val="24"/>
                <w:szCs w:val="24"/>
              </w:rPr>
            </w:pPr>
            <w:r>
              <w:rPr>
                <w:rFonts w:hint="eastAsia" w:ascii="仿宋" w:hAnsi="仿宋" w:eastAsia="仿宋" w:cs="仿宋"/>
                <w:kern w:val="0"/>
                <w:sz w:val="24"/>
                <w:szCs w:val="24"/>
              </w:rPr>
              <w:t>监控概览</w:t>
            </w:r>
          </w:p>
        </w:tc>
        <w:tc>
          <w:tcPr>
            <w:tcW w:w="1980" w:type="dxa"/>
          </w:tcPr>
          <w:p>
            <w:pPr>
              <w:widowControl/>
              <w:textAlignment w:val="center"/>
              <w:rPr>
                <w:rFonts w:ascii="仿宋" w:hAnsi="仿宋" w:eastAsia="仿宋" w:cs="仿宋"/>
                <w:kern w:val="0"/>
                <w:sz w:val="24"/>
                <w:szCs w:val="24"/>
              </w:rPr>
            </w:pPr>
            <w:r>
              <w:rPr>
                <w:rFonts w:hint="eastAsia" w:ascii="仿宋" w:hAnsi="仿宋" w:eastAsia="仿宋" w:cs="仿宋"/>
                <w:kern w:val="0"/>
                <w:sz w:val="24"/>
                <w:szCs w:val="24"/>
              </w:rPr>
              <w:t>提供方被调用表格</w:t>
            </w:r>
          </w:p>
        </w:tc>
        <w:tc>
          <w:tcPr>
            <w:tcW w:w="5249" w:type="dxa"/>
          </w:tcPr>
          <w:p>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rPr>
              <w:t>按照系统或者服务进行服务调用次数以及失败次数的统计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tcPr>
          <w:p>
            <w:pPr>
              <w:jc w:val="center"/>
              <w:rPr>
                <w:rFonts w:ascii="仿宋" w:hAnsi="仿宋" w:eastAsia="仿宋" w:cs="仿宋"/>
                <w:kern w:val="0"/>
                <w:sz w:val="24"/>
                <w:szCs w:val="24"/>
              </w:rPr>
            </w:pPr>
          </w:p>
        </w:tc>
        <w:tc>
          <w:tcPr>
            <w:tcW w:w="1980" w:type="dxa"/>
          </w:tcPr>
          <w:p>
            <w:pPr>
              <w:widowControl/>
              <w:textAlignment w:val="center"/>
              <w:rPr>
                <w:rFonts w:ascii="仿宋" w:hAnsi="仿宋" w:eastAsia="仿宋" w:cs="仿宋"/>
                <w:kern w:val="0"/>
                <w:sz w:val="24"/>
                <w:szCs w:val="24"/>
              </w:rPr>
            </w:pPr>
            <w:r>
              <w:rPr>
                <w:rFonts w:hint="eastAsia" w:ascii="仿宋" w:hAnsi="仿宋" w:eastAsia="仿宋" w:cs="仿宋"/>
                <w:kern w:val="0"/>
                <w:sz w:val="24"/>
                <w:szCs w:val="24"/>
              </w:rPr>
              <w:t>关键指标</w:t>
            </w:r>
          </w:p>
        </w:tc>
        <w:tc>
          <w:tcPr>
            <w:tcW w:w="5249" w:type="dxa"/>
          </w:tcPr>
          <w:p>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rPr>
              <w:t>展示服务的关键指标的情况：服务请求次数、服务异常次数、接入系统总数、接入服务总数等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tcPr>
          <w:p>
            <w:pPr>
              <w:jc w:val="center"/>
              <w:rPr>
                <w:rFonts w:ascii="仿宋" w:hAnsi="仿宋" w:eastAsia="仿宋" w:cs="仿宋"/>
                <w:kern w:val="0"/>
                <w:sz w:val="24"/>
                <w:szCs w:val="24"/>
              </w:rPr>
            </w:pPr>
          </w:p>
        </w:tc>
        <w:tc>
          <w:tcPr>
            <w:tcW w:w="1980" w:type="dxa"/>
          </w:tcPr>
          <w:p>
            <w:pPr>
              <w:widowControl/>
              <w:textAlignment w:val="center"/>
              <w:rPr>
                <w:rFonts w:ascii="仿宋" w:hAnsi="仿宋" w:eastAsia="仿宋" w:cs="仿宋"/>
                <w:kern w:val="0"/>
                <w:sz w:val="24"/>
                <w:szCs w:val="24"/>
              </w:rPr>
            </w:pPr>
            <w:r>
              <w:rPr>
                <w:rFonts w:hint="eastAsia" w:ascii="仿宋" w:hAnsi="仿宋" w:eastAsia="仿宋" w:cs="仿宋"/>
                <w:kern w:val="0"/>
                <w:sz w:val="24"/>
                <w:szCs w:val="24"/>
              </w:rPr>
              <w:t>服务器资源及网络情况</w:t>
            </w:r>
          </w:p>
        </w:tc>
        <w:tc>
          <w:tcPr>
            <w:tcW w:w="5249" w:type="dxa"/>
          </w:tcPr>
          <w:p>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lang w:val="zh-TW" w:bidi="zh-TW"/>
              </w:rPr>
              <w:t>监控和服务器的CPU、内存、磁盘使用率等信息，</w:t>
            </w:r>
            <w:r>
              <w:rPr>
                <w:rFonts w:hint="eastAsia" w:ascii="仿宋" w:hAnsi="仿宋" w:eastAsia="仿宋" w:cs="仿宋"/>
                <w:kern w:val="0"/>
                <w:sz w:val="24"/>
                <w:szCs w:val="24"/>
                <w:lang w:bidi="zh-TW"/>
              </w:rPr>
              <w:t>支持</w:t>
            </w:r>
            <w:r>
              <w:rPr>
                <w:rFonts w:hint="eastAsia" w:ascii="仿宋" w:hAnsi="仿宋" w:eastAsia="仿宋" w:cs="仿宋"/>
                <w:kern w:val="0"/>
                <w:sz w:val="24"/>
                <w:szCs w:val="24"/>
              </w:rPr>
              <w:t>以柱状图的方式显示</w:t>
            </w:r>
            <w:r>
              <w:rPr>
                <w:rFonts w:hint="eastAsia" w:ascii="仿宋" w:hAnsi="仿宋" w:eastAsia="仿宋" w:cs="仿宋"/>
                <w:kern w:val="0"/>
                <w:sz w:val="24"/>
                <w:szCs w:val="24"/>
                <w:lang w:bidi="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tcPr>
          <w:p>
            <w:pPr>
              <w:jc w:val="center"/>
              <w:rPr>
                <w:rFonts w:ascii="仿宋" w:hAnsi="仿宋" w:eastAsia="仿宋" w:cs="仿宋"/>
                <w:kern w:val="0"/>
                <w:sz w:val="24"/>
                <w:szCs w:val="24"/>
              </w:rPr>
            </w:pPr>
          </w:p>
        </w:tc>
        <w:tc>
          <w:tcPr>
            <w:tcW w:w="1980" w:type="dxa"/>
          </w:tcPr>
          <w:p>
            <w:pPr>
              <w:widowControl/>
              <w:textAlignment w:val="center"/>
              <w:rPr>
                <w:rFonts w:ascii="仿宋" w:hAnsi="仿宋" w:eastAsia="仿宋" w:cs="仿宋"/>
                <w:kern w:val="0"/>
                <w:sz w:val="24"/>
                <w:szCs w:val="24"/>
              </w:rPr>
            </w:pPr>
            <w:r>
              <w:rPr>
                <w:rFonts w:hint="eastAsia" w:ascii="仿宋" w:hAnsi="仿宋" w:eastAsia="仿宋" w:cs="仿宋"/>
                <w:kern w:val="0"/>
                <w:sz w:val="24"/>
                <w:szCs w:val="24"/>
              </w:rPr>
              <w:t>消费方调用图例</w:t>
            </w:r>
          </w:p>
        </w:tc>
        <w:tc>
          <w:tcPr>
            <w:tcW w:w="5249" w:type="dxa"/>
          </w:tcPr>
          <w:p>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rPr>
              <w:t>通过饼状图展示消费方的调用比例情况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tcPr>
          <w:p>
            <w:pPr>
              <w:jc w:val="center"/>
              <w:rPr>
                <w:rFonts w:ascii="仿宋" w:hAnsi="仿宋" w:eastAsia="仿宋" w:cs="仿宋"/>
                <w:kern w:val="0"/>
                <w:sz w:val="24"/>
                <w:szCs w:val="24"/>
              </w:rPr>
            </w:pPr>
          </w:p>
        </w:tc>
        <w:tc>
          <w:tcPr>
            <w:tcW w:w="1980" w:type="dxa"/>
          </w:tcPr>
          <w:p>
            <w:pPr>
              <w:widowControl/>
              <w:textAlignment w:val="center"/>
              <w:rPr>
                <w:rFonts w:ascii="仿宋" w:hAnsi="仿宋" w:eastAsia="仿宋" w:cs="仿宋"/>
                <w:kern w:val="0"/>
                <w:sz w:val="24"/>
                <w:szCs w:val="24"/>
              </w:rPr>
            </w:pPr>
            <w:r>
              <w:rPr>
                <w:rFonts w:hint="eastAsia" w:ascii="仿宋" w:hAnsi="仿宋" w:eastAsia="仿宋" w:cs="仿宋"/>
                <w:kern w:val="0"/>
                <w:sz w:val="24"/>
                <w:szCs w:val="24"/>
              </w:rPr>
              <w:t>服务请求趋势</w:t>
            </w:r>
          </w:p>
        </w:tc>
        <w:tc>
          <w:tcPr>
            <w:tcW w:w="5249" w:type="dxa"/>
          </w:tcPr>
          <w:p>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rPr>
              <w:t>展示服务请求次数的折线图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tcPr>
          <w:p>
            <w:pPr>
              <w:jc w:val="center"/>
              <w:rPr>
                <w:rFonts w:ascii="仿宋" w:hAnsi="仿宋" w:eastAsia="仿宋" w:cs="仿宋"/>
                <w:kern w:val="0"/>
                <w:sz w:val="24"/>
                <w:szCs w:val="24"/>
              </w:rPr>
            </w:pPr>
          </w:p>
        </w:tc>
        <w:tc>
          <w:tcPr>
            <w:tcW w:w="1980" w:type="dxa"/>
          </w:tcPr>
          <w:p>
            <w:pPr>
              <w:widowControl/>
              <w:textAlignment w:val="center"/>
              <w:rPr>
                <w:rFonts w:ascii="仿宋" w:hAnsi="仿宋" w:eastAsia="仿宋" w:cs="仿宋"/>
                <w:kern w:val="0"/>
                <w:sz w:val="24"/>
                <w:szCs w:val="24"/>
              </w:rPr>
            </w:pPr>
            <w:r>
              <w:rPr>
                <w:rFonts w:hint="eastAsia" w:ascii="仿宋" w:hAnsi="仿宋" w:eastAsia="仿宋" w:cs="仿宋"/>
                <w:kern w:val="0"/>
                <w:sz w:val="24"/>
                <w:szCs w:val="24"/>
              </w:rPr>
              <w:t>日志查询</w:t>
            </w:r>
          </w:p>
        </w:tc>
        <w:tc>
          <w:tcPr>
            <w:tcW w:w="5249" w:type="dxa"/>
          </w:tcPr>
          <w:p>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lang w:val="zh-TW" w:bidi="zh-TW"/>
              </w:rPr>
              <w:t>根据筛选条件查看服务调用日志的主要内容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tcPr>
          <w:p>
            <w:pPr>
              <w:jc w:val="center"/>
              <w:rPr>
                <w:rFonts w:ascii="仿宋" w:hAnsi="仿宋" w:eastAsia="仿宋" w:cs="仿宋"/>
                <w:kern w:val="0"/>
                <w:sz w:val="24"/>
                <w:szCs w:val="24"/>
              </w:rPr>
            </w:pPr>
          </w:p>
        </w:tc>
        <w:tc>
          <w:tcPr>
            <w:tcW w:w="1980" w:type="dxa"/>
          </w:tcPr>
          <w:p>
            <w:pPr>
              <w:widowControl/>
              <w:textAlignment w:val="center"/>
              <w:rPr>
                <w:rFonts w:ascii="仿宋" w:hAnsi="仿宋" w:eastAsia="仿宋" w:cs="仿宋"/>
                <w:kern w:val="0"/>
                <w:sz w:val="24"/>
                <w:szCs w:val="24"/>
              </w:rPr>
            </w:pPr>
            <w:r>
              <w:rPr>
                <w:rFonts w:hint="eastAsia" w:ascii="仿宋" w:hAnsi="仿宋" w:eastAsia="仿宋" w:cs="仿宋"/>
                <w:kern w:val="0"/>
                <w:sz w:val="24"/>
                <w:szCs w:val="24"/>
              </w:rPr>
              <w:t>★配置管理</w:t>
            </w:r>
          </w:p>
        </w:tc>
        <w:tc>
          <w:tcPr>
            <w:tcW w:w="5249" w:type="dxa"/>
          </w:tcPr>
          <w:p>
            <w:pPr>
              <w:widowControl/>
              <w:jc w:val="left"/>
              <w:textAlignment w:val="center"/>
              <w:rPr>
                <w:rFonts w:ascii="仿宋" w:hAnsi="仿宋" w:eastAsia="仿宋" w:cs="仿宋"/>
                <w:kern w:val="0"/>
                <w:sz w:val="24"/>
                <w:szCs w:val="24"/>
                <w:lang w:val="zh-TW" w:bidi="zh-TW"/>
              </w:rPr>
            </w:pPr>
            <w:r>
              <w:rPr>
                <w:rFonts w:hint="eastAsia" w:ascii="仿宋" w:hAnsi="仿宋" w:eastAsia="仿宋" w:cs="仿宋"/>
                <w:kern w:val="0"/>
                <w:sz w:val="24"/>
                <w:szCs w:val="24"/>
              </w:rPr>
              <w:t>对平台接入的服务进行可视化的监控和配置管理，包括服务调用情况、高频次调用情况、调用日志保留天数、熔断持续时间、熔断阈值1分钟内失败次数等信息的监控和配置。（需提供功能界面截图佐证）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restart"/>
          </w:tcPr>
          <w:p>
            <w:pPr>
              <w:widowControl/>
              <w:textAlignment w:val="center"/>
              <w:rPr>
                <w:rFonts w:ascii="仿宋" w:hAnsi="仿宋" w:eastAsia="仿宋" w:cs="仿宋"/>
                <w:kern w:val="0"/>
                <w:sz w:val="24"/>
                <w:szCs w:val="24"/>
              </w:rPr>
            </w:pPr>
            <w:r>
              <w:rPr>
                <w:rFonts w:hint="eastAsia" w:ascii="仿宋" w:hAnsi="仿宋" w:eastAsia="仿宋" w:cs="仿宋"/>
                <w:kern w:val="0"/>
                <w:sz w:val="24"/>
                <w:szCs w:val="24"/>
              </w:rPr>
              <w:t>实时监控</w:t>
            </w:r>
          </w:p>
        </w:tc>
        <w:tc>
          <w:tcPr>
            <w:tcW w:w="1980" w:type="dxa"/>
          </w:tcPr>
          <w:p>
            <w:pPr>
              <w:widowControl/>
              <w:textAlignment w:val="center"/>
              <w:rPr>
                <w:rFonts w:ascii="仿宋" w:hAnsi="仿宋" w:eastAsia="仿宋" w:cs="仿宋"/>
                <w:kern w:val="0"/>
                <w:sz w:val="24"/>
                <w:szCs w:val="24"/>
              </w:rPr>
            </w:pPr>
            <w:r>
              <w:rPr>
                <w:rFonts w:hint="eastAsia" w:ascii="仿宋" w:hAnsi="仿宋" w:eastAsia="仿宋" w:cs="仿宋"/>
                <w:kern w:val="0"/>
                <w:sz w:val="24"/>
                <w:szCs w:val="24"/>
              </w:rPr>
              <w:t>服务内容展示</w:t>
            </w:r>
          </w:p>
        </w:tc>
        <w:tc>
          <w:tcPr>
            <w:tcW w:w="5249" w:type="dxa"/>
          </w:tcPr>
          <w:p>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lang w:bidi="zh-TW"/>
              </w:rPr>
              <w:t>支持</w:t>
            </w:r>
            <w:r>
              <w:rPr>
                <w:rFonts w:hint="eastAsia" w:ascii="仿宋" w:hAnsi="仿宋" w:eastAsia="仿宋" w:cs="仿宋"/>
                <w:kern w:val="0"/>
                <w:sz w:val="24"/>
                <w:szCs w:val="24"/>
                <w:lang w:val="zh-TW" w:bidi="zh-TW"/>
              </w:rPr>
              <w:t>监控当前系统接入数量、当前服务接入数量、当天服务调用得情况、异常信息及异常处理等，接入服务、接入系统、服务调用、消费系统等统计信息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tcPr>
          <w:p>
            <w:pPr>
              <w:jc w:val="center"/>
              <w:rPr>
                <w:rFonts w:ascii="仿宋" w:hAnsi="仿宋" w:eastAsia="仿宋" w:cs="仿宋"/>
                <w:kern w:val="0"/>
                <w:sz w:val="24"/>
                <w:szCs w:val="24"/>
              </w:rPr>
            </w:pPr>
          </w:p>
        </w:tc>
        <w:tc>
          <w:tcPr>
            <w:tcW w:w="1980" w:type="dxa"/>
          </w:tcPr>
          <w:p>
            <w:pPr>
              <w:widowControl/>
              <w:textAlignment w:val="center"/>
              <w:rPr>
                <w:rFonts w:ascii="仿宋" w:hAnsi="仿宋" w:eastAsia="仿宋" w:cs="仿宋"/>
                <w:kern w:val="0"/>
                <w:sz w:val="24"/>
                <w:szCs w:val="24"/>
              </w:rPr>
            </w:pPr>
            <w:r>
              <w:rPr>
                <w:rFonts w:hint="eastAsia" w:ascii="仿宋" w:hAnsi="仿宋" w:eastAsia="仿宋" w:cs="仿宋"/>
                <w:kern w:val="0"/>
                <w:sz w:val="24"/>
                <w:szCs w:val="24"/>
              </w:rPr>
              <w:t>系统服务流向图例</w:t>
            </w:r>
          </w:p>
        </w:tc>
        <w:tc>
          <w:tcPr>
            <w:tcW w:w="5249" w:type="dxa"/>
          </w:tcPr>
          <w:p>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rPr>
              <w:t>展示系统之间的服务流向关系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tcPr>
          <w:p>
            <w:pPr>
              <w:jc w:val="center"/>
              <w:rPr>
                <w:rFonts w:ascii="仿宋" w:hAnsi="仿宋" w:eastAsia="仿宋" w:cs="仿宋"/>
                <w:kern w:val="0"/>
                <w:sz w:val="24"/>
                <w:szCs w:val="24"/>
              </w:rPr>
            </w:pPr>
          </w:p>
        </w:tc>
        <w:tc>
          <w:tcPr>
            <w:tcW w:w="1980" w:type="dxa"/>
          </w:tcPr>
          <w:p>
            <w:pPr>
              <w:widowControl/>
              <w:textAlignment w:val="center"/>
              <w:rPr>
                <w:rFonts w:ascii="仿宋" w:hAnsi="仿宋" w:eastAsia="仿宋" w:cs="仿宋"/>
                <w:kern w:val="0"/>
                <w:sz w:val="24"/>
                <w:szCs w:val="24"/>
              </w:rPr>
            </w:pPr>
            <w:r>
              <w:rPr>
                <w:rFonts w:hint="eastAsia" w:ascii="仿宋" w:hAnsi="仿宋" w:eastAsia="仿宋" w:cs="仿宋"/>
                <w:kern w:val="0"/>
                <w:sz w:val="24"/>
                <w:szCs w:val="24"/>
              </w:rPr>
              <w:t>服务列表</w:t>
            </w:r>
          </w:p>
        </w:tc>
        <w:tc>
          <w:tcPr>
            <w:tcW w:w="5249" w:type="dxa"/>
          </w:tcPr>
          <w:p>
            <w:pPr>
              <w:rPr>
                <w:rFonts w:ascii="仿宋" w:hAnsi="仿宋" w:eastAsia="仿宋" w:cs="仿宋"/>
                <w:kern w:val="0"/>
                <w:sz w:val="24"/>
                <w:szCs w:val="24"/>
              </w:rPr>
            </w:pPr>
            <w:r>
              <w:rPr>
                <w:rFonts w:hint="eastAsia" w:ascii="仿宋" w:hAnsi="仿宋" w:eastAsia="仿宋" w:cs="仿宋"/>
                <w:kern w:val="0"/>
                <w:sz w:val="24"/>
                <w:szCs w:val="24"/>
                <w:lang w:val="zh-TW" w:bidi="zh-TW"/>
              </w:rPr>
              <w:t>展示服务的列表：包括服务名称、请求方、提供方、调用次数、平均耗时、最短耗时、最大耗时、吞吐量、失败次数、状态、失败率等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tcPr>
          <w:p>
            <w:pPr>
              <w:jc w:val="center"/>
              <w:rPr>
                <w:rFonts w:ascii="仿宋" w:hAnsi="仿宋" w:eastAsia="仿宋" w:cs="仿宋"/>
                <w:kern w:val="0"/>
                <w:sz w:val="24"/>
                <w:szCs w:val="24"/>
              </w:rPr>
            </w:pPr>
          </w:p>
        </w:tc>
        <w:tc>
          <w:tcPr>
            <w:tcW w:w="1980" w:type="dxa"/>
          </w:tcPr>
          <w:p>
            <w:pPr>
              <w:widowControl/>
              <w:textAlignment w:val="center"/>
              <w:rPr>
                <w:rFonts w:ascii="仿宋" w:hAnsi="仿宋" w:eastAsia="仿宋" w:cs="仿宋"/>
                <w:kern w:val="0"/>
                <w:sz w:val="24"/>
                <w:szCs w:val="24"/>
              </w:rPr>
            </w:pPr>
            <w:r>
              <w:rPr>
                <w:rFonts w:hint="eastAsia" w:ascii="仿宋" w:hAnsi="仿宋" w:eastAsia="仿宋" w:cs="仿宋"/>
                <w:kern w:val="0"/>
                <w:sz w:val="24"/>
                <w:szCs w:val="24"/>
              </w:rPr>
              <w:t>服务调用详情</w:t>
            </w:r>
          </w:p>
        </w:tc>
        <w:tc>
          <w:tcPr>
            <w:tcW w:w="5249" w:type="dxa"/>
          </w:tcPr>
          <w:p>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lang w:bidi="zh-TW"/>
              </w:rPr>
              <w:t>支持</w:t>
            </w:r>
            <w:r>
              <w:rPr>
                <w:rFonts w:hint="eastAsia" w:ascii="仿宋" w:hAnsi="仿宋" w:eastAsia="仿宋" w:cs="仿宋"/>
                <w:kern w:val="0"/>
                <w:sz w:val="24"/>
                <w:szCs w:val="24"/>
                <w:lang w:val="zh-TW" w:bidi="zh-TW"/>
              </w:rPr>
              <w:t>展现当前服务的所信息，至少包括以下信息：服务详情信息</w:t>
            </w:r>
            <w:r>
              <w:rPr>
                <w:rFonts w:hint="eastAsia" w:ascii="仿宋" w:hAnsi="仿宋" w:eastAsia="仿宋" w:cs="仿宋"/>
                <w:kern w:val="0"/>
                <w:sz w:val="24"/>
                <w:szCs w:val="24"/>
                <w:lang w:bidi="zh-TW"/>
              </w:rPr>
              <w:t>（服务调用链路、耗时、路由、消息id等）</w:t>
            </w:r>
            <w:r>
              <w:rPr>
                <w:rFonts w:hint="eastAsia" w:ascii="仿宋" w:hAnsi="仿宋" w:eastAsia="仿宋" w:cs="仿宋"/>
                <w:kern w:val="0"/>
                <w:sz w:val="24"/>
                <w:szCs w:val="24"/>
                <w:lang w:val="zh-TW" w:bidi="zh-TW"/>
              </w:rPr>
              <w:t>、子服务列表、服务最后一次请求流程图、服务异常等</w:t>
            </w:r>
            <w:r>
              <w:rPr>
                <w:rFonts w:hint="eastAsia" w:ascii="仿宋" w:hAnsi="仿宋" w:eastAsia="仿宋" w:cs="仿宋"/>
                <w:kern w:val="0"/>
                <w:sz w:val="24"/>
                <w:szCs w:val="24"/>
                <w:lang w:bidi="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tcPr>
          <w:p>
            <w:pPr>
              <w:jc w:val="center"/>
              <w:rPr>
                <w:rFonts w:ascii="仿宋" w:hAnsi="仿宋" w:eastAsia="仿宋" w:cs="仿宋"/>
                <w:kern w:val="0"/>
                <w:sz w:val="24"/>
                <w:szCs w:val="24"/>
              </w:rPr>
            </w:pPr>
          </w:p>
        </w:tc>
        <w:tc>
          <w:tcPr>
            <w:tcW w:w="1980" w:type="dxa"/>
          </w:tcPr>
          <w:p>
            <w:pPr>
              <w:widowControl/>
              <w:textAlignment w:val="center"/>
              <w:rPr>
                <w:rFonts w:ascii="仿宋" w:hAnsi="仿宋" w:eastAsia="仿宋" w:cs="仿宋"/>
                <w:kern w:val="0"/>
                <w:sz w:val="24"/>
                <w:szCs w:val="24"/>
              </w:rPr>
            </w:pPr>
            <w:r>
              <w:rPr>
                <w:rFonts w:hint="eastAsia" w:ascii="仿宋" w:hAnsi="仿宋" w:eastAsia="仿宋" w:cs="仿宋"/>
                <w:kern w:val="0"/>
                <w:sz w:val="24"/>
                <w:szCs w:val="24"/>
              </w:rPr>
              <w:t>★自动化监控</w:t>
            </w:r>
          </w:p>
        </w:tc>
        <w:tc>
          <w:tcPr>
            <w:tcW w:w="5249" w:type="dxa"/>
          </w:tcPr>
          <w:p>
            <w:pPr>
              <w:rPr>
                <w:rFonts w:ascii="仿宋" w:hAnsi="仿宋" w:eastAsia="仿宋" w:cs="仿宋"/>
                <w:kern w:val="0"/>
                <w:sz w:val="24"/>
                <w:szCs w:val="24"/>
              </w:rPr>
            </w:pPr>
            <w:r>
              <w:rPr>
                <w:rFonts w:hint="eastAsia" w:ascii="仿宋" w:hAnsi="仿宋" w:eastAsia="仿宋" w:cs="仿宋"/>
                <w:kern w:val="0"/>
                <w:sz w:val="24"/>
                <w:szCs w:val="24"/>
              </w:rPr>
              <w:t>为集成平台实现自动化的监控服务，</w:t>
            </w:r>
            <w:r>
              <w:rPr>
                <w:rFonts w:hint="eastAsia" w:ascii="仿宋" w:hAnsi="仿宋" w:eastAsia="仿宋" w:cs="仿宋"/>
                <w:sz w:val="24"/>
                <w:szCs w:val="24"/>
              </w:rPr>
              <w:t>包括调用成功、调用失败以及耗时的情况。并支持通过具体的服务、账户查询对应的服务运行监控情况</w:t>
            </w:r>
            <w:r>
              <w:rPr>
                <w:rFonts w:hint="eastAsia" w:ascii="仿宋" w:hAnsi="仿宋" w:eastAsia="仿宋" w:cs="仿宋"/>
                <w:kern w:val="0"/>
                <w:sz w:val="24"/>
                <w:szCs w:val="24"/>
              </w:rPr>
              <w:t>。（需提供功能界面截图佐证）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34" w:type="dxa"/>
          </w:tcPr>
          <w:p>
            <w:pPr>
              <w:widowControl/>
              <w:textAlignment w:val="center"/>
              <w:rPr>
                <w:rFonts w:ascii="仿宋" w:hAnsi="仿宋" w:eastAsia="仿宋" w:cs="仿宋"/>
                <w:kern w:val="0"/>
                <w:sz w:val="24"/>
                <w:szCs w:val="24"/>
              </w:rPr>
            </w:pPr>
            <w:r>
              <w:rPr>
                <w:rFonts w:hint="eastAsia" w:ascii="仿宋" w:hAnsi="仿宋" w:eastAsia="仿宋" w:cs="仿宋"/>
                <w:kern w:val="0"/>
                <w:sz w:val="24"/>
                <w:szCs w:val="24"/>
              </w:rPr>
              <w:t>患者追踪</w:t>
            </w:r>
          </w:p>
        </w:tc>
        <w:tc>
          <w:tcPr>
            <w:tcW w:w="1980" w:type="dxa"/>
          </w:tcPr>
          <w:p>
            <w:pPr>
              <w:widowControl/>
              <w:textAlignment w:val="center"/>
              <w:rPr>
                <w:rFonts w:ascii="仿宋" w:hAnsi="仿宋" w:eastAsia="仿宋" w:cs="仿宋"/>
                <w:kern w:val="0"/>
                <w:sz w:val="24"/>
                <w:szCs w:val="24"/>
              </w:rPr>
            </w:pPr>
            <w:r>
              <w:rPr>
                <w:rFonts w:hint="eastAsia" w:ascii="仿宋" w:hAnsi="仿宋" w:eastAsia="仿宋" w:cs="仿宋"/>
                <w:kern w:val="0"/>
                <w:sz w:val="24"/>
                <w:szCs w:val="24"/>
              </w:rPr>
              <w:t>查询服务</w:t>
            </w:r>
          </w:p>
        </w:tc>
        <w:tc>
          <w:tcPr>
            <w:tcW w:w="5249" w:type="dxa"/>
          </w:tcPr>
          <w:p>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rPr>
              <w:t>主要通过日期、患者标识、提供方进行查询患者涉及的服务、调用时间、输入信息、输出信息等</w:t>
            </w:r>
          </w:p>
        </w:tc>
      </w:tr>
    </w:tbl>
    <w:p>
      <w:pPr>
        <w:pStyle w:val="4"/>
        <w:spacing w:line="360" w:lineRule="auto"/>
        <w:ind w:firstLine="482" w:firstLineChars="200"/>
        <w:jc w:val="left"/>
        <w:rPr>
          <w:rFonts w:ascii="仿宋" w:hAnsi="仿宋" w:eastAsia="仿宋" w:cs="仿宋"/>
          <w:sz w:val="24"/>
          <w:szCs w:val="24"/>
        </w:rPr>
      </w:pPr>
      <w:bookmarkStart w:id="388" w:name="_Toc3818"/>
      <w:bookmarkStart w:id="389" w:name="_Toc813"/>
      <w:r>
        <w:rPr>
          <w:rFonts w:hint="eastAsia" w:ascii="仿宋" w:hAnsi="仿宋" w:eastAsia="仿宋" w:cs="仿宋"/>
          <w:sz w:val="24"/>
          <w:szCs w:val="24"/>
          <w:lang w:eastAsia="zh-CN"/>
        </w:rPr>
        <w:t>（三）</w:t>
      </w:r>
      <w:r>
        <w:rPr>
          <w:rFonts w:hint="eastAsia" w:ascii="仿宋" w:hAnsi="仿宋" w:eastAsia="仿宋" w:cs="仿宋"/>
          <w:sz w:val="24"/>
          <w:szCs w:val="24"/>
        </w:rPr>
        <w:t>数据中心建设要求</w:t>
      </w:r>
      <w:bookmarkEnd w:id="388"/>
      <w:bookmarkEnd w:id="389"/>
    </w:p>
    <w:p>
      <w:pPr>
        <w:pStyle w:val="5"/>
        <w:keepLines/>
        <w:spacing w:line="360" w:lineRule="auto"/>
        <w:ind w:firstLine="482" w:firstLineChars="200"/>
        <w:rPr>
          <w:rFonts w:ascii="仿宋" w:hAnsi="仿宋" w:eastAsia="仿宋" w:cs="仿宋"/>
          <w:sz w:val="24"/>
          <w:szCs w:val="24"/>
        </w:rPr>
      </w:pPr>
      <w:bookmarkStart w:id="390" w:name="_Toc17641"/>
      <w:r>
        <w:rPr>
          <w:rFonts w:hint="eastAsia" w:ascii="仿宋" w:hAnsi="仿宋" w:eastAsia="仿宋" w:cs="仿宋"/>
          <w:sz w:val="24"/>
          <w:szCs w:val="24"/>
        </w:rPr>
        <w:t>1、数据采集及源数据库（ODS）建设</w:t>
      </w:r>
      <w:bookmarkEnd w:id="390"/>
    </w:p>
    <w:p>
      <w:pPr>
        <w:spacing w:line="360" w:lineRule="auto"/>
        <w:ind w:firstLine="480"/>
        <w:rPr>
          <w:rFonts w:ascii="仿宋" w:hAnsi="仿宋" w:eastAsia="仿宋" w:cs="仿宋"/>
          <w:sz w:val="24"/>
          <w:szCs w:val="24"/>
        </w:rPr>
      </w:pPr>
      <w:bookmarkStart w:id="391" w:name="_Hlk54100188"/>
      <w:bookmarkStart w:id="392" w:name="_Toc20276"/>
      <w:r>
        <w:rPr>
          <w:rFonts w:hint="eastAsia" w:ascii="仿宋" w:hAnsi="仿宋" w:eastAsia="仿宋" w:cs="仿宋"/>
          <w:sz w:val="24"/>
          <w:szCs w:val="24"/>
          <w:lang w:val="en-GB"/>
        </w:rPr>
        <w:t>数据中心的原始数据采自医院信息系统的各个应用子系统，将应用子系统的各种临床诊疗、管理数据经过处理、整理，形成标准数据并分门别类进行存储，构建数据中心的各个资源数据库。</w:t>
      </w:r>
      <w:bookmarkEnd w:id="391"/>
      <w:r>
        <w:rPr>
          <w:rFonts w:hint="eastAsia" w:ascii="仿宋" w:hAnsi="仿宋" w:eastAsia="仿宋" w:cs="仿宋"/>
          <w:bCs/>
          <w:sz w:val="24"/>
          <w:szCs w:val="24"/>
        </w:rPr>
        <w:t>具体</w:t>
      </w:r>
      <w:r>
        <w:rPr>
          <w:rFonts w:hint="eastAsia" w:ascii="仿宋" w:hAnsi="仿宋" w:eastAsia="仿宋" w:cs="仿宋"/>
          <w:sz w:val="24"/>
          <w:szCs w:val="24"/>
        </w:rPr>
        <w:t>功能要求如下：</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（1）数据中心应在不改变原有业务系统表结构的基础上实现准实时的数据同步；</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（2）数据中心应搭建复制库并复制各个业务系统的数据库；</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（3）数据中心支持以主题域为主执行相关任务数据中心全量抽取；</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（4）数据中心支持通过CDC（变化数据捕获）机制对业务系统做数据中心增量抽取，实时捕获数据，然后采用实时高效的智能化加载工具加载数据变化集到数据中心中；</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（5）数据中心支持将数据与EMPI映射；</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（6）数据中心支持对采集的数据加以解析处理，形成最小的、可复用的数据元素，以提高数据利用的效率；</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（7）加载各数据源所对应的业务系统中保存的历史数据，使数据中心能涵盖医院现有的各类数据资产；</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（8）数据中心的建设应充分考虑历史核心数据迁移、现有系统的接入，确保在后续的应用优先从数据中心进行获取。</w:t>
      </w:r>
    </w:p>
    <w:p>
      <w:pPr>
        <w:pStyle w:val="5"/>
        <w:keepLines/>
        <w:spacing w:line="360" w:lineRule="auto"/>
        <w:ind w:firstLine="482" w:firstLineChars="200"/>
        <w:rPr>
          <w:rFonts w:ascii="仿宋" w:hAnsi="仿宋" w:eastAsia="仿宋" w:cs="仿宋"/>
          <w:sz w:val="24"/>
          <w:szCs w:val="24"/>
        </w:rPr>
      </w:pPr>
      <w:r>
        <w:rPr>
          <w:rFonts w:hint="eastAsia" w:ascii="仿宋" w:hAnsi="仿宋" w:eastAsia="仿宋" w:cs="仿宋"/>
          <w:sz w:val="24"/>
          <w:szCs w:val="24"/>
        </w:rPr>
        <w:t>2、数据清洗及治理（ETL）建设</w:t>
      </w:r>
      <w:bookmarkEnd w:id="392"/>
    </w:p>
    <w:p>
      <w:pPr>
        <w:spacing w:line="360" w:lineRule="auto"/>
        <w:ind w:firstLine="480"/>
        <w:rPr>
          <w:rFonts w:ascii="仿宋" w:hAnsi="仿宋" w:eastAsia="仿宋" w:cs="仿宋"/>
          <w:sz w:val="24"/>
          <w:szCs w:val="24"/>
        </w:rPr>
      </w:pPr>
      <w:r>
        <w:rPr>
          <w:rFonts w:hint="eastAsia" w:ascii="仿宋" w:hAnsi="仿宋" w:eastAsia="仿宋" w:cs="仿宋"/>
          <w:sz w:val="24"/>
          <w:szCs w:val="24"/>
        </w:rPr>
        <w:t>数据在采集之后需要利用ETL工具对其进行清洗处理。ETL是指数据抽取（Extract）、清洗（Cleaning）、转换（Transform）、装载（Load）等处理过程，是构建数据中心的重要一环。ETL将分布式异构数据源中的数据抽取到临时中间层后进行清洗、转换、集成，最后加载到数据仓库或数据集市中，成为联机分析处理数据挖掘的基础。采用镜像复制方式和CDC技术对数据进行抽取复制，在中间库建立基础业务系统数据库的原始镜像库，通过临床数据中心（CDR）数据采集清洗的ETL工具抽取、转换、加载到临床数据中心（CDR）的资源库中。具体功能要求如下：</w:t>
      </w:r>
    </w:p>
    <w:tbl>
      <w:tblPr>
        <w:tblStyle w:val="2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pStyle w:val="104"/>
              <w:wordWrap/>
              <w:spacing w:line="360" w:lineRule="auto"/>
              <w:jc w:val="center"/>
              <w:rPr>
                <w:rFonts w:ascii="仿宋" w:hAnsi="仿宋" w:eastAsia="仿宋" w:cs="仿宋"/>
                <w:szCs w:val="24"/>
                <w:lang w:bidi="zh-TW"/>
              </w:rPr>
            </w:pPr>
            <w:r>
              <w:rPr>
                <w:rFonts w:hint="eastAsia" w:ascii="仿宋" w:hAnsi="仿宋" w:eastAsia="仿宋" w:cs="仿宋"/>
                <w:szCs w:val="24"/>
                <w:lang w:bidi="zh-TW"/>
              </w:rPr>
              <w:t>功能点</w:t>
            </w:r>
          </w:p>
        </w:tc>
        <w:tc>
          <w:tcPr>
            <w:tcW w:w="7229" w:type="dxa"/>
          </w:tcPr>
          <w:p>
            <w:pPr>
              <w:pStyle w:val="104"/>
              <w:wordWrap/>
              <w:spacing w:line="360" w:lineRule="auto"/>
              <w:jc w:val="center"/>
              <w:rPr>
                <w:rFonts w:ascii="仿宋" w:hAnsi="仿宋" w:eastAsia="仿宋" w:cs="仿宋"/>
                <w:szCs w:val="24"/>
                <w:lang w:bidi="zh-TW"/>
              </w:rPr>
            </w:pPr>
            <w:r>
              <w:rPr>
                <w:rFonts w:hint="eastAsia" w:ascii="仿宋" w:hAnsi="仿宋" w:eastAsia="仿宋" w:cs="仿宋"/>
                <w:szCs w:val="24"/>
                <w:lang w:bidi="zh-TW"/>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pStyle w:val="104"/>
              <w:wordWrap/>
              <w:spacing w:line="360" w:lineRule="auto"/>
              <w:jc w:val="center"/>
              <w:rPr>
                <w:rFonts w:ascii="仿宋" w:hAnsi="仿宋" w:eastAsia="仿宋" w:cs="仿宋"/>
                <w:szCs w:val="24"/>
              </w:rPr>
            </w:pPr>
          </w:p>
          <w:p>
            <w:pPr>
              <w:pStyle w:val="104"/>
              <w:wordWrap/>
              <w:spacing w:line="360" w:lineRule="auto"/>
              <w:jc w:val="center"/>
              <w:rPr>
                <w:rFonts w:ascii="仿宋" w:hAnsi="仿宋" w:eastAsia="仿宋" w:cs="仿宋"/>
                <w:szCs w:val="24"/>
              </w:rPr>
            </w:pPr>
          </w:p>
          <w:p>
            <w:pPr>
              <w:pStyle w:val="104"/>
              <w:wordWrap/>
              <w:spacing w:line="360" w:lineRule="auto"/>
              <w:jc w:val="center"/>
              <w:rPr>
                <w:rFonts w:ascii="仿宋" w:hAnsi="仿宋" w:eastAsia="仿宋" w:cs="仿宋"/>
                <w:szCs w:val="24"/>
              </w:rPr>
            </w:pPr>
          </w:p>
          <w:p>
            <w:pPr>
              <w:pStyle w:val="104"/>
              <w:wordWrap/>
              <w:spacing w:line="360" w:lineRule="auto"/>
              <w:jc w:val="center"/>
              <w:rPr>
                <w:rFonts w:ascii="仿宋" w:hAnsi="仿宋" w:eastAsia="仿宋" w:cs="仿宋"/>
                <w:szCs w:val="24"/>
                <w:lang w:bidi="zh-TW"/>
              </w:rPr>
            </w:pPr>
            <w:r>
              <w:rPr>
                <w:rFonts w:hint="eastAsia" w:ascii="仿宋" w:hAnsi="仿宋" w:eastAsia="仿宋" w:cs="仿宋"/>
                <w:szCs w:val="24"/>
              </w:rPr>
              <w:t>采集脚本配置</w:t>
            </w:r>
          </w:p>
        </w:tc>
        <w:tc>
          <w:tcPr>
            <w:tcW w:w="7229" w:type="dxa"/>
          </w:tcPr>
          <w:p>
            <w:pPr>
              <w:rPr>
                <w:rFonts w:ascii="仿宋" w:hAnsi="仿宋" w:eastAsia="仿宋" w:cs="仿宋"/>
                <w:sz w:val="24"/>
                <w:szCs w:val="24"/>
              </w:rPr>
            </w:pPr>
            <w:r>
              <w:rPr>
                <w:rFonts w:hint="eastAsia" w:ascii="仿宋" w:hAnsi="仿宋" w:eastAsia="仿宋" w:cs="仿宋"/>
                <w:sz w:val="24"/>
                <w:szCs w:val="24"/>
              </w:rPr>
              <w:t>1）支持对各个模型的采集周期进行集中管理，统一管理各个模型的采集时间，启动、停止各个采集模型。</w:t>
            </w:r>
          </w:p>
          <w:p>
            <w:pPr>
              <w:rPr>
                <w:rFonts w:ascii="仿宋" w:hAnsi="仿宋" w:eastAsia="仿宋" w:cs="仿宋"/>
                <w:sz w:val="24"/>
                <w:szCs w:val="24"/>
              </w:rPr>
            </w:pPr>
            <w:r>
              <w:rPr>
                <w:rFonts w:hint="eastAsia" w:ascii="仿宋" w:hAnsi="仿宋" w:eastAsia="仿宋" w:cs="仿宋"/>
                <w:sz w:val="24"/>
                <w:szCs w:val="24"/>
              </w:rPr>
              <w:t>2）设置医院各个业务系统的采集数据库链接。</w:t>
            </w:r>
          </w:p>
          <w:p>
            <w:pPr>
              <w:rPr>
                <w:rFonts w:ascii="仿宋" w:hAnsi="仿宋" w:eastAsia="仿宋" w:cs="仿宋"/>
                <w:sz w:val="24"/>
                <w:szCs w:val="24"/>
              </w:rPr>
            </w:pPr>
            <w:r>
              <w:rPr>
                <w:rFonts w:hint="eastAsia" w:ascii="仿宋" w:hAnsi="仿宋" w:eastAsia="仿宋" w:cs="仿宋"/>
                <w:sz w:val="24"/>
                <w:szCs w:val="24"/>
              </w:rPr>
              <w:t>3）数据抽取过程支持断点抽取、增量抽取、完全抽取等抽取策略。</w:t>
            </w:r>
          </w:p>
          <w:p>
            <w:pPr>
              <w:pStyle w:val="104"/>
              <w:wordWrap/>
              <w:spacing w:line="360" w:lineRule="auto"/>
              <w:rPr>
                <w:rFonts w:ascii="仿宋" w:hAnsi="仿宋" w:eastAsia="仿宋" w:cs="仿宋"/>
                <w:szCs w:val="24"/>
                <w:lang w:bidi="zh-TW"/>
              </w:rPr>
            </w:pPr>
            <w:r>
              <w:rPr>
                <w:rFonts w:hint="eastAsia" w:ascii="仿宋" w:hAnsi="仿宋" w:eastAsia="仿宋" w:cs="仿宋"/>
                <w:szCs w:val="24"/>
              </w:rPr>
              <w:t>4）数据接口：支持常见的数据源，包括但不限于SQL server ，Oracle，Informix，MYSQL,SAS，Text，Excel，国产数据库等，用户自定义文件，FTP，XML，Message Queue，Email，Weblog，OleDB，其它；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pStyle w:val="104"/>
              <w:wordWrap/>
              <w:spacing w:line="360" w:lineRule="auto"/>
              <w:jc w:val="center"/>
              <w:rPr>
                <w:rFonts w:ascii="仿宋" w:hAnsi="仿宋" w:eastAsia="仿宋" w:cs="仿宋"/>
                <w:szCs w:val="24"/>
                <w:lang w:bidi="zh-TW"/>
              </w:rPr>
            </w:pPr>
          </w:p>
          <w:p>
            <w:pPr>
              <w:pStyle w:val="104"/>
              <w:wordWrap/>
              <w:spacing w:line="360" w:lineRule="auto"/>
              <w:jc w:val="center"/>
              <w:rPr>
                <w:rFonts w:ascii="仿宋" w:hAnsi="仿宋" w:eastAsia="仿宋" w:cs="仿宋"/>
                <w:szCs w:val="24"/>
                <w:lang w:bidi="zh-TW"/>
              </w:rPr>
            </w:pPr>
          </w:p>
          <w:p>
            <w:pPr>
              <w:pStyle w:val="104"/>
              <w:wordWrap/>
              <w:spacing w:line="360" w:lineRule="auto"/>
              <w:jc w:val="center"/>
              <w:rPr>
                <w:rFonts w:ascii="仿宋" w:hAnsi="仿宋" w:eastAsia="仿宋" w:cs="仿宋"/>
                <w:szCs w:val="24"/>
                <w:lang w:bidi="zh-TW"/>
              </w:rPr>
            </w:pPr>
            <w:r>
              <w:rPr>
                <w:rFonts w:hint="eastAsia" w:ascii="仿宋" w:hAnsi="仿宋" w:eastAsia="仿宋" w:cs="仿宋"/>
                <w:szCs w:val="24"/>
                <w:lang w:bidi="zh-TW"/>
              </w:rPr>
              <w:t>数据清洗</w:t>
            </w:r>
          </w:p>
        </w:tc>
        <w:tc>
          <w:tcPr>
            <w:tcW w:w="7229" w:type="dxa"/>
          </w:tcPr>
          <w:p>
            <w:pPr>
              <w:rPr>
                <w:rFonts w:ascii="仿宋" w:hAnsi="仿宋" w:eastAsia="仿宋" w:cs="仿宋"/>
                <w:sz w:val="24"/>
                <w:szCs w:val="24"/>
              </w:rPr>
            </w:pPr>
            <w:r>
              <w:rPr>
                <w:rFonts w:hint="eastAsia" w:ascii="仿宋" w:hAnsi="仿宋" w:eastAsia="仿宋" w:cs="仿宋"/>
                <w:sz w:val="24"/>
                <w:szCs w:val="24"/>
              </w:rPr>
              <w:t>1）对常用的数据转换功能有现成的功能模块支持，无需人工编程实现。拥有丰富的数据转换功能，能满足不同业务需求进行数据转换。提供丰富的据清洗函数，可以根据音近、字符排列等模式进行自动的数字清洗。数据转换和清洗逻辑支持在ETL服务器上运行，而不是在数据库端运行，减少对数据库的压力；</w:t>
            </w:r>
          </w:p>
          <w:p>
            <w:pPr>
              <w:rPr>
                <w:rFonts w:ascii="仿宋" w:hAnsi="仿宋" w:eastAsia="仿宋" w:cs="仿宋"/>
                <w:sz w:val="24"/>
                <w:szCs w:val="24"/>
              </w:rPr>
            </w:pPr>
            <w:r>
              <w:rPr>
                <w:rFonts w:hint="eastAsia" w:ascii="仿宋" w:hAnsi="仿宋" w:eastAsia="仿宋" w:cs="仿宋"/>
                <w:sz w:val="24"/>
                <w:szCs w:val="24"/>
              </w:rPr>
              <w:t>2）系统内置互联互通标准规则知识库，并能通过可视化界面完成规则的维护。同时平台数据、数据集和CDA数据之间的规则保持一致性，同一字段，只需一次维护，即可通用。按照数据标准化要求，在数据清洗过程中，与主数据一体化操作，完成数据从院标到国标的标准化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pStyle w:val="104"/>
              <w:wordWrap/>
              <w:spacing w:line="360" w:lineRule="auto"/>
              <w:jc w:val="center"/>
              <w:rPr>
                <w:rFonts w:ascii="仿宋" w:hAnsi="仿宋" w:eastAsia="仿宋" w:cs="仿宋"/>
                <w:szCs w:val="24"/>
                <w:lang w:bidi="zh-TW"/>
              </w:rPr>
            </w:pPr>
            <w:r>
              <w:rPr>
                <w:rFonts w:hint="eastAsia" w:ascii="仿宋" w:hAnsi="仿宋" w:eastAsia="仿宋" w:cs="仿宋"/>
                <w:szCs w:val="24"/>
                <w:lang w:bidi="zh-TW"/>
              </w:rPr>
              <w:t>数据集</w:t>
            </w:r>
          </w:p>
          <w:p>
            <w:pPr>
              <w:pStyle w:val="104"/>
              <w:wordWrap/>
              <w:spacing w:line="360" w:lineRule="auto"/>
              <w:jc w:val="center"/>
              <w:rPr>
                <w:rFonts w:ascii="仿宋" w:hAnsi="仿宋" w:eastAsia="仿宋" w:cs="仿宋"/>
                <w:szCs w:val="24"/>
                <w:lang w:bidi="zh-TW"/>
              </w:rPr>
            </w:pPr>
            <w:r>
              <w:rPr>
                <w:rFonts w:hint="eastAsia" w:ascii="仿宋" w:hAnsi="仿宋" w:eastAsia="仿宋" w:cs="仿宋"/>
                <w:szCs w:val="24"/>
                <w:lang w:bidi="zh-TW"/>
              </w:rPr>
              <w:t>管理</w:t>
            </w:r>
          </w:p>
        </w:tc>
        <w:tc>
          <w:tcPr>
            <w:tcW w:w="7229" w:type="dxa"/>
          </w:tcPr>
          <w:p>
            <w:pPr>
              <w:rPr>
                <w:rFonts w:ascii="仿宋" w:hAnsi="仿宋" w:eastAsia="仿宋" w:cs="仿宋"/>
                <w:sz w:val="24"/>
                <w:szCs w:val="24"/>
              </w:rPr>
            </w:pPr>
            <w:r>
              <w:rPr>
                <w:rFonts w:hint="eastAsia" w:ascii="仿宋" w:hAnsi="仿宋" w:eastAsia="仿宋" w:cs="仿宋"/>
                <w:sz w:val="24"/>
                <w:szCs w:val="24"/>
              </w:rPr>
              <w:t>根据国家标准，内置数据集模板，自动实现数据集的生成和组装。数据集调阅：提供数据集内容的界面浏览功能。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pStyle w:val="104"/>
              <w:wordWrap/>
              <w:spacing w:line="360" w:lineRule="auto"/>
              <w:jc w:val="center"/>
              <w:rPr>
                <w:rFonts w:ascii="仿宋" w:hAnsi="仿宋" w:eastAsia="仿宋" w:cs="仿宋"/>
                <w:szCs w:val="24"/>
                <w:lang w:bidi="zh-TW"/>
              </w:rPr>
            </w:pPr>
            <w:r>
              <w:rPr>
                <w:rFonts w:hint="eastAsia" w:ascii="仿宋" w:hAnsi="仿宋" w:eastAsia="仿宋" w:cs="仿宋"/>
                <w:szCs w:val="24"/>
                <w:lang w:bidi="zh-TW"/>
              </w:rPr>
              <w:t>数据存储</w:t>
            </w:r>
          </w:p>
        </w:tc>
        <w:tc>
          <w:tcPr>
            <w:tcW w:w="7229" w:type="dxa"/>
          </w:tcPr>
          <w:p>
            <w:pPr>
              <w:pStyle w:val="104"/>
              <w:wordWrap/>
              <w:spacing w:line="360" w:lineRule="auto"/>
              <w:rPr>
                <w:rFonts w:ascii="仿宋" w:hAnsi="仿宋" w:eastAsia="仿宋" w:cs="仿宋"/>
                <w:szCs w:val="24"/>
                <w:lang w:bidi="en-US"/>
              </w:rPr>
            </w:pPr>
            <w:r>
              <w:rPr>
                <w:rFonts w:hint="eastAsia" w:ascii="仿宋" w:hAnsi="仿宋" w:eastAsia="仿宋" w:cs="仿宋"/>
                <w:szCs w:val="24"/>
                <w:lang w:bidi="en-US"/>
              </w:rPr>
              <w:t>数据处理过程中将提供以患者为中心的统一视图的实时数据库。它通过受控医学词汇表（CMV）保证所有人对临床数据语义理解的一致，以提高 CDR 的数据质量。在CDR中，诊疗数据是围绕患者为中心进行组织的，临床用户可以从多个角度查询、浏览和分析数据，其中的诊疗数据一般包括：</w:t>
            </w:r>
          </w:p>
          <w:p>
            <w:pPr>
              <w:pStyle w:val="104"/>
              <w:wordWrap/>
              <w:spacing w:line="360" w:lineRule="auto"/>
              <w:rPr>
                <w:rFonts w:ascii="仿宋" w:hAnsi="仿宋" w:eastAsia="仿宋" w:cs="仿宋"/>
                <w:szCs w:val="24"/>
                <w:lang w:bidi="en-US"/>
              </w:rPr>
            </w:pPr>
            <w:r>
              <w:rPr>
                <w:rFonts w:hint="eastAsia" w:ascii="仿宋" w:hAnsi="仿宋" w:eastAsia="仿宋" w:cs="仿宋"/>
                <w:szCs w:val="24"/>
                <w:lang w:bidi="en-US"/>
              </w:rPr>
              <w:t>•</w:t>
            </w:r>
            <w:r>
              <w:rPr>
                <w:rFonts w:hint="eastAsia" w:ascii="仿宋" w:hAnsi="仿宋" w:eastAsia="仿宋" w:cs="仿宋"/>
                <w:szCs w:val="24"/>
                <w:lang w:bidi="en-US"/>
              </w:rPr>
              <w:tab/>
            </w:r>
            <w:r>
              <w:rPr>
                <w:rFonts w:hint="eastAsia" w:ascii="仿宋" w:hAnsi="仿宋" w:eastAsia="仿宋" w:cs="仿宋"/>
                <w:szCs w:val="24"/>
                <w:lang w:bidi="en-US"/>
              </w:rPr>
              <w:t>患者基本信息</w:t>
            </w:r>
          </w:p>
          <w:p>
            <w:pPr>
              <w:pStyle w:val="104"/>
              <w:wordWrap/>
              <w:spacing w:line="360" w:lineRule="auto"/>
              <w:rPr>
                <w:rFonts w:ascii="仿宋" w:hAnsi="仿宋" w:eastAsia="仿宋" w:cs="仿宋"/>
                <w:szCs w:val="24"/>
                <w:lang w:bidi="en-US"/>
              </w:rPr>
            </w:pPr>
            <w:r>
              <w:rPr>
                <w:rFonts w:hint="eastAsia" w:ascii="仿宋" w:hAnsi="仿宋" w:eastAsia="仿宋" w:cs="仿宋"/>
                <w:szCs w:val="24"/>
                <w:lang w:bidi="en-US"/>
              </w:rPr>
              <w:t>•</w:t>
            </w:r>
            <w:r>
              <w:rPr>
                <w:rFonts w:hint="eastAsia" w:ascii="仿宋" w:hAnsi="仿宋" w:eastAsia="仿宋" w:cs="仿宋"/>
                <w:szCs w:val="24"/>
                <w:lang w:bidi="en-US"/>
              </w:rPr>
              <w:tab/>
            </w:r>
            <w:r>
              <w:rPr>
                <w:rFonts w:hint="eastAsia" w:ascii="仿宋" w:hAnsi="仿宋" w:eastAsia="仿宋" w:cs="仿宋"/>
                <w:szCs w:val="24"/>
                <w:lang w:bidi="en-US"/>
              </w:rPr>
              <w:t>历次就诊病史</w:t>
            </w:r>
          </w:p>
          <w:p>
            <w:pPr>
              <w:pStyle w:val="104"/>
              <w:wordWrap/>
              <w:spacing w:line="360" w:lineRule="auto"/>
              <w:rPr>
                <w:rFonts w:ascii="仿宋" w:hAnsi="仿宋" w:eastAsia="仿宋" w:cs="仿宋"/>
                <w:szCs w:val="24"/>
                <w:lang w:bidi="en-US"/>
              </w:rPr>
            </w:pPr>
            <w:r>
              <w:rPr>
                <w:rFonts w:hint="eastAsia" w:ascii="仿宋" w:hAnsi="仿宋" w:eastAsia="仿宋" w:cs="仿宋"/>
                <w:szCs w:val="24"/>
                <w:lang w:bidi="en-US"/>
              </w:rPr>
              <w:t>•</w:t>
            </w:r>
            <w:r>
              <w:rPr>
                <w:rFonts w:hint="eastAsia" w:ascii="仿宋" w:hAnsi="仿宋" w:eastAsia="仿宋" w:cs="仿宋"/>
                <w:szCs w:val="24"/>
                <w:lang w:bidi="en-US"/>
              </w:rPr>
              <w:tab/>
            </w:r>
            <w:r>
              <w:rPr>
                <w:rFonts w:hint="eastAsia" w:ascii="仿宋" w:hAnsi="仿宋" w:eastAsia="仿宋" w:cs="仿宋"/>
                <w:szCs w:val="24"/>
                <w:lang w:bidi="en-US"/>
              </w:rPr>
              <w:t>门急诊和住院诊断</w:t>
            </w:r>
          </w:p>
          <w:p>
            <w:pPr>
              <w:pStyle w:val="104"/>
              <w:wordWrap/>
              <w:spacing w:line="360" w:lineRule="auto"/>
              <w:rPr>
                <w:rFonts w:ascii="仿宋" w:hAnsi="仿宋" w:eastAsia="仿宋" w:cs="仿宋"/>
                <w:szCs w:val="24"/>
                <w:lang w:bidi="en-US"/>
              </w:rPr>
            </w:pPr>
            <w:r>
              <w:rPr>
                <w:rFonts w:hint="eastAsia" w:ascii="仿宋" w:hAnsi="仿宋" w:eastAsia="仿宋" w:cs="仿宋"/>
                <w:szCs w:val="24"/>
                <w:lang w:bidi="en-US"/>
              </w:rPr>
              <w:t>•</w:t>
            </w:r>
            <w:r>
              <w:rPr>
                <w:rFonts w:hint="eastAsia" w:ascii="仿宋" w:hAnsi="仿宋" w:eastAsia="仿宋" w:cs="仿宋"/>
                <w:szCs w:val="24"/>
                <w:lang w:bidi="en-US"/>
              </w:rPr>
              <w:tab/>
            </w:r>
            <w:r>
              <w:rPr>
                <w:rFonts w:hint="eastAsia" w:ascii="仿宋" w:hAnsi="仿宋" w:eastAsia="仿宋" w:cs="仿宋"/>
                <w:szCs w:val="24"/>
                <w:lang w:bidi="en-US"/>
              </w:rPr>
              <w:t>处方信息</w:t>
            </w:r>
          </w:p>
          <w:p>
            <w:pPr>
              <w:pStyle w:val="104"/>
              <w:wordWrap/>
              <w:spacing w:line="360" w:lineRule="auto"/>
              <w:rPr>
                <w:rFonts w:ascii="仿宋" w:hAnsi="仿宋" w:eastAsia="仿宋" w:cs="仿宋"/>
                <w:szCs w:val="24"/>
                <w:lang w:bidi="en-US"/>
              </w:rPr>
            </w:pPr>
            <w:r>
              <w:rPr>
                <w:rFonts w:hint="eastAsia" w:ascii="仿宋" w:hAnsi="仿宋" w:eastAsia="仿宋" w:cs="仿宋"/>
                <w:szCs w:val="24"/>
                <w:lang w:bidi="en-US"/>
              </w:rPr>
              <w:t>•</w:t>
            </w:r>
            <w:r>
              <w:rPr>
                <w:rFonts w:hint="eastAsia" w:ascii="仿宋" w:hAnsi="仿宋" w:eastAsia="仿宋" w:cs="仿宋"/>
                <w:szCs w:val="24"/>
                <w:lang w:bidi="en-US"/>
              </w:rPr>
              <w:tab/>
            </w:r>
            <w:r>
              <w:rPr>
                <w:rFonts w:hint="eastAsia" w:ascii="仿宋" w:hAnsi="仿宋" w:eastAsia="仿宋" w:cs="仿宋"/>
                <w:szCs w:val="24"/>
                <w:lang w:bidi="en-US"/>
              </w:rPr>
              <w:t>检验结果</w:t>
            </w:r>
          </w:p>
          <w:p>
            <w:pPr>
              <w:pStyle w:val="104"/>
              <w:wordWrap/>
              <w:spacing w:line="360" w:lineRule="auto"/>
              <w:rPr>
                <w:rFonts w:ascii="仿宋" w:hAnsi="仿宋" w:eastAsia="仿宋" w:cs="仿宋"/>
                <w:szCs w:val="24"/>
                <w:lang w:bidi="en-US"/>
              </w:rPr>
            </w:pPr>
            <w:r>
              <w:rPr>
                <w:rFonts w:hint="eastAsia" w:ascii="仿宋" w:hAnsi="仿宋" w:eastAsia="仿宋" w:cs="仿宋"/>
                <w:szCs w:val="24"/>
                <w:lang w:bidi="en-US"/>
              </w:rPr>
              <w:t>•</w:t>
            </w:r>
            <w:r>
              <w:rPr>
                <w:rFonts w:hint="eastAsia" w:ascii="仿宋" w:hAnsi="仿宋" w:eastAsia="仿宋" w:cs="仿宋"/>
                <w:szCs w:val="24"/>
                <w:lang w:bidi="en-US"/>
              </w:rPr>
              <w:tab/>
            </w:r>
            <w:r>
              <w:rPr>
                <w:rFonts w:hint="eastAsia" w:ascii="仿宋" w:hAnsi="仿宋" w:eastAsia="仿宋" w:cs="仿宋"/>
                <w:szCs w:val="24"/>
                <w:lang w:bidi="en-US"/>
              </w:rPr>
              <w:t>放射/超声/病理/内镜检查报告</w:t>
            </w:r>
          </w:p>
          <w:p>
            <w:pPr>
              <w:pStyle w:val="104"/>
              <w:wordWrap/>
              <w:spacing w:line="360" w:lineRule="auto"/>
              <w:rPr>
                <w:rFonts w:ascii="仿宋" w:hAnsi="仿宋" w:eastAsia="仿宋" w:cs="仿宋"/>
                <w:szCs w:val="24"/>
                <w:lang w:bidi="en-US"/>
              </w:rPr>
            </w:pPr>
            <w:r>
              <w:rPr>
                <w:rFonts w:hint="eastAsia" w:ascii="仿宋" w:hAnsi="仿宋" w:eastAsia="仿宋" w:cs="仿宋"/>
                <w:szCs w:val="24"/>
                <w:lang w:bidi="en-US"/>
              </w:rPr>
              <w:t>•</w:t>
            </w:r>
            <w:r>
              <w:rPr>
                <w:rFonts w:hint="eastAsia" w:ascii="仿宋" w:hAnsi="仿宋" w:eastAsia="仿宋" w:cs="仿宋"/>
                <w:szCs w:val="24"/>
                <w:lang w:bidi="en-US"/>
              </w:rPr>
              <w:tab/>
            </w:r>
            <w:r>
              <w:rPr>
                <w:rFonts w:hint="eastAsia" w:ascii="仿宋" w:hAnsi="仿宋" w:eastAsia="仿宋" w:cs="仿宋"/>
                <w:szCs w:val="24"/>
                <w:lang w:bidi="en-US"/>
              </w:rPr>
              <w:t>医学影像</w:t>
            </w:r>
          </w:p>
          <w:p>
            <w:pPr>
              <w:pStyle w:val="104"/>
              <w:wordWrap/>
              <w:spacing w:line="360" w:lineRule="auto"/>
              <w:rPr>
                <w:rFonts w:ascii="仿宋" w:hAnsi="仿宋" w:eastAsia="仿宋" w:cs="仿宋"/>
                <w:szCs w:val="24"/>
                <w:lang w:bidi="en-US"/>
              </w:rPr>
            </w:pPr>
            <w:r>
              <w:rPr>
                <w:rFonts w:hint="eastAsia" w:ascii="仿宋" w:hAnsi="仿宋" w:eastAsia="仿宋" w:cs="仿宋"/>
                <w:szCs w:val="24"/>
                <w:lang w:bidi="en-US"/>
              </w:rPr>
              <w:t>•</w:t>
            </w:r>
            <w:r>
              <w:rPr>
                <w:rFonts w:hint="eastAsia" w:ascii="仿宋" w:hAnsi="仿宋" w:eastAsia="仿宋" w:cs="仿宋"/>
                <w:szCs w:val="24"/>
                <w:lang w:bidi="en-US"/>
              </w:rPr>
              <w:tab/>
            </w:r>
            <w:r>
              <w:rPr>
                <w:rFonts w:hint="eastAsia" w:ascii="仿宋" w:hAnsi="仿宋" w:eastAsia="仿宋" w:cs="仿宋"/>
                <w:szCs w:val="24"/>
                <w:lang w:bidi="en-US"/>
              </w:rPr>
              <w:t>费用信息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pStyle w:val="104"/>
              <w:wordWrap/>
              <w:spacing w:line="360" w:lineRule="auto"/>
              <w:jc w:val="center"/>
              <w:rPr>
                <w:rFonts w:ascii="仿宋" w:hAnsi="仿宋" w:eastAsia="仿宋" w:cs="仿宋"/>
                <w:szCs w:val="24"/>
              </w:rPr>
            </w:pPr>
          </w:p>
          <w:p>
            <w:pPr>
              <w:pStyle w:val="104"/>
              <w:wordWrap/>
              <w:spacing w:line="360" w:lineRule="auto"/>
              <w:jc w:val="center"/>
              <w:rPr>
                <w:rFonts w:ascii="仿宋" w:hAnsi="仿宋" w:eastAsia="仿宋" w:cs="仿宋"/>
                <w:szCs w:val="24"/>
              </w:rPr>
            </w:pPr>
          </w:p>
          <w:p>
            <w:pPr>
              <w:pStyle w:val="104"/>
              <w:wordWrap/>
              <w:spacing w:line="360" w:lineRule="auto"/>
              <w:jc w:val="center"/>
              <w:rPr>
                <w:rFonts w:ascii="仿宋" w:hAnsi="仿宋" w:eastAsia="仿宋" w:cs="仿宋"/>
                <w:szCs w:val="24"/>
              </w:rPr>
            </w:pPr>
          </w:p>
          <w:p>
            <w:pPr>
              <w:pStyle w:val="104"/>
              <w:wordWrap/>
              <w:spacing w:line="360" w:lineRule="auto"/>
              <w:jc w:val="center"/>
              <w:rPr>
                <w:rFonts w:ascii="仿宋" w:hAnsi="仿宋" w:eastAsia="仿宋" w:cs="仿宋"/>
                <w:szCs w:val="24"/>
              </w:rPr>
            </w:pPr>
            <w:r>
              <w:rPr>
                <w:rFonts w:hint="eastAsia" w:ascii="仿宋" w:hAnsi="仿宋" w:eastAsia="仿宋" w:cs="仿宋"/>
                <w:szCs w:val="24"/>
              </w:rPr>
              <w:t>数据采</w:t>
            </w:r>
          </w:p>
          <w:p>
            <w:pPr>
              <w:pStyle w:val="104"/>
              <w:wordWrap/>
              <w:spacing w:line="360" w:lineRule="auto"/>
              <w:jc w:val="center"/>
              <w:rPr>
                <w:rFonts w:ascii="仿宋" w:hAnsi="仿宋" w:eastAsia="仿宋" w:cs="仿宋"/>
                <w:szCs w:val="24"/>
                <w:lang w:bidi="zh-TW"/>
              </w:rPr>
            </w:pPr>
            <w:r>
              <w:rPr>
                <w:rFonts w:hint="eastAsia" w:ascii="仿宋" w:hAnsi="仿宋" w:eastAsia="仿宋" w:cs="仿宋"/>
                <w:szCs w:val="24"/>
              </w:rPr>
              <w:t>集监控</w:t>
            </w:r>
          </w:p>
        </w:tc>
        <w:tc>
          <w:tcPr>
            <w:tcW w:w="7229" w:type="dxa"/>
          </w:tcPr>
          <w:p>
            <w:pPr>
              <w:rPr>
                <w:rFonts w:ascii="仿宋" w:hAnsi="仿宋" w:eastAsia="仿宋" w:cs="仿宋"/>
                <w:sz w:val="24"/>
                <w:szCs w:val="24"/>
              </w:rPr>
            </w:pPr>
            <w:r>
              <w:rPr>
                <w:rFonts w:hint="eastAsia" w:ascii="仿宋" w:hAnsi="仿宋" w:eastAsia="仿宋" w:cs="仿宋"/>
                <w:sz w:val="24"/>
                <w:szCs w:val="24"/>
              </w:rPr>
              <w:t>1）对数据的采集过程进行监控，数据采集成功、失败明细情况监控，对失败的数据采用重新采集，控制整体数据采集质量，并根据数据采集监控结果完善数据采集配置方案；</w:t>
            </w:r>
          </w:p>
          <w:p>
            <w:pPr>
              <w:pStyle w:val="104"/>
              <w:wordWrap/>
              <w:spacing w:line="360" w:lineRule="auto"/>
              <w:rPr>
                <w:rFonts w:ascii="仿宋" w:hAnsi="仿宋" w:eastAsia="仿宋" w:cs="仿宋"/>
                <w:szCs w:val="24"/>
              </w:rPr>
            </w:pPr>
            <w:r>
              <w:rPr>
                <w:rFonts w:hint="eastAsia" w:ascii="仿宋" w:hAnsi="仿宋" w:eastAsia="仿宋" w:cs="仿宋"/>
                <w:szCs w:val="24"/>
              </w:rPr>
              <w:t>2）提供完善的异常处理机制对于出现差错的workflow、session支持异常控制、错误告警、错误准确定位、错误原因判断以及错误恢复；</w:t>
            </w:r>
          </w:p>
          <w:p>
            <w:pPr>
              <w:pStyle w:val="104"/>
              <w:wordWrap/>
              <w:spacing w:line="360" w:lineRule="auto"/>
              <w:rPr>
                <w:rFonts w:ascii="仿宋" w:hAnsi="仿宋" w:eastAsia="仿宋" w:cs="仿宋"/>
                <w:szCs w:val="24"/>
              </w:rPr>
            </w:pPr>
            <w:r>
              <w:rPr>
                <w:rFonts w:hint="eastAsia" w:ascii="仿宋" w:hAnsi="仿宋" w:eastAsia="仿宋" w:cs="仿宋"/>
                <w:szCs w:val="24"/>
              </w:rPr>
              <w:t>3）提供数据校验手段，对空值、异常值能够有效处理；</w:t>
            </w:r>
          </w:p>
          <w:p>
            <w:pPr>
              <w:pStyle w:val="104"/>
              <w:wordWrap/>
              <w:spacing w:line="360" w:lineRule="auto"/>
              <w:rPr>
                <w:rFonts w:ascii="仿宋" w:hAnsi="仿宋" w:eastAsia="仿宋" w:cs="仿宋"/>
                <w:szCs w:val="24"/>
              </w:rPr>
            </w:pPr>
            <w:r>
              <w:rPr>
                <w:rFonts w:hint="eastAsia" w:ascii="仿宋" w:hAnsi="仿宋" w:eastAsia="仿宋" w:cs="仿宋"/>
                <w:szCs w:val="24"/>
              </w:rPr>
              <w:t>4）可根据异常情况进行不同的分支流程处理，即一个作业失败，可进行另外的错误流程控制进行补救；</w:t>
            </w:r>
          </w:p>
          <w:p>
            <w:pPr>
              <w:pStyle w:val="104"/>
              <w:wordWrap/>
              <w:spacing w:line="360" w:lineRule="auto"/>
              <w:rPr>
                <w:rFonts w:ascii="仿宋" w:hAnsi="仿宋" w:eastAsia="仿宋" w:cs="仿宋"/>
                <w:szCs w:val="24"/>
              </w:rPr>
            </w:pPr>
            <w:r>
              <w:rPr>
                <w:rFonts w:hint="eastAsia" w:ascii="仿宋" w:hAnsi="仿宋" w:eastAsia="仿宋" w:cs="仿宋"/>
                <w:szCs w:val="24"/>
              </w:rPr>
              <w:t>5）提供专门的错误控制选项，可根据不同的错误情况进行设定，什么样的错误级别产生什么样的状态，进而执行什么样的操作；</w:t>
            </w:r>
          </w:p>
          <w:p>
            <w:pPr>
              <w:pStyle w:val="104"/>
              <w:wordWrap/>
              <w:spacing w:line="360" w:lineRule="auto"/>
              <w:rPr>
                <w:rFonts w:ascii="仿宋" w:hAnsi="仿宋" w:eastAsia="仿宋" w:cs="仿宋"/>
                <w:szCs w:val="24"/>
                <w:lang w:bidi="en-US"/>
              </w:rPr>
            </w:pPr>
            <w:r>
              <w:rPr>
                <w:rFonts w:hint="eastAsia" w:ascii="仿宋" w:hAnsi="仿宋" w:eastAsia="仿宋" w:cs="仿宋"/>
                <w:szCs w:val="24"/>
              </w:rPr>
              <w:t>6）支持校验点和断点恢复功能。</w:t>
            </w:r>
          </w:p>
        </w:tc>
      </w:tr>
    </w:tbl>
    <w:p>
      <w:pPr>
        <w:pStyle w:val="5"/>
        <w:keepLines/>
        <w:spacing w:line="360" w:lineRule="auto"/>
        <w:ind w:firstLine="482" w:firstLineChars="200"/>
        <w:rPr>
          <w:rFonts w:ascii="仿宋" w:hAnsi="仿宋" w:eastAsia="仿宋" w:cs="仿宋"/>
          <w:sz w:val="24"/>
          <w:szCs w:val="24"/>
        </w:rPr>
      </w:pPr>
      <w:bookmarkStart w:id="393" w:name="_Toc17966"/>
      <w:r>
        <w:rPr>
          <w:rFonts w:hint="eastAsia" w:ascii="仿宋" w:hAnsi="仿宋" w:eastAsia="仿宋" w:cs="仿宋"/>
          <w:sz w:val="24"/>
          <w:szCs w:val="24"/>
        </w:rPr>
        <w:t>3、临床大数据中心CDR</w:t>
      </w:r>
      <w:bookmarkEnd w:id="393"/>
    </w:p>
    <w:p>
      <w:pPr>
        <w:spacing w:line="360" w:lineRule="auto"/>
        <w:ind w:firstLine="480"/>
        <w:rPr>
          <w:rFonts w:ascii="仿宋" w:hAnsi="仿宋" w:eastAsia="仿宋" w:cs="仿宋"/>
          <w:sz w:val="24"/>
          <w:szCs w:val="24"/>
        </w:rPr>
      </w:pPr>
      <w:r>
        <w:rPr>
          <w:rFonts w:hint="eastAsia" w:ascii="仿宋" w:hAnsi="仿宋" w:eastAsia="仿宋" w:cs="仿宋"/>
          <w:color w:val="000000"/>
          <w:kern w:val="0"/>
          <w:sz w:val="24"/>
          <w:szCs w:val="24"/>
        </w:rPr>
        <w:t>集成现有医院的临床业务数据，构建包含运营、临床、质量的医院级数据中心及配套服务。具体功能要求如下：</w:t>
      </w:r>
    </w:p>
    <w:p>
      <w:pPr>
        <w:pStyle w:val="102"/>
        <w:numPr>
          <w:ilvl w:val="0"/>
          <w:numId w:val="12"/>
        </w:numPr>
        <w:spacing w:line="360" w:lineRule="auto"/>
        <w:ind w:left="0" w:firstLine="480"/>
        <w:rPr>
          <w:rFonts w:ascii="仿宋" w:hAnsi="仿宋" w:eastAsia="仿宋" w:cs="仿宋"/>
          <w:bCs/>
          <w:sz w:val="24"/>
          <w:szCs w:val="24"/>
        </w:rPr>
      </w:pPr>
      <w:r>
        <w:rPr>
          <w:rFonts w:hint="eastAsia" w:ascii="仿宋" w:hAnsi="仿宋" w:eastAsia="仿宋" w:cs="仿宋"/>
          <w:bCs/>
          <w:sz w:val="24"/>
          <w:szCs w:val="24"/>
        </w:rPr>
        <w:t>结合国家卫健委的相关标准，以及医院数据源的实际质量，设计CDR数据仓库，包括数据对象、对象之间的关联关系、采用的数据标准、和业务数据的映射关系等。</w:t>
      </w:r>
    </w:p>
    <w:p>
      <w:pPr>
        <w:pStyle w:val="102"/>
        <w:numPr>
          <w:ilvl w:val="0"/>
          <w:numId w:val="12"/>
        </w:numPr>
        <w:spacing w:line="360" w:lineRule="auto"/>
        <w:ind w:left="0" w:firstLine="480"/>
        <w:rPr>
          <w:rFonts w:ascii="仿宋" w:hAnsi="仿宋" w:eastAsia="仿宋" w:cs="仿宋"/>
          <w:bCs/>
          <w:sz w:val="24"/>
          <w:szCs w:val="24"/>
        </w:rPr>
      </w:pPr>
      <w:r>
        <w:rPr>
          <w:rFonts w:hint="eastAsia" w:ascii="仿宋" w:hAnsi="仿宋" w:eastAsia="仿宋" w:cs="仿宋"/>
          <w:bCs/>
          <w:sz w:val="24"/>
          <w:szCs w:val="24"/>
        </w:rPr>
        <w:t>通过临床数据中心（CDR）平台建设，逐步形成医院的数据标准与规范，包括数据共享接口规范、临床数据集规范、管理运营数据集规范、数据获取规范、数据对外发布规范等等，使得未来引进和建设新的IT系统变得有章可依。</w:t>
      </w:r>
    </w:p>
    <w:p>
      <w:pPr>
        <w:pStyle w:val="102"/>
        <w:numPr>
          <w:ilvl w:val="0"/>
          <w:numId w:val="12"/>
        </w:numPr>
        <w:spacing w:line="360" w:lineRule="auto"/>
        <w:ind w:left="0" w:firstLine="480"/>
        <w:rPr>
          <w:rFonts w:ascii="仿宋" w:hAnsi="仿宋" w:eastAsia="仿宋" w:cs="仿宋"/>
          <w:bCs/>
          <w:sz w:val="24"/>
          <w:szCs w:val="24"/>
        </w:rPr>
      </w:pPr>
      <w:r>
        <w:rPr>
          <w:rFonts w:hint="eastAsia" w:ascii="仿宋" w:hAnsi="仿宋" w:eastAsia="仿宋" w:cs="仿宋"/>
          <w:bCs/>
          <w:sz w:val="24"/>
          <w:szCs w:val="24"/>
        </w:rPr>
        <w:t>临床数据中心（CDR）平台应具有高度的可扩展性，采用面向服务架构（SOA）设计，为未来各种业务系统的接入提供了极具弹性的扩展平台：</w:t>
      </w:r>
    </w:p>
    <w:p>
      <w:pPr>
        <w:pStyle w:val="102"/>
        <w:numPr>
          <w:ilvl w:val="0"/>
          <w:numId w:val="12"/>
        </w:numPr>
        <w:spacing w:line="360" w:lineRule="auto"/>
        <w:ind w:left="0" w:firstLine="480"/>
        <w:rPr>
          <w:rFonts w:ascii="仿宋" w:hAnsi="仿宋" w:eastAsia="仿宋" w:cs="仿宋"/>
          <w:bCs/>
          <w:sz w:val="24"/>
          <w:szCs w:val="24"/>
        </w:rPr>
      </w:pPr>
      <w:r>
        <w:rPr>
          <w:rFonts w:hint="eastAsia" w:ascii="仿宋" w:hAnsi="仿宋" w:eastAsia="仿宋" w:cs="仿宋"/>
          <w:bCs/>
          <w:sz w:val="24"/>
          <w:szCs w:val="24"/>
        </w:rPr>
        <w:t>CDR应对数据资产提供持续性保护，数据利用不受业务系统的更换影响。支持医院在系统供应商的选择和使用时，掌握完全的主动，不影响数据中心的数据汇聚。</w:t>
      </w:r>
    </w:p>
    <w:p>
      <w:pPr>
        <w:pStyle w:val="102"/>
        <w:numPr>
          <w:ilvl w:val="0"/>
          <w:numId w:val="12"/>
        </w:numPr>
        <w:spacing w:line="360" w:lineRule="auto"/>
        <w:ind w:left="0" w:firstLine="480"/>
        <w:rPr>
          <w:rFonts w:ascii="仿宋" w:hAnsi="仿宋" w:eastAsia="仿宋" w:cs="仿宋"/>
          <w:bCs/>
          <w:sz w:val="24"/>
          <w:szCs w:val="24"/>
        </w:rPr>
      </w:pPr>
      <w:r>
        <w:rPr>
          <w:rFonts w:hint="eastAsia" w:ascii="仿宋" w:hAnsi="仿宋" w:eastAsia="仿宋" w:cs="仿宋"/>
          <w:bCs/>
          <w:sz w:val="24"/>
          <w:szCs w:val="24"/>
        </w:rPr>
        <w:t>CDR应支持医院在系统供应商的选择和使用时，掌握完全的主动，不影响数据中心的数据汇聚。</w:t>
      </w:r>
    </w:p>
    <w:p>
      <w:pPr>
        <w:pStyle w:val="102"/>
        <w:numPr>
          <w:ilvl w:val="0"/>
          <w:numId w:val="12"/>
        </w:numPr>
        <w:spacing w:line="360" w:lineRule="auto"/>
        <w:ind w:left="0" w:firstLine="480"/>
        <w:rPr>
          <w:rFonts w:ascii="仿宋" w:hAnsi="仿宋" w:eastAsia="仿宋" w:cs="仿宋"/>
          <w:sz w:val="24"/>
          <w:szCs w:val="24"/>
        </w:rPr>
      </w:pPr>
      <w:r>
        <w:rPr>
          <w:rFonts w:hint="eastAsia" w:ascii="仿宋" w:hAnsi="仿宋" w:eastAsia="仿宋" w:cs="仿宋"/>
          <w:bCs/>
          <w:sz w:val="24"/>
          <w:szCs w:val="24"/>
        </w:rPr>
        <w:t>CDR应具有可自定义视图的功能：在需要时可随时为用户展示关键信息。能够快速创建和修改个性化视图，通过用户自助式服务，满足全院临床、管理和科研用户的需求。</w:t>
      </w:r>
    </w:p>
    <w:p>
      <w:pPr>
        <w:numPr>
          <w:ilvl w:val="0"/>
          <w:numId w:val="12"/>
        </w:numPr>
        <w:overflowPunct w:val="0"/>
        <w:spacing w:line="360" w:lineRule="auto"/>
        <w:ind w:left="0" w:firstLine="480" w:firstLineChars="200"/>
        <w:jc w:val="left"/>
        <w:rPr>
          <w:rFonts w:ascii="仿宋" w:hAnsi="仿宋" w:eastAsia="仿宋" w:cs="仿宋"/>
          <w:kern w:val="0"/>
          <w:sz w:val="24"/>
          <w:szCs w:val="24"/>
          <w:lang w:bidi="zh-CN"/>
        </w:rPr>
      </w:pPr>
      <w:r>
        <w:rPr>
          <w:rFonts w:hint="eastAsia" w:ascii="仿宋" w:hAnsi="仿宋" w:eastAsia="仿宋" w:cs="仿宋"/>
          <w:kern w:val="0"/>
          <w:sz w:val="24"/>
          <w:szCs w:val="24"/>
          <w:lang w:bidi="zh-CN"/>
        </w:rPr>
        <w:t>接入数据范围包括但不限于以下列表中的内容：</w:t>
      </w:r>
    </w:p>
    <w:tbl>
      <w:tblPr>
        <w:tblStyle w:val="2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pStyle w:val="104"/>
              <w:wordWrap/>
              <w:spacing w:line="360" w:lineRule="auto"/>
              <w:rPr>
                <w:rFonts w:ascii="仿宋" w:hAnsi="仿宋" w:eastAsia="仿宋" w:cs="仿宋"/>
                <w:szCs w:val="24"/>
                <w:lang w:bidi="zh-TW"/>
              </w:rPr>
            </w:pPr>
            <w:r>
              <w:rPr>
                <w:rFonts w:hint="eastAsia" w:ascii="仿宋" w:hAnsi="仿宋" w:eastAsia="仿宋" w:cs="仿宋"/>
                <w:szCs w:val="24"/>
                <w:lang w:bidi="zh-TW"/>
              </w:rPr>
              <w:t>内容名称</w:t>
            </w:r>
          </w:p>
        </w:tc>
        <w:tc>
          <w:tcPr>
            <w:tcW w:w="7087" w:type="dxa"/>
          </w:tcPr>
          <w:p>
            <w:pPr>
              <w:pStyle w:val="104"/>
              <w:wordWrap/>
              <w:spacing w:line="360" w:lineRule="auto"/>
              <w:rPr>
                <w:rFonts w:ascii="仿宋" w:hAnsi="仿宋" w:eastAsia="仿宋" w:cs="仿宋"/>
                <w:szCs w:val="24"/>
                <w:lang w:bidi="zh-TW"/>
              </w:rPr>
            </w:pPr>
            <w:r>
              <w:rPr>
                <w:rFonts w:hint="eastAsia" w:ascii="仿宋" w:hAnsi="仿宋" w:eastAsia="仿宋" w:cs="仿宋"/>
                <w:szCs w:val="24"/>
                <w:lang w:bidi="zh-TW"/>
              </w:rPr>
              <w:t>详细内容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pStyle w:val="104"/>
              <w:wordWrap/>
              <w:spacing w:line="360" w:lineRule="auto"/>
              <w:rPr>
                <w:rFonts w:ascii="仿宋" w:hAnsi="仿宋" w:eastAsia="仿宋" w:cs="仿宋"/>
                <w:szCs w:val="24"/>
                <w:lang w:bidi="zh-TW"/>
              </w:rPr>
            </w:pPr>
            <w:r>
              <w:rPr>
                <w:rFonts w:hint="eastAsia" w:ascii="仿宋" w:hAnsi="仿宋" w:eastAsia="仿宋" w:cs="仿宋"/>
                <w:bCs/>
                <w:szCs w:val="24"/>
              </w:rPr>
              <w:t>患者标识</w:t>
            </w:r>
          </w:p>
        </w:tc>
        <w:tc>
          <w:tcPr>
            <w:tcW w:w="7087" w:type="dxa"/>
          </w:tcPr>
          <w:p>
            <w:pPr>
              <w:pStyle w:val="104"/>
              <w:wordWrap/>
              <w:spacing w:line="360" w:lineRule="auto"/>
              <w:rPr>
                <w:rFonts w:ascii="仿宋" w:hAnsi="仿宋" w:eastAsia="仿宋" w:cs="仿宋"/>
                <w:szCs w:val="24"/>
                <w:lang w:bidi="zh-TW"/>
              </w:rPr>
            </w:pPr>
            <w:r>
              <w:rPr>
                <w:rFonts w:hint="eastAsia" w:ascii="仿宋" w:hAnsi="仿宋" w:eastAsia="仿宋" w:cs="仿宋"/>
                <w:bCs/>
                <w:szCs w:val="24"/>
              </w:rPr>
              <w:t>对门急诊、住院患者就诊登记的患者基本信息（就诊卡号、病案号、姓名、性别、年龄、医保费用类别等）进行模型设计、运营库数据集成，实现连续性存储管理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pStyle w:val="104"/>
              <w:wordWrap/>
              <w:spacing w:line="360" w:lineRule="auto"/>
              <w:rPr>
                <w:rFonts w:ascii="仿宋" w:hAnsi="仿宋" w:eastAsia="仿宋" w:cs="仿宋"/>
                <w:szCs w:val="24"/>
                <w:lang w:bidi="zh-TW"/>
              </w:rPr>
            </w:pPr>
            <w:r>
              <w:rPr>
                <w:rFonts w:hint="eastAsia" w:ascii="仿宋" w:hAnsi="仿宋" w:eastAsia="仿宋" w:cs="仿宋"/>
                <w:bCs/>
                <w:szCs w:val="24"/>
              </w:rPr>
              <w:t>患者服务</w:t>
            </w:r>
          </w:p>
        </w:tc>
        <w:tc>
          <w:tcPr>
            <w:tcW w:w="7087" w:type="dxa"/>
          </w:tcPr>
          <w:p>
            <w:pPr>
              <w:rPr>
                <w:rFonts w:ascii="仿宋" w:hAnsi="仿宋" w:eastAsia="仿宋" w:cs="仿宋"/>
                <w:sz w:val="24"/>
                <w:szCs w:val="24"/>
              </w:rPr>
            </w:pPr>
            <w:r>
              <w:rPr>
                <w:rFonts w:hint="eastAsia" w:ascii="仿宋" w:hAnsi="仿宋" w:eastAsia="仿宋" w:cs="仿宋"/>
                <w:bCs/>
                <w:sz w:val="24"/>
                <w:szCs w:val="24"/>
              </w:rPr>
              <w:t>对门急诊、住院患者的就诊信息（挂号方式、候诊科室、看诊医生、入院登记时间、入院时间、入院病区等）进行模型设计、运营库数据集成，实现连续性存储管理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pStyle w:val="104"/>
              <w:wordWrap/>
              <w:spacing w:line="360" w:lineRule="auto"/>
              <w:rPr>
                <w:rFonts w:ascii="仿宋" w:hAnsi="仿宋" w:eastAsia="仿宋" w:cs="仿宋"/>
                <w:szCs w:val="24"/>
                <w:lang w:bidi="zh-TW"/>
              </w:rPr>
            </w:pPr>
            <w:r>
              <w:rPr>
                <w:rFonts w:hint="eastAsia" w:ascii="仿宋" w:hAnsi="仿宋" w:eastAsia="仿宋" w:cs="仿宋"/>
                <w:bCs/>
                <w:szCs w:val="24"/>
              </w:rPr>
              <w:t>门诊处方</w:t>
            </w:r>
          </w:p>
        </w:tc>
        <w:tc>
          <w:tcPr>
            <w:tcW w:w="7087" w:type="dxa"/>
          </w:tcPr>
          <w:p>
            <w:pPr>
              <w:rPr>
                <w:rFonts w:ascii="仿宋" w:hAnsi="仿宋" w:eastAsia="仿宋" w:cs="仿宋"/>
                <w:sz w:val="24"/>
                <w:szCs w:val="24"/>
              </w:rPr>
            </w:pPr>
            <w:r>
              <w:rPr>
                <w:rFonts w:hint="eastAsia" w:ascii="仿宋" w:hAnsi="仿宋" w:eastAsia="仿宋" w:cs="仿宋"/>
                <w:bCs/>
                <w:sz w:val="24"/>
                <w:szCs w:val="24"/>
              </w:rPr>
              <w:t>对门急诊患者的处方信息（用药、治疗、检查、检验等）进行模型设计、运营库数据集成，实现连续性存储管理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pStyle w:val="104"/>
              <w:wordWrap/>
              <w:spacing w:line="360" w:lineRule="auto"/>
              <w:rPr>
                <w:rFonts w:ascii="仿宋" w:hAnsi="仿宋" w:eastAsia="仿宋" w:cs="仿宋"/>
                <w:szCs w:val="24"/>
                <w:lang w:bidi="zh-TW"/>
              </w:rPr>
            </w:pPr>
            <w:r>
              <w:rPr>
                <w:rFonts w:hint="eastAsia" w:ascii="仿宋" w:hAnsi="仿宋" w:eastAsia="仿宋" w:cs="仿宋"/>
                <w:bCs/>
                <w:szCs w:val="24"/>
              </w:rPr>
              <w:t>临床诊断</w:t>
            </w:r>
          </w:p>
        </w:tc>
        <w:tc>
          <w:tcPr>
            <w:tcW w:w="7087" w:type="dxa"/>
          </w:tcPr>
          <w:p>
            <w:pPr>
              <w:pStyle w:val="104"/>
              <w:wordWrap/>
              <w:spacing w:line="360" w:lineRule="auto"/>
              <w:rPr>
                <w:rFonts w:ascii="仿宋" w:hAnsi="仿宋" w:eastAsia="仿宋" w:cs="仿宋"/>
                <w:szCs w:val="24"/>
                <w:lang w:bidi="en-US"/>
              </w:rPr>
            </w:pPr>
            <w:r>
              <w:rPr>
                <w:rFonts w:hint="eastAsia" w:ascii="仿宋" w:hAnsi="仿宋" w:eastAsia="仿宋" w:cs="仿宋"/>
                <w:bCs/>
                <w:szCs w:val="24"/>
              </w:rPr>
              <w:t>对门急诊、住院患者的中西医诊断信息（门诊诊断、入院诊断、出院诊断等）进行模型设计、运营库数据集成，实现连续性存储管理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pStyle w:val="104"/>
              <w:wordWrap/>
              <w:spacing w:line="360" w:lineRule="auto"/>
              <w:rPr>
                <w:rFonts w:ascii="仿宋" w:hAnsi="仿宋" w:eastAsia="仿宋" w:cs="仿宋"/>
                <w:szCs w:val="24"/>
                <w:lang w:bidi="zh-TW"/>
              </w:rPr>
            </w:pPr>
            <w:r>
              <w:rPr>
                <w:rFonts w:hint="eastAsia" w:ascii="仿宋" w:hAnsi="仿宋" w:eastAsia="仿宋" w:cs="仿宋"/>
                <w:bCs/>
                <w:szCs w:val="24"/>
              </w:rPr>
              <w:t>住院病历</w:t>
            </w:r>
          </w:p>
        </w:tc>
        <w:tc>
          <w:tcPr>
            <w:tcW w:w="7087" w:type="dxa"/>
          </w:tcPr>
          <w:p>
            <w:pPr>
              <w:pStyle w:val="104"/>
              <w:wordWrap/>
              <w:spacing w:line="360" w:lineRule="auto"/>
              <w:rPr>
                <w:rFonts w:ascii="仿宋" w:hAnsi="仿宋" w:eastAsia="仿宋" w:cs="仿宋"/>
                <w:szCs w:val="24"/>
                <w:lang w:bidi="en-US"/>
              </w:rPr>
            </w:pPr>
            <w:r>
              <w:rPr>
                <w:rFonts w:hint="eastAsia" w:ascii="仿宋" w:hAnsi="仿宋" w:eastAsia="仿宋" w:cs="仿宋"/>
                <w:bCs/>
                <w:szCs w:val="24"/>
              </w:rPr>
              <w:t>对住院患者的病历进行模型设计、运营库数据集成，实现连续性存储管理。支持非结构化病历数据存储、半结构化数据存储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pStyle w:val="104"/>
              <w:wordWrap/>
              <w:spacing w:line="360" w:lineRule="auto"/>
              <w:rPr>
                <w:rFonts w:ascii="仿宋" w:hAnsi="仿宋" w:eastAsia="仿宋" w:cs="仿宋"/>
                <w:szCs w:val="24"/>
                <w:lang w:bidi="zh-TW"/>
              </w:rPr>
            </w:pPr>
            <w:r>
              <w:rPr>
                <w:rFonts w:hint="eastAsia" w:ascii="仿宋" w:hAnsi="仿宋" w:eastAsia="仿宋" w:cs="仿宋"/>
                <w:bCs/>
                <w:szCs w:val="24"/>
              </w:rPr>
              <w:t>住院医嘱</w:t>
            </w:r>
          </w:p>
        </w:tc>
        <w:tc>
          <w:tcPr>
            <w:tcW w:w="7087" w:type="dxa"/>
          </w:tcPr>
          <w:p>
            <w:pPr>
              <w:pStyle w:val="104"/>
              <w:wordWrap/>
              <w:spacing w:line="360" w:lineRule="auto"/>
              <w:rPr>
                <w:rFonts w:ascii="仿宋" w:hAnsi="仿宋" w:eastAsia="仿宋" w:cs="仿宋"/>
                <w:szCs w:val="24"/>
                <w:lang w:bidi="en-US"/>
              </w:rPr>
            </w:pPr>
            <w:r>
              <w:rPr>
                <w:rFonts w:hint="eastAsia" w:ascii="仿宋" w:hAnsi="仿宋" w:eastAsia="仿宋" w:cs="仿宋"/>
                <w:bCs/>
                <w:szCs w:val="24"/>
              </w:rPr>
              <w:t>对住院患者的医嘱信息（长期医嘱、临时医嘱）进行模型设计、运营库数据集成，实现连续性存储管理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pStyle w:val="104"/>
              <w:wordWrap/>
              <w:spacing w:line="360" w:lineRule="auto"/>
              <w:rPr>
                <w:rFonts w:ascii="仿宋" w:hAnsi="仿宋" w:eastAsia="仿宋" w:cs="仿宋"/>
                <w:szCs w:val="24"/>
                <w:lang w:bidi="zh-TW"/>
              </w:rPr>
            </w:pPr>
            <w:r>
              <w:rPr>
                <w:rFonts w:hint="eastAsia" w:ascii="仿宋" w:hAnsi="仿宋" w:eastAsia="仿宋" w:cs="仿宋"/>
                <w:bCs/>
                <w:szCs w:val="24"/>
              </w:rPr>
              <w:t>输血记录</w:t>
            </w:r>
          </w:p>
        </w:tc>
        <w:tc>
          <w:tcPr>
            <w:tcW w:w="7087" w:type="dxa"/>
          </w:tcPr>
          <w:p>
            <w:pPr>
              <w:pStyle w:val="104"/>
              <w:wordWrap/>
              <w:spacing w:line="360" w:lineRule="auto"/>
              <w:rPr>
                <w:rFonts w:ascii="仿宋" w:hAnsi="仿宋" w:eastAsia="仿宋" w:cs="仿宋"/>
                <w:szCs w:val="24"/>
                <w:lang w:bidi="en-US"/>
              </w:rPr>
            </w:pPr>
            <w:r>
              <w:rPr>
                <w:rFonts w:hint="eastAsia" w:ascii="仿宋" w:hAnsi="仿宋" w:eastAsia="仿宋" w:cs="仿宋"/>
                <w:bCs/>
                <w:szCs w:val="24"/>
              </w:rPr>
              <w:t>对住院患者的输血记录、输血不良反应进行模型设计、运营库数据集成，实现连续性存储管理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pStyle w:val="104"/>
              <w:wordWrap/>
              <w:spacing w:line="360" w:lineRule="auto"/>
              <w:rPr>
                <w:rFonts w:ascii="仿宋" w:hAnsi="仿宋" w:eastAsia="仿宋" w:cs="仿宋"/>
                <w:szCs w:val="24"/>
                <w:lang w:bidi="zh-TW"/>
              </w:rPr>
            </w:pPr>
            <w:r>
              <w:rPr>
                <w:rFonts w:hint="eastAsia" w:ascii="仿宋" w:hAnsi="仿宋" w:eastAsia="仿宋" w:cs="仿宋"/>
                <w:bCs/>
                <w:szCs w:val="24"/>
              </w:rPr>
              <w:t>配发血信息</w:t>
            </w:r>
          </w:p>
        </w:tc>
        <w:tc>
          <w:tcPr>
            <w:tcW w:w="7087" w:type="dxa"/>
          </w:tcPr>
          <w:p>
            <w:pPr>
              <w:pStyle w:val="104"/>
              <w:wordWrap/>
              <w:spacing w:line="360" w:lineRule="auto"/>
              <w:rPr>
                <w:rFonts w:ascii="仿宋" w:hAnsi="仿宋" w:eastAsia="仿宋" w:cs="仿宋"/>
                <w:szCs w:val="24"/>
                <w:lang w:bidi="en-US"/>
              </w:rPr>
            </w:pPr>
            <w:r>
              <w:rPr>
                <w:rFonts w:hint="eastAsia" w:ascii="仿宋" w:hAnsi="仿宋" w:eastAsia="仿宋" w:cs="仿宋"/>
                <w:bCs/>
                <w:szCs w:val="24"/>
              </w:rPr>
              <w:t>对住院患者的配血记录信息、发血记录信息、血制品信息进行模型设计、运营库数据集成，实现连续性存储管理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pStyle w:val="104"/>
              <w:wordWrap/>
              <w:spacing w:line="360" w:lineRule="auto"/>
              <w:rPr>
                <w:rFonts w:ascii="仿宋" w:hAnsi="仿宋" w:eastAsia="仿宋" w:cs="仿宋"/>
                <w:szCs w:val="24"/>
                <w:lang w:bidi="zh-TW"/>
              </w:rPr>
            </w:pPr>
            <w:r>
              <w:rPr>
                <w:rFonts w:hint="eastAsia" w:ascii="仿宋" w:hAnsi="仿宋" w:eastAsia="仿宋" w:cs="仿宋"/>
                <w:bCs/>
                <w:szCs w:val="24"/>
              </w:rPr>
              <w:t>手麻记录</w:t>
            </w:r>
          </w:p>
        </w:tc>
        <w:tc>
          <w:tcPr>
            <w:tcW w:w="7087" w:type="dxa"/>
          </w:tcPr>
          <w:p>
            <w:pPr>
              <w:pStyle w:val="104"/>
              <w:wordWrap/>
              <w:spacing w:line="360" w:lineRule="auto"/>
              <w:rPr>
                <w:rFonts w:ascii="仿宋" w:hAnsi="仿宋" w:eastAsia="仿宋" w:cs="仿宋"/>
                <w:szCs w:val="24"/>
                <w:lang w:bidi="en-US"/>
              </w:rPr>
            </w:pPr>
            <w:r>
              <w:rPr>
                <w:rFonts w:hint="eastAsia" w:ascii="仿宋" w:hAnsi="仿宋" w:eastAsia="仿宋" w:cs="仿宋"/>
                <w:bCs/>
                <w:szCs w:val="24"/>
              </w:rPr>
              <w:t>对住院患者手术麻醉信息（手术记录、麻醉记录、手术中的输血、用药、基本生命体征、麻醉事件）进行模型设计、运营库数据集成，实现连续性存储管理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pStyle w:val="104"/>
              <w:wordWrap/>
              <w:spacing w:line="360" w:lineRule="auto"/>
              <w:rPr>
                <w:rFonts w:ascii="仿宋" w:hAnsi="仿宋" w:eastAsia="仿宋" w:cs="仿宋"/>
                <w:szCs w:val="24"/>
                <w:lang w:bidi="zh-TW"/>
              </w:rPr>
            </w:pPr>
            <w:r>
              <w:rPr>
                <w:rFonts w:hint="eastAsia" w:ascii="仿宋" w:hAnsi="仿宋" w:eastAsia="仿宋" w:cs="仿宋"/>
                <w:bCs/>
                <w:szCs w:val="24"/>
              </w:rPr>
              <w:t>检验申请单</w:t>
            </w:r>
          </w:p>
        </w:tc>
        <w:tc>
          <w:tcPr>
            <w:tcW w:w="7087" w:type="dxa"/>
          </w:tcPr>
          <w:p>
            <w:pPr>
              <w:pStyle w:val="104"/>
              <w:wordWrap/>
              <w:spacing w:line="360" w:lineRule="auto"/>
              <w:rPr>
                <w:rFonts w:ascii="仿宋" w:hAnsi="仿宋" w:eastAsia="仿宋" w:cs="仿宋"/>
                <w:szCs w:val="24"/>
                <w:lang w:bidi="en-US"/>
              </w:rPr>
            </w:pPr>
            <w:r>
              <w:rPr>
                <w:rFonts w:hint="eastAsia" w:ascii="仿宋" w:hAnsi="仿宋" w:eastAsia="仿宋" w:cs="仿宋"/>
                <w:bCs/>
                <w:szCs w:val="24"/>
              </w:rPr>
              <w:t>对门急诊、住院患者的检验申请信息进行模型设计、运营库数据集成，实现连续性存储管理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pStyle w:val="104"/>
              <w:wordWrap/>
              <w:spacing w:line="360" w:lineRule="auto"/>
              <w:rPr>
                <w:rFonts w:ascii="仿宋" w:hAnsi="仿宋" w:eastAsia="仿宋" w:cs="仿宋"/>
                <w:bCs/>
                <w:szCs w:val="24"/>
              </w:rPr>
            </w:pPr>
            <w:r>
              <w:rPr>
                <w:rFonts w:hint="eastAsia" w:ascii="仿宋" w:hAnsi="仿宋" w:eastAsia="仿宋" w:cs="仿宋"/>
                <w:bCs/>
                <w:szCs w:val="24"/>
              </w:rPr>
              <w:t>检查申请单</w:t>
            </w:r>
          </w:p>
        </w:tc>
        <w:tc>
          <w:tcPr>
            <w:tcW w:w="7087" w:type="dxa"/>
          </w:tcPr>
          <w:p>
            <w:pPr>
              <w:pStyle w:val="104"/>
              <w:wordWrap/>
              <w:spacing w:line="360" w:lineRule="auto"/>
              <w:rPr>
                <w:rFonts w:ascii="仿宋" w:hAnsi="仿宋" w:eastAsia="仿宋" w:cs="仿宋"/>
                <w:szCs w:val="24"/>
                <w:lang w:bidi="en-US"/>
              </w:rPr>
            </w:pPr>
            <w:r>
              <w:rPr>
                <w:rFonts w:hint="eastAsia" w:ascii="仿宋" w:hAnsi="仿宋" w:eastAsia="仿宋" w:cs="仿宋"/>
                <w:bCs/>
                <w:szCs w:val="24"/>
              </w:rPr>
              <w:t>对门急诊、住院患者的检查申请信息进行模型设计、运营库数据集成，实现连续性存储管理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pStyle w:val="104"/>
              <w:wordWrap/>
              <w:spacing w:line="360" w:lineRule="auto"/>
              <w:rPr>
                <w:rFonts w:ascii="仿宋" w:hAnsi="仿宋" w:eastAsia="仿宋" w:cs="仿宋"/>
                <w:bCs/>
                <w:szCs w:val="24"/>
              </w:rPr>
            </w:pPr>
            <w:r>
              <w:rPr>
                <w:rFonts w:hint="eastAsia" w:ascii="仿宋" w:hAnsi="仿宋" w:eastAsia="仿宋" w:cs="仿宋"/>
                <w:bCs/>
                <w:szCs w:val="24"/>
              </w:rPr>
              <w:t>门诊病历</w:t>
            </w:r>
          </w:p>
        </w:tc>
        <w:tc>
          <w:tcPr>
            <w:tcW w:w="7087" w:type="dxa"/>
          </w:tcPr>
          <w:p>
            <w:pPr>
              <w:pStyle w:val="104"/>
              <w:wordWrap/>
              <w:spacing w:line="360" w:lineRule="auto"/>
              <w:rPr>
                <w:rFonts w:ascii="仿宋" w:hAnsi="仿宋" w:eastAsia="仿宋" w:cs="仿宋"/>
                <w:szCs w:val="24"/>
                <w:lang w:bidi="en-US"/>
              </w:rPr>
            </w:pPr>
            <w:r>
              <w:rPr>
                <w:rFonts w:hint="eastAsia" w:ascii="仿宋" w:hAnsi="仿宋" w:eastAsia="仿宋" w:cs="仿宋"/>
                <w:bCs/>
                <w:szCs w:val="24"/>
              </w:rPr>
              <w:t>对门急诊患者的病历进行模型设计、运营库数据集成，实现连续性存储管理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pStyle w:val="104"/>
              <w:wordWrap/>
              <w:spacing w:line="360" w:lineRule="auto"/>
              <w:rPr>
                <w:rFonts w:ascii="仿宋" w:hAnsi="仿宋" w:eastAsia="仿宋" w:cs="仿宋"/>
                <w:bCs/>
                <w:szCs w:val="24"/>
              </w:rPr>
            </w:pPr>
            <w:r>
              <w:rPr>
                <w:rFonts w:hint="eastAsia" w:ascii="仿宋" w:hAnsi="仿宋" w:eastAsia="仿宋" w:cs="仿宋"/>
                <w:bCs/>
                <w:szCs w:val="24"/>
              </w:rPr>
              <w:t>体征记录</w:t>
            </w:r>
          </w:p>
        </w:tc>
        <w:tc>
          <w:tcPr>
            <w:tcW w:w="7087" w:type="dxa"/>
          </w:tcPr>
          <w:p>
            <w:pPr>
              <w:pStyle w:val="104"/>
              <w:wordWrap/>
              <w:spacing w:line="360" w:lineRule="auto"/>
              <w:rPr>
                <w:rFonts w:ascii="仿宋" w:hAnsi="仿宋" w:eastAsia="仿宋" w:cs="仿宋"/>
                <w:szCs w:val="24"/>
                <w:lang w:bidi="en-US"/>
              </w:rPr>
            </w:pPr>
            <w:r>
              <w:rPr>
                <w:rFonts w:hint="eastAsia" w:ascii="仿宋" w:hAnsi="仿宋" w:eastAsia="仿宋" w:cs="仿宋"/>
                <w:bCs/>
                <w:szCs w:val="24"/>
              </w:rPr>
              <w:t>对住院患者体温单中的症状体征信息进行模型设计、运营库数据集成，实现连续性存储管理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pStyle w:val="104"/>
              <w:wordWrap/>
              <w:spacing w:line="360" w:lineRule="auto"/>
              <w:rPr>
                <w:rFonts w:ascii="仿宋" w:hAnsi="仿宋" w:eastAsia="仿宋" w:cs="仿宋"/>
                <w:bCs/>
                <w:szCs w:val="24"/>
              </w:rPr>
            </w:pPr>
            <w:r>
              <w:rPr>
                <w:rFonts w:hint="eastAsia" w:ascii="仿宋" w:hAnsi="仿宋" w:eastAsia="仿宋" w:cs="仿宋"/>
                <w:bCs/>
                <w:szCs w:val="24"/>
              </w:rPr>
              <w:t>护理病历</w:t>
            </w:r>
          </w:p>
        </w:tc>
        <w:tc>
          <w:tcPr>
            <w:tcW w:w="7087" w:type="dxa"/>
          </w:tcPr>
          <w:p>
            <w:pPr>
              <w:pStyle w:val="104"/>
              <w:wordWrap/>
              <w:spacing w:line="360" w:lineRule="auto"/>
              <w:rPr>
                <w:rFonts w:ascii="仿宋" w:hAnsi="仿宋" w:eastAsia="仿宋" w:cs="仿宋"/>
                <w:szCs w:val="24"/>
                <w:lang w:bidi="en-US"/>
              </w:rPr>
            </w:pPr>
            <w:r>
              <w:rPr>
                <w:rFonts w:hint="eastAsia" w:ascii="仿宋" w:hAnsi="仿宋" w:eastAsia="仿宋" w:cs="仿宋"/>
                <w:bCs/>
                <w:szCs w:val="24"/>
              </w:rPr>
              <w:t>对住院患者护理文书（一般护理记录单、各种评估单、健康教育）进行模型设计、运营库数据集成，实现连续性存储管理。支持非结构化数据存储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pStyle w:val="104"/>
              <w:wordWrap/>
              <w:spacing w:line="360" w:lineRule="auto"/>
              <w:rPr>
                <w:rFonts w:ascii="仿宋" w:hAnsi="仿宋" w:eastAsia="仿宋" w:cs="仿宋"/>
                <w:bCs/>
                <w:szCs w:val="24"/>
              </w:rPr>
            </w:pPr>
            <w:r>
              <w:rPr>
                <w:rFonts w:hint="eastAsia" w:ascii="仿宋" w:hAnsi="仿宋" w:eastAsia="仿宋" w:cs="仿宋"/>
                <w:bCs/>
                <w:szCs w:val="24"/>
              </w:rPr>
              <w:t>检验报告</w:t>
            </w:r>
          </w:p>
        </w:tc>
        <w:tc>
          <w:tcPr>
            <w:tcW w:w="7087" w:type="dxa"/>
          </w:tcPr>
          <w:p>
            <w:pPr>
              <w:pStyle w:val="104"/>
              <w:wordWrap/>
              <w:spacing w:line="360" w:lineRule="auto"/>
              <w:rPr>
                <w:rFonts w:ascii="仿宋" w:hAnsi="仿宋" w:eastAsia="仿宋" w:cs="仿宋"/>
                <w:szCs w:val="24"/>
                <w:lang w:bidi="en-US"/>
              </w:rPr>
            </w:pPr>
            <w:r>
              <w:rPr>
                <w:rFonts w:hint="eastAsia" w:ascii="仿宋" w:hAnsi="仿宋" w:eastAsia="仿宋" w:cs="仿宋"/>
                <w:bCs/>
                <w:szCs w:val="24"/>
              </w:rPr>
              <w:t>对门急诊、住院患者的实验室检验信息（项目名称、检验结果、单位、参考值和趋势）进行模型设计、运营库数据集成，实现连续性存储管理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pStyle w:val="104"/>
              <w:wordWrap/>
              <w:spacing w:line="360" w:lineRule="auto"/>
              <w:rPr>
                <w:rFonts w:ascii="仿宋" w:hAnsi="仿宋" w:eastAsia="仿宋" w:cs="仿宋"/>
                <w:bCs/>
                <w:szCs w:val="24"/>
              </w:rPr>
            </w:pPr>
            <w:r>
              <w:rPr>
                <w:rFonts w:hint="eastAsia" w:ascii="仿宋" w:hAnsi="仿宋" w:eastAsia="仿宋" w:cs="仿宋"/>
                <w:bCs/>
                <w:szCs w:val="24"/>
              </w:rPr>
              <w:t>PACS报告</w:t>
            </w:r>
          </w:p>
        </w:tc>
        <w:tc>
          <w:tcPr>
            <w:tcW w:w="7087" w:type="dxa"/>
          </w:tcPr>
          <w:p>
            <w:pPr>
              <w:pStyle w:val="104"/>
              <w:wordWrap/>
              <w:spacing w:line="360" w:lineRule="auto"/>
              <w:rPr>
                <w:rFonts w:ascii="仿宋" w:hAnsi="仿宋" w:eastAsia="仿宋" w:cs="仿宋"/>
                <w:szCs w:val="24"/>
                <w:lang w:bidi="en-US"/>
              </w:rPr>
            </w:pPr>
            <w:r>
              <w:rPr>
                <w:rFonts w:hint="eastAsia" w:ascii="仿宋" w:hAnsi="仿宋" w:eastAsia="仿宋" w:cs="仿宋"/>
                <w:bCs/>
                <w:szCs w:val="24"/>
              </w:rPr>
              <w:t>对门急诊、住院患者的全数字化医学影像检查报告（CR、DR、CT、MRI、DSA、ECT、PET、B 超、内镜等影像设备产生的报告信息包括检查所见、检查所得、检查结论）进行模型设计、运营库数据集成，实现连续性存储管理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pStyle w:val="104"/>
              <w:wordWrap/>
              <w:spacing w:line="360" w:lineRule="auto"/>
              <w:rPr>
                <w:rFonts w:ascii="仿宋" w:hAnsi="仿宋" w:eastAsia="仿宋" w:cs="仿宋"/>
                <w:bCs/>
                <w:szCs w:val="24"/>
              </w:rPr>
            </w:pPr>
            <w:r>
              <w:rPr>
                <w:rFonts w:hint="eastAsia" w:ascii="仿宋" w:hAnsi="仿宋" w:eastAsia="仿宋" w:cs="仿宋"/>
                <w:bCs/>
                <w:szCs w:val="24"/>
              </w:rPr>
              <w:t>病理报告</w:t>
            </w:r>
          </w:p>
        </w:tc>
        <w:tc>
          <w:tcPr>
            <w:tcW w:w="7087" w:type="dxa"/>
          </w:tcPr>
          <w:p>
            <w:pPr>
              <w:pStyle w:val="104"/>
              <w:wordWrap/>
              <w:spacing w:line="360" w:lineRule="auto"/>
              <w:rPr>
                <w:rFonts w:ascii="仿宋" w:hAnsi="仿宋" w:eastAsia="仿宋" w:cs="仿宋"/>
                <w:szCs w:val="24"/>
                <w:lang w:bidi="en-US"/>
              </w:rPr>
            </w:pPr>
            <w:r>
              <w:rPr>
                <w:rFonts w:hint="eastAsia" w:ascii="仿宋" w:hAnsi="仿宋" w:eastAsia="仿宋" w:cs="仿宋"/>
                <w:bCs/>
                <w:szCs w:val="24"/>
              </w:rPr>
              <w:t>对住院患者的病理检查报告(检查所见、病理诊断）进行模型设计、运营库数据集成，实现连续性存储管理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pStyle w:val="104"/>
              <w:wordWrap/>
              <w:spacing w:line="360" w:lineRule="auto"/>
              <w:rPr>
                <w:rFonts w:ascii="仿宋" w:hAnsi="仿宋" w:eastAsia="仿宋" w:cs="仿宋"/>
                <w:bCs/>
                <w:szCs w:val="24"/>
              </w:rPr>
            </w:pPr>
            <w:r>
              <w:rPr>
                <w:rFonts w:hint="eastAsia" w:ascii="仿宋" w:hAnsi="仿宋" w:eastAsia="仿宋" w:cs="仿宋"/>
                <w:bCs/>
                <w:szCs w:val="24"/>
              </w:rPr>
              <w:t>血透记录</w:t>
            </w:r>
          </w:p>
        </w:tc>
        <w:tc>
          <w:tcPr>
            <w:tcW w:w="7087" w:type="dxa"/>
          </w:tcPr>
          <w:p>
            <w:pPr>
              <w:pStyle w:val="104"/>
              <w:wordWrap/>
              <w:spacing w:line="360" w:lineRule="auto"/>
              <w:rPr>
                <w:rFonts w:ascii="仿宋" w:hAnsi="仿宋" w:eastAsia="仿宋" w:cs="仿宋"/>
                <w:bCs/>
                <w:szCs w:val="24"/>
              </w:rPr>
            </w:pPr>
            <w:r>
              <w:rPr>
                <w:rFonts w:hint="eastAsia" w:ascii="仿宋" w:hAnsi="仿宋" w:eastAsia="仿宋" w:cs="仿宋"/>
                <w:bCs/>
                <w:szCs w:val="24"/>
              </w:rPr>
              <w:t>对患者的血透申请信息进行模型设计、运营库数据集成，实现连续性存储管理</w:t>
            </w:r>
          </w:p>
        </w:tc>
      </w:tr>
    </w:tbl>
    <w:p>
      <w:pPr>
        <w:pStyle w:val="5"/>
        <w:keepLines/>
        <w:spacing w:line="360" w:lineRule="auto"/>
        <w:ind w:firstLine="482" w:firstLineChars="200"/>
        <w:rPr>
          <w:rFonts w:ascii="仿宋" w:hAnsi="仿宋" w:eastAsia="仿宋" w:cs="仿宋"/>
          <w:sz w:val="24"/>
          <w:szCs w:val="24"/>
        </w:rPr>
      </w:pPr>
      <w:bookmarkStart w:id="394" w:name="_Toc3997"/>
      <w:r>
        <w:rPr>
          <w:rFonts w:hint="eastAsia" w:ascii="仿宋" w:hAnsi="仿宋" w:eastAsia="仿宋" w:cs="仿宋"/>
          <w:sz w:val="24"/>
          <w:szCs w:val="24"/>
        </w:rPr>
        <w:t>4、运营数据中心ODR</w:t>
      </w:r>
      <w:bookmarkEnd w:id="394"/>
    </w:p>
    <w:p>
      <w:pPr>
        <w:widowControl/>
        <w:spacing w:line="360" w:lineRule="auto"/>
        <w:ind w:firstLine="480"/>
        <w:jc w:val="left"/>
        <w:rPr>
          <w:rFonts w:ascii="仿宋" w:hAnsi="仿宋" w:eastAsia="仿宋" w:cs="仿宋"/>
          <w:kern w:val="0"/>
          <w:sz w:val="24"/>
          <w:szCs w:val="24"/>
        </w:rPr>
      </w:pPr>
      <w:bookmarkStart w:id="395" w:name="_Hlk54102175"/>
      <w:r>
        <w:rPr>
          <w:rFonts w:hint="eastAsia" w:ascii="仿宋" w:hAnsi="仿宋" w:eastAsia="仿宋" w:cs="仿宋"/>
          <w:kern w:val="0"/>
          <w:sz w:val="24"/>
          <w:szCs w:val="24"/>
        </w:rPr>
        <w:t>运营数据中心（ODR）是以电子病历标准为导向，以临床业务数据为基础建设的原子级数据仓库，按照临床服务和医院管理两大类别进行划分，包含≥14个业务域，≥35个业务子域。</w:t>
      </w:r>
      <w:bookmarkStart w:id="396" w:name="_Hlk88484432"/>
      <w:r>
        <w:rPr>
          <w:rFonts w:hint="eastAsia" w:ascii="仿宋" w:hAnsi="仿宋" w:eastAsia="仿宋" w:cs="仿宋"/>
          <w:kern w:val="0"/>
          <w:sz w:val="24"/>
          <w:szCs w:val="24"/>
        </w:rPr>
        <w:t>采用OLAP技术，为上层的多维分析应用提供完整的数据链支撑。</w:t>
      </w:r>
      <w:bookmarkEnd w:id="396"/>
      <w:r>
        <w:rPr>
          <w:rFonts w:hint="eastAsia" w:ascii="仿宋" w:hAnsi="仿宋" w:eastAsia="仿宋" w:cs="仿宋"/>
          <w:kern w:val="0"/>
          <w:sz w:val="24"/>
          <w:szCs w:val="24"/>
        </w:rPr>
        <w:t>其功能包括但不限于以下几点：</w:t>
      </w:r>
    </w:p>
    <w:p>
      <w:pPr>
        <w:numPr>
          <w:ilvl w:val="0"/>
          <w:numId w:val="13"/>
        </w:numPr>
        <w:overflowPunct w:val="0"/>
        <w:spacing w:line="360" w:lineRule="auto"/>
        <w:ind w:left="0" w:firstLine="480" w:firstLineChars="200"/>
        <w:jc w:val="left"/>
        <w:rPr>
          <w:rFonts w:ascii="仿宋" w:hAnsi="仿宋" w:eastAsia="仿宋" w:cs="仿宋"/>
          <w:kern w:val="0"/>
          <w:sz w:val="24"/>
          <w:szCs w:val="24"/>
          <w:lang w:bidi="zh-CN"/>
        </w:rPr>
      </w:pPr>
      <w:r>
        <w:rPr>
          <w:rFonts w:hint="eastAsia" w:ascii="仿宋" w:hAnsi="仿宋" w:eastAsia="仿宋" w:cs="仿宋"/>
          <w:kern w:val="0"/>
          <w:sz w:val="24"/>
          <w:szCs w:val="24"/>
          <w:lang w:bidi="zh-CN"/>
        </w:rPr>
        <w:t>管理数据中心包括实时和非实时数据，将数据从医院数据仓库中抽取、清洗、转换处理后集中存储，用于支持各类的统计分析需求。</w:t>
      </w:r>
    </w:p>
    <w:p>
      <w:pPr>
        <w:numPr>
          <w:ilvl w:val="0"/>
          <w:numId w:val="13"/>
        </w:numPr>
        <w:overflowPunct w:val="0"/>
        <w:spacing w:line="360" w:lineRule="auto"/>
        <w:ind w:left="0" w:firstLine="480" w:firstLineChars="200"/>
        <w:jc w:val="left"/>
        <w:rPr>
          <w:rFonts w:ascii="仿宋" w:hAnsi="仿宋" w:eastAsia="仿宋" w:cs="仿宋"/>
          <w:kern w:val="0"/>
          <w:sz w:val="24"/>
          <w:szCs w:val="24"/>
          <w:lang w:bidi="zh-CN"/>
        </w:rPr>
      </w:pPr>
      <w:r>
        <w:rPr>
          <w:rFonts w:hint="eastAsia" w:ascii="仿宋" w:hAnsi="仿宋" w:eastAsia="仿宋" w:cs="仿宋"/>
          <w:kern w:val="0"/>
          <w:sz w:val="24"/>
          <w:szCs w:val="24"/>
          <w:lang w:bidi="zh-CN"/>
        </w:rPr>
        <w:t>通过维度设计和场景管理设计为不同的用户分别构建数据分析模型，形成数据仓库，供多维度数据分析时使用。</w:t>
      </w:r>
    </w:p>
    <w:p>
      <w:pPr>
        <w:numPr>
          <w:ilvl w:val="0"/>
          <w:numId w:val="13"/>
        </w:numPr>
        <w:overflowPunct w:val="0"/>
        <w:spacing w:line="360" w:lineRule="auto"/>
        <w:ind w:left="0" w:firstLine="480" w:firstLineChars="200"/>
        <w:jc w:val="left"/>
        <w:rPr>
          <w:rFonts w:ascii="仿宋" w:hAnsi="仿宋" w:eastAsia="仿宋" w:cs="仿宋"/>
          <w:kern w:val="0"/>
          <w:sz w:val="24"/>
          <w:szCs w:val="24"/>
          <w:lang w:bidi="zh-CN"/>
        </w:rPr>
      </w:pPr>
      <w:r>
        <w:rPr>
          <w:rFonts w:hint="eastAsia" w:ascii="仿宋" w:hAnsi="仿宋" w:eastAsia="仿宋" w:cs="仿宋"/>
          <w:kern w:val="0"/>
          <w:sz w:val="24"/>
          <w:szCs w:val="24"/>
          <w:lang w:bidi="zh-CN"/>
        </w:rPr>
        <w:t>支持对业务数据进行建模，包括但不限于运营相关的门诊、住院、医技、员工、财务、药品、手术、院感、单病种、医保等OLAP模型建立，为数据应用提供可靠的数据支撑。</w:t>
      </w:r>
    </w:p>
    <w:p>
      <w:pPr>
        <w:numPr>
          <w:ilvl w:val="0"/>
          <w:numId w:val="13"/>
        </w:numPr>
        <w:overflowPunct w:val="0"/>
        <w:spacing w:line="360" w:lineRule="auto"/>
        <w:ind w:left="0" w:firstLine="480" w:firstLineChars="200"/>
        <w:jc w:val="left"/>
        <w:rPr>
          <w:rFonts w:ascii="仿宋" w:hAnsi="仿宋" w:eastAsia="仿宋" w:cs="仿宋"/>
          <w:kern w:val="0"/>
          <w:sz w:val="24"/>
          <w:szCs w:val="24"/>
          <w:lang w:bidi="zh-CN"/>
        </w:rPr>
      </w:pPr>
      <w:r>
        <w:rPr>
          <w:rFonts w:hint="eastAsia" w:ascii="仿宋" w:hAnsi="仿宋" w:eastAsia="仿宋" w:cs="仿宋"/>
          <w:kern w:val="0"/>
          <w:sz w:val="24"/>
          <w:szCs w:val="24"/>
          <w:lang w:bidi="zh-CN"/>
        </w:rPr>
        <w:t>运营数据中心应采用星型结构模型，以期实现应用的高效响应。</w:t>
      </w:r>
    </w:p>
    <w:p>
      <w:pPr>
        <w:numPr>
          <w:ilvl w:val="0"/>
          <w:numId w:val="13"/>
        </w:numPr>
        <w:overflowPunct w:val="0"/>
        <w:spacing w:line="360" w:lineRule="auto"/>
        <w:ind w:left="0" w:firstLine="480" w:firstLineChars="200"/>
        <w:jc w:val="left"/>
        <w:rPr>
          <w:rFonts w:ascii="仿宋" w:hAnsi="仿宋" w:eastAsia="仿宋" w:cs="仿宋"/>
          <w:kern w:val="0"/>
          <w:sz w:val="24"/>
          <w:szCs w:val="24"/>
          <w:lang w:bidi="zh-CN"/>
        </w:rPr>
      </w:pPr>
      <w:r>
        <w:rPr>
          <w:rFonts w:hint="eastAsia" w:ascii="仿宋" w:hAnsi="仿宋" w:eastAsia="仿宋" w:cs="仿宋"/>
          <w:kern w:val="0"/>
          <w:sz w:val="24"/>
          <w:szCs w:val="24"/>
          <w:lang w:bidi="zh-CN"/>
        </w:rPr>
        <w:t>运营数据中心应具备以医疗业务为导向的原子级接口，实现与业务系统标准化的数据集成。如标准化的医嘱接口、住院患者接口、医技报告接口等。</w:t>
      </w:r>
    </w:p>
    <w:p>
      <w:pPr>
        <w:numPr>
          <w:ilvl w:val="0"/>
          <w:numId w:val="13"/>
        </w:numPr>
        <w:overflowPunct w:val="0"/>
        <w:spacing w:line="360" w:lineRule="auto"/>
        <w:ind w:left="0" w:firstLine="480" w:firstLineChars="200"/>
        <w:jc w:val="left"/>
        <w:rPr>
          <w:rFonts w:ascii="仿宋" w:hAnsi="仿宋" w:eastAsia="仿宋" w:cs="仿宋"/>
          <w:kern w:val="0"/>
          <w:sz w:val="24"/>
          <w:szCs w:val="24"/>
          <w:lang w:bidi="zh-CN"/>
        </w:rPr>
      </w:pPr>
      <w:r>
        <w:rPr>
          <w:rFonts w:hint="eastAsia" w:ascii="仿宋" w:hAnsi="仿宋" w:eastAsia="仿宋" w:cs="仿宋"/>
          <w:kern w:val="0"/>
          <w:sz w:val="24"/>
          <w:szCs w:val="24"/>
          <w:lang w:bidi="zh-CN"/>
        </w:rPr>
        <w:t>接入数据范围包括但不限于以下列表中的内容：</w:t>
      </w:r>
    </w:p>
    <w:tbl>
      <w:tblPr>
        <w:tblStyle w:val="27"/>
        <w:tblW w:w="8630" w:type="dxa"/>
        <w:tblInd w:w="0" w:type="dxa"/>
        <w:tblLayout w:type="autofit"/>
        <w:tblCellMar>
          <w:top w:w="15" w:type="dxa"/>
          <w:left w:w="15" w:type="dxa"/>
          <w:bottom w:w="15" w:type="dxa"/>
          <w:right w:w="15" w:type="dxa"/>
        </w:tblCellMar>
      </w:tblPr>
      <w:tblGrid>
        <w:gridCol w:w="1835"/>
        <w:gridCol w:w="6795"/>
      </w:tblGrid>
      <w:tr>
        <w:tblPrEx>
          <w:tblCellMar>
            <w:top w:w="15" w:type="dxa"/>
            <w:left w:w="15" w:type="dxa"/>
            <w:bottom w:w="15" w:type="dxa"/>
            <w:right w:w="15" w:type="dxa"/>
          </w:tblCellMar>
        </w:tblPrEx>
        <w:trPr>
          <w:trHeight w:val="454" w:hRule="atLeast"/>
        </w:trPr>
        <w:tc>
          <w:tcPr>
            <w:tcW w:w="1835" w:type="dxa"/>
            <w:tcBorders>
              <w:top w:val="single" w:color="000000" w:sz="6" w:space="0"/>
              <w:left w:val="single" w:color="000000" w:sz="6" w:space="0"/>
              <w:bottom w:val="single" w:color="000000" w:sz="6" w:space="0"/>
              <w:right w:val="single" w:color="000000" w:sz="6" w:space="0"/>
            </w:tcBorders>
            <w:shd w:val="clear" w:color="auto" w:fill="D8D8D8"/>
            <w:tcMar>
              <w:top w:w="60" w:type="dxa"/>
              <w:left w:w="120" w:type="dxa"/>
              <w:bottom w:w="60" w:type="dxa"/>
              <w:right w:w="120" w:type="dxa"/>
            </w:tcMar>
            <w:vAlign w:val="center"/>
          </w:tcPr>
          <w:p>
            <w:pPr>
              <w:widowControl/>
              <w:jc w:val="center"/>
              <w:rPr>
                <w:rFonts w:ascii="仿宋" w:hAnsi="仿宋" w:eastAsia="仿宋" w:cs="仿宋"/>
                <w:kern w:val="0"/>
                <w:sz w:val="24"/>
                <w:szCs w:val="24"/>
              </w:rPr>
            </w:pPr>
            <w:r>
              <w:rPr>
                <w:rFonts w:hint="eastAsia" w:ascii="仿宋" w:hAnsi="仿宋" w:eastAsia="仿宋" w:cs="仿宋"/>
                <w:b/>
                <w:bCs/>
                <w:kern w:val="0"/>
                <w:sz w:val="24"/>
                <w:szCs w:val="24"/>
              </w:rPr>
              <w:t>功能列表</w:t>
            </w:r>
          </w:p>
        </w:tc>
        <w:tc>
          <w:tcPr>
            <w:tcW w:w="6795" w:type="dxa"/>
            <w:tcBorders>
              <w:top w:val="single" w:color="000000" w:sz="6" w:space="0"/>
              <w:left w:val="single" w:color="000000" w:sz="6" w:space="0"/>
              <w:bottom w:val="single" w:color="000000" w:sz="6" w:space="0"/>
              <w:right w:val="single" w:color="000000" w:sz="6" w:space="0"/>
            </w:tcBorders>
            <w:shd w:val="clear" w:color="auto" w:fill="D8D8D8"/>
            <w:tcMar>
              <w:top w:w="60" w:type="dxa"/>
              <w:left w:w="120" w:type="dxa"/>
              <w:bottom w:w="60" w:type="dxa"/>
              <w:right w:w="120" w:type="dxa"/>
            </w:tcMar>
            <w:vAlign w:val="center"/>
          </w:tcPr>
          <w:p>
            <w:pPr>
              <w:widowControl/>
              <w:jc w:val="center"/>
              <w:rPr>
                <w:rFonts w:ascii="仿宋" w:hAnsi="仿宋" w:eastAsia="仿宋" w:cs="仿宋"/>
                <w:kern w:val="0"/>
                <w:sz w:val="24"/>
                <w:szCs w:val="24"/>
              </w:rPr>
            </w:pPr>
            <w:r>
              <w:rPr>
                <w:rFonts w:hint="eastAsia" w:ascii="仿宋" w:hAnsi="仿宋" w:eastAsia="仿宋" w:cs="仿宋"/>
                <w:b/>
                <w:bCs/>
                <w:kern w:val="0"/>
                <w:sz w:val="24"/>
                <w:szCs w:val="24"/>
              </w:rPr>
              <w:t>功能说明</w:t>
            </w:r>
          </w:p>
        </w:tc>
      </w:tr>
      <w:tr>
        <w:tblPrEx>
          <w:tblCellMar>
            <w:top w:w="15" w:type="dxa"/>
            <w:left w:w="15" w:type="dxa"/>
            <w:bottom w:w="15" w:type="dxa"/>
            <w:right w:w="15" w:type="dxa"/>
          </w:tblCellMar>
        </w:tblPrEx>
        <w:trPr>
          <w:trHeight w:val="680" w:hRule="atLeast"/>
        </w:trPr>
        <w:tc>
          <w:tcPr>
            <w:tcW w:w="1835" w:type="dxa"/>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HIS数据集成</w:t>
            </w:r>
          </w:p>
        </w:tc>
        <w:tc>
          <w:tcPr>
            <w:tcW w:w="6795" w:type="dxa"/>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集成了包括病人信息、门急诊挂号信息、门急诊划价收费、入院信息、出院信息、住院收费信息、处方信息、医嘱信息、床位信息、药房信息、发药配药信息（门诊、住院）、排队叫号信息、预约信息、手术信息、医保信息等。</w:t>
            </w:r>
          </w:p>
        </w:tc>
      </w:tr>
      <w:tr>
        <w:tblPrEx>
          <w:tblCellMar>
            <w:top w:w="15" w:type="dxa"/>
            <w:left w:w="15" w:type="dxa"/>
            <w:bottom w:w="15" w:type="dxa"/>
            <w:right w:w="15" w:type="dxa"/>
          </w:tblCellMar>
        </w:tblPrEx>
        <w:trPr>
          <w:trHeight w:val="680" w:hRule="atLeast"/>
        </w:trPr>
        <w:tc>
          <w:tcPr>
            <w:tcW w:w="1835" w:type="dxa"/>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临床业务系统数据集成</w:t>
            </w:r>
          </w:p>
        </w:tc>
        <w:tc>
          <w:tcPr>
            <w:tcW w:w="6795" w:type="dxa"/>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集成医院手麻系统产生的业务数据，包括手术记录信息、用药信息、输血信息、诊断信息、麻醉信息、收费信息等。</w:t>
            </w:r>
          </w:p>
        </w:tc>
      </w:tr>
      <w:tr>
        <w:tblPrEx>
          <w:tblCellMar>
            <w:top w:w="15" w:type="dxa"/>
            <w:left w:w="15" w:type="dxa"/>
            <w:bottom w:w="15" w:type="dxa"/>
            <w:right w:w="15" w:type="dxa"/>
          </w:tblCellMar>
        </w:tblPrEx>
        <w:trPr>
          <w:trHeight w:val="680" w:hRule="atLeast"/>
        </w:trPr>
        <w:tc>
          <w:tcPr>
            <w:tcW w:w="1835" w:type="dxa"/>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护理信息系统数据集成</w:t>
            </w:r>
          </w:p>
        </w:tc>
        <w:tc>
          <w:tcPr>
            <w:tcW w:w="6795" w:type="dxa"/>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集成医院护理信息系统系统产生的业务数据，包括护理记录、导管数据、压疮信息、跌倒坠床信息、并发症记录等信息。</w:t>
            </w:r>
          </w:p>
        </w:tc>
      </w:tr>
      <w:tr>
        <w:tblPrEx>
          <w:tblCellMar>
            <w:top w:w="15" w:type="dxa"/>
            <w:left w:w="15" w:type="dxa"/>
            <w:bottom w:w="15" w:type="dxa"/>
            <w:right w:w="15" w:type="dxa"/>
          </w:tblCellMar>
        </w:tblPrEx>
        <w:trPr>
          <w:trHeight w:val="680" w:hRule="atLeast"/>
        </w:trPr>
        <w:tc>
          <w:tcPr>
            <w:tcW w:w="1835" w:type="dxa"/>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病案数据集成</w:t>
            </w:r>
          </w:p>
        </w:tc>
        <w:tc>
          <w:tcPr>
            <w:tcW w:w="6795" w:type="dxa"/>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集成医院病案系统产生的数据，包括病案首页信息、手术信息、诊断信息、科室病区信息等。</w:t>
            </w:r>
          </w:p>
        </w:tc>
      </w:tr>
      <w:tr>
        <w:tblPrEx>
          <w:tblCellMar>
            <w:top w:w="15" w:type="dxa"/>
            <w:left w:w="15" w:type="dxa"/>
            <w:bottom w:w="15" w:type="dxa"/>
            <w:right w:w="15" w:type="dxa"/>
          </w:tblCellMar>
        </w:tblPrEx>
        <w:trPr>
          <w:trHeight w:val="680" w:hRule="atLeast"/>
        </w:trPr>
        <w:tc>
          <w:tcPr>
            <w:tcW w:w="1835" w:type="dxa"/>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手麻数据集成</w:t>
            </w:r>
          </w:p>
        </w:tc>
        <w:tc>
          <w:tcPr>
            <w:tcW w:w="6795" w:type="dxa"/>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集成医院临床业务系统产生的业务数据，包括电子病历系统、抗菌药管理信息、临床路径信息、手术信息等。</w:t>
            </w:r>
          </w:p>
        </w:tc>
      </w:tr>
      <w:tr>
        <w:tblPrEx>
          <w:tblCellMar>
            <w:top w:w="15" w:type="dxa"/>
            <w:left w:w="15" w:type="dxa"/>
            <w:bottom w:w="15" w:type="dxa"/>
            <w:right w:w="15" w:type="dxa"/>
          </w:tblCellMar>
        </w:tblPrEx>
        <w:trPr>
          <w:trHeight w:val="680" w:hRule="atLeast"/>
        </w:trPr>
        <w:tc>
          <w:tcPr>
            <w:tcW w:w="1835" w:type="dxa"/>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物资数据集成</w:t>
            </w:r>
          </w:p>
        </w:tc>
        <w:tc>
          <w:tcPr>
            <w:tcW w:w="6795" w:type="dxa"/>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集成医院物资系统产生的业务数据，包括设备信息、材料消耗信息、物资进销存信息等。</w:t>
            </w:r>
          </w:p>
        </w:tc>
      </w:tr>
      <w:tr>
        <w:tblPrEx>
          <w:tblCellMar>
            <w:top w:w="15" w:type="dxa"/>
            <w:left w:w="15" w:type="dxa"/>
            <w:bottom w:w="15" w:type="dxa"/>
            <w:right w:w="15" w:type="dxa"/>
          </w:tblCellMar>
        </w:tblPrEx>
        <w:trPr>
          <w:trHeight w:val="680" w:hRule="atLeast"/>
        </w:trPr>
        <w:tc>
          <w:tcPr>
            <w:tcW w:w="1835" w:type="dxa"/>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财务数据集成</w:t>
            </w:r>
          </w:p>
        </w:tc>
        <w:tc>
          <w:tcPr>
            <w:tcW w:w="6795" w:type="dxa"/>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集成医院财务系统产生的业务数据，包括成本信息、收入信息、预算信息、结算信息等。</w:t>
            </w:r>
          </w:p>
        </w:tc>
      </w:tr>
      <w:tr>
        <w:tblPrEx>
          <w:tblCellMar>
            <w:top w:w="15" w:type="dxa"/>
            <w:left w:w="15" w:type="dxa"/>
            <w:bottom w:w="15" w:type="dxa"/>
            <w:right w:w="15" w:type="dxa"/>
          </w:tblCellMar>
        </w:tblPrEx>
        <w:trPr>
          <w:trHeight w:val="680" w:hRule="atLeast"/>
        </w:trPr>
        <w:tc>
          <w:tcPr>
            <w:tcW w:w="1835" w:type="dxa"/>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人事数据集成</w:t>
            </w:r>
          </w:p>
        </w:tc>
        <w:tc>
          <w:tcPr>
            <w:tcW w:w="6795" w:type="dxa"/>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集成医院人事系统产生的业务数据，包括员工信息、组织机构信息、岗位信息、职称信息、学历信息等。</w:t>
            </w:r>
          </w:p>
        </w:tc>
      </w:tr>
      <w:tr>
        <w:tblPrEx>
          <w:tblCellMar>
            <w:top w:w="15" w:type="dxa"/>
            <w:left w:w="15" w:type="dxa"/>
            <w:bottom w:w="15" w:type="dxa"/>
            <w:right w:w="15" w:type="dxa"/>
          </w:tblCellMar>
        </w:tblPrEx>
        <w:trPr>
          <w:trHeight w:val="680" w:hRule="atLeast"/>
        </w:trPr>
        <w:tc>
          <w:tcPr>
            <w:tcW w:w="1835" w:type="dxa"/>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医技数据集成</w:t>
            </w:r>
          </w:p>
        </w:tc>
        <w:tc>
          <w:tcPr>
            <w:tcW w:w="6795" w:type="dxa"/>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集成检查检验系统产生的业务数据，包括医技人员、医技报告、医技申请单等</w:t>
            </w:r>
          </w:p>
        </w:tc>
      </w:tr>
      <w:tr>
        <w:tblPrEx>
          <w:tblCellMar>
            <w:top w:w="15" w:type="dxa"/>
            <w:left w:w="15" w:type="dxa"/>
            <w:bottom w:w="15" w:type="dxa"/>
            <w:right w:w="15" w:type="dxa"/>
          </w:tblCellMar>
        </w:tblPrEx>
        <w:trPr>
          <w:trHeight w:val="680" w:hRule="atLeast"/>
        </w:trPr>
        <w:tc>
          <w:tcPr>
            <w:tcW w:w="1835" w:type="dxa"/>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绩效信息集成</w:t>
            </w:r>
          </w:p>
        </w:tc>
        <w:tc>
          <w:tcPr>
            <w:tcW w:w="6795" w:type="dxa"/>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按实际应用需求，集成现有绩效考核相关数据</w:t>
            </w:r>
          </w:p>
        </w:tc>
      </w:tr>
      <w:tr>
        <w:tblPrEx>
          <w:tblCellMar>
            <w:top w:w="15" w:type="dxa"/>
            <w:left w:w="15" w:type="dxa"/>
            <w:bottom w:w="15" w:type="dxa"/>
            <w:right w:w="15" w:type="dxa"/>
          </w:tblCellMar>
        </w:tblPrEx>
        <w:trPr>
          <w:trHeight w:val="680" w:hRule="atLeast"/>
        </w:trPr>
        <w:tc>
          <w:tcPr>
            <w:tcW w:w="1835" w:type="dxa"/>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其他信息集成</w:t>
            </w:r>
          </w:p>
        </w:tc>
        <w:tc>
          <w:tcPr>
            <w:tcW w:w="6795" w:type="dxa"/>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按实际应用需求，集成如生殖管理信息、廉洁防控信息</w:t>
            </w:r>
          </w:p>
        </w:tc>
      </w:tr>
      <w:bookmarkEnd w:id="395"/>
    </w:tbl>
    <w:p>
      <w:pPr>
        <w:pStyle w:val="4"/>
        <w:spacing w:line="360" w:lineRule="auto"/>
        <w:ind w:firstLine="482" w:firstLineChars="200"/>
        <w:jc w:val="left"/>
        <w:rPr>
          <w:rFonts w:ascii="仿宋" w:hAnsi="仿宋" w:eastAsia="仿宋" w:cs="仿宋"/>
          <w:sz w:val="24"/>
          <w:szCs w:val="24"/>
        </w:rPr>
      </w:pPr>
      <w:bookmarkStart w:id="397" w:name="_Toc6246"/>
      <w:bookmarkStart w:id="398" w:name="_Toc30240"/>
      <w:r>
        <w:rPr>
          <w:rFonts w:hint="eastAsia" w:ascii="仿宋" w:hAnsi="仿宋" w:eastAsia="仿宋" w:cs="仿宋"/>
          <w:sz w:val="24"/>
          <w:szCs w:val="24"/>
          <w:lang w:eastAsia="zh-CN"/>
        </w:rPr>
        <w:t>（四）</w:t>
      </w:r>
      <w:r>
        <w:rPr>
          <w:rFonts w:hint="eastAsia" w:ascii="仿宋" w:hAnsi="仿宋" w:eastAsia="仿宋" w:cs="仿宋"/>
          <w:sz w:val="24"/>
          <w:szCs w:val="24"/>
        </w:rPr>
        <w:t>数据中心应用建设要求</w:t>
      </w:r>
      <w:bookmarkEnd w:id="397"/>
      <w:bookmarkEnd w:id="398"/>
    </w:p>
    <w:p>
      <w:pPr>
        <w:pStyle w:val="5"/>
        <w:keepLines/>
        <w:spacing w:line="360" w:lineRule="auto"/>
        <w:ind w:firstLine="482" w:firstLineChars="200"/>
        <w:rPr>
          <w:rFonts w:ascii="仿宋" w:hAnsi="仿宋" w:eastAsia="仿宋" w:cs="仿宋"/>
          <w:sz w:val="24"/>
          <w:szCs w:val="24"/>
        </w:rPr>
      </w:pPr>
      <w:bookmarkStart w:id="399" w:name="_Toc15932"/>
      <w:r>
        <w:rPr>
          <w:rFonts w:hint="eastAsia" w:ascii="仿宋" w:hAnsi="仿宋" w:eastAsia="仿宋" w:cs="仿宋"/>
          <w:sz w:val="24"/>
          <w:szCs w:val="24"/>
        </w:rPr>
        <w:t>1、患者360全息视图系统</w:t>
      </w:r>
      <w:bookmarkEnd w:id="399"/>
    </w:p>
    <w:p>
      <w:pPr>
        <w:spacing w:line="360" w:lineRule="auto"/>
        <w:ind w:firstLine="480"/>
        <w:rPr>
          <w:rFonts w:ascii="仿宋" w:hAnsi="仿宋" w:eastAsia="仿宋" w:cs="仿宋"/>
          <w:sz w:val="24"/>
          <w:szCs w:val="24"/>
        </w:rPr>
      </w:pPr>
      <w:bookmarkStart w:id="400" w:name="_Toc32218"/>
      <w:r>
        <w:rPr>
          <w:rFonts w:hint="eastAsia" w:ascii="仿宋" w:hAnsi="仿宋" w:eastAsia="仿宋" w:cs="仿宋"/>
          <w:color w:val="000000"/>
          <w:kern w:val="0"/>
          <w:sz w:val="24"/>
          <w:szCs w:val="24"/>
        </w:rPr>
        <w:t>包含医院门诊、急诊、住院患者的临床信息的综合展示平台，可以按照时间轴的方式展示患者的多次就诊记录及其文书、医嘱、申请单、护理、等医院业务系统所包含的数据。具体功能要求如下：</w:t>
      </w:r>
    </w:p>
    <w:p>
      <w:pPr>
        <w:pStyle w:val="42"/>
        <w:numPr>
          <w:ilvl w:val="0"/>
          <w:numId w:val="14"/>
        </w:numPr>
        <w:spacing w:line="360" w:lineRule="auto"/>
        <w:ind w:firstLineChars="0"/>
        <w:rPr>
          <w:rFonts w:ascii="仿宋" w:hAnsi="仿宋" w:eastAsia="仿宋" w:cs="仿宋"/>
          <w:bCs/>
          <w:sz w:val="24"/>
          <w:szCs w:val="24"/>
        </w:rPr>
      </w:pPr>
      <w:r>
        <w:rPr>
          <w:rFonts w:hint="eastAsia" w:ascii="仿宋" w:hAnsi="仿宋" w:eastAsia="仿宋" w:cs="仿宋"/>
          <w:bCs/>
          <w:sz w:val="24"/>
          <w:szCs w:val="24"/>
        </w:rPr>
        <w:t>依靠患者ID就能实现全院范围内全部门急诊就诊记录、住院病史、病历文书、影像检查、检验结果、心电图及扫描文档等信息的连通共享。用户只需访问单一来源，即可调取所要的全部信息。</w:t>
      </w:r>
    </w:p>
    <w:p>
      <w:pPr>
        <w:pStyle w:val="42"/>
        <w:numPr>
          <w:ilvl w:val="0"/>
          <w:numId w:val="14"/>
        </w:numPr>
        <w:spacing w:line="360" w:lineRule="auto"/>
        <w:ind w:firstLineChars="0"/>
        <w:rPr>
          <w:rFonts w:ascii="仿宋" w:hAnsi="仿宋" w:eastAsia="仿宋" w:cs="仿宋"/>
          <w:bCs/>
          <w:sz w:val="24"/>
          <w:szCs w:val="24"/>
        </w:rPr>
      </w:pPr>
      <w:bookmarkStart w:id="401" w:name="_Hlk92899377"/>
      <w:r>
        <w:rPr>
          <w:rFonts w:hint="eastAsia" w:ascii="仿宋" w:hAnsi="仿宋" w:eastAsia="仿宋" w:cs="仿宋"/>
          <w:bCs/>
          <w:sz w:val="24"/>
          <w:szCs w:val="24"/>
        </w:rPr>
        <w:t>★</w:t>
      </w:r>
      <w:r>
        <w:rPr>
          <w:rFonts w:hint="eastAsia" w:ascii="仿宋" w:hAnsi="仿宋" w:eastAsia="仿宋" w:cs="仿宋"/>
          <w:sz w:val="24"/>
          <w:szCs w:val="24"/>
          <w:lang w:val="zh-CN" w:bidi="zh-CN"/>
        </w:rPr>
        <w:t>临床基础视图的数据项可根据需求进行定义，可包含以下几大类信息：</w:t>
      </w:r>
      <w:r>
        <w:rPr>
          <w:rFonts w:hint="eastAsia" w:ascii="仿宋" w:hAnsi="仿宋" w:eastAsia="仿宋" w:cs="仿宋"/>
          <w:bCs/>
          <w:sz w:val="24"/>
          <w:szCs w:val="24"/>
        </w:rPr>
        <w:t>患者基本信息、过敏记录、检验记录、检查记录、医嘱记录、诊断记录、手术记录、护理记录、文书记录、病理记录、发药记录、费用记录等。</w:t>
      </w:r>
      <w:r>
        <w:rPr>
          <w:rFonts w:hint="eastAsia" w:ascii="仿宋" w:hAnsi="仿宋" w:eastAsia="仿宋" w:cs="仿宋"/>
          <w:sz w:val="24"/>
          <w:szCs w:val="24"/>
          <w:lang w:val="zh-CN" w:bidi="zh-CN"/>
        </w:rPr>
        <w:t>（需提供功能界面截图佐证）</w:t>
      </w:r>
    </w:p>
    <w:p>
      <w:pPr>
        <w:pStyle w:val="42"/>
        <w:numPr>
          <w:ilvl w:val="0"/>
          <w:numId w:val="15"/>
        </w:numPr>
        <w:spacing w:line="360" w:lineRule="auto"/>
        <w:ind w:right="-50" w:rightChars="-24" w:firstLine="480"/>
        <w:rPr>
          <w:rFonts w:ascii="仿宋" w:hAnsi="仿宋" w:eastAsia="仿宋" w:cs="仿宋"/>
          <w:bCs/>
          <w:sz w:val="24"/>
          <w:szCs w:val="24"/>
        </w:rPr>
      </w:pPr>
      <w:r>
        <w:rPr>
          <w:rFonts w:hint="eastAsia" w:ascii="仿宋" w:hAnsi="仿宋" w:eastAsia="仿宋" w:cs="仿宋"/>
          <w:bCs/>
          <w:sz w:val="24"/>
          <w:szCs w:val="24"/>
        </w:rPr>
        <w:t>过敏记录：支持按照不同时间维度进行查询，展示过敏记录时间、过敏内容、记录医生等信息</w:t>
      </w:r>
    </w:p>
    <w:p>
      <w:pPr>
        <w:pStyle w:val="42"/>
        <w:numPr>
          <w:ilvl w:val="0"/>
          <w:numId w:val="15"/>
        </w:numPr>
        <w:spacing w:line="360" w:lineRule="auto"/>
        <w:ind w:right="-50" w:rightChars="-24" w:firstLine="480"/>
        <w:rPr>
          <w:rFonts w:ascii="仿宋" w:hAnsi="仿宋" w:eastAsia="仿宋" w:cs="仿宋"/>
          <w:bCs/>
          <w:sz w:val="24"/>
          <w:szCs w:val="24"/>
        </w:rPr>
      </w:pPr>
      <w:r>
        <w:rPr>
          <w:rFonts w:hint="eastAsia" w:ascii="仿宋" w:hAnsi="仿宋" w:eastAsia="仿宋" w:cs="仿宋"/>
          <w:bCs/>
          <w:sz w:val="24"/>
          <w:szCs w:val="24"/>
        </w:rPr>
        <w:t>检验记录：支持以列表形式展示检验记录，选择具体记录可显示对应的检验项目、检验结果等相关信息；同时可以查看历次检验记录</w:t>
      </w:r>
    </w:p>
    <w:p>
      <w:pPr>
        <w:pStyle w:val="42"/>
        <w:numPr>
          <w:ilvl w:val="0"/>
          <w:numId w:val="15"/>
        </w:numPr>
        <w:spacing w:line="360" w:lineRule="auto"/>
        <w:ind w:right="-50" w:rightChars="-24" w:firstLine="480"/>
        <w:rPr>
          <w:rFonts w:ascii="仿宋" w:hAnsi="仿宋" w:eastAsia="仿宋" w:cs="仿宋"/>
          <w:bCs/>
          <w:sz w:val="24"/>
          <w:szCs w:val="24"/>
        </w:rPr>
      </w:pPr>
      <w:r>
        <w:rPr>
          <w:rFonts w:hint="eastAsia" w:ascii="仿宋" w:hAnsi="仿宋" w:eastAsia="仿宋" w:cs="仿宋"/>
          <w:bCs/>
          <w:sz w:val="24"/>
          <w:szCs w:val="24"/>
        </w:rPr>
        <w:t>检查记录：支持以列表形式展示检查记录，选择具体记录可显示对应的检查项目、检查结果等相关信息；同时可以查看历次检查记录</w:t>
      </w:r>
    </w:p>
    <w:p>
      <w:pPr>
        <w:pStyle w:val="42"/>
        <w:numPr>
          <w:ilvl w:val="0"/>
          <w:numId w:val="15"/>
        </w:numPr>
        <w:spacing w:line="360" w:lineRule="auto"/>
        <w:ind w:right="-50" w:rightChars="-24" w:firstLine="480"/>
        <w:rPr>
          <w:rFonts w:ascii="仿宋" w:hAnsi="仿宋" w:eastAsia="仿宋" w:cs="仿宋"/>
          <w:bCs/>
          <w:sz w:val="24"/>
          <w:szCs w:val="24"/>
        </w:rPr>
      </w:pPr>
      <w:r>
        <w:rPr>
          <w:rFonts w:hint="eastAsia" w:ascii="仿宋" w:hAnsi="仿宋" w:eastAsia="仿宋" w:cs="仿宋"/>
          <w:bCs/>
          <w:sz w:val="24"/>
          <w:szCs w:val="24"/>
        </w:rPr>
        <w:t>医嘱记录：支持按照不同时间维度进行查询，展示医嘱类型、开立时间、医生、医嘱内容等信息</w:t>
      </w:r>
    </w:p>
    <w:p>
      <w:pPr>
        <w:pStyle w:val="42"/>
        <w:numPr>
          <w:ilvl w:val="0"/>
          <w:numId w:val="15"/>
        </w:numPr>
        <w:spacing w:line="360" w:lineRule="auto"/>
        <w:ind w:right="-50" w:rightChars="-24" w:firstLine="480"/>
        <w:rPr>
          <w:rFonts w:ascii="仿宋" w:hAnsi="仿宋" w:eastAsia="仿宋" w:cs="仿宋"/>
          <w:bCs/>
          <w:sz w:val="24"/>
          <w:szCs w:val="24"/>
        </w:rPr>
      </w:pPr>
      <w:r>
        <w:rPr>
          <w:rFonts w:hint="eastAsia" w:ascii="仿宋" w:hAnsi="仿宋" w:eastAsia="仿宋" w:cs="仿宋"/>
          <w:bCs/>
          <w:sz w:val="24"/>
          <w:szCs w:val="24"/>
        </w:rPr>
        <w:t>诊断记录：支持以时间轴的方式展示患者本次诊断记录，并可以查看历次诊断记录</w:t>
      </w:r>
    </w:p>
    <w:p>
      <w:pPr>
        <w:pStyle w:val="42"/>
        <w:numPr>
          <w:ilvl w:val="0"/>
          <w:numId w:val="15"/>
        </w:numPr>
        <w:spacing w:line="360" w:lineRule="auto"/>
        <w:ind w:right="-50" w:rightChars="-24" w:firstLine="480"/>
        <w:rPr>
          <w:rFonts w:ascii="仿宋" w:hAnsi="仿宋" w:eastAsia="仿宋" w:cs="仿宋"/>
          <w:bCs/>
          <w:sz w:val="24"/>
          <w:szCs w:val="24"/>
        </w:rPr>
      </w:pPr>
      <w:r>
        <w:rPr>
          <w:rFonts w:hint="eastAsia" w:ascii="仿宋" w:hAnsi="仿宋" w:eastAsia="仿宋" w:cs="仿宋"/>
          <w:bCs/>
          <w:sz w:val="24"/>
          <w:szCs w:val="24"/>
        </w:rPr>
        <w:t>手术记录：支持以时间轴的方式展示患者本次就诊手术记录，并可以查看历次手术记录</w:t>
      </w:r>
    </w:p>
    <w:p>
      <w:pPr>
        <w:pStyle w:val="42"/>
        <w:numPr>
          <w:ilvl w:val="0"/>
          <w:numId w:val="15"/>
        </w:numPr>
        <w:spacing w:line="360" w:lineRule="auto"/>
        <w:ind w:right="-50" w:rightChars="-24" w:firstLine="480"/>
        <w:rPr>
          <w:rFonts w:ascii="仿宋" w:hAnsi="仿宋" w:eastAsia="仿宋" w:cs="仿宋"/>
          <w:bCs/>
          <w:sz w:val="24"/>
          <w:szCs w:val="24"/>
        </w:rPr>
      </w:pPr>
      <w:r>
        <w:rPr>
          <w:rFonts w:hint="eastAsia" w:ascii="仿宋" w:hAnsi="仿宋" w:eastAsia="仿宋" w:cs="仿宋"/>
          <w:bCs/>
          <w:sz w:val="24"/>
          <w:szCs w:val="24"/>
        </w:rPr>
        <w:t>护理记录：支持体温单信息的查看，并可以按照不同周期进行体温单数据实时切换查看</w:t>
      </w:r>
    </w:p>
    <w:p>
      <w:pPr>
        <w:pStyle w:val="42"/>
        <w:numPr>
          <w:ilvl w:val="0"/>
          <w:numId w:val="15"/>
        </w:numPr>
        <w:spacing w:line="360" w:lineRule="auto"/>
        <w:ind w:right="-50" w:rightChars="-24" w:firstLine="480"/>
        <w:rPr>
          <w:rFonts w:ascii="仿宋" w:hAnsi="仿宋" w:eastAsia="仿宋" w:cs="仿宋"/>
          <w:bCs/>
          <w:sz w:val="24"/>
          <w:szCs w:val="24"/>
        </w:rPr>
      </w:pPr>
      <w:r>
        <w:rPr>
          <w:rFonts w:hint="eastAsia" w:ascii="仿宋" w:hAnsi="仿宋" w:eastAsia="仿宋" w:cs="仿宋"/>
          <w:bCs/>
          <w:sz w:val="24"/>
          <w:szCs w:val="24"/>
        </w:rPr>
        <w:t>文书记录：支持展示患者本次就诊文书记录以及历次文书记录查看</w:t>
      </w:r>
    </w:p>
    <w:p>
      <w:pPr>
        <w:pStyle w:val="42"/>
        <w:numPr>
          <w:ilvl w:val="0"/>
          <w:numId w:val="15"/>
        </w:numPr>
        <w:spacing w:line="360" w:lineRule="auto"/>
        <w:ind w:right="-50" w:rightChars="-24" w:firstLine="480"/>
        <w:rPr>
          <w:rFonts w:ascii="仿宋" w:hAnsi="仿宋" w:eastAsia="仿宋" w:cs="仿宋"/>
          <w:bCs/>
          <w:sz w:val="24"/>
          <w:szCs w:val="24"/>
        </w:rPr>
      </w:pPr>
      <w:r>
        <w:rPr>
          <w:rFonts w:hint="eastAsia" w:ascii="仿宋" w:hAnsi="仿宋" w:eastAsia="仿宋" w:cs="仿宋"/>
          <w:bCs/>
          <w:sz w:val="24"/>
          <w:szCs w:val="24"/>
        </w:rPr>
        <w:t>病理记录：支持查看患者本次就诊病理记录，包括病理报告、病理诊断名称等，同时可以查看历次病理记录</w:t>
      </w:r>
    </w:p>
    <w:p>
      <w:pPr>
        <w:pStyle w:val="42"/>
        <w:numPr>
          <w:ilvl w:val="0"/>
          <w:numId w:val="15"/>
        </w:numPr>
        <w:spacing w:line="360" w:lineRule="auto"/>
        <w:ind w:right="-50" w:rightChars="-24" w:firstLine="480"/>
        <w:rPr>
          <w:rFonts w:ascii="仿宋" w:hAnsi="仿宋" w:eastAsia="仿宋" w:cs="仿宋"/>
          <w:bCs/>
          <w:sz w:val="24"/>
          <w:szCs w:val="24"/>
        </w:rPr>
      </w:pPr>
      <w:r>
        <w:rPr>
          <w:rFonts w:hint="eastAsia" w:ascii="仿宋" w:hAnsi="仿宋" w:eastAsia="仿宋" w:cs="仿宋"/>
          <w:bCs/>
          <w:sz w:val="24"/>
          <w:szCs w:val="24"/>
        </w:rPr>
        <w:t>发药记录：支持以列表展示发药记录，发药记录信息包括处方/医嘱时间、药房名称、配药时间、发药时间、药品明细等信息</w:t>
      </w:r>
    </w:p>
    <w:p>
      <w:pPr>
        <w:pStyle w:val="42"/>
        <w:numPr>
          <w:ilvl w:val="0"/>
          <w:numId w:val="15"/>
        </w:numPr>
        <w:spacing w:line="360" w:lineRule="auto"/>
        <w:ind w:right="-50" w:rightChars="-24" w:firstLine="480"/>
        <w:rPr>
          <w:rFonts w:ascii="仿宋" w:hAnsi="仿宋" w:eastAsia="仿宋" w:cs="仿宋"/>
          <w:sz w:val="24"/>
          <w:szCs w:val="24"/>
        </w:rPr>
      </w:pPr>
      <w:r>
        <w:rPr>
          <w:rFonts w:hint="eastAsia" w:ascii="仿宋" w:hAnsi="仿宋" w:eastAsia="仿宋" w:cs="仿宋"/>
          <w:bCs/>
          <w:sz w:val="24"/>
          <w:szCs w:val="24"/>
        </w:rPr>
        <w:t>费用记录：支持查看患者所有费用总数以及每项费用明细，同时可以根据选择不同的时间进行费用记录查询</w:t>
      </w:r>
    </w:p>
    <w:bookmarkEnd w:id="401"/>
    <w:p>
      <w:pPr>
        <w:pStyle w:val="42"/>
        <w:numPr>
          <w:ilvl w:val="0"/>
          <w:numId w:val="16"/>
        </w:numPr>
        <w:spacing w:line="360" w:lineRule="auto"/>
        <w:rPr>
          <w:rFonts w:ascii="仿宋" w:hAnsi="仿宋" w:eastAsia="仿宋" w:cs="仿宋"/>
          <w:bCs/>
          <w:sz w:val="24"/>
          <w:szCs w:val="24"/>
        </w:rPr>
      </w:pPr>
      <w:r>
        <w:rPr>
          <w:rFonts w:hint="eastAsia" w:ascii="仿宋" w:hAnsi="仿宋" w:eastAsia="仿宋" w:cs="仿宋"/>
          <w:bCs/>
          <w:sz w:val="24"/>
          <w:szCs w:val="24"/>
        </w:rPr>
        <w:t>支持按照就诊时间轴依次展示患者历次就诊记录，使用者能通过就诊年份进行快速筛查；</w:t>
      </w:r>
    </w:p>
    <w:p>
      <w:pPr>
        <w:pStyle w:val="42"/>
        <w:numPr>
          <w:ilvl w:val="0"/>
          <w:numId w:val="16"/>
        </w:numPr>
        <w:spacing w:line="360" w:lineRule="auto"/>
        <w:rPr>
          <w:rFonts w:ascii="仿宋" w:hAnsi="仿宋" w:eastAsia="仿宋" w:cs="仿宋"/>
          <w:bCs/>
          <w:sz w:val="24"/>
          <w:szCs w:val="24"/>
        </w:rPr>
      </w:pPr>
      <w:r>
        <w:rPr>
          <w:rFonts w:hint="eastAsia" w:ascii="仿宋" w:hAnsi="仿宋" w:eastAsia="仿宋" w:cs="仿宋"/>
          <w:bCs/>
          <w:sz w:val="24"/>
          <w:szCs w:val="24"/>
        </w:rPr>
        <w:t>★</w:t>
      </w:r>
      <w:r>
        <w:rPr>
          <w:rFonts w:hint="eastAsia" w:ascii="仿宋" w:hAnsi="仿宋" w:eastAsia="仿宋" w:cs="仿宋"/>
          <w:sz w:val="24"/>
          <w:szCs w:val="24"/>
          <w:lang w:val="zh-CN" w:bidi="zh-CN"/>
        </w:rPr>
        <w:t>在就诊时间轴上，需以概览的形式展示患者历次就诊资料情况，并支持详细临床资料查看；（需提供功能界面截图佐证）</w:t>
      </w:r>
    </w:p>
    <w:p>
      <w:pPr>
        <w:pStyle w:val="42"/>
        <w:numPr>
          <w:ilvl w:val="0"/>
          <w:numId w:val="16"/>
        </w:numPr>
        <w:spacing w:line="360" w:lineRule="auto"/>
        <w:rPr>
          <w:rFonts w:ascii="仿宋" w:hAnsi="仿宋" w:eastAsia="仿宋" w:cs="仿宋"/>
          <w:sz w:val="24"/>
          <w:szCs w:val="24"/>
        </w:rPr>
      </w:pPr>
      <w:r>
        <w:rPr>
          <w:rFonts w:hint="eastAsia" w:ascii="仿宋" w:hAnsi="仿宋" w:eastAsia="仿宋" w:cs="仿宋"/>
          <w:bCs/>
          <w:sz w:val="24"/>
          <w:szCs w:val="24"/>
        </w:rPr>
        <w:t>针对</w:t>
      </w:r>
      <w:r>
        <w:rPr>
          <w:rFonts w:hint="eastAsia" w:ascii="仿宋" w:hAnsi="仿宋" w:eastAsia="仿宋" w:cs="仿宋"/>
          <w:sz w:val="24"/>
          <w:szCs w:val="24"/>
          <w:lang w:val="zh-CN" w:bidi="zh-CN"/>
        </w:rPr>
        <w:t>患者</w:t>
      </w:r>
      <w:r>
        <w:rPr>
          <w:rFonts w:hint="eastAsia" w:ascii="仿宋" w:hAnsi="仿宋" w:eastAsia="仿宋" w:cs="仿宋"/>
          <w:bCs/>
          <w:sz w:val="24"/>
          <w:szCs w:val="24"/>
        </w:rPr>
        <w:t>同一类型项目的多条数据，也支持按照时间先后顺序进行统一展现，包括检验数值型的项目等，并有对应的时间/结果值折线图；</w:t>
      </w:r>
    </w:p>
    <w:p>
      <w:pPr>
        <w:pStyle w:val="42"/>
        <w:numPr>
          <w:ilvl w:val="0"/>
          <w:numId w:val="16"/>
        </w:numPr>
        <w:spacing w:line="360" w:lineRule="auto"/>
        <w:rPr>
          <w:rFonts w:ascii="仿宋" w:hAnsi="仿宋" w:eastAsia="仿宋" w:cs="仿宋"/>
          <w:sz w:val="24"/>
          <w:szCs w:val="24"/>
        </w:rPr>
      </w:pPr>
      <w:r>
        <w:rPr>
          <w:rFonts w:hint="eastAsia" w:ascii="仿宋" w:hAnsi="仿宋" w:eastAsia="仿宋" w:cs="仿宋"/>
          <w:bCs/>
          <w:sz w:val="24"/>
          <w:szCs w:val="24"/>
        </w:rPr>
        <w:t>支持根据医院临床系统需要实现界面集成服务。</w:t>
      </w:r>
    </w:p>
    <w:p>
      <w:pPr>
        <w:pStyle w:val="5"/>
        <w:keepLines/>
        <w:spacing w:line="360" w:lineRule="auto"/>
        <w:ind w:firstLine="482" w:firstLineChars="200"/>
        <w:rPr>
          <w:rFonts w:ascii="仿宋" w:hAnsi="仿宋" w:eastAsia="仿宋" w:cs="仿宋"/>
          <w:sz w:val="24"/>
          <w:szCs w:val="24"/>
        </w:rPr>
      </w:pPr>
      <w:r>
        <w:rPr>
          <w:rFonts w:hint="eastAsia" w:ascii="仿宋" w:hAnsi="仿宋" w:eastAsia="仿宋" w:cs="仿宋"/>
          <w:sz w:val="24"/>
          <w:szCs w:val="24"/>
        </w:rPr>
        <w:t>2、全院运营决策管理系统</w:t>
      </w:r>
      <w:bookmarkEnd w:id="400"/>
    </w:p>
    <w:p>
      <w:pPr>
        <w:spacing w:before="120" w:after="120" w:line="360" w:lineRule="auto"/>
        <w:ind w:firstLine="357"/>
        <w:contextualSpacing/>
        <w:rPr>
          <w:rFonts w:ascii="仿宋" w:hAnsi="仿宋" w:eastAsia="仿宋" w:cs="仿宋"/>
          <w:bCs/>
          <w:sz w:val="24"/>
          <w:szCs w:val="24"/>
        </w:rPr>
      </w:pPr>
      <w:r>
        <w:rPr>
          <w:rFonts w:hint="eastAsia" w:ascii="仿宋" w:hAnsi="仿宋" w:eastAsia="仿宋" w:cs="仿宋"/>
          <w:bCs/>
          <w:sz w:val="24"/>
          <w:szCs w:val="24"/>
        </w:rPr>
        <w:t>全院运营决策管理系统包括全院分析概览、全院费用分析、患者来源分析、门诊与出院比等分析主题，可从全院情况逐步下钻至各个分析主题、各个科室的分析，统揽全局，为院管理者提供战略决策支持。具体功能如下：</w:t>
      </w:r>
    </w:p>
    <w:tbl>
      <w:tblPr>
        <w:tblStyle w:val="27"/>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8" w:type="dxa"/>
            <w:shd w:val="clear" w:color="auto" w:fill="D8D8D8" w:themeFill="background1" w:themeFillShade="D9"/>
            <w:vAlign w:val="center"/>
          </w:tcPr>
          <w:p>
            <w:pPr>
              <w:jc w:val="center"/>
              <w:rPr>
                <w:rFonts w:ascii="仿宋" w:hAnsi="仿宋" w:eastAsia="仿宋" w:cs="仿宋"/>
                <w:b/>
                <w:kern w:val="0"/>
                <w:sz w:val="24"/>
                <w:szCs w:val="24"/>
              </w:rPr>
            </w:pPr>
            <w:r>
              <w:rPr>
                <w:rFonts w:hint="eastAsia" w:ascii="仿宋" w:hAnsi="仿宋" w:eastAsia="仿宋" w:cs="仿宋"/>
                <w:b/>
                <w:kern w:val="0"/>
                <w:sz w:val="24"/>
                <w:szCs w:val="24"/>
              </w:rPr>
              <w:t>功能列表</w:t>
            </w:r>
          </w:p>
        </w:tc>
        <w:tc>
          <w:tcPr>
            <w:tcW w:w="6792" w:type="dxa"/>
            <w:shd w:val="clear" w:color="auto" w:fill="D8D8D8" w:themeFill="background1" w:themeFillShade="D9"/>
            <w:vAlign w:val="center"/>
          </w:tcPr>
          <w:p>
            <w:pPr>
              <w:jc w:val="center"/>
              <w:rPr>
                <w:rFonts w:ascii="仿宋" w:hAnsi="仿宋" w:eastAsia="仿宋" w:cs="仿宋"/>
                <w:b/>
                <w:kern w:val="0"/>
                <w:sz w:val="24"/>
                <w:szCs w:val="24"/>
              </w:rPr>
            </w:pPr>
            <w:r>
              <w:rPr>
                <w:rFonts w:hint="eastAsia" w:ascii="仿宋" w:hAnsi="仿宋" w:eastAsia="仿宋" w:cs="仿宋"/>
                <w:b/>
                <w:kern w:val="0"/>
                <w:sz w:val="24"/>
                <w:szCs w:val="24"/>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全院分析概览</w:t>
            </w:r>
          </w:p>
        </w:tc>
        <w:tc>
          <w:tcPr>
            <w:tcW w:w="6792" w:type="dxa"/>
            <w:vAlign w:val="center"/>
          </w:tcPr>
          <w:p>
            <w:pPr>
              <w:contextualSpacing/>
              <w:rPr>
                <w:rFonts w:ascii="仿宋" w:hAnsi="仿宋" w:eastAsia="仿宋" w:cs="仿宋"/>
                <w:bCs/>
                <w:kern w:val="0"/>
                <w:sz w:val="24"/>
                <w:szCs w:val="24"/>
              </w:rPr>
            </w:pPr>
            <w:r>
              <w:rPr>
                <w:rFonts w:hint="eastAsia" w:ascii="仿宋" w:hAnsi="仿宋" w:eastAsia="仿宋" w:cs="仿宋"/>
                <w:bCs/>
                <w:kern w:val="0"/>
                <w:sz w:val="24"/>
                <w:szCs w:val="24"/>
              </w:rPr>
              <w:t>分析内容需包括全院、门急诊、住院、药品、耗材、手术、医保的分析概览，并支持可跳转至对应分析主题；</w:t>
            </w:r>
          </w:p>
          <w:p>
            <w:pPr>
              <w:contextualSpacing/>
              <w:rPr>
                <w:rFonts w:ascii="仿宋" w:hAnsi="仿宋" w:eastAsia="仿宋" w:cs="仿宋"/>
                <w:bCs/>
                <w:kern w:val="0"/>
                <w:sz w:val="24"/>
                <w:szCs w:val="24"/>
              </w:rPr>
            </w:pPr>
            <w:r>
              <w:rPr>
                <w:rFonts w:hint="eastAsia" w:ascii="仿宋" w:hAnsi="仿宋" w:eastAsia="仿宋" w:cs="仿宋"/>
                <w:bCs/>
                <w:kern w:val="0"/>
                <w:sz w:val="24"/>
                <w:szCs w:val="24"/>
              </w:rPr>
              <w:t>支持全院费用按时间（年/季度/月）、院区、科室分析；支持同期、同比、上期、环比、预算、预警值的对比，支持参考线设置、图表转换、数据导出等功能；</w:t>
            </w:r>
            <w:r>
              <w:rPr>
                <w:rFonts w:hint="eastAsia" w:ascii="仿宋" w:hAnsi="仿宋" w:eastAsia="仿宋" w:cs="仿宋"/>
                <w:kern w:val="0"/>
                <w:sz w:val="24"/>
                <w:szCs w:val="24"/>
                <w:lang w:val="zh-CN" w:bidi="zh-CN"/>
              </w:rPr>
              <w:t>（需提供功能界面截图佐证）</w:t>
            </w:r>
          </w:p>
          <w:p>
            <w:pPr>
              <w:contextualSpacing/>
              <w:rPr>
                <w:rFonts w:ascii="仿宋" w:hAnsi="仿宋" w:eastAsia="仿宋" w:cs="仿宋"/>
                <w:bCs/>
                <w:kern w:val="0"/>
                <w:sz w:val="24"/>
                <w:szCs w:val="24"/>
              </w:rPr>
            </w:pPr>
            <w:r>
              <w:rPr>
                <w:rFonts w:hint="eastAsia" w:ascii="仿宋" w:hAnsi="仿宋" w:eastAsia="仿宋" w:cs="仿宋"/>
                <w:bCs/>
                <w:kern w:val="0"/>
                <w:sz w:val="24"/>
                <w:szCs w:val="24"/>
              </w:rPr>
              <w:t xml:space="preserve">支持时间趋势预测模型对全院费用、门急诊费用、住院费用、药占比、耗占比指标的趋势进行预测；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患者来源分析</w:t>
            </w:r>
          </w:p>
        </w:tc>
        <w:tc>
          <w:tcPr>
            <w:tcW w:w="6792" w:type="dxa"/>
            <w:vAlign w:val="center"/>
          </w:tcPr>
          <w:p>
            <w:pPr>
              <w:contextualSpacing/>
              <w:rPr>
                <w:rFonts w:ascii="仿宋" w:hAnsi="仿宋" w:eastAsia="仿宋" w:cs="仿宋"/>
                <w:bCs/>
                <w:kern w:val="0"/>
                <w:sz w:val="24"/>
                <w:szCs w:val="24"/>
              </w:rPr>
            </w:pPr>
            <w:r>
              <w:rPr>
                <w:rFonts w:hint="eastAsia" w:ascii="仿宋" w:hAnsi="仿宋" w:eastAsia="仿宋" w:cs="仿宋"/>
                <w:bCs/>
                <w:kern w:val="0"/>
                <w:sz w:val="24"/>
                <w:szCs w:val="24"/>
              </w:rPr>
              <w:t>门急诊人次：按来源、挂号类型、科室分析；</w:t>
            </w:r>
          </w:p>
          <w:p>
            <w:pPr>
              <w:contextualSpacing/>
              <w:rPr>
                <w:rFonts w:ascii="仿宋" w:hAnsi="仿宋" w:eastAsia="仿宋" w:cs="仿宋"/>
                <w:bCs/>
                <w:kern w:val="0"/>
                <w:sz w:val="24"/>
                <w:szCs w:val="24"/>
              </w:rPr>
            </w:pPr>
            <w:r>
              <w:rPr>
                <w:rFonts w:hint="eastAsia" w:ascii="仿宋" w:hAnsi="仿宋" w:eastAsia="仿宋" w:cs="仿宋"/>
                <w:bCs/>
                <w:kern w:val="0"/>
                <w:sz w:val="24"/>
                <w:szCs w:val="24"/>
              </w:rPr>
              <w:t>出院人次；按来源、科室、主诊断ICD分析；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全院费用分析</w:t>
            </w:r>
          </w:p>
        </w:tc>
        <w:tc>
          <w:tcPr>
            <w:tcW w:w="6792" w:type="dxa"/>
            <w:vAlign w:val="center"/>
          </w:tcPr>
          <w:p>
            <w:pPr>
              <w:contextualSpacing/>
              <w:rPr>
                <w:rFonts w:ascii="仿宋" w:hAnsi="仿宋" w:eastAsia="仿宋" w:cs="仿宋"/>
                <w:bCs/>
                <w:kern w:val="0"/>
                <w:sz w:val="24"/>
                <w:szCs w:val="24"/>
              </w:rPr>
            </w:pPr>
            <w:r>
              <w:rPr>
                <w:rFonts w:hint="eastAsia" w:ascii="仿宋" w:hAnsi="仿宋" w:eastAsia="仿宋" w:cs="仿宋"/>
                <w:bCs/>
                <w:kern w:val="0"/>
                <w:sz w:val="24"/>
                <w:szCs w:val="24"/>
              </w:rPr>
              <w:t>全院费用按费用类型、按时间、院区/科室、住院/门急诊分析；支持同期、同比、上期、环比、预算、预警值的对比，支持参考线设置、图表转换、数据导出等功能；</w:t>
            </w:r>
          </w:p>
          <w:p>
            <w:pPr>
              <w:contextualSpacing/>
              <w:rPr>
                <w:rFonts w:ascii="仿宋" w:hAnsi="仿宋" w:eastAsia="仿宋" w:cs="仿宋"/>
                <w:bCs/>
                <w:kern w:val="0"/>
                <w:sz w:val="24"/>
                <w:szCs w:val="24"/>
              </w:rPr>
            </w:pPr>
            <w:r>
              <w:rPr>
                <w:rFonts w:hint="eastAsia" w:ascii="仿宋" w:hAnsi="仿宋" w:eastAsia="仿宋" w:cs="仿宋"/>
                <w:bCs/>
                <w:kern w:val="0"/>
                <w:sz w:val="24"/>
                <w:szCs w:val="24"/>
              </w:rPr>
              <w:t>各类费用占比的分析，支持同期、同比、上期、环比、预算、预警值的对比，支持参考线设置、图表转换、数据导出等功能；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门诊与住院对比分析</w:t>
            </w:r>
          </w:p>
        </w:tc>
        <w:tc>
          <w:tcPr>
            <w:tcW w:w="6792" w:type="dxa"/>
            <w:vAlign w:val="center"/>
          </w:tcPr>
          <w:p>
            <w:pPr>
              <w:contextualSpacing/>
              <w:rPr>
                <w:rFonts w:ascii="仿宋" w:hAnsi="仿宋" w:eastAsia="仿宋" w:cs="仿宋"/>
                <w:bCs/>
                <w:kern w:val="0"/>
                <w:sz w:val="24"/>
                <w:szCs w:val="24"/>
              </w:rPr>
            </w:pPr>
            <w:r>
              <w:rPr>
                <w:rFonts w:hint="eastAsia" w:ascii="仿宋" w:hAnsi="仿宋" w:eastAsia="仿宋" w:cs="仿宋"/>
                <w:bCs/>
                <w:kern w:val="0"/>
                <w:sz w:val="24"/>
                <w:szCs w:val="24"/>
              </w:rPr>
              <w:t>门诊人次与出院人次比、门急诊费用/住院费用占医疗费用比；支持同期、同比、上期、环比的对比，支持参考线设置、图表转换、数据导出等功能；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kern w:val="0"/>
                <w:sz w:val="24"/>
                <w:szCs w:val="24"/>
              </w:rPr>
              <w:t>指标分析</w:t>
            </w:r>
          </w:p>
        </w:tc>
        <w:tc>
          <w:tcPr>
            <w:tcW w:w="6792" w:type="dxa"/>
            <w:vAlign w:val="center"/>
          </w:tcPr>
          <w:p>
            <w:pPr>
              <w:rPr>
                <w:rFonts w:ascii="仿宋" w:hAnsi="仿宋" w:eastAsia="仿宋" w:cs="仿宋"/>
                <w:kern w:val="0"/>
                <w:sz w:val="24"/>
                <w:szCs w:val="24"/>
              </w:rPr>
            </w:pPr>
            <w:r>
              <w:rPr>
                <w:rFonts w:hint="eastAsia" w:ascii="仿宋" w:hAnsi="仿宋" w:eastAsia="仿宋" w:cs="仿宋"/>
                <w:kern w:val="0"/>
                <w:sz w:val="24"/>
                <w:szCs w:val="24"/>
              </w:rPr>
              <w:t>支持对全院运营决策指标统计口径、计算公式的解释说明；</w:t>
            </w:r>
          </w:p>
          <w:p>
            <w:pPr>
              <w:rPr>
                <w:rFonts w:ascii="仿宋" w:hAnsi="仿宋" w:eastAsia="仿宋" w:cs="仿宋"/>
                <w:bCs/>
                <w:kern w:val="0"/>
                <w:sz w:val="24"/>
                <w:szCs w:val="24"/>
              </w:rPr>
            </w:pPr>
            <w:r>
              <w:rPr>
                <w:rFonts w:hint="eastAsia" w:ascii="仿宋" w:hAnsi="仿宋" w:eastAsia="仿宋" w:cs="仿宋"/>
                <w:kern w:val="0"/>
                <w:sz w:val="24"/>
                <w:szCs w:val="24"/>
              </w:rPr>
              <w:t>支持全院运营决策指标血缘分析，可查询指标来源数据；</w:t>
            </w:r>
          </w:p>
          <w:p>
            <w:pPr>
              <w:rPr>
                <w:rFonts w:ascii="仿宋" w:hAnsi="仿宋" w:eastAsia="仿宋" w:cs="仿宋"/>
                <w:bCs/>
                <w:kern w:val="0"/>
                <w:sz w:val="24"/>
                <w:szCs w:val="24"/>
              </w:rPr>
            </w:pPr>
            <w:r>
              <w:rPr>
                <w:rFonts w:hint="eastAsia" w:ascii="仿宋" w:hAnsi="仿宋" w:eastAsia="仿宋" w:cs="仿宋"/>
                <w:kern w:val="0"/>
                <w:sz w:val="24"/>
                <w:szCs w:val="24"/>
              </w:rPr>
              <w:t>支持对全院运营决策指标的变化情况分析；</w:t>
            </w:r>
          </w:p>
          <w:p>
            <w:pPr>
              <w:rPr>
                <w:rFonts w:ascii="仿宋" w:hAnsi="仿宋" w:eastAsia="仿宋" w:cs="仿宋"/>
                <w:bCs/>
                <w:kern w:val="0"/>
                <w:sz w:val="24"/>
                <w:szCs w:val="24"/>
              </w:rPr>
            </w:pPr>
            <w:r>
              <w:rPr>
                <w:rFonts w:hint="eastAsia" w:ascii="仿宋" w:hAnsi="仿宋" w:eastAsia="仿宋" w:cs="仿宋"/>
                <w:kern w:val="0"/>
                <w:sz w:val="24"/>
                <w:szCs w:val="24"/>
              </w:rPr>
              <w:t>支持全院运营决策指标多维分析，包括但不限于时间、院区、科室/病区、分类等多种维度分析；</w:t>
            </w:r>
          </w:p>
          <w:p>
            <w:pPr>
              <w:rPr>
                <w:rFonts w:ascii="仿宋" w:hAnsi="仿宋" w:eastAsia="仿宋" w:cs="仿宋"/>
                <w:bCs/>
                <w:kern w:val="0"/>
                <w:sz w:val="24"/>
                <w:szCs w:val="24"/>
              </w:rPr>
            </w:pPr>
            <w:r>
              <w:rPr>
                <w:rFonts w:hint="eastAsia" w:ascii="仿宋" w:hAnsi="仿宋" w:eastAsia="仿宋" w:cs="仿宋"/>
                <w:bCs/>
                <w:kern w:val="0"/>
                <w:sz w:val="24"/>
                <w:szCs w:val="24"/>
              </w:rPr>
              <w:t>支持全院运营</w:t>
            </w:r>
            <w:r>
              <w:rPr>
                <w:rFonts w:hint="eastAsia" w:ascii="仿宋" w:hAnsi="仿宋" w:eastAsia="仿宋" w:cs="仿宋"/>
                <w:kern w:val="0"/>
                <w:sz w:val="24"/>
                <w:szCs w:val="24"/>
              </w:rPr>
              <w:t>决策</w:t>
            </w:r>
            <w:r>
              <w:rPr>
                <w:rFonts w:hint="eastAsia" w:ascii="仿宋" w:hAnsi="仿宋" w:eastAsia="仿宋" w:cs="仿宋"/>
                <w:bCs/>
                <w:kern w:val="0"/>
                <w:sz w:val="24"/>
                <w:szCs w:val="24"/>
              </w:rPr>
              <w:t>指标数据对比功能；</w:t>
            </w:r>
          </w:p>
          <w:p>
            <w:pPr>
              <w:contextualSpacing/>
              <w:rPr>
                <w:rFonts w:ascii="仿宋" w:hAnsi="仿宋" w:eastAsia="仿宋" w:cs="仿宋"/>
                <w:bCs/>
                <w:kern w:val="0"/>
                <w:sz w:val="24"/>
                <w:szCs w:val="24"/>
              </w:rPr>
            </w:pPr>
            <w:r>
              <w:rPr>
                <w:rFonts w:hint="eastAsia" w:ascii="仿宋" w:hAnsi="仿宋" w:eastAsia="仿宋" w:cs="仿宋"/>
                <w:kern w:val="0"/>
                <w:sz w:val="24"/>
                <w:szCs w:val="24"/>
              </w:rPr>
              <w:t>★分析图表支持图表转换、参考线设置、排序、数据导出、下钻的功能；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明细列表</w:t>
            </w:r>
          </w:p>
        </w:tc>
        <w:tc>
          <w:tcPr>
            <w:tcW w:w="6792" w:type="dxa"/>
            <w:vAlign w:val="center"/>
          </w:tcPr>
          <w:p>
            <w:pPr>
              <w:rPr>
                <w:rFonts w:ascii="仿宋" w:hAnsi="仿宋" w:eastAsia="仿宋" w:cs="仿宋"/>
                <w:bCs/>
                <w:kern w:val="0"/>
                <w:sz w:val="24"/>
                <w:szCs w:val="24"/>
              </w:rPr>
            </w:pPr>
            <w:r>
              <w:rPr>
                <w:rFonts w:hint="eastAsia" w:ascii="仿宋" w:hAnsi="仿宋" w:eastAsia="仿宋" w:cs="仿宋"/>
                <w:kern w:val="0"/>
                <w:sz w:val="24"/>
                <w:szCs w:val="24"/>
              </w:rPr>
              <w:t>全院运营决策管理</w:t>
            </w:r>
            <w:r>
              <w:rPr>
                <w:rFonts w:hint="eastAsia" w:ascii="仿宋" w:hAnsi="仿宋" w:eastAsia="仿宋" w:cs="仿宋"/>
                <w:bCs/>
                <w:kern w:val="0"/>
                <w:sz w:val="24"/>
                <w:szCs w:val="24"/>
              </w:rPr>
              <w:t>支持排序、导出、多级下钻功能；</w:t>
            </w:r>
          </w:p>
          <w:p>
            <w:pPr>
              <w:rPr>
                <w:rFonts w:ascii="仿宋" w:hAnsi="仿宋" w:eastAsia="仿宋" w:cs="仿宋"/>
                <w:bCs/>
                <w:kern w:val="0"/>
                <w:sz w:val="24"/>
                <w:szCs w:val="24"/>
              </w:rPr>
            </w:pPr>
            <w:r>
              <w:rPr>
                <w:rFonts w:hint="eastAsia" w:ascii="仿宋" w:hAnsi="仿宋" w:eastAsia="仿宋" w:cs="仿宋"/>
                <w:kern w:val="0"/>
                <w:sz w:val="24"/>
                <w:szCs w:val="24"/>
              </w:rPr>
              <w:t>全院运营决策管理</w:t>
            </w:r>
            <w:r>
              <w:rPr>
                <w:rFonts w:hint="eastAsia" w:ascii="仿宋" w:hAnsi="仿宋" w:eastAsia="仿宋" w:cs="仿宋"/>
                <w:bCs/>
                <w:kern w:val="0"/>
                <w:sz w:val="24"/>
                <w:szCs w:val="24"/>
              </w:rPr>
              <w:t>支持多重限制条件下的筛选、搜索查询功能；</w:t>
            </w:r>
          </w:p>
          <w:p>
            <w:pPr>
              <w:contextualSpacing/>
              <w:rPr>
                <w:rFonts w:ascii="仿宋" w:hAnsi="仿宋" w:eastAsia="仿宋" w:cs="仿宋"/>
                <w:bCs/>
                <w:kern w:val="0"/>
                <w:sz w:val="24"/>
                <w:szCs w:val="24"/>
              </w:rPr>
            </w:pPr>
            <w:r>
              <w:rPr>
                <w:rFonts w:hint="eastAsia" w:ascii="仿宋" w:hAnsi="仿宋" w:eastAsia="仿宋" w:cs="仿宋"/>
                <w:kern w:val="0"/>
                <w:sz w:val="24"/>
                <w:szCs w:val="24"/>
              </w:rPr>
              <w:t>全院运营决策管理</w:t>
            </w:r>
            <w:r>
              <w:rPr>
                <w:rFonts w:hint="eastAsia" w:ascii="仿宋" w:hAnsi="仿宋" w:eastAsia="仿宋" w:cs="仿宋"/>
                <w:bCs/>
                <w:kern w:val="0"/>
                <w:sz w:val="24"/>
                <w:szCs w:val="24"/>
              </w:rPr>
              <w:t>支持对明细列表的显示列进行编辑，包括显示字段、字段位置、单位等。</w:t>
            </w:r>
          </w:p>
        </w:tc>
      </w:tr>
    </w:tbl>
    <w:p>
      <w:pPr>
        <w:pStyle w:val="10"/>
        <w:rPr>
          <w:rFonts w:ascii="仿宋" w:hAnsi="仿宋" w:eastAsia="仿宋" w:cs="仿宋"/>
          <w:szCs w:val="24"/>
        </w:rPr>
      </w:pPr>
    </w:p>
    <w:p>
      <w:pPr>
        <w:pStyle w:val="5"/>
        <w:keepLines/>
        <w:spacing w:line="360" w:lineRule="auto"/>
        <w:ind w:firstLine="482" w:firstLineChars="200"/>
        <w:rPr>
          <w:rFonts w:ascii="仿宋" w:hAnsi="仿宋" w:eastAsia="仿宋" w:cs="仿宋"/>
          <w:sz w:val="24"/>
          <w:szCs w:val="24"/>
        </w:rPr>
      </w:pPr>
      <w:bookmarkStart w:id="402" w:name="_Toc5782"/>
      <w:r>
        <w:rPr>
          <w:rFonts w:hint="eastAsia" w:ascii="仿宋" w:hAnsi="仿宋" w:eastAsia="仿宋" w:cs="仿宋"/>
          <w:sz w:val="24"/>
          <w:szCs w:val="24"/>
        </w:rPr>
        <w:t>3、门急诊运营决策管理系统</w:t>
      </w:r>
      <w:bookmarkEnd w:id="402"/>
    </w:p>
    <w:p>
      <w:pPr>
        <w:spacing w:before="120" w:after="120" w:line="360" w:lineRule="auto"/>
        <w:ind w:firstLine="357"/>
        <w:contextualSpacing/>
        <w:rPr>
          <w:rFonts w:ascii="仿宋" w:hAnsi="仿宋" w:eastAsia="仿宋" w:cs="仿宋"/>
          <w:bCs/>
          <w:sz w:val="24"/>
          <w:szCs w:val="24"/>
        </w:rPr>
      </w:pPr>
      <w:r>
        <w:rPr>
          <w:rFonts w:hint="eastAsia" w:ascii="仿宋" w:hAnsi="仿宋" w:eastAsia="仿宋" w:cs="仿宋"/>
          <w:bCs/>
          <w:sz w:val="24"/>
          <w:szCs w:val="24"/>
        </w:rPr>
        <w:t>门急诊运营决策管理系统从门急诊业务量、门急诊费用、门诊预约的角度进行分析管理，为提高医院就诊效率、合理安排预约、优化资源配置提供管理决策支持。支持全院管理者、门办、科主任管理者对本院、本科室的门急诊相关内容进行管理。具体功能如下：</w:t>
      </w:r>
    </w:p>
    <w:tbl>
      <w:tblPr>
        <w:tblStyle w:val="27"/>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8" w:type="dxa"/>
            <w:shd w:val="clear" w:color="auto" w:fill="D8D8D8" w:themeFill="background1" w:themeFillShade="D9"/>
            <w:vAlign w:val="center"/>
          </w:tcPr>
          <w:p>
            <w:pPr>
              <w:jc w:val="center"/>
              <w:rPr>
                <w:rFonts w:ascii="仿宋" w:hAnsi="仿宋" w:eastAsia="仿宋" w:cs="仿宋"/>
                <w:b/>
                <w:kern w:val="0"/>
                <w:sz w:val="24"/>
                <w:szCs w:val="24"/>
              </w:rPr>
            </w:pPr>
            <w:r>
              <w:rPr>
                <w:rFonts w:hint="eastAsia" w:ascii="仿宋" w:hAnsi="仿宋" w:eastAsia="仿宋" w:cs="仿宋"/>
                <w:b/>
                <w:kern w:val="0"/>
                <w:sz w:val="24"/>
                <w:szCs w:val="24"/>
              </w:rPr>
              <w:t>功能列表</w:t>
            </w:r>
          </w:p>
        </w:tc>
        <w:tc>
          <w:tcPr>
            <w:tcW w:w="6792" w:type="dxa"/>
            <w:shd w:val="clear" w:color="auto" w:fill="D8D8D8" w:themeFill="background1" w:themeFillShade="D9"/>
            <w:vAlign w:val="center"/>
          </w:tcPr>
          <w:p>
            <w:pPr>
              <w:jc w:val="center"/>
              <w:rPr>
                <w:rFonts w:ascii="仿宋" w:hAnsi="仿宋" w:eastAsia="仿宋" w:cs="仿宋"/>
                <w:b/>
                <w:kern w:val="0"/>
                <w:sz w:val="24"/>
                <w:szCs w:val="24"/>
              </w:rPr>
            </w:pPr>
            <w:r>
              <w:rPr>
                <w:rFonts w:hint="eastAsia" w:ascii="仿宋" w:hAnsi="仿宋" w:eastAsia="仿宋" w:cs="仿宋"/>
                <w:b/>
                <w:kern w:val="0"/>
                <w:sz w:val="24"/>
                <w:szCs w:val="24"/>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门急诊业务量分析</w:t>
            </w:r>
          </w:p>
        </w:tc>
        <w:tc>
          <w:tcPr>
            <w:tcW w:w="6792" w:type="dxa"/>
            <w:vAlign w:val="center"/>
          </w:tcPr>
          <w:p>
            <w:pPr>
              <w:contextualSpacing/>
              <w:rPr>
                <w:rFonts w:ascii="仿宋" w:hAnsi="仿宋" w:eastAsia="仿宋" w:cs="仿宋"/>
                <w:bCs/>
                <w:kern w:val="0"/>
                <w:sz w:val="24"/>
                <w:szCs w:val="24"/>
              </w:rPr>
            </w:pPr>
            <w:r>
              <w:rPr>
                <w:rFonts w:hint="eastAsia" w:ascii="仿宋" w:hAnsi="仿宋" w:eastAsia="仿宋" w:cs="仿宋"/>
                <w:bCs/>
                <w:kern w:val="0"/>
                <w:sz w:val="24"/>
                <w:szCs w:val="24"/>
              </w:rPr>
              <w:t>分析范围：人次、手术量等相关指标分析；</w:t>
            </w:r>
          </w:p>
          <w:p>
            <w:pPr>
              <w:contextualSpacing/>
              <w:rPr>
                <w:rFonts w:ascii="仿宋" w:hAnsi="仿宋" w:eastAsia="仿宋" w:cs="仿宋"/>
                <w:bCs/>
                <w:kern w:val="0"/>
                <w:sz w:val="24"/>
                <w:szCs w:val="24"/>
              </w:rPr>
            </w:pPr>
            <w:r>
              <w:rPr>
                <w:rFonts w:hint="eastAsia" w:ascii="仿宋" w:hAnsi="仿宋" w:eastAsia="仿宋" w:cs="仿宋"/>
                <w:bCs/>
                <w:kern w:val="0"/>
                <w:sz w:val="24"/>
                <w:szCs w:val="24"/>
              </w:rPr>
              <w:t>支持人次、手术量支持按挂号类型/手术类型；</w:t>
            </w:r>
          </w:p>
          <w:p>
            <w:pPr>
              <w:contextualSpacing/>
              <w:rPr>
                <w:rFonts w:ascii="仿宋" w:hAnsi="仿宋" w:eastAsia="仿宋" w:cs="仿宋"/>
                <w:bCs/>
                <w:kern w:val="0"/>
                <w:sz w:val="24"/>
                <w:szCs w:val="24"/>
              </w:rPr>
            </w:pPr>
            <w:r>
              <w:rPr>
                <w:rFonts w:hint="eastAsia" w:ascii="仿宋" w:hAnsi="仿宋" w:eastAsia="仿宋" w:cs="仿宋"/>
                <w:kern w:val="0"/>
                <w:sz w:val="24"/>
                <w:szCs w:val="24"/>
              </w:rPr>
              <w:t>★</w:t>
            </w:r>
            <w:r>
              <w:rPr>
                <w:rFonts w:hint="eastAsia" w:ascii="仿宋" w:hAnsi="仿宋" w:eastAsia="仿宋" w:cs="仿宋"/>
                <w:bCs/>
                <w:kern w:val="0"/>
                <w:sz w:val="24"/>
                <w:szCs w:val="24"/>
              </w:rPr>
              <w:t>支持按时间（年、季度、月、日）趋势、患者年龄段等分析；</w:t>
            </w:r>
          </w:p>
          <w:p>
            <w:pPr>
              <w:contextualSpacing/>
              <w:rPr>
                <w:rFonts w:ascii="仿宋" w:hAnsi="仿宋" w:eastAsia="仿宋" w:cs="仿宋"/>
                <w:bCs/>
                <w:kern w:val="0"/>
                <w:sz w:val="24"/>
                <w:szCs w:val="24"/>
              </w:rPr>
            </w:pPr>
            <w:r>
              <w:rPr>
                <w:rFonts w:hint="eastAsia" w:ascii="仿宋" w:hAnsi="仿宋" w:eastAsia="仿宋" w:cs="仿宋"/>
                <w:bCs/>
                <w:kern w:val="0"/>
                <w:sz w:val="24"/>
                <w:szCs w:val="24"/>
              </w:rPr>
              <w:t>支持同期、同比、上期、环比、预算、预警值的对比，支持参考线设置、图表转换、数据导出等功能；</w:t>
            </w:r>
            <w:r>
              <w:rPr>
                <w:rFonts w:hint="eastAsia" w:ascii="仿宋" w:hAnsi="仿宋" w:eastAsia="仿宋" w:cs="仿宋"/>
                <w:kern w:val="0"/>
                <w:sz w:val="24"/>
                <w:szCs w:val="24"/>
                <w:lang w:val="zh-CN" w:bidi="zh-CN"/>
              </w:rPr>
              <w:t>（需提供功能界面截图佐证）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门急诊费用分析</w:t>
            </w:r>
          </w:p>
        </w:tc>
        <w:tc>
          <w:tcPr>
            <w:tcW w:w="6792" w:type="dxa"/>
            <w:vAlign w:val="center"/>
          </w:tcPr>
          <w:p>
            <w:pPr>
              <w:contextualSpacing/>
              <w:rPr>
                <w:rFonts w:ascii="仿宋" w:hAnsi="仿宋" w:eastAsia="仿宋" w:cs="仿宋"/>
                <w:bCs/>
                <w:kern w:val="0"/>
                <w:sz w:val="24"/>
                <w:szCs w:val="24"/>
              </w:rPr>
            </w:pPr>
            <w:r>
              <w:rPr>
                <w:rFonts w:hint="eastAsia" w:ascii="仿宋" w:hAnsi="仿宋" w:eastAsia="仿宋" w:cs="仿宋"/>
                <w:bCs/>
                <w:kern w:val="0"/>
                <w:sz w:val="24"/>
                <w:szCs w:val="24"/>
              </w:rPr>
              <w:t>分析范围包括：门急诊费用及增幅、门急诊次均费用及增幅、各类费用占比指标，包括但不限于药品、耗材、检验、检查类型；</w:t>
            </w:r>
          </w:p>
          <w:p>
            <w:pPr>
              <w:contextualSpacing/>
              <w:rPr>
                <w:rFonts w:ascii="仿宋" w:hAnsi="仿宋" w:eastAsia="仿宋" w:cs="仿宋"/>
                <w:bCs/>
                <w:kern w:val="0"/>
                <w:sz w:val="24"/>
                <w:szCs w:val="24"/>
              </w:rPr>
            </w:pPr>
            <w:r>
              <w:rPr>
                <w:rFonts w:hint="eastAsia" w:ascii="仿宋" w:hAnsi="仿宋" w:eastAsia="仿宋" w:cs="仿宋"/>
                <w:bCs/>
                <w:kern w:val="0"/>
                <w:sz w:val="24"/>
                <w:szCs w:val="24"/>
              </w:rPr>
              <w:t>支持按费用类型/收费项目、院区、科室、医生、时间（年、季度、月、日）趋势、医保、门急诊类型等分析；</w:t>
            </w:r>
          </w:p>
          <w:p>
            <w:pPr>
              <w:contextualSpacing/>
              <w:rPr>
                <w:rFonts w:ascii="仿宋" w:hAnsi="仿宋" w:eastAsia="仿宋" w:cs="仿宋"/>
                <w:bCs/>
                <w:kern w:val="0"/>
                <w:sz w:val="24"/>
                <w:szCs w:val="24"/>
              </w:rPr>
            </w:pPr>
            <w:r>
              <w:rPr>
                <w:rFonts w:hint="eastAsia" w:ascii="仿宋" w:hAnsi="仿宋" w:eastAsia="仿宋" w:cs="仿宋"/>
                <w:bCs/>
                <w:kern w:val="0"/>
                <w:sz w:val="24"/>
                <w:szCs w:val="24"/>
              </w:rPr>
              <w:t>支持同期、同比、上期、环比、预算、预警值的对比，支持参考线设置、图表转换、数据导出等功能；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门诊预约分析</w:t>
            </w:r>
          </w:p>
        </w:tc>
        <w:tc>
          <w:tcPr>
            <w:tcW w:w="6792" w:type="dxa"/>
            <w:vAlign w:val="center"/>
          </w:tcPr>
          <w:p>
            <w:pPr>
              <w:contextualSpacing/>
              <w:rPr>
                <w:rFonts w:ascii="仿宋" w:hAnsi="仿宋" w:eastAsia="仿宋" w:cs="仿宋"/>
                <w:bCs/>
                <w:kern w:val="0"/>
                <w:sz w:val="24"/>
                <w:szCs w:val="24"/>
              </w:rPr>
            </w:pPr>
            <w:r>
              <w:rPr>
                <w:rFonts w:hint="eastAsia" w:ascii="仿宋" w:hAnsi="仿宋" w:eastAsia="仿宋" w:cs="仿宋"/>
                <w:bCs/>
                <w:kern w:val="0"/>
                <w:sz w:val="24"/>
                <w:szCs w:val="24"/>
              </w:rPr>
              <w:t>分析范围包括：门诊预约人次、门诊预约率、预约类型、爽约人次、门诊患者预约后平均等待时间的分析；</w:t>
            </w:r>
          </w:p>
          <w:p>
            <w:pPr>
              <w:contextualSpacing/>
              <w:rPr>
                <w:rFonts w:ascii="仿宋" w:hAnsi="仿宋" w:eastAsia="仿宋" w:cs="仿宋"/>
                <w:bCs/>
                <w:kern w:val="0"/>
                <w:sz w:val="24"/>
                <w:szCs w:val="24"/>
              </w:rPr>
            </w:pPr>
            <w:r>
              <w:rPr>
                <w:rFonts w:hint="eastAsia" w:ascii="仿宋" w:hAnsi="仿宋" w:eastAsia="仿宋" w:cs="仿宋"/>
                <w:bCs/>
                <w:kern w:val="0"/>
                <w:sz w:val="24"/>
                <w:szCs w:val="24"/>
              </w:rPr>
              <w:t>支持按院区、科室、医生、时间（年、季度、月、日）趋势、医保、患者年龄段等分析，支持同期、同比、上期、环比、预算、预警值的对比，支持参考线设置、图表转换、数据导出等功能；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kern w:val="0"/>
                <w:sz w:val="24"/>
                <w:szCs w:val="24"/>
              </w:rPr>
              <w:t>指标分析</w:t>
            </w:r>
          </w:p>
        </w:tc>
        <w:tc>
          <w:tcPr>
            <w:tcW w:w="6792" w:type="dxa"/>
            <w:vAlign w:val="center"/>
          </w:tcPr>
          <w:p>
            <w:pPr>
              <w:rPr>
                <w:rFonts w:ascii="仿宋" w:hAnsi="仿宋" w:eastAsia="仿宋" w:cs="仿宋"/>
                <w:kern w:val="0"/>
                <w:sz w:val="24"/>
                <w:szCs w:val="24"/>
              </w:rPr>
            </w:pPr>
            <w:r>
              <w:rPr>
                <w:rFonts w:hint="eastAsia" w:ascii="仿宋" w:hAnsi="仿宋" w:eastAsia="仿宋" w:cs="仿宋"/>
                <w:kern w:val="0"/>
                <w:sz w:val="24"/>
                <w:szCs w:val="24"/>
              </w:rPr>
              <w:t>支持对门急诊运营指标统计口径、计算公式的解释说明；</w:t>
            </w:r>
          </w:p>
          <w:p>
            <w:pPr>
              <w:rPr>
                <w:rFonts w:ascii="仿宋" w:hAnsi="仿宋" w:eastAsia="仿宋" w:cs="仿宋"/>
                <w:bCs/>
                <w:kern w:val="0"/>
                <w:sz w:val="24"/>
                <w:szCs w:val="24"/>
              </w:rPr>
            </w:pPr>
            <w:r>
              <w:rPr>
                <w:rFonts w:hint="eastAsia" w:ascii="仿宋" w:hAnsi="仿宋" w:eastAsia="仿宋" w:cs="仿宋"/>
                <w:kern w:val="0"/>
                <w:sz w:val="24"/>
                <w:szCs w:val="24"/>
              </w:rPr>
              <w:t>支持门急诊运营指标血缘分析，可查询指标来源数据；</w:t>
            </w:r>
          </w:p>
          <w:p>
            <w:pPr>
              <w:rPr>
                <w:rFonts w:ascii="仿宋" w:hAnsi="仿宋" w:eastAsia="仿宋" w:cs="仿宋"/>
                <w:bCs/>
                <w:kern w:val="0"/>
                <w:sz w:val="24"/>
                <w:szCs w:val="24"/>
              </w:rPr>
            </w:pPr>
            <w:r>
              <w:rPr>
                <w:rFonts w:hint="eastAsia" w:ascii="仿宋" w:hAnsi="仿宋" w:eastAsia="仿宋" w:cs="仿宋"/>
                <w:kern w:val="0"/>
                <w:sz w:val="24"/>
                <w:szCs w:val="24"/>
              </w:rPr>
              <w:t>支持对门急诊运营指标的变化情况分析；</w:t>
            </w:r>
          </w:p>
          <w:p>
            <w:pPr>
              <w:rPr>
                <w:rFonts w:ascii="仿宋" w:hAnsi="仿宋" w:eastAsia="仿宋" w:cs="仿宋"/>
                <w:bCs/>
                <w:kern w:val="0"/>
                <w:sz w:val="24"/>
                <w:szCs w:val="24"/>
              </w:rPr>
            </w:pPr>
            <w:r>
              <w:rPr>
                <w:rFonts w:hint="eastAsia" w:ascii="仿宋" w:hAnsi="仿宋" w:eastAsia="仿宋" w:cs="仿宋"/>
                <w:kern w:val="0"/>
                <w:sz w:val="24"/>
                <w:szCs w:val="24"/>
              </w:rPr>
              <w:t>支持门急诊运营指标多维分析，包括但不限于时间、院区、科室/病区、分类等多种维度分析；</w:t>
            </w:r>
          </w:p>
          <w:p>
            <w:pPr>
              <w:rPr>
                <w:rFonts w:ascii="仿宋" w:hAnsi="仿宋" w:eastAsia="仿宋" w:cs="仿宋"/>
                <w:bCs/>
                <w:kern w:val="0"/>
                <w:sz w:val="24"/>
                <w:szCs w:val="24"/>
              </w:rPr>
            </w:pPr>
            <w:r>
              <w:rPr>
                <w:rFonts w:hint="eastAsia" w:ascii="仿宋" w:hAnsi="仿宋" w:eastAsia="仿宋" w:cs="仿宋"/>
                <w:bCs/>
                <w:kern w:val="0"/>
                <w:sz w:val="24"/>
                <w:szCs w:val="24"/>
              </w:rPr>
              <w:t>支持</w:t>
            </w:r>
            <w:r>
              <w:rPr>
                <w:rFonts w:hint="eastAsia" w:ascii="仿宋" w:hAnsi="仿宋" w:eastAsia="仿宋" w:cs="仿宋"/>
                <w:kern w:val="0"/>
                <w:sz w:val="24"/>
                <w:szCs w:val="24"/>
              </w:rPr>
              <w:t>门急诊运营</w:t>
            </w:r>
            <w:r>
              <w:rPr>
                <w:rFonts w:hint="eastAsia" w:ascii="仿宋" w:hAnsi="仿宋" w:eastAsia="仿宋" w:cs="仿宋"/>
                <w:bCs/>
                <w:kern w:val="0"/>
                <w:sz w:val="24"/>
                <w:szCs w:val="24"/>
              </w:rPr>
              <w:t>指标数据对比功能；</w:t>
            </w:r>
          </w:p>
          <w:p>
            <w:pPr>
              <w:contextualSpacing/>
              <w:rPr>
                <w:rFonts w:ascii="仿宋" w:hAnsi="仿宋" w:eastAsia="仿宋" w:cs="仿宋"/>
                <w:bCs/>
                <w:kern w:val="0"/>
                <w:sz w:val="24"/>
                <w:szCs w:val="24"/>
              </w:rPr>
            </w:pPr>
            <w:r>
              <w:rPr>
                <w:rFonts w:hint="eastAsia" w:ascii="仿宋" w:hAnsi="仿宋" w:eastAsia="仿宋" w:cs="仿宋"/>
                <w:kern w:val="0"/>
                <w:sz w:val="24"/>
                <w:szCs w:val="24"/>
              </w:rPr>
              <w:t>分析图表支持图表转换、参考线设置、排序、数据导出、下钻的功能；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明细列表</w:t>
            </w:r>
          </w:p>
        </w:tc>
        <w:tc>
          <w:tcPr>
            <w:tcW w:w="6792" w:type="dxa"/>
            <w:vAlign w:val="center"/>
          </w:tcPr>
          <w:p>
            <w:pPr>
              <w:rPr>
                <w:rFonts w:ascii="仿宋" w:hAnsi="仿宋" w:eastAsia="仿宋" w:cs="仿宋"/>
                <w:bCs/>
                <w:kern w:val="0"/>
                <w:sz w:val="24"/>
                <w:szCs w:val="24"/>
              </w:rPr>
            </w:pPr>
            <w:r>
              <w:rPr>
                <w:rFonts w:hint="eastAsia" w:ascii="仿宋" w:hAnsi="仿宋" w:eastAsia="仿宋" w:cs="仿宋"/>
                <w:kern w:val="0"/>
                <w:sz w:val="24"/>
                <w:szCs w:val="24"/>
              </w:rPr>
              <w:t>门急诊运营决策</w:t>
            </w:r>
            <w:r>
              <w:rPr>
                <w:rFonts w:hint="eastAsia" w:ascii="仿宋" w:hAnsi="仿宋" w:eastAsia="仿宋" w:cs="仿宋"/>
                <w:bCs/>
                <w:kern w:val="0"/>
                <w:sz w:val="24"/>
                <w:szCs w:val="24"/>
              </w:rPr>
              <w:t>支持排序、导出、多级下钻功能；</w:t>
            </w:r>
          </w:p>
          <w:p>
            <w:pPr>
              <w:rPr>
                <w:rFonts w:ascii="仿宋" w:hAnsi="仿宋" w:eastAsia="仿宋" w:cs="仿宋"/>
                <w:bCs/>
                <w:kern w:val="0"/>
                <w:sz w:val="24"/>
                <w:szCs w:val="24"/>
              </w:rPr>
            </w:pPr>
            <w:r>
              <w:rPr>
                <w:rFonts w:hint="eastAsia" w:ascii="仿宋" w:hAnsi="仿宋" w:eastAsia="仿宋" w:cs="仿宋"/>
                <w:kern w:val="0"/>
                <w:sz w:val="24"/>
                <w:szCs w:val="24"/>
              </w:rPr>
              <w:t>门急诊运营决策</w:t>
            </w:r>
            <w:r>
              <w:rPr>
                <w:rFonts w:hint="eastAsia" w:ascii="仿宋" w:hAnsi="仿宋" w:eastAsia="仿宋" w:cs="仿宋"/>
                <w:bCs/>
                <w:kern w:val="0"/>
                <w:sz w:val="24"/>
                <w:szCs w:val="24"/>
              </w:rPr>
              <w:t>支持多重限制条件下的筛选、搜索查询功能；</w:t>
            </w:r>
          </w:p>
          <w:p>
            <w:pPr>
              <w:contextualSpacing/>
              <w:rPr>
                <w:rFonts w:ascii="仿宋" w:hAnsi="仿宋" w:eastAsia="仿宋" w:cs="仿宋"/>
                <w:bCs/>
                <w:kern w:val="0"/>
                <w:sz w:val="24"/>
                <w:szCs w:val="24"/>
              </w:rPr>
            </w:pPr>
            <w:r>
              <w:rPr>
                <w:rFonts w:hint="eastAsia" w:ascii="仿宋" w:hAnsi="仿宋" w:eastAsia="仿宋" w:cs="仿宋"/>
                <w:kern w:val="0"/>
                <w:sz w:val="24"/>
                <w:szCs w:val="24"/>
              </w:rPr>
              <w:t>门急诊运营决策</w:t>
            </w:r>
            <w:r>
              <w:rPr>
                <w:rFonts w:hint="eastAsia" w:ascii="仿宋" w:hAnsi="仿宋" w:eastAsia="仿宋" w:cs="仿宋"/>
                <w:bCs/>
                <w:kern w:val="0"/>
                <w:sz w:val="24"/>
                <w:szCs w:val="24"/>
              </w:rPr>
              <w:t>支持对明细列表的显示列进行编辑，包括显示字段、字段位置、单位等。</w:t>
            </w:r>
          </w:p>
        </w:tc>
      </w:tr>
    </w:tbl>
    <w:p>
      <w:pPr>
        <w:pStyle w:val="5"/>
        <w:keepLines/>
        <w:spacing w:line="360" w:lineRule="auto"/>
        <w:ind w:firstLine="482" w:firstLineChars="200"/>
        <w:jc w:val="both"/>
        <w:rPr>
          <w:rFonts w:ascii="仿宋" w:hAnsi="仿宋" w:eastAsia="仿宋" w:cs="仿宋"/>
          <w:sz w:val="24"/>
          <w:szCs w:val="24"/>
        </w:rPr>
      </w:pPr>
      <w:bookmarkStart w:id="403" w:name="_Toc17615"/>
      <w:r>
        <w:rPr>
          <w:rFonts w:hint="eastAsia" w:ascii="仿宋" w:hAnsi="仿宋" w:eastAsia="仿宋" w:cs="仿宋"/>
          <w:sz w:val="24"/>
          <w:szCs w:val="24"/>
        </w:rPr>
        <w:t>4、住院运营决策管理系统</w:t>
      </w:r>
      <w:bookmarkEnd w:id="403"/>
    </w:p>
    <w:p>
      <w:pPr>
        <w:spacing w:before="120" w:after="120" w:line="360" w:lineRule="auto"/>
        <w:ind w:firstLine="357"/>
        <w:contextualSpacing/>
        <w:rPr>
          <w:rFonts w:ascii="仿宋" w:hAnsi="仿宋" w:eastAsia="仿宋" w:cs="仿宋"/>
          <w:bCs/>
          <w:sz w:val="24"/>
          <w:szCs w:val="24"/>
        </w:rPr>
      </w:pPr>
      <w:r>
        <w:rPr>
          <w:rFonts w:hint="eastAsia" w:ascii="仿宋" w:hAnsi="仿宋" w:eastAsia="仿宋" w:cs="仿宋"/>
          <w:bCs/>
          <w:sz w:val="24"/>
          <w:szCs w:val="24"/>
        </w:rPr>
        <w:t>住院运营决策管理系统包括住院费用、住院业务量、床日分析等分析主题，支持全院管理者、医务管理者、科主任管理者等对本院、本科室的住院相关内容进行管理。具体功能如下：</w:t>
      </w:r>
    </w:p>
    <w:tbl>
      <w:tblPr>
        <w:tblStyle w:val="27"/>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8" w:type="dxa"/>
            <w:shd w:val="clear" w:color="auto" w:fill="D8D8D8" w:themeFill="background1" w:themeFillShade="D9"/>
            <w:vAlign w:val="center"/>
          </w:tcPr>
          <w:p>
            <w:pPr>
              <w:jc w:val="center"/>
              <w:rPr>
                <w:rFonts w:ascii="仿宋" w:hAnsi="仿宋" w:eastAsia="仿宋" w:cs="仿宋"/>
                <w:b/>
                <w:kern w:val="0"/>
                <w:sz w:val="24"/>
                <w:szCs w:val="24"/>
              </w:rPr>
            </w:pPr>
            <w:r>
              <w:rPr>
                <w:rFonts w:hint="eastAsia" w:ascii="仿宋" w:hAnsi="仿宋" w:eastAsia="仿宋" w:cs="仿宋"/>
                <w:b/>
                <w:kern w:val="0"/>
                <w:sz w:val="24"/>
                <w:szCs w:val="24"/>
              </w:rPr>
              <w:t>功能列表</w:t>
            </w:r>
          </w:p>
        </w:tc>
        <w:tc>
          <w:tcPr>
            <w:tcW w:w="6792" w:type="dxa"/>
            <w:shd w:val="clear" w:color="auto" w:fill="D8D8D8" w:themeFill="background1" w:themeFillShade="D9"/>
            <w:vAlign w:val="center"/>
          </w:tcPr>
          <w:p>
            <w:pPr>
              <w:jc w:val="center"/>
              <w:rPr>
                <w:rFonts w:ascii="仿宋" w:hAnsi="仿宋" w:eastAsia="仿宋" w:cs="仿宋"/>
                <w:b/>
                <w:kern w:val="0"/>
                <w:sz w:val="24"/>
                <w:szCs w:val="24"/>
              </w:rPr>
            </w:pPr>
            <w:r>
              <w:rPr>
                <w:rFonts w:hint="eastAsia" w:ascii="仿宋" w:hAnsi="仿宋" w:eastAsia="仿宋" w:cs="仿宋"/>
                <w:b/>
                <w:kern w:val="0"/>
                <w:sz w:val="24"/>
                <w:szCs w:val="24"/>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住院费用分析</w:t>
            </w:r>
          </w:p>
        </w:tc>
        <w:tc>
          <w:tcPr>
            <w:tcW w:w="6792" w:type="dxa"/>
            <w:vAlign w:val="center"/>
          </w:tcPr>
          <w:p>
            <w:pPr>
              <w:contextualSpacing/>
              <w:rPr>
                <w:rFonts w:ascii="仿宋" w:hAnsi="仿宋" w:eastAsia="仿宋" w:cs="仿宋"/>
                <w:bCs/>
                <w:kern w:val="0"/>
                <w:sz w:val="24"/>
                <w:szCs w:val="24"/>
              </w:rPr>
            </w:pPr>
            <w:r>
              <w:rPr>
                <w:rFonts w:hint="eastAsia" w:ascii="仿宋" w:hAnsi="仿宋" w:eastAsia="仿宋" w:cs="仿宋"/>
                <w:bCs/>
                <w:kern w:val="0"/>
                <w:sz w:val="24"/>
                <w:szCs w:val="24"/>
              </w:rPr>
              <w:t>分析范围包括：住院费用及增幅、住院次均费用及增幅、各类费用占比指标，包括但不限于药品、耗材、检验、检查类型；</w:t>
            </w:r>
          </w:p>
          <w:p>
            <w:pPr>
              <w:contextualSpacing/>
              <w:rPr>
                <w:rFonts w:ascii="仿宋" w:hAnsi="仿宋" w:eastAsia="仿宋" w:cs="仿宋"/>
                <w:bCs/>
                <w:kern w:val="0"/>
                <w:sz w:val="24"/>
                <w:szCs w:val="24"/>
              </w:rPr>
            </w:pPr>
            <w:r>
              <w:rPr>
                <w:rFonts w:hint="eastAsia" w:ascii="仿宋" w:hAnsi="仿宋" w:eastAsia="仿宋" w:cs="仿宋"/>
                <w:bCs/>
                <w:kern w:val="0"/>
                <w:sz w:val="24"/>
                <w:szCs w:val="24"/>
              </w:rPr>
              <w:t>按院区、科室、医生、时间（年、季度、月、日）趋势、医保等分析，支持同期、同比、上期、环比、预算、预警值的对比，支持参考线设置、图表转换、数据导出等功能；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住院业务量分析</w:t>
            </w:r>
          </w:p>
        </w:tc>
        <w:tc>
          <w:tcPr>
            <w:tcW w:w="6792" w:type="dxa"/>
            <w:vAlign w:val="center"/>
          </w:tcPr>
          <w:p>
            <w:pPr>
              <w:contextualSpacing/>
              <w:rPr>
                <w:rFonts w:ascii="仿宋" w:hAnsi="仿宋" w:eastAsia="仿宋" w:cs="仿宋"/>
                <w:bCs/>
                <w:kern w:val="0"/>
                <w:sz w:val="24"/>
                <w:szCs w:val="24"/>
              </w:rPr>
            </w:pPr>
            <w:r>
              <w:rPr>
                <w:rFonts w:hint="eastAsia" w:ascii="仿宋" w:hAnsi="仿宋" w:eastAsia="仿宋" w:cs="仿宋"/>
                <w:bCs/>
                <w:kern w:val="0"/>
                <w:sz w:val="24"/>
                <w:szCs w:val="24"/>
              </w:rPr>
              <w:t>分析范围包括：出院人次、出院患者占用总床日、手术量等业务量指标的分析；</w:t>
            </w:r>
          </w:p>
          <w:p>
            <w:pPr>
              <w:contextualSpacing/>
              <w:rPr>
                <w:rFonts w:ascii="仿宋" w:hAnsi="仿宋" w:eastAsia="仿宋" w:cs="仿宋"/>
                <w:bCs/>
                <w:kern w:val="0"/>
                <w:sz w:val="24"/>
                <w:szCs w:val="24"/>
              </w:rPr>
            </w:pPr>
            <w:r>
              <w:rPr>
                <w:rFonts w:hint="eastAsia" w:ascii="仿宋" w:hAnsi="仿宋" w:eastAsia="仿宋" w:cs="仿宋"/>
                <w:bCs/>
                <w:kern w:val="0"/>
                <w:sz w:val="24"/>
                <w:szCs w:val="24"/>
              </w:rPr>
              <w:t>★按院区、科室、医生、时间（年、季度、月、日）趋势、医保、床位类型/手术类型等分析，支持同期、同比、上期、环比、预算、预警值的对比，支持参考线设置、图表转换、数据导出等功能；</w:t>
            </w:r>
            <w:r>
              <w:rPr>
                <w:rFonts w:hint="eastAsia" w:ascii="仿宋" w:hAnsi="仿宋" w:eastAsia="仿宋" w:cs="仿宋"/>
                <w:kern w:val="0"/>
                <w:sz w:val="24"/>
                <w:szCs w:val="24"/>
                <w:lang w:val="zh-CN" w:bidi="zh-CN"/>
              </w:rPr>
              <w:t>（需提供功能界面截图佐证）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床日分析</w:t>
            </w:r>
          </w:p>
        </w:tc>
        <w:tc>
          <w:tcPr>
            <w:tcW w:w="6792" w:type="dxa"/>
            <w:vAlign w:val="center"/>
          </w:tcPr>
          <w:p>
            <w:pPr>
              <w:contextualSpacing/>
              <w:rPr>
                <w:rFonts w:ascii="仿宋" w:hAnsi="仿宋" w:eastAsia="仿宋" w:cs="仿宋"/>
                <w:bCs/>
                <w:kern w:val="0"/>
                <w:sz w:val="24"/>
                <w:szCs w:val="24"/>
              </w:rPr>
            </w:pPr>
            <w:r>
              <w:rPr>
                <w:rFonts w:hint="eastAsia" w:ascii="仿宋" w:hAnsi="仿宋" w:eastAsia="仿宋" w:cs="仿宋"/>
                <w:bCs/>
                <w:kern w:val="0"/>
                <w:sz w:val="24"/>
                <w:szCs w:val="24"/>
              </w:rPr>
              <w:t>分析范围包括：平均住院日、床位周转率、床位周转次数、床位使用率等与床位使用效率相关的指标分析（不少于5个）；</w:t>
            </w:r>
          </w:p>
          <w:p>
            <w:pPr>
              <w:contextualSpacing/>
              <w:rPr>
                <w:rFonts w:ascii="仿宋" w:hAnsi="仿宋" w:eastAsia="仿宋" w:cs="仿宋"/>
                <w:bCs/>
                <w:kern w:val="0"/>
                <w:sz w:val="24"/>
                <w:szCs w:val="24"/>
              </w:rPr>
            </w:pPr>
            <w:r>
              <w:rPr>
                <w:rFonts w:hint="eastAsia" w:ascii="仿宋" w:hAnsi="仿宋" w:eastAsia="仿宋" w:cs="仿宋"/>
                <w:bCs/>
                <w:kern w:val="0"/>
                <w:sz w:val="24"/>
                <w:szCs w:val="24"/>
              </w:rPr>
              <w:t>按院区、科室、时间（年、季度、月、日）趋势、床位类型等分析，支持同期、同比、上期、环比、预警值的对比，支持参考线设置、图表转换、数据导出等功能；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kern w:val="0"/>
                <w:sz w:val="24"/>
                <w:szCs w:val="24"/>
              </w:rPr>
              <w:t>指标分析</w:t>
            </w:r>
          </w:p>
        </w:tc>
        <w:tc>
          <w:tcPr>
            <w:tcW w:w="6792" w:type="dxa"/>
            <w:vAlign w:val="center"/>
          </w:tcPr>
          <w:p>
            <w:pPr>
              <w:rPr>
                <w:rFonts w:ascii="仿宋" w:hAnsi="仿宋" w:eastAsia="仿宋" w:cs="仿宋"/>
                <w:kern w:val="0"/>
                <w:sz w:val="24"/>
                <w:szCs w:val="24"/>
              </w:rPr>
            </w:pPr>
            <w:r>
              <w:rPr>
                <w:rFonts w:hint="eastAsia" w:ascii="仿宋" w:hAnsi="仿宋" w:eastAsia="仿宋" w:cs="仿宋"/>
                <w:kern w:val="0"/>
                <w:sz w:val="24"/>
                <w:szCs w:val="24"/>
              </w:rPr>
              <w:t>支持对住院运营决策指标统计口径、计算公式的解释说明；</w:t>
            </w:r>
          </w:p>
          <w:p>
            <w:pPr>
              <w:rPr>
                <w:rFonts w:ascii="仿宋" w:hAnsi="仿宋" w:eastAsia="仿宋" w:cs="仿宋"/>
                <w:bCs/>
                <w:kern w:val="0"/>
                <w:sz w:val="24"/>
                <w:szCs w:val="24"/>
              </w:rPr>
            </w:pPr>
            <w:r>
              <w:rPr>
                <w:rFonts w:hint="eastAsia" w:ascii="仿宋" w:hAnsi="仿宋" w:eastAsia="仿宋" w:cs="仿宋"/>
                <w:kern w:val="0"/>
                <w:sz w:val="24"/>
                <w:szCs w:val="24"/>
              </w:rPr>
              <w:t>支持住院运营决策指标血缘分析，可查询指标来源数据；</w:t>
            </w:r>
          </w:p>
          <w:p>
            <w:pPr>
              <w:rPr>
                <w:rFonts w:ascii="仿宋" w:hAnsi="仿宋" w:eastAsia="仿宋" w:cs="仿宋"/>
                <w:bCs/>
                <w:kern w:val="0"/>
                <w:sz w:val="24"/>
                <w:szCs w:val="24"/>
              </w:rPr>
            </w:pPr>
            <w:r>
              <w:rPr>
                <w:rFonts w:hint="eastAsia" w:ascii="仿宋" w:hAnsi="仿宋" w:eastAsia="仿宋" w:cs="仿宋"/>
                <w:kern w:val="0"/>
                <w:sz w:val="24"/>
                <w:szCs w:val="24"/>
              </w:rPr>
              <w:t>支持对住院运营决策指标的变化情况分析；</w:t>
            </w:r>
          </w:p>
          <w:p>
            <w:pPr>
              <w:rPr>
                <w:rFonts w:ascii="仿宋" w:hAnsi="仿宋" w:eastAsia="仿宋" w:cs="仿宋"/>
                <w:bCs/>
                <w:kern w:val="0"/>
                <w:sz w:val="24"/>
                <w:szCs w:val="24"/>
              </w:rPr>
            </w:pPr>
            <w:r>
              <w:rPr>
                <w:rFonts w:hint="eastAsia" w:ascii="仿宋" w:hAnsi="仿宋" w:eastAsia="仿宋" w:cs="仿宋"/>
                <w:kern w:val="0"/>
                <w:sz w:val="24"/>
                <w:szCs w:val="24"/>
              </w:rPr>
              <w:t>支持住院运营决策指标多维分析，包括但不限于时间、院区、科室/病区、分类等多种维度分析；</w:t>
            </w:r>
          </w:p>
          <w:p>
            <w:pPr>
              <w:rPr>
                <w:rFonts w:ascii="仿宋" w:hAnsi="仿宋" w:eastAsia="仿宋" w:cs="仿宋"/>
                <w:bCs/>
                <w:kern w:val="0"/>
                <w:sz w:val="24"/>
                <w:szCs w:val="24"/>
              </w:rPr>
            </w:pPr>
            <w:r>
              <w:rPr>
                <w:rFonts w:hint="eastAsia" w:ascii="仿宋" w:hAnsi="仿宋" w:eastAsia="仿宋" w:cs="仿宋"/>
                <w:bCs/>
                <w:kern w:val="0"/>
                <w:sz w:val="24"/>
                <w:szCs w:val="24"/>
              </w:rPr>
              <w:t>支持</w:t>
            </w:r>
            <w:r>
              <w:rPr>
                <w:rFonts w:hint="eastAsia" w:ascii="仿宋" w:hAnsi="仿宋" w:eastAsia="仿宋" w:cs="仿宋"/>
                <w:kern w:val="0"/>
                <w:sz w:val="24"/>
                <w:szCs w:val="24"/>
              </w:rPr>
              <w:t>住院运营决策</w:t>
            </w:r>
            <w:r>
              <w:rPr>
                <w:rFonts w:hint="eastAsia" w:ascii="仿宋" w:hAnsi="仿宋" w:eastAsia="仿宋" w:cs="仿宋"/>
                <w:bCs/>
                <w:kern w:val="0"/>
                <w:sz w:val="24"/>
                <w:szCs w:val="24"/>
              </w:rPr>
              <w:t>指标数据对比功能；</w:t>
            </w:r>
          </w:p>
          <w:p>
            <w:pPr>
              <w:contextualSpacing/>
              <w:rPr>
                <w:rFonts w:ascii="仿宋" w:hAnsi="仿宋" w:eastAsia="仿宋" w:cs="仿宋"/>
                <w:bCs/>
                <w:kern w:val="0"/>
                <w:sz w:val="24"/>
                <w:szCs w:val="24"/>
              </w:rPr>
            </w:pPr>
            <w:r>
              <w:rPr>
                <w:rFonts w:hint="eastAsia" w:ascii="仿宋" w:hAnsi="仿宋" w:eastAsia="仿宋" w:cs="仿宋"/>
                <w:kern w:val="0"/>
                <w:sz w:val="24"/>
                <w:szCs w:val="24"/>
              </w:rPr>
              <w:t>住院运营决策分析图表支持图表转换、参考线设置、排序、数据导出、下钻的功能。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明细列表</w:t>
            </w:r>
          </w:p>
        </w:tc>
        <w:tc>
          <w:tcPr>
            <w:tcW w:w="6792" w:type="dxa"/>
            <w:vAlign w:val="center"/>
          </w:tcPr>
          <w:p>
            <w:pPr>
              <w:rPr>
                <w:rFonts w:ascii="仿宋" w:hAnsi="仿宋" w:eastAsia="仿宋" w:cs="仿宋"/>
                <w:bCs/>
                <w:kern w:val="0"/>
                <w:sz w:val="24"/>
                <w:szCs w:val="24"/>
              </w:rPr>
            </w:pPr>
            <w:r>
              <w:rPr>
                <w:rFonts w:hint="eastAsia" w:ascii="仿宋" w:hAnsi="仿宋" w:eastAsia="仿宋" w:cs="仿宋"/>
                <w:bCs/>
                <w:kern w:val="0"/>
                <w:sz w:val="24"/>
                <w:szCs w:val="24"/>
              </w:rPr>
              <w:t>住院运营决策支持排序、导出、多级下钻功能；</w:t>
            </w:r>
          </w:p>
          <w:p>
            <w:pPr>
              <w:rPr>
                <w:rFonts w:ascii="仿宋" w:hAnsi="仿宋" w:eastAsia="仿宋" w:cs="仿宋"/>
                <w:bCs/>
                <w:kern w:val="0"/>
                <w:sz w:val="24"/>
                <w:szCs w:val="24"/>
              </w:rPr>
            </w:pPr>
            <w:r>
              <w:rPr>
                <w:rFonts w:hint="eastAsia" w:ascii="仿宋" w:hAnsi="仿宋" w:eastAsia="仿宋" w:cs="仿宋"/>
                <w:bCs/>
                <w:kern w:val="0"/>
                <w:sz w:val="24"/>
                <w:szCs w:val="24"/>
              </w:rPr>
              <w:t>住院运营决策支持多重限制条件下的筛选、搜索查询功能；</w:t>
            </w:r>
          </w:p>
          <w:p>
            <w:pPr>
              <w:contextualSpacing/>
              <w:rPr>
                <w:rFonts w:ascii="仿宋" w:hAnsi="仿宋" w:eastAsia="仿宋" w:cs="仿宋"/>
                <w:bCs/>
                <w:kern w:val="0"/>
                <w:sz w:val="24"/>
                <w:szCs w:val="24"/>
              </w:rPr>
            </w:pPr>
            <w:r>
              <w:rPr>
                <w:rFonts w:hint="eastAsia" w:ascii="仿宋" w:hAnsi="仿宋" w:eastAsia="仿宋" w:cs="仿宋"/>
                <w:bCs/>
                <w:kern w:val="0"/>
                <w:sz w:val="24"/>
                <w:szCs w:val="24"/>
              </w:rPr>
              <w:t>住院运营决策支持对明细列表的显示列进行编辑，包括显示字段、字段位置、单位等。</w:t>
            </w:r>
          </w:p>
        </w:tc>
      </w:tr>
    </w:tbl>
    <w:p>
      <w:pPr>
        <w:pStyle w:val="5"/>
        <w:keepLines/>
        <w:spacing w:line="360" w:lineRule="auto"/>
        <w:ind w:firstLine="482" w:firstLineChars="200"/>
        <w:rPr>
          <w:rFonts w:ascii="仿宋" w:hAnsi="仿宋" w:eastAsia="仿宋" w:cs="仿宋"/>
          <w:sz w:val="24"/>
          <w:szCs w:val="24"/>
        </w:rPr>
      </w:pPr>
      <w:bookmarkStart w:id="404" w:name="_Toc4937"/>
      <w:r>
        <w:rPr>
          <w:rFonts w:hint="eastAsia" w:ascii="仿宋" w:hAnsi="仿宋" w:eastAsia="仿宋" w:cs="仿宋"/>
          <w:sz w:val="24"/>
          <w:szCs w:val="24"/>
        </w:rPr>
        <w:t>5、药品决策分析管理系统</w:t>
      </w:r>
      <w:bookmarkEnd w:id="404"/>
    </w:p>
    <w:p>
      <w:pPr>
        <w:spacing w:before="120" w:after="120" w:line="360" w:lineRule="auto"/>
        <w:ind w:firstLine="357"/>
        <w:contextualSpacing/>
        <w:rPr>
          <w:rFonts w:ascii="仿宋" w:hAnsi="仿宋" w:eastAsia="仿宋" w:cs="仿宋"/>
          <w:bCs/>
          <w:sz w:val="24"/>
          <w:szCs w:val="24"/>
        </w:rPr>
      </w:pPr>
      <w:r>
        <w:rPr>
          <w:rFonts w:hint="eastAsia" w:ascii="仿宋" w:hAnsi="仿宋" w:eastAsia="仿宋" w:cs="仿宋"/>
          <w:bCs/>
          <w:sz w:val="24"/>
          <w:szCs w:val="24"/>
        </w:rPr>
        <w:t>药品决策分析管理系统包括全院药品费用、门急诊药品费用、住院药品费用、抗菌药品费用、辅助用药、基药等分析主题，支持全院管理者、医务、药剂、科主任管理者等对本院、本科室相关内容进行管理。具体功能如下：</w:t>
      </w:r>
    </w:p>
    <w:tbl>
      <w:tblPr>
        <w:tblStyle w:val="27"/>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8" w:type="dxa"/>
            <w:shd w:val="clear" w:color="auto" w:fill="D8D8D8" w:themeFill="background1" w:themeFillShade="D9"/>
            <w:vAlign w:val="center"/>
          </w:tcPr>
          <w:p>
            <w:pPr>
              <w:jc w:val="center"/>
              <w:rPr>
                <w:rFonts w:ascii="仿宋" w:hAnsi="仿宋" w:eastAsia="仿宋" w:cs="仿宋"/>
                <w:b/>
                <w:kern w:val="0"/>
                <w:sz w:val="24"/>
                <w:szCs w:val="24"/>
              </w:rPr>
            </w:pPr>
            <w:r>
              <w:rPr>
                <w:rFonts w:hint="eastAsia" w:ascii="仿宋" w:hAnsi="仿宋" w:eastAsia="仿宋" w:cs="仿宋"/>
                <w:b/>
                <w:kern w:val="0"/>
                <w:sz w:val="24"/>
                <w:szCs w:val="24"/>
              </w:rPr>
              <w:t>功能列表</w:t>
            </w:r>
          </w:p>
        </w:tc>
        <w:tc>
          <w:tcPr>
            <w:tcW w:w="6792" w:type="dxa"/>
            <w:shd w:val="clear" w:color="auto" w:fill="D8D8D8" w:themeFill="background1" w:themeFillShade="D9"/>
            <w:vAlign w:val="center"/>
          </w:tcPr>
          <w:p>
            <w:pPr>
              <w:jc w:val="center"/>
              <w:rPr>
                <w:rFonts w:ascii="仿宋" w:hAnsi="仿宋" w:eastAsia="仿宋" w:cs="仿宋"/>
                <w:b/>
                <w:kern w:val="0"/>
                <w:sz w:val="24"/>
                <w:szCs w:val="24"/>
              </w:rPr>
            </w:pPr>
            <w:r>
              <w:rPr>
                <w:rFonts w:hint="eastAsia" w:ascii="仿宋" w:hAnsi="仿宋" w:eastAsia="仿宋" w:cs="仿宋"/>
                <w:b/>
                <w:kern w:val="0"/>
                <w:sz w:val="24"/>
                <w:szCs w:val="24"/>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全院药品分析</w:t>
            </w:r>
          </w:p>
        </w:tc>
        <w:tc>
          <w:tcPr>
            <w:tcW w:w="6792" w:type="dxa"/>
            <w:vAlign w:val="center"/>
          </w:tcPr>
          <w:p>
            <w:pPr>
              <w:contextualSpacing/>
              <w:rPr>
                <w:rFonts w:ascii="仿宋" w:hAnsi="仿宋" w:eastAsia="仿宋" w:cs="仿宋"/>
                <w:bCs/>
                <w:kern w:val="0"/>
                <w:sz w:val="24"/>
                <w:szCs w:val="24"/>
              </w:rPr>
            </w:pPr>
            <w:r>
              <w:rPr>
                <w:rFonts w:hint="eastAsia" w:ascii="仿宋" w:hAnsi="仿宋" w:eastAsia="仿宋" w:cs="仿宋"/>
                <w:bCs/>
                <w:kern w:val="0"/>
                <w:sz w:val="24"/>
                <w:szCs w:val="24"/>
              </w:rPr>
              <w:t>分析范围包括：全院药品费用及增幅、西药/中成药/中草药药药品费用、药占比以及抗菌、辅助、基药等相关指标；</w:t>
            </w:r>
          </w:p>
          <w:p>
            <w:pPr>
              <w:contextualSpacing/>
              <w:rPr>
                <w:rFonts w:ascii="仿宋" w:hAnsi="仿宋" w:eastAsia="仿宋" w:cs="仿宋"/>
                <w:bCs/>
                <w:kern w:val="0"/>
                <w:sz w:val="24"/>
                <w:szCs w:val="24"/>
              </w:rPr>
            </w:pPr>
            <w:r>
              <w:rPr>
                <w:rFonts w:hint="eastAsia" w:ascii="仿宋" w:hAnsi="仿宋" w:eastAsia="仿宋" w:cs="仿宋"/>
                <w:bCs/>
                <w:kern w:val="0"/>
                <w:sz w:val="24"/>
                <w:szCs w:val="24"/>
              </w:rPr>
              <w:t>按院区、科室、时间（年、季度、月、日）趋势、药品费用类型分析；</w:t>
            </w:r>
          </w:p>
          <w:p>
            <w:pPr>
              <w:contextualSpacing/>
              <w:rPr>
                <w:rFonts w:ascii="仿宋" w:hAnsi="仿宋" w:eastAsia="仿宋" w:cs="仿宋"/>
                <w:bCs/>
                <w:kern w:val="0"/>
                <w:sz w:val="24"/>
                <w:szCs w:val="24"/>
              </w:rPr>
            </w:pPr>
            <w:r>
              <w:rPr>
                <w:rFonts w:hint="eastAsia" w:ascii="仿宋" w:hAnsi="仿宋" w:eastAsia="仿宋" w:cs="仿宋"/>
                <w:bCs/>
                <w:kern w:val="0"/>
                <w:sz w:val="24"/>
                <w:szCs w:val="24"/>
              </w:rPr>
              <w:t>支持同期、同比、上期、环比、预警值的对比，支持参考线设置、图表转换、数据导出等功能；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门急诊药品费用分析</w:t>
            </w:r>
          </w:p>
        </w:tc>
        <w:tc>
          <w:tcPr>
            <w:tcW w:w="6792" w:type="dxa"/>
            <w:vAlign w:val="center"/>
          </w:tcPr>
          <w:p>
            <w:pPr>
              <w:contextualSpacing/>
              <w:rPr>
                <w:rFonts w:ascii="仿宋" w:hAnsi="仿宋" w:eastAsia="仿宋" w:cs="仿宋"/>
                <w:bCs/>
                <w:kern w:val="0"/>
                <w:sz w:val="24"/>
                <w:szCs w:val="24"/>
              </w:rPr>
            </w:pPr>
            <w:r>
              <w:rPr>
                <w:rFonts w:hint="eastAsia" w:ascii="仿宋" w:hAnsi="仿宋" w:eastAsia="仿宋" w:cs="仿宋"/>
                <w:bCs/>
                <w:kern w:val="0"/>
                <w:sz w:val="24"/>
                <w:szCs w:val="24"/>
              </w:rPr>
              <w:t>分析范围包括：门急诊药品费用及增幅、门急诊次均药品费用及增幅、门急诊药占比以及抗菌、辅助、基药等相关指标；</w:t>
            </w:r>
          </w:p>
          <w:p>
            <w:pPr>
              <w:contextualSpacing/>
              <w:rPr>
                <w:rFonts w:ascii="仿宋" w:hAnsi="仿宋" w:eastAsia="仿宋" w:cs="仿宋"/>
                <w:bCs/>
                <w:kern w:val="0"/>
                <w:sz w:val="24"/>
                <w:szCs w:val="24"/>
              </w:rPr>
            </w:pPr>
            <w:r>
              <w:rPr>
                <w:rFonts w:hint="eastAsia" w:ascii="仿宋" w:hAnsi="仿宋" w:eastAsia="仿宋" w:cs="仿宋"/>
                <w:bCs/>
                <w:kern w:val="0"/>
                <w:sz w:val="24"/>
                <w:szCs w:val="24"/>
              </w:rPr>
              <w:t>按院区、科室、医生、时间（年、季度、月、日）趋势、药品费用类型分析，支持同期、同比、上期、环比、预警值的对比，支持参考线设置、图表转换、数据导出等功能；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住院药品费用分析</w:t>
            </w:r>
          </w:p>
        </w:tc>
        <w:tc>
          <w:tcPr>
            <w:tcW w:w="6792" w:type="dxa"/>
            <w:vAlign w:val="center"/>
          </w:tcPr>
          <w:p>
            <w:pPr>
              <w:contextualSpacing/>
              <w:rPr>
                <w:rFonts w:ascii="仿宋" w:hAnsi="仿宋" w:eastAsia="仿宋" w:cs="仿宋"/>
                <w:bCs/>
                <w:kern w:val="0"/>
                <w:sz w:val="24"/>
                <w:szCs w:val="24"/>
              </w:rPr>
            </w:pPr>
            <w:r>
              <w:rPr>
                <w:rFonts w:hint="eastAsia" w:ascii="仿宋" w:hAnsi="仿宋" w:eastAsia="仿宋" w:cs="仿宋"/>
                <w:bCs/>
                <w:kern w:val="0"/>
                <w:sz w:val="24"/>
                <w:szCs w:val="24"/>
              </w:rPr>
              <w:t>分析范围包括：住院药品费用及增幅、住院次均药品费用及增幅、住院药占比以及抗菌、辅助、基药等相关指标；</w:t>
            </w:r>
          </w:p>
          <w:p>
            <w:pPr>
              <w:contextualSpacing/>
              <w:rPr>
                <w:rFonts w:ascii="仿宋" w:hAnsi="仿宋" w:eastAsia="仿宋" w:cs="仿宋"/>
                <w:bCs/>
                <w:kern w:val="0"/>
                <w:sz w:val="24"/>
                <w:szCs w:val="24"/>
              </w:rPr>
            </w:pPr>
            <w:r>
              <w:rPr>
                <w:rFonts w:hint="eastAsia" w:ascii="仿宋" w:hAnsi="仿宋" w:eastAsia="仿宋" w:cs="仿宋"/>
                <w:bCs/>
                <w:kern w:val="0"/>
                <w:sz w:val="24"/>
                <w:szCs w:val="24"/>
              </w:rPr>
              <w:t>按院区、科室、时间（年、季度、月、日）趋势、药品费用类型分析，支持同期、同比、上期、环比、预警值的对比，支持参考线设置、图表转换、数据导出等功能；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抗菌药品分析</w:t>
            </w:r>
          </w:p>
        </w:tc>
        <w:tc>
          <w:tcPr>
            <w:tcW w:w="6792" w:type="dxa"/>
            <w:vAlign w:val="center"/>
          </w:tcPr>
          <w:p>
            <w:pPr>
              <w:contextualSpacing/>
              <w:rPr>
                <w:rFonts w:ascii="仿宋" w:hAnsi="仿宋" w:eastAsia="仿宋" w:cs="仿宋"/>
                <w:bCs/>
                <w:kern w:val="0"/>
                <w:sz w:val="24"/>
                <w:szCs w:val="24"/>
              </w:rPr>
            </w:pPr>
            <w:r>
              <w:rPr>
                <w:rFonts w:hint="eastAsia" w:ascii="仿宋" w:hAnsi="仿宋" w:eastAsia="仿宋" w:cs="仿宋"/>
                <w:bCs/>
                <w:kern w:val="0"/>
                <w:sz w:val="24"/>
                <w:szCs w:val="24"/>
              </w:rPr>
              <w:t>分析范围包括：抗菌药物费用、占比、使用人次、使用率、抗菌药物使用强度的分析；</w:t>
            </w:r>
          </w:p>
          <w:p>
            <w:pPr>
              <w:contextualSpacing/>
              <w:rPr>
                <w:rFonts w:ascii="仿宋" w:hAnsi="仿宋" w:eastAsia="仿宋" w:cs="仿宋"/>
                <w:bCs/>
                <w:kern w:val="0"/>
                <w:sz w:val="24"/>
                <w:szCs w:val="24"/>
              </w:rPr>
            </w:pPr>
            <w:r>
              <w:rPr>
                <w:rFonts w:hint="eastAsia" w:ascii="仿宋" w:hAnsi="仿宋" w:eastAsia="仿宋" w:cs="仿宋"/>
                <w:bCs/>
                <w:kern w:val="0"/>
                <w:sz w:val="24"/>
                <w:szCs w:val="24"/>
              </w:rPr>
              <w:t>★按院区、科室、时间（年、季度、月、日）趋势、抗菌药物等级分析，支持同期、同比、上期、环比、预警值的对比，支持参考线设置、图表转换、数据导出等功能；</w:t>
            </w:r>
            <w:r>
              <w:rPr>
                <w:rFonts w:hint="eastAsia" w:ascii="仿宋" w:hAnsi="仿宋" w:eastAsia="仿宋" w:cs="仿宋"/>
                <w:kern w:val="0"/>
                <w:sz w:val="24"/>
                <w:szCs w:val="24"/>
                <w:lang w:val="zh-CN" w:bidi="zh-CN"/>
              </w:rPr>
              <w:t>（需提供功能界面截图佐证）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处方分析</w:t>
            </w:r>
          </w:p>
        </w:tc>
        <w:tc>
          <w:tcPr>
            <w:tcW w:w="6792"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分析范围包括：处方数、药物、抗菌药物、基药、大额处方数及占比的分析；</w:t>
            </w:r>
          </w:p>
          <w:p>
            <w:pPr>
              <w:jc w:val="left"/>
              <w:rPr>
                <w:rFonts w:ascii="仿宋" w:hAnsi="仿宋" w:eastAsia="仿宋" w:cs="仿宋"/>
                <w:bCs/>
                <w:kern w:val="0"/>
                <w:sz w:val="24"/>
                <w:szCs w:val="24"/>
              </w:rPr>
            </w:pPr>
            <w:r>
              <w:rPr>
                <w:rFonts w:hint="eastAsia" w:ascii="仿宋" w:hAnsi="仿宋" w:eastAsia="仿宋" w:cs="仿宋"/>
                <w:bCs/>
                <w:kern w:val="0"/>
                <w:sz w:val="24"/>
                <w:szCs w:val="24"/>
              </w:rPr>
              <w:t>按院区、科室、医生、时间（年、季度、月、日）趋势分析，支持同期、同比、上期、环比的对比，支持参考线设置、图表转换、数据导出等功能；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基药分析</w:t>
            </w:r>
          </w:p>
        </w:tc>
        <w:tc>
          <w:tcPr>
            <w:tcW w:w="6792"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分析范围包括：基药采购品种数、采购品种数占比、基药使用人次、基药使用率的分析；</w:t>
            </w:r>
          </w:p>
          <w:p>
            <w:pPr>
              <w:jc w:val="left"/>
              <w:rPr>
                <w:rFonts w:ascii="仿宋" w:hAnsi="仿宋" w:eastAsia="仿宋" w:cs="仿宋"/>
                <w:bCs/>
                <w:kern w:val="0"/>
                <w:sz w:val="24"/>
                <w:szCs w:val="24"/>
              </w:rPr>
            </w:pPr>
            <w:r>
              <w:rPr>
                <w:rFonts w:hint="eastAsia" w:ascii="仿宋" w:hAnsi="仿宋" w:eastAsia="仿宋" w:cs="仿宋"/>
                <w:bCs/>
                <w:kern w:val="0"/>
                <w:sz w:val="24"/>
                <w:szCs w:val="24"/>
              </w:rPr>
              <w:t>按门急诊/住院、院区、科室、医生、时间（年、季度、月、日）趋势分析，支持同期、同比、上期、环比、预警值的对比，支持参考线设置、图表转换、数据导出等功能；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辅助用药</w:t>
            </w:r>
          </w:p>
        </w:tc>
        <w:tc>
          <w:tcPr>
            <w:tcW w:w="6792"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分析范围包括：辅助用药费用、费用占比的相关指标分析；</w:t>
            </w:r>
          </w:p>
          <w:p>
            <w:pPr>
              <w:jc w:val="left"/>
              <w:rPr>
                <w:rFonts w:ascii="仿宋" w:hAnsi="仿宋" w:eastAsia="仿宋" w:cs="仿宋"/>
                <w:bCs/>
                <w:kern w:val="0"/>
                <w:sz w:val="24"/>
                <w:szCs w:val="24"/>
              </w:rPr>
            </w:pPr>
            <w:r>
              <w:rPr>
                <w:rFonts w:hint="eastAsia" w:ascii="仿宋" w:hAnsi="仿宋" w:eastAsia="仿宋" w:cs="仿宋"/>
                <w:bCs/>
                <w:kern w:val="0"/>
                <w:sz w:val="24"/>
                <w:szCs w:val="24"/>
              </w:rPr>
              <w:t>按院区、科室、医生、时间（年、季度、月、日）趋势、辅助用药按使用类型分析，支持同期、同比、上期、环比、预警值的对比，支持参考线设置、图表转换、数据导出等功能；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kern w:val="0"/>
                <w:sz w:val="24"/>
                <w:szCs w:val="24"/>
              </w:rPr>
              <w:t>指标分析</w:t>
            </w:r>
          </w:p>
        </w:tc>
        <w:tc>
          <w:tcPr>
            <w:tcW w:w="6792" w:type="dxa"/>
            <w:vAlign w:val="center"/>
          </w:tcPr>
          <w:p>
            <w:pPr>
              <w:rPr>
                <w:rFonts w:ascii="仿宋" w:hAnsi="仿宋" w:eastAsia="仿宋" w:cs="仿宋"/>
                <w:kern w:val="0"/>
                <w:sz w:val="24"/>
                <w:szCs w:val="24"/>
              </w:rPr>
            </w:pPr>
            <w:r>
              <w:rPr>
                <w:rFonts w:hint="eastAsia" w:ascii="仿宋" w:hAnsi="仿宋" w:eastAsia="仿宋" w:cs="仿宋"/>
                <w:kern w:val="0"/>
                <w:sz w:val="24"/>
                <w:szCs w:val="24"/>
              </w:rPr>
              <w:t>支持对药品决策分析指标统计口径、计算公式的解释说明；</w:t>
            </w:r>
          </w:p>
          <w:p>
            <w:pPr>
              <w:rPr>
                <w:rFonts w:ascii="仿宋" w:hAnsi="仿宋" w:eastAsia="仿宋" w:cs="仿宋"/>
                <w:bCs/>
                <w:kern w:val="0"/>
                <w:sz w:val="24"/>
                <w:szCs w:val="24"/>
              </w:rPr>
            </w:pPr>
            <w:r>
              <w:rPr>
                <w:rFonts w:hint="eastAsia" w:ascii="仿宋" w:hAnsi="仿宋" w:eastAsia="仿宋" w:cs="仿宋"/>
                <w:kern w:val="0"/>
                <w:sz w:val="24"/>
                <w:szCs w:val="24"/>
              </w:rPr>
              <w:t>支持药品决策分析指标血缘分析，可查询指标来源数据；</w:t>
            </w:r>
          </w:p>
          <w:p>
            <w:pPr>
              <w:rPr>
                <w:rFonts w:ascii="仿宋" w:hAnsi="仿宋" w:eastAsia="仿宋" w:cs="仿宋"/>
                <w:bCs/>
                <w:kern w:val="0"/>
                <w:sz w:val="24"/>
                <w:szCs w:val="24"/>
              </w:rPr>
            </w:pPr>
            <w:r>
              <w:rPr>
                <w:rFonts w:hint="eastAsia" w:ascii="仿宋" w:hAnsi="仿宋" w:eastAsia="仿宋" w:cs="仿宋"/>
                <w:kern w:val="0"/>
                <w:sz w:val="24"/>
                <w:szCs w:val="24"/>
              </w:rPr>
              <w:t>支持对药品决策分析指标的变化情况分析；</w:t>
            </w:r>
          </w:p>
          <w:p>
            <w:pPr>
              <w:rPr>
                <w:rFonts w:ascii="仿宋" w:hAnsi="仿宋" w:eastAsia="仿宋" w:cs="仿宋"/>
                <w:bCs/>
                <w:kern w:val="0"/>
                <w:sz w:val="24"/>
                <w:szCs w:val="24"/>
              </w:rPr>
            </w:pPr>
            <w:r>
              <w:rPr>
                <w:rFonts w:hint="eastAsia" w:ascii="仿宋" w:hAnsi="仿宋" w:eastAsia="仿宋" w:cs="仿宋"/>
                <w:kern w:val="0"/>
                <w:sz w:val="24"/>
                <w:szCs w:val="24"/>
              </w:rPr>
              <w:t>支持药品决策分析指标多维分析，包括但不限于时间、院区、科室/病区、分类等多种维度分析；</w:t>
            </w:r>
          </w:p>
          <w:p>
            <w:pPr>
              <w:rPr>
                <w:rFonts w:ascii="仿宋" w:hAnsi="仿宋" w:eastAsia="仿宋" w:cs="仿宋"/>
                <w:bCs/>
                <w:kern w:val="0"/>
                <w:sz w:val="24"/>
                <w:szCs w:val="24"/>
              </w:rPr>
            </w:pPr>
            <w:r>
              <w:rPr>
                <w:rFonts w:hint="eastAsia" w:ascii="仿宋" w:hAnsi="仿宋" w:eastAsia="仿宋" w:cs="仿宋"/>
                <w:bCs/>
                <w:kern w:val="0"/>
                <w:sz w:val="24"/>
                <w:szCs w:val="24"/>
              </w:rPr>
              <w:t>支持</w:t>
            </w:r>
            <w:r>
              <w:rPr>
                <w:rFonts w:hint="eastAsia" w:ascii="仿宋" w:hAnsi="仿宋" w:eastAsia="仿宋" w:cs="仿宋"/>
                <w:kern w:val="0"/>
                <w:sz w:val="24"/>
                <w:szCs w:val="24"/>
              </w:rPr>
              <w:t>药品决策分析</w:t>
            </w:r>
            <w:r>
              <w:rPr>
                <w:rFonts w:hint="eastAsia" w:ascii="仿宋" w:hAnsi="仿宋" w:eastAsia="仿宋" w:cs="仿宋"/>
                <w:bCs/>
                <w:kern w:val="0"/>
                <w:sz w:val="24"/>
                <w:szCs w:val="24"/>
              </w:rPr>
              <w:t>指标数据对比功能；</w:t>
            </w:r>
          </w:p>
          <w:p>
            <w:pPr>
              <w:jc w:val="left"/>
              <w:rPr>
                <w:rFonts w:ascii="仿宋" w:hAnsi="仿宋" w:eastAsia="仿宋" w:cs="仿宋"/>
                <w:bCs/>
                <w:kern w:val="0"/>
                <w:sz w:val="24"/>
                <w:szCs w:val="24"/>
              </w:rPr>
            </w:pPr>
            <w:r>
              <w:rPr>
                <w:rFonts w:hint="eastAsia" w:ascii="仿宋" w:hAnsi="仿宋" w:eastAsia="仿宋" w:cs="仿宋"/>
                <w:kern w:val="0"/>
                <w:sz w:val="24"/>
                <w:szCs w:val="24"/>
              </w:rPr>
              <w:t>药品决策分析图表支持图表转换、参考线设置、排序、数据导出、下钻的功能；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明细列表</w:t>
            </w:r>
          </w:p>
        </w:tc>
        <w:tc>
          <w:tcPr>
            <w:tcW w:w="6792" w:type="dxa"/>
            <w:vAlign w:val="center"/>
          </w:tcPr>
          <w:p>
            <w:pPr>
              <w:rPr>
                <w:rFonts w:ascii="仿宋" w:hAnsi="仿宋" w:eastAsia="仿宋" w:cs="仿宋"/>
                <w:bCs/>
                <w:kern w:val="0"/>
                <w:sz w:val="24"/>
                <w:szCs w:val="24"/>
              </w:rPr>
            </w:pPr>
            <w:r>
              <w:rPr>
                <w:rFonts w:hint="eastAsia" w:ascii="仿宋" w:hAnsi="仿宋" w:eastAsia="仿宋" w:cs="仿宋"/>
                <w:bCs/>
                <w:kern w:val="0"/>
                <w:sz w:val="24"/>
                <w:szCs w:val="24"/>
              </w:rPr>
              <w:t>药品决策分析管理支持排序、导出、多级下钻功能；</w:t>
            </w:r>
          </w:p>
          <w:p>
            <w:pPr>
              <w:rPr>
                <w:rFonts w:ascii="仿宋" w:hAnsi="仿宋" w:eastAsia="仿宋" w:cs="仿宋"/>
                <w:bCs/>
                <w:kern w:val="0"/>
                <w:sz w:val="24"/>
                <w:szCs w:val="24"/>
              </w:rPr>
            </w:pPr>
            <w:r>
              <w:rPr>
                <w:rFonts w:hint="eastAsia" w:ascii="仿宋" w:hAnsi="仿宋" w:eastAsia="仿宋" w:cs="仿宋"/>
                <w:bCs/>
                <w:kern w:val="0"/>
                <w:sz w:val="24"/>
                <w:szCs w:val="24"/>
              </w:rPr>
              <w:t>药品决策分析管理支持多重限制条件下的筛选、搜索查询功能；</w:t>
            </w:r>
          </w:p>
          <w:p>
            <w:pPr>
              <w:jc w:val="left"/>
              <w:rPr>
                <w:rFonts w:ascii="仿宋" w:hAnsi="仿宋" w:eastAsia="仿宋" w:cs="仿宋"/>
                <w:bCs/>
                <w:kern w:val="0"/>
                <w:sz w:val="24"/>
                <w:szCs w:val="24"/>
              </w:rPr>
            </w:pPr>
            <w:r>
              <w:rPr>
                <w:rFonts w:hint="eastAsia" w:ascii="仿宋" w:hAnsi="仿宋" w:eastAsia="仿宋" w:cs="仿宋"/>
                <w:bCs/>
                <w:kern w:val="0"/>
                <w:sz w:val="24"/>
                <w:szCs w:val="24"/>
              </w:rPr>
              <w:t>药品决策分析管理支持对明细列表的显示列进行编辑，包括显示字段、字段位置、单位等。</w:t>
            </w:r>
          </w:p>
        </w:tc>
      </w:tr>
    </w:tbl>
    <w:p>
      <w:pPr>
        <w:pStyle w:val="5"/>
        <w:keepLines/>
        <w:spacing w:line="360" w:lineRule="auto"/>
        <w:ind w:firstLine="482" w:firstLineChars="200"/>
        <w:rPr>
          <w:rFonts w:ascii="仿宋" w:hAnsi="仿宋" w:eastAsia="仿宋" w:cs="仿宋"/>
          <w:sz w:val="24"/>
          <w:szCs w:val="24"/>
        </w:rPr>
      </w:pPr>
      <w:bookmarkStart w:id="405" w:name="_Toc5399"/>
      <w:r>
        <w:rPr>
          <w:rFonts w:hint="eastAsia" w:ascii="仿宋" w:hAnsi="仿宋" w:eastAsia="仿宋" w:cs="仿宋"/>
          <w:sz w:val="24"/>
          <w:szCs w:val="24"/>
        </w:rPr>
        <w:t>6、耗材决策分析管理系统</w:t>
      </w:r>
      <w:bookmarkEnd w:id="405"/>
    </w:p>
    <w:p>
      <w:pPr>
        <w:spacing w:before="120" w:after="120" w:line="360" w:lineRule="auto"/>
        <w:ind w:firstLine="357"/>
        <w:contextualSpacing/>
        <w:rPr>
          <w:rFonts w:ascii="仿宋" w:hAnsi="仿宋" w:eastAsia="仿宋" w:cs="仿宋"/>
          <w:bCs/>
          <w:sz w:val="24"/>
          <w:szCs w:val="24"/>
        </w:rPr>
      </w:pPr>
      <w:r>
        <w:rPr>
          <w:rFonts w:hint="eastAsia" w:ascii="仿宋" w:hAnsi="仿宋" w:eastAsia="仿宋" w:cs="仿宋"/>
          <w:bCs/>
          <w:sz w:val="24"/>
          <w:szCs w:val="24"/>
        </w:rPr>
        <w:t>耗材决策分析管理系统包括全院耗材、高值耗材分析，支持全院管理者、耗材、科主任管理者等对本院、本科室相关内容进行管理。具体功能如下：</w:t>
      </w:r>
    </w:p>
    <w:tbl>
      <w:tblPr>
        <w:tblStyle w:val="27"/>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8" w:type="dxa"/>
            <w:shd w:val="clear" w:color="auto" w:fill="D8D8D8" w:themeFill="background1" w:themeFillShade="D9"/>
            <w:vAlign w:val="center"/>
          </w:tcPr>
          <w:p>
            <w:pPr>
              <w:jc w:val="center"/>
              <w:rPr>
                <w:rFonts w:ascii="仿宋" w:hAnsi="仿宋" w:eastAsia="仿宋" w:cs="仿宋"/>
                <w:b/>
                <w:kern w:val="0"/>
                <w:sz w:val="24"/>
                <w:szCs w:val="24"/>
              </w:rPr>
            </w:pPr>
            <w:r>
              <w:rPr>
                <w:rFonts w:hint="eastAsia" w:ascii="仿宋" w:hAnsi="仿宋" w:eastAsia="仿宋" w:cs="仿宋"/>
                <w:b/>
                <w:kern w:val="0"/>
                <w:sz w:val="24"/>
                <w:szCs w:val="24"/>
              </w:rPr>
              <w:t>功能列表</w:t>
            </w:r>
          </w:p>
        </w:tc>
        <w:tc>
          <w:tcPr>
            <w:tcW w:w="6792" w:type="dxa"/>
            <w:shd w:val="clear" w:color="auto" w:fill="D8D8D8" w:themeFill="background1" w:themeFillShade="D9"/>
            <w:vAlign w:val="center"/>
          </w:tcPr>
          <w:p>
            <w:pPr>
              <w:jc w:val="center"/>
              <w:rPr>
                <w:rFonts w:ascii="仿宋" w:hAnsi="仿宋" w:eastAsia="仿宋" w:cs="仿宋"/>
                <w:b/>
                <w:kern w:val="0"/>
                <w:sz w:val="24"/>
                <w:szCs w:val="24"/>
              </w:rPr>
            </w:pPr>
            <w:r>
              <w:rPr>
                <w:rFonts w:hint="eastAsia" w:ascii="仿宋" w:hAnsi="仿宋" w:eastAsia="仿宋" w:cs="仿宋"/>
                <w:b/>
                <w:kern w:val="0"/>
                <w:sz w:val="24"/>
                <w:szCs w:val="24"/>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耗材分析</w:t>
            </w:r>
          </w:p>
        </w:tc>
        <w:tc>
          <w:tcPr>
            <w:tcW w:w="6792"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分析范围包括：全院耗材费用及增幅、次均耗材费用、耗占比等相关指标；</w:t>
            </w:r>
          </w:p>
          <w:p>
            <w:pPr>
              <w:jc w:val="left"/>
              <w:rPr>
                <w:rFonts w:ascii="仿宋" w:hAnsi="仿宋" w:eastAsia="仿宋" w:cs="仿宋"/>
                <w:bCs/>
                <w:kern w:val="0"/>
                <w:sz w:val="24"/>
                <w:szCs w:val="24"/>
              </w:rPr>
            </w:pPr>
            <w:r>
              <w:rPr>
                <w:rFonts w:hint="eastAsia" w:ascii="仿宋" w:hAnsi="仿宋" w:eastAsia="仿宋" w:cs="仿宋"/>
                <w:bCs/>
                <w:kern w:val="0"/>
                <w:sz w:val="24"/>
                <w:szCs w:val="24"/>
              </w:rPr>
              <w:t>★按院区、科室、医生、时间（年、季度、月、日）趋势、耗材类型（包括但不限于进口/国产、可收费/不可收费、高值/低值分析），支持同期、同比、上期、环比、预警值的对比，支持参考线设置、图表转换、数据导出等功能；</w:t>
            </w:r>
            <w:r>
              <w:rPr>
                <w:rFonts w:hint="eastAsia" w:ascii="仿宋" w:hAnsi="仿宋" w:eastAsia="仿宋" w:cs="仿宋"/>
                <w:kern w:val="0"/>
                <w:sz w:val="24"/>
                <w:szCs w:val="24"/>
                <w:lang w:val="zh-CN" w:bidi="zh-CN"/>
              </w:rPr>
              <w:t>（需提供功能界面截图佐证）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高值耗材分析</w:t>
            </w:r>
          </w:p>
        </w:tc>
        <w:tc>
          <w:tcPr>
            <w:tcW w:w="6792" w:type="dxa"/>
            <w:vAlign w:val="center"/>
          </w:tcPr>
          <w:p>
            <w:pPr>
              <w:ind w:left="357" w:hanging="357"/>
              <w:jc w:val="left"/>
              <w:rPr>
                <w:rFonts w:ascii="仿宋" w:hAnsi="仿宋" w:eastAsia="仿宋" w:cs="仿宋"/>
                <w:bCs/>
                <w:kern w:val="0"/>
                <w:sz w:val="24"/>
                <w:szCs w:val="24"/>
              </w:rPr>
            </w:pPr>
            <w:r>
              <w:rPr>
                <w:rFonts w:hint="eastAsia" w:ascii="仿宋" w:hAnsi="仿宋" w:eastAsia="仿宋" w:cs="仿宋"/>
                <w:bCs/>
                <w:kern w:val="0"/>
                <w:sz w:val="24"/>
                <w:szCs w:val="24"/>
              </w:rPr>
              <w:t>分析范围包括：高值耗材占比等相关指标；</w:t>
            </w:r>
          </w:p>
          <w:p>
            <w:pPr>
              <w:jc w:val="left"/>
              <w:rPr>
                <w:rFonts w:ascii="仿宋" w:hAnsi="仿宋" w:eastAsia="仿宋" w:cs="仿宋"/>
                <w:bCs/>
                <w:kern w:val="0"/>
                <w:sz w:val="24"/>
                <w:szCs w:val="24"/>
              </w:rPr>
            </w:pPr>
            <w:r>
              <w:rPr>
                <w:rFonts w:hint="eastAsia" w:ascii="仿宋" w:hAnsi="仿宋" w:eastAsia="仿宋" w:cs="仿宋"/>
                <w:bCs/>
                <w:kern w:val="0"/>
                <w:sz w:val="24"/>
                <w:szCs w:val="24"/>
              </w:rPr>
              <w:t xml:space="preserve">按院区、科室、 医生、时间（年、季度、月、日）趋势、耗材类型分析，支持同期、同比、上期、环比、预警值的对比，支持参考线设置、图表转换、数据导出等功能；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kern w:val="0"/>
                <w:sz w:val="24"/>
                <w:szCs w:val="24"/>
              </w:rPr>
              <w:t>指标分析</w:t>
            </w:r>
          </w:p>
        </w:tc>
        <w:tc>
          <w:tcPr>
            <w:tcW w:w="6792" w:type="dxa"/>
            <w:vAlign w:val="center"/>
          </w:tcPr>
          <w:p>
            <w:pPr>
              <w:rPr>
                <w:rFonts w:ascii="仿宋" w:hAnsi="仿宋" w:eastAsia="仿宋" w:cs="仿宋"/>
                <w:kern w:val="0"/>
                <w:sz w:val="24"/>
                <w:szCs w:val="24"/>
              </w:rPr>
            </w:pPr>
            <w:r>
              <w:rPr>
                <w:rFonts w:hint="eastAsia" w:ascii="仿宋" w:hAnsi="仿宋" w:eastAsia="仿宋" w:cs="仿宋"/>
                <w:kern w:val="0"/>
                <w:sz w:val="24"/>
                <w:szCs w:val="24"/>
              </w:rPr>
              <w:t>支持对耗材分析指标统计口径、计算公式的解释说明；</w:t>
            </w:r>
          </w:p>
          <w:p>
            <w:pPr>
              <w:rPr>
                <w:rFonts w:ascii="仿宋" w:hAnsi="仿宋" w:eastAsia="仿宋" w:cs="仿宋"/>
                <w:bCs/>
                <w:kern w:val="0"/>
                <w:sz w:val="24"/>
                <w:szCs w:val="24"/>
              </w:rPr>
            </w:pPr>
            <w:r>
              <w:rPr>
                <w:rFonts w:hint="eastAsia" w:ascii="仿宋" w:hAnsi="仿宋" w:eastAsia="仿宋" w:cs="仿宋"/>
                <w:kern w:val="0"/>
                <w:sz w:val="24"/>
                <w:szCs w:val="24"/>
              </w:rPr>
              <w:t>支持耗材分析指标血缘分析，可查询指标来源数据；</w:t>
            </w:r>
          </w:p>
          <w:p>
            <w:pPr>
              <w:rPr>
                <w:rFonts w:ascii="仿宋" w:hAnsi="仿宋" w:eastAsia="仿宋" w:cs="仿宋"/>
                <w:bCs/>
                <w:kern w:val="0"/>
                <w:sz w:val="24"/>
                <w:szCs w:val="24"/>
              </w:rPr>
            </w:pPr>
            <w:r>
              <w:rPr>
                <w:rFonts w:hint="eastAsia" w:ascii="仿宋" w:hAnsi="仿宋" w:eastAsia="仿宋" w:cs="仿宋"/>
                <w:kern w:val="0"/>
                <w:sz w:val="24"/>
                <w:szCs w:val="24"/>
              </w:rPr>
              <w:t>支持对耗材分析指标的变化情况分析；</w:t>
            </w:r>
          </w:p>
          <w:p>
            <w:pPr>
              <w:rPr>
                <w:rFonts w:ascii="仿宋" w:hAnsi="仿宋" w:eastAsia="仿宋" w:cs="仿宋"/>
                <w:bCs/>
                <w:kern w:val="0"/>
                <w:sz w:val="24"/>
                <w:szCs w:val="24"/>
              </w:rPr>
            </w:pPr>
            <w:r>
              <w:rPr>
                <w:rFonts w:hint="eastAsia" w:ascii="仿宋" w:hAnsi="仿宋" w:eastAsia="仿宋" w:cs="仿宋"/>
                <w:kern w:val="0"/>
                <w:sz w:val="24"/>
                <w:szCs w:val="24"/>
              </w:rPr>
              <w:t>支持耗材分析指标多维分析，包括但不限于时间、院区、科室/病区、分类等多种维度分析；</w:t>
            </w:r>
          </w:p>
          <w:p>
            <w:pPr>
              <w:rPr>
                <w:rFonts w:ascii="仿宋" w:hAnsi="仿宋" w:eastAsia="仿宋" w:cs="仿宋"/>
                <w:bCs/>
                <w:kern w:val="0"/>
                <w:sz w:val="24"/>
                <w:szCs w:val="24"/>
              </w:rPr>
            </w:pPr>
            <w:r>
              <w:rPr>
                <w:rFonts w:hint="eastAsia" w:ascii="仿宋" w:hAnsi="仿宋" w:eastAsia="仿宋" w:cs="仿宋"/>
                <w:bCs/>
                <w:kern w:val="0"/>
                <w:sz w:val="24"/>
                <w:szCs w:val="24"/>
              </w:rPr>
              <w:t>支持</w:t>
            </w:r>
            <w:r>
              <w:rPr>
                <w:rFonts w:hint="eastAsia" w:ascii="仿宋" w:hAnsi="仿宋" w:eastAsia="仿宋" w:cs="仿宋"/>
                <w:kern w:val="0"/>
                <w:sz w:val="24"/>
                <w:szCs w:val="24"/>
              </w:rPr>
              <w:t>耗材分析</w:t>
            </w:r>
            <w:r>
              <w:rPr>
                <w:rFonts w:hint="eastAsia" w:ascii="仿宋" w:hAnsi="仿宋" w:eastAsia="仿宋" w:cs="仿宋"/>
                <w:bCs/>
                <w:kern w:val="0"/>
                <w:sz w:val="24"/>
                <w:szCs w:val="24"/>
              </w:rPr>
              <w:t>指标数据对比功能；</w:t>
            </w:r>
          </w:p>
          <w:p>
            <w:pPr>
              <w:jc w:val="left"/>
              <w:rPr>
                <w:rFonts w:ascii="仿宋" w:hAnsi="仿宋" w:eastAsia="仿宋" w:cs="仿宋"/>
                <w:bCs/>
                <w:kern w:val="0"/>
                <w:sz w:val="24"/>
                <w:szCs w:val="24"/>
              </w:rPr>
            </w:pPr>
            <w:r>
              <w:rPr>
                <w:rFonts w:hint="eastAsia" w:ascii="仿宋" w:hAnsi="仿宋" w:eastAsia="仿宋" w:cs="仿宋"/>
                <w:kern w:val="0"/>
                <w:sz w:val="24"/>
                <w:szCs w:val="24"/>
              </w:rPr>
              <w:t>分析图表支持图表转换、参考线设置、排序、数据导出、下钻的功能；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明细列表</w:t>
            </w:r>
          </w:p>
        </w:tc>
        <w:tc>
          <w:tcPr>
            <w:tcW w:w="6792" w:type="dxa"/>
            <w:vAlign w:val="center"/>
          </w:tcPr>
          <w:p>
            <w:pPr>
              <w:rPr>
                <w:rFonts w:ascii="仿宋" w:hAnsi="仿宋" w:eastAsia="仿宋" w:cs="仿宋"/>
                <w:bCs/>
                <w:kern w:val="0"/>
                <w:sz w:val="24"/>
                <w:szCs w:val="24"/>
              </w:rPr>
            </w:pPr>
            <w:r>
              <w:rPr>
                <w:rFonts w:hint="eastAsia" w:ascii="仿宋" w:hAnsi="仿宋" w:eastAsia="仿宋" w:cs="仿宋"/>
                <w:bCs/>
                <w:kern w:val="0"/>
                <w:sz w:val="24"/>
                <w:szCs w:val="24"/>
              </w:rPr>
              <w:t>耗材决策分析管理支持排序、导出、多级下钻功能；</w:t>
            </w:r>
          </w:p>
          <w:p>
            <w:pPr>
              <w:rPr>
                <w:rFonts w:ascii="仿宋" w:hAnsi="仿宋" w:eastAsia="仿宋" w:cs="仿宋"/>
                <w:bCs/>
                <w:kern w:val="0"/>
                <w:sz w:val="24"/>
                <w:szCs w:val="24"/>
              </w:rPr>
            </w:pPr>
            <w:r>
              <w:rPr>
                <w:rFonts w:hint="eastAsia" w:ascii="仿宋" w:hAnsi="仿宋" w:eastAsia="仿宋" w:cs="仿宋"/>
                <w:bCs/>
                <w:kern w:val="0"/>
                <w:sz w:val="24"/>
                <w:szCs w:val="24"/>
              </w:rPr>
              <w:t>耗材决策分析管理支持多重限制条件下的筛选、搜索查询功能；</w:t>
            </w:r>
          </w:p>
          <w:p>
            <w:pPr>
              <w:jc w:val="left"/>
              <w:rPr>
                <w:rFonts w:ascii="仿宋" w:hAnsi="仿宋" w:eastAsia="仿宋" w:cs="仿宋"/>
                <w:bCs/>
                <w:kern w:val="0"/>
                <w:sz w:val="24"/>
                <w:szCs w:val="24"/>
              </w:rPr>
            </w:pPr>
            <w:r>
              <w:rPr>
                <w:rFonts w:hint="eastAsia" w:ascii="仿宋" w:hAnsi="仿宋" w:eastAsia="仿宋" w:cs="仿宋"/>
                <w:bCs/>
                <w:kern w:val="0"/>
                <w:sz w:val="24"/>
                <w:szCs w:val="24"/>
              </w:rPr>
              <w:t>耗材决策分析管理支持对明细列表的显示列进行编辑，包括显示字段、字段位置、单位等。</w:t>
            </w:r>
          </w:p>
        </w:tc>
      </w:tr>
    </w:tbl>
    <w:p>
      <w:pPr>
        <w:pStyle w:val="5"/>
        <w:keepLines/>
        <w:spacing w:line="360" w:lineRule="auto"/>
        <w:ind w:firstLine="482" w:firstLineChars="200"/>
        <w:rPr>
          <w:rFonts w:ascii="仿宋" w:hAnsi="仿宋" w:eastAsia="仿宋" w:cs="仿宋"/>
          <w:sz w:val="24"/>
          <w:szCs w:val="24"/>
        </w:rPr>
      </w:pPr>
      <w:bookmarkStart w:id="406" w:name="_Toc7656"/>
      <w:r>
        <w:rPr>
          <w:rFonts w:hint="eastAsia" w:ascii="仿宋" w:hAnsi="仿宋" w:eastAsia="仿宋" w:cs="仿宋"/>
          <w:sz w:val="24"/>
          <w:szCs w:val="24"/>
        </w:rPr>
        <w:t>7、手术决策分析管理系统</w:t>
      </w:r>
      <w:bookmarkEnd w:id="406"/>
    </w:p>
    <w:p>
      <w:pPr>
        <w:spacing w:before="120" w:after="120" w:line="360" w:lineRule="auto"/>
        <w:ind w:firstLine="480" w:firstLineChars="200"/>
        <w:contextualSpacing/>
        <w:rPr>
          <w:rFonts w:ascii="仿宋" w:hAnsi="仿宋" w:eastAsia="仿宋" w:cs="仿宋"/>
          <w:bCs/>
          <w:sz w:val="24"/>
          <w:szCs w:val="24"/>
        </w:rPr>
      </w:pPr>
      <w:r>
        <w:rPr>
          <w:rFonts w:hint="eastAsia" w:ascii="仿宋" w:hAnsi="仿宋" w:eastAsia="仿宋" w:cs="仿宋"/>
          <w:bCs/>
          <w:sz w:val="24"/>
          <w:szCs w:val="24"/>
        </w:rPr>
        <w:t>手术决策分析管理系统包括全院手术、手术等级、微创手术、日间手术分析，支持全院管理者、手术、科主任管理者等对本院、本科室相关内容进行管理。具体功能如下：</w:t>
      </w:r>
    </w:p>
    <w:tbl>
      <w:tblPr>
        <w:tblStyle w:val="27"/>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8" w:type="dxa"/>
            <w:shd w:val="clear" w:color="auto" w:fill="D8D8D8" w:themeFill="background1" w:themeFillShade="D9"/>
            <w:vAlign w:val="center"/>
          </w:tcPr>
          <w:p>
            <w:pPr>
              <w:jc w:val="center"/>
              <w:rPr>
                <w:rFonts w:ascii="仿宋" w:hAnsi="仿宋" w:eastAsia="仿宋" w:cs="仿宋"/>
                <w:b/>
                <w:kern w:val="0"/>
                <w:sz w:val="24"/>
                <w:szCs w:val="24"/>
              </w:rPr>
            </w:pPr>
            <w:r>
              <w:rPr>
                <w:rFonts w:hint="eastAsia" w:ascii="仿宋" w:hAnsi="仿宋" w:eastAsia="仿宋" w:cs="仿宋"/>
                <w:b/>
                <w:kern w:val="0"/>
                <w:sz w:val="24"/>
                <w:szCs w:val="24"/>
              </w:rPr>
              <w:t>功能列表</w:t>
            </w:r>
          </w:p>
        </w:tc>
        <w:tc>
          <w:tcPr>
            <w:tcW w:w="6792" w:type="dxa"/>
            <w:shd w:val="clear" w:color="auto" w:fill="D8D8D8" w:themeFill="background1" w:themeFillShade="D9"/>
            <w:vAlign w:val="center"/>
          </w:tcPr>
          <w:p>
            <w:pPr>
              <w:jc w:val="center"/>
              <w:rPr>
                <w:rFonts w:ascii="仿宋" w:hAnsi="仿宋" w:eastAsia="仿宋" w:cs="仿宋"/>
                <w:b/>
                <w:kern w:val="0"/>
                <w:sz w:val="24"/>
                <w:szCs w:val="24"/>
              </w:rPr>
            </w:pPr>
            <w:r>
              <w:rPr>
                <w:rFonts w:hint="eastAsia" w:ascii="仿宋" w:hAnsi="仿宋" w:eastAsia="仿宋" w:cs="仿宋"/>
                <w:b/>
                <w:kern w:val="0"/>
                <w:sz w:val="24"/>
                <w:szCs w:val="24"/>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全院分析概览</w:t>
            </w:r>
          </w:p>
        </w:tc>
        <w:tc>
          <w:tcPr>
            <w:tcW w:w="6792"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分析范围包括：全院/出院手术人次、手术患者平均住院日、手术费用、次均费用、各类费用占比等相关指标；</w:t>
            </w:r>
          </w:p>
          <w:p>
            <w:pPr>
              <w:jc w:val="left"/>
              <w:rPr>
                <w:rFonts w:ascii="仿宋" w:hAnsi="仿宋" w:eastAsia="仿宋" w:cs="仿宋"/>
                <w:bCs/>
                <w:kern w:val="0"/>
                <w:sz w:val="24"/>
                <w:szCs w:val="24"/>
              </w:rPr>
            </w:pPr>
            <w:r>
              <w:rPr>
                <w:rFonts w:hint="eastAsia" w:ascii="仿宋" w:hAnsi="仿宋" w:eastAsia="仿宋" w:cs="仿宋"/>
                <w:bCs/>
                <w:kern w:val="0"/>
                <w:sz w:val="24"/>
                <w:szCs w:val="24"/>
              </w:rPr>
              <w:t>支持手术患者按级别、按手术种类分析；</w:t>
            </w:r>
          </w:p>
          <w:p>
            <w:pPr>
              <w:jc w:val="left"/>
              <w:rPr>
                <w:rFonts w:ascii="仿宋" w:hAnsi="仿宋" w:eastAsia="仿宋" w:cs="仿宋"/>
                <w:bCs/>
                <w:kern w:val="0"/>
                <w:sz w:val="24"/>
                <w:szCs w:val="24"/>
              </w:rPr>
            </w:pPr>
            <w:r>
              <w:rPr>
                <w:rFonts w:hint="eastAsia" w:ascii="仿宋" w:hAnsi="仿宋" w:eastAsia="仿宋" w:cs="仿宋"/>
                <w:bCs/>
                <w:kern w:val="0"/>
                <w:sz w:val="24"/>
                <w:szCs w:val="24"/>
              </w:rPr>
              <w:t>按门急诊/住院、院区、科室、医生组、时间（年、季度、月、日）趋势，支持同期、同比、上期、环比、目标值、预警值的对比，支持参考线设置、图表转换、数据导出等功能；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手术级别分析</w:t>
            </w:r>
          </w:p>
        </w:tc>
        <w:tc>
          <w:tcPr>
            <w:tcW w:w="6792"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分析范围包括：全院手术按级别、按级别占比分析；</w:t>
            </w:r>
          </w:p>
          <w:p>
            <w:pPr>
              <w:jc w:val="left"/>
              <w:rPr>
                <w:rFonts w:ascii="仿宋" w:hAnsi="仿宋" w:eastAsia="仿宋" w:cs="仿宋"/>
                <w:bCs/>
                <w:kern w:val="0"/>
                <w:sz w:val="24"/>
                <w:szCs w:val="24"/>
              </w:rPr>
            </w:pPr>
            <w:r>
              <w:rPr>
                <w:rFonts w:hint="eastAsia" w:ascii="仿宋" w:hAnsi="仿宋" w:eastAsia="仿宋" w:cs="仿宋"/>
                <w:bCs/>
                <w:kern w:val="0"/>
                <w:sz w:val="24"/>
                <w:szCs w:val="24"/>
              </w:rPr>
              <w:t>三四级手术人次及占比分析、按手术种类分析；</w:t>
            </w:r>
          </w:p>
          <w:p>
            <w:pPr>
              <w:jc w:val="left"/>
              <w:rPr>
                <w:rFonts w:ascii="仿宋" w:hAnsi="仿宋" w:eastAsia="仿宋" w:cs="仿宋"/>
                <w:bCs/>
                <w:kern w:val="0"/>
                <w:sz w:val="24"/>
                <w:szCs w:val="24"/>
              </w:rPr>
            </w:pPr>
            <w:r>
              <w:rPr>
                <w:rFonts w:hint="eastAsia" w:ascii="仿宋" w:hAnsi="仿宋" w:eastAsia="仿宋" w:cs="仿宋"/>
                <w:bCs/>
                <w:kern w:val="0"/>
                <w:sz w:val="24"/>
                <w:szCs w:val="24"/>
              </w:rPr>
              <w:t xml:space="preserve">按院区、科室、医生组、时间（年、季度、月、日）趋势分析，支持同期、同比、上期、环比、预警值的对比，支持参考线设置、图表转换、数据导出等功能；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微创手术分析</w:t>
            </w:r>
          </w:p>
        </w:tc>
        <w:tc>
          <w:tcPr>
            <w:tcW w:w="6792"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分析范围包括：微创手术人次、出院患者微创手术占比、三四级微创手术人次及占比、微创手术患者费用及分类、占比、平均住院等相关指标；</w:t>
            </w:r>
          </w:p>
          <w:p>
            <w:pPr>
              <w:jc w:val="left"/>
              <w:rPr>
                <w:rFonts w:ascii="仿宋" w:hAnsi="仿宋" w:eastAsia="仿宋" w:cs="仿宋"/>
                <w:bCs/>
                <w:kern w:val="0"/>
                <w:sz w:val="24"/>
                <w:szCs w:val="24"/>
              </w:rPr>
            </w:pPr>
            <w:r>
              <w:rPr>
                <w:rFonts w:hint="eastAsia" w:ascii="仿宋" w:hAnsi="仿宋" w:eastAsia="仿宋" w:cs="仿宋"/>
                <w:bCs/>
                <w:kern w:val="0"/>
                <w:sz w:val="24"/>
                <w:szCs w:val="24"/>
              </w:rPr>
              <w:t>按院区、科室、医生、时间（年、季度、月、日）趋势、微创手术级别、手术种类分析，支持同期、同比、上期、环比、预警值的对比，支持参考线设置、图表转换、数据导出等功能；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日间手术分析</w:t>
            </w:r>
          </w:p>
        </w:tc>
        <w:tc>
          <w:tcPr>
            <w:tcW w:w="6792"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分析范围包括：日间手术人次、日间手术占择期手术比等相关指标；</w:t>
            </w:r>
          </w:p>
          <w:p>
            <w:pPr>
              <w:jc w:val="left"/>
              <w:rPr>
                <w:rFonts w:ascii="仿宋" w:hAnsi="仿宋" w:eastAsia="仿宋" w:cs="仿宋"/>
                <w:bCs/>
                <w:kern w:val="0"/>
                <w:sz w:val="24"/>
                <w:szCs w:val="24"/>
              </w:rPr>
            </w:pPr>
            <w:r>
              <w:rPr>
                <w:rFonts w:hint="eastAsia" w:ascii="仿宋" w:hAnsi="仿宋" w:eastAsia="仿宋" w:cs="仿宋"/>
                <w:bCs/>
                <w:kern w:val="0"/>
                <w:sz w:val="24"/>
                <w:szCs w:val="24"/>
              </w:rPr>
              <w:t>按院区、时间（年、季度、月、日）趋势、手术种类分析，支持同期、同比、上期、环比、预警值的对比，支持参考线设置、图表转换、数据导出等功能；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kern w:val="0"/>
                <w:sz w:val="24"/>
                <w:szCs w:val="24"/>
              </w:rPr>
              <w:t>指标分析</w:t>
            </w:r>
          </w:p>
        </w:tc>
        <w:tc>
          <w:tcPr>
            <w:tcW w:w="6792" w:type="dxa"/>
            <w:vAlign w:val="center"/>
          </w:tcPr>
          <w:p>
            <w:pPr>
              <w:rPr>
                <w:rFonts w:ascii="仿宋" w:hAnsi="仿宋" w:eastAsia="仿宋" w:cs="仿宋"/>
                <w:kern w:val="0"/>
                <w:sz w:val="24"/>
                <w:szCs w:val="24"/>
              </w:rPr>
            </w:pPr>
            <w:r>
              <w:rPr>
                <w:rFonts w:hint="eastAsia" w:ascii="仿宋" w:hAnsi="仿宋" w:eastAsia="仿宋" w:cs="仿宋"/>
                <w:kern w:val="0"/>
                <w:sz w:val="24"/>
                <w:szCs w:val="24"/>
              </w:rPr>
              <w:t>支持对手术决策分析指标统计口径、计算公式的解释说明；</w:t>
            </w:r>
          </w:p>
          <w:p>
            <w:pPr>
              <w:rPr>
                <w:rFonts w:ascii="仿宋" w:hAnsi="仿宋" w:eastAsia="仿宋" w:cs="仿宋"/>
                <w:bCs/>
                <w:kern w:val="0"/>
                <w:sz w:val="24"/>
                <w:szCs w:val="24"/>
              </w:rPr>
            </w:pPr>
            <w:r>
              <w:rPr>
                <w:rFonts w:hint="eastAsia" w:ascii="仿宋" w:hAnsi="仿宋" w:eastAsia="仿宋" w:cs="仿宋"/>
                <w:kern w:val="0"/>
                <w:sz w:val="24"/>
                <w:szCs w:val="24"/>
              </w:rPr>
              <w:t>支持手术决策分析指标血缘分析，可查询指标来源数据；</w:t>
            </w:r>
          </w:p>
          <w:p>
            <w:pPr>
              <w:rPr>
                <w:rFonts w:ascii="仿宋" w:hAnsi="仿宋" w:eastAsia="仿宋" w:cs="仿宋"/>
                <w:bCs/>
                <w:kern w:val="0"/>
                <w:sz w:val="24"/>
                <w:szCs w:val="24"/>
              </w:rPr>
            </w:pPr>
            <w:r>
              <w:rPr>
                <w:rFonts w:hint="eastAsia" w:ascii="仿宋" w:hAnsi="仿宋" w:eastAsia="仿宋" w:cs="仿宋"/>
                <w:kern w:val="0"/>
                <w:sz w:val="24"/>
                <w:szCs w:val="24"/>
              </w:rPr>
              <w:t>支持对手术决策分析指标的变化情况分析；</w:t>
            </w:r>
          </w:p>
          <w:p>
            <w:pPr>
              <w:rPr>
                <w:rFonts w:ascii="仿宋" w:hAnsi="仿宋" w:eastAsia="仿宋" w:cs="仿宋"/>
                <w:bCs/>
                <w:kern w:val="0"/>
                <w:sz w:val="24"/>
                <w:szCs w:val="24"/>
              </w:rPr>
            </w:pPr>
            <w:r>
              <w:rPr>
                <w:rFonts w:hint="eastAsia" w:ascii="仿宋" w:hAnsi="仿宋" w:eastAsia="仿宋" w:cs="仿宋"/>
                <w:kern w:val="0"/>
                <w:sz w:val="24"/>
                <w:szCs w:val="24"/>
              </w:rPr>
              <w:t>支持手术决策分析指标多维分析，包括但不限于时间、院区、科室/病区、分类等多种维度分析；</w:t>
            </w:r>
          </w:p>
          <w:p>
            <w:pPr>
              <w:rPr>
                <w:rFonts w:ascii="仿宋" w:hAnsi="仿宋" w:eastAsia="仿宋" w:cs="仿宋"/>
                <w:bCs/>
                <w:kern w:val="0"/>
                <w:sz w:val="24"/>
                <w:szCs w:val="24"/>
              </w:rPr>
            </w:pPr>
            <w:r>
              <w:rPr>
                <w:rFonts w:hint="eastAsia" w:ascii="仿宋" w:hAnsi="仿宋" w:eastAsia="仿宋" w:cs="仿宋"/>
                <w:bCs/>
                <w:kern w:val="0"/>
                <w:sz w:val="24"/>
                <w:szCs w:val="24"/>
              </w:rPr>
              <w:t>支持</w:t>
            </w:r>
            <w:r>
              <w:rPr>
                <w:rFonts w:hint="eastAsia" w:ascii="仿宋" w:hAnsi="仿宋" w:eastAsia="仿宋" w:cs="仿宋"/>
                <w:kern w:val="0"/>
                <w:sz w:val="24"/>
                <w:szCs w:val="24"/>
              </w:rPr>
              <w:t>手术决策分析</w:t>
            </w:r>
            <w:r>
              <w:rPr>
                <w:rFonts w:hint="eastAsia" w:ascii="仿宋" w:hAnsi="仿宋" w:eastAsia="仿宋" w:cs="仿宋"/>
                <w:bCs/>
                <w:kern w:val="0"/>
                <w:sz w:val="24"/>
                <w:szCs w:val="24"/>
              </w:rPr>
              <w:t>指标数据对比功能；</w:t>
            </w:r>
          </w:p>
          <w:p>
            <w:pPr>
              <w:jc w:val="left"/>
              <w:rPr>
                <w:rFonts w:ascii="仿宋" w:hAnsi="仿宋" w:eastAsia="仿宋" w:cs="仿宋"/>
                <w:bCs/>
                <w:kern w:val="0"/>
                <w:sz w:val="24"/>
                <w:szCs w:val="24"/>
              </w:rPr>
            </w:pPr>
            <w:r>
              <w:rPr>
                <w:rFonts w:hint="eastAsia" w:ascii="仿宋" w:hAnsi="仿宋" w:eastAsia="仿宋" w:cs="仿宋"/>
                <w:kern w:val="0"/>
                <w:sz w:val="24"/>
                <w:szCs w:val="24"/>
              </w:rPr>
              <w:t>分析图表支持图表转换、参考线设置、排序、数据导出、下钻的功能；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明细列表</w:t>
            </w:r>
          </w:p>
        </w:tc>
        <w:tc>
          <w:tcPr>
            <w:tcW w:w="6792" w:type="dxa"/>
            <w:vAlign w:val="center"/>
          </w:tcPr>
          <w:p>
            <w:pPr>
              <w:rPr>
                <w:rFonts w:ascii="仿宋" w:hAnsi="仿宋" w:eastAsia="仿宋" w:cs="仿宋"/>
                <w:bCs/>
                <w:kern w:val="0"/>
                <w:sz w:val="24"/>
                <w:szCs w:val="24"/>
              </w:rPr>
            </w:pPr>
            <w:r>
              <w:rPr>
                <w:rFonts w:hint="eastAsia" w:ascii="仿宋" w:hAnsi="仿宋" w:eastAsia="仿宋" w:cs="仿宋"/>
                <w:bCs/>
                <w:kern w:val="0"/>
                <w:sz w:val="24"/>
                <w:szCs w:val="24"/>
              </w:rPr>
              <w:t>手术决策分析管理支持排序、导出、多级下钻功能；</w:t>
            </w:r>
          </w:p>
          <w:p>
            <w:pPr>
              <w:rPr>
                <w:rFonts w:ascii="仿宋" w:hAnsi="仿宋" w:eastAsia="仿宋" w:cs="仿宋"/>
                <w:bCs/>
                <w:kern w:val="0"/>
                <w:sz w:val="24"/>
                <w:szCs w:val="24"/>
              </w:rPr>
            </w:pPr>
            <w:r>
              <w:rPr>
                <w:rFonts w:hint="eastAsia" w:ascii="仿宋" w:hAnsi="仿宋" w:eastAsia="仿宋" w:cs="仿宋"/>
                <w:bCs/>
                <w:kern w:val="0"/>
                <w:sz w:val="24"/>
                <w:szCs w:val="24"/>
              </w:rPr>
              <w:t>★系统支持多重限制条件下的筛选、搜索查询功能；</w:t>
            </w:r>
            <w:r>
              <w:rPr>
                <w:rFonts w:hint="eastAsia" w:ascii="仿宋" w:hAnsi="仿宋" w:eastAsia="仿宋" w:cs="仿宋"/>
                <w:kern w:val="0"/>
                <w:sz w:val="24"/>
                <w:szCs w:val="24"/>
                <w:lang w:val="zh-CN" w:bidi="zh-CN"/>
              </w:rPr>
              <w:t>（需提供功能界面截图佐证）</w:t>
            </w:r>
          </w:p>
          <w:p>
            <w:pPr>
              <w:jc w:val="left"/>
              <w:rPr>
                <w:rFonts w:ascii="仿宋" w:hAnsi="仿宋" w:eastAsia="仿宋" w:cs="仿宋"/>
                <w:bCs/>
                <w:kern w:val="0"/>
                <w:sz w:val="24"/>
                <w:szCs w:val="24"/>
              </w:rPr>
            </w:pPr>
            <w:r>
              <w:rPr>
                <w:rFonts w:hint="eastAsia" w:ascii="仿宋" w:hAnsi="仿宋" w:eastAsia="仿宋" w:cs="仿宋"/>
                <w:bCs/>
                <w:kern w:val="0"/>
                <w:sz w:val="24"/>
                <w:szCs w:val="24"/>
              </w:rPr>
              <w:t>系统支持对明细列表的显示列进行编辑，包括显示字段、字段位置、单位等。</w:t>
            </w:r>
          </w:p>
        </w:tc>
      </w:tr>
    </w:tbl>
    <w:p>
      <w:pPr>
        <w:pStyle w:val="5"/>
        <w:keepLines/>
        <w:spacing w:line="360" w:lineRule="auto"/>
        <w:ind w:firstLine="482" w:firstLineChars="200"/>
        <w:rPr>
          <w:rFonts w:ascii="仿宋" w:hAnsi="仿宋" w:eastAsia="仿宋" w:cs="仿宋"/>
          <w:sz w:val="24"/>
          <w:szCs w:val="24"/>
        </w:rPr>
      </w:pPr>
      <w:bookmarkStart w:id="407" w:name="_Toc5881"/>
      <w:r>
        <w:rPr>
          <w:rFonts w:hint="eastAsia" w:ascii="仿宋" w:hAnsi="仿宋" w:eastAsia="仿宋" w:cs="仿宋"/>
          <w:sz w:val="24"/>
          <w:szCs w:val="24"/>
        </w:rPr>
        <w:t>8、医保分析管理系统</w:t>
      </w:r>
      <w:bookmarkEnd w:id="407"/>
    </w:p>
    <w:p>
      <w:pPr>
        <w:spacing w:before="120" w:after="120" w:line="360" w:lineRule="auto"/>
        <w:ind w:firstLine="357"/>
        <w:contextualSpacing/>
        <w:rPr>
          <w:rFonts w:ascii="仿宋" w:hAnsi="仿宋" w:eastAsia="仿宋" w:cs="仿宋"/>
          <w:bCs/>
          <w:sz w:val="24"/>
          <w:szCs w:val="24"/>
        </w:rPr>
      </w:pPr>
      <w:r>
        <w:rPr>
          <w:rFonts w:hint="eastAsia" w:ascii="仿宋" w:hAnsi="仿宋" w:eastAsia="仿宋" w:cs="仿宋"/>
          <w:bCs/>
          <w:sz w:val="24"/>
          <w:szCs w:val="24"/>
        </w:rPr>
        <w:t>医保分析管理系统包括全院医保分析、住院医保分析、门急诊医保分析，支持全院管理者、医技科主任管理者等对本院、本科室相关内容进行管理：具体功能如下：</w:t>
      </w:r>
    </w:p>
    <w:tbl>
      <w:tblPr>
        <w:tblStyle w:val="27"/>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8" w:type="dxa"/>
            <w:shd w:val="clear" w:color="auto" w:fill="D8D8D8" w:themeFill="background1" w:themeFillShade="D9"/>
            <w:vAlign w:val="center"/>
          </w:tcPr>
          <w:p>
            <w:pPr>
              <w:jc w:val="center"/>
              <w:rPr>
                <w:rFonts w:ascii="仿宋" w:hAnsi="仿宋" w:eastAsia="仿宋" w:cs="仿宋"/>
                <w:b/>
                <w:kern w:val="0"/>
                <w:sz w:val="24"/>
                <w:szCs w:val="24"/>
              </w:rPr>
            </w:pPr>
            <w:r>
              <w:rPr>
                <w:rFonts w:hint="eastAsia" w:ascii="仿宋" w:hAnsi="仿宋" w:eastAsia="仿宋" w:cs="仿宋"/>
                <w:b/>
                <w:kern w:val="0"/>
                <w:sz w:val="24"/>
                <w:szCs w:val="24"/>
              </w:rPr>
              <w:t>功能列表</w:t>
            </w:r>
          </w:p>
        </w:tc>
        <w:tc>
          <w:tcPr>
            <w:tcW w:w="6792" w:type="dxa"/>
            <w:shd w:val="clear" w:color="auto" w:fill="D8D8D8" w:themeFill="background1" w:themeFillShade="D9"/>
            <w:vAlign w:val="center"/>
          </w:tcPr>
          <w:p>
            <w:pPr>
              <w:jc w:val="center"/>
              <w:rPr>
                <w:rFonts w:ascii="仿宋" w:hAnsi="仿宋" w:eastAsia="仿宋" w:cs="仿宋"/>
                <w:b/>
                <w:kern w:val="0"/>
                <w:sz w:val="24"/>
                <w:szCs w:val="24"/>
              </w:rPr>
            </w:pPr>
            <w:r>
              <w:rPr>
                <w:rFonts w:hint="eastAsia" w:ascii="仿宋" w:hAnsi="仿宋" w:eastAsia="仿宋" w:cs="仿宋"/>
                <w:b/>
                <w:kern w:val="0"/>
                <w:sz w:val="24"/>
                <w:szCs w:val="24"/>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医保分析</w:t>
            </w:r>
          </w:p>
        </w:tc>
        <w:tc>
          <w:tcPr>
            <w:tcW w:w="6792"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★全院医保费用按院区、科室、医生、时间（年、季度、月、日）趋势、医保类型、费用类型分析，支持同期、同比、上期、环比、预算、预警值的对比，支持参考线设置、图表转换、数据导出等功能；</w:t>
            </w:r>
            <w:r>
              <w:rPr>
                <w:rFonts w:hint="eastAsia" w:ascii="仿宋" w:hAnsi="仿宋" w:eastAsia="仿宋" w:cs="仿宋"/>
                <w:kern w:val="0"/>
                <w:sz w:val="24"/>
                <w:szCs w:val="24"/>
                <w:lang w:val="zh-CN" w:bidi="zh-CN"/>
              </w:rPr>
              <w:t>（需提供功能界面截图佐证）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门急诊医保分析</w:t>
            </w:r>
          </w:p>
        </w:tc>
        <w:tc>
          <w:tcPr>
            <w:tcW w:w="6792"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门急诊医保费用、医保次均费用、医保人次、门诊收入中来自医保基金的比例；按院区、科室、医生、时间（年、季度、月、日）趋势、医保类型；</w:t>
            </w:r>
          </w:p>
          <w:p>
            <w:pPr>
              <w:jc w:val="left"/>
              <w:rPr>
                <w:rFonts w:ascii="仿宋" w:hAnsi="仿宋" w:eastAsia="仿宋" w:cs="仿宋"/>
                <w:bCs/>
                <w:kern w:val="0"/>
                <w:sz w:val="24"/>
                <w:szCs w:val="24"/>
              </w:rPr>
            </w:pPr>
            <w:r>
              <w:rPr>
                <w:rFonts w:hint="eastAsia" w:ascii="仿宋" w:hAnsi="仿宋" w:eastAsia="仿宋" w:cs="仿宋"/>
                <w:bCs/>
                <w:kern w:val="0"/>
                <w:sz w:val="24"/>
                <w:szCs w:val="24"/>
              </w:rPr>
              <w:t>支持同期、同比、上期、环比、预警值的对比，支持参考线设置、图表转换、数据导出等功能；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住院医保分析</w:t>
            </w:r>
          </w:p>
        </w:tc>
        <w:tc>
          <w:tcPr>
            <w:tcW w:w="6792"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住院医保费用、医保次均费用、医保人次、住院收入中来自医保基金的比例；按院区、科室、医生、时间（年、季度、月、日）趋势、医保类型；</w:t>
            </w:r>
          </w:p>
          <w:p>
            <w:pPr>
              <w:jc w:val="left"/>
              <w:rPr>
                <w:rFonts w:ascii="仿宋" w:hAnsi="仿宋" w:eastAsia="仿宋" w:cs="仿宋"/>
                <w:bCs/>
                <w:kern w:val="0"/>
                <w:sz w:val="24"/>
                <w:szCs w:val="24"/>
              </w:rPr>
            </w:pPr>
            <w:r>
              <w:rPr>
                <w:rFonts w:hint="eastAsia" w:ascii="仿宋" w:hAnsi="仿宋" w:eastAsia="仿宋" w:cs="仿宋"/>
                <w:bCs/>
                <w:kern w:val="0"/>
                <w:sz w:val="24"/>
                <w:szCs w:val="24"/>
              </w:rPr>
              <w:t>支持同期、同比、上期、环比、预警值的对比，支持参考线设置、图表转换、数据导出等功能；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kern w:val="0"/>
                <w:sz w:val="24"/>
                <w:szCs w:val="24"/>
              </w:rPr>
              <w:t>指标分析</w:t>
            </w:r>
          </w:p>
        </w:tc>
        <w:tc>
          <w:tcPr>
            <w:tcW w:w="6792" w:type="dxa"/>
            <w:vAlign w:val="center"/>
          </w:tcPr>
          <w:p>
            <w:pPr>
              <w:rPr>
                <w:rFonts w:ascii="仿宋" w:hAnsi="仿宋" w:eastAsia="仿宋" w:cs="仿宋"/>
                <w:kern w:val="0"/>
                <w:sz w:val="24"/>
                <w:szCs w:val="24"/>
              </w:rPr>
            </w:pPr>
            <w:r>
              <w:rPr>
                <w:rFonts w:hint="eastAsia" w:ascii="仿宋" w:hAnsi="仿宋" w:eastAsia="仿宋" w:cs="仿宋"/>
                <w:kern w:val="0"/>
                <w:sz w:val="24"/>
                <w:szCs w:val="24"/>
              </w:rPr>
              <w:t>支持对医保分析指标统计口径、计算公式的解释说明；</w:t>
            </w:r>
          </w:p>
          <w:p>
            <w:pPr>
              <w:rPr>
                <w:rFonts w:ascii="仿宋" w:hAnsi="仿宋" w:eastAsia="仿宋" w:cs="仿宋"/>
                <w:bCs/>
                <w:kern w:val="0"/>
                <w:sz w:val="24"/>
                <w:szCs w:val="24"/>
              </w:rPr>
            </w:pPr>
            <w:r>
              <w:rPr>
                <w:rFonts w:hint="eastAsia" w:ascii="仿宋" w:hAnsi="仿宋" w:eastAsia="仿宋" w:cs="仿宋"/>
                <w:kern w:val="0"/>
                <w:sz w:val="24"/>
                <w:szCs w:val="24"/>
              </w:rPr>
              <w:t>支持医保分析指标血缘分析，可查询指标来源数据；</w:t>
            </w:r>
          </w:p>
          <w:p>
            <w:pPr>
              <w:rPr>
                <w:rFonts w:ascii="仿宋" w:hAnsi="仿宋" w:eastAsia="仿宋" w:cs="仿宋"/>
                <w:bCs/>
                <w:kern w:val="0"/>
                <w:sz w:val="24"/>
                <w:szCs w:val="24"/>
              </w:rPr>
            </w:pPr>
            <w:r>
              <w:rPr>
                <w:rFonts w:hint="eastAsia" w:ascii="仿宋" w:hAnsi="仿宋" w:eastAsia="仿宋" w:cs="仿宋"/>
                <w:kern w:val="0"/>
                <w:sz w:val="24"/>
                <w:szCs w:val="24"/>
              </w:rPr>
              <w:t>支持对医保分析指标的变化情况分析；</w:t>
            </w:r>
          </w:p>
          <w:p>
            <w:pPr>
              <w:rPr>
                <w:rFonts w:ascii="仿宋" w:hAnsi="仿宋" w:eastAsia="仿宋" w:cs="仿宋"/>
                <w:bCs/>
                <w:kern w:val="0"/>
                <w:sz w:val="24"/>
                <w:szCs w:val="24"/>
              </w:rPr>
            </w:pPr>
            <w:r>
              <w:rPr>
                <w:rFonts w:hint="eastAsia" w:ascii="仿宋" w:hAnsi="仿宋" w:eastAsia="仿宋" w:cs="仿宋"/>
                <w:kern w:val="0"/>
                <w:sz w:val="24"/>
                <w:szCs w:val="24"/>
              </w:rPr>
              <w:t>支持医保分析指标多维分析，包括但不限于时间、院区、科室/病区、分类等多种维度分析；</w:t>
            </w:r>
          </w:p>
          <w:p>
            <w:pPr>
              <w:rPr>
                <w:rFonts w:ascii="仿宋" w:hAnsi="仿宋" w:eastAsia="仿宋" w:cs="仿宋"/>
                <w:bCs/>
                <w:kern w:val="0"/>
                <w:sz w:val="24"/>
                <w:szCs w:val="24"/>
              </w:rPr>
            </w:pPr>
            <w:r>
              <w:rPr>
                <w:rFonts w:hint="eastAsia" w:ascii="仿宋" w:hAnsi="仿宋" w:eastAsia="仿宋" w:cs="仿宋"/>
                <w:bCs/>
                <w:kern w:val="0"/>
                <w:sz w:val="24"/>
                <w:szCs w:val="24"/>
              </w:rPr>
              <w:t>支持</w:t>
            </w:r>
            <w:r>
              <w:rPr>
                <w:rFonts w:hint="eastAsia" w:ascii="仿宋" w:hAnsi="仿宋" w:eastAsia="仿宋" w:cs="仿宋"/>
                <w:kern w:val="0"/>
                <w:sz w:val="24"/>
                <w:szCs w:val="24"/>
              </w:rPr>
              <w:t>医保分析</w:t>
            </w:r>
            <w:r>
              <w:rPr>
                <w:rFonts w:hint="eastAsia" w:ascii="仿宋" w:hAnsi="仿宋" w:eastAsia="仿宋" w:cs="仿宋"/>
                <w:bCs/>
                <w:kern w:val="0"/>
                <w:sz w:val="24"/>
                <w:szCs w:val="24"/>
              </w:rPr>
              <w:t>指标数据对比功能；</w:t>
            </w:r>
          </w:p>
          <w:p>
            <w:pPr>
              <w:jc w:val="left"/>
              <w:rPr>
                <w:rFonts w:ascii="仿宋" w:hAnsi="仿宋" w:eastAsia="仿宋" w:cs="仿宋"/>
                <w:bCs/>
                <w:kern w:val="0"/>
                <w:sz w:val="24"/>
                <w:szCs w:val="24"/>
              </w:rPr>
            </w:pPr>
            <w:r>
              <w:rPr>
                <w:rFonts w:hint="eastAsia" w:ascii="仿宋" w:hAnsi="仿宋" w:eastAsia="仿宋" w:cs="仿宋"/>
                <w:kern w:val="0"/>
                <w:sz w:val="24"/>
                <w:szCs w:val="24"/>
              </w:rPr>
              <w:t>分析图表支持图表转换、参考线设置、排序、数据导出、下钻的功能；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明细列表</w:t>
            </w:r>
          </w:p>
        </w:tc>
        <w:tc>
          <w:tcPr>
            <w:tcW w:w="6792" w:type="dxa"/>
            <w:vAlign w:val="center"/>
          </w:tcPr>
          <w:p>
            <w:pPr>
              <w:rPr>
                <w:rFonts w:ascii="仿宋" w:hAnsi="仿宋" w:eastAsia="仿宋" w:cs="仿宋"/>
                <w:bCs/>
                <w:kern w:val="0"/>
                <w:sz w:val="24"/>
                <w:szCs w:val="24"/>
              </w:rPr>
            </w:pPr>
            <w:r>
              <w:rPr>
                <w:rFonts w:hint="eastAsia" w:ascii="仿宋" w:hAnsi="仿宋" w:eastAsia="仿宋" w:cs="仿宋"/>
                <w:bCs/>
                <w:kern w:val="0"/>
                <w:sz w:val="24"/>
                <w:szCs w:val="24"/>
              </w:rPr>
              <w:t>医保分析管理支持排序、导出、多级下钻功能；</w:t>
            </w:r>
          </w:p>
          <w:p>
            <w:pPr>
              <w:rPr>
                <w:rFonts w:ascii="仿宋" w:hAnsi="仿宋" w:eastAsia="仿宋" w:cs="仿宋"/>
                <w:bCs/>
                <w:kern w:val="0"/>
                <w:sz w:val="24"/>
                <w:szCs w:val="24"/>
              </w:rPr>
            </w:pPr>
            <w:r>
              <w:rPr>
                <w:rFonts w:hint="eastAsia" w:ascii="仿宋" w:hAnsi="仿宋" w:eastAsia="仿宋" w:cs="仿宋"/>
                <w:bCs/>
                <w:kern w:val="0"/>
                <w:sz w:val="24"/>
                <w:szCs w:val="24"/>
              </w:rPr>
              <w:t>医保分析管理支持多重限制条件下的筛选、搜索查询功能；</w:t>
            </w:r>
          </w:p>
          <w:p>
            <w:pPr>
              <w:rPr>
                <w:rFonts w:ascii="仿宋" w:hAnsi="仿宋" w:eastAsia="仿宋" w:cs="仿宋"/>
                <w:bCs/>
                <w:kern w:val="0"/>
                <w:sz w:val="24"/>
                <w:szCs w:val="24"/>
              </w:rPr>
            </w:pPr>
            <w:r>
              <w:rPr>
                <w:rFonts w:hint="eastAsia" w:ascii="仿宋" w:hAnsi="仿宋" w:eastAsia="仿宋" w:cs="仿宋"/>
                <w:bCs/>
                <w:kern w:val="0"/>
                <w:sz w:val="24"/>
                <w:szCs w:val="24"/>
              </w:rPr>
              <w:t>医保分析管理支持对明细列表的显示列进行编辑，包括显示字段、字段位置、单位等；</w:t>
            </w:r>
          </w:p>
        </w:tc>
      </w:tr>
    </w:tbl>
    <w:p>
      <w:pPr>
        <w:pStyle w:val="5"/>
        <w:keepLines/>
        <w:spacing w:line="360" w:lineRule="auto"/>
        <w:ind w:firstLine="482" w:firstLineChars="200"/>
        <w:rPr>
          <w:rFonts w:ascii="仿宋" w:hAnsi="仿宋" w:eastAsia="仿宋" w:cs="仿宋"/>
          <w:sz w:val="24"/>
          <w:szCs w:val="24"/>
        </w:rPr>
      </w:pPr>
      <w:bookmarkStart w:id="408" w:name="_Toc30381"/>
      <w:r>
        <w:rPr>
          <w:rFonts w:hint="eastAsia" w:ascii="仿宋" w:hAnsi="仿宋" w:eastAsia="仿宋" w:cs="仿宋"/>
          <w:sz w:val="24"/>
          <w:szCs w:val="24"/>
        </w:rPr>
        <w:t>9、医技分析管理系统</w:t>
      </w:r>
      <w:bookmarkEnd w:id="408"/>
    </w:p>
    <w:p>
      <w:pPr>
        <w:spacing w:line="360" w:lineRule="auto"/>
        <w:ind w:firstLine="357"/>
        <w:contextualSpacing/>
        <w:rPr>
          <w:rFonts w:ascii="仿宋" w:hAnsi="仿宋" w:eastAsia="仿宋" w:cs="仿宋"/>
          <w:bCs/>
          <w:sz w:val="24"/>
          <w:szCs w:val="24"/>
        </w:rPr>
      </w:pPr>
      <w:r>
        <w:rPr>
          <w:rFonts w:hint="eastAsia" w:ascii="仿宋" w:hAnsi="仿宋" w:eastAsia="仿宋" w:cs="仿宋"/>
          <w:bCs/>
          <w:sz w:val="24"/>
          <w:szCs w:val="24"/>
        </w:rPr>
        <w:t>医技分析管理系统包括检验分析、检查分析，支持全院管理者、医技科主任管理者等对本院、本科室相关内容进行管理。具体功能如下：</w:t>
      </w:r>
    </w:p>
    <w:tbl>
      <w:tblPr>
        <w:tblStyle w:val="27"/>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8" w:type="dxa"/>
            <w:shd w:val="clear" w:color="auto" w:fill="D8D8D8" w:themeFill="background1" w:themeFillShade="D9"/>
            <w:vAlign w:val="center"/>
          </w:tcPr>
          <w:p>
            <w:pPr>
              <w:jc w:val="center"/>
              <w:rPr>
                <w:rFonts w:ascii="仿宋" w:hAnsi="仿宋" w:eastAsia="仿宋" w:cs="仿宋"/>
                <w:b/>
                <w:kern w:val="0"/>
                <w:sz w:val="24"/>
                <w:szCs w:val="24"/>
              </w:rPr>
            </w:pPr>
            <w:r>
              <w:rPr>
                <w:rFonts w:hint="eastAsia" w:ascii="仿宋" w:hAnsi="仿宋" w:eastAsia="仿宋" w:cs="仿宋"/>
                <w:b/>
                <w:kern w:val="0"/>
                <w:sz w:val="24"/>
                <w:szCs w:val="24"/>
              </w:rPr>
              <w:t>功能列表</w:t>
            </w:r>
          </w:p>
        </w:tc>
        <w:tc>
          <w:tcPr>
            <w:tcW w:w="6792" w:type="dxa"/>
            <w:shd w:val="clear" w:color="auto" w:fill="D8D8D8" w:themeFill="background1" w:themeFillShade="D9"/>
            <w:vAlign w:val="center"/>
          </w:tcPr>
          <w:p>
            <w:pPr>
              <w:jc w:val="center"/>
              <w:rPr>
                <w:rFonts w:ascii="仿宋" w:hAnsi="仿宋" w:eastAsia="仿宋" w:cs="仿宋"/>
                <w:b/>
                <w:kern w:val="0"/>
                <w:sz w:val="24"/>
                <w:szCs w:val="24"/>
              </w:rPr>
            </w:pPr>
            <w:r>
              <w:rPr>
                <w:rFonts w:hint="eastAsia" w:ascii="仿宋" w:hAnsi="仿宋" w:eastAsia="仿宋" w:cs="仿宋"/>
                <w:b/>
                <w:kern w:val="0"/>
                <w:sz w:val="24"/>
                <w:szCs w:val="24"/>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检验分析</w:t>
            </w:r>
          </w:p>
        </w:tc>
        <w:tc>
          <w:tcPr>
            <w:tcW w:w="6792"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分析范围包括：检验人次数、费用、报告数量、平均耗时、费用占比等相关指标；</w:t>
            </w:r>
          </w:p>
          <w:p>
            <w:pPr>
              <w:jc w:val="left"/>
              <w:rPr>
                <w:rFonts w:ascii="仿宋" w:hAnsi="仿宋" w:eastAsia="仿宋" w:cs="仿宋"/>
                <w:bCs/>
                <w:color w:val="FF0000"/>
                <w:kern w:val="0"/>
                <w:sz w:val="24"/>
                <w:szCs w:val="24"/>
              </w:rPr>
            </w:pPr>
            <w:r>
              <w:rPr>
                <w:rFonts w:hint="eastAsia" w:ascii="仿宋" w:hAnsi="仿宋" w:eastAsia="仿宋" w:cs="仿宋"/>
                <w:bCs/>
                <w:kern w:val="0"/>
                <w:sz w:val="24"/>
                <w:szCs w:val="24"/>
              </w:rPr>
              <w:t>按院区、科室、医生、时间（年、季度、月、日）趋势、检验类型，支持同期、同比、上期、环比、预警值的对比，支持参考线设置、图表转换、数据导出等功能；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检查分析</w:t>
            </w:r>
          </w:p>
        </w:tc>
        <w:tc>
          <w:tcPr>
            <w:tcW w:w="6792"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分析范围包括：检查人次数、检查部位、检查费用、检查报告数量、检查平均耗时、检查费用占比等相关指标；</w:t>
            </w:r>
          </w:p>
          <w:p>
            <w:pPr>
              <w:jc w:val="left"/>
              <w:rPr>
                <w:rFonts w:ascii="仿宋" w:hAnsi="仿宋" w:eastAsia="仿宋" w:cs="仿宋"/>
                <w:bCs/>
                <w:kern w:val="0"/>
                <w:sz w:val="24"/>
                <w:szCs w:val="24"/>
              </w:rPr>
            </w:pPr>
            <w:r>
              <w:rPr>
                <w:rFonts w:hint="eastAsia" w:ascii="仿宋" w:hAnsi="仿宋" w:eastAsia="仿宋" w:cs="仿宋"/>
                <w:bCs/>
                <w:kern w:val="0"/>
                <w:sz w:val="24"/>
                <w:szCs w:val="24"/>
              </w:rPr>
              <w:t xml:space="preserve">按院区、科室、医生、时间（年、季度、月、日）趋势、检查项目，支持同期、同比、上期、环比、预警值的对比，支持参考线设置、图表转换、数据导出等功能；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kern w:val="0"/>
                <w:sz w:val="24"/>
                <w:szCs w:val="24"/>
              </w:rPr>
              <w:t>指标分析</w:t>
            </w:r>
          </w:p>
        </w:tc>
        <w:tc>
          <w:tcPr>
            <w:tcW w:w="6792" w:type="dxa"/>
            <w:vAlign w:val="center"/>
          </w:tcPr>
          <w:p>
            <w:pPr>
              <w:rPr>
                <w:rFonts w:ascii="仿宋" w:hAnsi="仿宋" w:eastAsia="仿宋" w:cs="仿宋"/>
                <w:kern w:val="0"/>
                <w:sz w:val="24"/>
                <w:szCs w:val="24"/>
              </w:rPr>
            </w:pPr>
            <w:r>
              <w:rPr>
                <w:rFonts w:hint="eastAsia" w:ascii="仿宋" w:hAnsi="仿宋" w:eastAsia="仿宋" w:cs="仿宋"/>
                <w:kern w:val="0"/>
                <w:sz w:val="24"/>
                <w:szCs w:val="24"/>
              </w:rPr>
              <w:t>支持对医技分析指标统计口径、计算公式的解释说明；</w:t>
            </w:r>
          </w:p>
          <w:p>
            <w:pPr>
              <w:rPr>
                <w:rFonts w:ascii="仿宋" w:hAnsi="仿宋" w:eastAsia="仿宋" w:cs="仿宋"/>
                <w:bCs/>
                <w:kern w:val="0"/>
                <w:sz w:val="24"/>
                <w:szCs w:val="24"/>
              </w:rPr>
            </w:pPr>
            <w:r>
              <w:rPr>
                <w:rFonts w:hint="eastAsia" w:ascii="仿宋" w:hAnsi="仿宋" w:eastAsia="仿宋" w:cs="仿宋"/>
                <w:kern w:val="0"/>
                <w:sz w:val="24"/>
                <w:szCs w:val="24"/>
              </w:rPr>
              <w:t>支持医技分析指标血缘分析，可查询指标来源数据；</w:t>
            </w:r>
          </w:p>
          <w:p>
            <w:pPr>
              <w:rPr>
                <w:rFonts w:ascii="仿宋" w:hAnsi="仿宋" w:eastAsia="仿宋" w:cs="仿宋"/>
                <w:bCs/>
                <w:kern w:val="0"/>
                <w:sz w:val="24"/>
                <w:szCs w:val="24"/>
              </w:rPr>
            </w:pPr>
            <w:r>
              <w:rPr>
                <w:rFonts w:hint="eastAsia" w:ascii="仿宋" w:hAnsi="仿宋" w:eastAsia="仿宋" w:cs="仿宋"/>
                <w:kern w:val="0"/>
                <w:sz w:val="24"/>
                <w:szCs w:val="24"/>
              </w:rPr>
              <w:t>支持对医技分析指标的变化情况分析；</w:t>
            </w:r>
          </w:p>
          <w:p>
            <w:pPr>
              <w:rPr>
                <w:rFonts w:ascii="仿宋" w:hAnsi="仿宋" w:eastAsia="仿宋" w:cs="仿宋"/>
                <w:bCs/>
                <w:kern w:val="0"/>
                <w:sz w:val="24"/>
                <w:szCs w:val="24"/>
              </w:rPr>
            </w:pPr>
            <w:r>
              <w:rPr>
                <w:rFonts w:hint="eastAsia" w:ascii="仿宋" w:hAnsi="仿宋" w:eastAsia="仿宋" w:cs="仿宋"/>
                <w:kern w:val="0"/>
                <w:sz w:val="24"/>
                <w:szCs w:val="24"/>
              </w:rPr>
              <w:t>支持医技分析指标多维分析，包括但不限于时间、院区、科室/病区、分类等多种维度分析；</w:t>
            </w:r>
          </w:p>
          <w:p>
            <w:pPr>
              <w:rPr>
                <w:rFonts w:ascii="仿宋" w:hAnsi="仿宋" w:eastAsia="仿宋" w:cs="仿宋"/>
                <w:bCs/>
                <w:kern w:val="0"/>
                <w:sz w:val="24"/>
                <w:szCs w:val="24"/>
              </w:rPr>
            </w:pPr>
            <w:r>
              <w:rPr>
                <w:rFonts w:hint="eastAsia" w:ascii="仿宋" w:hAnsi="仿宋" w:eastAsia="仿宋" w:cs="仿宋"/>
                <w:bCs/>
                <w:kern w:val="0"/>
                <w:sz w:val="24"/>
                <w:szCs w:val="24"/>
              </w:rPr>
              <w:t>支持</w:t>
            </w:r>
            <w:r>
              <w:rPr>
                <w:rFonts w:hint="eastAsia" w:ascii="仿宋" w:hAnsi="仿宋" w:eastAsia="仿宋" w:cs="仿宋"/>
                <w:kern w:val="0"/>
                <w:sz w:val="24"/>
                <w:szCs w:val="24"/>
              </w:rPr>
              <w:t>医技分析</w:t>
            </w:r>
            <w:r>
              <w:rPr>
                <w:rFonts w:hint="eastAsia" w:ascii="仿宋" w:hAnsi="仿宋" w:eastAsia="仿宋" w:cs="仿宋"/>
                <w:bCs/>
                <w:kern w:val="0"/>
                <w:sz w:val="24"/>
                <w:szCs w:val="24"/>
              </w:rPr>
              <w:t>指标数据对比功能；</w:t>
            </w:r>
          </w:p>
          <w:p>
            <w:pPr>
              <w:jc w:val="left"/>
              <w:rPr>
                <w:rFonts w:ascii="仿宋" w:hAnsi="仿宋" w:eastAsia="仿宋" w:cs="仿宋"/>
                <w:bCs/>
                <w:kern w:val="0"/>
                <w:sz w:val="24"/>
                <w:szCs w:val="24"/>
              </w:rPr>
            </w:pPr>
            <w:r>
              <w:rPr>
                <w:rFonts w:hint="eastAsia" w:ascii="仿宋" w:hAnsi="仿宋" w:eastAsia="仿宋" w:cs="仿宋"/>
                <w:kern w:val="0"/>
                <w:sz w:val="24"/>
                <w:szCs w:val="24"/>
              </w:rPr>
              <w:t>分析图表支持图表转换、参考线设置、排序、数据导出、下钻的功能；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明细列表</w:t>
            </w:r>
          </w:p>
        </w:tc>
        <w:tc>
          <w:tcPr>
            <w:tcW w:w="6792" w:type="dxa"/>
            <w:vAlign w:val="center"/>
          </w:tcPr>
          <w:p>
            <w:pPr>
              <w:rPr>
                <w:rFonts w:ascii="仿宋" w:hAnsi="仿宋" w:eastAsia="仿宋" w:cs="仿宋"/>
                <w:bCs/>
                <w:kern w:val="0"/>
                <w:sz w:val="24"/>
                <w:szCs w:val="24"/>
              </w:rPr>
            </w:pPr>
            <w:r>
              <w:rPr>
                <w:rFonts w:hint="eastAsia" w:ascii="仿宋" w:hAnsi="仿宋" w:eastAsia="仿宋" w:cs="仿宋"/>
                <w:bCs/>
                <w:kern w:val="0"/>
                <w:sz w:val="24"/>
                <w:szCs w:val="24"/>
              </w:rPr>
              <w:t>医技分析管理支持排序、导出、多级下钻功能；</w:t>
            </w:r>
          </w:p>
          <w:p>
            <w:pPr>
              <w:rPr>
                <w:rFonts w:ascii="仿宋" w:hAnsi="仿宋" w:eastAsia="仿宋" w:cs="仿宋"/>
                <w:bCs/>
                <w:kern w:val="0"/>
                <w:sz w:val="24"/>
                <w:szCs w:val="24"/>
              </w:rPr>
            </w:pPr>
            <w:r>
              <w:rPr>
                <w:rFonts w:hint="eastAsia" w:ascii="仿宋" w:hAnsi="仿宋" w:eastAsia="仿宋" w:cs="仿宋"/>
                <w:bCs/>
                <w:kern w:val="0"/>
                <w:sz w:val="24"/>
                <w:szCs w:val="24"/>
              </w:rPr>
              <w:t>医技分析管理支持多重限制条件下的筛选、搜索查询功能；</w:t>
            </w:r>
          </w:p>
          <w:p>
            <w:pPr>
              <w:rPr>
                <w:rFonts w:ascii="仿宋" w:hAnsi="仿宋" w:eastAsia="仿宋" w:cs="仿宋"/>
                <w:bCs/>
                <w:kern w:val="0"/>
                <w:sz w:val="24"/>
                <w:szCs w:val="24"/>
              </w:rPr>
            </w:pPr>
            <w:r>
              <w:rPr>
                <w:rFonts w:hint="eastAsia" w:ascii="仿宋" w:hAnsi="仿宋" w:eastAsia="仿宋" w:cs="仿宋"/>
                <w:bCs/>
                <w:kern w:val="0"/>
                <w:sz w:val="24"/>
                <w:szCs w:val="24"/>
              </w:rPr>
              <w:t>医技分析管理支持对明细列表的显示列进行编辑，包括显示字段、字段位置、单位等。</w:t>
            </w:r>
          </w:p>
        </w:tc>
      </w:tr>
    </w:tbl>
    <w:p>
      <w:pPr>
        <w:pStyle w:val="5"/>
        <w:keepLines/>
        <w:spacing w:line="360" w:lineRule="auto"/>
        <w:ind w:firstLine="482" w:firstLineChars="200"/>
        <w:rPr>
          <w:rFonts w:ascii="仿宋" w:hAnsi="仿宋" w:eastAsia="仿宋" w:cs="仿宋"/>
          <w:sz w:val="24"/>
          <w:szCs w:val="24"/>
        </w:rPr>
      </w:pPr>
      <w:bookmarkStart w:id="409" w:name="_Toc9864"/>
      <w:r>
        <w:rPr>
          <w:rFonts w:hint="eastAsia" w:ascii="仿宋" w:hAnsi="仿宋" w:eastAsia="仿宋" w:cs="仿宋"/>
          <w:sz w:val="24"/>
          <w:szCs w:val="24"/>
        </w:rPr>
        <w:t>10、医疗质量管理系统</w:t>
      </w:r>
      <w:bookmarkEnd w:id="409"/>
    </w:p>
    <w:p>
      <w:pPr>
        <w:spacing w:before="120" w:after="120" w:line="360" w:lineRule="auto"/>
        <w:ind w:firstLine="357"/>
        <w:contextualSpacing/>
        <w:rPr>
          <w:rFonts w:ascii="仿宋" w:hAnsi="仿宋" w:eastAsia="仿宋" w:cs="仿宋"/>
          <w:bCs/>
          <w:sz w:val="24"/>
          <w:szCs w:val="24"/>
        </w:rPr>
      </w:pPr>
      <w:r>
        <w:rPr>
          <w:rFonts w:hint="eastAsia" w:ascii="仿宋" w:hAnsi="仿宋" w:eastAsia="仿宋" w:cs="仿宋"/>
          <w:bCs/>
          <w:sz w:val="24"/>
          <w:szCs w:val="24"/>
        </w:rPr>
        <w:t>医疗质量管理系统包括治疗结果分析、诊断符合分析、危重抢救分析，支持全院管理者、科主任管理者等对本院、本科室相关内容进行管理。具体功能如下：</w:t>
      </w:r>
    </w:p>
    <w:tbl>
      <w:tblPr>
        <w:tblStyle w:val="27"/>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8" w:type="dxa"/>
            <w:shd w:val="clear" w:color="auto" w:fill="D8D8D8" w:themeFill="background1" w:themeFillShade="D9"/>
            <w:vAlign w:val="center"/>
          </w:tcPr>
          <w:p>
            <w:pPr>
              <w:jc w:val="center"/>
              <w:rPr>
                <w:rFonts w:ascii="仿宋" w:hAnsi="仿宋" w:eastAsia="仿宋" w:cs="仿宋"/>
                <w:b/>
                <w:kern w:val="0"/>
                <w:sz w:val="24"/>
                <w:szCs w:val="24"/>
              </w:rPr>
            </w:pPr>
            <w:r>
              <w:rPr>
                <w:rFonts w:hint="eastAsia" w:ascii="仿宋" w:hAnsi="仿宋" w:eastAsia="仿宋" w:cs="仿宋"/>
                <w:b/>
                <w:kern w:val="0"/>
                <w:sz w:val="24"/>
                <w:szCs w:val="24"/>
              </w:rPr>
              <w:t>功能列表</w:t>
            </w:r>
          </w:p>
        </w:tc>
        <w:tc>
          <w:tcPr>
            <w:tcW w:w="6792" w:type="dxa"/>
            <w:shd w:val="clear" w:color="auto" w:fill="D8D8D8" w:themeFill="background1" w:themeFillShade="D9"/>
            <w:vAlign w:val="center"/>
          </w:tcPr>
          <w:p>
            <w:pPr>
              <w:jc w:val="center"/>
              <w:rPr>
                <w:rFonts w:ascii="仿宋" w:hAnsi="仿宋" w:eastAsia="仿宋" w:cs="仿宋"/>
                <w:b/>
                <w:kern w:val="0"/>
                <w:sz w:val="24"/>
                <w:szCs w:val="24"/>
              </w:rPr>
            </w:pPr>
            <w:r>
              <w:rPr>
                <w:rFonts w:hint="eastAsia" w:ascii="仿宋" w:hAnsi="仿宋" w:eastAsia="仿宋" w:cs="仿宋"/>
                <w:b/>
                <w:kern w:val="0"/>
                <w:sz w:val="24"/>
                <w:szCs w:val="24"/>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治疗结果分析</w:t>
            </w:r>
          </w:p>
        </w:tc>
        <w:tc>
          <w:tcPr>
            <w:tcW w:w="6792"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分析指标包括：出院患者人次按不同治疗结果分类分析；</w:t>
            </w:r>
          </w:p>
          <w:p>
            <w:pPr>
              <w:jc w:val="left"/>
              <w:rPr>
                <w:rFonts w:ascii="仿宋" w:hAnsi="仿宋" w:eastAsia="仿宋" w:cs="仿宋"/>
                <w:bCs/>
                <w:kern w:val="0"/>
                <w:sz w:val="24"/>
                <w:szCs w:val="24"/>
              </w:rPr>
            </w:pPr>
            <w:r>
              <w:rPr>
                <w:rFonts w:hint="eastAsia" w:ascii="仿宋" w:hAnsi="仿宋" w:eastAsia="仿宋" w:cs="仿宋"/>
                <w:bCs/>
                <w:kern w:val="0"/>
                <w:sz w:val="24"/>
                <w:szCs w:val="24"/>
              </w:rPr>
              <w:t>按院区、科室、医生、时间（年、季度、月、日）趋势，支持同期、同比、上期、环比、预警值的对比，支持参考线设置、图表转换、数据导出等功能；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诊断符合分析</w:t>
            </w:r>
          </w:p>
        </w:tc>
        <w:tc>
          <w:tcPr>
            <w:tcW w:w="6792"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分析指标包括：入院诊断与出院诊断符合率按不同治疗结果分类分析；</w:t>
            </w:r>
          </w:p>
          <w:p>
            <w:pPr>
              <w:jc w:val="left"/>
              <w:rPr>
                <w:rFonts w:ascii="仿宋" w:hAnsi="仿宋" w:eastAsia="仿宋" w:cs="仿宋"/>
                <w:bCs/>
                <w:kern w:val="0"/>
                <w:sz w:val="24"/>
                <w:szCs w:val="24"/>
              </w:rPr>
            </w:pPr>
            <w:r>
              <w:rPr>
                <w:rFonts w:hint="eastAsia" w:ascii="仿宋" w:hAnsi="仿宋" w:eastAsia="仿宋" w:cs="仿宋"/>
                <w:bCs/>
                <w:kern w:val="0"/>
                <w:sz w:val="24"/>
                <w:szCs w:val="24"/>
              </w:rPr>
              <w:t>★按院区、科室、医生、时间（年、季度、月、日）趋势，支持同期、同比、上期、环比、预警值的对比，支持参考线设置、图表转换、数据导出等功能；</w:t>
            </w:r>
            <w:r>
              <w:rPr>
                <w:rFonts w:hint="eastAsia" w:ascii="仿宋" w:hAnsi="仿宋" w:eastAsia="仿宋" w:cs="仿宋"/>
                <w:kern w:val="0"/>
                <w:sz w:val="24"/>
                <w:szCs w:val="24"/>
                <w:lang w:val="zh-CN" w:bidi="zh-CN"/>
              </w:rPr>
              <w:t>（需提供功能界面截图佐证）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危重抢救分析</w:t>
            </w:r>
          </w:p>
        </w:tc>
        <w:tc>
          <w:tcPr>
            <w:tcW w:w="6792"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分析指标包括：危重、抢救人次、成功率等相关内容分析；</w:t>
            </w:r>
          </w:p>
          <w:p>
            <w:pPr>
              <w:jc w:val="left"/>
              <w:rPr>
                <w:rFonts w:ascii="仿宋" w:hAnsi="仿宋" w:eastAsia="仿宋" w:cs="仿宋"/>
                <w:bCs/>
                <w:kern w:val="0"/>
                <w:sz w:val="24"/>
                <w:szCs w:val="24"/>
              </w:rPr>
            </w:pPr>
            <w:r>
              <w:rPr>
                <w:rFonts w:hint="eastAsia" w:ascii="仿宋" w:hAnsi="仿宋" w:eastAsia="仿宋" w:cs="仿宋"/>
                <w:bCs/>
                <w:kern w:val="0"/>
                <w:sz w:val="24"/>
                <w:szCs w:val="24"/>
              </w:rPr>
              <w:t>按院区、科室、医生、时间（年、季度、月、日）趋势，支持同期、同比、上期、环比、预警值的对比，支持参考线设置、图表转换、数据导出等功能；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kern w:val="0"/>
                <w:sz w:val="24"/>
                <w:szCs w:val="24"/>
              </w:rPr>
              <w:t>指标分析</w:t>
            </w:r>
          </w:p>
        </w:tc>
        <w:tc>
          <w:tcPr>
            <w:tcW w:w="6792" w:type="dxa"/>
            <w:vAlign w:val="center"/>
          </w:tcPr>
          <w:p>
            <w:pPr>
              <w:rPr>
                <w:rFonts w:ascii="仿宋" w:hAnsi="仿宋" w:eastAsia="仿宋" w:cs="仿宋"/>
                <w:kern w:val="0"/>
                <w:sz w:val="24"/>
                <w:szCs w:val="24"/>
              </w:rPr>
            </w:pPr>
            <w:r>
              <w:rPr>
                <w:rFonts w:hint="eastAsia" w:ascii="仿宋" w:hAnsi="仿宋" w:eastAsia="仿宋" w:cs="仿宋"/>
                <w:kern w:val="0"/>
                <w:sz w:val="24"/>
                <w:szCs w:val="24"/>
              </w:rPr>
              <w:t>支持对医疗质量分析指标统计口径、计算公式的解释说明；</w:t>
            </w:r>
          </w:p>
          <w:p>
            <w:pPr>
              <w:rPr>
                <w:rFonts w:ascii="仿宋" w:hAnsi="仿宋" w:eastAsia="仿宋" w:cs="仿宋"/>
                <w:bCs/>
                <w:kern w:val="0"/>
                <w:sz w:val="24"/>
                <w:szCs w:val="24"/>
              </w:rPr>
            </w:pPr>
            <w:r>
              <w:rPr>
                <w:rFonts w:hint="eastAsia" w:ascii="仿宋" w:hAnsi="仿宋" w:eastAsia="仿宋" w:cs="仿宋"/>
                <w:kern w:val="0"/>
                <w:sz w:val="24"/>
                <w:szCs w:val="24"/>
              </w:rPr>
              <w:t>支持医疗质量分析指标血缘分析，可查询指标来源数据；</w:t>
            </w:r>
          </w:p>
          <w:p>
            <w:pPr>
              <w:rPr>
                <w:rFonts w:ascii="仿宋" w:hAnsi="仿宋" w:eastAsia="仿宋" w:cs="仿宋"/>
                <w:bCs/>
                <w:kern w:val="0"/>
                <w:sz w:val="24"/>
                <w:szCs w:val="24"/>
              </w:rPr>
            </w:pPr>
            <w:r>
              <w:rPr>
                <w:rFonts w:hint="eastAsia" w:ascii="仿宋" w:hAnsi="仿宋" w:eastAsia="仿宋" w:cs="仿宋"/>
                <w:kern w:val="0"/>
                <w:sz w:val="24"/>
                <w:szCs w:val="24"/>
              </w:rPr>
              <w:t>支持对医疗质量分析指标的变化情况分析；</w:t>
            </w:r>
          </w:p>
          <w:p>
            <w:pPr>
              <w:rPr>
                <w:rFonts w:ascii="仿宋" w:hAnsi="仿宋" w:eastAsia="仿宋" w:cs="仿宋"/>
                <w:bCs/>
                <w:kern w:val="0"/>
                <w:sz w:val="24"/>
                <w:szCs w:val="24"/>
              </w:rPr>
            </w:pPr>
            <w:r>
              <w:rPr>
                <w:rFonts w:hint="eastAsia" w:ascii="仿宋" w:hAnsi="仿宋" w:eastAsia="仿宋" w:cs="仿宋"/>
                <w:kern w:val="0"/>
                <w:sz w:val="24"/>
                <w:szCs w:val="24"/>
              </w:rPr>
              <w:t>支持医疗质量分析指标多维分析，包括时间、院区、科室/病区、分类等多种维度分析；</w:t>
            </w:r>
          </w:p>
          <w:p>
            <w:pPr>
              <w:rPr>
                <w:rFonts w:ascii="仿宋" w:hAnsi="仿宋" w:eastAsia="仿宋" w:cs="仿宋"/>
                <w:bCs/>
                <w:kern w:val="0"/>
                <w:sz w:val="24"/>
                <w:szCs w:val="24"/>
              </w:rPr>
            </w:pPr>
            <w:r>
              <w:rPr>
                <w:rFonts w:hint="eastAsia" w:ascii="仿宋" w:hAnsi="仿宋" w:eastAsia="仿宋" w:cs="仿宋"/>
                <w:bCs/>
                <w:kern w:val="0"/>
                <w:sz w:val="24"/>
                <w:szCs w:val="24"/>
              </w:rPr>
              <w:t>支持</w:t>
            </w:r>
            <w:r>
              <w:rPr>
                <w:rFonts w:hint="eastAsia" w:ascii="仿宋" w:hAnsi="仿宋" w:eastAsia="仿宋" w:cs="仿宋"/>
                <w:kern w:val="0"/>
                <w:sz w:val="24"/>
                <w:szCs w:val="24"/>
              </w:rPr>
              <w:t>医疗质量分析</w:t>
            </w:r>
            <w:r>
              <w:rPr>
                <w:rFonts w:hint="eastAsia" w:ascii="仿宋" w:hAnsi="仿宋" w:eastAsia="仿宋" w:cs="仿宋"/>
                <w:bCs/>
                <w:kern w:val="0"/>
                <w:sz w:val="24"/>
                <w:szCs w:val="24"/>
              </w:rPr>
              <w:t>指标数据对比功能；</w:t>
            </w:r>
          </w:p>
          <w:p>
            <w:pPr>
              <w:jc w:val="left"/>
              <w:rPr>
                <w:rFonts w:ascii="仿宋" w:hAnsi="仿宋" w:eastAsia="仿宋" w:cs="仿宋"/>
                <w:bCs/>
                <w:kern w:val="0"/>
                <w:sz w:val="24"/>
                <w:szCs w:val="24"/>
              </w:rPr>
            </w:pPr>
            <w:r>
              <w:rPr>
                <w:rFonts w:hint="eastAsia" w:ascii="仿宋" w:hAnsi="仿宋" w:eastAsia="仿宋" w:cs="仿宋"/>
                <w:kern w:val="0"/>
                <w:sz w:val="24"/>
                <w:szCs w:val="24"/>
              </w:rPr>
              <w:t>分析图表支持图表转换、参考线设置、排序、数据导出、下钻的功能；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明细列表</w:t>
            </w:r>
          </w:p>
        </w:tc>
        <w:tc>
          <w:tcPr>
            <w:tcW w:w="6792" w:type="dxa"/>
            <w:vAlign w:val="center"/>
          </w:tcPr>
          <w:p>
            <w:pPr>
              <w:rPr>
                <w:rFonts w:ascii="仿宋" w:hAnsi="仿宋" w:eastAsia="仿宋" w:cs="仿宋"/>
                <w:bCs/>
                <w:kern w:val="0"/>
                <w:sz w:val="24"/>
                <w:szCs w:val="24"/>
              </w:rPr>
            </w:pPr>
            <w:r>
              <w:rPr>
                <w:rFonts w:hint="eastAsia" w:ascii="仿宋" w:hAnsi="仿宋" w:eastAsia="仿宋" w:cs="仿宋"/>
                <w:bCs/>
                <w:kern w:val="0"/>
                <w:sz w:val="24"/>
                <w:szCs w:val="24"/>
              </w:rPr>
              <w:t>系统支持排序、导出、多级下钻功能；</w:t>
            </w:r>
          </w:p>
          <w:p>
            <w:pPr>
              <w:rPr>
                <w:rFonts w:ascii="仿宋" w:hAnsi="仿宋" w:eastAsia="仿宋" w:cs="仿宋"/>
                <w:bCs/>
                <w:kern w:val="0"/>
                <w:sz w:val="24"/>
                <w:szCs w:val="24"/>
              </w:rPr>
            </w:pPr>
            <w:r>
              <w:rPr>
                <w:rFonts w:hint="eastAsia" w:ascii="仿宋" w:hAnsi="仿宋" w:eastAsia="仿宋" w:cs="仿宋"/>
                <w:bCs/>
                <w:kern w:val="0"/>
                <w:sz w:val="24"/>
                <w:szCs w:val="24"/>
              </w:rPr>
              <w:t>系统支持多重限制条件下的筛选、搜索查询功能；</w:t>
            </w:r>
          </w:p>
          <w:p>
            <w:pPr>
              <w:rPr>
                <w:rFonts w:ascii="仿宋" w:hAnsi="仿宋" w:eastAsia="仿宋" w:cs="仿宋"/>
                <w:bCs/>
                <w:kern w:val="0"/>
                <w:sz w:val="24"/>
                <w:szCs w:val="24"/>
              </w:rPr>
            </w:pPr>
            <w:r>
              <w:rPr>
                <w:rFonts w:hint="eastAsia" w:ascii="仿宋" w:hAnsi="仿宋" w:eastAsia="仿宋" w:cs="仿宋"/>
                <w:bCs/>
                <w:kern w:val="0"/>
                <w:sz w:val="24"/>
                <w:szCs w:val="24"/>
              </w:rPr>
              <w:t>系统支持对明细列表的显示列进行编辑，包括显示字段、字段位置、单位等。</w:t>
            </w:r>
          </w:p>
        </w:tc>
      </w:tr>
    </w:tbl>
    <w:p>
      <w:pPr>
        <w:pStyle w:val="5"/>
        <w:keepLines/>
        <w:spacing w:line="360" w:lineRule="auto"/>
        <w:ind w:firstLine="482" w:firstLineChars="200"/>
        <w:rPr>
          <w:rFonts w:ascii="仿宋" w:hAnsi="仿宋" w:eastAsia="仿宋" w:cs="仿宋"/>
          <w:sz w:val="24"/>
          <w:szCs w:val="24"/>
        </w:rPr>
      </w:pPr>
      <w:bookmarkStart w:id="410" w:name="_Toc23296"/>
      <w:r>
        <w:rPr>
          <w:rFonts w:hint="eastAsia" w:ascii="仿宋" w:hAnsi="仿宋" w:eastAsia="仿宋" w:cs="仿宋"/>
          <w:sz w:val="24"/>
          <w:szCs w:val="24"/>
        </w:rPr>
        <w:t>11、院领导驾驶舱</w:t>
      </w:r>
      <w:bookmarkEnd w:id="410"/>
    </w:p>
    <w:p>
      <w:pPr>
        <w:spacing w:line="360" w:lineRule="auto"/>
        <w:ind w:firstLine="480"/>
        <w:rPr>
          <w:rFonts w:ascii="仿宋" w:hAnsi="仿宋" w:eastAsia="仿宋" w:cs="仿宋"/>
          <w:bCs/>
          <w:sz w:val="24"/>
          <w:szCs w:val="24"/>
        </w:rPr>
      </w:pPr>
      <w:r>
        <w:rPr>
          <w:rFonts w:hint="eastAsia" w:ascii="仿宋" w:hAnsi="仿宋" w:eastAsia="仿宋" w:cs="仿宋"/>
          <w:bCs/>
          <w:sz w:val="24"/>
          <w:szCs w:val="24"/>
        </w:rPr>
        <w:t>院领导驾驶舱基于ODR中实时数据，针对医院管理者提供全院、门急诊、住院、手术、药品、耗材、检验检查、医保的实时监控和智能预警。具体功能要求如下：</w:t>
      </w:r>
      <w:bookmarkStart w:id="411" w:name="_Hlk75342566"/>
    </w:p>
    <w:tbl>
      <w:tblPr>
        <w:tblStyle w:val="27"/>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6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856" w:type="dxa"/>
            <w:shd w:val="clear" w:color="auto" w:fill="D8D8D8" w:themeFill="background1" w:themeFillShade="D9"/>
            <w:vAlign w:val="center"/>
          </w:tcPr>
          <w:p>
            <w:pPr>
              <w:jc w:val="center"/>
              <w:rPr>
                <w:rFonts w:ascii="仿宋" w:hAnsi="仿宋" w:eastAsia="仿宋" w:cs="仿宋"/>
                <w:b/>
                <w:kern w:val="0"/>
                <w:sz w:val="24"/>
                <w:szCs w:val="24"/>
              </w:rPr>
            </w:pPr>
            <w:r>
              <w:rPr>
                <w:rFonts w:hint="eastAsia" w:ascii="仿宋" w:hAnsi="仿宋" w:eastAsia="仿宋" w:cs="仿宋"/>
                <w:b/>
                <w:kern w:val="0"/>
                <w:sz w:val="24"/>
                <w:szCs w:val="24"/>
              </w:rPr>
              <w:t>功能列表</w:t>
            </w:r>
          </w:p>
        </w:tc>
        <w:tc>
          <w:tcPr>
            <w:tcW w:w="6868" w:type="dxa"/>
            <w:shd w:val="clear" w:color="auto" w:fill="D8D8D8" w:themeFill="background1" w:themeFillShade="D9"/>
            <w:vAlign w:val="center"/>
          </w:tcPr>
          <w:p>
            <w:pPr>
              <w:jc w:val="center"/>
              <w:rPr>
                <w:rFonts w:ascii="仿宋" w:hAnsi="仿宋" w:eastAsia="仿宋" w:cs="仿宋"/>
                <w:b/>
                <w:kern w:val="0"/>
                <w:sz w:val="24"/>
                <w:szCs w:val="24"/>
              </w:rPr>
            </w:pPr>
            <w:r>
              <w:rPr>
                <w:rFonts w:hint="eastAsia" w:ascii="仿宋" w:hAnsi="仿宋" w:eastAsia="仿宋" w:cs="仿宋"/>
                <w:b/>
                <w:kern w:val="0"/>
                <w:sz w:val="24"/>
                <w:szCs w:val="24"/>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856"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全院</w:t>
            </w:r>
          </w:p>
        </w:tc>
        <w:tc>
          <w:tcPr>
            <w:tcW w:w="6868" w:type="dxa"/>
            <w:vAlign w:val="center"/>
          </w:tcPr>
          <w:p>
            <w:pPr>
              <w:jc w:val="left"/>
              <w:rPr>
                <w:rFonts w:ascii="仿宋" w:hAnsi="仿宋" w:eastAsia="仿宋" w:cs="仿宋"/>
                <w:bCs/>
                <w:kern w:val="0"/>
                <w:sz w:val="24"/>
                <w:szCs w:val="24"/>
              </w:rPr>
            </w:pPr>
            <w:r>
              <w:rPr>
                <w:rFonts w:hint="eastAsia" w:ascii="仿宋" w:hAnsi="仿宋" w:eastAsia="仿宋" w:cs="仿宋"/>
                <w:kern w:val="0"/>
                <w:sz w:val="24"/>
                <w:szCs w:val="24"/>
              </w:rPr>
              <w:t>★</w:t>
            </w:r>
            <w:r>
              <w:rPr>
                <w:rFonts w:hint="eastAsia" w:ascii="仿宋" w:hAnsi="仿宋" w:eastAsia="仿宋" w:cs="仿宋"/>
                <w:bCs/>
                <w:kern w:val="0"/>
                <w:sz w:val="24"/>
                <w:szCs w:val="24"/>
              </w:rPr>
              <w:t>全院收入、门急诊收入、住院收入、危重人次、死亡人次；</w:t>
            </w:r>
          </w:p>
          <w:p>
            <w:pPr>
              <w:jc w:val="left"/>
              <w:rPr>
                <w:rFonts w:ascii="仿宋" w:hAnsi="仿宋" w:eastAsia="仿宋" w:cs="仿宋"/>
                <w:bCs/>
                <w:kern w:val="0"/>
                <w:sz w:val="24"/>
                <w:szCs w:val="24"/>
              </w:rPr>
            </w:pPr>
            <w:r>
              <w:rPr>
                <w:rFonts w:hint="eastAsia" w:ascii="仿宋" w:hAnsi="仿宋" w:eastAsia="仿宋" w:cs="仿宋"/>
                <w:bCs/>
                <w:kern w:val="0"/>
                <w:sz w:val="24"/>
                <w:szCs w:val="24"/>
              </w:rPr>
              <w:t xml:space="preserve">患者来源分析； </w:t>
            </w:r>
            <w:r>
              <w:rPr>
                <w:rFonts w:hint="eastAsia" w:ascii="仿宋" w:hAnsi="仿宋" w:eastAsia="仿宋" w:cs="仿宋"/>
                <w:kern w:val="0"/>
                <w:sz w:val="24"/>
                <w:szCs w:val="24"/>
                <w:lang w:val="zh-CN" w:bidi="zh-CN"/>
              </w:rPr>
              <w:t>（需提供功能界面截图佐证）</w:t>
            </w:r>
          </w:p>
          <w:p>
            <w:pPr>
              <w:jc w:val="left"/>
              <w:rPr>
                <w:rFonts w:ascii="仿宋" w:hAnsi="仿宋" w:eastAsia="仿宋" w:cs="仿宋"/>
                <w:bCs/>
                <w:kern w:val="0"/>
                <w:sz w:val="24"/>
                <w:szCs w:val="24"/>
              </w:rPr>
            </w:pPr>
            <w:r>
              <w:rPr>
                <w:rFonts w:hint="eastAsia" w:ascii="仿宋" w:hAnsi="仿宋" w:eastAsia="仿宋" w:cs="仿宋"/>
                <w:bCs/>
                <w:kern w:val="0"/>
                <w:sz w:val="24"/>
                <w:szCs w:val="24"/>
              </w:rPr>
              <w:t>全院收入按科室、按费用类型分析；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856"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门急诊</w:t>
            </w:r>
          </w:p>
        </w:tc>
        <w:tc>
          <w:tcPr>
            <w:tcW w:w="686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门急诊挂号人次、门急诊候诊人次按时间分析；</w:t>
            </w:r>
          </w:p>
          <w:p>
            <w:pPr>
              <w:jc w:val="left"/>
              <w:rPr>
                <w:rFonts w:ascii="仿宋" w:hAnsi="仿宋" w:eastAsia="仿宋" w:cs="仿宋"/>
                <w:bCs/>
                <w:kern w:val="0"/>
                <w:sz w:val="24"/>
                <w:szCs w:val="24"/>
              </w:rPr>
            </w:pPr>
            <w:r>
              <w:rPr>
                <w:rFonts w:hint="eastAsia" w:ascii="仿宋" w:hAnsi="仿宋" w:eastAsia="仿宋" w:cs="仿宋"/>
                <w:bCs/>
                <w:kern w:val="0"/>
                <w:sz w:val="24"/>
                <w:szCs w:val="24"/>
              </w:rPr>
              <w:t>门急诊挂号人次、门急诊候诊人次、门急诊患者平均等待时间、预计结束时间按科室分析；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856"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住院</w:t>
            </w:r>
          </w:p>
        </w:tc>
        <w:tc>
          <w:tcPr>
            <w:tcW w:w="686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入院人次、出院人次、在院人次、超长住院人次按科室分析；</w:t>
            </w:r>
          </w:p>
          <w:p>
            <w:pPr>
              <w:jc w:val="left"/>
              <w:rPr>
                <w:rFonts w:ascii="仿宋" w:hAnsi="仿宋" w:eastAsia="仿宋" w:cs="仿宋"/>
                <w:bCs/>
                <w:kern w:val="0"/>
                <w:sz w:val="24"/>
                <w:szCs w:val="24"/>
              </w:rPr>
            </w:pPr>
            <w:r>
              <w:rPr>
                <w:rFonts w:hint="eastAsia" w:ascii="仿宋" w:hAnsi="仿宋" w:eastAsia="仿宋" w:cs="仿宋"/>
                <w:bCs/>
                <w:kern w:val="0"/>
                <w:sz w:val="24"/>
                <w:szCs w:val="24"/>
              </w:rPr>
              <w:t>床位使用率、空床数按科室分析；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856"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手术</w:t>
            </w:r>
          </w:p>
        </w:tc>
        <w:tc>
          <w:tcPr>
            <w:tcW w:w="686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当日排期手术、当日已完成手术、当日进行中手术；</w:t>
            </w:r>
          </w:p>
          <w:p>
            <w:pPr>
              <w:jc w:val="left"/>
              <w:rPr>
                <w:rFonts w:ascii="仿宋" w:hAnsi="仿宋" w:eastAsia="仿宋" w:cs="仿宋"/>
                <w:bCs/>
                <w:kern w:val="0"/>
                <w:sz w:val="24"/>
                <w:szCs w:val="24"/>
              </w:rPr>
            </w:pPr>
            <w:r>
              <w:rPr>
                <w:rFonts w:hint="eastAsia" w:ascii="仿宋" w:hAnsi="仿宋" w:eastAsia="仿宋" w:cs="仿宋"/>
                <w:bCs/>
                <w:kern w:val="0"/>
                <w:sz w:val="24"/>
                <w:szCs w:val="24"/>
              </w:rPr>
              <w:t>当日手术按手术级别、科室分析；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856"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药品</w:t>
            </w:r>
          </w:p>
        </w:tc>
        <w:tc>
          <w:tcPr>
            <w:tcW w:w="686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药品费用、药占比按科室分析；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856"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耗材</w:t>
            </w:r>
          </w:p>
        </w:tc>
        <w:tc>
          <w:tcPr>
            <w:tcW w:w="686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耗材费用、耗占比按科室分析；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856"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检验检查</w:t>
            </w:r>
          </w:p>
        </w:tc>
        <w:tc>
          <w:tcPr>
            <w:tcW w:w="686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检验检查登记人次、检验检查等待人次按时间分析；</w:t>
            </w:r>
          </w:p>
          <w:p>
            <w:pPr>
              <w:jc w:val="left"/>
              <w:rPr>
                <w:rFonts w:ascii="仿宋" w:hAnsi="仿宋" w:eastAsia="仿宋" w:cs="仿宋"/>
                <w:bCs/>
                <w:kern w:val="0"/>
                <w:sz w:val="24"/>
                <w:szCs w:val="24"/>
              </w:rPr>
            </w:pPr>
            <w:r>
              <w:rPr>
                <w:rFonts w:hint="eastAsia" w:ascii="仿宋" w:hAnsi="仿宋" w:eastAsia="仿宋" w:cs="仿宋"/>
                <w:bCs/>
                <w:kern w:val="0"/>
                <w:sz w:val="24"/>
                <w:szCs w:val="24"/>
              </w:rPr>
              <w:t>检验检查登记人次、检验检查等待人次、检验检查等待时间、检验检查预计结束时间按科室分析；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856"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医保</w:t>
            </w:r>
          </w:p>
        </w:tc>
        <w:tc>
          <w:tcPr>
            <w:tcW w:w="6868"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医保费用、医保人次按医保类型、科室分析；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856" w:type="dxa"/>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员工关怀</w:t>
            </w:r>
          </w:p>
        </w:tc>
        <w:tc>
          <w:tcPr>
            <w:tcW w:w="6868" w:type="dxa"/>
            <w:vAlign w:val="center"/>
          </w:tcPr>
          <w:p>
            <w:pPr>
              <w:jc w:val="left"/>
              <w:rPr>
                <w:rFonts w:ascii="仿宋" w:hAnsi="仿宋" w:eastAsia="仿宋" w:cs="仿宋"/>
                <w:bCs/>
                <w:kern w:val="0"/>
                <w:sz w:val="24"/>
                <w:szCs w:val="24"/>
              </w:rPr>
            </w:pPr>
            <w:r>
              <w:rPr>
                <w:rFonts w:hint="eastAsia" w:ascii="仿宋" w:hAnsi="仿宋" w:eastAsia="仿宋" w:cs="仿宋"/>
                <w:sz w:val="24"/>
                <w:szCs w:val="24"/>
              </w:rPr>
              <w:t>根据医生门急诊人次、手术量、加班等信息进行周期性统计计算生成排名，系统发送慰问信息以表关怀，支持审核再发送。</w:t>
            </w:r>
          </w:p>
        </w:tc>
      </w:tr>
      <w:bookmarkEnd w:id="411"/>
    </w:tbl>
    <w:p>
      <w:pPr>
        <w:pStyle w:val="5"/>
        <w:keepLines/>
        <w:spacing w:line="360" w:lineRule="auto"/>
        <w:ind w:firstLine="482" w:firstLineChars="200"/>
        <w:rPr>
          <w:rFonts w:ascii="仿宋" w:hAnsi="仿宋" w:eastAsia="仿宋" w:cs="仿宋"/>
          <w:sz w:val="24"/>
          <w:szCs w:val="24"/>
        </w:rPr>
      </w:pPr>
      <w:bookmarkStart w:id="412" w:name="_Toc7854"/>
      <w:r>
        <w:rPr>
          <w:rFonts w:hint="eastAsia" w:ascii="仿宋" w:hAnsi="仿宋" w:eastAsia="仿宋" w:cs="仿宋"/>
          <w:sz w:val="24"/>
          <w:szCs w:val="24"/>
        </w:rPr>
        <w:t>12、院领导驾驶舱（移动端）</w:t>
      </w:r>
      <w:bookmarkEnd w:id="412"/>
    </w:p>
    <w:p>
      <w:pPr>
        <w:spacing w:line="360" w:lineRule="auto"/>
        <w:ind w:firstLine="480"/>
        <w:rPr>
          <w:rFonts w:ascii="仿宋" w:hAnsi="仿宋" w:eastAsia="仿宋" w:cs="仿宋"/>
          <w:color w:val="000000" w:themeColor="text1"/>
          <w:sz w:val="24"/>
          <w:szCs w:val="24"/>
        </w:rPr>
      </w:pPr>
      <w:bookmarkStart w:id="413" w:name="_Toc26841"/>
      <w:r>
        <w:rPr>
          <w:rFonts w:hint="eastAsia" w:ascii="仿宋" w:hAnsi="仿宋" w:eastAsia="仿宋" w:cs="仿宋"/>
          <w:color w:val="000000" w:themeColor="text1"/>
          <w:sz w:val="24"/>
          <w:szCs w:val="24"/>
        </w:rPr>
        <w:t>为便于院领导在日常会议出差时能及时了解医院的整体运营情况，在实现的本地端院领导驾驶舱的同时，提供移动端的监控服务，支持对接企业微信或钉钉，其查看的内容与本地端驾驶舱保持一致。</w:t>
      </w:r>
    </w:p>
    <w:p>
      <w:pPr>
        <w:pStyle w:val="5"/>
        <w:keepLines/>
        <w:spacing w:line="360" w:lineRule="auto"/>
        <w:ind w:firstLine="482" w:firstLineChars="200"/>
        <w:rPr>
          <w:rFonts w:ascii="仿宋" w:hAnsi="仿宋" w:eastAsia="仿宋" w:cs="仿宋"/>
          <w:sz w:val="24"/>
          <w:szCs w:val="24"/>
        </w:rPr>
      </w:pPr>
      <w:r>
        <w:rPr>
          <w:rFonts w:hint="eastAsia" w:ascii="仿宋" w:hAnsi="仿宋" w:eastAsia="仿宋" w:cs="仿宋"/>
          <w:sz w:val="24"/>
          <w:szCs w:val="24"/>
        </w:rPr>
        <w:t>13、系统总集成管理</w:t>
      </w:r>
      <w:bookmarkEnd w:id="413"/>
    </w:p>
    <w:p>
      <w:pPr>
        <w:pStyle w:val="105"/>
        <w:spacing w:line="360" w:lineRule="auto"/>
        <w:ind w:left="482" w:firstLine="480" w:firstLineChars="200"/>
        <w:rPr>
          <w:rFonts w:ascii="仿宋" w:hAnsi="仿宋" w:eastAsia="仿宋" w:cs="仿宋"/>
          <w:bCs/>
          <w:sz w:val="24"/>
          <w:szCs w:val="24"/>
          <w:lang w:eastAsia="zh-CN"/>
        </w:rPr>
      </w:pPr>
      <w:bookmarkStart w:id="414" w:name="_Toc24933"/>
      <w:r>
        <w:rPr>
          <w:rFonts w:hint="eastAsia" w:ascii="仿宋" w:hAnsi="仿宋" w:eastAsia="仿宋" w:cs="仿宋"/>
          <w:bCs/>
          <w:sz w:val="24"/>
          <w:szCs w:val="24"/>
          <w:lang w:eastAsia="zh-CN"/>
        </w:rPr>
        <w:t>遵循本次项目建设总体目标（互联互通四甲和电子病历5级），在项目实施交付过程中，作为总集成身份统一规划，要求并督促院内其他系统厂商按时按质按量完成各自任务；实现与平台、数据中心等相关系统的交互对接；</w:t>
      </w:r>
    </w:p>
    <w:p>
      <w:pPr>
        <w:pStyle w:val="105"/>
        <w:spacing w:line="360" w:lineRule="auto"/>
        <w:ind w:left="482" w:firstLine="480" w:firstLineChars="200"/>
        <w:rPr>
          <w:rFonts w:ascii="仿宋" w:hAnsi="仿宋" w:eastAsia="仿宋" w:cs="仿宋"/>
          <w:bCs/>
          <w:sz w:val="24"/>
          <w:szCs w:val="24"/>
          <w:lang w:eastAsia="zh-CN"/>
        </w:rPr>
      </w:pPr>
      <w:r>
        <w:rPr>
          <w:rFonts w:hint="eastAsia" w:ascii="仿宋" w:hAnsi="仿宋" w:eastAsia="仿宋" w:cs="仿宋"/>
          <w:bCs/>
          <w:sz w:val="24"/>
          <w:szCs w:val="24"/>
          <w:lang w:eastAsia="zh-CN"/>
        </w:rPr>
        <w:t>作为总集成方站在全院角度，在院方的统一指导下，为本项目总体建设目标负责，包括项目总体实施计划、进度把控、交付质量、交付验收、各科室医护人员培训等工作。</w:t>
      </w:r>
    </w:p>
    <w:p>
      <w:pPr>
        <w:pStyle w:val="4"/>
        <w:spacing w:line="360" w:lineRule="auto"/>
        <w:ind w:left="-431" w:firstLine="723" w:firstLineChars="300"/>
        <w:jc w:val="left"/>
        <w:rPr>
          <w:rFonts w:ascii="仿宋" w:hAnsi="仿宋" w:eastAsia="仿宋" w:cs="仿宋"/>
          <w:bCs/>
          <w:sz w:val="24"/>
          <w:szCs w:val="24"/>
        </w:rPr>
      </w:pPr>
      <w:bookmarkStart w:id="415" w:name="_Toc12526"/>
      <w:r>
        <w:rPr>
          <w:rFonts w:hint="eastAsia" w:ascii="仿宋" w:hAnsi="仿宋" w:eastAsia="仿宋" w:cs="仿宋"/>
          <w:bCs/>
          <w:sz w:val="24"/>
          <w:szCs w:val="24"/>
          <w:lang w:eastAsia="zh-CN"/>
        </w:rPr>
        <w:t>四、</w:t>
      </w:r>
      <w:r>
        <w:rPr>
          <w:rFonts w:hint="eastAsia" w:ascii="仿宋" w:hAnsi="仿宋" w:eastAsia="仿宋" w:cs="仿宋"/>
          <w:bCs/>
          <w:sz w:val="24"/>
          <w:szCs w:val="24"/>
        </w:rPr>
        <w:t>非功能性建设要求</w:t>
      </w:r>
      <w:bookmarkEnd w:id="414"/>
      <w:bookmarkEnd w:id="415"/>
    </w:p>
    <w:p>
      <w:pPr>
        <w:pStyle w:val="5"/>
        <w:spacing w:line="360" w:lineRule="auto"/>
        <w:ind w:left="-431" w:firstLine="723" w:firstLineChars="300"/>
        <w:jc w:val="left"/>
        <w:rPr>
          <w:rFonts w:ascii="仿宋" w:hAnsi="仿宋" w:eastAsia="仿宋" w:cs="仿宋"/>
          <w:bCs/>
          <w:sz w:val="24"/>
          <w:szCs w:val="24"/>
        </w:rPr>
      </w:pPr>
      <w:bookmarkStart w:id="416" w:name="_Toc28296"/>
      <w:r>
        <w:rPr>
          <w:rFonts w:hint="eastAsia" w:ascii="仿宋" w:hAnsi="仿宋" w:eastAsia="仿宋" w:cs="仿宋"/>
          <w:bCs/>
          <w:sz w:val="24"/>
          <w:szCs w:val="24"/>
        </w:rPr>
        <w:t>（一）数据处理功能要求</w:t>
      </w:r>
      <w:bookmarkEnd w:id="416"/>
    </w:p>
    <w:p>
      <w:pPr>
        <w:spacing w:line="360" w:lineRule="auto"/>
        <w:ind w:firstLine="480"/>
        <w:rPr>
          <w:rFonts w:ascii="仿宋" w:hAnsi="仿宋" w:eastAsia="仿宋" w:cs="仿宋"/>
          <w:sz w:val="24"/>
          <w:szCs w:val="24"/>
        </w:rPr>
      </w:pPr>
      <w:bookmarkStart w:id="417" w:name="_Toc12031"/>
      <w:r>
        <w:rPr>
          <w:rFonts w:hint="eastAsia" w:ascii="仿宋" w:hAnsi="仿宋" w:eastAsia="仿宋" w:cs="仿宋"/>
          <w:sz w:val="24"/>
          <w:szCs w:val="24"/>
        </w:rPr>
        <w:t>1、在平台建设过程中，投标产品在采集、处理、存储和发布环节应遵循国家和行业数据标准，并能灵活地适应未来新出台的标准和规范。</w:t>
      </w:r>
      <w:r>
        <w:rPr>
          <w:rFonts w:hint="eastAsia" w:ascii="仿宋" w:hAnsi="仿宋" w:eastAsia="仿宋" w:cs="仿宋"/>
          <w:b/>
          <w:bCs/>
          <w:sz w:val="24"/>
          <w:szCs w:val="24"/>
        </w:rPr>
        <w:t>请描述投标产品如何支持现有和未来的标准和规范，以符合卫生管理部门不断发展的技术要求，保持系统的先进性。</w:t>
      </w:r>
    </w:p>
    <w:p>
      <w:pPr>
        <w:spacing w:line="360" w:lineRule="auto"/>
        <w:ind w:firstLine="480"/>
        <w:rPr>
          <w:rFonts w:ascii="仿宋" w:hAnsi="仿宋" w:eastAsia="仿宋" w:cs="仿宋"/>
          <w:b/>
          <w:bCs/>
          <w:sz w:val="24"/>
          <w:szCs w:val="24"/>
        </w:rPr>
      </w:pPr>
      <w:r>
        <w:rPr>
          <w:rFonts w:hint="eastAsia" w:ascii="仿宋" w:hAnsi="仿宋" w:eastAsia="仿宋" w:cs="仿宋"/>
          <w:sz w:val="24"/>
          <w:szCs w:val="24"/>
        </w:rPr>
        <w:t>2、具有可扩展性，可随着未来业务的增长不断接入新的信息系统。对新接入的信息系统，不需改变其原有的内部信息架构，只需要增加接入接口和信息编码转换程序。</w:t>
      </w:r>
      <w:r>
        <w:rPr>
          <w:rFonts w:hint="eastAsia" w:ascii="仿宋" w:hAnsi="仿宋" w:eastAsia="仿宋" w:cs="仿宋"/>
          <w:b/>
          <w:bCs/>
          <w:sz w:val="24"/>
          <w:szCs w:val="24"/>
        </w:rPr>
        <w:t>请描述投标产品如何实现可扩展性。</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3、投标产品必须能无限制地支持导入、存储、监测以及导出来自任何源系统或数据库的文字、文档、二维波形和扫描文件，并可以灵活地将传入的非标准数据跟特定数据字典或编码标准进行匹配。</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4、投标平台软件产品的数据处理解析器必须支持并行处理，以保证数据处理的性能。</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5、投标平台软件产品应具备医疗信息处理能力，能够对标准化医疗数据，非标注化医疗数据（用户自定义）进行灵活的解析，形成的医疗数据集。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6、要求说明数据同步的过程，不仅要根据需要同步更新相关的数据，同时要保证数据准确性、一致性和完整性。保证应用的高可靠性、高性能和安全。</w:t>
      </w:r>
    </w:p>
    <w:p>
      <w:pPr>
        <w:pStyle w:val="5"/>
        <w:spacing w:line="360" w:lineRule="auto"/>
        <w:ind w:left="-431" w:firstLine="723" w:firstLineChars="300"/>
        <w:jc w:val="left"/>
        <w:rPr>
          <w:rFonts w:ascii="仿宋" w:hAnsi="仿宋" w:eastAsia="仿宋" w:cs="仿宋"/>
          <w:bCs/>
          <w:sz w:val="24"/>
          <w:szCs w:val="24"/>
        </w:rPr>
      </w:pPr>
      <w:r>
        <w:rPr>
          <w:rFonts w:hint="eastAsia" w:ascii="仿宋" w:hAnsi="仿宋" w:eastAsia="仿宋" w:cs="仿宋"/>
          <w:bCs/>
          <w:sz w:val="24"/>
          <w:szCs w:val="24"/>
        </w:rPr>
        <w:t>（二）数据管理功能要求</w:t>
      </w:r>
      <w:bookmarkEnd w:id="417"/>
    </w:p>
    <w:p>
      <w:pPr>
        <w:spacing w:line="360" w:lineRule="auto"/>
        <w:ind w:firstLine="480"/>
        <w:rPr>
          <w:rFonts w:ascii="仿宋" w:hAnsi="仿宋" w:eastAsia="仿宋" w:cs="仿宋"/>
          <w:sz w:val="24"/>
          <w:szCs w:val="24"/>
        </w:rPr>
      </w:pPr>
      <w:bookmarkStart w:id="418" w:name="_Toc4456"/>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应给采购人提供相关工具和服务，以帮助采购人确定系统在性能和扩展性方面的瓶颈。</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的产品应能采集结构化或非结构化、标准化或非标准化的数据，采集的方式应同时支持对方推送和自己抓取。</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的产品应支持终端用户定制其个性化的视图，并提供给终端用户相应的图形化定制工具。</w:t>
      </w:r>
    </w:p>
    <w:p>
      <w:pPr>
        <w:pStyle w:val="5"/>
        <w:spacing w:line="360" w:lineRule="auto"/>
        <w:ind w:left="-431" w:firstLine="723" w:firstLineChars="300"/>
        <w:jc w:val="left"/>
        <w:rPr>
          <w:rFonts w:ascii="仿宋" w:hAnsi="仿宋" w:eastAsia="仿宋" w:cs="仿宋"/>
          <w:bCs/>
          <w:sz w:val="24"/>
          <w:szCs w:val="24"/>
        </w:rPr>
      </w:pPr>
      <w:r>
        <w:rPr>
          <w:rFonts w:hint="eastAsia" w:ascii="仿宋" w:hAnsi="仿宋" w:eastAsia="仿宋" w:cs="仿宋"/>
          <w:bCs/>
          <w:sz w:val="24"/>
          <w:szCs w:val="24"/>
        </w:rPr>
        <w:t>（三）系统可用性要求</w:t>
      </w:r>
      <w:bookmarkEnd w:id="418"/>
    </w:p>
    <w:p>
      <w:pPr>
        <w:spacing w:line="360" w:lineRule="auto"/>
        <w:ind w:firstLine="480"/>
        <w:rPr>
          <w:rFonts w:ascii="仿宋" w:hAnsi="仿宋" w:eastAsia="仿宋" w:cs="仿宋"/>
          <w:sz w:val="24"/>
          <w:szCs w:val="24"/>
        </w:rPr>
      </w:pPr>
      <w:bookmarkStart w:id="419" w:name="_Toc11374"/>
      <w:r>
        <w:rPr>
          <w:rFonts w:hint="eastAsia" w:ascii="仿宋" w:hAnsi="仿宋" w:eastAsia="仿宋" w:cs="仿宋"/>
          <w:sz w:val="24"/>
          <w:szCs w:val="24"/>
          <w:lang w:eastAsia="zh-CN"/>
        </w:rPr>
        <w:t>供应商</w:t>
      </w:r>
      <w:r>
        <w:rPr>
          <w:rFonts w:hint="eastAsia" w:ascii="仿宋" w:hAnsi="仿宋" w:eastAsia="仿宋" w:cs="仿宋"/>
          <w:sz w:val="24"/>
          <w:szCs w:val="24"/>
        </w:rPr>
        <w:t>平台软件产品应具备高可用性特性，以及更为长期的高可用性设计。</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要求平台软件具备高容错性，支持集群服务和网络负载均衡(NLB)特性、以及事务对等复制等技术，利用软硬件冗余设计来提供容错功能。</w:t>
      </w:r>
    </w:p>
    <w:p>
      <w:pPr>
        <w:pStyle w:val="5"/>
        <w:spacing w:line="360" w:lineRule="auto"/>
        <w:ind w:left="-431" w:firstLine="723" w:firstLineChars="300"/>
        <w:jc w:val="left"/>
        <w:rPr>
          <w:rFonts w:ascii="仿宋" w:hAnsi="仿宋" w:eastAsia="仿宋" w:cs="仿宋"/>
          <w:bCs/>
          <w:sz w:val="24"/>
          <w:szCs w:val="24"/>
        </w:rPr>
      </w:pPr>
      <w:r>
        <w:rPr>
          <w:rFonts w:hint="eastAsia" w:ascii="仿宋" w:hAnsi="仿宋" w:eastAsia="仿宋" w:cs="仿宋"/>
          <w:bCs/>
          <w:sz w:val="24"/>
          <w:szCs w:val="24"/>
        </w:rPr>
        <w:t>（四）客户端界面要求</w:t>
      </w:r>
      <w:bookmarkEnd w:id="419"/>
    </w:p>
    <w:p>
      <w:pPr>
        <w:spacing w:line="360" w:lineRule="auto"/>
        <w:rPr>
          <w:rFonts w:ascii="仿宋" w:hAnsi="仿宋" w:eastAsia="仿宋" w:cs="仿宋"/>
          <w:sz w:val="24"/>
          <w:szCs w:val="24"/>
        </w:rPr>
      </w:pPr>
      <w:r>
        <w:rPr>
          <w:rFonts w:hint="eastAsia" w:ascii="仿宋" w:hAnsi="仿宋" w:eastAsia="仿宋" w:cs="仿宋"/>
          <w:sz w:val="24"/>
          <w:szCs w:val="24"/>
        </w:rPr>
        <w:t>用户界面友好，交流性强，便于用户学习掌握。</w:t>
      </w:r>
    </w:p>
    <w:p>
      <w:pPr>
        <w:pStyle w:val="4"/>
        <w:spacing w:line="360" w:lineRule="auto"/>
        <w:ind w:firstLine="482" w:firstLineChars="200"/>
        <w:jc w:val="left"/>
        <w:rPr>
          <w:rFonts w:ascii="仿宋" w:hAnsi="仿宋" w:eastAsia="仿宋" w:cs="仿宋"/>
          <w:sz w:val="24"/>
          <w:szCs w:val="24"/>
        </w:rPr>
      </w:pPr>
      <w:bookmarkStart w:id="420" w:name="_Toc19339"/>
      <w:bookmarkStart w:id="421" w:name="_Toc25285"/>
      <w:r>
        <w:rPr>
          <w:rFonts w:hint="eastAsia" w:ascii="仿宋" w:hAnsi="仿宋" w:eastAsia="仿宋" w:cs="仿宋"/>
          <w:sz w:val="24"/>
          <w:szCs w:val="24"/>
          <w:lang w:eastAsia="zh-CN"/>
        </w:rPr>
        <w:t>五、</w:t>
      </w:r>
      <w:r>
        <w:rPr>
          <w:rFonts w:hint="eastAsia" w:ascii="仿宋" w:hAnsi="仿宋" w:eastAsia="仿宋" w:cs="仿宋"/>
          <w:sz w:val="24"/>
          <w:szCs w:val="24"/>
        </w:rPr>
        <w:t>项目管理要求</w:t>
      </w:r>
      <w:bookmarkEnd w:id="420"/>
      <w:bookmarkEnd w:id="421"/>
    </w:p>
    <w:p>
      <w:pPr>
        <w:pStyle w:val="5"/>
        <w:keepLines/>
        <w:spacing w:line="360" w:lineRule="auto"/>
        <w:ind w:firstLine="482" w:firstLineChars="200"/>
        <w:jc w:val="left"/>
        <w:rPr>
          <w:rFonts w:ascii="仿宋" w:hAnsi="仿宋" w:eastAsia="仿宋" w:cs="仿宋"/>
          <w:sz w:val="24"/>
          <w:szCs w:val="24"/>
        </w:rPr>
      </w:pPr>
      <w:bookmarkStart w:id="422" w:name="_Toc14555"/>
      <w:r>
        <w:rPr>
          <w:rFonts w:hint="eastAsia" w:ascii="仿宋" w:hAnsi="仿宋" w:eastAsia="仿宋" w:cs="仿宋"/>
          <w:sz w:val="24"/>
          <w:szCs w:val="24"/>
        </w:rPr>
        <w:t>（一）项目管理与实施要求</w:t>
      </w:r>
      <w:bookmarkEnd w:id="422"/>
    </w:p>
    <w:p>
      <w:pPr>
        <w:spacing w:line="360" w:lineRule="auto"/>
        <w:ind w:firstLine="480"/>
        <w:rPr>
          <w:rFonts w:ascii="仿宋" w:hAnsi="仿宋" w:eastAsia="仿宋" w:cs="仿宋"/>
          <w:sz w:val="24"/>
          <w:szCs w:val="24"/>
        </w:rPr>
      </w:pPr>
      <w:bookmarkStart w:id="423" w:name="_Toc32608"/>
      <w:r>
        <w:rPr>
          <w:rFonts w:hint="eastAsia" w:ascii="仿宋" w:hAnsi="仿宋" w:eastAsia="仿宋" w:cs="仿宋"/>
          <w:sz w:val="24"/>
          <w:szCs w:val="24"/>
          <w:lang w:eastAsia="zh-CN"/>
        </w:rPr>
        <w:t>供应商</w:t>
      </w:r>
      <w:r>
        <w:rPr>
          <w:rFonts w:hint="eastAsia" w:ascii="仿宋" w:hAnsi="仿宋" w:eastAsia="仿宋" w:cs="仿宋"/>
          <w:sz w:val="24"/>
          <w:szCs w:val="24"/>
        </w:rPr>
        <w:t>应具有健全的项目管理制度和流程，以及合格的项目实施人员，对本项目进行全过程质量管理，确保项目实施的顺利。</w:t>
      </w:r>
    </w:p>
    <w:p>
      <w:pPr>
        <w:pStyle w:val="5"/>
        <w:keepLines/>
        <w:spacing w:line="360" w:lineRule="auto"/>
        <w:ind w:firstLine="482" w:firstLineChars="200"/>
        <w:jc w:val="left"/>
        <w:rPr>
          <w:rFonts w:ascii="仿宋" w:hAnsi="仿宋" w:eastAsia="仿宋" w:cs="仿宋"/>
          <w:sz w:val="24"/>
          <w:szCs w:val="24"/>
        </w:rPr>
      </w:pPr>
      <w:r>
        <w:rPr>
          <w:rFonts w:hint="eastAsia" w:ascii="仿宋" w:hAnsi="仿宋" w:eastAsia="仿宋" w:cs="仿宋"/>
          <w:sz w:val="24"/>
          <w:szCs w:val="24"/>
        </w:rPr>
        <w:t>（二）建设周期</w:t>
      </w:r>
      <w:bookmarkEnd w:id="423"/>
    </w:p>
    <w:p>
      <w:pPr>
        <w:spacing w:line="360" w:lineRule="auto"/>
        <w:ind w:firstLine="480"/>
        <w:rPr>
          <w:rFonts w:ascii="仿宋" w:hAnsi="仿宋" w:eastAsia="仿宋" w:cs="仿宋"/>
          <w:sz w:val="24"/>
          <w:szCs w:val="24"/>
        </w:rPr>
      </w:pPr>
      <w:r>
        <w:rPr>
          <w:rFonts w:hint="eastAsia" w:ascii="仿宋" w:hAnsi="仿宋" w:eastAsia="仿宋" w:cs="仿宋"/>
          <w:color w:val="000000"/>
          <w:sz w:val="24"/>
          <w:szCs w:val="24"/>
        </w:rPr>
        <w:t>合同签订后10个月内</w:t>
      </w:r>
      <w:r>
        <w:rPr>
          <w:rFonts w:hint="eastAsia" w:ascii="仿宋" w:hAnsi="仿宋" w:eastAsia="仿宋" w:cs="仿宋"/>
          <w:bCs/>
          <w:sz w:val="24"/>
          <w:szCs w:val="24"/>
        </w:rPr>
        <w:t>完成整体项目建设</w:t>
      </w:r>
      <w:r>
        <w:rPr>
          <w:rFonts w:hint="eastAsia" w:ascii="仿宋" w:hAnsi="仿宋" w:eastAsia="仿宋" w:cs="仿宋"/>
          <w:color w:val="000000"/>
          <w:sz w:val="24"/>
          <w:szCs w:val="24"/>
        </w:rPr>
        <w:t>。</w:t>
      </w:r>
    </w:p>
    <w:p>
      <w:pPr>
        <w:pStyle w:val="5"/>
        <w:keepLines/>
        <w:spacing w:line="360" w:lineRule="auto"/>
        <w:ind w:firstLine="482" w:firstLineChars="200"/>
        <w:jc w:val="left"/>
        <w:rPr>
          <w:rFonts w:ascii="仿宋" w:hAnsi="仿宋" w:eastAsia="仿宋" w:cs="仿宋"/>
          <w:sz w:val="24"/>
          <w:szCs w:val="24"/>
        </w:rPr>
      </w:pPr>
      <w:bookmarkStart w:id="424" w:name="_Toc29987"/>
      <w:r>
        <w:rPr>
          <w:rFonts w:hint="eastAsia" w:ascii="仿宋" w:hAnsi="仿宋" w:eastAsia="仿宋" w:cs="仿宋"/>
          <w:sz w:val="24"/>
          <w:szCs w:val="24"/>
        </w:rPr>
        <w:t>（三）项目工作组</w:t>
      </w:r>
      <w:bookmarkEnd w:id="424"/>
    </w:p>
    <w:p>
      <w:pPr>
        <w:spacing w:line="360" w:lineRule="auto"/>
        <w:ind w:firstLine="480"/>
        <w:rPr>
          <w:rFonts w:ascii="仿宋" w:hAnsi="仿宋" w:eastAsia="仿宋" w:cs="仿宋"/>
          <w:sz w:val="24"/>
          <w:szCs w:val="24"/>
        </w:rPr>
      </w:pPr>
      <w:bookmarkStart w:id="425" w:name="_Toc6618"/>
      <w:r>
        <w:rPr>
          <w:rFonts w:hint="eastAsia" w:ascii="仿宋" w:hAnsi="仿宋" w:eastAsia="仿宋" w:cs="仿宋"/>
          <w:sz w:val="24"/>
          <w:szCs w:val="24"/>
        </w:rPr>
        <w:t>1、供应商需要成立针对本项目的项目工作组，项目工作组成员不少于9人，包括：</w:t>
      </w:r>
    </w:p>
    <w:p>
      <w:pPr>
        <w:pStyle w:val="42"/>
        <w:numPr>
          <w:ilvl w:val="0"/>
          <w:numId w:val="17"/>
        </w:numPr>
        <w:spacing w:line="360" w:lineRule="auto"/>
        <w:ind w:firstLineChars="0"/>
        <w:rPr>
          <w:rFonts w:ascii="仿宋" w:hAnsi="仿宋" w:eastAsia="仿宋" w:cs="仿宋"/>
          <w:sz w:val="24"/>
          <w:szCs w:val="24"/>
        </w:rPr>
      </w:pPr>
      <w:r>
        <w:rPr>
          <w:rFonts w:hint="eastAsia" w:ascii="仿宋" w:hAnsi="仿宋" w:eastAsia="仿宋" w:cs="仿宋"/>
          <w:sz w:val="24"/>
          <w:szCs w:val="24"/>
        </w:rPr>
        <w:t xml:space="preserve">项目经理：提供1名项目经理负责本项目的实施、沟通、协调、管理等工作，要求至少具备医院相关信息系统项目的管理经验，具备集成平台与数据中心项目实施案例且帮助医院通过互联互通四级甲等以上经验。 </w:t>
      </w:r>
    </w:p>
    <w:p>
      <w:pPr>
        <w:pStyle w:val="42"/>
        <w:numPr>
          <w:ilvl w:val="0"/>
          <w:numId w:val="17"/>
        </w:numPr>
        <w:spacing w:line="360" w:lineRule="auto"/>
        <w:ind w:firstLineChars="0"/>
        <w:rPr>
          <w:rFonts w:ascii="仿宋" w:hAnsi="仿宋" w:eastAsia="仿宋" w:cs="仿宋"/>
          <w:sz w:val="24"/>
          <w:szCs w:val="24"/>
        </w:rPr>
      </w:pPr>
      <w:r>
        <w:rPr>
          <w:rFonts w:hint="eastAsia" w:ascii="仿宋" w:hAnsi="仿宋" w:eastAsia="仿宋" w:cs="仿宋"/>
          <w:sz w:val="24"/>
          <w:szCs w:val="24"/>
        </w:rPr>
        <w:t>项目实施人员：须提供不少于8名具有类似项目实施经验实施人员完成整体项目的实施任务，直至项目结束。</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2、项目工作组需遵循以下要求：</w:t>
      </w:r>
    </w:p>
    <w:p>
      <w:pPr>
        <w:pStyle w:val="42"/>
        <w:numPr>
          <w:ilvl w:val="0"/>
          <w:numId w:val="17"/>
        </w:numPr>
        <w:spacing w:line="360" w:lineRule="auto"/>
        <w:ind w:firstLineChars="0"/>
        <w:rPr>
          <w:rFonts w:ascii="仿宋" w:hAnsi="仿宋" w:eastAsia="仿宋" w:cs="仿宋"/>
          <w:sz w:val="24"/>
          <w:szCs w:val="24"/>
        </w:rPr>
      </w:pPr>
      <w:r>
        <w:rPr>
          <w:rFonts w:hint="eastAsia" w:ascii="仿宋" w:hAnsi="仿宋" w:eastAsia="仿宋" w:cs="仿宋"/>
          <w:sz w:val="24"/>
          <w:szCs w:val="24"/>
        </w:rPr>
        <w:t>一经确定的项目组成员在实施过程中如因</w:t>
      </w:r>
      <w:r>
        <w:rPr>
          <w:rFonts w:hint="eastAsia" w:ascii="仿宋" w:hAnsi="仿宋" w:eastAsia="仿宋" w:cs="仿宋"/>
          <w:sz w:val="24"/>
          <w:szCs w:val="24"/>
          <w:lang w:eastAsia="zh-CN"/>
        </w:rPr>
        <w:t>中标供应商</w:t>
      </w:r>
      <w:r>
        <w:rPr>
          <w:rFonts w:hint="eastAsia" w:ascii="仿宋" w:hAnsi="仿宋" w:eastAsia="仿宋" w:cs="仿宋"/>
          <w:sz w:val="24"/>
          <w:szCs w:val="24"/>
        </w:rPr>
        <w:t>单方面需更换，须提供书面说明，经甲方同意后方可进行调换，项目实施过程中，</w:t>
      </w:r>
      <w:r>
        <w:rPr>
          <w:rFonts w:hint="eastAsia" w:ascii="仿宋" w:hAnsi="仿宋" w:eastAsia="仿宋" w:cs="仿宋"/>
          <w:sz w:val="24"/>
          <w:szCs w:val="24"/>
          <w:lang w:eastAsia="zh-CN"/>
        </w:rPr>
        <w:t>中标供应商</w:t>
      </w:r>
      <w:r>
        <w:rPr>
          <w:rFonts w:hint="eastAsia" w:ascii="仿宋" w:hAnsi="仿宋" w:eastAsia="仿宋" w:cs="仿宋"/>
          <w:sz w:val="24"/>
          <w:szCs w:val="24"/>
        </w:rPr>
        <w:t>按照项目所处阶段按需委派相应数量的专业工程师参与项目实施，甲方保留要求和建议的权利。</w:t>
      </w:r>
    </w:p>
    <w:p>
      <w:pPr>
        <w:pStyle w:val="42"/>
        <w:numPr>
          <w:ilvl w:val="0"/>
          <w:numId w:val="17"/>
        </w:numPr>
        <w:spacing w:line="360" w:lineRule="auto"/>
        <w:ind w:firstLineChars="0"/>
        <w:rPr>
          <w:rFonts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对实施团队的管理应充分尊重甲方对实施团队的评价和考核。如果不满足甲方的要求，甲方有权提出更换实施经理在内的人员。</w:t>
      </w:r>
    </w:p>
    <w:p>
      <w:pPr>
        <w:pStyle w:val="5"/>
        <w:keepLines/>
        <w:spacing w:line="360" w:lineRule="auto"/>
        <w:ind w:firstLine="482" w:firstLineChars="200"/>
        <w:jc w:val="left"/>
        <w:rPr>
          <w:rFonts w:ascii="仿宋" w:hAnsi="仿宋" w:eastAsia="仿宋" w:cs="仿宋"/>
          <w:sz w:val="24"/>
          <w:szCs w:val="24"/>
        </w:rPr>
      </w:pPr>
      <w:r>
        <w:rPr>
          <w:rFonts w:hint="eastAsia" w:ascii="仿宋" w:hAnsi="仿宋" w:eastAsia="仿宋" w:cs="仿宋"/>
          <w:sz w:val="24"/>
          <w:szCs w:val="24"/>
        </w:rPr>
        <w:t>（四）项目实施要求</w:t>
      </w:r>
      <w:bookmarkEnd w:id="425"/>
    </w:p>
    <w:p>
      <w:pPr>
        <w:spacing w:line="360" w:lineRule="auto"/>
        <w:ind w:firstLine="480"/>
        <w:rPr>
          <w:rFonts w:ascii="仿宋" w:hAnsi="仿宋" w:eastAsia="仿宋" w:cs="仿宋"/>
          <w:sz w:val="24"/>
          <w:szCs w:val="24"/>
        </w:rPr>
      </w:pPr>
      <w:r>
        <w:rPr>
          <w:rFonts w:hint="eastAsia" w:ascii="仿宋" w:hAnsi="仿宋" w:eastAsia="仿宋" w:cs="仿宋"/>
          <w:sz w:val="24"/>
          <w:szCs w:val="24"/>
        </w:rPr>
        <w:t>根据本项目建设要求，</w:t>
      </w:r>
      <w:r>
        <w:rPr>
          <w:rFonts w:hint="eastAsia" w:ascii="仿宋" w:hAnsi="仿宋" w:eastAsia="仿宋" w:cs="仿宋"/>
          <w:sz w:val="24"/>
          <w:szCs w:val="24"/>
          <w:lang w:eastAsia="zh-CN"/>
        </w:rPr>
        <w:t>供应商</w:t>
      </w:r>
      <w:r>
        <w:rPr>
          <w:rFonts w:hint="eastAsia" w:ascii="仿宋" w:hAnsi="仿宋" w:eastAsia="仿宋" w:cs="仿宋"/>
          <w:sz w:val="24"/>
          <w:szCs w:val="24"/>
        </w:rPr>
        <w:t xml:space="preserve">需提供详尽合理的实施方案和进度计划表。项目实施方案内容包括但不限于如下： </w:t>
      </w:r>
    </w:p>
    <w:p>
      <w:pPr>
        <w:pStyle w:val="42"/>
        <w:numPr>
          <w:ilvl w:val="0"/>
          <w:numId w:val="17"/>
        </w:numPr>
        <w:spacing w:line="360" w:lineRule="auto"/>
        <w:ind w:firstLineChars="0"/>
        <w:rPr>
          <w:rFonts w:ascii="仿宋" w:hAnsi="仿宋" w:eastAsia="仿宋" w:cs="仿宋"/>
          <w:sz w:val="24"/>
          <w:szCs w:val="24"/>
        </w:rPr>
      </w:pPr>
      <w:r>
        <w:rPr>
          <w:rFonts w:hint="eastAsia" w:ascii="仿宋" w:hAnsi="仿宋" w:eastAsia="仿宋" w:cs="仿宋"/>
          <w:sz w:val="24"/>
          <w:szCs w:val="24"/>
        </w:rPr>
        <w:t>项目实施路线和计划；</w:t>
      </w:r>
    </w:p>
    <w:p>
      <w:pPr>
        <w:pStyle w:val="42"/>
        <w:numPr>
          <w:ilvl w:val="0"/>
          <w:numId w:val="17"/>
        </w:numPr>
        <w:spacing w:line="360" w:lineRule="auto"/>
        <w:ind w:firstLineChars="0"/>
        <w:rPr>
          <w:rFonts w:ascii="仿宋" w:hAnsi="仿宋" w:eastAsia="仿宋" w:cs="仿宋"/>
          <w:sz w:val="24"/>
          <w:szCs w:val="24"/>
        </w:rPr>
      </w:pPr>
      <w:r>
        <w:rPr>
          <w:rFonts w:hint="eastAsia" w:ascii="仿宋" w:hAnsi="仿宋" w:eastAsia="仿宋" w:cs="仿宋"/>
          <w:sz w:val="24"/>
          <w:szCs w:val="24"/>
        </w:rPr>
        <w:t>项目组织方式、管理架构、人员安排与任务分工；</w:t>
      </w:r>
    </w:p>
    <w:p>
      <w:pPr>
        <w:pStyle w:val="42"/>
        <w:numPr>
          <w:ilvl w:val="0"/>
          <w:numId w:val="17"/>
        </w:numPr>
        <w:spacing w:line="360" w:lineRule="auto"/>
        <w:ind w:firstLineChars="0"/>
        <w:rPr>
          <w:rFonts w:ascii="仿宋" w:hAnsi="仿宋" w:eastAsia="仿宋" w:cs="仿宋"/>
          <w:sz w:val="24"/>
          <w:szCs w:val="24"/>
        </w:rPr>
      </w:pPr>
      <w:r>
        <w:rPr>
          <w:rFonts w:hint="eastAsia" w:ascii="仿宋" w:hAnsi="仿宋" w:eastAsia="仿宋" w:cs="仿宋"/>
          <w:sz w:val="24"/>
          <w:szCs w:val="24"/>
        </w:rPr>
        <w:t>项目管理与项目进度控制。</w:t>
      </w:r>
    </w:p>
    <w:p>
      <w:pPr>
        <w:pStyle w:val="5"/>
        <w:keepLines/>
        <w:spacing w:line="360" w:lineRule="auto"/>
        <w:ind w:firstLine="482" w:firstLineChars="200"/>
        <w:jc w:val="left"/>
        <w:rPr>
          <w:rFonts w:ascii="仿宋" w:hAnsi="仿宋" w:eastAsia="仿宋" w:cs="仿宋"/>
          <w:sz w:val="24"/>
          <w:szCs w:val="24"/>
        </w:rPr>
      </w:pPr>
      <w:bookmarkStart w:id="426" w:name="_Toc13281"/>
      <w:r>
        <w:rPr>
          <w:rFonts w:hint="eastAsia" w:ascii="仿宋" w:hAnsi="仿宋" w:eastAsia="仿宋" w:cs="仿宋"/>
          <w:sz w:val="24"/>
          <w:szCs w:val="24"/>
        </w:rPr>
        <w:t>（五）文档资料管理</w:t>
      </w:r>
      <w:bookmarkEnd w:id="426"/>
    </w:p>
    <w:p>
      <w:pPr>
        <w:spacing w:line="360" w:lineRule="auto"/>
        <w:ind w:firstLine="480"/>
        <w:rPr>
          <w:rFonts w:ascii="仿宋" w:hAnsi="仿宋" w:eastAsia="仿宋" w:cs="仿宋"/>
          <w:sz w:val="24"/>
          <w:szCs w:val="24"/>
        </w:rPr>
      </w:pPr>
      <w:bookmarkStart w:id="427" w:name="_Toc16052"/>
      <w:r>
        <w:rPr>
          <w:rFonts w:hint="eastAsia" w:ascii="仿宋" w:hAnsi="仿宋" w:eastAsia="仿宋" w:cs="仿宋"/>
          <w:sz w:val="24"/>
          <w:szCs w:val="24"/>
        </w:rPr>
        <w:t>文档是保证项目实施连贯性的重要保证，</w:t>
      </w:r>
      <w:r>
        <w:rPr>
          <w:rFonts w:hint="eastAsia" w:ascii="仿宋" w:hAnsi="仿宋" w:eastAsia="仿宋" w:cs="仿宋"/>
          <w:sz w:val="24"/>
          <w:szCs w:val="24"/>
          <w:lang w:eastAsia="zh-CN"/>
        </w:rPr>
        <w:t>供应商</w:t>
      </w:r>
      <w:r>
        <w:rPr>
          <w:rFonts w:hint="eastAsia" w:ascii="仿宋" w:hAnsi="仿宋" w:eastAsia="仿宋" w:cs="仿宋"/>
          <w:sz w:val="24"/>
          <w:szCs w:val="24"/>
        </w:rPr>
        <w:t>需要提供完善的文档，并对项目进行过程中的文档进行有效的管理，接受采购人对项目各阶段评估分析和监督管理。</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整个项目过程中的文档包括后期修改维护、完整的项目管理、设计和开发、操作说明等书面文档及其电子版。</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按照本项目监理要求提供相关文档管理。</w:t>
      </w:r>
    </w:p>
    <w:p>
      <w:pPr>
        <w:pStyle w:val="4"/>
        <w:spacing w:line="360" w:lineRule="auto"/>
        <w:ind w:firstLine="482" w:firstLineChars="200"/>
        <w:jc w:val="left"/>
        <w:rPr>
          <w:rFonts w:ascii="仿宋" w:hAnsi="仿宋" w:eastAsia="仿宋" w:cs="仿宋"/>
          <w:sz w:val="24"/>
          <w:szCs w:val="24"/>
        </w:rPr>
      </w:pPr>
      <w:bookmarkStart w:id="428" w:name="_Toc3825"/>
      <w:r>
        <w:rPr>
          <w:rFonts w:hint="eastAsia" w:ascii="仿宋" w:hAnsi="仿宋" w:eastAsia="仿宋" w:cs="仿宋"/>
          <w:sz w:val="24"/>
          <w:szCs w:val="24"/>
          <w:lang w:eastAsia="zh-CN"/>
        </w:rPr>
        <w:t>六、培训要求</w:t>
      </w:r>
      <w:bookmarkEnd w:id="427"/>
      <w:bookmarkEnd w:id="428"/>
    </w:p>
    <w:p>
      <w:pPr>
        <w:spacing w:line="360" w:lineRule="auto"/>
        <w:ind w:firstLine="480"/>
        <w:rPr>
          <w:rFonts w:ascii="仿宋" w:hAnsi="仿宋" w:eastAsia="仿宋" w:cs="仿宋"/>
          <w:sz w:val="24"/>
          <w:szCs w:val="24"/>
        </w:rPr>
      </w:pPr>
      <w:r>
        <w:rPr>
          <w:rFonts w:hint="eastAsia" w:ascii="仿宋" w:hAnsi="仿宋" w:eastAsia="仿宋" w:cs="仿宋"/>
          <w:sz w:val="24"/>
          <w:szCs w:val="24"/>
        </w:rPr>
        <w:t>1、全面的操作培训是系统获得广泛应用的前提和基础。为了保证系统顺利上线运行，</w:t>
      </w:r>
      <w:r>
        <w:rPr>
          <w:rFonts w:hint="eastAsia" w:ascii="仿宋" w:hAnsi="仿宋" w:eastAsia="仿宋" w:cs="仿宋"/>
          <w:sz w:val="24"/>
          <w:szCs w:val="24"/>
          <w:lang w:eastAsia="zh-CN"/>
        </w:rPr>
        <w:t>供应商</w:t>
      </w:r>
      <w:r>
        <w:rPr>
          <w:rFonts w:hint="eastAsia" w:ascii="仿宋" w:hAnsi="仿宋" w:eastAsia="仿宋" w:cs="仿宋"/>
          <w:sz w:val="24"/>
          <w:szCs w:val="24"/>
        </w:rPr>
        <w:t>需要准备并提供完整的培训计划，对医院相关人员进行相关的培训，同时需要负责培训的实施，包括培训文档的准备。</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2、对与本项目的相关技术，</w:t>
      </w:r>
      <w:r>
        <w:rPr>
          <w:rFonts w:hint="eastAsia" w:ascii="仿宋" w:hAnsi="仿宋" w:eastAsia="仿宋" w:cs="仿宋"/>
          <w:sz w:val="24"/>
          <w:szCs w:val="24"/>
          <w:lang w:eastAsia="zh-CN"/>
        </w:rPr>
        <w:t>供应商</w:t>
      </w:r>
      <w:r>
        <w:rPr>
          <w:rFonts w:hint="eastAsia" w:ascii="仿宋" w:hAnsi="仿宋" w:eastAsia="仿宋" w:cs="仿宋"/>
          <w:sz w:val="24"/>
          <w:szCs w:val="24"/>
        </w:rPr>
        <w:t>需要提供必要的培训与技术转移手段，保证能够将其传授于医院IT相关人员，使其能完全熟悉系统。</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中标供应商</w:t>
      </w:r>
      <w:r>
        <w:rPr>
          <w:rFonts w:hint="eastAsia" w:ascii="仿宋" w:hAnsi="仿宋" w:eastAsia="仿宋" w:cs="仿宋"/>
          <w:sz w:val="24"/>
          <w:szCs w:val="24"/>
        </w:rPr>
        <w:t>需提供完整的培训方案，能够针对不同的系统使用角色提供不同的培训课程内容和计划。培训的内容、次数和方式由采购人提出，采购人负责提供培训场地、培训电脑和培训人员的召集，</w:t>
      </w:r>
      <w:r>
        <w:rPr>
          <w:rFonts w:hint="eastAsia" w:ascii="仿宋" w:hAnsi="仿宋" w:eastAsia="仿宋" w:cs="仿宋"/>
          <w:sz w:val="24"/>
          <w:szCs w:val="24"/>
          <w:lang w:eastAsia="zh-CN"/>
        </w:rPr>
        <w:t>中标供应商</w:t>
      </w:r>
      <w:r>
        <w:rPr>
          <w:rFonts w:hint="eastAsia" w:ascii="仿宋" w:hAnsi="仿宋" w:eastAsia="仿宋" w:cs="仿宋"/>
          <w:sz w:val="24"/>
          <w:szCs w:val="24"/>
        </w:rPr>
        <w:t>负责培训环境的搭建、培训文档的准备、培训的实施、培训人员的考核等。</w:t>
      </w:r>
    </w:p>
    <w:p>
      <w:pPr>
        <w:pStyle w:val="10"/>
        <w:spacing w:line="360" w:lineRule="auto"/>
        <w:ind w:firstLine="480"/>
        <w:rPr>
          <w:rFonts w:ascii="仿宋" w:hAnsi="仿宋" w:eastAsia="仿宋" w:cs="仿宋"/>
          <w:szCs w:val="24"/>
        </w:rPr>
      </w:pPr>
      <w:r>
        <w:rPr>
          <w:rFonts w:hint="eastAsia" w:ascii="仿宋" w:hAnsi="仿宋" w:eastAsia="仿宋" w:cs="仿宋"/>
          <w:szCs w:val="24"/>
        </w:rPr>
        <w:t>4、培训内容：</w:t>
      </w:r>
    </w:p>
    <w:p>
      <w:pPr>
        <w:pStyle w:val="42"/>
        <w:numPr>
          <w:ilvl w:val="0"/>
          <w:numId w:val="17"/>
        </w:numPr>
        <w:spacing w:line="360" w:lineRule="auto"/>
        <w:ind w:firstLineChars="0"/>
        <w:rPr>
          <w:rFonts w:ascii="仿宋" w:hAnsi="仿宋" w:eastAsia="仿宋" w:cs="仿宋"/>
          <w:sz w:val="24"/>
          <w:szCs w:val="24"/>
        </w:rPr>
      </w:pPr>
      <w:r>
        <w:rPr>
          <w:rFonts w:hint="eastAsia" w:ascii="仿宋" w:hAnsi="仿宋" w:eastAsia="仿宋" w:cs="仿宋"/>
          <w:sz w:val="24"/>
          <w:szCs w:val="24"/>
        </w:rPr>
        <w:t>系统软件的用户使用培训，应用软件操作培训；</w:t>
      </w:r>
    </w:p>
    <w:p>
      <w:pPr>
        <w:pStyle w:val="42"/>
        <w:numPr>
          <w:ilvl w:val="0"/>
          <w:numId w:val="17"/>
        </w:numPr>
        <w:spacing w:line="360" w:lineRule="auto"/>
        <w:ind w:firstLineChars="0"/>
        <w:rPr>
          <w:rFonts w:ascii="仿宋" w:hAnsi="仿宋" w:eastAsia="仿宋" w:cs="仿宋"/>
          <w:sz w:val="24"/>
          <w:szCs w:val="24"/>
        </w:rPr>
      </w:pPr>
      <w:r>
        <w:rPr>
          <w:rFonts w:hint="eastAsia" w:ascii="仿宋" w:hAnsi="仿宋" w:eastAsia="仿宋" w:cs="仿宋"/>
          <w:sz w:val="24"/>
          <w:szCs w:val="24"/>
        </w:rPr>
        <w:t>系统管理培训、采购人技术人员维护培训；</w:t>
      </w:r>
    </w:p>
    <w:p>
      <w:pPr>
        <w:pStyle w:val="42"/>
        <w:numPr>
          <w:ilvl w:val="0"/>
          <w:numId w:val="17"/>
        </w:numPr>
        <w:spacing w:line="360" w:lineRule="auto"/>
        <w:ind w:firstLineChars="0"/>
        <w:rPr>
          <w:rFonts w:ascii="仿宋" w:hAnsi="仿宋" w:eastAsia="仿宋" w:cs="仿宋"/>
          <w:sz w:val="24"/>
          <w:szCs w:val="24"/>
        </w:rPr>
      </w:pPr>
      <w:r>
        <w:rPr>
          <w:rFonts w:hint="eastAsia" w:ascii="仿宋" w:hAnsi="仿宋" w:eastAsia="仿宋" w:cs="仿宋"/>
          <w:sz w:val="24"/>
          <w:szCs w:val="24"/>
        </w:rPr>
        <w:t>应用软件操作疑难问题解答；</w:t>
      </w:r>
    </w:p>
    <w:p>
      <w:pPr>
        <w:pStyle w:val="4"/>
        <w:spacing w:line="360" w:lineRule="auto"/>
        <w:ind w:firstLine="482" w:firstLineChars="200"/>
        <w:jc w:val="left"/>
        <w:rPr>
          <w:rFonts w:ascii="仿宋" w:hAnsi="仿宋" w:eastAsia="仿宋" w:cs="仿宋"/>
          <w:sz w:val="24"/>
          <w:szCs w:val="24"/>
        </w:rPr>
      </w:pPr>
      <w:bookmarkStart w:id="429" w:name="_Toc32566"/>
      <w:bookmarkStart w:id="430" w:name="_Toc19461"/>
      <w:r>
        <w:rPr>
          <w:rFonts w:hint="eastAsia" w:ascii="仿宋" w:hAnsi="仿宋" w:eastAsia="仿宋" w:cs="仿宋"/>
          <w:sz w:val="24"/>
          <w:szCs w:val="24"/>
          <w:lang w:eastAsia="zh-CN"/>
        </w:rPr>
        <w:t>七、验收要求</w:t>
      </w:r>
      <w:bookmarkEnd w:id="429"/>
      <w:bookmarkEnd w:id="430"/>
    </w:p>
    <w:p>
      <w:pPr>
        <w:spacing w:line="360" w:lineRule="auto"/>
        <w:ind w:firstLine="480"/>
        <w:rPr>
          <w:rFonts w:ascii="仿宋" w:hAnsi="仿宋" w:eastAsia="仿宋" w:cs="仿宋"/>
          <w:sz w:val="24"/>
          <w:szCs w:val="24"/>
        </w:rPr>
      </w:pPr>
      <w:bookmarkStart w:id="431" w:name="_Toc6063"/>
      <w:r>
        <w:rPr>
          <w:rFonts w:hint="eastAsia" w:ascii="仿宋" w:hAnsi="仿宋" w:eastAsia="仿宋" w:cs="仿宋"/>
          <w:sz w:val="24"/>
          <w:szCs w:val="24"/>
        </w:rPr>
        <w:t>1、按照合同规定的时间提交产品，并在医院现场以双方认可的方式进行安装。</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系统实施验收按照合同计划进行，但初次验收必须在主要应用模块实施完成，并试运行合格后按文档进行。最终验收需要在全部系统上线并运行推广后进行。采购人组织专家，按照招标文件、合同文件对项目进行验收并出具验收报告。</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3、验收人员由医院相关人员、承建方人员、外部专家、监理方等相关人员组成，验收标准按招标文件、合同文件、软件工程规范，并以系统稳定运行为前提。系统验收前，由</w:t>
      </w:r>
      <w:r>
        <w:rPr>
          <w:rFonts w:hint="eastAsia" w:ascii="仿宋" w:hAnsi="仿宋" w:eastAsia="仿宋" w:cs="仿宋"/>
          <w:sz w:val="24"/>
          <w:szCs w:val="24"/>
          <w:lang w:eastAsia="zh-CN"/>
        </w:rPr>
        <w:t>供应商</w:t>
      </w:r>
      <w:r>
        <w:rPr>
          <w:rFonts w:hint="eastAsia" w:ascii="仿宋" w:hAnsi="仿宋" w:eastAsia="仿宋" w:cs="仿宋"/>
          <w:sz w:val="24"/>
          <w:szCs w:val="24"/>
        </w:rPr>
        <w:t>按系统分析文档和系统设计文档对系统进行确认，经双方主管人员签字认可，存档留作验收时参考。</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4、系统验收时</w:t>
      </w:r>
      <w:r>
        <w:rPr>
          <w:rFonts w:hint="eastAsia" w:ascii="仿宋" w:hAnsi="仿宋" w:eastAsia="仿宋" w:cs="仿宋"/>
          <w:sz w:val="24"/>
          <w:szCs w:val="24"/>
          <w:lang w:eastAsia="zh-CN"/>
        </w:rPr>
        <w:t>供应商</w:t>
      </w:r>
      <w:r>
        <w:rPr>
          <w:rFonts w:hint="eastAsia" w:ascii="仿宋" w:hAnsi="仿宋" w:eastAsia="仿宋" w:cs="仿宋"/>
          <w:sz w:val="24"/>
          <w:szCs w:val="24"/>
        </w:rPr>
        <w:t>须提供详细的软件相关技术文档，包括但不限于使用说明书、维护手册等文档资料及其电子版。</w:t>
      </w:r>
    </w:p>
    <w:p>
      <w:pPr>
        <w:pStyle w:val="4"/>
        <w:spacing w:line="360" w:lineRule="auto"/>
        <w:ind w:firstLine="482" w:firstLineChars="200"/>
        <w:jc w:val="left"/>
        <w:rPr>
          <w:rFonts w:ascii="仿宋" w:hAnsi="仿宋" w:eastAsia="仿宋" w:cs="仿宋"/>
          <w:sz w:val="24"/>
          <w:szCs w:val="24"/>
        </w:rPr>
      </w:pPr>
      <w:bookmarkStart w:id="432" w:name="_Toc31723"/>
      <w:r>
        <w:rPr>
          <w:rFonts w:hint="eastAsia" w:ascii="仿宋" w:hAnsi="仿宋" w:eastAsia="仿宋" w:cs="仿宋"/>
          <w:sz w:val="24"/>
          <w:szCs w:val="24"/>
          <w:lang w:eastAsia="zh-CN"/>
        </w:rPr>
        <w:t>八、支持服务要求</w:t>
      </w:r>
      <w:bookmarkEnd w:id="431"/>
      <w:bookmarkEnd w:id="432"/>
    </w:p>
    <w:p>
      <w:pPr>
        <w:pStyle w:val="5"/>
        <w:keepLines/>
        <w:spacing w:line="360" w:lineRule="auto"/>
        <w:ind w:firstLine="482" w:firstLineChars="200"/>
        <w:jc w:val="left"/>
        <w:rPr>
          <w:rFonts w:ascii="仿宋" w:hAnsi="仿宋" w:eastAsia="仿宋" w:cs="仿宋"/>
          <w:sz w:val="24"/>
          <w:szCs w:val="24"/>
        </w:rPr>
      </w:pPr>
      <w:bookmarkStart w:id="433" w:name="_Toc2419"/>
      <w:r>
        <w:rPr>
          <w:rFonts w:hint="eastAsia" w:ascii="仿宋" w:hAnsi="仿宋" w:eastAsia="仿宋" w:cs="仿宋"/>
          <w:sz w:val="24"/>
          <w:szCs w:val="24"/>
        </w:rPr>
        <w:t>（一）支持服务保证</w:t>
      </w:r>
      <w:bookmarkEnd w:id="433"/>
    </w:p>
    <w:p>
      <w:pPr>
        <w:spacing w:line="360" w:lineRule="auto"/>
        <w:ind w:firstLine="480"/>
        <w:rPr>
          <w:rFonts w:ascii="仿宋" w:hAnsi="仿宋" w:eastAsia="仿宋" w:cs="仿宋"/>
          <w:sz w:val="24"/>
          <w:szCs w:val="24"/>
        </w:rPr>
      </w:pPr>
      <w:bookmarkStart w:id="434" w:name="_Toc26381"/>
      <w:r>
        <w:rPr>
          <w:rFonts w:hint="eastAsia" w:ascii="仿宋" w:hAnsi="仿宋" w:eastAsia="仿宋" w:cs="仿宋"/>
          <w:sz w:val="24"/>
          <w:szCs w:val="24"/>
        </w:rPr>
        <w:t>针对本次建设项目，</w:t>
      </w:r>
      <w:r>
        <w:rPr>
          <w:rFonts w:hint="eastAsia" w:ascii="仿宋" w:hAnsi="仿宋" w:eastAsia="仿宋" w:cs="仿宋"/>
          <w:sz w:val="24"/>
          <w:szCs w:val="24"/>
          <w:lang w:eastAsia="zh-CN"/>
        </w:rPr>
        <w:t>供应商</w:t>
      </w:r>
      <w:r>
        <w:rPr>
          <w:rFonts w:hint="eastAsia" w:ascii="仿宋" w:hAnsi="仿宋" w:eastAsia="仿宋" w:cs="仿宋"/>
          <w:sz w:val="24"/>
          <w:szCs w:val="24"/>
        </w:rPr>
        <w:t>需支持如下服务保证：</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必须提供支持服务以保证系统的平稳运行。</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需要与采购人共同合作，统一安排运维管理，保证系统(特别是应用模块)的有效运转。</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需要制定全面的工作计划，保证按照工作计划进行运维管理。</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应在合同期内将系统的所有变动详细记录，并有反馈。</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供应商</w:t>
      </w:r>
      <w:r>
        <w:rPr>
          <w:rFonts w:hint="eastAsia" w:ascii="仿宋" w:hAnsi="仿宋" w:eastAsia="仿宋" w:cs="仿宋"/>
          <w:sz w:val="24"/>
          <w:szCs w:val="24"/>
        </w:rPr>
        <w:t>必须保证版本的控制，对所有的应用系统配置、源程序代码、文档等进行有效的管理。</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必须制定安全管理手册，保证系统的可靠性。</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eastAsia="zh-CN"/>
        </w:rPr>
        <w:t>供应商</w:t>
      </w:r>
      <w:r>
        <w:rPr>
          <w:rFonts w:hint="eastAsia" w:ascii="仿宋" w:hAnsi="仿宋" w:eastAsia="仿宋" w:cs="仿宋"/>
          <w:sz w:val="24"/>
          <w:szCs w:val="24"/>
        </w:rPr>
        <w:t>必须遵从国家卫健委、地方卫生管理机构的统一安全标准。</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lang w:eastAsia="zh-CN"/>
        </w:rPr>
        <w:t>供应商</w:t>
      </w:r>
      <w:r>
        <w:rPr>
          <w:rFonts w:hint="eastAsia" w:ascii="仿宋" w:hAnsi="仿宋" w:eastAsia="仿宋" w:cs="仿宋"/>
          <w:sz w:val="24"/>
          <w:szCs w:val="24"/>
        </w:rPr>
        <w:t>对系统的任何改动都应该通知采购人。</w:t>
      </w:r>
    </w:p>
    <w:p>
      <w:pPr>
        <w:pStyle w:val="5"/>
        <w:keepLines/>
        <w:spacing w:line="360" w:lineRule="auto"/>
        <w:ind w:firstLine="482" w:firstLineChars="200"/>
        <w:jc w:val="left"/>
        <w:rPr>
          <w:rFonts w:ascii="仿宋" w:hAnsi="仿宋" w:eastAsia="仿宋" w:cs="仿宋"/>
          <w:sz w:val="24"/>
          <w:szCs w:val="24"/>
        </w:rPr>
      </w:pPr>
      <w:r>
        <w:rPr>
          <w:rFonts w:hint="eastAsia" w:ascii="仿宋" w:hAnsi="仿宋" w:eastAsia="仿宋" w:cs="仿宋"/>
          <w:sz w:val="24"/>
          <w:szCs w:val="24"/>
        </w:rPr>
        <w:t>（二）需求收集及开发</w:t>
      </w:r>
      <w:bookmarkEnd w:id="434"/>
    </w:p>
    <w:p>
      <w:pPr>
        <w:spacing w:line="360" w:lineRule="auto"/>
        <w:ind w:firstLine="480"/>
        <w:rPr>
          <w:rFonts w:ascii="仿宋" w:hAnsi="仿宋" w:eastAsia="仿宋" w:cs="仿宋"/>
          <w:sz w:val="24"/>
          <w:szCs w:val="24"/>
        </w:rPr>
      </w:pPr>
      <w:bookmarkStart w:id="435" w:name="_Toc18497"/>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承担从医院收集需求的工作，用户需求规格说明书将由采购人签字盖章后确认。</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2、每个模块需要依据医院指定的业务科室负责人，对</w:t>
      </w:r>
      <w:r>
        <w:rPr>
          <w:rFonts w:hint="eastAsia" w:ascii="仿宋" w:hAnsi="仿宋" w:eastAsia="仿宋" w:cs="仿宋"/>
          <w:sz w:val="24"/>
          <w:szCs w:val="24"/>
          <w:lang w:eastAsia="zh-CN"/>
        </w:rPr>
        <w:t>供应商</w:t>
      </w:r>
      <w:r>
        <w:rPr>
          <w:rFonts w:hint="eastAsia" w:ascii="仿宋" w:hAnsi="仿宋" w:eastAsia="仿宋" w:cs="仿宋"/>
          <w:sz w:val="24"/>
          <w:szCs w:val="24"/>
        </w:rPr>
        <w:t>收集的需求进行确认。在不超出模块整体业务架构的前提下，以业务科室确认的需求作为开发、上线和验收依据。</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需要对用户需求做进一步的分析与处理，并将其转化成技术需求规格，报告给采购人。</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/4、通过对医院现有系统产生数据的梳理，</w:t>
      </w:r>
      <w:r>
        <w:rPr>
          <w:rFonts w:hint="eastAsia" w:ascii="仿宋" w:hAnsi="仿宋" w:eastAsia="仿宋" w:cs="仿宋"/>
          <w:sz w:val="24"/>
          <w:szCs w:val="24"/>
          <w:lang w:eastAsia="zh-CN"/>
        </w:rPr>
        <w:t>供应商</w:t>
      </w:r>
      <w:r>
        <w:rPr>
          <w:rFonts w:hint="eastAsia" w:ascii="仿宋" w:hAnsi="仿宋" w:eastAsia="仿宋" w:cs="仿宋"/>
          <w:sz w:val="24"/>
          <w:szCs w:val="24"/>
        </w:rPr>
        <w:t>应对医院业务信息系统中的不合理环节提出改进意见，以帮助采购人提高整体信息化建设的水平。</w:t>
      </w:r>
    </w:p>
    <w:p>
      <w:pPr>
        <w:pStyle w:val="5"/>
        <w:keepLines/>
        <w:spacing w:line="360" w:lineRule="auto"/>
        <w:ind w:firstLine="482" w:firstLineChars="200"/>
        <w:jc w:val="left"/>
        <w:rPr>
          <w:rFonts w:ascii="仿宋" w:hAnsi="仿宋" w:eastAsia="仿宋" w:cs="仿宋"/>
          <w:sz w:val="24"/>
          <w:szCs w:val="24"/>
        </w:rPr>
      </w:pPr>
      <w:r>
        <w:rPr>
          <w:rFonts w:hint="eastAsia" w:ascii="仿宋" w:hAnsi="仿宋" w:eastAsia="仿宋" w:cs="仿宋"/>
          <w:sz w:val="24"/>
          <w:szCs w:val="24"/>
        </w:rPr>
        <w:t>（三）平台软件的支持与维护服务</w:t>
      </w:r>
      <w:bookmarkEnd w:id="435"/>
    </w:p>
    <w:p>
      <w:pPr>
        <w:spacing w:line="360" w:lineRule="auto"/>
        <w:ind w:firstLine="48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应该提供各类技术人员的职责与联系方式，方便用户与相关人员的沟通，协助制定系统的操作规范。</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2、软件产品质保期内，应免费提供系统扩充、升级方面的技术支持服务。</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应该在项目的实施过程中提供软件支持的服务，这些服务应该包括：</w:t>
      </w:r>
    </w:p>
    <w:p>
      <w:pPr>
        <w:numPr>
          <w:ilvl w:val="0"/>
          <w:numId w:val="18"/>
        </w:numPr>
        <w:autoSpaceDE w:val="0"/>
        <w:autoSpaceDN w:val="0"/>
        <w:spacing w:line="360" w:lineRule="auto"/>
        <w:ind w:left="0" w:firstLine="480" w:firstLineChars="200"/>
        <w:jc w:val="left"/>
        <w:rPr>
          <w:rFonts w:ascii="仿宋" w:hAnsi="仿宋" w:eastAsia="仿宋" w:cs="仿宋"/>
          <w:sz w:val="24"/>
          <w:szCs w:val="24"/>
        </w:rPr>
      </w:pPr>
      <w:bookmarkStart w:id="436" w:name="_Toc1993"/>
      <w:r>
        <w:rPr>
          <w:rFonts w:hint="eastAsia" w:ascii="仿宋" w:hAnsi="仿宋" w:eastAsia="仿宋" w:cs="仿宋"/>
          <w:sz w:val="24"/>
          <w:szCs w:val="24"/>
        </w:rPr>
        <w:t>对影响到系统平稳作业以及应用模块操作使用的问题解答与分析，并提出解决方案；</w:t>
      </w:r>
    </w:p>
    <w:p>
      <w:pPr>
        <w:numPr>
          <w:ilvl w:val="0"/>
          <w:numId w:val="18"/>
        </w:numPr>
        <w:autoSpaceDE w:val="0"/>
        <w:autoSpaceDN w:val="0"/>
        <w:spacing w:line="360" w:lineRule="auto"/>
        <w:ind w:left="0" w:firstLine="480" w:firstLineChars="200"/>
        <w:jc w:val="left"/>
        <w:rPr>
          <w:rFonts w:ascii="仿宋" w:hAnsi="仿宋" w:eastAsia="仿宋" w:cs="仿宋"/>
          <w:sz w:val="24"/>
          <w:szCs w:val="24"/>
        </w:rPr>
      </w:pPr>
      <w:r>
        <w:rPr>
          <w:rFonts w:hint="eastAsia" w:ascii="仿宋" w:hAnsi="仿宋" w:eastAsia="仿宋" w:cs="仿宋"/>
          <w:sz w:val="24"/>
          <w:szCs w:val="24"/>
        </w:rPr>
        <w:t>定期进行程序错误的修改、维护、实施；</w:t>
      </w:r>
    </w:p>
    <w:p>
      <w:pPr>
        <w:numPr>
          <w:ilvl w:val="0"/>
          <w:numId w:val="18"/>
        </w:numPr>
        <w:autoSpaceDE w:val="0"/>
        <w:autoSpaceDN w:val="0"/>
        <w:spacing w:line="360" w:lineRule="auto"/>
        <w:ind w:left="0" w:firstLine="480" w:firstLineChars="200"/>
        <w:jc w:val="left"/>
        <w:rPr>
          <w:rFonts w:ascii="仿宋" w:hAnsi="仿宋" w:eastAsia="仿宋" w:cs="仿宋"/>
          <w:sz w:val="24"/>
          <w:szCs w:val="24"/>
        </w:rPr>
      </w:pPr>
      <w:r>
        <w:rPr>
          <w:rFonts w:hint="eastAsia" w:ascii="仿宋" w:hAnsi="仿宋" w:eastAsia="仿宋" w:cs="仿宋"/>
          <w:sz w:val="24"/>
          <w:szCs w:val="24"/>
        </w:rPr>
        <w:t>对所有的维护活动进行记录，并形成规范的文档，例如记录时间、地点、原因等，最后还要注明完成的时间和人员；</w:t>
      </w:r>
    </w:p>
    <w:p>
      <w:pPr>
        <w:numPr>
          <w:ilvl w:val="0"/>
          <w:numId w:val="18"/>
        </w:numPr>
        <w:autoSpaceDE w:val="0"/>
        <w:autoSpaceDN w:val="0"/>
        <w:spacing w:line="360" w:lineRule="auto"/>
        <w:ind w:left="0" w:firstLine="480" w:firstLineChars="200"/>
        <w:jc w:val="left"/>
        <w:rPr>
          <w:rFonts w:ascii="仿宋" w:hAnsi="仿宋" w:eastAsia="仿宋" w:cs="仿宋"/>
          <w:sz w:val="24"/>
          <w:szCs w:val="24"/>
        </w:rPr>
      </w:pPr>
      <w:r>
        <w:rPr>
          <w:rFonts w:hint="eastAsia" w:ascii="仿宋" w:hAnsi="仿宋" w:eastAsia="仿宋" w:cs="仿宋"/>
          <w:sz w:val="24"/>
          <w:szCs w:val="24"/>
        </w:rPr>
        <w:t>提供7*24小时的现场维护和故障解决；</w:t>
      </w:r>
    </w:p>
    <w:p>
      <w:pPr>
        <w:numPr>
          <w:ilvl w:val="0"/>
          <w:numId w:val="18"/>
        </w:numPr>
        <w:spacing w:line="360" w:lineRule="auto"/>
        <w:ind w:left="0" w:firstLine="480" w:firstLineChars="2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应提供系统的维护服务，维护服务包含但不局限于以下几点：</w:t>
      </w:r>
    </w:p>
    <w:p>
      <w:pPr>
        <w:numPr>
          <w:ilvl w:val="0"/>
          <w:numId w:val="18"/>
        </w:numPr>
        <w:autoSpaceDE w:val="0"/>
        <w:autoSpaceDN w:val="0"/>
        <w:spacing w:line="360" w:lineRule="auto"/>
        <w:ind w:left="0" w:firstLine="480" w:firstLineChars="200"/>
        <w:jc w:val="left"/>
        <w:rPr>
          <w:rFonts w:ascii="仿宋" w:hAnsi="仿宋" w:eastAsia="仿宋" w:cs="仿宋"/>
          <w:sz w:val="24"/>
          <w:szCs w:val="24"/>
        </w:rPr>
      </w:pPr>
      <w:r>
        <w:rPr>
          <w:rFonts w:hint="eastAsia" w:ascii="仿宋" w:hAnsi="仿宋" w:eastAsia="仿宋" w:cs="仿宋"/>
          <w:sz w:val="24"/>
          <w:szCs w:val="24"/>
        </w:rPr>
        <w:t>管理、维护系统以及与其他系统的接口；</w:t>
      </w:r>
    </w:p>
    <w:p>
      <w:pPr>
        <w:numPr>
          <w:ilvl w:val="0"/>
          <w:numId w:val="18"/>
        </w:numPr>
        <w:autoSpaceDE w:val="0"/>
        <w:autoSpaceDN w:val="0"/>
        <w:spacing w:line="360" w:lineRule="auto"/>
        <w:ind w:left="0" w:firstLine="480" w:firstLineChars="200"/>
        <w:jc w:val="left"/>
        <w:rPr>
          <w:rFonts w:ascii="仿宋" w:hAnsi="仿宋" w:eastAsia="仿宋" w:cs="仿宋"/>
          <w:sz w:val="24"/>
          <w:szCs w:val="24"/>
        </w:rPr>
      </w:pPr>
      <w:r>
        <w:rPr>
          <w:rFonts w:hint="eastAsia" w:ascii="仿宋" w:hAnsi="仿宋" w:eastAsia="仿宋" w:cs="仿宋"/>
          <w:sz w:val="24"/>
          <w:szCs w:val="24"/>
        </w:rPr>
        <w:t>问题解答、问题分析、与其他合作方的协作；</w:t>
      </w:r>
    </w:p>
    <w:p>
      <w:pPr>
        <w:numPr>
          <w:ilvl w:val="0"/>
          <w:numId w:val="18"/>
        </w:numPr>
        <w:autoSpaceDE w:val="0"/>
        <w:autoSpaceDN w:val="0"/>
        <w:spacing w:line="360" w:lineRule="auto"/>
        <w:ind w:left="0" w:firstLine="480" w:firstLineChars="200"/>
        <w:jc w:val="left"/>
        <w:rPr>
          <w:rFonts w:ascii="仿宋" w:hAnsi="仿宋" w:eastAsia="仿宋" w:cs="仿宋"/>
          <w:sz w:val="24"/>
          <w:szCs w:val="24"/>
        </w:rPr>
      </w:pPr>
      <w:r>
        <w:rPr>
          <w:rFonts w:hint="eastAsia" w:ascii="仿宋" w:hAnsi="仿宋" w:eastAsia="仿宋" w:cs="仿宋"/>
          <w:sz w:val="24"/>
          <w:szCs w:val="24"/>
        </w:rPr>
        <w:t>修正应用软件的错误；</w:t>
      </w:r>
    </w:p>
    <w:p>
      <w:pPr>
        <w:numPr>
          <w:ilvl w:val="0"/>
          <w:numId w:val="18"/>
        </w:numPr>
        <w:autoSpaceDE w:val="0"/>
        <w:autoSpaceDN w:val="0"/>
        <w:spacing w:line="360" w:lineRule="auto"/>
        <w:ind w:left="0" w:firstLine="480" w:firstLineChars="200"/>
        <w:jc w:val="left"/>
        <w:rPr>
          <w:rFonts w:ascii="仿宋" w:hAnsi="仿宋" w:eastAsia="仿宋" w:cs="仿宋"/>
          <w:sz w:val="24"/>
          <w:szCs w:val="24"/>
        </w:rPr>
      </w:pPr>
      <w:r>
        <w:rPr>
          <w:rFonts w:hint="eastAsia" w:ascii="仿宋" w:hAnsi="仿宋" w:eastAsia="仿宋" w:cs="仿宋"/>
          <w:sz w:val="24"/>
          <w:szCs w:val="24"/>
        </w:rPr>
        <w:t>维护服务必须保证系统的一致性与稳定性，不能因维护导致系统故障宕机；</w:t>
      </w:r>
    </w:p>
    <w:p>
      <w:pPr>
        <w:autoSpaceDE w:val="0"/>
        <w:autoSpaceDN w:val="0"/>
        <w:spacing w:line="360" w:lineRule="auto"/>
        <w:ind w:left="480"/>
        <w:jc w:val="left"/>
        <w:rPr>
          <w:rFonts w:ascii="仿宋" w:hAnsi="仿宋" w:eastAsia="仿宋" w:cs="仿宋"/>
          <w:sz w:val="24"/>
          <w:szCs w:val="24"/>
        </w:rPr>
      </w:pPr>
      <w:r>
        <w:rPr>
          <w:rFonts w:hint="eastAsia" w:ascii="仿宋" w:hAnsi="仿宋" w:eastAsia="仿宋" w:cs="仿宋"/>
          <w:sz w:val="24"/>
          <w:szCs w:val="24"/>
        </w:rPr>
        <w:t>（10）对医院系统的每一次改变或是升级都必须对照用户需求，确保每次改变或升级后应用功能都能正常运行；</w:t>
      </w:r>
    </w:p>
    <w:p>
      <w:pPr>
        <w:autoSpaceDE w:val="0"/>
        <w:autoSpaceDN w:val="0"/>
        <w:spacing w:line="360" w:lineRule="auto"/>
        <w:ind w:left="480"/>
        <w:jc w:val="left"/>
        <w:rPr>
          <w:rFonts w:ascii="仿宋" w:hAnsi="仿宋" w:eastAsia="仿宋" w:cs="仿宋"/>
          <w:sz w:val="24"/>
          <w:szCs w:val="24"/>
        </w:rPr>
      </w:pPr>
      <w:r>
        <w:rPr>
          <w:rFonts w:hint="eastAsia" w:ascii="仿宋" w:hAnsi="仿宋" w:eastAsia="仿宋" w:cs="仿宋"/>
          <w:sz w:val="24"/>
          <w:szCs w:val="24"/>
        </w:rPr>
        <w:t>（11）评估并保证建议的解决方案完全符合采购方目前的操作模式，对现有系统的正常运作没有影响，所有的调优或修改建议不得降低系统和现有业务信息系统的性能与可用性。</w:t>
      </w:r>
    </w:p>
    <w:p>
      <w:pPr>
        <w:pStyle w:val="4"/>
        <w:spacing w:line="360" w:lineRule="auto"/>
        <w:ind w:firstLine="482" w:firstLineChars="200"/>
        <w:jc w:val="left"/>
        <w:rPr>
          <w:rFonts w:ascii="仿宋" w:hAnsi="仿宋" w:eastAsia="仿宋" w:cs="仿宋"/>
          <w:sz w:val="24"/>
          <w:szCs w:val="24"/>
        </w:rPr>
      </w:pPr>
      <w:bookmarkStart w:id="437" w:name="_Toc29446"/>
      <w:r>
        <w:rPr>
          <w:rFonts w:hint="eastAsia" w:ascii="仿宋" w:hAnsi="仿宋" w:eastAsia="仿宋" w:cs="仿宋"/>
          <w:sz w:val="24"/>
          <w:szCs w:val="24"/>
          <w:lang w:eastAsia="zh-CN"/>
        </w:rPr>
        <w:t>九、售后服务要求</w:t>
      </w:r>
      <w:bookmarkEnd w:id="436"/>
      <w:bookmarkEnd w:id="437"/>
    </w:p>
    <w:p>
      <w:pPr>
        <w:spacing w:line="360" w:lineRule="auto"/>
        <w:ind w:firstLine="480"/>
        <w:rPr>
          <w:rFonts w:ascii="仿宋" w:hAnsi="仿宋" w:eastAsia="仿宋" w:cs="仿宋"/>
          <w:color w:val="000000"/>
          <w:sz w:val="24"/>
          <w:szCs w:val="24"/>
        </w:rPr>
      </w:pPr>
      <w:r>
        <w:rPr>
          <w:rFonts w:hint="eastAsia" w:ascii="仿宋" w:hAnsi="仿宋" w:eastAsia="仿宋" w:cs="仿宋"/>
          <w:sz w:val="24"/>
          <w:szCs w:val="24"/>
        </w:rPr>
        <w:t>（1）质保期：</w:t>
      </w:r>
      <w:r>
        <w:rPr>
          <w:rFonts w:hint="eastAsia" w:ascii="仿宋" w:hAnsi="仿宋" w:eastAsia="仿宋" w:cs="仿宋"/>
          <w:color w:val="000000"/>
          <w:sz w:val="24"/>
          <w:szCs w:val="24"/>
        </w:rPr>
        <w:t>本项目质保期3年（自验收合格之日起算）。</w:t>
      </w:r>
    </w:p>
    <w:p>
      <w:pPr>
        <w:pStyle w:val="10"/>
        <w:spacing w:line="360" w:lineRule="auto"/>
        <w:ind w:firstLine="480"/>
        <w:rPr>
          <w:rFonts w:ascii="仿宋" w:hAnsi="仿宋" w:eastAsia="仿宋" w:cs="仿宋"/>
          <w:szCs w:val="24"/>
        </w:rPr>
      </w:pPr>
      <w:r>
        <w:rPr>
          <w:rFonts w:hint="eastAsia" w:ascii="仿宋" w:hAnsi="仿宋" w:eastAsia="仿宋" w:cs="仿宋"/>
          <w:szCs w:val="24"/>
        </w:rPr>
        <w:t>（2）质保期内要求至少安排一名工程师驻场，驻场工程师具有类似实施经验。</w:t>
      </w:r>
    </w:p>
    <w:p>
      <w:pPr>
        <w:pStyle w:val="10"/>
        <w:spacing w:line="360" w:lineRule="auto"/>
        <w:ind w:firstLine="480"/>
        <w:rPr>
          <w:rFonts w:ascii="仿宋" w:hAnsi="仿宋" w:eastAsia="仿宋" w:cs="仿宋"/>
          <w:szCs w:val="24"/>
        </w:rPr>
      </w:pPr>
      <w:r>
        <w:rPr>
          <w:rFonts w:hint="eastAsia" w:ascii="仿宋" w:hAnsi="仿宋" w:eastAsia="仿宋" w:cs="仿宋"/>
          <w:szCs w:val="24"/>
        </w:rPr>
        <w:t>（3）质保期内免费提供软件系统功能完善和升级方面的及时支持服务。</w:t>
      </w:r>
    </w:p>
    <w:p>
      <w:pPr>
        <w:pStyle w:val="10"/>
        <w:spacing w:line="360" w:lineRule="auto"/>
        <w:ind w:firstLine="480"/>
        <w:rPr>
          <w:rFonts w:ascii="仿宋" w:hAnsi="仿宋" w:eastAsia="仿宋" w:cs="仿宋"/>
          <w:szCs w:val="24"/>
        </w:rPr>
      </w:pPr>
      <w:r>
        <w:rPr>
          <w:rFonts w:hint="eastAsia" w:ascii="仿宋" w:hAnsi="仿宋" w:eastAsia="仿宋" w:cs="仿宋"/>
          <w:szCs w:val="24"/>
        </w:rPr>
        <w:t>（4）质保期内</w:t>
      </w:r>
      <w:r>
        <w:rPr>
          <w:rFonts w:hint="eastAsia" w:ascii="仿宋" w:hAnsi="仿宋" w:eastAsia="仿宋" w:cs="仿宋"/>
          <w:szCs w:val="24"/>
          <w:lang w:eastAsia="zh-CN"/>
        </w:rPr>
        <w:t>供应商</w:t>
      </w:r>
      <w:r>
        <w:rPr>
          <w:rFonts w:hint="eastAsia" w:ascii="仿宋" w:hAnsi="仿宋" w:eastAsia="仿宋" w:cs="仿宋"/>
          <w:szCs w:val="24"/>
        </w:rPr>
        <w:t>应有良好的服务理念和完善的售后服务体系，提出完整而切实可行的售后服务方案；其中至少应提供7×24小时热线电话、远程网络等服务方式。热线电话和远程网络提供技术咨询和即时服务，1小时内给予明确的响应并解决；现场服务适用于排解重大故障，应在接到医院服务请求后2小时内到达现场解决。</w:t>
      </w:r>
    </w:p>
    <w:p>
      <w:pPr>
        <w:spacing w:line="360" w:lineRule="auto"/>
        <w:ind w:firstLine="480"/>
        <w:rPr>
          <w:rFonts w:ascii="仿宋" w:hAnsi="仿宋" w:eastAsia="仿宋" w:cs="仿宋"/>
          <w:sz w:val="24"/>
          <w:szCs w:val="24"/>
        </w:rPr>
      </w:pPr>
      <w:r>
        <w:rPr>
          <w:rFonts w:hint="eastAsia" w:ascii="仿宋" w:hAnsi="仿宋" w:eastAsia="仿宋" w:cs="仿宋"/>
          <w:sz w:val="24"/>
          <w:szCs w:val="24"/>
        </w:rPr>
        <w:t>（5）根据医院需求，质保期内每季度至少一次对系统进行巡检，出具巡检报告，保证系统在最优的状态下稳定运行。</w:t>
      </w:r>
    </w:p>
    <w:p>
      <w:pPr>
        <w:autoSpaceDE w:val="0"/>
        <w:autoSpaceDN w:val="0"/>
        <w:adjustRightInd w:val="0"/>
        <w:snapToGrid w:val="0"/>
        <w:spacing w:line="360" w:lineRule="auto"/>
        <w:ind w:firstLine="480" w:firstLineChars="200"/>
        <w:rPr>
          <w:rFonts w:ascii="仿宋" w:hAnsi="仿宋" w:eastAsia="仿宋" w:cs="仿宋"/>
          <w:bCs/>
          <w:sz w:val="24"/>
          <w:szCs w:val="24"/>
          <w:lang w:val="zh-CN"/>
        </w:rPr>
      </w:pPr>
      <w:r>
        <w:rPr>
          <w:rFonts w:hint="eastAsia" w:ascii="仿宋" w:hAnsi="仿宋" w:eastAsia="仿宋" w:cs="仿宋"/>
          <w:sz w:val="24"/>
          <w:szCs w:val="24"/>
        </w:rPr>
        <w:t>（6）维保费：</w:t>
      </w:r>
      <w:r>
        <w:rPr>
          <w:rFonts w:hint="eastAsia" w:ascii="仿宋" w:hAnsi="仿宋" w:eastAsia="仿宋" w:cs="仿宋"/>
          <w:color w:val="000000"/>
          <w:sz w:val="24"/>
          <w:szCs w:val="24"/>
        </w:rPr>
        <w:t>质保期结束后，相关质保和维护费用在符合政府采购相关规定和医院内控制度的前提下，由采购方与</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另行协商、签订维保协议，</w:t>
      </w:r>
      <w:r>
        <w:rPr>
          <w:rFonts w:hint="eastAsia" w:ascii="仿宋" w:hAnsi="仿宋" w:eastAsia="仿宋" w:cs="仿宋"/>
          <w:sz w:val="24"/>
          <w:szCs w:val="24"/>
        </w:rPr>
        <w:t>具体维护费用另行商定</w:t>
      </w:r>
      <w:r>
        <w:rPr>
          <w:rFonts w:hint="eastAsia" w:ascii="仿宋" w:hAnsi="仿宋" w:eastAsia="仿宋" w:cs="仿宋"/>
          <w:color w:val="000000"/>
          <w:sz w:val="24"/>
          <w:szCs w:val="24"/>
        </w:rPr>
        <w:t>，原则不超过合同总金额10%，后续维保期内</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仍应提供与质保期内相同质量的售后服务。</w:t>
      </w:r>
    </w:p>
    <w:p>
      <w:pPr>
        <w:pStyle w:val="3"/>
        <w:pageBreakBefore/>
        <w:spacing w:line="360" w:lineRule="auto"/>
        <w:rPr>
          <w:rFonts w:ascii="仿宋" w:hAnsi="仿宋" w:eastAsia="仿宋" w:cs="仿宋"/>
          <w:bCs/>
          <w:szCs w:val="44"/>
          <w:lang w:val="zh-CN"/>
        </w:rPr>
      </w:pPr>
      <w:bookmarkStart w:id="438" w:name="_Toc1216"/>
      <w:bookmarkStart w:id="439" w:name="_Toc12173"/>
      <w:bookmarkStart w:id="440" w:name="_Toc878"/>
      <w:bookmarkStart w:id="441" w:name="_Toc11796"/>
      <w:bookmarkStart w:id="442" w:name="_Toc19495"/>
      <w:bookmarkStart w:id="443" w:name="_Toc17211"/>
      <w:bookmarkStart w:id="444" w:name="_Toc9770"/>
      <w:bookmarkStart w:id="445" w:name="_Toc18036"/>
      <w:bookmarkStart w:id="446" w:name="_Toc23592"/>
      <w:bookmarkStart w:id="447" w:name="_Toc28776"/>
      <w:r>
        <w:rPr>
          <w:rFonts w:hint="eastAsia" w:ascii="仿宋" w:hAnsi="仿宋" w:eastAsia="仿宋" w:cs="仿宋"/>
          <w:sz w:val="32"/>
          <w:szCs w:val="32"/>
          <w:lang w:val="zh-CN"/>
        </w:rPr>
        <w:t>第四部分  合同条款及格式</w:t>
      </w:r>
      <w:bookmarkEnd w:id="438"/>
    </w:p>
    <w:p>
      <w:pPr>
        <w:spacing w:line="360" w:lineRule="auto"/>
        <w:ind w:firstLine="1680" w:firstLineChars="600"/>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ind w:firstLine="1084" w:firstLineChars="300"/>
        <w:jc w:val="center"/>
        <w:rPr>
          <w:rFonts w:hint="eastAsia" w:ascii="仿宋" w:hAnsi="仿宋" w:eastAsia="仿宋" w:cs="仿宋"/>
          <w:b/>
          <w:bCs/>
          <w:sz w:val="36"/>
          <w:szCs w:val="36"/>
        </w:rPr>
      </w:pPr>
      <w:r>
        <w:rPr>
          <w:rFonts w:hint="eastAsia" w:ascii="仿宋" w:hAnsi="仿宋" w:eastAsia="仿宋" w:cs="仿宋"/>
          <w:b/>
          <w:bCs/>
          <w:sz w:val="36"/>
          <w:szCs w:val="36"/>
          <w:lang w:eastAsia="zh-CN"/>
        </w:rPr>
        <w:t>陕西中医药大学附属</w:t>
      </w:r>
      <w:r>
        <w:rPr>
          <w:rFonts w:hint="eastAsia" w:ascii="仿宋" w:hAnsi="仿宋" w:eastAsia="仿宋" w:cs="仿宋"/>
          <w:b/>
          <w:bCs/>
          <w:sz w:val="36"/>
          <w:szCs w:val="36"/>
        </w:rPr>
        <w:t>医院</w:t>
      </w:r>
    </w:p>
    <w:p>
      <w:pPr>
        <w:spacing w:line="360" w:lineRule="auto"/>
        <w:ind w:firstLine="1084" w:firstLineChars="300"/>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eastAsia="zh-CN"/>
        </w:rPr>
        <w:t>集成</w:t>
      </w:r>
      <w:r>
        <w:rPr>
          <w:rFonts w:hint="eastAsia" w:ascii="仿宋" w:hAnsi="仿宋" w:eastAsia="仿宋" w:cs="仿宋"/>
          <w:b/>
          <w:bCs/>
          <w:sz w:val="36"/>
          <w:szCs w:val="36"/>
          <w:lang w:val="en-US" w:eastAsia="zh-CN"/>
        </w:rPr>
        <w:t>平台与数据中心建设项目</w:t>
      </w:r>
    </w:p>
    <w:p>
      <w:pPr>
        <w:spacing w:line="360" w:lineRule="auto"/>
        <w:ind w:firstLine="1084" w:firstLineChars="300"/>
        <w:jc w:val="center"/>
        <w:rPr>
          <w:rFonts w:hint="eastAsia" w:ascii="仿宋" w:hAnsi="仿宋" w:eastAsia="仿宋" w:cs="仿宋"/>
          <w:b/>
          <w:bCs/>
          <w:sz w:val="36"/>
          <w:szCs w:val="36"/>
        </w:rPr>
      </w:pPr>
      <w:r>
        <w:rPr>
          <w:rFonts w:hint="eastAsia" w:ascii="仿宋" w:hAnsi="仿宋" w:eastAsia="仿宋" w:cs="仿宋"/>
          <w:b/>
          <w:bCs/>
          <w:sz w:val="36"/>
          <w:szCs w:val="36"/>
        </w:rPr>
        <w:t>采购合同</w:t>
      </w:r>
    </w:p>
    <w:p>
      <w:pPr>
        <w:shd w:val="clear" w:color="auto" w:fill="FFFFFF"/>
        <w:spacing w:line="400" w:lineRule="exact"/>
        <w:jc w:val="center"/>
        <w:rPr>
          <w:rFonts w:hint="eastAsia" w:ascii="宋体" w:hAnsi="宋体"/>
          <w:b/>
          <w:sz w:val="24"/>
          <w:shd w:val="clear" w:color="auto" w:fill="FFFFFF"/>
        </w:rPr>
      </w:pPr>
    </w:p>
    <w:p>
      <w:pPr>
        <w:shd w:val="clear" w:color="auto" w:fill="FFFFFF"/>
        <w:spacing w:line="400" w:lineRule="exact"/>
        <w:jc w:val="center"/>
        <w:rPr>
          <w:rFonts w:hint="eastAsia" w:ascii="宋体" w:hAnsi="宋体"/>
          <w:b/>
          <w:sz w:val="24"/>
          <w:shd w:val="clear" w:color="auto" w:fill="FFFFFF"/>
        </w:rPr>
      </w:pPr>
    </w:p>
    <w:p>
      <w:pPr>
        <w:shd w:val="clear" w:color="auto" w:fill="FFFFFF"/>
        <w:spacing w:line="400" w:lineRule="exact"/>
        <w:jc w:val="center"/>
        <w:rPr>
          <w:rFonts w:hint="eastAsia" w:ascii="宋体" w:hAnsi="宋体"/>
          <w:b/>
          <w:sz w:val="24"/>
          <w:shd w:val="clear" w:color="auto" w:fill="FFFFFF"/>
        </w:rPr>
      </w:pPr>
    </w:p>
    <w:p>
      <w:pPr>
        <w:shd w:val="clear" w:color="auto" w:fill="FFFFFF"/>
        <w:spacing w:line="400" w:lineRule="exact"/>
        <w:jc w:val="center"/>
        <w:rPr>
          <w:rFonts w:hint="eastAsia" w:ascii="宋体" w:hAnsi="宋体"/>
          <w:b/>
          <w:sz w:val="24"/>
          <w:shd w:val="clear" w:color="auto" w:fill="FFFFFF"/>
        </w:rPr>
      </w:pPr>
    </w:p>
    <w:p>
      <w:pPr>
        <w:shd w:val="clear" w:color="auto" w:fill="FFFFFF"/>
        <w:spacing w:line="400" w:lineRule="exact"/>
        <w:jc w:val="center"/>
        <w:rPr>
          <w:rFonts w:hint="eastAsia" w:ascii="宋体" w:hAnsi="宋体"/>
          <w:b/>
          <w:sz w:val="24"/>
          <w:shd w:val="clear" w:color="auto" w:fill="FFFFFF"/>
        </w:rPr>
      </w:pPr>
    </w:p>
    <w:p>
      <w:pPr>
        <w:shd w:val="clear" w:color="auto" w:fill="FFFFFF"/>
        <w:spacing w:line="400" w:lineRule="exact"/>
        <w:jc w:val="center"/>
        <w:rPr>
          <w:rFonts w:hint="eastAsia" w:ascii="宋体" w:hAnsi="宋体"/>
          <w:b/>
          <w:sz w:val="24"/>
          <w:shd w:val="clear" w:color="auto" w:fill="FFFFFF"/>
        </w:rPr>
      </w:pPr>
    </w:p>
    <w:p>
      <w:pPr>
        <w:shd w:val="clear" w:color="auto" w:fill="FFFFFF"/>
        <w:spacing w:line="400" w:lineRule="exact"/>
        <w:jc w:val="center"/>
        <w:rPr>
          <w:rFonts w:hint="eastAsia" w:ascii="宋体" w:hAnsi="宋体"/>
          <w:b/>
          <w:sz w:val="24"/>
          <w:shd w:val="clear" w:color="auto" w:fill="FFFFFF"/>
        </w:rPr>
      </w:pPr>
    </w:p>
    <w:p>
      <w:pPr>
        <w:shd w:val="clear" w:color="auto" w:fill="FFFFFF"/>
        <w:spacing w:line="400" w:lineRule="exact"/>
        <w:jc w:val="center"/>
        <w:rPr>
          <w:rFonts w:hint="eastAsia" w:ascii="宋体" w:hAnsi="宋体"/>
          <w:b/>
          <w:sz w:val="24"/>
          <w:shd w:val="clear" w:color="auto" w:fill="FFFFFF"/>
        </w:rPr>
      </w:pPr>
    </w:p>
    <w:p>
      <w:pPr>
        <w:shd w:val="clear" w:color="auto" w:fill="FFFFFF"/>
        <w:spacing w:line="400" w:lineRule="exact"/>
        <w:jc w:val="center"/>
        <w:rPr>
          <w:rFonts w:hint="eastAsia" w:ascii="宋体" w:hAnsi="宋体"/>
          <w:b/>
          <w:sz w:val="24"/>
          <w:shd w:val="clear" w:color="auto" w:fill="FFFFFF"/>
        </w:rPr>
      </w:pPr>
    </w:p>
    <w:p>
      <w:pPr>
        <w:shd w:val="clear" w:color="auto" w:fill="FFFFFF"/>
        <w:spacing w:line="400" w:lineRule="exact"/>
        <w:jc w:val="center"/>
        <w:rPr>
          <w:rFonts w:hint="eastAsia" w:ascii="宋体" w:hAnsi="宋体"/>
          <w:b/>
          <w:sz w:val="24"/>
          <w:shd w:val="clear" w:color="auto" w:fill="FFFFFF"/>
        </w:rPr>
      </w:pPr>
    </w:p>
    <w:p>
      <w:pPr>
        <w:shd w:val="clear" w:color="auto" w:fill="FFFFFF"/>
        <w:spacing w:line="400" w:lineRule="exact"/>
        <w:jc w:val="center"/>
        <w:rPr>
          <w:rFonts w:hint="eastAsia" w:ascii="宋体" w:hAnsi="宋体"/>
          <w:b/>
          <w:sz w:val="24"/>
          <w:shd w:val="clear" w:color="auto" w:fill="FFFFFF"/>
        </w:rPr>
      </w:pPr>
    </w:p>
    <w:p>
      <w:pPr>
        <w:shd w:val="clear" w:color="auto" w:fill="FFFFFF"/>
        <w:spacing w:line="400" w:lineRule="exact"/>
        <w:rPr>
          <w:rFonts w:hint="eastAsia" w:ascii="宋体" w:hAnsi="宋体"/>
          <w:b/>
          <w:sz w:val="24"/>
          <w:shd w:val="clear" w:color="auto" w:fill="FFFFFF"/>
        </w:rPr>
      </w:pPr>
    </w:p>
    <w:p>
      <w:pPr>
        <w:shd w:val="clear" w:color="auto" w:fill="FFFFFF"/>
        <w:spacing w:line="400" w:lineRule="exact"/>
        <w:jc w:val="center"/>
        <w:rPr>
          <w:rFonts w:hint="eastAsia" w:ascii="宋体" w:hAnsi="宋体"/>
          <w:b/>
          <w:sz w:val="24"/>
          <w:shd w:val="clear" w:color="auto" w:fill="FFFFFF"/>
        </w:rPr>
      </w:pPr>
    </w:p>
    <w:p>
      <w:pPr>
        <w:shd w:val="clear" w:color="auto" w:fill="FFFFFF"/>
        <w:spacing w:line="400" w:lineRule="exact"/>
        <w:jc w:val="center"/>
        <w:rPr>
          <w:rFonts w:hint="eastAsia" w:ascii="宋体" w:hAnsi="宋体"/>
          <w:b/>
          <w:sz w:val="24"/>
          <w:shd w:val="clear" w:color="auto" w:fill="FFFFFF"/>
        </w:rPr>
      </w:pPr>
    </w:p>
    <w:p>
      <w:pPr>
        <w:spacing w:line="360" w:lineRule="auto"/>
        <w:ind w:firstLine="720" w:firstLineChars="300"/>
        <w:rPr>
          <w:rFonts w:hint="eastAsia" w:ascii="仿宋" w:hAnsi="仿宋" w:eastAsia="仿宋" w:cs="仿宋"/>
          <w:sz w:val="24"/>
        </w:rPr>
      </w:pPr>
      <w:r>
        <w:rPr>
          <w:rFonts w:hint="eastAsia" w:ascii="仿宋" w:hAnsi="仿宋" w:eastAsia="仿宋" w:cs="仿宋"/>
          <w:sz w:val="24"/>
        </w:rPr>
        <w:t>合同编号：</w:t>
      </w:r>
    </w:p>
    <w:p>
      <w:pPr>
        <w:spacing w:line="360" w:lineRule="auto"/>
        <w:ind w:firstLine="720" w:firstLineChars="300"/>
        <w:rPr>
          <w:rFonts w:hint="eastAsia" w:ascii="仿宋" w:hAnsi="仿宋" w:eastAsia="仿宋" w:cs="仿宋"/>
          <w:sz w:val="24"/>
        </w:rPr>
      </w:pPr>
      <w:r>
        <w:rPr>
          <w:rFonts w:hint="eastAsia" w:ascii="仿宋" w:hAnsi="仿宋" w:eastAsia="仿宋" w:cs="仿宋"/>
          <w:sz w:val="24"/>
        </w:rPr>
        <w:t>签约地点：</w:t>
      </w:r>
    </w:p>
    <w:p>
      <w:pPr>
        <w:spacing w:line="360" w:lineRule="auto"/>
        <w:ind w:firstLine="720" w:firstLineChars="300"/>
        <w:rPr>
          <w:rFonts w:hint="eastAsia" w:ascii="仿宋" w:hAnsi="仿宋" w:eastAsia="仿宋" w:cs="仿宋"/>
          <w:sz w:val="24"/>
        </w:rPr>
      </w:pPr>
      <w:r>
        <w:rPr>
          <w:rFonts w:hint="eastAsia" w:ascii="仿宋" w:hAnsi="仿宋" w:eastAsia="仿宋" w:cs="仿宋"/>
          <w:sz w:val="24"/>
        </w:rPr>
        <w:t>甲     方：</w:t>
      </w:r>
    </w:p>
    <w:p>
      <w:pPr>
        <w:spacing w:line="360" w:lineRule="auto"/>
        <w:ind w:firstLine="720" w:firstLineChars="300"/>
        <w:rPr>
          <w:rFonts w:hint="eastAsia" w:ascii="仿宋" w:hAnsi="仿宋" w:eastAsia="仿宋" w:cs="仿宋"/>
          <w:sz w:val="24"/>
        </w:rPr>
      </w:pPr>
      <w:r>
        <w:rPr>
          <w:rFonts w:hint="eastAsia" w:ascii="仿宋" w:hAnsi="仿宋" w:eastAsia="仿宋" w:cs="仿宋"/>
          <w:sz w:val="24"/>
        </w:rPr>
        <w:t>乙     方：</w:t>
      </w:r>
    </w:p>
    <w:p>
      <w:pPr>
        <w:spacing w:line="360" w:lineRule="auto"/>
        <w:ind w:firstLine="720" w:firstLineChars="300"/>
        <w:rPr>
          <w:rFonts w:hint="eastAsia" w:ascii="仿宋" w:hAnsi="仿宋" w:eastAsia="仿宋" w:cs="仿宋"/>
          <w:sz w:val="24"/>
        </w:rPr>
      </w:pPr>
      <w:r>
        <w:rPr>
          <w:rFonts w:hint="eastAsia" w:ascii="仿宋" w:hAnsi="仿宋" w:eastAsia="仿宋" w:cs="仿宋"/>
          <w:sz w:val="24"/>
        </w:rPr>
        <w:t>签约日期：      年     月    日</w:t>
      </w:r>
    </w:p>
    <w:p>
      <w:pPr>
        <w:shd w:val="clear" w:color="auto" w:fill="FFFFFF"/>
        <w:spacing w:line="400" w:lineRule="exact"/>
        <w:rPr>
          <w:rFonts w:hint="eastAsia" w:ascii="仿宋" w:hAnsi="仿宋" w:eastAsia="仿宋" w:cs="仿宋"/>
          <w:sz w:val="24"/>
          <w:shd w:val="clear" w:color="auto" w:fill="FFFFFF"/>
        </w:rPr>
      </w:pPr>
    </w:p>
    <w:p>
      <w:pPr>
        <w:spacing w:line="360" w:lineRule="auto"/>
        <w:jc w:val="center"/>
        <w:rPr>
          <w:rFonts w:hint="eastAsia" w:ascii="黑体" w:hAnsi="黑体" w:eastAsia="黑体" w:cs="黑体"/>
          <w:sz w:val="44"/>
          <w:szCs w:val="44"/>
          <w:lang w:val="en-US" w:eastAsia="zh-CN"/>
        </w:rPr>
      </w:pPr>
    </w:p>
    <w:p>
      <w:pPr>
        <w:pStyle w:val="26"/>
        <w:rPr>
          <w:rFonts w:hint="eastAsia"/>
          <w:lang w:val="en-US" w:eastAsia="zh-CN"/>
        </w:rPr>
      </w:pPr>
    </w:p>
    <w:p>
      <w:pPr>
        <w:rPr>
          <w:rFonts w:hint="eastAsia"/>
          <w:lang w:val="en-US" w:eastAsia="zh-CN"/>
        </w:rPr>
      </w:pPr>
    </w:p>
    <w:p>
      <w:pPr>
        <w:spacing w:line="360" w:lineRule="auto"/>
        <w:ind w:firstLine="964" w:firstLineChars="300"/>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项目</w:t>
      </w:r>
      <w:r>
        <w:rPr>
          <w:rFonts w:hint="eastAsia" w:ascii="仿宋" w:hAnsi="仿宋" w:eastAsia="仿宋" w:cs="仿宋"/>
          <w:b/>
          <w:bCs/>
          <w:sz w:val="32"/>
          <w:szCs w:val="32"/>
        </w:rPr>
        <w:t>合同</w:t>
      </w:r>
    </w:p>
    <w:p>
      <w:pPr>
        <w:spacing w:line="400" w:lineRule="exact"/>
        <w:ind w:right="-298"/>
        <w:jc w:val="center"/>
        <w:rPr>
          <w:rFonts w:ascii="宋体" w:hAnsi="宋体"/>
          <w:sz w:val="24"/>
        </w:rPr>
      </w:pPr>
      <w:r>
        <w:rPr>
          <w:rFonts w:hint="eastAsia" w:ascii="宋体" w:hAnsi="宋体"/>
          <w:sz w:val="24"/>
        </w:rPr>
        <w:t xml:space="preserve">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甲方（需方）：</w:t>
      </w:r>
    </w:p>
    <w:p>
      <w:pPr>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rPr>
        <w:t>乙方（供方）：</w:t>
      </w:r>
    </w:p>
    <w:p>
      <w:pPr>
        <w:spacing w:line="360" w:lineRule="auto"/>
        <w:ind w:firstLine="720" w:firstLineChars="300"/>
        <w:rPr>
          <w:rFonts w:hint="eastAsia" w:ascii="仿宋" w:hAnsi="仿宋" w:eastAsia="仿宋" w:cs="仿宋"/>
          <w:sz w:val="24"/>
        </w:rPr>
      </w:pPr>
      <w:r>
        <w:rPr>
          <w:rFonts w:hint="eastAsia" w:ascii="仿宋" w:hAnsi="仿宋" w:eastAsia="仿宋" w:cs="仿宋"/>
          <w:sz w:val="24"/>
        </w:rPr>
        <w:t>甲、乙双方基于公平、公正、平等的原则，依据《中华人民共和国民法典》之相关规定，现经甲、乙双方友好协商，就</w:t>
      </w:r>
      <w:r>
        <w:rPr>
          <w:rFonts w:hint="eastAsia" w:ascii="仿宋" w:hAnsi="仿宋" w:eastAsia="仿宋" w:cs="仿宋"/>
          <w:kern w:val="0"/>
          <w:sz w:val="24"/>
          <w:u w:val="single"/>
        </w:rPr>
        <w:t>陕西中医药大学附属医院</w:t>
      </w:r>
      <w:r>
        <w:rPr>
          <w:rFonts w:hint="eastAsia" w:ascii="仿宋" w:hAnsi="仿宋" w:eastAsia="仿宋" w:cs="仿宋"/>
          <w:kern w:val="0"/>
          <w:sz w:val="24"/>
          <w:u w:val="single"/>
          <w:lang w:val="en-US" w:eastAsia="zh-CN"/>
        </w:rPr>
        <w:t xml:space="preserve">集成平台与数据中心建设采购项目    </w:t>
      </w:r>
      <w:r>
        <w:rPr>
          <w:rFonts w:hint="eastAsia" w:ascii="仿宋" w:hAnsi="仿宋" w:eastAsia="仿宋" w:cs="仿宋"/>
          <w:sz w:val="24"/>
        </w:rPr>
        <w:t>达成以下合同条款：</w:t>
      </w:r>
    </w:p>
    <w:p>
      <w:pPr>
        <w:spacing w:line="360" w:lineRule="auto"/>
        <w:rPr>
          <w:rFonts w:hint="eastAsia" w:ascii="仿宋" w:hAnsi="仿宋" w:eastAsia="仿宋" w:cs="仿宋"/>
          <w:b/>
          <w:sz w:val="24"/>
        </w:rPr>
      </w:pPr>
      <w:r>
        <w:rPr>
          <w:rFonts w:hint="eastAsia" w:ascii="仿宋" w:hAnsi="仿宋" w:eastAsia="仿宋" w:cs="仿宋"/>
          <w:b/>
          <w:sz w:val="24"/>
        </w:rPr>
        <w:t>第一条：产品清单</w:t>
      </w:r>
    </w:p>
    <w:p>
      <w:pPr>
        <w:spacing w:line="360" w:lineRule="auto"/>
        <w:rPr>
          <w:rFonts w:hint="eastAsia" w:ascii="仿宋" w:hAnsi="仿宋" w:eastAsia="仿宋" w:cs="仿宋"/>
          <w:sz w:val="24"/>
        </w:rPr>
      </w:pPr>
      <w:r>
        <w:rPr>
          <w:rFonts w:hint="eastAsia" w:ascii="仿宋" w:hAnsi="仿宋" w:eastAsia="仿宋" w:cs="仿宋"/>
          <w:sz w:val="24"/>
        </w:rPr>
        <w:t>乙方按如下清单向甲方提供货物：</w:t>
      </w:r>
    </w:p>
    <w:p>
      <w:pPr>
        <w:spacing w:line="400" w:lineRule="exact"/>
        <w:rPr>
          <w:rFonts w:hint="eastAsia" w:ascii="仿宋" w:hAnsi="仿宋" w:eastAsia="仿宋" w:cs="仿宋"/>
          <w:sz w:val="21"/>
          <w:szCs w:val="21"/>
        </w:rPr>
      </w:pP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 xml:space="preserve">    </w:t>
      </w:r>
      <w:r>
        <w:rPr>
          <w:rFonts w:hint="eastAsia" w:ascii="仿宋" w:hAnsi="仿宋" w:eastAsia="仿宋" w:cs="仿宋"/>
          <w:sz w:val="21"/>
          <w:szCs w:val="21"/>
        </w:rPr>
        <w:t>单位：人民币元</w:t>
      </w:r>
    </w:p>
    <w:tbl>
      <w:tblPr>
        <w:tblStyle w:val="27"/>
        <w:tblW w:w="9363"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670"/>
        <w:gridCol w:w="2269"/>
        <w:gridCol w:w="2835"/>
        <w:gridCol w:w="1134"/>
        <w:gridCol w:w="1276"/>
        <w:gridCol w:w="117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0" w:hRule="atLeast"/>
          <w:jc w:val="center"/>
        </w:trPr>
        <w:tc>
          <w:tcPr>
            <w:tcW w:w="670" w:type="dxa"/>
            <w:noWrap w:val="0"/>
            <w:vAlign w:val="center"/>
          </w:tcPr>
          <w:p>
            <w:pPr>
              <w:spacing w:before="60" w:after="60"/>
              <w:jc w:val="center"/>
              <w:rPr>
                <w:rFonts w:hint="eastAsia" w:ascii="仿宋" w:hAnsi="仿宋" w:eastAsia="仿宋" w:cs="仿宋"/>
                <w:b/>
                <w:bCs/>
                <w:sz w:val="21"/>
                <w:szCs w:val="21"/>
              </w:rPr>
            </w:pPr>
            <w:bookmarkStart w:id="448" w:name="_Hlk29367752"/>
            <w:r>
              <w:rPr>
                <w:rFonts w:hint="eastAsia" w:ascii="仿宋" w:hAnsi="仿宋" w:eastAsia="仿宋" w:cs="仿宋"/>
                <w:b/>
                <w:bCs/>
                <w:sz w:val="21"/>
                <w:szCs w:val="21"/>
              </w:rPr>
              <w:t>序号</w:t>
            </w:r>
          </w:p>
        </w:tc>
        <w:tc>
          <w:tcPr>
            <w:tcW w:w="2269" w:type="dxa"/>
            <w:noWrap w:val="0"/>
            <w:vAlign w:val="center"/>
          </w:tcPr>
          <w:p>
            <w:pPr>
              <w:spacing w:before="81" w:after="81"/>
              <w:jc w:val="center"/>
              <w:rPr>
                <w:rFonts w:hint="eastAsia" w:ascii="仿宋" w:hAnsi="仿宋" w:eastAsia="仿宋" w:cs="仿宋"/>
                <w:b/>
                <w:bCs/>
                <w:sz w:val="21"/>
                <w:szCs w:val="21"/>
              </w:rPr>
            </w:pPr>
            <w:r>
              <w:rPr>
                <w:rFonts w:hint="eastAsia" w:ascii="仿宋" w:hAnsi="仿宋" w:eastAsia="仿宋" w:cs="仿宋"/>
                <w:b/>
                <w:bCs/>
                <w:sz w:val="21"/>
                <w:szCs w:val="21"/>
              </w:rPr>
              <w:t>产品名称</w:t>
            </w:r>
          </w:p>
        </w:tc>
        <w:tc>
          <w:tcPr>
            <w:tcW w:w="2835" w:type="dxa"/>
            <w:noWrap w:val="0"/>
            <w:vAlign w:val="center"/>
          </w:tcPr>
          <w:p>
            <w:pPr>
              <w:spacing w:before="81" w:after="81"/>
              <w:jc w:val="center"/>
              <w:rPr>
                <w:rFonts w:hint="eastAsia" w:ascii="仿宋" w:hAnsi="仿宋" w:eastAsia="仿宋" w:cs="仿宋"/>
                <w:b/>
                <w:bCs/>
                <w:sz w:val="21"/>
                <w:szCs w:val="21"/>
              </w:rPr>
            </w:pPr>
            <w:r>
              <w:rPr>
                <w:rFonts w:hint="eastAsia" w:ascii="仿宋" w:hAnsi="仿宋" w:eastAsia="仿宋" w:cs="仿宋"/>
                <w:b/>
                <w:bCs/>
                <w:sz w:val="21"/>
                <w:szCs w:val="21"/>
              </w:rPr>
              <w:t>品牌型号</w:t>
            </w:r>
          </w:p>
        </w:tc>
        <w:tc>
          <w:tcPr>
            <w:tcW w:w="1134" w:type="dxa"/>
            <w:noWrap w:val="0"/>
            <w:vAlign w:val="center"/>
          </w:tcPr>
          <w:p>
            <w:pPr>
              <w:spacing w:before="81" w:after="81"/>
              <w:jc w:val="center"/>
              <w:rPr>
                <w:rFonts w:hint="eastAsia" w:ascii="仿宋" w:hAnsi="仿宋" w:eastAsia="仿宋" w:cs="仿宋"/>
                <w:b/>
                <w:bCs/>
                <w:sz w:val="21"/>
                <w:szCs w:val="21"/>
              </w:rPr>
            </w:pPr>
            <w:r>
              <w:rPr>
                <w:rFonts w:hint="eastAsia" w:ascii="仿宋" w:hAnsi="仿宋" w:eastAsia="仿宋" w:cs="仿宋"/>
                <w:b/>
                <w:bCs/>
                <w:sz w:val="21"/>
                <w:szCs w:val="21"/>
              </w:rPr>
              <w:t>单价</w:t>
            </w:r>
          </w:p>
        </w:tc>
        <w:tc>
          <w:tcPr>
            <w:tcW w:w="1276" w:type="dxa"/>
            <w:noWrap w:val="0"/>
            <w:vAlign w:val="center"/>
          </w:tcPr>
          <w:p>
            <w:pPr>
              <w:spacing w:before="81" w:after="81"/>
              <w:jc w:val="center"/>
              <w:rPr>
                <w:rFonts w:hint="eastAsia" w:ascii="仿宋" w:hAnsi="仿宋" w:eastAsia="仿宋" w:cs="仿宋"/>
                <w:b/>
                <w:bCs/>
                <w:sz w:val="21"/>
                <w:szCs w:val="21"/>
              </w:rPr>
            </w:pPr>
            <w:r>
              <w:rPr>
                <w:rFonts w:hint="eastAsia" w:ascii="仿宋" w:hAnsi="仿宋" w:eastAsia="仿宋" w:cs="仿宋"/>
                <w:b/>
                <w:bCs/>
                <w:sz w:val="21"/>
                <w:szCs w:val="21"/>
              </w:rPr>
              <w:t>数量/单位</w:t>
            </w:r>
          </w:p>
        </w:tc>
        <w:tc>
          <w:tcPr>
            <w:tcW w:w="1179" w:type="dxa"/>
            <w:noWrap w:val="0"/>
            <w:vAlign w:val="center"/>
          </w:tcPr>
          <w:p>
            <w:pPr>
              <w:spacing w:before="81" w:after="81"/>
              <w:jc w:val="center"/>
              <w:rPr>
                <w:rFonts w:hint="eastAsia" w:ascii="仿宋" w:hAnsi="仿宋" w:eastAsia="仿宋" w:cs="仿宋"/>
                <w:b/>
                <w:bCs/>
                <w:sz w:val="21"/>
                <w:szCs w:val="21"/>
              </w:rPr>
            </w:pPr>
            <w:r>
              <w:rPr>
                <w:rFonts w:hint="eastAsia" w:ascii="仿宋" w:hAnsi="仿宋" w:eastAsia="仿宋" w:cs="仿宋"/>
                <w:b/>
                <w:bCs/>
                <w:sz w:val="21"/>
                <w:szCs w:val="21"/>
              </w:rPr>
              <w:t>总价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1" w:hRule="atLeast"/>
          <w:jc w:val="center"/>
        </w:trPr>
        <w:tc>
          <w:tcPr>
            <w:tcW w:w="670" w:type="dxa"/>
            <w:noWrap w:val="0"/>
            <w:vAlign w:val="center"/>
          </w:tcPr>
          <w:p>
            <w:pPr>
              <w:pStyle w:val="42"/>
              <w:numPr>
                <w:ilvl w:val="0"/>
                <w:numId w:val="19"/>
              </w:numPr>
              <w:spacing w:before="78" w:after="78"/>
              <w:ind w:firstLineChars="0"/>
              <w:rPr>
                <w:rFonts w:hint="eastAsia" w:ascii="仿宋" w:hAnsi="仿宋" w:eastAsia="仿宋" w:cs="仿宋"/>
                <w:sz w:val="21"/>
                <w:szCs w:val="21"/>
                <w:lang w:val="en-US" w:eastAsia="zh-CN"/>
              </w:rPr>
            </w:pPr>
          </w:p>
        </w:tc>
        <w:tc>
          <w:tcPr>
            <w:tcW w:w="2269" w:type="dxa"/>
            <w:noWrap w:val="0"/>
            <w:vAlign w:val="center"/>
          </w:tcPr>
          <w:p>
            <w:pPr>
              <w:spacing w:before="81" w:after="81"/>
              <w:rPr>
                <w:rFonts w:hint="eastAsia" w:ascii="仿宋" w:hAnsi="仿宋" w:eastAsia="仿宋" w:cs="仿宋"/>
                <w:color w:val="000000"/>
                <w:sz w:val="21"/>
                <w:szCs w:val="21"/>
              </w:rPr>
            </w:pPr>
          </w:p>
        </w:tc>
        <w:tc>
          <w:tcPr>
            <w:tcW w:w="2835" w:type="dxa"/>
            <w:noWrap w:val="0"/>
            <w:vAlign w:val="center"/>
          </w:tcPr>
          <w:p>
            <w:pPr>
              <w:spacing w:before="81" w:after="81"/>
              <w:jc w:val="center"/>
              <w:rPr>
                <w:rFonts w:hint="eastAsia" w:ascii="仿宋" w:hAnsi="仿宋" w:eastAsia="仿宋" w:cs="仿宋"/>
                <w:color w:val="000000"/>
                <w:sz w:val="21"/>
                <w:szCs w:val="21"/>
              </w:rPr>
            </w:pPr>
          </w:p>
        </w:tc>
        <w:tc>
          <w:tcPr>
            <w:tcW w:w="1134" w:type="dxa"/>
            <w:noWrap w:val="0"/>
            <w:vAlign w:val="center"/>
          </w:tcPr>
          <w:p>
            <w:pPr>
              <w:spacing w:before="81" w:after="81"/>
              <w:jc w:val="center"/>
              <w:rPr>
                <w:rFonts w:hint="eastAsia" w:ascii="仿宋" w:hAnsi="仿宋" w:eastAsia="仿宋" w:cs="仿宋"/>
                <w:color w:val="000000"/>
                <w:sz w:val="21"/>
                <w:szCs w:val="21"/>
              </w:rPr>
            </w:pPr>
          </w:p>
        </w:tc>
        <w:tc>
          <w:tcPr>
            <w:tcW w:w="1276" w:type="dxa"/>
            <w:noWrap w:val="0"/>
            <w:vAlign w:val="center"/>
          </w:tcPr>
          <w:p>
            <w:pPr>
              <w:spacing w:before="81" w:after="81"/>
              <w:jc w:val="center"/>
              <w:rPr>
                <w:rFonts w:hint="eastAsia" w:ascii="仿宋" w:hAnsi="仿宋" w:eastAsia="仿宋" w:cs="仿宋"/>
                <w:color w:val="000000"/>
                <w:sz w:val="21"/>
                <w:szCs w:val="21"/>
              </w:rPr>
            </w:pPr>
          </w:p>
        </w:tc>
        <w:tc>
          <w:tcPr>
            <w:tcW w:w="1179" w:type="dxa"/>
            <w:noWrap w:val="0"/>
            <w:vAlign w:val="center"/>
          </w:tcPr>
          <w:p>
            <w:pPr>
              <w:spacing w:before="81" w:after="81"/>
              <w:jc w:val="center"/>
              <w:rPr>
                <w:rFonts w:hint="eastAsia" w:ascii="仿宋" w:hAnsi="仿宋" w:eastAsia="仿宋" w:cs="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6" w:hRule="atLeast"/>
          <w:jc w:val="center"/>
        </w:trPr>
        <w:tc>
          <w:tcPr>
            <w:tcW w:w="670" w:type="dxa"/>
            <w:noWrap w:val="0"/>
            <w:vAlign w:val="center"/>
          </w:tcPr>
          <w:p>
            <w:pPr>
              <w:pStyle w:val="42"/>
              <w:numPr>
                <w:ilvl w:val="0"/>
                <w:numId w:val="19"/>
              </w:numPr>
              <w:spacing w:before="78" w:after="78"/>
              <w:ind w:firstLineChars="0"/>
              <w:rPr>
                <w:rFonts w:hint="eastAsia" w:ascii="仿宋" w:hAnsi="仿宋" w:eastAsia="仿宋" w:cs="仿宋"/>
                <w:sz w:val="21"/>
                <w:szCs w:val="21"/>
                <w:lang w:val="en-US" w:eastAsia="zh-CN"/>
              </w:rPr>
            </w:pPr>
          </w:p>
        </w:tc>
        <w:tc>
          <w:tcPr>
            <w:tcW w:w="2269" w:type="dxa"/>
            <w:noWrap w:val="0"/>
            <w:vAlign w:val="center"/>
          </w:tcPr>
          <w:p>
            <w:pPr>
              <w:spacing w:before="81" w:after="81"/>
              <w:rPr>
                <w:rFonts w:hint="eastAsia" w:ascii="仿宋" w:hAnsi="仿宋" w:eastAsia="仿宋" w:cs="仿宋"/>
                <w:color w:val="000000"/>
                <w:sz w:val="21"/>
                <w:szCs w:val="21"/>
              </w:rPr>
            </w:pPr>
          </w:p>
        </w:tc>
        <w:tc>
          <w:tcPr>
            <w:tcW w:w="2835" w:type="dxa"/>
            <w:noWrap w:val="0"/>
            <w:vAlign w:val="center"/>
          </w:tcPr>
          <w:p>
            <w:pPr>
              <w:spacing w:before="81" w:after="81"/>
              <w:jc w:val="center"/>
              <w:rPr>
                <w:rFonts w:hint="eastAsia" w:ascii="仿宋" w:hAnsi="仿宋" w:eastAsia="仿宋" w:cs="仿宋"/>
                <w:color w:val="000000"/>
                <w:sz w:val="21"/>
                <w:szCs w:val="21"/>
              </w:rPr>
            </w:pPr>
          </w:p>
        </w:tc>
        <w:tc>
          <w:tcPr>
            <w:tcW w:w="1134" w:type="dxa"/>
            <w:noWrap w:val="0"/>
            <w:vAlign w:val="center"/>
          </w:tcPr>
          <w:p>
            <w:pPr>
              <w:spacing w:before="81" w:after="81"/>
              <w:jc w:val="center"/>
              <w:rPr>
                <w:rFonts w:hint="eastAsia" w:ascii="仿宋" w:hAnsi="仿宋" w:eastAsia="仿宋" w:cs="仿宋"/>
                <w:color w:val="000000"/>
                <w:sz w:val="21"/>
                <w:szCs w:val="21"/>
              </w:rPr>
            </w:pPr>
          </w:p>
        </w:tc>
        <w:tc>
          <w:tcPr>
            <w:tcW w:w="1276" w:type="dxa"/>
            <w:noWrap w:val="0"/>
            <w:vAlign w:val="center"/>
          </w:tcPr>
          <w:p>
            <w:pPr>
              <w:spacing w:before="81" w:after="81"/>
              <w:jc w:val="center"/>
              <w:rPr>
                <w:rFonts w:hint="eastAsia" w:ascii="仿宋" w:hAnsi="仿宋" w:eastAsia="仿宋" w:cs="仿宋"/>
                <w:color w:val="000000"/>
                <w:sz w:val="21"/>
                <w:szCs w:val="21"/>
              </w:rPr>
            </w:pPr>
          </w:p>
        </w:tc>
        <w:tc>
          <w:tcPr>
            <w:tcW w:w="1179" w:type="dxa"/>
            <w:noWrap w:val="0"/>
            <w:vAlign w:val="center"/>
          </w:tcPr>
          <w:p>
            <w:pPr>
              <w:spacing w:before="81" w:after="81"/>
              <w:jc w:val="center"/>
              <w:rPr>
                <w:rFonts w:hint="eastAsia" w:ascii="仿宋" w:hAnsi="仿宋" w:eastAsia="仿宋" w:cs="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6" w:hRule="atLeast"/>
          <w:jc w:val="center"/>
        </w:trPr>
        <w:tc>
          <w:tcPr>
            <w:tcW w:w="670" w:type="dxa"/>
            <w:noWrap w:val="0"/>
            <w:vAlign w:val="center"/>
          </w:tcPr>
          <w:p>
            <w:pPr>
              <w:pStyle w:val="42"/>
              <w:numPr>
                <w:ilvl w:val="0"/>
                <w:numId w:val="19"/>
              </w:numPr>
              <w:spacing w:before="78" w:after="78"/>
              <w:ind w:firstLineChars="0"/>
              <w:rPr>
                <w:rFonts w:hint="eastAsia" w:ascii="仿宋" w:hAnsi="仿宋" w:eastAsia="仿宋" w:cs="仿宋"/>
                <w:sz w:val="21"/>
                <w:szCs w:val="21"/>
                <w:lang w:val="en-US" w:eastAsia="zh-CN"/>
              </w:rPr>
            </w:pPr>
          </w:p>
        </w:tc>
        <w:tc>
          <w:tcPr>
            <w:tcW w:w="2269" w:type="dxa"/>
            <w:noWrap w:val="0"/>
            <w:vAlign w:val="center"/>
          </w:tcPr>
          <w:p>
            <w:pPr>
              <w:spacing w:before="81" w:after="81"/>
              <w:rPr>
                <w:rFonts w:hint="eastAsia" w:ascii="仿宋" w:hAnsi="仿宋" w:eastAsia="仿宋" w:cs="仿宋"/>
                <w:color w:val="000000"/>
                <w:sz w:val="21"/>
                <w:szCs w:val="21"/>
              </w:rPr>
            </w:pPr>
          </w:p>
        </w:tc>
        <w:tc>
          <w:tcPr>
            <w:tcW w:w="2835" w:type="dxa"/>
            <w:noWrap w:val="0"/>
            <w:vAlign w:val="center"/>
          </w:tcPr>
          <w:p>
            <w:pPr>
              <w:spacing w:before="81" w:after="81"/>
              <w:jc w:val="center"/>
              <w:rPr>
                <w:rFonts w:hint="eastAsia" w:ascii="仿宋" w:hAnsi="仿宋" w:eastAsia="仿宋" w:cs="仿宋"/>
                <w:color w:val="000000"/>
                <w:sz w:val="21"/>
                <w:szCs w:val="21"/>
              </w:rPr>
            </w:pPr>
          </w:p>
        </w:tc>
        <w:tc>
          <w:tcPr>
            <w:tcW w:w="1134" w:type="dxa"/>
            <w:noWrap w:val="0"/>
            <w:vAlign w:val="center"/>
          </w:tcPr>
          <w:p>
            <w:pPr>
              <w:spacing w:before="81" w:after="81"/>
              <w:jc w:val="center"/>
              <w:rPr>
                <w:rFonts w:hint="eastAsia" w:ascii="仿宋" w:hAnsi="仿宋" w:eastAsia="仿宋" w:cs="仿宋"/>
                <w:color w:val="000000"/>
                <w:sz w:val="21"/>
                <w:szCs w:val="21"/>
              </w:rPr>
            </w:pPr>
          </w:p>
        </w:tc>
        <w:tc>
          <w:tcPr>
            <w:tcW w:w="1276" w:type="dxa"/>
            <w:noWrap w:val="0"/>
            <w:vAlign w:val="center"/>
          </w:tcPr>
          <w:p>
            <w:pPr>
              <w:spacing w:before="81" w:after="81"/>
              <w:jc w:val="center"/>
              <w:rPr>
                <w:rFonts w:hint="eastAsia" w:ascii="仿宋" w:hAnsi="仿宋" w:eastAsia="仿宋" w:cs="仿宋"/>
                <w:color w:val="000000"/>
                <w:sz w:val="21"/>
                <w:szCs w:val="21"/>
              </w:rPr>
            </w:pPr>
          </w:p>
        </w:tc>
        <w:tc>
          <w:tcPr>
            <w:tcW w:w="1179" w:type="dxa"/>
            <w:noWrap w:val="0"/>
            <w:vAlign w:val="center"/>
          </w:tcPr>
          <w:p>
            <w:pPr>
              <w:spacing w:before="81" w:after="81"/>
              <w:jc w:val="center"/>
              <w:rPr>
                <w:rFonts w:hint="eastAsia" w:ascii="仿宋" w:hAnsi="仿宋" w:eastAsia="仿宋" w:cs="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6" w:hRule="atLeast"/>
          <w:jc w:val="center"/>
        </w:trPr>
        <w:tc>
          <w:tcPr>
            <w:tcW w:w="670" w:type="dxa"/>
            <w:noWrap w:val="0"/>
            <w:vAlign w:val="center"/>
          </w:tcPr>
          <w:p>
            <w:pPr>
              <w:pStyle w:val="42"/>
              <w:numPr>
                <w:ilvl w:val="0"/>
                <w:numId w:val="19"/>
              </w:numPr>
              <w:spacing w:before="78" w:after="78"/>
              <w:ind w:firstLineChars="0"/>
              <w:rPr>
                <w:rFonts w:hint="eastAsia" w:ascii="仿宋" w:hAnsi="仿宋" w:eastAsia="仿宋" w:cs="仿宋"/>
                <w:sz w:val="21"/>
                <w:szCs w:val="21"/>
                <w:lang w:val="en-US" w:eastAsia="zh-CN"/>
              </w:rPr>
            </w:pPr>
          </w:p>
        </w:tc>
        <w:tc>
          <w:tcPr>
            <w:tcW w:w="2269" w:type="dxa"/>
            <w:noWrap w:val="0"/>
            <w:vAlign w:val="center"/>
          </w:tcPr>
          <w:p>
            <w:pPr>
              <w:spacing w:before="81" w:after="81"/>
              <w:rPr>
                <w:rFonts w:hint="eastAsia" w:ascii="仿宋" w:hAnsi="仿宋" w:eastAsia="仿宋" w:cs="仿宋"/>
                <w:color w:val="000000"/>
                <w:sz w:val="21"/>
                <w:szCs w:val="21"/>
              </w:rPr>
            </w:pPr>
          </w:p>
        </w:tc>
        <w:tc>
          <w:tcPr>
            <w:tcW w:w="2835" w:type="dxa"/>
            <w:noWrap w:val="0"/>
            <w:vAlign w:val="center"/>
          </w:tcPr>
          <w:p>
            <w:pPr>
              <w:spacing w:before="81" w:after="81"/>
              <w:jc w:val="center"/>
              <w:rPr>
                <w:rFonts w:hint="eastAsia" w:ascii="仿宋" w:hAnsi="仿宋" w:eastAsia="仿宋" w:cs="仿宋"/>
                <w:color w:val="000000"/>
                <w:sz w:val="21"/>
                <w:szCs w:val="21"/>
              </w:rPr>
            </w:pPr>
          </w:p>
        </w:tc>
        <w:tc>
          <w:tcPr>
            <w:tcW w:w="1134" w:type="dxa"/>
            <w:noWrap w:val="0"/>
            <w:vAlign w:val="center"/>
          </w:tcPr>
          <w:p>
            <w:pPr>
              <w:spacing w:before="81" w:after="81"/>
              <w:jc w:val="center"/>
              <w:rPr>
                <w:rFonts w:hint="eastAsia" w:ascii="仿宋" w:hAnsi="仿宋" w:eastAsia="仿宋" w:cs="仿宋"/>
                <w:color w:val="000000"/>
                <w:sz w:val="21"/>
                <w:szCs w:val="21"/>
              </w:rPr>
            </w:pPr>
          </w:p>
        </w:tc>
        <w:tc>
          <w:tcPr>
            <w:tcW w:w="1276" w:type="dxa"/>
            <w:noWrap w:val="0"/>
            <w:vAlign w:val="center"/>
          </w:tcPr>
          <w:p>
            <w:pPr>
              <w:spacing w:before="81" w:after="81"/>
              <w:jc w:val="center"/>
              <w:rPr>
                <w:rFonts w:hint="eastAsia" w:ascii="仿宋" w:hAnsi="仿宋" w:eastAsia="仿宋" w:cs="仿宋"/>
                <w:color w:val="000000"/>
                <w:sz w:val="21"/>
                <w:szCs w:val="21"/>
              </w:rPr>
            </w:pPr>
          </w:p>
        </w:tc>
        <w:tc>
          <w:tcPr>
            <w:tcW w:w="1179" w:type="dxa"/>
            <w:noWrap w:val="0"/>
            <w:vAlign w:val="center"/>
          </w:tcPr>
          <w:p>
            <w:pPr>
              <w:spacing w:before="81" w:after="81"/>
              <w:jc w:val="center"/>
              <w:rPr>
                <w:rFonts w:hint="eastAsia" w:ascii="仿宋" w:hAnsi="仿宋" w:eastAsia="仿宋" w:cs="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6" w:hRule="atLeast"/>
          <w:jc w:val="center"/>
        </w:trPr>
        <w:tc>
          <w:tcPr>
            <w:tcW w:w="670" w:type="dxa"/>
            <w:noWrap w:val="0"/>
            <w:vAlign w:val="center"/>
          </w:tcPr>
          <w:p>
            <w:pPr>
              <w:pStyle w:val="42"/>
              <w:numPr>
                <w:ilvl w:val="0"/>
                <w:numId w:val="19"/>
              </w:numPr>
              <w:spacing w:before="78" w:after="78"/>
              <w:ind w:firstLineChars="0"/>
              <w:rPr>
                <w:rFonts w:hint="eastAsia" w:ascii="仿宋" w:hAnsi="仿宋" w:eastAsia="仿宋" w:cs="仿宋"/>
                <w:sz w:val="21"/>
                <w:szCs w:val="21"/>
                <w:lang w:val="en-US" w:eastAsia="zh-CN"/>
              </w:rPr>
            </w:pPr>
          </w:p>
        </w:tc>
        <w:tc>
          <w:tcPr>
            <w:tcW w:w="2269" w:type="dxa"/>
            <w:noWrap w:val="0"/>
            <w:vAlign w:val="center"/>
          </w:tcPr>
          <w:p>
            <w:pPr>
              <w:spacing w:before="81" w:after="81"/>
              <w:rPr>
                <w:rFonts w:hint="eastAsia" w:ascii="仿宋" w:hAnsi="仿宋" w:eastAsia="仿宋" w:cs="仿宋"/>
                <w:color w:val="000000"/>
                <w:sz w:val="21"/>
                <w:szCs w:val="21"/>
              </w:rPr>
            </w:pPr>
          </w:p>
        </w:tc>
        <w:tc>
          <w:tcPr>
            <w:tcW w:w="2835" w:type="dxa"/>
            <w:noWrap w:val="0"/>
            <w:vAlign w:val="center"/>
          </w:tcPr>
          <w:p>
            <w:pPr>
              <w:spacing w:before="81" w:after="81" w:line="240" w:lineRule="atLeast"/>
              <w:jc w:val="center"/>
              <w:rPr>
                <w:rFonts w:hint="eastAsia" w:ascii="仿宋" w:hAnsi="仿宋" w:eastAsia="仿宋" w:cs="仿宋"/>
                <w:color w:val="000000"/>
                <w:sz w:val="21"/>
                <w:szCs w:val="21"/>
              </w:rPr>
            </w:pPr>
          </w:p>
        </w:tc>
        <w:tc>
          <w:tcPr>
            <w:tcW w:w="1134" w:type="dxa"/>
            <w:noWrap w:val="0"/>
            <w:vAlign w:val="center"/>
          </w:tcPr>
          <w:p>
            <w:pPr>
              <w:spacing w:before="81" w:after="81"/>
              <w:jc w:val="center"/>
              <w:rPr>
                <w:rFonts w:hint="eastAsia" w:ascii="仿宋" w:hAnsi="仿宋" w:eastAsia="仿宋" w:cs="仿宋"/>
                <w:color w:val="000000"/>
                <w:sz w:val="21"/>
                <w:szCs w:val="21"/>
              </w:rPr>
            </w:pPr>
          </w:p>
        </w:tc>
        <w:tc>
          <w:tcPr>
            <w:tcW w:w="1276" w:type="dxa"/>
            <w:noWrap w:val="0"/>
            <w:vAlign w:val="center"/>
          </w:tcPr>
          <w:p>
            <w:pPr>
              <w:spacing w:before="81" w:after="81"/>
              <w:jc w:val="center"/>
              <w:rPr>
                <w:rFonts w:hint="eastAsia" w:ascii="仿宋" w:hAnsi="仿宋" w:eastAsia="仿宋" w:cs="仿宋"/>
                <w:color w:val="000000"/>
                <w:sz w:val="21"/>
                <w:szCs w:val="21"/>
              </w:rPr>
            </w:pPr>
          </w:p>
        </w:tc>
        <w:tc>
          <w:tcPr>
            <w:tcW w:w="1179" w:type="dxa"/>
            <w:noWrap w:val="0"/>
            <w:vAlign w:val="center"/>
          </w:tcPr>
          <w:p>
            <w:pPr>
              <w:spacing w:before="81" w:after="81"/>
              <w:jc w:val="center"/>
              <w:rPr>
                <w:rFonts w:hint="eastAsia" w:ascii="仿宋" w:hAnsi="仿宋" w:eastAsia="仿宋" w:cs="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6" w:hRule="atLeast"/>
          <w:jc w:val="center"/>
        </w:trPr>
        <w:tc>
          <w:tcPr>
            <w:tcW w:w="670" w:type="dxa"/>
            <w:noWrap w:val="0"/>
            <w:vAlign w:val="center"/>
          </w:tcPr>
          <w:p>
            <w:pPr>
              <w:pStyle w:val="42"/>
              <w:numPr>
                <w:ilvl w:val="0"/>
                <w:numId w:val="19"/>
              </w:numPr>
              <w:spacing w:before="78" w:after="78"/>
              <w:ind w:firstLineChars="0"/>
              <w:rPr>
                <w:rFonts w:hint="eastAsia" w:ascii="仿宋" w:hAnsi="仿宋" w:eastAsia="仿宋" w:cs="仿宋"/>
                <w:sz w:val="21"/>
                <w:szCs w:val="21"/>
                <w:lang w:val="en-US" w:eastAsia="zh-CN"/>
              </w:rPr>
            </w:pPr>
          </w:p>
        </w:tc>
        <w:tc>
          <w:tcPr>
            <w:tcW w:w="2269" w:type="dxa"/>
            <w:noWrap w:val="0"/>
            <w:vAlign w:val="center"/>
          </w:tcPr>
          <w:p>
            <w:pPr>
              <w:spacing w:before="81" w:after="81"/>
              <w:rPr>
                <w:rFonts w:hint="eastAsia" w:ascii="仿宋" w:hAnsi="仿宋" w:eastAsia="仿宋" w:cs="仿宋"/>
                <w:color w:val="000000"/>
                <w:sz w:val="21"/>
                <w:szCs w:val="21"/>
              </w:rPr>
            </w:pPr>
          </w:p>
        </w:tc>
        <w:tc>
          <w:tcPr>
            <w:tcW w:w="2835" w:type="dxa"/>
            <w:noWrap w:val="0"/>
            <w:vAlign w:val="center"/>
          </w:tcPr>
          <w:p>
            <w:pPr>
              <w:spacing w:before="81" w:after="81"/>
              <w:jc w:val="center"/>
              <w:rPr>
                <w:rFonts w:hint="eastAsia" w:ascii="仿宋" w:hAnsi="仿宋" w:eastAsia="仿宋" w:cs="仿宋"/>
                <w:color w:val="000000"/>
                <w:sz w:val="21"/>
                <w:szCs w:val="21"/>
              </w:rPr>
            </w:pPr>
          </w:p>
        </w:tc>
        <w:tc>
          <w:tcPr>
            <w:tcW w:w="1134" w:type="dxa"/>
            <w:noWrap w:val="0"/>
            <w:vAlign w:val="center"/>
          </w:tcPr>
          <w:p>
            <w:pPr>
              <w:spacing w:before="81" w:after="81"/>
              <w:jc w:val="center"/>
              <w:rPr>
                <w:rFonts w:hint="eastAsia" w:ascii="仿宋" w:hAnsi="仿宋" w:eastAsia="仿宋" w:cs="仿宋"/>
                <w:color w:val="000000"/>
                <w:sz w:val="21"/>
                <w:szCs w:val="21"/>
              </w:rPr>
            </w:pPr>
          </w:p>
        </w:tc>
        <w:tc>
          <w:tcPr>
            <w:tcW w:w="1276" w:type="dxa"/>
            <w:noWrap w:val="0"/>
            <w:vAlign w:val="center"/>
          </w:tcPr>
          <w:p>
            <w:pPr>
              <w:spacing w:before="81" w:after="81"/>
              <w:jc w:val="center"/>
              <w:rPr>
                <w:rFonts w:hint="eastAsia" w:ascii="仿宋" w:hAnsi="仿宋" w:eastAsia="仿宋" w:cs="仿宋"/>
                <w:color w:val="000000"/>
                <w:sz w:val="21"/>
                <w:szCs w:val="21"/>
              </w:rPr>
            </w:pPr>
          </w:p>
        </w:tc>
        <w:tc>
          <w:tcPr>
            <w:tcW w:w="1179" w:type="dxa"/>
            <w:noWrap w:val="0"/>
            <w:vAlign w:val="center"/>
          </w:tcPr>
          <w:p>
            <w:pPr>
              <w:spacing w:before="81" w:after="81"/>
              <w:jc w:val="center"/>
              <w:rPr>
                <w:rFonts w:hint="eastAsia" w:ascii="仿宋" w:hAnsi="仿宋" w:eastAsia="仿宋" w:cs="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6" w:hRule="atLeast"/>
          <w:jc w:val="center"/>
        </w:trPr>
        <w:tc>
          <w:tcPr>
            <w:tcW w:w="670" w:type="dxa"/>
            <w:noWrap w:val="0"/>
            <w:vAlign w:val="center"/>
          </w:tcPr>
          <w:p>
            <w:pPr>
              <w:pStyle w:val="42"/>
              <w:numPr>
                <w:ilvl w:val="0"/>
                <w:numId w:val="19"/>
              </w:numPr>
              <w:spacing w:before="78" w:after="78"/>
              <w:ind w:firstLineChars="0"/>
              <w:rPr>
                <w:rFonts w:hint="eastAsia" w:ascii="仿宋" w:hAnsi="仿宋" w:eastAsia="仿宋" w:cs="仿宋"/>
                <w:sz w:val="21"/>
                <w:szCs w:val="21"/>
                <w:lang w:val="en-US" w:eastAsia="zh-CN"/>
              </w:rPr>
            </w:pPr>
          </w:p>
        </w:tc>
        <w:tc>
          <w:tcPr>
            <w:tcW w:w="2269" w:type="dxa"/>
            <w:noWrap w:val="0"/>
            <w:vAlign w:val="center"/>
          </w:tcPr>
          <w:p>
            <w:pPr>
              <w:spacing w:before="81" w:after="81"/>
              <w:rPr>
                <w:rFonts w:hint="eastAsia" w:ascii="仿宋" w:hAnsi="仿宋" w:eastAsia="仿宋" w:cs="仿宋"/>
                <w:color w:val="000000"/>
                <w:sz w:val="21"/>
                <w:szCs w:val="21"/>
              </w:rPr>
            </w:pPr>
          </w:p>
        </w:tc>
        <w:tc>
          <w:tcPr>
            <w:tcW w:w="2835" w:type="dxa"/>
            <w:noWrap w:val="0"/>
            <w:vAlign w:val="center"/>
          </w:tcPr>
          <w:p>
            <w:pPr>
              <w:spacing w:before="81" w:after="81"/>
              <w:jc w:val="center"/>
              <w:rPr>
                <w:rFonts w:hint="eastAsia" w:ascii="仿宋" w:hAnsi="仿宋" w:eastAsia="仿宋" w:cs="仿宋"/>
                <w:color w:val="000000"/>
                <w:sz w:val="21"/>
                <w:szCs w:val="21"/>
              </w:rPr>
            </w:pPr>
          </w:p>
        </w:tc>
        <w:tc>
          <w:tcPr>
            <w:tcW w:w="1134" w:type="dxa"/>
            <w:noWrap w:val="0"/>
            <w:vAlign w:val="center"/>
          </w:tcPr>
          <w:p>
            <w:pPr>
              <w:spacing w:before="81" w:after="81"/>
              <w:jc w:val="center"/>
              <w:rPr>
                <w:rFonts w:hint="eastAsia" w:ascii="仿宋" w:hAnsi="仿宋" w:eastAsia="仿宋" w:cs="仿宋"/>
                <w:color w:val="000000"/>
                <w:sz w:val="21"/>
                <w:szCs w:val="21"/>
              </w:rPr>
            </w:pPr>
          </w:p>
        </w:tc>
        <w:tc>
          <w:tcPr>
            <w:tcW w:w="1276" w:type="dxa"/>
            <w:noWrap w:val="0"/>
            <w:vAlign w:val="center"/>
          </w:tcPr>
          <w:p>
            <w:pPr>
              <w:spacing w:before="81" w:after="81"/>
              <w:jc w:val="center"/>
              <w:rPr>
                <w:rFonts w:hint="eastAsia" w:ascii="仿宋" w:hAnsi="仿宋" w:eastAsia="仿宋" w:cs="仿宋"/>
                <w:color w:val="000000"/>
                <w:sz w:val="21"/>
                <w:szCs w:val="21"/>
              </w:rPr>
            </w:pPr>
          </w:p>
        </w:tc>
        <w:tc>
          <w:tcPr>
            <w:tcW w:w="1179" w:type="dxa"/>
            <w:noWrap w:val="0"/>
            <w:vAlign w:val="center"/>
          </w:tcPr>
          <w:p>
            <w:pPr>
              <w:spacing w:before="81" w:after="81"/>
              <w:jc w:val="center"/>
              <w:rPr>
                <w:rFonts w:hint="eastAsia" w:ascii="仿宋" w:hAnsi="仿宋" w:eastAsia="仿宋" w:cs="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670" w:type="dxa"/>
            <w:noWrap w:val="0"/>
            <w:vAlign w:val="center"/>
          </w:tcPr>
          <w:p>
            <w:pPr>
              <w:pStyle w:val="42"/>
              <w:numPr>
                <w:ilvl w:val="0"/>
                <w:numId w:val="19"/>
              </w:numPr>
              <w:spacing w:before="78" w:after="78"/>
              <w:ind w:firstLineChars="0"/>
              <w:rPr>
                <w:rFonts w:hint="eastAsia" w:ascii="仿宋" w:hAnsi="仿宋" w:eastAsia="仿宋" w:cs="仿宋"/>
                <w:sz w:val="21"/>
                <w:szCs w:val="21"/>
                <w:lang w:val="en-US" w:eastAsia="zh-CN"/>
              </w:rPr>
            </w:pPr>
          </w:p>
        </w:tc>
        <w:tc>
          <w:tcPr>
            <w:tcW w:w="2269" w:type="dxa"/>
            <w:noWrap w:val="0"/>
            <w:vAlign w:val="center"/>
          </w:tcPr>
          <w:p>
            <w:pPr>
              <w:spacing w:before="81" w:after="81"/>
              <w:jc w:val="left"/>
              <w:rPr>
                <w:rFonts w:hint="eastAsia" w:ascii="仿宋" w:hAnsi="仿宋" w:eastAsia="仿宋" w:cs="仿宋"/>
                <w:color w:val="000000"/>
                <w:sz w:val="21"/>
                <w:szCs w:val="21"/>
              </w:rPr>
            </w:pPr>
          </w:p>
        </w:tc>
        <w:tc>
          <w:tcPr>
            <w:tcW w:w="2835" w:type="dxa"/>
            <w:noWrap w:val="0"/>
            <w:vAlign w:val="center"/>
          </w:tcPr>
          <w:p>
            <w:pPr>
              <w:spacing w:before="81" w:after="81"/>
              <w:jc w:val="left"/>
              <w:rPr>
                <w:rFonts w:hint="eastAsia" w:ascii="仿宋" w:hAnsi="仿宋" w:eastAsia="仿宋" w:cs="仿宋"/>
                <w:color w:val="000000"/>
                <w:sz w:val="21"/>
                <w:szCs w:val="21"/>
              </w:rPr>
            </w:pPr>
          </w:p>
        </w:tc>
        <w:tc>
          <w:tcPr>
            <w:tcW w:w="1134" w:type="dxa"/>
            <w:noWrap w:val="0"/>
            <w:vAlign w:val="center"/>
          </w:tcPr>
          <w:p>
            <w:pPr>
              <w:spacing w:before="81" w:after="81"/>
              <w:jc w:val="center"/>
              <w:rPr>
                <w:rFonts w:hint="eastAsia" w:ascii="仿宋" w:hAnsi="仿宋" w:eastAsia="仿宋" w:cs="仿宋"/>
                <w:color w:val="000000"/>
                <w:sz w:val="21"/>
                <w:szCs w:val="21"/>
              </w:rPr>
            </w:pPr>
          </w:p>
        </w:tc>
        <w:tc>
          <w:tcPr>
            <w:tcW w:w="1276" w:type="dxa"/>
            <w:noWrap w:val="0"/>
            <w:vAlign w:val="center"/>
          </w:tcPr>
          <w:p>
            <w:pPr>
              <w:spacing w:before="81" w:after="81"/>
              <w:jc w:val="center"/>
              <w:rPr>
                <w:rFonts w:hint="eastAsia" w:ascii="仿宋" w:hAnsi="仿宋" w:eastAsia="仿宋" w:cs="仿宋"/>
                <w:color w:val="000000"/>
                <w:sz w:val="21"/>
                <w:szCs w:val="21"/>
              </w:rPr>
            </w:pPr>
          </w:p>
        </w:tc>
        <w:tc>
          <w:tcPr>
            <w:tcW w:w="1179" w:type="dxa"/>
            <w:noWrap w:val="0"/>
            <w:vAlign w:val="center"/>
          </w:tcPr>
          <w:p>
            <w:pPr>
              <w:spacing w:before="81" w:after="81"/>
              <w:jc w:val="center"/>
              <w:rPr>
                <w:rFonts w:hint="eastAsia" w:ascii="仿宋" w:hAnsi="仿宋" w:eastAsia="仿宋" w:cs="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6" w:hRule="atLeast"/>
          <w:jc w:val="center"/>
        </w:trPr>
        <w:tc>
          <w:tcPr>
            <w:tcW w:w="670" w:type="dxa"/>
            <w:noWrap w:val="0"/>
            <w:vAlign w:val="center"/>
          </w:tcPr>
          <w:p>
            <w:pPr>
              <w:pStyle w:val="42"/>
              <w:numPr>
                <w:ilvl w:val="0"/>
                <w:numId w:val="19"/>
              </w:numPr>
              <w:spacing w:before="78" w:after="78"/>
              <w:ind w:firstLineChars="0"/>
              <w:rPr>
                <w:rFonts w:hint="eastAsia" w:ascii="仿宋" w:hAnsi="仿宋" w:eastAsia="仿宋" w:cs="仿宋"/>
                <w:sz w:val="21"/>
                <w:szCs w:val="21"/>
                <w:lang w:val="en-US" w:eastAsia="zh-CN"/>
              </w:rPr>
            </w:pPr>
          </w:p>
        </w:tc>
        <w:tc>
          <w:tcPr>
            <w:tcW w:w="2269" w:type="dxa"/>
            <w:noWrap w:val="0"/>
            <w:vAlign w:val="center"/>
          </w:tcPr>
          <w:p>
            <w:pPr>
              <w:spacing w:before="81" w:after="81"/>
              <w:rPr>
                <w:rFonts w:hint="eastAsia" w:ascii="仿宋" w:hAnsi="仿宋" w:eastAsia="仿宋" w:cs="仿宋"/>
                <w:color w:val="000000"/>
                <w:sz w:val="21"/>
                <w:szCs w:val="21"/>
              </w:rPr>
            </w:pPr>
          </w:p>
        </w:tc>
        <w:tc>
          <w:tcPr>
            <w:tcW w:w="2835" w:type="dxa"/>
            <w:noWrap w:val="0"/>
            <w:vAlign w:val="center"/>
          </w:tcPr>
          <w:p>
            <w:pPr>
              <w:spacing w:before="81" w:after="81"/>
              <w:jc w:val="left"/>
              <w:rPr>
                <w:rFonts w:hint="eastAsia" w:ascii="仿宋" w:hAnsi="仿宋" w:eastAsia="仿宋" w:cs="仿宋"/>
                <w:color w:val="000000"/>
                <w:sz w:val="21"/>
                <w:szCs w:val="21"/>
              </w:rPr>
            </w:pPr>
          </w:p>
        </w:tc>
        <w:tc>
          <w:tcPr>
            <w:tcW w:w="1134" w:type="dxa"/>
            <w:noWrap w:val="0"/>
            <w:vAlign w:val="center"/>
          </w:tcPr>
          <w:p>
            <w:pPr>
              <w:spacing w:before="81" w:after="81"/>
              <w:jc w:val="center"/>
              <w:rPr>
                <w:rFonts w:hint="eastAsia" w:ascii="仿宋" w:hAnsi="仿宋" w:eastAsia="仿宋" w:cs="仿宋"/>
                <w:color w:val="000000"/>
                <w:sz w:val="21"/>
                <w:szCs w:val="21"/>
              </w:rPr>
            </w:pPr>
          </w:p>
        </w:tc>
        <w:tc>
          <w:tcPr>
            <w:tcW w:w="1276" w:type="dxa"/>
            <w:noWrap w:val="0"/>
            <w:vAlign w:val="center"/>
          </w:tcPr>
          <w:p>
            <w:pPr>
              <w:spacing w:before="81" w:after="81"/>
              <w:jc w:val="center"/>
              <w:rPr>
                <w:rFonts w:hint="eastAsia" w:ascii="仿宋" w:hAnsi="仿宋" w:eastAsia="仿宋" w:cs="仿宋"/>
                <w:color w:val="000000"/>
                <w:sz w:val="21"/>
                <w:szCs w:val="21"/>
              </w:rPr>
            </w:pPr>
          </w:p>
        </w:tc>
        <w:tc>
          <w:tcPr>
            <w:tcW w:w="1179" w:type="dxa"/>
            <w:noWrap w:val="0"/>
            <w:vAlign w:val="center"/>
          </w:tcPr>
          <w:p>
            <w:pPr>
              <w:spacing w:before="81" w:after="81"/>
              <w:jc w:val="center"/>
              <w:rPr>
                <w:rFonts w:hint="eastAsia" w:ascii="仿宋" w:hAnsi="仿宋" w:eastAsia="仿宋" w:cs="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6" w:hRule="atLeast"/>
          <w:jc w:val="center"/>
        </w:trPr>
        <w:tc>
          <w:tcPr>
            <w:tcW w:w="670" w:type="dxa"/>
            <w:noWrap w:val="0"/>
            <w:vAlign w:val="center"/>
          </w:tcPr>
          <w:p>
            <w:pPr>
              <w:pStyle w:val="42"/>
              <w:numPr>
                <w:ilvl w:val="0"/>
                <w:numId w:val="19"/>
              </w:numPr>
              <w:spacing w:before="78" w:after="78"/>
              <w:ind w:firstLineChars="0"/>
              <w:rPr>
                <w:rFonts w:hint="eastAsia" w:ascii="仿宋" w:hAnsi="仿宋" w:eastAsia="仿宋" w:cs="仿宋"/>
                <w:sz w:val="21"/>
                <w:szCs w:val="21"/>
                <w:lang w:val="en-US" w:eastAsia="zh-CN"/>
              </w:rPr>
            </w:pPr>
          </w:p>
        </w:tc>
        <w:tc>
          <w:tcPr>
            <w:tcW w:w="8693" w:type="dxa"/>
            <w:gridSpan w:val="5"/>
            <w:noWrap w:val="0"/>
            <w:vAlign w:val="center"/>
          </w:tcPr>
          <w:p>
            <w:pPr>
              <w:spacing w:before="81" w:after="81"/>
              <w:rPr>
                <w:rFonts w:hint="eastAsia" w:ascii="仿宋" w:hAnsi="仿宋" w:eastAsia="仿宋" w:cs="仿宋"/>
                <w:b/>
                <w:bCs/>
                <w:sz w:val="28"/>
                <w:szCs w:val="28"/>
              </w:rPr>
            </w:pPr>
            <w:r>
              <w:rPr>
                <w:rFonts w:hint="eastAsia" w:ascii="仿宋" w:hAnsi="仿宋" w:eastAsia="仿宋" w:cs="仿宋"/>
                <w:b/>
                <w:bCs/>
                <w:sz w:val="28"/>
                <w:szCs w:val="28"/>
              </w:rPr>
              <w:t>金额总计：</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（小写：￥</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元）</w:t>
            </w:r>
          </w:p>
        </w:tc>
      </w:tr>
      <w:bookmarkEnd w:id="448"/>
    </w:tbl>
    <w:p>
      <w:pPr>
        <w:spacing w:line="400" w:lineRule="exact"/>
        <w:rPr>
          <w:rFonts w:hint="eastAsia" w:ascii="仿宋" w:hAnsi="仿宋" w:eastAsia="仿宋" w:cs="仿宋"/>
          <w:b/>
          <w:sz w:val="24"/>
        </w:rPr>
      </w:pPr>
    </w:p>
    <w:p>
      <w:pPr>
        <w:keepNext w:val="0"/>
        <w:keepLines w:val="0"/>
        <w:pageBreakBefore w:val="0"/>
        <w:widowControl w:val="0"/>
        <w:kinsoku/>
        <w:wordWrap/>
        <w:overflowPunct/>
        <w:topLinePunct w:val="0"/>
        <w:bidi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第二条：合同价款：</w:t>
      </w:r>
    </w:p>
    <w:p>
      <w:pPr>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sz w:val="24"/>
        </w:rPr>
      </w:pPr>
      <w:r>
        <w:rPr>
          <w:rFonts w:hint="eastAsia" w:ascii="仿宋" w:hAnsi="仿宋" w:eastAsia="仿宋" w:cs="仿宋"/>
          <w:sz w:val="24"/>
        </w:rPr>
        <w:t>1、合同总金额：</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b/>
          <w:bCs/>
          <w:sz w:val="24"/>
          <w:u w:val="single"/>
        </w:rPr>
        <w:t>（￥</w:t>
      </w:r>
      <w:r>
        <w:rPr>
          <w:rFonts w:hint="eastAsia" w:ascii="仿宋" w:hAnsi="仿宋" w:eastAsia="仿宋" w:cs="仿宋"/>
          <w:b/>
          <w:bCs/>
          <w:sz w:val="24"/>
          <w:u w:val="single"/>
          <w:lang w:val="en-US" w:eastAsia="zh-CN"/>
        </w:rPr>
        <w:t xml:space="preserve">        </w:t>
      </w:r>
      <w:r>
        <w:rPr>
          <w:rFonts w:hint="eastAsia" w:ascii="仿宋" w:hAnsi="仿宋" w:eastAsia="仿宋" w:cs="仿宋"/>
          <w:b/>
          <w:bCs/>
          <w:sz w:val="24"/>
          <w:u w:val="single"/>
        </w:rPr>
        <w:t>元）</w:t>
      </w:r>
      <w:r>
        <w:rPr>
          <w:rFonts w:hint="eastAsia" w:ascii="仿宋" w:hAnsi="仿宋" w:eastAsia="仿宋" w:cs="仿宋"/>
          <w:sz w:val="24"/>
          <w:u w:val="single"/>
        </w:rPr>
        <w:t xml:space="preserve"> </w:t>
      </w:r>
      <w:r>
        <w:rPr>
          <w:rFonts w:hint="eastAsia" w:ascii="仿宋" w:hAnsi="仿宋" w:eastAsia="仿宋" w:cs="仿宋"/>
          <w:sz w:val="24"/>
        </w:rPr>
        <w:t>。</w:t>
      </w:r>
    </w:p>
    <w:p>
      <w:pPr>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sz w:val="24"/>
        </w:rPr>
      </w:pPr>
      <w:r>
        <w:rPr>
          <w:rFonts w:hint="eastAsia" w:ascii="仿宋" w:hAnsi="仿宋" w:eastAsia="仿宋" w:cs="仿宋"/>
          <w:sz w:val="24"/>
        </w:rPr>
        <w:t>2、合同总金额包含产品供应价、运杂费（含仓储费、</w:t>
      </w:r>
      <w:r>
        <w:rPr>
          <w:rFonts w:hint="eastAsia" w:ascii="仿宋" w:hAnsi="仿宋" w:eastAsia="仿宋" w:cs="仿宋"/>
          <w:sz w:val="24"/>
          <w:lang w:val="en-US" w:eastAsia="zh-CN"/>
        </w:rPr>
        <w:t>运费、</w:t>
      </w:r>
      <w:r>
        <w:rPr>
          <w:rFonts w:hint="eastAsia" w:ascii="仿宋" w:hAnsi="仿宋" w:eastAsia="仿宋" w:cs="仿宋"/>
          <w:sz w:val="24"/>
        </w:rPr>
        <w:t>装卸费、保险费）、安装调试费、培训费、验收费、税金及其它不可预见费用，该总金额为固定价款，不受市场变化影响。</w:t>
      </w:r>
    </w:p>
    <w:p>
      <w:pPr>
        <w:keepNext w:val="0"/>
        <w:keepLines w:val="0"/>
        <w:pageBreakBefore w:val="0"/>
        <w:widowControl w:val="0"/>
        <w:kinsoku/>
        <w:wordWrap/>
        <w:overflowPunct/>
        <w:topLinePunct w:val="0"/>
        <w:bidi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第三条：交货地点：</w:t>
      </w:r>
    </w:p>
    <w:p>
      <w:pPr>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 xml:space="preserve">陕西中医药大学附属医院  </w:t>
      </w:r>
    </w:p>
    <w:p>
      <w:pPr>
        <w:keepNext w:val="0"/>
        <w:keepLines w:val="0"/>
        <w:pageBreakBefore w:val="0"/>
        <w:widowControl w:val="0"/>
        <w:kinsoku/>
        <w:wordWrap/>
        <w:overflowPunct/>
        <w:topLinePunct w:val="0"/>
        <w:bidi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第四条：交货</w:t>
      </w:r>
      <w:r>
        <w:rPr>
          <w:rFonts w:hint="eastAsia" w:ascii="仿宋" w:hAnsi="仿宋" w:eastAsia="仿宋" w:cs="仿宋"/>
          <w:b/>
          <w:sz w:val="24"/>
          <w:lang w:val="en-US" w:eastAsia="zh-CN"/>
        </w:rPr>
        <w:t>及安装调试</w:t>
      </w:r>
      <w:r>
        <w:rPr>
          <w:rFonts w:hint="eastAsia" w:ascii="仿宋" w:hAnsi="仿宋" w:eastAsia="仿宋" w:cs="仿宋"/>
          <w:b/>
          <w:sz w:val="24"/>
        </w:rPr>
        <w:t>时间：</w:t>
      </w:r>
    </w:p>
    <w:p>
      <w:pPr>
        <w:pStyle w:val="107"/>
        <w:keepNext w:val="0"/>
        <w:keepLines w:val="0"/>
        <w:pageBreakBefore w:val="0"/>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kinsoku/>
        <w:wordWrap/>
        <w:overflowPunct/>
        <w:topLinePunct w:val="0"/>
        <w:bidi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合同签订后</w:t>
      </w:r>
      <w:r>
        <w:rPr>
          <w:rFonts w:hint="eastAsia" w:ascii="仿宋" w:hAnsi="仿宋" w:eastAsia="仿宋" w:cs="仿宋"/>
          <w:sz w:val="24"/>
          <w:szCs w:val="24"/>
          <w:u w:val="single"/>
          <w:lang w:val="en-US" w:eastAsia="zh-CN"/>
        </w:rPr>
        <w:t xml:space="preserve">  10  </w:t>
      </w:r>
      <w:r>
        <w:rPr>
          <w:rFonts w:hint="eastAsia" w:ascii="仿宋" w:hAnsi="仿宋" w:eastAsia="仿宋" w:cs="仿宋"/>
          <w:sz w:val="24"/>
          <w:szCs w:val="24"/>
        </w:rPr>
        <w:t>个月内货到并且安装调试完毕，达到验收标准。</w:t>
      </w:r>
    </w:p>
    <w:p>
      <w:pPr>
        <w:keepNext w:val="0"/>
        <w:keepLines w:val="0"/>
        <w:pageBreakBefore w:val="0"/>
        <w:widowControl w:val="0"/>
        <w:kinsoku/>
        <w:wordWrap/>
        <w:overflowPunct/>
        <w:topLinePunct w:val="0"/>
        <w:bidi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第</w:t>
      </w:r>
      <w:r>
        <w:rPr>
          <w:rFonts w:hint="eastAsia" w:ascii="仿宋" w:hAnsi="仿宋" w:eastAsia="仿宋" w:cs="仿宋"/>
          <w:b/>
          <w:sz w:val="24"/>
          <w:lang w:val="en-US" w:eastAsia="zh-CN"/>
        </w:rPr>
        <w:t>五</w:t>
      </w:r>
      <w:r>
        <w:rPr>
          <w:rFonts w:hint="eastAsia" w:ascii="仿宋" w:hAnsi="仿宋" w:eastAsia="仿宋" w:cs="仿宋"/>
          <w:b/>
          <w:sz w:val="24"/>
        </w:rPr>
        <w:t>条：货款结算方式：</w:t>
      </w:r>
    </w:p>
    <w:p>
      <w:pPr>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1、付款</w:t>
      </w:r>
      <w:r>
        <w:rPr>
          <w:rFonts w:hint="eastAsia" w:ascii="仿宋" w:hAnsi="仿宋" w:eastAsia="仿宋" w:cs="仿宋"/>
          <w:sz w:val="24"/>
          <w:lang w:val="en-US" w:eastAsia="zh-CN"/>
        </w:rPr>
        <w:t>方式</w:t>
      </w:r>
      <w:r>
        <w:rPr>
          <w:rFonts w:hint="eastAsia" w:ascii="仿宋" w:hAnsi="仿宋" w:eastAsia="仿宋" w:cs="仿宋"/>
          <w:sz w:val="24"/>
        </w:rPr>
        <w:t>：</w:t>
      </w:r>
      <w:r>
        <w:rPr>
          <w:rFonts w:hint="eastAsia" w:ascii="仿宋" w:hAnsi="仿宋" w:eastAsia="仿宋" w:cs="仿宋"/>
          <w:sz w:val="24"/>
          <w:u w:val="single"/>
        </w:rPr>
        <w:t>合同签订</w:t>
      </w:r>
      <w:r>
        <w:rPr>
          <w:rFonts w:hint="eastAsia" w:ascii="仿宋" w:hAnsi="仿宋" w:eastAsia="仿宋" w:cs="仿宋"/>
          <w:sz w:val="24"/>
          <w:u w:val="single"/>
          <w:lang w:val="en-US" w:eastAsia="zh-CN"/>
        </w:rPr>
        <w:t>后十五个日历日内甲方向乙方支付合同总金额的30%作为首付款，即人民币（）；验收合格后，甲方在十五个日历日内向乙方支付合同总金额的60%，即人民币（）；</w:t>
      </w:r>
      <w:r>
        <w:rPr>
          <w:rFonts w:hint="eastAsia" w:ascii="仿宋" w:hAnsi="仿宋" w:eastAsia="仿宋" w:cs="仿宋"/>
          <w:sz w:val="24"/>
          <w:u w:val="single"/>
        </w:rPr>
        <w:t>剩余合同总额</w:t>
      </w:r>
      <w:r>
        <w:rPr>
          <w:rFonts w:hint="eastAsia" w:ascii="仿宋" w:hAnsi="仿宋" w:eastAsia="仿宋" w:cs="仿宋"/>
          <w:sz w:val="24"/>
          <w:u w:val="single"/>
          <w:lang w:val="en-US" w:eastAsia="zh-CN"/>
        </w:rPr>
        <w:t>10%待医院通过电子病历五级及互联互通四甲测评后，甲方向乙方</w:t>
      </w:r>
      <w:r>
        <w:rPr>
          <w:rFonts w:hint="eastAsia" w:ascii="仿宋" w:hAnsi="仿宋" w:eastAsia="仿宋" w:cs="仿宋"/>
          <w:sz w:val="24"/>
          <w:u w:val="single"/>
        </w:rPr>
        <w:t>一次性付清</w:t>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即人民币（）</w:t>
      </w:r>
      <w:r>
        <w:rPr>
          <w:rFonts w:hint="eastAsia" w:ascii="仿宋" w:hAnsi="仿宋" w:eastAsia="仿宋" w:cs="仿宋"/>
          <w:sz w:val="24"/>
          <w:u w:val="single"/>
        </w:rPr>
        <w:t>。</w:t>
      </w:r>
    </w:p>
    <w:p>
      <w:pPr>
        <w:pStyle w:val="107"/>
        <w:keepNext w:val="0"/>
        <w:keepLines w:val="0"/>
        <w:pageBreakBefore w:val="0"/>
        <w:widowControl w:val="0"/>
        <w:tabs>
          <w:tab w:val="left" w:pos="945"/>
          <w:tab w:val="clear" w:pos="0"/>
          <w:tab w:val="clear" w:pos="959"/>
          <w:tab w:val="clear" w:pos="1918"/>
          <w:tab w:val="clear" w:pos="2877"/>
          <w:tab w:val="clear" w:pos="3836"/>
          <w:tab w:val="clear" w:pos="4795"/>
          <w:tab w:val="clear" w:pos="5754"/>
          <w:tab w:val="clear" w:pos="6713"/>
          <w:tab w:val="clear" w:pos="7672"/>
          <w:tab w:val="clear" w:pos="8631"/>
          <w:tab w:val="clear" w:pos="9590"/>
        </w:tabs>
        <w:kinsoku/>
        <w:wordWrap/>
        <w:overflowPunct/>
        <w:topLinePunct w:val="0"/>
        <w:bidi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2、支付方式：甲方直接将货款通过银行转账的方式转入乙方指定的专用账号。乙方专用账户名为：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pStyle w:val="107"/>
        <w:keepNext w:val="0"/>
        <w:keepLines w:val="0"/>
        <w:pageBreakBefore w:val="0"/>
        <w:widowControl w:val="0"/>
        <w:tabs>
          <w:tab w:val="left" w:pos="945"/>
          <w:tab w:val="clear" w:pos="0"/>
          <w:tab w:val="clear" w:pos="959"/>
          <w:tab w:val="clear" w:pos="1918"/>
          <w:tab w:val="clear" w:pos="2877"/>
          <w:tab w:val="clear" w:pos="3836"/>
          <w:tab w:val="clear" w:pos="4795"/>
          <w:tab w:val="clear" w:pos="5754"/>
          <w:tab w:val="clear" w:pos="6713"/>
          <w:tab w:val="clear" w:pos="7672"/>
          <w:tab w:val="clear" w:pos="8631"/>
          <w:tab w:val="clear" w:pos="9590"/>
        </w:tabs>
        <w:kinsoku/>
        <w:wordWrap/>
        <w:overflowPunct/>
        <w:topLinePunct w:val="0"/>
        <w:bidi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账号为：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pStyle w:val="107"/>
        <w:keepNext w:val="0"/>
        <w:keepLines w:val="0"/>
        <w:pageBreakBefore w:val="0"/>
        <w:widowControl w:val="0"/>
        <w:tabs>
          <w:tab w:val="left" w:pos="945"/>
          <w:tab w:val="clear" w:pos="0"/>
          <w:tab w:val="clear" w:pos="959"/>
          <w:tab w:val="clear" w:pos="1918"/>
          <w:tab w:val="clear" w:pos="2877"/>
          <w:tab w:val="clear" w:pos="3836"/>
          <w:tab w:val="clear" w:pos="4795"/>
          <w:tab w:val="clear" w:pos="5754"/>
          <w:tab w:val="clear" w:pos="6713"/>
          <w:tab w:val="clear" w:pos="7672"/>
          <w:tab w:val="clear" w:pos="8631"/>
          <w:tab w:val="clear" w:pos="9590"/>
        </w:tabs>
        <w:kinsoku/>
        <w:wordWrap/>
        <w:overflowPunct/>
        <w:topLinePunct w:val="0"/>
        <w:bidi w:val="0"/>
        <w:snapToGrid w:val="0"/>
        <w:spacing w:line="360" w:lineRule="auto"/>
        <w:ind w:firstLine="480" w:firstLineChars="200"/>
        <w:rPr>
          <w:rFonts w:hint="eastAsia" w:ascii="仿宋" w:hAnsi="仿宋" w:eastAsia="仿宋" w:cs="仿宋"/>
          <w:sz w:val="24"/>
          <w:szCs w:val="24"/>
          <w:u w:val="single"/>
          <w:lang w:val="en-US" w:eastAsia="zh-CN"/>
        </w:rPr>
      </w:pPr>
      <w:r>
        <w:rPr>
          <w:rFonts w:hint="eastAsia" w:ascii="仿宋" w:hAnsi="仿宋" w:eastAsia="仿宋" w:cs="仿宋"/>
          <w:sz w:val="24"/>
          <w:szCs w:val="24"/>
        </w:rPr>
        <w:t>开户行为：</w:t>
      </w:r>
      <w:r>
        <w:rPr>
          <w:rFonts w:hint="eastAsia" w:ascii="仿宋" w:hAnsi="仿宋" w:eastAsia="仿宋" w:cs="仿宋"/>
          <w:sz w:val="24"/>
          <w:szCs w:val="24"/>
          <w:u w:val="single"/>
          <w:lang w:val="en-US" w:eastAsia="zh-CN"/>
        </w:rPr>
        <w:t xml:space="preserve">                           </w:t>
      </w:r>
    </w:p>
    <w:p>
      <w:pPr>
        <w:keepNext w:val="0"/>
        <w:keepLines w:val="0"/>
        <w:pageBreakBefore w:val="0"/>
        <w:widowControl w:val="0"/>
        <w:kinsoku/>
        <w:wordWrap/>
        <w:overflowPunct/>
        <w:topLinePunct w:val="0"/>
        <w:bidi w:val="0"/>
        <w:spacing w:line="360" w:lineRule="auto"/>
        <w:ind w:firstLine="482" w:firstLineChars="200"/>
        <w:rPr>
          <w:rFonts w:hint="eastAsia" w:ascii="仿宋" w:hAnsi="仿宋" w:eastAsia="仿宋" w:cs="仿宋"/>
          <w:b/>
          <w:kern w:val="0"/>
          <w:sz w:val="24"/>
          <w:szCs w:val="24"/>
          <w:lang w:val="en-US" w:eastAsia="zh-CN" w:bidi="ar-SA"/>
        </w:rPr>
      </w:pPr>
      <w:r>
        <w:rPr>
          <w:rFonts w:hint="eastAsia" w:ascii="仿宋" w:hAnsi="仿宋" w:eastAsia="仿宋" w:cs="仿宋"/>
          <w:b/>
          <w:kern w:val="0"/>
          <w:sz w:val="24"/>
          <w:szCs w:val="24"/>
          <w:lang w:val="en-US" w:eastAsia="zh-CN" w:bidi="ar-SA"/>
        </w:rPr>
        <w:t>3、甲方付款之前，乙方应提供等额的增值税发票。乙方逾期提供发票导致甲方逾期付款的，不视为甲方违约。</w:t>
      </w:r>
    </w:p>
    <w:p>
      <w:pPr>
        <w:keepNext w:val="0"/>
        <w:keepLines w:val="0"/>
        <w:pageBreakBefore w:val="0"/>
        <w:widowControl w:val="0"/>
        <w:kinsoku/>
        <w:wordWrap/>
        <w:overflowPunct/>
        <w:topLinePunct w:val="0"/>
        <w:bidi w:val="0"/>
        <w:spacing w:line="360" w:lineRule="auto"/>
        <w:ind w:firstLine="482" w:firstLineChars="200"/>
        <w:rPr>
          <w:rFonts w:hint="eastAsia" w:ascii="仿宋" w:hAnsi="仿宋" w:eastAsia="仿宋" w:cs="仿宋"/>
          <w:b/>
          <w:sz w:val="24"/>
          <w:szCs w:val="24"/>
        </w:rPr>
      </w:pPr>
      <w:r>
        <w:rPr>
          <w:rFonts w:hint="eastAsia" w:ascii="仿宋" w:hAnsi="仿宋" w:eastAsia="仿宋" w:cs="仿宋"/>
          <w:b/>
          <w:kern w:val="0"/>
          <w:sz w:val="24"/>
          <w:szCs w:val="24"/>
          <w:lang w:val="en-US" w:eastAsia="zh-CN" w:bidi="ar-SA"/>
        </w:rPr>
        <w:t>第六条</w:t>
      </w:r>
      <w:r>
        <w:rPr>
          <w:rFonts w:hint="eastAsia" w:ascii="仿宋" w:hAnsi="仿宋" w:eastAsia="仿宋" w:cs="仿宋"/>
          <w:b/>
          <w:sz w:val="24"/>
          <w:szCs w:val="24"/>
        </w:rPr>
        <w:t>：</w:t>
      </w:r>
      <w:r>
        <w:rPr>
          <w:rFonts w:hint="eastAsia" w:ascii="仿宋" w:hAnsi="仿宋" w:eastAsia="仿宋" w:cs="仿宋"/>
          <w:b/>
          <w:sz w:val="24"/>
          <w:szCs w:val="24"/>
          <w:lang w:val="en-US" w:eastAsia="zh-CN"/>
        </w:rPr>
        <w:t>甲方的权利和义务</w:t>
      </w:r>
      <w:r>
        <w:rPr>
          <w:rFonts w:hint="eastAsia" w:ascii="仿宋" w:hAnsi="仿宋" w:eastAsia="仿宋" w:cs="仿宋"/>
          <w:b/>
          <w:sz w:val="24"/>
          <w:szCs w:val="24"/>
        </w:rPr>
        <w:t>：</w:t>
      </w:r>
    </w:p>
    <w:p>
      <w:pPr>
        <w:pStyle w:val="108"/>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1、甲方有权要求乙方提供相应的资质。</w:t>
      </w:r>
    </w:p>
    <w:p>
      <w:pPr>
        <w:pStyle w:val="108"/>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2、甲方有权要求乙方按合同约定时间交付产品。</w:t>
      </w:r>
    </w:p>
    <w:p>
      <w:pPr>
        <w:pStyle w:val="108"/>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甲方负责配合乙方提供进场实施所需要的本项目相关的软硬件环境、网络环境等基础设施，积极配合乙方提出的配合请求，提供必须的工具软件，提供乙方提出的其他合理的工作、生活条件，及时按照合同约定方式对乙方提供的执行文档进行确认。</w:t>
      </w:r>
    </w:p>
    <w:p>
      <w:pPr>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4、甲方有责任配合乙方协调院内第三方系统厂商接口的研发工作和联调等工作。</w:t>
      </w:r>
    </w:p>
    <w:p>
      <w:pPr>
        <w:keepNext w:val="0"/>
        <w:keepLines w:val="0"/>
        <w:pageBreakBefore w:val="0"/>
        <w:widowControl w:val="0"/>
        <w:tabs>
          <w:tab w:val="left" w:pos="5250"/>
        </w:tabs>
        <w:kinsoku/>
        <w:wordWrap/>
        <w:overflowPunct/>
        <w:topLinePunct w:val="0"/>
        <w:bidi w:val="0"/>
        <w:spacing w:line="360" w:lineRule="auto"/>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5、保存所有的当前程序并完成数据的备份，约束其员工正确使用和应用产品。</w:t>
      </w:r>
      <w:r>
        <w:rPr>
          <w:rFonts w:hint="eastAsia" w:ascii="仿宋" w:hAnsi="仿宋" w:eastAsia="仿宋" w:cs="仿宋"/>
          <w:kern w:val="2"/>
          <w:sz w:val="24"/>
          <w:szCs w:val="24"/>
          <w:lang w:val="en-US" w:eastAsia="zh-CN" w:bidi="ar-SA"/>
        </w:rPr>
        <w:tab/>
      </w:r>
    </w:p>
    <w:p>
      <w:pPr>
        <w:keepNext w:val="0"/>
        <w:keepLines w:val="0"/>
        <w:pageBreakBefore w:val="0"/>
        <w:widowControl w:val="0"/>
        <w:tabs>
          <w:tab w:val="left" w:pos="5250"/>
        </w:tabs>
        <w:kinsoku/>
        <w:wordWrap/>
        <w:overflowPunct/>
        <w:topLinePunct w:val="0"/>
        <w:bidi w:val="0"/>
        <w:spacing w:line="360" w:lineRule="auto"/>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6、负责提供培训场地，组织参加培训的人员按时出席，并配合乙方对受训人员进行考核。</w:t>
      </w:r>
    </w:p>
    <w:p>
      <w:pPr>
        <w:pStyle w:val="108"/>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7、依据合同协助乙方完成验收等相关事宜并按照合同要求支付费用。</w:t>
      </w:r>
    </w:p>
    <w:p>
      <w:pPr>
        <w:pStyle w:val="107"/>
        <w:keepNext w:val="0"/>
        <w:keepLines w:val="0"/>
        <w:pageBreakBefore w:val="0"/>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kinsoku/>
        <w:wordWrap/>
        <w:overflowPunct/>
        <w:topLinePunct w:val="0"/>
        <w:bidi w:val="0"/>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第</w:t>
      </w:r>
      <w:r>
        <w:rPr>
          <w:rFonts w:hint="eastAsia" w:ascii="仿宋" w:hAnsi="仿宋" w:eastAsia="仿宋" w:cs="仿宋"/>
          <w:b/>
          <w:sz w:val="24"/>
          <w:szCs w:val="24"/>
          <w:lang w:val="en-US" w:eastAsia="zh-CN"/>
        </w:rPr>
        <w:t>七</w:t>
      </w:r>
      <w:r>
        <w:rPr>
          <w:rFonts w:hint="eastAsia" w:ascii="仿宋" w:hAnsi="仿宋" w:eastAsia="仿宋" w:cs="仿宋"/>
          <w:b/>
          <w:sz w:val="24"/>
          <w:szCs w:val="24"/>
        </w:rPr>
        <w:t>条：</w:t>
      </w:r>
      <w:r>
        <w:rPr>
          <w:rFonts w:hint="eastAsia" w:ascii="仿宋" w:hAnsi="仿宋" w:eastAsia="仿宋" w:cs="仿宋"/>
          <w:b/>
          <w:sz w:val="24"/>
          <w:szCs w:val="24"/>
          <w:lang w:val="en-US" w:eastAsia="zh-CN"/>
        </w:rPr>
        <w:t>乙方的权利和义务</w:t>
      </w:r>
      <w:r>
        <w:rPr>
          <w:rFonts w:hint="eastAsia" w:ascii="仿宋" w:hAnsi="仿宋" w:eastAsia="仿宋" w:cs="仿宋"/>
          <w:b/>
          <w:sz w:val="24"/>
          <w:szCs w:val="24"/>
        </w:rPr>
        <w:t>：</w:t>
      </w:r>
    </w:p>
    <w:p>
      <w:pPr>
        <w:pStyle w:val="108"/>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1、乙方有权要求甲方为乙方履行本合同提供便利，要求甲方提供必须的相关资料。</w:t>
      </w:r>
    </w:p>
    <w:p>
      <w:pPr>
        <w:pStyle w:val="108"/>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2、乙方有权要求甲方按本合同约定支付费用。</w:t>
      </w:r>
    </w:p>
    <w:p>
      <w:pPr>
        <w:pStyle w:val="108"/>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3、乙方保证其所交付的产品没有侵犯任何第三人的知识产权和商业秘密。</w:t>
      </w:r>
    </w:p>
    <w:p>
      <w:pPr>
        <w:pStyle w:val="108"/>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4、乙方应按合同约定提供项目相关的技术文档材料，及时交付产品。</w:t>
      </w:r>
    </w:p>
    <w:p>
      <w:pPr>
        <w:pStyle w:val="108"/>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5、对双方共同确认的甲方受训人员提供集中培训服务。</w:t>
      </w:r>
    </w:p>
    <w:p>
      <w:pPr>
        <w:pStyle w:val="108"/>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6、按照双方确认的期限负责产品的安装、测试、调试工作及后续的维护工作。</w:t>
      </w:r>
    </w:p>
    <w:p>
      <w:pPr>
        <w:keepNext w:val="0"/>
        <w:keepLines w:val="0"/>
        <w:pageBreakBefore w:val="0"/>
        <w:widowControl w:val="0"/>
        <w:kinsoku/>
        <w:wordWrap/>
        <w:overflowPunct/>
        <w:topLinePunct w:val="0"/>
        <w:bidi w:val="0"/>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第</w:t>
      </w:r>
      <w:r>
        <w:rPr>
          <w:rFonts w:hint="eastAsia" w:ascii="仿宋" w:hAnsi="仿宋" w:eastAsia="仿宋" w:cs="仿宋"/>
          <w:b/>
          <w:color w:val="000000"/>
          <w:sz w:val="24"/>
          <w:lang w:val="en-US" w:eastAsia="zh-CN"/>
        </w:rPr>
        <w:t>八</w:t>
      </w:r>
      <w:r>
        <w:rPr>
          <w:rFonts w:hint="eastAsia" w:ascii="仿宋" w:hAnsi="仿宋" w:eastAsia="仿宋" w:cs="仿宋"/>
          <w:b/>
          <w:color w:val="000000"/>
          <w:sz w:val="24"/>
        </w:rPr>
        <w:t>条：产品的验收：</w:t>
      </w:r>
    </w:p>
    <w:p>
      <w:pPr>
        <w:keepNext w:val="0"/>
        <w:keepLines w:val="0"/>
        <w:pageBreakBefore w:val="0"/>
        <w:widowControl w:val="0"/>
        <w:numPr>
          <w:ilvl w:val="0"/>
          <w:numId w:val="20"/>
        </w:numPr>
        <w:kinsoku/>
        <w:wordWrap/>
        <w:overflowPunct/>
        <w:topLinePunct w:val="0"/>
        <w:bidi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该项目所有产品经过调试，并能够满足甲方要求后，甲方须在乙方提出书面验收申请之日起</w:t>
      </w:r>
      <w:r>
        <w:rPr>
          <w:rFonts w:hint="eastAsia" w:ascii="仿宋" w:hAnsi="仿宋" w:eastAsia="仿宋" w:cs="仿宋"/>
          <w:color w:val="000000"/>
          <w:sz w:val="24"/>
          <w:u w:val="single"/>
        </w:rPr>
        <w:t xml:space="preserve"> 7 </w:t>
      </w:r>
      <w:r>
        <w:rPr>
          <w:rFonts w:hint="eastAsia" w:ascii="仿宋" w:hAnsi="仿宋" w:eastAsia="仿宋" w:cs="仿宋"/>
          <w:color w:val="000000"/>
          <w:sz w:val="24"/>
        </w:rPr>
        <w:t>个工作日内（节假日顺延）组织验收工作。验收由甲方指定单位进行验收，验收合格后出具书面验收合格证明，作为对产品的最终认可。</w:t>
      </w:r>
    </w:p>
    <w:p>
      <w:pPr>
        <w:keepNext w:val="0"/>
        <w:keepLines w:val="0"/>
        <w:pageBreakBefore w:val="0"/>
        <w:widowControl w:val="0"/>
        <w:numPr>
          <w:ilvl w:val="0"/>
          <w:numId w:val="20"/>
        </w:numPr>
        <w:kinsoku/>
        <w:wordWrap/>
        <w:overflowPunct/>
        <w:topLinePunct w:val="0"/>
        <w:bidi w:val="0"/>
        <w:spacing w:line="360" w:lineRule="auto"/>
        <w:ind w:firstLine="480" w:firstLineChars="200"/>
        <w:rPr>
          <w:rFonts w:hint="eastAsia" w:ascii="仿宋" w:hAnsi="仿宋" w:eastAsia="仿宋" w:cs="仿宋"/>
        </w:rPr>
      </w:pPr>
      <w:r>
        <w:rPr>
          <w:rFonts w:hint="eastAsia" w:ascii="仿宋" w:hAnsi="仿宋" w:eastAsia="仿宋" w:cs="仿宋"/>
          <w:color w:val="000000"/>
          <w:sz w:val="24"/>
          <w:lang w:val="en-US" w:eastAsia="zh-CN"/>
        </w:rPr>
        <w:t>如项目未通过验收的，乙方应排除故障，进行整改，承担相关费用。如甲方未在约定时间内完成验收工作、未提出书面异议，则视为项目验收合格。若甲方认为乙方交付的产品存在不符合合同约定情形的，甲方应在收到乙方验收申请后20日内提出书面异议，双方友好协商解决。乙方应在双方确认的期限内用符合本合同约定的产品更换或整改产品，乙方承担更换或整改产品产生的所有费用，乙方更换或整改产品后再次申请验收，直至验收通过。</w:t>
      </w:r>
    </w:p>
    <w:p>
      <w:pPr>
        <w:keepNext w:val="0"/>
        <w:keepLines w:val="0"/>
        <w:pageBreakBefore w:val="0"/>
        <w:widowControl w:val="0"/>
        <w:numPr>
          <w:ilvl w:val="0"/>
          <w:numId w:val="20"/>
        </w:numPr>
        <w:kinsoku/>
        <w:wordWrap/>
        <w:overflowPunct/>
        <w:topLinePunct w:val="0"/>
        <w:bidi w:val="0"/>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color w:val="000000"/>
          <w:sz w:val="24"/>
          <w:lang w:val="en-US" w:eastAsia="zh-CN"/>
        </w:rPr>
        <w:t>本项目实施过程中，项目的内容、要求、验收、使用标准以采购文件要求为依据，若甲方中途变更方案或产品以及由此引起的相应费用的变化，双方另行协商达成一致意见后以书面形式确定。</w:t>
      </w:r>
    </w:p>
    <w:p>
      <w:pPr>
        <w:pStyle w:val="107"/>
        <w:keepNext w:val="0"/>
        <w:keepLines w:val="0"/>
        <w:pageBreakBefore w:val="0"/>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kinsoku/>
        <w:wordWrap/>
        <w:overflowPunct/>
        <w:topLinePunct w:val="0"/>
        <w:bidi w:val="0"/>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第</w:t>
      </w:r>
      <w:r>
        <w:rPr>
          <w:rFonts w:hint="eastAsia" w:ascii="仿宋" w:hAnsi="仿宋" w:eastAsia="仿宋" w:cs="仿宋"/>
          <w:b/>
          <w:sz w:val="24"/>
          <w:szCs w:val="24"/>
          <w:lang w:val="en-US" w:eastAsia="zh-CN"/>
        </w:rPr>
        <w:t>九</w:t>
      </w:r>
      <w:r>
        <w:rPr>
          <w:rFonts w:hint="eastAsia" w:ascii="仿宋" w:hAnsi="仿宋" w:eastAsia="仿宋" w:cs="仿宋"/>
          <w:b/>
          <w:sz w:val="24"/>
          <w:szCs w:val="24"/>
        </w:rPr>
        <w:t>条：售后服务：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lang w:val="en-US" w:eastAsia="zh-CN"/>
        </w:rPr>
        <w:t>1、</w:t>
      </w:r>
      <w:r>
        <w:rPr>
          <w:rFonts w:hint="eastAsia" w:ascii="仿宋" w:hAnsi="仿宋" w:eastAsia="仿宋" w:cs="仿宋"/>
          <w:color w:val="000000"/>
          <w:sz w:val="24"/>
        </w:rPr>
        <w:t>乙方承诺负责本项目系统集成和中标文件中所阐述产品均为最新版本。</w:t>
      </w:r>
    </w:p>
    <w:p>
      <w:pPr>
        <w:keepNext w:val="0"/>
        <w:keepLines w:val="0"/>
        <w:pageBreakBefore w:val="0"/>
        <w:widowControl w:val="0"/>
        <w:kinsoku/>
        <w:wordWrap/>
        <w:overflowPunct/>
        <w:topLinePunct w:val="0"/>
        <w:bidi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lang w:val="en-US" w:eastAsia="zh-CN"/>
        </w:rPr>
        <w:t>2、</w:t>
      </w:r>
      <w:r>
        <w:rPr>
          <w:rFonts w:hint="eastAsia" w:ascii="仿宋" w:hAnsi="仿宋" w:eastAsia="仿宋" w:cs="仿宋"/>
          <w:color w:val="000000"/>
          <w:sz w:val="24"/>
        </w:rPr>
        <w:t>乙方承诺保证不影响甲方正常业务和保证数据完整的前提下进行实施工作。并承担由此工作带来的所有责任和造成的经济损失。</w:t>
      </w:r>
    </w:p>
    <w:p>
      <w:pPr>
        <w:keepNext w:val="0"/>
        <w:keepLines w:val="0"/>
        <w:pageBreakBefore w:val="0"/>
        <w:widowControl w:val="0"/>
        <w:kinsoku/>
        <w:wordWrap/>
        <w:overflowPunct/>
        <w:topLinePunct w:val="0"/>
        <w:bidi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3、乙方承诺，整体项目验收合格后</w:t>
      </w:r>
      <w:r>
        <w:rPr>
          <w:rFonts w:hint="eastAsia" w:ascii="仿宋" w:hAnsi="仿宋" w:eastAsia="仿宋" w:cs="仿宋"/>
          <w:color w:val="000000"/>
          <w:sz w:val="24"/>
          <w:lang w:val="en-US" w:eastAsia="zh-CN"/>
        </w:rPr>
        <w:t>进入质保期</w:t>
      </w:r>
      <w:r>
        <w:rPr>
          <w:rFonts w:hint="eastAsia" w:ascii="仿宋" w:hAnsi="仿宋" w:eastAsia="仿宋" w:cs="仿宋"/>
          <w:color w:val="000000"/>
          <w:sz w:val="24"/>
        </w:rPr>
        <w:t>，质保期为三年。</w:t>
      </w:r>
    </w:p>
    <w:p>
      <w:pPr>
        <w:keepNext w:val="0"/>
        <w:keepLines w:val="0"/>
        <w:pageBreakBefore w:val="0"/>
        <w:widowControl w:val="0"/>
        <w:kinsoku/>
        <w:wordWrap/>
        <w:overflowPunct/>
        <w:topLinePunct w:val="0"/>
        <w:bidi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4、乙方承诺，保修、质保期内的维护内容包括：软件的版本升级，系统补丁免费升级。1小时内响应，2小时到场、4小时内排除故障。服务的方式：电话、邮件、现场，按照甲方要求的方式完成。</w:t>
      </w:r>
    </w:p>
    <w:p>
      <w:pPr>
        <w:keepNext w:val="0"/>
        <w:keepLines w:val="0"/>
        <w:pageBreakBefore w:val="0"/>
        <w:widowControl w:val="0"/>
        <w:kinsoku/>
        <w:wordWrap/>
        <w:overflowPunct/>
        <w:topLinePunct w:val="0"/>
        <w:bidi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5、乙方承诺，指定专业项目经理专职负责整</w:t>
      </w:r>
      <w:r>
        <w:rPr>
          <w:rFonts w:hint="eastAsia" w:ascii="仿宋" w:hAnsi="仿宋" w:eastAsia="仿宋" w:cs="仿宋"/>
          <w:color w:val="000000"/>
          <w:sz w:val="24"/>
          <w:lang w:val="en-US" w:eastAsia="zh-CN"/>
        </w:rPr>
        <w:t>体</w:t>
      </w:r>
      <w:r>
        <w:rPr>
          <w:rFonts w:hint="eastAsia" w:ascii="仿宋" w:hAnsi="仿宋" w:eastAsia="仿宋" w:cs="仿宋"/>
          <w:color w:val="000000"/>
          <w:sz w:val="24"/>
        </w:rPr>
        <w:t>项目实施。甲方有权要求乙方更换项目专职经理。</w:t>
      </w:r>
    </w:p>
    <w:p>
      <w:pPr>
        <w:keepNext w:val="0"/>
        <w:keepLines w:val="0"/>
        <w:pageBreakBefore w:val="0"/>
        <w:widowControl w:val="0"/>
        <w:kinsoku/>
        <w:wordWrap/>
        <w:overflowPunct/>
        <w:topLinePunct w:val="0"/>
        <w:bidi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6、乙方承诺，当产品不能正常运行时，应在接到甲方通知后1小时内响应，提供电话、网络远程等技术支持，如果通过以上方式仍不能正常运行的，乙方必须在12小时内到达现场进行维护。</w:t>
      </w:r>
    </w:p>
    <w:p>
      <w:pPr>
        <w:keepNext w:val="0"/>
        <w:keepLines w:val="0"/>
        <w:pageBreakBefore w:val="0"/>
        <w:widowControl w:val="0"/>
        <w:kinsoku/>
        <w:wordWrap/>
        <w:overflowPunct/>
        <w:topLinePunct w:val="0"/>
        <w:bidi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lang w:val="en-US" w:eastAsia="zh-CN"/>
        </w:rPr>
        <w:t>7</w:t>
      </w:r>
      <w:r>
        <w:rPr>
          <w:rFonts w:hint="eastAsia" w:ascii="仿宋" w:hAnsi="仿宋" w:eastAsia="仿宋" w:cs="仿宋"/>
          <w:color w:val="000000"/>
          <w:sz w:val="24"/>
        </w:rPr>
        <w:t>、乙方承诺，在系统投入使用前，必须对各应用系统相关人员进行免费业务技术培训，对甲方信息科管理人员免费提供具有针对性的系统培训，以保证系统各项功能让甲方完全掌握，培训期限至甲方受训人员完全掌握产品各项功能为止。培训方式由双方商定，若需异地培训，因异地培训产生的所有费用由乙方承担。</w:t>
      </w:r>
    </w:p>
    <w:p>
      <w:pPr>
        <w:keepNext w:val="0"/>
        <w:keepLines w:val="0"/>
        <w:pageBreakBefore w:val="0"/>
        <w:widowControl w:val="0"/>
        <w:kinsoku/>
        <w:wordWrap/>
        <w:overflowPunct/>
        <w:topLinePunct w:val="0"/>
        <w:bidi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lang w:val="en-US" w:eastAsia="zh-CN"/>
        </w:rPr>
        <w:t>8</w:t>
      </w:r>
      <w:r>
        <w:rPr>
          <w:rFonts w:hint="eastAsia" w:ascii="仿宋" w:hAnsi="仿宋" w:eastAsia="仿宋" w:cs="仿宋"/>
          <w:color w:val="000000"/>
          <w:sz w:val="24"/>
        </w:rPr>
        <w:t>、保修、质保期内，维修费用、乙方维修人员的差旅费及其它相关费用均由乙方承担。</w:t>
      </w:r>
    </w:p>
    <w:p>
      <w:pPr>
        <w:keepNext w:val="0"/>
        <w:keepLines w:val="0"/>
        <w:pageBreakBefore w:val="0"/>
        <w:widowControl w:val="0"/>
        <w:kinsoku/>
        <w:wordWrap/>
        <w:overflowPunct/>
        <w:topLinePunct w:val="0"/>
        <w:bidi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lang w:val="en-US" w:eastAsia="zh-CN"/>
        </w:rPr>
        <w:t>9</w:t>
      </w:r>
      <w:r>
        <w:rPr>
          <w:rFonts w:hint="eastAsia" w:ascii="仿宋" w:hAnsi="仿宋" w:eastAsia="仿宋" w:cs="仿宋"/>
          <w:color w:val="000000"/>
          <w:sz w:val="24"/>
        </w:rPr>
        <w:t>、乙方提供产品应无任何瑕疵，如在使用过程中本产品存在隐蔽瑕疵造成医疗事故而引发的纠纷，由乙方全额负责赔偿，并免费为甲方修复瑕疵或更新换代，期间产生的费用均由乙方承担。</w:t>
      </w:r>
    </w:p>
    <w:p>
      <w:pPr>
        <w:keepNext w:val="0"/>
        <w:keepLines w:val="0"/>
        <w:pageBreakBefore w:val="0"/>
        <w:widowControl w:val="0"/>
        <w:kinsoku/>
        <w:wordWrap/>
        <w:overflowPunct/>
        <w:topLinePunct w:val="0"/>
        <w:bidi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0</w:t>
      </w:r>
      <w:r>
        <w:rPr>
          <w:rFonts w:hint="eastAsia" w:ascii="仿宋" w:hAnsi="仿宋" w:eastAsia="仿宋" w:cs="仿宋"/>
          <w:color w:val="000000"/>
          <w:sz w:val="24"/>
        </w:rPr>
        <w:t>、保修、质保期后为有偿服务，甲乙双方可另行签订服务协议，原则上不超过合同总额的</w:t>
      </w:r>
      <w:r>
        <w:rPr>
          <w:rFonts w:hint="eastAsia" w:ascii="仿宋" w:hAnsi="仿宋" w:eastAsia="仿宋" w:cs="仿宋"/>
          <w:color w:val="000000"/>
          <w:sz w:val="24"/>
          <w:lang w:val="en-US" w:eastAsia="zh-CN"/>
        </w:rPr>
        <w:t>10</w:t>
      </w:r>
      <w:r>
        <w:rPr>
          <w:rFonts w:hint="eastAsia" w:ascii="仿宋" w:hAnsi="仿宋" w:eastAsia="仿宋" w:cs="仿宋"/>
          <w:color w:val="000000"/>
          <w:sz w:val="24"/>
        </w:rPr>
        <w:t>%。</w:t>
      </w:r>
    </w:p>
    <w:p>
      <w:pPr>
        <w:keepNext w:val="0"/>
        <w:keepLines w:val="0"/>
        <w:pageBreakBefore w:val="0"/>
        <w:widowControl w:val="0"/>
        <w:kinsoku/>
        <w:wordWrap/>
        <w:overflowPunct/>
        <w:topLinePunct w:val="0"/>
        <w:bidi w:val="0"/>
        <w:spacing w:line="360" w:lineRule="auto"/>
        <w:ind w:firstLine="482" w:firstLineChars="200"/>
        <w:rPr>
          <w:rFonts w:hint="eastAsia" w:ascii="仿宋" w:hAnsi="仿宋" w:eastAsia="仿宋" w:cs="仿宋"/>
          <w:b/>
          <w:kern w:val="0"/>
          <w:sz w:val="24"/>
          <w:szCs w:val="24"/>
          <w:lang w:val="en-US" w:eastAsia="zh-CN" w:bidi="ar-SA"/>
        </w:rPr>
      </w:pPr>
      <w:r>
        <w:rPr>
          <w:rFonts w:hint="eastAsia" w:ascii="仿宋" w:hAnsi="仿宋" w:eastAsia="仿宋" w:cs="仿宋"/>
          <w:b/>
          <w:kern w:val="0"/>
          <w:sz w:val="24"/>
          <w:szCs w:val="24"/>
          <w:lang w:val="en-US" w:eastAsia="zh-CN" w:bidi="ar-SA"/>
        </w:rPr>
        <w:t>第十条：知识产权及保密条款：</w:t>
      </w:r>
    </w:p>
    <w:p>
      <w:pPr>
        <w:keepNext w:val="0"/>
        <w:keepLines w:val="0"/>
        <w:pageBreakBefore w:val="0"/>
        <w:widowControl w:val="0"/>
        <w:numPr>
          <w:ilvl w:val="0"/>
          <w:numId w:val="21"/>
        </w:numPr>
        <w:kinsoku/>
        <w:wordWrap/>
        <w:overflowPunct/>
        <w:topLinePunct w:val="0"/>
        <w:bidi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乙方保证其提供本合同项下的产品具备相应资质，为履行本合同而使用的</w:t>
      </w:r>
      <w:r>
        <w:rPr>
          <w:rFonts w:hint="eastAsia" w:ascii="仿宋" w:hAnsi="仿宋" w:eastAsia="仿宋" w:cs="仿宋"/>
          <w:color w:val="000000"/>
          <w:sz w:val="24"/>
          <w:lang w:val="en-US" w:eastAsia="zh-CN"/>
        </w:rPr>
        <w:t>产品</w:t>
      </w:r>
      <w:r>
        <w:rPr>
          <w:rFonts w:hint="eastAsia" w:ascii="仿宋" w:hAnsi="仿宋" w:eastAsia="仿宋" w:cs="仿宋"/>
          <w:color w:val="000000"/>
          <w:sz w:val="24"/>
        </w:rPr>
        <w:t>不存在权利瑕疵或侵害第三人利益的情形。</w:t>
      </w:r>
    </w:p>
    <w:p>
      <w:pPr>
        <w:pStyle w:val="26"/>
        <w:keepNext w:val="0"/>
        <w:keepLines w:val="0"/>
        <w:pageBreakBefore w:val="0"/>
        <w:widowControl w:val="0"/>
        <w:tabs>
          <w:tab w:val="left" w:pos="6240"/>
        </w:tabs>
        <w:kinsoku/>
        <w:wordWrap/>
        <w:overflowPunct/>
        <w:topLinePunct w:val="0"/>
        <w:bidi w:val="0"/>
        <w:spacing w:line="360" w:lineRule="auto"/>
        <w:ind w:left="0" w:leftChars="0"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2、</w:t>
      </w:r>
      <w:r>
        <w:rPr>
          <w:rFonts w:hint="eastAsia" w:ascii="仿宋" w:hAnsi="仿宋" w:eastAsia="仿宋" w:cs="仿宋"/>
          <w:color w:val="000000"/>
          <w:kern w:val="2"/>
          <w:sz w:val="24"/>
          <w:szCs w:val="24"/>
          <w:lang w:val="en-US" w:eastAsia="zh-CN" w:bidi="ar-SA"/>
        </w:rPr>
        <w:t>本项目涉及的保密内容包括技术信息、经营信息等，双方都有责任对对方提供的技术情报、资料数据及商业秘密保密，不得向第三方泄露。</w:t>
      </w:r>
    </w:p>
    <w:p>
      <w:pPr>
        <w:pStyle w:val="20"/>
        <w:keepNext w:val="0"/>
        <w:keepLines w:val="0"/>
        <w:pageBreakBefore w:val="0"/>
        <w:widowControl w:val="0"/>
        <w:kinsoku/>
        <w:wordWrap/>
        <w:overflowPunct/>
        <w:topLinePunct w:val="0"/>
        <w:bidi w:val="0"/>
        <w:spacing w:line="360" w:lineRule="auto"/>
        <w:ind w:firstLine="480" w:firstLineChars="20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未经对方同意，任何一方不得以任何形式公开本合同及附件内容。双方在未征得对方同意的情况下，不得向第三方泄露在项目中接触到的需要保密的信息和资料。不得为任何本合同之外的其他目的而自行使用或允许他人使用从对方获得的信息（包括但不限于所有的报告、摘录、纪要、文件、计划、报表、复印件等）。</w:t>
      </w:r>
    </w:p>
    <w:p>
      <w:pPr>
        <w:pStyle w:val="20"/>
        <w:keepNext w:val="0"/>
        <w:keepLines w:val="0"/>
        <w:pageBreakBefore w:val="0"/>
        <w:widowControl w:val="0"/>
        <w:kinsoku/>
        <w:wordWrap/>
        <w:overflowPunct/>
        <w:topLinePunct w:val="0"/>
        <w:bidi w:val="0"/>
        <w:spacing w:line="360" w:lineRule="auto"/>
        <w:ind w:firstLine="480" w:firstLineChars="20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4、负有保密义务的人员范围为甲乙双方参与及知悉项目的所有人员，双方负有永久保密义务。</w:t>
      </w:r>
      <w:r>
        <w:rPr>
          <w:rFonts w:hint="eastAsia" w:ascii="仿宋" w:hAnsi="仿宋" w:eastAsia="仿宋" w:cs="仿宋"/>
          <w:color w:val="000000"/>
          <w:kern w:val="2"/>
          <w:sz w:val="24"/>
          <w:szCs w:val="24"/>
          <w:lang w:val="en-US" w:eastAsia="zh-CN" w:bidi="ar-SA"/>
        </w:rPr>
        <w:tab/>
      </w:r>
    </w:p>
    <w:p>
      <w:pPr>
        <w:pStyle w:val="20"/>
        <w:keepNext w:val="0"/>
        <w:keepLines w:val="0"/>
        <w:pageBreakBefore w:val="0"/>
        <w:widowControl w:val="0"/>
        <w:kinsoku/>
        <w:wordWrap/>
        <w:overflowPunct/>
        <w:topLinePunct w:val="0"/>
        <w:bidi w:val="0"/>
        <w:spacing w:line="360" w:lineRule="auto"/>
        <w:ind w:firstLine="480" w:firstLineChars="20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5、本项目项下产生数据资料、统计资料等电子信息所有权属于甲方，未经甲方书面同意，乙方不得以任何方式使用或变相使用，不得以任何方式向第三方披露，否则，乙方应当向甲方赔偿损失。</w:t>
      </w:r>
    </w:p>
    <w:p>
      <w:pPr>
        <w:pStyle w:val="107"/>
        <w:keepNext w:val="0"/>
        <w:keepLines w:val="0"/>
        <w:pageBreakBefore w:val="0"/>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kinsoku/>
        <w:wordWrap/>
        <w:overflowPunct/>
        <w:topLinePunct w:val="0"/>
        <w:bidi w:val="0"/>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color w:val="000000"/>
          <w:kern w:val="2"/>
          <w:sz w:val="24"/>
          <w:szCs w:val="24"/>
        </w:rPr>
        <w:t>第十</w:t>
      </w:r>
      <w:r>
        <w:rPr>
          <w:rFonts w:hint="eastAsia" w:ascii="仿宋" w:hAnsi="仿宋" w:eastAsia="仿宋" w:cs="仿宋"/>
          <w:b/>
          <w:color w:val="000000"/>
          <w:kern w:val="2"/>
          <w:sz w:val="24"/>
          <w:szCs w:val="24"/>
          <w:lang w:val="en-US" w:eastAsia="zh-CN"/>
        </w:rPr>
        <w:t>一</w:t>
      </w:r>
      <w:r>
        <w:rPr>
          <w:rFonts w:hint="eastAsia" w:ascii="仿宋" w:hAnsi="仿宋" w:eastAsia="仿宋" w:cs="仿宋"/>
          <w:b/>
          <w:color w:val="000000"/>
          <w:kern w:val="2"/>
          <w:sz w:val="24"/>
          <w:szCs w:val="24"/>
        </w:rPr>
        <w:t>条：</w:t>
      </w:r>
      <w:r>
        <w:rPr>
          <w:rFonts w:hint="eastAsia" w:ascii="仿宋" w:hAnsi="仿宋" w:eastAsia="仿宋" w:cs="仿宋"/>
          <w:b/>
          <w:sz w:val="24"/>
          <w:szCs w:val="24"/>
        </w:rPr>
        <w:t>违约责任：</w:t>
      </w:r>
    </w:p>
    <w:p>
      <w:pPr>
        <w:keepNext w:val="0"/>
        <w:keepLines w:val="0"/>
        <w:pageBreakBefore w:val="0"/>
        <w:widowControl w:val="0"/>
        <w:numPr>
          <w:ilvl w:val="-1"/>
          <w:numId w:val="0"/>
        </w:numPr>
        <w:kinsoku/>
        <w:wordWrap/>
        <w:overflowPunct/>
        <w:topLinePunct w:val="0"/>
        <w:bidi w:val="0"/>
        <w:spacing w:line="360" w:lineRule="auto"/>
        <w:ind w:leftChars="0"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w:t>
      </w:r>
      <w:r>
        <w:rPr>
          <w:rFonts w:hint="eastAsia" w:ascii="仿宋" w:hAnsi="仿宋" w:eastAsia="仿宋" w:cs="仿宋"/>
          <w:sz w:val="24"/>
        </w:rPr>
        <w:t xml:space="preserve"> 乙方如不能按时交货</w:t>
      </w:r>
      <w:r>
        <w:rPr>
          <w:rFonts w:hint="eastAsia" w:ascii="仿宋" w:hAnsi="仿宋" w:eastAsia="仿宋" w:cs="仿宋"/>
          <w:sz w:val="24"/>
          <w:lang w:eastAsia="zh-CN"/>
        </w:rPr>
        <w:t>，</w:t>
      </w:r>
      <w:r>
        <w:rPr>
          <w:rFonts w:hint="eastAsia" w:ascii="仿宋" w:hAnsi="仿宋" w:eastAsia="仿宋" w:cs="仿宋"/>
          <w:sz w:val="24"/>
        </w:rPr>
        <w:t>应向甲方支付迟延履行的违约金，</w:t>
      </w:r>
      <w:r>
        <w:rPr>
          <w:rFonts w:hint="eastAsia" w:ascii="仿宋" w:hAnsi="仿宋" w:eastAsia="仿宋" w:cs="仿宋"/>
          <w:sz w:val="24"/>
          <w:lang w:val="en-US" w:eastAsia="zh-CN"/>
        </w:rPr>
        <w:t>每逾期一天以</w:t>
      </w:r>
      <w:r>
        <w:rPr>
          <w:rFonts w:hint="eastAsia" w:ascii="仿宋" w:hAnsi="仿宋" w:eastAsia="仿宋" w:cs="仿宋"/>
          <w:sz w:val="24"/>
        </w:rPr>
        <w:t>逾期交货货款金额</w:t>
      </w:r>
      <w:r>
        <w:rPr>
          <w:rFonts w:hint="eastAsia" w:ascii="仿宋" w:hAnsi="仿宋" w:eastAsia="仿宋" w:cs="仿宋"/>
          <w:sz w:val="24"/>
          <w:lang w:val="en-US" w:eastAsia="zh-CN"/>
        </w:rPr>
        <w:t>为基数按照日</w:t>
      </w:r>
      <w:r>
        <w:rPr>
          <w:rFonts w:hint="eastAsia" w:ascii="仿宋" w:hAnsi="仿宋" w:eastAsia="仿宋" w:cs="仿宋"/>
          <w:sz w:val="24"/>
          <w:u w:val="single"/>
          <w:lang w:val="en-US" w:eastAsia="zh-CN"/>
        </w:rPr>
        <w:t xml:space="preserve"> 0.2 </w:t>
      </w:r>
      <w:r>
        <w:rPr>
          <w:rFonts w:hint="eastAsia" w:ascii="仿宋" w:hAnsi="仿宋" w:eastAsia="仿宋" w:cs="仿宋"/>
          <w:sz w:val="24"/>
          <w:lang w:val="en-US" w:eastAsia="zh-CN"/>
        </w:rPr>
        <w:t>‰</w:t>
      </w:r>
      <w:r>
        <w:rPr>
          <w:rFonts w:hint="eastAsia" w:ascii="仿宋" w:hAnsi="仿宋" w:eastAsia="仿宋" w:cs="仿宋"/>
          <w:sz w:val="24"/>
        </w:rPr>
        <w:t>计算</w:t>
      </w:r>
      <w:r>
        <w:rPr>
          <w:rFonts w:hint="eastAsia" w:ascii="仿宋" w:hAnsi="仿宋" w:eastAsia="仿宋" w:cs="仿宋"/>
          <w:sz w:val="24"/>
          <w:lang w:val="en-US" w:eastAsia="zh-CN"/>
        </w:rPr>
        <w:t>违约金</w:t>
      </w:r>
      <w:r>
        <w:rPr>
          <w:rFonts w:hint="eastAsia" w:ascii="仿宋" w:hAnsi="仿宋" w:eastAsia="仿宋" w:cs="仿宋"/>
          <w:sz w:val="24"/>
        </w:rPr>
        <w:t>。</w:t>
      </w:r>
      <w:r>
        <w:rPr>
          <w:rFonts w:hint="eastAsia" w:ascii="仿宋" w:hAnsi="仿宋" w:eastAsia="仿宋" w:cs="仿宋"/>
          <w:sz w:val="24"/>
          <w:lang w:val="en-US" w:eastAsia="zh-CN"/>
        </w:rPr>
        <w:t>乙方如</w:t>
      </w:r>
      <w:r>
        <w:rPr>
          <w:rFonts w:hint="eastAsia" w:ascii="仿宋" w:hAnsi="仿宋" w:eastAsia="仿宋" w:cs="仿宋"/>
          <w:sz w:val="24"/>
        </w:rPr>
        <w:t>未按照本合同约定</w:t>
      </w:r>
      <w:r>
        <w:rPr>
          <w:rFonts w:hint="eastAsia" w:ascii="仿宋" w:hAnsi="仿宋" w:eastAsia="仿宋" w:cs="仿宋"/>
          <w:sz w:val="24"/>
          <w:lang w:val="en-US" w:eastAsia="zh-CN"/>
        </w:rPr>
        <w:t>时间完成</w:t>
      </w:r>
      <w:r>
        <w:rPr>
          <w:rFonts w:hint="eastAsia" w:ascii="仿宋" w:hAnsi="仿宋" w:eastAsia="仿宋" w:cs="仿宋"/>
          <w:sz w:val="24"/>
        </w:rPr>
        <w:t>安装、调试</w:t>
      </w:r>
      <w:r>
        <w:rPr>
          <w:rFonts w:hint="eastAsia" w:ascii="仿宋" w:hAnsi="仿宋" w:eastAsia="仿宋" w:cs="仿宋"/>
          <w:sz w:val="24"/>
          <w:lang w:val="en-US" w:eastAsia="zh-CN"/>
        </w:rPr>
        <w:t>等义务</w:t>
      </w:r>
      <w:r>
        <w:rPr>
          <w:rFonts w:hint="eastAsia" w:ascii="仿宋" w:hAnsi="仿宋" w:eastAsia="仿宋" w:cs="仿宋"/>
          <w:sz w:val="24"/>
        </w:rPr>
        <w:t>，</w:t>
      </w:r>
      <w:r>
        <w:rPr>
          <w:rFonts w:hint="eastAsia" w:ascii="仿宋" w:hAnsi="仿宋" w:eastAsia="仿宋" w:cs="仿宋"/>
          <w:sz w:val="24"/>
          <w:lang w:val="en-US" w:eastAsia="zh-CN"/>
        </w:rPr>
        <w:t>每逾期一天</w:t>
      </w:r>
      <w:r>
        <w:rPr>
          <w:rFonts w:hint="eastAsia" w:ascii="仿宋" w:hAnsi="仿宋" w:eastAsia="仿宋" w:cs="仿宋"/>
          <w:sz w:val="24"/>
        </w:rPr>
        <w:t>应向甲方支付本合同总价款</w:t>
      </w:r>
      <w:r>
        <w:rPr>
          <w:rFonts w:hint="eastAsia" w:ascii="仿宋" w:hAnsi="仿宋" w:eastAsia="仿宋" w:cs="仿宋"/>
          <w:sz w:val="24"/>
          <w:u w:val="single"/>
          <w:lang w:val="en-US" w:eastAsia="zh-CN"/>
        </w:rPr>
        <w:t xml:space="preserve">  0.2  </w:t>
      </w:r>
      <w:r>
        <w:rPr>
          <w:rFonts w:hint="eastAsia" w:ascii="仿宋" w:hAnsi="仿宋" w:eastAsia="仿宋" w:cs="仿宋"/>
          <w:sz w:val="24"/>
          <w:lang w:val="en-US" w:eastAsia="zh-CN"/>
        </w:rPr>
        <w:t>‰</w:t>
      </w:r>
      <w:r>
        <w:rPr>
          <w:rFonts w:hint="eastAsia" w:ascii="仿宋" w:hAnsi="仿宋" w:eastAsia="仿宋" w:cs="仿宋"/>
          <w:sz w:val="24"/>
        </w:rPr>
        <w:t>的违约金。</w:t>
      </w:r>
      <w:r>
        <w:rPr>
          <w:rFonts w:hint="eastAsia" w:ascii="仿宋" w:hAnsi="仿宋" w:eastAsia="仿宋" w:cs="仿宋"/>
          <w:sz w:val="24"/>
          <w:lang w:val="en-US" w:eastAsia="zh-CN"/>
        </w:rPr>
        <w:t>乙方逾期超过</w:t>
      </w:r>
      <w:r>
        <w:rPr>
          <w:rFonts w:hint="eastAsia" w:ascii="仿宋" w:hAnsi="仿宋" w:eastAsia="仿宋" w:cs="仿宋"/>
          <w:sz w:val="24"/>
          <w:u w:val="single"/>
          <w:lang w:val="en-US" w:eastAsia="zh-CN"/>
        </w:rPr>
        <w:t xml:space="preserve"> 60 </w:t>
      </w:r>
      <w:r>
        <w:rPr>
          <w:rFonts w:hint="eastAsia" w:ascii="仿宋" w:hAnsi="仿宋" w:eastAsia="仿宋" w:cs="仿宋"/>
          <w:sz w:val="24"/>
          <w:lang w:val="en-US" w:eastAsia="zh-CN"/>
        </w:rPr>
        <w:t>天的，甲方有权解除合同。</w:t>
      </w:r>
    </w:p>
    <w:p>
      <w:pPr>
        <w:keepNext w:val="0"/>
        <w:keepLines w:val="0"/>
        <w:pageBreakBefore w:val="0"/>
        <w:widowControl w:val="0"/>
        <w:numPr>
          <w:ilvl w:val="-1"/>
          <w:numId w:val="0"/>
        </w:numPr>
        <w:kinsoku/>
        <w:wordWrap/>
        <w:overflowPunct/>
        <w:topLinePunct w:val="0"/>
        <w:bidi w:val="0"/>
        <w:spacing w:line="360" w:lineRule="auto"/>
        <w:ind w:leftChars="0" w:firstLine="480" w:firstLineChars="200"/>
        <w:rPr>
          <w:rFonts w:hint="eastAsia" w:ascii="仿宋" w:hAnsi="仿宋" w:eastAsia="仿宋" w:cs="仿宋"/>
          <w:sz w:val="24"/>
        </w:rPr>
      </w:pPr>
      <w:r>
        <w:rPr>
          <w:rFonts w:hint="eastAsia" w:ascii="仿宋" w:hAnsi="仿宋" w:eastAsia="仿宋" w:cs="仿宋"/>
          <w:sz w:val="24"/>
        </w:rPr>
        <w:t>如</w:t>
      </w:r>
      <w:r>
        <w:rPr>
          <w:rFonts w:hint="eastAsia" w:ascii="仿宋" w:hAnsi="仿宋" w:eastAsia="仿宋" w:cs="仿宋"/>
          <w:sz w:val="24"/>
          <w:lang w:val="en-US" w:eastAsia="zh-CN"/>
        </w:rPr>
        <w:t>乙方</w:t>
      </w:r>
      <w:r>
        <w:rPr>
          <w:rFonts w:hint="eastAsia" w:ascii="仿宋" w:hAnsi="仿宋" w:eastAsia="仿宋" w:cs="仿宋"/>
          <w:sz w:val="24"/>
        </w:rPr>
        <w:t>交付的产品数量、品种、规格、质量不符合国家标准和合同约定的</w:t>
      </w:r>
      <w:r>
        <w:rPr>
          <w:rFonts w:hint="eastAsia" w:ascii="仿宋" w:hAnsi="仿宋" w:eastAsia="仿宋" w:cs="仿宋"/>
          <w:sz w:val="24"/>
          <w:lang w:eastAsia="zh-CN"/>
        </w:rPr>
        <w:t>，</w:t>
      </w:r>
      <w:r>
        <w:rPr>
          <w:rFonts w:hint="eastAsia" w:ascii="仿宋" w:hAnsi="仿宋" w:eastAsia="仿宋" w:cs="仿宋"/>
          <w:sz w:val="24"/>
        </w:rPr>
        <w:t>由乙方负责包换、退货，并承担由此给甲方造成的所有经济损失。</w:t>
      </w:r>
    </w:p>
    <w:p>
      <w:pPr>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lang w:val="en-US" w:eastAsia="zh-CN"/>
        </w:rPr>
        <w:t>2、</w:t>
      </w:r>
      <w:r>
        <w:rPr>
          <w:rFonts w:hint="eastAsia" w:ascii="仿宋" w:hAnsi="仿宋" w:eastAsia="仿宋" w:cs="仿宋"/>
          <w:color w:val="000000"/>
          <w:sz w:val="24"/>
        </w:rPr>
        <w:t xml:space="preserve"> 除前款约定外，乙方未按合同要求提供产品或提供虚假材料，且质量不能满足技术要求的，甲方</w:t>
      </w:r>
      <w:r>
        <w:rPr>
          <w:rFonts w:hint="eastAsia" w:ascii="仿宋" w:hAnsi="仿宋" w:eastAsia="仿宋" w:cs="仿宋"/>
          <w:color w:val="000000"/>
          <w:sz w:val="24"/>
          <w:lang w:val="en-US" w:eastAsia="zh-CN"/>
        </w:rPr>
        <w:t>有权解除</w:t>
      </w:r>
      <w:r>
        <w:rPr>
          <w:rFonts w:hint="eastAsia" w:ascii="仿宋" w:hAnsi="仿宋" w:eastAsia="仿宋" w:cs="仿宋"/>
          <w:color w:val="000000"/>
          <w:sz w:val="24"/>
        </w:rPr>
        <w:t>合同，并对乙方的违法、违约行为进行追究。</w:t>
      </w:r>
    </w:p>
    <w:p>
      <w:pPr>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乙方确保甲方购买的产品拥有合法的知识产权（即为正版软件），如因甲方购买、使用该软件引起与其它第三方发生法律、经济纠纷的，乙方应主动承担全部责任，积极参与处理因软件引起的与其他第三方发生法律、经济责任，承担甲方因此造成的全部损失（包括但不限于赔偿费、律师费、交通费</w:t>
      </w:r>
      <w:r>
        <w:rPr>
          <w:rFonts w:hint="eastAsia" w:ascii="仿宋" w:hAnsi="仿宋" w:eastAsia="仿宋" w:cs="仿宋"/>
          <w:sz w:val="24"/>
          <w:lang w:eastAsia="zh-CN"/>
        </w:rPr>
        <w:t>、</w:t>
      </w:r>
      <w:r>
        <w:rPr>
          <w:rFonts w:hint="eastAsia" w:ascii="仿宋" w:hAnsi="仿宋" w:eastAsia="仿宋" w:cs="仿宋"/>
          <w:sz w:val="24"/>
          <w:lang w:val="en-US" w:eastAsia="zh-CN"/>
        </w:rPr>
        <w:t>诉讼费</w:t>
      </w:r>
      <w:r>
        <w:rPr>
          <w:rFonts w:hint="eastAsia" w:ascii="仿宋" w:hAnsi="仿宋" w:eastAsia="仿宋" w:cs="仿宋"/>
          <w:sz w:val="24"/>
        </w:rPr>
        <w:t>等），并且乙方应退还甲方支付的所有款项，以及支付合同价款总额的</w:t>
      </w:r>
      <w:r>
        <w:rPr>
          <w:rFonts w:hint="eastAsia" w:ascii="仿宋" w:hAnsi="仿宋" w:eastAsia="仿宋" w:cs="仿宋"/>
          <w:sz w:val="24"/>
          <w:u w:val="single"/>
        </w:rPr>
        <w:t>20%</w:t>
      </w:r>
      <w:r>
        <w:rPr>
          <w:rFonts w:hint="eastAsia" w:ascii="仿宋" w:hAnsi="仿宋" w:eastAsia="仿宋" w:cs="仿宋"/>
          <w:sz w:val="24"/>
        </w:rPr>
        <w:t>违约金。</w:t>
      </w:r>
    </w:p>
    <w:p>
      <w:pPr>
        <w:pStyle w:val="108"/>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rPr>
      </w:pPr>
      <w:r>
        <w:rPr>
          <w:rFonts w:hint="eastAsia" w:ascii="仿宋" w:hAnsi="仿宋" w:eastAsia="仿宋" w:cs="仿宋"/>
          <w:kern w:val="2"/>
          <w:sz w:val="24"/>
          <w:szCs w:val="24"/>
          <w:lang w:val="en-US" w:eastAsia="zh-CN" w:bidi="ar-SA"/>
        </w:rPr>
        <w:t>4、甲方未按合同约定提供工作条件或完成配合事项，或者提供工作条件、完成配合事项不符合合同约定影响项目进度和质量的，项目交付期限相应顺延。</w:t>
      </w:r>
    </w:p>
    <w:p>
      <w:pPr>
        <w:pStyle w:val="20"/>
        <w:keepNext w:val="0"/>
        <w:keepLines w:val="0"/>
        <w:pageBreakBefore w:val="0"/>
        <w:widowControl w:val="0"/>
        <w:kinsoku/>
        <w:wordWrap/>
        <w:overflowPunct/>
        <w:topLinePunct w:val="0"/>
        <w:bidi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kern w:val="2"/>
          <w:sz w:val="24"/>
          <w:szCs w:val="24"/>
          <w:lang w:val="en-US" w:eastAsia="zh-CN" w:bidi="ar-SA"/>
        </w:rPr>
        <w:t>5、因甲方违约导致本合同解除的，乙方有权按已履行完毕的服务内容向甲方收取对应合同价款。</w:t>
      </w:r>
    </w:p>
    <w:p>
      <w:pPr>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6、因乙方违约导致合同解除的，乙方应向甲方退还已收的所有款项，并向甲方支付</w:t>
      </w:r>
      <w:r>
        <w:rPr>
          <w:rFonts w:hint="eastAsia" w:ascii="仿宋" w:hAnsi="仿宋" w:eastAsia="仿宋" w:cs="仿宋"/>
          <w:sz w:val="24"/>
        </w:rPr>
        <w:t>合同价款总额的</w:t>
      </w:r>
      <w:r>
        <w:rPr>
          <w:rFonts w:hint="eastAsia" w:ascii="仿宋" w:hAnsi="仿宋" w:eastAsia="仿宋" w:cs="仿宋"/>
          <w:sz w:val="24"/>
          <w:u w:val="single"/>
        </w:rPr>
        <w:t>20%</w:t>
      </w:r>
      <w:r>
        <w:rPr>
          <w:rFonts w:hint="eastAsia" w:ascii="仿宋" w:hAnsi="仿宋" w:eastAsia="仿宋" w:cs="仿宋"/>
          <w:sz w:val="24"/>
        </w:rPr>
        <w:t>违约金。</w:t>
      </w:r>
    </w:p>
    <w:p>
      <w:pPr>
        <w:keepNext w:val="0"/>
        <w:keepLines w:val="0"/>
        <w:pageBreakBefore w:val="0"/>
        <w:widowControl w:val="0"/>
        <w:kinsoku/>
        <w:wordWrap/>
        <w:overflowPunct/>
        <w:topLinePunct w:val="0"/>
        <w:bidi w:val="0"/>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第十</w:t>
      </w:r>
      <w:r>
        <w:rPr>
          <w:rFonts w:hint="eastAsia" w:ascii="仿宋" w:hAnsi="仿宋" w:eastAsia="仿宋" w:cs="仿宋"/>
          <w:b/>
          <w:color w:val="000000"/>
          <w:sz w:val="24"/>
          <w:lang w:val="en-US" w:eastAsia="zh-CN"/>
        </w:rPr>
        <w:t>二</w:t>
      </w:r>
      <w:r>
        <w:rPr>
          <w:rFonts w:hint="eastAsia" w:ascii="仿宋" w:hAnsi="仿宋" w:eastAsia="仿宋" w:cs="仿宋"/>
          <w:b/>
          <w:color w:val="000000"/>
          <w:sz w:val="24"/>
        </w:rPr>
        <w:t>条：不可抗力：</w:t>
      </w:r>
    </w:p>
    <w:p>
      <w:pPr>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如果由于无法预见并且对其发生和后果无法防止或避免的事件，如地震、水灾、火灾和其他自然灾害、战争、暴动、和类似的军事行动，民间骚动以及政府的禁运令、禁止令或其他政府限制和行动，或者其他阻止一方履行本合同义务的任何事件或原因（统称：不可抗力事件）。直接致使遇到上述事件的一方（即受阻方）不能履行本合同约定的全部或部分义务的，受阻方应立即书面通知另一方，并在不可抗力事件发生后十五个工作日内提供有关该事件的权威机关的书面材料，包括陈述迟延履行、部分履行或无法履行本合同义务的理由的说明书，方可免责。</w:t>
      </w:r>
    </w:p>
    <w:p>
      <w:pPr>
        <w:keepNext w:val="0"/>
        <w:keepLines w:val="0"/>
        <w:pageBreakBefore w:val="0"/>
        <w:widowControl w:val="0"/>
        <w:kinsoku/>
        <w:wordWrap/>
        <w:overflowPunct/>
        <w:topLinePunct w:val="0"/>
        <w:bidi w:val="0"/>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第十</w:t>
      </w:r>
      <w:r>
        <w:rPr>
          <w:rFonts w:hint="eastAsia" w:ascii="仿宋" w:hAnsi="仿宋" w:eastAsia="仿宋" w:cs="仿宋"/>
          <w:b/>
          <w:color w:val="000000"/>
          <w:sz w:val="24"/>
          <w:lang w:val="en-US" w:eastAsia="zh-CN"/>
        </w:rPr>
        <w:t>三</w:t>
      </w:r>
      <w:r>
        <w:rPr>
          <w:rFonts w:hint="eastAsia" w:ascii="仿宋" w:hAnsi="仿宋" w:eastAsia="仿宋" w:cs="仿宋"/>
          <w:b/>
          <w:color w:val="000000"/>
          <w:sz w:val="24"/>
        </w:rPr>
        <w:t>条：纠纷的解决：</w:t>
      </w:r>
    </w:p>
    <w:p>
      <w:pPr>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本合同在履行过程中发生的与本合同有关的任何争议，由甲、乙双方先行友好协商解决，协商不成的，任何一方有权向甲方所在地人民法院起诉。</w:t>
      </w:r>
    </w:p>
    <w:p>
      <w:pPr>
        <w:keepNext w:val="0"/>
        <w:keepLines w:val="0"/>
        <w:pageBreakBefore w:val="0"/>
        <w:widowControl w:val="0"/>
        <w:kinsoku/>
        <w:wordWrap/>
        <w:overflowPunct/>
        <w:topLinePunct w:val="0"/>
        <w:bidi w:val="0"/>
        <w:spacing w:line="360" w:lineRule="auto"/>
        <w:ind w:firstLine="482" w:firstLineChars="200"/>
        <w:rPr>
          <w:rFonts w:hint="eastAsia" w:ascii="仿宋" w:hAnsi="仿宋" w:eastAsia="仿宋" w:cs="仿宋"/>
          <w:color w:val="000000"/>
          <w:sz w:val="24"/>
        </w:rPr>
      </w:pPr>
      <w:r>
        <w:rPr>
          <w:rFonts w:hint="eastAsia" w:ascii="仿宋" w:hAnsi="仿宋" w:eastAsia="仿宋" w:cs="仿宋"/>
          <w:b/>
          <w:color w:val="000000"/>
          <w:sz w:val="24"/>
        </w:rPr>
        <w:t>第十</w:t>
      </w:r>
      <w:r>
        <w:rPr>
          <w:rFonts w:hint="eastAsia" w:ascii="仿宋" w:hAnsi="仿宋" w:eastAsia="仿宋" w:cs="仿宋"/>
          <w:b/>
          <w:color w:val="000000"/>
          <w:sz w:val="24"/>
          <w:lang w:val="en-US" w:eastAsia="zh-CN"/>
        </w:rPr>
        <w:t>四</w:t>
      </w:r>
      <w:r>
        <w:rPr>
          <w:rFonts w:hint="eastAsia" w:ascii="仿宋" w:hAnsi="仿宋" w:eastAsia="仿宋" w:cs="仿宋"/>
          <w:b/>
          <w:color w:val="000000"/>
          <w:sz w:val="24"/>
        </w:rPr>
        <w:t>条</w:t>
      </w:r>
      <w:r>
        <w:rPr>
          <w:rFonts w:hint="eastAsia" w:ascii="仿宋" w:hAnsi="仿宋" w:eastAsia="仿宋" w:cs="仿宋"/>
          <w:color w:val="000000"/>
          <w:sz w:val="24"/>
        </w:rPr>
        <w:t>：本合同一式肆份，甲乙双方各执贰份，均具有同等法律效力。</w:t>
      </w:r>
    </w:p>
    <w:p>
      <w:pPr>
        <w:keepNext w:val="0"/>
        <w:keepLines w:val="0"/>
        <w:pageBreakBefore w:val="0"/>
        <w:widowControl w:val="0"/>
        <w:kinsoku/>
        <w:wordWrap/>
        <w:overflowPunct/>
        <w:topLinePunct w:val="0"/>
        <w:bidi w:val="0"/>
        <w:spacing w:line="360" w:lineRule="auto"/>
        <w:ind w:firstLine="482" w:firstLineChars="200"/>
        <w:rPr>
          <w:rFonts w:hint="eastAsia" w:ascii="仿宋" w:hAnsi="仿宋" w:eastAsia="仿宋" w:cs="仿宋"/>
          <w:color w:val="000000"/>
          <w:sz w:val="24"/>
        </w:rPr>
      </w:pPr>
      <w:r>
        <w:rPr>
          <w:rFonts w:hint="eastAsia" w:ascii="仿宋" w:hAnsi="仿宋" w:eastAsia="仿宋" w:cs="仿宋"/>
          <w:b/>
          <w:color w:val="000000"/>
          <w:sz w:val="24"/>
        </w:rPr>
        <w:t>第十</w:t>
      </w:r>
      <w:r>
        <w:rPr>
          <w:rFonts w:hint="eastAsia" w:ascii="仿宋" w:hAnsi="仿宋" w:eastAsia="仿宋" w:cs="仿宋"/>
          <w:b/>
          <w:color w:val="000000"/>
          <w:sz w:val="24"/>
          <w:lang w:val="en-US" w:eastAsia="zh-CN"/>
        </w:rPr>
        <w:t>五</w:t>
      </w:r>
      <w:r>
        <w:rPr>
          <w:rFonts w:hint="eastAsia" w:ascii="仿宋" w:hAnsi="仿宋" w:eastAsia="仿宋" w:cs="仿宋"/>
          <w:b/>
          <w:color w:val="000000"/>
          <w:sz w:val="24"/>
        </w:rPr>
        <w:t>条</w:t>
      </w:r>
      <w:r>
        <w:rPr>
          <w:rFonts w:hint="eastAsia" w:ascii="仿宋" w:hAnsi="仿宋" w:eastAsia="仿宋" w:cs="仿宋"/>
          <w:color w:val="000000"/>
          <w:sz w:val="24"/>
        </w:rPr>
        <w:t>：本合同未尽事宜，由甲、乙双方另行签订补充协议，补充协议作为合同附件与本合同具有同等法律效力。</w:t>
      </w:r>
    </w:p>
    <w:p>
      <w:pPr>
        <w:keepNext w:val="0"/>
        <w:keepLines w:val="0"/>
        <w:pageBreakBefore w:val="0"/>
        <w:widowControl w:val="0"/>
        <w:kinsoku/>
        <w:wordWrap/>
        <w:overflowPunct/>
        <w:topLinePunct w:val="0"/>
        <w:bidi w:val="0"/>
        <w:spacing w:line="360" w:lineRule="auto"/>
        <w:ind w:firstLine="482" w:firstLineChars="200"/>
        <w:rPr>
          <w:rFonts w:hint="eastAsia" w:ascii="仿宋" w:hAnsi="仿宋" w:eastAsia="仿宋" w:cs="仿宋"/>
          <w:color w:val="000000"/>
          <w:sz w:val="24"/>
        </w:rPr>
      </w:pPr>
      <w:r>
        <w:rPr>
          <w:rFonts w:hint="eastAsia" w:ascii="仿宋" w:hAnsi="仿宋" w:eastAsia="仿宋" w:cs="仿宋"/>
          <w:b/>
          <w:color w:val="000000"/>
          <w:sz w:val="24"/>
        </w:rPr>
        <w:t>第十</w:t>
      </w:r>
      <w:r>
        <w:rPr>
          <w:rFonts w:hint="eastAsia" w:ascii="仿宋" w:hAnsi="仿宋" w:eastAsia="仿宋" w:cs="仿宋"/>
          <w:b/>
          <w:color w:val="000000"/>
          <w:sz w:val="24"/>
          <w:lang w:val="en-US" w:eastAsia="zh-CN"/>
        </w:rPr>
        <w:t>六</w:t>
      </w:r>
      <w:r>
        <w:rPr>
          <w:rFonts w:hint="eastAsia" w:ascii="仿宋" w:hAnsi="仿宋" w:eastAsia="仿宋" w:cs="仿宋"/>
          <w:b/>
          <w:color w:val="000000"/>
          <w:sz w:val="24"/>
        </w:rPr>
        <w:t>条</w:t>
      </w:r>
      <w:r>
        <w:rPr>
          <w:rFonts w:hint="eastAsia" w:ascii="仿宋" w:hAnsi="仿宋" w:eastAsia="仿宋" w:cs="仿宋"/>
          <w:color w:val="000000"/>
          <w:sz w:val="24"/>
        </w:rPr>
        <w:t>：本合同自甲、乙双方正式授权代表签字并加盖公章之日生效。</w:t>
      </w:r>
    </w:p>
    <w:p>
      <w:pPr>
        <w:keepNext w:val="0"/>
        <w:keepLines w:val="0"/>
        <w:pageBreakBefore w:val="0"/>
        <w:widowControl w:val="0"/>
        <w:kinsoku/>
        <w:wordWrap/>
        <w:overflowPunct/>
        <w:topLinePunct w:val="0"/>
        <w:bidi w:val="0"/>
        <w:spacing w:line="360" w:lineRule="auto"/>
        <w:ind w:firstLine="482" w:firstLineChars="200"/>
        <w:rPr>
          <w:rFonts w:hint="eastAsia" w:ascii="仿宋" w:hAnsi="仿宋" w:eastAsia="仿宋" w:cs="仿宋"/>
          <w:color w:val="000000"/>
          <w:sz w:val="24"/>
        </w:rPr>
      </w:pPr>
      <w:r>
        <w:rPr>
          <w:rFonts w:hint="eastAsia" w:ascii="仿宋" w:hAnsi="仿宋" w:eastAsia="仿宋" w:cs="仿宋"/>
          <w:b/>
          <w:color w:val="000000"/>
          <w:sz w:val="24"/>
        </w:rPr>
        <w:t>第十</w:t>
      </w:r>
      <w:r>
        <w:rPr>
          <w:rFonts w:hint="eastAsia" w:ascii="仿宋" w:hAnsi="仿宋" w:eastAsia="仿宋" w:cs="仿宋"/>
          <w:b/>
          <w:color w:val="000000"/>
          <w:sz w:val="24"/>
          <w:lang w:val="en-US" w:eastAsia="zh-CN"/>
        </w:rPr>
        <w:t>七</w:t>
      </w:r>
      <w:r>
        <w:rPr>
          <w:rFonts w:hint="eastAsia" w:ascii="仿宋" w:hAnsi="仿宋" w:eastAsia="仿宋" w:cs="仿宋"/>
          <w:b/>
          <w:color w:val="000000"/>
          <w:sz w:val="24"/>
        </w:rPr>
        <w:t>条</w:t>
      </w:r>
      <w:r>
        <w:rPr>
          <w:rFonts w:hint="eastAsia" w:ascii="仿宋" w:hAnsi="仿宋" w:eastAsia="仿宋" w:cs="仿宋"/>
          <w:color w:val="000000"/>
          <w:sz w:val="24"/>
        </w:rPr>
        <w:t>：本合同有效期自生效之日起至合同执行完毕时止。</w:t>
      </w:r>
    </w:p>
    <w:p>
      <w:pPr>
        <w:keepNext w:val="0"/>
        <w:keepLines w:val="0"/>
        <w:pageBreakBefore w:val="0"/>
        <w:widowControl w:val="0"/>
        <w:kinsoku/>
        <w:wordWrap/>
        <w:overflowPunct/>
        <w:topLinePunct w:val="0"/>
        <w:bidi w:val="0"/>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第十</w:t>
      </w:r>
      <w:r>
        <w:rPr>
          <w:rFonts w:hint="eastAsia" w:ascii="仿宋" w:hAnsi="仿宋" w:eastAsia="仿宋" w:cs="仿宋"/>
          <w:b/>
          <w:color w:val="000000"/>
          <w:sz w:val="24"/>
          <w:lang w:val="en-US" w:eastAsia="zh-CN"/>
        </w:rPr>
        <w:t>八</w:t>
      </w:r>
      <w:r>
        <w:rPr>
          <w:rFonts w:hint="eastAsia" w:ascii="仿宋" w:hAnsi="仿宋" w:eastAsia="仿宋" w:cs="仿宋"/>
          <w:b/>
          <w:color w:val="000000"/>
          <w:sz w:val="24"/>
        </w:rPr>
        <w:t>条：</w:t>
      </w:r>
      <w:r>
        <w:rPr>
          <w:rFonts w:hint="eastAsia" w:ascii="仿宋" w:hAnsi="仿宋" w:eastAsia="仿宋" w:cs="仿宋"/>
          <w:color w:val="000000"/>
          <w:sz w:val="24"/>
        </w:rPr>
        <w:t>本合同应当按照中华人民共和国的现行法律、法规进行解释。</w:t>
      </w:r>
    </w:p>
    <w:p>
      <w:pPr>
        <w:spacing w:line="400" w:lineRule="exact"/>
        <w:ind w:firstLine="354" w:firstLineChars="147"/>
        <w:rPr>
          <w:rFonts w:hint="eastAsia" w:ascii="仿宋" w:hAnsi="仿宋" w:eastAsia="仿宋" w:cs="仿宋"/>
          <w:b/>
          <w:color w:val="D9D9D9"/>
          <w:sz w:val="24"/>
        </w:rPr>
      </w:pPr>
      <w:r>
        <w:rPr>
          <w:rFonts w:hint="eastAsia" w:ascii="仿宋" w:hAnsi="仿宋" w:eastAsia="仿宋" w:cs="仿宋"/>
          <w:b/>
          <w:color w:val="D9D9D9"/>
          <w:sz w:val="24"/>
        </w:rPr>
        <w:t>-----------------------以下无正文-------------------------</w:t>
      </w:r>
    </w:p>
    <w:p>
      <w:pPr>
        <w:spacing w:line="400" w:lineRule="exact"/>
        <w:ind w:firstLine="354" w:firstLineChars="147"/>
        <w:rPr>
          <w:rFonts w:hint="eastAsia" w:ascii="仿宋" w:hAnsi="仿宋" w:eastAsia="仿宋" w:cs="仿宋"/>
          <w:b/>
          <w:color w:val="000000"/>
          <w:sz w:val="24"/>
        </w:rPr>
      </w:pPr>
    </w:p>
    <w:p>
      <w:pPr>
        <w:spacing w:line="400" w:lineRule="exact"/>
        <w:rPr>
          <w:rFonts w:hint="eastAsia" w:ascii="仿宋" w:hAnsi="仿宋" w:eastAsia="仿宋" w:cs="仿宋"/>
          <w:b/>
          <w:color w:val="000000"/>
          <w:sz w:val="24"/>
        </w:rPr>
      </w:pPr>
    </w:p>
    <w:p>
      <w:pPr>
        <w:spacing w:line="400" w:lineRule="exact"/>
        <w:rPr>
          <w:rFonts w:hint="eastAsia" w:ascii="仿宋" w:hAnsi="仿宋" w:eastAsia="仿宋" w:cs="仿宋"/>
          <w:b/>
          <w:color w:val="000000"/>
          <w:sz w:val="24"/>
        </w:rPr>
      </w:pPr>
    </w:p>
    <w:p>
      <w:pPr>
        <w:spacing w:line="400" w:lineRule="exact"/>
        <w:jc w:val="left"/>
        <w:rPr>
          <w:rFonts w:hint="eastAsia" w:ascii="仿宋" w:hAnsi="仿宋" w:eastAsia="仿宋" w:cs="仿宋"/>
          <w:b/>
          <w:color w:val="000000"/>
          <w:sz w:val="24"/>
        </w:rPr>
      </w:pPr>
      <w:r>
        <w:rPr>
          <w:rFonts w:hint="eastAsia" w:ascii="仿宋" w:hAnsi="仿宋" w:eastAsia="仿宋" w:cs="仿宋"/>
          <w:b/>
          <w:color w:val="000000"/>
          <w:sz w:val="24"/>
        </w:rPr>
        <w:t>甲方（盖章）：</w:t>
      </w:r>
      <w:r>
        <w:rPr>
          <w:rFonts w:hint="eastAsia" w:ascii="仿宋" w:hAnsi="仿宋" w:eastAsia="仿宋" w:cs="仿宋"/>
          <w:b/>
          <w:color w:val="000000"/>
          <w:sz w:val="24"/>
        </w:rPr>
        <w:tab/>
      </w:r>
      <w:r>
        <w:rPr>
          <w:rFonts w:hint="eastAsia" w:ascii="仿宋" w:hAnsi="仿宋" w:eastAsia="仿宋" w:cs="仿宋"/>
          <w:b/>
          <w:color w:val="000000"/>
          <w:sz w:val="24"/>
        </w:rPr>
        <w:tab/>
      </w:r>
      <w:r>
        <w:rPr>
          <w:rFonts w:hint="eastAsia" w:ascii="仿宋" w:hAnsi="仿宋" w:eastAsia="仿宋" w:cs="仿宋"/>
          <w:b/>
          <w:color w:val="000000"/>
          <w:sz w:val="24"/>
        </w:rPr>
        <w:tab/>
      </w:r>
      <w:r>
        <w:rPr>
          <w:rFonts w:hint="eastAsia" w:ascii="仿宋" w:hAnsi="仿宋" w:eastAsia="仿宋" w:cs="仿宋"/>
          <w:b/>
          <w:color w:val="000000"/>
          <w:sz w:val="24"/>
        </w:rPr>
        <w:tab/>
      </w:r>
      <w:r>
        <w:rPr>
          <w:rFonts w:hint="eastAsia" w:ascii="仿宋" w:hAnsi="仿宋" w:eastAsia="仿宋" w:cs="仿宋"/>
          <w:b/>
          <w:color w:val="000000"/>
          <w:sz w:val="24"/>
        </w:rPr>
        <w:tab/>
      </w:r>
      <w:r>
        <w:rPr>
          <w:rFonts w:hint="eastAsia" w:ascii="仿宋" w:hAnsi="仿宋" w:eastAsia="仿宋" w:cs="仿宋"/>
          <w:b/>
          <w:color w:val="000000"/>
          <w:sz w:val="24"/>
        </w:rPr>
        <w:tab/>
      </w:r>
      <w:r>
        <w:rPr>
          <w:rFonts w:hint="eastAsia" w:ascii="仿宋" w:hAnsi="仿宋" w:eastAsia="仿宋" w:cs="仿宋"/>
          <w:b/>
          <w:color w:val="000000"/>
          <w:sz w:val="24"/>
        </w:rPr>
        <w:tab/>
      </w:r>
      <w:r>
        <w:rPr>
          <w:rFonts w:hint="eastAsia" w:ascii="仿宋" w:hAnsi="仿宋" w:eastAsia="仿宋" w:cs="仿宋"/>
          <w:b/>
          <w:color w:val="000000"/>
          <w:sz w:val="24"/>
        </w:rPr>
        <w:t xml:space="preserve"> 乙方（盖章）：</w:t>
      </w:r>
    </w:p>
    <w:p>
      <w:pPr>
        <w:spacing w:line="400" w:lineRule="exact"/>
        <w:jc w:val="left"/>
        <w:rPr>
          <w:rFonts w:hint="eastAsia" w:ascii="仿宋" w:hAnsi="仿宋" w:eastAsia="仿宋" w:cs="仿宋"/>
          <w:color w:val="000000"/>
          <w:sz w:val="24"/>
        </w:rPr>
      </w:pPr>
      <w:r>
        <w:rPr>
          <w:rFonts w:hint="eastAsia" w:ascii="仿宋" w:hAnsi="仿宋" w:eastAsia="仿宋" w:cs="仿宋"/>
          <w:color w:val="000000"/>
          <w:sz w:val="24"/>
        </w:rPr>
        <w:t>单位：</w:t>
      </w:r>
      <w:r>
        <w:rPr>
          <w:rFonts w:hint="eastAsia" w:ascii="仿宋" w:hAnsi="仿宋" w:eastAsia="仿宋" w:cs="仿宋"/>
          <w:sz w:val="24"/>
        </w:rPr>
        <w:t>陕西中医药大学附属医院</w:t>
      </w:r>
      <w:r>
        <w:rPr>
          <w:rFonts w:hint="eastAsia" w:ascii="仿宋" w:hAnsi="仿宋" w:eastAsia="仿宋" w:cs="仿宋"/>
          <w:color w:val="000000"/>
          <w:sz w:val="24"/>
        </w:rPr>
        <w:t xml:space="preserve">      单位：</w:t>
      </w:r>
    </w:p>
    <w:p>
      <w:pPr>
        <w:spacing w:line="400" w:lineRule="exact"/>
        <w:jc w:val="left"/>
        <w:rPr>
          <w:rFonts w:hint="eastAsia" w:ascii="仿宋" w:hAnsi="仿宋" w:eastAsia="仿宋" w:cs="仿宋"/>
          <w:color w:val="000000"/>
          <w:sz w:val="21"/>
          <w:szCs w:val="21"/>
        </w:rPr>
      </w:pPr>
      <w:r>
        <w:rPr>
          <w:rFonts w:hint="eastAsia" w:ascii="仿宋" w:hAnsi="仿宋" w:eastAsia="仿宋" w:cs="仿宋"/>
          <w:color w:val="000000"/>
          <w:sz w:val="24"/>
        </w:rPr>
        <w:t>地址：咸阳市渭阳西路副2号        地址：</w:t>
      </w:r>
    </w:p>
    <w:p>
      <w:pPr>
        <w:spacing w:line="400" w:lineRule="exact"/>
        <w:ind w:firstLine="4080" w:firstLineChars="1700"/>
        <w:jc w:val="left"/>
        <w:rPr>
          <w:rFonts w:hint="eastAsia" w:ascii="仿宋" w:hAnsi="仿宋" w:eastAsia="仿宋" w:cs="仿宋"/>
          <w:color w:val="000000"/>
          <w:sz w:val="21"/>
          <w:szCs w:val="21"/>
        </w:rPr>
      </w:pPr>
      <w:r>
        <w:rPr>
          <w:rFonts w:hint="eastAsia" w:ascii="仿宋" w:hAnsi="仿宋" w:eastAsia="仿宋" w:cs="仿宋"/>
          <w:color w:val="000000"/>
          <w:sz w:val="24"/>
        </w:rPr>
        <w:t>账号：</w:t>
      </w:r>
    </w:p>
    <w:p>
      <w:pPr>
        <w:spacing w:line="400" w:lineRule="exact"/>
        <w:ind w:left="5280" w:leftChars="800" w:hanging="3600" w:hangingChars="1500"/>
        <w:jc w:val="left"/>
        <w:rPr>
          <w:rFonts w:hint="eastAsia" w:ascii="仿宋" w:hAnsi="仿宋" w:eastAsia="仿宋" w:cs="仿宋"/>
          <w:sz w:val="24"/>
        </w:rPr>
      </w:pPr>
      <w:r>
        <w:rPr>
          <w:rFonts w:hint="eastAsia" w:ascii="仿宋" w:hAnsi="仿宋" w:eastAsia="仿宋" w:cs="仿宋"/>
          <w:color w:val="000000"/>
          <w:sz w:val="24"/>
        </w:rPr>
        <w:t xml:space="preserve">                        开户行：</w:t>
      </w:r>
    </w:p>
    <w:p>
      <w:pPr>
        <w:spacing w:line="400" w:lineRule="exact"/>
        <w:ind w:left="5520" w:hanging="5520" w:hangingChars="2300"/>
        <w:jc w:val="left"/>
        <w:rPr>
          <w:rFonts w:hint="eastAsia" w:ascii="仿宋" w:hAnsi="仿宋" w:eastAsia="仿宋" w:cs="仿宋"/>
          <w:color w:val="000000"/>
          <w:sz w:val="24"/>
        </w:rPr>
      </w:pPr>
      <w:r>
        <w:rPr>
          <w:rFonts w:hint="eastAsia" w:ascii="仿宋" w:hAnsi="仿宋" w:eastAsia="仿宋" w:cs="仿宋"/>
          <w:color w:val="000000"/>
          <w:sz w:val="24"/>
        </w:rPr>
        <w:t xml:space="preserve">授权代表：                        授权代表：                           </w:t>
      </w:r>
    </w:p>
    <w:p>
      <w:pPr>
        <w:spacing w:line="400" w:lineRule="exact"/>
        <w:jc w:val="left"/>
        <w:rPr>
          <w:rFonts w:hint="eastAsia" w:ascii="仿宋" w:hAnsi="仿宋" w:eastAsia="仿宋" w:cs="仿宋"/>
          <w:color w:val="000000"/>
          <w:sz w:val="24"/>
        </w:rPr>
      </w:pPr>
      <w:r>
        <w:rPr>
          <w:rFonts w:hint="eastAsia" w:ascii="仿宋" w:hAnsi="仿宋" w:eastAsia="仿宋" w:cs="仿宋"/>
          <w:color w:val="000000"/>
          <w:sz w:val="24"/>
        </w:rPr>
        <w:t xml:space="preserve">签订时间：      年   月   日      签订时间：      年   月   日  </w:t>
      </w:r>
    </w:p>
    <w:p>
      <w:pPr>
        <w:spacing w:line="400" w:lineRule="exact"/>
        <w:jc w:val="left"/>
        <w:rPr>
          <w:rFonts w:hint="eastAsia" w:ascii="仿宋" w:hAnsi="仿宋" w:eastAsia="仿宋" w:cs="仿宋"/>
          <w:color w:val="000000"/>
          <w:sz w:val="24"/>
        </w:rPr>
      </w:pPr>
    </w:p>
    <w:p>
      <w:pPr>
        <w:spacing w:line="400" w:lineRule="exact"/>
        <w:jc w:val="left"/>
        <w:rPr>
          <w:rFonts w:ascii="宋体" w:hAnsi="宋体"/>
          <w:color w:val="000000"/>
          <w:sz w:val="24"/>
        </w:rPr>
      </w:pPr>
    </w:p>
    <w:p>
      <w:pPr>
        <w:spacing w:line="400" w:lineRule="exact"/>
        <w:jc w:val="left"/>
        <w:rPr>
          <w:rFonts w:ascii="宋体" w:hAnsi="宋体"/>
          <w:color w:val="000000"/>
          <w:sz w:val="24"/>
        </w:rPr>
      </w:pPr>
    </w:p>
    <w:p>
      <w:pPr>
        <w:spacing w:line="400" w:lineRule="exact"/>
        <w:jc w:val="left"/>
        <w:rPr>
          <w:rFonts w:ascii="宋体" w:hAnsi="宋体"/>
          <w:color w:val="000000"/>
          <w:sz w:val="24"/>
        </w:rPr>
      </w:pPr>
    </w:p>
    <w:p>
      <w:pPr>
        <w:spacing w:line="400" w:lineRule="exact"/>
        <w:jc w:val="left"/>
        <w:rPr>
          <w:rFonts w:ascii="宋体" w:hAnsi="宋体"/>
          <w:color w:val="000000"/>
          <w:sz w:val="24"/>
        </w:rPr>
      </w:pPr>
    </w:p>
    <w:p>
      <w:pPr>
        <w:spacing w:line="400" w:lineRule="exact"/>
        <w:jc w:val="left"/>
        <w:rPr>
          <w:rFonts w:ascii="宋体" w:hAnsi="宋体"/>
          <w:color w:val="000000"/>
          <w:sz w:val="24"/>
        </w:rPr>
      </w:pPr>
    </w:p>
    <w:p>
      <w:pPr>
        <w:spacing w:line="400" w:lineRule="exact"/>
        <w:jc w:val="left"/>
        <w:rPr>
          <w:rFonts w:ascii="宋体" w:hAnsi="宋体"/>
          <w:color w:val="000000"/>
          <w:sz w:val="24"/>
        </w:rPr>
      </w:pPr>
    </w:p>
    <w:p>
      <w:pPr>
        <w:spacing w:line="400" w:lineRule="exact"/>
        <w:jc w:val="left"/>
        <w:rPr>
          <w:rFonts w:ascii="宋体" w:hAnsi="宋体"/>
          <w:color w:val="000000"/>
          <w:sz w:val="24"/>
        </w:rPr>
      </w:pPr>
    </w:p>
    <w:p>
      <w:pPr>
        <w:spacing w:line="400" w:lineRule="exact"/>
        <w:jc w:val="left"/>
        <w:rPr>
          <w:rFonts w:ascii="宋体" w:hAnsi="宋体"/>
          <w:color w:val="000000"/>
          <w:sz w:val="24"/>
        </w:rPr>
      </w:pPr>
    </w:p>
    <w:p>
      <w:pPr>
        <w:spacing w:line="400" w:lineRule="exact"/>
        <w:jc w:val="left"/>
        <w:rPr>
          <w:rFonts w:ascii="宋体" w:hAnsi="宋体"/>
          <w:color w:val="000000"/>
          <w:sz w:val="24"/>
        </w:rPr>
      </w:pPr>
    </w:p>
    <w:p>
      <w:pPr>
        <w:spacing w:line="400" w:lineRule="exact"/>
        <w:jc w:val="left"/>
        <w:rPr>
          <w:rFonts w:ascii="宋体" w:hAnsi="宋体"/>
          <w:color w:val="000000"/>
          <w:sz w:val="24"/>
        </w:rPr>
      </w:pPr>
    </w:p>
    <w:p>
      <w:pPr>
        <w:spacing w:line="400" w:lineRule="exact"/>
        <w:jc w:val="left"/>
        <w:rPr>
          <w:rFonts w:hint="eastAsia" w:ascii="宋体" w:hAnsi="宋体"/>
          <w:sz w:val="24"/>
        </w:rPr>
      </w:pPr>
    </w:p>
    <w:p>
      <w:pPr>
        <w:spacing w:line="360" w:lineRule="auto"/>
        <w:rPr>
          <w:rFonts w:hint="eastAsia" w:ascii="仿宋" w:hAnsi="仿宋" w:eastAsia="仿宋" w:cs="仿宋"/>
          <w:color w:val="000000"/>
          <w:sz w:val="24"/>
        </w:rPr>
      </w:pPr>
      <w:r>
        <w:rPr>
          <w:rFonts w:hint="eastAsia" w:ascii="仿宋" w:hAnsi="仿宋" w:eastAsia="仿宋" w:cs="仿宋"/>
          <w:color w:val="000000"/>
          <w:sz w:val="24"/>
        </w:rPr>
        <w:t>附件：产品功能清单</w:t>
      </w:r>
    </w:p>
    <w:p>
      <w:pPr>
        <w:autoSpaceDE w:val="0"/>
        <w:autoSpaceDN w:val="0"/>
        <w:adjustRightInd w:val="0"/>
        <w:spacing w:line="360" w:lineRule="auto"/>
        <w:ind w:firstLine="480" w:firstLineChars="200"/>
        <w:rPr>
          <w:rFonts w:ascii="仿宋" w:hAnsi="仿宋" w:eastAsia="仿宋" w:cs="仿宋"/>
          <w:bCs/>
          <w:sz w:val="24"/>
          <w:szCs w:val="24"/>
        </w:rPr>
      </w:pPr>
    </w:p>
    <w:p>
      <w:pPr>
        <w:pageBreakBefore/>
        <w:spacing w:line="360" w:lineRule="auto"/>
        <w:ind w:firstLine="480" w:firstLineChars="200"/>
        <w:jc w:val="left"/>
        <w:rPr>
          <w:rFonts w:ascii="仿宋" w:hAnsi="仿宋" w:eastAsia="仿宋" w:cs="仿宋"/>
          <w:color w:val="000000"/>
          <w:kern w:val="0"/>
          <w:sz w:val="24"/>
          <w:szCs w:val="24"/>
        </w:rPr>
        <w:sectPr>
          <w:footerReference r:id="rId8" w:type="default"/>
          <w:pgSz w:w="11906" w:h="16838"/>
          <w:pgMar w:top="1440" w:right="1803" w:bottom="1440" w:left="1803" w:header="851" w:footer="992" w:gutter="0"/>
          <w:cols w:space="0" w:num="1"/>
          <w:rtlGutter w:val="0"/>
          <w:docGrid w:type="lines" w:linePitch="312" w:charSpace="0"/>
        </w:sectPr>
      </w:pPr>
    </w:p>
    <w:p>
      <w:pPr>
        <w:pageBreakBefore/>
        <w:spacing w:afterLines="50" w:line="360" w:lineRule="auto"/>
        <w:ind w:firstLine="643" w:firstLineChars="200"/>
        <w:jc w:val="center"/>
        <w:outlineLvl w:val="0"/>
        <w:rPr>
          <w:rFonts w:ascii="仿宋" w:hAnsi="仿宋" w:eastAsia="仿宋" w:cs="仿宋"/>
          <w:b/>
          <w:bCs/>
          <w:sz w:val="32"/>
          <w:szCs w:val="32"/>
        </w:rPr>
      </w:pPr>
      <w:bookmarkStart w:id="449" w:name="_Toc2078"/>
      <w:r>
        <w:rPr>
          <w:rFonts w:hint="eastAsia" w:ascii="仿宋" w:hAnsi="仿宋" w:eastAsia="仿宋" w:cs="仿宋"/>
          <w:b/>
          <w:bCs/>
          <w:sz w:val="32"/>
          <w:szCs w:val="32"/>
          <w:lang w:val="zh-CN"/>
        </w:rPr>
        <w:t>第五部分</w:t>
      </w:r>
      <w:r>
        <w:rPr>
          <w:rFonts w:hint="eastAsia" w:ascii="仿宋" w:hAnsi="仿宋" w:eastAsia="仿宋" w:cs="仿宋"/>
          <w:b/>
          <w:bCs/>
          <w:sz w:val="32"/>
          <w:szCs w:val="32"/>
        </w:rPr>
        <w:t>投标文件格式</w:t>
      </w:r>
      <w:bookmarkEnd w:id="439"/>
      <w:bookmarkEnd w:id="440"/>
      <w:bookmarkEnd w:id="441"/>
      <w:bookmarkEnd w:id="442"/>
      <w:bookmarkEnd w:id="443"/>
      <w:bookmarkEnd w:id="444"/>
      <w:bookmarkEnd w:id="449"/>
    </w:p>
    <w:p>
      <w:pPr>
        <w:autoSpaceDE w:val="0"/>
        <w:autoSpaceDN w:val="0"/>
        <w:adjustRightInd w:val="0"/>
        <w:snapToGrid w:val="0"/>
        <w:spacing w:line="360" w:lineRule="auto"/>
        <w:jc w:val="right"/>
        <w:rPr>
          <w:rFonts w:ascii="仿宋" w:hAnsi="仿宋" w:eastAsia="仿宋" w:cs="仿宋"/>
          <w:b/>
          <w:bCs/>
          <w:sz w:val="32"/>
          <w:szCs w:val="32"/>
          <w:lang w:val="zh-CN"/>
        </w:rPr>
      </w:pPr>
      <w:r>
        <w:rPr>
          <w:rFonts w:hint="eastAsia" w:ascii="仿宋" w:hAnsi="仿宋" w:eastAsia="仿宋" w:cs="仿宋"/>
          <w:b/>
          <w:bCs/>
          <w:sz w:val="32"/>
          <w:szCs w:val="32"/>
          <w:lang w:val="zh-CN"/>
        </w:rPr>
        <w:t>正本/副本</w:t>
      </w:r>
    </w:p>
    <w:p>
      <w:pPr>
        <w:autoSpaceDE w:val="0"/>
        <w:autoSpaceDN w:val="0"/>
        <w:adjustRightInd w:val="0"/>
        <w:spacing w:line="360" w:lineRule="auto"/>
        <w:jc w:val="left"/>
        <w:rPr>
          <w:rFonts w:ascii="仿宋" w:hAnsi="仿宋" w:eastAsia="仿宋" w:cs="仿宋"/>
          <w:b/>
          <w:bCs/>
          <w:sz w:val="32"/>
          <w:szCs w:val="32"/>
          <w:lang w:val="zh-CN"/>
        </w:rPr>
      </w:pPr>
    </w:p>
    <w:p>
      <w:pPr>
        <w:tabs>
          <w:tab w:val="left" w:pos="5670"/>
        </w:tabs>
        <w:autoSpaceDE w:val="0"/>
        <w:autoSpaceDN w:val="0"/>
        <w:adjustRightInd w:val="0"/>
        <w:spacing w:line="360" w:lineRule="auto"/>
        <w:ind w:firstLine="300"/>
        <w:rPr>
          <w:rFonts w:ascii="仿宋" w:hAnsi="仿宋" w:eastAsia="仿宋" w:cs="仿宋"/>
          <w:b/>
          <w:bCs/>
          <w:sz w:val="30"/>
          <w:szCs w:val="30"/>
          <w:lang w:val="zh-CN"/>
        </w:rPr>
      </w:pPr>
      <w:r>
        <w:rPr>
          <w:rFonts w:hint="eastAsia" w:ascii="仿宋" w:hAnsi="仿宋" w:eastAsia="仿宋" w:cs="仿宋"/>
          <w:b/>
          <w:bCs/>
          <w:sz w:val="30"/>
          <w:szCs w:val="30"/>
          <w:lang w:val="zh-CN"/>
        </w:rPr>
        <w:t xml:space="preserve">政府采购项目  </w:t>
      </w:r>
    </w:p>
    <w:p>
      <w:pPr>
        <w:tabs>
          <w:tab w:val="left" w:pos="5670"/>
        </w:tabs>
        <w:autoSpaceDE w:val="0"/>
        <w:autoSpaceDN w:val="0"/>
        <w:adjustRightInd w:val="0"/>
        <w:spacing w:line="360" w:lineRule="auto"/>
        <w:ind w:firstLine="300"/>
        <w:rPr>
          <w:rFonts w:ascii="仿宋" w:hAnsi="仿宋" w:eastAsia="仿宋" w:cs="仿宋"/>
          <w:b/>
          <w:bCs/>
          <w:sz w:val="30"/>
          <w:szCs w:val="30"/>
        </w:rPr>
      </w:pPr>
      <w:r>
        <w:rPr>
          <w:rFonts w:hint="eastAsia" w:ascii="仿宋" w:hAnsi="仿宋" w:eastAsia="仿宋" w:cs="仿宋"/>
          <w:b/>
          <w:bCs/>
          <w:sz w:val="30"/>
          <w:szCs w:val="30"/>
          <w:lang w:val="zh-CN"/>
        </w:rPr>
        <w:t>计划编号：ZCSP-省本级-2022-0</w:t>
      </w:r>
      <w:r>
        <w:rPr>
          <w:rFonts w:hint="eastAsia" w:ascii="仿宋" w:hAnsi="仿宋" w:eastAsia="仿宋" w:cs="仿宋"/>
          <w:b/>
          <w:bCs/>
          <w:sz w:val="30"/>
          <w:szCs w:val="30"/>
        </w:rPr>
        <w:t>4544</w:t>
      </w:r>
    </w:p>
    <w:p>
      <w:pPr>
        <w:tabs>
          <w:tab w:val="left" w:pos="5670"/>
        </w:tabs>
        <w:autoSpaceDE w:val="0"/>
        <w:autoSpaceDN w:val="0"/>
        <w:adjustRightInd w:val="0"/>
        <w:spacing w:line="360" w:lineRule="auto"/>
        <w:ind w:firstLine="300"/>
        <w:rPr>
          <w:rFonts w:ascii="仿宋" w:hAnsi="仿宋" w:eastAsia="仿宋" w:cs="仿宋"/>
          <w:b/>
          <w:bCs/>
          <w:sz w:val="30"/>
          <w:szCs w:val="30"/>
        </w:rPr>
      </w:pPr>
      <w:r>
        <w:rPr>
          <w:rFonts w:hint="eastAsia" w:ascii="仿宋" w:hAnsi="仿宋" w:eastAsia="仿宋" w:cs="仿宋"/>
          <w:b/>
          <w:bCs/>
          <w:sz w:val="30"/>
          <w:szCs w:val="30"/>
          <w:lang w:val="zh-CN"/>
        </w:rPr>
        <w:t>项目编号：DX2022-</w:t>
      </w:r>
      <w:r>
        <w:rPr>
          <w:rFonts w:hint="eastAsia" w:ascii="仿宋" w:hAnsi="仿宋" w:eastAsia="仿宋" w:cs="仿宋"/>
          <w:b/>
          <w:bCs/>
          <w:sz w:val="30"/>
          <w:szCs w:val="30"/>
        </w:rPr>
        <w:t>210</w:t>
      </w:r>
    </w:p>
    <w:p>
      <w:pPr>
        <w:tabs>
          <w:tab w:val="left" w:pos="5670"/>
        </w:tabs>
        <w:autoSpaceDE w:val="0"/>
        <w:autoSpaceDN w:val="0"/>
        <w:adjustRightInd w:val="0"/>
        <w:spacing w:line="360" w:lineRule="auto"/>
        <w:ind w:firstLine="300"/>
        <w:rPr>
          <w:rFonts w:ascii="仿宋" w:hAnsi="仿宋" w:eastAsia="仿宋" w:cs="仿宋"/>
          <w:b/>
          <w:sz w:val="32"/>
          <w:szCs w:val="32"/>
        </w:rPr>
      </w:pPr>
    </w:p>
    <w:p>
      <w:pPr>
        <w:tabs>
          <w:tab w:val="left" w:pos="5670"/>
        </w:tabs>
        <w:autoSpaceDE w:val="0"/>
        <w:autoSpaceDN w:val="0"/>
        <w:adjustRightInd w:val="0"/>
        <w:spacing w:line="360" w:lineRule="auto"/>
        <w:jc w:val="center"/>
        <w:rPr>
          <w:rFonts w:ascii="仿宋" w:hAnsi="仿宋" w:eastAsia="仿宋" w:cs="仿宋"/>
          <w:b/>
          <w:bCs/>
          <w:sz w:val="44"/>
          <w:szCs w:val="44"/>
          <w:lang w:val="zh-CN"/>
        </w:rPr>
      </w:pPr>
    </w:p>
    <w:p>
      <w:pPr>
        <w:tabs>
          <w:tab w:val="left" w:pos="5670"/>
        </w:tabs>
        <w:autoSpaceDE w:val="0"/>
        <w:autoSpaceDN w:val="0"/>
        <w:adjustRightInd w:val="0"/>
        <w:spacing w:line="360" w:lineRule="auto"/>
        <w:jc w:val="center"/>
        <w:rPr>
          <w:rFonts w:ascii="仿宋" w:hAnsi="仿宋" w:eastAsia="仿宋" w:cs="仿宋"/>
          <w:b/>
          <w:bCs/>
          <w:sz w:val="44"/>
          <w:szCs w:val="44"/>
        </w:rPr>
      </w:pPr>
    </w:p>
    <w:p>
      <w:pPr>
        <w:tabs>
          <w:tab w:val="left" w:pos="5670"/>
        </w:tabs>
        <w:autoSpaceDE w:val="0"/>
        <w:autoSpaceDN w:val="0"/>
        <w:adjustRightInd w:val="0"/>
        <w:spacing w:line="360" w:lineRule="auto"/>
        <w:jc w:val="center"/>
        <w:rPr>
          <w:rFonts w:ascii="仿宋" w:hAnsi="仿宋" w:eastAsia="仿宋" w:cs="仿宋"/>
          <w:b/>
          <w:bCs/>
          <w:sz w:val="40"/>
          <w:szCs w:val="36"/>
        </w:rPr>
      </w:pPr>
      <w:r>
        <w:rPr>
          <w:rFonts w:hint="eastAsia" w:ascii="仿宋" w:hAnsi="仿宋" w:eastAsia="仿宋" w:cs="仿宋"/>
          <w:b/>
          <w:bCs/>
          <w:sz w:val="40"/>
          <w:szCs w:val="36"/>
          <w:lang w:val="zh-CN"/>
        </w:rPr>
        <w:t>陕西中医药大学附属医院</w:t>
      </w:r>
      <w:r>
        <w:rPr>
          <w:rFonts w:hint="eastAsia" w:ascii="仿宋" w:hAnsi="仿宋" w:eastAsia="仿宋" w:cs="仿宋"/>
          <w:b/>
          <w:bCs/>
          <w:sz w:val="40"/>
          <w:szCs w:val="36"/>
        </w:rPr>
        <w:t>集成平台与数据</w:t>
      </w:r>
    </w:p>
    <w:p>
      <w:pPr>
        <w:tabs>
          <w:tab w:val="left" w:pos="5670"/>
        </w:tabs>
        <w:autoSpaceDE w:val="0"/>
        <w:autoSpaceDN w:val="0"/>
        <w:adjustRightInd w:val="0"/>
        <w:spacing w:line="360" w:lineRule="auto"/>
        <w:jc w:val="center"/>
        <w:rPr>
          <w:rFonts w:ascii="仿宋" w:hAnsi="仿宋" w:eastAsia="仿宋" w:cs="仿宋"/>
          <w:b/>
          <w:bCs/>
          <w:sz w:val="40"/>
          <w:szCs w:val="36"/>
          <w:lang w:val="zh-CN"/>
        </w:rPr>
      </w:pPr>
      <w:r>
        <w:rPr>
          <w:rFonts w:hint="eastAsia" w:ascii="仿宋" w:hAnsi="仿宋" w:eastAsia="仿宋" w:cs="仿宋"/>
          <w:b/>
          <w:bCs/>
          <w:sz w:val="40"/>
          <w:szCs w:val="36"/>
        </w:rPr>
        <w:t>中心建设项目</w:t>
      </w:r>
    </w:p>
    <w:p>
      <w:pPr>
        <w:pStyle w:val="17"/>
        <w:rPr>
          <w:rFonts w:ascii="仿宋" w:hAnsi="仿宋" w:eastAsia="仿宋" w:cs="仿宋"/>
        </w:rPr>
      </w:pPr>
    </w:p>
    <w:p>
      <w:pPr>
        <w:pStyle w:val="25"/>
        <w:ind w:firstLine="210"/>
        <w:jc w:val="center"/>
        <w:rPr>
          <w:rFonts w:ascii="仿宋" w:hAnsi="仿宋" w:eastAsia="仿宋" w:cs="仿宋"/>
        </w:rPr>
      </w:pPr>
    </w:p>
    <w:p>
      <w:pPr>
        <w:pStyle w:val="25"/>
        <w:ind w:firstLine="210"/>
        <w:rPr>
          <w:rFonts w:ascii="仿宋" w:hAnsi="仿宋" w:eastAsia="仿宋" w:cs="仿宋"/>
        </w:rPr>
      </w:pPr>
    </w:p>
    <w:p>
      <w:pPr>
        <w:tabs>
          <w:tab w:val="left" w:pos="5670"/>
        </w:tabs>
        <w:autoSpaceDE w:val="0"/>
        <w:autoSpaceDN w:val="0"/>
        <w:adjustRightInd w:val="0"/>
        <w:spacing w:line="360" w:lineRule="auto"/>
        <w:jc w:val="center"/>
        <w:rPr>
          <w:rFonts w:ascii="仿宋" w:hAnsi="仿宋" w:eastAsia="仿宋" w:cs="仿宋"/>
          <w:b/>
          <w:color w:val="000000"/>
          <w:sz w:val="44"/>
          <w:szCs w:val="44"/>
        </w:rPr>
      </w:pPr>
      <w:r>
        <w:rPr>
          <w:rFonts w:hint="eastAsia" w:ascii="仿宋" w:hAnsi="仿宋" w:eastAsia="仿宋" w:cs="仿宋"/>
          <w:b/>
          <w:color w:val="000000"/>
          <w:sz w:val="44"/>
          <w:szCs w:val="44"/>
        </w:rPr>
        <w:t>投 标 文 件</w:t>
      </w:r>
    </w:p>
    <w:p>
      <w:pPr>
        <w:pStyle w:val="25"/>
        <w:ind w:firstLine="0" w:firstLineChars="0"/>
        <w:rPr>
          <w:rFonts w:ascii="仿宋" w:hAnsi="仿宋" w:eastAsia="仿宋" w:cs="仿宋"/>
          <w:sz w:val="42"/>
          <w:szCs w:val="42"/>
        </w:rPr>
      </w:pPr>
    </w:p>
    <w:p>
      <w:pPr>
        <w:pStyle w:val="88"/>
        <w:ind w:firstLine="0" w:firstLineChars="0"/>
        <w:rPr>
          <w:rFonts w:ascii="仿宋" w:hAnsi="仿宋" w:eastAsia="仿宋" w:cs="仿宋"/>
        </w:rPr>
      </w:pPr>
    </w:p>
    <w:p>
      <w:pPr>
        <w:pStyle w:val="88"/>
        <w:rPr>
          <w:rFonts w:ascii="仿宋" w:hAnsi="仿宋" w:eastAsia="仿宋" w:cs="仿宋"/>
        </w:rPr>
      </w:pPr>
    </w:p>
    <w:p>
      <w:pPr>
        <w:pStyle w:val="17"/>
        <w:rPr>
          <w:rFonts w:ascii="仿宋" w:hAnsi="仿宋" w:eastAsia="仿宋" w:cs="仿宋"/>
        </w:rPr>
      </w:pPr>
    </w:p>
    <w:p>
      <w:pPr>
        <w:spacing w:line="360" w:lineRule="auto"/>
        <w:ind w:left="420" w:leftChars="200" w:firstLine="851" w:firstLineChars="265"/>
        <w:rPr>
          <w:rFonts w:ascii="仿宋" w:hAnsi="仿宋" w:eastAsia="仿宋" w:cs="仿宋"/>
          <w:b/>
          <w:bCs/>
          <w:sz w:val="32"/>
          <w:szCs w:val="32"/>
        </w:rPr>
      </w:pPr>
      <w:r>
        <w:rPr>
          <w:rFonts w:hint="eastAsia" w:ascii="仿宋" w:hAnsi="仿宋" w:eastAsia="仿宋" w:cs="仿宋"/>
          <w:b/>
          <w:bCs/>
          <w:sz w:val="32"/>
          <w:szCs w:val="32"/>
        </w:rPr>
        <w:t>投  标 人：（盖章）</w:t>
      </w:r>
    </w:p>
    <w:p>
      <w:pPr>
        <w:spacing w:line="360" w:lineRule="auto"/>
        <w:ind w:firstLine="1285" w:firstLineChars="400"/>
        <w:rPr>
          <w:rFonts w:ascii="仿宋" w:hAnsi="仿宋" w:eastAsia="仿宋" w:cs="仿宋"/>
          <w:b/>
          <w:bCs/>
          <w:sz w:val="32"/>
          <w:szCs w:val="32"/>
        </w:rPr>
      </w:pPr>
      <w:r>
        <w:rPr>
          <w:rFonts w:hint="eastAsia" w:ascii="仿宋" w:hAnsi="仿宋" w:eastAsia="仿宋" w:cs="仿宋"/>
          <w:b/>
          <w:sz w:val="32"/>
        </w:rPr>
        <w:t>法定代表人或授权代表：</w:t>
      </w:r>
      <w:r>
        <w:rPr>
          <w:rFonts w:hint="eastAsia" w:ascii="仿宋" w:hAnsi="仿宋" w:eastAsia="仿宋" w:cs="仿宋"/>
          <w:b/>
          <w:bCs/>
          <w:sz w:val="32"/>
          <w:szCs w:val="32"/>
        </w:rPr>
        <w:t>（签字）</w:t>
      </w:r>
    </w:p>
    <w:p>
      <w:pPr>
        <w:spacing w:line="360" w:lineRule="auto"/>
        <w:ind w:firstLine="1285" w:firstLineChars="400"/>
        <w:rPr>
          <w:rFonts w:ascii="仿宋" w:hAnsi="仿宋" w:eastAsia="仿宋" w:cs="仿宋"/>
          <w:b/>
          <w:bCs/>
          <w:sz w:val="32"/>
          <w:szCs w:val="32"/>
        </w:rPr>
      </w:pPr>
      <w:r>
        <w:rPr>
          <w:rFonts w:hint="eastAsia" w:ascii="仿宋" w:hAnsi="仿宋" w:eastAsia="仿宋" w:cs="仿宋"/>
          <w:b/>
          <w:bCs/>
          <w:sz w:val="32"/>
          <w:szCs w:val="32"/>
        </w:rPr>
        <w:t>日    期：年月日</w:t>
      </w:r>
    </w:p>
    <w:p>
      <w:pPr>
        <w:pageBreakBefore/>
        <w:spacing w:line="360" w:lineRule="auto"/>
        <w:jc w:val="center"/>
        <w:rPr>
          <w:rFonts w:ascii="仿宋" w:hAnsi="仿宋" w:eastAsia="仿宋" w:cs="仿宋"/>
          <w:b/>
          <w:bCs/>
          <w:sz w:val="32"/>
          <w:szCs w:val="15"/>
          <w:lang w:val="zh-CN"/>
        </w:rPr>
      </w:pPr>
      <w:r>
        <w:rPr>
          <w:rFonts w:hint="eastAsia" w:ascii="仿宋" w:hAnsi="仿宋" w:eastAsia="仿宋" w:cs="仿宋"/>
          <w:b/>
          <w:bCs/>
          <w:sz w:val="32"/>
          <w:szCs w:val="15"/>
          <w:lang w:val="zh-CN"/>
        </w:rPr>
        <w:t>目录</w:t>
      </w:r>
    </w:p>
    <w:p>
      <w:pPr>
        <w:jc w:val="center"/>
        <w:rPr>
          <w:rFonts w:ascii="仿宋" w:hAnsi="仿宋" w:eastAsia="仿宋" w:cs="仿宋"/>
          <w:lang w:val="zh-CN"/>
        </w:rPr>
      </w:pPr>
      <w:r>
        <w:rPr>
          <w:rFonts w:hint="eastAsia" w:ascii="仿宋" w:hAnsi="仿宋" w:eastAsia="仿宋" w:cs="仿宋"/>
          <w:sz w:val="24"/>
          <w:szCs w:val="16"/>
          <w:lang w:val="zh-CN"/>
        </w:rPr>
        <w:t>请根据投标文件内容自动生成目录</w:t>
      </w:r>
    </w:p>
    <w:p>
      <w:pPr>
        <w:pageBreakBefore/>
        <w:spacing w:line="360" w:lineRule="auto"/>
        <w:jc w:val="center"/>
        <w:outlineLvl w:val="1"/>
        <w:rPr>
          <w:rFonts w:ascii="仿宋" w:hAnsi="仿宋" w:eastAsia="仿宋" w:cs="仿宋"/>
          <w:lang w:val="zh-CN"/>
        </w:rPr>
      </w:pPr>
      <w:bookmarkStart w:id="450" w:name="_Toc26458"/>
      <w:bookmarkStart w:id="451" w:name="_Toc14636"/>
      <w:bookmarkStart w:id="452" w:name="_Toc452"/>
      <w:bookmarkStart w:id="453" w:name="_Toc3821"/>
      <w:bookmarkStart w:id="454" w:name="_Toc8181"/>
      <w:bookmarkStart w:id="455" w:name="_Toc31172"/>
      <w:bookmarkStart w:id="456" w:name="_Toc15182"/>
      <w:r>
        <w:rPr>
          <w:rFonts w:hint="eastAsia" w:ascii="仿宋" w:hAnsi="仿宋" w:eastAsia="仿宋" w:cs="仿宋"/>
          <w:b/>
          <w:bCs/>
          <w:sz w:val="32"/>
          <w:szCs w:val="15"/>
          <w:lang w:val="zh-CN"/>
        </w:rPr>
        <w:t>一、投标函</w:t>
      </w:r>
      <w:bookmarkEnd w:id="445"/>
      <w:bookmarkEnd w:id="446"/>
      <w:bookmarkEnd w:id="447"/>
      <w:bookmarkEnd w:id="450"/>
      <w:bookmarkEnd w:id="451"/>
      <w:bookmarkEnd w:id="452"/>
      <w:bookmarkEnd w:id="453"/>
      <w:bookmarkEnd w:id="454"/>
      <w:bookmarkEnd w:id="455"/>
      <w:bookmarkEnd w:id="456"/>
    </w:p>
    <w:p>
      <w:pPr>
        <w:autoSpaceDE w:val="0"/>
        <w:autoSpaceDN w:val="0"/>
        <w:adjustRightInd w:val="0"/>
        <w:spacing w:line="360" w:lineRule="auto"/>
        <w:rPr>
          <w:rFonts w:ascii="仿宋" w:hAnsi="仿宋" w:eastAsia="仿宋" w:cs="仿宋"/>
          <w:b/>
          <w:bCs/>
          <w:sz w:val="24"/>
          <w:szCs w:val="24"/>
        </w:rPr>
      </w:pPr>
      <w:r>
        <w:rPr>
          <w:rFonts w:hint="eastAsia" w:ascii="仿宋" w:hAnsi="仿宋" w:eastAsia="仿宋" w:cs="仿宋"/>
          <w:b/>
          <w:bCs/>
          <w:sz w:val="24"/>
          <w:szCs w:val="24"/>
          <w:lang w:val="zh-CN"/>
        </w:rPr>
        <w:t>陕西笃信招标有限公司：</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我单位收到贵公司关于</w:t>
      </w:r>
      <w:r>
        <w:rPr>
          <w:rFonts w:hint="eastAsia" w:ascii="仿宋" w:hAnsi="仿宋" w:eastAsia="仿宋" w:cs="仿宋"/>
          <w:sz w:val="24"/>
          <w:szCs w:val="24"/>
          <w:u w:val="single"/>
          <w:lang w:val="zh-CN"/>
        </w:rPr>
        <w:t>陕西中医药大学附属医院集成平台与数据中心建设项目</w:t>
      </w:r>
      <w:r>
        <w:rPr>
          <w:rFonts w:hint="eastAsia" w:ascii="仿宋" w:hAnsi="仿宋" w:eastAsia="仿宋" w:cs="仿宋"/>
          <w:sz w:val="24"/>
          <w:szCs w:val="24"/>
        </w:rPr>
        <w:t>（项目编号：</w:t>
      </w:r>
      <w:r>
        <w:rPr>
          <w:rFonts w:hint="eastAsia" w:ascii="仿宋" w:hAnsi="仿宋" w:eastAsia="仿宋" w:cs="仿宋"/>
          <w:sz w:val="24"/>
          <w:szCs w:val="24"/>
          <w:u w:val="single"/>
          <w:lang w:val="zh-CN"/>
        </w:rPr>
        <w:t>DX202</w:t>
      </w:r>
      <w:r>
        <w:rPr>
          <w:rFonts w:hint="eastAsia" w:ascii="仿宋" w:hAnsi="仿宋" w:eastAsia="仿宋" w:cs="仿宋"/>
          <w:sz w:val="24"/>
          <w:szCs w:val="24"/>
          <w:u w:val="single"/>
        </w:rPr>
        <w:t>2</w:t>
      </w:r>
      <w:r>
        <w:rPr>
          <w:rFonts w:hint="eastAsia" w:ascii="仿宋" w:hAnsi="仿宋" w:eastAsia="仿宋" w:cs="仿宋"/>
          <w:sz w:val="24"/>
          <w:szCs w:val="24"/>
          <w:u w:val="single"/>
          <w:lang w:val="zh-CN"/>
        </w:rPr>
        <w:t>-</w:t>
      </w:r>
      <w:r>
        <w:rPr>
          <w:rFonts w:hint="eastAsia" w:ascii="仿宋" w:hAnsi="仿宋" w:eastAsia="仿宋" w:cs="仿宋"/>
          <w:sz w:val="24"/>
          <w:szCs w:val="24"/>
          <w:u w:val="single"/>
        </w:rPr>
        <w:t>210</w:t>
      </w:r>
      <w:r>
        <w:rPr>
          <w:rFonts w:hint="eastAsia" w:ascii="仿宋" w:hAnsi="仿宋" w:eastAsia="仿宋" w:cs="仿宋"/>
          <w:sz w:val="24"/>
          <w:szCs w:val="24"/>
        </w:rPr>
        <w:t>）的招标文件，经详细研究，我们决定参加本次项目</w:t>
      </w:r>
    </w:p>
    <w:p>
      <w:pPr>
        <w:autoSpaceDE w:val="0"/>
        <w:autoSpaceDN w:val="0"/>
        <w:adjustRightInd w:val="0"/>
        <w:spacing w:line="360" w:lineRule="auto"/>
        <w:rPr>
          <w:rFonts w:ascii="仿宋" w:hAnsi="仿宋" w:eastAsia="仿宋" w:cs="仿宋"/>
          <w:sz w:val="24"/>
          <w:szCs w:val="24"/>
        </w:rPr>
      </w:pPr>
      <w:r>
        <w:rPr>
          <w:rFonts w:hint="eastAsia" w:ascii="仿宋" w:hAnsi="仿宋" w:eastAsia="仿宋" w:cs="仿宋"/>
          <w:sz w:val="24"/>
          <w:szCs w:val="24"/>
        </w:rPr>
        <w:t>招标活动并投标。为此，我方郑重声明以下诸点，并负法律责任。</w:t>
      </w:r>
    </w:p>
    <w:p>
      <w:pPr>
        <w:numPr>
          <w:ilvl w:val="0"/>
          <w:numId w:val="22"/>
        </w:num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愿意按照招标文件中的一切要求，向采购人提供所需所有货物。</w:t>
      </w:r>
    </w:p>
    <w:p>
      <w:pPr>
        <w:numPr>
          <w:ilvl w:val="0"/>
          <w:numId w:val="22"/>
        </w:numPr>
        <w:spacing w:line="360" w:lineRule="auto"/>
        <w:ind w:left="0" w:leftChars="0" w:firstLine="480" w:firstLineChars="200"/>
        <w:rPr>
          <w:rFonts w:hint="eastAsia" w:ascii="仿宋" w:hAnsi="仿宋" w:eastAsia="仿宋" w:cs="仿宋"/>
          <w:sz w:val="24"/>
          <w:szCs w:val="24"/>
          <w:u w:val="single"/>
        </w:rPr>
      </w:pPr>
      <w:r>
        <w:rPr>
          <w:rFonts w:hint="eastAsia" w:ascii="仿宋" w:hAnsi="仿宋" w:eastAsia="仿宋" w:cs="仿宋"/>
          <w:sz w:val="24"/>
          <w:szCs w:val="24"/>
        </w:rPr>
        <w:t>按招标文件的规定，我公司的投标总报价大写：</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小写：</w:t>
      </w:r>
      <w:r>
        <w:rPr>
          <w:rFonts w:hint="eastAsia" w:ascii="仿宋" w:hAnsi="仿宋" w:eastAsia="仿宋" w:cs="仿宋"/>
          <w:sz w:val="24"/>
          <w:szCs w:val="24"/>
          <w:u w:val="single"/>
          <w:lang w:val="en-US" w:eastAsia="zh-CN"/>
        </w:rPr>
        <w:t xml:space="preserve">  ）</w:t>
      </w:r>
    </w:p>
    <w:p>
      <w:pPr>
        <w:numPr>
          <w:ilvl w:val="0"/>
          <w:numId w:val="22"/>
        </w:numPr>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我方提交的投标文件正本一份、副本三份，有效电子版一份及资格证明文件一份，并保证投标文件提供的数据和材料真实、准确。否则，愿承担相关的法律责任。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四、我方已详细阅读了招标文件，完全理解并放弃提出含糊不清或易形成歧义的表述和资料。</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五、我方愿意向贵方提供任何与本次招标有关的数据、情况、样品和技术资料，若贵方需要，我方愿意提供我方作出的一切承诺的证明材料。</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六、开标后在规定的投标有效期内撤回投标，我们愿接受政府采购的有关处罚决定。</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七、我方承诺遵守《中华人民共和国政府采购法》及其实施条例的有关规定，保证在获得中标资格后：</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1、按照招标文件确定的事项签订合同，履行双方所签订的合同，并承担合同规定的责任和义务；</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2、我方保证按规定和标准向贵方缴纳中标服务费；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3、投标文件有效期延长至合同履行完毕，且有效期自开标之日起不少于90天。</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八、我方完全理解最低报价不是中标的唯一条件，并尊重评标委员会的评标结论和定标结果。</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九、一旦我方中标,我方同意与使用单位签订保密协议；</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十、有关于本投标文件的函电，请按下列地址联系。</w:t>
      </w:r>
    </w:p>
    <w:p>
      <w:pPr>
        <w:autoSpaceDE w:val="0"/>
        <w:autoSpaceDN w:val="0"/>
        <w:adjustRightInd w:val="0"/>
        <w:spacing w:line="360" w:lineRule="auto"/>
        <w:ind w:firstLine="480" w:firstLineChars="200"/>
        <w:rPr>
          <w:rFonts w:ascii="仿宋" w:hAnsi="仿宋" w:eastAsia="仿宋" w:cs="仿宋"/>
          <w:b/>
          <w:sz w:val="24"/>
          <w:szCs w:val="24"/>
          <w:u w:val="single"/>
        </w:rPr>
      </w:pPr>
      <w:r>
        <w:rPr>
          <w:rFonts w:hint="eastAsia" w:ascii="仿宋" w:hAnsi="仿宋" w:eastAsia="仿宋" w:cs="仿宋"/>
          <w:sz w:val="24"/>
          <w:szCs w:val="24"/>
        </w:rPr>
        <w:t>供应商全称（印章）：</w:t>
      </w:r>
    </w:p>
    <w:p>
      <w:pPr>
        <w:autoSpaceDE w:val="0"/>
        <w:autoSpaceDN w:val="0"/>
        <w:adjustRightInd w:val="0"/>
        <w:spacing w:line="360" w:lineRule="auto"/>
        <w:ind w:firstLine="48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法定代表人或授权代表（签字）：</w:t>
      </w:r>
      <w:r>
        <w:rPr>
          <w:rFonts w:hint="eastAsia" w:ascii="仿宋" w:hAnsi="仿宋" w:eastAsia="仿宋" w:cs="仿宋"/>
          <w:sz w:val="24"/>
          <w:szCs w:val="24"/>
          <w:u w:val="single"/>
          <w:lang w:val="en-US" w:eastAsia="zh-CN"/>
        </w:rPr>
        <w:t xml:space="preserve">                               </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u w:val="single"/>
          <w:lang w:val="en-US" w:eastAsia="zh-CN"/>
        </w:rPr>
        <w:t xml:space="preserve">                               </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lang w:val="en-US" w:eastAsia="zh-CN"/>
        </w:rPr>
        <w:t xml:space="preserve">                               </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账    号：</w:t>
      </w:r>
      <w:r>
        <w:rPr>
          <w:rFonts w:hint="eastAsia" w:ascii="仿宋" w:hAnsi="仿宋" w:eastAsia="仿宋" w:cs="仿宋"/>
          <w:sz w:val="24"/>
          <w:szCs w:val="24"/>
          <w:u w:val="single"/>
          <w:lang w:val="en-US" w:eastAsia="zh-CN"/>
        </w:rPr>
        <w:t xml:space="preserve">                               </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u w:val="single"/>
          <w:lang w:val="en-US" w:eastAsia="zh-CN"/>
        </w:rPr>
        <w:t xml:space="preserve">                               </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传    真：</w:t>
      </w:r>
      <w:r>
        <w:rPr>
          <w:rFonts w:hint="eastAsia" w:ascii="仿宋" w:hAnsi="仿宋" w:eastAsia="仿宋" w:cs="仿宋"/>
          <w:sz w:val="24"/>
          <w:szCs w:val="24"/>
          <w:u w:val="single"/>
          <w:lang w:val="en-US" w:eastAsia="zh-CN"/>
        </w:rPr>
        <w:t xml:space="preserve">                               </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邮    编：</w:t>
      </w:r>
      <w:r>
        <w:rPr>
          <w:rFonts w:hint="eastAsia" w:ascii="仿宋" w:hAnsi="仿宋" w:eastAsia="仿宋" w:cs="仿宋"/>
          <w:sz w:val="24"/>
          <w:szCs w:val="24"/>
          <w:u w:val="single"/>
          <w:lang w:val="en-US" w:eastAsia="zh-CN"/>
        </w:rPr>
        <w:t xml:space="preserve">                               </w:t>
      </w:r>
    </w:p>
    <w:p>
      <w:pPr>
        <w:autoSpaceDE w:val="0"/>
        <w:autoSpaceDN w:val="0"/>
        <w:adjustRightInd w:val="0"/>
        <w:spacing w:line="360" w:lineRule="auto"/>
        <w:jc w:val="center"/>
        <w:rPr>
          <w:rFonts w:ascii="仿宋" w:hAnsi="仿宋" w:eastAsia="仿宋" w:cs="仿宋"/>
          <w:sz w:val="24"/>
          <w:szCs w:val="24"/>
        </w:rPr>
      </w:pPr>
    </w:p>
    <w:p>
      <w:pPr>
        <w:autoSpaceDE w:val="0"/>
        <w:autoSpaceDN w:val="0"/>
        <w:adjustRightInd w:val="0"/>
        <w:snapToGrid w:val="0"/>
        <w:spacing w:line="360" w:lineRule="auto"/>
        <w:jc w:val="right"/>
        <w:rPr>
          <w:rFonts w:ascii="仿宋" w:hAnsi="仿宋" w:eastAsia="仿宋" w:cs="仿宋"/>
          <w:sz w:val="24"/>
          <w:szCs w:val="24"/>
          <w:lang w:val="zh-CN"/>
        </w:rPr>
        <w:sectPr>
          <w:pgSz w:w="11906" w:h="16838"/>
          <w:pgMar w:top="1440" w:right="1803" w:bottom="1440" w:left="1803" w:header="851" w:footer="992" w:gutter="0"/>
          <w:cols w:space="0" w:num="1"/>
          <w:rtlGutter w:val="0"/>
          <w:docGrid w:type="lines" w:linePitch="312" w:charSpace="0"/>
        </w:sectPr>
      </w:pP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pPr>
        <w:pageBreakBefore/>
        <w:spacing w:line="360" w:lineRule="auto"/>
        <w:jc w:val="center"/>
        <w:outlineLvl w:val="1"/>
        <w:rPr>
          <w:rFonts w:ascii="仿宋" w:hAnsi="仿宋" w:eastAsia="仿宋" w:cs="仿宋"/>
          <w:b/>
          <w:bCs/>
          <w:sz w:val="32"/>
          <w:szCs w:val="15"/>
          <w:lang w:val="zh-CN"/>
        </w:rPr>
      </w:pPr>
      <w:bookmarkStart w:id="457" w:name="_Toc29972"/>
      <w:bookmarkStart w:id="458" w:name="_Toc7809"/>
      <w:bookmarkStart w:id="459" w:name="_Toc12106"/>
      <w:bookmarkStart w:id="460" w:name="_Toc10991"/>
      <w:bookmarkStart w:id="461" w:name="_Toc7105"/>
      <w:bookmarkStart w:id="462" w:name="_Toc6838"/>
      <w:bookmarkStart w:id="463" w:name="_Toc4521"/>
      <w:bookmarkStart w:id="464" w:name="_Toc19367"/>
      <w:bookmarkStart w:id="465" w:name="_Toc30144"/>
      <w:bookmarkStart w:id="466" w:name="_Toc22952"/>
      <w:bookmarkStart w:id="467" w:name="_Toc473056004"/>
      <w:bookmarkStart w:id="468" w:name="_Toc475451554"/>
      <w:bookmarkStart w:id="469" w:name="_Toc475451801"/>
      <w:r>
        <w:rPr>
          <w:rFonts w:hint="eastAsia" w:ascii="仿宋" w:hAnsi="仿宋" w:eastAsia="仿宋" w:cs="仿宋"/>
          <w:b/>
          <w:bCs/>
          <w:sz w:val="32"/>
          <w:szCs w:val="15"/>
          <w:lang w:val="zh-CN"/>
        </w:rPr>
        <w:t>二、开标一览表（唱标报告）</w:t>
      </w:r>
      <w:bookmarkEnd w:id="457"/>
      <w:bookmarkEnd w:id="458"/>
      <w:bookmarkEnd w:id="459"/>
      <w:bookmarkEnd w:id="460"/>
      <w:bookmarkEnd w:id="461"/>
      <w:bookmarkEnd w:id="462"/>
      <w:bookmarkEnd w:id="463"/>
      <w:bookmarkEnd w:id="464"/>
      <w:bookmarkEnd w:id="465"/>
      <w:bookmarkEnd w:id="466"/>
    </w:p>
    <w:tbl>
      <w:tblPr>
        <w:tblStyle w:val="27"/>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2095" w:type="dxa"/>
            <w:noWrap/>
            <w:vAlign w:val="center"/>
          </w:tcPr>
          <w:p>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项目名称</w:t>
            </w:r>
          </w:p>
        </w:tc>
        <w:tc>
          <w:tcPr>
            <w:tcW w:w="7080" w:type="dxa"/>
            <w:noWrap/>
            <w:vAlign w:val="center"/>
          </w:tcPr>
          <w:p>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陕西中医药大学附属医院集成平台与数据中心建设项目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2095" w:type="dxa"/>
            <w:noWrap/>
            <w:vAlign w:val="center"/>
          </w:tcPr>
          <w:p>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项目编号</w:t>
            </w:r>
          </w:p>
        </w:tc>
        <w:tc>
          <w:tcPr>
            <w:tcW w:w="7080" w:type="dxa"/>
            <w:noWrap/>
            <w:vAlign w:val="center"/>
          </w:tcPr>
          <w:p>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DX2022-210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2095" w:type="dxa"/>
            <w:noWrap/>
            <w:vAlign w:val="center"/>
          </w:tcPr>
          <w:p>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投标总报价</w:t>
            </w:r>
          </w:p>
          <w:p>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（元）</w:t>
            </w:r>
          </w:p>
        </w:tc>
        <w:tc>
          <w:tcPr>
            <w:tcW w:w="7080" w:type="dxa"/>
            <w:noWrap/>
            <w:vAlign w:val="center"/>
          </w:tcPr>
          <w:p>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　</w:t>
            </w:r>
          </w:p>
          <w:p>
            <w:pPr>
              <w:spacing w:line="360" w:lineRule="auto"/>
              <w:jc w:val="left"/>
              <w:rPr>
                <w:rFonts w:ascii="仿宋" w:hAnsi="仿宋" w:eastAsia="仿宋" w:cs="仿宋"/>
                <w:b/>
                <w:bCs/>
                <w:sz w:val="24"/>
                <w:szCs w:val="24"/>
              </w:rPr>
            </w:pPr>
            <w:r>
              <w:rPr>
                <w:rFonts w:hint="eastAsia" w:ascii="仿宋" w:hAnsi="仿宋" w:eastAsia="仿宋" w:cs="仿宋"/>
                <w:b/>
                <w:bCs/>
                <w:sz w:val="24"/>
                <w:szCs w:val="24"/>
              </w:rPr>
              <w:t>大写：</w:t>
            </w:r>
            <w:r>
              <w:rPr>
                <w:rFonts w:hint="eastAsia" w:ascii="仿宋" w:hAnsi="仿宋" w:eastAsia="仿宋" w:cs="仿宋"/>
                <w:sz w:val="24"/>
                <w:szCs w:val="24"/>
                <w:u w:val="single"/>
                <w:lang w:val="en-US" w:eastAsia="zh-CN"/>
              </w:rPr>
              <w:t xml:space="preserve">                               </w:t>
            </w:r>
            <w:r>
              <w:rPr>
                <w:rFonts w:hint="eastAsia" w:ascii="仿宋" w:hAnsi="仿宋" w:eastAsia="仿宋" w:cs="仿宋"/>
                <w:b/>
                <w:bCs/>
                <w:sz w:val="24"/>
                <w:szCs w:val="24"/>
              </w:rPr>
              <w:t xml:space="preserve">         </w:t>
            </w:r>
          </w:p>
          <w:p>
            <w:pPr>
              <w:spacing w:line="360" w:lineRule="auto"/>
              <w:jc w:val="left"/>
              <w:rPr>
                <w:rFonts w:ascii="仿宋" w:hAnsi="仿宋" w:eastAsia="仿宋" w:cs="仿宋"/>
                <w:b/>
                <w:bCs/>
                <w:sz w:val="24"/>
                <w:szCs w:val="24"/>
              </w:rPr>
            </w:pPr>
            <w:r>
              <w:rPr>
                <w:rFonts w:hint="eastAsia" w:ascii="仿宋" w:hAnsi="仿宋" w:eastAsia="仿宋" w:cs="仿宋"/>
                <w:b/>
                <w:bCs/>
                <w:sz w:val="24"/>
                <w:szCs w:val="24"/>
              </w:rPr>
              <w:t>小写：</w:t>
            </w:r>
            <w:r>
              <w:rPr>
                <w:rFonts w:hint="eastAsia" w:ascii="仿宋" w:hAnsi="仿宋" w:eastAsia="仿宋" w:cs="仿宋"/>
                <w:sz w:val="24"/>
                <w:szCs w:val="24"/>
                <w:u w:val="single"/>
                <w:lang w:val="en-US" w:eastAsia="zh-CN"/>
              </w:rPr>
              <w:t xml:space="preserve">                               </w:t>
            </w:r>
            <w:r>
              <w:rPr>
                <w:rFonts w:hint="eastAsia" w:ascii="仿宋" w:hAnsi="仿宋" w:eastAsia="仿宋" w:cs="仿宋"/>
                <w:b/>
                <w:bCs/>
                <w:sz w:val="24"/>
                <w:szCs w:val="24"/>
              </w:rPr>
              <w:t xml:space="preserve">         </w:t>
            </w:r>
          </w:p>
          <w:p>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2095" w:type="dxa"/>
            <w:noWrap/>
            <w:vAlign w:val="center"/>
          </w:tcPr>
          <w:p>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实施周期</w:t>
            </w:r>
          </w:p>
        </w:tc>
        <w:tc>
          <w:tcPr>
            <w:tcW w:w="7080" w:type="dxa"/>
            <w:noWrap/>
            <w:vAlign w:val="center"/>
          </w:tcPr>
          <w:p>
            <w:pPr>
              <w:spacing w:line="360" w:lineRule="auto"/>
              <w:jc w:val="center"/>
              <w:rPr>
                <w:rFonts w:ascii="仿宋" w:hAnsi="仿宋" w:eastAsia="仿宋" w:cs="仿宋"/>
                <w:b/>
                <w:bCs/>
                <w:sz w:val="24"/>
                <w:szCs w:val="24"/>
              </w:rPr>
            </w:pPr>
          </w:p>
        </w:tc>
      </w:tr>
    </w:tbl>
    <w:p>
      <w:pPr>
        <w:spacing w:line="360" w:lineRule="auto"/>
        <w:jc w:val="left"/>
        <w:rPr>
          <w:rFonts w:ascii="仿宋" w:hAnsi="仿宋" w:eastAsia="仿宋" w:cs="仿宋"/>
          <w:b/>
          <w:bCs/>
          <w:sz w:val="24"/>
          <w:szCs w:val="24"/>
        </w:rPr>
      </w:pPr>
      <w:r>
        <w:rPr>
          <w:rFonts w:hint="eastAsia" w:ascii="仿宋" w:hAnsi="仿宋" w:eastAsia="仿宋" w:cs="仿宋"/>
          <w:b/>
          <w:bCs/>
          <w:sz w:val="24"/>
          <w:szCs w:val="24"/>
        </w:rPr>
        <w:t>说明：</w:t>
      </w:r>
    </w:p>
    <w:p>
      <w:pPr>
        <w:spacing w:line="360" w:lineRule="auto"/>
        <w:jc w:val="left"/>
        <w:rPr>
          <w:rFonts w:ascii="仿宋" w:hAnsi="仿宋" w:eastAsia="仿宋" w:cs="仿宋"/>
          <w:b/>
          <w:bCs/>
          <w:sz w:val="24"/>
          <w:szCs w:val="24"/>
        </w:rPr>
      </w:pPr>
      <w:r>
        <w:rPr>
          <w:rFonts w:hint="eastAsia" w:ascii="仿宋" w:hAnsi="仿宋" w:eastAsia="仿宋" w:cs="仿宋"/>
          <w:b/>
          <w:bCs/>
          <w:sz w:val="24"/>
          <w:szCs w:val="24"/>
        </w:rPr>
        <w:t>1.本表所列各项数据与招标文件其它地方表述不一致时，以本表为准。</w:t>
      </w:r>
    </w:p>
    <w:p>
      <w:pPr>
        <w:spacing w:line="360" w:lineRule="auto"/>
        <w:jc w:val="left"/>
        <w:rPr>
          <w:rFonts w:ascii="仿宋" w:hAnsi="仿宋" w:eastAsia="仿宋" w:cs="仿宋"/>
          <w:b/>
          <w:bCs/>
          <w:sz w:val="24"/>
          <w:szCs w:val="24"/>
        </w:rPr>
      </w:pPr>
      <w:r>
        <w:rPr>
          <w:rFonts w:hint="eastAsia" w:ascii="仿宋" w:hAnsi="仿宋" w:eastAsia="仿宋" w:cs="仿宋"/>
          <w:b/>
          <w:bCs/>
          <w:sz w:val="24"/>
          <w:szCs w:val="24"/>
        </w:rPr>
        <w:t>2.投标总报价以元为单位，四舍五入精确到小数点后两位。</w:t>
      </w:r>
    </w:p>
    <w:p>
      <w:pPr>
        <w:widowControl/>
        <w:spacing w:line="360" w:lineRule="auto"/>
        <w:ind w:firstLine="482" w:firstLineChars="200"/>
        <w:rPr>
          <w:rFonts w:ascii="仿宋" w:hAnsi="仿宋" w:eastAsia="仿宋" w:cs="仿宋"/>
          <w:b/>
          <w:bCs/>
          <w:color w:val="FF0000"/>
          <w:kern w:val="0"/>
          <w:sz w:val="24"/>
          <w:szCs w:val="24"/>
        </w:rPr>
      </w:pPr>
    </w:p>
    <w:p>
      <w:pPr>
        <w:widowControl/>
        <w:spacing w:line="360" w:lineRule="auto"/>
        <w:rPr>
          <w:rFonts w:ascii="仿宋" w:hAnsi="仿宋" w:eastAsia="仿宋" w:cs="仿宋"/>
          <w:bCs/>
          <w:kern w:val="0"/>
          <w:sz w:val="24"/>
          <w:szCs w:val="24"/>
        </w:rPr>
      </w:pPr>
    </w:p>
    <w:p>
      <w:pPr>
        <w:spacing w:line="360" w:lineRule="auto"/>
        <w:ind w:left="0" w:leftChars="0" w:firstLine="3578" w:firstLineChars="1491"/>
        <w:rPr>
          <w:rFonts w:ascii="仿宋" w:hAnsi="仿宋" w:eastAsia="仿宋" w:cs="仿宋"/>
          <w:sz w:val="24"/>
          <w:szCs w:val="24"/>
        </w:rPr>
      </w:pPr>
      <w:r>
        <w:rPr>
          <w:rFonts w:hint="eastAsia" w:ascii="仿宋" w:hAnsi="仿宋" w:eastAsia="仿宋" w:cs="仿宋"/>
          <w:sz w:val="24"/>
          <w:szCs w:val="24"/>
        </w:rPr>
        <w:t>供应商（公章）：</w:t>
      </w:r>
      <w:r>
        <w:rPr>
          <w:rFonts w:hint="eastAsia" w:ascii="仿宋" w:hAnsi="仿宋" w:eastAsia="仿宋" w:cs="仿宋"/>
          <w:sz w:val="24"/>
          <w:szCs w:val="24"/>
          <w:u w:val="single"/>
          <w:lang w:val="en-US" w:eastAsia="zh-CN"/>
        </w:rPr>
        <w:t xml:space="preserve">                       </w:t>
      </w:r>
    </w:p>
    <w:p>
      <w:pPr>
        <w:spacing w:line="360" w:lineRule="auto"/>
        <w:ind w:left="0" w:leftChars="0" w:firstLine="3578" w:firstLineChars="1491"/>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lang w:val="en-US" w:eastAsia="zh-CN"/>
        </w:rPr>
        <w:t xml:space="preserve">           </w:t>
      </w:r>
    </w:p>
    <w:p>
      <w:pPr>
        <w:adjustRightInd w:val="0"/>
        <w:snapToGrid w:val="0"/>
        <w:spacing w:line="360" w:lineRule="auto"/>
        <w:ind w:left="0" w:leftChars="0" w:firstLine="3578" w:firstLineChars="1491"/>
        <w:rPr>
          <w:rFonts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lang w:val="en-US" w:eastAsia="zh-CN"/>
        </w:rPr>
        <w:t xml:space="preserve">                   </w:t>
      </w:r>
    </w:p>
    <w:p>
      <w:pPr>
        <w:jc w:val="center"/>
        <w:rPr>
          <w:rFonts w:ascii="仿宋" w:hAnsi="仿宋" w:eastAsia="仿宋" w:cs="仿宋"/>
          <w:b/>
          <w:bCs/>
          <w:sz w:val="32"/>
          <w:szCs w:val="15"/>
          <w:lang w:val="zh-CN"/>
        </w:rPr>
      </w:pPr>
      <w:bookmarkStart w:id="470" w:name="_Toc5579"/>
      <w:bookmarkStart w:id="471" w:name="_Toc28835"/>
      <w:bookmarkStart w:id="472" w:name="_Toc23870"/>
      <w:bookmarkStart w:id="473" w:name="_Toc17040"/>
      <w:bookmarkStart w:id="474" w:name="_Toc5122"/>
      <w:bookmarkStart w:id="475" w:name="_Toc16973"/>
      <w:bookmarkStart w:id="476" w:name="_Toc27212"/>
      <w:bookmarkStart w:id="477" w:name="_Toc27541"/>
      <w:bookmarkStart w:id="478" w:name="_Toc32414"/>
      <w:r>
        <w:rPr>
          <w:rFonts w:hint="eastAsia" w:ascii="仿宋" w:hAnsi="仿宋" w:eastAsia="仿宋" w:cs="仿宋"/>
          <w:b/>
          <w:bCs/>
          <w:sz w:val="32"/>
          <w:szCs w:val="15"/>
          <w:lang w:val="zh-CN"/>
        </w:rPr>
        <w:br w:type="page"/>
      </w:r>
      <w:bookmarkStart w:id="479" w:name="_Toc27700"/>
      <w:r>
        <w:rPr>
          <w:rFonts w:hint="eastAsia" w:ascii="仿宋" w:hAnsi="仿宋" w:eastAsia="仿宋" w:cs="仿宋"/>
          <w:b/>
          <w:bCs/>
          <w:sz w:val="32"/>
          <w:szCs w:val="15"/>
          <w:lang w:val="zh-CN"/>
        </w:rPr>
        <w:t>三、分项报价表</w:t>
      </w:r>
      <w:bookmarkEnd w:id="479"/>
    </w:p>
    <w:p>
      <w:pPr>
        <w:ind w:left="420" w:leftChars="200"/>
        <w:jc w:val="center"/>
        <w:rPr>
          <w:rFonts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根据采购内容自行编制</w:t>
      </w:r>
    </w:p>
    <w:p>
      <w:pPr>
        <w:pStyle w:val="17"/>
        <w:rPr>
          <w:rFonts w:ascii="仿宋" w:hAnsi="仿宋" w:eastAsia="仿宋" w:cs="仿宋"/>
          <w:sz w:val="24"/>
          <w:szCs w:val="24"/>
        </w:rPr>
      </w:pPr>
    </w:p>
    <w:p>
      <w:pPr>
        <w:pStyle w:val="17"/>
        <w:rPr>
          <w:rFonts w:ascii="仿宋" w:hAnsi="仿宋" w:eastAsia="仿宋" w:cs="仿宋"/>
          <w:sz w:val="24"/>
          <w:szCs w:val="24"/>
        </w:rPr>
      </w:pPr>
    </w:p>
    <w:p>
      <w:pPr>
        <w:pStyle w:val="17"/>
        <w:rPr>
          <w:rFonts w:ascii="仿宋" w:hAnsi="仿宋" w:eastAsia="仿宋" w:cs="仿宋"/>
          <w:sz w:val="24"/>
          <w:szCs w:val="24"/>
        </w:rPr>
      </w:pPr>
    </w:p>
    <w:p>
      <w:pPr>
        <w:pStyle w:val="17"/>
        <w:rPr>
          <w:rFonts w:ascii="仿宋" w:hAnsi="仿宋" w:eastAsia="仿宋" w:cs="仿宋"/>
          <w:sz w:val="24"/>
          <w:szCs w:val="24"/>
        </w:rPr>
      </w:pPr>
    </w:p>
    <w:p>
      <w:pPr>
        <w:spacing w:line="360" w:lineRule="auto"/>
        <w:ind w:left="0" w:leftChars="0" w:firstLine="3578" w:firstLineChars="1491"/>
        <w:rPr>
          <w:rFonts w:ascii="仿宋" w:hAnsi="仿宋" w:eastAsia="仿宋" w:cs="仿宋"/>
          <w:sz w:val="24"/>
          <w:szCs w:val="24"/>
        </w:rPr>
      </w:pPr>
      <w:r>
        <w:rPr>
          <w:rFonts w:hint="eastAsia" w:ascii="仿宋" w:hAnsi="仿宋" w:eastAsia="仿宋" w:cs="仿宋"/>
          <w:sz w:val="24"/>
          <w:szCs w:val="24"/>
        </w:rPr>
        <w:t>供应商（公章）：</w:t>
      </w:r>
      <w:r>
        <w:rPr>
          <w:rFonts w:hint="eastAsia" w:ascii="仿宋" w:hAnsi="仿宋" w:eastAsia="仿宋" w:cs="仿宋"/>
          <w:sz w:val="24"/>
          <w:szCs w:val="24"/>
          <w:u w:val="single"/>
          <w:lang w:val="en-US" w:eastAsia="zh-CN"/>
        </w:rPr>
        <w:t xml:space="preserve">                       </w:t>
      </w:r>
    </w:p>
    <w:p>
      <w:pPr>
        <w:spacing w:line="360" w:lineRule="auto"/>
        <w:ind w:left="0" w:leftChars="0" w:firstLine="3578" w:firstLineChars="1491"/>
        <w:rPr>
          <w:rFonts w:hint="eastAsia" w:ascii="仿宋" w:hAnsi="仿宋" w:eastAsia="仿宋" w:cs="仿宋"/>
          <w:sz w:val="24"/>
          <w:szCs w:val="24"/>
          <w:u w:val="single"/>
          <w:lang w:val="en-US" w:eastAsia="zh-CN"/>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lang w:val="en-US" w:eastAsia="zh-CN"/>
        </w:rPr>
        <w:t xml:space="preserve">           </w:t>
      </w:r>
    </w:p>
    <w:p>
      <w:pPr>
        <w:spacing w:line="360" w:lineRule="auto"/>
        <w:ind w:left="0" w:leftChars="0" w:firstLine="3578" w:firstLineChars="1491"/>
        <w:rPr>
          <w:rFonts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lang w:val="en-US" w:eastAsia="zh-CN"/>
        </w:rPr>
        <w:t xml:space="preserve">                   </w:t>
      </w:r>
    </w:p>
    <w:p>
      <w:pPr>
        <w:pageBreakBefore/>
        <w:spacing w:line="360" w:lineRule="auto"/>
        <w:jc w:val="center"/>
        <w:outlineLvl w:val="1"/>
        <w:rPr>
          <w:rFonts w:ascii="仿宋" w:hAnsi="仿宋" w:eastAsia="仿宋" w:cs="仿宋"/>
          <w:b/>
          <w:bCs/>
          <w:sz w:val="32"/>
          <w:szCs w:val="15"/>
          <w:lang w:val="zh-CN"/>
        </w:rPr>
      </w:pPr>
      <w:bookmarkStart w:id="480" w:name="_Toc32303"/>
      <w:r>
        <w:rPr>
          <w:rFonts w:hint="eastAsia" w:ascii="仿宋" w:hAnsi="仿宋" w:eastAsia="仿宋" w:cs="仿宋"/>
          <w:b/>
          <w:bCs/>
          <w:sz w:val="32"/>
          <w:szCs w:val="15"/>
          <w:lang w:val="zh-CN"/>
        </w:rPr>
        <w:t>四、供应商资格证明文件</w:t>
      </w:r>
      <w:bookmarkEnd w:id="480"/>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（1）基本资格条件：符合《中华人民共和国政府采购法》第二十二条的规定；</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1、提供统一社会信用代码的营业执照或其他组织经营的合法凭证或自然人的提供身份证明文件；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2、财务状况报告：提供具有财务审计资质单位出具的2021年度财务报告或开标前六个月内其基本账户银行出具的资信证明（附基本户证明资料）或财政部门认可的政府采购专业担保机构出具的担保函，以上形式的证明资料提供任何一种即可；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3、税收缴纳证明：提供已缴纳的 2022年1月1日以来至少一个月的纳税证明或完税证明（提供增值税、企业所得税至少一种），纳税证明或完税证明上应有代收机构或税务机关的公章或业务专用章。依法免税的供应商应提供相关文件证明；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4、社会保障资金缴纳证明：提供已缴存的 2022年1月1日以来至少一个月的社会保障资金缴存单据或社保机构开具的社会保险参保缴费情况证明。成立时间至提交投标文件截止时间不足一个月或依法不需要缴纳社会保障资金的供应商应提供相关文件证明；</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5、出具履行合同所必需的设备和专业技术能力的书面声明；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6、出具参加本次政府采购活动的书面声明； </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 xml:space="preserve">（2）特定资格条件：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zh-CN"/>
        </w:rPr>
        <w:t>法定代表人授权书及被授权人身份证，并且提供有效的劳动合同或开标截止前六个月内任意一个月养老保险缴纳证明（法人参加只需提供法定代表人身份证明）</w:t>
      </w:r>
      <w:r>
        <w:rPr>
          <w:rFonts w:hint="eastAsia" w:ascii="仿宋" w:hAnsi="仿宋" w:eastAsia="仿宋" w:cs="仿宋"/>
          <w:sz w:val="24"/>
          <w:szCs w:val="24"/>
        </w:rPr>
        <w:t>；</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 2、符合《财政部关于在政府采购活动中查询及使用信用记录有关问题的通知》（财库【2016】125号）文件中信用查询的要求（此项由采购人与采购代理单位在开标时查询，以现场查询为准）；</w:t>
      </w:r>
    </w:p>
    <w:p>
      <w:pPr>
        <w:spacing w:line="360" w:lineRule="auto"/>
        <w:rPr>
          <w:rFonts w:ascii="仿宋" w:hAnsi="仿宋" w:eastAsia="仿宋" w:cs="仿宋"/>
          <w:b/>
          <w:bCs/>
          <w:sz w:val="24"/>
          <w:szCs w:val="24"/>
        </w:rPr>
      </w:pPr>
      <w:r>
        <w:rPr>
          <w:rFonts w:hint="eastAsia" w:ascii="仿宋" w:hAnsi="仿宋" w:eastAsia="仿宋" w:cs="仿宋"/>
          <w:b/>
          <w:bCs/>
          <w:sz w:val="24"/>
          <w:szCs w:val="24"/>
        </w:rPr>
        <w:t>注：“</w:t>
      </w:r>
      <w:r>
        <w:rPr>
          <w:rFonts w:hint="eastAsia" w:ascii="仿宋" w:hAnsi="仿宋" w:eastAsia="仿宋" w:cs="仿宋"/>
          <w:b/>
          <w:bCs/>
          <w:sz w:val="24"/>
          <w:szCs w:val="24"/>
          <w:lang w:val="zh-CN"/>
        </w:rPr>
        <w:t>四、供应商资格证明文件</w:t>
      </w:r>
      <w:r>
        <w:rPr>
          <w:rFonts w:hint="eastAsia" w:ascii="仿宋" w:hAnsi="仿宋" w:eastAsia="仿宋" w:cs="仿宋"/>
          <w:b/>
          <w:bCs/>
          <w:sz w:val="24"/>
          <w:szCs w:val="24"/>
        </w:rPr>
        <w:t>”单独胶装成册1本，与投标文件正本一同密封。</w:t>
      </w:r>
    </w:p>
    <w:p>
      <w:pPr>
        <w:tabs>
          <w:tab w:val="left" w:pos="9030"/>
        </w:tabs>
        <w:snapToGrid w:val="0"/>
        <w:spacing w:line="360" w:lineRule="auto"/>
        <w:ind w:right="-65" w:firstLine="480" w:firstLineChars="200"/>
        <w:rPr>
          <w:rFonts w:ascii="仿宋" w:hAnsi="仿宋" w:eastAsia="仿宋" w:cs="仿宋"/>
          <w:kern w:val="0"/>
          <w:sz w:val="24"/>
          <w:szCs w:val="24"/>
        </w:rPr>
      </w:pPr>
    </w:p>
    <w:p>
      <w:pPr>
        <w:pageBreakBefore/>
        <w:spacing w:line="360" w:lineRule="auto"/>
        <w:jc w:val="center"/>
        <w:rPr>
          <w:rFonts w:ascii="仿宋" w:hAnsi="仿宋" w:eastAsia="仿宋" w:cs="仿宋"/>
          <w:b/>
          <w:bCs/>
          <w:sz w:val="24"/>
          <w:szCs w:val="24"/>
        </w:rPr>
      </w:pPr>
      <w:r>
        <w:rPr>
          <w:rFonts w:hint="eastAsia" w:ascii="仿宋" w:hAnsi="仿宋" w:eastAsia="仿宋" w:cs="仿宋"/>
          <w:b/>
          <w:bCs/>
          <w:sz w:val="32"/>
          <w:szCs w:val="32"/>
        </w:rPr>
        <w:t>供应商基本情况表</w:t>
      </w:r>
    </w:p>
    <w:tbl>
      <w:tblPr>
        <w:tblStyle w:val="2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39"/>
        <w:gridCol w:w="1053"/>
        <w:gridCol w:w="2205"/>
        <w:gridCol w:w="198"/>
        <w:gridCol w:w="1227"/>
        <w:gridCol w:w="1620"/>
        <w:gridCol w:w="16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2310" w:type="dxa"/>
            <w:gridSpan w:val="3"/>
            <w:noWrap/>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供应商名称</w:t>
            </w:r>
          </w:p>
        </w:tc>
        <w:tc>
          <w:tcPr>
            <w:tcW w:w="3630" w:type="dxa"/>
            <w:gridSpan w:val="3"/>
            <w:noWrap/>
            <w:vAlign w:val="center"/>
          </w:tcPr>
          <w:p>
            <w:pPr>
              <w:topLinePunct/>
              <w:spacing w:line="360" w:lineRule="auto"/>
              <w:jc w:val="center"/>
              <w:rPr>
                <w:rFonts w:ascii="仿宋" w:hAnsi="仿宋" w:eastAsia="仿宋" w:cs="仿宋"/>
                <w:sz w:val="24"/>
                <w:szCs w:val="24"/>
              </w:rPr>
            </w:pPr>
          </w:p>
        </w:tc>
        <w:tc>
          <w:tcPr>
            <w:tcW w:w="1620" w:type="dxa"/>
            <w:noWrap/>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法定代表人</w:t>
            </w:r>
          </w:p>
        </w:tc>
        <w:tc>
          <w:tcPr>
            <w:tcW w:w="1657" w:type="dxa"/>
            <w:noWrap/>
            <w:vAlign w:val="center"/>
          </w:tcPr>
          <w:p>
            <w:pPr>
              <w:topLinePunct/>
              <w:spacing w:line="360" w:lineRule="auto"/>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2310" w:type="dxa"/>
            <w:gridSpan w:val="3"/>
            <w:noWrap/>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统一</w:t>
            </w:r>
          </w:p>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社会信用代码</w:t>
            </w:r>
          </w:p>
        </w:tc>
        <w:tc>
          <w:tcPr>
            <w:tcW w:w="3630" w:type="dxa"/>
            <w:gridSpan w:val="3"/>
            <w:noWrap/>
            <w:vAlign w:val="center"/>
          </w:tcPr>
          <w:p>
            <w:pPr>
              <w:topLinePunct/>
              <w:spacing w:line="360" w:lineRule="auto"/>
              <w:jc w:val="center"/>
              <w:rPr>
                <w:rFonts w:ascii="仿宋" w:hAnsi="仿宋" w:eastAsia="仿宋" w:cs="仿宋"/>
                <w:sz w:val="24"/>
                <w:szCs w:val="24"/>
              </w:rPr>
            </w:pPr>
          </w:p>
        </w:tc>
        <w:tc>
          <w:tcPr>
            <w:tcW w:w="1620" w:type="dxa"/>
            <w:noWrap/>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邮政编码</w:t>
            </w:r>
          </w:p>
        </w:tc>
        <w:tc>
          <w:tcPr>
            <w:tcW w:w="1657" w:type="dxa"/>
            <w:noWrap/>
            <w:vAlign w:val="center"/>
          </w:tcPr>
          <w:p>
            <w:pPr>
              <w:topLinePunct/>
              <w:spacing w:line="360" w:lineRule="auto"/>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310" w:type="dxa"/>
            <w:gridSpan w:val="3"/>
            <w:noWrap/>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上年营业收入</w:t>
            </w:r>
          </w:p>
        </w:tc>
        <w:tc>
          <w:tcPr>
            <w:tcW w:w="3630" w:type="dxa"/>
            <w:gridSpan w:val="3"/>
            <w:noWrap/>
            <w:vAlign w:val="center"/>
          </w:tcPr>
          <w:p>
            <w:pPr>
              <w:topLinePunct/>
              <w:spacing w:line="360" w:lineRule="auto"/>
              <w:jc w:val="center"/>
              <w:rPr>
                <w:rFonts w:ascii="仿宋" w:hAnsi="仿宋" w:eastAsia="仿宋" w:cs="仿宋"/>
                <w:sz w:val="24"/>
                <w:szCs w:val="24"/>
              </w:rPr>
            </w:pPr>
          </w:p>
        </w:tc>
        <w:tc>
          <w:tcPr>
            <w:tcW w:w="1620" w:type="dxa"/>
            <w:noWrap/>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员工总人数</w:t>
            </w:r>
          </w:p>
        </w:tc>
        <w:tc>
          <w:tcPr>
            <w:tcW w:w="1657" w:type="dxa"/>
            <w:noWrap/>
            <w:vAlign w:val="center"/>
          </w:tcPr>
          <w:p>
            <w:pPr>
              <w:topLinePunct/>
              <w:spacing w:line="360" w:lineRule="auto"/>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restart"/>
            <w:noWrap/>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营业执照</w:t>
            </w:r>
          </w:p>
        </w:tc>
        <w:tc>
          <w:tcPr>
            <w:tcW w:w="1592" w:type="dxa"/>
            <w:gridSpan w:val="2"/>
            <w:noWrap/>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注册号码</w:t>
            </w:r>
          </w:p>
        </w:tc>
        <w:tc>
          <w:tcPr>
            <w:tcW w:w="2205" w:type="dxa"/>
            <w:noWrap/>
            <w:vAlign w:val="center"/>
          </w:tcPr>
          <w:p>
            <w:pPr>
              <w:topLinePunct/>
              <w:spacing w:line="360" w:lineRule="auto"/>
              <w:jc w:val="center"/>
              <w:rPr>
                <w:rFonts w:ascii="仿宋" w:hAnsi="仿宋" w:eastAsia="仿宋" w:cs="仿宋"/>
                <w:sz w:val="24"/>
                <w:szCs w:val="24"/>
              </w:rPr>
            </w:pPr>
          </w:p>
        </w:tc>
        <w:tc>
          <w:tcPr>
            <w:tcW w:w="1425" w:type="dxa"/>
            <w:gridSpan w:val="2"/>
            <w:noWrap/>
            <w:vAlign w:val="center"/>
          </w:tcPr>
          <w:p>
            <w:pPr>
              <w:topLinePunct/>
              <w:spacing w:line="360" w:lineRule="auto"/>
              <w:rPr>
                <w:rFonts w:ascii="仿宋" w:hAnsi="仿宋" w:eastAsia="仿宋" w:cs="仿宋"/>
                <w:sz w:val="24"/>
                <w:szCs w:val="24"/>
              </w:rPr>
            </w:pPr>
            <w:r>
              <w:rPr>
                <w:rFonts w:hint="eastAsia" w:ascii="仿宋" w:hAnsi="仿宋" w:eastAsia="仿宋" w:cs="仿宋"/>
                <w:sz w:val="24"/>
                <w:szCs w:val="24"/>
              </w:rPr>
              <w:t>注册地址</w:t>
            </w:r>
          </w:p>
        </w:tc>
        <w:tc>
          <w:tcPr>
            <w:tcW w:w="3277" w:type="dxa"/>
            <w:gridSpan w:val="2"/>
            <w:noWrap/>
            <w:vAlign w:val="center"/>
          </w:tcPr>
          <w:p>
            <w:pPr>
              <w:topLinePunct/>
              <w:spacing w:line="360" w:lineRule="auto"/>
              <w:ind w:firstLine="120" w:firstLineChars="50"/>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noWrap/>
            <w:vAlign w:val="center"/>
          </w:tcPr>
          <w:p>
            <w:pPr>
              <w:topLinePunct/>
              <w:spacing w:line="360" w:lineRule="auto"/>
              <w:jc w:val="center"/>
              <w:rPr>
                <w:rFonts w:ascii="仿宋" w:hAnsi="仿宋" w:eastAsia="仿宋" w:cs="仿宋"/>
                <w:sz w:val="24"/>
                <w:szCs w:val="24"/>
              </w:rPr>
            </w:pPr>
          </w:p>
        </w:tc>
        <w:tc>
          <w:tcPr>
            <w:tcW w:w="1592" w:type="dxa"/>
            <w:gridSpan w:val="2"/>
            <w:noWrap/>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发证机关</w:t>
            </w:r>
          </w:p>
        </w:tc>
        <w:tc>
          <w:tcPr>
            <w:tcW w:w="2205" w:type="dxa"/>
            <w:noWrap/>
            <w:vAlign w:val="center"/>
          </w:tcPr>
          <w:p>
            <w:pPr>
              <w:topLinePunct/>
              <w:spacing w:line="360" w:lineRule="auto"/>
              <w:jc w:val="center"/>
              <w:rPr>
                <w:rFonts w:ascii="仿宋" w:hAnsi="仿宋" w:eastAsia="仿宋" w:cs="仿宋"/>
                <w:sz w:val="24"/>
                <w:szCs w:val="24"/>
              </w:rPr>
            </w:pPr>
          </w:p>
        </w:tc>
        <w:tc>
          <w:tcPr>
            <w:tcW w:w="1425" w:type="dxa"/>
            <w:gridSpan w:val="2"/>
            <w:noWrap/>
            <w:vAlign w:val="center"/>
          </w:tcPr>
          <w:p>
            <w:pPr>
              <w:topLinePunct/>
              <w:spacing w:line="360" w:lineRule="auto"/>
              <w:rPr>
                <w:rFonts w:ascii="仿宋" w:hAnsi="仿宋" w:eastAsia="仿宋" w:cs="仿宋"/>
                <w:sz w:val="24"/>
                <w:szCs w:val="24"/>
              </w:rPr>
            </w:pPr>
            <w:r>
              <w:rPr>
                <w:rFonts w:hint="eastAsia" w:ascii="仿宋" w:hAnsi="仿宋" w:eastAsia="仿宋" w:cs="仿宋"/>
                <w:sz w:val="24"/>
                <w:szCs w:val="24"/>
              </w:rPr>
              <w:t>发证日期</w:t>
            </w:r>
          </w:p>
        </w:tc>
        <w:tc>
          <w:tcPr>
            <w:tcW w:w="3277" w:type="dxa"/>
            <w:gridSpan w:val="2"/>
            <w:noWrap/>
            <w:vAlign w:val="center"/>
          </w:tcPr>
          <w:p>
            <w:pPr>
              <w:topLinePunct/>
              <w:spacing w:line="360" w:lineRule="auto"/>
              <w:ind w:firstLine="120" w:firstLineChars="50"/>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noWrap/>
            <w:vAlign w:val="center"/>
          </w:tcPr>
          <w:p>
            <w:pPr>
              <w:topLinePunct/>
              <w:spacing w:line="360" w:lineRule="auto"/>
              <w:jc w:val="center"/>
              <w:rPr>
                <w:rFonts w:ascii="仿宋" w:hAnsi="仿宋" w:eastAsia="仿宋" w:cs="仿宋"/>
                <w:sz w:val="24"/>
                <w:szCs w:val="24"/>
              </w:rPr>
            </w:pPr>
          </w:p>
        </w:tc>
        <w:tc>
          <w:tcPr>
            <w:tcW w:w="1592" w:type="dxa"/>
            <w:gridSpan w:val="2"/>
            <w:noWrap/>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营业范围</w:t>
            </w:r>
          </w:p>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（主营）</w:t>
            </w:r>
          </w:p>
        </w:tc>
        <w:tc>
          <w:tcPr>
            <w:tcW w:w="6907" w:type="dxa"/>
            <w:gridSpan w:val="5"/>
            <w:noWrap/>
            <w:vAlign w:val="center"/>
          </w:tcPr>
          <w:p>
            <w:pPr>
              <w:topLinePunct/>
              <w:spacing w:line="360" w:lineRule="auto"/>
              <w:ind w:firstLine="120" w:firstLineChars="50"/>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noWrap/>
            <w:vAlign w:val="center"/>
          </w:tcPr>
          <w:p>
            <w:pPr>
              <w:topLinePunct/>
              <w:spacing w:line="360" w:lineRule="auto"/>
              <w:jc w:val="center"/>
              <w:rPr>
                <w:rFonts w:ascii="仿宋" w:hAnsi="仿宋" w:eastAsia="仿宋" w:cs="仿宋"/>
                <w:sz w:val="24"/>
                <w:szCs w:val="24"/>
              </w:rPr>
            </w:pPr>
          </w:p>
        </w:tc>
        <w:tc>
          <w:tcPr>
            <w:tcW w:w="1592" w:type="dxa"/>
            <w:gridSpan w:val="2"/>
            <w:noWrap/>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营业范围</w:t>
            </w:r>
          </w:p>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（兼营）</w:t>
            </w:r>
          </w:p>
        </w:tc>
        <w:tc>
          <w:tcPr>
            <w:tcW w:w="6907" w:type="dxa"/>
            <w:gridSpan w:val="5"/>
            <w:noWrap/>
            <w:vAlign w:val="center"/>
          </w:tcPr>
          <w:p>
            <w:pPr>
              <w:topLinePunct/>
              <w:spacing w:line="360" w:lineRule="auto"/>
              <w:ind w:firstLine="120" w:firstLineChars="50"/>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9" w:hRule="atLeast"/>
        </w:trPr>
        <w:tc>
          <w:tcPr>
            <w:tcW w:w="2310" w:type="dxa"/>
            <w:gridSpan w:val="3"/>
            <w:noWrap/>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基本账户开户行及账号</w:t>
            </w:r>
          </w:p>
        </w:tc>
        <w:tc>
          <w:tcPr>
            <w:tcW w:w="6907" w:type="dxa"/>
            <w:gridSpan w:val="5"/>
            <w:noWrap/>
            <w:vAlign w:val="center"/>
          </w:tcPr>
          <w:p>
            <w:pPr>
              <w:topLinePunct/>
              <w:spacing w:line="360" w:lineRule="auto"/>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trPr>
        <w:tc>
          <w:tcPr>
            <w:tcW w:w="2310" w:type="dxa"/>
            <w:gridSpan w:val="3"/>
            <w:noWrap/>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资产总额（万元）</w:t>
            </w:r>
          </w:p>
        </w:tc>
        <w:tc>
          <w:tcPr>
            <w:tcW w:w="6907" w:type="dxa"/>
            <w:gridSpan w:val="5"/>
            <w:noWrap/>
            <w:vAlign w:val="center"/>
          </w:tcPr>
          <w:p>
            <w:pPr>
              <w:topLinePunct/>
              <w:spacing w:line="360" w:lineRule="auto"/>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2310" w:type="dxa"/>
            <w:gridSpan w:val="3"/>
            <w:noWrap/>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资质名称</w:t>
            </w:r>
          </w:p>
        </w:tc>
        <w:tc>
          <w:tcPr>
            <w:tcW w:w="2403" w:type="dxa"/>
            <w:gridSpan w:val="2"/>
            <w:noWrap/>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等级</w:t>
            </w:r>
          </w:p>
        </w:tc>
        <w:tc>
          <w:tcPr>
            <w:tcW w:w="1227" w:type="dxa"/>
            <w:noWrap/>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发证机关</w:t>
            </w:r>
          </w:p>
        </w:tc>
        <w:tc>
          <w:tcPr>
            <w:tcW w:w="3277" w:type="dxa"/>
            <w:gridSpan w:val="2"/>
            <w:noWrap/>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2310" w:type="dxa"/>
            <w:gridSpan w:val="3"/>
            <w:noWrap/>
            <w:vAlign w:val="center"/>
          </w:tcPr>
          <w:p>
            <w:pPr>
              <w:topLinePunct/>
              <w:spacing w:line="360" w:lineRule="auto"/>
              <w:jc w:val="center"/>
              <w:rPr>
                <w:rFonts w:ascii="仿宋" w:hAnsi="仿宋" w:eastAsia="仿宋" w:cs="仿宋"/>
                <w:sz w:val="24"/>
                <w:szCs w:val="24"/>
              </w:rPr>
            </w:pPr>
          </w:p>
        </w:tc>
        <w:tc>
          <w:tcPr>
            <w:tcW w:w="2403" w:type="dxa"/>
            <w:gridSpan w:val="2"/>
            <w:noWrap/>
            <w:vAlign w:val="center"/>
          </w:tcPr>
          <w:p>
            <w:pPr>
              <w:topLinePunct/>
              <w:spacing w:line="360" w:lineRule="auto"/>
              <w:jc w:val="center"/>
              <w:rPr>
                <w:rFonts w:ascii="仿宋" w:hAnsi="仿宋" w:eastAsia="仿宋" w:cs="仿宋"/>
                <w:sz w:val="24"/>
                <w:szCs w:val="24"/>
              </w:rPr>
            </w:pPr>
          </w:p>
        </w:tc>
        <w:tc>
          <w:tcPr>
            <w:tcW w:w="1227" w:type="dxa"/>
            <w:noWrap/>
            <w:vAlign w:val="center"/>
          </w:tcPr>
          <w:p>
            <w:pPr>
              <w:topLinePunct/>
              <w:spacing w:line="360" w:lineRule="auto"/>
              <w:jc w:val="center"/>
              <w:rPr>
                <w:rFonts w:ascii="仿宋" w:hAnsi="仿宋" w:eastAsia="仿宋" w:cs="仿宋"/>
                <w:sz w:val="24"/>
                <w:szCs w:val="24"/>
              </w:rPr>
            </w:pPr>
          </w:p>
        </w:tc>
        <w:tc>
          <w:tcPr>
            <w:tcW w:w="3277" w:type="dxa"/>
            <w:gridSpan w:val="2"/>
            <w:noWrap/>
            <w:vAlign w:val="center"/>
          </w:tcPr>
          <w:p>
            <w:pPr>
              <w:topLinePunct/>
              <w:spacing w:line="360" w:lineRule="auto"/>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2310" w:type="dxa"/>
            <w:gridSpan w:val="3"/>
            <w:noWrap/>
            <w:vAlign w:val="center"/>
          </w:tcPr>
          <w:p>
            <w:pPr>
              <w:topLinePunct/>
              <w:spacing w:line="360" w:lineRule="auto"/>
              <w:jc w:val="center"/>
              <w:rPr>
                <w:rFonts w:ascii="仿宋" w:hAnsi="仿宋" w:eastAsia="仿宋" w:cs="仿宋"/>
                <w:sz w:val="24"/>
                <w:szCs w:val="24"/>
              </w:rPr>
            </w:pPr>
          </w:p>
        </w:tc>
        <w:tc>
          <w:tcPr>
            <w:tcW w:w="2403" w:type="dxa"/>
            <w:gridSpan w:val="2"/>
            <w:noWrap/>
            <w:vAlign w:val="center"/>
          </w:tcPr>
          <w:p>
            <w:pPr>
              <w:topLinePunct/>
              <w:spacing w:line="360" w:lineRule="auto"/>
              <w:jc w:val="center"/>
              <w:rPr>
                <w:rFonts w:ascii="仿宋" w:hAnsi="仿宋" w:eastAsia="仿宋" w:cs="仿宋"/>
                <w:sz w:val="24"/>
                <w:szCs w:val="24"/>
              </w:rPr>
            </w:pPr>
          </w:p>
        </w:tc>
        <w:tc>
          <w:tcPr>
            <w:tcW w:w="1227" w:type="dxa"/>
            <w:noWrap/>
            <w:vAlign w:val="center"/>
          </w:tcPr>
          <w:p>
            <w:pPr>
              <w:topLinePunct/>
              <w:spacing w:line="360" w:lineRule="auto"/>
              <w:jc w:val="center"/>
              <w:rPr>
                <w:rFonts w:ascii="仿宋" w:hAnsi="仿宋" w:eastAsia="仿宋" w:cs="仿宋"/>
                <w:sz w:val="24"/>
                <w:szCs w:val="24"/>
              </w:rPr>
            </w:pPr>
          </w:p>
        </w:tc>
        <w:tc>
          <w:tcPr>
            <w:tcW w:w="3277" w:type="dxa"/>
            <w:gridSpan w:val="2"/>
            <w:noWrap/>
            <w:vAlign w:val="center"/>
          </w:tcPr>
          <w:p>
            <w:pPr>
              <w:topLinePunct/>
              <w:spacing w:line="360" w:lineRule="auto"/>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257" w:type="dxa"/>
            <w:gridSpan w:val="2"/>
            <w:noWrap/>
            <w:vAlign w:val="center"/>
          </w:tcPr>
          <w:p>
            <w:pPr>
              <w:topLinePunct/>
              <w:spacing w:line="360" w:lineRule="auto"/>
              <w:jc w:val="center"/>
              <w:rPr>
                <w:rFonts w:ascii="仿宋" w:hAnsi="仿宋" w:eastAsia="仿宋" w:cs="仿宋"/>
                <w:sz w:val="24"/>
                <w:szCs w:val="24"/>
              </w:rPr>
            </w:pPr>
            <w:r>
              <w:rPr>
                <w:rFonts w:hint="eastAsia" w:ascii="仿宋" w:hAnsi="仿宋" w:eastAsia="仿宋" w:cs="仿宋"/>
                <w:sz w:val="24"/>
                <w:szCs w:val="24"/>
              </w:rPr>
              <w:t>备注</w:t>
            </w:r>
          </w:p>
        </w:tc>
        <w:tc>
          <w:tcPr>
            <w:tcW w:w="7960" w:type="dxa"/>
            <w:gridSpan w:val="6"/>
            <w:noWrap/>
            <w:vAlign w:val="center"/>
          </w:tcPr>
          <w:p>
            <w:pPr>
              <w:topLinePunct/>
              <w:spacing w:line="360" w:lineRule="auto"/>
              <w:rPr>
                <w:rFonts w:ascii="仿宋" w:hAnsi="仿宋" w:eastAsia="仿宋" w:cs="仿宋"/>
                <w:sz w:val="24"/>
                <w:szCs w:val="24"/>
              </w:rPr>
            </w:pPr>
          </w:p>
        </w:tc>
      </w:tr>
    </w:tbl>
    <w:p>
      <w:pPr>
        <w:autoSpaceDE w:val="0"/>
        <w:autoSpaceDN w:val="0"/>
        <w:adjustRightInd w:val="0"/>
        <w:snapToGrid w:val="0"/>
        <w:spacing w:beforeLines="50"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说明：企业类型指大型、中型、小型、微型；上年营业收入、资产总额要与财务报表中的数据一致；资质指特定条件要求提供的资质。</w:t>
      </w:r>
    </w:p>
    <w:p>
      <w:pPr>
        <w:spacing w:line="360" w:lineRule="auto"/>
        <w:ind w:firstLine="3840" w:firstLineChars="1600"/>
        <w:rPr>
          <w:rFonts w:ascii="仿宋" w:hAnsi="仿宋" w:eastAsia="仿宋" w:cs="仿宋"/>
          <w:sz w:val="24"/>
          <w:szCs w:val="24"/>
        </w:rPr>
      </w:pPr>
    </w:p>
    <w:p>
      <w:pPr>
        <w:spacing w:line="360" w:lineRule="auto"/>
        <w:ind w:left="0" w:leftChars="0" w:firstLine="3578" w:firstLineChars="1491"/>
        <w:rPr>
          <w:rFonts w:ascii="仿宋" w:hAnsi="仿宋" w:eastAsia="仿宋" w:cs="仿宋"/>
          <w:sz w:val="24"/>
          <w:szCs w:val="24"/>
        </w:rPr>
      </w:pPr>
      <w:r>
        <w:rPr>
          <w:rFonts w:hint="eastAsia" w:ascii="仿宋" w:hAnsi="仿宋" w:eastAsia="仿宋" w:cs="仿宋"/>
          <w:sz w:val="24"/>
          <w:szCs w:val="24"/>
        </w:rPr>
        <w:t>供应商（公章）：</w:t>
      </w:r>
      <w:r>
        <w:rPr>
          <w:rFonts w:hint="eastAsia" w:ascii="仿宋" w:hAnsi="仿宋" w:eastAsia="仿宋" w:cs="仿宋"/>
          <w:sz w:val="24"/>
          <w:szCs w:val="24"/>
          <w:u w:val="single"/>
          <w:lang w:val="en-US" w:eastAsia="zh-CN"/>
        </w:rPr>
        <w:t xml:space="preserve">                       </w:t>
      </w:r>
    </w:p>
    <w:p>
      <w:pPr>
        <w:spacing w:line="360" w:lineRule="auto"/>
        <w:ind w:left="0" w:leftChars="0" w:firstLine="3578" w:firstLineChars="1491"/>
        <w:rPr>
          <w:rFonts w:hint="eastAsia" w:ascii="仿宋" w:hAnsi="仿宋" w:eastAsia="仿宋" w:cs="仿宋"/>
          <w:sz w:val="24"/>
          <w:szCs w:val="24"/>
          <w:u w:val="single"/>
          <w:lang w:val="en-US" w:eastAsia="zh-CN"/>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lang w:val="en-US" w:eastAsia="zh-CN"/>
        </w:rPr>
        <w:t xml:space="preserve">           </w:t>
      </w:r>
    </w:p>
    <w:p>
      <w:pPr>
        <w:spacing w:line="360" w:lineRule="auto"/>
        <w:ind w:left="0" w:leftChars="0" w:firstLine="3578" w:firstLineChars="1491"/>
        <w:rPr>
          <w:rFonts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lang w:val="en-US" w:eastAsia="zh-CN"/>
        </w:rPr>
        <w:t xml:space="preserve">                   </w:t>
      </w:r>
    </w:p>
    <w:p>
      <w:pPr>
        <w:adjustRightInd w:val="0"/>
        <w:snapToGrid w:val="0"/>
        <w:spacing w:line="360" w:lineRule="auto"/>
        <w:ind w:firstLine="3840" w:firstLineChars="1600"/>
        <w:rPr>
          <w:rFonts w:ascii="仿宋" w:hAnsi="仿宋" w:eastAsia="仿宋" w:cs="仿宋"/>
          <w:sz w:val="24"/>
          <w:szCs w:val="24"/>
          <w:u w:val="single"/>
        </w:rPr>
      </w:pPr>
    </w:p>
    <w:p>
      <w:pPr>
        <w:autoSpaceDE w:val="0"/>
        <w:autoSpaceDN w:val="0"/>
        <w:adjustRightInd w:val="0"/>
        <w:snapToGrid w:val="0"/>
        <w:spacing w:before="120" w:line="360" w:lineRule="auto"/>
        <w:jc w:val="center"/>
        <w:outlineLvl w:val="2"/>
        <w:rPr>
          <w:rFonts w:ascii="仿宋" w:hAnsi="仿宋" w:eastAsia="仿宋" w:cs="仿宋"/>
          <w:sz w:val="24"/>
          <w:szCs w:val="24"/>
        </w:rPr>
      </w:pPr>
      <w:r>
        <w:rPr>
          <w:rFonts w:hint="eastAsia" w:ascii="仿宋" w:hAnsi="仿宋" w:eastAsia="仿宋" w:cs="仿宋"/>
          <w:sz w:val="24"/>
          <w:szCs w:val="24"/>
        </w:rPr>
        <w:br w:type="page"/>
      </w:r>
      <w:bookmarkStart w:id="481" w:name="_Toc10169"/>
      <w:bookmarkStart w:id="482" w:name="_Toc8313"/>
      <w:bookmarkStart w:id="483" w:name="_Toc30017"/>
      <w:bookmarkStart w:id="484" w:name="_Toc495671262"/>
      <w:bookmarkStart w:id="485" w:name="_Toc495681532"/>
      <w:bookmarkStart w:id="486" w:name="_Toc27035"/>
      <w:bookmarkStart w:id="487" w:name="_Toc31488"/>
      <w:bookmarkStart w:id="488" w:name="_Toc495908047"/>
      <w:bookmarkStart w:id="489" w:name="_Toc495681405"/>
      <w:bookmarkStart w:id="490" w:name="_Toc495681251"/>
      <w:r>
        <w:rPr>
          <w:rFonts w:hint="eastAsia" w:ascii="仿宋" w:hAnsi="仿宋" w:eastAsia="仿宋" w:cs="仿宋"/>
          <w:b/>
          <w:bCs/>
          <w:sz w:val="28"/>
          <w:szCs w:val="28"/>
        </w:rPr>
        <w:t>（一）提供统一社会信用代码的营业执照或其他组织经营的合法凭证或自然人的提供身份证明文件</w:t>
      </w:r>
      <w:bookmarkEnd w:id="481"/>
      <w:bookmarkEnd w:id="482"/>
      <w:bookmarkEnd w:id="483"/>
    </w:p>
    <w:bookmarkEnd w:id="484"/>
    <w:bookmarkEnd w:id="485"/>
    <w:bookmarkEnd w:id="486"/>
    <w:bookmarkEnd w:id="487"/>
    <w:bookmarkEnd w:id="488"/>
    <w:bookmarkEnd w:id="489"/>
    <w:bookmarkEnd w:id="490"/>
    <w:p>
      <w:pPr>
        <w:pStyle w:val="17"/>
        <w:jc w:val="center"/>
        <w:rPr>
          <w:rFonts w:ascii="仿宋" w:hAnsi="仿宋" w:eastAsia="仿宋" w:cs="仿宋"/>
          <w:b/>
          <w:bCs/>
          <w:sz w:val="28"/>
          <w:szCs w:val="28"/>
        </w:rPr>
      </w:pPr>
      <w:r>
        <w:rPr>
          <w:rFonts w:hint="eastAsia" w:ascii="仿宋" w:hAnsi="仿宋" w:eastAsia="仿宋" w:cs="仿宋"/>
          <w:sz w:val="24"/>
          <w:szCs w:val="24"/>
        </w:rPr>
        <w:t>提供扫描件或复印件加盖单位公章</w:t>
      </w:r>
    </w:p>
    <w:p>
      <w:pPr>
        <w:autoSpaceDE w:val="0"/>
        <w:autoSpaceDN w:val="0"/>
        <w:adjustRightInd w:val="0"/>
        <w:snapToGrid w:val="0"/>
        <w:spacing w:beforeLines="50" w:line="360" w:lineRule="auto"/>
        <w:ind w:firstLine="480" w:firstLineChars="200"/>
        <w:jc w:val="center"/>
        <w:rPr>
          <w:rFonts w:ascii="仿宋" w:hAnsi="仿宋" w:eastAsia="仿宋" w:cs="仿宋"/>
          <w:sz w:val="24"/>
          <w:szCs w:val="24"/>
        </w:rPr>
      </w:pPr>
    </w:p>
    <w:p>
      <w:pPr>
        <w:pageBreakBefore/>
        <w:spacing w:line="360" w:lineRule="auto"/>
        <w:ind w:firstLine="562" w:firstLineChars="200"/>
        <w:jc w:val="center"/>
        <w:outlineLvl w:val="2"/>
        <w:rPr>
          <w:rFonts w:ascii="仿宋" w:hAnsi="仿宋" w:eastAsia="仿宋" w:cs="仿宋"/>
          <w:b/>
          <w:bCs/>
          <w:sz w:val="28"/>
          <w:szCs w:val="28"/>
        </w:rPr>
      </w:pPr>
      <w:bookmarkStart w:id="491" w:name="_Toc25217"/>
      <w:bookmarkStart w:id="492" w:name="_Toc21316"/>
      <w:bookmarkStart w:id="493" w:name="_Toc4584"/>
      <w:bookmarkStart w:id="494" w:name="_Toc894"/>
      <w:bookmarkStart w:id="495" w:name="_Toc20217"/>
      <w:bookmarkStart w:id="496" w:name="_Toc495671270"/>
      <w:bookmarkStart w:id="497" w:name="_Toc16911"/>
      <w:bookmarkStart w:id="498" w:name="_Toc19057"/>
      <w:bookmarkStart w:id="499" w:name="_Toc32165"/>
      <w:r>
        <w:rPr>
          <w:rFonts w:hint="eastAsia" w:ascii="仿宋" w:hAnsi="仿宋" w:eastAsia="仿宋" w:cs="仿宋"/>
          <w:b/>
          <w:bCs/>
          <w:sz w:val="28"/>
          <w:szCs w:val="28"/>
        </w:rPr>
        <w:t>（二）财务状况报告</w:t>
      </w:r>
      <w:bookmarkEnd w:id="491"/>
      <w:bookmarkEnd w:id="492"/>
      <w:bookmarkEnd w:id="493"/>
    </w:p>
    <w:p>
      <w:pPr>
        <w:pStyle w:val="15"/>
        <w:adjustRightInd w:val="0"/>
        <w:snapToGrid w:val="0"/>
        <w:spacing w:line="360" w:lineRule="auto"/>
        <w:jc w:val="left"/>
        <w:rPr>
          <w:rFonts w:ascii="仿宋" w:hAnsi="仿宋" w:eastAsia="仿宋" w:cs="仿宋"/>
          <w:b/>
          <w:sz w:val="24"/>
          <w:szCs w:val="24"/>
        </w:rPr>
      </w:pPr>
    </w:p>
    <w:p>
      <w:pPr>
        <w:pStyle w:val="17"/>
        <w:jc w:val="center"/>
        <w:rPr>
          <w:rFonts w:ascii="仿宋" w:hAnsi="仿宋" w:eastAsia="仿宋" w:cs="仿宋"/>
          <w:b/>
          <w:bCs/>
          <w:sz w:val="28"/>
          <w:szCs w:val="28"/>
        </w:rPr>
      </w:pPr>
      <w:r>
        <w:rPr>
          <w:rFonts w:hint="eastAsia" w:ascii="仿宋" w:hAnsi="仿宋" w:eastAsia="仿宋" w:cs="仿宋"/>
          <w:sz w:val="24"/>
          <w:szCs w:val="24"/>
        </w:rPr>
        <w:t>提供扫描件或复印件加盖单位公章</w:t>
      </w:r>
    </w:p>
    <w:p>
      <w:pPr>
        <w:spacing w:line="360" w:lineRule="auto"/>
        <w:rPr>
          <w:rFonts w:ascii="仿宋" w:hAnsi="仿宋" w:eastAsia="仿宋" w:cs="仿宋"/>
          <w:b/>
          <w:bCs/>
          <w:sz w:val="24"/>
          <w:szCs w:val="24"/>
        </w:rPr>
      </w:pPr>
    </w:p>
    <w:p>
      <w:pPr>
        <w:spacing w:line="360" w:lineRule="auto"/>
        <w:jc w:val="center"/>
        <w:outlineLvl w:val="2"/>
        <w:rPr>
          <w:rFonts w:ascii="仿宋" w:hAnsi="仿宋" w:eastAsia="仿宋" w:cs="仿宋"/>
          <w:b/>
          <w:sz w:val="28"/>
          <w:szCs w:val="28"/>
        </w:rPr>
      </w:pPr>
      <w:r>
        <w:rPr>
          <w:rFonts w:hint="eastAsia" w:ascii="仿宋" w:hAnsi="仿宋" w:eastAsia="仿宋" w:cs="仿宋"/>
          <w:b/>
          <w:bCs/>
          <w:sz w:val="24"/>
          <w:szCs w:val="24"/>
        </w:rPr>
        <w:br w:type="page"/>
      </w:r>
      <w:bookmarkStart w:id="500" w:name="_Toc27653"/>
      <w:bookmarkStart w:id="501" w:name="_Toc19234"/>
      <w:bookmarkStart w:id="502" w:name="_Toc5342"/>
      <w:r>
        <w:rPr>
          <w:rFonts w:hint="eastAsia" w:ascii="仿宋" w:hAnsi="仿宋" w:eastAsia="仿宋" w:cs="仿宋"/>
          <w:b/>
          <w:bCs/>
          <w:sz w:val="24"/>
          <w:szCs w:val="24"/>
        </w:rPr>
        <w:t>（三）</w:t>
      </w:r>
      <w:r>
        <w:rPr>
          <w:rFonts w:hint="eastAsia" w:ascii="仿宋" w:hAnsi="仿宋" w:eastAsia="仿宋" w:cs="仿宋"/>
          <w:b/>
          <w:sz w:val="28"/>
          <w:szCs w:val="28"/>
        </w:rPr>
        <w:t>税收缴纳证明</w:t>
      </w:r>
      <w:bookmarkEnd w:id="500"/>
      <w:bookmarkEnd w:id="501"/>
      <w:bookmarkEnd w:id="502"/>
    </w:p>
    <w:p>
      <w:pPr>
        <w:pStyle w:val="17"/>
        <w:spacing w:line="360" w:lineRule="auto"/>
        <w:rPr>
          <w:rFonts w:ascii="仿宋" w:hAnsi="仿宋" w:eastAsia="仿宋" w:cs="仿宋"/>
        </w:rPr>
      </w:pPr>
    </w:p>
    <w:p>
      <w:pPr>
        <w:pStyle w:val="17"/>
        <w:jc w:val="center"/>
        <w:rPr>
          <w:rFonts w:ascii="仿宋" w:hAnsi="仿宋" w:eastAsia="仿宋" w:cs="仿宋"/>
          <w:b/>
          <w:bCs/>
          <w:sz w:val="28"/>
          <w:szCs w:val="28"/>
        </w:rPr>
      </w:pPr>
      <w:r>
        <w:rPr>
          <w:rFonts w:hint="eastAsia" w:ascii="仿宋" w:hAnsi="仿宋" w:eastAsia="仿宋" w:cs="仿宋"/>
          <w:sz w:val="24"/>
          <w:szCs w:val="24"/>
        </w:rPr>
        <w:t>提供扫描件或复印件加盖单位公章</w:t>
      </w:r>
    </w:p>
    <w:p>
      <w:pPr>
        <w:spacing w:line="360" w:lineRule="auto"/>
        <w:ind w:firstLine="480"/>
        <w:rPr>
          <w:rFonts w:ascii="仿宋" w:hAnsi="仿宋" w:eastAsia="仿宋" w:cs="仿宋"/>
          <w:kern w:val="0"/>
          <w:sz w:val="24"/>
        </w:rPr>
      </w:pPr>
    </w:p>
    <w:p>
      <w:pPr>
        <w:spacing w:line="360" w:lineRule="auto"/>
        <w:ind w:firstLine="480"/>
        <w:rPr>
          <w:rFonts w:ascii="仿宋" w:hAnsi="仿宋" w:eastAsia="仿宋" w:cs="仿宋"/>
          <w:kern w:val="0"/>
          <w:sz w:val="24"/>
          <w:szCs w:val="22"/>
        </w:rPr>
        <w:sectPr>
          <w:pgSz w:w="11906" w:h="16838"/>
          <w:pgMar w:top="1440" w:right="1803" w:bottom="1440" w:left="1803" w:header="851" w:footer="992" w:gutter="0"/>
          <w:cols w:space="0" w:num="1"/>
          <w:rtlGutter w:val="0"/>
          <w:docGrid w:type="lines" w:linePitch="312" w:charSpace="0"/>
        </w:sectPr>
      </w:pPr>
    </w:p>
    <w:p>
      <w:pPr>
        <w:spacing w:line="360" w:lineRule="auto"/>
        <w:jc w:val="center"/>
        <w:outlineLvl w:val="2"/>
        <w:rPr>
          <w:rFonts w:ascii="仿宋" w:hAnsi="仿宋" w:eastAsia="仿宋" w:cs="仿宋"/>
          <w:b/>
          <w:sz w:val="28"/>
          <w:szCs w:val="28"/>
        </w:rPr>
      </w:pPr>
      <w:bookmarkStart w:id="503" w:name="_Toc17953"/>
      <w:bookmarkStart w:id="504" w:name="_Toc23064"/>
      <w:bookmarkStart w:id="505" w:name="_Toc7176"/>
      <w:r>
        <w:rPr>
          <w:rFonts w:hint="eastAsia" w:ascii="仿宋" w:hAnsi="仿宋" w:eastAsia="仿宋" w:cs="仿宋"/>
          <w:b/>
          <w:sz w:val="28"/>
          <w:szCs w:val="28"/>
        </w:rPr>
        <w:t>（四）社会保障资金缴纳证明</w:t>
      </w:r>
      <w:bookmarkEnd w:id="503"/>
      <w:bookmarkEnd w:id="504"/>
      <w:bookmarkEnd w:id="505"/>
    </w:p>
    <w:p>
      <w:pPr>
        <w:spacing w:line="360" w:lineRule="auto"/>
        <w:ind w:firstLine="480"/>
        <w:rPr>
          <w:rFonts w:ascii="仿宋" w:hAnsi="仿宋" w:eastAsia="仿宋" w:cs="仿宋"/>
          <w:kern w:val="0"/>
          <w:sz w:val="24"/>
          <w:szCs w:val="22"/>
        </w:rPr>
      </w:pPr>
    </w:p>
    <w:p>
      <w:pPr>
        <w:pStyle w:val="17"/>
        <w:jc w:val="center"/>
        <w:rPr>
          <w:rFonts w:ascii="仿宋" w:hAnsi="仿宋" w:eastAsia="仿宋" w:cs="仿宋"/>
          <w:b/>
          <w:bCs/>
          <w:sz w:val="28"/>
          <w:szCs w:val="28"/>
        </w:rPr>
      </w:pPr>
      <w:r>
        <w:rPr>
          <w:rFonts w:hint="eastAsia" w:ascii="仿宋" w:hAnsi="仿宋" w:eastAsia="仿宋" w:cs="仿宋"/>
          <w:sz w:val="24"/>
          <w:szCs w:val="24"/>
        </w:rPr>
        <w:t>提供扫描件或复印件加盖单位公章</w:t>
      </w:r>
    </w:p>
    <w:p>
      <w:pPr>
        <w:spacing w:line="360" w:lineRule="auto"/>
        <w:rPr>
          <w:rFonts w:ascii="仿宋" w:hAnsi="仿宋" w:eastAsia="仿宋" w:cs="仿宋"/>
          <w:b/>
          <w:bCs/>
          <w:sz w:val="24"/>
          <w:szCs w:val="24"/>
        </w:rPr>
      </w:pPr>
    </w:p>
    <w:p>
      <w:pPr>
        <w:pageBreakBefore/>
        <w:spacing w:line="360" w:lineRule="auto"/>
        <w:jc w:val="center"/>
        <w:outlineLvl w:val="2"/>
        <w:rPr>
          <w:rFonts w:ascii="仿宋" w:hAnsi="仿宋" w:eastAsia="仿宋" w:cs="仿宋"/>
          <w:b/>
          <w:sz w:val="28"/>
          <w:szCs w:val="28"/>
        </w:rPr>
      </w:pPr>
      <w:r>
        <w:rPr>
          <w:rFonts w:hint="eastAsia" w:ascii="仿宋" w:hAnsi="仿宋" w:eastAsia="仿宋" w:cs="仿宋"/>
          <w:b/>
          <w:bCs/>
          <w:sz w:val="28"/>
          <w:szCs w:val="28"/>
        </w:rPr>
        <w:t>（五）出具履行合同所必需的设备和专业技术能力的书面声明</w:t>
      </w:r>
    </w:p>
    <w:p>
      <w:pPr>
        <w:spacing w:line="360" w:lineRule="auto"/>
        <w:rPr>
          <w:rFonts w:ascii="仿宋" w:hAnsi="仿宋" w:eastAsia="仿宋" w:cs="仿宋"/>
          <w:spacing w:val="4"/>
          <w:sz w:val="24"/>
          <w:szCs w:val="24"/>
          <w:u w:val="single"/>
        </w:rPr>
      </w:pPr>
      <w:r>
        <w:rPr>
          <w:rFonts w:hint="eastAsia" w:ascii="仿宋" w:hAnsi="仿宋" w:eastAsia="仿宋" w:cs="仿宋"/>
          <w:spacing w:val="4"/>
          <w:sz w:val="24"/>
          <w:szCs w:val="24"/>
        </w:rPr>
        <w:t>致：</w:t>
      </w:r>
      <w:r>
        <w:rPr>
          <w:rFonts w:hint="eastAsia" w:ascii="仿宋" w:hAnsi="仿宋" w:eastAsia="仿宋" w:cs="仿宋"/>
          <w:spacing w:val="4"/>
          <w:sz w:val="24"/>
          <w:szCs w:val="24"/>
          <w:u w:val="single"/>
        </w:rPr>
        <w:t xml:space="preserve">     （采购人名称）    ：</w:t>
      </w:r>
    </w:p>
    <w:p>
      <w:pPr>
        <w:spacing w:line="360" w:lineRule="auto"/>
        <w:ind w:firstLine="480" w:firstLineChars="200"/>
        <w:rPr>
          <w:rFonts w:ascii="仿宋" w:hAnsi="仿宋" w:eastAsia="仿宋" w:cs="仿宋"/>
          <w:spacing w:val="4"/>
          <w:sz w:val="24"/>
          <w:szCs w:val="24"/>
          <w:u w:val="single"/>
        </w:rPr>
      </w:pPr>
      <w:r>
        <w:rPr>
          <w:rFonts w:hint="eastAsia" w:ascii="仿宋" w:hAnsi="仿宋" w:eastAsia="仿宋" w:cs="仿宋"/>
          <w:color w:val="000000"/>
          <w:kern w:val="0"/>
          <w:sz w:val="24"/>
          <w:szCs w:val="24"/>
        </w:rPr>
        <w:t>我方作为</w:t>
      </w:r>
      <w:r>
        <w:rPr>
          <w:rFonts w:hint="eastAsia" w:ascii="仿宋" w:hAnsi="仿宋" w:eastAsia="仿宋" w:cs="仿宋"/>
          <w:color w:val="000000"/>
          <w:kern w:val="0"/>
          <w:sz w:val="24"/>
          <w:szCs w:val="24"/>
          <w:u w:val="single"/>
        </w:rPr>
        <w:t xml:space="preserve">         （项目名称）         </w:t>
      </w:r>
      <w:r>
        <w:rPr>
          <w:rFonts w:hint="eastAsia" w:ascii="仿宋" w:hAnsi="仿宋" w:eastAsia="仿宋" w:cs="仿宋"/>
          <w:color w:val="000000"/>
          <w:kern w:val="0"/>
          <w:sz w:val="24"/>
          <w:szCs w:val="24"/>
        </w:rPr>
        <w:t>（项目编号：）的供应商，在此郑重声明：</w:t>
      </w:r>
    </w:p>
    <w:p>
      <w:pPr>
        <w:widowControl/>
        <w:spacing w:line="360" w:lineRule="auto"/>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我方具备履行合同所必须的设备和专业技术能力。</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rPr>
        <w:t xml:space="preserve">如有不实，我方将无条件地退出本项目的采购活动，并遵照《政府采购法》有关“提供虚假材料的规定”接受处罚。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rPr>
        <w:t>特此声明。</w:t>
      </w:r>
    </w:p>
    <w:p>
      <w:pPr>
        <w:spacing w:beforeLines="100" w:afterLines="50" w:line="360" w:lineRule="auto"/>
        <w:ind w:firstLine="620" w:firstLineChars="250"/>
        <w:rPr>
          <w:rFonts w:ascii="仿宋" w:hAnsi="仿宋" w:eastAsia="仿宋" w:cs="仿宋"/>
          <w:spacing w:val="4"/>
          <w:sz w:val="24"/>
          <w:szCs w:val="24"/>
        </w:rPr>
      </w:pPr>
    </w:p>
    <w:p>
      <w:pPr>
        <w:spacing w:beforeLines="100" w:afterLines="50" w:line="360" w:lineRule="auto"/>
        <w:ind w:firstLine="170"/>
        <w:rPr>
          <w:rFonts w:ascii="仿宋" w:hAnsi="仿宋" w:eastAsia="仿宋" w:cs="仿宋"/>
          <w:spacing w:val="4"/>
          <w:sz w:val="24"/>
          <w:szCs w:val="24"/>
        </w:rPr>
      </w:pPr>
    </w:p>
    <w:p>
      <w:pPr>
        <w:spacing w:beforeLines="100" w:afterLines="50" w:line="360" w:lineRule="auto"/>
        <w:ind w:firstLine="170"/>
        <w:rPr>
          <w:rFonts w:ascii="仿宋" w:hAnsi="仿宋" w:eastAsia="仿宋" w:cs="仿宋"/>
          <w:spacing w:val="4"/>
          <w:sz w:val="24"/>
          <w:szCs w:val="24"/>
        </w:rPr>
      </w:pPr>
    </w:p>
    <w:p>
      <w:pPr>
        <w:spacing w:line="360" w:lineRule="auto"/>
        <w:ind w:left="0" w:leftChars="0" w:firstLine="3578" w:firstLineChars="1491"/>
        <w:rPr>
          <w:rFonts w:ascii="仿宋" w:hAnsi="仿宋" w:eastAsia="仿宋" w:cs="仿宋"/>
          <w:sz w:val="24"/>
          <w:szCs w:val="24"/>
        </w:rPr>
      </w:pPr>
      <w:r>
        <w:rPr>
          <w:rFonts w:hint="eastAsia" w:ascii="仿宋" w:hAnsi="仿宋" w:eastAsia="仿宋" w:cs="仿宋"/>
          <w:sz w:val="24"/>
          <w:szCs w:val="24"/>
        </w:rPr>
        <w:t>供应商（公章）：</w:t>
      </w:r>
      <w:r>
        <w:rPr>
          <w:rFonts w:hint="eastAsia" w:ascii="仿宋" w:hAnsi="仿宋" w:eastAsia="仿宋" w:cs="仿宋"/>
          <w:sz w:val="24"/>
          <w:szCs w:val="24"/>
          <w:u w:val="single"/>
          <w:lang w:val="en-US" w:eastAsia="zh-CN"/>
        </w:rPr>
        <w:t xml:space="preserve">                       </w:t>
      </w:r>
    </w:p>
    <w:p>
      <w:pPr>
        <w:spacing w:line="360" w:lineRule="auto"/>
        <w:ind w:left="0" w:leftChars="0" w:firstLine="3578" w:firstLineChars="1491"/>
        <w:rPr>
          <w:rFonts w:hint="eastAsia" w:ascii="仿宋" w:hAnsi="仿宋" w:eastAsia="仿宋" w:cs="仿宋"/>
          <w:sz w:val="24"/>
          <w:szCs w:val="24"/>
          <w:u w:val="single"/>
          <w:lang w:val="en-US" w:eastAsia="zh-CN"/>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lang w:val="en-US" w:eastAsia="zh-CN"/>
        </w:rPr>
        <w:t xml:space="preserve">           </w:t>
      </w:r>
    </w:p>
    <w:p>
      <w:pPr>
        <w:spacing w:line="360" w:lineRule="auto"/>
        <w:ind w:left="0" w:leftChars="0" w:firstLine="3578" w:firstLineChars="1491"/>
        <w:rPr>
          <w:rFonts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lang w:val="en-US" w:eastAsia="zh-CN"/>
        </w:rPr>
        <w:t xml:space="preserve">                   </w:t>
      </w:r>
    </w:p>
    <w:p>
      <w:pPr>
        <w:spacing w:line="360" w:lineRule="auto"/>
        <w:ind w:firstLine="3578" w:firstLineChars="1491"/>
        <w:rPr>
          <w:rFonts w:ascii="仿宋" w:hAnsi="仿宋" w:eastAsia="仿宋" w:cs="仿宋"/>
          <w:sz w:val="24"/>
          <w:szCs w:val="24"/>
          <w:u w:val="single"/>
        </w:rPr>
      </w:pPr>
    </w:p>
    <w:p>
      <w:pPr>
        <w:spacing w:line="360" w:lineRule="auto"/>
        <w:rPr>
          <w:rFonts w:ascii="仿宋" w:hAnsi="仿宋" w:eastAsia="仿宋" w:cs="仿宋"/>
          <w:bCs/>
          <w:sz w:val="24"/>
          <w:szCs w:val="24"/>
        </w:rPr>
      </w:pPr>
    </w:p>
    <w:p>
      <w:pPr>
        <w:spacing w:line="360" w:lineRule="auto"/>
        <w:rPr>
          <w:rFonts w:ascii="仿宋" w:hAnsi="仿宋" w:eastAsia="仿宋" w:cs="仿宋"/>
          <w:bCs/>
          <w:sz w:val="24"/>
          <w:szCs w:val="24"/>
        </w:rPr>
      </w:pPr>
    </w:p>
    <w:p>
      <w:pPr>
        <w:spacing w:line="360" w:lineRule="auto"/>
        <w:jc w:val="center"/>
        <w:outlineLvl w:val="2"/>
        <w:rPr>
          <w:rFonts w:ascii="仿宋" w:hAnsi="仿宋" w:eastAsia="仿宋" w:cs="仿宋"/>
          <w:b/>
          <w:sz w:val="28"/>
          <w:szCs w:val="28"/>
        </w:rPr>
      </w:pPr>
      <w:r>
        <w:rPr>
          <w:rFonts w:hint="eastAsia" w:ascii="仿宋" w:hAnsi="仿宋" w:eastAsia="仿宋" w:cs="仿宋"/>
          <w:bCs/>
          <w:sz w:val="24"/>
          <w:szCs w:val="24"/>
        </w:rPr>
        <w:br w:type="page"/>
      </w:r>
      <w:bookmarkStart w:id="506" w:name="_Toc1093"/>
      <w:bookmarkStart w:id="507" w:name="_Toc25944"/>
      <w:bookmarkStart w:id="508" w:name="_Toc31742"/>
      <w:bookmarkStart w:id="509" w:name="_Toc10898"/>
      <w:bookmarkStart w:id="510" w:name="_Toc28901"/>
      <w:r>
        <w:rPr>
          <w:rFonts w:hint="eastAsia" w:ascii="仿宋" w:hAnsi="仿宋" w:eastAsia="仿宋" w:cs="仿宋"/>
          <w:b/>
          <w:sz w:val="28"/>
          <w:szCs w:val="28"/>
        </w:rPr>
        <w:t>（六）参加政府采购活动的书面声明</w:t>
      </w:r>
      <w:bookmarkEnd w:id="506"/>
      <w:bookmarkEnd w:id="507"/>
      <w:bookmarkEnd w:id="508"/>
      <w:bookmarkEnd w:id="509"/>
    </w:p>
    <w:p>
      <w:pPr>
        <w:spacing w:line="360" w:lineRule="auto"/>
        <w:rPr>
          <w:rFonts w:ascii="仿宋" w:hAnsi="仿宋" w:eastAsia="仿宋" w:cs="仿宋"/>
          <w:spacing w:val="4"/>
          <w:sz w:val="24"/>
          <w:szCs w:val="24"/>
          <w:u w:val="single"/>
        </w:rPr>
      </w:pPr>
      <w:r>
        <w:rPr>
          <w:rFonts w:hint="eastAsia" w:ascii="仿宋" w:hAnsi="仿宋" w:eastAsia="仿宋" w:cs="仿宋"/>
          <w:spacing w:val="4"/>
          <w:sz w:val="24"/>
          <w:szCs w:val="24"/>
        </w:rPr>
        <w:t>致：</w:t>
      </w:r>
      <w:r>
        <w:rPr>
          <w:rFonts w:hint="eastAsia" w:ascii="仿宋" w:hAnsi="仿宋" w:eastAsia="仿宋" w:cs="仿宋"/>
          <w:spacing w:val="4"/>
          <w:sz w:val="24"/>
          <w:szCs w:val="24"/>
          <w:u w:val="single"/>
        </w:rPr>
        <w:t xml:space="preserve">     （采购人名称）    ：</w:t>
      </w:r>
    </w:p>
    <w:p>
      <w:pPr>
        <w:widowControl/>
        <w:spacing w:line="360" w:lineRule="auto"/>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我方作为</w:t>
      </w:r>
      <w:r>
        <w:rPr>
          <w:rFonts w:hint="eastAsia" w:ascii="仿宋" w:hAnsi="仿宋" w:eastAsia="仿宋" w:cs="仿宋"/>
          <w:color w:val="000000"/>
          <w:kern w:val="0"/>
          <w:sz w:val="24"/>
          <w:szCs w:val="24"/>
          <w:u w:val="single"/>
        </w:rPr>
        <w:t xml:space="preserve">         （项目名称）         </w:t>
      </w:r>
      <w:r>
        <w:rPr>
          <w:rFonts w:hint="eastAsia" w:ascii="仿宋" w:hAnsi="仿宋" w:eastAsia="仿宋" w:cs="仿宋"/>
          <w:color w:val="000000"/>
          <w:kern w:val="0"/>
          <w:sz w:val="24"/>
          <w:szCs w:val="24"/>
        </w:rPr>
        <w:t>（项目编号：）的供应商，在此郑重声明：</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rPr>
        <w:t>1、在参加本次政府采购活动前 3 年内的经营活动中____（填“没有”或“有”）重大违法记录。供应</w:t>
      </w:r>
      <w:r>
        <w:rPr>
          <w:rFonts w:hint="eastAsia" w:ascii="仿宋" w:hAnsi="仿宋" w:eastAsia="仿宋" w:cs="仿宋"/>
          <w:b/>
          <w:bCs/>
          <w:color w:val="000000"/>
          <w:kern w:val="0"/>
          <w:sz w:val="24"/>
          <w:szCs w:val="24"/>
        </w:rPr>
        <w:t xml:space="preserve">商在参加政府采购活动前 3 年内因违法经营被禁止在一定期限内参加政府采购活动，期限届满的，可以参加政府采购活动，但应提供期限届满的证明材料。 </w:t>
      </w:r>
    </w:p>
    <w:p>
      <w:pPr>
        <w:widowControl/>
        <w:spacing w:line="360" w:lineRule="auto"/>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2、我方______（填“未被列入”或“被列入”）失信被执行人名单。</w:t>
      </w:r>
    </w:p>
    <w:p>
      <w:pPr>
        <w:widowControl/>
        <w:spacing w:line="360" w:lineRule="auto"/>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3、我方______（填“未被列入”或“被列入”）重大税收违法失信主体名单。</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rPr>
        <w:t xml:space="preserve">4、我方______（填“未被列入”或“被列入”）政府采购严重违法失信行为记录名单。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rPr>
        <w:t xml:space="preserve">如有不实，我方将无条件地退出本项目的采购活动，并遵照《政府采购法》有关“提供虚假材料的规定”接受处罚。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rPr>
        <w:t>特此声明。</w:t>
      </w:r>
    </w:p>
    <w:p>
      <w:pPr>
        <w:autoSpaceDE w:val="0"/>
        <w:autoSpaceDN w:val="0"/>
        <w:adjustRightInd w:val="0"/>
        <w:spacing w:line="360" w:lineRule="auto"/>
        <w:ind w:firstLine="480" w:firstLineChars="200"/>
        <w:rPr>
          <w:rFonts w:ascii="仿宋" w:hAnsi="仿宋" w:eastAsia="仿宋" w:cs="仿宋"/>
          <w:sz w:val="24"/>
          <w:szCs w:val="24"/>
        </w:rPr>
      </w:pPr>
    </w:p>
    <w:p>
      <w:pPr>
        <w:autoSpaceDE w:val="0"/>
        <w:autoSpaceDN w:val="0"/>
        <w:adjustRightInd w:val="0"/>
        <w:spacing w:line="360" w:lineRule="auto"/>
        <w:ind w:firstLine="480" w:firstLineChars="200"/>
        <w:rPr>
          <w:rFonts w:ascii="仿宋" w:hAnsi="仿宋" w:eastAsia="仿宋" w:cs="仿宋"/>
          <w:sz w:val="24"/>
          <w:szCs w:val="24"/>
        </w:rPr>
      </w:pPr>
    </w:p>
    <w:bookmarkEnd w:id="494"/>
    <w:bookmarkEnd w:id="510"/>
    <w:p>
      <w:pPr>
        <w:spacing w:line="360" w:lineRule="auto"/>
        <w:ind w:left="0" w:leftChars="0" w:firstLine="3578" w:firstLineChars="1491"/>
        <w:rPr>
          <w:rFonts w:ascii="仿宋" w:hAnsi="仿宋" w:eastAsia="仿宋" w:cs="仿宋"/>
          <w:sz w:val="24"/>
          <w:szCs w:val="24"/>
        </w:rPr>
      </w:pPr>
      <w:r>
        <w:rPr>
          <w:rFonts w:hint="eastAsia" w:ascii="仿宋" w:hAnsi="仿宋" w:eastAsia="仿宋" w:cs="仿宋"/>
          <w:sz w:val="24"/>
          <w:szCs w:val="24"/>
        </w:rPr>
        <w:t>供应商（公章）：</w:t>
      </w:r>
      <w:r>
        <w:rPr>
          <w:rFonts w:hint="eastAsia" w:ascii="仿宋" w:hAnsi="仿宋" w:eastAsia="仿宋" w:cs="仿宋"/>
          <w:sz w:val="24"/>
          <w:szCs w:val="24"/>
          <w:u w:val="single"/>
          <w:lang w:val="en-US" w:eastAsia="zh-CN"/>
        </w:rPr>
        <w:t xml:space="preserve">                       </w:t>
      </w:r>
    </w:p>
    <w:p>
      <w:pPr>
        <w:spacing w:line="360" w:lineRule="auto"/>
        <w:ind w:left="0" w:leftChars="0" w:firstLine="3578" w:firstLineChars="1491"/>
        <w:rPr>
          <w:rFonts w:hint="eastAsia" w:ascii="仿宋" w:hAnsi="仿宋" w:eastAsia="仿宋" w:cs="仿宋"/>
          <w:sz w:val="24"/>
          <w:szCs w:val="24"/>
          <w:u w:val="single"/>
          <w:lang w:val="en-US" w:eastAsia="zh-CN"/>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lang w:val="en-US" w:eastAsia="zh-CN"/>
        </w:rPr>
        <w:t xml:space="preserve">           </w:t>
      </w:r>
    </w:p>
    <w:p>
      <w:pPr>
        <w:spacing w:line="360" w:lineRule="auto"/>
        <w:ind w:left="0" w:leftChars="0" w:firstLine="3578" w:firstLineChars="1491"/>
        <w:rPr>
          <w:rFonts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lang w:val="en-US" w:eastAsia="zh-CN"/>
        </w:rPr>
        <w:t xml:space="preserve">                   </w:t>
      </w:r>
    </w:p>
    <w:p>
      <w:pPr>
        <w:autoSpaceDE w:val="0"/>
        <w:autoSpaceDN w:val="0"/>
        <w:adjustRightInd w:val="0"/>
        <w:spacing w:line="360" w:lineRule="auto"/>
        <w:ind w:firstLine="3840" w:firstLineChars="1600"/>
        <w:rPr>
          <w:rFonts w:ascii="仿宋" w:hAnsi="仿宋" w:eastAsia="仿宋" w:cs="仿宋"/>
          <w:sz w:val="24"/>
          <w:szCs w:val="24"/>
        </w:rPr>
      </w:pPr>
    </w:p>
    <w:bookmarkEnd w:id="495"/>
    <w:bookmarkEnd w:id="496"/>
    <w:bookmarkEnd w:id="497"/>
    <w:bookmarkEnd w:id="498"/>
    <w:bookmarkEnd w:id="499"/>
    <w:p>
      <w:pPr>
        <w:autoSpaceDE w:val="0"/>
        <w:autoSpaceDN w:val="0"/>
        <w:adjustRightInd w:val="0"/>
        <w:spacing w:line="360" w:lineRule="auto"/>
        <w:ind w:firstLine="480" w:firstLineChars="200"/>
        <w:rPr>
          <w:rFonts w:ascii="仿宋" w:hAnsi="仿宋" w:eastAsia="仿宋" w:cs="仿宋"/>
          <w:sz w:val="24"/>
          <w:szCs w:val="24"/>
        </w:rPr>
      </w:pPr>
    </w:p>
    <w:p>
      <w:pPr>
        <w:pageBreakBefore/>
        <w:spacing w:line="360" w:lineRule="auto"/>
        <w:jc w:val="center"/>
        <w:outlineLvl w:val="2"/>
        <w:rPr>
          <w:rFonts w:ascii="仿宋" w:hAnsi="仿宋" w:eastAsia="仿宋" w:cs="仿宋"/>
          <w:b/>
          <w:sz w:val="28"/>
          <w:szCs w:val="28"/>
          <w:lang w:val="zh-CN"/>
        </w:rPr>
      </w:pPr>
      <w:bookmarkStart w:id="511" w:name="_Toc17057"/>
      <w:bookmarkStart w:id="512" w:name="_Toc3871"/>
      <w:bookmarkStart w:id="513" w:name="_Toc1010"/>
      <w:r>
        <w:rPr>
          <w:rFonts w:hint="eastAsia" w:ascii="仿宋" w:hAnsi="仿宋" w:eastAsia="仿宋" w:cs="仿宋"/>
          <w:b/>
          <w:sz w:val="28"/>
          <w:szCs w:val="28"/>
          <w:lang w:val="zh-CN"/>
        </w:rPr>
        <w:t>（七）特定资格要求</w:t>
      </w:r>
      <w:bookmarkEnd w:id="511"/>
      <w:bookmarkEnd w:id="512"/>
      <w:bookmarkEnd w:id="513"/>
    </w:p>
    <w:p>
      <w:pPr>
        <w:adjustRightInd w:val="0"/>
        <w:snapToGrid w:val="0"/>
        <w:spacing w:line="360" w:lineRule="auto"/>
        <w:jc w:val="center"/>
        <w:outlineLvl w:val="3"/>
        <w:rPr>
          <w:rFonts w:ascii="仿宋" w:hAnsi="仿宋" w:eastAsia="仿宋" w:cs="仿宋"/>
          <w:b/>
          <w:sz w:val="24"/>
          <w:szCs w:val="24"/>
        </w:rPr>
      </w:pPr>
      <w:bookmarkStart w:id="514" w:name="_Toc495908048"/>
      <w:bookmarkStart w:id="515" w:name="_Toc18742"/>
      <w:bookmarkStart w:id="516" w:name="_Toc495671263"/>
      <w:bookmarkStart w:id="517" w:name="_Toc1610"/>
      <w:bookmarkStart w:id="518" w:name="_Toc495681406"/>
      <w:bookmarkStart w:id="519" w:name="_Toc32662"/>
      <w:bookmarkStart w:id="520" w:name="_Toc495681252"/>
      <w:bookmarkStart w:id="521" w:name="_Toc495681533"/>
      <w:r>
        <w:rPr>
          <w:rFonts w:hint="eastAsia" w:ascii="仿宋" w:hAnsi="仿宋" w:eastAsia="仿宋" w:cs="仿宋"/>
          <w:b/>
          <w:sz w:val="24"/>
          <w:szCs w:val="24"/>
        </w:rPr>
        <w:t>1、法定代表人身份证明</w:t>
      </w:r>
      <w:bookmarkEnd w:id="514"/>
      <w:bookmarkEnd w:id="515"/>
      <w:bookmarkEnd w:id="516"/>
      <w:bookmarkEnd w:id="517"/>
      <w:bookmarkEnd w:id="518"/>
      <w:bookmarkEnd w:id="519"/>
      <w:bookmarkEnd w:id="520"/>
      <w:bookmarkEnd w:id="521"/>
    </w:p>
    <w:p>
      <w:pPr>
        <w:autoSpaceDE w:val="0"/>
        <w:autoSpaceDN w:val="0"/>
        <w:adjustRightInd w:val="0"/>
        <w:snapToGrid w:val="0"/>
        <w:spacing w:before="120" w:line="360" w:lineRule="auto"/>
        <w:ind w:firstLine="480" w:firstLineChars="200"/>
        <w:jc w:val="left"/>
        <w:rPr>
          <w:rFonts w:ascii="仿宋" w:hAnsi="仿宋" w:eastAsia="仿宋" w:cs="仿宋"/>
          <w:kern w:val="0"/>
          <w:sz w:val="24"/>
          <w:szCs w:val="24"/>
        </w:rPr>
      </w:pPr>
      <w:r>
        <w:rPr>
          <w:rFonts w:hint="eastAsia" w:ascii="仿宋" w:hAnsi="仿宋" w:eastAsia="仿宋" w:cs="仿宋"/>
          <w:sz w:val="24"/>
          <w:szCs w:val="24"/>
        </w:rPr>
        <w:t>供应商</w:t>
      </w:r>
      <w:r>
        <w:rPr>
          <w:rFonts w:hint="eastAsia" w:ascii="仿宋" w:hAnsi="仿宋" w:eastAsia="仿宋" w:cs="仿宋"/>
          <w:kern w:val="0"/>
          <w:sz w:val="24"/>
          <w:szCs w:val="24"/>
        </w:rPr>
        <w:t>名称：</w:t>
      </w:r>
      <w:r>
        <w:rPr>
          <w:rFonts w:hint="eastAsia" w:ascii="仿宋" w:hAnsi="仿宋" w:eastAsia="仿宋" w:cs="仿宋"/>
          <w:sz w:val="24"/>
          <w:szCs w:val="24"/>
          <w:u w:val="single"/>
          <w:lang w:val="en-US" w:eastAsia="zh-CN"/>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统一社会信用代码：</w:t>
      </w:r>
      <w:r>
        <w:rPr>
          <w:rFonts w:hint="eastAsia" w:ascii="仿宋" w:hAnsi="仿宋" w:eastAsia="仿宋" w:cs="仿宋"/>
          <w:sz w:val="24"/>
          <w:szCs w:val="24"/>
          <w:u w:val="single"/>
          <w:lang w:val="en-US" w:eastAsia="zh-CN"/>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kern w:val="0"/>
          <w:sz w:val="24"/>
          <w:szCs w:val="24"/>
          <w:u w:val="single"/>
        </w:rPr>
      </w:pPr>
      <w:r>
        <w:rPr>
          <w:rFonts w:hint="eastAsia" w:ascii="仿宋" w:hAnsi="仿宋" w:eastAsia="仿宋" w:cs="仿宋"/>
          <w:kern w:val="0"/>
          <w:sz w:val="24"/>
          <w:szCs w:val="24"/>
        </w:rPr>
        <w:t>注册地址：</w:t>
      </w:r>
      <w:r>
        <w:rPr>
          <w:rFonts w:hint="eastAsia" w:ascii="仿宋" w:hAnsi="仿宋" w:eastAsia="仿宋" w:cs="仿宋"/>
          <w:sz w:val="24"/>
          <w:szCs w:val="24"/>
          <w:u w:val="single"/>
          <w:lang w:val="en-US" w:eastAsia="zh-CN"/>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成立时间：</w:t>
      </w:r>
      <w:r>
        <w:rPr>
          <w:rFonts w:hint="eastAsia" w:ascii="仿宋" w:hAnsi="仿宋" w:eastAsia="仿宋" w:cs="仿宋"/>
          <w:sz w:val="24"/>
          <w:szCs w:val="24"/>
          <w:u w:val="single"/>
          <w:lang w:val="en-US" w:eastAsia="zh-CN"/>
        </w:rPr>
        <w:t xml:space="preserve">     </w:t>
      </w:r>
      <w:r>
        <w:rPr>
          <w:rFonts w:hint="eastAsia" w:ascii="仿宋" w:hAnsi="仿宋" w:eastAsia="仿宋" w:cs="仿宋"/>
          <w:kern w:val="0"/>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kern w:val="0"/>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kern w:val="0"/>
          <w:sz w:val="24"/>
          <w:szCs w:val="24"/>
        </w:rPr>
        <w:t>日；经营期限：</w:t>
      </w:r>
      <w:r>
        <w:rPr>
          <w:rFonts w:hint="eastAsia" w:ascii="仿宋" w:hAnsi="仿宋" w:eastAsia="仿宋" w:cs="仿宋"/>
          <w:sz w:val="24"/>
          <w:szCs w:val="24"/>
          <w:u w:val="single"/>
          <w:lang w:val="en-US" w:eastAsia="zh-CN"/>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kern w:val="0"/>
          <w:sz w:val="24"/>
          <w:szCs w:val="24"/>
          <w:u w:val="single"/>
        </w:rPr>
      </w:pPr>
      <w:r>
        <w:rPr>
          <w:rFonts w:hint="eastAsia" w:ascii="仿宋" w:hAnsi="仿宋" w:eastAsia="仿宋" w:cs="仿宋"/>
          <w:kern w:val="0"/>
          <w:sz w:val="24"/>
          <w:szCs w:val="24"/>
        </w:rPr>
        <w:t>经营范围：主营：</w:t>
      </w:r>
      <w:r>
        <w:rPr>
          <w:rFonts w:hint="eastAsia" w:ascii="仿宋" w:hAnsi="仿宋" w:eastAsia="仿宋" w:cs="仿宋"/>
          <w:sz w:val="24"/>
          <w:szCs w:val="24"/>
          <w:u w:val="single"/>
          <w:lang w:val="en-US" w:eastAsia="zh-CN"/>
        </w:rPr>
        <w:t xml:space="preserve">                       </w:t>
      </w:r>
      <w:r>
        <w:rPr>
          <w:rFonts w:hint="eastAsia" w:ascii="仿宋" w:hAnsi="仿宋" w:eastAsia="仿宋" w:cs="仿宋"/>
          <w:kern w:val="0"/>
          <w:sz w:val="24"/>
          <w:szCs w:val="24"/>
        </w:rPr>
        <w:t xml:space="preserve"> ；兼营：</w:t>
      </w:r>
      <w:r>
        <w:rPr>
          <w:rFonts w:hint="eastAsia" w:ascii="仿宋" w:hAnsi="仿宋" w:eastAsia="仿宋" w:cs="仿宋"/>
          <w:sz w:val="24"/>
          <w:szCs w:val="24"/>
          <w:u w:val="single"/>
          <w:lang w:val="en-US" w:eastAsia="zh-CN"/>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kern w:val="0"/>
          <w:sz w:val="24"/>
          <w:szCs w:val="24"/>
        </w:rPr>
        <w:t>性别：</w:t>
      </w:r>
      <w:r>
        <w:rPr>
          <w:rFonts w:hint="eastAsia" w:ascii="仿宋" w:hAnsi="仿宋" w:eastAsia="仿宋" w:cs="仿宋"/>
          <w:sz w:val="24"/>
          <w:szCs w:val="24"/>
          <w:u w:val="single"/>
          <w:lang w:val="en-US" w:eastAsia="zh-CN"/>
        </w:rPr>
        <w:t xml:space="preserve">            </w:t>
      </w:r>
      <w:r>
        <w:rPr>
          <w:rFonts w:hint="eastAsia" w:ascii="仿宋" w:hAnsi="仿宋" w:eastAsia="仿宋" w:cs="仿宋"/>
          <w:kern w:val="0"/>
          <w:sz w:val="24"/>
          <w:szCs w:val="24"/>
        </w:rPr>
        <w:t xml:space="preserve"> 年龄：</w:t>
      </w:r>
      <w:r>
        <w:rPr>
          <w:rFonts w:hint="eastAsia" w:ascii="仿宋" w:hAnsi="仿宋" w:eastAsia="仿宋" w:cs="仿宋"/>
          <w:sz w:val="24"/>
          <w:szCs w:val="24"/>
          <w:u w:val="single"/>
          <w:lang w:val="en-US" w:eastAsia="zh-CN"/>
        </w:rPr>
        <w:t xml:space="preserve">            </w:t>
      </w:r>
      <w:r>
        <w:rPr>
          <w:rFonts w:hint="eastAsia" w:ascii="仿宋" w:hAnsi="仿宋" w:eastAsia="仿宋" w:cs="仿宋"/>
          <w:kern w:val="0"/>
          <w:sz w:val="24"/>
          <w:szCs w:val="24"/>
        </w:rPr>
        <w:t xml:space="preserve"> 系（</w:t>
      </w:r>
      <w:r>
        <w:rPr>
          <w:rFonts w:hint="eastAsia" w:ascii="仿宋" w:hAnsi="仿宋" w:eastAsia="仿宋" w:cs="仿宋"/>
          <w:sz w:val="24"/>
          <w:szCs w:val="24"/>
        </w:rPr>
        <w:t>供应商</w:t>
      </w:r>
      <w:r>
        <w:rPr>
          <w:rFonts w:hint="eastAsia" w:ascii="仿宋" w:hAnsi="仿宋" w:eastAsia="仿宋" w:cs="仿宋"/>
          <w:kern w:val="0"/>
          <w:sz w:val="24"/>
          <w:szCs w:val="24"/>
        </w:rPr>
        <w:t>名称）的法定代表人。</w:t>
      </w:r>
    </w:p>
    <w:p>
      <w:pPr>
        <w:autoSpaceDE w:val="0"/>
        <w:autoSpaceDN w:val="0"/>
        <w:adjustRightInd w:val="0"/>
        <w:snapToGrid w:val="0"/>
        <w:spacing w:before="120"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特此证明。</w:t>
      </w:r>
    </w:p>
    <w:p>
      <w:pPr>
        <w:autoSpaceDE w:val="0"/>
        <w:autoSpaceDN w:val="0"/>
        <w:adjustRightInd w:val="0"/>
        <w:snapToGrid w:val="0"/>
        <w:spacing w:before="120"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附：法定代表人身份证复印件</w:t>
      </w:r>
    </w:p>
    <w:tbl>
      <w:tblPr>
        <w:tblStyle w:val="27"/>
        <w:tblW w:w="0" w:type="auto"/>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2818" w:hRule="atLeast"/>
        </w:trPr>
        <w:tc>
          <w:tcPr>
            <w:tcW w:w="4081"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仿宋" w:hAnsi="仿宋" w:eastAsia="仿宋" w:cs="仿宋"/>
                <w:sz w:val="24"/>
                <w:szCs w:val="24"/>
                <w:lang w:val="zh-CN"/>
              </w:rPr>
            </w:pPr>
            <w:r>
              <w:rPr>
                <w:rFonts w:hint="eastAsia" w:ascii="仿宋" w:hAnsi="仿宋" w:eastAsia="仿宋" w:cs="仿宋"/>
                <w:sz w:val="24"/>
                <w:szCs w:val="24"/>
                <w:lang w:val="zh-CN"/>
              </w:rPr>
              <w:t>法定代表人身份证</w:t>
            </w:r>
          </w:p>
          <w:p>
            <w:pPr>
              <w:spacing w:line="360" w:lineRule="auto"/>
              <w:jc w:val="center"/>
              <w:rPr>
                <w:rFonts w:ascii="仿宋" w:hAnsi="仿宋" w:eastAsia="仿宋" w:cs="仿宋"/>
                <w:sz w:val="24"/>
                <w:szCs w:val="24"/>
                <w:u w:val="single"/>
              </w:rPr>
            </w:pPr>
            <w:r>
              <w:rPr>
                <w:rFonts w:hint="eastAsia" w:ascii="仿宋" w:hAnsi="仿宋" w:eastAsia="仿宋" w:cs="仿宋"/>
                <w:sz w:val="24"/>
                <w:szCs w:val="24"/>
                <w:lang w:val="zh-CN"/>
              </w:rPr>
              <w:t>复印件</w:t>
            </w:r>
          </w:p>
        </w:tc>
        <w:tc>
          <w:tcPr>
            <w:tcW w:w="3915"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仿宋" w:hAnsi="仿宋" w:eastAsia="仿宋" w:cs="仿宋"/>
                <w:sz w:val="24"/>
                <w:szCs w:val="24"/>
                <w:lang w:val="zh-CN"/>
              </w:rPr>
            </w:pPr>
            <w:r>
              <w:rPr>
                <w:rFonts w:hint="eastAsia" w:ascii="仿宋" w:hAnsi="仿宋" w:eastAsia="仿宋" w:cs="仿宋"/>
                <w:sz w:val="24"/>
                <w:szCs w:val="24"/>
                <w:lang w:val="zh-CN"/>
              </w:rPr>
              <w:t>法定代表人身份证</w:t>
            </w:r>
          </w:p>
          <w:p>
            <w:pPr>
              <w:spacing w:line="360" w:lineRule="auto"/>
              <w:jc w:val="center"/>
              <w:rPr>
                <w:rFonts w:ascii="仿宋" w:hAnsi="仿宋" w:eastAsia="仿宋" w:cs="仿宋"/>
                <w:sz w:val="24"/>
                <w:szCs w:val="24"/>
                <w:u w:val="single"/>
              </w:rPr>
            </w:pPr>
            <w:r>
              <w:rPr>
                <w:rFonts w:hint="eastAsia" w:ascii="仿宋" w:hAnsi="仿宋" w:eastAsia="仿宋" w:cs="仿宋"/>
                <w:sz w:val="24"/>
                <w:szCs w:val="24"/>
                <w:lang w:val="zh-CN"/>
              </w:rPr>
              <w:t>复印件</w:t>
            </w:r>
          </w:p>
        </w:tc>
      </w:tr>
    </w:tbl>
    <w:p>
      <w:pPr>
        <w:spacing w:line="360" w:lineRule="auto"/>
        <w:ind w:firstLine="1920" w:firstLineChars="800"/>
        <w:rPr>
          <w:rFonts w:ascii="仿宋" w:hAnsi="仿宋" w:eastAsia="仿宋" w:cs="仿宋"/>
          <w:sz w:val="24"/>
          <w:szCs w:val="24"/>
        </w:rPr>
      </w:pPr>
    </w:p>
    <w:p>
      <w:pPr>
        <w:spacing w:line="360" w:lineRule="auto"/>
        <w:ind w:firstLine="3578" w:firstLineChars="1491"/>
        <w:rPr>
          <w:rFonts w:ascii="仿宋" w:hAnsi="仿宋" w:eastAsia="仿宋" w:cs="仿宋"/>
          <w:sz w:val="24"/>
          <w:szCs w:val="24"/>
        </w:rPr>
      </w:pPr>
      <w:bookmarkStart w:id="522" w:name="_Toc495908049"/>
      <w:bookmarkStart w:id="523" w:name="_Toc495681253"/>
      <w:bookmarkStart w:id="524" w:name="_Toc495681407"/>
      <w:bookmarkStart w:id="525" w:name="_Toc18921"/>
      <w:bookmarkStart w:id="526" w:name="_Toc495681534"/>
      <w:bookmarkStart w:id="527" w:name="_Toc495671264"/>
      <w:r>
        <w:rPr>
          <w:rFonts w:hint="eastAsia" w:ascii="仿宋" w:hAnsi="仿宋" w:eastAsia="仿宋" w:cs="仿宋"/>
          <w:sz w:val="24"/>
          <w:szCs w:val="24"/>
        </w:rPr>
        <w:t>供应商（公章）：</w:t>
      </w:r>
      <w:r>
        <w:rPr>
          <w:rFonts w:hint="eastAsia" w:ascii="仿宋" w:hAnsi="仿宋" w:eastAsia="仿宋" w:cs="仿宋"/>
          <w:sz w:val="24"/>
          <w:szCs w:val="24"/>
          <w:u w:val="single"/>
          <w:lang w:val="en-US" w:eastAsia="zh-CN"/>
        </w:rPr>
        <w:t xml:space="preserve">                       </w:t>
      </w:r>
    </w:p>
    <w:p>
      <w:pPr>
        <w:spacing w:line="360" w:lineRule="auto"/>
        <w:ind w:firstLine="3578" w:firstLineChars="1491"/>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lang w:val="en-US" w:eastAsia="zh-CN"/>
        </w:rPr>
        <w:t xml:space="preserve">                       </w:t>
      </w:r>
    </w:p>
    <w:p>
      <w:pPr>
        <w:adjustRightInd w:val="0"/>
        <w:snapToGrid w:val="0"/>
        <w:spacing w:line="360" w:lineRule="auto"/>
        <w:ind w:firstLine="3600" w:firstLineChars="1500"/>
        <w:rPr>
          <w:rFonts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lang w:val="en-US" w:eastAsia="zh-CN"/>
        </w:rPr>
        <w:t xml:space="preserve">                       </w:t>
      </w:r>
    </w:p>
    <w:p>
      <w:pPr>
        <w:pageBreakBefore/>
        <w:adjustRightInd w:val="0"/>
        <w:snapToGrid w:val="0"/>
        <w:spacing w:line="360" w:lineRule="auto"/>
        <w:jc w:val="center"/>
        <w:outlineLvl w:val="3"/>
        <w:rPr>
          <w:rFonts w:ascii="仿宋" w:hAnsi="仿宋" w:eastAsia="仿宋" w:cs="仿宋"/>
          <w:b/>
          <w:sz w:val="24"/>
          <w:szCs w:val="24"/>
        </w:rPr>
      </w:pPr>
      <w:bookmarkStart w:id="528" w:name="_Toc29369"/>
      <w:bookmarkStart w:id="529" w:name="_Toc32169"/>
      <w:r>
        <w:rPr>
          <w:rFonts w:hint="eastAsia" w:ascii="仿宋" w:hAnsi="仿宋" w:eastAsia="仿宋" w:cs="仿宋"/>
          <w:b/>
          <w:sz w:val="24"/>
          <w:szCs w:val="24"/>
        </w:rPr>
        <w:t>2、法定代表人授权书</w:t>
      </w:r>
      <w:bookmarkEnd w:id="522"/>
      <w:bookmarkEnd w:id="523"/>
      <w:bookmarkEnd w:id="524"/>
      <w:bookmarkEnd w:id="525"/>
      <w:bookmarkEnd w:id="526"/>
      <w:bookmarkEnd w:id="527"/>
      <w:bookmarkEnd w:id="528"/>
      <w:bookmarkEnd w:id="529"/>
    </w:p>
    <w:p>
      <w:pPr>
        <w:autoSpaceDE w:val="0"/>
        <w:autoSpaceDN w:val="0"/>
        <w:adjustRightInd w:val="0"/>
        <w:spacing w:line="360" w:lineRule="auto"/>
        <w:rPr>
          <w:rFonts w:ascii="仿宋" w:hAnsi="仿宋" w:eastAsia="仿宋" w:cs="仿宋"/>
          <w:sz w:val="24"/>
          <w:szCs w:val="24"/>
        </w:rPr>
      </w:pPr>
      <w:r>
        <w:rPr>
          <w:rFonts w:hint="eastAsia" w:ascii="仿宋" w:hAnsi="仿宋" w:eastAsia="仿宋" w:cs="仿宋"/>
          <w:sz w:val="24"/>
          <w:szCs w:val="24"/>
          <w:lang w:val="zh-CN"/>
        </w:rPr>
        <w:t>陕西笃信招标有限公司：</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val="zh-CN"/>
        </w:rPr>
        <w:t>注册于</w:t>
      </w:r>
      <w:r>
        <w:rPr>
          <w:rFonts w:hint="eastAsia" w:ascii="仿宋" w:hAnsi="仿宋" w:eastAsia="仿宋" w:cs="仿宋"/>
          <w:sz w:val="24"/>
          <w:szCs w:val="24"/>
          <w:u w:val="single"/>
          <w:lang w:val="zh-CN"/>
        </w:rPr>
        <w:t xml:space="preserve">  （工商行政管理局名称）  </w:t>
      </w:r>
      <w:r>
        <w:rPr>
          <w:rFonts w:hint="eastAsia" w:ascii="仿宋" w:hAnsi="仿宋" w:eastAsia="仿宋" w:cs="仿宋"/>
          <w:sz w:val="24"/>
          <w:szCs w:val="24"/>
          <w:lang w:val="zh-CN"/>
        </w:rPr>
        <w:t>之</w:t>
      </w:r>
      <w:r>
        <w:rPr>
          <w:rFonts w:hint="eastAsia" w:ascii="仿宋" w:hAnsi="仿宋" w:eastAsia="仿宋" w:cs="仿宋"/>
          <w:sz w:val="24"/>
          <w:szCs w:val="24"/>
          <w:u w:val="single"/>
          <w:lang w:val="zh-CN"/>
        </w:rPr>
        <w:t xml:space="preserve">   （供应商全称）  </w:t>
      </w:r>
      <w:r>
        <w:rPr>
          <w:rFonts w:hint="eastAsia" w:ascii="仿宋" w:hAnsi="仿宋" w:eastAsia="仿宋" w:cs="仿宋"/>
          <w:sz w:val="24"/>
          <w:szCs w:val="24"/>
          <w:lang w:val="zh-CN"/>
        </w:rPr>
        <w:t>的法定代表人</w:t>
      </w:r>
      <w:r>
        <w:rPr>
          <w:rFonts w:hint="eastAsia" w:ascii="仿宋" w:hAnsi="仿宋" w:eastAsia="仿宋" w:cs="仿宋"/>
          <w:sz w:val="24"/>
          <w:szCs w:val="24"/>
          <w:u w:val="single"/>
          <w:lang w:val="zh-CN"/>
        </w:rPr>
        <w:t xml:space="preserve"> （姓名）</w:t>
      </w:r>
      <w:r>
        <w:rPr>
          <w:rFonts w:hint="eastAsia" w:ascii="仿宋" w:hAnsi="仿宋" w:eastAsia="仿宋" w:cs="仿宋"/>
          <w:sz w:val="24"/>
          <w:szCs w:val="24"/>
          <w:lang w:val="zh-CN"/>
        </w:rPr>
        <w:t>授权</w:t>
      </w:r>
      <w:r>
        <w:rPr>
          <w:rFonts w:hint="eastAsia" w:ascii="仿宋" w:hAnsi="仿宋" w:eastAsia="仿宋" w:cs="仿宋"/>
          <w:sz w:val="24"/>
          <w:szCs w:val="24"/>
          <w:u w:val="single"/>
          <w:lang w:val="zh-CN"/>
        </w:rPr>
        <w:t xml:space="preserve"> （被授权人姓名）</w:t>
      </w:r>
      <w:r>
        <w:rPr>
          <w:rFonts w:hint="eastAsia" w:ascii="仿宋" w:hAnsi="仿宋" w:eastAsia="仿宋" w:cs="仿宋"/>
          <w:sz w:val="24"/>
          <w:szCs w:val="24"/>
        </w:rPr>
        <w:t>为我方合法委托代理人。代理人根据授权，以我方名义签署、澄清、说明、递交、撤回、修改</w:t>
      </w:r>
      <w:r>
        <w:rPr>
          <w:rFonts w:hint="eastAsia" w:ascii="仿宋" w:hAnsi="仿宋" w:eastAsia="仿宋" w:cs="仿宋"/>
          <w:sz w:val="24"/>
          <w:szCs w:val="24"/>
          <w:u w:val="single"/>
        </w:rPr>
        <w:t xml:space="preserve">     （项目名称）     </w:t>
      </w:r>
      <w:r>
        <w:rPr>
          <w:rFonts w:hint="eastAsia" w:ascii="仿宋" w:hAnsi="仿宋" w:eastAsia="仿宋" w:cs="仿宋"/>
          <w:sz w:val="24"/>
          <w:szCs w:val="24"/>
        </w:rPr>
        <w:t>投标文件、签订合同和处理有关事宜，其法律后果由我方承担。</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代理人无转委托权。</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供应商：</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（盖单位公章）</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（签字或盖章）</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lang w:val="en-US" w:eastAsia="zh-CN"/>
        </w:rPr>
        <w:t xml:space="preserve">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委托代理人：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（签字或盖章）</w:t>
      </w:r>
    </w:p>
    <w:p>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身份证号码：</w:t>
      </w:r>
      <w:r>
        <w:rPr>
          <w:rFonts w:hint="eastAsia" w:ascii="仿宋" w:hAnsi="仿宋" w:eastAsia="仿宋" w:cs="仿宋"/>
          <w:sz w:val="24"/>
          <w:szCs w:val="24"/>
          <w:u w:val="single"/>
          <w:lang w:val="en-US" w:eastAsia="zh-CN"/>
        </w:rPr>
        <w:t xml:space="preserve">                       </w:t>
      </w:r>
    </w:p>
    <w:p>
      <w:pPr>
        <w:spacing w:line="360" w:lineRule="auto"/>
        <w:ind w:firstLine="5520" w:firstLineChars="2300"/>
        <w:rPr>
          <w:rFonts w:ascii="仿宋" w:hAnsi="仿宋" w:eastAsia="仿宋" w:cs="仿宋"/>
          <w:sz w:val="24"/>
          <w:szCs w:val="24"/>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w:t>
      </w:r>
    </w:p>
    <w:p>
      <w:pPr>
        <w:spacing w:line="360" w:lineRule="auto"/>
        <w:ind w:firstLine="480" w:firstLineChars="200"/>
        <w:rPr>
          <w:rFonts w:ascii="仿宋" w:hAnsi="仿宋" w:eastAsia="仿宋" w:cs="仿宋"/>
          <w:sz w:val="24"/>
          <w:szCs w:val="24"/>
        </w:rPr>
      </w:pP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本授权有效期：自开标之日起90日历日。</w:t>
      </w:r>
    </w:p>
    <w:p>
      <w:pPr>
        <w:spacing w:line="360" w:lineRule="auto"/>
        <w:ind w:firstLine="420"/>
        <w:rPr>
          <w:rFonts w:ascii="仿宋" w:hAnsi="仿宋" w:eastAsia="仿宋" w:cs="仿宋"/>
          <w:bCs/>
          <w:sz w:val="24"/>
          <w:szCs w:val="24"/>
        </w:rPr>
      </w:pPr>
    </w:p>
    <w:p>
      <w:pPr>
        <w:spacing w:line="360" w:lineRule="auto"/>
        <w:ind w:firstLine="420"/>
        <w:rPr>
          <w:rFonts w:ascii="仿宋" w:hAnsi="仿宋" w:eastAsia="仿宋" w:cs="仿宋"/>
          <w:bCs/>
          <w:sz w:val="24"/>
          <w:szCs w:val="24"/>
        </w:rPr>
      </w:pPr>
    </w:p>
    <w:p>
      <w:pPr>
        <w:spacing w:line="360" w:lineRule="auto"/>
        <w:ind w:firstLine="480" w:firstLineChars="200"/>
        <w:rPr>
          <w:rFonts w:ascii="仿宋" w:hAnsi="仿宋" w:eastAsia="仿宋" w:cs="仿宋"/>
          <w:bCs/>
          <w:sz w:val="24"/>
          <w:szCs w:val="24"/>
        </w:rPr>
      </w:pPr>
    </w:p>
    <w:p>
      <w:pPr>
        <w:spacing w:line="360" w:lineRule="auto"/>
        <w:ind w:firstLine="480" w:firstLineChars="200"/>
        <w:rPr>
          <w:rFonts w:ascii="仿宋" w:hAnsi="仿宋" w:eastAsia="仿宋" w:cs="仿宋"/>
          <w:bCs/>
          <w:sz w:val="24"/>
          <w:szCs w:val="24"/>
        </w:rPr>
      </w:pPr>
    </w:p>
    <w:p>
      <w:pPr>
        <w:spacing w:line="360" w:lineRule="auto"/>
        <w:ind w:firstLine="480" w:firstLineChars="200"/>
        <w:rPr>
          <w:rFonts w:ascii="仿宋" w:hAnsi="仿宋" w:eastAsia="仿宋" w:cs="仿宋"/>
          <w:sz w:val="24"/>
          <w:szCs w:val="24"/>
          <w:lang w:val="zh-CN"/>
        </w:rPr>
      </w:pPr>
    </w:p>
    <w:p>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说明：</w:t>
      </w:r>
    </w:p>
    <w:p>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1.后附被授权代表本单位证明：有效的劳动合同或</w:t>
      </w:r>
      <w:r>
        <w:rPr>
          <w:rFonts w:hint="eastAsia" w:ascii="仿宋" w:hAnsi="仿宋" w:eastAsia="仿宋" w:cs="仿宋"/>
          <w:sz w:val="24"/>
          <w:szCs w:val="24"/>
          <w:lang w:val="zh-CN"/>
        </w:rPr>
        <w:t>开标截止前六个月内任意一个月养老保险缴纳证明。</w:t>
      </w:r>
    </w:p>
    <w:p>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2.后附法定代表人和被授权委托代理人身份证复印件并加盖红色鲜章。</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zh-CN"/>
        </w:rPr>
        <w:t>本授权有效期为开标之日起不少于90天，仅限授权代表参加开标时提供。</w:t>
      </w:r>
      <w:bookmarkStart w:id="530" w:name="_Toc15002"/>
    </w:p>
    <w:bookmarkEnd w:id="530"/>
    <w:p>
      <w:pPr>
        <w:jc w:val="center"/>
        <w:outlineLvl w:val="2"/>
        <w:rPr>
          <w:rFonts w:ascii="仿宋" w:hAnsi="仿宋" w:eastAsia="仿宋" w:cs="仿宋"/>
          <w:b/>
          <w:sz w:val="28"/>
          <w:szCs w:val="28"/>
          <w:lang w:val="zh-CN"/>
        </w:rPr>
      </w:pPr>
      <w:bookmarkStart w:id="531" w:name="_Toc25082"/>
      <w:bookmarkStart w:id="532" w:name="_Toc10643"/>
      <w:bookmarkStart w:id="533" w:name="_Toc10845"/>
      <w:r>
        <w:rPr>
          <w:rFonts w:hint="eastAsia" w:ascii="仿宋" w:hAnsi="仿宋" w:eastAsia="仿宋" w:cs="仿宋"/>
          <w:b/>
          <w:sz w:val="28"/>
          <w:szCs w:val="28"/>
          <w:lang w:val="zh-CN"/>
        </w:rPr>
        <w:br w:type="page"/>
      </w:r>
      <w:r>
        <w:rPr>
          <w:rFonts w:hint="eastAsia" w:ascii="仿宋" w:hAnsi="仿宋" w:eastAsia="仿宋" w:cs="仿宋"/>
          <w:b/>
          <w:sz w:val="28"/>
          <w:szCs w:val="28"/>
          <w:lang w:val="zh-CN"/>
        </w:rPr>
        <w:t>（八）提供政府采购政策等证明材料</w:t>
      </w:r>
      <w:bookmarkEnd w:id="531"/>
      <w:bookmarkEnd w:id="532"/>
      <w:bookmarkEnd w:id="533"/>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（1）中小企业声明函（如适用，请提供，格式见附件1，注：本项目属于</w:t>
      </w:r>
      <w:r>
        <w:rPr>
          <w:rFonts w:hint="eastAsia" w:ascii="仿宋" w:hAnsi="仿宋" w:eastAsia="仿宋" w:cs="仿宋"/>
          <w:b/>
          <w:bCs/>
          <w:kern w:val="0"/>
          <w:sz w:val="24"/>
          <w:szCs w:val="24"/>
        </w:rPr>
        <w:t>软件和信息技术服务业</w:t>
      </w:r>
      <w:r>
        <w:rPr>
          <w:rFonts w:hint="eastAsia" w:ascii="仿宋" w:hAnsi="仿宋" w:eastAsia="仿宋" w:cs="仿宋"/>
          <w:sz w:val="24"/>
          <w:szCs w:val="24"/>
        </w:rPr>
        <w:t>）；</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（2）残疾人福利性单位声明函（如适用，请提供，格式见附件2）；</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（3）监狱企业、福利企业证明材料（如适用，请提供）；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（4）节能环保产品、环境标志产品明细表（如适用，请按招标文件中采购项目需要落实的政府采购政策第2条相关规定提供相关证明材料）；</w:t>
      </w:r>
    </w:p>
    <w:p>
      <w:pPr>
        <w:pageBreakBefore/>
        <w:adjustRightInd w:val="0"/>
        <w:snapToGrid w:val="0"/>
        <w:spacing w:line="360" w:lineRule="auto"/>
        <w:jc w:val="left"/>
        <w:rPr>
          <w:rFonts w:ascii="仿宋" w:hAnsi="仿宋" w:eastAsia="仿宋" w:cs="仿宋"/>
          <w:b/>
          <w:bCs/>
          <w:sz w:val="24"/>
          <w:szCs w:val="24"/>
        </w:rPr>
      </w:pPr>
      <w:r>
        <w:rPr>
          <w:rFonts w:hint="eastAsia" w:ascii="仿宋" w:hAnsi="仿宋" w:eastAsia="仿宋" w:cs="仿宋"/>
          <w:b/>
          <w:bCs/>
          <w:sz w:val="24"/>
          <w:szCs w:val="24"/>
        </w:rPr>
        <w:t>附件1</w:t>
      </w:r>
    </w:p>
    <w:p>
      <w:pPr>
        <w:spacing w:line="360" w:lineRule="auto"/>
        <w:jc w:val="center"/>
        <w:rPr>
          <w:rFonts w:ascii="仿宋" w:hAnsi="仿宋" w:eastAsia="仿宋" w:cs="仿宋"/>
          <w:sz w:val="28"/>
          <w:szCs w:val="28"/>
        </w:rPr>
      </w:pPr>
      <w:r>
        <w:rPr>
          <w:rFonts w:hint="eastAsia" w:ascii="仿宋" w:hAnsi="仿宋" w:eastAsia="仿宋" w:cs="仿宋"/>
          <w:b/>
          <w:bCs/>
          <w:sz w:val="28"/>
          <w:szCs w:val="24"/>
        </w:rPr>
        <w:t>中小企业声明函（工程、服务）</w:t>
      </w:r>
    </w:p>
    <w:p>
      <w:pPr>
        <w:pStyle w:val="2"/>
        <w:kinsoku w:val="0"/>
        <w:overflowPunct w:val="0"/>
        <w:spacing w:before="34" w:line="360" w:lineRule="auto"/>
        <w:ind w:firstLine="456" w:firstLineChars="200"/>
        <w:rPr>
          <w:rFonts w:ascii="仿宋" w:hAnsi="仿宋" w:eastAsia="仿宋" w:cs="仿宋"/>
          <w:w w:val="95"/>
          <w:sz w:val="24"/>
          <w:szCs w:val="24"/>
        </w:rPr>
      </w:pPr>
      <w:r>
        <w:rPr>
          <w:rFonts w:hint="eastAsia" w:ascii="仿宋" w:hAnsi="仿宋" w:eastAsia="仿宋" w:cs="仿宋"/>
          <w:w w:val="95"/>
          <w:sz w:val="24"/>
          <w:szCs w:val="24"/>
        </w:rPr>
        <w:t>本公司（联合体）郑重声明，根据《政府采购促进中小企业发展管理办法》（财库﹝2020﹞46 号）的规定，本公司（联合体）参加</w:t>
      </w:r>
      <w:r>
        <w:rPr>
          <w:rFonts w:hint="eastAsia" w:ascii="仿宋" w:hAnsi="仿宋" w:eastAsia="仿宋" w:cs="仿宋"/>
          <w:w w:val="95"/>
          <w:sz w:val="24"/>
          <w:szCs w:val="24"/>
          <w:u w:val="single"/>
        </w:rPr>
        <w:t>（单位名称）</w:t>
      </w:r>
      <w:r>
        <w:rPr>
          <w:rFonts w:hint="eastAsia" w:ascii="仿宋" w:hAnsi="仿宋" w:eastAsia="仿宋" w:cs="仿宋"/>
          <w:w w:val="95"/>
          <w:sz w:val="24"/>
          <w:szCs w:val="24"/>
        </w:rPr>
        <w:t>的</w:t>
      </w:r>
      <w:r>
        <w:rPr>
          <w:rFonts w:hint="eastAsia" w:ascii="仿宋" w:hAnsi="仿宋" w:eastAsia="仿宋" w:cs="仿宋"/>
          <w:w w:val="95"/>
          <w:sz w:val="24"/>
          <w:szCs w:val="24"/>
          <w:u w:val="single"/>
        </w:rPr>
        <w:t>（项目名称）</w:t>
      </w:r>
      <w:r>
        <w:rPr>
          <w:rFonts w:hint="eastAsia" w:ascii="仿宋" w:hAnsi="仿宋" w:eastAsia="仿宋" w:cs="仿宋"/>
          <w:w w:val="95"/>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2"/>
        <w:kinsoku w:val="0"/>
        <w:overflowPunct w:val="0"/>
        <w:spacing w:before="34" w:line="360" w:lineRule="auto"/>
        <w:ind w:firstLine="478" w:firstLineChars="200"/>
        <w:rPr>
          <w:rFonts w:ascii="仿宋" w:hAnsi="仿宋" w:eastAsia="仿宋" w:cs="仿宋"/>
          <w:w w:val="95"/>
          <w:sz w:val="24"/>
          <w:szCs w:val="24"/>
        </w:rPr>
      </w:pPr>
      <w:r>
        <w:rPr>
          <w:rFonts w:hint="eastAsia" w:ascii="仿宋" w:hAnsi="仿宋" w:eastAsia="仿宋" w:cs="仿宋"/>
          <w:spacing w:val="1"/>
          <w:w w:val="99"/>
          <w:sz w:val="24"/>
          <w:szCs w:val="24"/>
        </w:rPr>
        <w:t>1</w:t>
      </w:r>
      <w:r>
        <w:rPr>
          <w:rFonts w:hint="eastAsia" w:ascii="仿宋" w:hAnsi="仿宋" w:eastAsia="仿宋" w:cs="仿宋"/>
          <w:w w:val="99"/>
          <w:sz w:val="24"/>
          <w:szCs w:val="24"/>
        </w:rPr>
        <w:t>.</w:t>
      </w:r>
      <w:r>
        <w:rPr>
          <w:rFonts w:hint="eastAsia" w:ascii="仿宋" w:hAnsi="仿宋" w:eastAsia="仿宋" w:cs="仿宋"/>
          <w:w w:val="95"/>
          <w:sz w:val="24"/>
          <w:szCs w:val="24"/>
          <w:u w:val="single"/>
        </w:rPr>
        <w:t>（标的名称）</w:t>
      </w:r>
      <w:r>
        <w:rPr>
          <w:rFonts w:hint="eastAsia" w:ascii="仿宋" w:hAnsi="仿宋" w:eastAsia="仿宋" w:cs="仿宋"/>
          <w:w w:val="95"/>
          <w:sz w:val="24"/>
          <w:szCs w:val="24"/>
        </w:rPr>
        <w:t>，属于</w:t>
      </w:r>
      <w:r>
        <w:rPr>
          <w:rFonts w:hint="eastAsia" w:ascii="仿宋" w:hAnsi="仿宋" w:eastAsia="仿宋" w:cs="仿宋"/>
          <w:w w:val="95"/>
          <w:sz w:val="24"/>
          <w:szCs w:val="24"/>
          <w:u w:val="single"/>
        </w:rPr>
        <w:t>（采购文件中明确的所属行业）</w:t>
      </w:r>
      <w:r>
        <w:rPr>
          <w:rFonts w:hint="eastAsia" w:ascii="仿宋" w:hAnsi="仿宋" w:eastAsia="仿宋" w:cs="仿宋"/>
          <w:w w:val="95"/>
          <w:sz w:val="24"/>
          <w:szCs w:val="24"/>
        </w:rPr>
        <w:t>；承建（承接）企业为</w:t>
      </w:r>
      <w:r>
        <w:rPr>
          <w:rFonts w:hint="eastAsia" w:ascii="仿宋" w:hAnsi="仿宋" w:eastAsia="仿宋" w:cs="仿宋"/>
          <w:w w:val="95"/>
          <w:sz w:val="24"/>
          <w:szCs w:val="24"/>
          <w:u w:val="single"/>
        </w:rPr>
        <w:t>（企业名称）</w:t>
      </w:r>
      <w:r>
        <w:rPr>
          <w:rFonts w:hint="eastAsia" w:ascii="仿宋" w:hAnsi="仿宋" w:eastAsia="仿宋" w:cs="仿宋"/>
          <w:w w:val="95"/>
          <w:sz w:val="24"/>
          <w:szCs w:val="24"/>
        </w:rPr>
        <w:t>，从业人员</w:t>
      </w:r>
      <w:r>
        <w:rPr>
          <w:rFonts w:hint="eastAsia" w:ascii="仿宋" w:hAnsi="仿宋" w:eastAsia="仿宋" w:cs="仿宋"/>
          <w:sz w:val="24"/>
          <w:szCs w:val="24"/>
          <w:u w:val="single"/>
          <w:lang w:val="en-US" w:eastAsia="zh-CN"/>
        </w:rPr>
        <w:t xml:space="preserve">     </w:t>
      </w:r>
      <w:r>
        <w:rPr>
          <w:rFonts w:hint="eastAsia" w:ascii="仿宋" w:hAnsi="仿宋" w:eastAsia="仿宋" w:cs="仿宋"/>
          <w:w w:val="95"/>
          <w:sz w:val="24"/>
          <w:szCs w:val="24"/>
        </w:rPr>
        <w:t xml:space="preserve">人，营业收入为 </w:t>
      </w:r>
      <w:r>
        <w:rPr>
          <w:rFonts w:hint="eastAsia" w:ascii="仿宋" w:hAnsi="仿宋" w:eastAsia="仿宋" w:cs="仿宋"/>
          <w:w w:val="95"/>
          <w:sz w:val="24"/>
          <w:szCs w:val="24"/>
          <w:u w:val="single"/>
        </w:rPr>
        <w:tab/>
      </w:r>
      <w:r>
        <w:rPr>
          <w:rFonts w:hint="eastAsia" w:ascii="仿宋" w:hAnsi="仿宋" w:eastAsia="仿宋" w:cs="仿宋"/>
          <w:w w:val="95"/>
          <w:sz w:val="24"/>
          <w:szCs w:val="24"/>
        </w:rPr>
        <w:t>万元，资产总额为</w:t>
      </w:r>
      <w:r>
        <w:rPr>
          <w:rFonts w:hint="eastAsia" w:ascii="仿宋" w:hAnsi="仿宋" w:eastAsia="仿宋" w:cs="仿宋"/>
          <w:w w:val="95"/>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w w:val="95"/>
          <w:sz w:val="24"/>
          <w:szCs w:val="24"/>
        </w:rPr>
        <w:t>万</w:t>
      </w:r>
      <w:r>
        <w:rPr>
          <w:rFonts w:hint="eastAsia" w:ascii="仿宋" w:hAnsi="仿宋" w:eastAsia="仿宋" w:cs="仿宋"/>
          <w:spacing w:val="2"/>
          <w:w w:val="99"/>
          <w:sz w:val="24"/>
          <w:szCs w:val="24"/>
        </w:rPr>
        <w:t>元</w:t>
      </w:r>
      <w:r>
        <w:rPr>
          <w:rFonts w:hint="eastAsia" w:ascii="仿宋" w:hAnsi="仿宋" w:eastAsia="仿宋" w:cs="仿宋"/>
          <w:spacing w:val="2"/>
          <w:w w:val="99"/>
          <w:sz w:val="24"/>
          <w:szCs w:val="24"/>
          <w:vertAlign w:val="superscript"/>
        </w:rPr>
        <w:t>1</w:t>
      </w:r>
      <w:r>
        <w:rPr>
          <w:rFonts w:hint="eastAsia" w:ascii="仿宋" w:hAnsi="仿宋" w:eastAsia="仿宋" w:cs="仿宋"/>
          <w:w w:val="95"/>
          <w:sz w:val="24"/>
          <w:szCs w:val="24"/>
        </w:rPr>
        <w:t>，属于</w:t>
      </w:r>
      <w:r>
        <w:rPr>
          <w:rFonts w:hint="eastAsia" w:ascii="仿宋" w:hAnsi="仿宋" w:eastAsia="仿宋" w:cs="仿宋"/>
          <w:w w:val="95"/>
          <w:sz w:val="24"/>
          <w:szCs w:val="24"/>
          <w:u w:val="single"/>
        </w:rPr>
        <w:t>（中型企业、小型企业、微型企业）</w:t>
      </w:r>
      <w:r>
        <w:rPr>
          <w:rFonts w:hint="eastAsia" w:ascii="仿宋" w:hAnsi="仿宋" w:eastAsia="仿宋" w:cs="仿宋"/>
          <w:w w:val="95"/>
          <w:sz w:val="24"/>
          <w:szCs w:val="24"/>
        </w:rPr>
        <w:t>；</w:t>
      </w:r>
    </w:p>
    <w:p>
      <w:pPr>
        <w:pStyle w:val="2"/>
        <w:kinsoku w:val="0"/>
        <w:overflowPunct w:val="0"/>
        <w:spacing w:before="34" w:line="360" w:lineRule="auto"/>
        <w:ind w:firstLine="456" w:firstLineChars="200"/>
        <w:rPr>
          <w:rFonts w:ascii="仿宋" w:hAnsi="仿宋" w:eastAsia="仿宋" w:cs="仿宋"/>
          <w:w w:val="95"/>
          <w:sz w:val="24"/>
          <w:szCs w:val="24"/>
        </w:rPr>
      </w:pPr>
      <w:r>
        <w:rPr>
          <w:rFonts w:hint="eastAsia" w:ascii="仿宋" w:hAnsi="仿宋" w:eastAsia="仿宋" w:cs="仿宋"/>
          <w:w w:val="95"/>
          <w:sz w:val="24"/>
          <w:szCs w:val="24"/>
        </w:rPr>
        <w:t>2.</w:t>
      </w:r>
      <w:r>
        <w:rPr>
          <w:rFonts w:hint="eastAsia" w:ascii="仿宋" w:hAnsi="仿宋" w:eastAsia="仿宋" w:cs="仿宋"/>
          <w:w w:val="95"/>
          <w:sz w:val="24"/>
          <w:szCs w:val="24"/>
          <w:u w:val="single"/>
        </w:rPr>
        <w:t>（标的名称）</w:t>
      </w:r>
      <w:r>
        <w:rPr>
          <w:rFonts w:hint="eastAsia" w:ascii="仿宋" w:hAnsi="仿宋" w:eastAsia="仿宋" w:cs="仿宋"/>
          <w:w w:val="95"/>
          <w:sz w:val="24"/>
          <w:szCs w:val="24"/>
        </w:rPr>
        <w:t>，属于</w:t>
      </w:r>
      <w:r>
        <w:rPr>
          <w:rFonts w:hint="eastAsia" w:ascii="仿宋" w:hAnsi="仿宋" w:eastAsia="仿宋" w:cs="仿宋"/>
          <w:w w:val="95"/>
          <w:sz w:val="24"/>
          <w:szCs w:val="24"/>
          <w:u w:val="single"/>
        </w:rPr>
        <w:t>（采购文件中明确的所属行业）</w:t>
      </w:r>
      <w:r>
        <w:rPr>
          <w:rFonts w:hint="eastAsia" w:ascii="仿宋" w:hAnsi="仿宋" w:eastAsia="仿宋" w:cs="仿宋"/>
          <w:w w:val="95"/>
          <w:sz w:val="24"/>
          <w:szCs w:val="24"/>
        </w:rPr>
        <w:t>；承建（承接）企业为</w:t>
      </w:r>
      <w:r>
        <w:rPr>
          <w:rFonts w:hint="eastAsia" w:ascii="仿宋" w:hAnsi="仿宋" w:eastAsia="仿宋" w:cs="仿宋"/>
          <w:w w:val="95"/>
          <w:sz w:val="24"/>
          <w:szCs w:val="24"/>
          <w:u w:val="single"/>
        </w:rPr>
        <w:t>（企业名称）</w:t>
      </w:r>
      <w:r>
        <w:rPr>
          <w:rFonts w:hint="eastAsia" w:ascii="仿宋" w:hAnsi="仿宋" w:eastAsia="仿宋" w:cs="仿宋"/>
          <w:w w:val="95"/>
          <w:sz w:val="24"/>
          <w:szCs w:val="24"/>
        </w:rPr>
        <w:t>，从业人员</w:t>
      </w:r>
      <w:r>
        <w:rPr>
          <w:rFonts w:hint="eastAsia" w:ascii="仿宋" w:hAnsi="仿宋" w:eastAsia="仿宋" w:cs="仿宋"/>
          <w:sz w:val="24"/>
          <w:szCs w:val="24"/>
          <w:u w:val="single"/>
          <w:lang w:val="en-US" w:eastAsia="zh-CN"/>
        </w:rPr>
        <w:t xml:space="preserve">     </w:t>
      </w:r>
      <w:r>
        <w:rPr>
          <w:rFonts w:hint="eastAsia" w:ascii="仿宋" w:hAnsi="仿宋" w:eastAsia="仿宋" w:cs="仿宋"/>
          <w:w w:val="95"/>
          <w:sz w:val="24"/>
          <w:szCs w:val="24"/>
          <w:u w:val="single"/>
        </w:rPr>
        <w:tab/>
      </w:r>
      <w:r>
        <w:rPr>
          <w:rFonts w:hint="eastAsia" w:ascii="仿宋" w:hAnsi="仿宋" w:eastAsia="仿宋" w:cs="仿宋"/>
          <w:w w:val="95"/>
          <w:sz w:val="24"/>
          <w:szCs w:val="24"/>
        </w:rPr>
        <w:t>人，营业收入为</w:t>
      </w:r>
      <w:r>
        <w:rPr>
          <w:rFonts w:hint="eastAsia" w:ascii="仿宋" w:hAnsi="仿宋" w:eastAsia="仿宋" w:cs="仿宋"/>
          <w:w w:val="95"/>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w w:val="95"/>
          <w:sz w:val="24"/>
          <w:szCs w:val="24"/>
        </w:rPr>
        <w:t>万元，资产总额为</w:t>
      </w:r>
      <w:r>
        <w:rPr>
          <w:rFonts w:hint="eastAsia" w:ascii="仿宋" w:hAnsi="仿宋" w:eastAsia="仿宋" w:cs="仿宋"/>
          <w:sz w:val="24"/>
          <w:szCs w:val="24"/>
          <w:u w:val="single"/>
          <w:lang w:val="en-US" w:eastAsia="zh-CN"/>
        </w:rPr>
        <w:t xml:space="preserve">     </w:t>
      </w:r>
      <w:r>
        <w:rPr>
          <w:rFonts w:hint="eastAsia" w:ascii="仿宋" w:hAnsi="仿宋" w:eastAsia="仿宋" w:cs="仿宋"/>
          <w:w w:val="95"/>
          <w:sz w:val="24"/>
          <w:szCs w:val="24"/>
          <w:u w:val="single"/>
        </w:rPr>
        <w:tab/>
      </w:r>
      <w:r>
        <w:rPr>
          <w:rFonts w:hint="eastAsia" w:ascii="仿宋" w:hAnsi="仿宋" w:eastAsia="仿宋" w:cs="仿宋"/>
          <w:w w:val="95"/>
          <w:sz w:val="24"/>
          <w:szCs w:val="24"/>
        </w:rPr>
        <w:t>万元，属于</w:t>
      </w:r>
      <w:r>
        <w:rPr>
          <w:rFonts w:hint="eastAsia" w:ascii="仿宋" w:hAnsi="仿宋" w:eastAsia="仿宋" w:cs="仿宋"/>
          <w:w w:val="95"/>
          <w:sz w:val="24"/>
          <w:szCs w:val="24"/>
          <w:u w:val="single"/>
        </w:rPr>
        <w:t>（中型企业、小型企业、微型企业）</w:t>
      </w:r>
      <w:r>
        <w:rPr>
          <w:rFonts w:hint="eastAsia" w:ascii="仿宋" w:hAnsi="仿宋" w:eastAsia="仿宋" w:cs="仿宋"/>
          <w:w w:val="95"/>
          <w:sz w:val="24"/>
          <w:szCs w:val="24"/>
        </w:rPr>
        <w:t>；</w:t>
      </w:r>
    </w:p>
    <w:p>
      <w:pPr>
        <w:pStyle w:val="2"/>
        <w:kinsoku w:val="0"/>
        <w:overflowPunct w:val="0"/>
        <w:spacing w:before="34" w:line="360" w:lineRule="auto"/>
        <w:ind w:left="765" w:right="138" w:hanging="5"/>
        <w:rPr>
          <w:rFonts w:ascii="仿宋" w:hAnsi="仿宋" w:eastAsia="仿宋" w:cs="仿宋"/>
          <w:w w:val="99"/>
          <w:sz w:val="24"/>
          <w:szCs w:val="24"/>
        </w:rPr>
      </w:pPr>
      <w:r>
        <w:rPr>
          <w:rFonts w:hint="eastAsia" w:ascii="仿宋" w:hAnsi="仿宋" w:eastAsia="仿宋" w:cs="仿宋"/>
          <w:sz w:val="24"/>
          <w:szCs w:val="24"/>
        </w:rPr>
        <w:t>……</w:t>
      </w:r>
    </w:p>
    <w:p>
      <w:pPr>
        <w:pStyle w:val="2"/>
        <w:kinsoku w:val="0"/>
        <w:overflowPunct w:val="0"/>
        <w:spacing w:before="34" w:line="360" w:lineRule="auto"/>
        <w:ind w:firstLine="456" w:firstLineChars="200"/>
        <w:rPr>
          <w:rFonts w:ascii="仿宋" w:hAnsi="仿宋" w:eastAsia="仿宋" w:cs="仿宋"/>
          <w:w w:val="95"/>
          <w:sz w:val="24"/>
          <w:szCs w:val="24"/>
        </w:rPr>
      </w:pPr>
      <w:r>
        <w:rPr>
          <w:rFonts w:hint="eastAsia" w:ascii="仿宋" w:hAnsi="仿宋" w:eastAsia="仿宋" w:cs="仿宋"/>
          <w:w w:val="95"/>
          <w:sz w:val="24"/>
          <w:szCs w:val="24"/>
        </w:rPr>
        <w:t>以上企业，不属于大企业的分支机构，不存在控股股东为大企业的情形，也不存在与大企业的负责人为同一人的情形。</w:t>
      </w:r>
    </w:p>
    <w:p>
      <w:pPr>
        <w:pStyle w:val="2"/>
        <w:kinsoku w:val="0"/>
        <w:overflowPunct w:val="0"/>
        <w:spacing w:before="34" w:line="360" w:lineRule="auto"/>
        <w:ind w:firstLine="456" w:firstLineChars="200"/>
        <w:rPr>
          <w:rFonts w:ascii="仿宋" w:hAnsi="仿宋" w:eastAsia="仿宋" w:cs="仿宋"/>
          <w:w w:val="95"/>
          <w:sz w:val="24"/>
          <w:szCs w:val="24"/>
        </w:rPr>
      </w:pPr>
      <w:r>
        <w:rPr>
          <w:rFonts w:hint="eastAsia" w:ascii="仿宋" w:hAnsi="仿宋" w:eastAsia="仿宋" w:cs="仿宋"/>
          <w:w w:val="95"/>
          <w:sz w:val="24"/>
          <w:szCs w:val="24"/>
        </w:rPr>
        <w:t>本企业对上述声明内容的真实性负责。如有虚假，将依法承担相应责任。</w:t>
      </w:r>
    </w:p>
    <w:p>
      <w:pPr>
        <w:pStyle w:val="2"/>
        <w:kinsoku w:val="0"/>
        <w:overflowPunct w:val="0"/>
        <w:spacing w:before="56" w:line="360" w:lineRule="auto"/>
        <w:ind w:left="3960" w:right="1748"/>
        <w:rPr>
          <w:rFonts w:ascii="仿宋" w:hAnsi="仿宋" w:eastAsia="仿宋" w:cs="仿宋"/>
          <w:spacing w:val="-18"/>
          <w:sz w:val="24"/>
          <w:szCs w:val="24"/>
        </w:rPr>
      </w:pPr>
    </w:p>
    <w:p>
      <w:pPr>
        <w:spacing w:line="360" w:lineRule="auto"/>
        <w:ind w:firstLine="3024" w:firstLineChars="1200"/>
        <w:rPr>
          <w:rFonts w:ascii="仿宋" w:hAnsi="仿宋" w:eastAsia="仿宋" w:cs="仿宋"/>
          <w:spacing w:val="6"/>
          <w:sz w:val="24"/>
          <w:szCs w:val="24"/>
        </w:rPr>
      </w:pPr>
      <w:r>
        <w:rPr>
          <w:rFonts w:hint="eastAsia" w:ascii="仿宋" w:hAnsi="仿宋" w:eastAsia="仿宋" w:cs="仿宋"/>
          <w:spacing w:val="6"/>
          <w:sz w:val="24"/>
          <w:szCs w:val="24"/>
        </w:rPr>
        <w:t>企业名称（盖章）：</w:t>
      </w:r>
      <w:r>
        <w:rPr>
          <w:rFonts w:hint="eastAsia" w:ascii="仿宋" w:hAnsi="仿宋" w:eastAsia="仿宋" w:cs="仿宋"/>
          <w:sz w:val="24"/>
          <w:szCs w:val="24"/>
          <w:u w:val="single"/>
          <w:lang w:val="en-US" w:eastAsia="zh-CN"/>
        </w:rPr>
        <w:t xml:space="preserve">                    </w:t>
      </w:r>
    </w:p>
    <w:p>
      <w:pPr>
        <w:spacing w:line="360" w:lineRule="auto"/>
        <w:ind w:firstLine="3024" w:firstLineChars="1200"/>
        <w:rPr>
          <w:rFonts w:ascii="仿宋" w:hAnsi="仿宋" w:eastAsia="仿宋" w:cs="仿宋"/>
          <w:spacing w:val="6"/>
          <w:sz w:val="24"/>
          <w:szCs w:val="24"/>
          <w:u w:val="single"/>
        </w:rPr>
      </w:pPr>
      <w:r>
        <w:rPr>
          <w:rFonts w:hint="eastAsia" w:ascii="仿宋" w:hAnsi="仿宋" w:eastAsia="仿宋" w:cs="仿宋"/>
          <w:spacing w:val="6"/>
          <w:sz w:val="24"/>
          <w:szCs w:val="24"/>
        </w:rPr>
        <w:t>日    期：</w:t>
      </w:r>
      <w:r>
        <w:rPr>
          <w:rFonts w:hint="eastAsia" w:ascii="仿宋" w:hAnsi="仿宋" w:eastAsia="仿宋" w:cs="仿宋"/>
          <w:sz w:val="24"/>
          <w:szCs w:val="24"/>
          <w:u w:val="single"/>
          <w:lang w:val="en-US" w:eastAsia="zh-CN"/>
        </w:rPr>
        <w:t xml:space="preserve">                         </w:t>
      </w:r>
    </w:p>
    <w:p>
      <w:pPr>
        <w:spacing w:line="360" w:lineRule="auto"/>
        <w:rPr>
          <w:rFonts w:ascii="仿宋" w:hAnsi="仿宋" w:eastAsia="仿宋" w:cs="仿宋"/>
          <w:spacing w:val="6"/>
          <w:sz w:val="24"/>
          <w:szCs w:val="24"/>
        </w:rPr>
      </w:pP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1、从业人员、营业收入、资产总额填报上一年度数据，无上一年度数据的新成立企业可不填报。</w:t>
      </w:r>
    </w:p>
    <w:p>
      <w:pPr>
        <w:pageBreakBefore/>
        <w:spacing w:line="360" w:lineRule="auto"/>
        <w:ind w:firstLine="482" w:firstLineChars="200"/>
        <w:rPr>
          <w:rFonts w:ascii="仿宋" w:hAnsi="仿宋" w:eastAsia="仿宋" w:cs="仿宋"/>
          <w:b/>
          <w:spacing w:val="6"/>
          <w:sz w:val="24"/>
          <w:szCs w:val="24"/>
        </w:rPr>
      </w:pPr>
      <w:r>
        <w:rPr>
          <w:rFonts w:hint="eastAsia" w:ascii="仿宋" w:hAnsi="仿宋" w:eastAsia="仿宋" w:cs="仿宋"/>
          <w:b/>
          <w:sz w:val="24"/>
          <w:szCs w:val="24"/>
        </w:rPr>
        <w:t>附件2：</w:t>
      </w:r>
    </w:p>
    <w:p>
      <w:pPr>
        <w:spacing w:line="360" w:lineRule="auto"/>
        <w:jc w:val="center"/>
        <w:rPr>
          <w:rFonts w:ascii="仿宋" w:hAnsi="仿宋" w:eastAsia="仿宋" w:cs="仿宋"/>
          <w:b/>
          <w:spacing w:val="6"/>
          <w:sz w:val="24"/>
          <w:szCs w:val="24"/>
        </w:rPr>
      </w:pPr>
      <w:r>
        <w:rPr>
          <w:rFonts w:hint="eastAsia" w:ascii="仿宋" w:hAnsi="仿宋" w:eastAsia="仿宋" w:cs="仿宋"/>
          <w:b/>
          <w:spacing w:val="6"/>
          <w:sz w:val="24"/>
          <w:szCs w:val="24"/>
        </w:rPr>
        <w:t>残疾人福利性单位声明函</w:t>
      </w:r>
    </w:p>
    <w:p>
      <w:pPr>
        <w:spacing w:line="360" w:lineRule="auto"/>
        <w:ind w:firstLine="504" w:firstLineChars="200"/>
        <w:rPr>
          <w:rFonts w:ascii="仿宋" w:hAnsi="仿宋" w:eastAsia="仿宋" w:cs="仿宋"/>
          <w:spacing w:val="6"/>
          <w:sz w:val="24"/>
          <w:szCs w:val="24"/>
        </w:rPr>
      </w:pPr>
      <w:r>
        <w:rPr>
          <w:rFonts w:hint="eastAsia" w:ascii="仿宋" w:hAnsi="仿宋" w:eastAsia="仿宋" w:cs="仿宋"/>
          <w:spacing w:val="6"/>
          <w:sz w:val="24"/>
          <w:szCs w:val="24"/>
        </w:rPr>
        <w:t>本单位郑重声明，根据《财政部 民政部 中国残疾人联合会关于促进残疾人就业政府采购政策的通知》（财库</w:t>
      </w:r>
      <w:r>
        <w:rPr>
          <w:rFonts w:hint="eastAsia" w:ascii="仿宋" w:hAnsi="仿宋" w:eastAsia="仿宋" w:cs="仿宋"/>
          <w:sz w:val="24"/>
          <w:szCs w:val="24"/>
        </w:rPr>
        <w:t>〔2017〕 141</w:t>
      </w:r>
      <w:r>
        <w:rPr>
          <w:rFonts w:hint="eastAsia" w:ascii="仿宋" w:hAnsi="仿宋" w:eastAsia="仿宋" w:cs="仿宋"/>
          <w:spacing w:val="6"/>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仿宋" w:hAnsi="仿宋" w:eastAsia="仿宋" w:cs="仿宋"/>
          <w:spacing w:val="6"/>
          <w:sz w:val="24"/>
          <w:szCs w:val="24"/>
        </w:rPr>
      </w:pPr>
      <w:r>
        <w:rPr>
          <w:rFonts w:hint="eastAsia" w:ascii="仿宋" w:hAnsi="仿宋" w:eastAsia="仿宋" w:cs="仿宋"/>
          <w:spacing w:val="6"/>
          <w:sz w:val="24"/>
          <w:szCs w:val="24"/>
        </w:rPr>
        <w:t>本单位对上述声明的真实性负责。如有虚假，将依法承担相应责任。</w:t>
      </w:r>
    </w:p>
    <w:p>
      <w:pPr>
        <w:spacing w:line="360" w:lineRule="auto"/>
        <w:ind w:firstLine="504" w:firstLineChars="200"/>
        <w:rPr>
          <w:rFonts w:ascii="仿宋" w:hAnsi="仿宋" w:eastAsia="仿宋" w:cs="仿宋"/>
          <w:spacing w:val="6"/>
          <w:sz w:val="24"/>
          <w:szCs w:val="24"/>
        </w:rPr>
      </w:pPr>
    </w:p>
    <w:p>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供应商（公章）：</w:t>
      </w:r>
      <w:r>
        <w:rPr>
          <w:rFonts w:hint="eastAsia" w:ascii="仿宋" w:hAnsi="仿宋" w:eastAsia="仿宋" w:cs="仿宋"/>
          <w:sz w:val="24"/>
          <w:szCs w:val="24"/>
          <w:u w:val="single"/>
          <w:lang w:val="en-US" w:eastAsia="zh-CN"/>
        </w:rPr>
        <w:t xml:space="preserve">                    </w:t>
      </w:r>
    </w:p>
    <w:p>
      <w:pPr>
        <w:spacing w:line="360" w:lineRule="auto"/>
        <w:ind w:firstLine="3360" w:firstLineChars="1400"/>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lang w:val="en-US" w:eastAsia="zh-CN"/>
        </w:rPr>
        <w:t xml:space="preserve">          </w:t>
      </w:r>
    </w:p>
    <w:p>
      <w:pPr>
        <w:autoSpaceDE w:val="0"/>
        <w:autoSpaceDN w:val="0"/>
        <w:adjustRightInd w:val="0"/>
        <w:snapToGrid w:val="0"/>
        <w:spacing w:line="360" w:lineRule="auto"/>
        <w:ind w:firstLine="3360" w:firstLineChars="1400"/>
        <w:rPr>
          <w:rFonts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lang w:val="en-US" w:eastAsia="zh-CN"/>
        </w:rPr>
        <w:t xml:space="preserve">                         </w:t>
      </w:r>
    </w:p>
    <w:p>
      <w:pPr>
        <w:adjustRightInd w:val="0"/>
        <w:snapToGrid w:val="0"/>
        <w:spacing w:line="360" w:lineRule="auto"/>
        <w:rPr>
          <w:rFonts w:ascii="仿宋" w:hAnsi="仿宋" w:eastAsia="仿宋" w:cs="仿宋"/>
          <w:sz w:val="24"/>
          <w:szCs w:val="24"/>
        </w:rPr>
      </w:pPr>
    </w:p>
    <w:p>
      <w:pPr>
        <w:autoSpaceDE w:val="0"/>
        <w:autoSpaceDN w:val="0"/>
        <w:adjustRightInd w:val="0"/>
        <w:snapToGrid w:val="0"/>
        <w:spacing w:line="360" w:lineRule="auto"/>
        <w:rPr>
          <w:rFonts w:ascii="仿宋" w:hAnsi="仿宋" w:eastAsia="仿宋" w:cs="仿宋"/>
          <w:bCs/>
          <w:sz w:val="24"/>
          <w:szCs w:val="24"/>
        </w:rPr>
      </w:pPr>
      <w:r>
        <w:rPr>
          <w:rFonts w:hint="eastAsia" w:ascii="仿宋" w:hAnsi="仿宋" w:eastAsia="仿宋" w:cs="仿宋"/>
          <w:sz w:val="24"/>
          <w:szCs w:val="24"/>
        </w:rPr>
        <w:t>说明：</w:t>
      </w:r>
      <w:r>
        <w:rPr>
          <w:rFonts w:hint="eastAsia" w:ascii="仿宋" w:hAnsi="仿宋" w:eastAsia="仿宋" w:cs="仿宋"/>
          <w:bCs/>
          <w:sz w:val="24"/>
          <w:szCs w:val="24"/>
        </w:rPr>
        <w:t>未按上述要求提供、</w:t>
      </w:r>
      <w:r>
        <w:rPr>
          <w:rFonts w:hint="eastAsia" w:ascii="仿宋" w:hAnsi="仿宋" w:eastAsia="仿宋" w:cs="仿宋"/>
          <w:sz w:val="24"/>
          <w:szCs w:val="24"/>
        </w:rPr>
        <w:t>填写</w:t>
      </w:r>
      <w:r>
        <w:rPr>
          <w:rFonts w:hint="eastAsia" w:ascii="仿宋" w:hAnsi="仿宋" w:eastAsia="仿宋" w:cs="仿宋"/>
          <w:bCs/>
          <w:sz w:val="24"/>
          <w:szCs w:val="24"/>
        </w:rPr>
        <w:t>的，评审时不予以考虑。</w:t>
      </w:r>
    </w:p>
    <w:p>
      <w:pPr>
        <w:pageBreakBefore/>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附件3：</w:t>
      </w:r>
    </w:p>
    <w:p>
      <w:pPr>
        <w:spacing w:line="360" w:lineRule="auto"/>
        <w:ind w:firstLine="506" w:firstLineChars="200"/>
        <w:jc w:val="center"/>
        <w:rPr>
          <w:rFonts w:ascii="仿宋" w:hAnsi="仿宋" w:eastAsia="仿宋" w:cs="仿宋"/>
          <w:b/>
          <w:bCs/>
          <w:spacing w:val="6"/>
          <w:sz w:val="24"/>
          <w:szCs w:val="24"/>
        </w:rPr>
      </w:pPr>
      <w:r>
        <w:rPr>
          <w:rFonts w:hint="eastAsia" w:ascii="仿宋" w:hAnsi="仿宋" w:eastAsia="仿宋" w:cs="仿宋"/>
          <w:b/>
          <w:bCs/>
          <w:spacing w:val="6"/>
          <w:sz w:val="24"/>
          <w:szCs w:val="24"/>
        </w:rPr>
        <w:t>监狱企业证明函</w:t>
      </w:r>
    </w:p>
    <w:p>
      <w:pPr>
        <w:spacing w:line="360" w:lineRule="auto"/>
        <w:ind w:firstLine="504" w:firstLineChars="200"/>
        <w:rPr>
          <w:rFonts w:ascii="仿宋" w:hAnsi="仿宋" w:eastAsia="仿宋" w:cs="仿宋"/>
          <w:spacing w:val="6"/>
          <w:sz w:val="24"/>
          <w:szCs w:val="24"/>
        </w:rPr>
      </w:pPr>
      <w:r>
        <w:rPr>
          <w:rFonts w:hint="eastAsia" w:ascii="仿宋" w:hAnsi="仿宋" w:eastAsia="仿宋" w:cs="仿宋"/>
          <w:spacing w:val="6"/>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504" w:firstLineChars="200"/>
        <w:rPr>
          <w:rFonts w:ascii="仿宋" w:hAnsi="仿宋" w:eastAsia="仿宋" w:cs="仿宋"/>
          <w:spacing w:val="6"/>
          <w:sz w:val="24"/>
          <w:szCs w:val="24"/>
        </w:rPr>
      </w:pPr>
      <w:r>
        <w:rPr>
          <w:rFonts w:hint="eastAsia" w:ascii="仿宋" w:hAnsi="仿宋" w:eastAsia="仿宋" w:cs="仿宋"/>
          <w:spacing w:val="6"/>
          <w:sz w:val="24"/>
          <w:szCs w:val="24"/>
        </w:rPr>
        <w:t>监狱企业参加政府采购活动时，应当提供由省级以上监狱管理局、戒毒管理局（含新疆生产建设兵团）出具的属于监狱企业的证明文件。</w:t>
      </w:r>
    </w:p>
    <w:p>
      <w:pPr>
        <w:spacing w:line="588" w:lineRule="exact"/>
        <w:ind w:firstLine="436" w:firstLineChars="200"/>
        <w:rPr>
          <w:rFonts w:ascii="仿宋" w:hAnsi="仿宋" w:eastAsia="仿宋" w:cs="仿宋"/>
          <w:spacing w:val="4"/>
          <w:szCs w:val="21"/>
        </w:rPr>
      </w:pPr>
    </w:p>
    <w:p>
      <w:pPr>
        <w:spacing w:beforeLines="50" w:afterLines="50" w:line="480" w:lineRule="auto"/>
        <w:jc w:val="right"/>
        <w:rPr>
          <w:rFonts w:ascii="仿宋" w:hAnsi="仿宋" w:eastAsia="仿宋" w:cs="仿宋"/>
          <w:spacing w:val="4"/>
          <w:szCs w:val="21"/>
        </w:rPr>
      </w:pPr>
    </w:p>
    <w:p>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供应商（公章）：</w:t>
      </w:r>
      <w:r>
        <w:rPr>
          <w:rFonts w:hint="eastAsia" w:ascii="仿宋" w:hAnsi="仿宋" w:eastAsia="仿宋" w:cs="仿宋"/>
          <w:sz w:val="24"/>
          <w:szCs w:val="24"/>
          <w:u w:val="single"/>
          <w:lang w:val="en-US" w:eastAsia="zh-CN"/>
        </w:rPr>
        <w:t xml:space="preserve">                         </w:t>
      </w:r>
    </w:p>
    <w:p>
      <w:pPr>
        <w:spacing w:line="360" w:lineRule="auto"/>
        <w:ind w:firstLine="3360" w:firstLineChars="1400"/>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lang w:val="en-US" w:eastAsia="zh-CN"/>
        </w:rPr>
        <w:t xml:space="preserve">     </w:t>
      </w:r>
    </w:p>
    <w:p>
      <w:pPr>
        <w:autoSpaceDE w:val="0"/>
        <w:autoSpaceDN w:val="0"/>
        <w:adjustRightInd w:val="0"/>
        <w:snapToGrid w:val="0"/>
        <w:spacing w:line="360" w:lineRule="auto"/>
        <w:ind w:firstLine="3360" w:firstLineChars="1400"/>
        <w:rPr>
          <w:rFonts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lang w:val="en-US" w:eastAsia="zh-CN"/>
        </w:rPr>
        <w:t xml:space="preserve">                              </w:t>
      </w:r>
    </w:p>
    <w:p>
      <w:pPr>
        <w:adjustRightInd w:val="0"/>
        <w:snapToGrid w:val="0"/>
        <w:spacing w:line="360" w:lineRule="auto"/>
        <w:ind w:firstLine="240" w:firstLineChars="100"/>
        <w:rPr>
          <w:rFonts w:ascii="仿宋" w:hAnsi="仿宋" w:eastAsia="仿宋" w:cs="仿宋"/>
          <w:sz w:val="24"/>
          <w:szCs w:val="24"/>
        </w:rPr>
      </w:pPr>
    </w:p>
    <w:p>
      <w:pPr>
        <w:adjustRightInd w:val="0"/>
        <w:snapToGrid w:val="0"/>
        <w:spacing w:line="360" w:lineRule="auto"/>
        <w:ind w:firstLine="240" w:firstLineChars="100"/>
        <w:rPr>
          <w:rFonts w:ascii="仿宋" w:hAnsi="仿宋" w:eastAsia="仿宋" w:cs="仿宋"/>
          <w:bCs/>
          <w:sz w:val="24"/>
          <w:szCs w:val="24"/>
        </w:rPr>
        <w:sectPr>
          <w:footerReference r:id="rId9" w:type="default"/>
          <w:pgSz w:w="11906" w:h="16838"/>
          <w:pgMar w:top="1440" w:right="1803" w:bottom="1440" w:left="1803" w:header="851" w:footer="992" w:gutter="0"/>
          <w:cols w:space="0" w:num="1"/>
          <w:rtlGutter w:val="0"/>
          <w:docGrid w:type="lines" w:linePitch="312" w:charSpace="0"/>
        </w:sectPr>
      </w:pPr>
      <w:r>
        <w:rPr>
          <w:rFonts w:hint="eastAsia" w:ascii="仿宋" w:hAnsi="仿宋" w:eastAsia="仿宋" w:cs="仿宋"/>
          <w:sz w:val="24"/>
          <w:szCs w:val="24"/>
        </w:rPr>
        <w:t>说明：</w:t>
      </w:r>
      <w:r>
        <w:rPr>
          <w:rFonts w:hint="eastAsia" w:ascii="仿宋" w:hAnsi="仿宋" w:eastAsia="仿宋" w:cs="仿宋"/>
          <w:bCs/>
          <w:sz w:val="24"/>
          <w:szCs w:val="24"/>
        </w:rPr>
        <w:t>未按上述要求提供、</w:t>
      </w:r>
      <w:r>
        <w:rPr>
          <w:rFonts w:hint="eastAsia" w:ascii="仿宋" w:hAnsi="仿宋" w:eastAsia="仿宋" w:cs="仿宋"/>
          <w:sz w:val="24"/>
          <w:szCs w:val="24"/>
        </w:rPr>
        <w:t>填写</w:t>
      </w:r>
      <w:r>
        <w:rPr>
          <w:rFonts w:hint="eastAsia" w:ascii="仿宋" w:hAnsi="仿宋" w:eastAsia="仿宋" w:cs="仿宋"/>
          <w:bCs/>
          <w:sz w:val="24"/>
          <w:szCs w:val="24"/>
        </w:rPr>
        <w:t>的，评审时不予以考虑。</w:t>
      </w:r>
    </w:p>
    <w:p>
      <w:pPr>
        <w:pageBreakBefore/>
        <w:spacing w:line="360" w:lineRule="auto"/>
        <w:jc w:val="center"/>
        <w:outlineLvl w:val="1"/>
        <w:rPr>
          <w:rFonts w:ascii="仿宋" w:hAnsi="仿宋" w:eastAsia="仿宋" w:cs="仿宋"/>
          <w:b/>
          <w:bCs/>
          <w:sz w:val="32"/>
          <w:szCs w:val="15"/>
          <w:lang w:val="zh-CN"/>
        </w:rPr>
      </w:pPr>
      <w:bookmarkStart w:id="534" w:name="_Toc29723"/>
      <w:r>
        <w:rPr>
          <w:rFonts w:hint="eastAsia" w:ascii="仿宋" w:hAnsi="仿宋" w:eastAsia="仿宋" w:cs="仿宋"/>
          <w:b/>
          <w:bCs/>
          <w:sz w:val="32"/>
          <w:szCs w:val="15"/>
          <w:lang w:val="zh-CN"/>
        </w:rPr>
        <w:t>五、（</w:t>
      </w:r>
      <w:r>
        <w:rPr>
          <w:rFonts w:hint="eastAsia" w:ascii="仿宋" w:hAnsi="仿宋" w:eastAsia="仿宋" w:cs="仿宋"/>
          <w:b/>
          <w:bCs/>
          <w:sz w:val="32"/>
          <w:szCs w:val="15"/>
        </w:rPr>
        <w:t>商务）</w:t>
      </w:r>
      <w:r>
        <w:rPr>
          <w:rFonts w:hint="eastAsia" w:ascii="仿宋" w:hAnsi="仿宋" w:eastAsia="仿宋" w:cs="仿宋"/>
          <w:b/>
          <w:bCs/>
          <w:sz w:val="32"/>
          <w:szCs w:val="15"/>
          <w:lang w:val="zh-CN"/>
        </w:rPr>
        <w:t>合同主要条款偏离表</w:t>
      </w:r>
      <w:bookmarkEnd w:id="467"/>
      <w:bookmarkEnd w:id="468"/>
      <w:bookmarkEnd w:id="469"/>
      <w:bookmarkEnd w:id="470"/>
      <w:bookmarkEnd w:id="471"/>
      <w:bookmarkEnd w:id="472"/>
      <w:bookmarkEnd w:id="473"/>
      <w:bookmarkEnd w:id="474"/>
      <w:bookmarkEnd w:id="475"/>
      <w:bookmarkEnd w:id="476"/>
      <w:bookmarkEnd w:id="477"/>
      <w:bookmarkEnd w:id="478"/>
      <w:bookmarkEnd w:id="534"/>
    </w:p>
    <w:p>
      <w:pPr>
        <w:spacing w:line="360" w:lineRule="auto"/>
        <w:jc w:val="left"/>
        <w:rPr>
          <w:rFonts w:ascii="仿宋" w:hAnsi="仿宋" w:eastAsia="仿宋" w:cs="仿宋"/>
          <w:bCs/>
          <w:kern w:val="0"/>
          <w:sz w:val="24"/>
          <w:szCs w:val="24"/>
        </w:rPr>
      </w:pPr>
      <w:r>
        <w:rPr>
          <w:rFonts w:hint="eastAsia" w:ascii="仿宋" w:hAnsi="仿宋" w:eastAsia="仿宋" w:cs="仿宋"/>
          <w:bCs/>
          <w:kern w:val="0"/>
          <w:sz w:val="24"/>
          <w:szCs w:val="24"/>
        </w:rPr>
        <w:t xml:space="preserve">项目编号：                                      </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80"/>
        <w:gridCol w:w="2341"/>
        <w:gridCol w:w="2678"/>
        <w:gridCol w:w="840"/>
        <w:gridCol w:w="17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2" w:type="dxa"/>
            <w:noWrap/>
            <w:vAlign w:val="center"/>
          </w:tcPr>
          <w:p>
            <w:pPr>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1380" w:type="dxa"/>
            <w:noWrap/>
            <w:vAlign w:val="center"/>
          </w:tcPr>
          <w:p>
            <w:pPr>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文件</w:t>
            </w:r>
          </w:p>
          <w:p>
            <w:pPr>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条目号</w:t>
            </w:r>
          </w:p>
        </w:tc>
        <w:tc>
          <w:tcPr>
            <w:tcW w:w="2341" w:type="dxa"/>
            <w:noWrap/>
            <w:vAlign w:val="center"/>
          </w:tcPr>
          <w:p>
            <w:pPr>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招标文件</w:t>
            </w:r>
          </w:p>
          <w:p>
            <w:pPr>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合同主要条款</w:t>
            </w:r>
          </w:p>
          <w:p>
            <w:pPr>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要求</w:t>
            </w:r>
          </w:p>
        </w:tc>
        <w:tc>
          <w:tcPr>
            <w:tcW w:w="2678" w:type="dxa"/>
            <w:noWrap/>
            <w:vAlign w:val="center"/>
          </w:tcPr>
          <w:p>
            <w:pPr>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投标文件</w:t>
            </w:r>
          </w:p>
          <w:p>
            <w:pPr>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合同主要条款</w:t>
            </w:r>
          </w:p>
          <w:p>
            <w:pPr>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响应</w:t>
            </w:r>
          </w:p>
        </w:tc>
        <w:tc>
          <w:tcPr>
            <w:tcW w:w="840" w:type="dxa"/>
            <w:noWrap/>
            <w:vAlign w:val="center"/>
          </w:tcPr>
          <w:p>
            <w:pPr>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偏离</w:t>
            </w:r>
          </w:p>
        </w:tc>
        <w:tc>
          <w:tcPr>
            <w:tcW w:w="1731" w:type="dxa"/>
            <w:noWrap/>
            <w:vAlign w:val="center"/>
          </w:tcPr>
          <w:p>
            <w:pPr>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偏离</w:t>
            </w:r>
          </w:p>
          <w:p>
            <w:pPr>
              <w:adjustRightInd w:val="0"/>
              <w:snapToGrid w:val="0"/>
              <w:spacing w:line="360" w:lineRule="auto"/>
              <w:ind w:right="23"/>
              <w:jc w:val="center"/>
              <w:rPr>
                <w:rFonts w:ascii="仿宋" w:hAnsi="仿宋" w:eastAsia="仿宋" w:cs="仿宋"/>
                <w:b/>
                <w:bCs/>
                <w:sz w:val="24"/>
                <w:szCs w:val="24"/>
              </w:rPr>
            </w:pPr>
            <w:r>
              <w:rPr>
                <w:rFonts w:hint="eastAsia" w:ascii="仿宋" w:hAnsi="仿宋" w:eastAsia="仿宋" w:cs="仿宋"/>
                <w:b/>
                <w:bCs/>
                <w:sz w:val="24"/>
                <w:szCs w:val="24"/>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tcPr>
          <w:p>
            <w:pPr>
              <w:adjustRightInd w:val="0"/>
              <w:snapToGrid w:val="0"/>
              <w:spacing w:line="360" w:lineRule="auto"/>
              <w:ind w:right="24"/>
              <w:rPr>
                <w:rFonts w:ascii="仿宋" w:hAnsi="仿宋" w:eastAsia="仿宋" w:cs="仿宋"/>
                <w:bCs/>
                <w:sz w:val="24"/>
                <w:szCs w:val="24"/>
              </w:rPr>
            </w:pPr>
          </w:p>
        </w:tc>
        <w:tc>
          <w:tcPr>
            <w:tcW w:w="1380" w:type="dxa"/>
            <w:noWrap/>
          </w:tcPr>
          <w:p>
            <w:pPr>
              <w:adjustRightInd w:val="0"/>
              <w:snapToGrid w:val="0"/>
              <w:spacing w:line="360" w:lineRule="auto"/>
              <w:ind w:right="24"/>
              <w:rPr>
                <w:rFonts w:ascii="仿宋" w:hAnsi="仿宋" w:eastAsia="仿宋" w:cs="仿宋"/>
                <w:bCs/>
                <w:sz w:val="24"/>
                <w:szCs w:val="24"/>
              </w:rPr>
            </w:pPr>
          </w:p>
        </w:tc>
        <w:tc>
          <w:tcPr>
            <w:tcW w:w="2341" w:type="dxa"/>
            <w:noWrap/>
          </w:tcPr>
          <w:p>
            <w:pPr>
              <w:adjustRightInd w:val="0"/>
              <w:snapToGrid w:val="0"/>
              <w:spacing w:line="360" w:lineRule="auto"/>
              <w:ind w:right="24"/>
              <w:rPr>
                <w:rFonts w:ascii="仿宋" w:hAnsi="仿宋" w:eastAsia="仿宋" w:cs="仿宋"/>
                <w:bCs/>
                <w:sz w:val="24"/>
                <w:szCs w:val="24"/>
              </w:rPr>
            </w:pPr>
          </w:p>
        </w:tc>
        <w:tc>
          <w:tcPr>
            <w:tcW w:w="2678" w:type="dxa"/>
            <w:noWrap/>
          </w:tcPr>
          <w:p>
            <w:pPr>
              <w:adjustRightInd w:val="0"/>
              <w:snapToGrid w:val="0"/>
              <w:spacing w:line="360" w:lineRule="auto"/>
              <w:ind w:right="24"/>
              <w:rPr>
                <w:rFonts w:ascii="仿宋" w:hAnsi="仿宋" w:eastAsia="仿宋" w:cs="仿宋"/>
                <w:bCs/>
                <w:sz w:val="24"/>
                <w:szCs w:val="24"/>
              </w:rPr>
            </w:pPr>
          </w:p>
        </w:tc>
        <w:tc>
          <w:tcPr>
            <w:tcW w:w="840" w:type="dxa"/>
            <w:noWrap/>
          </w:tcPr>
          <w:p>
            <w:pPr>
              <w:adjustRightInd w:val="0"/>
              <w:snapToGrid w:val="0"/>
              <w:spacing w:line="360" w:lineRule="auto"/>
              <w:ind w:right="24"/>
              <w:rPr>
                <w:rFonts w:ascii="仿宋" w:hAnsi="仿宋" w:eastAsia="仿宋" w:cs="仿宋"/>
                <w:bCs/>
                <w:sz w:val="24"/>
                <w:szCs w:val="24"/>
              </w:rPr>
            </w:pPr>
          </w:p>
        </w:tc>
        <w:tc>
          <w:tcPr>
            <w:tcW w:w="1731" w:type="dxa"/>
            <w:noWrap/>
          </w:tcPr>
          <w:p>
            <w:pPr>
              <w:adjustRightInd w:val="0"/>
              <w:snapToGrid w:val="0"/>
              <w:spacing w:line="360" w:lineRule="auto"/>
              <w:ind w:right="24"/>
              <w:rPr>
                <w:rFonts w:ascii="仿宋" w:hAnsi="仿宋" w:eastAsia="仿宋" w:cs="仿宋"/>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tcPr>
          <w:p>
            <w:pPr>
              <w:adjustRightInd w:val="0"/>
              <w:snapToGrid w:val="0"/>
              <w:spacing w:line="360" w:lineRule="auto"/>
              <w:ind w:right="24"/>
              <w:rPr>
                <w:rFonts w:ascii="仿宋" w:hAnsi="仿宋" w:eastAsia="仿宋" w:cs="仿宋"/>
                <w:bCs/>
                <w:sz w:val="24"/>
                <w:szCs w:val="24"/>
              </w:rPr>
            </w:pPr>
          </w:p>
        </w:tc>
        <w:tc>
          <w:tcPr>
            <w:tcW w:w="1380" w:type="dxa"/>
            <w:noWrap/>
          </w:tcPr>
          <w:p>
            <w:pPr>
              <w:adjustRightInd w:val="0"/>
              <w:snapToGrid w:val="0"/>
              <w:spacing w:line="360" w:lineRule="auto"/>
              <w:ind w:right="24"/>
              <w:rPr>
                <w:rFonts w:ascii="仿宋" w:hAnsi="仿宋" w:eastAsia="仿宋" w:cs="仿宋"/>
                <w:bCs/>
                <w:sz w:val="24"/>
                <w:szCs w:val="24"/>
              </w:rPr>
            </w:pPr>
          </w:p>
        </w:tc>
        <w:tc>
          <w:tcPr>
            <w:tcW w:w="2341" w:type="dxa"/>
            <w:noWrap/>
          </w:tcPr>
          <w:p>
            <w:pPr>
              <w:adjustRightInd w:val="0"/>
              <w:snapToGrid w:val="0"/>
              <w:spacing w:line="360" w:lineRule="auto"/>
              <w:ind w:right="24"/>
              <w:rPr>
                <w:rFonts w:ascii="仿宋" w:hAnsi="仿宋" w:eastAsia="仿宋" w:cs="仿宋"/>
                <w:bCs/>
                <w:sz w:val="24"/>
                <w:szCs w:val="24"/>
              </w:rPr>
            </w:pPr>
          </w:p>
        </w:tc>
        <w:tc>
          <w:tcPr>
            <w:tcW w:w="2678" w:type="dxa"/>
            <w:noWrap/>
          </w:tcPr>
          <w:p>
            <w:pPr>
              <w:adjustRightInd w:val="0"/>
              <w:snapToGrid w:val="0"/>
              <w:spacing w:line="360" w:lineRule="auto"/>
              <w:ind w:right="24"/>
              <w:rPr>
                <w:rFonts w:ascii="仿宋" w:hAnsi="仿宋" w:eastAsia="仿宋" w:cs="仿宋"/>
                <w:bCs/>
                <w:sz w:val="24"/>
                <w:szCs w:val="24"/>
              </w:rPr>
            </w:pPr>
          </w:p>
        </w:tc>
        <w:tc>
          <w:tcPr>
            <w:tcW w:w="840" w:type="dxa"/>
            <w:noWrap/>
          </w:tcPr>
          <w:p>
            <w:pPr>
              <w:adjustRightInd w:val="0"/>
              <w:snapToGrid w:val="0"/>
              <w:spacing w:line="360" w:lineRule="auto"/>
              <w:ind w:right="24"/>
              <w:rPr>
                <w:rFonts w:ascii="仿宋" w:hAnsi="仿宋" w:eastAsia="仿宋" w:cs="仿宋"/>
                <w:bCs/>
                <w:sz w:val="24"/>
                <w:szCs w:val="24"/>
              </w:rPr>
            </w:pPr>
          </w:p>
        </w:tc>
        <w:tc>
          <w:tcPr>
            <w:tcW w:w="1731" w:type="dxa"/>
            <w:noWrap/>
          </w:tcPr>
          <w:p>
            <w:pPr>
              <w:adjustRightInd w:val="0"/>
              <w:snapToGrid w:val="0"/>
              <w:spacing w:line="360" w:lineRule="auto"/>
              <w:ind w:right="24"/>
              <w:rPr>
                <w:rFonts w:ascii="仿宋" w:hAnsi="仿宋" w:eastAsia="仿宋" w:cs="仿宋"/>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tcPr>
          <w:p>
            <w:pPr>
              <w:adjustRightInd w:val="0"/>
              <w:snapToGrid w:val="0"/>
              <w:spacing w:line="360" w:lineRule="auto"/>
              <w:ind w:right="24"/>
              <w:rPr>
                <w:rFonts w:ascii="仿宋" w:hAnsi="仿宋" w:eastAsia="仿宋" w:cs="仿宋"/>
                <w:bCs/>
                <w:sz w:val="24"/>
                <w:szCs w:val="24"/>
              </w:rPr>
            </w:pPr>
          </w:p>
        </w:tc>
        <w:tc>
          <w:tcPr>
            <w:tcW w:w="1380" w:type="dxa"/>
            <w:noWrap/>
          </w:tcPr>
          <w:p>
            <w:pPr>
              <w:adjustRightInd w:val="0"/>
              <w:snapToGrid w:val="0"/>
              <w:spacing w:line="360" w:lineRule="auto"/>
              <w:ind w:right="24"/>
              <w:rPr>
                <w:rFonts w:ascii="仿宋" w:hAnsi="仿宋" w:eastAsia="仿宋" w:cs="仿宋"/>
                <w:bCs/>
                <w:sz w:val="24"/>
                <w:szCs w:val="24"/>
              </w:rPr>
            </w:pPr>
          </w:p>
        </w:tc>
        <w:tc>
          <w:tcPr>
            <w:tcW w:w="2341" w:type="dxa"/>
            <w:noWrap/>
          </w:tcPr>
          <w:p>
            <w:pPr>
              <w:adjustRightInd w:val="0"/>
              <w:snapToGrid w:val="0"/>
              <w:spacing w:line="360" w:lineRule="auto"/>
              <w:ind w:right="24"/>
              <w:rPr>
                <w:rFonts w:ascii="仿宋" w:hAnsi="仿宋" w:eastAsia="仿宋" w:cs="仿宋"/>
                <w:bCs/>
                <w:sz w:val="24"/>
                <w:szCs w:val="24"/>
              </w:rPr>
            </w:pPr>
          </w:p>
        </w:tc>
        <w:tc>
          <w:tcPr>
            <w:tcW w:w="2678" w:type="dxa"/>
            <w:noWrap/>
          </w:tcPr>
          <w:p>
            <w:pPr>
              <w:adjustRightInd w:val="0"/>
              <w:snapToGrid w:val="0"/>
              <w:spacing w:line="360" w:lineRule="auto"/>
              <w:ind w:right="24"/>
              <w:rPr>
                <w:rFonts w:ascii="仿宋" w:hAnsi="仿宋" w:eastAsia="仿宋" w:cs="仿宋"/>
                <w:bCs/>
                <w:sz w:val="24"/>
                <w:szCs w:val="24"/>
              </w:rPr>
            </w:pPr>
          </w:p>
        </w:tc>
        <w:tc>
          <w:tcPr>
            <w:tcW w:w="840" w:type="dxa"/>
            <w:noWrap/>
          </w:tcPr>
          <w:p>
            <w:pPr>
              <w:adjustRightInd w:val="0"/>
              <w:snapToGrid w:val="0"/>
              <w:spacing w:line="360" w:lineRule="auto"/>
              <w:ind w:right="24"/>
              <w:rPr>
                <w:rFonts w:ascii="仿宋" w:hAnsi="仿宋" w:eastAsia="仿宋" w:cs="仿宋"/>
                <w:bCs/>
                <w:sz w:val="24"/>
                <w:szCs w:val="24"/>
              </w:rPr>
            </w:pPr>
          </w:p>
        </w:tc>
        <w:tc>
          <w:tcPr>
            <w:tcW w:w="1731" w:type="dxa"/>
            <w:noWrap/>
          </w:tcPr>
          <w:p>
            <w:pPr>
              <w:adjustRightInd w:val="0"/>
              <w:snapToGrid w:val="0"/>
              <w:spacing w:line="360" w:lineRule="auto"/>
              <w:ind w:right="24"/>
              <w:rPr>
                <w:rFonts w:ascii="仿宋" w:hAnsi="仿宋" w:eastAsia="仿宋" w:cs="仿宋"/>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tcPr>
          <w:p>
            <w:pPr>
              <w:adjustRightInd w:val="0"/>
              <w:snapToGrid w:val="0"/>
              <w:spacing w:line="360" w:lineRule="auto"/>
              <w:ind w:right="24"/>
              <w:rPr>
                <w:rFonts w:ascii="仿宋" w:hAnsi="仿宋" w:eastAsia="仿宋" w:cs="仿宋"/>
                <w:bCs/>
                <w:sz w:val="24"/>
                <w:szCs w:val="24"/>
              </w:rPr>
            </w:pPr>
          </w:p>
        </w:tc>
        <w:tc>
          <w:tcPr>
            <w:tcW w:w="1380" w:type="dxa"/>
            <w:noWrap/>
          </w:tcPr>
          <w:p>
            <w:pPr>
              <w:adjustRightInd w:val="0"/>
              <w:snapToGrid w:val="0"/>
              <w:spacing w:line="360" w:lineRule="auto"/>
              <w:ind w:right="24"/>
              <w:rPr>
                <w:rFonts w:ascii="仿宋" w:hAnsi="仿宋" w:eastAsia="仿宋" w:cs="仿宋"/>
                <w:bCs/>
                <w:sz w:val="24"/>
                <w:szCs w:val="24"/>
              </w:rPr>
            </w:pPr>
          </w:p>
        </w:tc>
        <w:tc>
          <w:tcPr>
            <w:tcW w:w="2341" w:type="dxa"/>
            <w:noWrap/>
          </w:tcPr>
          <w:p>
            <w:pPr>
              <w:adjustRightInd w:val="0"/>
              <w:snapToGrid w:val="0"/>
              <w:spacing w:line="360" w:lineRule="auto"/>
              <w:ind w:right="24"/>
              <w:rPr>
                <w:rFonts w:ascii="仿宋" w:hAnsi="仿宋" w:eastAsia="仿宋" w:cs="仿宋"/>
                <w:bCs/>
                <w:sz w:val="24"/>
                <w:szCs w:val="24"/>
              </w:rPr>
            </w:pPr>
          </w:p>
        </w:tc>
        <w:tc>
          <w:tcPr>
            <w:tcW w:w="2678" w:type="dxa"/>
            <w:noWrap/>
          </w:tcPr>
          <w:p>
            <w:pPr>
              <w:adjustRightInd w:val="0"/>
              <w:snapToGrid w:val="0"/>
              <w:spacing w:line="360" w:lineRule="auto"/>
              <w:ind w:right="24"/>
              <w:rPr>
                <w:rFonts w:ascii="仿宋" w:hAnsi="仿宋" w:eastAsia="仿宋" w:cs="仿宋"/>
                <w:bCs/>
                <w:sz w:val="24"/>
                <w:szCs w:val="24"/>
              </w:rPr>
            </w:pPr>
          </w:p>
        </w:tc>
        <w:tc>
          <w:tcPr>
            <w:tcW w:w="840" w:type="dxa"/>
            <w:noWrap/>
          </w:tcPr>
          <w:p>
            <w:pPr>
              <w:adjustRightInd w:val="0"/>
              <w:snapToGrid w:val="0"/>
              <w:spacing w:line="360" w:lineRule="auto"/>
              <w:ind w:right="24"/>
              <w:rPr>
                <w:rFonts w:ascii="仿宋" w:hAnsi="仿宋" w:eastAsia="仿宋" w:cs="仿宋"/>
                <w:bCs/>
                <w:sz w:val="24"/>
                <w:szCs w:val="24"/>
              </w:rPr>
            </w:pPr>
          </w:p>
        </w:tc>
        <w:tc>
          <w:tcPr>
            <w:tcW w:w="1731" w:type="dxa"/>
            <w:noWrap/>
          </w:tcPr>
          <w:p>
            <w:pPr>
              <w:adjustRightInd w:val="0"/>
              <w:snapToGrid w:val="0"/>
              <w:spacing w:line="360" w:lineRule="auto"/>
              <w:ind w:right="24"/>
              <w:rPr>
                <w:rFonts w:ascii="仿宋" w:hAnsi="仿宋" w:eastAsia="仿宋" w:cs="仿宋"/>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tcPr>
          <w:p>
            <w:pPr>
              <w:adjustRightInd w:val="0"/>
              <w:snapToGrid w:val="0"/>
              <w:spacing w:line="360" w:lineRule="auto"/>
              <w:ind w:right="24"/>
              <w:rPr>
                <w:rFonts w:ascii="仿宋" w:hAnsi="仿宋" w:eastAsia="仿宋" w:cs="仿宋"/>
                <w:bCs/>
                <w:sz w:val="24"/>
                <w:szCs w:val="24"/>
              </w:rPr>
            </w:pPr>
          </w:p>
        </w:tc>
        <w:tc>
          <w:tcPr>
            <w:tcW w:w="1380" w:type="dxa"/>
            <w:noWrap/>
          </w:tcPr>
          <w:p>
            <w:pPr>
              <w:adjustRightInd w:val="0"/>
              <w:snapToGrid w:val="0"/>
              <w:spacing w:line="360" w:lineRule="auto"/>
              <w:ind w:right="24"/>
              <w:rPr>
                <w:rFonts w:ascii="仿宋" w:hAnsi="仿宋" w:eastAsia="仿宋" w:cs="仿宋"/>
                <w:bCs/>
                <w:sz w:val="24"/>
                <w:szCs w:val="24"/>
              </w:rPr>
            </w:pPr>
          </w:p>
        </w:tc>
        <w:tc>
          <w:tcPr>
            <w:tcW w:w="2341" w:type="dxa"/>
            <w:noWrap/>
          </w:tcPr>
          <w:p>
            <w:pPr>
              <w:adjustRightInd w:val="0"/>
              <w:snapToGrid w:val="0"/>
              <w:spacing w:line="360" w:lineRule="auto"/>
              <w:ind w:right="24"/>
              <w:rPr>
                <w:rFonts w:ascii="仿宋" w:hAnsi="仿宋" w:eastAsia="仿宋" w:cs="仿宋"/>
                <w:bCs/>
                <w:sz w:val="24"/>
                <w:szCs w:val="24"/>
              </w:rPr>
            </w:pPr>
          </w:p>
        </w:tc>
        <w:tc>
          <w:tcPr>
            <w:tcW w:w="2678" w:type="dxa"/>
            <w:noWrap/>
          </w:tcPr>
          <w:p>
            <w:pPr>
              <w:adjustRightInd w:val="0"/>
              <w:snapToGrid w:val="0"/>
              <w:spacing w:line="360" w:lineRule="auto"/>
              <w:ind w:right="24"/>
              <w:rPr>
                <w:rFonts w:ascii="仿宋" w:hAnsi="仿宋" w:eastAsia="仿宋" w:cs="仿宋"/>
                <w:bCs/>
                <w:sz w:val="24"/>
                <w:szCs w:val="24"/>
              </w:rPr>
            </w:pPr>
          </w:p>
        </w:tc>
        <w:tc>
          <w:tcPr>
            <w:tcW w:w="840" w:type="dxa"/>
            <w:noWrap/>
          </w:tcPr>
          <w:p>
            <w:pPr>
              <w:adjustRightInd w:val="0"/>
              <w:snapToGrid w:val="0"/>
              <w:spacing w:line="360" w:lineRule="auto"/>
              <w:ind w:right="24"/>
              <w:rPr>
                <w:rFonts w:ascii="仿宋" w:hAnsi="仿宋" w:eastAsia="仿宋" w:cs="仿宋"/>
                <w:bCs/>
                <w:sz w:val="24"/>
                <w:szCs w:val="24"/>
              </w:rPr>
            </w:pPr>
          </w:p>
        </w:tc>
        <w:tc>
          <w:tcPr>
            <w:tcW w:w="1731" w:type="dxa"/>
            <w:noWrap/>
          </w:tcPr>
          <w:p>
            <w:pPr>
              <w:adjustRightInd w:val="0"/>
              <w:snapToGrid w:val="0"/>
              <w:spacing w:line="360" w:lineRule="auto"/>
              <w:ind w:right="24"/>
              <w:rPr>
                <w:rFonts w:ascii="仿宋" w:hAnsi="仿宋" w:eastAsia="仿宋" w:cs="仿宋"/>
                <w:bCs/>
                <w:sz w:val="24"/>
                <w:szCs w:val="24"/>
              </w:rPr>
            </w:pPr>
          </w:p>
        </w:tc>
      </w:tr>
    </w:tbl>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说明：</w:t>
      </w:r>
    </w:p>
    <w:p>
      <w:pPr>
        <w:numPr>
          <w:ilvl w:val="0"/>
          <w:numId w:val="23"/>
        </w:num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本表只填写投标文件中与招标文件有偏离（包括负偏离和正偏离）的内容，在投标文件中须一一列出，无偏离时须提供空白表。</w:t>
      </w:r>
    </w:p>
    <w:p>
      <w:pPr>
        <w:numPr>
          <w:ilvl w:val="0"/>
          <w:numId w:val="23"/>
        </w:num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供应商必须据实填写，不得虚假响应，否则将取消其投标或中标资格，并按有关规定进处罚。</w:t>
      </w:r>
    </w:p>
    <w:p>
      <w:pPr>
        <w:spacing w:line="360" w:lineRule="auto"/>
        <w:ind w:firstLine="480" w:firstLineChars="200"/>
        <w:rPr>
          <w:rFonts w:ascii="仿宋" w:hAnsi="仿宋" w:eastAsia="仿宋" w:cs="仿宋"/>
          <w:sz w:val="24"/>
          <w:szCs w:val="24"/>
        </w:rPr>
      </w:pPr>
    </w:p>
    <w:p>
      <w:pPr>
        <w:spacing w:line="360" w:lineRule="auto"/>
        <w:ind w:firstLine="3360" w:firstLineChars="1400"/>
        <w:rPr>
          <w:rFonts w:ascii="仿宋" w:hAnsi="仿宋" w:eastAsia="仿宋" w:cs="仿宋"/>
          <w:sz w:val="24"/>
          <w:szCs w:val="24"/>
        </w:rPr>
      </w:pPr>
      <w:bookmarkStart w:id="535" w:name="_Toc475451803"/>
      <w:bookmarkStart w:id="536" w:name="_Toc473056006"/>
      <w:bookmarkStart w:id="537" w:name="_Toc475451556"/>
      <w:r>
        <w:rPr>
          <w:rFonts w:hint="eastAsia" w:ascii="仿宋" w:hAnsi="仿宋" w:eastAsia="仿宋" w:cs="仿宋"/>
          <w:sz w:val="24"/>
          <w:szCs w:val="24"/>
        </w:rPr>
        <w:t>供应商（公章）：</w:t>
      </w:r>
      <w:r>
        <w:rPr>
          <w:rFonts w:hint="eastAsia" w:ascii="仿宋" w:hAnsi="仿宋" w:eastAsia="仿宋" w:cs="仿宋"/>
          <w:sz w:val="24"/>
          <w:szCs w:val="24"/>
          <w:u w:val="single"/>
          <w:lang w:val="en-US" w:eastAsia="zh-CN"/>
        </w:rPr>
        <w:t xml:space="preserve">                         </w:t>
      </w:r>
    </w:p>
    <w:p>
      <w:pPr>
        <w:spacing w:line="360" w:lineRule="auto"/>
        <w:ind w:firstLine="3360" w:firstLineChars="1400"/>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lang w:val="en-US" w:eastAsia="zh-CN"/>
        </w:rPr>
        <w:t xml:space="preserve">     </w:t>
      </w:r>
    </w:p>
    <w:p>
      <w:pPr>
        <w:autoSpaceDE w:val="0"/>
        <w:autoSpaceDN w:val="0"/>
        <w:adjustRightInd w:val="0"/>
        <w:spacing w:line="360" w:lineRule="auto"/>
        <w:ind w:firstLine="4080" w:firstLineChars="1700"/>
        <w:rPr>
          <w:rFonts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lang w:val="en-US" w:eastAsia="zh-CN"/>
        </w:rPr>
        <w:t xml:space="preserve">                              </w:t>
      </w:r>
    </w:p>
    <w:p>
      <w:pPr>
        <w:pStyle w:val="4"/>
        <w:keepNext w:val="0"/>
        <w:pageBreakBefore/>
        <w:adjustRightInd w:val="0"/>
        <w:spacing w:line="416" w:lineRule="atLeast"/>
        <w:textAlignment w:val="baseline"/>
        <w:rPr>
          <w:rFonts w:ascii="仿宋" w:hAnsi="仿宋" w:eastAsia="仿宋" w:cs="仿宋"/>
          <w:sz w:val="24"/>
          <w:szCs w:val="24"/>
          <w:lang w:val="zh-CN"/>
        </w:rPr>
        <w:sectPr>
          <w:footerReference r:id="rId11" w:type="default"/>
          <w:headerReference r:id="rId10" w:type="even"/>
          <w:pgSz w:w="11906" w:h="16838"/>
          <w:pgMar w:top="1440" w:right="1803" w:bottom="1440" w:left="1803" w:header="851" w:footer="992" w:gutter="0"/>
          <w:cols w:space="0" w:num="1"/>
          <w:rtlGutter w:val="0"/>
          <w:docGrid w:type="lines" w:linePitch="312" w:charSpace="0"/>
        </w:sectPr>
      </w:pPr>
      <w:bookmarkStart w:id="538" w:name="_Toc11930"/>
    </w:p>
    <w:p>
      <w:pPr>
        <w:pStyle w:val="4"/>
        <w:rPr>
          <w:rFonts w:ascii="仿宋" w:hAnsi="仿宋" w:eastAsia="仿宋" w:cs="仿宋"/>
          <w:bCs/>
          <w:kern w:val="2"/>
          <w:sz w:val="32"/>
          <w:szCs w:val="15"/>
          <w:lang w:val="zh-CN"/>
        </w:rPr>
      </w:pPr>
      <w:bookmarkStart w:id="539" w:name="_Toc18224"/>
      <w:bookmarkStart w:id="540" w:name="_Toc30045"/>
      <w:bookmarkStart w:id="541" w:name="_Toc6384"/>
      <w:bookmarkStart w:id="542" w:name="_Toc22966"/>
      <w:bookmarkStart w:id="543" w:name="_Toc16564"/>
      <w:bookmarkStart w:id="544" w:name="_Toc26648"/>
      <w:bookmarkStart w:id="545" w:name="_Toc21095"/>
      <w:bookmarkStart w:id="546" w:name="_Toc10268"/>
      <w:bookmarkStart w:id="547" w:name="_Toc4404"/>
      <w:bookmarkStart w:id="548" w:name="_Toc28985"/>
      <w:bookmarkStart w:id="549" w:name="_Toc16548"/>
      <w:bookmarkStart w:id="550" w:name="_Toc26424"/>
      <w:bookmarkStart w:id="551" w:name="_Toc26846"/>
      <w:bookmarkStart w:id="552" w:name="_Toc20658"/>
      <w:bookmarkStart w:id="553" w:name="_Toc19627"/>
      <w:bookmarkStart w:id="554" w:name="_Toc21290"/>
      <w:bookmarkStart w:id="555" w:name="_Toc30778"/>
      <w:bookmarkStart w:id="556" w:name="_Toc21016"/>
      <w:bookmarkStart w:id="557" w:name="_Toc27892"/>
      <w:bookmarkStart w:id="558" w:name="_Toc17397"/>
      <w:bookmarkStart w:id="559" w:name="_Toc25362"/>
      <w:bookmarkStart w:id="560" w:name="_Toc2566"/>
      <w:bookmarkStart w:id="561" w:name="_Toc31736"/>
      <w:bookmarkStart w:id="562" w:name="_Toc18203"/>
      <w:bookmarkStart w:id="563" w:name="_Toc2298"/>
      <w:bookmarkStart w:id="564" w:name="_Toc12016"/>
      <w:bookmarkStart w:id="565" w:name="_Toc32190"/>
      <w:bookmarkStart w:id="566" w:name="_Toc15517"/>
      <w:bookmarkStart w:id="567" w:name="_Toc15409"/>
      <w:bookmarkStart w:id="568" w:name="_Toc20878"/>
      <w:bookmarkStart w:id="569" w:name="_Toc8757"/>
      <w:bookmarkStart w:id="570" w:name="_Toc3524"/>
      <w:r>
        <w:rPr>
          <w:rFonts w:hint="eastAsia" w:ascii="仿宋" w:hAnsi="仿宋" w:eastAsia="仿宋" w:cs="仿宋"/>
          <w:bCs/>
          <w:kern w:val="2"/>
          <w:sz w:val="32"/>
          <w:szCs w:val="15"/>
          <w:lang w:val="zh-CN"/>
        </w:rPr>
        <w:t>六、</w:t>
      </w:r>
      <w:bookmarkEnd w:id="539"/>
      <w:bookmarkEnd w:id="540"/>
      <w:r>
        <w:rPr>
          <w:rFonts w:hint="eastAsia" w:ascii="仿宋" w:hAnsi="仿宋" w:eastAsia="仿宋" w:cs="仿宋"/>
          <w:bCs/>
          <w:kern w:val="2"/>
          <w:sz w:val="32"/>
          <w:szCs w:val="15"/>
          <w:lang w:val="zh-CN"/>
        </w:rPr>
        <w:t>企业实力</w:t>
      </w:r>
      <w:bookmarkEnd w:id="541"/>
    </w:p>
    <w:bookmarkEnd w:id="542"/>
    <w:bookmarkEnd w:id="543"/>
    <w:bookmarkEnd w:id="544"/>
    <w:bookmarkEnd w:id="545"/>
    <w:bookmarkEnd w:id="546"/>
    <w:bookmarkEnd w:id="547"/>
    <w:p>
      <w:pPr>
        <w:jc w:val="center"/>
        <w:rPr>
          <w:rFonts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val="zh-CN"/>
        </w:rPr>
        <w:t>评标因素及权重分解表</w:t>
      </w:r>
      <w:r>
        <w:rPr>
          <w:rFonts w:hint="eastAsia" w:ascii="仿宋" w:hAnsi="仿宋" w:eastAsia="仿宋" w:cs="仿宋"/>
          <w:sz w:val="24"/>
          <w:szCs w:val="24"/>
        </w:rPr>
        <w:t>》自行提供</w:t>
      </w:r>
    </w:p>
    <w:p>
      <w:pPr>
        <w:pStyle w:val="4"/>
        <w:keepNext w:val="0"/>
        <w:pageBreakBefore/>
        <w:spacing w:line="360" w:lineRule="auto"/>
        <w:rPr>
          <w:rFonts w:ascii="仿宋" w:hAnsi="仿宋" w:eastAsia="仿宋" w:cs="仿宋"/>
          <w:bCs/>
          <w:kern w:val="2"/>
          <w:sz w:val="32"/>
          <w:szCs w:val="15"/>
          <w:lang w:val="zh-CN"/>
        </w:rPr>
      </w:pPr>
      <w:bookmarkStart w:id="571" w:name="_Toc14357"/>
      <w:r>
        <w:rPr>
          <w:rFonts w:hint="eastAsia" w:ascii="仿宋" w:hAnsi="仿宋" w:eastAsia="仿宋" w:cs="仿宋"/>
          <w:bCs/>
          <w:kern w:val="2"/>
          <w:sz w:val="32"/>
          <w:szCs w:val="15"/>
          <w:lang w:val="zh-CN"/>
        </w:rPr>
        <w:t>七、软件成熟度</w:t>
      </w:r>
      <w:bookmarkEnd w:id="571"/>
    </w:p>
    <w:p>
      <w:pPr>
        <w:pStyle w:val="17"/>
        <w:rPr>
          <w:rFonts w:ascii="仿宋" w:hAnsi="仿宋" w:eastAsia="仿宋" w:cs="仿宋"/>
          <w:lang w:val="zh-CN"/>
        </w:rPr>
      </w:pPr>
    </w:p>
    <w:p>
      <w:pPr>
        <w:jc w:val="center"/>
        <w:rPr>
          <w:rFonts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val="zh-CN"/>
        </w:rPr>
        <w:t>评标因素及权重分解表</w:t>
      </w:r>
      <w:r>
        <w:rPr>
          <w:rFonts w:hint="eastAsia" w:ascii="仿宋" w:hAnsi="仿宋" w:eastAsia="仿宋" w:cs="仿宋"/>
          <w:sz w:val="24"/>
          <w:szCs w:val="24"/>
        </w:rPr>
        <w:t>》自行提供</w:t>
      </w:r>
    </w:p>
    <w:p>
      <w:pPr>
        <w:pStyle w:val="4"/>
        <w:keepNext w:val="0"/>
        <w:pageBreakBefore/>
        <w:spacing w:line="360" w:lineRule="auto"/>
        <w:rPr>
          <w:rFonts w:ascii="仿宋" w:hAnsi="仿宋" w:eastAsia="仿宋" w:cs="仿宋"/>
          <w:bCs/>
          <w:kern w:val="2"/>
          <w:sz w:val="32"/>
          <w:szCs w:val="15"/>
          <w:lang w:val="zh-CN"/>
        </w:rPr>
      </w:pPr>
      <w:bookmarkStart w:id="572" w:name="_Toc18031"/>
      <w:bookmarkStart w:id="573" w:name="_Toc27139"/>
      <w:bookmarkStart w:id="574" w:name="_Toc4425"/>
      <w:bookmarkStart w:id="575" w:name="_Toc14618"/>
      <w:bookmarkStart w:id="576" w:name="_Toc475451804"/>
      <w:bookmarkStart w:id="577" w:name="_Toc23271"/>
      <w:bookmarkStart w:id="578" w:name="_Toc19696"/>
      <w:bookmarkStart w:id="579" w:name="_Toc29841"/>
      <w:bookmarkStart w:id="580" w:name="_Toc19309"/>
      <w:bookmarkStart w:id="581" w:name="_Toc473056008"/>
      <w:bookmarkStart w:id="582" w:name="_Toc6638"/>
      <w:bookmarkStart w:id="583" w:name="_Toc475451557"/>
      <w:bookmarkStart w:id="584" w:name="_Toc3437"/>
      <w:r>
        <w:rPr>
          <w:rFonts w:hint="eastAsia" w:ascii="仿宋" w:hAnsi="仿宋" w:eastAsia="仿宋" w:cs="仿宋"/>
          <w:bCs/>
          <w:kern w:val="2"/>
          <w:sz w:val="32"/>
          <w:szCs w:val="15"/>
          <w:lang w:val="zh-CN"/>
        </w:rPr>
        <w:t>八、</w:t>
      </w:r>
      <w:bookmarkEnd w:id="572"/>
      <w:bookmarkEnd w:id="573"/>
      <w:bookmarkEnd w:id="574"/>
      <w:bookmarkEnd w:id="575"/>
      <w:bookmarkEnd w:id="576"/>
      <w:bookmarkEnd w:id="577"/>
      <w:bookmarkEnd w:id="578"/>
      <w:bookmarkEnd w:id="579"/>
      <w:bookmarkEnd w:id="580"/>
      <w:bookmarkEnd w:id="581"/>
      <w:bookmarkEnd w:id="582"/>
      <w:bookmarkEnd w:id="583"/>
      <w:r>
        <w:rPr>
          <w:rFonts w:hint="eastAsia" w:ascii="仿宋" w:hAnsi="仿宋" w:eastAsia="仿宋" w:cs="仿宋"/>
          <w:bCs/>
          <w:kern w:val="2"/>
          <w:sz w:val="32"/>
          <w:szCs w:val="15"/>
          <w:lang w:val="zh-CN"/>
        </w:rPr>
        <w:t>同类业绩评价</w:t>
      </w:r>
      <w:bookmarkEnd w:id="584"/>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2520"/>
        <w:gridCol w:w="1470"/>
        <w:gridCol w:w="1470"/>
        <w:gridCol w:w="13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00" w:type="dxa"/>
            <w:noWrap/>
            <w:vAlign w:val="center"/>
          </w:tcPr>
          <w:p>
            <w:pPr>
              <w:jc w:val="center"/>
              <w:rPr>
                <w:rFonts w:ascii="仿宋" w:hAnsi="仿宋" w:eastAsia="仿宋" w:cs="仿宋"/>
                <w:b/>
                <w:sz w:val="24"/>
                <w:szCs w:val="24"/>
              </w:rPr>
            </w:pPr>
            <w:r>
              <w:rPr>
                <w:rFonts w:hint="eastAsia" w:ascii="仿宋" w:hAnsi="仿宋" w:eastAsia="仿宋" w:cs="仿宋"/>
                <w:b/>
                <w:sz w:val="24"/>
                <w:szCs w:val="24"/>
              </w:rPr>
              <w:t>序号</w:t>
            </w:r>
          </w:p>
        </w:tc>
        <w:tc>
          <w:tcPr>
            <w:tcW w:w="1620" w:type="dxa"/>
            <w:noWrap/>
            <w:vAlign w:val="center"/>
          </w:tcPr>
          <w:p>
            <w:pPr>
              <w:jc w:val="center"/>
              <w:rPr>
                <w:rFonts w:ascii="仿宋" w:hAnsi="仿宋" w:eastAsia="仿宋" w:cs="仿宋"/>
                <w:b/>
                <w:sz w:val="24"/>
                <w:szCs w:val="24"/>
              </w:rPr>
            </w:pPr>
            <w:r>
              <w:rPr>
                <w:rFonts w:hint="eastAsia" w:ascii="仿宋" w:hAnsi="仿宋" w:eastAsia="仿宋" w:cs="仿宋"/>
                <w:b/>
                <w:sz w:val="24"/>
                <w:szCs w:val="24"/>
              </w:rPr>
              <w:t>用户名称</w:t>
            </w:r>
          </w:p>
        </w:tc>
        <w:tc>
          <w:tcPr>
            <w:tcW w:w="2520" w:type="dxa"/>
            <w:noWrap/>
            <w:vAlign w:val="center"/>
          </w:tcPr>
          <w:p>
            <w:pPr>
              <w:jc w:val="center"/>
              <w:rPr>
                <w:rFonts w:ascii="仿宋" w:hAnsi="仿宋" w:eastAsia="仿宋" w:cs="仿宋"/>
                <w:b/>
                <w:sz w:val="24"/>
                <w:szCs w:val="24"/>
              </w:rPr>
            </w:pPr>
            <w:r>
              <w:rPr>
                <w:rFonts w:hint="eastAsia" w:ascii="仿宋" w:hAnsi="仿宋" w:eastAsia="仿宋" w:cs="仿宋"/>
                <w:b/>
                <w:sz w:val="24"/>
                <w:szCs w:val="24"/>
              </w:rPr>
              <w:t>项目名称</w:t>
            </w:r>
          </w:p>
        </w:tc>
        <w:tc>
          <w:tcPr>
            <w:tcW w:w="1470" w:type="dxa"/>
            <w:noWrap/>
            <w:vAlign w:val="center"/>
          </w:tcPr>
          <w:p>
            <w:pPr>
              <w:jc w:val="center"/>
              <w:rPr>
                <w:rFonts w:ascii="仿宋" w:hAnsi="仿宋" w:eastAsia="仿宋" w:cs="仿宋"/>
                <w:b/>
                <w:sz w:val="24"/>
                <w:szCs w:val="24"/>
              </w:rPr>
            </w:pPr>
            <w:r>
              <w:rPr>
                <w:rFonts w:hint="eastAsia" w:ascii="仿宋" w:hAnsi="仿宋" w:eastAsia="仿宋" w:cs="仿宋"/>
                <w:b/>
                <w:sz w:val="24"/>
                <w:szCs w:val="24"/>
              </w:rPr>
              <w:t>合同金额</w:t>
            </w:r>
          </w:p>
        </w:tc>
        <w:tc>
          <w:tcPr>
            <w:tcW w:w="1470" w:type="dxa"/>
            <w:noWrap/>
            <w:vAlign w:val="center"/>
          </w:tcPr>
          <w:p>
            <w:pPr>
              <w:jc w:val="center"/>
              <w:rPr>
                <w:rFonts w:ascii="仿宋" w:hAnsi="仿宋" w:eastAsia="仿宋" w:cs="仿宋"/>
                <w:b/>
                <w:sz w:val="24"/>
                <w:szCs w:val="24"/>
              </w:rPr>
            </w:pPr>
            <w:r>
              <w:rPr>
                <w:rFonts w:hint="eastAsia" w:ascii="仿宋" w:hAnsi="仿宋" w:eastAsia="仿宋" w:cs="仿宋"/>
                <w:b/>
                <w:sz w:val="24"/>
                <w:szCs w:val="24"/>
              </w:rPr>
              <w:t>签订时间</w:t>
            </w:r>
          </w:p>
        </w:tc>
        <w:tc>
          <w:tcPr>
            <w:tcW w:w="1365" w:type="dxa"/>
            <w:noWrap/>
            <w:vAlign w:val="center"/>
          </w:tcPr>
          <w:p>
            <w:pPr>
              <w:jc w:val="center"/>
              <w:rPr>
                <w:rFonts w:ascii="仿宋" w:hAnsi="仿宋" w:eastAsia="仿宋" w:cs="仿宋"/>
                <w:b/>
                <w:sz w:val="24"/>
                <w:szCs w:val="24"/>
              </w:rPr>
            </w:pPr>
            <w:r>
              <w:rPr>
                <w:rFonts w:hint="eastAsia" w:ascii="仿宋" w:hAnsi="仿宋" w:eastAsia="仿宋" w:cs="仿宋"/>
                <w:b/>
                <w:sz w:val="24"/>
                <w:szCs w:val="24"/>
              </w:rPr>
              <w:t>完成项目质量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tcPr>
          <w:p>
            <w:pPr>
              <w:spacing w:line="360" w:lineRule="auto"/>
              <w:rPr>
                <w:rFonts w:ascii="仿宋" w:hAnsi="仿宋" w:eastAsia="仿宋" w:cs="仿宋"/>
                <w:sz w:val="24"/>
                <w:szCs w:val="24"/>
              </w:rPr>
            </w:pPr>
          </w:p>
        </w:tc>
        <w:tc>
          <w:tcPr>
            <w:tcW w:w="1620" w:type="dxa"/>
            <w:noWrap/>
          </w:tcPr>
          <w:p>
            <w:pPr>
              <w:spacing w:line="360" w:lineRule="auto"/>
              <w:rPr>
                <w:rFonts w:ascii="仿宋" w:hAnsi="仿宋" w:eastAsia="仿宋" w:cs="仿宋"/>
                <w:sz w:val="24"/>
                <w:szCs w:val="24"/>
              </w:rPr>
            </w:pPr>
          </w:p>
        </w:tc>
        <w:tc>
          <w:tcPr>
            <w:tcW w:w="2520" w:type="dxa"/>
            <w:noWrap/>
          </w:tcPr>
          <w:p>
            <w:pPr>
              <w:spacing w:line="360" w:lineRule="auto"/>
              <w:rPr>
                <w:rFonts w:ascii="仿宋" w:hAnsi="仿宋" w:eastAsia="仿宋" w:cs="仿宋"/>
                <w:sz w:val="24"/>
                <w:szCs w:val="24"/>
              </w:rPr>
            </w:pPr>
          </w:p>
        </w:tc>
        <w:tc>
          <w:tcPr>
            <w:tcW w:w="1470" w:type="dxa"/>
            <w:noWrap/>
          </w:tcPr>
          <w:p>
            <w:pPr>
              <w:spacing w:line="360" w:lineRule="auto"/>
              <w:rPr>
                <w:rFonts w:ascii="仿宋" w:hAnsi="仿宋" w:eastAsia="仿宋" w:cs="仿宋"/>
                <w:sz w:val="24"/>
                <w:szCs w:val="24"/>
              </w:rPr>
            </w:pPr>
          </w:p>
        </w:tc>
        <w:tc>
          <w:tcPr>
            <w:tcW w:w="1470" w:type="dxa"/>
            <w:noWrap/>
          </w:tcPr>
          <w:p>
            <w:pPr>
              <w:spacing w:line="360" w:lineRule="auto"/>
              <w:rPr>
                <w:rFonts w:ascii="仿宋" w:hAnsi="仿宋" w:eastAsia="仿宋" w:cs="仿宋"/>
                <w:sz w:val="24"/>
                <w:szCs w:val="24"/>
              </w:rPr>
            </w:pPr>
          </w:p>
        </w:tc>
        <w:tc>
          <w:tcPr>
            <w:tcW w:w="1365" w:type="dxa"/>
            <w:noWrap/>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tcPr>
          <w:p>
            <w:pPr>
              <w:spacing w:line="360" w:lineRule="auto"/>
              <w:rPr>
                <w:rFonts w:ascii="仿宋" w:hAnsi="仿宋" w:eastAsia="仿宋" w:cs="仿宋"/>
                <w:sz w:val="24"/>
                <w:szCs w:val="24"/>
              </w:rPr>
            </w:pPr>
          </w:p>
        </w:tc>
        <w:tc>
          <w:tcPr>
            <w:tcW w:w="1620" w:type="dxa"/>
            <w:noWrap/>
          </w:tcPr>
          <w:p>
            <w:pPr>
              <w:spacing w:line="360" w:lineRule="auto"/>
              <w:rPr>
                <w:rFonts w:ascii="仿宋" w:hAnsi="仿宋" w:eastAsia="仿宋" w:cs="仿宋"/>
                <w:sz w:val="24"/>
                <w:szCs w:val="24"/>
              </w:rPr>
            </w:pPr>
          </w:p>
        </w:tc>
        <w:tc>
          <w:tcPr>
            <w:tcW w:w="2520" w:type="dxa"/>
            <w:noWrap/>
          </w:tcPr>
          <w:p>
            <w:pPr>
              <w:spacing w:line="360" w:lineRule="auto"/>
              <w:rPr>
                <w:rFonts w:ascii="仿宋" w:hAnsi="仿宋" w:eastAsia="仿宋" w:cs="仿宋"/>
                <w:sz w:val="24"/>
                <w:szCs w:val="24"/>
              </w:rPr>
            </w:pPr>
          </w:p>
        </w:tc>
        <w:tc>
          <w:tcPr>
            <w:tcW w:w="1470" w:type="dxa"/>
            <w:noWrap/>
          </w:tcPr>
          <w:p>
            <w:pPr>
              <w:spacing w:line="360" w:lineRule="auto"/>
              <w:rPr>
                <w:rFonts w:ascii="仿宋" w:hAnsi="仿宋" w:eastAsia="仿宋" w:cs="仿宋"/>
                <w:sz w:val="24"/>
                <w:szCs w:val="24"/>
              </w:rPr>
            </w:pPr>
          </w:p>
        </w:tc>
        <w:tc>
          <w:tcPr>
            <w:tcW w:w="1470" w:type="dxa"/>
            <w:noWrap/>
          </w:tcPr>
          <w:p>
            <w:pPr>
              <w:spacing w:line="360" w:lineRule="auto"/>
              <w:rPr>
                <w:rFonts w:ascii="仿宋" w:hAnsi="仿宋" w:eastAsia="仿宋" w:cs="仿宋"/>
                <w:sz w:val="24"/>
                <w:szCs w:val="24"/>
              </w:rPr>
            </w:pPr>
          </w:p>
        </w:tc>
        <w:tc>
          <w:tcPr>
            <w:tcW w:w="1365" w:type="dxa"/>
            <w:noWrap/>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00" w:type="dxa"/>
            <w:noWrap/>
          </w:tcPr>
          <w:p>
            <w:pPr>
              <w:spacing w:line="360" w:lineRule="auto"/>
              <w:rPr>
                <w:rFonts w:ascii="仿宋" w:hAnsi="仿宋" w:eastAsia="仿宋" w:cs="仿宋"/>
                <w:sz w:val="24"/>
                <w:szCs w:val="24"/>
              </w:rPr>
            </w:pPr>
          </w:p>
        </w:tc>
        <w:tc>
          <w:tcPr>
            <w:tcW w:w="1620" w:type="dxa"/>
            <w:noWrap/>
          </w:tcPr>
          <w:p>
            <w:pPr>
              <w:spacing w:line="360" w:lineRule="auto"/>
              <w:rPr>
                <w:rFonts w:ascii="仿宋" w:hAnsi="仿宋" w:eastAsia="仿宋" w:cs="仿宋"/>
                <w:sz w:val="24"/>
                <w:szCs w:val="24"/>
              </w:rPr>
            </w:pPr>
          </w:p>
        </w:tc>
        <w:tc>
          <w:tcPr>
            <w:tcW w:w="2520" w:type="dxa"/>
            <w:noWrap/>
          </w:tcPr>
          <w:p>
            <w:pPr>
              <w:spacing w:line="360" w:lineRule="auto"/>
              <w:rPr>
                <w:rFonts w:ascii="仿宋" w:hAnsi="仿宋" w:eastAsia="仿宋" w:cs="仿宋"/>
                <w:sz w:val="24"/>
                <w:szCs w:val="24"/>
              </w:rPr>
            </w:pPr>
          </w:p>
        </w:tc>
        <w:tc>
          <w:tcPr>
            <w:tcW w:w="1470" w:type="dxa"/>
            <w:noWrap/>
          </w:tcPr>
          <w:p>
            <w:pPr>
              <w:spacing w:line="360" w:lineRule="auto"/>
              <w:rPr>
                <w:rFonts w:ascii="仿宋" w:hAnsi="仿宋" w:eastAsia="仿宋" w:cs="仿宋"/>
                <w:sz w:val="24"/>
                <w:szCs w:val="24"/>
              </w:rPr>
            </w:pPr>
          </w:p>
        </w:tc>
        <w:tc>
          <w:tcPr>
            <w:tcW w:w="1470" w:type="dxa"/>
            <w:noWrap/>
          </w:tcPr>
          <w:p>
            <w:pPr>
              <w:spacing w:line="360" w:lineRule="auto"/>
              <w:rPr>
                <w:rFonts w:ascii="仿宋" w:hAnsi="仿宋" w:eastAsia="仿宋" w:cs="仿宋"/>
                <w:sz w:val="24"/>
                <w:szCs w:val="24"/>
              </w:rPr>
            </w:pPr>
          </w:p>
        </w:tc>
        <w:tc>
          <w:tcPr>
            <w:tcW w:w="1365" w:type="dxa"/>
            <w:noWrap/>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tcPr>
          <w:p>
            <w:pPr>
              <w:spacing w:line="360" w:lineRule="auto"/>
              <w:rPr>
                <w:rFonts w:ascii="仿宋" w:hAnsi="仿宋" w:eastAsia="仿宋" w:cs="仿宋"/>
                <w:sz w:val="24"/>
                <w:szCs w:val="24"/>
              </w:rPr>
            </w:pPr>
          </w:p>
        </w:tc>
        <w:tc>
          <w:tcPr>
            <w:tcW w:w="1620" w:type="dxa"/>
            <w:noWrap/>
          </w:tcPr>
          <w:p>
            <w:pPr>
              <w:spacing w:line="360" w:lineRule="auto"/>
              <w:rPr>
                <w:rFonts w:ascii="仿宋" w:hAnsi="仿宋" w:eastAsia="仿宋" w:cs="仿宋"/>
                <w:sz w:val="24"/>
                <w:szCs w:val="24"/>
              </w:rPr>
            </w:pPr>
          </w:p>
        </w:tc>
        <w:tc>
          <w:tcPr>
            <w:tcW w:w="2520" w:type="dxa"/>
            <w:noWrap/>
          </w:tcPr>
          <w:p>
            <w:pPr>
              <w:spacing w:line="360" w:lineRule="auto"/>
              <w:rPr>
                <w:rFonts w:ascii="仿宋" w:hAnsi="仿宋" w:eastAsia="仿宋" w:cs="仿宋"/>
                <w:sz w:val="24"/>
                <w:szCs w:val="24"/>
              </w:rPr>
            </w:pPr>
          </w:p>
        </w:tc>
        <w:tc>
          <w:tcPr>
            <w:tcW w:w="1470" w:type="dxa"/>
            <w:noWrap/>
          </w:tcPr>
          <w:p>
            <w:pPr>
              <w:spacing w:line="360" w:lineRule="auto"/>
              <w:rPr>
                <w:rFonts w:ascii="仿宋" w:hAnsi="仿宋" w:eastAsia="仿宋" w:cs="仿宋"/>
                <w:sz w:val="24"/>
                <w:szCs w:val="24"/>
              </w:rPr>
            </w:pPr>
          </w:p>
        </w:tc>
        <w:tc>
          <w:tcPr>
            <w:tcW w:w="1470" w:type="dxa"/>
            <w:noWrap/>
          </w:tcPr>
          <w:p>
            <w:pPr>
              <w:spacing w:line="360" w:lineRule="auto"/>
              <w:rPr>
                <w:rFonts w:ascii="仿宋" w:hAnsi="仿宋" w:eastAsia="仿宋" w:cs="仿宋"/>
                <w:sz w:val="24"/>
                <w:szCs w:val="24"/>
              </w:rPr>
            </w:pPr>
          </w:p>
        </w:tc>
        <w:tc>
          <w:tcPr>
            <w:tcW w:w="1365" w:type="dxa"/>
            <w:noWrap/>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tcPr>
          <w:p>
            <w:pPr>
              <w:spacing w:line="360" w:lineRule="auto"/>
              <w:rPr>
                <w:rFonts w:ascii="仿宋" w:hAnsi="仿宋" w:eastAsia="仿宋" w:cs="仿宋"/>
                <w:sz w:val="24"/>
                <w:szCs w:val="24"/>
              </w:rPr>
            </w:pPr>
          </w:p>
        </w:tc>
        <w:tc>
          <w:tcPr>
            <w:tcW w:w="1620" w:type="dxa"/>
            <w:noWrap/>
          </w:tcPr>
          <w:p>
            <w:pPr>
              <w:spacing w:line="360" w:lineRule="auto"/>
              <w:rPr>
                <w:rFonts w:ascii="仿宋" w:hAnsi="仿宋" w:eastAsia="仿宋" w:cs="仿宋"/>
                <w:sz w:val="24"/>
                <w:szCs w:val="24"/>
              </w:rPr>
            </w:pPr>
          </w:p>
        </w:tc>
        <w:tc>
          <w:tcPr>
            <w:tcW w:w="2520" w:type="dxa"/>
            <w:noWrap/>
          </w:tcPr>
          <w:p>
            <w:pPr>
              <w:spacing w:line="360" w:lineRule="auto"/>
              <w:rPr>
                <w:rFonts w:ascii="仿宋" w:hAnsi="仿宋" w:eastAsia="仿宋" w:cs="仿宋"/>
                <w:sz w:val="24"/>
                <w:szCs w:val="24"/>
              </w:rPr>
            </w:pPr>
          </w:p>
        </w:tc>
        <w:tc>
          <w:tcPr>
            <w:tcW w:w="1470" w:type="dxa"/>
            <w:noWrap/>
          </w:tcPr>
          <w:p>
            <w:pPr>
              <w:spacing w:line="360" w:lineRule="auto"/>
              <w:rPr>
                <w:rFonts w:ascii="仿宋" w:hAnsi="仿宋" w:eastAsia="仿宋" w:cs="仿宋"/>
                <w:sz w:val="24"/>
                <w:szCs w:val="24"/>
              </w:rPr>
            </w:pPr>
          </w:p>
        </w:tc>
        <w:tc>
          <w:tcPr>
            <w:tcW w:w="1470" w:type="dxa"/>
            <w:noWrap/>
          </w:tcPr>
          <w:p>
            <w:pPr>
              <w:spacing w:line="360" w:lineRule="auto"/>
              <w:rPr>
                <w:rFonts w:ascii="仿宋" w:hAnsi="仿宋" w:eastAsia="仿宋" w:cs="仿宋"/>
                <w:sz w:val="24"/>
                <w:szCs w:val="24"/>
              </w:rPr>
            </w:pPr>
          </w:p>
        </w:tc>
        <w:tc>
          <w:tcPr>
            <w:tcW w:w="1365" w:type="dxa"/>
            <w:noWrap/>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tcPr>
          <w:p>
            <w:pPr>
              <w:spacing w:line="360" w:lineRule="auto"/>
              <w:rPr>
                <w:rFonts w:ascii="仿宋" w:hAnsi="仿宋" w:eastAsia="仿宋" w:cs="仿宋"/>
                <w:sz w:val="24"/>
                <w:szCs w:val="24"/>
              </w:rPr>
            </w:pPr>
          </w:p>
        </w:tc>
        <w:tc>
          <w:tcPr>
            <w:tcW w:w="1620" w:type="dxa"/>
            <w:noWrap/>
          </w:tcPr>
          <w:p>
            <w:pPr>
              <w:spacing w:line="360" w:lineRule="auto"/>
              <w:rPr>
                <w:rFonts w:ascii="仿宋" w:hAnsi="仿宋" w:eastAsia="仿宋" w:cs="仿宋"/>
                <w:sz w:val="24"/>
                <w:szCs w:val="24"/>
              </w:rPr>
            </w:pPr>
          </w:p>
        </w:tc>
        <w:tc>
          <w:tcPr>
            <w:tcW w:w="2520" w:type="dxa"/>
            <w:noWrap/>
          </w:tcPr>
          <w:p>
            <w:pPr>
              <w:spacing w:line="360" w:lineRule="auto"/>
              <w:rPr>
                <w:rFonts w:ascii="仿宋" w:hAnsi="仿宋" w:eastAsia="仿宋" w:cs="仿宋"/>
                <w:sz w:val="24"/>
                <w:szCs w:val="24"/>
              </w:rPr>
            </w:pPr>
          </w:p>
        </w:tc>
        <w:tc>
          <w:tcPr>
            <w:tcW w:w="1470" w:type="dxa"/>
            <w:noWrap/>
          </w:tcPr>
          <w:p>
            <w:pPr>
              <w:spacing w:line="360" w:lineRule="auto"/>
              <w:rPr>
                <w:rFonts w:ascii="仿宋" w:hAnsi="仿宋" w:eastAsia="仿宋" w:cs="仿宋"/>
                <w:sz w:val="24"/>
                <w:szCs w:val="24"/>
              </w:rPr>
            </w:pPr>
          </w:p>
        </w:tc>
        <w:tc>
          <w:tcPr>
            <w:tcW w:w="1470" w:type="dxa"/>
            <w:noWrap/>
          </w:tcPr>
          <w:p>
            <w:pPr>
              <w:spacing w:line="360" w:lineRule="auto"/>
              <w:rPr>
                <w:rFonts w:ascii="仿宋" w:hAnsi="仿宋" w:eastAsia="仿宋" w:cs="仿宋"/>
                <w:sz w:val="24"/>
                <w:szCs w:val="24"/>
              </w:rPr>
            </w:pPr>
          </w:p>
        </w:tc>
        <w:tc>
          <w:tcPr>
            <w:tcW w:w="1365" w:type="dxa"/>
            <w:noWrap/>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00" w:type="dxa"/>
            <w:noWrap/>
          </w:tcPr>
          <w:p>
            <w:pPr>
              <w:spacing w:line="360" w:lineRule="auto"/>
              <w:rPr>
                <w:rFonts w:ascii="仿宋" w:hAnsi="仿宋" w:eastAsia="仿宋" w:cs="仿宋"/>
                <w:sz w:val="24"/>
                <w:szCs w:val="24"/>
              </w:rPr>
            </w:pPr>
          </w:p>
        </w:tc>
        <w:tc>
          <w:tcPr>
            <w:tcW w:w="1620" w:type="dxa"/>
            <w:noWrap/>
          </w:tcPr>
          <w:p>
            <w:pPr>
              <w:spacing w:line="360" w:lineRule="auto"/>
              <w:rPr>
                <w:rFonts w:ascii="仿宋" w:hAnsi="仿宋" w:eastAsia="仿宋" w:cs="仿宋"/>
                <w:sz w:val="24"/>
                <w:szCs w:val="24"/>
              </w:rPr>
            </w:pPr>
          </w:p>
        </w:tc>
        <w:tc>
          <w:tcPr>
            <w:tcW w:w="2520" w:type="dxa"/>
            <w:noWrap/>
          </w:tcPr>
          <w:p>
            <w:pPr>
              <w:spacing w:line="360" w:lineRule="auto"/>
              <w:rPr>
                <w:rFonts w:ascii="仿宋" w:hAnsi="仿宋" w:eastAsia="仿宋" w:cs="仿宋"/>
                <w:sz w:val="24"/>
                <w:szCs w:val="24"/>
              </w:rPr>
            </w:pPr>
          </w:p>
        </w:tc>
        <w:tc>
          <w:tcPr>
            <w:tcW w:w="1470" w:type="dxa"/>
            <w:noWrap/>
          </w:tcPr>
          <w:p>
            <w:pPr>
              <w:spacing w:line="360" w:lineRule="auto"/>
              <w:rPr>
                <w:rFonts w:ascii="仿宋" w:hAnsi="仿宋" w:eastAsia="仿宋" w:cs="仿宋"/>
                <w:sz w:val="24"/>
                <w:szCs w:val="24"/>
              </w:rPr>
            </w:pPr>
          </w:p>
        </w:tc>
        <w:tc>
          <w:tcPr>
            <w:tcW w:w="1470" w:type="dxa"/>
            <w:noWrap/>
          </w:tcPr>
          <w:p>
            <w:pPr>
              <w:spacing w:line="360" w:lineRule="auto"/>
              <w:rPr>
                <w:rFonts w:ascii="仿宋" w:hAnsi="仿宋" w:eastAsia="仿宋" w:cs="仿宋"/>
                <w:sz w:val="24"/>
                <w:szCs w:val="24"/>
              </w:rPr>
            </w:pPr>
          </w:p>
        </w:tc>
        <w:tc>
          <w:tcPr>
            <w:tcW w:w="1365" w:type="dxa"/>
            <w:noWrap/>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tcPr>
          <w:p>
            <w:pPr>
              <w:spacing w:line="360" w:lineRule="auto"/>
              <w:rPr>
                <w:rFonts w:ascii="仿宋" w:hAnsi="仿宋" w:eastAsia="仿宋" w:cs="仿宋"/>
                <w:sz w:val="24"/>
                <w:szCs w:val="24"/>
              </w:rPr>
            </w:pPr>
          </w:p>
        </w:tc>
        <w:tc>
          <w:tcPr>
            <w:tcW w:w="1620" w:type="dxa"/>
            <w:noWrap/>
          </w:tcPr>
          <w:p>
            <w:pPr>
              <w:spacing w:line="360" w:lineRule="auto"/>
              <w:rPr>
                <w:rFonts w:ascii="仿宋" w:hAnsi="仿宋" w:eastAsia="仿宋" w:cs="仿宋"/>
                <w:sz w:val="24"/>
                <w:szCs w:val="24"/>
              </w:rPr>
            </w:pPr>
          </w:p>
        </w:tc>
        <w:tc>
          <w:tcPr>
            <w:tcW w:w="2520" w:type="dxa"/>
            <w:noWrap/>
          </w:tcPr>
          <w:p>
            <w:pPr>
              <w:spacing w:line="360" w:lineRule="auto"/>
              <w:rPr>
                <w:rFonts w:ascii="仿宋" w:hAnsi="仿宋" w:eastAsia="仿宋" w:cs="仿宋"/>
                <w:sz w:val="24"/>
                <w:szCs w:val="24"/>
              </w:rPr>
            </w:pPr>
          </w:p>
        </w:tc>
        <w:tc>
          <w:tcPr>
            <w:tcW w:w="1470" w:type="dxa"/>
            <w:noWrap/>
          </w:tcPr>
          <w:p>
            <w:pPr>
              <w:spacing w:line="360" w:lineRule="auto"/>
              <w:rPr>
                <w:rFonts w:ascii="仿宋" w:hAnsi="仿宋" w:eastAsia="仿宋" w:cs="仿宋"/>
                <w:sz w:val="24"/>
                <w:szCs w:val="24"/>
              </w:rPr>
            </w:pPr>
          </w:p>
        </w:tc>
        <w:tc>
          <w:tcPr>
            <w:tcW w:w="1470" w:type="dxa"/>
            <w:noWrap/>
          </w:tcPr>
          <w:p>
            <w:pPr>
              <w:spacing w:line="360" w:lineRule="auto"/>
              <w:rPr>
                <w:rFonts w:ascii="仿宋" w:hAnsi="仿宋" w:eastAsia="仿宋" w:cs="仿宋"/>
                <w:sz w:val="24"/>
                <w:szCs w:val="24"/>
              </w:rPr>
            </w:pPr>
          </w:p>
        </w:tc>
        <w:tc>
          <w:tcPr>
            <w:tcW w:w="1365" w:type="dxa"/>
            <w:noWrap/>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tcPr>
          <w:p>
            <w:pPr>
              <w:spacing w:line="360" w:lineRule="auto"/>
              <w:rPr>
                <w:rFonts w:ascii="仿宋" w:hAnsi="仿宋" w:eastAsia="仿宋" w:cs="仿宋"/>
                <w:sz w:val="24"/>
                <w:szCs w:val="24"/>
              </w:rPr>
            </w:pPr>
          </w:p>
        </w:tc>
        <w:tc>
          <w:tcPr>
            <w:tcW w:w="1620" w:type="dxa"/>
            <w:noWrap/>
          </w:tcPr>
          <w:p>
            <w:pPr>
              <w:spacing w:line="360" w:lineRule="auto"/>
              <w:rPr>
                <w:rFonts w:ascii="仿宋" w:hAnsi="仿宋" w:eastAsia="仿宋" w:cs="仿宋"/>
                <w:sz w:val="24"/>
                <w:szCs w:val="24"/>
              </w:rPr>
            </w:pPr>
          </w:p>
        </w:tc>
        <w:tc>
          <w:tcPr>
            <w:tcW w:w="2520" w:type="dxa"/>
            <w:noWrap/>
          </w:tcPr>
          <w:p>
            <w:pPr>
              <w:spacing w:line="360" w:lineRule="auto"/>
              <w:rPr>
                <w:rFonts w:ascii="仿宋" w:hAnsi="仿宋" w:eastAsia="仿宋" w:cs="仿宋"/>
                <w:sz w:val="24"/>
                <w:szCs w:val="24"/>
              </w:rPr>
            </w:pPr>
          </w:p>
        </w:tc>
        <w:tc>
          <w:tcPr>
            <w:tcW w:w="1470" w:type="dxa"/>
            <w:noWrap/>
          </w:tcPr>
          <w:p>
            <w:pPr>
              <w:spacing w:line="360" w:lineRule="auto"/>
              <w:rPr>
                <w:rFonts w:ascii="仿宋" w:hAnsi="仿宋" w:eastAsia="仿宋" w:cs="仿宋"/>
                <w:sz w:val="24"/>
                <w:szCs w:val="24"/>
              </w:rPr>
            </w:pPr>
          </w:p>
        </w:tc>
        <w:tc>
          <w:tcPr>
            <w:tcW w:w="1470" w:type="dxa"/>
            <w:noWrap/>
          </w:tcPr>
          <w:p>
            <w:pPr>
              <w:spacing w:line="360" w:lineRule="auto"/>
              <w:rPr>
                <w:rFonts w:ascii="仿宋" w:hAnsi="仿宋" w:eastAsia="仿宋" w:cs="仿宋"/>
                <w:sz w:val="24"/>
                <w:szCs w:val="24"/>
              </w:rPr>
            </w:pPr>
          </w:p>
        </w:tc>
        <w:tc>
          <w:tcPr>
            <w:tcW w:w="1365" w:type="dxa"/>
            <w:noWrap/>
          </w:tcPr>
          <w:p>
            <w:pPr>
              <w:spacing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tcPr>
          <w:p>
            <w:pPr>
              <w:spacing w:line="360" w:lineRule="auto"/>
              <w:rPr>
                <w:rFonts w:ascii="仿宋" w:hAnsi="仿宋" w:eastAsia="仿宋" w:cs="仿宋"/>
                <w:sz w:val="24"/>
                <w:szCs w:val="24"/>
              </w:rPr>
            </w:pPr>
          </w:p>
        </w:tc>
        <w:tc>
          <w:tcPr>
            <w:tcW w:w="1620" w:type="dxa"/>
            <w:noWrap/>
          </w:tcPr>
          <w:p>
            <w:pPr>
              <w:spacing w:line="360" w:lineRule="auto"/>
              <w:rPr>
                <w:rFonts w:ascii="仿宋" w:hAnsi="仿宋" w:eastAsia="仿宋" w:cs="仿宋"/>
                <w:sz w:val="24"/>
                <w:szCs w:val="24"/>
              </w:rPr>
            </w:pPr>
          </w:p>
        </w:tc>
        <w:tc>
          <w:tcPr>
            <w:tcW w:w="2520" w:type="dxa"/>
            <w:noWrap/>
          </w:tcPr>
          <w:p>
            <w:pPr>
              <w:spacing w:line="360" w:lineRule="auto"/>
              <w:rPr>
                <w:rFonts w:ascii="仿宋" w:hAnsi="仿宋" w:eastAsia="仿宋" w:cs="仿宋"/>
                <w:sz w:val="24"/>
                <w:szCs w:val="24"/>
              </w:rPr>
            </w:pPr>
          </w:p>
        </w:tc>
        <w:tc>
          <w:tcPr>
            <w:tcW w:w="1470" w:type="dxa"/>
            <w:noWrap/>
          </w:tcPr>
          <w:p>
            <w:pPr>
              <w:spacing w:line="360" w:lineRule="auto"/>
              <w:rPr>
                <w:rFonts w:ascii="仿宋" w:hAnsi="仿宋" w:eastAsia="仿宋" w:cs="仿宋"/>
                <w:sz w:val="24"/>
                <w:szCs w:val="24"/>
              </w:rPr>
            </w:pPr>
          </w:p>
        </w:tc>
        <w:tc>
          <w:tcPr>
            <w:tcW w:w="1470" w:type="dxa"/>
            <w:noWrap/>
          </w:tcPr>
          <w:p>
            <w:pPr>
              <w:spacing w:line="360" w:lineRule="auto"/>
              <w:rPr>
                <w:rFonts w:ascii="仿宋" w:hAnsi="仿宋" w:eastAsia="仿宋" w:cs="仿宋"/>
                <w:sz w:val="24"/>
                <w:szCs w:val="24"/>
              </w:rPr>
            </w:pPr>
          </w:p>
        </w:tc>
        <w:tc>
          <w:tcPr>
            <w:tcW w:w="1365" w:type="dxa"/>
            <w:noWrap/>
          </w:tcPr>
          <w:p>
            <w:pPr>
              <w:spacing w:line="360" w:lineRule="auto"/>
              <w:rPr>
                <w:rFonts w:ascii="仿宋" w:hAnsi="仿宋" w:eastAsia="仿宋" w:cs="仿宋"/>
                <w:sz w:val="24"/>
                <w:szCs w:val="24"/>
              </w:rPr>
            </w:pPr>
          </w:p>
        </w:tc>
      </w:tr>
    </w:tbl>
    <w:p>
      <w:pPr>
        <w:spacing w:line="360" w:lineRule="auto"/>
        <w:rPr>
          <w:rFonts w:ascii="仿宋" w:hAnsi="仿宋" w:eastAsia="仿宋" w:cs="仿宋"/>
          <w:sz w:val="24"/>
          <w:szCs w:val="24"/>
        </w:rPr>
      </w:pP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说明：</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1.业绩</w:t>
      </w:r>
      <w:r>
        <w:rPr>
          <w:rFonts w:hint="eastAsia" w:ascii="仿宋" w:hAnsi="仿宋" w:eastAsia="仿宋" w:cs="仿宋"/>
          <w:kern w:val="0"/>
          <w:sz w:val="24"/>
          <w:szCs w:val="24"/>
          <w:lang w:val="zh-CN"/>
        </w:rPr>
        <w:t>以签订的合同复印件为准</w:t>
      </w:r>
      <w:r>
        <w:rPr>
          <w:rFonts w:hint="eastAsia" w:ascii="仿宋" w:hAnsi="仿宋" w:eastAsia="仿宋" w:cs="仿宋"/>
          <w:sz w:val="24"/>
          <w:szCs w:val="24"/>
          <w:lang w:val="zh-CN"/>
        </w:rPr>
        <w:t>。</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2.供应商应如实列出以上情况，如有隐瞒，一经查实将导致其投标文件被拒绝。</w:t>
      </w:r>
    </w:p>
    <w:p>
      <w:pPr>
        <w:autoSpaceDE w:val="0"/>
        <w:autoSpaceDN w:val="0"/>
        <w:adjustRightInd w:val="0"/>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3.未按上述要求提供、填写的，评审时不予以考虑。</w:t>
      </w:r>
    </w:p>
    <w:p>
      <w:pPr>
        <w:spacing w:line="360" w:lineRule="auto"/>
        <w:ind w:right="-197" w:rightChars="-94" w:firstLine="480" w:firstLineChars="200"/>
        <w:jc w:val="left"/>
        <w:rPr>
          <w:rFonts w:ascii="仿宋" w:hAnsi="仿宋" w:eastAsia="仿宋" w:cs="仿宋"/>
          <w:sz w:val="24"/>
          <w:szCs w:val="24"/>
        </w:rPr>
      </w:pPr>
    </w:p>
    <w:p>
      <w:pPr>
        <w:spacing w:line="360" w:lineRule="auto"/>
        <w:ind w:right="-197" w:rightChars="-94" w:firstLine="480" w:firstLineChars="200"/>
        <w:jc w:val="left"/>
        <w:rPr>
          <w:rFonts w:ascii="仿宋" w:hAnsi="仿宋" w:eastAsia="仿宋" w:cs="仿宋"/>
          <w:sz w:val="24"/>
          <w:szCs w:val="24"/>
        </w:rPr>
      </w:pPr>
    </w:p>
    <w:p>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供应商（公章）：</w:t>
      </w:r>
      <w:r>
        <w:rPr>
          <w:rFonts w:hint="eastAsia" w:ascii="仿宋" w:hAnsi="仿宋" w:eastAsia="仿宋" w:cs="仿宋"/>
          <w:sz w:val="24"/>
          <w:szCs w:val="24"/>
          <w:u w:val="single"/>
          <w:lang w:val="en-US" w:eastAsia="zh-CN"/>
        </w:rPr>
        <w:t xml:space="preserve">                         </w:t>
      </w:r>
    </w:p>
    <w:p>
      <w:pPr>
        <w:spacing w:line="360" w:lineRule="auto"/>
        <w:ind w:firstLine="3360" w:firstLineChars="1400"/>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lang w:val="en-US" w:eastAsia="zh-CN"/>
        </w:rPr>
        <w:t xml:space="preserve">     </w:t>
      </w:r>
    </w:p>
    <w:p>
      <w:pPr>
        <w:autoSpaceDE w:val="0"/>
        <w:autoSpaceDN w:val="0"/>
        <w:adjustRightInd w:val="0"/>
        <w:spacing w:line="360" w:lineRule="auto"/>
        <w:ind w:firstLine="4080" w:firstLineChars="1700"/>
        <w:rPr>
          <w:rFonts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lang w:val="en-US" w:eastAsia="zh-CN"/>
        </w:rPr>
        <w:t xml:space="preserve">                              </w:t>
      </w:r>
    </w:p>
    <w:p>
      <w:pPr>
        <w:pageBreakBefore/>
        <w:numPr>
          <w:ilvl w:val="0"/>
          <w:numId w:val="24"/>
        </w:numPr>
        <w:spacing w:line="360" w:lineRule="auto"/>
        <w:jc w:val="center"/>
        <w:outlineLvl w:val="1"/>
        <w:rPr>
          <w:rFonts w:ascii="仿宋" w:hAnsi="仿宋" w:eastAsia="仿宋" w:cs="仿宋"/>
          <w:b/>
          <w:bCs/>
          <w:sz w:val="32"/>
          <w:szCs w:val="15"/>
          <w:lang w:val="zh-CN"/>
        </w:rPr>
      </w:pPr>
      <w:bookmarkStart w:id="585" w:name="_Toc8704"/>
      <w:r>
        <w:rPr>
          <w:rFonts w:hint="eastAsia" w:ascii="仿宋" w:hAnsi="仿宋" w:eastAsia="仿宋" w:cs="仿宋"/>
          <w:b/>
          <w:bCs/>
          <w:sz w:val="32"/>
          <w:szCs w:val="15"/>
          <w:lang w:val="zh-CN"/>
        </w:rPr>
        <w:t>团队人员评价</w:t>
      </w:r>
      <w:bookmarkEnd w:id="585"/>
    </w:p>
    <w:p>
      <w:pPr>
        <w:pStyle w:val="2"/>
        <w:jc w:val="center"/>
        <w:rPr>
          <w:lang w:val="zh-CN"/>
        </w:rPr>
      </w:pPr>
      <w:r>
        <w:rPr>
          <w:rFonts w:hint="eastAsia" w:ascii="仿宋" w:hAnsi="仿宋" w:eastAsia="仿宋" w:cs="仿宋"/>
          <w:sz w:val="24"/>
          <w:szCs w:val="24"/>
        </w:rPr>
        <w:t>根据《</w:t>
      </w:r>
      <w:r>
        <w:rPr>
          <w:rFonts w:hint="eastAsia" w:ascii="仿宋" w:hAnsi="仿宋" w:eastAsia="仿宋" w:cs="仿宋"/>
          <w:sz w:val="24"/>
          <w:szCs w:val="24"/>
          <w:lang w:val="zh-CN"/>
        </w:rPr>
        <w:t>评标因素及权重分解表</w:t>
      </w:r>
      <w:r>
        <w:rPr>
          <w:rFonts w:hint="eastAsia" w:ascii="仿宋" w:hAnsi="仿宋" w:eastAsia="仿宋" w:cs="仿宋"/>
          <w:sz w:val="24"/>
          <w:szCs w:val="24"/>
        </w:rPr>
        <w:t>》自行提供</w:t>
      </w:r>
    </w:p>
    <w:p>
      <w:pPr>
        <w:pageBreakBefore/>
        <w:spacing w:line="360" w:lineRule="auto"/>
        <w:jc w:val="center"/>
        <w:rPr>
          <w:rFonts w:ascii="仿宋" w:hAnsi="仿宋" w:eastAsia="仿宋" w:cs="仿宋"/>
          <w:b/>
          <w:bCs/>
          <w:sz w:val="32"/>
          <w:szCs w:val="15"/>
          <w:lang w:val="zh-CN"/>
        </w:rPr>
      </w:pPr>
      <w:r>
        <w:rPr>
          <w:rFonts w:hint="eastAsia" w:ascii="仿宋" w:hAnsi="仿宋" w:eastAsia="仿宋" w:cs="仿宋"/>
          <w:b/>
          <w:bCs/>
          <w:sz w:val="32"/>
          <w:szCs w:val="15"/>
          <w:lang w:val="zh-CN"/>
        </w:rPr>
        <w:t>拟投入本项目的主要负责人简历表</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682"/>
        <w:gridCol w:w="1050"/>
        <w:gridCol w:w="945"/>
        <w:gridCol w:w="945"/>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996" w:type="dxa"/>
            <w:noWrap/>
            <w:vAlign w:val="center"/>
          </w:tcPr>
          <w:p>
            <w:pPr>
              <w:jc w:val="center"/>
              <w:rPr>
                <w:rFonts w:ascii="仿宋" w:hAnsi="仿宋" w:eastAsia="仿宋" w:cs="仿宋"/>
                <w:bCs/>
                <w:sz w:val="24"/>
                <w:szCs w:val="24"/>
              </w:rPr>
            </w:pPr>
            <w:r>
              <w:rPr>
                <w:rFonts w:hint="eastAsia" w:ascii="仿宋" w:hAnsi="仿宋" w:eastAsia="仿宋" w:cs="仿宋"/>
                <w:bCs/>
                <w:sz w:val="24"/>
                <w:szCs w:val="24"/>
              </w:rPr>
              <w:t>姓  名</w:t>
            </w:r>
          </w:p>
        </w:tc>
        <w:tc>
          <w:tcPr>
            <w:tcW w:w="1682" w:type="dxa"/>
            <w:noWrap/>
            <w:vAlign w:val="center"/>
          </w:tcPr>
          <w:p>
            <w:pPr>
              <w:jc w:val="center"/>
              <w:rPr>
                <w:rFonts w:ascii="仿宋" w:hAnsi="仿宋" w:eastAsia="仿宋" w:cs="仿宋"/>
                <w:bCs/>
                <w:sz w:val="24"/>
                <w:szCs w:val="24"/>
              </w:rPr>
            </w:pPr>
          </w:p>
        </w:tc>
        <w:tc>
          <w:tcPr>
            <w:tcW w:w="1050" w:type="dxa"/>
            <w:noWrap/>
            <w:vAlign w:val="center"/>
          </w:tcPr>
          <w:p>
            <w:pPr>
              <w:jc w:val="center"/>
              <w:rPr>
                <w:rFonts w:ascii="仿宋" w:hAnsi="仿宋" w:eastAsia="仿宋" w:cs="仿宋"/>
                <w:bCs/>
                <w:sz w:val="24"/>
                <w:szCs w:val="24"/>
              </w:rPr>
            </w:pPr>
            <w:r>
              <w:rPr>
                <w:rFonts w:hint="eastAsia" w:ascii="仿宋" w:hAnsi="仿宋" w:eastAsia="仿宋" w:cs="仿宋"/>
                <w:bCs/>
                <w:sz w:val="24"/>
                <w:szCs w:val="24"/>
              </w:rPr>
              <w:t>性 别</w:t>
            </w:r>
          </w:p>
        </w:tc>
        <w:tc>
          <w:tcPr>
            <w:tcW w:w="945" w:type="dxa"/>
            <w:noWrap/>
            <w:vAlign w:val="center"/>
          </w:tcPr>
          <w:p>
            <w:pPr>
              <w:rPr>
                <w:rFonts w:ascii="仿宋" w:hAnsi="仿宋" w:eastAsia="仿宋" w:cs="仿宋"/>
                <w:bCs/>
                <w:sz w:val="24"/>
                <w:szCs w:val="24"/>
              </w:rPr>
            </w:pPr>
          </w:p>
        </w:tc>
        <w:tc>
          <w:tcPr>
            <w:tcW w:w="945" w:type="dxa"/>
            <w:noWrap/>
            <w:vAlign w:val="center"/>
          </w:tcPr>
          <w:p>
            <w:pPr>
              <w:jc w:val="center"/>
              <w:rPr>
                <w:rFonts w:ascii="仿宋" w:hAnsi="仿宋" w:eastAsia="仿宋" w:cs="仿宋"/>
                <w:bCs/>
                <w:sz w:val="24"/>
                <w:szCs w:val="24"/>
              </w:rPr>
            </w:pPr>
            <w:r>
              <w:rPr>
                <w:rFonts w:hint="eastAsia" w:ascii="仿宋" w:hAnsi="仿宋" w:eastAsia="仿宋" w:cs="仿宋"/>
                <w:bCs/>
                <w:sz w:val="24"/>
                <w:szCs w:val="24"/>
              </w:rPr>
              <w:t>出生 日期</w:t>
            </w:r>
          </w:p>
        </w:tc>
        <w:tc>
          <w:tcPr>
            <w:tcW w:w="2727" w:type="dxa"/>
            <w:noWrap/>
            <w:vAlign w:val="center"/>
          </w:tcPr>
          <w:p>
            <w:pPr>
              <w:ind w:firstLine="360" w:firstLineChars="150"/>
              <w:jc w:val="left"/>
              <w:rPr>
                <w:rFonts w:ascii="仿宋" w:hAnsi="仿宋" w:eastAsia="仿宋" w:cs="仿宋"/>
                <w:bCs/>
                <w:sz w:val="24"/>
                <w:szCs w:val="24"/>
              </w:rPr>
            </w:pPr>
            <w:r>
              <w:rPr>
                <w:rFonts w:hint="eastAsia" w:ascii="仿宋" w:hAnsi="仿宋" w:eastAsia="仿宋" w:cs="仿宋"/>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996" w:type="dxa"/>
            <w:noWrap/>
            <w:vAlign w:val="center"/>
          </w:tcPr>
          <w:p>
            <w:pPr>
              <w:jc w:val="center"/>
              <w:rPr>
                <w:rFonts w:ascii="仿宋" w:hAnsi="仿宋" w:eastAsia="仿宋" w:cs="仿宋"/>
                <w:bCs/>
                <w:sz w:val="24"/>
                <w:szCs w:val="24"/>
              </w:rPr>
            </w:pPr>
            <w:r>
              <w:rPr>
                <w:rFonts w:hint="eastAsia" w:ascii="仿宋" w:hAnsi="仿宋" w:eastAsia="仿宋" w:cs="仿宋"/>
                <w:bCs/>
                <w:sz w:val="24"/>
                <w:szCs w:val="24"/>
              </w:rPr>
              <w:t>毕业院校及专业</w:t>
            </w:r>
          </w:p>
        </w:tc>
        <w:tc>
          <w:tcPr>
            <w:tcW w:w="3677" w:type="dxa"/>
            <w:gridSpan w:val="3"/>
            <w:noWrap/>
            <w:vAlign w:val="center"/>
          </w:tcPr>
          <w:p>
            <w:pPr>
              <w:rPr>
                <w:rFonts w:ascii="仿宋" w:hAnsi="仿宋" w:eastAsia="仿宋" w:cs="仿宋"/>
                <w:bCs/>
                <w:sz w:val="24"/>
                <w:szCs w:val="24"/>
              </w:rPr>
            </w:pPr>
          </w:p>
        </w:tc>
        <w:tc>
          <w:tcPr>
            <w:tcW w:w="945" w:type="dxa"/>
            <w:noWrap/>
            <w:vAlign w:val="center"/>
          </w:tcPr>
          <w:p>
            <w:pPr>
              <w:ind w:left="-18"/>
              <w:jc w:val="center"/>
              <w:rPr>
                <w:rFonts w:ascii="仿宋" w:hAnsi="仿宋" w:eastAsia="仿宋" w:cs="仿宋"/>
                <w:bCs/>
                <w:sz w:val="24"/>
                <w:szCs w:val="24"/>
              </w:rPr>
            </w:pPr>
            <w:r>
              <w:rPr>
                <w:rFonts w:hint="eastAsia" w:ascii="仿宋" w:hAnsi="仿宋" w:eastAsia="仿宋" w:cs="仿宋"/>
                <w:bCs/>
                <w:sz w:val="24"/>
                <w:szCs w:val="24"/>
              </w:rPr>
              <w:t>毕业 时间</w:t>
            </w:r>
          </w:p>
        </w:tc>
        <w:tc>
          <w:tcPr>
            <w:tcW w:w="2727" w:type="dxa"/>
            <w:noWrap/>
            <w:vAlign w:val="center"/>
          </w:tcPr>
          <w:p>
            <w:pPr>
              <w:ind w:left="45"/>
              <w:jc w:val="left"/>
              <w:rPr>
                <w:rFonts w:ascii="仿宋" w:hAnsi="仿宋" w:eastAsia="仿宋" w:cs="仿宋"/>
                <w:bCs/>
                <w:sz w:val="24"/>
                <w:szCs w:val="24"/>
              </w:rPr>
            </w:pPr>
            <w:r>
              <w:rPr>
                <w:rFonts w:hint="eastAsia" w:ascii="仿宋" w:hAnsi="仿宋" w:eastAsia="仿宋" w:cs="仿宋"/>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996" w:type="dxa"/>
            <w:noWrap/>
            <w:vAlign w:val="center"/>
          </w:tcPr>
          <w:p>
            <w:pPr>
              <w:jc w:val="center"/>
              <w:rPr>
                <w:rFonts w:ascii="仿宋" w:hAnsi="仿宋" w:eastAsia="仿宋" w:cs="仿宋"/>
                <w:bCs/>
                <w:sz w:val="24"/>
                <w:szCs w:val="24"/>
              </w:rPr>
            </w:pPr>
            <w:r>
              <w:rPr>
                <w:rFonts w:hint="eastAsia" w:ascii="仿宋" w:hAnsi="仿宋" w:eastAsia="仿宋" w:cs="仿宋"/>
                <w:bCs/>
                <w:sz w:val="24"/>
                <w:szCs w:val="24"/>
              </w:rPr>
              <w:t>工作年限</w:t>
            </w:r>
          </w:p>
        </w:tc>
        <w:tc>
          <w:tcPr>
            <w:tcW w:w="7349" w:type="dxa"/>
            <w:gridSpan w:val="5"/>
            <w:noWrap/>
            <w:vAlign w:val="center"/>
          </w:tcPr>
          <w:p>
            <w:pP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345" w:type="dxa"/>
            <w:gridSpan w:val="6"/>
            <w:noWrap/>
            <w:vAlign w:val="center"/>
          </w:tcPr>
          <w:p>
            <w:pPr>
              <w:jc w:val="center"/>
              <w:rPr>
                <w:rFonts w:ascii="仿宋" w:hAnsi="仿宋" w:eastAsia="仿宋" w:cs="仿宋"/>
                <w:bCs/>
                <w:sz w:val="24"/>
                <w:szCs w:val="24"/>
              </w:rPr>
            </w:pPr>
            <w:r>
              <w:rPr>
                <w:rFonts w:hint="eastAsia" w:ascii="仿宋" w:hAnsi="仿宋" w:eastAsia="仿宋" w:cs="仿宋"/>
                <w:bCs/>
                <w:sz w:val="24"/>
                <w:szCs w:val="24"/>
              </w:rPr>
              <w:t>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996" w:type="dxa"/>
            <w:noWrap/>
            <w:vAlign w:val="center"/>
          </w:tcPr>
          <w:p>
            <w:pPr>
              <w:jc w:val="center"/>
              <w:rPr>
                <w:rFonts w:ascii="仿宋" w:hAnsi="仿宋" w:eastAsia="仿宋" w:cs="仿宋"/>
                <w:bCs/>
                <w:sz w:val="24"/>
                <w:szCs w:val="24"/>
              </w:rPr>
            </w:pPr>
            <w:r>
              <w:rPr>
                <w:rFonts w:hint="eastAsia" w:ascii="仿宋" w:hAnsi="仿宋" w:eastAsia="仿宋" w:cs="仿宋"/>
                <w:bCs/>
                <w:sz w:val="24"/>
                <w:szCs w:val="24"/>
              </w:rPr>
              <w:t>时   间</w:t>
            </w:r>
          </w:p>
        </w:tc>
        <w:tc>
          <w:tcPr>
            <w:tcW w:w="4622" w:type="dxa"/>
            <w:gridSpan w:val="4"/>
            <w:noWrap/>
            <w:vAlign w:val="center"/>
          </w:tcPr>
          <w:p>
            <w:pPr>
              <w:jc w:val="center"/>
              <w:rPr>
                <w:rFonts w:ascii="仿宋" w:hAnsi="仿宋" w:eastAsia="仿宋" w:cs="仿宋"/>
                <w:bCs/>
                <w:sz w:val="24"/>
                <w:szCs w:val="24"/>
              </w:rPr>
            </w:pPr>
            <w:r>
              <w:rPr>
                <w:rFonts w:hint="eastAsia" w:ascii="仿宋" w:hAnsi="仿宋" w:eastAsia="仿宋" w:cs="仿宋"/>
                <w:bCs/>
                <w:sz w:val="24"/>
                <w:szCs w:val="24"/>
              </w:rPr>
              <w:t>参加过的项目名称及规模</w:t>
            </w:r>
          </w:p>
        </w:tc>
        <w:tc>
          <w:tcPr>
            <w:tcW w:w="2727" w:type="dxa"/>
            <w:noWrap/>
            <w:vAlign w:val="center"/>
          </w:tcPr>
          <w:p>
            <w:pPr>
              <w:jc w:val="center"/>
              <w:rPr>
                <w:rFonts w:ascii="仿宋" w:hAnsi="仿宋" w:eastAsia="仿宋" w:cs="仿宋"/>
                <w:bCs/>
                <w:sz w:val="24"/>
                <w:szCs w:val="24"/>
              </w:rPr>
            </w:pPr>
            <w:r>
              <w:rPr>
                <w:rFonts w:hint="eastAsia" w:ascii="仿宋" w:hAnsi="仿宋" w:eastAsia="仿宋" w:cs="仿宋"/>
                <w:bCs/>
                <w:sz w:val="24"/>
                <w:szCs w:val="24"/>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trPr>
        <w:tc>
          <w:tcPr>
            <w:tcW w:w="1996" w:type="dxa"/>
            <w:noWrap/>
          </w:tcPr>
          <w:p>
            <w:pPr>
              <w:rPr>
                <w:rFonts w:ascii="仿宋" w:hAnsi="仿宋" w:eastAsia="仿宋" w:cs="仿宋"/>
                <w:bCs/>
                <w:sz w:val="24"/>
                <w:szCs w:val="24"/>
              </w:rPr>
            </w:pPr>
          </w:p>
        </w:tc>
        <w:tc>
          <w:tcPr>
            <w:tcW w:w="4622" w:type="dxa"/>
            <w:gridSpan w:val="4"/>
            <w:noWrap/>
          </w:tcPr>
          <w:p>
            <w:pPr>
              <w:rPr>
                <w:rFonts w:ascii="仿宋" w:hAnsi="仿宋" w:eastAsia="仿宋" w:cs="仿宋"/>
                <w:bCs/>
                <w:sz w:val="24"/>
                <w:szCs w:val="24"/>
              </w:rPr>
            </w:pPr>
            <w:r>
              <w:rPr>
                <w:rFonts w:hint="eastAsia" w:ascii="仿宋" w:hAnsi="仿宋" w:eastAsia="仿宋" w:cs="仿宋"/>
                <w:bCs/>
                <w:sz w:val="24"/>
                <w:szCs w:val="24"/>
              </w:rPr>
              <w:t>（列举两项以上同类项目业绩）</w:t>
            </w:r>
          </w:p>
        </w:tc>
        <w:tc>
          <w:tcPr>
            <w:tcW w:w="2727" w:type="dxa"/>
            <w:noWrap/>
          </w:tcPr>
          <w:p>
            <w:pPr>
              <w:rPr>
                <w:rFonts w:ascii="仿宋" w:hAnsi="仿宋" w:eastAsia="仿宋" w:cs="仿宋"/>
                <w:bCs/>
                <w:sz w:val="24"/>
                <w:szCs w:val="24"/>
              </w:rPr>
            </w:pPr>
          </w:p>
        </w:tc>
      </w:tr>
    </w:tbl>
    <w:p>
      <w:pPr>
        <w:spacing w:line="360" w:lineRule="auto"/>
        <w:ind w:firstLine="4080" w:firstLineChars="1700"/>
        <w:rPr>
          <w:rFonts w:ascii="仿宋" w:hAnsi="仿宋" w:eastAsia="仿宋" w:cs="仿宋"/>
          <w:sz w:val="24"/>
          <w:szCs w:val="24"/>
        </w:rPr>
      </w:pPr>
    </w:p>
    <w:p>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供应商（公章）：</w:t>
      </w:r>
      <w:r>
        <w:rPr>
          <w:rFonts w:hint="eastAsia" w:ascii="仿宋" w:hAnsi="仿宋" w:eastAsia="仿宋" w:cs="仿宋"/>
          <w:sz w:val="24"/>
          <w:szCs w:val="24"/>
          <w:u w:val="single"/>
          <w:lang w:val="en-US" w:eastAsia="zh-CN"/>
        </w:rPr>
        <w:t xml:space="preserve">                         </w:t>
      </w:r>
    </w:p>
    <w:p>
      <w:pPr>
        <w:spacing w:line="360" w:lineRule="auto"/>
        <w:ind w:firstLine="3360" w:firstLineChars="1400"/>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lang w:val="en-US" w:eastAsia="zh-CN"/>
        </w:rPr>
        <w:t xml:space="preserve">     </w:t>
      </w:r>
    </w:p>
    <w:p>
      <w:pPr>
        <w:spacing w:line="360" w:lineRule="auto"/>
        <w:ind w:firstLine="4080" w:firstLineChars="1700"/>
        <w:rPr>
          <w:rFonts w:ascii="仿宋" w:hAnsi="仿宋" w:eastAsia="仿宋" w:cs="仿宋"/>
          <w:b/>
          <w:sz w:val="32"/>
          <w:szCs w:val="32"/>
        </w:rPr>
      </w:pPr>
      <w:r>
        <w:rPr>
          <w:rFonts w:hint="eastAsia" w:ascii="仿宋" w:hAnsi="仿宋" w:eastAsia="仿宋" w:cs="仿宋"/>
          <w:sz w:val="24"/>
          <w:szCs w:val="24"/>
        </w:rPr>
        <w:t>日    期：</w:t>
      </w:r>
      <w:r>
        <w:rPr>
          <w:rFonts w:hint="eastAsia" w:ascii="仿宋" w:hAnsi="仿宋" w:eastAsia="仿宋" w:cs="仿宋"/>
          <w:sz w:val="24"/>
          <w:szCs w:val="24"/>
          <w:u w:val="single"/>
          <w:lang w:val="en-US" w:eastAsia="zh-CN"/>
        </w:rPr>
        <w:t xml:space="preserve">                              </w:t>
      </w:r>
    </w:p>
    <w:bookmarkEnd w:id="538"/>
    <w:bookmarkEnd w:id="568"/>
    <w:bookmarkEnd w:id="569"/>
    <w:bookmarkEnd w:id="570"/>
    <w:p>
      <w:pPr>
        <w:pageBreakBefore/>
        <w:spacing w:line="360" w:lineRule="auto"/>
        <w:jc w:val="center"/>
        <w:rPr>
          <w:rFonts w:ascii="仿宋" w:hAnsi="仿宋" w:eastAsia="仿宋" w:cs="仿宋"/>
          <w:b/>
          <w:sz w:val="32"/>
          <w:szCs w:val="32"/>
        </w:rPr>
        <w:sectPr>
          <w:footerReference r:id="rId12" w:type="default"/>
          <w:pgSz w:w="11906" w:h="16838"/>
          <w:pgMar w:top="1440" w:right="1803" w:bottom="1440" w:left="1803" w:header="851" w:footer="992" w:gutter="0"/>
          <w:cols w:space="0" w:num="1"/>
          <w:rtlGutter w:val="0"/>
          <w:docGrid w:type="lines" w:linePitch="312" w:charSpace="0"/>
        </w:sectPr>
      </w:pPr>
      <w:bookmarkStart w:id="586" w:name="_Toc31212"/>
      <w:bookmarkStart w:id="587" w:name="_Toc4764"/>
      <w:bookmarkStart w:id="588" w:name="_Toc370"/>
    </w:p>
    <w:bookmarkEnd w:id="535"/>
    <w:bookmarkEnd w:id="536"/>
    <w:bookmarkEnd w:id="537"/>
    <w:bookmarkEnd w:id="586"/>
    <w:bookmarkEnd w:id="587"/>
    <w:bookmarkEnd w:id="588"/>
    <w:p>
      <w:pPr>
        <w:pStyle w:val="4"/>
        <w:spacing w:line="360" w:lineRule="auto"/>
        <w:rPr>
          <w:rFonts w:ascii="仿宋" w:hAnsi="仿宋" w:eastAsia="仿宋" w:cs="仿宋"/>
          <w:bCs/>
          <w:kern w:val="2"/>
          <w:sz w:val="32"/>
          <w:szCs w:val="15"/>
          <w:lang w:val="zh-CN"/>
        </w:rPr>
      </w:pPr>
      <w:bookmarkStart w:id="589" w:name="_Toc12181"/>
      <w:bookmarkStart w:id="590" w:name="_Toc14104"/>
      <w:bookmarkStart w:id="591" w:name="_Toc8517"/>
      <w:bookmarkStart w:id="592" w:name="_Toc32284"/>
      <w:bookmarkStart w:id="593" w:name="_Toc16096"/>
      <w:bookmarkStart w:id="594" w:name="_Toc16864"/>
      <w:bookmarkStart w:id="595" w:name="_Toc5159"/>
      <w:bookmarkStart w:id="596" w:name="_Toc24481"/>
      <w:bookmarkStart w:id="597" w:name="_Toc13555"/>
      <w:bookmarkStart w:id="598" w:name="_Toc3359"/>
      <w:r>
        <w:rPr>
          <w:rFonts w:hint="eastAsia" w:ascii="仿宋" w:hAnsi="仿宋" w:eastAsia="仿宋" w:cs="仿宋"/>
          <w:bCs/>
          <w:kern w:val="2"/>
          <w:sz w:val="32"/>
          <w:szCs w:val="15"/>
          <w:lang w:val="zh-CN"/>
        </w:rPr>
        <w:t>十、</w:t>
      </w:r>
      <w:bookmarkEnd w:id="589"/>
      <w:bookmarkEnd w:id="590"/>
      <w:bookmarkEnd w:id="591"/>
      <w:bookmarkEnd w:id="592"/>
      <w:bookmarkEnd w:id="593"/>
      <w:bookmarkEnd w:id="594"/>
      <w:bookmarkEnd w:id="595"/>
      <w:r>
        <w:rPr>
          <w:rFonts w:hint="eastAsia" w:ascii="仿宋" w:hAnsi="仿宋" w:eastAsia="仿宋" w:cs="仿宋"/>
          <w:bCs/>
          <w:kern w:val="2"/>
          <w:sz w:val="32"/>
          <w:szCs w:val="15"/>
          <w:lang w:val="zh-CN"/>
        </w:rPr>
        <w:t>总体技术方案评价</w:t>
      </w:r>
      <w:bookmarkEnd w:id="596"/>
    </w:p>
    <w:p>
      <w:pPr>
        <w:spacing w:line="360" w:lineRule="auto"/>
        <w:jc w:val="center"/>
        <w:rPr>
          <w:rFonts w:ascii="仿宋" w:hAnsi="仿宋" w:eastAsia="仿宋" w:cs="仿宋"/>
          <w:bCs/>
          <w:sz w:val="32"/>
          <w:szCs w:val="15"/>
          <w:lang w:val="zh-CN"/>
        </w:rPr>
      </w:pPr>
      <w:r>
        <w:rPr>
          <w:rFonts w:hint="eastAsia" w:ascii="仿宋" w:hAnsi="仿宋" w:eastAsia="仿宋" w:cs="仿宋"/>
          <w:sz w:val="24"/>
          <w:szCs w:val="24"/>
        </w:rPr>
        <w:t>根据《</w:t>
      </w:r>
      <w:r>
        <w:rPr>
          <w:rFonts w:hint="eastAsia" w:ascii="仿宋" w:hAnsi="仿宋" w:eastAsia="仿宋" w:cs="仿宋"/>
          <w:sz w:val="24"/>
          <w:szCs w:val="24"/>
          <w:lang w:val="zh-CN"/>
        </w:rPr>
        <w:t>评标因素及权重分解表</w:t>
      </w:r>
      <w:r>
        <w:rPr>
          <w:rFonts w:hint="eastAsia" w:ascii="仿宋" w:hAnsi="仿宋" w:eastAsia="仿宋" w:cs="仿宋"/>
          <w:sz w:val="24"/>
          <w:szCs w:val="24"/>
        </w:rPr>
        <w:t>》自行提供</w:t>
      </w:r>
    </w:p>
    <w:p>
      <w:pPr>
        <w:pStyle w:val="4"/>
        <w:spacing w:line="360" w:lineRule="auto"/>
        <w:rPr>
          <w:rFonts w:ascii="仿宋" w:hAnsi="仿宋" w:eastAsia="仿宋" w:cs="仿宋"/>
          <w:bCs/>
          <w:kern w:val="2"/>
          <w:sz w:val="32"/>
          <w:szCs w:val="15"/>
          <w:lang w:val="zh-CN"/>
        </w:rPr>
      </w:pPr>
      <w:bookmarkStart w:id="599" w:name="_Toc18718"/>
      <w:r>
        <w:rPr>
          <w:rFonts w:hint="eastAsia" w:ascii="仿宋" w:hAnsi="仿宋" w:eastAsia="仿宋" w:cs="仿宋"/>
          <w:bCs/>
          <w:kern w:val="2"/>
          <w:sz w:val="32"/>
          <w:szCs w:val="15"/>
          <w:lang w:val="zh-CN"/>
        </w:rPr>
        <w:t>十一．项目实施方案评价</w:t>
      </w:r>
      <w:bookmarkEnd w:id="599"/>
    </w:p>
    <w:p>
      <w:pPr>
        <w:spacing w:line="360" w:lineRule="auto"/>
        <w:jc w:val="center"/>
        <w:rPr>
          <w:rFonts w:ascii="仿宋" w:hAnsi="仿宋" w:eastAsia="仿宋" w:cs="仿宋"/>
          <w:sz w:val="24"/>
          <w:szCs w:val="24"/>
          <w:lang w:val="zh-CN"/>
        </w:rPr>
      </w:pPr>
      <w:r>
        <w:rPr>
          <w:rFonts w:hint="eastAsia" w:ascii="仿宋" w:hAnsi="仿宋" w:eastAsia="仿宋" w:cs="仿宋"/>
          <w:sz w:val="24"/>
          <w:szCs w:val="24"/>
          <w:lang w:val="zh-CN"/>
        </w:rPr>
        <w:t>根据《评标因素及权重分解表》自行提供</w:t>
      </w:r>
    </w:p>
    <w:p>
      <w:pPr>
        <w:pStyle w:val="4"/>
        <w:spacing w:line="360" w:lineRule="auto"/>
        <w:rPr>
          <w:rFonts w:ascii="仿宋" w:hAnsi="仿宋" w:eastAsia="仿宋" w:cs="仿宋"/>
          <w:bCs/>
          <w:kern w:val="2"/>
          <w:sz w:val="32"/>
          <w:szCs w:val="15"/>
          <w:lang w:val="zh-CN"/>
        </w:rPr>
      </w:pPr>
      <w:bookmarkStart w:id="600" w:name="_Toc10293"/>
      <w:r>
        <w:rPr>
          <w:rFonts w:hint="eastAsia" w:ascii="仿宋" w:hAnsi="仿宋" w:eastAsia="仿宋" w:cs="仿宋"/>
          <w:bCs/>
          <w:kern w:val="2"/>
          <w:sz w:val="32"/>
          <w:szCs w:val="15"/>
          <w:lang w:val="zh-CN" w:eastAsia="zh-CN"/>
        </w:rPr>
        <w:t>十二、售后服务方案评价</w:t>
      </w:r>
      <w:bookmarkEnd w:id="600"/>
    </w:p>
    <w:p>
      <w:pPr>
        <w:spacing w:line="360" w:lineRule="auto"/>
        <w:jc w:val="center"/>
        <w:rPr>
          <w:rFonts w:ascii="仿宋" w:hAnsi="仿宋" w:eastAsia="仿宋" w:cs="仿宋"/>
          <w:sz w:val="24"/>
          <w:szCs w:val="24"/>
          <w:lang w:val="zh-CN"/>
        </w:rPr>
      </w:pPr>
      <w:r>
        <w:rPr>
          <w:rFonts w:hint="eastAsia" w:ascii="仿宋" w:hAnsi="仿宋" w:eastAsia="仿宋" w:cs="仿宋"/>
          <w:sz w:val="24"/>
          <w:szCs w:val="24"/>
          <w:lang w:val="zh-CN"/>
        </w:rPr>
        <w:t>根据《评标因素及权重分解表》自行提供</w:t>
      </w:r>
    </w:p>
    <w:p>
      <w:pPr>
        <w:pStyle w:val="4"/>
        <w:spacing w:line="360" w:lineRule="auto"/>
        <w:rPr>
          <w:rFonts w:ascii="仿宋" w:hAnsi="仿宋" w:eastAsia="仿宋" w:cs="仿宋"/>
          <w:bCs/>
          <w:kern w:val="2"/>
          <w:sz w:val="32"/>
          <w:szCs w:val="15"/>
          <w:lang w:val="zh-CN"/>
        </w:rPr>
      </w:pPr>
      <w:bookmarkStart w:id="601" w:name="_Toc28728"/>
      <w:r>
        <w:rPr>
          <w:rFonts w:hint="eastAsia" w:ascii="仿宋" w:hAnsi="仿宋" w:eastAsia="仿宋" w:cs="仿宋"/>
          <w:bCs/>
          <w:kern w:val="2"/>
          <w:sz w:val="32"/>
          <w:szCs w:val="15"/>
          <w:lang w:val="zh-CN" w:eastAsia="zh-CN"/>
        </w:rPr>
        <w:t>十三、投标响应评价</w:t>
      </w:r>
      <w:bookmarkEnd w:id="601"/>
    </w:p>
    <w:p>
      <w:pPr>
        <w:spacing w:line="360" w:lineRule="auto"/>
        <w:jc w:val="center"/>
        <w:rPr>
          <w:rFonts w:ascii="仿宋" w:hAnsi="仿宋" w:eastAsia="仿宋" w:cs="仿宋"/>
          <w:sz w:val="24"/>
          <w:szCs w:val="24"/>
          <w:lang w:val="zh-CN"/>
        </w:rPr>
      </w:pPr>
      <w:r>
        <w:rPr>
          <w:rFonts w:hint="eastAsia" w:ascii="仿宋" w:hAnsi="仿宋" w:eastAsia="仿宋" w:cs="仿宋"/>
          <w:sz w:val="24"/>
          <w:szCs w:val="24"/>
          <w:lang w:val="zh-CN"/>
        </w:rPr>
        <w:t>根据《评标因素及权重分解表》自行提供</w:t>
      </w:r>
    </w:p>
    <w:p>
      <w:pPr>
        <w:pStyle w:val="4"/>
        <w:spacing w:line="360" w:lineRule="auto"/>
        <w:rPr>
          <w:rFonts w:ascii="仿宋" w:hAnsi="仿宋" w:eastAsia="仿宋" w:cs="仿宋"/>
          <w:bCs/>
          <w:kern w:val="2"/>
          <w:sz w:val="32"/>
          <w:szCs w:val="15"/>
          <w:lang w:val="zh-CN"/>
        </w:rPr>
      </w:pPr>
      <w:bookmarkStart w:id="602" w:name="_Toc135"/>
      <w:r>
        <w:rPr>
          <w:rFonts w:hint="eastAsia" w:ascii="仿宋" w:hAnsi="仿宋" w:eastAsia="仿宋" w:cs="仿宋"/>
          <w:bCs/>
          <w:kern w:val="2"/>
          <w:sz w:val="32"/>
          <w:szCs w:val="15"/>
          <w:lang w:val="zh-CN"/>
        </w:rPr>
        <w:t>十四、医疗交互标准符合度</w:t>
      </w:r>
      <w:bookmarkEnd w:id="602"/>
    </w:p>
    <w:p>
      <w:pPr>
        <w:spacing w:line="360" w:lineRule="auto"/>
        <w:jc w:val="center"/>
        <w:rPr>
          <w:rFonts w:ascii="仿宋" w:hAnsi="仿宋" w:eastAsia="仿宋" w:cs="仿宋"/>
          <w:sz w:val="24"/>
          <w:szCs w:val="24"/>
          <w:lang w:val="zh-CN"/>
        </w:rPr>
      </w:pPr>
      <w:r>
        <w:rPr>
          <w:rFonts w:hint="eastAsia" w:ascii="仿宋" w:hAnsi="仿宋" w:eastAsia="仿宋" w:cs="仿宋"/>
          <w:sz w:val="24"/>
          <w:szCs w:val="24"/>
          <w:lang w:val="zh-CN"/>
        </w:rPr>
        <w:t>根据《评标因素及权重分解表》自行提供</w:t>
      </w:r>
    </w:p>
    <w:p>
      <w:pPr>
        <w:pStyle w:val="4"/>
        <w:spacing w:line="360" w:lineRule="auto"/>
        <w:rPr>
          <w:rFonts w:ascii="仿宋" w:hAnsi="仿宋" w:eastAsia="仿宋" w:cs="仿宋"/>
          <w:bCs/>
          <w:kern w:val="2"/>
          <w:sz w:val="32"/>
          <w:szCs w:val="15"/>
          <w:lang w:val="zh-CN"/>
        </w:rPr>
      </w:pPr>
      <w:bookmarkStart w:id="603" w:name="_Toc3588"/>
      <w:r>
        <w:rPr>
          <w:rFonts w:hint="eastAsia" w:ascii="仿宋" w:hAnsi="仿宋" w:eastAsia="仿宋" w:cs="仿宋"/>
          <w:bCs/>
          <w:kern w:val="2"/>
          <w:sz w:val="32"/>
          <w:szCs w:val="15"/>
          <w:lang w:val="zh-CN"/>
        </w:rPr>
        <w:t>十五、产品技术能力</w:t>
      </w:r>
      <w:bookmarkEnd w:id="603"/>
    </w:p>
    <w:p>
      <w:pPr>
        <w:spacing w:line="360" w:lineRule="auto"/>
        <w:jc w:val="center"/>
        <w:rPr>
          <w:rFonts w:ascii="仿宋" w:hAnsi="仿宋" w:eastAsia="仿宋" w:cs="仿宋"/>
          <w:sz w:val="24"/>
          <w:szCs w:val="24"/>
          <w:lang w:val="zh-CN"/>
        </w:rPr>
      </w:pPr>
      <w:r>
        <w:rPr>
          <w:rFonts w:hint="eastAsia" w:ascii="仿宋" w:hAnsi="仿宋" w:eastAsia="仿宋" w:cs="仿宋"/>
          <w:sz w:val="24"/>
          <w:szCs w:val="24"/>
          <w:lang w:val="zh-CN"/>
        </w:rPr>
        <w:t>根据《评标因素及权重分解表》自行提供</w:t>
      </w:r>
    </w:p>
    <w:p>
      <w:pPr>
        <w:pStyle w:val="4"/>
        <w:keepNext w:val="0"/>
        <w:pageBreakBefore/>
        <w:spacing w:line="360" w:lineRule="auto"/>
        <w:rPr>
          <w:rFonts w:ascii="仿宋" w:hAnsi="仿宋" w:eastAsia="仿宋" w:cs="仿宋"/>
          <w:bCs/>
          <w:kern w:val="2"/>
          <w:sz w:val="32"/>
          <w:szCs w:val="15"/>
          <w:lang w:val="zh-CN"/>
        </w:rPr>
      </w:pPr>
      <w:bookmarkStart w:id="604" w:name="_Toc1022"/>
      <w:r>
        <w:rPr>
          <w:rFonts w:hint="eastAsia" w:ascii="仿宋" w:hAnsi="仿宋" w:eastAsia="仿宋" w:cs="仿宋"/>
          <w:bCs/>
          <w:kern w:val="2"/>
          <w:sz w:val="32"/>
          <w:szCs w:val="15"/>
          <w:lang w:val="zh-CN"/>
        </w:rPr>
        <w:t>十六、供应商企业关系关联承诺书</w:t>
      </w:r>
      <w:bookmarkEnd w:id="597"/>
      <w:bookmarkEnd w:id="598"/>
      <w:bookmarkEnd w:id="604"/>
    </w:p>
    <w:p>
      <w:pPr>
        <w:spacing w:line="360" w:lineRule="auto"/>
        <w:rPr>
          <w:rFonts w:ascii="仿宋" w:hAnsi="仿宋" w:eastAsia="仿宋" w:cs="仿宋"/>
          <w:spacing w:val="4"/>
          <w:sz w:val="24"/>
          <w:szCs w:val="24"/>
          <w:u w:val="single"/>
        </w:rPr>
      </w:pPr>
      <w:r>
        <w:rPr>
          <w:rFonts w:hint="eastAsia" w:ascii="仿宋" w:hAnsi="仿宋" w:eastAsia="仿宋" w:cs="仿宋"/>
          <w:spacing w:val="4"/>
          <w:sz w:val="24"/>
          <w:szCs w:val="24"/>
        </w:rPr>
        <w:t>致：</w:t>
      </w:r>
      <w:r>
        <w:rPr>
          <w:rFonts w:hint="eastAsia" w:ascii="仿宋" w:hAnsi="仿宋" w:eastAsia="仿宋" w:cs="仿宋"/>
          <w:spacing w:val="4"/>
          <w:sz w:val="24"/>
          <w:szCs w:val="24"/>
          <w:u w:val="single"/>
        </w:rPr>
        <w:t xml:space="preserve">     （采购人名称）    ：</w:t>
      </w:r>
    </w:p>
    <w:p>
      <w:pPr>
        <w:widowControl/>
        <w:spacing w:line="360" w:lineRule="auto"/>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我方作为</w:t>
      </w:r>
      <w:r>
        <w:rPr>
          <w:rFonts w:hint="eastAsia" w:ascii="仿宋" w:hAnsi="仿宋" w:eastAsia="仿宋" w:cs="仿宋"/>
          <w:color w:val="000000"/>
          <w:kern w:val="0"/>
          <w:sz w:val="24"/>
          <w:szCs w:val="24"/>
          <w:u w:val="single"/>
        </w:rPr>
        <w:t xml:space="preserve">         （项目名称）         </w:t>
      </w:r>
      <w:r>
        <w:rPr>
          <w:rFonts w:hint="eastAsia" w:ascii="仿宋" w:hAnsi="仿宋" w:eastAsia="仿宋" w:cs="仿宋"/>
          <w:color w:val="000000"/>
          <w:kern w:val="0"/>
          <w:sz w:val="24"/>
          <w:szCs w:val="24"/>
        </w:rPr>
        <w:t>（项目编号：）的供应商，在此郑重声明：</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1、供应商在本项目中，不存在与其它供应商负责人为同一人，有控股、管理等关联关系承诺。</w:t>
      </w:r>
    </w:p>
    <w:p>
      <w:pPr>
        <w:widowControl/>
        <w:spacing w:line="360" w:lineRule="auto"/>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2、我方未为本项目提供整体设计、规范编制或者项目管理、监理、检测等服务。</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rPr>
        <w:t xml:space="preserve">如有不实，我方将无条件地退出本项目的采购活动，并遵照《政府采购法》有关“提供虚假材料的规定”接受处罚。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rPr>
        <w:t>特此声明。</w:t>
      </w:r>
    </w:p>
    <w:p>
      <w:pPr>
        <w:autoSpaceDE w:val="0"/>
        <w:autoSpaceDN w:val="0"/>
        <w:adjustRightInd w:val="0"/>
        <w:spacing w:line="360" w:lineRule="auto"/>
        <w:ind w:firstLine="480" w:firstLineChars="200"/>
        <w:rPr>
          <w:rFonts w:ascii="仿宋" w:hAnsi="仿宋" w:eastAsia="仿宋" w:cs="仿宋"/>
          <w:sz w:val="24"/>
          <w:szCs w:val="24"/>
        </w:rPr>
      </w:pPr>
    </w:p>
    <w:p>
      <w:pPr>
        <w:autoSpaceDE w:val="0"/>
        <w:autoSpaceDN w:val="0"/>
        <w:adjustRightInd w:val="0"/>
        <w:spacing w:line="360" w:lineRule="auto"/>
        <w:rPr>
          <w:rFonts w:ascii="仿宋" w:hAnsi="仿宋" w:eastAsia="仿宋" w:cs="仿宋"/>
          <w:sz w:val="24"/>
          <w:szCs w:val="24"/>
        </w:rPr>
      </w:pPr>
    </w:p>
    <w:p>
      <w:pPr>
        <w:autoSpaceDE w:val="0"/>
        <w:autoSpaceDN w:val="0"/>
        <w:adjustRightInd w:val="0"/>
        <w:spacing w:line="360" w:lineRule="auto"/>
        <w:jc w:val="center"/>
        <w:rPr>
          <w:rFonts w:ascii="仿宋" w:hAnsi="仿宋" w:eastAsia="仿宋" w:cs="仿宋"/>
          <w:b/>
          <w:sz w:val="24"/>
          <w:szCs w:val="24"/>
        </w:rPr>
      </w:pPr>
    </w:p>
    <w:p>
      <w:pPr>
        <w:autoSpaceDE w:val="0"/>
        <w:autoSpaceDN w:val="0"/>
        <w:adjustRightInd w:val="0"/>
        <w:spacing w:line="360" w:lineRule="auto"/>
        <w:jc w:val="center"/>
        <w:rPr>
          <w:rFonts w:ascii="仿宋" w:hAnsi="仿宋" w:eastAsia="仿宋" w:cs="仿宋"/>
          <w:b/>
          <w:sz w:val="24"/>
          <w:szCs w:val="24"/>
        </w:rPr>
      </w:pPr>
    </w:p>
    <w:p>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供应商（公章）：</w:t>
      </w:r>
      <w:r>
        <w:rPr>
          <w:rFonts w:hint="eastAsia" w:ascii="仿宋" w:hAnsi="仿宋" w:eastAsia="仿宋" w:cs="仿宋"/>
          <w:sz w:val="24"/>
          <w:szCs w:val="24"/>
          <w:u w:val="single"/>
          <w:lang w:val="en-US" w:eastAsia="zh-CN"/>
        </w:rPr>
        <w:t xml:space="preserve">                         </w:t>
      </w:r>
    </w:p>
    <w:p>
      <w:pPr>
        <w:spacing w:line="360" w:lineRule="auto"/>
        <w:ind w:firstLine="3360" w:firstLineChars="1400"/>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lang w:val="en-US" w:eastAsia="zh-CN"/>
        </w:rPr>
        <w:t xml:space="preserve">     </w:t>
      </w:r>
    </w:p>
    <w:p>
      <w:pPr>
        <w:autoSpaceDE w:val="0"/>
        <w:autoSpaceDN w:val="0"/>
        <w:adjustRightInd w:val="0"/>
        <w:spacing w:line="360" w:lineRule="auto"/>
        <w:ind w:firstLine="4080" w:firstLineChars="1700"/>
        <w:rPr>
          <w:rFonts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lang w:val="en-US" w:eastAsia="zh-CN"/>
        </w:rPr>
        <w:t xml:space="preserve">                              </w:t>
      </w:r>
    </w:p>
    <w:p>
      <w:pPr>
        <w:spacing w:line="360" w:lineRule="auto"/>
        <w:rPr>
          <w:rFonts w:ascii="仿宋" w:hAnsi="仿宋" w:eastAsia="仿宋" w:cs="仿宋"/>
          <w:sz w:val="24"/>
          <w:szCs w:val="24"/>
          <w:u w:val="single"/>
        </w:rPr>
      </w:pPr>
    </w:p>
    <w:p>
      <w:pPr>
        <w:spacing w:line="360" w:lineRule="auto"/>
        <w:rPr>
          <w:rFonts w:ascii="仿宋" w:hAnsi="仿宋" w:eastAsia="仿宋" w:cs="仿宋"/>
          <w:sz w:val="32"/>
          <w:u w:val="single"/>
        </w:rPr>
      </w:pPr>
    </w:p>
    <w:p>
      <w:pPr>
        <w:pageBreakBefore/>
        <w:spacing w:line="360" w:lineRule="auto"/>
        <w:jc w:val="center"/>
        <w:outlineLvl w:val="1"/>
        <w:rPr>
          <w:rFonts w:ascii="仿宋" w:hAnsi="仿宋" w:eastAsia="仿宋" w:cs="仿宋"/>
          <w:b/>
          <w:bCs/>
          <w:sz w:val="32"/>
          <w:szCs w:val="15"/>
          <w:lang w:val="zh-CN"/>
        </w:rPr>
      </w:pPr>
      <w:bookmarkStart w:id="605" w:name="_Toc19643"/>
      <w:bookmarkStart w:id="606" w:name="_Toc24186"/>
      <w:bookmarkStart w:id="607" w:name="_Toc20797"/>
      <w:bookmarkStart w:id="608" w:name="_Toc19579"/>
      <w:bookmarkStart w:id="609" w:name="_Toc16898"/>
      <w:bookmarkStart w:id="610" w:name="_Toc5082"/>
      <w:bookmarkStart w:id="611" w:name="_Toc31151"/>
      <w:bookmarkStart w:id="612" w:name="_Toc12844"/>
      <w:bookmarkStart w:id="613" w:name="_Toc27081"/>
      <w:bookmarkStart w:id="614" w:name="_Toc7489"/>
      <w:bookmarkStart w:id="615" w:name="_Toc14521"/>
      <w:bookmarkStart w:id="616" w:name="_Toc28697"/>
      <w:bookmarkStart w:id="617" w:name="_Toc26328"/>
      <w:r>
        <w:rPr>
          <w:rFonts w:hint="eastAsia" w:ascii="仿宋" w:hAnsi="仿宋" w:eastAsia="仿宋" w:cs="仿宋"/>
          <w:b/>
          <w:bCs/>
          <w:sz w:val="32"/>
          <w:szCs w:val="15"/>
          <w:lang w:val="zh-CN"/>
        </w:rPr>
        <w:t>十七、供应商廉洁自律承诺书</w:t>
      </w:r>
      <w:bookmarkEnd w:id="605"/>
      <w:bookmarkEnd w:id="606"/>
      <w:bookmarkEnd w:id="607"/>
      <w:bookmarkEnd w:id="608"/>
      <w:bookmarkEnd w:id="609"/>
      <w:bookmarkEnd w:id="610"/>
      <w:bookmarkEnd w:id="611"/>
      <w:bookmarkEnd w:id="612"/>
      <w:bookmarkEnd w:id="613"/>
    </w:p>
    <w:p>
      <w:pPr>
        <w:spacing w:line="360" w:lineRule="auto"/>
        <w:ind w:firstLine="480" w:firstLineChars="200"/>
        <w:rPr>
          <w:rFonts w:ascii="仿宋" w:hAnsi="仿宋" w:eastAsia="仿宋" w:cs="仿宋"/>
          <w:snapToGrid w:val="0"/>
          <w:color w:val="000000"/>
          <w:sz w:val="24"/>
          <w:szCs w:val="24"/>
        </w:rPr>
      </w:pPr>
      <w:r>
        <w:rPr>
          <w:rFonts w:hint="eastAsia" w:ascii="仿宋" w:hAnsi="仿宋" w:eastAsia="仿宋" w:cs="仿宋"/>
          <w:snapToGrid w:val="0"/>
          <w:sz w:val="24"/>
          <w:szCs w:val="24"/>
        </w:rPr>
        <w:t>为响应党中央、国务院关于治理政府采购领域商业贿赂行为的号召，我们特向贵司郑重承诺，在政府采购过程中严格遵守下列行为准则：</w:t>
      </w:r>
    </w:p>
    <w:p>
      <w:pPr>
        <w:spacing w:line="360" w:lineRule="auto"/>
        <w:ind w:firstLine="480" w:firstLineChars="200"/>
        <w:rPr>
          <w:rFonts w:ascii="仿宋" w:hAnsi="仿宋" w:eastAsia="仿宋" w:cs="仿宋"/>
          <w:snapToGrid w:val="0"/>
          <w:color w:val="000000"/>
          <w:sz w:val="24"/>
          <w:szCs w:val="24"/>
        </w:rPr>
      </w:pPr>
      <w:r>
        <w:rPr>
          <w:rFonts w:hint="eastAsia" w:ascii="仿宋" w:hAnsi="仿宋" w:eastAsia="仿宋" w:cs="仿宋"/>
          <w:snapToGrid w:val="0"/>
          <w:color w:val="000000"/>
          <w:sz w:val="24"/>
          <w:szCs w:val="24"/>
        </w:rPr>
        <w:t>1、严格遵守国家有关法律法规及相关政策，以及廉洁从业的各项规定。</w:t>
      </w:r>
    </w:p>
    <w:p>
      <w:pPr>
        <w:spacing w:line="360" w:lineRule="auto"/>
        <w:ind w:firstLine="480" w:firstLineChars="200"/>
        <w:rPr>
          <w:rFonts w:ascii="仿宋" w:hAnsi="仿宋" w:eastAsia="仿宋" w:cs="仿宋"/>
          <w:snapToGrid w:val="0"/>
          <w:color w:val="000000"/>
          <w:sz w:val="24"/>
          <w:szCs w:val="24"/>
        </w:rPr>
      </w:pPr>
      <w:r>
        <w:rPr>
          <w:rFonts w:hint="eastAsia" w:ascii="仿宋" w:hAnsi="仿宋" w:eastAsia="仿宋" w:cs="仿宋"/>
          <w:snapToGrid w:val="0"/>
          <w:color w:val="000000"/>
          <w:sz w:val="24"/>
          <w:szCs w:val="24"/>
        </w:rPr>
        <w:t>2、不以围标、串标、陪标、挂靠、提供虚假信息、恶意干扰采购人、评标委员会评审等违规手段实现中标目的；</w:t>
      </w:r>
    </w:p>
    <w:p>
      <w:pPr>
        <w:spacing w:line="360" w:lineRule="auto"/>
        <w:ind w:firstLine="480" w:firstLineChars="200"/>
        <w:rPr>
          <w:rFonts w:ascii="仿宋" w:hAnsi="仿宋" w:eastAsia="仿宋" w:cs="仿宋"/>
          <w:snapToGrid w:val="0"/>
          <w:color w:val="000000"/>
          <w:sz w:val="24"/>
          <w:szCs w:val="24"/>
        </w:rPr>
      </w:pPr>
      <w:r>
        <w:rPr>
          <w:rFonts w:hint="eastAsia" w:ascii="仿宋" w:hAnsi="仿宋" w:eastAsia="仿宋" w:cs="仿宋"/>
          <w:snapToGrid w:val="0"/>
          <w:color w:val="000000"/>
          <w:sz w:val="24"/>
          <w:szCs w:val="24"/>
        </w:rPr>
        <w:t>3、不以任何理由、任何形式向采购人相关工作人员或其亲戚、朋友等利益相关人行贿或馈赠礼金、有价证券、贵重物品。</w:t>
      </w:r>
    </w:p>
    <w:p>
      <w:pPr>
        <w:spacing w:line="360" w:lineRule="auto"/>
        <w:ind w:firstLine="480" w:firstLineChars="200"/>
        <w:rPr>
          <w:rFonts w:ascii="仿宋" w:hAnsi="仿宋" w:eastAsia="仿宋" w:cs="仿宋"/>
          <w:snapToGrid w:val="0"/>
          <w:color w:val="000000"/>
          <w:sz w:val="24"/>
          <w:szCs w:val="24"/>
        </w:rPr>
      </w:pPr>
      <w:r>
        <w:rPr>
          <w:rFonts w:hint="eastAsia" w:ascii="仿宋" w:hAnsi="仿宋" w:eastAsia="仿宋" w:cs="仿宋"/>
          <w:snapToGrid w:val="0"/>
          <w:color w:val="000000"/>
          <w:sz w:val="24"/>
          <w:szCs w:val="24"/>
        </w:rPr>
        <w:t>4、不以任何名义为采购人相关工作人员或其亲戚、朋友等利益相关人支付、报销应由其个人支付的费用。</w:t>
      </w:r>
    </w:p>
    <w:p>
      <w:pPr>
        <w:spacing w:line="360" w:lineRule="auto"/>
        <w:ind w:firstLine="480" w:firstLineChars="200"/>
        <w:rPr>
          <w:rFonts w:ascii="仿宋" w:hAnsi="仿宋" w:eastAsia="仿宋" w:cs="仿宋"/>
          <w:snapToGrid w:val="0"/>
          <w:color w:val="000000"/>
          <w:sz w:val="24"/>
          <w:szCs w:val="24"/>
        </w:rPr>
      </w:pPr>
      <w:r>
        <w:rPr>
          <w:rFonts w:hint="eastAsia" w:ascii="仿宋" w:hAnsi="仿宋" w:eastAsia="仿宋" w:cs="仿宋"/>
          <w:snapToGrid w:val="0"/>
          <w:color w:val="000000"/>
          <w:sz w:val="24"/>
          <w:szCs w:val="24"/>
        </w:rPr>
        <w:t>5、不以任何理由安排采购人相关工作人员或其亲戚、朋友等利益相关人参加健身、娱乐和旅游等活动。</w:t>
      </w:r>
    </w:p>
    <w:p>
      <w:pPr>
        <w:spacing w:line="360" w:lineRule="auto"/>
        <w:ind w:firstLine="480" w:firstLineChars="200"/>
        <w:rPr>
          <w:rFonts w:ascii="仿宋" w:hAnsi="仿宋" w:eastAsia="仿宋" w:cs="仿宋"/>
          <w:snapToGrid w:val="0"/>
          <w:color w:val="000000"/>
          <w:sz w:val="24"/>
          <w:szCs w:val="24"/>
        </w:rPr>
      </w:pPr>
      <w:r>
        <w:rPr>
          <w:rFonts w:hint="eastAsia" w:ascii="仿宋" w:hAnsi="仿宋" w:eastAsia="仿宋" w:cs="仿宋"/>
          <w:snapToGrid w:val="0"/>
          <w:color w:val="000000"/>
          <w:sz w:val="24"/>
          <w:szCs w:val="24"/>
        </w:rPr>
        <w:t>6、不为采购人的业务部门、关联企业或人员，购置或提供通讯工具、交通工具、高档办公用品或装修住房等。</w:t>
      </w:r>
    </w:p>
    <w:p>
      <w:pPr>
        <w:spacing w:line="360" w:lineRule="auto"/>
        <w:ind w:firstLine="480" w:firstLineChars="200"/>
        <w:rPr>
          <w:rFonts w:ascii="仿宋" w:hAnsi="仿宋" w:eastAsia="仿宋" w:cs="仿宋"/>
          <w:snapToGrid w:val="0"/>
          <w:color w:val="000000"/>
          <w:sz w:val="24"/>
          <w:szCs w:val="24"/>
        </w:rPr>
      </w:pPr>
      <w:r>
        <w:rPr>
          <w:rFonts w:hint="eastAsia" w:ascii="仿宋" w:hAnsi="仿宋" w:eastAsia="仿宋" w:cs="仿宋"/>
          <w:snapToGrid w:val="0"/>
          <w:color w:val="000000"/>
          <w:sz w:val="24"/>
          <w:szCs w:val="24"/>
        </w:rPr>
        <w:t>7、不以贿赂之外的其他方式拉拢采购方相关工作人员，使其违背公平、公开、公正竞争原则，帮助实现中标目的。</w:t>
      </w:r>
    </w:p>
    <w:p>
      <w:pPr>
        <w:spacing w:line="360" w:lineRule="auto"/>
        <w:ind w:firstLine="480" w:firstLineChars="200"/>
        <w:rPr>
          <w:rFonts w:ascii="仿宋" w:hAnsi="仿宋" w:eastAsia="仿宋" w:cs="仿宋"/>
          <w:snapToGrid w:val="0"/>
          <w:color w:val="000000"/>
          <w:sz w:val="24"/>
          <w:szCs w:val="24"/>
        </w:rPr>
      </w:pPr>
      <w:r>
        <w:rPr>
          <w:rFonts w:hint="eastAsia" w:ascii="仿宋" w:hAnsi="仿宋" w:eastAsia="仿宋" w:cs="仿宋"/>
          <w:snapToGrid w:val="0"/>
          <w:color w:val="000000"/>
          <w:sz w:val="24"/>
          <w:szCs w:val="24"/>
        </w:rPr>
        <w:t>8、如果采购人相关工作人员以帮助实现成交目的为对价向供应商索取贿赂或谋求其他个人利益，供应商应拒绝采购人相关工作人员的要求，并向采购人监督部门举报。</w:t>
      </w:r>
    </w:p>
    <w:p>
      <w:pPr>
        <w:spacing w:line="360" w:lineRule="auto"/>
        <w:ind w:firstLine="480" w:firstLineChars="200"/>
        <w:rPr>
          <w:rFonts w:ascii="仿宋" w:hAnsi="仿宋" w:eastAsia="仿宋" w:cs="仿宋"/>
          <w:snapToGrid w:val="0"/>
          <w:color w:val="000000"/>
          <w:sz w:val="24"/>
          <w:szCs w:val="24"/>
        </w:rPr>
      </w:pPr>
      <w:r>
        <w:rPr>
          <w:rFonts w:hint="eastAsia" w:ascii="仿宋" w:hAnsi="仿宋" w:eastAsia="仿宋" w:cs="仿宋"/>
          <w:snapToGrid w:val="0"/>
          <w:color w:val="000000"/>
          <w:sz w:val="24"/>
          <w:szCs w:val="24"/>
        </w:rPr>
        <w:t>如果承诺人违背上述承诺并中标，承诺人自愿承担与贵司签订的合同无效、贵司有权拒绝支付合同款、承诺人自身损失自己承担并赔偿贵司因此产生的一切损失的民事法律责任及因此产生的刑事责任。</w:t>
      </w:r>
    </w:p>
    <w:p>
      <w:pPr>
        <w:spacing w:line="360" w:lineRule="auto"/>
        <w:ind w:firstLine="4200" w:firstLineChars="1750"/>
        <w:rPr>
          <w:rFonts w:ascii="仿宋" w:hAnsi="仿宋" w:eastAsia="仿宋" w:cs="仿宋"/>
          <w:sz w:val="24"/>
          <w:szCs w:val="24"/>
        </w:rPr>
      </w:pPr>
    </w:p>
    <w:p>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供应商（公章）：</w:t>
      </w:r>
      <w:r>
        <w:rPr>
          <w:rFonts w:hint="eastAsia" w:ascii="仿宋" w:hAnsi="仿宋" w:eastAsia="仿宋" w:cs="仿宋"/>
          <w:sz w:val="24"/>
          <w:szCs w:val="24"/>
          <w:u w:val="single"/>
          <w:lang w:val="en-US" w:eastAsia="zh-CN"/>
        </w:rPr>
        <w:t xml:space="preserve">                         </w:t>
      </w:r>
    </w:p>
    <w:p>
      <w:pPr>
        <w:spacing w:line="360" w:lineRule="auto"/>
        <w:ind w:firstLine="3360" w:firstLineChars="1400"/>
        <w:rPr>
          <w:rFonts w:ascii="仿宋" w:hAnsi="仿宋" w:eastAsia="仿宋" w:cs="仿宋"/>
          <w:sz w:val="24"/>
          <w:szCs w:val="24"/>
          <w:u w:val="single"/>
        </w:rPr>
      </w:pPr>
      <w:r>
        <w:rPr>
          <w:rFonts w:hint="eastAsia" w:ascii="仿宋" w:hAnsi="仿宋" w:eastAsia="仿宋" w:cs="仿宋"/>
          <w:sz w:val="24"/>
          <w:szCs w:val="24"/>
        </w:rPr>
        <w:t>法定代表人或授权代表（签字或盖章）：</w:t>
      </w:r>
      <w:r>
        <w:rPr>
          <w:rFonts w:hint="eastAsia" w:ascii="仿宋" w:hAnsi="仿宋" w:eastAsia="仿宋" w:cs="仿宋"/>
          <w:sz w:val="24"/>
          <w:szCs w:val="24"/>
          <w:u w:val="single"/>
          <w:lang w:val="en-US" w:eastAsia="zh-CN"/>
        </w:rPr>
        <w:t xml:space="preserve">     </w:t>
      </w:r>
    </w:p>
    <w:p>
      <w:pPr>
        <w:spacing w:line="360" w:lineRule="auto"/>
        <w:ind w:firstLine="3360" w:firstLineChars="1400"/>
        <w:rPr>
          <w:rFonts w:ascii="仿宋" w:hAnsi="仿宋" w:eastAsia="仿宋" w:cs="仿宋"/>
          <w:b/>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lang w:val="en-US" w:eastAsia="zh-CN"/>
        </w:rPr>
        <w:t xml:space="preserve">                              </w:t>
      </w:r>
    </w:p>
    <w:p>
      <w:pPr>
        <w:pageBreakBefore/>
        <w:spacing w:line="360" w:lineRule="auto"/>
        <w:jc w:val="center"/>
        <w:outlineLvl w:val="1"/>
        <w:rPr>
          <w:rFonts w:ascii="仿宋" w:hAnsi="仿宋" w:eastAsia="仿宋" w:cs="仿宋"/>
          <w:b/>
          <w:bCs/>
          <w:sz w:val="32"/>
          <w:szCs w:val="15"/>
          <w:lang w:val="zh-CN"/>
        </w:rPr>
      </w:pPr>
      <w:bookmarkStart w:id="618" w:name="_Toc11312"/>
      <w:bookmarkStart w:id="619" w:name="_Toc14573"/>
      <w:bookmarkStart w:id="620" w:name="_Toc25621"/>
      <w:bookmarkStart w:id="621" w:name="_Toc30269"/>
      <w:bookmarkStart w:id="622" w:name="_Toc4293"/>
      <w:bookmarkStart w:id="623" w:name="_Toc25981"/>
      <w:bookmarkStart w:id="624" w:name="_Toc29909"/>
      <w:r>
        <w:rPr>
          <w:rFonts w:hint="eastAsia" w:ascii="仿宋" w:hAnsi="仿宋" w:eastAsia="仿宋" w:cs="仿宋"/>
          <w:b/>
          <w:bCs/>
          <w:sz w:val="32"/>
          <w:szCs w:val="15"/>
          <w:lang w:val="zh-CN"/>
        </w:rPr>
        <w:t>十八、供应商认为有必要补充说明的事项</w:t>
      </w:r>
      <w:bookmarkEnd w:id="614"/>
      <w:bookmarkEnd w:id="615"/>
      <w:bookmarkEnd w:id="616"/>
      <w:bookmarkEnd w:id="617"/>
      <w:bookmarkEnd w:id="618"/>
      <w:bookmarkEnd w:id="619"/>
      <w:bookmarkEnd w:id="620"/>
      <w:bookmarkEnd w:id="621"/>
      <w:bookmarkEnd w:id="622"/>
      <w:bookmarkEnd w:id="623"/>
      <w:bookmarkEnd w:id="624"/>
    </w:p>
    <w:p>
      <w:pPr>
        <w:rPr>
          <w:rFonts w:ascii="仿宋" w:hAnsi="仿宋" w:eastAsia="仿宋" w:cs="仿宋"/>
        </w:rPr>
      </w:pPr>
    </w:p>
    <w:p>
      <w:pPr>
        <w:spacing w:line="360" w:lineRule="auto"/>
        <w:ind w:firstLine="480" w:firstLineChars="200"/>
        <w:jc w:val="center"/>
        <w:rPr>
          <w:rFonts w:ascii="仿宋" w:hAnsi="仿宋" w:eastAsia="仿宋" w:cs="仿宋"/>
          <w:snapToGrid w:val="0"/>
          <w:color w:val="000000"/>
          <w:sz w:val="24"/>
          <w:szCs w:val="24"/>
        </w:rPr>
      </w:pPr>
      <w:r>
        <w:rPr>
          <w:rFonts w:hint="eastAsia" w:ascii="仿宋" w:hAnsi="仿宋" w:eastAsia="仿宋" w:cs="仿宋"/>
          <w:snapToGrid w:val="0"/>
          <w:color w:val="000000"/>
          <w:sz w:val="24"/>
          <w:szCs w:val="24"/>
        </w:rPr>
        <w:t>（格式自拟）</w:t>
      </w:r>
    </w:p>
    <w:sectPr>
      <w:footerReference r:id="rId13" w:type="default"/>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wis721 BT">
    <w:altName w:val="Segoe Script"/>
    <w:panose1 w:val="020B0504020202020204"/>
    <w:charset w:val="00"/>
    <w:family w:val="swiss"/>
    <w:pitch w:val="default"/>
    <w:sig w:usb0="00000000" w:usb1="00000000" w:usb2="00000000" w:usb3="00000000" w:csb0="00000000" w:csb1="00000000"/>
  </w:font>
  <w:font w:name="Segoe Script">
    <w:panose1 w:val="020B0504020000000003"/>
    <w:charset w:val="00"/>
    <w:family w:val="auto"/>
    <w:pitch w:val="default"/>
    <w:sig w:usb0="0000028F" w:usb1="00000000" w:usb2="00000000" w:usb3="00000000" w:csb0="0000009F" w:csb1="00000000"/>
  </w:font>
  <w:font w:name="Batang">
    <w:panose1 w:val="02030600000101010101"/>
    <w:charset w:val="81"/>
    <w:family w:val="auto"/>
    <w:pitch w:val="default"/>
    <w:sig w:usb0="B00002AF" w:usb1="69D77CFB" w:usb2="00000030" w:usb3="00000000" w:csb0="4008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宋体, SimSun">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pPr>
    <w:r>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2sTM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zaxMyQEAAJkDAAAOAAAAAAAAAAEAIAAAAB4BAABkcnMvZTJvRG9j&#10;LnhtbFBLBQYAAAAABgAGAFkBAABZBQAAAAA=&#10;">
          <v:path/>
          <v:fill on="f" focussize="0,0"/>
          <v:stroke on="f" joinstyle="miter"/>
          <v:imagedata o:title=""/>
          <o:lock v:ext="edit"/>
          <v:textbox inset="0mm,0mm,0mm,0mm" style="mso-fit-shape-to-text:t;">
            <w:txbxContent>
              <w:p>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110</w:t>
                </w:r>
                <w:r>
                  <w:fldChar w:fldCharType="end"/>
                </w:r>
                <w:r>
                  <w:rPr>
                    <w:rFonts w:hint="eastAsia"/>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w:pict>
        <v:shape id="_x0000_s1032" o:spid="_x0000_s1032"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17"/>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109</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w:pict>
        <v:shape id="文本框 1034" o:spid="_x0000_s1031"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NAX6MsBAACc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L2+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zQF+jLAQAAnAMAAA4AAAAAAAAAAQAgAAAAHgEAAGRycy9lMm9E&#10;b2MueG1sUEsFBgAAAAAGAAYAWQEAAFsFAAAAAA==&#10;">
          <v:path/>
          <v:fill on="f" focussize="0,0"/>
          <v:stroke on="f" joinstyle="miter"/>
          <v:imagedata o:title=""/>
          <o:lock v:ext="edit"/>
          <v:textbox inset="0mm,0mm,0mm,0mm" style="mso-fit-shape-to-text:t;">
            <w:txbxContent>
              <w:p>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109</w:t>
                </w:r>
                <w:r>
                  <w:fldChar w:fldCharType="end"/>
                </w:r>
                <w:r>
                  <w:rPr>
                    <w:rFonts w:hint="eastAsia"/>
                  </w:rP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w:pict>
        <v:shape id="文本框 17" o:spid="_x0000_s103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cViscgBAACa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imN33OLAL9+/XX78uvz8SpZv&#10;sj59gBrTHgImpuHOD7g1sx/QmWkPKtr8RUIE46ju+aquHBIR+dF6tV5XGBIYmy+Izx6fhwjprfSW&#10;ZKOhEcdXVOWn95DG1DklV3P+XhtTRmjcXw7EzB6Wex97zFYa9sNEaO/bM/LpcfINdbjolJh3DoXN&#10;SzIbcTb2s3EMUR+6skW5HoTbY8ImSm+5wgg7FcaRFXbT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nFYrHIAQAAmgMAAA4AAAAAAAAAAQAgAAAAHgEAAGRycy9lMm9Eb2Mu&#10;eG1sUEsFBgAAAAAGAAYAWQEAAFgFAAAAAA==&#10;">
          <v:path/>
          <v:fill on="f" focussize="0,0"/>
          <v:stroke on="f" joinstyle="miter"/>
          <v:imagedata o:title=""/>
          <o:lock v:ext="edit"/>
          <v:textbox inset="0mm,0mm,0mm,0mm" style="mso-fit-shape-to-text:t;">
            <w:txbxContent>
              <w:p>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110</w:t>
                </w:r>
                <w:r>
                  <w:fldChar w:fldCharType="end"/>
                </w:r>
                <w:r>
                  <w:rPr>
                    <w:rFonts w:hint="eastAsia"/>
                  </w:rP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w:pict>
        <v:shape id="文本框 10" o:spid="_x0000_s102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TyRcc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ITyRccBAACaAwAADgAAAAAAAAABACAAAAAeAQAAZHJzL2Uyb0RvYy54&#10;bWxQSwUGAAAAAAYABgBZAQAAVwUAAAAA&#10;">
          <v:path/>
          <v:fill on="f" focussize="0,0"/>
          <v:stroke on="f" joinstyle="miter"/>
          <v:imagedata o:title=""/>
          <o:lock v:ext="edit"/>
          <v:textbox inset="0mm,0mm,0mm,0mm" style="mso-fit-shape-to-text:t;">
            <w:txbxContent>
              <w:p>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110</w:t>
                </w:r>
                <w:r>
                  <w:fldChar w:fldCharType="end"/>
                </w:r>
                <w:r>
                  <w:rPr>
                    <w:rFonts w:hint="eastAsia"/>
                  </w:rP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w:pict>
        <v:shape id="文本框 12" o:spid="_x0000_s102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GOf98kBAACa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ly&#10;lfXpA9SY9hgwMQ33fsCtmf2Azkx7UNHmLxIiGEd1z1d15ZCIyI/Wq/W6wpDA2HxBfPb0PERIb6W3&#10;JBsNjTi+oio/vYc0ps4puZrzD9qYMkLj/nIgZvaw3PvYY7bSsB8mQnvfnpFPj5NvqMNFp8S8cyhs&#10;XpLZiLOxn41jiPrQlS3K9SDcHRM2UXrLFUbYqTCOrLCb1ivvxJ/3kvX0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0Y5/3yQEAAJoDAAAOAAAAAAAAAAEAIAAAAB4BAABkcnMvZTJvRG9j&#10;LnhtbFBLBQYAAAAABgAGAFkBAABZBQAAAAA=&#10;">
          <v:path/>
          <v:fill on="f" focussize="0,0"/>
          <v:stroke on="f" joinstyle="miter"/>
          <v:imagedata o:title=""/>
          <o:lock v:ext="edit"/>
          <v:textbox inset="0mm,0mm,0mm,0mm" style="mso-fit-shape-to-text:t;">
            <w:txbxContent>
              <w:p>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110</w:t>
                </w:r>
                <w:r>
                  <w:fldChar w:fldCharType="end"/>
                </w:r>
                <w:r>
                  <w:rPr>
                    <w:rFonts w:hint="eastAsia"/>
                  </w:rPr>
                  <w:t xml:space="preserve"> 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w:pict>
        <v:shape id="文本框 14"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9viZskBAACaAwAADgAAAGRycy9lMm9Eb2MueG1srVPNjtMwEL4j8Q6W&#10;79Rph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2+JmyQEAAJoDAAAOAAAAAAAAAAEAIAAAAB4BAABkcnMvZTJvRG9j&#10;LnhtbFBLBQYAAAAABgAGAFkBAABZBQAAAAA=&#10;">
          <v:path/>
          <v:fill on="f" focussize="0,0"/>
          <v:stroke on="f" joinstyle="miter"/>
          <v:imagedata o:title=""/>
          <o:lock v:ext="edit"/>
          <v:textbox inset="0mm,0mm,0mm,0mm" style="mso-fit-shape-to-text:t;">
            <w:txbxContent>
              <w:p>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110</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360" w:lineRule="auto"/>
      <w:ind w:firstLine="321" w:firstLineChars="200"/>
      <w:jc w:val="right"/>
      <w:rPr>
        <w:rFonts w:ascii="仿宋" w:hAnsi="仿宋" w:eastAsia="仿宋" w:cs="仿宋"/>
        <w:sz w:val="16"/>
        <w:szCs w:val="16"/>
      </w:rPr>
    </w:pPr>
    <w:r>
      <w:rPr>
        <w:rFonts w:hint="eastAsia" w:ascii="仿宋" w:hAnsi="仿宋" w:eastAsia="仿宋" w:cs="仿宋"/>
        <w:b/>
        <w:bCs/>
        <w:i/>
        <w:sz w:val="16"/>
        <w:szCs w:val="13"/>
      </w:rPr>
      <w:t>陕西中医药大学附属医院集成平台与数据中心建设项目招标文件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360" w:lineRule="auto"/>
      <w:ind w:firstLine="321" w:firstLineChars="200"/>
      <w:jc w:val="right"/>
      <w:rPr>
        <w:rFonts w:ascii="仿宋" w:hAnsi="仿宋" w:eastAsia="仿宋" w:cs="仿宋"/>
        <w:sz w:val="16"/>
        <w:szCs w:val="16"/>
      </w:rPr>
    </w:pPr>
    <w:r>
      <w:rPr>
        <w:rFonts w:hint="eastAsia" w:ascii="仿宋" w:hAnsi="仿宋" w:eastAsia="仿宋" w:cs="仿宋"/>
        <w:b/>
        <w:bCs/>
        <w:i/>
        <w:sz w:val="16"/>
        <w:szCs w:val="13"/>
      </w:rPr>
      <w:t>陕西中医药大学附属医院集成平台与数据中心建设项目招标文件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360" w:lineRule="auto"/>
      <w:jc w:val="right"/>
      <w:rPr>
        <w:rFonts w:eastAsia="仿宋"/>
      </w:rPr>
    </w:pPr>
    <w:r>
      <w:rPr>
        <w:rFonts w:hint="eastAsia" w:ascii="仿宋" w:hAnsi="仿宋" w:eastAsia="仿宋" w:cs="仿宋"/>
        <w:b/>
        <w:bCs/>
        <w:i/>
        <w:sz w:val="16"/>
        <w:szCs w:val="13"/>
      </w:rPr>
      <w:t>陕西中医药大学附属医院集成平台与数据中心建设项目招标文件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229C5"/>
    <w:multiLevelType w:val="singleLevel"/>
    <w:tmpl w:val="94E229C5"/>
    <w:lvl w:ilvl="0" w:tentative="0">
      <w:start w:val="1"/>
      <w:numFmt w:val="chineseCounting"/>
      <w:suff w:val="nothing"/>
      <w:lvlText w:val="%1、"/>
      <w:lvlJc w:val="left"/>
      <w:rPr>
        <w:rFonts w:hint="eastAsia"/>
      </w:rPr>
    </w:lvl>
  </w:abstractNum>
  <w:abstractNum w:abstractNumId="1">
    <w:nsid w:val="AA397556"/>
    <w:multiLevelType w:val="singleLevel"/>
    <w:tmpl w:val="AA397556"/>
    <w:lvl w:ilvl="0" w:tentative="0">
      <w:start w:val="1"/>
      <w:numFmt w:val="decimal"/>
      <w:lvlText w:val="(%1)"/>
      <w:lvlJc w:val="left"/>
      <w:pPr>
        <w:ind w:left="425" w:hanging="425"/>
      </w:pPr>
      <w:rPr>
        <w:rFonts w:hint="default"/>
      </w:rPr>
    </w:lvl>
  </w:abstractNum>
  <w:abstractNum w:abstractNumId="2">
    <w:nsid w:val="AD5E6AB8"/>
    <w:multiLevelType w:val="singleLevel"/>
    <w:tmpl w:val="AD5E6AB8"/>
    <w:lvl w:ilvl="0" w:tentative="0">
      <w:start w:val="3"/>
      <w:numFmt w:val="decimal"/>
      <w:lvlText w:val="(%1)"/>
      <w:lvlJc w:val="left"/>
      <w:pPr>
        <w:tabs>
          <w:tab w:val="left" w:pos="420"/>
        </w:tabs>
        <w:ind w:left="425" w:hanging="425"/>
      </w:pPr>
      <w:rPr>
        <w:rFonts w:hint="default"/>
      </w:rPr>
    </w:lvl>
  </w:abstractNum>
  <w:abstractNum w:abstractNumId="3">
    <w:nsid w:val="AE886911"/>
    <w:multiLevelType w:val="singleLevel"/>
    <w:tmpl w:val="AE886911"/>
    <w:lvl w:ilvl="0" w:tentative="0">
      <w:start w:val="1"/>
      <w:numFmt w:val="decimal"/>
      <w:lvlText w:val="(%1)"/>
      <w:lvlJc w:val="left"/>
      <w:pPr>
        <w:ind w:left="425" w:hanging="425"/>
      </w:pPr>
      <w:rPr>
        <w:rFonts w:hint="default"/>
      </w:rPr>
    </w:lvl>
  </w:abstractNum>
  <w:abstractNum w:abstractNumId="4">
    <w:nsid w:val="BA8B1867"/>
    <w:multiLevelType w:val="singleLevel"/>
    <w:tmpl w:val="BA8B1867"/>
    <w:lvl w:ilvl="0" w:tentative="0">
      <w:start w:val="1"/>
      <w:numFmt w:val="decimal"/>
      <w:lvlText w:val="%1."/>
      <w:lvlJc w:val="left"/>
      <w:pPr>
        <w:tabs>
          <w:tab w:val="left" w:pos="312"/>
        </w:tabs>
      </w:pPr>
    </w:lvl>
  </w:abstractNum>
  <w:abstractNum w:abstractNumId="5">
    <w:nsid w:val="C356E689"/>
    <w:multiLevelType w:val="singleLevel"/>
    <w:tmpl w:val="C356E689"/>
    <w:lvl w:ilvl="0" w:tentative="0">
      <w:start w:val="1"/>
      <w:numFmt w:val="decimal"/>
      <w:lvlText w:val="(%1)"/>
      <w:lvlJc w:val="left"/>
      <w:pPr>
        <w:ind w:left="425" w:hanging="425"/>
      </w:pPr>
      <w:rPr>
        <w:rFonts w:hint="default"/>
      </w:rPr>
    </w:lvl>
  </w:abstractNum>
  <w:abstractNum w:abstractNumId="6">
    <w:nsid w:val="CBBD90BE"/>
    <w:multiLevelType w:val="singleLevel"/>
    <w:tmpl w:val="CBBD90BE"/>
    <w:lvl w:ilvl="0" w:tentative="0">
      <w:start w:val="1"/>
      <w:numFmt w:val="decimal"/>
      <w:lvlText w:val="(%1)"/>
      <w:lvlJc w:val="left"/>
      <w:pPr>
        <w:ind w:left="425" w:hanging="425"/>
      </w:pPr>
      <w:rPr>
        <w:rFonts w:hint="default"/>
      </w:rPr>
    </w:lvl>
  </w:abstractNum>
  <w:abstractNum w:abstractNumId="7">
    <w:nsid w:val="F171F3D6"/>
    <w:multiLevelType w:val="singleLevel"/>
    <w:tmpl w:val="F171F3D6"/>
    <w:lvl w:ilvl="0" w:tentative="0">
      <w:start w:val="1"/>
      <w:numFmt w:val="decimal"/>
      <w:lvlText w:val="(%1)"/>
      <w:lvlJc w:val="left"/>
      <w:pPr>
        <w:ind w:left="425" w:hanging="425"/>
      </w:pPr>
      <w:rPr>
        <w:rFonts w:hint="default"/>
      </w:rPr>
    </w:lvl>
  </w:abstractNum>
  <w:abstractNum w:abstractNumId="8">
    <w:nsid w:val="027B45C7"/>
    <w:multiLevelType w:val="multilevel"/>
    <w:tmpl w:val="027B45C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
    <w:nsid w:val="0C6FD5AB"/>
    <w:multiLevelType w:val="singleLevel"/>
    <w:tmpl w:val="0C6FD5AB"/>
    <w:lvl w:ilvl="0" w:tentative="0">
      <w:start w:val="1"/>
      <w:numFmt w:val="decimal"/>
      <w:lvlText w:val="(%1)"/>
      <w:lvlJc w:val="left"/>
      <w:pPr>
        <w:ind w:left="425" w:hanging="425"/>
      </w:pPr>
      <w:rPr>
        <w:rFonts w:hint="default"/>
      </w:rPr>
    </w:lvl>
  </w:abstractNum>
  <w:abstractNum w:abstractNumId="10">
    <w:nsid w:val="1F7DE5F5"/>
    <w:multiLevelType w:val="singleLevel"/>
    <w:tmpl w:val="1F7DE5F5"/>
    <w:lvl w:ilvl="0" w:tentative="0">
      <w:start w:val="1"/>
      <w:numFmt w:val="decimal"/>
      <w:suff w:val="nothing"/>
      <w:lvlText w:val="%1、"/>
      <w:lvlJc w:val="left"/>
      <w:rPr>
        <w:rFonts w:hint="default" w:ascii="宋体" w:hAnsi="宋体" w:eastAsia="宋体" w:cs="宋体"/>
        <w:sz w:val="24"/>
        <w:szCs w:val="24"/>
      </w:rPr>
    </w:lvl>
  </w:abstractNum>
  <w:abstractNum w:abstractNumId="11">
    <w:nsid w:val="2338FAE7"/>
    <w:multiLevelType w:val="singleLevel"/>
    <w:tmpl w:val="2338FAE7"/>
    <w:lvl w:ilvl="0" w:tentative="0">
      <w:start w:val="1"/>
      <w:numFmt w:val="decimal"/>
      <w:lvlText w:val="(%1)"/>
      <w:lvlJc w:val="left"/>
      <w:pPr>
        <w:ind w:left="425" w:hanging="425"/>
      </w:pPr>
      <w:rPr>
        <w:rFonts w:hint="default"/>
      </w:rPr>
    </w:lvl>
  </w:abstractNum>
  <w:abstractNum w:abstractNumId="12">
    <w:nsid w:val="233ED0D5"/>
    <w:multiLevelType w:val="singleLevel"/>
    <w:tmpl w:val="233ED0D5"/>
    <w:lvl w:ilvl="0" w:tentative="0">
      <w:start w:val="1"/>
      <w:numFmt w:val="decimalEnclosedCircleChinese"/>
      <w:suff w:val="nothing"/>
      <w:lvlText w:val="%1　"/>
      <w:lvlJc w:val="left"/>
      <w:pPr>
        <w:ind w:left="0" w:firstLine="400"/>
      </w:pPr>
      <w:rPr>
        <w:rFonts w:hint="eastAsia"/>
      </w:rPr>
    </w:lvl>
  </w:abstractNum>
  <w:abstractNum w:abstractNumId="13">
    <w:nsid w:val="2678CAF8"/>
    <w:multiLevelType w:val="singleLevel"/>
    <w:tmpl w:val="2678CAF8"/>
    <w:lvl w:ilvl="0" w:tentative="0">
      <w:start w:val="1"/>
      <w:numFmt w:val="decimal"/>
      <w:suff w:val="nothing"/>
      <w:lvlText w:val="%1、"/>
      <w:lvlJc w:val="left"/>
    </w:lvl>
  </w:abstractNum>
  <w:abstractNum w:abstractNumId="14">
    <w:nsid w:val="2A2F4A12"/>
    <w:multiLevelType w:val="singleLevel"/>
    <w:tmpl w:val="2A2F4A12"/>
    <w:lvl w:ilvl="0" w:tentative="0">
      <w:start w:val="1"/>
      <w:numFmt w:val="decimal"/>
      <w:lvlText w:val="(%1)"/>
      <w:lvlJc w:val="left"/>
      <w:pPr>
        <w:ind w:left="425" w:hanging="425"/>
      </w:pPr>
      <w:rPr>
        <w:rFonts w:hint="default"/>
      </w:rPr>
    </w:lvl>
  </w:abstractNum>
  <w:abstractNum w:abstractNumId="15">
    <w:nsid w:val="3BBA1D8A"/>
    <w:multiLevelType w:val="multilevel"/>
    <w:tmpl w:val="3BBA1D8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6273165"/>
    <w:multiLevelType w:val="singleLevel"/>
    <w:tmpl w:val="46273165"/>
    <w:lvl w:ilvl="0" w:tentative="0">
      <w:start w:val="1"/>
      <w:numFmt w:val="decimal"/>
      <w:suff w:val="nothing"/>
      <w:lvlText w:val="%1、"/>
      <w:lvlJc w:val="left"/>
    </w:lvl>
  </w:abstractNum>
  <w:abstractNum w:abstractNumId="17">
    <w:nsid w:val="531318C9"/>
    <w:multiLevelType w:val="singleLevel"/>
    <w:tmpl w:val="531318C9"/>
    <w:lvl w:ilvl="0" w:tentative="0">
      <w:start w:val="1"/>
      <w:numFmt w:val="decimal"/>
      <w:lvlText w:val="(%1)"/>
      <w:lvlJc w:val="left"/>
      <w:pPr>
        <w:ind w:left="425" w:hanging="425"/>
      </w:pPr>
      <w:rPr>
        <w:rFonts w:hint="default"/>
      </w:rPr>
    </w:lvl>
  </w:abstractNum>
  <w:abstractNum w:abstractNumId="18">
    <w:nsid w:val="555F3037"/>
    <w:multiLevelType w:val="singleLevel"/>
    <w:tmpl w:val="555F3037"/>
    <w:lvl w:ilvl="0" w:tentative="0">
      <w:start w:val="9"/>
      <w:numFmt w:val="chineseCounting"/>
      <w:suff w:val="nothing"/>
      <w:lvlText w:val="%1、"/>
      <w:lvlJc w:val="left"/>
      <w:rPr>
        <w:rFonts w:hint="eastAsia"/>
      </w:rPr>
    </w:lvl>
  </w:abstractNum>
  <w:abstractNum w:abstractNumId="19">
    <w:nsid w:val="585B56F1"/>
    <w:multiLevelType w:val="singleLevel"/>
    <w:tmpl w:val="585B56F1"/>
    <w:lvl w:ilvl="0" w:tentative="0">
      <w:start w:val="2"/>
      <w:numFmt w:val="chineseCounting"/>
      <w:suff w:val="nothing"/>
      <w:lvlText w:val="（%1）"/>
      <w:lvlJc w:val="left"/>
      <w:rPr>
        <w:rFonts w:hint="eastAsia"/>
      </w:rPr>
    </w:lvl>
  </w:abstractNum>
  <w:abstractNum w:abstractNumId="20">
    <w:nsid w:val="740A78AB"/>
    <w:multiLevelType w:val="multilevel"/>
    <w:tmpl w:val="740A78AB"/>
    <w:lvl w:ilvl="0" w:tentative="0">
      <w:start w:val="1"/>
      <w:numFmt w:val="decimal"/>
      <w:lvlText w:val="%1)"/>
      <w:lvlJc w:val="left"/>
      <w:pPr>
        <w:ind w:left="780" w:hanging="360"/>
      </w:p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21">
    <w:nsid w:val="757C5AF1"/>
    <w:multiLevelType w:val="multilevel"/>
    <w:tmpl w:val="757C5AF1"/>
    <w:lvl w:ilvl="0" w:tentative="0">
      <w:start w:val="1"/>
      <w:numFmt w:val="decimal"/>
      <w:lvlText w:val="%1."/>
      <w:lvlJc w:val="left"/>
      <w:pPr>
        <w:ind w:left="420" w:hanging="25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9AB5F6F"/>
    <w:multiLevelType w:val="singleLevel"/>
    <w:tmpl w:val="79AB5F6F"/>
    <w:lvl w:ilvl="0" w:tentative="0">
      <w:start w:val="1"/>
      <w:numFmt w:val="decimal"/>
      <w:lvlText w:val="(%1)"/>
      <w:lvlJc w:val="left"/>
      <w:pPr>
        <w:ind w:left="425" w:hanging="425"/>
      </w:pPr>
      <w:rPr>
        <w:rFonts w:hint="default"/>
      </w:rPr>
    </w:lvl>
  </w:abstractNum>
  <w:abstractNum w:abstractNumId="23">
    <w:nsid w:val="7E87997A"/>
    <w:multiLevelType w:val="singleLevel"/>
    <w:tmpl w:val="7E87997A"/>
    <w:lvl w:ilvl="0" w:tentative="0">
      <w:start w:val="1"/>
      <w:numFmt w:val="decimal"/>
      <w:lvlText w:val="(%1)"/>
      <w:lvlJc w:val="left"/>
      <w:pPr>
        <w:ind w:left="425" w:hanging="425"/>
      </w:pPr>
      <w:rPr>
        <w:rFonts w:hint="default"/>
      </w:rPr>
    </w:lvl>
  </w:abstractNum>
  <w:num w:numId="1">
    <w:abstractNumId w:val="13"/>
  </w:num>
  <w:num w:numId="2">
    <w:abstractNumId w:val="15"/>
  </w:num>
  <w:num w:numId="3">
    <w:abstractNumId w:val="9"/>
  </w:num>
  <w:num w:numId="4">
    <w:abstractNumId w:val="19"/>
  </w:num>
  <w:num w:numId="5">
    <w:abstractNumId w:val="7"/>
  </w:num>
  <w:num w:numId="6">
    <w:abstractNumId w:val="23"/>
  </w:num>
  <w:num w:numId="7">
    <w:abstractNumId w:val="5"/>
  </w:num>
  <w:num w:numId="8">
    <w:abstractNumId w:val="20"/>
  </w:num>
  <w:num w:numId="9">
    <w:abstractNumId w:val="3"/>
  </w:num>
  <w:num w:numId="10">
    <w:abstractNumId w:val="14"/>
  </w:num>
  <w:num w:numId="11">
    <w:abstractNumId w:val="22"/>
  </w:num>
  <w:num w:numId="12">
    <w:abstractNumId w:val="6"/>
  </w:num>
  <w:num w:numId="13">
    <w:abstractNumId w:val="1"/>
  </w:num>
  <w:num w:numId="14">
    <w:abstractNumId w:val="11"/>
  </w:num>
  <w:num w:numId="15">
    <w:abstractNumId w:val="12"/>
  </w:num>
  <w:num w:numId="16">
    <w:abstractNumId w:val="2"/>
  </w:num>
  <w:num w:numId="17">
    <w:abstractNumId w:val="8"/>
  </w:num>
  <w:num w:numId="18">
    <w:abstractNumId w:val="17"/>
  </w:num>
  <w:num w:numId="19">
    <w:abstractNumId w:val="21"/>
  </w:num>
  <w:num w:numId="20">
    <w:abstractNumId w:val="10"/>
  </w:num>
  <w:num w:numId="21">
    <w:abstractNumId w:val="16"/>
  </w:num>
  <w:num w:numId="22">
    <w:abstractNumId w:val="0"/>
  </w:num>
  <w:num w:numId="23">
    <w:abstractNumId w:val="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4"/>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Q4ZGM1ZDNiZDQ3NTVjM2M2MWIxYWJjOTg5ZGU1M2EifQ=="/>
  </w:docVars>
  <w:rsids>
    <w:rsidRoot w:val="00172A27"/>
    <w:rsid w:val="00054E43"/>
    <w:rsid w:val="00123625"/>
    <w:rsid w:val="00172A27"/>
    <w:rsid w:val="002007F2"/>
    <w:rsid w:val="00256D00"/>
    <w:rsid w:val="002B209D"/>
    <w:rsid w:val="00321F0D"/>
    <w:rsid w:val="004F3904"/>
    <w:rsid w:val="005A66E8"/>
    <w:rsid w:val="00655EAC"/>
    <w:rsid w:val="006A4925"/>
    <w:rsid w:val="00722C71"/>
    <w:rsid w:val="00760FC1"/>
    <w:rsid w:val="00B53A9C"/>
    <w:rsid w:val="00D00ED1"/>
    <w:rsid w:val="00D168D6"/>
    <w:rsid w:val="00E61FF2"/>
    <w:rsid w:val="00F435F1"/>
    <w:rsid w:val="01A03665"/>
    <w:rsid w:val="01C83D48"/>
    <w:rsid w:val="021B4775"/>
    <w:rsid w:val="029639FD"/>
    <w:rsid w:val="02BA7760"/>
    <w:rsid w:val="02FE20CD"/>
    <w:rsid w:val="03654213"/>
    <w:rsid w:val="03B46C2F"/>
    <w:rsid w:val="04B86601"/>
    <w:rsid w:val="04C85B76"/>
    <w:rsid w:val="054D1116"/>
    <w:rsid w:val="05F17CC7"/>
    <w:rsid w:val="06F3393F"/>
    <w:rsid w:val="07271335"/>
    <w:rsid w:val="074F7E6B"/>
    <w:rsid w:val="07783BC4"/>
    <w:rsid w:val="07952895"/>
    <w:rsid w:val="07AC21B0"/>
    <w:rsid w:val="08514E0F"/>
    <w:rsid w:val="08AE140F"/>
    <w:rsid w:val="08BD0334"/>
    <w:rsid w:val="09A03697"/>
    <w:rsid w:val="09A12CBF"/>
    <w:rsid w:val="0A0A57FB"/>
    <w:rsid w:val="0A3B6641"/>
    <w:rsid w:val="0A630245"/>
    <w:rsid w:val="0AE25FDC"/>
    <w:rsid w:val="0B2035CB"/>
    <w:rsid w:val="0B251306"/>
    <w:rsid w:val="0B446A4F"/>
    <w:rsid w:val="0B9C527E"/>
    <w:rsid w:val="0C6361C4"/>
    <w:rsid w:val="0D972A96"/>
    <w:rsid w:val="0E8544A7"/>
    <w:rsid w:val="0F155CD5"/>
    <w:rsid w:val="0F2A0723"/>
    <w:rsid w:val="0F50583A"/>
    <w:rsid w:val="0FE64D0B"/>
    <w:rsid w:val="10366259"/>
    <w:rsid w:val="109F39AC"/>
    <w:rsid w:val="10FB6ED7"/>
    <w:rsid w:val="115A330A"/>
    <w:rsid w:val="117A32A9"/>
    <w:rsid w:val="11E95493"/>
    <w:rsid w:val="12971FB6"/>
    <w:rsid w:val="12E507DA"/>
    <w:rsid w:val="132C56B4"/>
    <w:rsid w:val="132C77AB"/>
    <w:rsid w:val="134523ED"/>
    <w:rsid w:val="1413263F"/>
    <w:rsid w:val="16632324"/>
    <w:rsid w:val="16683ACE"/>
    <w:rsid w:val="16924BAE"/>
    <w:rsid w:val="185B1ACC"/>
    <w:rsid w:val="196A036B"/>
    <w:rsid w:val="19904552"/>
    <w:rsid w:val="1A856B8A"/>
    <w:rsid w:val="1AFB1938"/>
    <w:rsid w:val="1BF070A2"/>
    <w:rsid w:val="1D84721B"/>
    <w:rsid w:val="1DC64109"/>
    <w:rsid w:val="1DD13C59"/>
    <w:rsid w:val="20120B0E"/>
    <w:rsid w:val="2023302E"/>
    <w:rsid w:val="20490F06"/>
    <w:rsid w:val="20F12E19"/>
    <w:rsid w:val="20F14D3E"/>
    <w:rsid w:val="21A96910"/>
    <w:rsid w:val="222F379C"/>
    <w:rsid w:val="2256088E"/>
    <w:rsid w:val="22736639"/>
    <w:rsid w:val="23011794"/>
    <w:rsid w:val="2395290B"/>
    <w:rsid w:val="23DC390D"/>
    <w:rsid w:val="23F47566"/>
    <w:rsid w:val="24232E90"/>
    <w:rsid w:val="2467280B"/>
    <w:rsid w:val="24955B50"/>
    <w:rsid w:val="253E744B"/>
    <w:rsid w:val="254061A2"/>
    <w:rsid w:val="2600358A"/>
    <w:rsid w:val="260744C3"/>
    <w:rsid w:val="261F4709"/>
    <w:rsid w:val="27AD21FA"/>
    <w:rsid w:val="27D671E5"/>
    <w:rsid w:val="27EA29EA"/>
    <w:rsid w:val="28416434"/>
    <w:rsid w:val="28A20C44"/>
    <w:rsid w:val="2AFA5C89"/>
    <w:rsid w:val="2B27367F"/>
    <w:rsid w:val="2B8048D9"/>
    <w:rsid w:val="2CB14AF3"/>
    <w:rsid w:val="2D172BF8"/>
    <w:rsid w:val="2D8A79CC"/>
    <w:rsid w:val="2DDC55FA"/>
    <w:rsid w:val="2E3D64AF"/>
    <w:rsid w:val="2E9A5A24"/>
    <w:rsid w:val="2F3D369E"/>
    <w:rsid w:val="2FA523CD"/>
    <w:rsid w:val="2FDA7FAD"/>
    <w:rsid w:val="2FDD4C94"/>
    <w:rsid w:val="30020A77"/>
    <w:rsid w:val="30255240"/>
    <w:rsid w:val="30A243A6"/>
    <w:rsid w:val="322E01FA"/>
    <w:rsid w:val="32B324CD"/>
    <w:rsid w:val="32D81743"/>
    <w:rsid w:val="339F7033"/>
    <w:rsid w:val="343A5E6A"/>
    <w:rsid w:val="345614B9"/>
    <w:rsid w:val="3577009B"/>
    <w:rsid w:val="35AA4E78"/>
    <w:rsid w:val="35B02811"/>
    <w:rsid w:val="35C10815"/>
    <w:rsid w:val="35E05848"/>
    <w:rsid w:val="37807073"/>
    <w:rsid w:val="37836AD0"/>
    <w:rsid w:val="37B237BF"/>
    <w:rsid w:val="37D50947"/>
    <w:rsid w:val="388C302E"/>
    <w:rsid w:val="39A9208B"/>
    <w:rsid w:val="39DB2FF5"/>
    <w:rsid w:val="3A0A3805"/>
    <w:rsid w:val="3A40479E"/>
    <w:rsid w:val="3A4678DA"/>
    <w:rsid w:val="3AD97F02"/>
    <w:rsid w:val="3AF66F05"/>
    <w:rsid w:val="3B0032BA"/>
    <w:rsid w:val="3B090DC6"/>
    <w:rsid w:val="3B1F0C08"/>
    <w:rsid w:val="3C1E08C4"/>
    <w:rsid w:val="3C215F09"/>
    <w:rsid w:val="3D37175C"/>
    <w:rsid w:val="3D7E3543"/>
    <w:rsid w:val="3D8369A6"/>
    <w:rsid w:val="3D9B58A0"/>
    <w:rsid w:val="3D9F2F4A"/>
    <w:rsid w:val="3DAE129E"/>
    <w:rsid w:val="3E7C7D6E"/>
    <w:rsid w:val="3EB233A1"/>
    <w:rsid w:val="3F700EE8"/>
    <w:rsid w:val="40723446"/>
    <w:rsid w:val="40C13C76"/>
    <w:rsid w:val="40C559FD"/>
    <w:rsid w:val="41FF18A9"/>
    <w:rsid w:val="42594D28"/>
    <w:rsid w:val="425B02EB"/>
    <w:rsid w:val="42A200B0"/>
    <w:rsid w:val="42A3075F"/>
    <w:rsid w:val="42CC53F7"/>
    <w:rsid w:val="438E238B"/>
    <w:rsid w:val="43A25771"/>
    <w:rsid w:val="43C7383A"/>
    <w:rsid w:val="43ED56AB"/>
    <w:rsid w:val="440475ED"/>
    <w:rsid w:val="4475773A"/>
    <w:rsid w:val="44897FA6"/>
    <w:rsid w:val="44B57B36"/>
    <w:rsid w:val="44B733FF"/>
    <w:rsid w:val="457B7449"/>
    <w:rsid w:val="457C263C"/>
    <w:rsid w:val="45A15EF7"/>
    <w:rsid w:val="46657745"/>
    <w:rsid w:val="46CD06C6"/>
    <w:rsid w:val="47285394"/>
    <w:rsid w:val="47B37E78"/>
    <w:rsid w:val="47F43B87"/>
    <w:rsid w:val="484957E5"/>
    <w:rsid w:val="485633DE"/>
    <w:rsid w:val="48693111"/>
    <w:rsid w:val="48A4239B"/>
    <w:rsid w:val="48D13E43"/>
    <w:rsid w:val="48DB7082"/>
    <w:rsid w:val="4996370D"/>
    <w:rsid w:val="49E0657C"/>
    <w:rsid w:val="4A235817"/>
    <w:rsid w:val="4A6B6BBD"/>
    <w:rsid w:val="4AA94464"/>
    <w:rsid w:val="4B5634E8"/>
    <w:rsid w:val="4B5977C6"/>
    <w:rsid w:val="4CBF59F6"/>
    <w:rsid w:val="4D026D61"/>
    <w:rsid w:val="4E8005CA"/>
    <w:rsid w:val="4EAE4C7E"/>
    <w:rsid w:val="4F2E684F"/>
    <w:rsid w:val="4F5B0E42"/>
    <w:rsid w:val="50926F7D"/>
    <w:rsid w:val="50A02D8D"/>
    <w:rsid w:val="51271DBC"/>
    <w:rsid w:val="512B520B"/>
    <w:rsid w:val="521277B4"/>
    <w:rsid w:val="523A43A0"/>
    <w:rsid w:val="5251602E"/>
    <w:rsid w:val="53BB0340"/>
    <w:rsid w:val="53C75AC9"/>
    <w:rsid w:val="554A6CB6"/>
    <w:rsid w:val="55546EF7"/>
    <w:rsid w:val="56B00EBA"/>
    <w:rsid w:val="56CC57A7"/>
    <w:rsid w:val="56FD5B65"/>
    <w:rsid w:val="57650F48"/>
    <w:rsid w:val="580A29A9"/>
    <w:rsid w:val="581C684F"/>
    <w:rsid w:val="581D5CC6"/>
    <w:rsid w:val="58806139"/>
    <w:rsid w:val="58E00C84"/>
    <w:rsid w:val="58E57BB9"/>
    <w:rsid w:val="59305AC2"/>
    <w:rsid w:val="59D239C7"/>
    <w:rsid w:val="5A19203E"/>
    <w:rsid w:val="5A544D62"/>
    <w:rsid w:val="5AEC627A"/>
    <w:rsid w:val="5AF02F48"/>
    <w:rsid w:val="5B273335"/>
    <w:rsid w:val="5B275D7E"/>
    <w:rsid w:val="5BA03F68"/>
    <w:rsid w:val="5BA74225"/>
    <w:rsid w:val="5C081842"/>
    <w:rsid w:val="5C504D19"/>
    <w:rsid w:val="5CAC2733"/>
    <w:rsid w:val="5CF500DE"/>
    <w:rsid w:val="5D6B1E82"/>
    <w:rsid w:val="5DD86215"/>
    <w:rsid w:val="5E2F6CEB"/>
    <w:rsid w:val="5EF04BCE"/>
    <w:rsid w:val="608B58E7"/>
    <w:rsid w:val="60DC3BA1"/>
    <w:rsid w:val="617F354E"/>
    <w:rsid w:val="61D218D0"/>
    <w:rsid w:val="62BA4B4B"/>
    <w:rsid w:val="62D331BD"/>
    <w:rsid w:val="62DB73CF"/>
    <w:rsid w:val="62EF2470"/>
    <w:rsid w:val="630A3ABA"/>
    <w:rsid w:val="634F3147"/>
    <w:rsid w:val="63756DFC"/>
    <w:rsid w:val="64DA7017"/>
    <w:rsid w:val="652E212C"/>
    <w:rsid w:val="65515BFF"/>
    <w:rsid w:val="65565DB0"/>
    <w:rsid w:val="660F381F"/>
    <w:rsid w:val="663562F7"/>
    <w:rsid w:val="66486604"/>
    <w:rsid w:val="666B7AC1"/>
    <w:rsid w:val="66EA57C5"/>
    <w:rsid w:val="67E95B03"/>
    <w:rsid w:val="684D6353"/>
    <w:rsid w:val="68953657"/>
    <w:rsid w:val="689A2045"/>
    <w:rsid w:val="69342E70"/>
    <w:rsid w:val="6A10568B"/>
    <w:rsid w:val="6A3446C5"/>
    <w:rsid w:val="6A6C7260"/>
    <w:rsid w:val="6A74500D"/>
    <w:rsid w:val="6ACB2F6C"/>
    <w:rsid w:val="6B1F108E"/>
    <w:rsid w:val="6B2E704D"/>
    <w:rsid w:val="6B7C06CC"/>
    <w:rsid w:val="6C2910E3"/>
    <w:rsid w:val="6C7B6705"/>
    <w:rsid w:val="6CB3137C"/>
    <w:rsid w:val="6CDD158F"/>
    <w:rsid w:val="6D942CE1"/>
    <w:rsid w:val="6DE427C1"/>
    <w:rsid w:val="6E093BE7"/>
    <w:rsid w:val="6E71061C"/>
    <w:rsid w:val="6E8333EB"/>
    <w:rsid w:val="6E9B3FCA"/>
    <w:rsid w:val="6F135352"/>
    <w:rsid w:val="707C666E"/>
    <w:rsid w:val="70F6427C"/>
    <w:rsid w:val="70F81CFC"/>
    <w:rsid w:val="711D41EA"/>
    <w:rsid w:val="71A768D5"/>
    <w:rsid w:val="71AF4E37"/>
    <w:rsid w:val="71F409A3"/>
    <w:rsid w:val="724547F8"/>
    <w:rsid w:val="731F2825"/>
    <w:rsid w:val="73563420"/>
    <w:rsid w:val="73CA421E"/>
    <w:rsid w:val="746532BA"/>
    <w:rsid w:val="750A5073"/>
    <w:rsid w:val="7547468C"/>
    <w:rsid w:val="755C79D6"/>
    <w:rsid w:val="7573429B"/>
    <w:rsid w:val="757548FB"/>
    <w:rsid w:val="76B2114F"/>
    <w:rsid w:val="76CC456C"/>
    <w:rsid w:val="76E957A3"/>
    <w:rsid w:val="76F37EC6"/>
    <w:rsid w:val="77A224B1"/>
    <w:rsid w:val="77B47630"/>
    <w:rsid w:val="77E25935"/>
    <w:rsid w:val="78110D3C"/>
    <w:rsid w:val="788131C0"/>
    <w:rsid w:val="792209F9"/>
    <w:rsid w:val="797C23F5"/>
    <w:rsid w:val="79AC0800"/>
    <w:rsid w:val="7A85352B"/>
    <w:rsid w:val="7A9C29BE"/>
    <w:rsid w:val="7AB0183A"/>
    <w:rsid w:val="7ABA3AD0"/>
    <w:rsid w:val="7AC82F17"/>
    <w:rsid w:val="7ADF7A11"/>
    <w:rsid w:val="7B3F6149"/>
    <w:rsid w:val="7BBA70F7"/>
    <w:rsid w:val="7BE75B20"/>
    <w:rsid w:val="7BEC78F6"/>
    <w:rsid w:val="7CB10FC4"/>
    <w:rsid w:val="7D2A66AE"/>
    <w:rsid w:val="7D6C6364"/>
    <w:rsid w:val="7DB5368F"/>
    <w:rsid w:val="7DB64A59"/>
    <w:rsid w:val="7E4B203F"/>
    <w:rsid w:val="7E6A2956"/>
    <w:rsid w:val="7E837D82"/>
    <w:rsid w:val="7F4762F8"/>
    <w:rsid w:val="7FBC2F0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4"/>
    <w:qFormat/>
    <w:uiPriority w:val="0"/>
    <w:pPr>
      <w:keepNext/>
      <w:jc w:val="center"/>
      <w:outlineLvl w:val="0"/>
    </w:pPr>
    <w:rPr>
      <w:rFonts w:ascii="黑体" w:hAnsi="黑体"/>
      <w:b/>
      <w:kern w:val="0"/>
      <w:sz w:val="44"/>
    </w:rPr>
  </w:style>
  <w:style w:type="paragraph" w:styleId="4">
    <w:name w:val="heading 2"/>
    <w:basedOn w:val="1"/>
    <w:next w:val="1"/>
    <w:link w:val="45"/>
    <w:qFormat/>
    <w:uiPriority w:val="0"/>
    <w:pPr>
      <w:keepNext/>
      <w:spacing w:line="720" w:lineRule="exact"/>
      <w:jc w:val="center"/>
      <w:outlineLvl w:val="1"/>
    </w:pPr>
    <w:rPr>
      <w:rFonts w:ascii="黑体" w:hAnsi="黑体"/>
      <w:b/>
      <w:kern w:val="0"/>
      <w:sz w:val="44"/>
    </w:rPr>
  </w:style>
  <w:style w:type="paragraph" w:styleId="5">
    <w:name w:val="heading 3"/>
    <w:basedOn w:val="1"/>
    <w:next w:val="1"/>
    <w:qFormat/>
    <w:uiPriority w:val="0"/>
    <w:pPr>
      <w:keepNext/>
      <w:spacing w:line="320" w:lineRule="exact"/>
      <w:jc w:val="center"/>
      <w:outlineLvl w:val="2"/>
    </w:pPr>
    <w:rPr>
      <w:rFonts w:ascii="楷体_GB2312" w:hAnsi="楷体_GB2312" w:eastAsia="仿宋_GB2312"/>
      <w:b/>
      <w:sz w:val="28"/>
    </w:rPr>
  </w:style>
  <w:style w:type="paragraph" w:styleId="6">
    <w:name w:val="heading 4"/>
    <w:basedOn w:val="1"/>
    <w:next w:val="1"/>
    <w:qFormat/>
    <w:uiPriority w:val="0"/>
    <w:pPr>
      <w:keepNext/>
      <w:spacing w:line="600" w:lineRule="exact"/>
      <w:jc w:val="center"/>
      <w:outlineLvl w:val="3"/>
    </w:pPr>
    <w:rPr>
      <w:rFonts w:ascii="楷体_GB2312" w:eastAsia="楷体_GB2312"/>
      <w:sz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link w:val="46"/>
    <w:qFormat/>
    <w:uiPriority w:val="0"/>
    <w:pPr>
      <w:ind w:firstLine="420"/>
    </w:pPr>
    <w:rPr>
      <w:szCs w:val="21"/>
    </w:rPr>
  </w:style>
  <w:style w:type="paragraph" w:styleId="8">
    <w:name w:val="caption"/>
    <w:basedOn w:val="1"/>
    <w:next w:val="1"/>
    <w:qFormat/>
    <w:uiPriority w:val="0"/>
    <w:pPr>
      <w:widowControl/>
      <w:adjustRightInd w:val="0"/>
      <w:spacing w:before="120" w:after="120" w:line="360" w:lineRule="auto"/>
      <w:ind w:firstLine="200" w:firstLineChars="200"/>
      <w:jc w:val="center"/>
    </w:pPr>
    <w:rPr>
      <w:rFonts w:ascii="Swis721 BT" w:hAnsi="Swis721 BT" w:eastAsia="Batang"/>
      <w:b/>
      <w:bCs/>
      <w:kern w:val="0"/>
      <w:sz w:val="20"/>
      <w:lang w:eastAsia="ko-KR"/>
    </w:rPr>
  </w:style>
  <w:style w:type="paragraph" w:styleId="9">
    <w:name w:val="Document Map"/>
    <w:basedOn w:val="1"/>
    <w:link w:val="47"/>
    <w:qFormat/>
    <w:uiPriority w:val="0"/>
    <w:rPr>
      <w:rFonts w:ascii="宋体"/>
      <w:sz w:val="18"/>
      <w:szCs w:val="18"/>
    </w:rPr>
  </w:style>
  <w:style w:type="paragraph" w:styleId="10">
    <w:name w:val="toa heading"/>
    <w:basedOn w:val="1"/>
    <w:next w:val="1"/>
    <w:unhideWhenUsed/>
    <w:qFormat/>
    <w:uiPriority w:val="99"/>
    <w:pPr>
      <w:spacing w:before="120"/>
    </w:pPr>
    <w:rPr>
      <w:rFonts w:ascii="Arial" w:hAnsi="Arial"/>
      <w:sz w:val="24"/>
    </w:rPr>
  </w:style>
  <w:style w:type="paragraph" w:styleId="11">
    <w:name w:val="annotation text"/>
    <w:basedOn w:val="1"/>
    <w:link w:val="48"/>
    <w:qFormat/>
    <w:uiPriority w:val="0"/>
    <w:pPr>
      <w:jc w:val="left"/>
    </w:pPr>
  </w:style>
  <w:style w:type="paragraph" w:styleId="12">
    <w:name w:val="Body Text Indent"/>
    <w:basedOn w:val="1"/>
    <w:next w:val="1"/>
    <w:qFormat/>
    <w:uiPriority w:val="0"/>
    <w:pPr>
      <w:ind w:firstLine="630"/>
    </w:pPr>
    <w:rPr>
      <w:sz w:val="32"/>
    </w:rPr>
  </w:style>
  <w:style w:type="paragraph" w:styleId="13">
    <w:name w:val="index 4"/>
    <w:basedOn w:val="1"/>
    <w:next w:val="1"/>
    <w:semiHidden/>
    <w:qFormat/>
    <w:uiPriority w:val="0"/>
    <w:pPr>
      <w:widowControl/>
      <w:ind w:left="1260"/>
      <w:jc w:val="left"/>
    </w:pPr>
    <w:rPr>
      <w:rFonts w:ascii="等线" w:hAnsi="等线" w:eastAsia="等线" w:cs="Times New Roman"/>
      <w:kern w:val="0"/>
      <w:sz w:val="22"/>
      <w:szCs w:val="22"/>
    </w:rPr>
  </w:style>
  <w:style w:type="paragraph" w:styleId="14">
    <w:name w:val="toc 3"/>
    <w:basedOn w:val="1"/>
    <w:next w:val="1"/>
    <w:semiHidden/>
    <w:qFormat/>
    <w:uiPriority w:val="0"/>
    <w:pPr>
      <w:ind w:left="840" w:leftChars="400"/>
    </w:pPr>
  </w:style>
  <w:style w:type="paragraph" w:styleId="15">
    <w:name w:val="Plain Text"/>
    <w:basedOn w:val="1"/>
    <w:qFormat/>
    <w:uiPriority w:val="0"/>
    <w:rPr>
      <w:rFonts w:ascii="宋体" w:hAnsi="Courier New" w:cs="Courier New"/>
      <w:szCs w:val="21"/>
    </w:rPr>
  </w:style>
  <w:style w:type="paragraph" w:styleId="16">
    <w:name w:val="Balloon Text"/>
    <w:basedOn w:val="1"/>
    <w:semiHidden/>
    <w:qFormat/>
    <w:uiPriority w:val="0"/>
    <w:rPr>
      <w:sz w:val="18"/>
      <w:szCs w:val="18"/>
    </w:rPr>
  </w:style>
  <w:style w:type="paragraph" w:styleId="17">
    <w:name w:val="footer"/>
    <w:basedOn w:val="1"/>
    <w:next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qFormat/>
    <w:uiPriority w:val="0"/>
    <w:pPr>
      <w:tabs>
        <w:tab w:val="right" w:leader="dot" w:pos="9060"/>
      </w:tabs>
      <w:spacing w:line="360" w:lineRule="auto"/>
    </w:pPr>
  </w:style>
  <w:style w:type="paragraph" w:styleId="20">
    <w:name w:val="Body Text Indent 3"/>
    <w:basedOn w:val="1"/>
    <w:unhideWhenUsed/>
    <w:qFormat/>
    <w:uiPriority w:val="0"/>
    <w:pPr>
      <w:spacing w:line="380" w:lineRule="exact"/>
      <w:ind w:firstLine="480"/>
    </w:pPr>
    <w:rPr>
      <w:rFonts w:ascii="宋体" w:hAnsi="宋体" w:cs="宋体"/>
      <w:kern w:val="0"/>
      <w:sz w:val="20"/>
      <w:szCs w:val="20"/>
    </w:rPr>
  </w:style>
  <w:style w:type="paragraph" w:styleId="21">
    <w:name w:val="toc 2"/>
    <w:basedOn w:val="1"/>
    <w:next w:val="1"/>
    <w:semiHidden/>
    <w:qFormat/>
    <w:uiPriority w:val="0"/>
    <w:pPr>
      <w:tabs>
        <w:tab w:val="right" w:leader="dot" w:pos="9060"/>
      </w:tabs>
      <w:spacing w:line="360" w:lineRule="auto"/>
      <w:ind w:left="420" w:leftChars="200"/>
    </w:pPr>
  </w:style>
  <w:style w:type="paragraph" w:styleId="22">
    <w:name w:val="Body Text 2"/>
    <w:basedOn w:val="1"/>
    <w:qFormat/>
    <w:uiPriority w:val="0"/>
    <w:rPr>
      <w:rFonts w:ascii="楷体_GB2312" w:hAnsi="Copperplate Gothic Bold" w:eastAsia="楷体_GB2312"/>
      <w:sz w:val="28"/>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4">
    <w:name w:val="annotation subject"/>
    <w:basedOn w:val="11"/>
    <w:next w:val="11"/>
    <w:semiHidden/>
    <w:qFormat/>
    <w:uiPriority w:val="0"/>
    <w:rPr>
      <w:b/>
      <w:bCs/>
      <w:lang w:val="en-US" w:eastAsia="zh-CN"/>
    </w:rPr>
  </w:style>
  <w:style w:type="paragraph" w:styleId="25">
    <w:name w:val="Body Text First Indent"/>
    <w:basedOn w:val="2"/>
    <w:next w:val="1"/>
    <w:unhideWhenUsed/>
    <w:qFormat/>
    <w:uiPriority w:val="99"/>
    <w:pPr>
      <w:ind w:firstLine="420" w:firstLineChars="100"/>
    </w:pPr>
    <w:rPr>
      <w:szCs w:val="24"/>
    </w:rPr>
  </w:style>
  <w:style w:type="paragraph" w:styleId="26">
    <w:name w:val="Body Text First Indent 2"/>
    <w:basedOn w:val="12"/>
    <w:next w:val="1"/>
    <w:unhideWhenUsed/>
    <w:qFormat/>
    <w:uiPriority w:val="99"/>
    <w:pPr>
      <w:ind w:firstLine="420" w:firstLineChars="2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0"/>
  </w:style>
  <w:style w:type="character" w:styleId="31">
    <w:name w:val="FollowedHyperlink"/>
    <w:qFormat/>
    <w:uiPriority w:val="0"/>
    <w:rPr>
      <w:color w:val="4D4D4D"/>
      <w:u w:val="none"/>
    </w:rPr>
  </w:style>
  <w:style w:type="character" w:styleId="32">
    <w:name w:val="Emphasis"/>
    <w:qFormat/>
    <w:uiPriority w:val="0"/>
  </w:style>
  <w:style w:type="character" w:styleId="33">
    <w:name w:val="HTML Definition"/>
    <w:qFormat/>
    <w:uiPriority w:val="0"/>
  </w:style>
  <w:style w:type="character" w:styleId="34">
    <w:name w:val="HTML Variable"/>
    <w:qFormat/>
    <w:uiPriority w:val="0"/>
  </w:style>
  <w:style w:type="character" w:styleId="35">
    <w:name w:val="Hyperlink"/>
    <w:qFormat/>
    <w:uiPriority w:val="0"/>
    <w:rPr>
      <w:color w:val="4D4D4D"/>
      <w:u w:val="none"/>
    </w:rPr>
  </w:style>
  <w:style w:type="character" w:styleId="36">
    <w:name w:val="HTML Code"/>
    <w:qFormat/>
    <w:uiPriority w:val="0"/>
    <w:rPr>
      <w:rFonts w:hint="eastAsia" w:ascii="微软雅黑" w:hAnsi="微软雅黑" w:eastAsia="微软雅黑" w:cs="微软雅黑"/>
      <w:sz w:val="20"/>
    </w:rPr>
  </w:style>
  <w:style w:type="character" w:styleId="37">
    <w:name w:val="annotation reference"/>
    <w:qFormat/>
    <w:uiPriority w:val="0"/>
    <w:rPr>
      <w:sz w:val="21"/>
    </w:rPr>
  </w:style>
  <w:style w:type="character" w:styleId="38">
    <w:name w:val="HTML Cite"/>
    <w:qFormat/>
    <w:uiPriority w:val="0"/>
  </w:style>
  <w:style w:type="character" w:styleId="39">
    <w:name w:val="HTML Keyboard"/>
    <w:qFormat/>
    <w:uiPriority w:val="0"/>
    <w:rPr>
      <w:rFonts w:hint="eastAsia" w:ascii="微软雅黑" w:hAnsi="微软雅黑" w:eastAsia="微软雅黑" w:cs="微软雅黑"/>
      <w:sz w:val="20"/>
    </w:rPr>
  </w:style>
  <w:style w:type="character" w:styleId="40">
    <w:name w:val="HTML Sample"/>
    <w:qFormat/>
    <w:uiPriority w:val="0"/>
    <w:rPr>
      <w:rFonts w:hint="eastAsia" w:ascii="微软雅黑" w:hAnsi="微软雅黑" w:eastAsia="微软雅黑" w:cs="微软雅黑"/>
      <w:color w:val="A0AFB8"/>
      <w:sz w:val="39"/>
      <w:szCs w:val="39"/>
    </w:rPr>
  </w:style>
  <w:style w:type="paragraph" w:customStyle="1" w:styleId="41">
    <w:name w:val="font5"/>
    <w:basedOn w:val="1"/>
    <w:qFormat/>
    <w:uiPriority w:val="0"/>
    <w:pPr>
      <w:widowControl/>
      <w:spacing w:before="100" w:beforeAutospacing="1" w:after="100" w:afterAutospacing="1"/>
      <w:jc w:val="left"/>
    </w:pPr>
    <w:rPr>
      <w:rFonts w:hint="eastAsia" w:ascii="宋体" w:hAnsi="宋体"/>
      <w:kern w:val="0"/>
      <w:sz w:val="24"/>
      <w:szCs w:val="24"/>
    </w:rPr>
  </w:style>
  <w:style w:type="paragraph" w:styleId="42">
    <w:name w:val="List Paragraph"/>
    <w:basedOn w:val="1"/>
    <w:qFormat/>
    <w:uiPriority w:val="0"/>
    <w:pPr>
      <w:ind w:firstLine="420" w:firstLineChars="200"/>
    </w:pPr>
    <w:rPr>
      <w:rFonts w:ascii="Calibri" w:hAnsi="Calibri"/>
      <w:szCs w:val="22"/>
    </w:rPr>
  </w:style>
  <w:style w:type="paragraph" w:customStyle="1" w:styleId="43">
    <w:name w:val="默认段落字体 Para Char Char Char Char"/>
    <w:basedOn w:val="1"/>
    <w:qFormat/>
    <w:uiPriority w:val="0"/>
    <w:rPr>
      <w:szCs w:val="24"/>
    </w:rPr>
  </w:style>
  <w:style w:type="character" w:customStyle="1" w:styleId="44">
    <w:name w:val="标题 1 Char"/>
    <w:link w:val="3"/>
    <w:qFormat/>
    <w:uiPriority w:val="0"/>
    <w:rPr>
      <w:rFonts w:ascii="黑体" w:hAnsi="黑体" w:eastAsia="宋体"/>
      <w:b/>
      <w:sz w:val="44"/>
    </w:rPr>
  </w:style>
  <w:style w:type="character" w:customStyle="1" w:styleId="45">
    <w:name w:val="标题 2 Char"/>
    <w:link w:val="4"/>
    <w:qFormat/>
    <w:uiPriority w:val="0"/>
    <w:rPr>
      <w:rFonts w:ascii="黑体" w:hAnsi="黑体" w:eastAsia="宋体"/>
      <w:b/>
      <w:sz w:val="44"/>
    </w:rPr>
  </w:style>
  <w:style w:type="character" w:customStyle="1" w:styleId="46">
    <w:name w:val="正文缩进 Char"/>
    <w:link w:val="7"/>
    <w:qFormat/>
    <w:uiPriority w:val="0"/>
    <w:rPr>
      <w:rFonts w:eastAsia="宋体"/>
      <w:kern w:val="2"/>
      <w:sz w:val="21"/>
      <w:szCs w:val="21"/>
      <w:lang w:val="en-US" w:eastAsia="zh-CN" w:bidi="ar-SA"/>
    </w:rPr>
  </w:style>
  <w:style w:type="character" w:customStyle="1" w:styleId="47">
    <w:name w:val="文档结构图 Char"/>
    <w:link w:val="9"/>
    <w:qFormat/>
    <w:uiPriority w:val="0"/>
    <w:rPr>
      <w:rFonts w:ascii="宋体"/>
      <w:kern w:val="2"/>
      <w:sz w:val="18"/>
      <w:szCs w:val="18"/>
    </w:rPr>
  </w:style>
  <w:style w:type="character" w:customStyle="1" w:styleId="48">
    <w:name w:val="批注文字 Char"/>
    <w:link w:val="11"/>
    <w:qFormat/>
    <w:uiPriority w:val="0"/>
    <w:rPr>
      <w:kern w:val="2"/>
      <w:sz w:val="21"/>
      <w:lang w:bidi="ar-SA"/>
    </w:rPr>
  </w:style>
  <w:style w:type="character" w:customStyle="1" w:styleId="49">
    <w:name w:val="bds_nopic"/>
    <w:qFormat/>
    <w:uiPriority w:val="0"/>
  </w:style>
  <w:style w:type="character" w:customStyle="1" w:styleId="50">
    <w:name w:val="del-btn1"/>
    <w:qFormat/>
    <w:uiPriority w:val="0"/>
  </w:style>
  <w:style w:type="character" w:customStyle="1" w:styleId="51">
    <w:name w:val="on1"/>
    <w:qFormat/>
    <w:uiPriority w:val="0"/>
    <w:rPr>
      <w:color w:val="FFFFFF"/>
    </w:rPr>
  </w:style>
  <w:style w:type="character" w:customStyle="1" w:styleId="52">
    <w:name w:val="bds_more2"/>
    <w:qFormat/>
    <w:uiPriority w:val="0"/>
  </w:style>
  <w:style w:type="character" w:customStyle="1" w:styleId="53">
    <w:name w:val="g"/>
    <w:qFormat/>
    <w:uiPriority w:val="0"/>
    <w:rPr>
      <w:color w:val="DD5400"/>
      <w:sz w:val="33"/>
      <w:szCs w:val="33"/>
    </w:rPr>
  </w:style>
  <w:style w:type="character" w:customStyle="1" w:styleId="54">
    <w:name w:val="normal1"/>
    <w:qFormat/>
    <w:uiPriority w:val="0"/>
    <w:rPr>
      <w:color w:val="FFFFFF"/>
    </w:rPr>
  </w:style>
  <w:style w:type="character" w:customStyle="1" w:styleId="55">
    <w:name w:val="on"/>
    <w:qFormat/>
    <w:uiPriority w:val="0"/>
    <w:rPr>
      <w:color w:val="FFFFFF"/>
    </w:rPr>
  </w:style>
  <w:style w:type="character" w:customStyle="1" w:styleId="56">
    <w:name w:val="glyphicon4"/>
    <w:qFormat/>
    <w:uiPriority w:val="0"/>
  </w:style>
  <w:style w:type="character" w:customStyle="1" w:styleId="57">
    <w:name w:val="button"/>
    <w:qFormat/>
    <w:uiPriority w:val="0"/>
  </w:style>
  <w:style w:type="character" w:customStyle="1" w:styleId="58">
    <w:name w:val="font21"/>
    <w:qFormat/>
    <w:uiPriority w:val="0"/>
    <w:rPr>
      <w:rFonts w:hint="eastAsia" w:ascii="仿宋" w:hAnsi="仿宋" w:eastAsia="仿宋" w:cs="仿宋"/>
      <w:color w:val="000000"/>
      <w:sz w:val="24"/>
      <w:szCs w:val="24"/>
      <w:u w:val="none"/>
      <w:vertAlign w:val="superscript"/>
    </w:rPr>
  </w:style>
  <w:style w:type="character" w:customStyle="1" w:styleId="59">
    <w:name w:val="bds_nopic2"/>
    <w:qFormat/>
    <w:uiPriority w:val="0"/>
  </w:style>
  <w:style w:type="character" w:customStyle="1" w:styleId="60">
    <w:name w:val="font31"/>
    <w:qFormat/>
    <w:uiPriority w:val="0"/>
    <w:rPr>
      <w:rFonts w:hint="eastAsia" w:ascii="仿宋" w:hAnsi="仿宋" w:eastAsia="仿宋" w:cs="仿宋"/>
      <w:color w:val="000000"/>
      <w:sz w:val="24"/>
      <w:szCs w:val="24"/>
      <w:u w:val="none"/>
    </w:rPr>
  </w:style>
  <w:style w:type="character" w:customStyle="1" w:styleId="61">
    <w:name w:val="gwds_nopic"/>
    <w:qFormat/>
    <w:uiPriority w:val="0"/>
  </w:style>
  <w:style w:type="character" w:customStyle="1" w:styleId="62">
    <w:name w:val="hover3"/>
    <w:qFormat/>
    <w:uiPriority w:val="0"/>
    <w:rPr>
      <w:shd w:val="clear" w:color="auto" w:fill="EEEEEE"/>
    </w:rPr>
  </w:style>
  <w:style w:type="character" w:customStyle="1" w:styleId="63">
    <w:name w:val="hour_am"/>
    <w:qFormat/>
    <w:uiPriority w:val="0"/>
  </w:style>
  <w:style w:type="character" w:customStyle="1" w:styleId="64">
    <w:name w:val="normal2"/>
    <w:qFormat/>
    <w:uiPriority w:val="0"/>
    <w:rPr>
      <w:color w:val="000000"/>
    </w:rPr>
  </w:style>
  <w:style w:type="character" w:customStyle="1" w:styleId="65">
    <w:name w:val="indent"/>
    <w:qFormat/>
    <w:uiPriority w:val="0"/>
  </w:style>
  <w:style w:type="character" w:customStyle="1" w:styleId="66">
    <w:name w:val="cur1"/>
    <w:qFormat/>
    <w:uiPriority w:val="0"/>
    <w:rPr>
      <w:b/>
    </w:rPr>
  </w:style>
  <w:style w:type="character" w:customStyle="1" w:styleId="67">
    <w:name w:val="old"/>
    <w:qFormat/>
    <w:uiPriority w:val="0"/>
    <w:rPr>
      <w:color w:val="999999"/>
    </w:rPr>
  </w:style>
  <w:style w:type="character" w:customStyle="1" w:styleId="68">
    <w:name w:val="normal"/>
    <w:qFormat/>
    <w:uiPriority w:val="0"/>
    <w:rPr>
      <w:color w:val="FFFFFF"/>
    </w:rPr>
  </w:style>
  <w:style w:type="character" w:customStyle="1" w:styleId="69">
    <w:name w:val="cur"/>
    <w:qFormat/>
    <w:uiPriority w:val="0"/>
    <w:rPr>
      <w:b/>
    </w:rPr>
  </w:style>
  <w:style w:type="character" w:customStyle="1" w:styleId="70">
    <w:name w:val="mwp_cyl_i4"/>
    <w:qFormat/>
    <w:uiPriority w:val="0"/>
    <w:rPr>
      <w:bdr w:val="single" w:color="7F9DB9" w:sz="6" w:space="0"/>
    </w:rPr>
  </w:style>
  <w:style w:type="character" w:customStyle="1" w:styleId="71">
    <w:name w:val="del-btn"/>
    <w:qFormat/>
    <w:uiPriority w:val="0"/>
  </w:style>
  <w:style w:type="character" w:customStyle="1" w:styleId="72">
    <w:name w:val="answer-title2"/>
    <w:qFormat/>
    <w:uiPriority w:val="0"/>
  </w:style>
  <w:style w:type="character" w:customStyle="1" w:styleId="73">
    <w:name w:val="bds_more1"/>
    <w:qFormat/>
    <w:uiPriority w:val="0"/>
    <w:rPr>
      <w:rFonts w:hint="eastAsia" w:ascii="宋体" w:hAnsi="宋体" w:eastAsia="宋体" w:cs="宋体"/>
    </w:rPr>
  </w:style>
  <w:style w:type="character" w:customStyle="1" w:styleId="74">
    <w:name w:val="cur2"/>
    <w:qFormat/>
    <w:uiPriority w:val="0"/>
    <w:rPr>
      <w:shd w:val="clear" w:color="auto" w:fill="FF0000"/>
    </w:rPr>
  </w:style>
  <w:style w:type="character" w:customStyle="1" w:styleId="75">
    <w:name w:val="tmpztreemove_arrow"/>
    <w:qFormat/>
    <w:uiPriority w:val="0"/>
    <w:rPr>
      <w:shd w:val="clear" w:color="auto" w:fill="FFFFFF"/>
    </w:rPr>
  </w:style>
  <w:style w:type="character" w:customStyle="1" w:styleId="76">
    <w:name w:val="bg1"/>
    <w:qFormat/>
    <w:uiPriority w:val="0"/>
    <w:rPr>
      <w:shd w:val="clear" w:color="auto" w:fill="000000"/>
    </w:rPr>
  </w:style>
  <w:style w:type="character" w:customStyle="1" w:styleId="77">
    <w:name w:val="bds_nopic1"/>
    <w:qFormat/>
    <w:uiPriority w:val="0"/>
  </w:style>
  <w:style w:type="character" w:customStyle="1" w:styleId="78">
    <w:name w:val="bg"/>
    <w:qFormat/>
    <w:uiPriority w:val="0"/>
    <w:rPr>
      <w:shd w:val="clear" w:color="auto" w:fill="000000"/>
    </w:rPr>
  </w:style>
  <w:style w:type="character" w:customStyle="1" w:styleId="79">
    <w:name w:val="font11"/>
    <w:qFormat/>
    <w:uiPriority w:val="0"/>
    <w:rPr>
      <w:rFonts w:hint="eastAsia" w:ascii="仿宋" w:hAnsi="仿宋" w:eastAsia="仿宋" w:cs="仿宋"/>
      <w:color w:val="000000"/>
      <w:sz w:val="24"/>
      <w:szCs w:val="24"/>
      <w:u w:val="none"/>
      <w:vertAlign w:val="superscript"/>
    </w:rPr>
  </w:style>
  <w:style w:type="character" w:customStyle="1" w:styleId="80">
    <w:name w:val="s"/>
    <w:qFormat/>
    <w:uiPriority w:val="0"/>
    <w:rPr>
      <w:b/>
      <w:color w:val="DD5400"/>
      <w:sz w:val="36"/>
      <w:szCs w:val="36"/>
    </w:rPr>
  </w:style>
  <w:style w:type="character" w:customStyle="1" w:styleId="81">
    <w:name w:val="bds_more"/>
    <w:qFormat/>
    <w:uiPriority w:val="0"/>
  </w:style>
  <w:style w:type="character" w:customStyle="1" w:styleId="82">
    <w:name w:val="hour_pm"/>
    <w:qFormat/>
    <w:uiPriority w:val="0"/>
  </w:style>
  <w:style w:type="character" w:customStyle="1" w:styleId="83">
    <w:name w:val="font101"/>
    <w:qFormat/>
    <w:uiPriority w:val="0"/>
    <w:rPr>
      <w:rFonts w:hint="eastAsia" w:ascii="仿宋" w:hAnsi="仿宋" w:eastAsia="仿宋" w:cs="仿宋"/>
      <w:color w:val="000000"/>
      <w:sz w:val="24"/>
      <w:szCs w:val="24"/>
      <w:u w:val="none"/>
    </w:rPr>
  </w:style>
  <w:style w:type="character" w:customStyle="1" w:styleId="84">
    <w:name w:val="Char Char6"/>
    <w:semiHidden/>
    <w:qFormat/>
    <w:uiPriority w:val="0"/>
    <w:rPr>
      <w:kern w:val="2"/>
      <w:sz w:val="21"/>
    </w:rPr>
  </w:style>
  <w:style w:type="character" w:customStyle="1" w:styleId="85">
    <w:name w:val="gwds_nopic1"/>
    <w:qFormat/>
    <w:uiPriority w:val="0"/>
  </w:style>
  <w:style w:type="character" w:customStyle="1" w:styleId="86">
    <w:name w:val="gwds_nopic2"/>
    <w:qFormat/>
    <w:uiPriority w:val="0"/>
  </w:style>
  <w:style w:type="paragraph" w:customStyle="1" w:styleId="87">
    <w:name w:val="正文自定"/>
    <w:basedOn w:val="1"/>
    <w:qFormat/>
    <w:uiPriority w:val="0"/>
    <w:pPr>
      <w:tabs>
        <w:tab w:val="left" w:pos="7665"/>
      </w:tabs>
      <w:spacing w:line="360" w:lineRule="auto"/>
      <w:ind w:firstLine="480" w:firstLineChars="200"/>
    </w:pPr>
    <w:rPr>
      <w:rFonts w:ascii="宋体" w:hAnsi="宋体"/>
      <w:sz w:val="24"/>
      <w:szCs w:val="24"/>
    </w:rPr>
  </w:style>
  <w:style w:type="paragraph" w:customStyle="1" w:styleId="88">
    <w:name w:val="列出段落1"/>
    <w:basedOn w:val="1"/>
    <w:qFormat/>
    <w:uiPriority w:val="34"/>
    <w:pPr>
      <w:ind w:firstLine="420" w:firstLineChars="200"/>
    </w:pPr>
    <w:rPr>
      <w:rFonts w:ascii="Calibri" w:hAnsi="Calibri" w:cs="黑体"/>
      <w:szCs w:val="22"/>
    </w:rPr>
  </w:style>
  <w:style w:type="paragraph" w:customStyle="1" w:styleId="8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0">
    <w:name w:val="*正文"/>
    <w:basedOn w:val="1"/>
    <w:qFormat/>
    <w:uiPriority w:val="0"/>
    <w:pPr>
      <w:spacing w:line="360" w:lineRule="auto"/>
      <w:ind w:firstLine="200" w:firstLineChars="200"/>
    </w:pPr>
    <w:rPr>
      <w:rFonts w:ascii="宋体" w:hAnsi="宋体"/>
      <w:sz w:val="22"/>
      <w:szCs w:val="24"/>
    </w:rPr>
  </w:style>
  <w:style w:type="paragraph" w:customStyle="1" w:styleId="91">
    <w:name w:val="_Style 10"/>
    <w:basedOn w:val="1"/>
    <w:qFormat/>
    <w:uiPriority w:val="0"/>
  </w:style>
  <w:style w:type="paragraph" w:customStyle="1" w:styleId="92">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9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4">
    <w:name w:val="Char Char2 Char Char"/>
    <w:basedOn w:val="1"/>
    <w:qFormat/>
    <w:uiPriority w:val="0"/>
    <w:rPr>
      <w:rFonts w:ascii="Swis721 BT" w:hAnsi="Swis721 BT" w:eastAsia="Batang"/>
      <w:b/>
      <w:bCs/>
      <w:kern w:val="0"/>
      <w:sz w:val="20"/>
      <w:lang w:eastAsia="ko-KR"/>
    </w:rPr>
  </w:style>
  <w:style w:type="paragraph" w:customStyle="1" w:styleId="95">
    <w:name w:val="WPSOffice手动目录 1"/>
    <w:qFormat/>
    <w:uiPriority w:val="0"/>
    <w:rPr>
      <w:rFonts w:ascii="Times New Roman" w:hAnsi="Times New Roman" w:eastAsia="宋体" w:cs="Times New Roman"/>
      <w:lang w:val="en-US" w:eastAsia="zh-CN" w:bidi="ar-SA"/>
    </w:rPr>
  </w:style>
  <w:style w:type="paragraph" w:customStyle="1" w:styleId="96">
    <w:name w:val="Char Char2 Char Char1"/>
    <w:basedOn w:val="1"/>
    <w:qFormat/>
    <w:uiPriority w:val="0"/>
    <w:rPr>
      <w:szCs w:val="24"/>
    </w:rPr>
  </w:style>
  <w:style w:type="paragraph" w:customStyle="1" w:styleId="97">
    <w:name w:val="样式 首行缩进:  2 字符"/>
    <w:basedOn w:val="1"/>
    <w:qFormat/>
    <w:uiPriority w:val="0"/>
    <w:pPr>
      <w:ind w:firstLine="560"/>
    </w:pPr>
    <w:rPr>
      <w:rFonts w:ascii="宋体" w:eastAsia="仿宋_GB2312"/>
      <w:kern w:val="0"/>
      <w:sz w:val="24"/>
    </w:rPr>
  </w:style>
  <w:style w:type="paragraph" w:customStyle="1" w:styleId="98">
    <w:name w:val="title11"/>
    <w:basedOn w:val="1"/>
    <w:qFormat/>
    <w:uiPriority w:val="0"/>
    <w:pPr>
      <w:spacing w:before="150"/>
      <w:jc w:val="left"/>
    </w:pPr>
    <w:rPr>
      <w:b/>
      <w:kern w:val="0"/>
      <w:sz w:val="22"/>
      <w:szCs w:val="22"/>
    </w:rPr>
  </w:style>
  <w:style w:type="paragraph" w:customStyle="1" w:styleId="99">
    <w:name w:val="Char1"/>
    <w:basedOn w:val="1"/>
    <w:qFormat/>
    <w:uiPriority w:val="0"/>
    <w:rPr>
      <w:szCs w:val="21"/>
    </w:rPr>
  </w:style>
  <w:style w:type="paragraph" w:customStyle="1" w:styleId="100">
    <w:name w:val="列出段落2"/>
    <w:basedOn w:val="1"/>
    <w:qFormat/>
    <w:uiPriority w:val="34"/>
    <w:pPr>
      <w:ind w:firstLine="420" w:firstLineChars="200"/>
    </w:pPr>
    <w:rPr>
      <w:sz w:val="28"/>
    </w:rPr>
  </w:style>
  <w:style w:type="paragraph" w:customStyle="1" w:styleId="101">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02">
    <w:name w:val="列表段落1"/>
    <w:basedOn w:val="1"/>
    <w:qFormat/>
    <w:uiPriority w:val="34"/>
    <w:pPr>
      <w:ind w:firstLine="420" w:firstLineChars="200"/>
    </w:pPr>
  </w:style>
  <w:style w:type="paragraph" w:styleId="103">
    <w:name w:val="No Spacing"/>
    <w:qFormat/>
    <w:uiPriority w:val="1"/>
    <w:pPr>
      <w:widowControl w:val="0"/>
      <w:spacing w:line="360" w:lineRule="auto"/>
      <w:jc w:val="both"/>
    </w:pPr>
    <w:rPr>
      <w:rFonts w:ascii="宋体" w:hAnsi="Calibri" w:eastAsia="宋体" w:cs="Times New Roman"/>
      <w:kern w:val="2"/>
      <w:sz w:val="24"/>
      <w:szCs w:val="22"/>
      <w:lang w:val="en-US" w:eastAsia="zh-CN" w:bidi="ar-SA"/>
    </w:rPr>
  </w:style>
  <w:style w:type="paragraph" w:customStyle="1" w:styleId="104">
    <w:name w:val="表格样式"/>
    <w:qFormat/>
    <w:uiPriority w:val="0"/>
    <w:pPr>
      <w:wordWrap w:val="0"/>
      <w:spacing w:line="0" w:lineRule="atLeast"/>
      <w:contextualSpacing/>
    </w:pPr>
    <w:rPr>
      <w:rFonts w:ascii="宋体" w:hAnsi="微软雅黑" w:eastAsia="宋体" w:cs="Times New Roman"/>
      <w:kern w:val="2"/>
      <w:sz w:val="24"/>
      <w:szCs w:val="28"/>
      <w:lang w:val="en-US" w:eastAsia="zh-CN" w:bidi="ar-SA"/>
    </w:rPr>
  </w:style>
  <w:style w:type="paragraph" w:customStyle="1" w:styleId="105">
    <w:name w:val="正文首行缩进1"/>
    <w:basedOn w:val="1"/>
    <w:qFormat/>
    <w:uiPriority w:val="0"/>
    <w:pPr>
      <w:suppressAutoHyphens/>
      <w:ind w:firstLine="420"/>
    </w:pPr>
    <w:rPr>
      <w:kern w:val="1"/>
      <w:lang w:eastAsia="ar-SA"/>
    </w:rPr>
  </w:style>
  <w:style w:type="paragraph" w:customStyle="1" w:styleId="106">
    <w:name w:val="Heading4"/>
    <w:basedOn w:val="1"/>
    <w:next w:val="1"/>
    <w:qFormat/>
    <w:uiPriority w:val="0"/>
    <w:pPr>
      <w:keepNext/>
      <w:keepLines/>
      <w:spacing w:before="280" w:after="290" w:line="376" w:lineRule="auto"/>
      <w:textAlignment w:val="baseline"/>
    </w:pPr>
    <w:rPr>
      <w:rFonts w:ascii="Arial" w:hAnsi="Arial"/>
      <w:b/>
      <w:bCs/>
      <w:szCs w:val="28"/>
    </w:rPr>
  </w:style>
  <w:style w:type="paragraph" w:customStyle="1" w:styleId="10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08">
    <w:name w:val="Standard"/>
    <w:qFormat/>
    <w:uiPriority w:val="0"/>
    <w:pPr>
      <w:widowControl w:val="0"/>
      <w:suppressAutoHyphens/>
      <w:autoSpaceDN w:val="0"/>
      <w:jc w:val="both"/>
      <w:textAlignment w:val="baseline"/>
    </w:pPr>
    <w:rPr>
      <w:rFonts w:ascii="Times New Roman" w:hAnsi="Times New Roman" w:eastAsia="宋体, SimSun" w:cs="Times New Roman"/>
      <w:kern w:val="3"/>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32"/>
    <customShpInfo spid="_x0000_s1031"/>
    <customShpInfo spid="_x0000_s1030"/>
    <customShpInfo spid="_x0000_s1029"/>
    <customShpInfo spid="_x0000_s1028"/>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113</Pages>
  <Words>58160</Words>
  <Characters>60507</Characters>
  <Lines>453</Lines>
  <Paragraphs>127</Paragraphs>
  <TotalTime>91</TotalTime>
  <ScaleCrop>false</ScaleCrop>
  <LinksUpToDate>false</LinksUpToDate>
  <CharactersWithSpaces>62852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2019-02-28T10:21:00Z</dcterms:created>
  <dc:creator>user</dc:creator>
  <cp:lastModifiedBy>Administrator</cp:lastModifiedBy>
  <cp:lastPrinted>2022-09-29T02:28:55Z</cp:lastPrinted>
  <dcterms:modified xsi:type="dcterms:W3CDTF">2022-09-29T02:45:29Z</dcterms:modified>
  <dc:title>标书编号：SZ99-</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E650A0D79A984A09A09484B7E2A8B083</vt:lpwstr>
  </property>
  <property fmtid="{D5CDD505-2E9C-101B-9397-08002B2CF9AE}" pid="4" name="commondata">
    <vt:lpwstr>eyJoZGlkIjoiYzE2Yzc5OGVlYzU1YjA3NGIxYTFmOTVjMTc3MzkzODAifQ==</vt:lpwstr>
  </property>
</Properties>
</file>